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2C322">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7FD71B56">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2E7DB5F1">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t8zXHXAAAACAEAAA8AAAAAAAAAAQAgAAAA&#10;IgAAAGRycy9kb3ducmV2LnhtbFBLAQIUABQAAAAIAIdO4kA87DHxDAIAAEYEAAAOAAAAAAAAAAEA&#10;IAAAACYBAABkcnMvZTJvRG9jLnhtbFBLBQYAAAAABgAGAFkBAACkBQAAAAA=&#10;">
                <v:fill on="t" focussize="0,0"/>
                <v:stroke color="#FFFFFF" joinstyle="miter"/>
                <v:imagedata o:title=""/>
                <o:lock v:ext="edit" aspectratio="f"/>
                <v:textbox>
                  <w:txbxContent>
                    <w:p w14:paraId="7FD71B56">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2E7DB5F1">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70626342">
      <w:pPr>
        <w:ind w:left="682" w:leftChars="-203" w:hanging="1108" w:hangingChars="154"/>
        <w:rPr>
          <w:sz w:val="72"/>
          <w:szCs w:val="72"/>
        </w:rPr>
      </w:pPr>
    </w:p>
    <w:p w14:paraId="0BF800B9">
      <w:pPr>
        <w:ind w:left="682" w:leftChars="-203" w:hanging="1108" w:hangingChars="154"/>
        <w:rPr>
          <w:sz w:val="72"/>
          <w:szCs w:val="72"/>
        </w:rPr>
      </w:pPr>
    </w:p>
    <w:p w14:paraId="10C006EA">
      <w:pPr>
        <w:adjustRightInd w:val="0"/>
        <w:snapToGrid w:val="0"/>
        <w:spacing w:line="300" w:lineRule="auto"/>
        <w:jc w:val="left"/>
        <w:rPr>
          <w:b/>
          <w:bCs/>
          <w:snapToGrid w:val="0"/>
          <w:kern w:val="0"/>
          <w:sz w:val="28"/>
          <w:szCs w:val="28"/>
        </w:rPr>
      </w:pPr>
    </w:p>
    <w:p w14:paraId="1632730F">
      <w:pPr>
        <w:adjustRightInd w:val="0"/>
        <w:snapToGrid w:val="0"/>
        <w:spacing w:line="300" w:lineRule="auto"/>
        <w:jc w:val="center"/>
        <w:rPr>
          <w:rFonts w:asciiTheme="minorEastAsia" w:hAnsiTheme="minorEastAsia" w:eastAsiaTheme="minorEastAsia"/>
          <w:b/>
          <w:snapToGrid w:val="0"/>
          <w:kern w:val="0"/>
          <w:sz w:val="72"/>
          <w:szCs w:val="72"/>
        </w:rPr>
      </w:pPr>
      <w:r>
        <w:rPr>
          <w:rFonts w:hint="eastAsia" w:asciiTheme="minorEastAsia" w:hAnsiTheme="minorEastAsia" w:eastAsiaTheme="minorEastAsia"/>
          <w:b/>
          <w:bCs/>
          <w:snapToGrid w:val="0"/>
          <w:kern w:val="0"/>
          <w:sz w:val="72"/>
          <w:szCs w:val="72"/>
        </w:rPr>
        <w:t>实训（验）室安全巡检</w:t>
      </w:r>
    </w:p>
    <w:p w14:paraId="404364AE">
      <w:pPr>
        <w:adjustRightInd w:val="0"/>
        <w:snapToGrid w:val="0"/>
        <w:spacing w:line="300" w:lineRule="auto"/>
        <w:jc w:val="center"/>
        <w:rPr>
          <w:rFonts w:ascii="经典标宋简" w:eastAsia="经典标宋简"/>
          <w:b/>
          <w:snapToGrid w:val="0"/>
          <w:kern w:val="0"/>
          <w:sz w:val="44"/>
          <w:szCs w:val="44"/>
        </w:rPr>
      </w:pPr>
    </w:p>
    <w:p w14:paraId="36FB9AB1">
      <w:pPr>
        <w:pStyle w:val="20"/>
      </w:pPr>
    </w:p>
    <w:p w14:paraId="53F98671">
      <w:pPr>
        <w:adjustRightInd w:val="0"/>
        <w:snapToGrid w:val="0"/>
        <w:spacing w:line="300" w:lineRule="auto"/>
        <w:rPr>
          <w:rFonts w:ascii="经典标宋简" w:eastAsia="经典标宋简"/>
          <w:b/>
          <w:snapToGrid w:val="0"/>
          <w:kern w:val="0"/>
          <w:sz w:val="44"/>
          <w:szCs w:val="44"/>
        </w:rPr>
      </w:pPr>
    </w:p>
    <w:p w14:paraId="11F6F8EF">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3F6B4F31">
      <w:pPr>
        <w:adjustRightInd w:val="0"/>
        <w:snapToGrid w:val="0"/>
        <w:spacing w:line="300" w:lineRule="auto"/>
        <w:jc w:val="center"/>
        <w:rPr>
          <w:rFonts w:ascii="经典等线简" w:eastAsia="经典等线简"/>
          <w:b/>
          <w:snapToGrid w:val="0"/>
          <w:kern w:val="0"/>
          <w:sz w:val="32"/>
        </w:rPr>
      </w:pPr>
    </w:p>
    <w:p w14:paraId="2BF951C0">
      <w:pPr>
        <w:adjustRightInd w:val="0"/>
        <w:snapToGrid w:val="0"/>
        <w:spacing w:line="300" w:lineRule="auto"/>
        <w:jc w:val="center"/>
        <w:rPr>
          <w:rFonts w:asciiTheme="minorEastAsia" w:hAnsiTheme="minorEastAsia" w:eastAsiaTheme="minorEastAsia"/>
          <w:b/>
          <w:snapToGrid w:val="0"/>
          <w:kern w:val="0"/>
          <w:sz w:val="32"/>
        </w:rPr>
      </w:pPr>
      <w:r>
        <w:rPr>
          <w:rFonts w:hint="eastAsia" w:asciiTheme="minorEastAsia" w:hAnsiTheme="minorEastAsia" w:eastAsiaTheme="minorEastAsia"/>
          <w:b/>
          <w:snapToGrid w:val="0"/>
          <w:kern w:val="0"/>
          <w:sz w:val="32"/>
        </w:rPr>
        <w:t>项目编号：CGXM-2025-006606</w:t>
      </w:r>
    </w:p>
    <w:p w14:paraId="16079217">
      <w:pPr>
        <w:adjustRightInd w:val="0"/>
        <w:snapToGrid w:val="0"/>
        <w:spacing w:line="300" w:lineRule="auto"/>
        <w:jc w:val="center"/>
        <w:rPr>
          <w:rFonts w:ascii="经典等线简" w:eastAsia="经典等线简"/>
          <w:b/>
          <w:snapToGrid w:val="0"/>
          <w:kern w:val="0"/>
          <w:sz w:val="18"/>
          <w:szCs w:val="18"/>
        </w:rPr>
      </w:pPr>
    </w:p>
    <w:p w14:paraId="3A36E44C">
      <w:pPr>
        <w:adjustRightInd w:val="0"/>
        <w:snapToGrid w:val="0"/>
        <w:spacing w:line="300" w:lineRule="auto"/>
        <w:jc w:val="center"/>
        <w:rPr>
          <w:rFonts w:eastAsia="经典标宋简"/>
          <w:b/>
          <w:snapToGrid w:val="0"/>
          <w:kern w:val="0"/>
          <w:sz w:val="44"/>
        </w:rPr>
      </w:pPr>
    </w:p>
    <w:p w14:paraId="580F3C12">
      <w:pPr>
        <w:adjustRightInd w:val="0"/>
        <w:snapToGrid w:val="0"/>
        <w:spacing w:line="300" w:lineRule="auto"/>
        <w:jc w:val="center"/>
      </w:pPr>
    </w:p>
    <w:p w14:paraId="63ED207A"/>
    <w:p w14:paraId="559C4828"/>
    <w:p w14:paraId="0F0DAF0C"/>
    <w:p w14:paraId="487A11FF">
      <w:pPr>
        <w:pStyle w:val="28"/>
        <w:adjustRightInd w:val="0"/>
        <w:snapToGrid w:val="0"/>
        <w:spacing w:line="300" w:lineRule="auto"/>
        <w:ind w:hanging="835"/>
        <w:jc w:val="center"/>
        <w:rPr>
          <w:b/>
          <w:snapToGrid w:val="0"/>
          <w:sz w:val="30"/>
        </w:rPr>
      </w:pPr>
    </w:p>
    <w:p w14:paraId="0DF9926D"/>
    <w:p w14:paraId="3C26786E"/>
    <w:p w14:paraId="4395C61D">
      <w:pPr>
        <w:pStyle w:val="28"/>
        <w:adjustRightInd w:val="0"/>
        <w:snapToGrid w:val="0"/>
        <w:spacing w:line="300" w:lineRule="auto"/>
        <w:ind w:hanging="835"/>
        <w:jc w:val="center"/>
        <w:rPr>
          <w:rFonts w:asciiTheme="minorEastAsia" w:hAnsiTheme="minorEastAsia" w:eastAsiaTheme="minorEastAsia"/>
          <w:b/>
          <w:bCs/>
          <w:sz w:val="44"/>
          <w:szCs w:val="44"/>
        </w:rPr>
      </w:pPr>
      <w:r>
        <w:rPr>
          <w:rFonts w:hint="eastAsia"/>
          <w:b/>
          <w:snapToGrid w:val="0"/>
          <w:sz w:val="30"/>
        </w:rPr>
        <w:t>二〇二五年</w:t>
      </w:r>
      <w:r>
        <w:rPr>
          <w:rFonts w:hint="eastAsia"/>
          <w:b/>
          <w:snapToGrid w:val="0"/>
          <w:sz w:val="30"/>
          <w:lang w:val="en-US" w:eastAsia="zh-CN"/>
        </w:rPr>
        <w:t>六</w:t>
      </w:r>
      <w:r>
        <w:rPr>
          <w:rFonts w:hint="eastAsia"/>
          <w:b/>
          <w:snapToGrid w:val="0"/>
          <w:sz w:val="30"/>
        </w:rPr>
        <w:t>月</w:t>
      </w:r>
    </w:p>
    <w:p w14:paraId="67C4A87D">
      <w:pPr>
        <w:jc w:val="center"/>
        <w:rPr>
          <w:rFonts w:asciiTheme="minorEastAsia" w:hAnsiTheme="minorEastAsia" w:eastAsiaTheme="minorEastAsia"/>
          <w:b/>
          <w:bCs/>
          <w:sz w:val="44"/>
          <w:szCs w:val="44"/>
        </w:rPr>
      </w:pPr>
    </w:p>
    <w:p w14:paraId="54D7AFA2">
      <w:pPr>
        <w:jc w:val="center"/>
        <w:rPr>
          <w:rFonts w:asciiTheme="minorEastAsia" w:hAnsiTheme="minorEastAsia" w:eastAsiaTheme="minorEastAsia"/>
          <w:b/>
          <w:bCs/>
          <w:sz w:val="44"/>
          <w:szCs w:val="44"/>
        </w:rPr>
      </w:pPr>
    </w:p>
    <w:p w14:paraId="1747FCB2">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2226CDD1">
      <w:pPr>
        <w:spacing w:line="360" w:lineRule="auto"/>
        <w:ind w:firstLine="480" w:firstLineChars="200"/>
        <w:rPr>
          <w:rFonts w:ascii="宋体" w:hAnsi="宋体"/>
          <w:sz w:val="24"/>
        </w:rPr>
      </w:pPr>
    </w:p>
    <w:p w14:paraId="47A25F16">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6595CBE0">
      <w:pPr>
        <w:spacing w:line="440" w:lineRule="exact"/>
        <w:ind w:firstLine="480" w:firstLineChars="200"/>
        <w:rPr>
          <w:rFonts w:ascii="仿宋" w:hAnsi="仿宋" w:eastAsia="仿宋"/>
          <w:sz w:val="24"/>
        </w:rPr>
      </w:pPr>
      <w:r>
        <w:rPr>
          <w:rFonts w:hint="eastAsia" w:ascii="仿宋" w:hAnsi="仿宋" w:eastAsia="仿宋"/>
          <w:sz w:val="24"/>
        </w:rPr>
        <w:t>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46FE7A7">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4E214718">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73CC8E73">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6EFF379E">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5B8EEB83">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0A5F73CB">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110785A7">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6D6D6D3A">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4FEA55B7">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7026C9F4">
      <w:pPr>
        <w:spacing w:line="440" w:lineRule="exact"/>
        <w:ind w:firstLine="480" w:firstLineChars="200"/>
        <w:rPr>
          <w:rFonts w:ascii="仿宋" w:hAnsi="仿宋" w:eastAsia="仿宋"/>
          <w:sz w:val="24"/>
        </w:rPr>
      </w:pPr>
    </w:p>
    <w:p w14:paraId="2F7AEC88">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31250434">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0FB8E1AE">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0AB1D137">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784E4EF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741602BB">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0ACFADE2">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1C54F278">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23BB121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3297371A">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54BE17F7">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5518E2B6">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3CD14AEB">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2DCA98FF">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315B5961">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783A98AF">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3779998F">
      <w:pPr>
        <w:spacing w:line="440" w:lineRule="exact"/>
        <w:ind w:firstLine="480" w:firstLineChars="200"/>
        <w:rPr>
          <w:rFonts w:ascii="仿宋" w:hAnsi="仿宋" w:eastAsia="仿宋"/>
          <w:sz w:val="24"/>
        </w:rPr>
      </w:pPr>
    </w:p>
    <w:p w14:paraId="69FDDD78">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7DA421F9">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37730B4E">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669C53D0">
      <w:pPr>
        <w:spacing w:line="440" w:lineRule="exact"/>
        <w:ind w:firstLine="426" w:firstLineChars="177"/>
        <w:rPr>
          <w:rFonts w:ascii="仿宋_GB2312" w:eastAsia="仿宋_GB2312" w:hAnsiTheme="minorEastAsia"/>
          <w:b/>
          <w:color w:val="FF0000"/>
          <w:sz w:val="24"/>
        </w:rPr>
      </w:pPr>
    </w:p>
    <w:p w14:paraId="49AEEEDD">
      <w:pPr>
        <w:spacing w:line="440" w:lineRule="exact"/>
        <w:ind w:firstLine="424" w:firstLineChars="177"/>
        <w:rPr>
          <w:rFonts w:ascii="仿宋" w:hAnsi="仿宋" w:eastAsia="仿宋"/>
          <w:sz w:val="24"/>
        </w:rPr>
      </w:pPr>
      <w:r>
        <w:rPr>
          <w:rFonts w:hint="eastAsia" w:ascii="仿宋" w:hAnsi="仿宋" w:eastAsia="仿宋"/>
          <w:sz w:val="24"/>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51"/>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8720"/>
      </w:tblGrid>
      <w:tr w14:paraId="0F52D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jc w:val="center"/>
        </w:trPr>
        <w:tc>
          <w:tcPr>
            <w:tcW w:w="811" w:type="dxa"/>
            <w:vAlign w:val="center"/>
          </w:tcPr>
          <w:p w14:paraId="46D6B53E">
            <w:pPr>
              <w:spacing w:line="400" w:lineRule="exact"/>
              <w:jc w:val="center"/>
              <w:rPr>
                <w:rFonts w:ascii="仿宋" w:hAnsi="仿宋" w:eastAsia="仿宋" w:cs="仿宋"/>
                <w:sz w:val="24"/>
              </w:rPr>
            </w:pPr>
            <w:r>
              <w:rPr>
                <w:rFonts w:hint="eastAsia" w:ascii="仿宋" w:hAnsi="仿宋" w:eastAsia="仿宋" w:cs="仿宋"/>
                <w:sz w:val="24"/>
              </w:rPr>
              <w:t>序号</w:t>
            </w:r>
          </w:p>
        </w:tc>
        <w:tc>
          <w:tcPr>
            <w:tcW w:w="8720" w:type="dxa"/>
            <w:vAlign w:val="center"/>
          </w:tcPr>
          <w:p w14:paraId="390F331C">
            <w:pPr>
              <w:spacing w:line="400" w:lineRule="exact"/>
              <w:jc w:val="center"/>
              <w:rPr>
                <w:rFonts w:ascii="仿宋" w:hAnsi="仿宋" w:eastAsia="仿宋" w:cs="仿宋"/>
                <w:sz w:val="24"/>
              </w:rPr>
            </w:pPr>
            <w:r>
              <w:rPr>
                <w:rFonts w:hint="eastAsia" w:ascii="仿宋" w:hAnsi="仿宋" w:eastAsia="仿宋" w:cs="仿宋"/>
                <w:b/>
                <w:bCs/>
                <w:sz w:val="24"/>
              </w:rPr>
              <w:t>供应商参与投标禁止情形</w:t>
            </w:r>
          </w:p>
        </w:tc>
      </w:tr>
      <w:tr w14:paraId="6E9AC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282C7B54">
            <w:pPr>
              <w:spacing w:line="400" w:lineRule="exact"/>
              <w:jc w:val="center"/>
              <w:rPr>
                <w:rFonts w:ascii="仿宋" w:hAnsi="仿宋" w:eastAsia="仿宋" w:cs="仿宋"/>
                <w:sz w:val="24"/>
              </w:rPr>
            </w:pPr>
            <w:r>
              <w:rPr>
                <w:rFonts w:hint="eastAsia" w:ascii="仿宋" w:hAnsi="仿宋" w:eastAsia="仿宋" w:cs="仿宋"/>
                <w:sz w:val="24"/>
              </w:rPr>
              <w:t>1</w:t>
            </w:r>
          </w:p>
        </w:tc>
        <w:tc>
          <w:tcPr>
            <w:tcW w:w="8720" w:type="dxa"/>
            <w:vAlign w:val="center"/>
          </w:tcPr>
          <w:p w14:paraId="74EF3D10">
            <w:pPr>
              <w:spacing w:line="400" w:lineRule="exact"/>
              <w:jc w:val="left"/>
              <w:rPr>
                <w:rFonts w:ascii="仿宋" w:hAnsi="仿宋" w:eastAsia="仿宋" w:cs="仿宋"/>
                <w:sz w:val="24"/>
              </w:rPr>
            </w:pPr>
            <w:r>
              <w:rPr>
                <w:rFonts w:hint="eastAsia" w:ascii="仿宋" w:hAnsi="仿宋" w:eastAsia="仿宋" w:cs="仿宋"/>
                <w:sz w:val="24"/>
              </w:rPr>
              <w:t>与其他投标供应商的法定代表人、主要经营负责人、投标授权代表人、项目负责人、主要技术人员为</w:t>
            </w:r>
            <w:r>
              <w:rPr>
                <w:rFonts w:hint="eastAsia" w:ascii="仿宋" w:hAnsi="仿宋" w:eastAsia="仿宋" w:cs="仿宋"/>
                <w:b/>
                <w:bCs/>
                <w:sz w:val="24"/>
              </w:rPr>
              <w:t>同一人、属同一单位或者在同一单位缴纳社会保险</w:t>
            </w:r>
            <w:r>
              <w:rPr>
                <w:rFonts w:hint="eastAsia" w:ascii="仿宋" w:hAnsi="仿宋" w:eastAsia="仿宋" w:cs="仿宋"/>
                <w:sz w:val="24"/>
              </w:rPr>
              <w:t>。</w:t>
            </w:r>
          </w:p>
        </w:tc>
      </w:tr>
      <w:tr w14:paraId="0AA1E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vAlign w:val="center"/>
          </w:tcPr>
          <w:p w14:paraId="29FEBBD5">
            <w:pPr>
              <w:spacing w:line="400" w:lineRule="exact"/>
              <w:jc w:val="center"/>
              <w:rPr>
                <w:rFonts w:ascii="仿宋" w:hAnsi="仿宋" w:eastAsia="仿宋" w:cs="仿宋"/>
                <w:sz w:val="24"/>
              </w:rPr>
            </w:pPr>
            <w:r>
              <w:rPr>
                <w:rFonts w:hint="eastAsia" w:ascii="仿宋" w:hAnsi="仿宋" w:eastAsia="仿宋" w:cs="仿宋"/>
                <w:sz w:val="24"/>
              </w:rPr>
              <w:t>2</w:t>
            </w:r>
          </w:p>
        </w:tc>
        <w:tc>
          <w:tcPr>
            <w:tcW w:w="8720" w:type="dxa"/>
            <w:vAlign w:val="center"/>
          </w:tcPr>
          <w:p w14:paraId="236A8A66">
            <w:pPr>
              <w:spacing w:line="400" w:lineRule="exact"/>
              <w:jc w:val="left"/>
              <w:rPr>
                <w:rFonts w:ascii="仿宋" w:hAnsi="仿宋" w:eastAsia="仿宋" w:cs="仿宋"/>
                <w:sz w:val="24"/>
              </w:rPr>
            </w:pPr>
            <w:r>
              <w:rPr>
                <w:rFonts w:hint="eastAsia" w:ascii="仿宋" w:hAnsi="仿宋" w:eastAsia="仿宋" w:cs="仿宋"/>
                <w:sz w:val="24"/>
              </w:rPr>
              <w:t>参与本项目政府采购活动时，与其他投标供应商存在单位负责人为</w:t>
            </w:r>
            <w:r>
              <w:rPr>
                <w:rFonts w:hint="eastAsia" w:ascii="仿宋" w:hAnsi="仿宋" w:eastAsia="仿宋" w:cs="仿宋"/>
                <w:b/>
                <w:bCs/>
                <w:sz w:val="24"/>
              </w:rPr>
              <w:t>同一人或直接控股、管理关系</w:t>
            </w:r>
            <w:r>
              <w:rPr>
                <w:rFonts w:hint="eastAsia" w:ascii="仿宋" w:hAnsi="仿宋" w:eastAsia="仿宋" w:cs="仿宋"/>
                <w:sz w:val="24"/>
              </w:rPr>
              <w:t>。</w:t>
            </w:r>
          </w:p>
        </w:tc>
      </w:tr>
      <w:tr w14:paraId="3048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24D9C09D">
            <w:pPr>
              <w:spacing w:line="400" w:lineRule="exact"/>
              <w:jc w:val="center"/>
              <w:rPr>
                <w:rFonts w:ascii="仿宋" w:hAnsi="仿宋" w:eastAsia="仿宋" w:cs="仿宋"/>
                <w:sz w:val="24"/>
              </w:rPr>
            </w:pPr>
            <w:r>
              <w:rPr>
                <w:rFonts w:hint="eastAsia" w:ascii="仿宋" w:hAnsi="仿宋" w:eastAsia="仿宋" w:cs="仿宋"/>
                <w:sz w:val="24"/>
              </w:rPr>
              <w:t>3</w:t>
            </w:r>
          </w:p>
        </w:tc>
        <w:tc>
          <w:tcPr>
            <w:tcW w:w="8720" w:type="dxa"/>
            <w:vAlign w:val="center"/>
          </w:tcPr>
          <w:p w14:paraId="06CCE730">
            <w:pPr>
              <w:spacing w:line="400" w:lineRule="exact"/>
              <w:jc w:val="left"/>
              <w:rPr>
                <w:rFonts w:ascii="仿宋" w:hAnsi="仿宋" w:eastAsia="仿宋" w:cs="仿宋"/>
                <w:sz w:val="24"/>
              </w:rPr>
            </w:pPr>
            <w:r>
              <w:rPr>
                <w:rFonts w:hint="eastAsia" w:ascii="仿宋" w:hAnsi="仿宋" w:eastAsia="仿宋" w:cs="仿宋"/>
                <w:sz w:val="24"/>
              </w:rPr>
              <w:t>与其他投标供应商的投标文件或部分投标文件</w:t>
            </w:r>
            <w:r>
              <w:rPr>
                <w:rFonts w:hint="eastAsia" w:ascii="仿宋" w:hAnsi="仿宋" w:eastAsia="仿宋" w:cs="仿宋"/>
                <w:b/>
                <w:bCs/>
                <w:sz w:val="24"/>
              </w:rPr>
              <w:t>相互混装或存在非正常一致</w:t>
            </w:r>
            <w:r>
              <w:rPr>
                <w:rFonts w:hint="eastAsia" w:ascii="仿宋" w:hAnsi="仿宋" w:eastAsia="仿宋" w:cs="仿宋"/>
                <w:sz w:val="24"/>
              </w:rPr>
              <w:t>。</w:t>
            </w:r>
          </w:p>
        </w:tc>
      </w:tr>
      <w:tr w14:paraId="19FF2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vAlign w:val="center"/>
          </w:tcPr>
          <w:p w14:paraId="2BA49776">
            <w:pPr>
              <w:spacing w:line="400" w:lineRule="exact"/>
              <w:jc w:val="center"/>
              <w:rPr>
                <w:rFonts w:ascii="仿宋" w:hAnsi="仿宋" w:eastAsia="仿宋" w:cs="仿宋"/>
                <w:sz w:val="24"/>
              </w:rPr>
            </w:pPr>
            <w:r>
              <w:rPr>
                <w:rFonts w:hint="eastAsia" w:ascii="仿宋" w:hAnsi="仿宋" w:eastAsia="仿宋" w:cs="仿宋"/>
                <w:sz w:val="24"/>
              </w:rPr>
              <w:t>4</w:t>
            </w:r>
          </w:p>
        </w:tc>
        <w:tc>
          <w:tcPr>
            <w:tcW w:w="8720" w:type="dxa"/>
            <w:vAlign w:val="center"/>
          </w:tcPr>
          <w:p w14:paraId="218A8B5B">
            <w:pPr>
              <w:spacing w:line="400" w:lineRule="exact"/>
              <w:jc w:val="left"/>
              <w:rPr>
                <w:rFonts w:ascii="仿宋" w:hAnsi="仿宋" w:eastAsia="仿宋" w:cs="仿宋"/>
                <w:sz w:val="24"/>
              </w:rPr>
            </w:pPr>
            <w:r>
              <w:rPr>
                <w:rFonts w:hint="eastAsia" w:ascii="仿宋" w:hAnsi="仿宋" w:eastAsia="仿宋" w:cs="仿宋"/>
                <w:sz w:val="24"/>
              </w:rPr>
              <w:t>与其他投标供应商的投标文件由</w:t>
            </w:r>
            <w:r>
              <w:rPr>
                <w:rFonts w:hint="eastAsia" w:ascii="仿宋" w:hAnsi="仿宋" w:eastAsia="仿宋" w:cs="仿宋"/>
                <w:b/>
                <w:bCs/>
                <w:sz w:val="24"/>
              </w:rPr>
              <w:t>同一单位或者同一人编制</w:t>
            </w:r>
            <w:r>
              <w:rPr>
                <w:rFonts w:hint="eastAsia" w:ascii="仿宋" w:hAnsi="仿宋" w:eastAsia="仿宋" w:cs="仿宋"/>
                <w:sz w:val="24"/>
              </w:rPr>
              <w:t>，或者使用</w:t>
            </w:r>
            <w:r>
              <w:rPr>
                <w:rFonts w:hint="eastAsia" w:ascii="仿宋" w:hAnsi="仿宋" w:eastAsia="仿宋" w:cs="仿宋"/>
                <w:b/>
                <w:bCs/>
                <w:sz w:val="24"/>
              </w:rPr>
              <w:t>同一设备编制</w:t>
            </w:r>
            <w:r>
              <w:rPr>
                <w:rFonts w:hint="eastAsia" w:ascii="仿宋" w:hAnsi="仿宋" w:eastAsia="仿宋" w:cs="仿宋"/>
                <w:sz w:val="24"/>
              </w:rPr>
              <w:t>（“文件制作机器码”“文件创建标识码”一致）。</w:t>
            </w:r>
          </w:p>
        </w:tc>
      </w:tr>
      <w:tr w14:paraId="5AC9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vAlign w:val="center"/>
          </w:tcPr>
          <w:p w14:paraId="4D8AFD03">
            <w:pPr>
              <w:spacing w:line="400" w:lineRule="exact"/>
              <w:jc w:val="center"/>
              <w:rPr>
                <w:rFonts w:ascii="仿宋" w:hAnsi="仿宋" w:eastAsia="仿宋" w:cs="仿宋"/>
                <w:sz w:val="24"/>
              </w:rPr>
            </w:pPr>
            <w:r>
              <w:rPr>
                <w:rFonts w:hint="eastAsia" w:ascii="仿宋" w:hAnsi="仿宋" w:eastAsia="仿宋" w:cs="仿宋"/>
                <w:sz w:val="24"/>
              </w:rPr>
              <w:t>5</w:t>
            </w:r>
          </w:p>
        </w:tc>
        <w:tc>
          <w:tcPr>
            <w:tcW w:w="8720" w:type="dxa"/>
            <w:vAlign w:val="center"/>
          </w:tcPr>
          <w:p w14:paraId="673E60AF">
            <w:pPr>
              <w:spacing w:line="400" w:lineRule="exact"/>
              <w:jc w:val="left"/>
              <w:rPr>
                <w:rFonts w:ascii="仿宋" w:hAnsi="仿宋" w:eastAsia="仿宋" w:cs="仿宋"/>
                <w:sz w:val="24"/>
              </w:rPr>
            </w:pPr>
            <w:r>
              <w:rPr>
                <w:rFonts w:hint="eastAsia" w:ascii="仿宋" w:hAnsi="仿宋" w:eastAsia="仿宋" w:cs="仿宋"/>
                <w:sz w:val="24"/>
              </w:rPr>
              <w:t>提供</w:t>
            </w:r>
            <w:r>
              <w:rPr>
                <w:rFonts w:hint="eastAsia" w:ascii="仿宋" w:hAnsi="仿宋" w:eastAsia="仿宋" w:cs="仿宋"/>
                <w:b/>
                <w:bCs/>
                <w:sz w:val="24"/>
              </w:rPr>
              <w:t>未经出具机构核实</w:t>
            </w:r>
            <w:r>
              <w:rPr>
                <w:rFonts w:hint="eastAsia" w:ascii="仿宋" w:hAnsi="仿宋" w:eastAsia="仿宋" w:cs="仿宋"/>
                <w:sz w:val="24"/>
              </w:rPr>
              <w:t>的虚假的检验检测报告、业绩材料、社保缴纳证明、学历学位证书、职称认证证书等材料。</w:t>
            </w:r>
          </w:p>
        </w:tc>
      </w:tr>
      <w:tr w14:paraId="3F06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vAlign w:val="center"/>
          </w:tcPr>
          <w:p w14:paraId="554695BA">
            <w:pPr>
              <w:spacing w:line="400" w:lineRule="exact"/>
              <w:jc w:val="center"/>
              <w:rPr>
                <w:rFonts w:ascii="仿宋" w:hAnsi="仿宋" w:eastAsia="仿宋" w:cs="仿宋"/>
                <w:sz w:val="24"/>
              </w:rPr>
            </w:pPr>
            <w:r>
              <w:rPr>
                <w:rFonts w:hint="eastAsia" w:ascii="仿宋" w:hAnsi="仿宋" w:eastAsia="仿宋" w:cs="仿宋"/>
                <w:sz w:val="24"/>
              </w:rPr>
              <w:t>6</w:t>
            </w:r>
          </w:p>
        </w:tc>
        <w:tc>
          <w:tcPr>
            <w:tcW w:w="8720" w:type="dxa"/>
            <w:vAlign w:val="center"/>
          </w:tcPr>
          <w:p w14:paraId="2F8846A7">
            <w:pPr>
              <w:spacing w:line="400" w:lineRule="exact"/>
              <w:jc w:val="left"/>
              <w:rPr>
                <w:rFonts w:ascii="仿宋" w:hAnsi="仿宋" w:eastAsia="仿宋" w:cs="仿宋"/>
                <w:sz w:val="24"/>
              </w:rPr>
            </w:pPr>
            <w:r>
              <w:rPr>
                <w:rFonts w:hint="eastAsia" w:ascii="仿宋" w:hAnsi="仿宋" w:eastAsia="仿宋" w:cs="仿宋"/>
                <w:sz w:val="24"/>
              </w:rPr>
              <w:t>擅自将投标密钥或电子营业执照出借他人使用或未妥善保管。</w:t>
            </w:r>
          </w:p>
        </w:tc>
      </w:tr>
    </w:tbl>
    <w:p w14:paraId="25A3F928">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7D3A51A5">
          <w:pPr>
            <w:pStyle w:val="504"/>
            <w:jc w:val="center"/>
            <w:rPr>
              <w:rFonts w:ascii="Times New Roman" w:hAnsi="Times New Roman" w:eastAsia="宋体" w:cs="Times New Roman"/>
              <w:b w:val="0"/>
              <w:bCs w:val="0"/>
              <w:iCs/>
              <w:smallCaps/>
              <w:color w:val="auto"/>
              <w:kern w:val="2"/>
              <w:sz w:val="21"/>
              <w:szCs w:val="24"/>
              <w:lang w:val="zh-CN"/>
            </w:rPr>
          </w:pPr>
        </w:p>
        <w:p w14:paraId="6234E216">
          <w:pPr>
            <w:pStyle w:val="504"/>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14:textFill>
                <w14:solidFill>
                  <w14:schemeClr w14:val="tx1"/>
                </w14:solidFill>
              </w14:textFill>
            </w:rPr>
            <w:t>目录</w:t>
          </w:r>
        </w:p>
        <w:p w14:paraId="28AA89C3">
          <w:pPr>
            <w:pStyle w:val="34"/>
            <w:tabs>
              <w:tab w:val="right" w:leader="dot" w:pos="9628"/>
            </w:tabs>
            <w:rPr>
              <w:rFonts w:ascii="仿宋_GB2312" w:eastAsia="仿宋_GB2312"/>
              <w:sz w:val="24"/>
            </w:rPr>
          </w:pPr>
        </w:p>
        <w:p w14:paraId="65F89E72">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35DF9D2A">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07C65D7F">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14:paraId="7239973C">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33</w:t>
          </w:r>
          <w:r>
            <w:rPr>
              <w:rFonts w:hint="eastAsia" w:ascii="仿宋_GB2312" w:eastAsia="仿宋_GB2312"/>
              <w:sz w:val="24"/>
            </w:rPr>
            <w:fldChar w:fldCharType="end"/>
          </w:r>
          <w:r>
            <w:rPr>
              <w:rFonts w:hint="eastAsia" w:ascii="仿宋_GB2312" w:eastAsia="仿宋_GB2312"/>
              <w:sz w:val="24"/>
            </w:rPr>
            <w:fldChar w:fldCharType="end"/>
          </w:r>
        </w:p>
        <w:p w14:paraId="139CA62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33</w:t>
          </w:r>
          <w:r>
            <w:rPr>
              <w:rFonts w:hint="eastAsia" w:ascii="仿宋_GB2312" w:eastAsia="仿宋_GB2312"/>
              <w:sz w:val="24"/>
            </w:rPr>
            <w:fldChar w:fldCharType="end"/>
          </w:r>
          <w:r>
            <w:rPr>
              <w:rFonts w:hint="eastAsia" w:ascii="仿宋_GB2312" w:eastAsia="仿宋_GB2312"/>
              <w:sz w:val="24"/>
            </w:rPr>
            <w:fldChar w:fldCharType="end"/>
          </w:r>
        </w:p>
        <w:p w14:paraId="617EA67A">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33</w:t>
          </w:r>
          <w:r>
            <w:rPr>
              <w:rFonts w:hint="eastAsia" w:ascii="仿宋_GB2312" w:eastAsia="仿宋_GB2312"/>
              <w:sz w:val="24"/>
            </w:rPr>
            <w:fldChar w:fldCharType="end"/>
          </w:r>
          <w:r>
            <w:rPr>
              <w:rFonts w:hint="eastAsia" w:ascii="仿宋_GB2312" w:eastAsia="仿宋_GB2312"/>
              <w:sz w:val="24"/>
            </w:rPr>
            <w:fldChar w:fldCharType="end"/>
          </w:r>
        </w:p>
        <w:p w14:paraId="52E0531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5AC67301">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160CFD7B">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5A74CCDD">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14:paraId="4AF057EC">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t>2</w:t>
          </w:r>
          <w:r>
            <w:rPr>
              <w:rFonts w:hint="eastAsia" w:ascii="仿宋_GB2312" w:eastAsia="仿宋_GB2312"/>
              <w:sz w:val="24"/>
            </w:rPr>
            <w:fldChar w:fldCharType="end"/>
          </w:r>
          <w:r>
            <w:rPr>
              <w:rFonts w:hint="eastAsia" w:ascii="仿宋_GB2312" w:eastAsia="仿宋_GB2312"/>
              <w:sz w:val="24"/>
            </w:rPr>
            <w:t>1</w:t>
          </w:r>
        </w:p>
        <w:p w14:paraId="3A3C07FA">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t>2</w:t>
          </w:r>
          <w:r>
            <w:rPr>
              <w:rFonts w:hint="eastAsia" w:ascii="仿宋_GB2312" w:eastAsia="仿宋_GB2312"/>
              <w:sz w:val="24"/>
            </w:rPr>
            <w:fldChar w:fldCharType="end"/>
          </w:r>
          <w:r>
            <w:rPr>
              <w:rFonts w:hint="eastAsia" w:ascii="仿宋_GB2312" w:eastAsia="仿宋_GB2312"/>
              <w:sz w:val="24"/>
            </w:rPr>
            <w:t>1</w:t>
          </w:r>
        </w:p>
        <w:p w14:paraId="475FC791">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t>2</w:t>
          </w:r>
          <w:r>
            <w:rPr>
              <w:rFonts w:hint="eastAsia" w:ascii="仿宋_GB2312" w:eastAsia="仿宋_GB2312"/>
              <w:sz w:val="24"/>
            </w:rPr>
            <w:fldChar w:fldCharType="end"/>
          </w:r>
          <w:r>
            <w:rPr>
              <w:rFonts w:hint="eastAsia" w:ascii="仿宋_GB2312" w:eastAsia="仿宋_GB2312"/>
              <w:sz w:val="24"/>
            </w:rPr>
            <w:t>3</w:t>
          </w:r>
        </w:p>
        <w:p w14:paraId="5D49079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t>2</w:t>
          </w:r>
          <w:r>
            <w:rPr>
              <w:rFonts w:hint="eastAsia" w:ascii="仿宋_GB2312" w:eastAsia="仿宋_GB2312"/>
              <w:sz w:val="24"/>
            </w:rPr>
            <w:fldChar w:fldCharType="end"/>
          </w:r>
          <w:r>
            <w:rPr>
              <w:rFonts w:hint="eastAsia" w:ascii="仿宋_GB2312" w:eastAsia="仿宋_GB2312"/>
              <w:sz w:val="24"/>
            </w:rPr>
            <w:t>4</w:t>
          </w:r>
        </w:p>
        <w:p w14:paraId="7B7A43E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t>2</w:t>
          </w:r>
          <w:r>
            <w:rPr>
              <w:rFonts w:hint="eastAsia" w:ascii="仿宋_GB2312" w:eastAsia="仿宋_GB2312"/>
              <w:sz w:val="24"/>
            </w:rPr>
            <w:fldChar w:fldCharType="end"/>
          </w:r>
          <w:r>
            <w:rPr>
              <w:rFonts w:hint="eastAsia" w:ascii="仿宋_GB2312" w:eastAsia="仿宋_GB2312"/>
              <w:sz w:val="24"/>
            </w:rPr>
            <w:t>6</w:t>
          </w:r>
        </w:p>
        <w:p w14:paraId="271420B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t>2</w:t>
          </w:r>
          <w:r>
            <w:rPr>
              <w:rFonts w:hint="eastAsia" w:ascii="仿宋_GB2312" w:eastAsia="仿宋_GB2312"/>
              <w:sz w:val="24"/>
            </w:rPr>
            <w:fldChar w:fldCharType="end"/>
          </w:r>
          <w:r>
            <w:rPr>
              <w:rFonts w:hint="eastAsia" w:ascii="仿宋_GB2312" w:eastAsia="仿宋_GB2312"/>
              <w:sz w:val="24"/>
            </w:rPr>
            <w:t>8</w:t>
          </w:r>
        </w:p>
        <w:p w14:paraId="7CE0D31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t>3</w:t>
          </w:r>
          <w:r>
            <w:rPr>
              <w:rFonts w:hint="eastAsia" w:ascii="仿宋_GB2312" w:eastAsia="仿宋_GB2312"/>
              <w:sz w:val="24"/>
            </w:rPr>
            <w:fldChar w:fldCharType="end"/>
          </w:r>
          <w:r>
            <w:rPr>
              <w:rFonts w:hint="eastAsia" w:ascii="仿宋_GB2312" w:eastAsia="仿宋_GB2312"/>
              <w:sz w:val="24"/>
            </w:rPr>
            <w:t>0</w:t>
          </w:r>
        </w:p>
        <w:p w14:paraId="232348DA">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t>3</w:t>
          </w:r>
          <w:r>
            <w:rPr>
              <w:rFonts w:hint="eastAsia" w:ascii="仿宋_GB2312" w:eastAsia="仿宋_GB2312"/>
              <w:sz w:val="24"/>
            </w:rPr>
            <w:fldChar w:fldCharType="end"/>
          </w:r>
          <w:r>
            <w:rPr>
              <w:rFonts w:hint="eastAsia" w:ascii="仿宋_GB2312" w:eastAsia="仿宋_GB2312"/>
              <w:sz w:val="24"/>
            </w:rPr>
            <w:t>1</w:t>
          </w:r>
        </w:p>
        <w:p w14:paraId="028A114F">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56</w:t>
          </w:r>
          <w:r>
            <w:rPr>
              <w:rFonts w:hint="eastAsia" w:ascii="仿宋_GB2312" w:eastAsia="仿宋_GB2312"/>
              <w:sz w:val="24"/>
            </w:rPr>
            <w:fldChar w:fldCharType="end"/>
          </w:r>
          <w:r>
            <w:rPr>
              <w:rFonts w:hint="eastAsia" w:ascii="仿宋_GB2312" w:eastAsia="仿宋_GB2312"/>
              <w:sz w:val="24"/>
            </w:rPr>
            <w:fldChar w:fldCharType="end"/>
          </w:r>
        </w:p>
        <w:p w14:paraId="344309F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56</w:t>
          </w:r>
          <w:r>
            <w:rPr>
              <w:rFonts w:hint="eastAsia" w:ascii="仿宋_GB2312" w:eastAsia="仿宋_GB2312"/>
              <w:sz w:val="24"/>
            </w:rPr>
            <w:fldChar w:fldCharType="end"/>
          </w:r>
          <w:r>
            <w:rPr>
              <w:rFonts w:hint="eastAsia" w:ascii="仿宋_GB2312" w:eastAsia="仿宋_GB2312"/>
              <w:sz w:val="24"/>
            </w:rPr>
            <w:fldChar w:fldCharType="end"/>
          </w:r>
        </w:p>
        <w:p w14:paraId="169C3E3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58</w:t>
          </w:r>
          <w:r>
            <w:rPr>
              <w:rFonts w:hint="eastAsia" w:ascii="仿宋_GB2312" w:eastAsia="仿宋_GB2312"/>
              <w:sz w:val="24"/>
            </w:rPr>
            <w:fldChar w:fldCharType="end"/>
          </w:r>
          <w:r>
            <w:rPr>
              <w:rFonts w:hint="eastAsia" w:ascii="仿宋_GB2312" w:eastAsia="仿宋_GB2312"/>
              <w:sz w:val="24"/>
            </w:rPr>
            <w:fldChar w:fldCharType="end"/>
          </w:r>
        </w:p>
        <w:p w14:paraId="5353225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59</w:t>
          </w:r>
          <w:r>
            <w:rPr>
              <w:rFonts w:hint="eastAsia" w:ascii="仿宋_GB2312" w:eastAsia="仿宋_GB2312"/>
              <w:sz w:val="24"/>
            </w:rPr>
            <w:fldChar w:fldCharType="end"/>
          </w:r>
          <w:r>
            <w:rPr>
              <w:rFonts w:hint="eastAsia" w:ascii="仿宋_GB2312" w:eastAsia="仿宋_GB2312"/>
              <w:sz w:val="24"/>
            </w:rPr>
            <w:fldChar w:fldCharType="end"/>
          </w:r>
        </w:p>
        <w:p w14:paraId="3F25177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61</w:t>
          </w:r>
          <w:r>
            <w:rPr>
              <w:rFonts w:hint="eastAsia" w:ascii="仿宋_GB2312" w:eastAsia="仿宋_GB2312"/>
              <w:sz w:val="24"/>
            </w:rPr>
            <w:fldChar w:fldCharType="end"/>
          </w:r>
          <w:r>
            <w:rPr>
              <w:rFonts w:hint="eastAsia" w:ascii="仿宋_GB2312" w:eastAsia="仿宋_GB2312"/>
              <w:sz w:val="24"/>
            </w:rPr>
            <w:fldChar w:fldCharType="end"/>
          </w:r>
        </w:p>
        <w:p w14:paraId="7FBE6D90">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90</w:t>
          </w:r>
          <w:r>
            <w:rPr>
              <w:rFonts w:hint="eastAsia" w:ascii="仿宋_GB2312" w:eastAsia="仿宋_GB2312"/>
              <w:sz w:val="24"/>
            </w:rPr>
            <w:fldChar w:fldCharType="end"/>
          </w:r>
          <w:r>
            <w:rPr>
              <w:rFonts w:hint="eastAsia" w:ascii="仿宋_GB2312" w:eastAsia="仿宋_GB2312"/>
              <w:sz w:val="24"/>
            </w:rPr>
            <w:fldChar w:fldCharType="end"/>
          </w:r>
        </w:p>
        <w:p w14:paraId="39A46034">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93</w:t>
          </w:r>
          <w:r>
            <w:rPr>
              <w:rFonts w:hint="eastAsia" w:ascii="仿宋_GB2312" w:eastAsia="仿宋_GB2312"/>
              <w:sz w:val="24"/>
            </w:rPr>
            <w:fldChar w:fldCharType="end"/>
          </w:r>
          <w:r>
            <w:rPr>
              <w:rFonts w:hint="eastAsia" w:ascii="仿宋_GB2312" w:eastAsia="仿宋_GB2312"/>
              <w:sz w:val="24"/>
            </w:rPr>
            <w:fldChar w:fldCharType="end"/>
          </w:r>
        </w:p>
        <w:p w14:paraId="4EA7859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93</w:t>
          </w:r>
          <w:r>
            <w:rPr>
              <w:rFonts w:hint="eastAsia" w:ascii="仿宋_GB2312" w:eastAsia="仿宋_GB2312"/>
              <w:sz w:val="24"/>
            </w:rPr>
            <w:fldChar w:fldCharType="end"/>
          </w:r>
          <w:r>
            <w:rPr>
              <w:rFonts w:hint="eastAsia" w:ascii="仿宋_GB2312" w:eastAsia="仿宋_GB2312"/>
              <w:sz w:val="24"/>
            </w:rPr>
            <w:fldChar w:fldCharType="end"/>
          </w:r>
        </w:p>
        <w:p w14:paraId="347B60C9">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97</w:t>
          </w:r>
          <w:r>
            <w:rPr>
              <w:rFonts w:hint="eastAsia" w:ascii="仿宋_GB2312" w:eastAsia="仿宋_GB2312"/>
              <w:sz w:val="24"/>
            </w:rPr>
            <w:fldChar w:fldCharType="end"/>
          </w:r>
          <w:r>
            <w:rPr>
              <w:rFonts w:hint="eastAsia" w:ascii="仿宋_GB2312" w:eastAsia="仿宋_GB2312"/>
              <w:sz w:val="24"/>
            </w:rPr>
            <w:fldChar w:fldCharType="end"/>
          </w:r>
        </w:p>
        <w:p w14:paraId="5F109CAA">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100</w:t>
          </w:r>
          <w:r>
            <w:rPr>
              <w:rFonts w:hint="eastAsia" w:ascii="仿宋_GB2312" w:eastAsia="仿宋_GB2312"/>
              <w:sz w:val="24"/>
            </w:rPr>
            <w:fldChar w:fldCharType="end"/>
          </w:r>
          <w:r>
            <w:rPr>
              <w:rFonts w:hint="eastAsia" w:ascii="仿宋_GB2312" w:eastAsia="仿宋_GB2312"/>
              <w:sz w:val="24"/>
            </w:rPr>
            <w:fldChar w:fldCharType="end"/>
          </w:r>
        </w:p>
        <w:p w14:paraId="118DC29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103</w:t>
          </w:r>
          <w:r>
            <w:rPr>
              <w:rFonts w:hint="eastAsia" w:ascii="仿宋_GB2312" w:eastAsia="仿宋_GB2312"/>
              <w:sz w:val="24"/>
            </w:rPr>
            <w:fldChar w:fldCharType="end"/>
          </w:r>
          <w:r>
            <w:rPr>
              <w:rFonts w:hint="eastAsia" w:ascii="仿宋_GB2312" w:eastAsia="仿宋_GB2312"/>
              <w:sz w:val="24"/>
            </w:rPr>
            <w:fldChar w:fldCharType="end"/>
          </w:r>
        </w:p>
        <w:p w14:paraId="5D9CE74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105</w:t>
          </w:r>
          <w:r>
            <w:rPr>
              <w:rFonts w:hint="eastAsia" w:ascii="仿宋_GB2312" w:eastAsia="仿宋_GB2312"/>
              <w:sz w:val="24"/>
            </w:rPr>
            <w:fldChar w:fldCharType="end"/>
          </w:r>
          <w:r>
            <w:rPr>
              <w:rFonts w:hint="eastAsia" w:ascii="仿宋_GB2312" w:eastAsia="仿宋_GB2312"/>
              <w:sz w:val="24"/>
            </w:rPr>
            <w:fldChar w:fldCharType="end"/>
          </w:r>
        </w:p>
        <w:p w14:paraId="256A6272">
          <w:pPr>
            <w:pStyle w:val="41"/>
            <w:tabs>
              <w:tab w:val="right" w:leader="dot" w:pos="9628"/>
            </w:tabs>
            <w:spacing w:line="360" w:lineRule="exact"/>
          </w:pPr>
          <w:r>
            <w:rPr>
              <w:rFonts w:hint="eastAsia" w:ascii="仿宋_GB2312" w:eastAsia="仿宋_GB2312"/>
              <w:sz w:val="24"/>
            </w:rPr>
            <w:fldChar w:fldCharType="end"/>
          </w:r>
        </w:p>
      </w:sdtContent>
    </w:sdt>
    <w:p w14:paraId="63A89D02"/>
    <w:p w14:paraId="12656085"/>
    <w:p w14:paraId="5B50AD02">
      <w:pPr>
        <w:tabs>
          <w:tab w:val="left" w:pos="3660"/>
        </w:tabs>
      </w:pPr>
    </w:p>
    <w:p w14:paraId="3F3299AE">
      <w:pPr>
        <w:tabs>
          <w:tab w:val="left" w:pos="3660"/>
        </w:tabs>
      </w:pPr>
      <w:r>
        <w:tab/>
      </w:r>
    </w:p>
    <w:p w14:paraId="1AFCCFE8">
      <w:pPr>
        <w:pStyle w:val="2"/>
      </w:pPr>
      <w:bookmarkStart w:id="0" w:name="_Toc135293159"/>
      <w:r>
        <w:rPr>
          <w:rFonts w:hint="eastAsia"/>
        </w:rPr>
        <w:t>第一章  投标邀请</w:t>
      </w:r>
      <w:bookmarkEnd w:id="0"/>
    </w:p>
    <w:p w14:paraId="676E631E">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7A4A4BAE">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实训（验）室安全巡检</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2025年</w:t>
      </w:r>
      <w:r>
        <w:rPr>
          <w:rFonts w:hint="eastAsia" w:ascii="宋体" w:hAnsi="宋体" w:cs="Arial Unicode MS"/>
          <w:snapToGrid w:val="0"/>
          <w:kern w:val="0"/>
          <w:szCs w:val="21"/>
          <w:u w:val="single"/>
          <w:lang w:val="en-US" w:eastAsia="zh-CN"/>
        </w:rPr>
        <w:t>6</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26</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7B3F6101">
      <w:pPr>
        <w:adjustRightInd w:val="0"/>
        <w:snapToGrid w:val="0"/>
        <w:spacing w:line="360" w:lineRule="auto"/>
        <w:ind w:firstLine="420" w:firstLineChars="200"/>
        <w:jc w:val="left"/>
        <w:rPr>
          <w:rFonts w:ascii="宋体" w:hAnsi="宋体" w:cs="Arial Unicode MS"/>
          <w:snapToGrid w:val="0"/>
          <w:kern w:val="0"/>
          <w:szCs w:val="21"/>
        </w:rPr>
      </w:pPr>
    </w:p>
    <w:p w14:paraId="26E1A3C7">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44436B11">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rPr>
        <w:t>CGXM-2025-006606</w:t>
      </w:r>
    </w:p>
    <w:p w14:paraId="4990960A">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2、项目名称：实训（验）室安全巡检</w:t>
      </w:r>
    </w:p>
    <w:p w14:paraId="45E8F949">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014864EB">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4、预算金额：人民币180,000.00元</w:t>
      </w:r>
    </w:p>
    <w:p w14:paraId="29C70F7F">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5、最高限价：人民币180,000.00元</w:t>
      </w:r>
    </w:p>
    <w:p w14:paraId="3573F6D5">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1C78D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40902F24">
            <w:pPr>
              <w:pStyle w:val="45"/>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147D961D">
            <w:pPr>
              <w:pStyle w:val="45"/>
              <w:spacing w:line="360" w:lineRule="auto"/>
              <w:jc w:val="center"/>
              <w:rPr>
                <w:sz w:val="21"/>
              </w:rPr>
            </w:pPr>
            <w:r>
              <w:rPr>
                <w:sz w:val="21"/>
              </w:rPr>
              <w:t>标的名称</w:t>
            </w:r>
          </w:p>
        </w:tc>
        <w:tc>
          <w:tcPr>
            <w:tcW w:w="921" w:type="dxa"/>
            <w:shd w:val="clear" w:color="auto" w:fill="ABCDEF"/>
            <w:vAlign w:val="center"/>
          </w:tcPr>
          <w:p w14:paraId="56F23080">
            <w:pPr>
              <w:pStyle w:val="45"/>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5AAF6948">
            <w:pPr>
              <w:pStyle w:val="45"/>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4308C66B">
            <w:pPr>
              <w:pStyle w:val="45"/>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38255216">
            <w:pPr>
              <w:pStyle w:val="45"/>
              <w:spacing w:before="0" w:beforeAutospacing="0" w:after="0" w:afterAutospacing="0" w:line="360" w:lineRule="auto"/>
              <w:jc w:val="center"/>
              <w:rPr>
                <w:sz w:val="21"/>
              </w:rPr>
            </w:pPr>
            <w:r>
              <w:rPr>
                <w:sz w:val="21"/>
              </w:rPr>
              <w:t>备注</w:t>
            </w:r>
          </w:p>
        </w:tc>
      </w:tr>
      <w:tr w14:paraId="7C970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22DA138E">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73134066">
            <w:pPr>
              <w:pStyle w:val="45"/>
              <w:spacing w:line="360" w:lineRule="auto"/>
              <w:jc w:val="center"/>
              <w:rPr>
                <w:rFonts w:asciiTheme="minorEastAsia" w:hAnsiTheme="minorEastAsia" w:eastAsiaTheme="minorEastAsia"/>
                <w:sz w:val="21"/>
              </w:rPr>
            </w:pPr>
            <w:r>
              <w:rPr>
                <w:rFonts w:hint="eastAsia" w:ascii="宋体" w:hAnsi="宋体" w:eastAsiaTheme="minorEastAsia"/>
                <w:snapToGrid w:val="0"/>
                <w:sz w:val="21"/>
                <w:szCs w:val="21"/>
              </w:rPr>
              <w:t>实训（验）室安全巡检</w:t>
            </w:r>
          </w:p>
        </w:tc>
        <w:tc>
          <w:tcPr>
            <w:tcW w:w="921" w:type="dxa"/>
            <w:shd w:val="clear" w:color="auto" w:fill="auto"/>
            <w:vAlign w:val="center"/>
          </w:tcPr>
          <w:p w14:paraId="036AEC85">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35C36447">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6A340304">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6A637442">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665E6989">
      <w:pPr>
        <w:pStyle w:val="453"/>
        <w:adjustRightInd w:val="0"/>
        <w:snapToGrid w:val="0"/>
        <w:spacing w:before="156"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303C35F5">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5EB5D2B6">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5DED99E5">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5E05AA4B">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满足《中华人民共和国政府采购法》第二十二条规定（须提供具有独立承担民事责任能力的法人或其他组织或个体工商户的营业执照或法人证书等证明材料复印件或扫描件以及《政府采购投标及履约承诺函》，均加盖投标人公章）。如果是分支机构参与投标，还须同时提供其具有独立法人资格的上级主体出具的有效授权书及上级主体的营业执照或法人证书等证明材料复印件或扫描件加盖投标人公章；本项目不接受总公司与分支机构同时参与投标，也不接受同一总公司有两个或以上分支机构参与投标，如出现以上情形，该两家或以上投标人均按无效投标处理。</w:t>
      </w:r>
    </w:p>
    <w:p w14:paraId="3DCA81D1">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2、落实政府采购政策需满足的资格要求：无。</w:t>
      </w:r>
    </w:p>
    <w:p w14:paraId="28A7B7A0">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3、本项目的特定资格要求：</w:t>
      </w:r>
    </w:p>
    <w:p w14:paraId="09411334">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（1）参与本项目采购活动前三年内，在经营活动中没有重大违法记录（须按本项目投标文件格式要求提供《政府采购投标及履约承诺函》加盖投标人公章）；</w:t>
      </w:r>
    </w:p>
    <w:p w14:paraId="329A1FA7">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（2）参与本项目政府采购活动时不存在被有关部门禁止参与政府采购活动且在有效期内的情况（须按本项目投标文件格式要求提供《政府采购投标及履约承诺函》加盖投标人公章）；</w:t>
      </w:r>
    </w:p>
    <w:p w14:paraId="301F98C8">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39C6AA1">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3698F2AD">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5DC53C9B">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6）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49030EBE">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7）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3A524F49">
      <w:pPr>
        <w:pStyle w:val="453"/>
        <w:adjustRightInd w:val="0"/>
        <w:snapToGrid w:val="0"/>
        <w:spacing w:before="0" w:beforeAutospacing="0" w:after="0" w:afterAutospacing="0" w:line="360" w:lineRule="auto"/>
        <w:ind w:firstLine="426"/>
        <w:rPr>
          <w:rFonts w:ascii="宋体" w:hAnsi="宋体" w:eastAsia="宋体" w:cs="宋体"/>
          <w:sz w:val="21"/>
          <w:szCs w:val="21"/>
        </w:rPr>
      </w:pPr>
      <w:r>
        <w:rPr>
          <w:rFonts w:hint="eastAsia" w:ascii="宋体" w:hAnsi="宋体" w:eastAsia="宋体"/>
          <w:snapToGrid w:val="0"/>
          <w:color w:val="auto"/>
          <w:sz w:val="21"/>
          <w:szCs w:val="21"/>
        </w:rPr>
        <w:t>（8）本项目不接受联合体投标，不允许非法分包或转包。</w:t>
      </w:r>
    </w:p>
    <w:p w14:paraId="6E3C9F39">
      <w:pPr>
        <w:pStyle w:val="453"/>
        <w:adjustRightInd w:val="0"/>
        <w:snapToGrid w:val="0"/>
        <w:spacing w:before="0" w:beforeAutospacing="0" w:after="0" w:afterAutospacing="0" w:line="360" w:lineRule="auto"/>
        <w:ind w:firstLine="304"/>
        <w:rPr>
          <w:sz w:val="21"/>
          <w:szCs w:val="21"/>
        </w:rPr>
      </w:pPr>
    </w:p>
    <w:p w14:paraId="2AEFF368">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p>
    <w:p w14:paraId="74AA124B">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18</w:t>
      </w:r>
      <w:r>
        <w:rPr>
          <w:rFonts w:hint="eastAsia" w:ascii="宋体" w:hAnsi="宋体" w:eastAsia="宋体"/>
          <w:snapToGrid w:val="0"/>
          <w:color w:val="auto"/>
          <w:sz w:val="21"/>
          <w:szCs w:val="21"/>
          <w:u w:val="single"/>
        </w:rPr>
        <w:t>日至2025年</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25</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33D7A653">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p>
    <w:p w14:paraId="56AB61A8">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27F2D98D">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（1）现场获取：投标人按以上时间和地点在我司现场报名和获取招标文件。</w:t>
      </w:r>
    </w:p>
    <w:p w14:paraId="499E37EA">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（2）线上获取：投标人通过邮件报名及获取招标文件，报名时间以我司邮箱收件时间为准（我司邮箱：qtszzzzb@163.com），逾期不予受理。</w:t>
      </w:r>
    </w:p>
    <w:p w14:paraId="4A87B0AE">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 xml:space="preserve">现场及线上报名均需提供以下资料:  </w:t>
      </w:r>
      <w:r>
        <w:rPr>
          <w:rFonts w:hint="eastAsia" w:ascii="宋体" w:hAnsi="宋体" w:eastAsia="宋体"/>
          <w:snapToGrid w:val="0"/>
          <w:color w:val="auto"/>
          <w:sz w:val="21"/>
          <w:szCs w:val="21"/>
        </w:rPr>
        <w:fldChar w:fldCharType="begin"/>
      </w:r>
      <w:r>
        <w:rPr>
          <w:rFonts w:hint="eastAsia" w:ascii="宋体" w:hAnsi="宋体" w:eastAsia="宋体"/>
          <w:snapToGrid w:val="0"/>
          <w:color w:val="auto"/>
          <w:sz w:val="21"/>
          <w:szCs w:val="21"/>
        </w:rPr>
        <w:instrText xml:space="preserve"> = 1 \* GB3 </w:instrText>
      </w:r>
      <w:r>
        <w:rPr>
          <w:rFonts w:hint="eastAsia" w:ascii="宋体" w:hAnsi="宋体" w:eastAsia="宋体"/>
          <w:snapToGrid w:val="0"/>
          <w:color w:val="auto"/>
          <w:sz w:val="21"/>
          <w:szCs w:val="21"/>
        </w:rPr>
        <w:fldChar w:fldCharType="separate"/>
      </w:r>
      <w:r>
        <w:rPr>
          <w:rFonts w:hint="eastAsia" w:ascii="宋体" w:hAnsi="宋体" w:eastAsia="宋体"/>
          <w:snapToGrid w:val="0"/>
          <w:color w:val="auto"/>
          <w:sz w:val="21"/>
          <w:szCs w:val="21"/>
        </w:rPr>
        <w:t>①</w:t>
      </w:r>
      <w:r>
        <w:rPr>
          <w:rFonts w:hint="eastAsia"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加盖公章的《购买标书登记表》（下载地址：www.szzzt.com 首页“下载中心”）；</w:t>
      </w:r>
      <w:r>
        <w:rPr>
          <w:rFonts w:hint="eastAsia" w:ascii="宋体" w:hAnsi="宋体" w:eastAsia="宋体"/>
          <w:snapToGrid w:val="0"/>
          <w:color w:val="auto"/>
          <w:sz w:val="21"/>
          <w:szCs w:val="21"/>
        </w:rPr>
        <w:fldChar w:fldCharType="begin"/>
      </w:r>
      <w:r>
        <w:rPr>
          <w:rFonts w:hint="eastAsia" w:ascii="宋体" w:hAnsi="宋体" w:eastAsia="宋体"/>
          <w:snapToGrid w:val="0"/>
          <w:color w:val="auto"/>
          <w:sz w:val="21"/>
          <w:szCs w:val="21"/>
        </w:rPr>
        <w:instrText xml:space="preserve"> = 2 \* GB3 </w:instrText>
      </w:r>
      <w:r>
        <w:rPr>
          <w:rFonts w:hint="eastAsia" w:ascii="宋体" w:hAnsi="宋体" w:eastAsia="宋体"/>
          <w:snapToGrid w:val="0"/>
          <w:color w:val="auto"/>
          <w:sz w:val="21"/>
          <w:szCs w:val="21"/>
        </w:rPr>
        <w:fldChar w:fldCharType="separate"/>
      </w:r>
      <w:r>
        <w:rPr>
          <w:rFonts w:hint="eastAsia" w:ascii="宋体" w:hAnsi="宋体" w:eastAsia="宋体"/>
          <w:snapToGrid w:val="0"/>
          <w:color w:val="auto"/>
          <w:sz w:val="21"/>
          <w:szCs w:val="21"/>
        </w:rPr>
        <w:t>②</w:t>
      </w:r>
      <w:r>
        <w:rPr>
          <w:rFonts w:hint="eastAsia" w:ascii="宋体" w:hAnsi="宋体" w:eastAsia="宋体"/>
          <w:snapToGrid w:val="0"/>
          <w:color w:val="auto"/>
          <w:sz w:val="21"/>
          <w:szCs w:val="21"/>
        </w:rPr>
        <w:fldChar w:fldCharType="end"/>
      </w:r>
      <w:r>
        <w:rPr>
          <w:rFonts w:hint="eastAsia" w:ascii="宋体" w:hAnsi="宋体" w:eastAsia="宋体"/>
          <w:snapToGrid w:val="0"/>
          <w:color w:val="auto"/>
          <w:sz w:val="21"/>
          <w:szCs w:val="21"/>
        </w:rPr>
        <w:t>购买招标文件费用的银行转账凭证。</w:t>
      </w:r>
    </w:p>
    <w:p w14:paraId="3C2B8373">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2204AFD9">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34FF3A1C">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03298BAE">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4874E437">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06D094C">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077FAAEE">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26</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9</w:t>
      </w:r>
      <w:r>
        <w:rPr>
          <w:rFonts w:hint="eastAsia" w:ascii="宋体" w:hAnsi="宋体" w:eastAsia="宋体"/>
          <w:snapToGrid w:val="0"/>
          <w:color w:val="auto"/>
          <w:sz w:val="21"/>
          <w:szCs w:val="21"/>
          <w:u w:val="single"/>
        </w:rPr>
        <w:t>点30分（北京时间）</w:t>
      </w:r>
    </w:p>
    <w:p w14:paraId="22A9A410">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109CFA37">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A8E8E6E">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65194B9C">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688443ED">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EF51CB1">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73DBE441">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782215D6">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1" w:name="OLE_LINK6"/>
      <w:r>
        <w:rPr>
          <w:rFonts w:hint="eastAsia" w:ascii="宋体" w:hAnsi="宋体" w:eastAsia="宋体"/>
          <w:snapToGrid w:val="0"/>
          <w:color w:val="auto"/>
          <w:sz w:val="21"/>
          <w:szCs w:val="21"/>
        </w:rPr>
        <w:t>1）深圳公共资源交易中心网站（www.szexgrp.com）；</w:t>
      </w:r>
    </w:p>
    <w:p w14:paraId="696EDC40">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2" w:name="OLE_LINK1"/>
      <w:r>
        <w:rPr>
          <w:rFonts w:hint="eastAsia" w:ascii="宋体" w:hAnsi="宋体" w:eastAsia="宋体"/>
          <w:snapToGrid w:val="0"/>
          <w:color w:val="auto"/>
          <w:sz w:val="21"/>
          <w:szCs w:val="21"/>
        </w:rPr>
        <w:t>采购代理机构网站</w:t>
      </w:r>
      <w:bookmarkEnd w:id="2"/>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1"/>
      <w:r>
        <w:rPr>
          <w:rFonts w:hint="eastAsia" w:ascii="宋体" w:hAnsi="宋体" w:eastAsia="宋体"/>
          <w:snapToGrid w:val="0"/>
          <w:color w:val="auto"/>
          <w:sz w:val="21"/>
          <w:szCs w:val="21"/>
        </w:rPr>
        <w:t>；</w:t>
      </w:r>
    </w:p>
    <w:p w14:paraId="0E05BCC2">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3）深圳职业技术大学采购中心网站（zhaobiao.szpu.edu.cn/）。</w:t>
      </w:r>
    </w:p>
    <w:p w14:paraId="6B9793D1">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700B99C2">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18BA833C">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412958E7">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701A4C8F">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名称：深圳职业技术大学</w:t>
      </w:r>
    </w:p>
    <w:p w14:paraId="668153D9">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地址：广东省深圳市南山区留仙大道7098号</w:t>
      </w:r>
    </w:p>
    <w:p w14:paraId="5650BC85">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联系方式：曾老师，0755-26019386</w:t>
      </w:r>
    </w:p>
    <w:p w14:paraId="666AE0D0">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6CCA3C4B">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74187066">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398AE38B">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联系方式：梁工，0755-83026699</w:t>
      </w:r>
    </w:p>
    <w:p w14:paraId="179D398A">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189937CC">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项目联系人：梁工</w:t>
      </w:r>
    </w:p>
    <w:p w14:paraId="678CC8F1">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3A7A43E7">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p>
    <w:p w14:paraId="4FE17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57CA982D">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hint="eastAsia" w:ascii="宋体" w:hAnsi="宋体"/>
          <w:snapToGrid w:val="0"/>
          <w:kern w:val="0"/>
          <w:sz w:val="24"/>
        </w:rPr>
        <w:t>2025</w:t>
      </w:r>
      <w:r>
        <w:rPr>
          <w:rFonts w:ascii="宋体" w:hAnsi="宋体"/>
          <w:snapToGrid w:val="0"/>
          <w:kern w:val="0"/>
          <w:sz w:val="24"/>
        </w:rPr>
        <w:t>年</w:t>
      </w:r>
      <w:r>
        <w:rPr>
          <w:rFonts w:hint="eastAsia" w:ascii="宋体" w:hAnsi="宋体"/>
          <w:snapToGrid w:val="0"/>
          <w:kern w:val="0"/>
          <w:sz w:val="24"/>
          <w:lang w:val="en-US" w:eastAsia="zh-CN"/>
        </w:rPr>
        <w:t>6</w:t>
      </w:r>
      <w:r>
        <w:rPr>
          <w:rFonts w:ascii="宋体" w:hAnsi="宋体"/>
          <w:snapToGrid w:val="0"/>
          <w:kern w:val="0"/>
          <w:sz w:val="24"/>
        </w:rPr>
        <w:t>月</w:t>
      </w:r>
      <w:r>
        <w:rPr>
          <w:rFonts w:hint="eastAsia" w:ascii="宋体" w:hAnsi="宋体"/>
          <w:snapToGrid w:val="0"/>
          <w:kern w:val="0"/>
          <w:sz w:val="24"/>
          <w:lang w:val="en-US" w:eastAsia="zh-CN"/>
        </w:rPr>
        <w:t>18</w:t>
      </w:r>
      <w:r>
        <w:rPr>
          <w:rFonts w:hint="eastAsia" w:ascii="宋体" w:hAnsi="宋体"/>
          <w:snapToGrid w:val="0"/>
          <w:kern w:val="0"/>
          <w:sz w:val="24"/>
        </w:rPr>
        <w:t>日</w:t>
      </w:r>
      <w:bookmarkStart w:id="3" w:name="_Toc135293160"/>
      <w:bookmarkStart w:id="118" w:name="_GoBack"/>
      <w:bookmarkEnd w:id="118"/>
    </w:p>
    <w:p w14:paraId="3A0D961B">
      <w:pPr>
        <w:widowControl/>
        <w:jc w:val="left"/>
        <w:rPr>
          <w:rFonts w:eastAsiaTheme="minorEastAsia"/>
          <w:b/>
          <w:kern w:val="44"/>
          <w:sz w:val="44"/>
          <w:szCs w:val="28"/>
        </w:rPr>
      </w:pPr>
      <w:r>
        <w:br w:type="page"/>
      </w:r>
    </w:p>
    <w:p w14:paraId="7060568A">
      <w:pPr>
        <w:pStyle w:val="2"/>
      </w:pPr>
      <w:r>
        <w:rPr>
          <w:rFonts w:hint="eastAsia"/>
        </w:rPr>
        <w:t>第二章  项目需求</w:t>
      </w:r>
      <w:bookmarkEnd w:id="3"/>
    </w:p>
    <w:p w14:paraId="3E4962AA">
      <w:pPr>
        <w:spacing w:after="156" w:afterLines="50" w:line="360" w:lineRule="auto"/>
        <w:ind w:left="2"/>
        <w:jc w:val="center"/>
        <w:rPr>
          <w:rFonts w:ascii="宋体" w:hAnsi="宋体"/>
          <w:b/>
          <w:sz w:val="24"/>
        </w:rPr>
      </w:pPr>
      <w:bookmarkStart w:id="4" w:name="OLE_LINK3"/>
      <w:r>
        <w:rPr>
          <w:rFonts w:hint="eastAsia" w:ascii="宋体" w:hAnsi="宋体"/>
          <w:b/>
          <w:sz w:val="24"/>
        </w:rPr>
        <w:t>特别说明</w:t>
      </w:r>
    </w:p>
    <w:p w14:paraId="5819934C">
      <w:pPr>
        <w:autoSpaceDE w:val="0"/>
        <w:autoSpaceDN w:val="0"/>
        <w:adjustRightInd w:val="0"/>
        <w:spacing w:line="360" w:lineRule="auto"/>
        <w:ind w:firstLine="480" w:firstLineChars="200"/>
        <w:jc w:val="left"/>
        <w:rPr>
          <w:rFonts w:ascii="仿宋_GB2312" w:eastAsia="仿宋_GB2312"/>
          <w:sz w:val="24"/>
        </w:rPr>
      </w:pPr>
      <w:bookmarkStart w:id="5" w:name="OLE_LINK4"/>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7031482C">
      <w:pPr>
        <w:autoSpaceDE w:val="0"/>
        <w:autoSpaceDN w:val="0"/>
        <w:adjustRightInd w:val="0"/>
        <w:spacing w:line="360" w:lineRule="auto"/>
        <w:ind w:firstLine="480" w:firstLineChars="200"/>
        <w:jc w:val="left"/>
        <w:rPr>
          <w:rFonts w:ascii="仿宋_GB2312" w:eastAsia="仿宋_GB2312"/>
          <w:sz w:val="24"/>
        </w:rPr>
      </w:pPr>
      <w:bookmarkStart w:id="6" w:name="OLE_LINK2"/>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bookmarkStart w:id="7" w:name="OLE_LINK5"/>
      <w:r>
        <w:rPr>
          <w:rFonts w:hint="eastAsia" w:ascii="仿宋_GB2312" w:eastAsia="仿宋_GB2312"/>
          <w:sz w:val="24"/>
        </w:rPr>
        <w:t>，如果投标人提供了相应的证明材料，则按照上述对应情形处理；投标人提供多份证明材料且证明材料信息相互冲突的，以不利于投标人的那份证明材料作为判断是否符合采购需求的响应内容</w:t>
      </w:r>
      <w:bookmarkEnd w:id="7"/>
      <w:r>
        <w:rPr>
          <w:rFonts w:hint="eastAsia" w:ascii="仿宋_GB2312" w:eastAsia="仿宋_GB2312"/>
          <w:sz w:val="24"/>
        </w:rPr>
        <w:t>。</w:t>
      </w:r>
    </w:p>
    <w:bookmarkEnd w:id="6"/>
    <w:p w14:paraId="426B89BB">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455AC3E8">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73F20476">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5、加注★的条款为不可负偏离的实质性条款，任一项未响应或不满足要求的，将导致投标无效。</w:t>
      </w:r>
    </w:p>
    <w:bookmarkEnd w:id="4"/>
    <w:bookmarkEnd w:id="5"/>
    <w:p w14:paraId="29829355">
      <w:pPr>
        <w:pStyle w:val="321"/>
        <w:ind w:firstLine="0" w:firstLineChars="0"/>
        <w:rPr>
          <w:b/>
        </w:rPr>
      </w:pPr>
    </w:p>
    <w:p w14:paraId="07104BAD">
      <w:pPr>
        <w:pStyle w:val="321"/>
        <w:ind w:firstLine="0" w:firstLineChars="0"/>
        <w:rPr>
          <w:b/>
        </w:rPr>
      </w:pPr>
      <w:r>
        <w:rPr>
          <w:rFonts w:hint="eastAsia"/>
          <w:b/>
        </w:rPr>
        <w:t>一、项目概况</w:t>
      </w:r>
    </w:p>
    <w:p w14:paraId="23E7024C">
      <w:pPr>
        <w:pStyle w:val="255"/>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14:paraId="460E7CF1">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2BB817C9">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7A85352F">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439CBE7D">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5F1CF110">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615A72A1">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14:paraId="592B9210">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19CE3954">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14:paraId="24BD951F">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57DA5EB0">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56BA1C8E">
            <w:pPr>
              <w:widowControl/>
              <w:adjustRightInd w:val="0"/>
              <w:snapToGrid w:val="0"/>
              <w:spacing w:line="360" w:lineRule="auto"/>
              <w:jc w:val="center"/>
              <w:textAlignment w:val="center"/>
              <w:rPr>
                <w:rFonts w:ascii="宋体" w:hAnsi="宋体" w:cs="宋体"/>
                <w:szCs w:val="21"/>
              </w:rPr>
            </w:pPr>
            <w:r>
              <w:rPr>
                <w:rFonts w:hint="eastAsia" w:ascii="宋体" w:hAnsi="宋体"/>
                <w:snapToGrid w:val="0"/>
                <w:szCs w:val="21"/>
              </w:rPr>
              <w:t>实训（验）室安全巡检</w:t>
            </w:r>
          </w:p>
        </w:tc>
        <w:tc>
          <w:tcPr>
            <w:tcW w:w="921" w:type="dxa"/>
            <w:tcBorders>
              <w:top w:val="single" w:color="000000" w:sz="4" w:space="0"/>
              <w:left w:val="single" w:color="000000" w:sz="4" w:space="0"/>
              <w:bottom w:val="single" w:color="000000" w:sz="4" w:space="0"/>
              <w:right w:val="single" w:color="000000" w:sz="4" w:space="0"/>
            </w:tcBorders>
            <w:vAlign w:val="center"/>
          </w:tcPr>
          <w:p w14:paraId="2AAA984B">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50CF9739">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5F65C77B">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180,000.00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2AFC446">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14:paraId="4D426D3F">
      <w:pPr>
        <w:pStyle w:val="255"/>
        <w:spacing w:before="156"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（二）项目背景</w:t>
      </w:r>
    </w:p>
    <w:p w14:paraId="54E3A8D5">
      <w:pPr>
        <w:pStyle w:val="506"/>
        <w:wordWrap/>
        <w:spacing w:afterLines="0" w:line="360" w:lineRule="auto"/>
        <w:ind w:firstLine="436"/>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全面摸清和及时铲除实验室存在的安全隐患，防止“认不清、想不到、管不到”等安全问题的发生，解决实验室安全管理的薄弱环节和突出问题，不断增强全员安全意识，全面加强实训（验）室安全工作，严格落实国家、省教育行政部门关于实训（验）室安全工作的安排部署，持续提升实训（验）室安全运行水平，根据《教育部关于加强高校实验室安全工作的意见》（教技函〔2019〕36号）、《教育部办公厅关于开展加强高校实验室安全专项行动的通知》（教科信厅函〔2021〕38号）、教育部办公厅关于印发《高等学校实验室安全规范》的通知(教科信厅函〔2023〕5号)、《教育部关于印发&lt;高等学校实验室安全分级分类管理办法（试行）&gt;的通知》(教科信〔2024〕4号)等文件有关要求，拟委托专业技术服务机构开展“实训（验）室安全巡检”服务项目。</w:t>
      </w:r>
    </w:p>
    <w:p w14:paraId="753C5D69">
      <w:pPr>
        <w:pStyle w:val="506"/>
        <w:wordWrap/>
        <w:spacing w:afterLines="0" w:line="360" w:lineRule="auto"/>
        <w:ind w:firstLine="436"/>
        <w:rPr>
          <w:rFonts w:asciiTheme="minorEastAsia" w:hAnsiTheme="minorEastAsia" w:eastAsiaTheme="minorEastAsia" w:cstheme="minorEastAsia"/>
          <w:sz w:val="21"/>
          <w:szCs w:val="21"/>
        </w:rPr>
      </w:pPr>
    </w:p>
    <w:p w14:paraId="1871652F">
      <w:pPr>
        <w:pStyle w:val="321"/>
        <w:ind w:firstLine="0" w:firstLineChars="0"/>
        <w:rPr>
          <w:b/>
          <w:szCs w:val="21"/>
        </w:rPr>
      </w:pPr>
      <w:r>
        <w:rPr>
          <w:rFonts w:hint="eastAsia"/>
          <w:b/>
        </w:rPr>
        <w:t>二、项目服务要求</w:t>
      </w:r>
    </w:p>
    <w:p w14:paraId="16381BD8">
      <w:pPr>
        <w:spacing w:line="360" w:lineRule="auto"/>
        <w:ind w:firstLine="422" w:firstLineChars="200"/>
        <w:rPr>
          <w:rFonts w:ascii="宋体" w:hAnsi="宋体" w:cs="宋体"/>
          <w:b/>
          <w:szCs w:val="21"/>
        </w:rPr>
      </w:pPr>
      <w:r>
        <w:rPr>
          <w:rFonts w:hint="eastAsia" w:ascii="宋体" w:hAnsi="宋体" w:cs="宋体"/>
          <w:b/>
          <w:szCs w:val="21"/>
        </w:rPr>
        <w:t>说明：带“★”指标项为实质性条款，如出现负偏离，将被视为未实质性满足招标文件要求作投标无效处理。带“</w:t>
      </w:r>
      <w:r>
        <w:rPr>
          <w:rFonts w:hint="eastAsia" w:ascii="宋体" w:hAnsi="宋体" w:cs="宋体"/>
        </w:rPr>
        <w:t>▲</w:t>
      </w:r>
      <w:r>
        <w:rPr>
          <w:rFonts w:hint="eastAsia" w:ascii="宋体" w:hAnsi="宋体" w:cs="宋体"/>
          <w:b/>
          <w:szCs w:val="21"/>
        </w:rPr>
        <w:t>”指标项为重要参数，负偏离时依相关评分准则内容作重点扣分处理。</w:t>
      </w:r>
    </w:p>
    <w:p w14:paraId="4B854CB3">
      <w:pPr>
        <w:spacing w:line="360" w:lineRule="auto"/>
        <w:ind w:firstLine="420" w:firstLineChars="200"/>
        <w:rPr>
          <w:rFonts w:ascii="宋体" w:hAnsi="宋体" w:cs="宋体"/>
          <w:bCs/>
          <w:szCs w:val="21"/>
        </w:rPr>
      </w:pPr>
      <w:r>
        <w:rPr>
          <w:rFonts w:hint="eastAsia" w:ascii="宋体" w:hAnsi="宋体" w:cs="宋体"/>
          <w:bCs/>
          <w:szCs w:val="21"/>
        </w:rPr>
        <w:t>（一）项目基本情况</w:t>
      </w:r>
    </w:p>
    <w:p w14:paraId="4999220B">
      <w:pPr>
        <w:spacing w:line="360" w:lineRule="auto"/>
        <w:ind w:firstLine="420" w:firstLineChars="200"/>
        <w:rPr>
          <w:rFonts w:ascii="宋体" w:hAnsi="宋体" w:cs="宋体"/>
          <w:bCs/>
          <w:szCs w:val="21"/>
        </w:rPr>
      </w:pPr>
      <w:r>
        <w:rPr>
          <w:rFonts w:hint="eastAsia" w:ascii="宋体" w:hAnsi="宋体" w:cs="宋体"/>
          <w:bCs/>
          <w:szCs w:val="21"/>
        </w:rPr>
        <w:t>学校现有西丽校区、香蜜校区、深汕校区三个校区，本次项目包括西丽校区和香蜜校区共计745间实训（验）室的安全检查和西丽校区废水废气处理设施的安全检查。西丽校区现有675间实训（验）室、废水处理设施4套、废气处理设施20套；香蜜校区现有70间实训（验）室。风险等级Ⅰ级实训（验）室18间，风险等级Ⅱ级实训（验）室18间，风险等级Ⅲ级实训（验）室56间，风险等级Ⅳ级实训（验）室653间（此分级动态变化）。</w:t>
      </w:r>
    </w:p>
    <w:p w14:paraId="30294432">
      <w:pPr>
        <w:spacing w:line="360" w:lineRule="auto"/>
        <w:ind w:firstLine="420" w:firstLineChars="200"/>
        <w:rPr>
          <w:rFonts w:ascii="宋体" w:hAnsi="宋体" w:cs="宋体"/>
          <w:bCs/>
          <w:szCs w:val="21"/>
        </w:rPr>
      </w:pPr>
      <w:r>
        <w:rPr>
          <w:rFonts w:hint="eastAsia" w:ascii="宋体" w:hAnsi="宋体" w:cs="宋体"/>
          <w:bCs/>
          <w:szCs w:val="21"/>
        </w:rPr>
        <w:t>（二）项目服务内容</w:t>
      </w:r>
    </w:p>
    <w:p w14:paraId="55CAB6A3">
      <w:pPr>
        <w:spacing w:line="360" w:lineRule="auto"/>
        <w:ind w:firstLine="420" w:firstLineChars="200"/>
        <w:rPr>
          <w:rFonts w:ascii="宋体" w:hAnsi="宋体" w:cs="宋体"/>
          <w:bCs/>
          <w:szCs w:val="21"/>
        </w:rPr>
      </w:pPr>
      <w:r>
        <w:rPr>
          <w:rFonts w:hint="eastAsia" w:ascii="宋体" w:hAnsi="宋体" w:cs="宋体"/>
          <w:bCs/>
          <w:szCs w:val="21"/>
        </w:rPr>
        <w:t>中标人按照教育部最新颁布的《高等学校实验室安全分级分类管理办法（试行）》对采购人全校实训（验）室进行动态分级分类。</w:t>
      </w:r>
    </w:p>
    <w:p w14:paraId="2AAACA00">
      <w:pPr>
        <w:spacing w:line="360" w:lineRule="auto"/>
        <w:ind w:firstLine="420" w:firstLineChars="200"/>
        <w:rPr>
          <w:rFonts w:ascii="宋体" w:hAnsi="宋体" w:cs="宋体"/>
          <w:bCs/>
          <w:szCs w:val="21"/>
        </w:rPr>
      </w:pPr>
      <w:r>
        <w:rPr>
          <w:rFonts w:hint="eastAsia" w:ascii="宋体" w:hAnsi="宋体" w:cs="宋体"/>
          <w:bCs/>
          <w:szCs w:val="21"/>
        </w:rPr>
        <w:t>1.实训（验）室分级</w:t>
      </w:r>
    </w:p>
    <w:p w14:paraId="79EC8077">
      <w:pPr>
        <w:spacing w:line="360" w:lineRule="auto"/>
        <w:ind w:firstLine="420" w:firstLineChars="200"/>
        <w:rPr>
          <w:rFonts w:ascii="宋体" w:hAnsi="宋体" w:cs="宋体"/>
          <w:bCs/>
          <w:szCs w:val="21"/>
        </w:rPr>
      </w:pPr>
      <w:r>
        <w:rPr>
          <w:rFonts w:hint="eastAsia" w:ascii="宋体" w:hAnsi="宋体" w:cs="宋体"/>
          <w:bCs/>
          <w:szCs w:val="21"/>
        </w:rPr>
        <w:t>中标人须全面了解采购人实训（验）室中存在的危险源及其存量，并依据教育部最新颁布的《高等学校实验室安全分级分类管理办法（试行）》判定实训（验）室安全等级。实训（验）室安全等级可分为Ⅰ、Ⅱ、Ⅲ、Ⅳ级（或红、橙、黄、蓝级），分别对应重大风险、高风险、中风险、低风险等级的实训（验）室。等级划分以表1高校实验室安全分级表和表2高校实验室安全风险评价表为标准（具体以教育部最新颁布的《高等学校实验室安全分级分类管理办法（试行）》为准）：</w:t>
      </w:r>
    </w:p>
    <w:tbl>
      <w:tblPr>
        <w:tblStyle w:val="50"/>
        <w:tblW w:w="8809"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7253"/>
      </w:tblGrid>
      <w:tr w14:paraId="5DF55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blHeader/>
        </w:trPr>
        <w:tc>
          <w:tcPr>
            <w:tcW w:w="1556" w:type="dxa"/>
            <w:noWrap/>
          </w:tcPr>
          <w:p w14:paraId="20BD179B">
            <w:pPr>
              <w:jc w:val="center"/>
              <w:rPr>
                <w:rFonts w:ascii="宋体" w:hAnsi="宋体" w:cs="宋体"/>
                <w:bCs/>
                <w:szCs w:val="21"/>
              </w:rPr>
            </w:pPr>
            <w:r>
              <w:rPr>
                <w:rFonts w:hint="eastAsia" w:ascii="宋体" w:hAnsi="宋体" w:cs="宋体"/>
                <w:bCs/>
                <w:szCs w:val="21"/>
              </w:rPr>
              <w:t>安全级别</w:t>
            </w:r>
          </w:p>
        </w:tc>
        <w:tc>
          <w:tcPr>
            <w:tcW w:w="7253" w:type="dxa"/>
            <w:noWrap/>
          </w:tcPr>
          <w:p w14:paraId="62D8E3E7">
            <w:pPr>
              <w:jc w:val="center"/>
              <w:rPr>
                <w:rFonts w:ascii="宋体" w:hAnsi="宋体" w:cs="宋体"/>
                <w:bCs/>
                <w:szCs w:val="21"/>
              </w:rPr>
            </w:pPr>
            <w:r>
              <w:rPr>
                <w:rFonts w:hint="eastAsia" w:ascii="宋体" w:hAnsi="宋体" w:cs="宋体"/>
                <w:bCs/>
                <w:szCs w:val="21"/>
              </w:rPr>
              <w:t>参考分级依据</w:t>
            </w:r>
          </w:p>
        </w:tc>
      </w:tr>
      <w:tr w14:paraId="2306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vMerge w:val="restart"/>
            <w:noWrap/>
            <w:vAlign w:val="center"/>
          </w:tcPr>
          <w:p w14:paraId="31B24C5C">
            <w:pPr>
              <w:jc w:val="center"/>
              <w:rPr>
                <w:rFonts w:ascii="宋体" w:hAnsi="宋体" w:cs="宋体"/>
                <w:szCs w:val="21"/>
              </w:rPr>
            </w:pPr>
            <w:r>
              <w:rPr>
                <w:rFonts w:hint="eastAsia" w:ascii="宋体" w:hAnsi="宋体" w:cs="宋体"/>
                <w:szCs w:val="21"/>
              </w:rPr>
              <w:t>Ⅰ级/红色级实验室（重大风险实验室）</w:t>
            </w:r>
          </w:p>
        </w:tc>
        <w:tc>
          <w:tcPr>
            <w:tcW w:w="7253" w:type="dxa"/>
            <w:noWrap/>
          </w:tcPr>
          <w:p w14:paraId="4694AE2E">
            <w:pPr>
              <w:rPr>
                <w:rFonts w:ascii="宋体" w:hAnsi="宋体" w:cs="宋体"/>
                <w:szCs w:val="21"/>
              </w:rPr>
            </w:pPr>
            <w:r>
              <w:rPr>
                <w:rFonts w:hint="eastAsia" w:ascii="宋体" w:hAnsi="宋体" w:cs="宋体"/>
                <w:szCs w:val="21"/>
              </w:rPr>
              <w:t>实验室有以下情况之一的：</w:t>
            </w:r>
          </w:p>
          <w:p w14:paraId="455E4E37">
            <w:pPr>
              <w:pStyle w:val="455"/>
              <w:numPr>
                <w:ilvl w:val="0"/>
                <w:numId w:val="4"/>
              </w:numPr>
              <w:ind w:firstLineChars="0"/>
              <w:rPr>
                <w:rFonts w:ascii="宋体" w:hAnsi="宋体" w:cs="宋体"/>
                <w:szCs w:val="21"/>
              </w:rPr>
            </w:pPr>
            <w:r>
              <w:rPr>
                <w:rFonts w:hint="eastAsia" w:ascii="宋体" w:hAnsi="宋体" w:cs="宋体"/>
                <w:szCs w:val="21"/>
              </w:rPr>
              <w:t>实验原料或产物含剧毒化学成分；</w:t>
            </w:r>
          </w:p>
          <w:p w14:paraId="452AAFD4">
            <w:pPr>
              <w:pStyle w:val="455"/>
              <w:numPr>
                <w:ilvl w:val="0"/>
                <w:numId w:val="4"/>
              </w:numPr>
              <w:ind w:firstLineChars="0"/>
              <w:rPr>
                <w:rFonts w:ascii="宋体" w:hAnsi="宋体" w:cs="宋体"/>
                <w:szCs w:val="21"/>
              </w:rPr>
            </w:pPr>
            <w:r>
              <w:rPr>
                <w:rFonts w:hint="eastAsia" w:ascii="宋体" w:hAnsi="宋体" w:cs="宋体"/>
                <w:szCs w:val="21"/>
              </w:rPr>
              <w:t>使用剧毒化学品；</w:t>
            </w:r>
          </w:p>
          <w:p w14:paraId="564306D0">
            <w:pPr>
              <w:pStyle w:val="455"/>
              <w:numPr>
                <w:ilvl w:val="0"/>
                <w:numId w:val="4"/>
              </w:numPr>
              <w:ind w:firstLineChars="0"/>
              <w:rPr>
                <w:rFonts w:ascii="宋体" w:hAnsi="宋体" w:cs="宋体"/>
                <w:szCs w:val="21"/>
              </w:rPr>
            </w:pPr>
            <w:r>
              <w:rPr>
                <w:rFonts w:hint="eastAsia" w:ascii="宋体" w:hAnsi="宋体" w:cs="宋体"/>
                <w:szCs w:val="21"/>
              </w:rPr>
              <w:t>存储第一类易制毒品、第一类精神药品；</w:t>
            </w:r>
          </w:p>
          <w:p w14:paraId="056958A0">
            <w:pPr>
              <w:pStyle w:val="455"/>
              <w:numPr>
                <w:ilvl w:val="0"/>
                <w:numId w:val="4"/>
              </w:numPr>
              <w:ind w:firstLineChars="0"/>
              <w:rPr>
                <w:rFonts w:ascii="宋体" w:hAnsi="宋体" w:cs="宋体"/>
                <w:szCs w:val="21"/>
              </w:rPr>
            </w:pPr>
            <w:r>
              <w:rPr>
                <w:rFonts w:hint="eastAsia" w:ascii="宋体" w:hAnsi="宋体" w:cs="宋体"/>
                <w:szCs w:val="21"/>
              </w:rPr>
              <w:t>存储易燃易爆化学品总量大于50kg或50L；</w:t>
            </w:r>
          </w:p>
          <w:p w14:paraId="14DB3D0C">
            <w:pPr>
              <w:pStyle w:val="455"/>
              <w:numPr>
                <w:ilvl w:val="0"/>
                <w:numId w:val="4"/>
              </w:numPr>
              <w:ind w:firstLineChars="0"/>
              <w:rPr>
                <w:rFonts w:ascii="宋体" w:hAnsi="宋体" w:cs="宋体"/>
                <w:szCs w:val="21"/>
              </w:rPr>
            </w:pPr>
            <w:r>
              <w:rPr>
                <w:rFonts w:hint="eastAsia" w:ascii="宋体" w:hAnsi="宋体" w:cs="宋体"/>
                <w:szCs w:val="21"/>
              </w:rPr>
              <w:t>存储有毒、易燃气体总量≥6瓶；</w:t>
            </w:r>
          </w:p>
          <w:p w14:paraId="1D007008">
            <w:pPr>
              <w:pStyle w:val="455"/>
              <w:numPr>
                <w:ilvl w:val="0"/>
                <w:numId w:val="4"/>
              </w:numPr>
              <w:ind w:firstLineChars="0"/>
              <w:rPr>
                <w:rFonts w:ascii="宋体" w:hAnsi="宋体" w:cs="宋体"/>
                <w:szCs w:val="21"/>
              </w:rPr>
            </w:pPr>
            <w:r>
              <w:rPr>
                <w:rFonts w:hint="eastAsia" w:ascii="宋体" w:hAnsi="宋体" w:cs="宋体"/>
                <w:szCs w:val="21"/>
              </w:rPr>
              <w:t>生物安全BSL-3、ABSL-3、BSL-4、ABSL-4实验室；</w:t>
            </w:r>
          </w:p>
          <w:p w14:paraId="4AF5EEF8">
            <w:pPr>
              <w:pStyle w:val="455"/>
              <w:numPr>
                <w:ilvl w:val="0"/>
                <w:numId w:val="4"/>
              </w:numPr>
              <w:ind w:firstLineChars="0"/>
              <w:rPr>
                <w:rFonts w:ascii="宋体" w:hAnsi="宋体" w:cs="宋体"/>
                <w:szCs w:val="21"/>
              </w:rPr>
            </w:pPr>
            <w:r>
              <w:rPr>
                <w:rFonts w:hint="eastAsia" w:ascii="宋体" w:hAnsi="宋体" w:cs="宋体"/>
                <w:szCs w:val="21"/>
              </w:rPr>
              <w:t>使用I、II类射线设备；</w:t>
            </w:r>
          </w:p>
          <w:p w14:paraId="0B944377">
            <w:pPr>
              <w:pStyle w:val="455"/>
              <w:numPr>
                <w:ilvl w:val="0"/>
                <w:numId w:val="4"/>
              </w:numPr>
              <w:ind w:firstLineChars="0"/>
              <w:rPr>
                <w:rFonts w:ascii="宋体" w:hAnsi="宋体" w:cs="宋体"/>
                <w:szCs w:val="21"/>
              </w:rPr>
            </w:pPr>
            <w:r>
              <w:rPr>
                <w:rFonts w:hint="eastAsia" w:ascii="宋体" w:hAnsi="宋体" w:cs="宋体"/>
                <w:szCs w:val="21"/>
              </w:rPr>
              <w:t>使用放射性同位素、放射源、核材料；</w:t>
            </w:r>
          </w:p>
          <w:p w14:paraId="3C553AA1">
            <w:pPr>
              <w:pStyle w:val="455"/>
              <w:numPr>
                <w:ilvl w:val="0"/>
                <w:numId w:val="4"/>
              </w:numPr>
              <w:ind w:firstLineChars="0"/>
              <w:rPr>
                <w:rFonts w:ascii="宋体" w:hAnsi="宋体" w:cs="宋体"/>
                <w:szCs w:val="21"/>
              </w:rPr>
            </w:pPr>
            <w:r>
              <w:rPr>
                <w:rFonts w:hint="eastAsia" w:ascii="宋体" w:hAnsi="宋体" w:cs="宋体"/>
                <w:szCs w:val="21"/>
              </w:rPr>
              <w:t>使用机电类特种设备；</w:t>
            </w:r>
          </w:p>
          <w:p w14:paraId="475035FF">
            <w:pPr>
              <w:pStyle w:val="455"/>
              <w:numPr>
                <w:ilvl w:val="0"/>
                <w:numId w:val="4"/>
              </w:numPr>
              <w:ind w:firstLineChars="0"/>
              <w:rPr>
                <w:rFonts w:ascii="宋体" w:hAnsi="宋体" w:cs="宋体"/>
                <w:szCs w:val="21"/>
              </w:rPr>
            </w:pPr>
            <w:r>
              <w:rPr>
                <w:rFonts w:hint="eastAsia" w:ascii="宋体" w:hAnsi="宋体" w:cs="宋体"/>
                <w:szCs w:val="21"/>
              </w:rPr>
              <w:t>使用超高压等第三类压力容器；</w:t>
            </w:r>
          </w:p>
          <w:p w14:paraId="4D36DEA7">
            <w:pPr>
              <w:pStyle w:val="455"/>
              <w:numPr>
                <w:ilvl w:val="0"/>
                <w:numId w:val="4"/>
              </w:numPr>
              <w:ind w:firstLineChars="0"/>
              <w:rPr>
                <w:rFonts w:ascii="宋体" w:hAnsi="宋体" w:cs="宋体"/>
                <w:szCs w:val="21"/>
              </w:rPr>
            </w:pPr>
            <w:r>
              <w:rPr>
                <w:rFonts w:hint="eastAsia" w:ascii="宋体" w:hAnsi="宋体" w:cs="宋体"/>
                <w:szCs w:val="21"/>
              </w:rPr>
              <w:t>使用强磁、强电设备；</w:t>
            </w:r>
          </w:p>
          <w:p w14:paraId="11A0E218">
            <w:pPr>
              <w:pStyle w:val="455"/>
              <w:numPr>
                <w:ilvl w:val="0"/>
                <w:numId w:val="4"/>
              </w:numPr>
              <w:ind w:firstLineChars="0"/>
              <w:rPr>
                <w:rFonts w:ascii="宋体" w:hAnsi="宋体" w:cs="宋体"/>
                <w:szCs w:val="21"/>
              </w:rPr>
            </w:pPr>
            <w:r>
              <w:rPr>
                <w:rFonts w:hint="eastAsia" w:ascii="宋体" w:hAnsi="宋体" w:cs="宋体"/>
                <w:szCs w:val="21"/>
              </w:rPr>
              <w:t>使用4、3R、3B类激光设备；</w:t>
            </w:r>
          </w:p>
          <w:p w14:paraId="132B4C60">
            <w:pPr>
              <w:pStyle w:val="455"/>
              <w:numPr>
                <w:ilvl w:val="0"/>
                <w:numId w:val="4"/>
              </w:numPr>
              <w:ind w:firstLineChars="0"/>
              <w:rPr>
                <w:rFonts w:ascii="宋体" w:hAnsi="宋体" w:cs="宋体"/>
                <w:szCs w:val="21"/>
              </w:rPr>
            </w:pPr>
            <w:r>
              <w:rPr>
                <w:rFonts w:hint="eastAsia" w:ascii="宋体" w:hAnsi="宋体" w:cs="宋体"/>
                <w:szCs w:val="21"/>
              </w:rPr>
              <w:t>使用富氧涉爆实验室自制设备；</w:t>
            </w:r>
          </w:p>
          <w:p w14:paraId="029A3DC6">
            <w:pPr>
              <w:pStyle w:val="455"/>
              <w:numPr>
                <w:ilvl w:val="0"/>
                <w:numId w:val="4"/>
              </w:numPr>
              <w:ind w:firstLineChars="0"/>
              <w:rPr>
                <w:rFonts w:ascii="宋体" w:hAnsi="宋体" w:cs="宋体"/>
                <w:szCs w:val="21"/>
              </w:rPr>
            </w:pPr>
            <w:r>
              <w:rPr>
                <w:rFonts w:hint="eastAsia" w:ascii="宋体" w:hAnsi="宋体" w:cs="宋体"/>
                <w:szCs w:val="21"/>
              </w:rPr>
              <w:t>高校自行规定的其他情况。</w:t>
            </w:r>
          </w:p>
        </w:tc>
      </w:tr>
      <w:tr w14:paraId="04D64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556" w:type="dxa"/>
            <w:vMerge w:val="continue"/>
            <w:noWrap/>
          </w:tcPr>
          <w:p w14:paraId="594FAA47">
            <w:pPr>
              <w:rPr>
                <w:rFonts w:ascii="宋体" w:hAnsi="宋体" w:cs="宋体"/>
                <w:szCs w:val="21"/>
              </w:rPr>
            </w:pPr>
          </w:p>
        </w:tc>
        <w:tc>
          <w:tcPr>
            <w:tcW w:w="7253" w:type="dxa"/>
            <w:noWrap/>
          </w:tcPr>
          <w:p w14:paraId="4C112347">
            <w:pPr>
              <w:rPr>
                <w:rFonts w:ascii="宋体" w:hAnsi="宋体" w:cs="宋体"/>
                <w:szCs w:val="21"/>
              </w:rPr>
            </w:pPr>
            <w:r>
              <w:rPr>
                <w:rFonts w:hint="eastAsia" w:ascii="宋体" w:hAnsi="宋体" w:cs="宋体"/>
                <w:szCs w:val="21"/>
              </w:rPr>
              <w:t>按照《高校实验室安全风险评价表》评分达到100分的实验室。</w:t>
            </w:r>
          </w:p>
        </w:tc>
      </w:tr>
      <w:tr w14:paraId="00BE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556" w:type="dxa"/>
            <w:vMerge w:val="restart"/>
            <w:noWrap/>
            <w:vAlign w:val="center"/>
          </w:tcPr>
          <w:p w14:paraId="43D9EBB6">
            <w:pPr>
              <w:jc w:val="center"/>
              <w:rPr>
                <w:rFonts w:ascii="宋体" w:hAnsi="宋体" w:cs="宋体"/>
                <w:szCs w:val="21"/>
              </w:rPr>
            </w:pPr>
            <w:r>
              <w:rPr>
                <w:rFonts w:hint="eastAsia" w:ascii="宋体" w:hAnsi="宋体" w:cs="宋体"/>
                <w:szCs w:val="21"/>
              </w:rPr>
              <w:t>Ⅱ级/橙色级实验室（高风险实验室）</w:t>
            </w:r>
          </w:p>
        </w:tc>
        <w:tc>
          <w:tcPr>
            <w:tcW w:w="7253" w:type="dxa"/>
            <w:noWrap/>
          </w:tcPr>
          <w:p w14:paraId="0C078A34">
            <w:pPr>
              <w:rPr>
                <w:rFonts w:ascii="宋体" w:hAnsi="宋体" w:cs="宋体"/>
                <w:szCs w:val="21"/>
              </w:rPr>
            </w:pPr>
            <w:r>
              <w:rPr>
                <w:rFonts w:hint="eastAsia" w:ascii="宋体" w:hAnsi="宋体" w:cs="宋体"/>
                <w:szCs w:val="21"/>
              </w:rPr>
              <w:t>实验室有以下情况之一的：</w:t>
            </w:r>
          </w:p>
          <w:p w14:paraId="0AED415B">
            <w:pPr>
              <w:pStyle w:val="455"/>
              <w:numPr>
                <w:ilvl w:val="0"/>
                <w:numId w:val="5"/>
              </w:numPr>
              <w:ind w:firstLineChars="0"/>
              <w:rPr>
                <w:rFonts w:ascii="宋体" w:hAnsi="宋体" w:cs="宋体"/>
                <w:szCs w:val="21"/>
              </w:rPr>
            </w:pPr>
            <w:r>
              <w:rPr>
                <w:rFonts w:hint="eastAsia" w:ascii="宋体" w:hAnsi="宋体" w:cs="宋体"/>
                <w:szCs w:val="21"/>
              </w:rPr>
              <w:t>存储第二类精神药品；</w:t>
            </w:r>
          </w:p>
          <w:p w14:paraId="345C509E">
            <w:pPr>
              <w:pStyle w:val="455"/>
              <w:numPr>
                <w:ilvl w:val="0"/>
                <w:numId w:val="5"/>
              </w:numPr>
              <w:ind w:firstLineChars="0"/>
              <w:rPr>
                <w:rFonts w:ascii="宋体" w:hAnsi="宋体" w:cs="宋体"/>
                <w:szCs w:val="21"/>
              </w:rPr>
            </w:pPr>
            <w:r>
              <w:rPr>
                <w:rFonts w:hint="eastAsia" w:ascii="宋体" w:hAnsi="宋体" w:cs="宋体"/>
                <w:szCs w:val="21"/>
              </w:rPr>
              <w:t>存储易燃易爆化学品总量为20~50kg或20~50L；</w:t>
            </w:r>
          </w:p>
          <w:p w14:paraId="3D98AC12">
            <w:pPr>
              <w:pStyle w:val="455"/>
              <w:numPr>
                <w:ilvl w:val="0"/>
                <w:numId w:val="5"/>
              </w:numPr>
              <w:ind w:firstLineChars="0"/>
              <w:rPr>
                <w:rFonts w:ascii="宋体" w:hAnsi="宋体" w:cs="宋体"/>
                <w:szCs w:val="21"/>
              </w:rPr>
            </w:pPr>
            <w:r>
              <w:rPr>
                <w:rFonts w:hint="eastAsia" w:ascii="宋体" w:hAnsi="宋体" w:cs="宋体"/>
                <w:szCs w:val="21"/>
              </w:rPr>
              <w:t>存储有毒、易燃气体总量为3~6（不含）瓶；</w:t>
            </w:r>
          </w:p>
          <w:p w14:paraId="7124CD3C">
            <w:pPr>
              <w:pStyle w:val="455"/>
              <w:numPr>
                <w:ilvl w:val="0"/>
                <w:numId w:val="5"/>
              </w:numPr>
              <w:ind w:firstLineChars="0"/>
              <w:rPr>
                <w:rFonts w:ascii="宋体" w:hAnsi="宋体" w:cs="宋体"/>
                <w:szCs w:val="21"/>
              </w:rPr>
            </w:pPr>
            <w:r>
              <w:rPr>
                <w:rFonts w:hint="eastAsia" w:ascii="宋体" w:hAnsi="宋体" w:cs="宋体"/>
                <w:szCs w:val="21"/>
              </w:rPr>
              <w:t>生物安全BSL-2、ABSL-2实验室；</w:t>
            </w:r>
          </w:p>
          <w:p w14:paraId="05335DF2">
            <w:pPr>
              <w:pStyle w:val="455"/>
              <w:numPr>
                <w:ilvl w:val="0"/>
                <w:numId w:val="5"/>
              </w:numPr>
              <w:ind w:firstLineChars="0"/>
              <w:rPr>
                <w:rFonts w:ascii="宋体" w:hAnsi="宋体" w:cs="宋体"/>
                <w:szCs w:val="21"/>
              </w:rPr>
            </w:pPr>
            <w:r>
              <w:rPr>
                <w:rFonts w:hint="eastAsia" w:ascii="宋体" w:hAnsi="宋体" w:cs="宋体"/>
                <w:szCs w:val="21"/>
              </w:rPr>
              <w:t>使用第一类、第二类压力容器；</w:t>
            </w:r>
          </w:p>
          <w:p w14:paraId="218DE5A2">
            <w:pPr>
              <w:pStyle w:val="455"/>
              <w:numPr>
                <w:ilvl w:val="0"/>
                <w:numId w:val="5"/>
              </w:numPr>
              <w:ind w:firstLineChars="0"/>
              <w:rPr>
                <w:rFonts w:ascii="宋体" w:hAnsi="宋体" w:cs="宋体"/>
                <w:szCs w:val="21"/>
              </w:rPr>
            </w:pPr>
            <w:r>
              <w:rPr>
                <w:rFonts w:hint="eastAsia" w:ascii="宋体" w:hAnsi="宋体" w:cs="宋体"/>
                <w:szCs w:val="21"/>
              </w:rPr>
              <w:t>高校自行规定的其他情况。</w:t>
            </w:r>
          </w:p>
        </w:tc>
      </w:tr>
      <w:tr w14:paraId="4F4A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trPr>
        <w:tc>
          <w:tcPr>
            <w:tcW w:w="1556" w:type="dxa"/>
            <w:vMerge w:val="continue"/>
            <w:noWrap/>
            <w:vAlign w:val="center"/>
          </w:tcPr>
          <w:p w14:paraId="0042DBB3">
            <w:pPr>
              <w:jc w:val="center"/>
              <w:rPr>
                <w:rFonts w:ascii="宋体" w:hAnsi="宋体" w:cs="宋体"/>
                <w:szCs w:val="21"/>
              </w:rPr>
            </w:pPr>
          </w:p>
        </w:tc>
        <w:tc>
          <w:tcPr>
            <w:tcW w:w="7253" w:type="dxa"/>
            <w:noWrap/>
          </w:tcPr>
          <w:p w14:paraId="503FF9CE">
            <w:pPr>
              <w:rPr>
                <w:rFonts w:ascii="宋体" w:hAnsi="宋体" w:cs="宋体"/>
                <w:szCs w:val="21"/>
              </w:rPr>
            </w:pPr>
            <w:r>
              <w:rPr>
                <w:rFonts w:hint="eastAsia" w:ascii="宋体" w:hAnsi="宋体" w:cs="宋体"/>
                <w:szCs w:val="21"/>
              </w:rPr>
              <w:t>按照《高校实验室安全风险评价表》评分在[75, 100)范围的实验室。</w:t>
            </w:r>
          </w:p>
        </w:tc>
      </w:tr>
      <w:tr w14:paraId="07957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56" w:type="dxa"/>
            <w:vMerge w:val="restart"/>
            <w:noWrap/>
            <w:vAlign w:val="center"/>
          </w:tcPr>
          <w:p w14:paraId="73E5F80D">
            <w:pPr>
              <w:jc w:val="center"/>
              <w:rPr>
                <w:rFonts w:ascii="宋体" w:hAnsi="宋体" w:cs="宋体"/>
                <w:szCs w:val="21"/>
              </w:rPr>
            </w:pPr>
            <w:r>
              <w:rPr>
                <w:rFonts w:hint="eastAsia" w:ascii="宋体" w:hAnsi="宋体" w:cs="宋体"/>
                <w:szCs w:val="21"/>
              </w:rPr>
              <w:t>Ⅲ级/黄色级实验室（中风险实验室）</w:t>
            </w:r>
          </w:p>
        </w:tc>
        <w:tc>
          <w:tcPr>
            <w:tcW w:w="7253" w:type="dxa"/>
            <w:noWrap/>
          </w:tcPr>
          <w:p w14:paraId="623A403D">
            <w:pPr>
              <w:rPr>
                <w:rFonts w:ascii="宋体" w:hAnsi="宋体" w:cs="宋体"/>
                <w:szCs w:val="21"/>
              </w:rPr>
            </w:pPr>
            <w:r>
              <w:rPr>
                <w:rFonts w:hint="eastAsia" w:ascii="宋体" w:hAnsi="宋体" w:cs="宋体"/>
                <w:szCs w:val="21"/>
              </w:rPr>
              <w:t>实验室有以下情况之一的：</w:t>
            </w:r>
          </w:p>
          <w:p w14:paraId="4F862034">
            <w:pPr>
              <w:pStyle w:val="455"/>
              <w:numPr>
                <w:ilvl w:val="0"/>
                <w:numId w:val="6"/>
              </w:numPr>
              <w:ind w:firstLineChars="0"/>
              <w:rPr>
                <w:rFonts w:ascii="宋体" w:hAnsi="宋体" w:cs="宋体"/>
                <w:szCs w:val="21"/>
              </w:rPr>
            </w:pPr>
            <w:r>
              <w:rPr>
                <w:rFonts w:hint="eastAsia" w:ascii="宋体" w:hAnsi="宋体" w:cs="宋体"/>
                <w:szCs w:val="21"/>
              </w:rPr>
              <w:t>存储第二/三类易制毒品；</w:t>
            </w:r>
          </w:p>
          <w:p w14:paraId="62F3AE57">
            <w:pPr>
              <w:pStyle w:val="455"/>
              <w:numPr>
                <w:ilvl w:val="0"/>
                <w:numId w:val="6"/>
              </w:numPr>
              <w:ind w:firstLineChars="0"/>
              <w:rPr>
                <w:rFonts w:ascii="宋体" w:hAnsi="宋体" w:cs="宋体"/>
                <w:szCs w:val="21"/>
              </w:rPr>
            </w:pPr>
            <w:r>
              <w:rPr>
                <w:rFonts w:hint="eastAsia" w:ascii="宋体" w:hAnsi="宋体" w:cs="宋体"/>
                <w:szCs w:val="21"/>
              </w:rPr>
              <w:t>生物安全BSL-1、ABSL-1实验室；</w:t>
            </w:r>
          </w:p>
          <w:p w14:paraId="6EFC3F95">
            <w:pPr>
              <w:pStyle w:val="455"/>
              <w:numPr>
                <w:ilvl w:val="0"/>
                <w:numId w:val="6"/>
              </w:numPr>
              <w:ind w:firstLineChars="0"/>
              <w:rPr>
                <w:rFonts w:ascii="宋体" w:hAnsi="宋体" w:cs="宋体"/>
                <w:szCs w:val="21"/>
              </w:rPr>
            </w:pPr>
            <w:r>
              <w:rPr>
                <w:rFonts w:hint="eastAsia" w:ascii="宋体" w:hAnsi="宋体" w:cs="宋体"/>
                <w:szCs w:val="21"/>
              </w:rPr>
              <w:t>基础设备老化；</w:t>
            </w:r>
          </w:p>
          <w:p w14:paraId="3DD4030A">
            <w:pPr>
              <w:pStyle w:val="455"/>
              <w:numPr>
                <w:ilvl w:val="0"/>
                <w:numId w:val="6"/>
              </w:numPr>
              <w:ind w:firstLineChars="0"/>
              <w:rPr>
                <w:rFonts w:ascii="宋体" w:hAnsi="宋体" w:cs="宋体"/>
                <w:szCs w:val="21"/>
              </w:rPr>
            </w:pPr>
            <w:r>
              <w:rPr>
                <w:rFonts w:hint="eastAsia" w:ascii="宋体" w:hAnsi="宋体" w:cs="宋体"/>
                <w:szCs w:val="21"/>
              </w:rPr>
              <w:t>高校自行规定的其他情况。</w:t>
            </w:r>
          </w:p>
        </w:tc>
      </w:tr>
      <w:tr w14:paraId="12B0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trPr>
        <w:tc>
          <w:tcPr>
            <w:tcW w:w="1556" w:type="dxa"/>
            <w:vMerge w:val="continue"/>
            <w:noWrap/>
            <w:vAlign w:val="center"/>
          </w:tcPr>
          <w:p w14:paraId="5601998C">
            <w:pPr>
              <w:jc w:val="center"/>
              <w:rPr>
                <w:rFonts w:ascii="宋体" w:hAnsi="宋体" w:cs="宋体"/>
                <w:szCs w:val="21"/>
              </w:rPr>
            </w:pPr>
          </w:p>
        </w:tc>
        <w:tc>
          <w:tcPr>
            <w:tcW w:w="7253" w:type="dxa"/>
            <w:noWrap/>
          </w:tcPr>
          <w:p w14:paraId="540FD9FC">
            <w:pPr>
              <w:rPr>
                <w:rFonts w:ascii="宋体" w:hAnsi="宋体" w:cs="宋体"/>
                <w:szCs w:val="21"/>
              </w:rPr>
            </w:pPr>
            <w:r>
              <w:rPr>
                <w:rFonts w:hint="eastAsia" w:ascii="宋体" w:hAnsi="宋体" w:cs="宋体"/>
                <w:szCs w:val="21"/>
              </w:rPr>
              <w:t>按照《高校实验室安全风险评价表》评分在[25, 75)范围的实验室。</w:t>
            </w:r>
          </w:p>
        </w:tc>
      </w:tr>
      <w:tr w14:paraId="0BFA8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556" w:type="dxa"/>
            <w:vMerge w:val="restart"/>
            <w:noWrap/>
            <w:vAlign w:val="center"/>
          </w:tcPr>
          <w:p w14:paraId="1697C141">
            <w:pPr>
              <w:jc w:val="center"/>
              <w:rPr>
                <w:rFonts w:ascii="宋体" w:hAnsi="宋体" w:cs="宋体"/>
                <w:szCs w:val="21"/>
              </w:rPr>
            </w:pPr>
            <w:r>
              <w:rPr>
                <w:rFonts w:hint="eastAsia" w:ascii="宋体" w:hAnsi="宋体" w:cs="宋体"/>
                <w:szCs w:val="21"/>
              </w:rPr>
              <w:t>Ⅳ级/蓝色级实验室（低风险实验室）</w:t>
            </w:r>
          </w:p>
        </w:tc>
        <w:tc>
          <w:tcPr>
            <w:tcW w:w="7253" w:type="dxa"/>
            <w:noWrap/>
          </w:tcPr>
          <w:p w14:paraId="1C79CA40">
            <w:pPr>
              <w:pStyle w:val="455"/>
              <w:ind w:firstLine="0" w:firstLineChars="0"/>
              <w:rPr>
                <w:rFonts w:ascii="宋体" w:hAnsi="宋体" w:cs="宋体"/>
                <w:szCs w:val="21"/>
              </w:rPr>
            </w:pPr>
            <w:r>
              <w:rPr>
                <w:rFonts w:hint="eastAsia" w:ascii="宋体" w:hAnsi="宋体" w:cs="宋体"/>
                <w:szCs w:val="21"/>
              </w:rPr>
              <w:t>实验室有以下情况之一的：</w:t>
            </w:r>
          </w:p>
          <w:p w14:paraId="0588B608">
            <w:pPr>
              <w:pStyle w:val="455"/>
              <w:numPr>
                <w:ilvl w:val="0"/>
                <w:numId w:val="7"/>
              </w:numPr>
              <w:ind w:firstLineChars="0"/>
              <w:rPr>
                <w:rFonts w:ascii="宋体" w:hAnsi="宋体" w:cs="宋体"/>
                <w:szCs w:val="21"/>
              </w:rPr>
            </w:pPr>
            <w:r>
              <w:rPr>
                <w:rFonts w:hint="eastAsia" w:ascii="宋体" w:hAnsi="宋体" w:cs="宋体"/>
                <w:szCs w:val="21"/>
              </w:rPr>
              <w:t>不涉及重要危险源的实验室；</w:t>
            </w:r>
          </w:p>
          <w:p w14:paraId="06EAA5AF">
            <w:pPr>
              <w:pStyle w:val="455"/>
              <w:numPr>
                <w:ilvl w:val="0"/>
                <w:numId w:val="7"/>
              </w:numPr>
              <w:ind w:firstLineChars="0"/>
              <w:rPr>
                <w:rFonts w:ascii="宋体" w:hAnsi="宋体" w:cs="宋体"/>
                <w:szCs w:val="21"/>
              </w:rPr>
            </w:pPr>
            <w:r>
              <w:rPr>
                <w:rFonts w:hint="eastAsia" w:ascii="宋体" w:hAnsi="宋体" w:cs="宋体"/>
                <w:szCs w:val="21"/>
              </w:rPr>
              <w:t>主要涉及一般性消防安全、用电安全的实验室；</w:t>
            </w:r>
          </w:p>
          <w:p w14:paraId="1D8EB473">
            <w:pPr>
              <w:pStyle w:val="455"/>
              <w:numPr>
                <w:ilvl w:val="0"/>
                <w:numId w:val="7"/>
              </w:numPr>
              <w:ind w:firstLineChars="0"/>
              <w:rPr>
                <w:rFonts w:ascii="宋体" w:hAnsi="宋体" w:cs="宋体"/>
                <w:szCs w:val="21"/>
              </w:rPr>
            </w:pPr>
            <w:r>
              <w:rPr>
                <w:rFonts w:hint="eastAsia" w:ascii="宋体" w:hAnsi="宋体" w:cs="宋体"/>
                <w:szCs w:val="21"/>
              </w:rPr>
              <w:t>高校自行规定的其他情况</w:t>
            </w:r>
          </w:p>
        </w:tc>
      </w:tr>
      <w:tr w14:paraId="4B031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trPr>
        <w:tc>
          <w:tcPr>
            <w:tcW w:w="1556" w:type="dxa"/>
            <w:vMerge w:val="continue"/>
            <w:noWrap/>
          </w:tcPr>
          <w:p w14:paraId="5624EFAB">
            <w:pPr>
              <w:rPr>
                <w:rFonts w:ascii="宋体" w:hAnsi="宋体" w:cs="宋体"/>
                <w:szCs w:val="21"/>
              </w:rPr>
            </w:pPr>
          </w:p>
        </w:tc>
        <w:tc>
          <w:tcPr>
            <w:tcW w:w="7253" w:type="dxa"/>
            <w:noWrap/>
          </w:tcPr>
          <w:p w14:paraId="0D94F0A7">
            <w:pPr>
              <w:rPr>
                <w:rFonts w:ascii="宋体" w:hAnsi="宋体" w:cs="宋体"/>
                <w:szCs w:val="21"/>
              </w:rPr>
            </w:pPr>
            <w:r>
              <w:rPr>
                <w:rFonts w:hint="eastAsia" w:ascii="宋体" w:hAnsi="宋体" w:cs="宋体"/>
                <w:szCs w:val="21"/>
              </w:rPr>
              <w:t>按照《高校实验室安全风险评价表》评分在[0, 25)范围的实验室。</w:t>
            </w:r>
          </w:p>
        </w:tc>
      </w:tr>
    </w:tbl>
    <w:p w14:paraId="507F92EB">
      <w:pPr>
        <w:jc w:val="center"/>
        <w:rPr>
          <w:rFonts w:ascii="宋体" w:hAnsi="宋体" w:cs="宋体"/>
          <w:bCs/>
          <w:szCs w:val="21"/>
        </w:rPr>
      </w:pPr>
      <w:r>
        <w:rPr>
          <w:rFonts w:hint="eastAsia" w:ascii="宋体" w:hAnsi="宋体" w:cs="宋体"/>
          <w:bCs/>
          <w:szCs w:val="21"/>
        </w:rPr>
        <w:t>表1高校实验室安全分级表</w:t>
      </w:r>
    </w:p>
    <w:p w14:paraId="11E26844">
      <w:pPr>
        <w:pStyle w:val="20"/>
        <w:rPr>
          <w:rFonts w:ascii="宋体" w:hAnsi="宋体" w:cs="宋体"/>
          <w:szCs w:val="21"/>
        </w:rPr>
      </w:pPr>
    </w:p>
    <w:tbl>
      <w:tblPr>
        <w:tblStyle w:val="50"/>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7478"/>
      </w:tblGrid>
      <w:tr w14:paraId="164B9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blHeader/>
        </w:trPr>
        <w:tc>
          <w:tcPr>
            <w:tcW w:w="1481" w:type="dxa"/>
            <w:noWrap/>
          </w:tcPr>
          <w:p w14:paraId="4842B1C1">
            <w:pPr>
              <w:jc w:val="center"/>
              <w:rPr>
                <w:rFonts w:ascii="宋体" w:hAnsi="宋体" w:cs="宋体"/>
                <w:bCs/>
                <w:szCs w:val="21"/>
              </w:rPr>
            </w:pPr>
            <w:r>
              <w:rPr>
                <w:rFonts w:hint="eastAsia" w:ascii="宋体" w:hAnsi="宋体" w:cs="宋体"/>
                <w:bCs/>
                <w:szCs w:val="21"/>
              </w:rPr>
              <w:t>每项计分</w:t>
            </w:r>
          </w:p>
        </w:tc>
        <w:tc>
          <w:tcPr>
            <w:tcW w:w="7478" w:type="dxa"/>
            <w:noWrap/>
          </w:tcPr>
          <w:p w14:paraId="11EB7C49">
            <w:pPr>
              <w:jc w:val="center"/>
              <w:rPr>
                <w:rFonts w:ascii="宋体" w:hAnsi="宋体" w:cs="宋体"/>
                <w:bCs/>
                <w:szCs w:val="21"/>
              </w:rPr>
            </w:pPr>
            <w:r>
              <w:rPr>
                <w:rFonts w:hint="eastAsia" w:ascii="宋体" w:hAnsi="宋体" w:cs="宋体"/>
                <w:bCs/>
                <w:szCs w:val="21"/>
              </w:rPr>
              <w:t>风险源</w:t>
            </w:r>
          </w:p>
        </w:tc>
      </w:tr>
      <w:tr w14:paraId="6510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noWrap/>
            <w:vAlign w:val="center"/>
          </w:tcPr>
          <w:p w14:paraId="1E8EFC7B">
            <w:pPr>
              <w:jc w:val="center"/>
              <w:rPr>
                <w:rFonts w:ascii="宋体" w:hAnsi="宋体" w:cs="宋体"/>
                <w:szCs w:val="21"/>
              </w:rPr>
            </w:pPr>
            <w:r>
              <w:rPr>
                <w:rFonts w:hint="eastAsia" w:ascii="宋体" w:hAnsi="宋体" w:cs="宋体"/>
                <w:szCs w:val="21"/>
              </w:rPr>
              <w:t>25分</w:t>
            </w:r>
          </w:p>
          <w:p w14:paraId="61D9E703">
            <w:pPr>
              <w:jc w:val="center"/>
              <w:rPr>
                <w:rFonts w:ascii="宋体" w:hAnsi="宋体" w:cs="宋体"/>
                <w:szCs w:val="21"/>
              </w:rPr>
            </w:pPr>
          </w:p>
        </w:tc>
        <w:tc>
          <w:tcPr>
            <w:tcW w:w="7478" w:type="dxa"/>
            <w:noWrap/>
          </w:tcPr>
          <w:p w14:paraId="6941A2D0">
            <w:pPr>
              <w:pStyle w:val="455"/>
              <w:numPr>
                <w:ilvl w:val="0"/>
                <w:numId w:val="8"/>
              </w:numPr>
              <w:ind w:firstLine="0" w:firstLineChars="0"/>
              <w:rPr>
                <w:rFonts w:ascii="宋体" w:hAnsi="宋体" w:cs="宋体"/>
                <w:szCs w:val="21"/>
              </w:rPr>
            </w:pPr>
            <w:r>
              <w:rPr>
                <w:rFonts w:hint="eastAsia" w:ascii="宋体" w:hAnsi="宋体" w:cs="宋体"/>
                <w:szCs w:val="21"/>
              </w:rPr>
              <w:t>存储易燃易爆化学品总量在5~20kg或5~20L；</w:t>
            </w:r>
          </w:p>
          <w:p w14:paraId="5638DDC1">
            <w:pPr>
              <w:pStyle w:val="455"/>
              <w:numPr>
                <w:ilvl w:val="0"/>
                <w:numId w:val="8"/>
              </w:numPr>
              <w:ind w:firstLine="0" w:firstLineChars="0"/>
              <w:rPr>
                <w:rFonts w:ascii="宋体" w:hAnsi="宋体" w:cs="宋体"/>
                <w:szCs w:val="21"/>
              </w:rPr>
            </w:pPr>
            <w:r>
              <w:rPr>
                <w:rFonts w:hint="eastAsia" w:ascii="宋体" w:hAnsi="宋体" w:cs="宋体"/>
                <w:szCs w:val="21"/>
              </w:rPr>
              <w:t>存储一般危化品总量50~100kg或50~100L；</w:t>
            </w:r>
          </w:p>
          <w:p w14:paraId="23BE489D">
            <w:pPr>
              <w:pStyle w:val="455"/>
              <w:numPr>
                <w:ilvl w:val="0"/>
                <w:numId w:val="8"/>
              </w:numPr>
              <w:ind w:firstLine="0" w:firstLineChars="0"/>
              <w:rPr>
                <w:rFonts w:ascii="宋体" w:hAnsi="宋体" w:cs="宋体"/>
                <w:szCs w:val="21"/>
              </w:rPr>
            </w:pPr>
            <w:r>
              <w:rPr>
                <w:rFonts w:hint="eastAsia" w:ascii="宋体" w:hAnsi="宋体" w:cs="宋体"/>
                <w:szCs w:val="21"/>
              </w:rPr>
              <w:t>存储有毒、易燃气体总量为2瓶；</w:t>
            </w:r>
          </w:p>
          <w:p w14:paraId="5CF67E20">
            <w:pPr>
              <w:pStyle w:val="455"/>
              <w:numPr>
                <w:ilvl w:val="0"/>
                <w:numId w:val="8"/>
              </w:numPr>
              <w:ind w:firstLine="0" w:firstLineChars="0"/>
              <w:rPr>
                <w:rFonts w:ascii="宋体" w:hAnsi="宋体" w:cs="宋体"/>
                <w:szCs w:val="21"/>
              </w:rPr>
            </w:pPr>
            <w:r>
              <w:rPr>
                <w:rFonts w:hint="eastAsia" w:ascii="宋体" w:hAnsi="宋体" w:cs="宋体"/>
                <w:szCs w:val="21"/>
              </w:rPr>
              <w:t>使用III类射线设备的数量≥2台；</w:t>
            </w:r>
          </w:p>
          <w:p w14:paraId="743F2BE4">
            <w:pPr>
              <w:pStyle w:val="455"/>
              <w:numPr>
                <w:ilvl w:val="0"/>
                <w:numId w:val="8"/>
              </w:numPr>
              <w:ind w:firstLine="0" w:firstLineChars="0"/>
              <w:rPr>
                <w:rFonts w:ascii="宋体" w:hAnsi="宋体" w:cs="宋体"/>
                <w:szCs w:val="21"/>
              </w:rPr>
            </w:pPr>
            <w:r>
              <w:rPr>
                <w:rFonts w:hint="eastAsia" w:ascii="宋体" w:hAnsi="宋体" w:cs="宋体"/>
                <w:szCs w:val="21"/>
              </w:rPr>
              <w:t>使用简单压力容器的数量≥3台；</w:t>
            </w:r>
          </w:p>
          <w:p w14:paraId="5E99801C">
            <w:pPr>
              <w:pStyle w:val="455"/>
              <w:numPr>
                <w:ilvl w:val="0"/>
                <w:numId w:val="8"/>
              </w:numPr>
              <w:ind w:firstLine="0" w:firstLineChars="0"/>
              <w:rPr>
                <w:rFonts w:ascii="宋体" w:hAnsi="宋体" w:cs="宋体"/>
                <w:szCs w:val="21"/>
              </w:rPr>
            </w:pPr>
            <w:r>
              <w:rPr>
                <w:rFonts w:hint="eastAsia" w:ascii="宋体" w:hAnsi="宋体" w:cs="宋体"/>
                <w:szCs w:val="21"/>
              </w:rPr>
              <w:t>实验室使用危险机加工装置的数量≥3台；</w:t>
            </w:r>
          </w:p>
          <w:p w14:paraId="391536C2">
            <w:pPr>
              <w:pStyle w:val="455"/>
              <w:numPr>
                <w:ilvl w:val="0"/>
                <w:numId w:val="8"/>
              </w:numPr>
              <w:ind w:firstLine="0" w:firstLineChars="0"/>
              <w:rPr>
                <w:rFonts w:ascii="宋体" w:hAnsi="宋体" w:cs="宋体"/>
                <w:szCs w:val="21"/>
              </w:rPr>
            </w:pPr>
            <w:r>
              <w:rPr>
                <w:rFonts w:hint="eastAsia" w:ascii="宋体" w:hAnsi="宋体" w:cs="宋体"/>
                <w:szCs w:val="21"/>
              </w:rPr>
              <w:t>实验室使用加热设备数量≥6台；</w:t>
            </w:r>
          </w:p>
          <w:p w14:paraId="244E00BE">
            <w:pPr>
              <w:pStyle w:val="455"/>
              <w:numPr>
                <w:ilvl w:val="0"/>
                <w:numId w:val="8"/>
              </w:numPr>
              <w:ind w:firstLine="0" w:firstLineChars="0"/>
              <w:rPr>
                <w:rFonts w:ascii="宋体" w:hAnsi="宋体" w:cs="宋体"/>
                <w:szCs w:val="21"/>
              </w:rPr>
            </w:pPr>
            <w:r>
              <w:rPr>
                <w:rFonts w:hint="eastAsia" w:ascii="宋体" w:hAnsi="宋体" w:cs="宋体"/>
                <w:szCs w:val="21"/>
              </w:rPr>
              <w:t>实验室每月危险废物产生量≥100 L或kg；</w:t>
            </w:r>
          </w:p>
          <w:p w14:paraId="3C711E0C">
            <w:pPr>
              <w:pStyle w:val="455"/>
              <w:numPr>
                <w:ilvl w:val="0"/>
                <w:numId w:val="8"/>
              </w:numPr>
              <w:ind w:firstLine="0" w:firstLineChars="0"/>
              <w:rPr>
                <w:rFonts w:ascii="宋体" w:hAnsi="宋体" w:cs="宋体"/>
                <w:szCs w:val="21"/>
              </w:rPr>
            </w:pPr>
            <w:r>
              <w:rPr>
                <w:rFonts w:hint="eastAsia" w:ascii="宋体" w:hAnsi="宋体" w:cs="宋体"/>
                <w:szCs w:val="21"/>
              </w:rPr>
              <w:t>高校自行规定的其他情况。</w:t>
            </w:r>
          </w:p>
        </w:tc>
      </w:tr>
      <w:tr w14:paraId="42841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noWrap/>
            <w:vAlign w:val="center"/>
          </w:tcPr>
          <w:p w14:paraId="5CFCB42C">
            <w:pPr>
              <w:jc w:val="center"/>
              <w:rPr>
                <w:rFonts w:ascii="宋体" w:hAnsi="宋体" w:cs="宋体"/>
                <w:szCs w:val="21"/>
              </w:rPr>
            </w:pPr>
            <w:r>
              <w:rPr>
                <w:rFonts w:hint="eastAsia" w:ascii="宋体" w:hAnsi="宋体" w:cs="宋体"/>
                <w:szCs w:val="21"/>
              </w:rPr>
              <w:t>10分</w:t>
            </w:r>
          </w:p>
        </w:tc>
        <w:tc>
          <w:tcPr>
            <w:tcW w:w="7478" w:type="dxa"/>
            <w:noWrap/>
          </w:tcPr>
          <w:p w14:paraId="0AC7738E">
            <w:pPr>
              <w:pStyle w:val="455"/>
              <w:numPr>
                <w:ilvl w:val="0"/>
                <w:numId w:val="9"/>
              </w:numPr>
              <w:ind w:firstLineChars="0"/>
              <w:rPr>
                <w:rFonts w:ascii="宋体" w:hAnsi="宋体" w:cs="宋体"/>
                <w:szCs w:val="21"/>
              </w:rPr>
            </w:pPr>
            <w:r>
              <w:rPr>
                <w:rFonts w:hint="eastAsia" w:ascii="宋体" w:hAnsi="宋体" w:cs="宋体"/>
                <w:szCs w:val="21"/>
              </w:rPr>
              <w:t>使用超过人体安全电压（36V）的实验；</w:t>
            </w:r>
          </w:p>
          <w:p w14:paraId="11B2A4EE">
            <w:pPr>
              <w:pStyle w:val="455"/>
              <w:numPr>
                <w:ilvl w:val="0"/>
                <w:numId w:val="9"/>
              </w:numPr>
              <w:ind w:firstLineChars="0"/>
              <w:rPr>
                <w:rFonts w:ascii="宋体" w:hAnsi="宋体" w:cs="宋体"/>
                <w:szCs w:val="21"/>
              </w:rPr>
            </w:pPr>
            <w:r>
              <w:rPr>
                <w:rFonts w:hint="eastAsia" w:ascii="宋体" w:hAnsi="宋体" w:cs="宋体"/>
                <w:szCs w:val="21"/>
              </w:rPr>
              <w:t>涉及合成放热实验；</w:t>
            </w:r>
          </w:p>
          <w:p w14:paraId="12D9A420">
            <w:pPr>
              <w:pStyle w:val="455"/>
              <w:numPr>
                <w:ilvl w:val="0"/>
                <w:numId w:val="9"/>
              </w:numPr>
              <w:ind w:firstLineChars="0"/>
              <w:rPr>
                <w:rFonts w:ascii="宋体" w:hAnsi="宋体" w:cs="宋体"/>
                <w:szCs w:val="21"/>
              </w:rPr>
            </w:pPr>
            <w:r>
              <w:rPr>
                <w:rFonts w:hint="eastAsia" w:ascii="宋体" w:hAnsi="宋体" w:cs="宋体"/>
                <w:szCs w:val="21"/>
              </w:rPr>
              <w:t>涉及压力实验；</w:t>
            </w:r>
          </w:p>
          <w:p w14:paraId="2E36C410">
            <w:pPr>
              <w:pStyle w:val="455"/>
              <w:numPr>
                <w:ilvl w:val="0"/>
                <w:numId w:val="9"/>
              </w:numPr>
              <w:ind w:firstLineChars="0"/>
              <w:rPr>
                <w:rFonts w:ascii="宋体" w:hAnsi="宋体" w:cs="宋体"/>
                <w:szCs w:val="21"/>
              </w:rPr>
            </w:pPr>
            <w:r>
              <w:rPr>
                <w:rFonts w:hint="eastAsia" w:ascii="宋体" w:hAnsi="宋体" w:cs="宋体"/>
                <w:szCs w:val="21"/>
              </w:rPr>
              <w:t>产生易燃气体的实验；</w:t>
            </w:r>
          </w:p>
          <w:p w14:paraId="3DDAEC0E">
            <w:pPr>
              <w:pStyle w:val="455"/>
              <w:numPr>
                <w:ilvl w:val="0"/>
                <w:numId w:val="9"/>
              </w:numPr>
              <w:ind w:firstLineChars="0"/>
              <w:rPr>
                <w:rFonts w:ascii="宋体" w:hAnsi="宋体" w:cs="宋体"/>
                <w:szCs w:val="21"/>
              </w:rPr>
            </w:pPr>
            <w:r>
              <w:rPr>
                <w:rFonts w:hint="eastAsia" w:ascii="宋体" w:hAnsi="宋体" w:cs="宋体"/>
                <w:szCs w:val="21"/>
              </w:rPr>
              <w:t>涉及持续加热实验；</w:t>
            </w:r>
          </w:p>
          <w:p w14:paraId="70762A29">
            <w:pPr>
              <w:pStyle w:val="455"/>
              <w:numPr>
                <w:ilvl w:val="0"/>
                <w:numId w:val="9"/>
              </w:numPr>
              <w:ind w:firstLineChars="0"/>
              <w:rPr>
                <w:rFonts w:ascii="宋体" w:hAnsi="宋体" w:cs="宋体"/>
                <w:szCs w:val="21"/>
              </w:rPr>
            </w:pPr>
            <w:r>
              <w:rPr>
                <w:rFonts w:hint="eastAsia" w:ascii="宋体" w:hAnsi="宋体" w:cs="宋体"/>
                <w:szCs w:val="21"/>
              </w:rPr>
              <w:t>使用一般实验室自制设备；</w:t>
            </w:r>
          </w:p>
          <w:p w14:paraId="70393E0A">
            <w:pPr>
              <w:pStyle w:val="455"/>
              <w:numPr>
                <w:ilvl w:val="0"/>
                <w:numId w:val="9"/>
              </w:numPr>
              <w:ind w:firstLineChars="0"/>
              <w:rPr>
                <w:rFonts w:ascii="宋体" w:hAnsi="宋体" w:cs="宋体"/>
                <w:szCs w:val="21"/>
              </w:rPr>
            </w:pPr>
            <w:r>
              <w:rPr>
                <w:rFonts w:hint="eastAsia" w:ascii="宋体" w:hAnsi="宋体" w:cs="宋体"/>
                <w:szCs w:val="21"/>
              </w:rPr>
              <w:t>存储易燃易爆化学品＜5kg或5L；</w:t>
            </w:r>
          </w:p>
          <w:p w14:paraId="71296582">
            <w:pPr>
              <w:pStyle w:val="455"/>
              <w:numPr>
                <w:ilvl w:val="0"/>
                <w:numId w:val="9"/>
              </w:numPr>
              <w:ind w:firstLineChars="0"/>
              <w:rPr>
                <w:rFonts w:ascii="宋体" w:hAnsi="宋体" w:cs="宋体"/>
                <w:szCs w:val="21"/>
              </w:rPr>
            </w:pPr>
            <w:r>
              <w:rPr>
                <w:rFonts w:hint="eastAsia" w:ascii="宋体" w:hAnsi="宋体" w:cs="宋体"/>
                <w:szCs w:val="21"/>
              </w:rPr>
              <w:t>实验室存储一般危化品总量＜50kg或50L；</w:t>
            </w:r>
          </w:p>
          <w:p w14:paraId="1083F94A">
            <w:pPr>
              <w:pStyle w:val="455"/>
              <w:numPr>
                <w:ilvl w:val="0"/>
                <w:numId w:val="9"/>
              </w:numPr>
              <w:ind w:firstLineChars="0"/>
              <w:rPr>
                <w:rFonts w:ascii="宋体" w:hAnsi="宋体" w:cs="宋体"/>
                <w:szCs w:val="21"/>
              </w:rPr>
            </w:pPr>
            <w:r>
              <w:rPr>
                <w:rFonts w:hint="eastAsia" w:ascii="宋体" w:hAnsi="宋体" w:cs="宋体"/>
                <w:szCs w:val="21"/>
              </w:rPr>
              <w:t>存储有毒、易燃气体1瓶；</w:t>
            </w:r>
          </w:p>
          <w:p w14:paraId="4705E381">
            <w:pPr>
              <w:pStyle w:val="455"/>
              <w:numPr>
                <w:ilvl w:val="0"/>
                <w:numId w:val="9"/>
              </w:numPr>
              <w:ind w:firstLineChars="0"/>
              <w:rPr>
                <w:rFonts w:ascii="宋体" w:hAnsi="宋体" w:cs="宋体"/>
                <w:szCs w:val="21"/>
              </w:rPr>
            </w:pPr>
            <w:r>
              <w:rPr>
                <w:rFonts w:hint="eastAsia" w:ascii="宋体" w:hAnsi="宋体" w:cs="宋体"/>
                <w:szCs w:val="21"/>
              </w:rPr>
              <w:t>存储或使用有活性的病原微生物，对人或其他动物感染性较弱，或感染后易治愈；</w:t>
            </w:r>
          </w:p>
          <w:p w14:paraId="249FAAA4">
            <w:pPr>
              <w:pStyle w:val="455"/>
              <w:numPr>
                <w:ilvl w:val="0"/>
                <w:numId w:val="9"/>
              </w:numPr>
              <w:ind w:firstLineChars="0"/>
              <w:rPr>
                <w:rFonts w:ascii="宋体" w:hAnsi="宋体" w:cs="宋体"/>
                <w:szCs w:val="21"/>
              </w:rPr>
            </w:pPr>
            <w:r>
              <w:rPr>
                <w:rFonts w:hint="eastAsia" w:ascii="宋体" w:hAnsi="宋体" w:cs="宋体"/>
                <w:szCs w:val="21"/>
              </w:rPr>
              <w:t>使用简单压力容器1~2台；</w:t>
            </w:r>
          </w:p>
          <w:p w14:paraId="7BC5BF3F">
            <w:pPr>
              <w:pStyle w:val="455"/>
              <w:numPr>
                <w:ilvl w:val="0"/>
                <w:numId w:val="9"/>
              </w:numPr>
              <w:ind w:firstLineChars="0"/>
              <w:rPr>
                <w:rFonts w:ascii="宋体" w:hAnsi="宋体" w:cs="宋体"/>
                <w:szCs w:val="21"/>
              </w:rPr>
            </w:pPr>
            <w:r>
              <w:rPr>
                <w:rFonts w:hint="eastAsia" w:ascii="宋体" w:hAnsi="宋体" w:cs="宋体"/>
                <w:szCs w:val="21"/>
              </w:rPr>
              <w:t>使用III类射线设备1台；</w:t>
            </w:r>
          </w:p>
          <w:p w14:paraId="03E35090">
            <w:pPr>
              <w:pStyle w:val="455"/>
              <w:numPr>
                <w:ilvl w:val="0"/>
                <w:numId w:val="9"/>
              </w:numPr>
              <w:ind w:firstLineChars="0"/>
              <w:rPr>
                <w:rFonts w:ascii="宋体" w:hAnsi="宋体" w:cs="宋体"/>
                <w:szCs w:val="21"/>
              </w:rPr>
            </w:pPr>
            <w:r>
              <w:rPr>
                <w:rFonts w:hint="eastAsia" w:ascii="宋体" w:hAnsi="宋体" w:cs="宋体"/>
                <w:szCs w:val="21"/>
              </w:rPr>
              <w:t>使用危险机加工装置1~2台；</w:t>
            </w:r>
          </w:p>
          <w:p w14:paraId="639DC338">
            <w:pPr>
              <w:pStyle w:val="455"/>
              <w:numPr>
                <w:ilvl w:val="0"/>
                <w:numId w:val="9"/>
              </w:numPr>
              <w:ind w:firstLineChars="0"/>
              <w:rPr>
                <w:rFonts w:ascii="宋体" w:hAnsi="宋体" w:cs="宋体"/>
                <w:szCs w:val="21"/>
              </w:rPr>
            </w:pPr>
            <w:r>
              <w:rPr>
                <w:rFonts w:hint="eastAsia" w:ascii="宋体" w:hAnsi="宋体" w:cs="宋体"/>
                <w:szCs w:val="21"/>
              </w:rPr>
              <w:t>使用一般机加工装置的数量≥5台；</w:t>
            </w:r>
          </w:p>
          <w:p w14:paraId="6048E21B">
            <w:pPr>
              <w:pStyle w:val="455"/>
              <w:numPr>
                <w:ilvl w:val="0"/>
                <w:numId w:val="9"/>
              </w:numPr>
              <w:ind w:firstLineChars="0"/>
              <w:rPr>
                <w:rFonts w:ascii="宋体" w:hAnsi="宋体" w:cs="宋体"/>
                <w:szCs w:val="21"/>
              </w:rPr>
            </w:pPr>
            <w:r>
              <w:rPr>
                <w:rFonts w:hint="eastAsia" w:ascii="宋体" w:hAnsi="宋体" w:cs="宋体"/>
                <w:szCs w:val="21"/>
              </w:rPr>
              <w:t>实验室一般用电设备负载≥80%设计负载；</w:t>
            </w:r>
          </w:p>
          <w:p w14:paraId="200A083A">
            <w:pPr>
              <w:pStyle w:val="455"/>
              <w:numPr>
                <w:ilvl w:val="0"/>
                <w:numId w:val="9"/>
              </w:numPr>
              <w:ind w:firstLineChars="0"/>
              <w:rPr>
                <w:rFonts w:ascii="宋体" w:hAnsi="宋体" w:cs="宋体"/>
                <w:szCs w:val="21"/>
              </w:rPr>
            </w:pPr>
            <w:r>
              <w:rPr>
                <w:rFonts w:hint="eastAsia" w:ascii="宋体" w:hAnsi="宋体" w:cs="宋体"/>
                <w:szCs w:val="21"/>
              </w:rPr>
              <w:t>使用2、2M、1、1M类激光设备的数量≥3台；</w:t>
            </w:r>
          </w:p>
          <w:p w14:paraId="3CAA9781">
            <w:pPr>
              <w:pStyle w:val="455"/>
              <w:numPr>
                <w:ilvl w:val="0"/>
                <w:numId w:val="9"/>
              </w:numPr>
              <w:ind w:firstLineChars="0"/>
              <w:rPr>
                <w:rFonts w:ascii="宋体" w:hAnsi="宋体" w:cs="宋体"/>
                <w:szCs w:val="21"/>
              </w:rPr>
            </w:pPr>
            <w:r>
              <w:rPr>
                <w:rFonts w:hint="eastAsia" w:ascii="宋体" w:hAnsi="宋体" w:cs="宋体"/>
                <w:szCs w:val="21"/>
              </w:rPr>
              <w:t>实验室每月危险废物产生量为20~100 L或kg；</w:t>
            </w:r>
          </w:p>
          <w:p w14:paraId="1B7B8537">
            <w:pPr>
              <w:pStyle w:val="455"/>
              <w:numPr>
                <w:ilvl w:val="0"/>
                <w:numId w:val="9"/>
              </w:numPr>
              <w:ind w:firstLineChars="0"/>
              <w:rPr>
                <w:rFonts w:ascii="宋体" w:hAnsi="宋体" w:cs="宋体"/>
                <w:szCs w:val="21"/>
              </w:rPr>
            </w:pPr>
            <w:r>
              <w:rPr>
                <w:rFonts w:hint="eastAsia" w:ascii="宋体" w:hAnsi="宋体" w:cs="宋体"/>
                <w:szCs w:val="21"/>
              </w:rPr>
              <w:t>实验室使用加热设备数量3~5台；</w:t>
            </w:r>
          </w:p>
          <w:p w14:paraId="7A22C33A">
            <w:pPr>
              <w:pStyle w:val="455"/>
              <w:numPr>
                <w:ilvl w:val="0"/>
                <w:numId w:val="9"/>
              </w:numPr>
              <w:ind w:firstLineChars="0"/>
              <w:rPr>
                <w:rFonts w:ascii="宋体" w:hAnsi="宋体" w:cs="宋体"/>
                <w:szCs w:val="21"/>
              </w:rPr>
            </w:pPr>
            <w:r>
              <w:rPr>
                <w:rFonts w:hint="eastAsia" w:ascii="宋体" w:hAnsi="宋体" w:cs="宋体"/>
                <w:szCs w:val="21"/>
              </w:rPr>
              <w:t>实验室使用每1台明火设备；</w:t>
            </w:r>
          </w:p>
          <w:p w14:paraId="651BDB85">
            <w:pPr>
              <w:pStyle w:val="455"/>
              <w:numPr>
                <w:ilvl w:val="0"/>
                <w:numId w:val="9"/>
              </w:numPr>
              <w:ind w:firstLineChars="0"/>
              <w:rPr>
                <w:rFonts w:ascii="宋体" w:hAnsi="宋体" w:cs="宋体"/>
                <w:szCs w:val="21"/>
              </w:rPr>
            </w:pPr>
            <w:r>
              <w:rPr>
                <w:rFonts w:hint="eastAsia" w:ascii="宋体" w:hAnsi="宋体" w:cs="宋体"/>
                <w:szCs w:val="21"/>
              </w:rPr>
              <w:t>高校自行规定的其他情况。</w:t>
            </w:r>
          </w:p>
        </w:tc>
      </w:tr>
      <w:tr w14:paraId="3E653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trPr>
        <w:tc>
          <w:tcPr>
            <w:tcW w:w="1481" w:type="dxa"/>
            <w:noWrap/>
            <w:vAlign w:val="center"/>
          </w:tcPr>
          <w:p w14:paraId="5FB9F4CF">
            <w:pPr>
              <w:jc w:val="center"/>
              <w:rPr>
                <w:rFonts w:ascii="宋体" w:hAnsi="宋体" w:cs="宋体"/>
                <w:szCs w:val="21"/>
              </w:rPr>
            </w:pPr>
            <w:r>
              <w:rPr>
                <w:rFonts w:hint="eastAsia" w:ascii="宋体" w:hAnsi="宋体" w:cs="宋体"/>
                <w:szCs w:val="21"/>
              </w:rPr>
              <w:t>5分</w:t>
            </w:r>
          </w:p>
        </w:tc>
        <w:tc>
          <w:tcPr>
            <w:tcW w:w="7478" w:type="dxa"/>
            <w:noWrap/>
          </w:tcPr>
          <w:p w14:paraId="446B78E3">
            <w:pPr>
              <w:pStyle w:val="455"/>
              <w:numPr>
                <w:ilvl w:val="0"/>
                <w:numId w:val="10"/>
              </w:numPr>
              <w:ind w:firstLineChars="0"/>
              <w:rPr>
                <w:rFonts w:ascii="宋体" w:hAnsi="宋体" w:cs="宋体"/>
                <w:szCs w:val="21"/>
              </w:rPr>
            </w:pPr>
            <w:r>
              <w:rPr>
                <w:rFonts w:hint="eastAsia" w:ascii="宋体" w:hAnsi="宋体" w:cs="宋体"/>
                <w:szCs w:val="21"/>
              </w:rPr>
              <w:t>存储普通气体1~4瓶；</w:t>
            </w:r>
          </w:p>
          <w:p w14:paraId="4F0A133D">
            <w:pPr>
              <w:pStyle w:val="455"/>
              <w:numPr>
                <w:ilvl w:val="0"/>
                <w:numId w:val="10"/>
              </w:numPr>
              <w:ind w:firstLineChars="0"/>
              <w:rPr>
                <w:rFonts w:ascii="宋体" w:hAnsi="宋体" w:cs="宋体"/>
                <w:szCs w:val="21"/>
              </w:rPr>
            </w:pPr>
            <w:r>
              <w:rPr>
                <w:rFonts w:hint="eastAsia" w:ascii="宋体" w:hAnsi="宋体" w:cs="宋体"/>
                <w:szCs w:val="21"/>
              </w:rPr>
              <w:t>使用一般机加工装置1~4台；</w:t>
            </w:r>
          </w:p>
          <w:p w14:paraId="37A6F03B">
            <w:pPr>
              <w:pStyle w:val="455"/>
              <w:numPr>
                <w:ilvl w:val="0"/>
                <w:numId w:val="10"/>
              </w:numPr>
              <w:ind w:firstLineChars="0"/>
              <w:rPr>
                <w:rFonts w:ascii="宋体" w:hAnsi="宋体" w:cs="宋体"/>
                <w:szCs w:val="21"/>
              </w:rPr>
            </w:pPr>
            <w:r>
              <w:rPr>
                <w:rFonts w:hint="eastAsia" w:ascii="宋体" w:hAnsi="宋体" w:cs="宋体"/>
                <w:szCs w:val="21"/>
              </w:rPr>
              <w:t>使用2、2M、1、1M类激光设备1~2台；</w:t>
            </w:r>
          </w:p>
          <w:p w14:paraId="54A0BE59">
            <w:pPr>
              <w:pStyle w:val="455"/>
              <w:numPr>
                <w:ilvl w:val="0"/>
                <w:numId w:val="10"/>
              </w:numPr>
              <w:ind w:firstLineChars="0"/>
              <w:rPr>
                <w:rFonts w:ascii="宋体" w:hAnsi="宋体" w:cs="宋体"/>
                <w:szCs w:val="21"/>
              </w:rPr>
            </w:pPr>
            <w:r>
              <w:rPr>
                <w:rFonts w:hint="eastAsia" w:ascii="宋体" w:hAnsi="宋体" w:cs="宋体"/>
                <w:szCs w:val="21"/>
              </w:rPr>
              <w:t>实验室每月危险废物产生量＜20 L或kg；</w:t>
            </w:r>
          </w:p>
          <w:p w14:paraId="2D6D1415">
            <w:pPr>
              <w:pStyle w:val="455"/>
              <w:numPr>
                <w:ilvl w:val="0"/>
                <w:numId w:val="10"/>
              </w:numPr>
              <w:ind w:firstLineChars="0"/>
              <w:rPr>
                <w:rFonts w:ascii="宋体" w:hAnsi="宋体" w:cs="宋体"/>
                <w:szCs w:val="21"/>
              </w:rPr>
            </w:pPr>
            <w:r>
              <w:rPr>
                <w:rFonts w:hint="eastAsia" w:ascii="宋体" w:hAnsi="宋体" w:cs="宋体"/>
                <w:szCs w:val="21"/>
              </w:rPr>
              <w:t>实验室使用加热设备数量1~2台；</w:t>
            </w:r>
          </w:p>
          <w:p w14:paraId="65C6940E">
            <w:pPr>
              <w:pStyle w:val="455"/>
              <w:numPr>
                <w:ilvl w:val="0"/>
                <w:numId w:val="10"/>
              </w:numPr>
              <w:ind w:firstLineChars="0"/>
              <w:rPr>
                <w:rFonts w:ascii="宋体" w:hAnsi="宋体" w:cs="宋体"/>
                <w:szCs w:val="21"/>
              </w:rPr>
            </w:pPr>
            <w:r>
              <w:rPr>
                <w:rFonts w:hint="eastAsia" w:ascii="宋体" w:hAnsi="宋体" w:cs="宋体"/>
                <w:szCs w:val="21"/>
              </w:rPr>
              <w:t>存放危险化学品的防爆冰箱或经防爆改造冰箱数量每1台；</w:t>
            </w:r>
          </w:p>
          <w:p w14:paraId="7E75A231">
            <w:pPr>
              <w:pStyle w:val="455"/>
              <w:numPr>
                <w:ilvl w:val="0"/>
                <w:numId w:val="10"/>
              </w:numPr>
              <w:ind w:firstLineChars="0"/>
              <w:rPr>
                <w:rFonts w:ascii="宋体" w:hAnsi="宋体" w:cs="宋体"/>
                <w:szCs w:val="21"/>
              </w:rPr>
            </w:pPr>
            <w:r>
              <w:rPr>
                <w:rFonts w:hint="eastAsia" w:ascii="宋体" w:hAnsi="宋体" w:cs="宋体"/>
                <w:szCs w:val="21"/>
              </w:rPr>
              <w:t>实验室使用每1台快捷电热设备；</w:t>
            </w:r>
          </w:p>
          <w:p w14:paraId="66FE64CF">
            <w:pPr>
              <w:pStyle w:val="455"/>
              <w:numPr>
                <w:ilvl w:val="0"/>
                <w:numId w:val="10"/>
              </w:numPr>
              <w:ind w:firstLineChars="0"/>
              <w:rPr>
                <w:rFonts w:ascii="宋体" w:hAnsi="宋体" w:cs="宋体"/>
                <w:szCs w:val="21"/>
              </w:rPr>
            </w:pPr>
            <w:r>
              <w:rPr>
                <w:rFonts w:hint="eastAsia" w:ascii="宋体" w:hAnsi="宋体" w:cs="宋体"/>
                <w:szCs w:val="21"/>
              </w:rPr>
              <w:t>高校自行规定的其他情况。</w:t>
            </w:r>
          </w:p>
        </w:tc>
      </w:tr>
    </w:tbl>
    <w:p w14:paraId="64DC6166">
      <w:pPr>
        <w:jc w:val="center"/>
        <w:rPr>
          <w:rFonts w:ascii="宋体" w:hAnsi="宋体" w:cs="宋体"/>
          <w:bCs/>
          <w:szCs w:val="21"/>
        </w:rPr>
      </w:pPr>
      <w:r>
        <w:rPr>
          <w:rFonts w:hint="eastAsia" w:ascii="宋体" w:hAnsi="宋体" w:cs="宋体"/>
          <w:bCs/>
          <w:szCs w:val="21"/>
        </w:rPr>
        <w:t>表2高校实验室安全风险评价表</w:t>
      </w:r>
    </w:p>
    <w:p w14:paraId="46CBB4F4">
      <w:pPr>
        <w:spacing w:line="360" w:lineRule="auto"/>
        <w:ind w:firstLine="420" w:firstLineChars="200"/>
        <w:rPr>
          <w:rFonts w:ascii="宋体" w:hAnsi="宋体" w:cs="宋体"/>
          <w:szCs w:val="21"/>
        </w:rPr>
      </w:pPr>
      <w:r>
        <w:rPr>
          <w:rFonts w:hint="eastAsia" w:ascii="宋体" w:hAnsi="宋体" w:cs="宋体"/>
          <w:bCs/>
          <w:szCs w:val="21"/>
        </w:rPr>
        <w:t>中标人对采购人实训（验）室</w:t>
      </w:r>
      <w:r>
        <w:rPr>
          <w:rFonts w:hint="eastAsia" w:ascii="宋体" w:hAnsi="宋体" w:cs="宋体"/>
          <w:szCs w:val="21"/>
        </w:rPr>
        <w:t>分级先按表1中各级</w:t>
      </w:r>
      <w:r>
        <w:rPr>
          <w:rFonts w:hint="eastAsia" w:ascii="宋体" w:hAnsi="宋体" w:cs="宋体"/>
          <w:bCs/>
          <w:szCs w:val="21"/>
        </w:rPr>
        <w:t>实训（验）室</w:t>
      </w:r>
      <w:r>
        <w:rPr>
          <w:rFonts w:hint="eastAsia" w:ascii="宋体" w:hAnsi="宋体" w:cs="宋体"/>
          <w:szCs w:val="21"/>
        </w:rPr>
        <w:t>所对应的参考情况划分，无所列情况的，按表2高校实验室安全风险评价表进行累计评分确定等级。根据表2时累计评分达到100分的为Ⅰ级/红色级实验室（重大风险实验室）；累计评分在[75, 100)范围的为Ⅱ级/橙色级实验室（高风险实验室）；累计评分在[25, 75)范围的为Ⅲ级/黄色级实验室（中风险实验室）；累计评分在[0, 25)范围的为Ⅳ级/蓝色级实验室（低风险实验室）。对于</w:t>
      </w:r>
      <w:r>
        <w:rPr>
          <w:rFonts w:hint="eastAsia" w:ascii="宋体" w:hAnsi="宋体" w:cs="宋体"/>
          <w:bCs/>
          <w:szCs w:val="21"/>
        </w:rPr>
        <w:t>采购人实训（验）室</w:t>
      </w:r>
      <w:r>
        <w:rPr>
          <w:rFonts w:hint="eastAsia" w:ascii="宋体" w:hAnsi="宋体" w:cs="宋体"/>
          <w:szCs w:val="21"/>
        </w:rPr>
        <w:t>既有表1所列参考情况，又有表2所列危险源的，取两者较高者所对应的</w:t>
      </w:r>
      <w:r>
        <w:rPr>
          <w:rFonts w:hint="eastAsia" w:ascii="宋体" w:hAnsi="宋体" w:cs="宋体"/>
          <w:bCs/>
          <w:szCs w:val="21"/>
        </w:rPr>
        <w:t>实训（验）室</w:t>
      </w:r>
      <w:r>
        <w:rPr>
          <w:rFonts w:hint="eastAsia" w:ascii="宋体" w:hAnsi="宋体" w:cs="宋体"/>
          <w:szCs w:val="21"/>
        </w:rPr>
        <w:t>等级来判定。</w:t>
      </w:r>
    </w:p>
    <w:p w14:paraId="06757163">
      <w:pPr>
        <w:spacing w:line="360" w:lineRule="auto"/>
        <w:ind w:firstLine="420" w:firstLineChars="200"/>
        <w:rPr>
          <w:rFonts w:ascii="宋体" w:hAnsi="宋体" w:cs="宋体"/>
          <w:bCs/>
          <w:szCs w:val="21"/>
        </w:rPr>
      </w:pPr>
      <w:r>
        <w:rPr>
          <w:rFonts w:hint="eastAsia" w:ascii="宋体" w:hAnsi="宋体" w:cs="宋体"/>
          <w:bCs/>
          <w:szCs w:val="21"/>
        </w:rPr>
        <w:t>2.实训（验）室分类</w:t>
      </w:r>
    </w:p>
    <w:p w14:paraId="6838C7B0">
      <w:pPr>
        <w:spacing w:line="360" w:lineRule="auto"/>
        <w:ind w:firstLine="420" w:firstLineChars="200"/>
        <w:rPr>
          <w:rFonts w:ascii="宋体" w:hAnsi="宋体" w:cs="宋体"/>
          <w:bCs/>
          <w:szCs w:val="21"/>
        </w:rPr>
      </w:pPr>
      <w:r>
        <w:rPr>
          <w:rFonts w:hint="eastAsia" w:ascii="宋体" w:hAnsi="宋体" w:cs="宋体"/>
          <w:bCs/>
          <w:szCs w:val="21"/>
        </w:rPr>
        <w:t>中标人对采购人实训（验）室安全分类依据实训（验）室中存在的主要危险源类别判定实训（验）室安全类别。同一间实训（验）室涉及危险源种类较多的，可依据等级最高的危险源来判定其类别。具体划分参考表3高校实验室分类参照表（以教育部最新颁布的《高等学校实验室安全分级分类管理办法（试行）》为准）。</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1307"/>
        <w:gridCol w:w="7972"/>
      </w:tblGrid>
      <w:tr w14:paraId="47417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noWrap/>
          </w:tcPr>
          <w:p w14:paraId="7A5F5771">
            <w:pPr>
              <w:jc w:val="center"/>
              <w:rPr>
                <w:rFonts w:ascii="宋体" w:hAnsi="宋体" w:cs="宋体"/>
                <w:szCs w:val="21"/>
              </w:rPr>
            </w:pPr>
            <w:r>
              <w:rPr>
                <w:rFonts w:hint="eastAsia" w:ascii="宋体" w:hAnsi="宋体" w:cs="宋体"/>
                <w:szCs w:val="21"/>
              </w:rPr>
              <w:t>序号</w:t>
            </w:r>
          </w:p>
        </w:tc>
        <w:tc>
          <w:tcPr>
            <w:tcW w:w="1701" w:type="dxa"/>
            <w:noWrap/>
            <w:vAlign w:val="center"/>
          </w:tcPr>
          <w:p w14:paraId="10264E90">
            <w:pPr>
              <w:jc w:val="center"/>
              <w:rPr>
                <w:rFonts w:ascii="宋体" w:hAnsi="宋体" w:cs="宋体"/>
                <w:szCs w:val="21"/>
              </w:rPr>
            </w:pPr>
            <w:r>
              <w:rPr>
                <w:rFonts w:hint="eastAsia" w:ascii="宋体" w:hAnsi="宋体" w:cs="宋体"/>
                <w:szCs w:val="21"/>
              </w:rPr>
              <w:t>实验室分类</w:t>
            </w:r>
          </w:p>
        </w:tc>
        <w:tc>
          <w:tcPr>
            <w:tcW w:w="10773" w:type="dxa"/>
            <w:noWrap/>
            <w:vAlign w:val="center"/>
          </w:tcPr>
          <w:p w14:paraId="5739D2AD">
            <w:pPr>
              <w:jc w:val="center"/>
              <w:rPr>
                <w:rFonts w:ascii="宋体" w:hAnsi="宋体" w:cs="宋体"/>
                <w:szCs w:val="21"/>
              </w:rPr>
            </w:pPr>
            <w:r>
              <w:rPr>
                <w:rFonts w:hint="eastAsia" w:ascii="宋体" w:hAnsi="宋体" w:cs="宋体"/>
                <w:szCs w:val="21"/>
              </w:rPr>
              <w:t>分类参照依据</w:t>
            </w:r>
          </w:p>
        </w:tc>
      </w:tr>
      <w:tr w14:paraId="7D557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04" w:type="dxa"/>
            <w:noWrap/>
            <w:vAlign w:val="center"/>
          </w:tcPr>
          <w:p w14:paraId="50CA9481">
            <w:pPr>
              <w:jc w:val="center"/>
              <w:rPr>
                <w:rFonts w:ascii="宋体" w:hAnsi="宋体" w:cs="宋体"/>
                <w:szCs w:val="21"/>
              </w:rPr>
            </w:pPr>
            <w:r>
              <w:rPr>
                <w:rFonts w:hint="eastAsia" w:ascii="宋体" w:hAnsi="宋体" w:cs="宋体"/>
                <w:szCs w:val="21"/>
              </w:rPr>
              <w:t>1</w:t>
            </w:r>
          </w:p>
        </w:tc>
        <w:tc>
          <w:tcPr>
            <w:tcW w:w="1701" w:type="dxa"/>
            <w:noWrap/>
            <w:vAlign w:val="center"/>
          </w:tcPr>
          <w:p w14:paraId="3A540845">
            <w:pPr>
              <w:jc w:val="center"/>
              <w:rPr>
                <w:rFonts w:ascii="宋体" w:hAnsi="宋体" w:cs="宋体"/>
                <w:szCs w:val="21"/>
              </w:rPr>
            </w:pPr>
            <w:r>
              <w:rPr>
                <w:rFonts w:hint="eastAsia" w:ascii="宋体" w:hAnsi="宋体" w:cs="宋体"/>
                <w:szCs w:val="21"/>
              </w:rPr>
              <w:t>化学类实验室</w:t>
            </w:r>
          </w:p>
        </w:tc>
        <w:tc>
          <w:tcPr>
            <w:tcW w:w="10773" w:type="dxa"/>
            <w:noWrap/>
            <w:vAlign w:val="center"/>
          </w:tcPr>
          <w:p w14:paraId="21EC9A9C">
            <w:pPr>
              <w:rPr>
                <w:rFonts w:ascii="宋体" w:hAnsi="宋体" w:cs="宋体"/>
                <w:szCs w:val="21"/>
              </w:rPr>
            </w:pPr>
            <w:r>
              <w:rPr>
                <w:rFonts w:hint="eastAsia" w:ascii="宋体" w:hAnsi="宋体" w:cs="宋体"/>
                <w:szCs w:val="21"/>
              </w:rPr>
              <w:t>包括从事化学、药学、化学工程、环境科学与工程、材料科学与工程等较多涉及化学试剂或化学反应的实验室。这类实验中的危险源分为两类，一类是易燃、易爆、有毒化学品（含实验气体）可能带来的化学性危险源，另一类是设备设施缺陷和防护缺陷所带来的物理性危险源。</w:t>
            </w:r>
          </w:p>
        </w:tc>
      </w:tr>
      <w:tr w14:paraId="7AB38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04" w:type="dxa"/>
            <w:noWrap/>
            <w:vAlign w:val="center"/>
          </w:tcPr>
          <w:p w14:paraId="1A15A0E7">
            <w:pPr>
              <w:jc w:val="center"/>
              <w:rPr>
                <w:rFonts w:ascii="宋体" w:hAnsi="宋体" w:cs="宋体"/>
                <w:szCs w:val="21"/>
              </w:rPr>
            </w:pPr>
            <w:r>
              <w:rPr>
                <w:rFonts w:hint="eastAsia" w:ascii="宋体" w:hAnsi="宋体" w:cs="宋体"/>
                <w:szCs w:val="21"/>
              </w:rPr>
              <w:t>2</w:t>
            </w:r>
          </w:p>
        </w:tc>
        <w:tc>
          <w:tcPr>
            <w:tcW w:w="1701" w:type="dxa"/>
            <w:noWrap/>
            <w:vAlign w:val="center"/>
          </w:tcPr>
          <w:p w14:paraId="53FF12F9">
            <w:pPr>
              <w:jc w:val="center"/>
              <w:rPr>
                <w:rFonts w:ascii="宋体" w:hAnsi="宋体" w:cs="宋体"/>
                <w:szCs w:val="21"/>
              </w:rPr>
            </w:pPr>
            <w:r>
              <w:rPr>
                <w:rFonts w:hint="eastAsia" w:ascii="宋体" w:hAnsi="宋体" w:cs="宋体"/>
                <w:szCs w:val="21"/>
              </w:rPr>
              <w:t>生物类实验室</w:t>
            </w:r>
          </w:p>
        </w:tc>
        <w:tc>
          <w:tcPr>
            <w:tcW w:w="10773" w:type="dxa"/>
            <w:noWrap/>
            <w:vAlign w:val="center"/>
          </w:tcPr>
          <w:p w14:paraId="6E8E08F6">
            <w:pPr>
              <w:rPr>
                <w:rFonts w:ascii="宋体" w:hAnsi="宋体" w:cs="宋体"/>
                <w:szCs w:val="21"/>
              </w:rPr>
            </w:pPr>
            <w:r>
              <w:rPr>
                <w:rFonts w:hint="eastAsia" w:ascii="宋体" w:hAnsi="宋体" w:cs="宋体"/>
                <w:szCs w:val="21"/>
              </w:rPr>
              <w:t>包括从事基因工程、微生物学等生物和医学专业中较多涉及病毒、细菌、真菌等微生物研究和动物研究的实验室。这类实验室中细菌、病毒、真菌、寄生虫、动物寄生微生物等为主要危险源，它们的释放、扩散可能会污染实验室内外环境的空气、水、物体表面或感染人体。涉及病原微生物的实验室应进行相应的审批或备案。</w:t>
            </w:r>
          </w:p>
        </w:tc>
      </w:tr>
      <w:tr w14:paraId="4754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704" w:type="dxa"/>
            <w:noWrap/>
            <w:vAlign w:val="center"/>
          </w:tcPr>
          <w:p w14:paraId="4E656F73">
            <w:pPr>
              <w:jc w:val="center"/>
              <w:rPr>
                <w:rFonts w:ascii="宋体" w:hAnsi="宋体" w:cs="宋体"/>
                <w:szCs w:val="21"/>
              </w:rPr>
            </w:pPr>
            <w:r>
              <w:rPr>
                <w:rFonts w:hint="eastAsia" w:ascii="宋体" w:hAnsi="宋体" w:cs="宋体"/>
                <w:szCs w:val="21"/>
              </w:rPr>
              <w:t>3</w:t>
            </w:r>
          </w:p>
        </w:tc>
        <w:tc>
          <w:tcPr>
            <w:tcW w:w="1701" w:type="dxa"/>
            <w:noWrap/>
            <w:vAlign w:val="center"/>
          </w:tcPr>
          <w:p w14:paraId="00BD6489">
            <w:pPr>
              <w:jc w:val="center"/>
              <w:rPr>
                <w:rFonts w:ascii="宋体" w:hAnsi="宋体" w:cs="宋体"/>
                <w:szCs w:val="21"/>
              </w:rPr>
            </w:pPr>
            <w:r>
              <w:rPr>
                <w:rFonts w:hint="eastAsia" w:ascii="宋体" w:hAnsi="宋体" w:cs="宋体"/>
                <w:szCs w:val="21"/>
              </w:rPr>
              <w:t>辐射类实验室</w:t>
            </w:r>
          </w:p>
        </w:tc>
        <w:tc>
          <w:tcPr>
            <w:tcW w:w="10773" w:type="dxa"/>
            <w:noWrap/>
            <w:vAlign w:val="center"/>
          </w:tcPr>
          <w:p w14:paraId="64FA0053">
            <w:pPr>
              <w:rPr>
                <w:rFonts w:ascii="宋体" w:hAnsi="宋体" w:cs="宋体"/>
                <w:szCs w:val="21"/>
              </w:rPr>
            </w:pPr>
            <w:r>
              <w:rPr>
                <w:rFonts w:hint="eastAsia" w:ascii="宋体" w:hAnsi="宋体" w:cs="宋体"/>
                <w:szCs w:val="21"/>
              </w:rPr>
              <w:t>包括物理、核科学与技术、医学、生物、化学、材料科学与工程等专业方向中涉及放射性同位素、射线装置与核材料的实验室。这类实验中的危险源主要是放射性同位素、射线装置与核材料产生的电离辐射，可能对人体造成内外照射伤害，也可能对环境产生放射性污染；存放或使用核材料的实验室还存在核安全风险。</w:t>
            </w:r>
          </w:p>
        </w:tc>
      </w:tr>
      <w:tr w14:paraId="54E6D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704" w:type="dxa"/>
            <w:noWrap/>
            <w:vAlign w:val="center"/>
          </w:tcPr>
          <w:p w14:paraId="2857868E">
            <w:pPr>
              <w:jc w:val="center"/>
              <w:rPr>
                <w:rFonts w:ascii="宋体" w:hAnsi="宋体" w:cs="宋体"/>
                <w:szCs w:val="21"/>
              </w:rPr>
            </w:pPr>
            <w:r>
              <w:rPr>
                <w:rFonts w:hint="eastAsia" w:ascii="宋体" w:hAnsi="宋体" w:cs="宋体"/>
                <w:szCs w:val="21"/>
              </w:rPr>
              <w:t>4</w:t>
            </w:r>
          </w:p>
        </w:tc>
        <w:tc>
          <w:tcPr>
            <w:tcW w:w="1701" w:type="dxa"/>
            <w:noWrap/>
            <w:vAlign w:val="center"/>
          </w:tcPr>
          <w:p w14:paraId="29717A11">
            <w:pPr>
              <w:jc w:val="center"/>
              <w:rPr>
                <w:rFonts w:ascii="宋体" w:hAnsi="宋体" w:cs="宋体"/>
                <w:szCs w:val="21"/>
              </w:rPr>
            </w:pPr>
            <w:r>
              <w:rPr>
                <w:rFonts w:hint="eastAsia" w:ascii="宋体" w:hAnsi="宋体" w:cs="宋体"/>
                <w:szCs w:val="21"/>
              </w:rPr>
              <w:t>机电类实验室</w:t>
            </w:r>
          </w:p>
        </w:tc>
        <w:tc>
          <w:tcPr>
            <w:tcW w:w="10773" w:type="dxa"/>
            <w:noWrap/>
            <w:vAlign w:val="center"/>
          </w:tcPr>
          <w:p w14:paraId="19D6428E">
            <w:pPr>
              <w:rPr>
                <w:rFonts w:ascii="宋体" w:hAnsi="宋体" w:cs="宋体"/>
                <w:szCs w:val="21"/>
              </w:rPr>
            </w:pPr>
            <w:r>
              <w:rPr>
                <w:rFonts w:hint="eastAsia" w:ascii="宋体" w:hAnsi="宋体" w:cs="宋体"/>
                <w:szCs w:val="21"/>
              </w:rPr>
              <w:t>包括机械设计与制造、过程装备与控制、化工机械、材料物理、电气工程、激光工程和人工智能等专业方向中涉及高温、高压、高速、高大等机械设备及其他强电、强磁、激光或低温设备的实验室，以及大型机房等。这类实验室的主要危险包括夹击、碰撞、剪切、卷入、绞、碾、割、刺等形式的机械伤害以及灼伤、电路短路、人员触电、激光伤害、冻伤等因素。</w:t>
            </w:r>
          </w:p>
        </w:tc>
      </w:tr>
      <w:tr w14:paraId="7CED5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04" w:type="dxa"/>
            <w:noWrap/>
            <w:vAlign w:val="center"/>
          </w:tcPr>
          <w:p w14:paraId="42C20AB1">
            <w:pPr>
              <w:jc w:val="center"/>
              <w:rPr>
                <w:rFonts w:ascii="宋体" w:hAnsi="宋体" w:cs="宋体"/>
                <w:szCs w:val="21"/>
              </w:rPr>
            </w:pPr>
            <w:r>
              <w:rPr>
                <w:rFonts w:hint="eastAsia" w:ascii="宋体" w:hAnsi="宋体" w:cs="宋体"/>
                <w:szCs w:val="21"/>
              </w:rPr>
              <w:t>5</w:t>
            </w:r>
          </w:p>
        </w:tc>
        <w:tc>
          <w:tcPr>
            <w:tcW w:w="1701" w:type="dxa"/>
            <w:noWrap/>
            <w:vAlign w:val="center"/>
          </w:tcPr>
          <w:p w14:paraId="7107F36C">
            <w:pPr>
              <w:jc w:val="center"/>
              <w:rPr>
                <w:rFonts w:ascii="宋体" w:hAnsi="宋体" w:cs="宋体"/>
                <w:szCs w:val="21"/>
              </w:rPr>
            </w:pPr>
            <w:r>
              <w:rPr>
                <w:rFonts w:hint="eastAsia" w:ascii="宋体" w:hAnsi="宋体" w:cs="宋体"/>
                <w:szCs w:val="21"/>
              </w:rPr>
              <w:t>其他类实验室</w:t>
            </w:r>
          </w:p>
        </w:tc>
        <w:tc>
          <w:tcPr>
            <w:tcW w:w="10773" w:type="dxa"/>
            <w:noWrap/>
            <w:vAlign w:val="center"/>
          </w:tcPr>
          <w:p w14:paraId="73FE2C3F">
            <w:pPr>
              <w:rPr>
                <w:rFonts w:ascii="宋体" w:hAnsi="宋体" w:cs="宋体"/>
                <w:szCs w:val="21"/>
              </w:rPr>
            </w:pPr>
            <w:r>
              <w:rPr>
                <w:rFonts w:hint="eastAsia" w:ascii="宋体" w:hAnsi="宋体" w:cs="宋体"/>
                <w:szCs w:val="21"/>
              </w:rPr>
              <w:t>包括社科类、艺术类专业相关的实验室或实训室，危险源主要是少量的用电设备可能带来的用电安全或消防安全风险。</w:t>
            </w:r>
          </w:p>
        </w:tc>
      </w:tr>
    </w:tbl>
    <w:p w14:paraId="224A97ED">
      <w:pPr>
        <w:jc w:val="center"/>
        <w:rPr>
          <w:rFonts w:ascii="宋体" w:hAnsi="宋体" w:cs="宋体"/>
          <w:bCs/>
          <w:szCs w:val="21"/>
        </w:rPr>
      </w:pPr>
      <w:r>
        <w:rPr>
          <w:rFonts w:hint="eastAsia" w:ascii="宋体" w:hAnsi="宋体" w:cs="宋体"/>
          <w:bCs/>
          <w:szCs w:val="21"/>
        </w:rPr>
        <w:t>表3高校实验室分类参照表</w:t>
      </w:r>
    </w:p>
    <w:p w14:paraId="381FF594">
      <w:pPr>
        <w:spacing w:line="360" w:lineRule="auto"/>
        <w:ind w:firstLine="420" w:firstLineChars="200"/>
        <w:rPr>
          <w:rFonts w:ascii="宋体" w:hAnsi="宋体" w:cs="宋体"/>
          <w:bCs/>
          <w:szCs w:val="21"/>
        </w:rPr>
      </w:pPr>
      <w:r>
        <w:rPr>
          <w:rFonts w:hint="eastAsia" w:ascii="宋体" w:hAnsi="宋体" w:cs="宋体"/>
          <w:bCs/>
          <w:szCs w:val="21"/>
        </w:rPr>
        <w:t>中标人需对采购人学校实训（验）室按上述要求进行动态分级分类，首次分级分类后需向采购人提供实训（验）室分级分类清单，清单需包含实训（验）室所在地、风险等级、类别、主要危险源、实训（验）室安全责任人、教学或科研用途、所属二级单位等关键信息，在后续管理中动态更新。</w:t>
      </w:r>
    </w:p>
    <w:p w14:paraId="43F2A249">
      <w:pPr>
        <w:spacing w:line="360" w:lineRule="auto"/>
        <w:ind w:firstLine="420" w:firstLineChars="200"/>
        <w:rPr>
          <w:rFonts w:ascii="宋体" w:hAnsi="宋体" w:cs="宋体"/>
          <w:bCs/>
          <w:szCs w:val="21"/>
        </w:rPr>
      </w:pPr>
      <w:r>
        <w:rPr>
          <w:rFonts w:hint="eastAsia" w:ascii="宋体" w:hAnsi="宋体" w:cs="宋体"/>
          <w:bCs/>
          <w:szCs w:val="21"/>
        </w:rPr>
        <w:t>3.实训（验）室安全检查</w:t>
      </w:r>
    </w:p>
    <w:p w14:paraId="0A43794B">
      <w:pPr>
        <w:spacing w:line="360" w:lineRule="auto"/>
        <w:ind w:firstLine="420" w:firstLineChars="200"/>
        <w:rPr>
          <w:rFonts w:ascii="宋体" w:hAnsi="宋体" w:cs="宋体"/>
          <w:bCs/>
          <w:szCs w:val="21"/>
        </w:rPr>
      </w:pPr>
      <w:r>
        <w:rPr>
          <w:rFonts w:hint="eastAsia" w:ascii="宋体" w:hAnsi="宋体" w:cs="宋体"/>
          <w:bCs/>
          <w:szCs w:val="21"/>
        </w:rPr>
        <w:t>中标人依据教育部最新</w:t>
      </w:r>
      <w:r>
        <w:rPr>
          <w:rFonts w:hint="eastAsia"/>
        </w:rPr>
        <w:t>颁布</w:t>
      </w:r>
      <w:r>
        <w:rPr>
          <w:rFonts w:hint="eastAsia" w:ascii="宋体" w:hAnsi="宋体" w:cs="宋体"/>
          <w:bCs/>
          <w:szCs w:val="21"/>
        </w:rPr>
        <w:t>的表4《高等学校实验室安全检查项目表》（2025年）和其他国家、省、市及学校相关规范开展全校实训（验）室、实训（验）室集中楼层的公共区域以及废水处理设施、废气处理设施等进行安全检查及</w:t>
      </w:r>
      <w:r>
        <w:rPr>
          <w:rFonts w:hint="eastAsia" w:ascii="宋体" w:hAnsi="宋体" w:cs="宋体"/>
          <w:szCs w:val="21"/>
        </w:rPr>
        <w:t>隐患问题</w:t>
      </w:r>
      <w:r>
        <w:rPr>
          <w:rFonts w:hint="eastAsia" w:ascii="宋体" w:hAnsi="宋体" w:cs="宋体"/>
          <w:bCs/>
          <w:szCs w:val="21"/>
        </w:rPr>
        <w:t>整改指导。</w:t>
      </w:r>
    </w:p>
    <w:p w14:paraId="472AA2BD">
      <w:pPr>
        <w:spacing w:line="360" w:lineRule="auto"/>
        <w:ind w:left="420"/>
        <w:rPr>
          <w:rFonts w:ascii="宋体" w:hAnsi="宋体" w:cs="宋体"/>
          <w:bCs/>
          <w:szCs w:val="21"/>
        </w:rPr>
      </w:pPr>
      <w:r>
        <w:rPr>
          <w:rFonts w:hint="eastAsia" w:ascii="宋体" w:hAnsi="宋体" w:cs="宋体"/>
          <w:bCs/>
          <w:szCs w:val="21"/>
        </w:rPr>
        <w:t>（1）实训（验）室安全检查要点（包括但不限于）：</w:t>
      </w:r>
    </w:p>
    <w:tbl>
      <w:tblPr>
        <w:tblStyle w:val="50"/>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721"/>
        <w:gridCol w:w="5567"/>
        <w:gridCol w:w="991"/>
      </w:tblGrid>
      <w:tr w14:paraId="74A8F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720" w:type="dxa"/>
            <w:noWrap/>
            <w:tcMar>
              <w:left w:w="45" w:type="dxa"/>
              <w:right w:w="45" w:type="dxa"/>
            </w:tcMar>
            <w:vAlign w:val="center"/>
          </w:tcPr>
          <w:p w14:paraId="172AF702">
            <w:pPr>
              <w:rPr>
                <w:rFonts w:ascii="宋体" w:hAnsi="宋体" w:cs="宋体"/>
                <w:b/>
                <w:bCs/>
                <w:kern w:val="0"/>
                <w:szCs w:val="21"/>
              </w:rPr>
            </w:pPr>
            <w:r>
              <w:rPr>
                <w:rFonts w:hint="eastAsia" w:ascii="宋体" w:hAnsi="宋体" w:cs="宋体"/>
                <w:b/>
                <w:bCs/>
                <w:kern w:val="0"/>
                <w:szCs w:val="21"/>
              </w:rPr>
              <w:t>序号</w:t>
            </w:r>
          </w:p>
        </w:tc>
        <w:tc>
          <w:tcPr>
            <w:tcW w:w="1721" w:type="dxa"/>
            <w:noWrap/>
            <w:tcMar>
              <w:left w:w="45" w:type="dxa"/>
              <w:right w:w="45" w:type="dxa"/>
            </w:tcMar>
            <w:vAlign w:val="center"/>
          </w:tcPr>
          <w:p w14:paraId="0A2A7A13">
            <w:pPr>
              <w:rPr>
                <w:rFonts w:ascii="宋体" w:hAnsi="宋体" w:cs="宋体"/>
                <w:b/>
                <w:bCs/>
                <w:kern w:val="0"/>
                <w:szCs w:val="21"/>
              </w:rPr>
            </w:pPr>
            <w:r>
              <w:rPr>
                <w:rFonts w:hint="eastAsia" w:ascii="宋体" w:hAnsi="宋体" w:cs="宋体"/>
                <w:b/>
                <w:bCs/>
                <w:kern w:val="0"/>
                <w:szCs w:val="21"/>
              </w:rPr>
              <w:t>检查项目</w:t>
            </w:r>
          </w:p>
        </w:tc>
        <w:tc>
          <w:tcPr>
            <w:tcW w:w="5567" w:type="dxa"/>
            <w:noWrap/>
            <w:tcMar>
              <w:left w:w="45" w:type="dxa"/>
              <w:right w:w="45" w:type="dxa"/>
            </w:tcMar>
            <w:vAlign w:val="center"/>
          </w:tcPr>
          <w:p w14:paraId="3FD1EA23">
            <w:pPr>
              <w:rPr>
                <w:rFonts w:ascii="宋体" w:hAnsi="宋体" w:cs="宋体"/>
                <w:b/>
                <w:bCs/>
                <w:kern w:val="0"/>
                <w:szCs w:val="21"/>
              </w:rPr>
            </w:pPr>
            <w:r>
              <w:rPr>
                <w:rFonts w:hint="eastAsia" w:ascii="宋体" w:hAnsi="宋体" w:cs="宋体"/>
                <w:b/>
                <w:bCs/>
                <w:kern w:val="0"/>
                <w:szCs w:val="21"/>
              </w:rPr>
              <w:t>检查要点</w:t>
            </w:r>
          </w:p>
        </w:tc>
        <w:tc>
          <w:tcPr>
            <w:tcW w:w="991" w:type="dxa"/>
            <w:noWrap/>
            <w:tcMar>
              <w:left w:w="45" w:type="dxa"/>
              <w:right w:w="45" w:type="dxa"/>
            </w:tcMar>
            <w:vAlign w:val="center"/>
          </w:tcPr>
          <w:p w14:paraId="62E2E659">
            <w:pPr>
              <w:rPr>
                <w:rFonts w:ascii="宋体" w:hAnsi="宋体" w:cs="宋体"/>
                <w:b/>
                <w:bCs/>
                <w:kern w:val="0"/>
                <w:szCs w:val="21"/>
              </w:rPr>
            </w:pPr>
            <w:r>
              <w:rPr>
                <w:rFonts w:hint="eastAsia" w:ascii="宋体" w:hAnsi="宋体" w:cs="宋体"/>
                <w:b/>
                <w:bCs/>
                <w:kern w:val="0"/>
                <w:szCs w:val="21"/>
              </w:rPr>
              <w:t>情况记录</w:t>
            </w:r>
          </w:p>
        </w:tc>
      </w:tr>
      <w:tr w14:paraId="3AA9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5806BC8F">
            <w:pPr>
              <w:widowControl/>
              <w:rPr>
                <w:rFonts w:ascii="宋体" w:hAnsi="宋体" w:cs="宋体"/>
                <w:b/>
                <w:kern w:val="0"/>
                <w:szCs w:val="21"/>
              </w:rPr>
            </w:pPr>
            <w:r>
              <w:rPr>
                <w:rFonts w:hint="eastAsia" w:ascii="宋体" w:hAnsi="宋体" w:cs="宋体"/>
                <w:b/>
                <w:kern w:val="0"/>
                <w:szCs w:val="21"/>
              </w:rPr>
              <w:t>5</w:t>
            </w:r>
          </w:p>
        </w:tc>
        <w:tc>
          <w:tcPr>
            <w:tcW w:w="8279" w:type="dxa"/>
            <w:gridSpan w:val="3"/>
            <w:noWrap/>
            <w:tcMar>
              <w:left w:w="45" w:type="dxa"/>
              <w:right w:w="45" w:type="dxa"/>
            </w:tcMar>
            <w:vAlign w:val="center"/>
          </w:tcPr>
          <w:p w14:paraId="65217CA5">
            <w:pPr>
              <w:widowControl/>
              <w:rPr>
                <w:rFonts w:ascii="宋体" w:hAnsi="宋体" w:cs="宋体"/>
                <w:b/>
                <w:bCs/>
                <w:kern w:val="0"/>
                <w:szCs w:val="21"/>
              </w:rPr>
            </w:pPr>
            <w:r>
              <w:rPr>
                <w:rFonts w:hint="eastAsia" w:ascii="宋体" w:hAnsi="宋体" w:cs="宋体"/>
                <w:b/>
                <w:bCs/>
                <w:kern w:val="0"/>
                <w:szCs w:val="21"/>
              </w:rPr>
              <w:t>安全检查</w:t>
            </w:r>
          </w:p>
        </w:tc>
      </w:tr>
      <w:tr w14:paraId="2E4A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1D89F494">
            <w:pPr>
              <w:widowControl/>
              <w:rPr>
                <w:rFonts w:ascii="宋体" w:hAnsi="宋体" w:cs="宋体"/>
                <w:b/>
                <w:kern w:val="0"/>
                <w:szCs w:val="21"/>
              </w:rPr>
            </w:pPr>
            <w:r>
              <w:rPr>
                <w:rFonts w:hint="eastAsia" w:ascii="宋体" w:hAnsi="宋体" w:cs="宋体"/>
                <w:b/>
                <w:kern w:val="0"/>
                <w:szCs w:val="21"/>
              </w:rPr>
              <w:t>5.1</w:t>
            </w:r>
          </w:p>
        </w:tc>
        <w:tc>
          <w:tcPr>
            <w:tcW w:w="8279" w:type="dxa"/>
            <w:gridSpan w:val="3"/>
            <w:noWrap/>
            <w:tcMar>
              <w:left w:w="45" w:type="dxa"/>
              <w:right w:w="45" w:type="dxa"/>
            </w:tcMar>
            <w:vAlign w:val="center"/>
          </w:tcPr>
          <w:p w14:paraId="3977826B">
            <w:pPr>
              <w:widowControl/>
              <w:rPr>
                <w:rFonts w:ascii="宋体" w:hAnsi="宋体" w:cs="宋体"/>
                <w:b/>
                <w:bCs/>
                <w:kern w:val="0"/>
                <w:szCs w:val="21"/>
              </w:rPr>
            </w:pPr>
            <w:r>
              <w:rPr>
                <w:rFonts w:hint="eastAsia" w:ascii="宋体" w:hAnsi="宋体" w:cs="宋体"/>
                <w:b/>
                <w:bCs/>
                <w:kern w:val="0"/>
                <w:szCs w:val="21"/>
              </w:rPr>
              <w:t>危险源辨识</w:t>
            </w:r>
          </w:p>
        </w:tc>
      </w:tr>
      <w:tr w14:paraId="548E1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66ED566F">
            <w:pPr>
              <w:widowControl/>
              <w:rPr>
                <w:rFonts w:ascii="宋体" w:hAnsi="宋体" w:cs="宋体"/>
                <w:kern w:val="0"/>
                <w:szCs w:val="21"/>
              </w:rPr>
            </w:pPr>
            <w:r>
              <w:rPr>
                <w:rFonts w:hint="eastAsia" w:ascii="宋体" w:hAnsi="宋体" w:cs="宋体"/>
                <w:kern w:val="0"/>
                <w:szCs w:val="21"/>
              </w:rPr>
              <w:t>5.1.1</w:t>
            </w:r>
          </w:p>
        </w:tc>
        <w:tc>
          <w:tcPr>
            <w:tcW w:w="1721" w:type="dxa"/>
            <w:noWrap/>
            <w:tcMar>
              <w:left w:w="45" w:type="dxa"/>
              <w:right w:w="45" w:type="dxa"/>
            </w:tcMar>
            <w:vAlign w:val="center"/>
          </w:tcPr>
          <w:p w14:paraId="46B136CE">
            <w:pPr>
              <w:widowControl/>
              <w:rPr>
                <w:rFonts w:ascii="宋体" w:hAnsi="宋体" w:cs="宋体"/>
                <w:bCs/>
                <w:kern w:val="0"/>
                <w:szCs w:val="21"/>
              </w:rPr>
            </w:pPr>
            <w:r>
              <w:rPr>
                <w:rFonts w:hint="eastAsia" w:ascii="宋体" w:hAnsi="宋体" w:cs="宋体"/>
                <w:bCs/>
                <w:kern w:val="0"/>
                <w:szCs w:val="21"/>
              </w:rPr>
              <w:t>学校、院系、实验室层面建立危险源分布清单</w:t>
            </w:r>
          </w:p>
        </w:tc>
        <w:tc>
          <w:tcPr>
            <w:tcW w:w="5567" w:type="dxa"/>
            <w:noWrap/>
            <w:tcMar>
              <w:left w:w="45" w:type="dxa"/>
              <w:right w:w="45" w:type="dxa"/>
            </w:tcMar>
            <w:vAlign w:val="center"/>
          </w:tcPr>
          <w:p w14:paraId="75D57FF9">
            <w:pPr>
              <w:widowControl/>
              <w:rPr>
                <w:rFonts w:ascii="宋体" w:hAnsi="宋体" w:cs="宋体"/>
                <w:bCs/>
                <w:kern w:val="0"/>
                <w:szCs w:val="21"/>
              </w:rPr>
            </w:pPr>
            <w:r>
              <w:rPr>
                <w:rFonts w:hint="eastAsia" w:ascii="宋体" w:hAnsi="宋体" w:cs="宋体"/>
                <w:bCs/>
                <w:kern w:val="0"/>
                <w:szCs w:val="21"/>
              </w:rPr>
              <w:t>（36）清单内容须包括单位、房间、类别、数量、分级分类、责任人等信息</w:t>
            </w:r>
          </w:p>
        </w:tc>
        <w:tc>
          <w:tcPr>
            <w:tcW w:w="991" w:type="dxa"/>
            <w:noWrap/>
            <w:tcMar>
              <w:left w:w="45" w:type="dxa"/>
              <w:right w:w="45" w:type="dxa"/>
            </w:tcMar>
            <w:vAlign w:val="center"/>
          </w:tcPr>
          <w:p w14:paraId="20376071">
            <w:pPr>
              <w:widowControl/>
              <w:rPr>
                <w:rFonts w:ascii="宋体" w:hAnsi="宋体" w:cs="宋体"/>
                <w:bCs/>
                <w:kern w:val="0"/>
                <w:szCs w:val="21"/>
              </w:rPr>
            </w:pPr>
          </w:p>
        </w:tc>
      </w:tr>
      <w:tr w14:paraId="05CAA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4E9F90E8">
            <w:pPr>
              <w:widowControl/>
              <w:rPr>
                <w:rFonts w:ascii="宋体" w:hAnsi="宋体" w:cs="宋体"/>
                <w:kern w:val="0"/>
                <w:szCs w:val="21"/>
              </w:rPr>
            </w:pPr>
            <w:r>
              <w:rPr>
                <w:rFonts w:hint="eastAsia" w:ascii="宋体" w:hAnsi="宋体" w:cs="宋体"/>
                <w:kern w:val="0"/>
                <w:szCs w:val="21"/>
              </w:rPr>
              <w:t>5.1.2</w:t>
            </w:r>
          </w:p>
        </w:tc>
        <w:tc>
          <w:tcPr>
            <w:tcW w:w="1721" w:type="dxa"/>
            <w:noWrap/>
            <w:tcMar>
              <w:left w:w="45" w:type="dxa"/>
              <w:right w:w="45" w:type="dxa"/>
            </w:tcMar>
            <w:vAlign w:val="center"/>
          </w:tcPr>
          <w:p w14:paraId="26E61454">
            <w:pPr>
              <w:widowControl/>
              <w:rPr>
                <w:rFonts w:ascii="宋体" w:hAnsi="宋体" w:cs="宋体"/>
                <w:bCs/>
                <w:kern w:val="0"/>
                <w:szCs w:val="21"/>
              </w:rPr>
            </w:pPr>
            <w:r>
              <w:rPr>
                <w:rFonts w:hint="eastAsia" w:ascii="宋体" w:hAnsi="宋体" w:cs="宋体"/>
                <w:bCs/>
                <w:kern w:val="0"/>
                <w:szCs w:val="21"/>
              </w:rPr>
              <w:t>涉及危险源的实验场所，须有明确的警示标识</w:t>
            </w:r>
          </w:p>
        </w:tc>
        <w:tc>
          <w:tcPr>
            <w:tcW w:w="5567" w:type="dxa"/>
            <w:noWrap/>
            <w:tcMar>
              <w:left w:w="45" w:type="dxa"/>
              <w:right w:w="45" w:type="dxa"/>
            </w:tcMar>
            <w:vAlign w:val="center"/>
          </w:tcPr>
          <w:p w14:paraId="792D4C79">
            <w:pPr>
              <w:widowControl/>
              <w:rPr>
                <w:rFonts w:ascii="宋体" w:hAnsi="宋体" w:cs="宋体"/>
                <w:bCs/>
                <w:kern w:val="0"/>
                <w:szCs w:val="21"/>
              </w:rPr>
            </w:pPr>
            <w:r>
              <w:rPr>
                <w:rFonts w:hint="eastAsia" w:ascii="宋体" w:hAnsi="宋体" w:cs="宋体"/>
                <w:bCs/>
                <w:kern w:val="0"/>
                <w:szCs w:val="21"/>
              </w:rPr>
              <w:t>（37）涉及重要危险源（即有毒有害（剧毒、易制爆、易制毒、爆炸品等）化学品、危险（易燃、易爆、有毒、窒息、高压等）气体、动物及病原微生物、辐射源及射线装置、同位素及核材料、危险性机械加工装置、强电强磁与激光设备、特种设备等）的场所，有显著的警示标识</w:t>
            </w:r>
          </w:p>
        </w:tc>
        <w:tc>
          <w:tcPr>
            <w:tcW w:w="991" w:type="dxa"/>
            <w:noWrap/>
            <w:tcMar>
              <w:left w:w="45" w:type="dxa"/>
              <w:right w:w="45" w:type="dxa"/>
            </w:tcMar>
            <w:vAlign w:val="center"/>
          </w:tcPr>
          <w:p w14:paraId="10403948">
            <w:pPr>
              <w:widowControl/>
              <w:rPr>
                <w:rFonts w:ascii="宋体" w:hAnsi="宋体" w:cs="宋体"/>
                <w:bCs/>
                <w:kern w:val="0"/>
                <w:szCs w:val="21"/>
              </w:rPr>
            </w:pPr>
          </w:p>
        </w:tc>
      </w:tr>
      <w:tr w14:paraId="1CD74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36B1C444">
            <w:pPr>
              <w:widowControl/>
              <w:rPr>
                <w:rFonts w:ascii="宋体" w:hAnsi="宋体" w:cs="宋体"/>
                <w:kern w:val="0"/>
                <w:szCs w:val="21"/>
              </w:rPr>
            </w:pPr>
            <w:r>
              <w:rPr>
                <w:rFonts w:hint="eastAsia" w:ascii="宋体" w:hAnsi="宋体" w:cs="宋体"/>
                <w:kern w:val="0"/>
                <w:szCs w:val="21"/>
              </w:rPr>
              <w:t>5.1.3</w:t>
            </w:r>
          </w:p>
        </w:tc>
        <w:tc>
          <w:tcPr>
            <w:tcW w:w="1721" w:type="dxa"/>
            <w:noWrap/>
            <w:tcMar>
              <w:left w:w="45" w:type="dxa"/>
              <w:right w:w="45" w:type="dxa"/>
            </w:tcMar>
            <w:vAlign w:val="center"/>
          </w:tcPr>
          <w:p w14:paraId="2540BB06">
            <w:pPr>
              <w:widowControl/>
              <w:rPr>
                <w:rFonts w:ascii="宋体" w:hAnsi="宋体" w:cs="宋体"/>
                <w:bCs/>
                <w:kern w:val="0"/>
                <w:szCs w:val="21"/>
              </w:rPr>
            </w:pPr>
            <w:r>
              <w:rPr>
                <w:rFonts w:hint="eastAsia" w:ascii="宋体" w:hAnsi="宋体" w:cs="宋体"/>
                <w:bCs/>
                <w:kern w:val="0"/>
                <w:szCs w:val="21"/>
              </w:rPr>
              <w:t>建立针对重要危险源的风险管理和应急预案</w:t>
            </w:r>
          </w:p>
        </w:tc>
        <w:tc>
          <w:tcPr>
            <w:tcW w:w="5567" w:type="dxa"/>
            <w:noWrap/>
            <w:tcMar>
              <w:left w:w="45" w:type="dxa"/>
              <w:right w:w="45" w:type="dxa"/>
            </w:tcMar>
            <w:vAlign w:val="center"/>
          </w:tcPr>
          <w:p w14:paraId="4841F186">
            <w:pPr>
              <w:widowControl/>
              <w:rPr>
                <w:rFonts w:ascii="宋体" w:hAnsi="宋体" w:cs="宋体"/>
                <w:bCs/>
                <w:kern w:val="0"/>
                <w:szCs w:val="21"/>
              </w:rPr>
            </w:pPr>
            <w:r>
              <w:rPr>
                <w:rFonts w:hint="eastAsia" w:ascii="宋体" w:hAnsi="宋体" w:cs="宋体"/>
                <w:bCs/>
                <w:kern w:val="0"/>
                <w:szCs w:val="21"/>
              </w:rPr>
              <w:t>（38）建立风险分级分类管控方案。实验室要根据存在的危险源及其存量进行风险评价，判定本实验室安全等级，并依据实验室中存在的主要危险源类别判定实验室安全类别；院系要审核确认所属实验室类别和风险等级，建立本单位实验室安全分级分类管理台账，提交学校实验室安全主管职能部门备案；学校要建立本校实验室安全分级分类管理台账，及时录入信息化管理系统或电子造册。分级分类管理台账要依据研究内容、危险源类型与数量等变化，或实验室建设项目调整而适时更新。高风险等级实验室，要按要求适时向相应的教育、公安（治安）、生态环境、卫生健康、农业农村、市场监督（质检）等主管部门报备并接受监督。</w:t>
            </w:r>
          </w:p>
          <w:p w14:paraId="7FC9F598">
            <w:pPr>
              <w:widowControl/>
              <w:rPr>
                <w:rFonts w:ascii="宋体" w:hAnsi="宋体" w:cs="宋体"/>
                <w:bCs/>
                <w:kern w:val="0"/>
                <w:szCs w:val="21"/>
              </w:rPr>
            </w:pPr>
            <w:r>
              <w:rPr>
                <w:rFonts w:hint="eastAsia" w:ascii="宋体" w:hAnsi="宋体" w:cs="宋体"/>
                <w:bCs/>
                <w:kern w:val="0"/>
                <w:szCs w:val="21"/>
              </w:rPr>
              <w:t>（39）院系和实验室应建立针对重要危险源的应急预案</w:t>
            </w:r>
          </w:p>
        </w:tc>
        <w:tc>
          <w:tcPr>
            <w:tcW w:w="991" w:type="dxa"/>
            <w:noWrap/>
            <w:tcMar>
              <w:left w:w="45" w:type="dxa"/>
              <w:right w:w="45" w:type="dxa"/>
            </w:tcMar>
            <w:vAlign w:val="center"/>
          </w:tcPr>
          <w:p w14:paraId="29C22179">
            <w:pPr>
              <w:widowControl/>
              <w:rPr>
                <w:rFonts w:ascii="宋体" w:hAnsi="宋体" w:cs="宋体"/>
                <w:bCs/>
                <w:kern w:val="0"/>
                <w:szCs w:val="21"/>
              </w:rPr>
            </w:pPr>
          </w:p>
        </w:tc>
      </w:tr>
      <w:tr w14:paraId="67F5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55A5A780">
            <w:pPr>
              <w:widowControl/>
              <w:rPr>
                <w:rFonts w:ascii="宋体" w:hAnsi="宋体" w:cs="宋体"/>
                <w:b/>
                <w:kern w:val="0"/>
                <w:szCs w:val="21"/>
              </w:rPr>
            </w:pPr>
            <w:r>
              <w:rPr>
                <w:rFonts w:hint="eastAsia" w:ascii="宋体" w:hAnsi="宋体" w:cs="宋体"/>
                <w:b/>
                <w:kern w:val="0"/>
                <w:szCs w:val="21"/>
              </w:rPr>
              <w:t>5.2</w:t>
            </w:r>
          </w:p>
        </w:tc>
        <w:tc>
          <w:tcPr>
            <w:tcW w:w="8279" w:type="dxa"/>
            <w:gridSpan w:val="3"/>
            <w:noWrap/>
            <w:tcMar>
              <w:left w:w="45" w:type="dxa"/>
              <w:right w:w="45" w:type="dxa"/>
            </w:tcMar>
            <w:vAlign w:val="center"/>
          </w:tcPr>
          <w:p w14:paraId="0D0EF863">
            <w:pPr>
              <w:widowControl/>
              <w:rPr>
                <w:rFonts w:ascii="宋体" w:hAnsi="宋体" w:cs="宋体"/>
                <w:b/>
                <w:bCs/>
                <w:kern w:val="0"/>
                <w:szCs w:val="21"/>
              </w:rPr>
            </w:pPr>
            <w:r>
              <w:rPr>
                <w:rFonts w:hint="eastAsia" w:ascii="宋体" w:hAnsi="宋体" w:cs="宋体"/>
                <w:b/>
                <w:bCs/>
                <w:kern w:val="0"/>
                <w:szCs w:val="21"/>
              </w:rPr>
              <w:t>安全检查</w:t>
            </w:r>
          </w:p>
        </w:tc>
      </w:tr>
      <w:tr w14:paraId="6BACC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541749DC">
            <w:pPr>
              <w:widowControl/>
              <w:rPr>
                <w:rFonts w:ascii="宋体" w:hAnsi="宋体" w:cs="宋体"/>
                <w:kern w:val="0"/>
                <w:szCs w:val="21"/>
              </w:rPr>
            </w:pPr>
            <w:r>
              <w:rPr>
                <w:rFonts w:hint="eastAsia" w:ascii="宋体" w:hAnsi="宋体" w:cs="宋体"/>
                <w:kern w:val="0"/>
                <w:szCs w:val="21"/>
              </w:rPr>
              <w:t>5.2.1</w:t>
            </w:r>
          </w:p>
        </w:tc>
        <w:tc>
          <w:tcPr>
            <w:tcW w:w="1721" w:type="dxa"/>
            <w:noWrap/>
            <w:tcMar>
              <w:left w:w="45" w:type="dxa"/>
              <w:right w:w="45" w:type="dxa"/>
            </w:tcMar>
            <w:vAlign w:val="center"/>
          </w:tcPr>
          <w:p w14:paraId="0CF5ED99">
            <w:pPr>
              <w:rPr>
                <w:rFonts w:ascii="宋体" w:hAnsi="宋体" w:cs="宋体"/>
                <w:kern w:val="0"/>
                <w:szCs w:val="21"/>
              </w:rPr>
            </w:pPr>
            <w:r>
              <w:rPr>
                <w:rFonts w:hint="eastAsia" w:ascii="宋体" w:hAnsi="宋体" w:cs="宋体"/>
                <w:bCs/>
                <w:kern w:val="0"/>
                <w:szCs w:val="21"/>
              </w:rPr>
              <w:t>学校、院系层面安全检查及实验室自检自查</w:t>
            </w:r>
          </w:p>
        </w:tc>
        <w:tc>
          <w:tcPr>
            <w:tcW w:w="5567" w:type="dxa"/>
            <w:noWrap/>
            <w:tcMar>
              <w:left w:w="45" w:type="dxa"/>
              <w:right w:w="45" w:type="dxa"/>
            </w:tcMar>
            <w:vAlign w:val="center"/>
          </w:tcPr>
          <w:p w14:paraId="0F338799">
            <w:pPr>
              <w:widowControl/>
              <w:rPr>
                <w:rFonts w:ascii="宋体" w:hAnsi="宋体" w:cs="宋体"/>
                <w:bCs/>
                <w:kern w:val="0"/>
                <w:szCs w:val="21"/>
              </w:rPr>
            </w:pPr>
            <w:r>
              <w:rPr>
                <w:rFonts w:hint="eastAsia" w:ascii="宋体" w:hAnsi="宋体" w:cs="宋体"/>
                <w:bCs/>
                <w:kern w:val="0"/>
                <w:szCs w:val="21"/>
              </w:rPr>
              <w:t>（40）学校、院系、实验室三个层面按照不少于实验室安全分级分类管理要求的检查频次开展安全检查。安全检查及整改都应保存记录</w:t>
            </w:r>
          </w:p>
        </w:tc>
        <w:tc>
          <w:tcPr>
            <w:tcW w:w="991" w:type="dxa"/>
            <w:noWrap/>
            <w:tcMar>
              <w:left w:w="45" w:type="dxa"/>
              <w:right w:w="45" w:type="dxa"/>
            </w:tcMar>
            <w:vAlign w:val="center"/>
          </w:tcPr>
          <w:p w14:paraId="5D40BC1A">
            <w:pPr>
              <w:widowControl/>
              <w:rPr>
                <w:rFonts w:ascii="宋体" w:hAnsi="宋体" w:cs="宋体"/>
                <w:bCs/>
                <w:kern w:val="0"/>
                <w:szCs w:val="21"/>
              </w:rPr>
            </w:pPr>
          </w:p>
        </w:tc>
      </w:tr>
      <w:tr w14:paraId="6CAD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75B8B38A">
            <w:pPr>
              <w:widowControl/>
              <w:rPr>
                <w:rFonts w:ascii="宋体" w:hAnsi="宋体" w:cs="宋体"/>
                <w:kern w:val="0"/>
                <w:szCs w:val="21"/>
              </w:rPr>
            </w:pPr>
            <w:r>
              <w:rPr>
                <w:rFonts w:hint="eastAsia" w:ascii="宋体" w:hAnsi="宋体" w:cs="宋体"/>
                <w:kern w:val="0"/>
                <w:szCs w:val="21"/>
              </w:rPr>
              <w:t>5.2.2</w:t>
            </w:r>
          </w:p>
        </w:tc>
        <w:tc>
          <w:tcPr>
            <w:tcW w:w="1721" w:type="dxa"/>
            <w:noWrap/>
            <w:tcMar>
              <w:left w:w="45" w:type="dxa"/>
              <w:right w:w="45" w:type="dxa"/>
            </w:tcMar>
            <w:vAlign w:val="center"/>
          </w:tcPr>
          <w:p w14:paraId="31C6A760">
            <w:pPr>
              <w:widowControl/>
              <w:rPr>
                <w:rFonts w:ascii="宋体" w:hAnsi="宋体" w:cs="宋体"/>
                <w:kern w:val="0"/>
                <w:szCs w:val="21"/>
              </w:rPr>
            </w:pPr>
            <w:r>
              <w:rPr>
                <w:rFonts w:hint="eastAsia" w:ascii="宋体" w:hAnsi="宋体" w:cs="宋体"/>
                <w:kern w:val="0"/>
                <w:szCs w:val="21"/>
              </w:rPr>
              <w:t>针对高危实验物品及实验过程开展专项检查</w:t>
            </w:r>
          </w:p>
        </w:tc>
        <w:tc>
          <w:tcPr>
            <w:tcW w:w="5567" w:type="dxa"/>
            <w:noWrap/>
            <w:tcMar>
              <w:left w:w="45" w:type="dxa"/>
              <w:right w:w="45" w:type="dxa"/>
            </w:tcMar>
            <w:vAlign w:val="center"/>
          </w:tcPr>
          <w:p w14:paraId="563BB208">
            <w:pPr>
              <w:rPr>
                <w:rFonts w:ascii="宋体" w:hAnsi="宋体" w:cs="宋体"/>
                <w:bCs/>
                <w:kern w:val="0"/>
                <w:szCs w:val="21"/>
              </w:rPr>
            </w:pPr>
            <w:r>
              <w:rPr>
                <w:rFonts w:hint="eastAsia" w:ascii="宋体" w:hAnsi="宋体" w:cs="宋体"/>
                <w:kern w:val="0"/>
                <w:szCs w:val="21"/>
              </w:rPr>
              <w:t>（41）针对</w:t>
            </w:r>
            <w:r>
              <w:rPr>
                <w:rFonts w:hint="eastAsia" w:ascii="宋体" w:hAnsi="宋体" w:cs="宋体"/>
                <w:bCs/>
                <w:kern w:val="0"/>
                <w:szCs w:val="21"/>
              </w:rPr>
              <w:t>重要险源（即有毒有害（剧毒、易制爆、易制毒、爆炸品等）化学品、危险（易燃、易爆、有毒、窒息、高压等）气体、动物及病原微生物、辐射源及射线装置、同位素及核材料、危险性机械加工装置、强电强磁与激光设备、特种设备等）</w:t>
            </w:r>
            <w:r>
              <w:rPr>
                <w:rFonts w:hint="eastAsia" w:ascii="宋体" w:hAnsi="宋体" w:cs="宋体"/>
                <w:kern w:val="0"/>
                <w:szCs w:val="21"/>
              </w:rPr>
              <w:t>，开展定期专项检查</w:t>
            </w:r>
          </w:p>
        </w:tc>
        <w:tc>
          <w:tcPr>
            <w:tcW w:w="991" w:type="dxa"/>
            <w:noWrap/>
            <w:tcMar>
              <w:left w:w="45" w:type="dxa"/>
              <w:right w:w="45" w:type="dxa"/>
            </w:tcMar>
            <w:vAlign w:val="center"/>
          </w:tcPr>
          <w:p w14:paraId="47D83DD7">
            <w:pPr>
              <w:widowControl/>
              <w:rPr>
                <w:rFonts w:ascii="宋体" w:hAnsi="宋体" w:cs="宋体"/>
                <w:bCs/>
                <w:kern w:val="0"/>
                <w:szCs w:val="21"/>
              </w:rPr>
            </w:pPr>
          </w:p>
        </w:tc>
      </w:tr>
      <w:tr w14:paraId="22B9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53924AB3">
            <w:pPr>
              <w:widowControl/>
              <w:rPr>
                <w:rFonts w:ascii="宋体" w:hAnsi="宋体" w:cs="宋体"/>
                <w:kern w:val="0"/>
                <w:szCs w:val="21"/>
              </w:rPr>
            </w:pPr>
            <w:r>
              <w:rPr>
                <w:rFonts w:hint="eastAsia" w:ascii="宋体" w:hAnsi="宋体" w:cs="宋体"/>
                <w:kern w:val="0"/>
                <w:szCs w:val="21"/>
              </w:rPr>
              <w:t>5.2.3</w:t>
            </w:r>
          </w:p>
        </w:tc>
        <w:tc>
          <w:tcPr>
            <w:tcW w:w="1721" w:type="dxa"/>
            <w:noWrap/>
            <w:tcMar>
              <w:left w:w="45" w:type="dxa"/>
              <w:right w:w="45" w:type="dxa"/>
            </w:tcMar>
            <w:vAlign w:val="center"/>
          </w:tcPr>
          <w:p w14:paraId="113EFB41">
            <w:pPr>
              <w:widowControl/>
              <w:rPr>
                <w:rFonts w:ascii="宋体" w:hAnsi="宋体" w:cs="宋体"/>
                <w:kern w:val="0"/>
                <w:szCs w:val="21"/>
              </w:rPr>
            </w:pPr>
            <w:r>
              <w:rPr>
                <w:rFonts w:hint="eastAsia" w:ascii="宋体" w:hAnsi="宋体" w:cs="宋体"/>
                <w:kern w:val="0"/>
                <w:szCs w:val="21"/>
              </w:rPr>
              <w:t>安全检查人员应配备专业的防护和计量用具</w:t>
            </w:r>
          </w:p>
        </w:tc>
        <w:tc>
          <w:tcPr>
            <w:tcW w:w="5567" w:type="dxa"/>
            <w:noWrap/>
            <w:tcMar>
              <w:left w:w="45" w:type="dxa"/>
              <w:right w:w="45" w:type="dxa"/>
            </w:tcMar>
            <w:vAlign w:val="center"/>
          </w:tcPr>
          <w:p w14:paraId="62D9BCBC">
            <w:pPr>
              <w:widowControl/>
              <w:rPr>
                <w:rFonts w:ascii="宋体" w:hAnsi="宋体" w:cs="宋体"/>
                <w:kern w:val="0"/>
                <w:szCs w:val="21"/>
              </w:rPr>
            </w:pPr>
            <w:r>
              <w:rPr>
                <w:rFonts w:hint="eastAsia" w:ascii="宋体" w:hAnsi="宋体" w:cs="宋体"/>
                <w:szCs w:val="21"/>
              </w:rPr>
              <w:t>（42）安全检查人员要佩戴标识、配备照相器具。进入涉及危化品、生物、辐射等的实验室要穿戴必要的防护装具；检查辐射场所要佩戴个人辐射剂量计；配备必要的测量、计量用具（手持式VOC检测仪、声级计、风速仪、电笔、万用表等）</w:t>
            </w:r>
          </w:p>
        </w:tc>
        <w:tc>
          <w:tcPr>
            <w:tcW w:w="991" w:type="dxa"/>
            <w:noWrap/>
            <w:tcMar>
              <w:left w:w="45" w:type="dxa"/>
              <w:right w:w="45" w:type="dxa"/>
            </w:tcMar>
            <w:vAlign w:val="center"/>
          </w:tcPr>
          <w:p w14:paraId="647C7AFC">
            <w:pPr>
              <w:widowControl/>
              <w:rPr>
                <w:rFonts w:ascii="宋体" w:hAnsi="宋体" w:cs="宋体"/>
                <w:szCs w:val="21"/>
              </w:rPr>
            </w:pPr>
          </w:p>
        </w:tc>
      </w:tr>
      <w:tr w14:paraId="02EB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7D5CD481">
            <w:pPr>
              <w:widowControl/>
              <w:rPr>
                <w:rFonts w:ascii="宋体" w:hAnsi="宋体" w:cs="宋体"/>
                <w:b/>
                <w:kern w:val="0"/>
                <w:szCs w:val="21"/>
              </w:rPr>
            </w:pPr>
            <w:r>
              <w:rPr>
                <w:rFonts w:hint="eastAsia" w:ascii="宋体" w:hAnsi="宋体" w:cs="宋体"/>
                <w:b/>
                <w:kern w:val="0"/>
                <w:szCs w:val="21"/>
              </w:rPr>
              <w:t>5.3</w:t>
            </w:r>
          </w:p>
        </w:tc>
        <w:tc>
          <w:tcPr>
            <w:tcW w:w="8279" w:type="dxa"/>
            <w:gridSpan w:val="3"/>
            <w:noWrap/>
            <w:tcMar>
              <w:left w:w="45" w:type="dxa"/>
              <w:right w:w="45" w:type="dxa"/>
            </w:tcMar>
            <w:vAlign w:val="center"/>
          </w:tcPr>
          <w:p w14:paraId="345C0FDC">
            <w:pPr>
              <w:widowControl/>
              <w:rPr>
                <w:rFonts w:ascii="宋体" w:hAnsi="宋体" w:cs="宋体"/>
                <w:b/>
                <w:bCs/>
                <w:kern w:val="0"/>
                <w:szCs w:val="21"/>
              </w:rPr>
            </w:pPr>
            <w:r>
              <w:rPr>
                <w:rFonts w:hint="eastAsia" w:ascii="宋体" w:hAnsi="宋体" w:cs="宋体"/>
                <w:b/>
                <w:bCs/>
                <w:kern w:val="0"/>
                <w:szCs w:val="21"/>
              </w:rPr>
              <w:t>安全隐患整改</w:t>
            </w:r>
          </w:p>
        </w:tc>
      </w:tr>
      <w:tr w14:paraId="2FD4E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4510D622">
            <w:pPr>
              <w:widowControl/>
              <w:rPr>
                <w:rFonts w:ascii="宋体" w:hAnsi="宋体" w:cs="宋体"/>
                <w:kern w:val="0"/>
                <w:szCs w:val="21"/>
              </w:rPr>
            </w:pPr>
            <w:r>
              <w:rPr>
                <w:rFonts w:hint="eastAsia" w:ascii="宋体" w:hAnsi="宋体" w:cs="宋体"/>
                <w:kern w:val="0"/>
                <w:szCs w:val="21"/>
              </w:rPr>
              <w:t>5.3.1</w:t>
            </w:r>
          </w:p>
        </w:tc>
        <w:tc>
          <w:tcPr>
            <w:tcW w:w="1721" w:type="dxa"/>
            <w:noWrap/>
            <w:tcMar>
              <w:left w:w="45" w:type="dxa"/>
              <w:right w:w="45" w:type="dxa"/>
            </w:tcMar>
            <w:vAlign w:val="center"/>
          </w:tcPr>
          <w:p w14:paraId="35984BA7">
            <w:pPr>
              <w:widowControl/>
              <w:rPr>
                <w:rFonts w:ascii="宋体" w:hAnsi="宋体" w:cs="宋体"/>
                <w:kern w:val="0"/>
                <w:szCs w:val="21"/>
              </w:rPr>
            </w:pPr>
            <w:r>
              <w:rPr>
                <w:rFonts w:hint="eastAsia" w:ascii="宋体" w:hAnsi="宋体" w:cs="宋体"/>
                <w:kern w:val="0"/>
                <w:szCs w:val="21"/>
              </w:rPr>
              <w:t>检查中发现的问题应以正式形式通知到相关负责人</w:t>
            </w:r>
          </w:p>
        </w:tc>
        <w:tc>
          <w:tcPr>
            <w:tcW w:w="5567" w:type="dxa"/>
            <w:noWrap/>
            <w:tcMar>
              <w:left w:w="45" w:type="dxa"/>
              <w:right w:w="45" w:type="dxa"/>
            </w:tcMar>
            <w:vAlign w:val="center"/>
          </w:tcPr>
          <w:p w14:paraId="037C2A5E">
            <w:pPr>
              <w:widowControl/>
              <w:rPr>
                <w:rFonts w:ascii="宋体" w:hAnsi="宋体" w:cs="宋体"/>
                <w:bCs/>
                <w:kern w:val="0"/>
                <w:szCs w:val="21"/>
              </w:rPr>
            </w:pPr>
            <w:r>
              <w:rPr>
                <w:rFonts w:hint="eastAsia" w:ascii="宋体" w:hAnsi="宋体" w:cs="宋体"/>
                <w:bCs/>
                <w:kern w:val="0"/>
                <w:szCs w:val="21"/>
              </w:rPr>
              <w:t>（43）通知的方式包括校网上公告、实验室安全简报、书面或电子的整改通知书等形式</w:t>
            </w:r>
          </w:p>
        </w:tc>
        <w:tc>
          <w:tcPr>
            <w:tcW w:w="991" w:type="dxa"/>
            <w:noWrap/>
            <w:tcMar>
              <w:left w:w="45" w:type="dxa"/>
              <w:right w:w="45" w:type="dxa"/>
            </w:tcMar>
            <w:vAlign w:val="center"/>
          </w:tcPr>
          <w:p w14:paraId="64648620">
            <w:pPr>
              <w:widowControl/>
              <w:rPr>
                <w:rFonts w:ascii="宋体" w:hAnsi="宋体" w:cs="宋体"/>
                <w:bCs/>
                <w:kern w:val="0"/>
                <w:szCs w:val="21"/>
              </w:rPr>
            </w:pPr>
          </w:p>
        </w:tc>
      </w:tr>
      <w:tr w14:paraId="3BF4B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28FB5D48">
            <w:pPr>
              <w:widowControl/>
              <w:rPr>
                <w:rFonts w:ascii="宋体" w:hAnsi="宋体" w:cs="宋体"/>
                <w:kern w:val="0"/>
                <w:szCs w:val="21"/>
              </w:rPr>
            </w:pPr>
            <w:r>
              <w:rPr>
                <w:rFonts w:hint="eastAsia" w:ascii="宋体" w:hAnsi="宋体" w:cs="宋体"/>
                <w:kern w:val="0"/>
                <w:szCs w:val="21"/>
              </w:rPr>
              <w:t>5.3.2</w:t>
            </w:r>
          </w:p>
        </w:tc>
        <w:tc>
          <w:tcPr>
            <w:tcW w:w="1721" w:type="dxa"/>
            <w:noWrap/>
            <w:tcMar>
              <w:left w:w="45" w:type="dxa"/>
              <w:right w:w="45" w:type="dxa"/>
            </w:tcMar>
            <w:vAlign w:val="center"/>
          </w:tcPr>
          <w:p w14:paraId="045FD678">
            <w:pPr>
              <w:widowControl/>
              <w:rPr>
                <w:rFonts w:ascii="宋体" w:hAnsi="宋体" w:cs="宋体"/>
                <w:kern w:val="0"/>
                <w:szCs w:val="21"/>
              </w:rPr>
            </w:pPr>
            <w:r>
              <w:rPr>
                <w:rFonts w:hint="eastAsia" w:ascii="宋体" w:hAnsi="宋体" w:cs="宋体"/>
                <w:kern w:val="0"/>
                <w:szCs w:val="21"/>
              </w:rPr>
              <w:t>院系须及时组织隐患整改</w:t>
            </w:r>
          </w:p>
        </w:tc>
        <w:tc>
          <w:tcPr>
            <w:tcW w:w="5567" w:type="dxa"/>
            <w:noWrap/>
            <w:tcMar>
              <w:left w:w="45" w:type="dxa"/>
              <w:right w:w="45" w:type="dxa"/>
            </w:tcMar>
            <w:vAlign w:val="center"/>
          </w:tcPr>
          <w:p w14:paraId="0816BC73">
            <w:pPr>
              <w:widowControl/>
              <w:rPr>
                <w:rFonts w:ascii="宋体" w:hAnsi="宋体" w:cs="宋体"/>
                <w:kern w:val="0"/>
                <w:szCs w:val="21"/>
              </w:rPr>
            </w:pPr>
            <w:r>
              <w:rPr>
                <w:rFonts w:hint="eastAsia" w:ascii="宋体" w:hAnsi="宋体" w:cs="宋体"/>
                <w:kern w:val="0"/>
                <w:szCs w:val="21"/>
              </w:rPr>
              <w:t>（44）整改报告应在规定时间内提交学校管理部门。</w:t>
            </w:r>
          </w:p>
          <w:p w14:paraId="420E7F98">
            <w:pPr>
              <w:widowControl/>
              <w:rPr>
                <w:rFonts w:ascii="宋体" w:hAnsi="宋体" w:cs="宋体"/>
                <w:kern w:val="0"/>
                <w:szCs w:val="21"/>
              </w:rPr>
            </w:pPr>
            <w:r>
              <w:rPr>
                <w:rFonts w:hint="eastAsia" w:ascii="宋体" w:hAnsi="宋体" w:cs="宋体"/>
                <w:kern w:val="0"/>
                <w:szCs w:val="21"/>
              </w:rPr>
              <w:t>（45）如存在重大隐患，实验室应立即停止实验活动，整改完成或采取相应防护措施后方能恢复实验</w:t>
            </w:r>
          </w:p>
        </w:tc>
        <w:tc>
          <w:tcPr>
            <w:tcW w:w="991" w:type="dxa"/>
            <w:noWrap/>
            <w:tcMar>
              <w:left w:w="45" w:type="dxa"/>
              <w:right w:w="45" w:type="dxa"/>
            </w:tcMar>
            <w:vAlign w:val="center"/>
          </w:tcPr>
          <w:p w14:paraId="2C66B1A0">
            <w:pPr>
              <w:widowControl/>
              <w:rPr>
                <w:rFonts w:ascii="宋体" w:hAnsi="宋体" w:cs="宋体"/>
                <w:bCs/>
                <w:kern w:val="0"/>
                <w:szCs w:val="21"/>
              </w:rPr>
            </w:pPr>
          </w:p>
        </w:tc>
      </w:tr>
      <w:tr w14:paraId="39603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44363B27">
            <w:pPr>
              <w:widowControl/>
              <w:rPr>
                <w:rFonts w:ascii="宋体" w:hAnsi="宋体" w:cs="宋体"/>
                <w:b/>
                <w:kern w:val="0"/>
                <w:szCs w:val="21"/>
              </w:rPr>
            </w:pPr>
            <w:r>
              <w:rPr>
                <w:rFonts w:hint="eastAsia" w:ascii="宋体" w:hAnsi="宋体" w:cs="宋体"/>
                <w:b/>
                <w:kern w:val="0"/>
                <w:szCs w:val="21"/>
              </w:rPr>
              <w:t>5.4</w:t>
            </w:r>
          </w:p>
        </w:tc>
        <w:tc>
          <w:tcPr>
            <w:tcW w:w="8279" w:type="dxa"/>
            <w:gridSpan w:val="3"/>
            <w:noWrap/>
            <w:tcMar>
              <w:left w:w="45" w:type="dxa"/>
              <w:right w:w="45" w:type="dxa"/>
            </w:tcMar>
            <w:vAlign w:val="center"/>
          </w:tcPr>
          <w:p w14:paraId="2F6C2CD3">
            <w:pPr>
              <w:widowControl/>
              <w:rPr>
                <w:rFonts w:ascii="宋体" w:hAnsi="宋体" w:cs="宋体"/>
                <w:b/>
                <w:kern w:val="0"/>
                <w:szCs w:val="21"/>
              </w:rPr>
            </w:pPr>
            <w:r>
              <w:rPr>
                <w:rFonts w:hint="eastAsia" w:ascii="宋体" w:hAnsi="宋体" w:cs="宋体"/>
                <w:b/>
                <w:kern w:val="0"/>
                <w:szCs w:val="21"/>
              </w:rPr>
              <w:t>安全报告</w:t>
            </w:r>
          </w:p>
        </w:tc>
      </w:tr>
      <w:tr w14:paraId="122B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66776B60">
            <w:pPr>
              <w:widowControl/>
              <w:rPr>
                <w:rFonts w:ascii="宋体" w:hAnsi="宋体" w:cs="宋体"/>
                <w:kern w:val="0"/>
                <w:szCs w:val="21"/>
              </w:rPr>
            </w:pPr>
            <w:r>
              <w:rPr>
                <w:rFonts w:hint="eastAsia" w:ascii="宋体" w:hAnsi="宋体" w:cs="宋体"/>
                <w:kern w:val="0"/>
                <w:szCs w:val="21"/>
              </w:rPr>
              <w:t>5.4.1</w:t>
            </w:r>
          </w:p>
        </w:tc>
        <w:tc>
          <w:tcPr>
            <w:tcW w:w="1721" w:type="dxa"/>
            <w:noWrap/>
            <w:tcMar>
              <w:left w:w="45" w:type="dxa"/>
              <w:right w:w="45" w:type="dxa"/>
            </w:tcMar>
            <w:vAlign w:val="center"/>
          </w:tcPr>
          <w:p w14:paraId="788CF304">
            <w:pPr>
              <w:widowControl/>
              <w:rPr>
                <w:rFonts w:ascii="宋体" w:hAnsi="宋体" w:cs="宋体"/>
                <w:kern w:val="0"/>
                <w:szCs w:val="21"/>
              </w:rPr>
            </w:pPr>
            <w:r>
              <w:rPr>
                <w:rFonts w:hint="eastAsia" w:ascii="宋体" w:hAnsi="宋体" w:cs="宋体"/>
                <w:kern w:val="0"/>
                <w:szCs w:val="21"/>
              </w:rPr>
              <w:t>学校有定期/不定期</w:t>
            </w:r>
            <w:r>
              <w:rPr>
                <w:rFonts w:hint="eastAsia" w:ascii="宋体" w:hAnsi="宋体" w:cs="宋体"/>
                <w:bCs/>
                <w:kern w:val="0"/>
                <w:szCs w:val="21"/>
              </w:rPr>
              <w:t>的</w:t>
            </w:r>
            <w:r>
              <w:rPr>
                <w:rFonts w:hint="eastAsia" w:ascii="宋体" w:hAnsi="宋体" w:cs="宋体"/>
                <w:kern w:val="0"/>
                <w:szCs w:val="21"/>
              </w:rPr>
              <w:t>安全检查通报；院系有安全检查及整改记录</w:t>
            </w:r>
          </w:p>
        </w:tc>
        <w:tc>
          <w:tcPr>
            <w:tcW w:w="5567" w:type="dxa"/>
            <w:noWrap/>
            <w:tcMar>
              <w:left w:w="45" w:type="dxa"/>
              <w:right w:w="45" w:type="dxa"/>
            </w:tcMar>
            <w:vAlign w:val="center"/>
          </w:tcPr>
          <w:p w14:paraId="50A2BCA2">
            <w:pPr>
              <w:widowControl/>
              <w:rPr>
                <w:rFonts w:ascii="宋体" w:hAnsi="宋体" w:cs="宋体"/>
                <w:bCs/>
                <w:kern w:val="0"/>
                <w:szCs w:val="21"/>
              </w:rPr>
            </w:pPr>
            <w:r>
              <w:rPr>
                <w:rFonts w:hint="eastAsia" w:ascii="宋体" w:hAnsi="宋体" w:cs="宋体"/>
                <w:bCs/>
                <w:kern w:val="0"/>
                <w:szCs w:val="21"/>
              </w:rPr>
              <w:t>（46）存有相关资料或电子文档</w:t>
            </w:r>
          </w:p>
        </w:tc>
        <w:tc>
          <w:tcPr>
            <w:tcW w:w="991" w:type="dxa"/>
            <w:noWrap/>
            <w:tcMar>
              <w:left w:w="45" w:type="dxa"/>
              <w:right w:w="45" w:type="dxa"/>
            </w:tcMar>
            <w:vAlign w:val="center"/>
          </w:tcPr>
          <w:p w14:paraId="17AF9345">
            <w:pPr>
              <w:widowControl/>
              <w:rPr>
                <w:rFonts w:ascii="宋体" w:hAnsi="宋体" w:cs="宋体"/>
                <w:bCs/>
                <w:kern w:val="0"/>
                <w:szCs w:val="21"/>
              </w:rPr>
            </w:pPr>
          </w:p>
        </w:tc>
      </w:tr>
      <w:tr w14:paraId="2401E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728E512E">
            <w:pPr>
              <w:widowControl/>
              <w:rPr>
                <w:rFonts w:ascii="宋体" w:hAnsi="宋体" w:cs="宋体"/>
                <w:b/>
                <w:kern w:val="0"/>
                <w:szCs w:val="21"/>
              </w:rPr>
            </w:pPr>
            <w:r>
              <w:rPr>
                <w:rFonts w:hint="eastAsia" w:ascii="宋体" w:hAnsi="宋体" w:cs="宋体"/>
                <w:b/>
                <w:kern w:val="0"/>
                <w:szCs w:val="21"/>
              </w:rPr>
              <w:t>6</w:t>
            </w:r>
          </w:p>
        </w:tc>
        <w:tc>
          <w:tcPr>
            <w:tcW w:w="8279" w:type="dxa"/>
            <w:gridSpan w:val="3"/>
            <w:noWrap/>
            <w:tcMar>
              <w:left w:w="45" w:type="dxa"/>
              <w:right w:w="45" w:type="dxa"/>
            </w:tcMar>
            <w:vAlign w:val="center"/>
          </w:tcPr>
          <w:p w14:paraId="3D2D7004">
            <w:pPr>
              <w:widowControl/>
              <w:rPr>
                <w:rFonts w:ascii="宋体" w:hAnsi="宋体" w:cs="宋体"/>
                <w:b/>
                <w:kern w:val="0"/>
                <w:szCs w:val="21"/>
              </w:rPr>
            </w:pPr>
            <w:r>
              <w:rPr>
                <w:rFonts w:hint="eastAsia" w:ascii="宋体" w:hAnsi="宋体" w:cs="宋体"/>
                <w:b/>
                <w:kern w:val="0"/>
                <w:szCs w:val="21"/>
              </w:rPr>
              <w:t>实验场所</w:t>
            </w:r>
          </w:p>
        </w:tc>
      </w:tr>
      <w:tr w14:paraId="67D11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0BFD1EF1">
            <w:pPr>
              <w:widowControl/>
              <w:rPr>
                <w:rFonts w:ascii="宋体" w:hAnsi="宋体" w:cs="宋体"/>
                <w:b/>
                <w:kern w:val="0"/>
                <w:szCs w:val="21"/>
              </w:rPr>
            </w:pPr>
            <w:r>
              <w:rPr>
                <w:rFonts w:hint="eastAsia" w:ascii="宋体" w:hAnsi="宋体" w:cs="宋体"/>
                <w:b/>
                <w:kern w:val="0"/>
                <w:szCs w:val="21"/>
              </w:rPr>
              <w:t>6.1</w:t>
            </w:r>
          </w:p>
        </w:tc>
        <w:tc>
          <w:tcPr>
            <w:tcW w:w="8279" w:type="dxa"/>
            <w:gridSpan w:val="3"/>
            <w:noWrap/>
            <w:tcMar>
              <w:left w:w="45" w:type="dxa"/>
              <w:right w:w="45" w:type="dxa"/>
            </w:tcMar>
            <w:vAlign w:val="center"/>
          </w:tcPr>
          <w:p w14:paraId="0EC4591B">
            <w:pPr>
              <w:widowControl/>
              <w:rPr>
                <w:rFonts w:ascii="宋体" w:hAnsi="宋体" w:cs="宋体"/>
                <w:b/>
                <w:kern w:val="0"/>
                <w:szCs w:val="21"/>
              </w:rPr>
            </w:pPr>
            <w:r>
              <w:rPr>
                <w:rFonts w:hint="eastAsia" w:ascii="宋体" w:hAnsi="宋体" w:cs="宋体"/>
                <w:b/>
                <w:kern w:val="0"/>
                <w:szCs w:val="21"/>
              </w:rPr>
              <w:t>场所环境</w:t>
            </w:r>
          </w:p>
        </w:tc>
      </w:tr>
      <w:tr w14:paraId="5F80C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4503CE88">
            <w:pPr>
              <w:widowControl/>
              <w:rPr>
                <w:rFonts w:ascii="宋体" w:hAnsi="宋体" w:cs="宋体"/>
                <w:szCs w:val="21"/>
              </w:rPr>
            </w:pPr>
            <w:r>
              <w:rPr>
                <w:rFonts w:hint="eastAsia" w:ascii="宋体" w:hAnsi="宋体" w:cs="宋体"/>
                <w:szCs w:val="21"/>
              </w:rPr>
              <w:t>6.1.1</w:t>
            </w:r>
          </w:p>
        </w:tc>
        <w:tc>
          <w:tcPr>
            <w:tcW w:w="1721" w:type="dxa"/>
            <w:noWrap/>
            <w:tcMar>
              <w:left w:w="45" w:type="dxa"/>
              <w:right w:w="45" w:type="dxa"/>
            </w:tcMar>
            <w:vAlign w:val="center"/>
          </w:tcPr>
          <w:p w14:paraId="452BD90F">
            <w:pPr>
              <w:widowControl/>
              <w:rPr>
                <w:rFonts w:ascii="宋体" w:hAnsi="宋体" w:cs="宋体"/>
                <w:szCs w:val="21"/>
              </w:rPr>
            </w:pPr>
            <w:r>
              <w:rPr>
                <w:rFonts w:hint="eastAsia" w:ascii="宋体" w:hAnsi="宋体" w:cs="宋体"/>
                <w:szCs w:val="21"/>
              </w:rPr>
              <w:t>实验场所应张贴安全信息牌</w:t>
            </w:r>
          </w:p>
        </w:tc>
        <w:tc>
          <w:tcPr>
            <w:tcW w:w="5567" w:type="dxa"/>
            <w:noWrap/>
            <w:tcMar>
              <w:left w:w="45" w:type="dxa"/>
              <w:right w:w="45" w:type="dxa"/>
            </w:tcMar>
            <w:vAlign w:val="center"/>
          </w:tcPr>
          <w:p w14:paraId="3CFA4C34">
            <w:pPr>
              <w:widowControl/>
              <w:rPr>
                <w:rFonts w:ascii="宋体" w:hAnsi="宋体" w:cs="宋体"/>
                <w:bCs/>
                <w:kern w:val="0"/>
                <w:szCs w:val="21"/>
              </w:rPr>
            </w:pPr>
            <w:r>
              <w:rPr>
                <w:rFonts w:hint="eastAsia" w:ascii="宋体" w:hAnsi="宋体" w:cs="宋体"/>
                <w:szCs w:val="21"/>
              </w:rPr>
              <w:t>（47）每个房间门口挂有安全信息牌，信息包括：实验室分级分类结果、安全风险点的警示标识、安全责任人、涉及危险类别、防护措施和有效的应急联系电话等，并及时更新</w:t>
            </w:r>
          </w:p>
        </w:tc>
        <w:tc>
          <w:tcPr>
            <w:tcW w:w="991" w:type="dxa"/>
            <w:noWrap/>
            <w:tcMar>
              <w:left w:w="45" w:type="dxa"/>
              <w:right w:w="45" w:type="dxa"/>
            </w:tcMar>
            <w:vAlign w:val="center"/>
          </w:tcPr>
          <w:p w14:paraId="617ED17C">
            <w:pPr>
              <w:widowControl/>
              <w:rPr>
                <w:rFonts w:ascii="宋体" w:hAnsi="宋体" w:cs="宋体"/>
                <w:bCs/>
                <w:kern w:val="0"/>
                <w:szCs w:val="21"/>
              </w:rPr>
            </w:pPr>
          </w:p>
        </w:tc>
      </w:tr>
      <w:tr w14:paraId="0F49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56D4BB92">
            <w:pPr>
              <w:widowControl/>
              <w:rPr>
                <w:rFonts w:ascii="宋体" w:hAnsi="宋体" w:cs="宋体"/>
                <w:kern w:val="0"/>
                <w:szCs w:val="21"/>
              </w:rPr>
            </w:pPr>
            <w:r>
              <w:rPr>
                <w:rFonts w:hint="eastAsia" w:ascii="宋体" w:hAnsi="宋体" w:cs="宋体"/>
                <w:szCs w:val="21"/>
              </w:rPr>
              <w:t>6.1.2</w:t>
            </w:r>
          </w:p>
        </w:tc>
        <w:tc>
          <w:tcPr>
            <w:tcW w:w="1721" w:type="dxa"/>
            <w:noWrap/>
            <w:tcMar>
              <w:left w:w="45" w:type="dxa"/>
              <w:right w:w="45" w:type="dxa"/>
            </w:tcMar>
            <w:vAlign w:val="center"/>
          </w:tcPr>
          <w:p w14:paraId="5DC77CBD">
            <w:pPr>
              <w:widowControl/>
              <w:rPr>
                <w:rFonts w:ascii="宋体" w:hAnsi="宋体" w:cs="宋体"/>
                <w:kern w:val="0"/>
                <w:szCs w:val="21"/>
              </w:rPr>
            </w:pPr>
            <w:r>
              <w:rPr>
                <w:rFonts w:hint="eastAsia" w:ascii="宋体" w:hAnsi="宋体" w:cs="宋体"/>
                <w:szCs w:val="21"/>
              </w:rPr>
              <w:t>实验场所应具备合理的安全空间布局</w:t>
            </w:r>
          </w:p>
        </w:tc>
        <w:tc>
          <w:tcPr>
            <w:tcW w:w="5567" w:type="dxa"/>
            <w:noWrap/>
            <w:tcMar>
              <w:left w:w="45" w:type="dxa"/>
              <w:right w:w="45" w:type="dxa"/>
            </w:tcMar>
            <w:vAlign w:val="center"/>
          </w:tcPr>
          <w:p w14:paraId="7F618EFC">
            <w:pPr>
              <w:widowControl/>
              <w:rPr>
                <w:rFonts w:ascii="宋体" w:hAnsi="宋体" w:cs="宋体"/>
                <w:szCs w:val="21"/>
              </w:rPr>
            </w:pPr>
            <w:r>
              <w:rPr>
                <w:rFonts w:hint="eastAsia" w:ascii="宋体" w:hAnsi="宋体" w:cs="宋体"/>
                <w:szCs w:val="21"/>
              </w:rPr>
              <w:t>（48）超过200m</w:t>
            </w:r>
            <w:r>
              <w:rPr>
                <w:rFonts w:hint="eastAsia" w:ascii="宋体" w:hAnsi="宋体" w:cs="宋体"/>
                <w:szCs w:val="21"/>
                <w:vertAlign w:val="superscript"/>
              </w:rPr>
              <w:t>2</w:t>
            </w:r>
            <w:r>
              <w:rPr>
                <w:rFonts w:hint="eastAsia" w:ascii="宋体" w:hAnsi="宋体" w:cs="宋体"/>
                <w:szCs w:val="21"/>
              </w:rPr>
              <w:t>的实验楼层具有至少两处安全出口，75m</w:t>
            </w:r>
            <w:r>
              <w:rPr>
                <w:rFonts w:hint="eastAsia" w:ascii="宋体" w:hAnsi="宋体" w:cs="宋体"/>
                <w:szCs w:val="21"/>
                <w:vertAlign w:val="superscript"/>
              </w:rPr>
              <w:t>2</w:t>
            </w:r>
            <w:r>
              <w:rPr>
                <w:rFonts w:hint="eastAsia" w:ascii="宋体" w:hAnsi="宋体" w:cs="宋体"/>
                <w:szCs w:val="21"/>
              </w:rPr>
              <w:t>以上实验室要有两个出入口。</w:t>
            </w:r>
          </w:p>
          <w:p w14:paraId="60E37122">
            <w:pPr>
              <w:widowControl/>
              <w:rPr>
                <w:rFonts w:ascii="宋体" w:hAnsi="宋体" w:cs="宋体"/>
                <w:szCs w:val="21"/>
              </w:rPr>
            </w:pPr>
            <w:r>
              <w:rPr>
                <w:rFonts w:hint="eastAsia" w:ascii="宋体" w:hAnsi="宋体" w:cs="宋体"/>
                <w:szCs w:val="21"/>
              </w:rPr>
              <w:t>（49）实验楼大走廊保证留有大于1.5m净宽的消防通道。</w:t>
            </w:r>
          </w:p>
          <w:p w14:paraId="34D7299A">
            <w:pPr>
              <w:widowControl/>
              <w:rPr>
                <w:rFonts w:ascii="宋体" w:hAnsi="宋体" w:cs="宋体"/>
                <w:szCs w:val="21"/>
              </w:rPr>
            </w:pPr>
            <w:r>
              <w:rPr>
                <w:rFonts w:hint="eastAsia" w:ascii="宋体" w:hAnsi="宋体" w:cs="宋体"/>
                <w:szCs w:val="21"/>
              </w:rPr>
              <w:t>（50）实验室操作区层高不低于2m。</w:t>
            </w:r>
          </w:p>
          <w:p w14:paraId="1F58A028">
            <w:pPr>
              <w:widowControl/>
              <w:rPr>
                <w:rFonts w:ascii="宋体" w:hAnsi="宋体" w:cs="宋体"/>
                <w:szCs w:val="21"/>
                <w:vertAlign w:val="superscript"/>
              </w:rPr>
            </w:pPr>
            <w:r>
              <w:rPr>
                <w:rFonts w:hint="eastAsia" w:ascii="宋体" w:hAnsi="宋体" w:cs="宋体"/>
                <w:szCs w:val="21"/>
              </w:rPr>
              <w:t>（51）理工农医类实验室内多人同时进行实验时，人均操作面积不小于2.5m</w:t>
            </w:r>
            <w:r>
              <w:rPr>
                <w:rFonts w:hint="eastAsia" w:ascii="宋体" w:hAnsi="宋体" w:cs="宋体"/>
                <w:szCs w:val="21"/>
                <w:vertAlign w:val="superscript"/>
              </w:rPr>
              <w:t>2</w:t>
            </w:r>
          </w:p>
        </w:tc>
        <w:tc>
          <w:tcPr>
            <w:tcW w:w="991" w:type="dxa"/>
            <w:noWrap/>
            <w:tcMar>
              <w:left w:w="45" w:type="dxa"/>
              <w:right w:w="45" w:type="dxa"/>
            </w:tcMar>
            <w:vAlign w:val="center"/>
          </w:tcPr>
          <w:p w14:paraId="3BD3F7B2">
            <w:pPr>
              <w:widowControl/>
              <w:rPr>
                <w:rFonts w:ascii="宋体" w:hAnsi="宋体" w:cs="宋体"/>
                <w:bCs/>
                <w:kern w:val="0"/>
                <w:szCs w:val="21"/>
              </w:rPr>
            </w:pPr>
          </w:p>
        </w:tc>
      </w:tr>
      <w:tr w14:paraId="49A6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7C928B86">
            <w:pPr>
              <w:widowControl/>
              <w:rPr>
                <w:rFonts w:ascii="宋体" w:hAnsi="宋体" w:cs="宋体"/>
                <w:kern w:val="0"/>
                <w:szCs w:val="21"/>
              </w:rPr>
            </w:pPr>
            <w:r>
              <w:rPr>
                <w:rFonts w:hint="eastAsia" w:ascii="宋体" w:hAnsi="宋体" w:cs="宋体"/>
                <w:szCs w:val="21"/>
              </w:rPr>
              <w:t>6.1.3</w:t>
            </w:r>
          </w:p>
        </w:tc>
        <w:tc>
          <w:tcPr>
            <w:tcW w:w="1721" w:type="dxa"/>
            <w:noWrap/>
            <w:tcMar>
              <w:left w:w="45" w:type="dxa"/>
              <w:right w:w="45" w:type="dxa"/>
            </w:tcMar>
            <w:vAlign w:val="center"/>
          </w:tcPr>
          <w:p w14:paraId="510402A8">
            <w:pPr>
              <w:widowControl/>
              <w:rPr>
                <w:rFonts w:ascii="宋体" w:hAnsi="宋体" w:cs="宋体"/>
                <w:kern w:val="0"/>
                <w:szCs w:val="21"/>
              </w:rPr>
            </w:pPr>
            <w:r>
              <w:rPr>
                <w:rFonts w:hint="eastAsia" w:ascii="宋体" w:hAnsi="宋体" w:cs="宋体"/>
                <w:szCs w:val="21"/>
              </w:rPr>
              <w:t>实验室消防通道通畅，公共场所不堆放仪器和物品</w:t>
            </w:r>
          </w:p>
        </w:tc>
        <w:tc>
          <w:tcPr>
            <w:tcW w:w="5567" w:type="dxa"/>
            <w:noWrap/>
            <w:tcMar>
              <w:left w:w="45" w:type="dxa"/>
              <w:right w:w="45" w:type="dxa"/>
            </w:tcMar>
            <w:vAlign w:val="center"/>
          </w:tcPr>
          <w:p w14:paraId="6488EF8A">
            <w:pPr>
              <w:widowControl/>
              <w:rPr>
                <w:rFonts w:ascii="宋体" w:hAnsi="宋体" w:cs="宋体"/>
                <w:bCs/>
                <w:kern w:val="0"/>
                <w:szCs w:val="21"/>
              </w:rPr>
            </w:pPr>
            <w:r>
              <w:rPr>
                <w:rFonts w:hint="eastAsia" w:ascii="宋体" w:hAnsi="宋体" w:cs="宋体"/>
                <w:bCs/>
                <w:szCs w:val="21"/>
              </w:rPr>
              <w:t>（52）保持消防通道通畅</w:t>
            </w:r>
          </w:p>
        </w:tc>
        <w:tc>
          <w:tcPr>
            <w:tcW w:w="991" w:type="dxa"/>
            <w:noWrap/>
            <w:tcMar>
              <w:left w:w="45" w:type="dxa"/>
              <w:right w:w="45" w:type="dxa"/>
            </w:tcMar>
            <w:vAlign w:val="center"/>
          </w:tcPr>
          <w:p w14:paraId="2183F1DE">
            <w:pPr>
              <w:widowControl/>
              <w:rPr>
                <w:rFonts w:ascii="宋体" w:hAnsi="宋体" w:cs="宋体"/>
                <w:bCs/>
                <w:kern w:val="0"/>
                <w:szCs w:val="21"/>
              </w:rPr>
            </w:pPr>
          </w:p>
        </w:tc>
      </w:tr>
      <w:tr w14:paraId="70E3B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341168BE">
            <w:pPr>
              <w:widowControl/>
              <w:rPr>
                <w:rFonts w:ascii="宋体" w:hAnsi="宋体" w:cs="宋体"/>
                <w:kern w:val="0"/>
                <w:szCs w:val="21"/>
              </w:rPr>
            </w:pPr>
            <w:r>
              <w:rPr>
                <w:rFonts w:hint="eastAsia" w:ascii="宋体" w:hAnsi="宋体" w:cs="宋体"/>
                <w:szCs w:val="21"/>
              </w:rPr>
              <w:t>6.1.4</w:t>
            </w:r>
          </w:p>
        </w:tc>
        <w:tc>
          <w:tcPr>
            <w:tcW w:w="1721" w:type="dxa"/>
            <w:noWrap/>
            <w:tcMar>
              <w:left w:w="45" w:type="dxa"/>
              <w:right w:w="45" w:type="dxa"/>
            </w:tcMar>
            <w:vAlign w:val="center"/>
          </w:tcPr>
          <w:p w14:paraId="77D6C185">
            <w:pPr>
              <w:widowControl/>
              <w:rPr>
                <w:rFonts w:ascii="宋体" w:hAnsi="宋体" w:cs="宋体"/>
                <w:kern w:val="0"/>
                <w:szCs w:val="21"/>
              </w:rPr>
            </w:pPr>
            <w:r>
              <w:rPr>
                <w:rFonts w:hint="eastAsia" w:ascii="宋体" w:hAnsi="宋体" w:cs="宋体"/>
                <w:szCs w:val="21"/>
              </w:rPr>
              <w:t>实验室建设和装修应符合消防安全要求</w:t>
            </w:r>
          </w:p>
        </w:tc>
        <w:tc>
          <w:tcPr>
            <w:tcW w:w="5567" w:type="dxa"/>
            <w:noWrap/>
            <w:tcMar>
              <w:left w:w="45" w:type="dxa"/>
              <w:right w:w="45" w:type="dxa"/>
            </w:tcMar>
            <w:vAlign w:val="center"/>
          </w:tcPr>
          <w:p w14:paraId="1E69394E">
            <w:pPr>
              <w:widowControl/>
              <w:rPr>
                <w:rFonts w:ascii="宋体" w:hAnsi="宋体" w:cs="宋体"/>
                <w:szCs w:val="21"/>
              </w:rPr>
            </w:pPr>
            <w:r>
              <w:rPr>
                <w:rFonts w:hint="eastAsia" w:ascii="宋体" w:hAnsi="宋体" w:cs="宋体"/>
                <w:szCs w:val="21"/>
              </w:rPr>
              <w:t>（53）实验操作台应选用合格的防火、耐腐蚀材料。</w:t>
            </w:r>
          </w:p>
          <w:p w14:paraId="154C71EB">
            <w:pPr>
              <w:widowControl/>
              <w:rPr>
                <w:rFonts w:ascii="宋体" w:hAnsi="宋体" w:cs="宋体"/>
                <w:szCs w:val="21"/>
              </w:rPr>
            </w:pPr>
            <w:r>
              <w:rPr>
                <w:rFonts w:hint="eastAsia" w:ascii="宋体" w:hAnsi="宋体" w:cs="宋体"/>
                <w:szCs w:val="21"/>
              </w:rPr>
              <w:t>（54）仪器设备安装符合建筑物承重荷载要求。</w:t>
            </w:r>
          </w:p>
          <w:p w14:paraId="0CBC70E1">
            <w:pPr>
              <w:widowControl/>
              <w:rPr>
                <w:rFonts w:ascii="宋体" w:hAnsi="宋体" w:cs="宋体"/>
                <w:szCs w:val="21"/>
              </w:rPr>
            </w:pPr>
            <w:r>
              <w:rPr>
                <w:rFonts w:hint="eastAsia" w:ascii="宋体" w:hAnsi="宋体" w:cs="宋体"/>
                <w:szCs w:val="21"/>
              </w:rPr>
              <w:t>（55）有可燃气体的实验室不设吊顶。</w:t>
            </w:r>
          </w:p>
          <w:p w14:paraId="3F15091F">
            <w:pPr>
              <w:widowControl/>
              <w:rPr>
                <w:rFonts w:ascii="宋体" w:hAnsi="宋体" w:cs="宋体"/>
                <w:szCs w:val="21"/>
              </w:rPr>
            </w:pPr>
            <w:r>
              <w:rPr>
                <w:rFonts w:hint="eastAsia" w:ascii="宋体" w:hAnsi="宋体" w:cs="宋体"/>
                <w:szCs w:val="21"/>
              </w:rPr>
              <w:t>（56）不用的配电箱、插座、水管水龙头、网线、气体管路等，应及时拆除或封闭。</w:t>
            </w:r>
          </w:p>
          <w:p w14:paraId="5F46ECAE">
            <w:pPr>
              <w:widowControl/>
              <w:rPr>
                <w:rFonts w:ascii="宋体" w:hAnsi="宋体" w:cs="宋体"/>
                <w:bCs/>
                <w:kern w:val="0"/>
                <w:szCs w:val="21"/>
              </w:rPr>
            </w:pPr>
            <w:r>
              <w:rPr>
                <w:rFonts w:hint="eastAsia" w:ascii="宋体" w:hAnsi="宋体" w:cs="宋体"/>
                <w:szCs w:val="21"/>
              </w:rPr>
              <w:t>（57）实验室门上有观察窗，外开门不阻挡逃生路径</w:t>
            </w:r>
          </w:p>
        </w:tc>
        <w:tc>
          <w:tcPr>
            <w:tcW w:w="991" w:type="dxa"/>
            <w:noWrap/>
            <w:tcMar>
              <w:left w:w="45" w:type="dxa"/>
              <w:right w:w="45" w:type="dxa"/>
            </w:tcMar>
            <w:vAlign w:val="center"/>
          </w:tcPr>
          <w:p w14:paraId="39525EB3">
            <w:pPr>
              <w:widowControl/>
              <w:rPr>
                <w:rFonts w:ascii="宋体" w:hAnsi="宋体" w:cs="宋体"/>
                <w:bCs/>
                <w:kern w:val="0"/>
                <w:szCs w:val="21"/>
              </w:rPr>
            </w:pPr>
          </w:p>
        </w:tc>
      </w:tr>
      <w:tr w14:paraId="42974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2796B043">
            <w:pPr>
              <w:widowControl/>
              <w:rPr>
                <w:rFonts w:ascii="宋体" w:hAnsi="宋体" w:cs="宋体"/>
                <w:szCs w:val="21"/>
              </w:rPr>
            </w:pPr>
            <w:r>
              <w:rPr>
                <w:rFonts w:hint="eastAsia" w:ascii="宋体" w:hAnsi="宋体" w:cs="宋体"/>
                <w:szCs w:val="21"/>
              </w:rPr>
              <w:t>6.1.5</w:t>
            </w:r>
          </w:p>
        </w:tc>
        <w:tc>
          <w:tcPr>
            <w:tcW w:w="1721" w:type="dxa"/>
            <w:noWrap/>
            <w:tcMar>
              <w:left w:w="45" w:type="dxa"/>
              <w:right w:w="45" w:type="dxa"/>
            </w:tcMar>
            <w:vAlign w:val="center"/>
          </w:tcPr>
          <w:p w14:paraId="4EB88B22">
            <w:pPr>
              <w:widowControl/>
              <w:rPr>
                <w:rFonts w:ascii="宋体" w:hAnsi="宋体" w:cs="宋体"/>
                <w:szCs w:val="21"/>
              </w:rPr>
            </w:pPr>
            <w:r>
              <w:rPr>
                <w:rFonts w:hint="eastAsia" w:ascii="宋体" w:hAnsi="宋体" w:cs="宋体"/>
                <w:szCs w:val="21"/>
              </w:rPr>
              <w:t>实验室所有房间均须配有应急备用钥匙</w:t>
            </w:r>
          </w:p>
        </w:tc>
        <w:tc>
          <w:tcPr>
            <w:tcW w:w="5567" w:type="dxa"/>
            <w:noWrap/>
            <w:tcMar>
              <w:left w:w="45" w:type="dxa"/>
              <w:right w:w="45" w:type="dxa"/>
            </w:tcMar>
            <w:vAlign w:val="center"/>
          </w:tcPr>
          <w:p w14:paraId="4047BA8E">
            <w:pPr>
              <w:widowControl/>
              <w:rPr>
                <w:rFonts w:ascii="宋体" w:hAnsi="宋体" w:cs="宋体"/>
                <w:bCs/>
                <w:szCs w:val="21"/>
              </w:rPr>
            </w:pPr>
            <w:r>
              <w:rPr>
                <w:rFonts w:hint="eastAsia" w:ascii="宋体" w:hAnsi="宋体" w:cs="宋体"/>
                <w:szCs w:val="21"/>
              </w:rPr>
              <w:t>（58）应急备用钥匙须集中存放、统一管理，应急时方便取用</w:t>
            </w:r>
          </w:p>
        </w:tc>
        <w:tc>
          <w:tcPr>
            <w:tcW w:w="991" w:type="dxa"/>
            <w:noWrap/>
            <w:tcMar>
              <w:left w:w="45" w:type="dxa"/>
              <w:right w:w="45" w:type="dxa"/>
            </w:tcMar>
            <w:vAlign w:val="center"/>
          </w:tcPr>
          <w:p w14:paraId="40AD9778">
            <w:pPr>
              <w:widowControl/>
              <w:rPr>
                <w:rFonts w:ascii="宋体" w:hAnsi="宋体" w:cs="宋体"/>
                <w:bCs/>
                <w:szCs w:val="21"/>
              </w:rPr>
            </w:pPr>
          </w:p>
        </w:tc>
      </w:tr>
      <w:tr w14:paraId="367BA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78E53F22">
            <w:pPr>
              <w:widowControl/>
              <w:rPr>
                <w:rFonts w:ascii="宋体" w:hAnsi="宋体" w:cs="宋体"/>
                <w:kern w:val="0"/>
                <w:szCs w:val="21"/>
              </w:rPr>
            </w:pPr>
            <w:r>
              <w:rPr>
                <w:rFonts w:hint="eastAsia" w:ascii="宋体" w:hAnsi="宋体" w:cs="宋体"/>
                <w:szCs w:val="21"/>
              </w:rPr>
              <w:t>6.1.6</w:t>
            </w:r>
          </w:p>
        </w:tc>
        <w:tc>
          <w:tcPr>
            <w:tcW w:w="1721" w:type="dxa"/>
            <w:noWrap/>
            <w:tcMar>
              <w:left w:w="45" w:type="dxa"/>
              <w:right w:w="45" w:type="dxa"/>
            </w:tcMar>
            <w:vAlign w:val="center"/>
          </w:tcPr>
          <w:p w14:paraId="2B75E277">
            <w:pPr>
              <w:widowControl/>
              <w:rPr>
                <w:rFonts w:ascii="宋体" w:hAnsi="宋体" w:cs="宋体"/>
                <w:kern w:val="0"/>
                <w:szCs w:val="21"/>
              </w:rPr>
            </w:pPr>
            <w:r>
              <w:rPr>
                <w:rFonts w:hint="eastAsia" w:ascii="宋体" w:hAnsi="宋体" w:cs="宋体"/>
                <w:szCs w:val="21"/>
              </w:rPr>
              <w:t>实验设备须做好振动减振、电磁屏蔽和降噪</w:t>
            </w:r>
          </w:p>
        </w:tc>
        <w:tc>
          <w:tcPr>
            <w:tcW w:w="5567" w:type="dxa"/>
            <w:noWrap/>
            <w:tcMar>
              <w:left w:w="45" w:type="dxa"/>
              <w:right w:w="45" w:type="dxa"/>
            </w:tcMar>
            <w:vAlign w:val="center"/>
          </w:tcPr>
          <w:p w14:paraId="619E7D66">
            <w:pPr>
              <w:widowControl/>
              <w:rPr>
                <w:rFonts w:ascii="宋体" w:hAnsi="宋体" w:cs="宋体"/>
                <w:szCs w:val="21"/>
              </w:rPr>
            </w:pPr>
            <w:r>
              <w:rPr>
                <w:rFonts w:hint="eastAsia" w:ascii="宋体" w:hAnsi="宋体" w:cs="宋体"/>
                <w:szCs w:val="21"/>
              </w:rPr>
              <w:t>（59）容易产生振动的设备，须考虑采取合理的减振措施。</w:t>
            </w:r>
          </w:p>
          <w:p w14:paraId="1EE33150">
            <w:pPr>
              <w:widowControl/>
              <w:rPr>
                <w:rFonts w:ascii="宋体" w:hAnsi="宋体" w:cs="宋体"/>
                <w:szCs w:val="21"/>
              </w:rPr>
            </w:pPr>
            <w:r>
              <w:rPr>
                <w:rFonts w:hint="eastAsia" w:ascii="宋体" w:hAnsi="宋体" w:cs="宋体"/>
                <w:szCs w:val="21"/>
              </w:rPr>
              <w:t>（60）易对外产生磁场或易受磁场干扰的设备，须做好磁屏蔽。</w:t>
            </w:r>
          </w:p>
          <w:p w14:paraId="48D40356">
            <w:pPr>
              <w:widowControl/>
              <w:rPr>
                <w:rFonts w:ascii="宋体" w:hAnsi="宋体" w:cs="宋体"/>
                <w:bCs/>
                <w:kern w:val="0"/>
                <w:szCs w:val="21"/>
              </w:rPr>
            </w:pPr>
            <w:r>
              <w:rPr>
                <w:rFonts w:hint="eastAsia" w:ascii="宋体" w:hAnsi="宋体" w:cs="宋体"/>
                <w:szCs w:val="21"/>
              </w:rPr>
              <w:t>（61）实验室噪声一般不高于55分贝（机械设备不高于70分贝）</w:t>
            </w:r>
          </w:p>
        </w:tc>
        <w:tc>
          <w:tcPr>
            <w:tcW w:w="991" w:type="dxa"/>
            <w:noWrap/>
            <w:tcMar>
              <w:left w:w="45" w:type="dxa"/>
              <w:right w:w="45" w:type="dxa"/>
            </w:tcMar>
            <w:vAlign w:val="center"/>
          </w:tcPr>
          <w:p w14:paraId="31129319">
            <w:pPr>
              <w:widowControl/>
              <w:rPr>
                <w:rFonts w:ascii="宋体" w:hAnsi="宋体" w:cs="宋体"/>
                <w:bCs/>
                <w:kern w:val="0"/>
                <w:szCs w:val="21"/>
              </w:rPr>
            </w:pPr>
          </w:p>
        </w:tc>
      </w:tr>
      <w:tr w14:paraId="2167D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4388F0F7">
            <w:pPr>
              <w:widowControl/>
              <w:rPr>
                <w:rFonts w:ascii="宋体" w:hAnsi="宋体" w:cs="宋体"/>
                <w:kern w:val="0"/>
                <w:szCs w:val="21"/>
              </w:rPr>
            </w:pPr>
            <w:r>
              <w:rPr>
                <w:rFonts w:hint="eastAsia" w:ascii="宋体" w:hAnsi="宋体" w:cs="宋体"/>
                <w:szCs w:val="21"/>
              </w:rPr>
              <w:t>6.1.7</w:t>
            </w:r>
          </w:p>
        </w:tc>
        <w:tc>
          <w:tcPr>
            <w:tcW w:w="1721" w:type="dxa"/>
            <w:noWrap/>
            <w:tcMar>
              <w:left w:w="45" w:type="dxa"/>
              <w:right w:w="45" w:type="dxa"/>
            </w:tcMar>
            <w:vAlign w:val="center"/>
          </w:tcPr>
          <w:p w14:paraId="1E48101B">
            <w:pPr>
              <w:rPr>
                <w:rFonts w:ascii="宋体" w:hAnsi="宋体" w:cs="宋体"/>
                <w:szCs w:val="21"/>
              </w:rPr>
            </w:pPr>
            <w:r>
              <w:rPr>
                <w:rFonts w:hint="eastAsia" w:ascii="宋体" w:hAnsi="宋体" w:cs="宋体"/>
                <w:szCs w:val="21"/>
              </w:rPr>
              <w:t>实验室水、电、气管线布局合理，安装施工规范</w:t>
            </w:r>
          </w:p>
        </w:tc>
        <w:tc>
          <w:tcPr>
            <w:tcW w:w="5567" w:type="dxa"/>
            <w:noWrap/>
            <w:tcMar>
              <w:left w:w="45" w:type="dxa"/>
              <w:right w:w="45" w:type="dxa"/>
            </w:tcMar>
            <w:vAlign w:val="center"/>
          </w:tcPr>
          <w:p w14:paraId="519F4C38">
            <w:pPr>
              <w:rPr>
                <w:rFonts w:ascii="宋体" w:hAnsi="宋体" w:cs="宋体"/>
                <w:bCs/>
                <w:szCs w:val="21"/>
              </w:rPr>
            </w:pPr>
            <w:r>
              <w:rPr>
                <w:rFonts w:hint="eastAsia" w:ascii="宋体" w:hAnsi="宋体" w:cs="宋体"/>
                <w:szCs w:val="21"/>
              </w:rPr>
              <w:t>（62）采用管道供气的实验室，输气管道及阀门无漏气现象，并有明确标识</w:t>
            </w:r>
            <w:r>
              <w:rPr>
                <w:rFonts w:hint="eastAsia" w:ascii="宋体" w:hAnsi="宋体" w:cs="宋体"/>
                <w:bCs/>
                <w:szCs w:val="21"/>
              </w:rPr>
              <w:t>。供气管道有名称和气体流向标识，无破损。</w:t>
            </w:r>
          </w:p>
          <w:p w14:paraId="7D0B034A">
            <w:pPr>
              <w:rPr>
                <w:rFonts w:ascii="宋体" w:hAnsi="宋体" w:cs="宋体"/>
                <w:szCs w:val="21"/>
              </w:rPr>
            </w:pPr>
            <w:r>
              <w:rPr>
                <w:rFonts w:hint="eastAsia" w:ascii="宋体" w:hAnsi="宋体" w:cs="宋体"/>
                <w:bCs/>
                <w:szCs w:val="21"/>
              </w:rPr>
              <w:t>（63）</w:t>
            </w:r>
            <w:r>
              <w:rPr>
                <w:rFonts w:hint="eastAsia" w:ascii="宋体" w:hAnsi="宋体" w:cs="宋体"/>
                <w:szCs w:val="21"/>
              </w:rPr>
              <w:t>高温、明火设备放置位置与气体管道有安全间隔距离。</w:t>
            </w:r>
          </w:p>
          <w:p w14:paraId="70DF335E">
            <w:pPr>
              <w:rPr>
                <w:rFonts w:ascii="宋体" w:hAnsi="宋体" w:cs="宋体"/>
                <w:bCs/>
                <w:szCs w:val="21"/>
              </w:rPr>
            </w:pPr>
            <w:r>
              <w:rPr>
                <w:rFonts w:hint="eastAsia" w:ascii="宋体" w:hAnsi="宋体" w:cs="宋体"/>
                <w:szCs w:val="21"/>
              </w:rPr>
              <w:t>（64）实验室改造工程应经过审批后实施</w:t>
            </w:r>
          </w:p>
        </w:tc>
        <w:tc>
          <w:tcPr>
            <w:tcW w:w="991" w:type="dxa"/>
            <w:noWrap/>
            <w:tcMar>
              <w:left w:w="45" w:type="dxa"/>
              <w:right w:w="45" w:type="dxa"/>
            </w:tcMar>
            <w:vAlign w:val="center"/>
          </w:tcPr>
          <w:p w14:paraId="0C952308">
            <w:pPr>
              <w:widowControl/>
              <w:rPr>
                <w:rFonts w:ascii="宋体" w:hAnsi="宋体" w:cs="宋体"/>
                <w:bCs/>
                <w:szCs w:val="21"/>
              </w:rPr>
            </w:pPr>
          </w:p>
        </w:tc>
      </w:tr>
      <w:tr w14:paraId="6EC73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3474AE45">
            <w:pPr>
              <w:widowControl/>
              <w:rPr>
                <w:rFonts w:ascii="宋体" w:hAnsi="宋体" w:cs="宋体"/>
                <w:b/>
                <w:kern w:val="0"/>
                <w:szCs w:val="21"/>
              </w:rPr>
            </w:pPr>
            <w:r>
              <w:rPr>
                <w:rFonts w:hint="eastAsia" w:ascii="宋体" w:hAnsi="宋体" w:cs="宋体"/>
                <w:b/>
                <w:kern w:val="0"/>
                <w:szCs w:val="21"/>
              </w:rPr>
              <w:t>6.2</w:t>
            </w:r>
          </w:p>
        </w:tc>
        <w:tc>
          <w:tcPr>
            <w:tcW w:w="8279" w:type="dxa"/>
            <w:gridSpan w:val="3"/>
            <w:noWrap/>
            <w:tcMar>
              <w:left w:w="45" w:type="dxa"/>
              <w:right w:w="45" w:type="dxa"/>
            </w:tcMar>
            <w:vAlign w:val="center"/>
          </w:tcPr>
          <w:p w14:paraId="44B0D96F">
            <w:pPr>
              <w:widowControl/>
              <w:rPr>
                <w:rFonts w:ascii="宋体" w:hAnsi="宋体" w:cs="宋体"/>
                <w:b/>
                <w:kern w:val="0"/>
                <w:szCs w:val="21"/>
              </w:rPr>
            </w:pPr>
            <w:r>
              <w:rPr>
                <w:rFonts w:hint="eastAsia" w:ascii="宋体" w:hAnsi="宋体" w:cs="宋体"/>
                <w:b/>
                <w:kern w:val="0"/>
                <w:szCs w:val="21"/>
              </w:rPr>
              <w:t>卫生与日常管理</w:t>
            </w:r>
          </w:p>
        </w:tc>
      </w:tr>
      <w:tr w14:paraId="27B1F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77CF7A6E">
            <w:pPr>
              <w:widowControl/>
              <w:rPr>
                <w:rFonts w:ascii="宋体" w:hAnsi="宋体" w:cs="宋体"/>
                <w:kern w:val="0"/>
                <w:szCs w:val="21"/>
              </w:rPr>
            </w:pPr>
            <w:r>
              <w:rPr>
                <w:rFonts w:hint="eastAsia" w:ascii="宋体" w:hAnsi="宋体" w:cs="宋体"/>
                <w:szCs w:val="21"/>
              </w:rPr>
              <w:t>6.2.1</w:t>
            </w:r>
          </w:p>
        </w:tc>
        <w:tc>
          <w:tcPr>
            <w:tcW w:w="1721" w:type="dxa"/>
            <w:noWrap/>
            <w:tcMar>
              <w:left w:w="45" w:type="dxa"/>
              <w:right w:w="45" w:type="dxa"/>
            </w:tcMar>
            <w:vAlign w:val="center"/>
          </w:tcPr>
          <w:p w14:paraId="7DAD3982">
            <w:pPr>
              <w:rPr>
                <w:rFonts w:ascii="宋体" w:hAnsi="宋体" w:cs="宋体"/>
                <w:szCs w:val="21"/>
              </w:rPr>
            </w:pPr>
            <w:r>
              <w:rPr>
                <w:rFonts w:hint="eastAsia" w:ascii="宋体" w:hAnsi="宋体" w:cs="宋体"/>
                <w:szCs w:val="21"/>
              </w:rPr>
              <w:t>实验室分区应相对独立，布局合理</w:t>
            </w:r>
          </w:p>
        </w:tc>
        <w:tc>
          <w:tcPr>
            <w:tcW w:w="5567" w:type="dxa"/>
            <w:noWrap/>
            <w:tcMar>
              <w:left w:w="45" w:type="dxa"/>
              <w:right w:w="45" w:type="dxa"/>
            </w:tcMar>
            <w:vAlign w:val="center"/>
          </w:tcPr>
          <w:p w14:paraId="46E05F90">
            <w:pPr>
              <w:rPr>
                <w:rFonts w:ascii="宋体" w:hAnsi="宋体" w:cs="宋体"/>
                <w:bCs/>
                <w:szCs w:val="21"/>
              </w:rPr>
            </w:pPr>
            <w:r>
              <w:rPr>
                <w:rFonts w:hint="eastAsia" w:ascii="宋体" w:hAnsi="宋体" w:cs="宋体"/>
                <w:szCs w:val="21"/>
              </w:rPr>
              <w:t>（65）有毒有害实验区与学习区明确分开，合理布局，重点关注化学、生物、辐射、激光等类别实验室。如部分区域分区不明显，现场查看有毒有害物质的管理须对工作环境无健康危害</w:t>
            </w:r>
          </w:p>
        </w:tc>
        <w:tc>
          <w:tcPr>
            <w:tcW w:w="991" w:type="dxa"/>
            <w:noWrap/>
            <w:tcMar>
              <w:left w:w="45" w:type="dxa"/>
              <w:right w:w="45" w:type="dxa"/>
            </w:tcMar>
            <w:vAlign w:val="center"/>
          </w:tcPr>
          <w:p w14:paraId="5F976949">
            <w:pPr>
              <w:rPr>
                <w:rFonts w:ascii="宋体" w:hAnsi="宋体" w:cs="宋体"/>
                <w:bCs/>
                <w:szCs w:val="21"/>
              </w:rPr>
            </w:pPr>
          </w:p>
        </w:tc>
      </w:tr>
      <w:tr w14:paraId="37511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6A169E04">
            <w:pPr>
              <w:rPr>
                <w:rFonts w:ascii="宋体" w:hAnsi="宋体" w:cs="宋体"/>
                <w:szCs w:val="21"/>
              </w:rPr>
            </w:pPr>
            <w:r>
              <w:rPr>
                <w:rFonts w:hint="eastAsia" w:ascii="宋体" w:hAnsi="宋体" w:cs="宋体"/>
                <w:szCs w:val="21"/>
              </w:rPr>
              <w:t>6.2.2</w:t>
            </w:r>
          </w:p>
        </w:tc>
        <w:tc>
          <w:tcPr>
            <w:tcW w:w="1721" w:type="dxa"/>
            <w:noWrap/>
            <w:tcMar>
              <w:left w:w="45" w:type="dxa"/>
              <w:right w:w="45" w:type="dxa"/>
            </w:tcMar>
            <w:vAlign w:val="center"/>
          </w:tcPr>
          <w:p w14:paraId="4950743A">
            <w:pPr>
              <w:rPr>
                <w:rFonts w:ascii="宋体" w:hAnsi="宋体" w:cs="宋体"/>
                <w:szCs w:val="21"/>
              </w:rPr>
            </w:pPr>
            <w:r>
              <w:rPr>
                <w:rFonts w:hint="eastAsia" w:ascii="宋体" w:hAnsi="宋体" w:cs="宋体"/>
                <w:bCs/>
                <w:szCs w:val="21"/>
              </w:rPr>
              <w:t>实验室环境应整洁卫生有序</w:t>
            </w:r>
          </w:p>
        </w:tc>
        <w:tc>
          <w:tcPr>
            <w:tcW w:w="5567" w:type="dxa"/>
            <w:noWrap/>
            <w:tcMar>
              <w:left w:w="45" w:type="dxa"/>
              <w:right w:w="45" w:type="dxa"/>
            </w:tcMar>
            <w:vAlign w:val="center"/>
          </w:tcPr>
          <w:p w14:paraId="01B48BD1">
            <w:pPr>
              <w:rPr>
                <w:rFonts w:ascii="宋体" w:hAnsi="宋体" w:cs="宋体"/>
                <w:szCs w:val="21"/>
              </w:rPr>
            </w:pPr>
            <w:r>
              <w:rPr>
                <w:rFonts w:hint="eastAsia" w:ascii="宋体" w:hAnsi="宋体" w:cs="宋体"/>
                <w:szCs w:val="21"/>
              </w:rPr>
              <w:t>（66）实验室物品摆放有序，卫生状况良好，实验完毕物品归位，无废弃物品、不放无关物品。</w:t>
            </w:r>
          </w:p>
          <w:p w14:paraId="451FAD7D">
            <w:pPr>
              <w:rPr>
                <w:rFonts w:ascii="宋体" w:hAnsi="宋体" w:cs="宋体"/>
                <w:bCs/>
                <w:szCs w:val="21"/>
              </w:rPr>
            </w:pPr>
            <w:r>
              <w:rPr>
                <w:rFonts w:hint="eastAsia" w:ascii="宋体" w:hAnsi="宋体" w:cs="宋体"/>
                <w:szCs w:val="21"/>
              </w:rPr>
              <w:t>（67）</w:t>
            </w:r>
            <w:r>
              <w:rPr>
                <w:rFonts w:hint="eastAsia" w:ascii="宋体" w:hAnsi="宋体" w:cs="宋体"/>
                <w:kern w:val="0"/>
                <w:szCs w:val="21"/>
              </w:rPr>
              <w:t>不在实验室睡觉，不存放和烧煮食物、饮食，禁止吸烟，不使用可燃性蚊香</w:t>
            </w:r>
          </w:p>
        </w:tc>
        <w:tc>
          <w:tcPr>
            <w:tcW w:w="991" w:type="dxa"/>
            <w:noWrap/>
            <w:tcMar>
              <w:left w:w="45" w:type="dxa"/>
              <w:right w:w="45" w:type="dxa"/>
            </w:tcMar>
            <w:vAlign w:val="center"/>
          </w:tcPr>
          <w:p w14:paraId="39C14757">
            <w:pPr>
              <w:rPr>
                <w:rFonts w:ascii="宋体" w:hAnsi="宋体" w:cs="宋体"/>
                <w:bCs/>
                <w:szCs w:val="21"/>
              </w:rPr>
            </w:pPr>
          </w:p>
        </w:tc>
      </w:tr>
      <w:tr w14:paraId="66E43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6F795359">
            <w:pPr>
              <w:rPr>
                <w:rFonts w:ascii="宋体" w:hAnsi="宋体" w:cs="宋体"/>
                <w:szCs w:val="21"/>
              </w:rPr>
            </w:pPr>
            <w:r>
              <w:rPr>
                <w:rFonts w:hint="eastAsia" w:ascii="宋体" w:hAnsi="宋体" w:cs="宋体"/>
                <w:szCs w:val="21"/>
              </w:rPr>
              <w:t>6.2.3</w:t>
            </w:r>
          </w:p>
        </w:tc>
        <w:tc>
          <w:tcPr>
            <w:tcW w:w="1721" w:type="dxa"/>
            <w:noWrap/>
            <w:tcMar>
              <w:left w:w="45" w:type="dxa"/>
              <w:right w:w="45" w:type="dxa"/>
            </w:tcMar>
            <w:vAlign w:val="center"/>
          </w:tcPr>
          <w:p w14:paraId="4C7D6B31">
            <w:pPr>
              <w:rPr>
                <w:rFonts w:ascii="宋体" w:hAnsi="宋体" w:cs="宋体"/>
                <w:szCs w:val="21"/>
              </w:rPr>
            </w:pPr>
            <w:r>
              <w:rPr>
                <w:rFonts w:hint="eastAsia" w:ascii="宋体" w:hAnsi="宋体" w:cs="宋体"/>
                <w:szCs w:val="21"/>
              </w:rPr>
              <w:t>实验室有卫生安全制度</w:t>
            </w:r>
          </w:p>
        </w:tc>
        <w:tc>
          <w:tcPr>
            <w:tcW w:w="5567" w:type="dxa"/>
            <w:noWrap/>
            <w:tcMar>
              <w:left w:w="45" w:type="dxa"/>
              <w:right w:w="45" w:type="dxa"/>
            </w:tcMar>
            <w:vAlign w:val="center"/>
          </w:tcPr>
          <w:p w14:paraId="3BD556CF">
            <w:pPr>
              <w:rPr>
                <w:rFonts w:ascii="宋体" w:hAnsi="宋体" w:cs="宋体"/>
                <w:bCs/>
                <w:szCs w:val="21"/>
              </w:rPr>
            </w:pPr>
            <w:r>
              <w:rPr>
                <w:rFonts w:hint="eastAsia" w:ascii="宋体" w:hAnsi="宋体" w:cs="宋体"/>
                <w:kern w:val="0"/>
                <w:szCs w:val="21"/>
              </w:rPr>
              <w:t>（68）实验期间有记录</w:t>
            </w:r>
          </w:p>
        </w:tc>
        <w:tc>
          <w:tcPr>
            <w:tcW w:w="991" w:type="dxa"/>
            <w:noWrap/>
            <w:tcMar>
              <w:left w:w="45" w:type="dxa"/>
              <w:right w:w="45" w:type="dxa"/>
            </w:tcMar>
            <w:vAlign w:val="center"/>
          </w:tcPr>
          <w:p w14:paraId="34AE325E">
            <w:pPr>
              <w:rPr>
                <w:rFonts w:ascii="宋体" w:hAnsi="宋体" w:cs="宋体"/>
                <w:bCs/>
                <w:szCs w:val="21"/>
              </w:rPr>
            </w:pPr>
          </w:p>
        </w:tc>
      </w:tr>
      <w:tr w14:paraId="60D6F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7BC40C98">
            <w:pPr>
              <w:widowControl/>
              <w:rPr>
                <w:rFonts w:ascii="宋体" w:hAnsi="宋体" w:cs="宋体"/>
                <w:b/>
                <w:kern w:val="0"/>
                <w:szCs w:val="21"/>
              </w:rPr>
            </w:pPr>
            <w:r>
              <w:rPr>
                <w:rFonts w:hint="eastAsia" w:ascii="宋体" w:hAnsi="宋体" w:cs="宋体"/>
                <w:b/>
                <w:kern w:val="0"/>
                <w:szCs w:val="21"/>
              </w:rPr>
              <w:t>6.3</w:t>
            </w:r>
          </w:p>
        </w:tc>
        <w:tc>
          <w:tcPr>
            <w:tcW w:w="8279" w:type="dxa"/>
            <w:gridSpan w:val="3"/>
            <w:noWrap/>
            <w:tcMar>
              <w:left w:w="45" w:type="dxa"/>
              <w:right w:w="45" w:type="dxa"/>
            </w:tcMar>
            <w:vAlign w:val="center"/>
          </w:tcPr>
          <w:p w14:paraId="42E67CC3">
            <w:pPr>
              <w:widowControl/>
              <w:rPr>
                <w:rFonts w:ascii="宋体" w:hAnsi="宋体" w:cs="宋体"/>
                <w:b/>
                <w:kern w:val="0"/>
                <w:szCs w:val="21"/>
              </w:rPr>
            </w:pPr>
            <w:r>
              <w:rPr>
                <w:rFonts w:hint="eastAsia" w:ascii="宋体" w:hAnsi="宋体" w:cs="宋体"/>
                <w:b/>
                <w:kern w:val="0"/>
                <w:szCs w:val="21"/>
              </w:rPr>
              <w:t>场所其他安全</w:t>
            </w:r>
          </w:p>
        </w:tc>
      </w:tr>
      <w:tr w14:paraId="5E04A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1D57CAF4">
            <w:pPr>
              <w:widowControl/>
              <w:rPr>
                <w:rFonts w:ascii="宋体" w:hAnsi="宋体" w:cs="宋体"/>
                <w:kern w:val="0"/>
                <w:szCs w:val="21"/>
              </w:rPr>
            </w:pPr>
            <w:r>
              <w:rPr>
                <w:rFonts w:hint="eastAsia" w:ascii="宋体" w:hAnsi="宋体" w:cs="宋体"/>
                <w:szCs w:val="21"/>
              </w:rPr>
              <w:t>6.3.1</w:t>
            </w:r>
          </w:p>
        </w:tc>
        <w:tc>
          <w:tcPr>
            <w:tcW w:w="1721" w:type="dxa"/>
            <w:noWrap/>
            <w:tcMar>
              <w:left w:w="45" w:type="dxa"/>
              <w:right w:w="45" w:type="dxa"/>
            </w:tcMar>
            <w:vAlign w:val="center"/>
          </w:tcPr>
          <w:p w14:paraId="4965A70E">
            <w:pPr>
              <w:rPr>
                <w:rFonts w:ascii="宋体" w:hAnsi="宋体" w:cs="宋体"/>
                <w:szCs w:val="21"/>
              </w:rPr>
            </w:pPr>
            <w:r>
              <w:rPr>
                <w:rFonts w:hint="eastAsia" w:ascii="宋体" w:hAnsi="宋体" w:cs="宋体"/>
                <w:szCs w:val="21"/>
              </w:rPr>
              <w:t>每间实验室均有编号并登记造册</w:t>
            </w:r>
          </w:p>
        </w:tc>
        <w:tc>
          <w:tcPr>
            <w:tcW w:w="5567" w:type="dxa"/>
            <w:noWrap/>
            <w:tcMar>
              <w:left w:w="45" w:type="dxa"/>
              <w:right w:w="45" w:type="dxa"/>
            </w:tcMar>
            <w:vAlign w:val="center"/>
          </w:tcPr>
          <w:p w14:paraId="48B1A81F">
            <w:pPr>
              <w:rPr>
                <w:rFonts w:ascii="宋体" w:hAnsi="宋体" w:cs="宋体"/>
                <w:bCs/>
                <w:szCs w:val="21"/>
              </w:rPr>
            </w:pPr>
            <w:r>
              <w:rPr>
                <w:rFonts w:hint="eastAsia" w:ascii="宋体" w:hAnsi="宋体" w:cs="宋体"/>
                <w:bCs/>
                <w:szCs w:val="21"/>
              </w:rPr>
              <w:t>（69）现场查看门牌，查阅档案</w:t>
            </w:r>
          </w:p>
        </w:tc>
        <w:tc>
          <w:tcPr>
            <w:tcW w:w="991" w:type="dxa"/>
            <w:noWrap/>
            <w:tcMar>
              <w:left w:w="45" w:type="dxa"/>
              <w:right w:w="45" w:type="dxa"/>
            </w:tcMar>
            <w:vAlign w:val="center"/>
          </w:tcPr>
          <w:p w14:paraId="6A488A6D">
            <w:pPr>
              <w:widowControl/>
              <w:rPr>
                <w:rFonts w:ascii="宋体" w:hAnsi="宋体" w:cs="宋体"/>
                <w:bCs/>
                <w:szCs w:val="21"/>
              </w:rPr>
            </w:pPr>
          </w:p>
        </w:tc>
      </w:tr>
      <w:tr w14:paraId="53FE8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42085F83">
            <w:pPr>
              <w:rPr>
                <w:rFonts w:ascii="宋体" w:hAnsi="宋体" w:cs="宋体"/>
                <w:szCs w:val="21"/>
              </w:rPr>
            </w:pPr>
            <w:r>
              <w:rPr>
                <w:rFonts w:hint="eastAsia" w:ascii="宋体" w:hAnsi="宋体" w:cs="宋体"/>
                <w:szCs w:val="21"/>
              </w:rPr>
              <w:t>6.3.2</w:t>
            </w:r>
          </w:p>
        </w:tc>
        <w:tc>
          <w:tcPr>
            <w:tcW w:w="1721" w:type="dxa"/>
            <w:noWrap/>
            <w:tcMar>
              <w:left w:w="45" w:type="dxa"/>
              <w:right w:w="45" w:type="dxa"/>
            </w:tcMar>
            <w:vAlign w:val="center"/>
          </w:tcPr>
          <w:p w14:paraId="5E93C5DC">
            <w:pPr>
              <w:rPr>
                <w:rFonts w:ascii="宋体" w:hAnsi="宋体" w:cs="宋体"/>
                <w:szCs w:val="21"/>
              </w:rPr>
            </w:pPr>
            <w:r>
              <w:rPr>
                <w:rFonts w:hint="eastAsia" w:ascii="宋体" w:hAnsi="宋体" w:cs="宋体"/>
                <w:szCs w:val="21"/>
              </w:rPr>
              <w:t>危险性实验室应配备急救物品</w:t>
            </w:r>
          </w:p>
        </w:tc>
        <w:tc>
          <w:tcPr>
            <w:tcW w:w="5567" w:type="dxa"/>
            <w:noWrap/>
            <w:tcMar>
              <w:left w:w="45" w:type="dxa"/>
              <w:right w:w="45" w:type="dxa"/>
            </w:tcMar>
            <w:vAlign w:val="center"/>
          </w:tcPr>
          <w:p w14:paraId="4350994C">
            <w:pPr>
              <w:rPr>
                <w:rFonts w:ascii="宋体" w:hAnsi="宋体" w:cs="宋体"/>
                <w:bCs/>
                <w:szCs w:val="21"/>
              </w:rPr>
            </w:pPr>
            <w:r>
              <w:rPr>
                <w:rFonts w:hint="eastAsia" w:ascii="宋体" w:hAnsi="宋体" w:cs="宋体"/>
                <w:szCs w:val="21"/>
              </w:rPr>
              <w:t>（70）配备的急救箱不得上锁，并定期检查物品是否在保质期内</w:t>
            </w:r>
          </w:p>
        </w:tc>
        <w:tc>
          <w:tcPr>
            <w:tcW w:w="991" w:type="dxa"/>
            <w:noWrap/>
            <w:tcMar>
              <w:left w:w="45" w:type="dxa"/>
              <w:right w:w="45" w:type="dxa"/>
            </w:tcMar>
            <w:vAlign w:val="center"/>
          </w:tcPr>
          <w:p w14:paraId="71303369">
            <w:pPr>
              <w:rPr>
                <w:rFonts w:ascii="宋体" w:hAnsi="宋体" w:cs="宋体"/>
                <w:bCs/>
                <w:szCs w:val="21"/>
              </w:rPr>
            </w:pPr>
          </w:p>
        </w:tc>
      </w:tr>
      <w:tr w14:paraId="0981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5618181B">
            <w:pPr>
              <w:rPr>
                <w:rFonts w:ascii="宋体" w:hAnsi="宋体" w:cs="宋体"/>
                <w:szCs w:val="21"/>
              </w:rPr>
            </w:pPr>
            <w:r>
              <w:rPr>
                <w:rFonts w:hint="eastAsia" w:ascii="宋体" w:hAnsi="宋体" w:cs="宋体"/>
                <w:szCs w:val="21"/>
              </w:rPr>
              <w:t>6.3.3</w:t>
            </w:r>
          </w:p>
        </w:tc>
        <w:tc>
          <w:tcPr>
            <w:tcW w:w="1721" w:type="dxa"/>
            <w:noWrap/>
            <w:tcMar>
              <w:left w:w="45" w:type="dxa"/>
              <w:right w:w="45" w:type="dxa"/>
            </w:tcMar>
            <w:vAlign w:val="center"/>
          </w:tcPr>
          <w:p w14:paraId="6C4744AD">
            <w:pPr>
              <w:rPr>
                <w:rFonts w:ascii="宋体" w:hAnsi="宋体" w:cs="宋体"/>
                <w:szCs w:val="21"/>
              </w:rPr>
            </w:pPr>
            <w:r>
              <w:rPr>
                <w:rFonts w:hint="eastAsia" w:ascii="宋体" w:hAnsi="宋体" w:cs="宋体"/>
                <w:szCs w:val="21"/>
              </w:rPr>
              <w:t>停用的实验室有安全防范措施和明显标识</w:t>
            </w:r>
          </w:p>
        </w:tc>
        <w:tc>
          <w:tcPr>
            <w:tcW w:w="5567" w:type="dxa"/>
            <w:noWrap/>
            <w:tcMar>
              <w:left w:w="45" w:type="dxa"/>
              <w:right w:w="45" w:type="dxa"/>
            </w:tcMar>
            <w:vAlign w:val="center"/>
          </w:tcPr>
          <w:p w14:paraId="00819B28">
            <w:pPr>
              <w:rPr>
                <w:rFonts w:ascii="宋体" w:hAnsi="宋体" w:cs="宋体"/>
                <w:bCs/>
                <w:szCs w:val="21"/>
              </w:rPr>
            </w:pPr>
            <w:r>
              <w:rPr>
                <w:rFonts w:hint="eastAsia" w:ascii="宋体" w:hAnsi="宋体" w:cs="宋体"/>
                <w:bCs/>
                <w:szCs w:val="21"/>
              </w:rPr>
              <w:t>（71）查看现场</w:t>
            </w:r>
          </w:p>
        </w:tc>
        <w:tc>
          <w:tcPr>
            <w:tcW w:w="991" w:type="dxa"/>
            <w:noWrap/>
            <w:tcMar>
              <w:left w:w="45" w:type="dxa"/>
              <w:right w:w="45" w:type="dxa"/>
            </w:tcMar>
            <w:vAlign w:val="center"/>
          </w:tcPr>
          <w:p w14:paraId="3E688C73">
            <w:pPr>
              <w:rPr>
                <w:rFonts w:ascii="宋体" w:hAnsi="宋体" w:cs="宋体"/>
                <w:bCs/>
                <w:szCs w:val="21"/>
              </w:rPr>
            </w:pPr>
          </w:p>
        </w:tc>
      </w:tr>
      <w:tr w14:paraId="58302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32BD0E56">
            <w:pPr>
              <w:widowControl/>
              <w:rPr>
                <w:rFonts w:ascii="宋体" w:hAnsi="宋体" w:cs="宋体"/>
                <w:b/>
                <w:kern w:val="0"/>
                <w:szCs w:val="21"/>
              </w:rPr>
            </w:pPr>
            <w:r>
              <w:rPr>
                <w:rFonts w:hint="eastAsia" w:ascii="宋体" w:hAnsi="宋体" w:cs="宋体"/>
                <w:b/>
                <w:kern w:val="0"/>
                <w:szCs w:val="21"/>
              </w:rPr>
              <w:t>7</w:t>
            </w:r>
          </w:p>
        </w:tc>
        <w:tc>
          <w:tcPr>
            <w:tcW w:w="8279" w:type="dxa"/>
            <w:gridSpan w:val="3"/>
            <w:noWrap/>
            <w:tcMar>
              <w:left w:w="45" w:type="dxa"/>
              <w:right w:w="45" w:type="dxa"/>
            </w:tcMar>
            <w:vAlign w:val="center"/>
          </w:tcPr>
          <w:p w14:paraId="4B21AFDF">
            <w:pPr>
              <w:widowControl/>
              <w:rPr>
                <w:rFonts w:ascii="宋体" w:hAnsi="宋体" w:cs="宋体"/>
                <w:b/>
                <w:kern w:val="0"/>
                <w:szCs w:val="21"/>
              </w:rPr>
            </w:pPr>
            <w:r>
              <w:rPr>
                <w:rFonts w:hint="eastAsia" w:ascii="宋体" w:hAnsi="宋体" w:cs="宋体"/>
                <w:b/>
                <w:kern w:val="0"/>
                <w:szCs w:val="21"/>
              </w:rPr>
              <w:t>安全设施</w:t>
            </w:r>
          </w:p>
        </w:tc>
      </w:tr>
      <w:tr w14:paraId="3873A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6ED79B6C">
            <w:pPr>
              <w:widowControl/>
              <w:rPr>
                <w:rFonts w:ascii="宋体" w:hAnsi="宋体" w:cs="宋体"/>
                <w:b/>
                <w:kern w:val="0"/>
                <w:szCs w:val="21"/>
              </w:rPr>
            </w:pPr>
            <w:r>
              <w:rPr>
                <w:rFonts w:hint="eastAsia" w:ascii="宋体" w:hAnsi="宋体" w:cs="宋体"/>
                <w:b/>
                <w:kern w:val="0"/>
                <w:szCs w:val="21"/>
              </w:rPr>
              <w:t>7.1</w:t>
            </w:r>
          </w:p>
        </w:tc>
        <w:tc>
          <w:tcPr>
            <w:tcW w:w="8279" w:type="dxa"/>
            <w:gridSpan w:val="3"/>
            <w:noWrap/>
            <w:tcMar>
              <w:left w:w="45" w:type="dxa"/>
              <w:right w:w="45" w:type="dxa"/>
            </w:tcMar>
            <w:vAlign w:val="center"/>
          </w:tcPr>
          <w:p w14:paraId="777D5B2F">
            <w:pPr>
              <w:widowControl/>
              <w:rPr>
                <w:rFonts w:ascii="宋体" w:hAnsi="宋体" w:cs="宋体"/>
                <w:b/>
                <w:kern w:val="0"/>
                <w:szCs w:val="21"/>
              </w:rPr>
            </w:pPr>
            <w:r>
              <w:rPr>
                <w:rFonts w:hint="eastAsia" w:ascii="宋体" w:hAnsi="宋体" w:cs="宋体"/>
                <w:b/>
                <w:kern w:val="0"/>
                <w:szCs w:val="21"/>
              </w:rPr>
              <w:t>消防设施</w:t>
            </w:r>
          </w:p>
        </w:tc>
      </w:tr>
      <w:tr w14:paraId="2FBB7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27654BF3">
            <w:pPr>
              <w:rPr>
                <w:rFonts w:ascii="宋体" w:hAnsi="宋体" w:cs="宋体"/>
                <w:szCs w:val="21"/>
              </w:rPr>
            </w:pPr>
            <w:r>
              <w:rPr>
                <w:rFonts w:hint="eastAsia" w:ascii="宋体" w:hAnsi="宋体" w:cs="宋体"/>
                <w:szCs w:val="21"/>
              </w:rPr>
              <w:t>7.1.1</w:t>
            </w:r>
          </w:p>
        </w:tc>
        <w:tc>
          <w:tcPr>
            <w:tcW w:w="1721" w:type="dxa"/>
            <w:noWrap/>
            <w:tcMar>
              <w:left w:w="45" w:type="dxa"/>
              <w:right w:w="45" w:type="dxa"/>
            </w:tcMar>
            <w:vAlign w:val="center"/>
          </w:tcPr>
          <w:p w14:paraId="20F9A919">
            <w:pPr>
              <w:widowControl/>
              <w:rPr>
                <w:rFonts w:ascii="宋体" w:hAnsi="宋体" w:cs="宋体"/>
                <w:kern w:val="0"/>
                <w:szCs w:val="21"/>
              </w:rPr>
            </w:pPr>
            <w:r>
              <w:rPr>
                <w:rFonts w:hint="eastAsia" w:ascii="宋体" w:hAnsi="宋体" w:cs="宋体"/>
                <w:kern w:val="0"/>
                <w:szCs w:val="21"/>
              </w:rPr>
              <w:t>实验室应配备合适的灭火设备，并定期开展使用训练</w:t>
            </w:r>
          </w:p>
        </w:tc>
        <w:tc>
          <w:tcPr>
            <w:tcW w:w="5567" w:type="dxa"/>
            <w:noWrap/>
            <w:tcMar>
              <w:left w:w="45" w:type="dxa"/>
              <w:right w:w="45" w:type="dxa"/>
            </w:tcMar>
            <w:vAlign w:val="center"/>
          </w:tcPr>
          <w:p w14:paraId="25A4EA9F">
            <w:pPr>
              <w:widowControl/>
              <w:rPr>
                <w:rFonts w:ascii="宋体" w:hAnsi="宋体" w:cs="宋体"/>
                <w:kern w:val="0"/>
                <w:szCs w:val="21"/>
              </w:rPr>
            </w:pPr>
            <w:r>
              <w:rPr>
                <w:rFonts w:hint="eastAsia" w:ascii="宋体" w:hAnsi="宋体" w:cs="宋体"/>
                <w:kern w:val="0"/>
                <w:szCs w:val="21"/>
              </w:rPr>
              <w:t>（72）烟感报警器、灭火器、灭火毯、消防砂、消防喷淋等，应正常有效、方便取用。</w:t>
            </w:r>
          </w:p>
          <w:p w14:paraId="6B97812C">
            <w:pPr>
              <w:widowControl/>
              <w:rPr>
                <w:rFonts w:ascii="宋体" w:hAnsi="宋体" w:cs="宋体"/>
                <w:bCs/>
                <w:kern w:val="0"/>
                <w:szCs w:val="21"/>
              </w:rPr>
            </w:pPr>
            <w:r>
              <w:rPr>
                <w:rFonts w:hint="eastAsia" w:ascii="宋体" w:hAnsi="宋体" w:cs="宋体"/>
                <w:kern w:val="0"/>
                <w:szCs w:val="21"/>
              </w:rPr>
              <w:t>（73）灭火器种类配置正确，且在有效期内（压力指针位置正常等），保险销正常，瓶身无破损、腐蚀</w:t>
            </w:r>
          </w:p>
        </w:tc>
        <w:tc>
          <w:tcPr>
            <w:tcW w:w="991" w:type="dxa"/>
            <w:noWrap/>
            <w:tcMar>
              <w:left w:w="45" w:type="dxa"/>
              <w:right w:w="45" w:type="dxa"/>
            </w:tcMar>
            <w:vAlign w:val="center"/>
          </w:tcPr>
          <w:p w14:paraId="6D6B296F">
            <w:pPr>
              <w:widowControl/>
              <w:rPr>
                <w:rFonts w:ascii="宋体" w:hAnsi="宋体" w:cs="宋体"/>
                <w:bCs/>
                <w:kern w:val="0"/>
                <w:szCs w:val="21"/>
              </w:rPr>
            </w:pPr>
          </w:p>
        </w:tc>
      </w:tr>
      <w:tr w14:paraId="57353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3C6FBB1A">
            <w:pPr>
              <w:rPr>
                <w:rFonts w:ascii="宋体" w:hAnsi="宋体" w:cs="宋体"/>
                <w:szCs w:val="21"/>
              </w:rPr>
            </w:pPr>
            <w:r>
              <w:rPr>
                <w:rFonts w:hint="eastAsia" w:ascii="宋体" w:hAnsi="宋体" w:cs="宋体"/>
                <w:szCs w:val="21"/>
              </w:rPr>
              <w:t>7.1.2</w:t>
            </w:r>
          </w:p>
        </w:tc>
        <w:tc>
          <w:tcPr>
            <w:tcW w:w="1721" w:type="dxa"/>
            <w:noWrap/>
            <w:tcMar>
              <w:left w:w="45" w:type="dxa"/>
              <w:right w:w="45" w:type="dxa"/>
            </w:tcMar>
            <w:vAlign w:val="center"/>
          </w:tcPr>
          <w:p w14:paraId="60089815">
            <w:pPr>
              <w:widowControl/>
              <w:rPr>
                <w:rFonts w:ascii="宋体" w:hAnsi="宋体" w:cs="宋体"/>
                <w:kern w:val="0"/>
                <w:szCs w:val="21"/>
              </w:rPr>
            </w:pPr>
            <w:r>
              <w:rPr>
                <w:rFonts w:hint="eastAsia" w:ascii="宋体" w:hAnsi="宋体" w:cs="宋体"/>
                <w:kern w:val="0"/>
                <w:szCs w:val="21"/>
              </w:rPr>
              <w:t>紧急逃生疏散路线通畅</w:t>
            </w:r>
          </w:p>
        </w:tc>
        <w:tc>
          <w:tcPr>
            <w:tcW w:w="5567" w:type="dxa"/>
            <w:noWrap/>
            <w:tcMar>
              <w:left w:w="45" w:type="dxa"/>
              <w:right w:w="45" w:type="dxa"/>
            </w:tcMar>
            <w:vAlign w:val="center"/>
          </w:tcPr>
          <w:p w14:paraId="47BB317D">
            <w:pPr>
              <w:rPr>
                <w:rFonts w:ascii="宋体" w:hAnsi="宋体" w:cs="宋体"/>
                <w:kern w:val="0"/>
                <w:szCs w:val="21"/>
              </w:rPr>
            </w:pPr>
            <w:r>
              <w:rPr>
                <w:rFonts w:hint="eastAsia" w:ascii="宋体" w:hAnsi="宋体" w:cs="宋体"/>
                <w:kern w:val="0"/>
                <w:szCs w:val="21"/>
              </w:rPr>
              <w:t>（74）在显著位置张贴有紧急逃生疏散路线图，疏散路线图的逃生路线应有二条（含）以上，路线与现场情况符合。</w:t>
            </w:r>
          </w:p>
          <w:p w14:paraId="723A20C1">
            <w:pPr>
              <w:rPr>
                <w:rFonts w:ascii="宋体" w:hAnsi="宋体" w:cs="宋体"/>
                <w:kern w:val="0"/>
                <w:szCs w:val="21"/>
              </w:rPr>
            </w:pPr>
            <w:r>
              <w:rPr>
                <w:rFonts w:hint="eastAsia" w:ascii="宋体" w:hAnsi="宋体" w:cs="宋体"/>
                <w:kern w:val="0"/>
                <w:szCs w:val="21"/>
              </w:rPr>
              <w:t>（75）主要逃生路径（室内、楼梯、通道和出口处）有足够的紧急照明灯，功能正常，并设置有效标志指示逃生方向。</w:t>
            </w:r>
          </w:p>
          <w:p w14:paraId="61A782EB">
            <w:pPr>
              <w:rPr>
                <w:rFonts w:ascii="宋体" w:hAnsi="宋体" w:cs="宋体"/>
                <w:bCs/>
                <w:kern w:val="0"/>
                <w:szCs w:val="21"/>
              </w:rPr>
            </w:pPr>
            <w:r>
              <w:rPr>
                <w:rFonts w:hint="eastAsia" w:ascii="宋体" w:hAnsi="宋体" w:cs="宋体"/>
                <w:kern w:val="0"/>
                <w:szCs w:val="21"/>
              </w:rPr>
              <w:t>（76）人员应熟悉紧急疏散路线及火场逃生注意事项（现场调查人员熟悉程度）</w:t>
            </w:r>
          </w:p>
        </w:tc>
        <w:tc>
          <w:tcPr>
            <w:tcW w:w="991" w:type="dxa"/>
            <w:noWrap/>
            <w:tcMar>
              <w:left w:w="45" w:type="dxa"/>
              <w:right w:w="45" w:type="dxa"/>
            </w:tcMar>
            <w:vAlign w:val="center"/>
          </w:tcPr>
          <w:p w14:paraId="2978C332">
            <w:pPr>
              <w:widowControl/>
              <w:rPr>
                <w:rFonts w:ascii="宋体" w:hAnsi="宋体" w:cs="宋体"/>
                <w:bCs/>
                <w:kern w:val="0"/>
                <w:szCs w:val="21"/>
              </w:rPr>
            </w:pPr>
          </w:p>
        </w:tc>
      </w:tr>
      <w:tr w14:paraId="12525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5882A21F">
            <w:pPr>
              <w:widowControl/>
              <w:rPr>
                <w:rFonts w:ascii="宋体" w:hAnsi="宋体" w:cs="宋体"/>
                <w:b/>
                <w:kern w:val="0"/>
                <w:szCs w:val="21"/>
              </w:rPr>
            </w:pPr>
            <w:r>
              <w:rPr>
                <w:rFonts w:hint="eastAsia" w:ascii="宋体" w:hAnsi="宋体" w:cs="宋体"/>
                <w:b/>
                <w:kern w:val="0"/>
                <w:szCs w:val="21"/>
              </w:rPr>
              <w:t>7.2</w:t>
            </w:r>
          </w:p>
        </w:tc>
        <w:tc>
          <w:tcPr>
            <w:tcW w:w="8279" w:type="dxa"/>
            <w:gridSpan w:val="3"/>
            <w:noWrap/>
            <w:tcMar>
              <w:left w:w="45" w:type="dxa"/>
              <w:right w:w="45" w:type="dxa"/>
            </w:tcMar>
            <w:vAlign w:val="center"/>
          </w:tcPr>
          <w:p w14:paraId="66973F69">
            <w:pPr>
              <w:widowControl/>
              <w:rPr>
                <w:rFonts w:ascii="宋体" w:hAnsi="宋体" w:cs="宋体"/>
                <w:b/>
                <w:kern w:val="0"/>
                <w:szCs w:val="21"/>
              </w:rPr>
            </w:pPr>
            <w:r>
              <w:rPr>
                <w:rFonts w:hint="eastAsia" w:ascii="宋体" w:hAnsi="宋体" w:cs="宋体"/>
                <w:b/>
                <w:kern w:val="0"/>
                <w:szCs w:val="21"/>
              </w:rPr>
              <w:t>应急喷淋与洗眼装置</w:t>
            </w:r>
          </w:p>
        </w:tc>
      </w:tr>
      <w:tr w14:paraId="62DB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0640DCE5">
            <w:pPr>
              <w:widowControl/>
              <w:rPr>
                <w:rFonts w:ascii="宋体" w:hAnsi="宋体" w:cs="宋体"/>
                <w:kern w:val="0"/>
                <w:szCs w:val="21"/>
              </w:rPr>
            </w:pPr>
            <w:r>
              <w:rPr>
                <w:rFonts w:hint="eastAsia" w:ascii="宋体" w:hAnsi="宋体" w:cs="宋体"/>
                <w:kern w:val="0"/>
                <w:szCs w:val="21"/>
              </w:rPr>
              <w:t>7.2.1</w:t>
            </w:r>
          </w:p>
        </w:tc>
        <w:tc>
          <w:tcPr>
            <w:tcW w:w="1721" w:type="dxa"/>
            <w:noWrap/>
            <w:tcMar>
              <w:left w:w="45" w:type="dxa"/>
              <w:right w:w="45" w:type="dxa"/>
            </w:tcMar>
            <w:vAlign w:val="center"/>
          </w:tcPr>
          <w:p w14:paraId="2D13C21C">
            <w:pPr>
              <w:widowControl/>
              <w:rPr>
                <w:rFonts w:ascii="宋体" w:hAnsi="宋体" w:cs="宋体"/>
                <w:kern w:val="0"/>
                <w:szCs w:val="21"/>
              </w:rPr>
            </w:pPr>
            <w:r>
              <w:rPr>
                <w:rFonts w:hint="eastAsia" w:ascii="宋体" w:hAnsi="宋体" w:cs="宋体"/>
                <w:kern w:val="0"/>
                <w:szCs w:val="21"/>
              </w:rPr>
              <w:t>存在燃烧、腐蚀等风险的实验区域，须配置应急喷淋和洗眼装置</w:t>
            </w:r>
          </w:p>
        </w:tc>
        <w:tc>
          <w:tcPr>
            <w:tcW w:w="5567" w:type="dxa"/>
            <w:noWrap/>
            <w:tcMar>
              <w:left w:w="45" w:type="dxa"/>
              <w:right w:w="45" w:type="dxa"/>
            </w:tcMar>
            <w:vAlign w:val="center"/>
          </w:tcPr>
          <w:p w14:paraId="3F17752B">
            <w:pPr>
              <w:widowControl/>
              <w:rPr>
                <w:rFonts w:ascii="宋体" w:hAnsi="宋体" w:cs="宋体"/>
                <w:bCs/>
                <w:kern w:val="0"/>
                <w:szCs w:val="21"/>
              </w:rPr>
            </w:pPr>
            <w:r>
              <w:rPr>
                <w:rFonts w:hint="eastAsia" w:ascii="宋体" w:hAnsi="宋体" w:cs="宋体"/>
                <w:kern w:val="0"/>
                <w:szCs w:val="21"/>
              </w:rPr>
              <w:t>（77）应急喷淋和洗眼装置的区域有显著标志</w:t>
            </w:r>
          </w:p>
        </w:tc>
        <w:tc>
          <w:tcPr>
            <w:tcW w:w="991" w:type="dxa"/>
            <w:noWrap/>
            <w:tcMar>
              <w:left w:w="45" w:type="dxa"/>
              <w:right w:w="45" w:type="dxa"/>
            </w:tcMar>
            <w:vAlign w:val="center"/>
          </w:tcPr>
          <w:p w14:paraId="1F125EA3">
            <w:pPr>
              <w:rPr>
                <w:rFonts w:ascii="宋体" w:hAnsi="宋体" w:cs="宋体"/>
                <w:bCs/>
                <w:kern w:val="0"/>
                <w:szCs w:val="21"/>
              </w:rPr>
            </w:pPr>
          </w:p>
        </w:tc>
      </w:tr>
      <w:tr w14:paraId="4B91E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78C40621">
            <w:pPr>
              <w:widowControl/>
              <w:rPr>
                <w:rFonts w:ascii="宋体" w:hAnsi="宋体" w:cs="宋体"/>
                <w:kern w:val="0"/>
                <w:szCs w:val="21"/>
              </w:rPr>
            </w:pPr>
            <w:r>
              <w:rPr>
                <w:rFonts w:hint="eastAsia" w:ascii="宋体" w:hAnsi="宋体" w:cs="宋体"/>
                <w:kern w:val="0"/>
                <w:szCs w:val="21"/>
              </w:rPr>
              <w:t>7.2.2</w:t>
            </w:r>
          </w:p>
        </w:tc>
        <w:tc>
          <w:tcPr>
            <w:tcW w:w="1721" w:type="dxa"/>
            <w:noWrap/>
            <w:tcMar>
              <w:left w:w="45" w:type="dxa"/>
              <w:right w:w="45" w:type="dxa"/>
            </w:tcMar>
            <w:vAlign w:val="center"/>
          </w:tcPr>
          <w:p w14:paraId="09067CDF">
            <w:pPr>
              <w:widowControl/>
              <w:rPr>
                <w:rFonts w:ascii="宋体" w:hAnsi="宋体" w:cs="宋体"/>
                <w:kern w:val="0"/>
                <w:szCs w:val="21"/>
              </w:rPr>
            </w:pPr>
            <w:r>
              <w:rPr>
                <w:rFonts w:hint="eastAsia" w:ascii="宋体" w:hAnsi="宋体" w:cs="宋体"/>
                <w:kern w:val="0"/>
                <w:szCs w:val="21"/>
              </w:rPr>
              <w:t>应急喷淋与洗眼装置安装合理，并能正常使用</w:t>
            </w:r>
          </w:p>
        </w:tc>
        <w:tc>
          <w:tcPr>
            <w:tcW w:w="5567" w:type="dxa"/>
            <w:noWrap/>
            <w:tcMar>
              <w:left w:w="45" w:type="dxa"/>
              <w:right w:w="45" w:type="dxa"/>
            </w:tcMar>
            <w:vAlign w:val="center"/>
          </w:tcPr>
          <w:p w14:paraId="4EB7AFDB">
            <w:pPr>
              <w:widowControl/>
              <w:rPr>
                <w:rFonts w:ascii="宋体" w:hAnsi="宋体" w:cs="宋体"/>
                <w:kern w:val="0"/>
                <w:szCs w:val="21"/>
              </w:rPr>
            </w:pPr>
            <w:r>
              <w:rPr>
                <w:rFonts w:hint="eastAsia" w:ascii="宋体" w:hAnsi="宋体" w:cs="宋体"/>
                <w:kern w:val="0"/>
                <w:szCs w:val="21"/>
              </w:rPr>
              <w:t>（78）应急喷淋安装地点与工作区域之间畅通，距离不超过30m。应急喷淋安装位置合适，拉杆位置合适、方向正确。应急喷淋装置水管总阀为常开状态，喷淋头下方410mm范围内无障碍物。</w:t>
            </w:r>
          </w:p>
          <w:p w14:paraId="75AB3E1E">
            <w:pPr>
              <w:widowControl/>
              <w:rPr>
                <w:rFonts w:ascii="宋体" w:hAnsi="宋体" w:cs="宋体"/>
                <w:kern w:val="0"/>
                <w:szCs w:val="21"/>
              </w:rPr>
            </w:pPr>
            <w:r>
              <w:rPr>
                <w:rFonts w:hint="eastAsia" w:ascii="宋体" w:hAnsi="宋体" w:cs="宋体"/>
                <w:kern w:val="0"/>
                <w:szCs w:val="21"/>
              </w:rPr>
              <w:t>（79）不能以普通淋浴装置代替应急喷淋装置。</w:t>
            </w:r>
          </w:p>
          <w:p w14:paraId="1D458BBC">
            <w:pPr>
              <w:widowControl/>
              <w:rPr>
                <w:rFonts w:ascii="宋体" w:hAnsi="宋体" w:cs="宋体"/>
                <w:bCs/>
                <w:kern w:val="0"/>
                <w:szCs w:val="21"/>
              </w:rPr>
            </w:pPr>
            <w:r>
              <w:rPr>
                <w:rFonts w:hint="eastAsia" w:ascii="宋体" w:hAnsi="宋体" w:cs="宋体"/>
                <w:kern w:val="0"/>
                <w:szCs w:val="21"/>
              </w:rPr>
              <w:t>（80）洗眼装置接入生活用水管道，应至少以1.5L/min的流量供水，水压适中，</w:t>
            </w:r>
            <w:r>
              <w:rPr>
                <w:rFonts w:hint="eastAsia" w:ascii="宋体" w:hAnsi="宋体" w:cs="宋体"/>
                <w:bCs/>
                <w:kern w:val="0"/>
                <w:szCs w:val="21"/>
              </w:rPr>
              <w:t>水流畅通平稳</w:t>
            </w:r>
          </w:p>
        </w:tc>
        <w:tc>
          <w:tcPr>
            <w:tcW w:w="991" w:type="dxa"/>
            <w:noWrap/>
            <w:tcMar>
              <w:left w:w="45" w:type="dxa"/>
              <w:right w:w="45" w:type="dxa"/>
            </w:tcMar>
            <w:vAlign w:val="center"/>
          </w:tcPr>
          <w:p w14:paraId="4D8812DF">
            <w:pPr>
              <w:widowControl/>
              <w:rPr>
                <w:rFonts w:ascii="宋体" w:hAnsi="宋体" w:cs="宋体"/>
                <w:bCs/>
                <w:kern w:val="0"/>
                <w:szCs w:val="21"/>
              </w:rPr>
            </w:pPr>
          </w:p>
        </w:tc>
      </w:tr>
      <w:tr w14:paraId="5544A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1047DAB6">
            <w:pPr>
              <w:widowControl/>
              <w:rPr>
                <w:rFonts w:ascii="宋体" w:hAnsi="宋体" w:cs="宋体"/>
                <w:kern w:val="0"/>
                <w:szCs w:val="21"/>
              </w:rPr>
            </w:pPr>
            <w:r>
              <w:rPr>
                <w:rFonts w:hint="eastAsia" w:ascii="宋体" w:hAnsi="宋体" w:cs="宋体"/>
                <w:kern w:val="0"/>
                <w:szCs w:val="21"/>
              </w:rPr>
              <w:t>7.2.3</w:t>
            </w:r>
          </w:p>
        </w:tc>
        <w:tc>
          <w:tcPr>
            <w:tcW w:w="1721" w:type="dxa"/>
            <w:noWrap/>
            <w:tcMar>
              <w:left w:w="45" w:type="dxa"/>
              <w:right w:w="45" w:type="dxa"/>
            </w:tcMar>
            <w:vAlign w:val="center"/>
          </w:tcPr>
          <w:p w14:paraId="48FEF52D">
            <w:pPr>
              <w:widowControl/>
              <w:rPr>
                <w:rFonts w:ascii="宋体" w:hAnsi="宋体" w:cs="宋体"/>
                <w:kern w:val="0"/>
                <w:szCs w:val="21"/>
              </w:rPr>
            </w:pPr>
            <w:r>
              <w:rPr>
                <w:rFonts w:hint="eastAsia" w:ascii="宋体" w:hAnsi="宋体" w:cs="宋体"/>
                <w:kern w:val="0"/>
                <w:szCs w:val="21"/>
              </w:rPr>
              <w:t>定期对应急喷淋与洗眼装置进行维护</w:t>
            </w:r>
          </w:p>
        </w:tc>
        <w:tc>
          <w:tcPr>
            <w:tcW w:w="5567" w:type="dxa"/>
            <w:noWrap/>
            <w:tcMar>
              <w:left w:w="45" w:type="dxa"/>
              <w:right w:w="45" w:type="dxa"/>
            </w:tcMar>
            <w:vAlign w:val="center"/>
          </w:tcPr>
          <w:p w14:paraId="72F0FF7E">
            <w:pPr>
              <w:widowControl/>
              <w:rPr>
                <w:rFonts w:ascii="宋体" w:hAnsi="宋体" w:cs="宋体"/>
                <w:bCs/>
                <w:kern w:val="0"/>
                <w:szCs w:val="21"/>
              </w:rPr>
            </w:pPr>
            <w:r>
              <w:rPr>
                <w:rFonts w:hint="eastAsia" w:ascii="宋体" w:hAnsi="宋体" w:cs="宋体"/>
                <w:kern w:val="0"/>
                <w:szCs w:val="21"/>
              </w:rPr>
              <w:t>（81）经常对应急喷淋与洗眼装置进行维护，无锈水、脏水，有检查记录</w:t>
            </w:r>
          </w:p>
        </w:tc>
        <w:tc>
          <w:tcPr>
            <w:tcW w:w="991" w:type="dxa"/>
            <w:noWrap/>
            <w:tcMar>
              <w:left w:w="45" w:type="dxa"/>
              <w:right w:w="45" w:type="dxa"/>
            </w:tcMar>
            <w:vAlign w:val="center"/>
          </w:tcPr>
          <w:p w14:paraId="666F9F0D">
            <w:pPr>
              <w:widowControl/>
              <w:rPr>
                <w:rFonts w:ascii="宋体" w:hAnsi="宋体" w:cs="宋体"/>
                <w:bCs/>
                <w:kern w:val="0"/>
                <w:szCs w:val="21"/>
              </w:rPr>
            </w:pPr>
          </w:p>
        </w:tc>
      </w:tr>
      <w:tr w14:paraId="3DCD9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17CD0B43">
            <w:pPr>
              <w:widowControl/>
              <w:rPr>
                <w:rFonts w:ascii="宋体" w:hAnsi="宋体" w:cs="宋体"/>
                <w:b/>
                <w:kern w:val="0"/>
                <w:szCs w:val="21"/>
              </w:rPr>
            </w:pPr>
            <w:r>
              <w:rPr>
                <w:rFonts w:hint="eastAsia" w:ascii="宋体" w:hAnsi="宋体" w:cs="宋体"/>
                <w:b/>
                <w:kern w:val="0"/>
                <w:szCs w:val="21"/>
              </w:rPr>
              <w:t>7.3</w:t>
            </w:r>
          </w:p>
        </w:tc>
        <w:tc>
          <w:tcPr>
            <w:tcW w:w="8279" w:type="dxa"/>
            <w:gridSpan w:val="3"/>
            <w:noWrap/>
            <w:tcMar>
              <w:left w:w="45" w:type="dxa"/>
              <w:right w:w="45" w:type="dxa"/>
            </w:tcMar>
            <w:vAlign w:val="center"/>
          </w:tcPr>
          <w:p w14:paraId="416F4F80">
            <w:pPr>
              <w:widowControl/>
              <w:rPr>
                <w:rFonts w:ascii="宋体" w:hAnsi="宋体" w:cs="宋体"/>
                <w:b/>
                <w:kern w:val="0"/>
                <w:szCs w:val="21"/>
              </w:rPr>
            </w:pPr>
            <w:r>
              <w:rPr>
                <w:rFonts w:hint="eastAsia" w:ascii="宋体" w:hAnsi="宋体" w:cs="宋体"/>
                <w:b/>
                <w:kern w:val="0"/>
                <w:szCs w:val="21"/>
              </w:rPr>
              <w:t>通风系统</w:t>
            </w:r>
          </w:p>
        </w:tc>
      </w:tr>
      <w:tr w14:paraId="50686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083E2599">
            <w:pPr>
              <w:widowControl/>
              <w:rPr>
                <w:rFonts w:ascii="宋体" w:hAnsi="宋体" w:cs="宋体"/>
                <w:kern w:val="0"/>
                <w:szCs w:val="21"/>
              </w:rPr>
            </w:pPr>
            <w:r>
              <w:rPr>
                <w:rFonts w:hint="eastAsia" w:ascii="宋体" w:hAnsi="宋体" w:cs="宋体"/>
                <w:kern w:val="0"/>
                <w:szCs w:val="21"/>
              </w:rPr>
              <w:t>7.3.1</w:t>
            </w:r>
          </w:p>
        </w:tc>
        <w:tc>
          <w:tcPr>
            <w:tcW w:w="1721" w:type="dxa"/>
            <w:noWrap/>
            <w:tcMar>
              <w:left w:w="45" w:type="dxa"/>
              <w:right w:w="45" w:type="dxa"/>
            </w:tcMar>
            <w:vAlign w:val="center"/>
          </w:tcPr>
          <w:p w14:paraId="63C52461">
            <w:pPr>
              <w:widowControl/>
              <w:rPr>
                <w:rFonts w:ascii="宋体" w:hAnsi="宋体" w:cs="宋体"/>
                <w:kern w:val="0"/>
                <w:szCs w:val="21"/>
              </w:rPr>
            </w:pPr>
            <w:r>
              <w:rPr>
                <w:rFonts w:hint="eastAsia" w:ascii="宋体" w:hAnsi="宋体" w:cs="宋体"/>
                <w:kern w:val="0"/>
                <w:szCs w:val="21"/>
              </w:rPr>
              <w:t>有需要的实验场所配备符合设计规范的通风系统</w:t>
            </w:r>
          </w:p>
        </w:tc>
        <w:tc>
          <w:tcPr>
            <w:tcW w:w="5567" w:type="dxa"/>
            <w:noWrap/>
            <w:tcMar>
              <w:left w:w="45" w:type="dxa"/>
              <w:right w:w="45" w:type="dxa"/>
            </w:tcMar>
            <w:vAlign w:val="center"/>
          </w:tcPr>
          <w:p w14:paraId="41323448">
            <w:pPr>
              <w:widowControl/>
              <w:rPr>
                <w:rFonts w:ascii="宋体" w:hAnsi="宋体" w:cs="宋体"/>
                <w:bCs/>
                <w:kern w:val="0"/>
                <w:szCs w:val="21"/>
              </w:rPr>
            </w:pPr>
            <w:r>
              <w:rPr>
                <w:rFonts w:hint="eastAsia" w:ascii="宋体" w:hAnsi="宋体" w:cs="宋体"/>
                <w:kern w:val="0"/>
                <w:szCs w:val="21"/>
              </w:rPr>
              <w:t>（82）管道和风机须防腐，使用可燃气体的场所宜采用防爆风机。</w:t>
            </w:r>
          </w:p>
          <w:p w14:paraId="121F5309">
            <w:pPr>
              <w:widowControl/>
              <w:rPr>
                <w:rFonts w:ascii="宋体" w:hAnsi="宋体" w:cs="宋体"/>
                <w:kern w:val="0"/>
                <w:szCs w:val="21"/>
              </w:rPr>
            </w:pPr>
            <w:r>
              <w:rPr>
                <w:rFonts w:hint="eastAsia" w:ascii="宋体" w:hAnsi="宋体" w:cs="宋体"/>
                <w:bCs/>
                <w:kern w:val="0"/>
                <w:szCs w:val="21"/>
              </w:rPr>
              <w:t>（83）</w:t>
            </w:r>
            <w:r>
              <w:rPr>
                <w:rFonts w:hint="eastAsia" w:ascii="宋体" w:hAnsi="宋体" w:cs="宋体"/>
                <w:kern w:val="0"/>
                <w:szCs w:val="21"/>
              </w:rPr>
              <w:t>实验室通风系统运行正常，</w:t>
            </w:r>
            <w:r>
              <w:rPr>
                <w:rFonts w:hint="eastAsia" w:ascii="宋体" w:hAnsi="宋体" w:cs="宋体"/>
                <w:szCs w:val="21"/>
              </w:rPr>
              <w:t>柜口面</w:t>
            </w:r>
            <w:r>
              <w:rPr>
                <w:rFonts w:hint="eastAsia" w:ascii="宋体" w:hAnsi="宋体" w:cs="宋体"/>
                <w:kern w:val="0"/>
                <w:szCs w:val="21"/>
              </w:rPr>
              <w:t>风速0.35~0.75m/s，定期进行维护、检修。</w:t>
            </w:r>
          </w:p>
          <w:p w14:paraId="45913308">
            <w:pPr>
              <w:widowControl/>
              <w:rPr>
                <w:rFonts w:ascii="宋体" w:hAnsi="宋体" w:cs="宋体"/>
                <w:bCs/>
                <w:kern w:val="0"/>
                <w:szCs w:val="21"/>
              </w:rPr>
            </w:pPr>
            <w:r>
              <w:rPr>
                <w:rFonts w:hint="eastAsia" w:ascii="宋体" w:hAnsi="宋体" w:cs="宋体"/>
                <w:kern w:val="0"/>
                <w:szCs w:val="21"/>
              </w:rPr>
              <w:t>（84）屋顶风机固定无松动、无异常噪声</w:t>
            </w:r>
          </w:p>
        </w:tc>
        <w:tc>
          <w:tcPr>
            <w:tcW w:w="991" w:type="dxa"/>
            <w:noWrap/>
            <w:tcMar>
              <w:left w:w="45" w:type="dxa"/>
              <w:right w:w="45" w:type="dxa"/>
            </w:tcMar>
            <w:vAlign w:val="center"/>
          </w:tcPr>
          <w:p w14:paraId="0A519977">
            <w:pPr>
              <w:rPr>
                <w:rFonts w:ascii="宋体" w:hAnsi="宋体" w:cs="宋体"/>
                <w:bCs/>
                <w:kern w:val="0"/>
                <w:szCs w:val="21"/>
              </w:rPr>
            </w:pPr>
          </w:p>
        </w:tc>
      </w:tr>
      <w:tr w14:paraId="3E556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43905DBC">
            <w:pPr>
              <w:widowControl/>
              <w:rPr>
                <w:rFonts w:ascii="宋体" w:hAnsi="宋体" w:cs="宋体"/>
                <w:kern w:val="0"/>
                <w:szCs w:val="21"/>
              </w:rPr>
            </w:pPr>
            <w:r>
              <w:rPr>
                <w:rFonts w:hint="eastAsia" w:ascii="宋体" w:hAnsi="宋体" w:cs="宋体"/>
                <w:kern w:val="0"/>
                <w:szCs w:val="21"/>
              </w:rPr>
              <w:t>7.3.2</w:t>
            </w:r>
          </w:p>
        </w:tc>
        <w:tc>
          <w:tcPr>
            <w:tcW w:w="1721" w:type="dxa"/>
            <w:noWrap/>
            <w:tcMar>
              <w:left w:w="45" w:type="dxa"/>
              <w:right w:w="45" w:type="dxa"/>
            </w:tcMar>
            <w:vAlign w:val="center"/>
          </w:tcPr>
          <w:p w14:paraId="10A8B34D">
            <w:pPr>
              <w:widowControl/>
              <w:rPr>
                <w:rFonts w:ascii="宋体" w:hAnsi="宋体" w:cs="宋体"/>
                <w:kern w:val="0"/>
                <w:szCs w:val="21"/>
              </w:rPr>
            </w:pPr>
            <w:r>
              <w:rPr>
                <w:rFonts w:hint="eastAsia" w:ascii="宋体" w:hAnsi="宋体" w:cs="宋体"/>
                <w:kern w:val="0"/>
                <w:szCs w:val="21"/>
              </w:rPr>
              <w:t>通风柜配置合理、使用正常、操作合规</w:t>
            </w:r>
          </w:p>
        </w:tc>
        <w:tc>
          <w:tcPr>
            <w:tcW w:w="5567" w:type="dxa"/>
            <w:noWrap/>
            <w:tcMar>
              <w:left w:w="45" w:type="dxa"/>
              <w:right w:w="45" w:type="dxa"/>
            </w:tcMar>
            <w:vAlign w:val="center"/>
          </w:tcPr>
          <w:p w14:paraId="5BEAF860">
            <w:pPr>
              <w:widowControl/>
              <w:rPr>
                <w:rFonts w:ascii="宋体" w:hAnsi="宋体" w:cs="宋体"/>
                <w:kern w:val="0"/>
                <w:szCs w:val="21"/>
              </w:rPr>
            </w:pPr>
            <w:r>
              <w:rPr>
                <w:rFonts w:hint="eastAsia" w:ascii="宋体" w:hAnsi="宋体" w:cs="宋体"/>
                <w:kern w:val="0"/>
                <w:szCs w:val="21"/>
              </w:rPr>
              <w:t>（85）实验室排出的有害物质浓度超过国家现行标准规定的允许排放标准时，须采取净化措施，做到达标排放。</w:t>
            </w:r>
          </w:p>
          <w:p w14:paraId="111E86C5">
            <w:pPr>
              <w:widowControl/>
              <w:rPr>
                <w:rFonts w:ascii="宋体" w:hAnsi="宋体" w:cs="宋体"/>
                <w:kern w:val="0"/>
                <w:szCs w:val="21"/>
              </w:rPr>
            </w:pPr>
            <w:r>
              <w:rPr>
                <w:rFonts w:hint="eastAsia" w:ascii="宋体" w:hAnsi="宋体" w:cs="宋体"/>
                <w:kern w:val="0"/>
                <w:szCs w:val="21"/>
              </w:rPr>
              <w:t>（86）任何可能产生有毒有害气体而导致个人曝露，或产生可燃、可爆炸气体或蒸气而导致积聚的实验，都须在通风柜内进行。</w:t>
            </w:r>
          </w:p>
          <w:p w14:paraId="01A16187">
            <w:pPr>
              <w:widowControl/>
              <w:rPr>
                <w:rFonts w:ascii="宋体" w:hAnsi="宋体" w:cs="宋体"/>
                <w:bCs/>
                <w:kern w:val="0"/>
                <w:szCs w:val="21"/>
              </w:rPr>
            </w:pPr>
            <w:r>
              <w:rPr>
                <w:rFonts w:hint="eastAsia" w:ascii="宋体" w:hAnsi="宋体" w:cs="宋体"/>
                <w:kern w:val="0"/>
                <w:szCs w:val="21"/>
              </w:rPr>
              <w:t>（87）进行实验时，通风柜可调玻璃视窗开至离台面10~ 15cm，保持通风效果，并保护操作人员胸部以上部位。实验人员在通风柜进行实验时，避免将头伸入调节门内。不可将一次性手套或较轻的塑料袋等留在通风柜内，以免堵塞排风口。通风柜内放置的物品应距离调节门内侧15cm以上，以免掉落。不得将通风柜作为化学试剂存放场所。</w:t>
            </w:r>
            <w:r>
              <w:rPr>
                <w:rFonts w:hint="eastAsia" w:ascii="宋体" w:hAnsi="宋体" w:cs="宋体"/>
                <w:bCs/>
                <w:kern w:val="0"/>
                <w:szCs w:val="21"/>
              </w:rPr>
              <w:t>玻璃视窗材料应是钢化玻璃</w:t>
            </w:r>
          </w:p>
        </w:tc>
        <w:tc>
          <w:tcPr>
            <w:tcW w:w="991" w:type="dxa"/>
            <w:noWrap/>
            <w:tcMar>
              <w:left w:w="45" w:type="dxa"/>
              <w:right w:w="45" w:type="dxa"/>
            </w:tcMar>
            <w:vAlign w:val="center"/>
          </w:tcPr>
          <w:p w14:paraId="000F8796">
            <w:pPr>
              <w:widowControl/>
              <w:rPr>
                <w:rFonts w:ascii="宋体" w:hAnsi="宋体" w:cs="宋体"/>
                <w:bCs/>
                <w:kern w:val="0"/>
                <w:szCs w:val="21"/>
              </w:rPr>
            </w:pPr>
          </w:p>
        </w:tc>
      </w:tr>
      <w:tr w14:paraId="7573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2379A5FF">
            <w:pPr>
              <w:widowControl/>
              <w:rPr>
                <w:rFonts w:ascii="宋体" w:hAnsi="宋体" w:cs="宋体"/>
                <w:b/>
                <w:kern w:val="0"/>
                <w:szCs w:val="21"/>
              </w:rPr>
            </w:pPr>
            <w:r>
              <w:rPr>
                <w:rFonts w:hint="eastAsia" w:ascii="宋体" w:hAnsi="宋体" w:cs="宋体"/>
                <w:b/>
                <w:kern w:val="0"/>
                <w:szCs w:val="21"/>
              </w:rPr>
              <w:t>7.4</w:t>
            </w:r>
          </w:p>
        </w:tc>
        <w:tc>
          <w:tcPr>
            <w:tcW w:w="8279" w:type="dxa"/>
            <w:gridSpan w:val="3"/>
            <w:noWrap/>
            <w:tcMar>
              <w:left w:w="45" w:type="dxa"/>
              <w:right w:w="45" w:type="dxa"/>
            </w:tcMar>
            <w:vAlign w:val="center"/>
          </w:tcPr>
          <w:p w14:paraId="361ED697">
            <w:pPr>
              <w:widowControl/>
              <w:rPr>
                <w:rFonts w:ascii="宋体" w:hAnsi="宋体" w:cs="宋体"/>
                <w:b/>
                <w:kern w:val="0"/>
                <w:szCs w:val="21"/>
              </w:rPr>
            </w:pPr>
            <w:r>
              <w:rPr>
                <w:rFonts w:hint="eastAsia" w:ascii="宋体" w:hAnsi="宋体" w:cs="宋体"/>
                <w:b/>
                <w:kern w:val="0"/>
                <w:szCs w:val="21"/>
              </w:rPr>
              <w:t>门禁监控</w:t>
            </w:r>
          </w:p>
        </w:tc>
      </w:tr>
      <w:tr w14:paraId="0F7A8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28741991">
            <w:pPr>
              <w:widowControl/>
              <w:rPr>
                <w:rFonts w:ascii="宋体" w:hAnsi="宋体" w:cs="宋体"/>
                <w:kern w:val="0"/>
                <w:szCs w:val="21"/>
              </w:rPr>
            </w:pPr>
            <w:r>
              <w:rPr>
                <w:rFonts w:hint="eastAsia" w:ascii="宋体" w:hAnsi="宋体" w:cs="宋体"/>
                <w:kern w:val="0"/>
                <w:szCs w:val="21"/>
              </w:rPr>
              <w:t>7.4.1</w:t>
            </w:r>
          </w:p>
        </w:tc>
        <w:tc>
          <w:tcPr>
            <w:tcW w:w="1721" w:type="dxa"/>
            <w:noWrap/>
            <w:tcMar>
              <w:left w:w="45" w:type="dxa"/>
              <w:right w:w="45" w:type="dxa"/>
            </w:tcMar>
            <w:vAlign w:val="center"/>
          </w:tcPr>
          <w:p w14:paraId="4E33159D">
            <w:pPr>
              <w:widowControl/>
              <w:rPr>
                <w:rFonts w:ascii="宋体" w:hAnsi="宋体" w:cs="宋体"/>
                <w:kern w:val="0"/>
                <w:szCs w:val="21"/>
              </w:rPr>
            </w:pPr>
            <w:r>
              <w:rPr>
                <w:rFonts w:hint="eastAsia" w:ascii="宋体" w:hAnsi="宋体" w:cs="宋体"/>
                <w:szCs w:val="21"/>
              </w:rPr>
              <w:t>重点场所须安装门禁和监控设施，并有专人管理</w:t>
            </w:r>
          </w:p>
        </w:tc>
        <w:tc>
          <w:tcPr>
            <w:tcW w:w="5567" w:type="dxa"/>
            <w:noWrap/>
            <w:tcMar>
              <w:left w:w="45" w:type="dxa"/>
              <w:right w:w="45" w:type="dxa"/>
            </w:tcMar>
            <w:vAlign w:val="center"/>
          </w:tcPr>
          <w:p w14:paraId="69878E86">
            <w:pPr>
              <w:widowControl/>
              <w:rPr>
                <w:rFonts w:ascii="宋体" w:hAnsi="宋体" w:cs="宋体"/>
                <w:bCs/>
                <w:kern w:val="0"/>
                <w:szCs w:val="21"/>
              </w:rPr>
            </w:pPr>
            <w:r>
              <w:rPr>
                <w:rFonts w:hint="eastAsia" w:ascii="宋体" w:hAnsi="宋体" w:cs="宋体"/>
                <w:szCs w:val="21"/>
              </w:rPr>
              <w:t>（88）关注重点场所，如有剧毒品、病原微生物、放射源、核材料等危险源的地点</w:t>
            </w:r>
          </w:p>
        </w:tc>
        <w:tc>
          <w:tcPr>
            <w:tcW w:w="991" w:type="dxa"/>
            <w:noWrap/>
            <w:tcMar>
              <w:left w:w="45" w:type="dxa"/>
              <w:right w:w="45" w:type="dxa"/>
            </w:tcMar>
            <w:vAlign w:val="center"/>
          </w:tcPr>
          <w:p w14:paraId="257A77DA">
            <w:pPr>
              <w:widowControl/>
              <w:rPr>
                <w:rFonts w:ascii="宋体" w:hAnsi="宋体" w:cs="宋体"/>
                <w:bCs/>
                <w:kern w:val="0"/>
                <w:szCs w:val="21"/>
              </w:rPr>
            </w:pPr>
          </w:p>
        </w:tc>
      </w:tr>
      <w:tr w14:paraId="2C44B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743C919E">
            <w:pPr>
              <w:widowControl/>
              <w:rPr>
                <w:rFonts w:ascii="宋体" w:hAnsi="宋体" w:cs="宋体"/>
                <w:kern w:val="0"/>
                <w:szCs w:val="21"/>
              </w:rPr>
            </w:pPr>
            <w:r>
              <w:rPr>
                <w:rFonts w:hint="eastAsia" w:ascii="宋体" w:hAnsi="宋体" w:cs="宋体"/>
                <w:kern w:val="0"/>
                <w:szCs w:val="21"/>
              </w:rPr>
              <w:t>7.4.2</w:t>
            </w:r>
          </w:p>
        </w:tc>
        <w:tc>
          <w:tcPr>
            <w:tcW w:w="1721" w:type="dxa"/>
            <w:noWrap/>
            <w:tcMar>
              <w:left w:w="45" w:type="dxa"/>
              <w:right w:w="45" w:type="dxa"/>
            </w:tcMar>
            <w:vAlign w:val="center"/>
          </w:tcPr>
          <w:p w14:paraId="7E1F9D4B">
            <w:pPr>
              <w:widowControl/>
              <w:rPr>
                <w:rFonts w:ascii="宋体" w:hAnsi="宋体" w:cs="宋体"/>
                <w:kern w:val="0"/>
                <w:szCs w:val="21"/>
              </w:rPr>
            </w:pPr>
            <w:r>
              <w:rPr>
                <w:rFonts w:hint="eastAsia" w:ascii="宋体" w:hAnsi="宋体" w:cs="宋体"/>
                <w:szCs w:val="21"/>
              </w:rPr>
              <w:t>门禁和监控系统运转正常，与实验室准入制度相匹配</w:t>
            </w:r>
          </w:p>
        </w:tc>
        <w:tc>
          <w:tcPr>
            <w:tcW w:w="5567" w:type="dxa"/>
            <w:noWrap/>
            <w:tcMar>
              <w:left w:w="45" w:type="dxa"/>
              <w:right w:w="45" w:type="dxa"/>
            </w:tcMar>
            <w:vAlign w:val="center"/>
          </w:tcPr>
          <w:p w14:paraId="077DCD06">
            <w:pPr>
              <w:widowControl/>
              <w:rPr>
                <w:rFonts w:ascii="宋体" w:hAnsi="宋体" w:cs="宋体"/>
                <w:szCs w:val="21"/>
              </w:rPr>
            </w:pPr>
            <w:r>
              <w:rPr>
                <w:rFonts w:hint="eastAsia" w:ascii="宋体" w:hAnsi="宋体" w:cs="宋体"/>
                <w:szCs w:val="21"/>
              </w:rPr>
              <w:t>（89）监控不留死角，图像清晰，人员出入记录可查，视频记录存储时间不少于30天。</w:t>
            </w:r>
          </w:p>
          <w:p w14:paraId="7FC4325A">
            <w:pPr>
              <w:widowControl/>
              <w:rPr>
                <w:rFonts w:ascii="宋体" w:hAnsi="宋体" w:cs="宋体"/>
                <w:bCs/>
                <w:kern w:val="0"/>
                <w:szCs w:val="21"/>
              </w:rPr>
            </w:pPr>
            <w:r>
              <w:rPr>
                <w:rFonts w:hint="eastAsia" w:ascii="宋体" w:hAnsi="宋体" w:cs="宋体"/>
                <w:szCs w:val="21"/>
              </w:rPr>
              <w:t>（90）停电时，电子门禁系统应是开启状态或者有备用机械钥匙</w:t>
            </w:r>
          </w:p>
        </w:tc>
        <w:tc>
          <w:tcPr>
            <w:tcW w:w="991" w:type="dxa"/>
            <w:noWrap/>
            <w:tcMar>
              <w:left w:w="45" w:type="dxa"/>
              <w:right w:w="45" w:type="dxa"/>
            </w:tcMar>
            <w:vAlign w:val="center"/>
          </w:tcPr>
          <w:p w14:paraId="14D744CB">
            <w:pPr>
              <w:widowControl/>
              <w:rPr>
                <w:rFonts w:ascii="宋体" w:hAnsi="宋体" w:cs="宋体"/>
                <w:bCs/>
                <w:kern w:val="0"/>
                <w:szCs w:val="21"/>
              </w:rPr>
            </w:pPr>
          </w:p>
        </w:tc>
      </w:tr>
      <w:tr w14:paraId="78457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7DA17649">
            <w:pPr>
              <w:widowControl/>
              <w:rPr>
                <w:rFonts w:ascii="宋体" w:hAnsi="宋体" w:cs="宋体"/>
                <w:b/>
                <w:kern w:val="0"/>
                <w:szCs w:val="21"/>
              </w:rPr>
            </w:pPr>
            <w:r>
              <w:rPr>
                <w:rFonts w:hint="eastAsia" w:ascii="宋体" w:hAnsi="宋体" w:cs="宋体"/>
                <w:b/>
                <w:kern w:val="0"/>
                <w:szCs w:val="21"/>
              </w:rPr>
              <w:t>7.5</w:t>
            </w:r>
          </w:p>
        </w:tc>
        <w:tc>
          <w:tcPr>
            <w:tcW w:w="8279" w:type="dxa"/>
            <w:gridSpan w:val="3"/>
            <w:noWrap/>
            <w:tcMar>
              <w:left w:w="45" w:type="dxa"/>
              <w:right w:w="45" w:type="dxa"/>
            </w:tcMar>
            <w:vAlign w:val="center"/>
          </w:tcPr>
          <w:p w14:paraId="51A5FC2C">
            <w:pPr>
              <w:widowControl/>
              <w:rPr>
                <w:rFonts w:ascii="宋体" w:hAnsi="宋体" w:cs="宋体"/>
                <w:b/>
                <w:szCs w:val="21"/>
              </w:rPr>
            </w:pPr>
            <w:r>
              <w:rPr>
                <w:rFonts w:hint="eastAsia" w:ascii="宋体" w:hAnsi="宋体" w:cs="宋体"/>
                <w:b/>
                <w:szCs w:val="21"/>
              </w:rPr>
              <w:t>实验室防爆</w:t>
            </w:r>
          </w:p>
        </w:tc>
      </w:tr>
      <w:tr w14:paraId="13121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368B0C1A">
            <w:pPr>
              <w:widowControl/>
              <w:rPr>
                <w:rFonts w:ascii="宋体" w:hAnsi="宋体" w:cs="宋体"/>
                <w:kern w:val="0"/>
                <w:szCs w:val="21"/>
              </w:rPr>
            </w:pPr>
            <w:r>
              <w:rPr>
                <w:rFonts w:hint="eastAsia" w:ascii="宋体" w:hAnsi="宋体" w:cs="宋体"/>
                <w:kern w:val="0"/>
                <w:szCs w:val="21"/>
              </w:rPr>
              <w:t>7.5.1</w:t>
            </w:r>
          </w:p>
        </w:tc>
        <w:tc>
          <w:tcPr>
            <w:tcW w:w="1721" w:type="dxa"/>
            <w:noWrap/>
            <w:tcMar>
              <w:left w:w="45" w:type="dxa"/>
              <w:right w:w="45" w:type="dxa"/>
            </w:tcMar>
            <w:vAlign w:val="center"/>
          </w:tcPr>
          <w:p w14:paraId="56C73801">
            <w:pPr>
              <w:rPr>
                <w:rFonts w:ascii="宋体" w:hAnsi="宋体" w:cs="宋体"/>
                <w:szCs w:val="21"/>
              </w:rPr>
            </w:pPr>
            <w:r>
              <w:rPr>
                <w:rFonts w:hint="eastAsia" w:ascii="宋体" w:hAnsi="宋体" w:cs="宋体"/>
                <w:szCs w:val="21"/>
              </w:rPr>
              <w:t>有防爆需求的实验室须符合防爆设计要求</w:t>
            </w:r>
          </w:p>
        </w:tc>
        <w:tc>
          <w:tcPr>
            <w:tcW w:w="5567" w:type="dxa"/>
            <w:noWrap/>
            <w:tcMar>
              <w:left w:w="45" w:type="dxa"/>
              <w:right w:w="45" w:type="dxa"/>
            </w:tcMar>
            <w:vAlign w:val="center"/>
          </w:tcPr>
          <w:p w14:paraId="59BE0D7A">
            <w:pPr>
              <w:widowControl/>
              <w:rPr>
                <w:rFonts w:ascii="宋体" w:hAnsi="宋体" w:cs="宋体"/>
                <w:szCs w:val="21"/>
              </w:rPr>
            </w:pPr>
            <w:r>
              <w:rPr>
                <w:rFonts w:hint="eastAsia" w:ascii="宋体" w:hAnsi="宋体" w:cs="宋体"/>
                <w:szCs w:val="21"/>
              </w:rPr>
              <w:t>（91）有防爆需求的实验室，应选用防爆型的电气设备。防爆灯、防爆电气开关、除尘装置、导线敷设等应达到整体防爆要求；安装必要的气体报警系统、监控系统、应急系统等。</w:t>
            </w:r>
          </w:p>
          <w:p w14:paraId="3453924A">
            <w:pPr>
              <w:widowControl/>
              <w:rPr>
                <w:rFonts w:ascii="宋体" w:hAnsi="宋体" w:cs="宋体"/>
                <w:szCs w:val="21"/>
              </w:rPr>
            </w:pPr>
            <w:r>
              <w:rPr>
                <w:rFonts w:hint="eastAsia" w:ascii="宋体" w:hAnsi="宋体" w:cs="宋体"/>
                <w:szCs w:val="21"/>
              </w:rPr>
              <w:t>（92）可燃气体管道，应科学选用和安装阻火器。</w:t>
            </w:r>
          </w:p>
          <w:p w14:paraId="0BF9459F">
            <w:pPr>
              <w:widowControl/>
              <w:rPr>
                <w:rFonts w:ascii="宋体" w:hAnsi="宋体" w:cs="宋体"/>
                <w:bCs/>
                <w:kern w:val="0"/>
                <w:szCs w:val="21"/>
              </w:rPr>
            </w:pPr>
            <w:r>
              <w:rPr>
                <w:rFonts w:hint="eastAsia" w:ascii="宋体" w:hAnsi="宋体" w:cs="宋体"/>
                <w:szCs w:val="21"/>
              </w:rPr>
              <w:t>（93）采取有效措施，避免或减少出现危险爆炸性环境，避免出现任何潜在的有效点燃源</w:t>
            </w:r>
          </w:p>
        </w:tc>
        <w:tc>
          <w:tcPr>
            <w:tcW w:w="991" w:type="dxa"/>
            <w:noWrap/>
            <w:tcMar>
              <w:left w:w="45" w:type="dxa"/>
              <w:right w:w="45" w:type="dxa"/>
            </w:tcMar>
            <w:vAlign w:val="center"/>
          </w:tcPr>
          <w:p w14:paraId="2D0A5D79">
            <w:pPr>
              <w:widowControl/>
              <w:rPr>
                <w:rFonts w:ascii="宋体" w:hAnsi="宋体" w:cs="宋体"/>
                <w:szCs w:val="21"/>
              </w:rPr>
            </w:pPr>
          </w:p>
        </w:tc>
      </w:tr>
      <w:tr w14:paraId="66AA7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15EDAC20">
            <w:pPr>
              <w:widowControl/>
              <w:rPr>
                <w:rFonts w:ascii="宋体" w:hAnsi="宋体" w:cs="宋体"/>
                <w:kern w:val="0"/>
                <w:szCs w:val="21"/>
              </w:rPr>
            </w:pPr>
            <w:r>
              <w:rPr>
                <w:rFonts w:hint="eastAsia" w:ascii="宋体" w:hAnsi="宋体" w:cs="宋体"/>
                <w:kern w:val="0"/>
                <w:szCs w:val="21"/>
              </w:rPr>
              <w:t>7.5.2</w:t>
            </w:r>
          </w:p>
        </w:tc>
        <w:tc>
          <w:tcPr>
            <w:tcW w:w="1721" w:type="dxa"/>
            <w:noWrap/>
            <w:tcMar>
              <w:left w:w="45" w:type="dxa"/>
              <w:right w:w="45" w:type="dxa"/>
            </w:tcMar>
            <w:vAlign w:val="center"/>
          </w:tcPr>
          <w:p w14:paraId="081BFEE0">
            <w:pPr>
              <w:rPr>
                <w:rFonts w:ascii="宋体" w:hAnsi="宋体" w:cs="宋体"/>
                <w:szCs w:val="21"/>
              </w:rPr>
            </w:pPr>
            <w:r>
              <w:rPr>
                <w:rFonts w:hint="eastAsia" w:ascii="宋体" w:hAnsi="宋体" w:cs="宋体"/>
                <w:szCs w:val="21"/>
              </w:rPr>
              <w:t>应妥善防护具有爆炸危险性的仪器设备</w:t>
            </w:r>
          </w:p>
        </w:tc>
        <w:tc>
          <w:tcPr>
            <w:tcW w:w="5567" w:type="dxa"/>
            <w:noWrap/>
            <w:tcMar>
              <w:left w:w="45" w:type="dxa"/>
              <w:right w:w="45" w:type="dxa"/>
            </w:tcMar>
            <w:vAlign w:val="center"/>
          </w:tcPr>
          <w:p w14:paraId="1313B872">
            <w:pPr>
              <w:widowControl/>
              <w:rPr>
                <w:rFonts w:ascii="宋体" w:hAnsi="宋体" w:cs="宋体"/>
                <w:bCs/>
                <w:kern w:val="0"/>
                <w:szCs w:val="21"/>
              </w:rPr>
            </w:pPr>
            <w:r>
              <w:rPr>
                <w:rFonts w:hint="eastAsia" w:ascii="宋体" w:hAnsi="宋体" w:cs="宋体"/>
                <w:szCs w:val="21"/>
              </w:rPr>
              <w:t>（94）使用适合的安全罩防护</w:t>
            </w:r>
          </w:p>
        </w:tc>
        <w:tc>
          <w:tcPr>
            <w:tcW w:w="991" w:type="dxa"/>
            <w:noWrap/>
            <w:tcMar>
              <w:left w:w="45" w:type="dxa"/>
              <w:right w:w="45" w:type="dxa"/>
            </w:tcMar>
            <w:vAlign w:val="center"/>
          </w:tcPr>
          <w:p w14:paraId="2F5C753C">
            <w:pPr>
              <w:widowControl/>
              <w:rPr>
                <w:rFonts w:ascii="宋体" w:hAnsi="宋体" w:cs="宋体"/>
                <w:szCs w:val="21"/>
              </w:rPr>
            </w:pPr>
          </w:p>
        </w:tc>
      </w:tr>
      <w:tr w14:paraId="6CD22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1C748D99">
            <w:pPr>
              <w:widowControl/>
              <w:rPr>
                <w:rFonts w:ascii="宋体" w:hAnsi="宋体" w:cs="宋体"/>
                <w:b/>
                <w:kern w:val="0"/>
                <w:szCs w:val="21"/>
              </w:rPr>
            </w:pPr>
            <w:r>
              <w:rPr>
                <w:rFonts w:hint="eastAsia" w:ascii="宋体" w:hAnsi="宋体" w:cs="宋体"/>
                <w:b/>
                <w:kern w:val="0"/>
                <w:szCs w:val="21"/>
              </w:rPr>
              <w:t>8</w:t>
            </w:r>
          </w:p>
        </w:tc>
        <w:tc>
          <w:tcPr>
            <w:tcW w:w="8279" w:type="dxa"/>
            <w:gridSpan w:val="3"/>
            <w:noWrap/>
            <w:tcMar>
              <w:left w:w="45" w:type="dxa"/>
              <w:right w:w="45" w:type="dxa"/>
            </w:tcMar>
            <w:vAlign w:val="center"/>
          </w:tcPr>
          <w:p w14:paraId="454355CF">
            <w:pPr>
              <w:widowControl/>
              <w:rPr>
                <w:rFonts w:ascii="宋体" w:hAnsi="宋体" w:cs="宋体"/>
                <w:b/>
                <w:kern w:val="0"/>
                <w:szCs w:val="21"/>
              </w:rPr>
            </w:pPr>
            <w:r>
              <w:rPr>
                <w:rFonts w:hint="eastAsia" w:ascii="宋体" w:hAnsi="宋体" w:cs="宋体"/>
                <w:b/>
                <w:kern w:val="0"/>
                <w:szCs w:val="21"/>
              </w:rPr>
              <w:t>基础安全</w:t>
            </w:r>
          </w:p>
        </w:tc>
      </w:tr>
      <w:tr w14:paraId="79FE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0DE4C0DA">
            <w:pPr>
              <w:widowControl/>
              <w:rPr>
                <w:rFonts w:ascii="宋体" w:hAnsi="宋体" w:cs="宋体"/>
                <w:b/>
                <w:kern w:val="0"/>
                <w:szCs w:val="21"/>
              </w:rPr>
            </w:pPr>
            <w:r>
              <w:rPr>
                <w:rFonts w:hint="eastAsia" w:ascii="宋体" w:hAnsi="宋体" w:cs="宋体"/>
                <w:b/>
                <w:kern w:val="0"/>
                <w:szCs w:val="21"/>
              </w:rPr>
              <w:t>8.1</w:t>
            </w:r>
          </w:p>
        </w:tc>
        <w:tc>
          <w:tcPr>
            <w:tcW w:w="8279" w:type="dxa"/>
            <w:gridSpan w:val="3"/>
            <w:noWrap/>
            <w:tcMar>
              <w:left w:w="45" w:type="dxa"/>
              <w:right w:w="45" w:type="dxa"/>
            </w:tcMar>
            <w:vAlign w:val="center"/>
          </w:tcPr>
          <w:p w14:paraId="39D48882">
            <w:pPr>
              <w:widowControl/>
              <w:rPr>
                <w:rFonts w:ascii="宋体" w:hAnsi="宋体" w:cs="宋体"/>
                <w:b/>
                <w:kern w:val="0"/>
                <w:szCs w:val="21"/>
              </w:rPr>
            </w:pPr>
            <w:r>
              <w:rPr>
                <w:rFonts w:hint="eastAsia" w:ascii="宋体" w:hAnsi="宋体" w:cs="宋体"/>
                <w:b/>
                <w:kern w:val="0"/>
                <w:szCs w:val="21"/>
              </w:rPr>
              <w:t>用电、用水基础安全</w:t>
            </w:r>
          </w:p>
        </w:tc>
      </w:tr>
      <w:tr w14:paraId="7C8EF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6A3C18B0">
            <w:pPr>
              <w:widowControl/>
              <w:rPr>
                <w:rFonts w:ascii="宋体" w:hAnsi="宋体" w:cs="宋体"/>
                <w:kern w:val="0"/>
                <w:szCs w:val="21"/>
              </w:rPr>
            </w:pPr>
            <w:r>
              <w:rPr>
                <w:rFonts w:hint="eastAsia" w:ascii="宋体" w:hAnsi="宋体" w:cs="宋体"/>
                <w:kern w:val="0"/>
                <w:szCs w:val="21"/>
              </w:rPr>
              <w:t>8.1.1</w:t>
            </w:r>
          </w:p>
        </w:tc>
        <w:tc>
          <w:tcPr>
            <w:tcW w:w="1721" w:type="dxa"/>
            <w:noWrap/>
            <w:tcMar>
              <w:left w:w="45" w:type="dxa"/>
              <w:right w:w="45" w:type="dxa"/>
            </w:tcMar>
            <w:vAlign w:val="center"/>
          </w:tcPr>
          <w:p w14:paraId="7488E349">
            <w:pPr>
              <w:widowControl/>
              <w:rPr>
                <w:rFonts w:ascii="宋体" w:hAnsi="宋体" w:cs="宋体"/>
                <w:kern w:val="0"/>
                <w:szCs w:val="21"/>
              </w:rPr>
            </w:pPr>
            <w:r>
              <w:rPr>
                <w:rFonts w:hint="eastAsia" w:ascii="宋体" w:hAnsi="宋体" w:cs="宋体"/>
                <w:kern w:val="0"/>
                <w:szCs w:val="21"/>
              </w:rPr>
              <w:t>实验室用电安全应符合国家标准（导则）和行业标准</w:t>
            </w:r>
          </w:p>
        </w:tc>
        <w:tc>
          <w:tcPr>
            <w:tcW w:w="5567" w:type="dxa"/>
            <w:noWrap/>
            <w:tcMar>
              <w:left w:w="45" w:type="dxa"/>
              <w:right w:w="45" w:type="dxa"/>
            </w:tcMar>
            <w:vAlign w:val="center"/>
          </w:tcPr>
          <w:p w14:paraId="39E0A946">
            <w:pPr>
              <w:rPr>
                <w:rFonts w:ascii="宋体" w:hAnsi="宋体" w:cs="宋体"/>
                <w:kern w:val="0"/>
                <w:szCs w:val="21"/>
              </w:rPr>
            </w:pPr>
            <w:r>
              <w:rPr>
                <w:rFonts w:hint="eastAsia" w:ascii="宋体" w:hAnsi="宋体" w:cs="宋体"/>
                <w:kern w:val="0"/>
                <w:szCs w:val="21"/>
              </w:rPr>
              <w:t>（95）实验室配电容量、插头插座与用电设备功率须匹配，不得私自改装。</w:t>
            </w:r>
          </w:p>
          <w:p w14:paraId="4823C492">
            <w:pPr>
              <w:rPr>
                <w:rFonts w:ascii="宋体" w:hAnsi="宋体" w:cs="宋体"/>
                <w:kern w:val="0"/>
                <w:szCs w:val="21"/>
              </w:rPr>
            </w:pPr>
            <w:r>
              <w:rPr>
                <w:rFonts w:hint="eastAsia" w:ascii="宋体" w:hAnsi="宋体" w:cs="宋体"/>
                <w:kern w:val="0"/>
                <w:szCs w:val="21"/>
              </w:rPr>
              <w:t>（96）电源插座须有效固定。</w:t>
            </w:r>
          </w:p>
          <w:p w14:paraId="3E75A1D3">
            <w:pPr>
              <w:rPr>
                <w:rFonts w:ascii="宋体" w:hAnsi="宋体" w:cs="宋体"/>
                <w:kern w:val="0"/>
                <w:szCs w:val="21"/>
              </w:rPr>
            </w:pPr>
            <w:r>
              <w:rPr>
                <w:rFonts w:hint="eastAsia" w:ascii="宋体" w:hAnsi="宋体" w:cs="宋体"/>
                <w:kern w:val="0"/>
                <w:szCs w:val="21"/>
              </w:rPr>
              <w:t>（97）电气设备应配备空气开关和漏电保护器。</w:t>
            </w:r>
          </w:p>
          <w:p w14:paraId="24D0081F">
            <w:pPr>
              <w:rPr>
                <w:rFonts w:ascii="宋体" w:hAnsi="宋体" w:cs="宋体"/>
                <w:kern w:val="0"/>
                <w:szCs w:val="21"/>
              </w:rPr>
            </w:pPr>
            <w:r>
              <w:rPr>
                <w:rFonts w:hint="eastAsia" w:ascii="宋体" w:hAnsi="宋体" w:cs="宋体"/>
                <w:kern w:val="0"/>
                <w:szCs w:val="21"/>
              </w:rPr>
              <w:t>（98）不私自乱拉、乱接电线、电缆，禁止多个接线板串接供电，接线板不宜直接置于地面。</w:t>
            </w:r>
          </w:p>
          <w:p w14:paraId="2A043DD4">
            <w:pPr>
              <w:rPr>
                <w:rFonts w:ascii="宋体" w:hAnsi="宋体" w:cs="宋体"/>
                <w:kern w:val="0"/>
                <w:szCs w:val="21"/>
              </w:rPr>
            </w:pPr>
            <w:r>
              <w:rPr>
                <w:rFonts w:hint="eastAsia" w:ascii="宋体" w:hAnsi="宋体" w:cs="宋体"/>
                <w:kern w:val="0"/>
                <w:szCs w:val="21"/>
              </w:rPr>
              <w:t>（99）禁止使用老化的线缆、花线、木质配电板、有破损的接线板，电线接头绝缘可靠，无裸露连接线，穿越通道的线缆应有盖板或护套，不使用老国标接线板、插座。</w:t>
            </w:r>
          </w:p>
          <w:p w14:paraId="4BC41212">
            <w:pPr>
              <w:rPr>
                <w:rFonts w:ascii="宋体" w:hAnsi="宋体" w:cs="宋体"/>
                <w:kern w:val="0"/>
                <w:szCs w:val="21"/>
              </w:rPr>
            </w:pPr>
            <w:r>
              <w:rPr>
                <w:rFonts w:hint="eastAsia" w:ascii="宋体" w:hAnsi="宋体" w:cs="宋体"/>
                <w:kern w:val="0"/>
                <w:szCs w:val="21"/>
              </w:rPr>
              <w:t>（100）大功率仪器（包括空调等）使用专用插座。</w:t>
            </w:r>
          </w:p>
          <w:p w14:paraId="62A7665D">
            <w:pPr>
              <w:rPr>
                <w:rFonts w:ascii="宋体" w:hAnsi="宋体" w:cs="宋体"/>
                <w:kern w:val="0"/>
                <w:szCs w:val="21"/>
              </w:rPr>
            </w:pPr>
            <w:r>
              <w:rPr>
                <w:rFonts w:hint="eastAsia" w:ascii="宋体" w:hAnsi="宋体" w:cs="宋体"/>
                <w:kern w:val="0"/>
                <w:szCs w:val="21"/>
              </w:rPr>
              <w:t>（101）电器长期不用时，应切断电源。</w:t>
            </w:r>
          </w:p>
          <w:p w14:paraId="3C2F1495">
            <w:pPr>
              <w:rPr>
                <w:rFonts w:ascii="宋体" w:hAnsi="宋体" w:cs="宋体"/>
                <w:bCs/>
                <w:kern w:val="0"/>
                <w:szCs w:val="21"/>
              </w:rPr>
            </w:pPr>
            <w:r>
              <w:rPr>
                <w:rFonts w:hint="eastAsia" w:ascii="宋体" w:hAnsi="宋体" w:cs="宋体"/>
                <w:kern w:val="0"/>
                <w:szCs w:val="21"/>
              </w:rPr>
              <w:t>（102）配电箱前不应有物品遮挡并便于操作，周围不应放置烘箱、电炉、易燃易爆气瓶、易燃易爆化学试剂、废液桶等；配电箱的金属箱体应与箱内保护零线或保护地线可靠连接；配电箱不宜设置在水槽上方或较近位置</w:t>
            </w:r>
          </w:p>
        </w:tc>
        <w:tc>
          <w:tcPr>
            <w:tcW w:w="991" w:type="dxa"/>
            <w:noWrap/>
            <w:tcMar>
              <w:left w:w="45" w:type="dxa"/>
              <w:right w:w="45" w:type="dxa"/>
            </w:tcMar>
            <w:vAlign w:val="center"/>
          </w:tcPr>
          <w:p w14:paraId="4046812D">
            <w:pPr>
              <w:widowControl/>
              <w:rPr>
                <w:rFonts w:ascii="宋体" w:hAnsi="宋体" w:cs="宋体"/>
                <w:bCs/>
                <w:kern w:val="0"/>
                <w:szCs w:val="21"/>
              </w:rPr>
            </w:pPr>
          </w:p>
        </w:tc>
      </w:tr>
      <w:tr w14:paraId="724B7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7842826B">
            <w:pPr>
              <w:widowControl/>
              <w:rPr>
                <w:rFonts w:ascii="宋体" w:hAnsi="宋体" w:cs="宋体"/>
                <w:kern w:val="0"/>
                <w:szCs w:val="21"/>
              </w:rPr>
            </w:pPr>
            <w:r>
              <w:rPr>
                <w:rFonts w:hint="eastAsia" w:ascii="宋体" w:hAnsi="宋体" w:cs="宋体"/>
                <w:kern w:val="0"/>
                <w:szCs w:val="21"/>
              </w:rPr>
              <w:t>8.1.2</w:t>
            </w:r>
          </w:p>
        </w:tc>
        <w:tc>
          <w:tcPr>
            <w:tcW w:w="1721" w:type="dxa"/>
            <w:noWrap/>
            <w:tcMar>
              <w:left w:w="45" w:type="dxa"/>
              <w:right w:w="45" w:type="dxa"/>
            </w:tcMar>
            <w:vAlign w:val="center"/>
          </w:tcPr>
          <w:p w14:paraId="50F23F66">
            <w:pPr>
              <w:widowControl/>
              <w:rPr>
                <w:rFonts w:ascii="宋体" w:hAnsi="宋体" w:cs="宋体"/>
                <w:kern w:val="0"/>
                <w:szCs w:val="21"/>
              </w:rPr>
            </w:pPr>
            <w:r>
              <w:rPr>
                <w:rFonts w:hint="eastAsia" w:ascii="宋体" w:hAnsi="宋体" w:cs="宋体"/>
                <w:kern w:val="0"/>
                <w:szCs w:val="21"/>
              </w:rPr>
              <w:t>给水、排水系统布置合理，运行正常</w:t>
            </w:r>
          </w:p>
        </w:tc>
        <w:tc>
          <w:tcPr>
            <w:tcW w:w="5567" w:type="dxa"/>
            <w:noWrap/>
            <w:tcMar>
              <w:left w:w="45" w:type="dxa"/>
              <w:right w:w="45" w:type="dxa"/>
            </w:tcMar>
            <w:vAlign w:val="center"/>
          </w:tcPr>
          <w:p w14:paraId="16EC5F43">
            <w:pPr>
              <w:widowControl/>
              <w:rPr>
                <w:rFonts w:ascii="宋体" w:hAnsi="宋体" w:cs="宋体"/>
                <w:kern w:val="0"/>
                <w:szCs w:val="21"/>
              </w:rPr>
            </w:pPr>
            <w:r>
              <w:rPr>
                <w:rFonts w:hint="eastAsia" w:ascii="宋体" w:hAnsi="宋体" w:cs="宋体"/>
                <w:kern w:val="0"/>
                <w:szCs w:val="21"/>
              </w:rPr>
              <w:t>（103）水槽、地漏及下水道畅通，水龙头、上下水管无破损。</w:t>
            </w:r>
          </w:p>
          <w:p w14:paraId="2BBCA73F">
            <w:pPr>
              <w:widowControl/>
              <w:rPr>
                <w:rFonts w:ascii="宋体" w:hAnsi="宋体" w:cs="宋体"/>
                <w:kern w:val="0"/>
                <w:szCs w:val="21"/>
              </w:rPr>
            </w:pPr>
            <w:r>
              <w:rPr>
                <w:rFonts w:hint="eastAsia" w:ascii="宋体" w:hAnsi="宋体" w:cs="宋体"/>
                <w:kern w:val="0"/>
                <w:szCs w:val="21"/>
              </w:rPr>
              <w:t>（104）各类连接管无老化破损（特别是冷却冷凝系统的橡胶管接口处）。</w:t>
            </w:r>
          </w:p>
          <w:p w14:paraId="09C57DA6">
            <w:pPr>
              <w:widowControl/>
              <w:rPr>
                <w:rFonts w:ascii="宋体" w:hAnsi="宋体" w:cs="宋体"/>
                <w:bCs/>
                <w:kern w:val="0"/>
                <w:szCs w:val="21"/>
              </w:rPr>
            </w:pPr>
            <w:r>
              <w:rPr>
                <w:rFonts w:hint="eastAsia" w:ascii="宋体" w:hAnsi="宋体" w:cs="宋体"/>
                <w:kern w:val="0"/>
                <w:szCs w:val="21"/>
              </w:rPr>
              <w:t>（105）各楼层及实验室的各级水管总阀须有明显的标识</w:t>
            </w:r>
          </w:p>
        </w:tc>
        <w:tc>
          <w:tcPr>
            <w:tcW w:w="991" w:type="dxa"/>
            <w:noWrap/>
            <w:tcMar>
              <w:left w:w="45" w:type="dxa"/>
              <w:right w:w="45" w:type="dxa"/>
            </w:tcMar>
            <w:vAlign w:val="center"/>
          </w:tcPr>
          <w:p w14:paraId="249ED58C">
            <w:pPr>
              <w:widowControl/>
              <w:rPr>
                <w:rFonts w:ascii="宋体" w:hAnsi="宋体" w:cs="宋体"/>
                <w:bCs/>
                <w:kern w:val="0"/>
                <w:szCs w:val="21"/>
              </w:rPr>
            </w:pPr>
          </w:p>
        </w:tc>
      </w:tr>
      <w:tr w14:paraId="60F1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556870FA">
            <w:pPr>
              <w:widowControl/>
              <w:rPr>
                <w:rFonts w:ascii="宋体" w:hAnsi="宋体" w:cs="宋体"/>
                <w:b/>
                <w:kern w:val="0"/>
                <w:szCs w:val="21"/>
              </w:rPr>
            </w:pPr>
            <w:r>
              <w:rPr>
                <w:rFonts w:hint="eastAsia" w:ascii="宋体" w:hAnsi="宋体" w:cs="宋体"/>
                <w:b/>
                <w:kern w:val="0"/>
                <w:szCs w:val="21"/>
              </w:rPr>
              <w:t>8.2</w:t>
            </w:r>
          </w:p>
        </w:tc>
        <w:tc>
          <w:tcPr>
            <w:tcW w:w="8279" w:type="dxa"/>
            <w:gridSpan w:val="3"/>
            <w:noWrap/>
            <w:tcMar>
              <w:left w:w="45" w:type="dxa"/>
              <w:right w:w="45" w:type="dxa"/>
            </w:tcMar>
            <w:vAlign w:val="center"/>
          </w:tcPr>
          <w:p w14:paraId="2FC0F43F">
            <w:pPr>
              <w:widowControl/>
              <w:rPr>
                <w:rFonts w:ascii="宋体" w:hAnsi="宋体" w:cs="宋体"/>
                <w:b/>
                <w:kern w:val="0"/>
                <w:szCs w:val="21"/>
              </w:rPr>
            </w:pPr>
            <w:r>
              <w:rPr>
                <w:rFonts w:hint="eastAsia" w:ascii="宋体" w:hAnsi="宋体" w:cs="宋体"/>
                <w:b/>
                <w:kern w:val="0"/>
                <w:szCs w:val="21"/>
              </w:rPr>
              <w:t>个体防护</w:t>
            </w:r>
          </w:p>
        </w:tc>
      </w:tr>
      <w:tr w14:paraId="28038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5495BA54">
            <w:pPr>
              <w:widowControl/>
              <w:rPr>
                <w:rFonts w:ascii="宋体" w:hAnsi="宋体" w:cs="宋体"/>
                <w:kern w:val="0"/>
                <w:szCs w:val="21"/>
              </w:rPr>
            </w:pPr>
            <w:r>
              <w:rPr>
                <w:rFonts w:hint="eastAsia" w:ascii="宋体" w:hAnsi="宋体" w:cs="宋体"/>
                <w:kern w:val="0"/>
                <w:szCs w:val="21"/>
              </w:rPr>
              <w:t>8.2.1</w:t>
            </w:r>
          </w:p>
        </w:tc>
        <w:tc>
          <w:tcPr>
            <w:tcW w:w="1721" w:type="dxa"/>
            <w:noWrap/>
            <w:tcMar>
              <w:left w:w="45" w:type="dxa"/>
              <w:right w:w="45" w:type="dxa"/>
            </w:tcMar>
            <w:vAlign w:val="center"/>
          </w:tcPr>
          <w:p w14:paraId="7CD85363">
            <w:pPr>
              <w:widowControl/>
              <w:rPr>
                <w:rFonts w:ascii="宋体" w:hAnsi="宋体" w:cs="宋体"/>
                <w:kern w:val="0"/>
                <w:szCs w:val="21"/>
              </w:rPr>
            </w:pPr>
            <w:r>
              <w:rPr>
                <w:rFonts w:hint="eastAsia" w:ascii="宋体" w:hAnsi="宋体" w:cs="宋体"/>
                <w:kern w:val="0"/>
                <w:szCs w:val="21"/>
              </w:rPr>
              <w:t>实验人员须配备合适的个体防护用品</w:t>
            </w:r>
          </w:p>
        </w:tc>
        <w:tc>
          <w:tcPr>
            <w:tcW w:w="5567" w:type="dxa"/>
            <w:noWrap/>
            <w:tcMar>
              <w:left w:w="45" w:type="dxa"/>
              <w:right w:w="45" w:type="dxa"/>
            </w:tcMar>
            <w:vAlign w:val="center"/>
          </w:tcPr>
          <w:p w14:paraId="58BD00CC">
            <w:pPr>
              <w:widowControl/>
              <w:rPr>
                <w:rFonts w:ascii="宋体" w:hAnsi="宋体" w:cs="宋体"/>
                <w:kern w:val="0"/>
                <w:szCs w:val="21"/>
              </w:rPr>
            </w:pPr>
            <w:r>
              <w:rPr>
                <w:rFonts w:hint="eastAsia" w:ascii="宋体" w:hAnsi="宋体" w:cs="宋体"/>
                <w:kern w:val="0"/>
                <w:szCs w:val="21"/>
              </w:rPr>
              <w:t>（106）进入实验室人员须穿着质地合适的实验服或防护服。</w:t>
            </w:r>
          </w:p>
          <w:p w14:paraId="393B781E">
            <w:pPr>
              <w:widowControl/>
              <w:rPr>
                <w:rFonts w:ascii="宋体" w:hAnsi="宋体" w:cs="宋体"/>
                <w:kern w:val="0"/>
                <w:szCs w:val="21"/>
              </w:rPr>
            </w:pPr>
            <w:r>
              <w:rPr>
                <w:rFonts w:hint="eastAsia" w:ascii="宋体" w:hAnsi="宋体" w:cs="宋体"/>
                <w:kern w:val="0"/>
                <w:szCs w:val="21"/>
              </w:rPr>
              <w:t>（107）按需要佩戴防护眼镜、防护手套、安全帽、防护帽、呼吸器或面罩（呼吸器或面罩在有效期内，不用时须密封放置）等。</w:t>
            </w:r>
          </w:p>
          <w:p w14:paraId="2D4E4ACA">
            <w:pPr>
              <w:widowControl/>
              <w:rPr>
                <w:rFonts w:ascii="宋体" w:hAnsi="宋体" w:cs="宋体"/>
                <w:kern w:val="0"/>
                <w:szCs w:val="21"/>
              </w:rPr>
            </w:pPr>
            <w:r>
              <w:rPr>
                <w:rFonts w:hint="eastAsia" w:ascii="宋体" w:hAnsi="宋体" w:cs="宋体"/>
                <w:kern w:val="0"/>
                <w:szCs w:val="21"/>
              </w:rPr>
              <w:t>（108）进行化学、生物安全和高温实验时，谨慎佩戴隐形眼镜。</w:t>
            </w:r>
          </w:p>
          <w:p w14:paraId="0BCF0BED">
            <w:pPr>
              <w:widowControl/>
              <w:rPr>
                <w:rFonts w:ascii="宋体" w:hAnsi="宋体" w:cs="宋体"/>
                <w:kern w:val="0"/>
                <w:szCs w:val="21"/>
              </w:rPr>
            </w:pPr>
            <w:r>
              <w:rPr>
                <w:rFonts w:hint="eastAsia" w:ascii="宋体" w:hAnsi="宋体" w:cs="宋体"/>
                <w:kern w:val="0"/>
                <w:szCs w:val="21"/>
              </w:rPr>
              <w:t>（109）操作机床等旋转设备时，不得佩戴长围巾、丝巾、领带等，长发须盘在工作帽内。</w:t>
            </w:r>
          </w:p>
          <w:p w14:paraId="42F9096C">
            <w:pPr>
              <w:widowControl/>
              <w:rPr>
                <w:rFonts w:ascii="宋体" w:hAnsi="宋体" w:cs="宋体"/>
                <w:bCs/>
                <w:kern w:val="0"/>
                <w:szCs w:val="21"/>
              </w:rPr>
            </w:pPr>
            <w:r>
              <w:rPr>
                <w:rFonts w:hint="eastAsia" w:ascii="宋体" w:hAnsi="宋体" w:cs="宋体"/>
                <w:kern w:val="0"/>
                <w:szCs w:val="21"/>
              </w:rPr>
              <w:t>（110）穿着化学、生物类实验服或戴实验手套时，不得随意进入非实验区</w:t>
            </w:r>
          </w:p>
        </w:tc>
        <w:tc>
          <w:tcPr>
            <w:tcW w:w="991" w:type="dxa"/>
            <w:noWrap/>
            <w:tcMar>
              <w:left w:w="45" w:type="dxa"/>
              <w:right w:w="45" w:type="dxa"/>
            </w:tcMar>
            <w:vAlign w:val="center"/>
          </w:tcPr>
          <w:p w14:paraId="232CF409">
            <w:pPr>
              <w:widowControl/>
              <w:rPr>
                <w:rFonts w:ascii="宋体" w:hAnsi="宋体" w:cs="宋体"/>
                <w:bCs/>
                <w:kern w:val="0"/>
                <w:szCs w:val="21"/>
              </w:rPr>
            </w:pPr>
          </w:p>
        </w:tc>
      </w:tr>
      <w:tr w14:paraId="36ED6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59B5F4D9">
            <w:pPr>
              <w:widowControl/>
              <w:rPr>
                <w:rFonts w:ascii="宋体" w:hAnsi="宋体" w:cs="宋体"/>
                <w:kern w:val="0"/>
                <w:szCs w:val="21"/>
              </w:rPr>
            </w:pPr>
            <w:r>
              <w:rPr>
                <w:rFonts w:hint="eastAsia" w:ascii="宋体" w:hAnsi="宋体" w:cs="宋体"/>
                <w:kern w:val="0"/>
                <w:szCs w:val="21"/>
              </w:rPr>
              <w:t>8.2.2</w:t>
            </w:r>
          </w:p>
        </w:tc>
        <w:tc>
          <w:tcPr>
            <w:tcW w:w="1721" w:type="dxa"/>
            <w:noWrap/>
            <w:tcMar>
              <w:left w:w="45" w:type="dxa"/>
              <w:right w:w="45" w:type="dxa"/>
            </w:tcMar>
            <w:vAlign w:val="center"/>
          </w:tcPr>
          <w:p w14:paraId="7F604B9A">
            <w:pPr>
              <w:widowControl/>
              <w:rPr>
                <w:rFonts w:ascii="宋体" w:hAnsi="宋体" w:cs="宋体"/>
                <w:kern w:val="0"/>
                <w:szCs w:val="21"/>
              </w:rPr>
            </w:pPr>
            <w:r>
              <w:rPr>
                <w:rFonts w:hint="eastAsia" w:ascii="宋体" w:hAnsi="宋体" w:cs="宋体"/>
                <w:kern w:val="0"/>
                <w:szCs w:val="21"/>
              </w:rPr>
              <w:t>个体防护用品合理存放，存放地点有明显标识</w:t>
            </w:r>
          </w:p>
        </w:tc>
        <w:tc>
          <w:tcPr>
            <w:tcW w:w="5567" w:type="dxa"/>
            <w:noWrap/>
            <w:tcMar>
              <w:left w:w="45" w:type="dxa"/>
              <w:right w:w="45" w:type="dxa"/>
            </w:tcMar>
            <w:vAlign w:val="center"/>
          </w:tcPr>
          <w:p w14:paraId="288E1061">
            <w:pPr>
              <w:widowControl/>
              <w:rPr>
                <w:rFonts w:ascii="宋体" w:hAnsi="宋体" w:cs="宋体"/>
                <w:bCs/>
                <w:kern w:val="0"/>
                <w:szCs w:val="21"/>
                <w:highlight w:val="yellow"/>
              </w:rPr>
            </w:pPr>
            <w:r>
              <w:rPr>
                <w:rFonts w:hint="eastAsia" w:ascii="宋体" w:hAnsi="宋体" w:cs="宋体"/>
                <w:kern w:val="0"/>
                <w:szCs w:val="21"/>
              </w:rPr>
              <w:t>（111）在紧急情况须使用的个体防护器具应分散存放在安全场所，以便于取用</w:t>
            </w:r>
          </w:p>
        </w:tc>
        <w:tc>
          <w:tcPr>
            <w:tcW w:w="991" w:type="dxa"/>
            <w:noWrap/>
            <w:tcMar>
              <w:left w:w="45" w:type="dxa"/>
              <w:right w:w="45" w:type="dxa"/>
            </w:tcMar>
            <w:vAlign w:val="center"/>
          </w:tcPr>
          <w:p w14:paraId="3B662BC1">
            <w:pPr>
              <w:widowControl/>
              <w:rPr>
                <w:rFonts w:ascii="宋体" w:hAnsi="宋体" w:cs="宋体"/>
                <w:bCs/>
                <w:kern w:val="0"/>
                <w:szCs w:val="21"/>
              </w:rPr>
            </w:pPr>
          </w:p>
        </w:tc>
      </w:tr>
      <w:tr w14:paraId="7BC4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223C787B">
            <w:pPr>
              <w:widowControl/>
              <w:rPr>
                <w:rFonts w:ascii="宋体" w:hAnsi="宋体" w:cs="宋体"/>
                <w:kern w:val="0"/>
                <w:szCs w:val="21"/>
              </w:rPr>
            </w:pPr>
            <w:r>
              <w:rPr>
                <w:rFonts w:hint="eastAsia" w:ascii="宋体" w:hAnsi="宋体" w:cs="宋体"/>
                <w:kern w:val="0"/>
                <w:szCs w:val="21"/>
              </w:rPr>
              <w:t>8.2.3</w:t>
            </w:r>
          </w:p>
        </w:tc>
        <w:tc>
          <w:tcPr>
            <w:tcW w:w="1721" w:type="dxa"/>
            <w:noWrap/>
            <w:tcMar>
              <w:left w:w="45" w:type="dxa"/>
              <w:right w:w="45" w:type="dxa"/>
            </w:tcMar>
            <w:vAlign w:val="center"/>
          </w:tcPr>
          <w:p w14:paraId="61D4C6BE">
            <w:pPr>
              <w:widowControl/>
              <w:rPr>
                <w:rFonts w:ascii="宋体" w:hAnsi="宋体" w:cs="宋体"/>
                <w:kern w:val="0"/>
                <w:szCs w:val="21"/>
              </w:rPr>
            </w:pPr>
            <w:r>
              <w:rPr>
                <w:rFonts w:hint="eastAsia" w:ascii="宋体" w:hAnsi="宋体" w:cs="宋体"/>
                <w:kern w:val="0"/>
                <w:szCs w:val="21"/>
              </w:rPr>
              <w:t>各类个体防护用品的使用有培训及定期检查维护记录</w:t>
            </w:r>
          </w:p>
        </w:tc>
        <w:tc>
          <w:tcPr>
            <w:tcW w:w="5567" w:type="dxa"/>
            <w:noWrap/>
            <w:tcMar>
              <w:left w:w="45" w:type="dxa"/>
              <w:right w:w="45" w:type="dxa"/>
            </w:tcMar>
            <w:vAlign w:val="center"/>
          </w:tcPr>
          <w:p w14:paraId="30A66F5E">
            <w:pPr>
              <w:widowControl/>
              <w:rPr>
                <w:rFonts w:ascii="宋体" w:hAnsi="宋体" w:cs="宋体"/>
                <w:bCs/>
                <w:kern w:val="0"/>
                <w:szCs w:val="21"/>
              </w:rPr>
            </w:pPr>
            <w:r>
              <w:rPr>
                <w:rFonts w:hint="eastAsia" w:ascii="宋体" w:hAnsi="宋体" w:cs="宋体"/>
                <w:bCs/>
                <w:kern w:val="0"/>
                <w:szCs w:val="21"/>
              </w:rPr>
              <w:t>（112）检查培训及维护记录</w:t>
            </w:r>
          </w:p>
        </w:tc>
        <w:tc>
          <w:tcPr>
            <w:tcW w:w="991" w:type="dxa"/>
            <w:noWrap/>
            <w:tcMar>
              <w:left w:w="45" w:type="dxa"/>
              <w:right w:w="45" w:type="dxa"/>
            </w:tcMar>
            <w:vAlign w:val="center"/>
          </w:tcPr>
          <w:p w14:paraId="791FCFE7">
            <w:pPr>
              <w:widowControl/>
              <w:rPr>
                <w:rFonts w:ascii="宋体" w:hAnsi="宋体" w:cs="宋体"/>
                <w:bCs/>
                <w:kern w:val="0"/>
                <w:szCs w:val="21"/>
              </w:rPr>
            </w:pPr>
          </w:p>
        </w:tc>
      </w:tr>
      <w:tr w14:paraId="60B6B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28DC0294">
            <w:pPr>
              <w:widowControl/>
              <w:rPr>
                <w:rFonts w:ascii="宋体" w:hAnsi="宋体" w:cs="宋体"/>
                <w:kern w:val="0"/>
                <w:szCs w:val="21"/>
              </w:rPr>
            </w:pPr>
            <w:r>
              <w:rPr>
                <w:rFonts w:hint="eastAsia" w:ascii="宋体" w:hAnsi="宋体" w:cs="宋体"/>
                <w:b/>
                <w:bCs/>
                <w:kern w:val="0"/>
                <w:szCs w:val="21"/>
              </w:rPr>
              <w:t>8.3</w:t>
            </w:r>
          </w:p>
        </w:tc>
        <w:tc>
          <w:tcPr>
            <w:tcW w:w="8279" w:type="dxa"/>
            <w:gridSpan w:val="3"/>
            <w:noWrap/>
            <w:tcMar>
              <w:left w:w="45" w:type="dxa"/>
              <w:right w:w="45" w:type="dxa"/>
            </w:tcMar>
            <w:vAlign w:val="center"/>
          </w:tcPr>
          <w:p w14:paraId="2EB805AE">
            <w:pPr>
              <w:widowControl/>
              <w:rPr>
                <w:rFonts w:ascii="宋体" w:hAnsi="宋体" w:cs="宋体"/>
                <w:b/>
                <w:kern w:val="0"/>
                <w:szCs w:val="21"/>
              </w:rPr>
            </w:pPr>
            <w:r>
              <w:rPr>
                <w:rFonts w:hint="eastAsia" w:ascii="宋体" w:hAnsi="宋体" w:cs="宋体"/>
                <w:b/>
                <w:kern w:val="0"/>
                <w:szCs w:val="21"/>
              </w:rPr>
              <w:t>其他</w:t>
            </w:r>
          </w:p>
        </w:tc>
      </w:tr>
      <w:tr w14:paraId="2AA47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0A8BC1D4">
            <w:pPr>
              <w:widowControl/>
              <w:rPr>
                <w:rFonts w:ascii="宋体" w:hAnsi="宋体" w:cs="宋体"/>
                <w:kern w:val="0"/>
                <w:szCs w:val="21"/>
              </w:rPr>
            </w:pPr>
            <w:r>
              <w:rPr>
                <w:rFonts w:hint="eastAsia" w:ascii="宋体" w:hAnsi="宋体" w:cs="宋体"/>
                <w:kern w:val="0"/>
                <w:szCs w:val="21"/>
              </w:rPr>
              <w:t>8.3.1</w:t>
            </w:r>
          </w:p>
        </w:tc>
        <w:tc>
          <w:tcPr>
            <w:tcW w:w="1721" w:type="dxa"/>
            <w:noWrap/>
            <w:tcMar>
              <w:left w:w="45" w:type="dxa"/>
              <w:right w:w="45" w:type="dxa"/>
            </w:tcMar>
            <w:vAlign w:val="center"/>
          </w:tcPr>
          <w:p w14:paraId="5A301762">
            <w:pPr>
              <w:widowControl/>
              <w:rPr>
                <w:rFonts w:ascii="宋体" w:hAnsi="宋体" w:cs="宋体"/>
                <w:kern w:val="0"/>
                <w:szCs w:val="21"/>
              </w:rPr>
            </w:pPr>
            <w:r>
              <w:rPr>
                <w:rFonts w:hint="eastAsia" w:ascii="宋体" w:hAnsi="宋体" w:cs="宋体"/>
                <w:kern w:val="0"/>
                <w:szCs w:val="21"/>
              </w:rPr>
              <w:t>危险性实验（如高温、高压、高速运转等）时必须有两人在场</w:t>
            </w:r>
          </w:p>
        </w:tc>
        <w:tc>
          <w:tcPr>
            <w:tcW w:w="5567" w:type="dxa"/>
            <w:noWrap/>
            <w:tcMar>
              <w:left w:w="45" w:type="dxa"/>
              <w:right w:w="45" w:type="dxa"/>
            </w:tcMar>
            <w:vAlign w:val="center"/>
          </w:tcPr>
          <w:p w14:paraId="389A42E8">
            <w:pPr>
              <w:widowControl/>
              <w:rPr>
                <w:rFonts w:ascii="宋体" w:hAnsi="宋体" w:cs="宋体"/>
                <w:bCs/>
                <w:kern w:val="0"/>
                <w:szCs w:val="21"/>
              </w:rPr>
            </w:pPr>
            <w:r>
              <w:rPr>
                <w:rFonts w:hint="eastAsia" w:ascii="宋体" w:hAnsi="宋体" w:cs="宋体"/>
                <w:kern w:val="0"/>
                <w:szCs w:val="21"/>
              </w:rPr>
              <w:t>（113）实验时不能脱岗，通宵实验须两人在场并有事先审批制度</w:t>
            </w:r>
          </w:p>
        </w:tc>
        <w:tc>
          <w:tcPr>
            <w:tcW w:w="991" w:type="dxa"/>
            <w:noWrap/>
            <w:tcMar>
              <w:left w:w="45" w:type="dxa"/>
              <w:right w:w="45" w:type="dxa"/>
            </w:tcMar>
            <w:vAlign w:val="center"/>
          </w:tcPr>
          <w:p w14:paraId="0BAEB5F4">
            <w:pPr>
              <w:widowControl/>
              <w:rPr>
                <w:rFonts w:ascii="宋体" w:hAnsi="宋体" w:cs="宋体"/>
                <w:bCs/>
                <w:kern w:val="0"/>
                <w:szCs w:val="21"/>
              </w:rPr>
            </w:pPr>
          </w:p>
        </w:tc>
      </w:tr>
      <w:tr w14:paraId="26699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35537AF2">
            <w:pPr>
              <w:widowControl/>
              <w:rPr>
                <w:rFonts w:ascii="宋体" w:hAnsi="宋体" w:cs="宋体"/>
                <w:kern w:val="0"/>
                <w:szCs w:val="21"/>
              </w:rPr>
            </w:pPr>
            <w:r>
              <w:rPr>
                <w:rFonts w:hint="eastAsia" w:ascii="宋体" w:hAnsi="宋体" w:cs="宋体"/>
                <w:kern w:val="0"/>
                <w:szCs w:val="21"/>
              </w:rPr>
              <w:t>8.3.2</w:t>
            </w:r>
          </w:p>
        </w:tc>
        <w:tc>
          <w:tcPr>
            <w:tcW w:w="1721" w:type="dxa"/>
            <w:noWrap/>
            <w:tcMar>
              <w:left w:w="45" w:type="dxa"/>
              <w:right w:w="45" w:type="dxa"/>
            </w:tcMar>
            <w:vAlign w:val="center"/>
          </w:tcPr>
          <w:p w14:paraId="3162151F">
            <w:pPr>
              <w:widowControl/>
              <w:rPr>
                <w:rFonts w:ascii="宋体" w:hAnsi="宋体" w:cs="宋体"/>
                <w:kern w:val="0"/>
                <w:szCs w:val="21"/>
              </w:rPr>
            </w:pPr>
            <w:r>
              <w:rPr>
                <w:rFonts w:hint="eastAsia" w:ascii="宋体" w:hAnsi="宋体" w:cs="宋体"/>
                <w:kern w:val="0"/>
                <w:szCs w:val="21"/>
              </w:rPr>
              <w:t>实验台面整洁、实验记录规范</w:t>
            </w:r>
          </w:p>
        </w:tc>
        <w:tc>
          <w:tcPr>
            <w:tcW w:w="5567" w:type="dxa"/>
            <w:noWrap/>
            <w:tcMar>
              <w:left w:w="45" w:type="dxa"/>
              <w:right w:w="45" w:type="dxa"/>
            </w:tcMar>
            <w:vAlign w:val="center"/>
          </w:tcPr>
          <w:p w14:paraId="68F1F4BE">
            <w:pPr>
              <w:widowControl/>
              <w:rPr>
                <w:rFonts w:ascii="宋体" w:hAnsi="宋体" w:cs="宋体"/>
                <w:bCs/>
                <w:kern w:val="0"/>
                <w:szCs w:val="21"/>
              </w:rPr>
            </w:pPr>
            <w:r>
              <w:rPr>
                <w:rFonts w:hint="eastAsia" w:ascii="宋体" w:hAnsi="宋体" w:cs="宋体"/>
                <w:bCs/>
                <w:kern w:val="0"/>
                <w:szCs w:val="21"/>
              </w:rPr>
              <w:t>（114）查看实验台面和实验记录</w:t>
            </w:r>
          </w:p>
        </w:tc>
        <w:tc>
          <w:tcPr>
            <w:tcW w:w="991" w:type="dxa"/>
            <w:noWrap/>
            <w:tcMar>
              <w:left w:w="45" w:type="dxa"/>
              <w:right w:w="45" w:type="dxa"/>
            </w:tcMar>
            <w:vAlign w:val="center"/>
          </w:tcPr>
          <w:p w14:paraId="4737B603">
            <w:pPr>
              <w:widowControl/>
              <w:rPr>
                <w:rFonts w:ascii="宋体" w:hAnsi="宋体" w:cs="宋体"/>
                <w:bCs/>
                <w:kern w:val="0"/>
                <w:szCs w:val="21"/>
              </w:rPr>
            </w:pPr>
          </w:p>
        </w:tc>
      </w:tr>
      <w:tr w14:paraId="7E29B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01CF58F9">
            <w:pPr>
              <w:widowControl/>
              <w:rPr>
                <w:rFonts w:ascii="宋体" w:hAnsi="宋体" w:cs="宋体"/>
                <w:b/>
                <w:kern w:val="0"/>
                <w:szCs w:val="21"/>
              </w:rPr>
            </w:pPr>
            <w:r>
              <w:rPr>
                <w:rFonts w:hint="eastAsia" w:ascii="宋体" w:hAnsi="宋体" w:cs="宋体"/>
                <w:b/>
                <w:kern w:val="0"/>
                <w:szCs w:val="21"/>
              </w:rPr>
              <w:t>9</w:t>
            </w:r>
          </w:p>
        </w:tc>
        <w:tc>
          <w:tcPr>
            <w:tcW w:w="8279" w:type="dxa"/>
            <w:gridSpan w:val="3"/>
            <w:noWrap/>
            <w:tcMar>
              <w:left w:w="45" w:type="dxa"/>
              <w:right w:w="45" w:type="dxa"/>
            </w:tcMar>
            <w:vAlign w:val="center"/>
          </w:tcPr>
          <w:p w14:paraId="7BB4543A">
            <w:pPr>
              <w:widowControl/>
              <w:rPr>
                <w:rFonts w:ascii="宋体" w:hAnsi="宋体" w:cs="宋体"/>
                <w:b/>
                <w:kern w:val="0"/>
                <w:szCs w:val="21"/>
              </w:rPr>
            </w:pPr>
            <w:r>
              <w:rPr>
                <w:rFonts w:hint="eastAsia" w:ascii="宋体" w:hAnsi="宋体" w:cs="宋体"/>
                <w:b/>
                <w:kern w:val="0"/>
                <w:szCs w:val="21"/>
              </w:rPr>
              <w:t>化学安全</w:t>
            </w:r>
          </w:p>
        </w:tc>
      </w:tr>
      <w:tr w14:paraId="23914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50448B19">
            <w:pPr>
              <w:widowControl/>
              <w:rPr>
                <w:rFonts w:ascii="宋体" w:hAnsi="宋体" w:cs="宋体"/>
                <w:kern w:val="0"/>
                <w:szCs w:val="21"/>
              </w:rPr>
            </w:pPr>
            <w:r>
              <w:rPr>
                <w:rFonts w:hint="eastAsia" w:ascii="宋体" w:hAnsi="宋体" w:cs="宋体"/>
                <w:b/>
                <w:bCs/>
                <w:kern w:val="0"/>
                <w:szCs w:val="21"/>
              </w:rPr>
              <w:t>9.1</w:t>
            </w:r>
          </w:p>
        </w:tc>
        <w:tc>
          <w:tcPr>
            <w:tcW w:w="8279" w:type="dxa"/>
            <w:gridSpan w:val="3"/>
            <w:noWrap/>
            <w:tcMar>
              <w:left w:w="45" w:type="dxa"/>
              <w:right w:w="45" w:type="dxa"/>
            </w:tcMar>
            <w:vAlign w:val="center"/>
          </w:tcPr>
          <w:p w14:paraId="23E4BF34">
            <w:pPr>
              <w:widowControl/>
              <w:rPr>
                <w:rFonts w:ascii="宋体" w:hAnsi="宋体" w:cs="宋体"/>
                <w:b/>
                <w:kern w:val="0"/>
                <w:szCs w:val="21"/>
              </w:rPr>
            </w:pPr>
            <w:r>
              <w:rPr>
                <w:rFonts w:hint="eastAsia" w:ascii="宋体" w:hAnsi="宋体" w:cs="宋体"/>
                <w:b/>
                <w:kern w:val="0"/>
                <w:szCs w:val="21"/>
              </w:rPr>
              <w:t>危险化学品储存区</w:t>
            </w:r>
          </w:p>
        </w:tc>
      </w:tr>
      <w:tr w14:paraId="0ACAE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2AE6EAEA">
            <w:pPr>
              <w:widowControl/>
              <w:rPr>
                <w:rFonts w:ascii="宋体" w:hAnsi="宋体" w:cs="宋体"/>
                <w:kern w:val="0"/>
                <w:szCs w:val="21"/>
              </w:rPr>
            </w:pPr>
            <w:r>
              <w:rPr>
                <w:rFonts w:hint="eastAsia" w:ascii="宋体" w:hAnsi="宋体" w:cs="宋体"/>
                <w:kern w:val="0"/>
                <w:szCs w:val="21"/>
              </w:rPr>
              <w:t>9.1.1</w:t>
            </w:r>
          </w:p>
        </w:tc>
        <w:tc>
          <w:tcPr>
            <w:tcW w:w="1721" w:type="dxa"/>
            <w:noWrap/>
            <w:tcMar>
              <w:left w:w="45" w:type="dxa"/>
              <w:right w:w="45" w:type="dxa"/>
            </w:tcMar>
            <w:vAlign w:val="center"/>
          </w:tcPr>
          <w:p w14:paraId="53BA47EE">
            <w:pPr>
              <w:widowControl/>
              <w:rPr>
                <w:rFonts w:ascii="宋体" w:hAnsi="宋体" w:cs="宋体"/>
                <w:kern w:val="0"/>
                <w:szCs w:val="21"/>
              </w:rPr>
            </w:pPr>
            <w:r>
              <w:rPr>
                <w:rFonts w:hint="eastAsia" w:ascii="宋体" w:hAnsi="宋体" w:cs="宋体"/>
                <w:kern w:val="0"/>
                <w:szCs w:val="21"/>
              </w:rPr>
              <w:t>学校建有危险化学品储存区并规范管理</w:t>
            </w:r>
          </w:p>
        </w:tc>
        <w:tc>
          <w:tcPr>
            <w:tcW w:w="5567" w:type="dxa"/>
            <w:noWrap/>
            <w:tcMar>
              <w:left w:w="45" w:type="dxa"/>
              <w:right w:w="45" w:type="dxa"/>
            </w:tcMar>
            <w:vAlign w:val="center"/>
          </w:tcPr>
          <w:p w14:paraId="4DF15188">
            <w:pPr>
              <w:widowControl/>
              <w:rPr>
                <w:rFonts w:ascii="宋体" w:hAnsi="宋体" w:cs="宋体"/>
                <w:kern w:val="0"/>
                <w:szCs w:val="21"/>
              </w:rPr>
            </w:pPr>
            <w:r>
              <w:rPr>
                <w:rFonts w:hint="eastAsia" w:ascii="宋体" w:hAnsi="宋体" w:cs="宋体"/>
                <w:kern w:val="0"/>
                <w:szCs w:val="21"/>
              </w:rPr>
              <w:t>（115）危险化学品储存区须有通风、隔热、避光、防盗、防爆、防静电、泄漏报警、应急喷淋、安全警示标识等措施，符合相关规定，专人管理。</w:t>
            </w:r>
          </w:p>
          <w:p w14:paraId="7F6A7949">
            <w:pPr>
              <w:widowControl/>
              <w:rPr>
                <w:rFonts w:ascii="宋体" w:hAnsi="宋体" w:cs="宋体"/>
                <w:szCs w:val="21"/>
              </w:rPr>
            </w:pPr>
            <w:r>
              <w:rPr>
                <w:rFonts w:hint="eastAsia" w:ascii="宋体" w:hAnsi="宋体" w:cs="宋体"/>
                <w:kern w:val="0"/>
                <w:szCs w:val="21"/>
              </w:rPr>
              <w:t>（116）危险化学品储存区的消防</w:t>
            </w:r>
            <w:r>
              <w:rPr>
                <w:rFonts w:hint="eastAsia" w:ascii="宋体" w:hAnsi="宋体" w:cs="宋体"/>
                <w:szCs w:val="21"/>
              </w:rPr>
              <w:t>设施符合国家相关规定，正确配备灭火器材（如灭火器、灭火毯、砂箱、自动喷淋等）。</w:t>
            </w:r>
          </w:p>
          <w:p w14:paraId="18E7D72A">
            <w:pPr>
              <w:widowControl/>
              <w:rPr>
                <w:rFonts w:ascii="宋体" w:hAnsi="宋体" w:cs="宋体"/>
                <w:kern w:val="0"/>
                <w:szCs w:val="21"/>
              </w:rPr>
            </w:pPr>
            <w:r>
              <w:rPr>
                <w:rFonts w:hint="eastAsia" w:ascii="宋体" w:hAnsi="宋体" w:cs="宋体"/>
                <w:szCs w:val="21"/>
              </w:rPr>
              <w:t>（117）</w:t>
            </w:r>
            <w:r>
              <w:rPr>
                <w:rFonts w:hint="eastAsia" w:ascii="宋体" w:hAnsi="宋体" w:cs="宋体"/>
                <w:kern w:val="0"/>
                <w:szCs w:val="21"/>
              </w:rPr>
              <w:t>危险化学品储存区不能建设在地下或半地下，不得建设在实验楼内。若只能在实验楼内存放，则应按照实验室的标准要求管理（见“9.3实验室化学品的存放”）。</w:t>
            </w:r>
          </w:p>
          <w:p w14:paraId="76E6FFA4">
            <w:pPr>
              <w:widowControl/>
              <w:rPr>
                <w:rFonts w:ascii="宋体" w:hAnsi="宋体" w:cs="宋体"/>
                <w:kern w:val="0"/>
                <w:szCs w:val="21"/>
              </w:rPr>
            </w:pPr>
            <w:r>
              <w:rPr>
                <w:rFonts w:hint="eastAsia" w:ascii="宋体" w:hAnsi="宋体" w:cs="宋体"/>
                <w:kern w:val="0"/>
                <w:szCs w:val="21"/>
              </w:rPr>
              <w:t>（118）危险化学品储存区的试剂不混放，整箱试剂的叠加高度不大于1.5m</w:t>
            </w:r>
          </w:p>
        </w:tc>
        <w:tc>
          <w:tcPr>
            <w:tcW w:w="991" w:type="dxa"/>
            <w:noWrap/>
            <w:tcMar>
              <w:left w:w="45" w:type="dxa"/>
              <w:right w:w="45" w:type="dxa"/>
            </w:tcMar>
            <w:vAlign w:val="center"/>
          </w:tcPr>
          <w:p w14:paraId="6A102E27">
            <w:pPr>
              <w:widowControl/>
              <w:rPr>
                <w:rFonts w:ascii="宋体" w:hAnsi="宋体" w:cs="宋体"/>
                <w:bCs/>
                <w:kern w:val="0"/>
                <w:szCs w:val="21"/>
              </w:rPr>
            </w:pPr>
          </w:p>
        </w:tc>
      </w:tr>
      <w:tr w14:paraId="2C0B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435708FA">
            <w:pPr>
              <w:widowControl/>
              <w:rPr>
                <w:rFonts w:ascii="宋体" w:hAnsi="宋体" w:cs="宋体"/>
                <w:b/>
                <w:kern w:val="0"/>
                <w:szCs w:val="21"/>
              </w:rPr>
            </w:pPr>
            <w:r>
              <w:rPr>
                <w:rFonts w:hint="eastAsia" w:ascii="宋体" w:hAnsi="宋体" w:cs="宋体"/>
                <w:b/>
                <w:kern w:val="0"/>
                <w:szCs w:val="21"/>
              </w:rPr>
              <w:t>9.2</w:t>
            </w:r>
          </w:p>
        </w:tc>
        <w:tc>
          <w:tcPr>
            <w:tcW w:w="8279" w:type="dxa"/>
            <w:gridSpan w:val="3"/>
            <w:noWrap/>
            <w:tcMar>
              <w:left w:w="45" w:type="dxa"/>
              <w:right w:w="45" w:type="dxa"/>
            </w:tcMar>
            <w:vAlign w:val="center"/>
          </w:tcPr>
          <w:p w14:paraId="00A2E52F">
            <w:pPr>
              <w:widowControl/>
              <w:rPr>
                <w:rFonts w:ascii="宋体" w:hAnsi="宋体" w:cs="宋体"/>
                <w:b/>
                <w:bCs/>
                <w:kern w:val="0"/>
                <w:szCs w:val="21"/>
              </w:rPr>
            </w:pPr>
            <w:r>
              <w:rPr>
                <w:rFonts w:hint="eastAsia" w:ascii="宋体" w:hAnsi="宋体" w:cs="宋体"/>
                <w:b/>
                <w:bCs/>
                <w:kern w:val="0"/>
                <w:szCs w:val="21"/>
              </w:rPr>
              <w:t>危险化学品购置</w:t>
            </w:r>
          </w:p>
        </w:tc>
      </w:tr>
      <w:tr w14:paraId="6B72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76823CB9">
            <w:pPr>
              <w:widowControl/>
              <w:rPr>
                <w:rFonts w:ascii="宋体" w:hAnsi="宋体" w:cs="宋体"/>
                <w:kern w:val="0"/>
                <w:szCs w:val="21"/>
              </w:rPr>
            </w:pPr>
            <w:r>
              <w:rPr>
                <w:rFonts w:hint="eastAsia" w:ascii="宋体" w:hAnsi="宋体" w:cs="宋体"/>
                <w:kern w:val="0"/>
                <w:szCs w:val="21"/>
              </w:rPr>
              <w:t>9.2.1</w:t>
            </w:r>
          </w:p>
        </w:tc>
        <w:tc>
          <w:tcPr>
            <w:tcW w:w="1721" w:type="dxa"/>
            <w:noWrap/>
            <w:tcMar>
              <w:left w:w="45" w:type="dxa"/>
              <w:right w:w="45" w:type="dxa"/>
            </w:tcMar>
            <w:vAlign w:val="center"/>
          </w:tcPr>
          <w:p w14:paraId="3394FE7D">
            <w:pPr>
              <w:rPr>
                <w:rFonts w:ascii="宋体" w:hAnsi="宋体" w:cs="宋体"/>
                <w:kern w:val="0"/>
                <w:szCs w:val="21"/>
              </w:rPr>
            </w:pPr>
            <w:r>
              <w:rPr>
                <w:rFonts w:hint="eastAsia" w:ascii="宋体" w:hAnsi="宋体" w:cs="宋体"/>
                <w:kern w:val="0"/>
                <w:szCs w:val="21"/>
              </w:rPr>
              <w:t>危险化学品采购须符合要求</w:t>
            </w:r>
          </w:p>
        </w:tc>
        <w:tc>
          <w:tcPr>
            <w:tcW w:w="5567" w:type="dxa"/>
            <w:noWrap/>
            <w:tcMar>
              <w:left w:w="45" w:type="dxa"/>
              <w:right w:w="45" w:type="dxa"/>
            </w:tcMar>
            <w:vAlign w:val="center"/>
          </w:tcPr>
          <w:p w14:paraId="09C3374A">
            <w:pPr>
              <w:rPr>
                <w:rFonts w:ascii="宋体" w:hAnsi="宋体" w:cs="宋体"/>
                <w:kern w:val="0"/>
                <w:szCs w:val="21"/>
              </w:rPr>
            </w:pPr>
            <w:r>
              <w:rPr>
                <w:rFonts w:hint="eastAsia" w:ascii="宋体" w:hAnsi="宋体" w:cs="宋体"/>
                <w:kern w:val="0"/>
                <w:szCs w:val="21"/>
              </w:rPr>
              <w:t>（119）危险化学品须向具有生产经营许可资质的单位购买，查看相关供应商的经营许可资质证书复印件。进口危险化学品应当向国务院安全生产监督管理部门负责危险化学品登记的机构办理危险化学品登记</w:t>
            </w:r>
          </w:p>
        </w:tc>
        <w:tc>
          <w:tcPr>
            <w:tcW w:w="991" w:type="dxa"/>
            <w:noWrap/>
            <w:tcMar>
              <w:left w:w="45" w:type="dxa"/>
              <w:right w:w="45" w:type="dxa"/>
            </w:tcMar>
            <w:vAlign w:val="center"/>
          </w:tcPr>
          <w:p w14:paraId="3A4E5DDD">
            <w:pPr>
              <w:rPr>
                <w:rFonts w:ascii="宋体" w:hAnsi="宋体" w:cs="宋体"/>
                <w:szCs w:val="21"/>
              </w:rPr>
            </w:pPr>
          </w:p>
        </w:tc>
      </w:tr>
      <w:tr w14:paraId="705E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76BD1A6F">
            <w:pPr>
              <w:widowControl/>
              <w:rPr>
                <w:rFonts w:ascii="宋体" w:hAnsi="宋体" w:cs="宋体"/>
                <w:kern w:val="0"/>
                <w:szCs w:val="21"/>
              </w:rPr>
            </w:pPr>
            <w:r>
              <w:rPr>
                <w:rFonts w:hint="eastAsia" w:ascii="宋体" w:hAnsi="宋体" w:cs="宋体"/>
                <w:kern w:val="0"/>
                <w:szCs w:val="21"/>
              </w:rPr>
              <w:t>9.2.2</w:t>
            </w:r>
          </w:p>
        </w:tc>
        <w:tc>
          <w:tcPr>
            <w:tcW w:w="1721" w:type="dxa"/>
            <w:noWrap/>
            <w:tcMar>
              <w:left w:w="45" w:type="dxa"/>
              <w:right w:w="45" w:type="dxa"/>
            </w:tcMar>
            <w:vAlign w:val="center"/>
          </w:tcPr>
          <w:p w14:paraId="7F19FDC1">
            <w:pPr>
              <w:rPr>
                <w:rFonts w:ascii="宋体" w:hAnsi="宋体" w:cs="宋体"/>
                <w:kern w:val="0"/>
                <w:szCs w:val="21"/>
              </w:rPr>
            </w:pPr>
            <w:r>
              <w:rPr>
                <w:rFonts w:hint="eastAsia" w:ascii="宋体" w:hAnsi="宋体" w:cs="宋体"/>
                <w:kern w:val="0"/>
                <w:szCs w:val="21"/>
              </w:rPr>
              <w:t>剧毒品、易制爆品、易制毒品、爆炸品的购买程序合规</w:t>
            </w:r>
          </w:p>
        </w:tc>
        <w:tc>
          <w:tcPr>
            <w:tcW w:w="5567" w:type="dxa"/>
            <w:noWrap/>
            <w:tcMar>
              <w:left w:w="45" w:type="dxa"/>
              <w:right w:w="45" w:type="dxa"/>
            </w:tcMar>
            <w:vAlign w:val="center"/>
          </w:tcPr>
          <w:p w14:paraId="7D5B7198">
            <w:pPr>
              <w:rPr>
                <w:rFonts w:ascii="宋体" w:hAnsi="宋体" w:cs="宋体"/>
                <w:kern w:val="0"/>
                <w:szCs w:val="21"/>
              </w:rPr>
            </w:pPr>
            <w:r>
              <w:rPr>
                <w:rFonts w:hint="eastAsia" w:ascii="宋体" w:hAnsi="宋体" w:cs="宋体"/>
                <w:kern w:val="0"/>
                <w:szCs w:val="21"/>
              </w:rPr>
              <w:t>（120）购买前须经学校审批，报公安机关批准或备案后，向具有经营许可资质的单位购买，并保留报批及审批记录。</w:t>
            </w:r>
          </w:p>
          <w:p w14:paraId="67A593FB">
            <w:pPr>
              <w:rPr>
                <w:rFonts w:ascii="宋体" w:hAnsi="宋体" w:cs="宋体"/>
                <w:kern w:val="0"/>
                <w:szCs w:val="21"/>
              </w:rPr>
            </w:pPr>
            <w:r>
              <w:rPr>
                <w:rFonts w:hint="eastAsia" w:ascii="宋体" w:hAnsi="宋体" w:cs="宋体"/>
                <w:kern w:val="0"/>
                <w:szCs w:val="21"/>
              </w:rPr>
              <w:t>（121）建立购买、验收、使用等台账资料。</w:t>
            </w:r>
          </w:p>
          <w:p w14:paraId="1B69932C">
            <w:pPr>
              <w:rPr>
                <w:rFonts w:ascii="宋体" w:hAnsi="宋体" w:cs="宋体"/>
                <w:b/>
                <w:bCs/>
                <w:kern w:val="0"/>
                <w:szCs w:val="21"/>
              </w:rPr>
            </w:pPr>
            <w:r>
              <w:rPr>
                <w:rFonts w:hint="eastAsia" w:ascii="宋体" w:hAnsi="宋体" w:cs="宋体"/>
                <w:kern w:val="0"/>
                <w:szCs w:val="21"/>
              </w:rPr>
              <w:t>（122）不得私自从外单位获取管制类化学品，也不得给外单位或个人提供管制化学品</w:t>
            </w:r>
          </w:p>
        </w:tc>
        <w:tc>
          <w:tcPr>
            <w:tcW w:w="991" w:type="dxa"/>
            <w:noWrap/>
            <w:tcMar>
              <w:left w:w="45" w:type="dxa"/>
              <w:right w:w="45" w:type="dxa"/>
            </w:tcMar>
            <w:vAlign w:val="center"/>
          </w:tcPr>
          <w:p w14:paraId="7102780A">
            <w:pPr>
              <w:widowControl/>
              <w:rPr>
                <w:rFonts w:ascii="宋体" w:hAnsi="宋体" w:cs="宋体"/>
                <w:bCs/>
                <w:kern w:val="0"/>
                <w:szCs w:val="21"/>
              </w:rPr>
            </w:pPr>
          </w:p>
        </w:tc>
      </w:tr>
      <w:tr w14:paraId="326B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03E99B43">
            <w:pPr>
              <w:widowControl/>
              <w:rPr>
                <w:rFonts w:ascii="宋体" w:hAnsi="宋体" w:cs="宋体"/>
                <w:kern w:val="0"/>
                <w:szCs w:val="21"/>
              </w:rPr>
            </w:pPr>
            <w:r>
              <w:rPr>
                <w:rFonts w:hint="eastAsia" w:ascii="宋体" w:hAnsi="宋体" w:cs="宋体"/>
                <w:kern w:val="0"/>
                <w:szCs w:val="21"/>
              </w:rPr>
              <w:t>9.2.3</w:t>
            </w:r>
          </w:p>
        </w:tc>
        <w:tc>
          <w:tcPr>
            <w:tcW w:w="1721" w:type="dxa"/>
            <w:noWrap/>
            <w:tcMar>
              <w:left w:w="45" w:type="dxa"/>
              <w:right w:w="45" w:type="dxa"/>
            </w:tcMar>
            <w:vAlign w:val="center"/>
          </w:tcPr>
          <w:p w14:paraId="260FE17C">
            <w:pPr>
              <w:rPr>
                <w:rFonts w:ascii="宋体" w:hAnsi="宋体" w:cs="宋体"/>
                <w:kern w:val="0"/>
                <w:szCs w:val="21"/>
              </w:rPr>
            </w:pPr>
            <w:r>
              <w:rPr>
                <w:rFonts w:hint="eastAsia" w:ascii="宋体" w:hAnsi="宋体" w:cs="宋体"/>
                <w:kern w:val="0"/>
                <w:szCs w:val="21"/>
              </w:rPr>
              <w:t>麻醉药品、精神药品等购买前须向食品药品监督管理部门申请</w:t>
            </w:r>
          </w:p>
        </w:tc>
        <w:tc>
          <w:tcPr>
            <w:tcW w:w="5567" w:type="dxa"/>
            <w:noWrap/>
            <w:tcMar>
              <w:left w:w="45" w:type="dxa"/>
              <w:right w:w="45" w:type="dxa"/>
            </w:tcMar>
            <w:vAlign w:val="center"/>
          </w:tcPr>
          <w:p w14:paraId="36185DC6">
            <w:pPr>
              <w:rPr>
                <w:rFonts w:ascii="宋体" w:hAnsi="宋体" w:cs="宋体"/>
                <w:b/>
                <w:bCs/>
                <w:kern w:val="0"/>
                <w:szCs w:val="21"/>
              </w:rPr>
            </w:pPr>
            <w:r>
              <w:rPr>
                <w:rFonts w:hint="eastAsia" w:ascii="宋体" w:hAnsi="宋体" w:cs="宋体"/>
                <w:kern w:val="0"/>
                <w:szCs w:val="21"/>
              </w:rPr>
              <w:t>（123）报批同意后向定点供应商或者定点生产企业采购</w:t>
            </w:r>
          </w:p>
        </w:tc>
        <w:tc>
          <w:tcPr>
            <w:tcW w:w="991" w:type="dxa"/>
            <w:noWrap/>
            <w:tcMar>
              <w:left w:w="45" w:type="dxa"/>
              <w:right w:w="45" w:type="dxa"/>
            </w:tcMar>
            <w:vAlign w:val="center"/>
          </w:tcPr>
          <w:p w14:paraId="28C4603C">
            <w:pPr>
              <w:widowControl/>
              <w:rPr>
                <w:rFonts w:ascii="宋体" w:hAnsi="宋体" w:cs="宋体"/>
                <w:bCs/>
                <w:kern w:val="0"/>
                <w:szCs w:val="21"/>
              </w:rPr>
            </w:pPr>
          </w:p>
        </w:tc>
      </w:tr>
      <w:tr w14:paraId="2FE2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7AF48C45">
            <w:pPr>
              <w:widowControl/>
              <w:rPr>
                <w:rFonts w:ascii="宋体" w:hAnsi="宋体" w:cs="宋体"/>
                <w:kern w:val="0"/>
                <w:szCs w:val="21"/>
              </w:rPr>
            </w:pPr>
            <w:r>
              <w:rPr>
                <w:rFonts w:hint="eastAsia" w:ascii="宋体" w:hAnsi="宋体" w:cs="宋体"/>
                <w:kern w:val="0"/>
                <w:szCs w:val="21"/>
              </w:rPr>
              <w:t>9.2.4</w:t>
            </w:r>
          </w:p>
        </w:tc>
        <w:tc>
          <w:tcPr>
            <w:tcW w:w="1721" w:type="dxa"/>
            <w:noWrap/>
            <w:tcMar>
              <w:left w:w="45" w:type="dxa"/>
              <w:right w:w="45" w:type="dxa"/>
            </w:tcMar>
            <w:vAlign w:val="center"/>
          </w:tcPr>
          <w:p w14:paraId="6FB8CFF1">
            <w:pPr>
              <w:autoSpaceDE w:val="0"/>
              <w:autoSpaceDN w:val="0"/>
              <w:adjustRightInd w:val="0"/>
              <w:rPr>
                <w:rFonts w:ascii="宋体" w:hAnsi="宋体" w:cs="宋体"/>
                <w:kern w:val="0"/>
                <w:szCs w:val="21"/>
              </w:rPr>
            </w:pPr>
            <w:r>
              <w:rPr>
                <w:rFonts w:hint="eastAsia" w:ascii="宋体" w:hAnsi="宋体" w:cs="宋体"/>
                <w:kern w:val="0"/>
                <w:szCs w:val="21"/>
              </w:rPr>
              <w:t>校内危险化学品的运输安全</w:t>
            </w:r>
          </w:p>
        </w:tc>
        <w:tc>
          <w:tcPr>
            <w:tcW w:w="5567" w:type="dxa"/>
            <w:noWrap/>
            <w:tcMar>
              <w:left w:w="45" w:type="dxa"/>
              <w:right w:w="45" w:type="dxa"/>
            </w:tcMar>
            <w:vAlign w:val="center"/>
          </w:tcPr>
          <w:p w14:paraId="4DAAAF63">
            <w:pPr>
              <w:widowControl/>
              <w:rPr>
                <w:rFonts w:ascii="宋体" w:hAnsi="宋体" w:cs="宋体"/>
                <w:kern w:val="0"/>
                <w:szCs w:val="21"/>
              </w:rPr>
            </w:pPr>
            <w:r>
              <w:rPr>
                <w:rFonts w:hint="eastAsia" w:ascii="宋体" w:hAnsi="宋体" w:cs="宋体"/>
                <w:kern w:val="0"/>
                <w:szCs w:val="21"/>
              </w:rPr>
              <w:t>（124）现场抽查，校园内的运输车辆、运送人员、送货方式等符合相关规范</w:t>
            </w:r>
          </w:p>
        </w:tc>
        <w:tc>
          <w:tcPr>
            <w:tcW w:w="991" w:type="dxa"/>
            <w:noWrap/>
            <w:tcMar>
              <w:left w:w="45" w:type="dxa"/>
              <w:right w:w="45" w:type="dxa"/>
            </w:tcMar>
            <w:vAlign w:val="center"/>
          </w:tcPr>
          <w:p w14:paraId="18BF23D6">
            <w:pPr>
              <w:widowControl/>
              <w:rPr>
                <w:rFonts w:ascii="宋体" w:hAnsi="宋体" w:cs="宋体"/>
                <w:bCs/>
                <w:kern w:val="0"/>
                <w:szCs w:val="21"/>
              </w:rPr>
            </w:pPr>
          </w:p>
        </w:tc>
      </w:tr>
      <w:tr w14:paraId="005AA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15CE6434">
            <w:pPr>
              <w:widowControl/>
              <w:rPr>
                <w:rFonts w:ascii="宋体" w:hAnsi="宋体" w:cs="宋体"/>
                <w:b/>
                <w:kern w:val="0"/>
                <w:szCs w:val="21"/>
              </w:rPr>
            </w:pPr>
            <w:r>
              <w:rPr>
                <w:rFonts w:hint="eastAsia" w:ascii="宋体" w:hAnsi="宋体" w:cs="宋体"/>
                <w:b/>
                <w:kern w:val="0"/>
                <w:szCs w:val="21"/>
              </w:rPr>
              <w:t>9.3</w:t>
            </w:r>
          </w:p>
        </w:tc>
        <w:tc>
          <w:tcPr>
            <w:tcW w:w="8279" w:type="dxa"/>
            <w:gridSpan w:val="3"/>
            <w:noWrap/>
            <w:tcMar>
              <w:left w:w="45" w:type="dxa"/>
              <w:right w:w="45" w:type="dxa"/>
            </w:tcMar>
            <w:vAlign w:val="center"/>
          </w:tcPr>
          <w:p w14:paraId="6B0A1226">
            <w:pPr>
              <w:widowControl/>
              <w:rPr>
                <w:rFonts w:ascii="宋体" w:hAnsi="宋体" w:cs="宋体"/>
                <w:b/>
                <w:kern w:val="0"/>
                <w:szCs w:val="21"/>
              </w:rPr>
            </w:pPr>
            <w:r>
              <w:rPr>
                <w:rFonts w:hint="eastAsia" w:ascii="宋体" w:hAnsi="宋体" w:cs="宋体"/>
                <w:b/>
                <w:kern w:val="0"/>
                <w:szCs w:val="21"/>
              </w:rPr>
              <w:t>实验室化学品存放</w:t>
            </w:r>
          </w:p>
        </w:tc>
      </w:tr>
      <w:tr w14:paraId="2BB58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02F4C83E">
            <w:pPr>
              <w:widowControl/>
              <w:rPr>
                <w:rFonts w:ascii="宋体" w:hAnsi="宋体" w:cs="宋体"/>
                <w:kern w:val="0"/>
                <w:szCs w:val="21"/>
              </w:rPr>
            </w:pPr>
            <w:r>
              <w:rPr>
                <w:rFonts w:hint="eastAsia" w:ascii="宋体" w:hAnsi="宋体" w:cs="宋体"/>
                <w:kern w:val="0"/>
                <w:szCs w:val="21"/>
              </w:rPr>
              <w:t>9.3.1</w:t>
            </w:r>
          </w:p>
        </w:tc>
        <w:tc>
          <w:tcPr>
            <w:tcW w:w="1721" w:type="dxa"/>
            <w:noWrap/>
            <w:tcMar>
              <w:left w:w="45" w:type="dxa"/>
              <w:right w:w="45" w:type="dxa"/>
            </w:tcMar>
            <w:vAlign w:val="center"/>
          </w:tcPr>
          <w:p w14:paraId="18691949">
            <w:pPr>
              <w:widowControl/>
              <w:rPr>
                <w:rFonts w:ascii="宋体" w:hAnsi="宋体" w:cs="宋体"/>
                <w:b/>
                <w:kern w:val="0"/>
                <w:szCs w:val="21"/>
              </w:rPr>
            </w:pPr>
            <w:r>
              <w:rPr>
                <w:rFonts w:hint="eastAsia" w:ascii="宋体" w:hAnsi="宋体" w:cs="宋体"/>
                <w:kern w:val="0"/>
                <w:szCs w:val="21"/>
              </w:rPr>
              <w:t>实验室内危险化学品建有动态台账</w:t>
            </w:r>
          </w:p>
        </w:tc>
        <w:tc>
          <w:tcPr>
            <w:tcW w:w="5567" w:type="dxa"/>
            <w:noWrap/>
            <w:tcMar>
              <w:left w:w="45" w:type="dxa"/>
              <w:right w:w="45" w:type="dxa"/>
            </w:tcMar>
            <w:vAlign w:val="center"/>
          </w:tcPr>
          <w:p w14:paraId="2BB957D0">
            <w:pPr>
              <w:widowControl/>
              <w:rPr>
                <w:rFonts w:ascii="宋体" w:hAnsi="宋体" w:cs="宋体"/>
                <w:kern w:val="0"/>
                <w:szCs w:val="21"/>
              </w:rPr>
            </w:pPr>
            <w:r>
              <w:rPr>
                <w:rFonts w:hint="eastAsia" w:ascii="宋体" w:hAnsi="宋体" w:cs="宋体"/>
                <w:kern w:val="0"/>
                <w:szCs w:val="21"/>
              </w:rPr>
              <w:t>（125）建立实验室危险化学品动态台账，并有危险化学品安全技术说明书（SDS）或安全周知卡，方便查阅。</w:t>
            </w:r>
          </w:p>
          <w:p w14:paraId="3F44CCF2">
            <w:pPr>
              <w:widowControl/>
              <w:rPr>
                <w:rFonts w:ascii="宋体" w:hAnsi="宋体" w:cs="宋体"/>
                <w:bCs/>
                <w:kern w:val="0"/>
                <w:szCs w:val="21"/>
              </w:rPr>
            </w:pPr>
            <w:r>
              <w:rPr>
                <w:rFonts w:hint="eastAsia" w:ascii="宋体" w:hAnsi="宋体" w:cs="宋体"/>
                <w:kern w:val="0"/>
                <w:szCs w:val="21"/>
              </w:rPr>
              <w:t>（126）定期清理废旧试剂，无累积现象</w:t>
            </w:r>
          </w:p>
        </w:tc>
        <w:tc>
          <w:tcPr>
            <w:tcW w:w="991" w:type="dxa"/>
            <w:noWrap/>
            <w:tcMar>
              <w:left w:w="45" w:type="dxa"/>
              <w:right w:w="45" w:type="dxa"/>
            </w:tcMar>
            <w:vAlign w:val="center"/>
          </w:tcPr>
          <w:p w14:paraId="678AE833">
            <w:pPr>
              <w:rPr>
                <w:rFonts w:ascii="宋体" w:hAnsi="宋体" w:cs="宋体"/>
                <w:szCs w:val="21"/>
              </w:rPr>
            </w:pPr>
          </w:p>
        </w:tc>
      </w:tr>
      <w:tr w14:paraId="29C9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0892D559">
            <w:pPr>
              <w:widowControl/>
              <w:rPr>
                <w:rFonts w:ascii="宋体" w:hAnsi="宋体" w:cs="宋体"/>
                <w:kern w:val="0"/>
                <w:szCs w:val="21"/>
              </w:rPr>
            </w:pPr>
            <w:r>
              <w:rPr>
                <w:rFonts w:hint="eastAsia" w:ascii="宋体" w:hAnsi="宋体" w:cs="宋体"/>
                <w:kern w:val="0"/>
                <w:szCs w:val="21"/>
              </w:rPr>
              <w:t>9.3.2</w:t>
            </w:r>
          </w:p>
        </w:tc>
        <w:tc>
          <w:tcPr>
            <w:tcW w:w="1721" w:type="dxa"/>
            <w:noWrap/>
            <w:tcMar>
              <w:left w:w="45" w:type="dxa"/>
              <w:right w:w="45" w:type="dxa"/>
            </w:tcMar>
            <w:vAlign w:val="center"/>
          </w:tcPr>
          <w:p w14:paraId="01097B08">
            <w:pPr>
              <w:widowControl/>
              <w:rPr>
                <w:rFonts w:ascii="宋体" w:hAnsi="宋体" w:cs="宋体"/>
                <w:szCs w:val="21"/>
              </w:rPr>
            </w:pPr>
            <w:r>
              <w:rPr>
                <w:rFonts w:hint="eastAsia" w:ascii="宋体" w:hAnsi="宋体" w:cs="宋体"/>
                <w:szCs w:val="21"/>
              </w:rPr>
              <w:t>化学品有专用存放空间并科学有序存放</w:t>
            </w:r>
          </w:p>
        </w:tc>
        <w:tc>
          <w:tcPr>
            <w:tcW w:w="5567" w:type="dxa"/>
            <w:noWrap/>
            <w:tcMar>
              <w:left w:w="45" w:type="dxa"/>
              <w:right w:w="45" w:type="dxa"/>
            </w:tcMar>
            <w:vAlign w:val="center"/>
          </w:tcPr>
          <w:p w14:paraId="697735FD">
            <w:pPr>
              <w:widowControl/>
              <w:rPr>
                <w:rFonts w:ascii="宋体" w:hAnsi="宋体" w:cs="宋体"/>
                <w:kern w:val="0"/>
                <w:szCs w:val="21"/>
              </w:rPr>
            </w:pPr>
            <w:r>
              <w:rPr>
                <w:rFonts w:hint="eastAsia" w:ascii="宋体" w:hAnsi="宋体" w:cs="宋体"/>
                <w:szCs w:val="21"/>
              </w:rPr>
              <w:t>（127）储藏室、储藏区、储存柜等</w:t>
            </w:r>
            <w:r>
              <w:rPr>
                <w:rFonts w:hint="eastAsia" w:ascii="宋体" w:hAnsi="宋体" w:cs="宋体"/>
                <w:bCs/>
                <w:kern w:val="0"/>
                <w:szCs w:val="21"/>
              </w:rPr>
              <w:t>应</w:t>
            </w:r>
            <w:r>
              <w:rPr>
                <w:rFonts w:hint="eastAsia" w:ascii="宋体" w:hAnsi="宋体" w:cs="宋体"/>
                <w:kern w:val="0"/>
                <w:szCs w:val="21"/>
              </w:rPr>
              <w:t>通风、隔热、避免阳光直射。</w:t>
            </w:r>
          </w:p>
          <w:p w14:paraId="53C2BC54">
            <w:pPr>
              <w:widowControl/>
              <w:rPr>
                <w:rFonts w:ascii="宋体" w:hAnsi="宋体" w:cs="宋体"/>
                <w:kern w:val="0"/>
                <w:szCs w:val="21"/>
              </w:rPr>
            </w:pPr>
            <w:r>
              <w:rPr>
                <w:rFonts w:hint="eastAsia" w:ascii="宋体" w:hAnsi="宋体" w:cs="宋体"/>
                <w:kern w:val="0"/>
                <w:szCs w:val="21"/>
              </w:rPr>
              <w:t>（128）易泄漏、易挥发的试剂存放设备与地点应保证充足的通风。</w:t>
            </w:r>
          </w:p>
          <w:p w14:paraId="67094CE1">
            <w:pPr>
              <w:widowControl/>
              <w:rPr>
                <w:rFonts w:ascii="宋体" w:hAnsi="宋体" w:cs="宋体"/>
                <w:kern w:val="0"/>
                <w:szCs w:val="21"/>
              </w:rPr>
            </w:pPr>
            <w:r>
              <w:rPr>
                <w:rFonts w:hint="eastAsia" w:ascii="宋体" w:hAnsi="宋体" w:cs="宋体"/>
                <w:kern w:val="0"/>
                <w:szCs w:val="21"/>
              </w:rPr>
              <w:t>（129）试剂柜中不能有电源插座或接线板。</w:t>
            </w:r>
          </w:p>
          <w:p w14:paraId="3523C354">
            <w:pPr>
              <w:widowControl/>
              <w:rPr>
                <w:rFonts w:ascii="宋体" w:hAnsi="宋体" w:cs="宋体"/>
                <w:kern w:val="0"/>
                <w:szCs w:val="21"/>
              </w:rPr>
            </w:pPr>
            <w:r>
              <w:rPr>
                <w:rFonts w:hint="eastAsia" w:ascii="宋体" w:hAnsi="宋体" w:cs="宋体"/>
                <w:kern w:val="0"/>
                <w:szCs w:val="21"/>
              </w:rPr>
              <w:t>（130）化学品有序分类存放，固体、液体不混乱放置，互为禁忌的化学品不得混放，试剂不得叠放。有机溶剂储存区应远离热源和火源。装有试剂的试剂瓶不得开口放置。实验台架无挡板不得存放化学试剂。</w:t>
            </w:r>
          </w:p>
          <w:p w14:paraId="14D99D1D">
            <w:pPr>
              <w:widowControl/>
              <w:rPr>
                <w:rFonts w:ascii="宋体" w:hAnsi="宋体" w:cs="宋体"/>
                <w:kern w:val="0"/>
                <w:szCs w:val="21"/>
              </w:rPr>
            </w:pPr>
            <w:r>
              <w:rPr>
                <w:rFonts w:hint="eastAsia" w:ascii="宋体" w:hAnsi="宋体" w:cs="宋体"/>
                <w:kern w:val="0"/>
                <w:szCs w:val="21"/>
              </w:rPr>
              <w:t>（131）配备必要的二次泄漏防护、吸附或防溢流功能</w:t>
            </w:r>
          </w:p>
        </w:tc>
        <w:tc>
          <w:tcPr>
            <w:tcW w:w="991" w:type="dxa"/>
            <w:noWrap/>
            <w:tcMar>
              <w:left w:w="45" w:type="dxa"/>
              <w:right w:w="45" w:type="dxa"/>
            </w:tcMar>
            <w:vAlign w:val="center"/>
          </w:tcPr>
          <w:p w14:paraId="434A9A35">
            <w:pPr>
              <w:widowControl/>
              <w:rPr>
                <w:rFonts w:ascii="宋体" w:hAnsi="宋体" w:cs="宋体"/>
                <w:bCs/>
                <w:kern w:val="0"/>
                <w:szCs w:val="21"/>
              </w:rPr>
            </w:pPr>
          </w:p>
        </w:tc>
      </w:tr>
      <w:tr w14:paraId="32323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0B9817F6">
            <w:pPr>
              <w:widowControl/>
              <w:rPr>
                <w:rFonts w:ascii="宋体" w:hAnsi="宋体" w:cs="宋体"/>
                <w:kern w:val="0"/>
                <w:szCs w:val="21"/>
              </w:rPr>
            </w:pPr>
            <w:r>
              <w:rPr>
                <w:rFonts w:hint="eastAsia" w:ascii="宋体" w:hAnsi="宋体" w:cs="宋体"/>
                <w:kern w:val="0"/>
                <w:szCs w:val="21"/>
              </w:rPr>
              <w:t>9.3.3</w:t>
            </w:r>
          </w:p>
        </w:tc>
        <w:tc>
          <w:tcPr>
            <w:tcW w:w="1721" w:type="dxa"/>
            <w:noWrap/>
            <w:tcMar>
              <w:left w:w="45" w:type="dxa"/>
              <w:right w:w="45" w:type="dxa"/>
            </w:tcMar>
            <w:vAlign w:val="center"/>
          </w:tcPr>
          <w:p w14:paraId="3D8A4804">
            <w:pPr>
              <w:widowControl/>
              <w:rPr>
                <w:rFonts w:ascii="宋体" w:hAnsi="宋体" w:cs="宋体"/>
                <w:kern w:val="0"/>
                <w:szCs w:val="21"/>
              </w:rPr>
            </w:pPr>
            <w:r>
              <w:rPr>
                <w:rFonts w:hint="eastAsia" w:ascii="宋体" w:hAnsi="宋体" w:cs="宋体"/>
                <w:kern w:val="0"/>
                <w:szCs w:val="21"/>
              </w:rPr>
              <w:t>实验室内存放的危险化学品总量符合规定要求</w:t>
            </w:r>
          </w:p>
        </w:tc>
        <w:tc>
          <w:tcPr>
            <w:tcW w:w="5567" w:type="dxa"/>
            <w:noWrap/>
            <w:tcMar>
              <w:left w:w="45" w:type="dxa"/>
              <w:right w:w="45" w:type="dxa"/>
            </w:tcMar>
            <w:vAlign w:val="center"/>
          </w:tcPr>
          <w:p w14:paraId="0BD8E318">
            <w:pPr>
              <w:rPr>
                <w:rFonts w:ascii="宋体" w:hAnsi="宋体" w:cs="宋体"/>
                <w:kern w:val="0"/>
                <w:szCs w:val="21"/>
              </w:rPr>
            </w:pPr>
            <w:r>
              <w:rPr>
                <w:rFonts w:hint="eastAsia" w:ascii="宋体" w:hAnsi="宋体" w:cs="宋体"/>
                <w:kern w:val="0"/>
                <w:szCs w:val="21"/>
              </w:rPr>
              <w:t>（132）同一防火单元内，危险化学品（不含压缩气体和液化气体）原则上不应超过100L或100Kg，其中易燃易爆性化学品的存放总量不应超过50L或50Kg，且单一包装容器不应大于20L或20Kg。</w:t>
            </w:r>
          </w:p>
          <w:p w14:paraId="3EAAA04F">
            <w:pPr>
              <w:rPr>
                <w:rFonts w:ascii="宋体" w:hAnsi="宋体" w:cs="宋体"/>
                <w:kern w:val="0"/>
                <w:szCs w:val="21"/>
              </w:rPr>
            </w:pPr>
            <w:r>
              <w:rPr>
                <w:rFonts w:hint="eastAsia" w:ascii="宋体" w:hAnsi="宋体" w:cs="宋体"/>
                <w:kern w:val="0"/>
                <w:szCs w:val="21"/>
              </w:rPr>
              <w:t>（133）常年大量使用易燃易爆溶剂或气体须加装泄漏报警器，储存部位应加装常时排风或与检测报警联动排风装置</w:t>
            </w:r>
          </w:p>
        </w:tc>
        <w:tc>
          <w:tcPr>
            <w:tcW w:w="991" w:type="dxa"/>
            <w:noWrap/>
            <w:tcMar>
              <w:left w:w="45" w:type="dxa"/>
              <w:right w:w="45" w:type="dxa"/>
            </w:tcMar>
            <w:vAlign w:val="center"/>
          </w:tcPr>
          <w:p w14:paraId="671BF581">
            <w:pPr>
              <w:widowControl/>
              <w:rPr>
                <w:rFonts w:ascii="宋体" w:hAnsi="宋体" w:cs="宋体"/>
                <w:bCs/>
                <w:kern w:val="0"/>
                <w:szCs w:val="21"/>
              </w:rPr>
            </w:pPr>
          </w:p>
        </w:tc>
      </w:tr>
      <w:tr w14:paraId="44789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4A583984">
            <w:pPr>
              <w:widowControl/>
              <w:rPr>
                <w:rFonts w:ascii="宋体" w:hAnsi="宋体" w:cs="宋体"/>
                <w:kern w:val="0"/>
                <w:szCs w:val="21"/>
              </w:rPr>
            </w:pPr>
            <w:r>
              <w:rPr>
                <w:rFonts w:hint="eastAsia" w:ascii="宋体" w:hAnsi="宋体" w:cs="宋体"/>
                <w:kern w:val="0"/>
                <w:szCs w:val="21"/>
              </w:rPr>
              <w:t>9.3.4</w:t>
            </w:r>
          </w:p>
        </w:tc>
        <w:tc>
          <w:tcPr>
            <w:tcW w:w="1721" w:type="dxa"/>
            <w:noWrap/>
            <w:tcMar>
              <w:left w:w="45" w:type="dxa"/>
              <w:right w:w="45" w:type="dxa"/>
            </w:tcMar>
            <w:vAlign w:val="center"/>
          </w:tcPr>
          <w:p w14:paraId="1DDD627E">
            <w:pPr>
              <w:widowControl/>
              <w:rPr>
                <w:rFonts w:ascii="宋体" w:hAnsi="宋体" w:cs="宋体"/>
                <w:kern w:val="0"/>
                <w:szCs w:val="21"/>
              </w:rPr>
            </w:pPr>
            <w:r>
              <w:rPr>
                <w:rFonts w:hint="eastAsia" w:ascii="宋体" w:hAnsi="宋体" w:cs="宋体"/>
                <w:kern w:val="0"/>
                <w:szCs w:val="21"/>
              </w:rPr>
              <w:t>化学品标签应显著、完整、清晰</w:t>
            </w:r>
          </w:p>
        </w:tc>
        <w:tc>
          <w:tcPr>
            <w:tcW w:w="5567" w:type="dxa"/>
            <w:noWrap/>
            <w:tcMar>
              <w:left w:w="45" w:type="dxa"/>
              <w:right w:w="45" w:type="dxa"/>
            </w:tcMar>
            <w:vAlign w:val="center"/>
          </w:tcPr>
          <w:p w14:paraId="44723AC9">
            <w:pPr>
              <w:widowControl/>
              <w:rPr>
                <w:rFonts w:ascii="宋体" w:hAnsi="宋体" w:cs="宋体"/>
                <w:kern w:val="0"/>
                <w:szCs w:val="21"/>
              </w:rPr>
            </w:pPr>
            <w:r>
              <w:rPr>
                <w:rFonts w:hint="eastAsia" w:ascii="宋体" w:hAnsi="宋体" w:cs="宋体"/>
                <w:kern w:val="0"/>
                <w:szCs w:val="21"/>
              </w:rPr>
              <w:t>（134）化学品包装物上须有符合规定的化学品标签。</w:t>
            </w:r>
          </w:p>
          <w:p w14:paraId="3DD0E644">
            <w:pPr>
              <w:widowControl/>
              <w:rPr>
                <w:rFonts w:ascii="宋体" w:hAnsi="宋体" w:cs="宋体"/>
                <w:bCs/>
                <w:kern w:val="0"/>
                <w:szCs w:val="21"/>
              </w:rPr>
            </w:pPr>
            <w:r>
              <w:rPr>
                <w:rFonts w:hint="eastAsia" w:ascii="宋体" w:hAnsi="宋体" w:cs="宋体"/>
                <w:kern w:val="0"/>
                <w:szCs w:val="21"/>
              </w:rPr>
              <w:t>（135）当化学品由原包装物转移或分装到其他包装物内时，转移或分装后的包装物应及时重新粘贴标识。化学品标签脱落、</w:t>
            </w:r>
            <w:r>
              <w:rPr>
                <w:rFonts w:hint="eastAsia" w:ascii="宋体" w:hAnsi="宋体" w:cs="宋体"/>
                <w:bCs/>
                <w:kern w:val="0"/>
                <w:szCs w:val="21"/>
              </w:rPr>
              <w:t>模糊、腐蚀</w:t>
            </w:r>
            <w:r>
              <w:rPr>
                <w:rFonts w:hint="eastAsia" w:ascii="宋体" w:hAnsi="宋体" w:cs="宋体"/>
                <w:kern w:val="0"/>
                <w:szCs w:val="21"/>
              </w:rPr>
              <w:t>后应及时补上，如不能确认，则按不明废弃化学品处置</w:t>
            </w:r>
          </w:p>
        </w:tc>
        <w:tc>
          <w:tcPr>
            <w:tcW w:w="991" w:type="dxa"/>
            <w:noWrap/>
            <w:tcMar>
              <w:left w:w="45" w:type="dxa"/>
              <w:right w:w="45" w:type="dxa"/>
            </w:tcMar>
            <w:vAlign w:val="center"/>
          </w:tcPr>
          <w:p w14:paraId="06E1454F">
            <w:pPr>
              <w:widowControl/>
              <w:rPr>
                <w:rFonts w:ascii="宋体" w:hAnsi="宋体" w:cs="宋体"/>
                <w:bCs/>
                <w:kern w:val="0"/>
                <w:szCs w:val="21"/>
              </w:rPr>
            </w:pPr>
          </w:p>
        </w:tc>
      </w:tr>
      <w:tr w14:paraId="1761C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42AF442B">
            <w:pPr>
              <w:widowControl/>
              <w:rPr>
                <w:rFonts w:ascii="宋体" w:hAnsi="宋体" w:cs="宋体"/>
                <w:kern w:val="0"/>
                <w:szCs w:val="21"/>
              </w:rPr>
            </w:pPr>
            <w:r>
              <w:rPr>
                <w:rFonts w:hint="eastAsia" w:ascii="宋体" w:hAnsi="宋体" w:cs="宋体"/>
                <w:kern w:val="0"/>
                <w:szCs w:val="21"/>
              </w:rPr>
              <w:t>9.3.5</w:t>
            </w:r>
          </w:p>
        </w:tc>
        <w:tc>
          <w:tcPr>
            <w:tcW w:w="1721" w:type="dxa"/>
            <w:noWrap/>
            <w:tcMar>
              <w:left w:w="45" w:type="dxa"/>
              <w:right w:w="45" w:type="dxa"/>
            </w:tcMar>
            <w:vAlign w:val="center"/>
          </w:tcPr>
          <w:p w14:paraId="4F0E7ABE">
            <w:pPr>
              <w:widowControl/>
              <w:rPr>
                <w:rFonts w:ascii="宋体" w:hAnsi="宋体" w:cs="宋体"/>
                <w:kern w:val="0"/>
                <w:szCs w:val="21"/>
              </w:rPr>
            </w:pPr>
            <w:r>
              <w:rPr>
                <w:rFonts w:hint="eastAsia" w:ascii="宋体" w:hAnsi="宋体" w:cs="宋体"/>
                <w:bCs/>
                <w:kern w:val="0"/>
                <w:szCs w:val="21"/>
              </w:rPr>
              <w:t>其他化学品存放</w:t>
            </w:r>
          </w:p>
        </w:tc>
        <w:tc>
          <w:tcPr>
            <w:tcW w:w="5567" w:type="dxa"/>
            <w:noWrap/>
            <w:tcMar>
              <w:left w:w="45" w:type="dxa"/>
              <w:right w:w="45" w:type="dxa"/>
            </w:tcMar>
            <w:vAlign w:val="center"/>
          </w:tcPr>
          <w:p w14:paraId="221D6AC0">
            <w:pPr>
              <w:widowControl/>
              <w:rPr>
                <w:rFonts w:ascii="宋体" w:hAnsi="宋体" w:cs="宋体"/>
                <w:kern w:val="0"/>
                <w:szCs w:val="21"/>
              </w:rPr>
            </w:pPr>
            <w:r>
              <w:rPr>
                <w:rFonts w:hint="eastAsia" w:ascii="宋体" w:hAnsi="宋体" w:cs="宋体"/>
                <w:kern w:val="0"/>
                <w:szCs w:val="21"/>
              </w:rPr>
              <w:t>（136）装有配制试剂、合成品、样品等的容器上标签信息明确，标签信息包括名称或编号、使用人、日期等。</w:t>
            </w:r>
          </w:p>
          <w:p w14:paraId="433D723F">
            <w:pPr>
              <w:widowControl/>
              <w:rPr>
                <w:rFonts w:ascii="宋体" w:hAnsi="宋体" w:cs="宋体"/>
                <w:kern w:val="0"/>
                <w:szCs w:val="21"/>
              </w:rPr>
            </w:pPr>
            <w:r>
              <w:rPr>
                <w:rFonts w:hint="eastAsia" w:ascii="宋体" w:hAnsi="宋体" w:cs="宋体"/>
                <w:kern w:val="0"/>
                <w:szCs w:val="21"/>
              </w:rPr>
              <w:t>（137）无使用饮料瓶存放试剂、样品的现象，如确需使用，必须撕去原包装纸，贴上试剂标签。</w:t>
            </w:r>
          </w:p>
          <w:p w14:paraId="19B41100">
            <w:pPr>
              <w:widowControl/>
              <w:rPr>
                <w:rFonts w:ascii="宋体" w:hAnsi="宋体" w:cs="宋体"/>
                <w:bCs/>
                <w:kern w:val="0"/>
                <w:szCs w:val="21"/>
              </w:rPr>
            </w:pPr>
            <w:r>
              <w:rPr>
                <w:rFonts w:hint="eastAsia" w:ascii="宋体" w:hAnsi="宋体" w:cs="宋体"/>
                <w:bCs/>
                <w:kern w:val="0"/>
                <w:szCs w:val="21"/>
              </w:rPr>
              <w:t>（138）</w:t>
            </w:r>
            <w:r>
              <w:rPr>
                <w:rFonts w:hint="eastAsia" w:ascii="宋体" w:hAnsi="宋体" w:cs="宋体"/>
                <w:kern w:val="0"/>
                <w:szCs w:val="21"/>
              </w:rPr>
              <w:t>不使用破损量筒、试管、移液管等玻璃器皿</w:t>
            </w:r>
          </w:p>
        </w:tc>
        <w:tc>
          <w:tcPr>
            <w:tcW w:w="991" w:type="dxa"/>
            <w:noWrap/>
            <w:tcMar>
              <w:left w:w="45" w:type="dxa"/>
              <w:right w:w="45" w:type="dxa"/>
            </w:tcMar>
            <w:vAlign w:val="center"/>
          </w:tcPr>
          <w:p w14:paraId="6EABFAE2">
            <w:pPr>
              <w:widowControl/>
              <w:rPr>
                <w:rFonts w:ascii="宋体" w:hAnsi="宋体" w:cs="宋体"/>
                <w:bCs/>
                <w:kern w:val="0"/>
                <w:szCs w:val="21"/>
              </w:rPr>
            </w:pPr>
          </w:p>
        </w:tc>
      </w:tr>
      <w:tr w14:paraId="3A2F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6CCC6060">
            <w:pPr>
              <w:widowControl/>
              <w:rPr>
                <w:rFonts w:ascii="宋体" w:hAnsi="宋体" w:cs="宋体"/>
                <w:b/>
                <w:kern w:val="0"/>
                <w:szCs w:val="21"/>
              </w:rPr>
            </w:pPr>
            <w:r>
              <w:rPr>
                <w:rFonts w:hint="eastAsia" w:ascii="宋体" w:hAnsi="宋体" w:cs="宋体"/>
                <w:b/>
                <w:kern w:val="0"/>
                <w:szCs w:val="21"/>
              </w:rPr>
              <w:t>9.4</w:t>
            </w:r>
          </w:p>
        </w:tc>
        <w:tc>
          <w:tcPr>
            <w:tcW w:w="8279" w:type="dxa"/>
            <w:gridSpan w:val="3"/>
            <w:noWrap/>
            <w:tcMar>
              <w:left w:w="45" w:type="dxa"/>
              <w:right w:w="45" w:type="dxa"/>
            </w:tcMar>
            <w:vAlign w:val="center"/>
          </w:tcPr>
          <w:p w14:paraId="2F1AA2CF">
            <w:pPr>
              <w:widowControl/>
              <w:rPr>
                <w:rFonts w:ascii="宋体" w:hAnsi="宋体" w:cs="宋体"/>
                <w:b/>
                <w:kern w:val="0"/>
                <w:szCs w:val="21"/>
              </w:rPr>
            </w:pPr>
            <w:r>
              <w:rPr>
                <w:rFonts w:hint="eastAsia" w:ascii="宋体" w:hAnsi="宋体" w:cs="宋体"/>
                <w:b/>
                <w:kern w:val="0"/>
                <w:szCs w:val="21"/>
              </w:rPr>
              <w:t>实验操作安全</w:t>
            </w:r>
          </w:p>
        </w:tc>
      </w:tr>
      <w:tr w14:paraId="5CCC6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21CE2C45">
            <w:pPr>
              <w:widowControl/>
              <w:rPr>
                <w:rFonts w:ascii="宋体" w:hAnsi="宋体" w:cs="宋体"/>
                <w:kern w:val="0"/>
                <w:szCs w:val="21"/>
              </w:rPr>
            </w:pPr>
            <w:r>
              <w:rPr>
                <w:rFonts w:hint="eastAsia" w:ascii="宋体" w:hAnsi="宋体" w:cs="宋体"/>
                <w:kern w:val="0"/>
                <w:szCs w:val="21"/>
              </w:rPr>
              <w:t>9.4.1</w:t>
            </w:r>
          </w:p>
        </w:tc>
        <w:tc>
          <w:tcPr>
            <w:tcW w:w="1721" w:type="dxa"/>
            <w:noWrap/>
            <w:tcMar>
              <w:left w:w="45" w:type="dxa"/>
              <w:right w:w="45" w:type="dxa"/>
            </w:tcMar>
            <w:vAlign w:val="center"/>
          </w:tcPr>
          <w:p w14:paraId="7E9782F1">
            <w:pPr>
              <w:widowControl/>
              <w:rPr>
                <w:rFonts w:ascii="宋体" w:hAnsi="宋体" w:cs="宋体"/>
                <w:kern w:val="0"/>
                <w:szCs w:val="21"/>
              </w:rPr>
            </w:pPr>
            <w:r>
              <w:rPr>
                <w:rFonts w:hint="eastAsia" w:ascii="宋体" w:hAnsi="宋体" w:cs="宋体"/>
                <w:kern w:val="0"/>
                <w:szCs w:val="21"/>
              </w:rPr>
              <w:t>制定危险实验、危险化工工艺指导书、各类标准操作规程（SOP）、应急预案</w:t>
            </w:r>
          </w:p>
        </w:tc>
        <w:tc>
          <w:tcPr>
            <w:tcW w:w="5567" w:type="dxa"/>
            <w:noWrap/>
            <w:tcMar>
              <w:left w:w="45" w:type="dxa"/>
              <w:right w:w="45" w:type="dxa"/>
            </w:tcMar>
            <w:vAlign w:val="center"/>
          </w:tcPr>
          <w:p w14:paraId="7D38F3BC">
            <w:pPr>
              <w:widowControl/>
              <w:rPr>
                <w:rFonts w:ascii="宋体" w:hAnsi="宋体" w:cs="宋体"/>
                <w:kern w:val="0"/>
                <w:szCs w:val="21"/>
              </w:rPr>
            </w:pPr>
            <w:r>
              <w:rPr>
                <w:rFonts w:hint="eastAsia" w:ascii="宋体" w:hAnsi="宋体" w:cs="宋体"/>
                <w:kern w:val="0"/>
                <w:szCs w:val="21"/>
              </w:rPr>
              <w:t>（139）危险化工工艺指导书和应急预案上墙或便于取阅，实验人员熟悉所涉及的危险性及应急处理措施，按照危险化工工艺指导书进行实验</w:t>
            </w:r>
          </w:p>
        </w:tc>
        <w:tc>
          <w:tcPr>
            <w:tcW w:w="991" w:type="dxa"/>
            <w:noWrap/>
            <w:tcMar>
              <w:left w:w="45" w:type="dxa"/>
              <w:right w:w="45" w:type="dxa"/>
            </w:tcMar>
            <w:vAlign w:val="center"/>
          </w:tcPr>
          <w:p w14:paraId="646F8FFC">
            <w:pPr>
              <w:widowControl/>
              <w:rPr>
                <w:rFonts w:ascii="宋体" w:hAnsi="宋体" w:cs="宋体"/>
                <w:bCs/>
                <w:kern w:val="0"/>
                <w:szCs w:val="21"/>
              </w:rPr>
            </w:pPr>
          </w:p>
        </w:tc>
      </w:tr>
      <w:tr w14:paraId="535A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5F1B7551">
            <w:pPr>
              <w:widowControl/>
              <w:rPr>
                <w:rFonts w:ascii="宋体" w:hAnsi="宋体" w:cs="宋体"/>
                <w:kern w:val="0"/>
                <w:szCs w:val="21"/>
              </w:rPr>
            </w:pPr>
            <w:r>
              <w:rPr>
                <w:rFonts w:hint="eastAsia" w:ascii="宋体" w:hAnsi="宋体" w:cs="宋体"/>
                <w:kern w:val="0"/>
                <w:szCs w:val="21"/>
              </w:rPr>
              <w:t>9.4.2</w:t>
            </w:r>
          </w:p>
        </w:tc>
        <w:tc>
          <w:tcPr>
            <w:tcW w:w="1721" w:type="dxa"/>
            <w:noWrap/>
            <w:tcMar>
              <w:left w:w="45" w:type="dxa"/>
              <w:right w:w="45" w:type="dxa"/>
            </w:tcMar>
            <w:vAlign w:val="center"/>
          </w:tcPr>
          <w:p w14:paraId="786338B4">
            <w:pPr>
              <w:widowControl/>
              <w:rPr>
                <w:rFonts w:ascii="宋体" w:hAnsi="宋体" w:cs="宋体"/>
                <w:kern w:val="0"/>
                <w:szCs w:val="21"/>
              </w:rPr>
            </w:pPr>
            <w:r>
              <w:rPr>
                <w:rFonts w:hint="eastAsia" w:ascii="宋体" w:hAnsi="宋体" w:cs="宋体"/>
                <w:kern w:val="0"/>
                <w:szCs w:val="21"/>
              </w:rPr>
              <w:t>特别关注危险化学工艺和装置</w:t>
            </w:r>
          </w:p>
        </w:tc>
        <w:tc>
          <w:tcPr>
            <w:tcW w:w="5567" w:type="dxa"/>
            <w:noWrap/>
            <w:tcMar>
              <w:left w:w="45" w:type="dxa"/>
              <w:right w:w="45" w:type="dxa"/>
            </w:tcMar>
            <w:vAlign w:val="center"/>
          </w:tcPr>
          <w:p w14:paraId="27EEAB5D">
            <w:pPr>
              <w:widowControl/>
              <w:rPr>
                <w:rFonts w:ascii="宋体" w:hAnsi="宋体" w:cs="宋体"/>
                <w:kern w:val="0"/>
                <w:szCs w:val="21"/>
              </w:rPr>
            </w:pPr>
            <w:r>
              <w:rPr>
                <w:rFonts w:hint="eastAsia" w:ascii="宋体" w:hAnsi="宋体" w:cs="宋体"/>
                <w:kern w:val="0"/>
                <w:szCs w:val="21"/>
              </w:rPr>
              <w:t>（140）涉及危险化工工艺、重点监管危险化学品的反应装置应设置自动化控制系统，锂电池研究区域应远离其他可燃物品。</w:t>
            </w:r>
          </w:p>
          <w:p w14:paraId="12E8EC59">
            <w:pPr>
              <w:widowControl/>
              <w:rPr>
                <w:rFonts w:ascii="宋体" w:hAnsi="宋体" w:cs="宋体"/>
                <w:bCs/>
                <w:kern w:val="0"/>
                <w:szCs w:val="21"/>
              </w:rPr>
            </w:pPr>
            <w:r>
              <w:rPr>
                <w:rFonts w:hint="eastAsia" w:ascii="宋体" w:hAnsi="宋体" w:cs="宋体"/>
                <w:kern w:val="0"/>
                <w:szCs w:val="21"/>
              </w:rPr>
              <w:t>（141）涉及放热反应的危险化工工艺生产装置应设置双重电源供电或控制系统应配置不间断电源</w:t>
            </w:r>
          </w:p>
        </w:tc>
        <w:tc>
          <w:tcPr>
            <w:tcW w:w="991" w:type="dxa"/>
            <w:noWrap/>
            <w:tcMar>
              <w:left w:w="45" w:type="dxa"/>
              <w:right w:w="45" w:type="dxa"/>
            </w:tcMar>
            <w:vAlign w:val="center"/>
          </w:tcPr>
          <w:p w14:paraId="33278464">
            <w:pPr>
              <w:widowControl/>
              <w:rPr>
                <w:rFonts w:ascii="宋体" w:hAnsi="宋体" w:cs="宋体"/>
                <w:bCs/>
                <w:kern w:val="0"/>
                <w:szCs w:val="21"/>
              </w:rPr>
            </w:pPr>
          </w:p>
        </w:tc>
      </w:tr>
      <w:tr w14:paraId="49C4A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45B68BEA">
            <w:pPr>
              <w:widowControl/>
              <w:rPr>
                <w:rFonts w:ascii="宋体" w:hAnsi="宋体" w:cs="宋体"/>
                <w:kern w:val="0"/>
                <w:szCs w:val="21"/>
              </w:rPr>
            </w:pPr>
            <w:r>
              <w:rPr>
                <w:rFonts w:hint="eastAsia" w:ascii="宋体" w:hAnsi="宋体" w:cs="宋体"/>
                <w:kern w:val="0"/>
                <w:szCs w:val="21"/>
              </w:rPr>
              <w:t>9.4.3</w:t>
            </w:r>
          </w:p>
        </w:tc>
        <w:tc>
          <w:tcPr>
            <w:tcW w:w="1721" w:type="dxa"/>
            <w:noWrap/>
            <w:tcMar>
              <w:left w:w="45" w:type="dxa"/>
              <w:right w:w="45" w:type="dxa"/>
            </w:tcMar>
            <w:vAlign w:val="center"/>
          </w:tcPr>
          <w:p w14:paraId="666BF91B">
            <w:pPr>
              <w:widowControl/>
              <w:rPr>
                <w:rFonts w:ascii="宋体" w:hAnsi="宋体" w:cs="宋体"/>
                <w:kern w:val="0"/>
                <w:szCs w:val="21"/>
              </w:rPr>
            </w:pPr>
            <w:r>
              <w:rPr>
                <w:rFonts w:hint="eastAsia" w:ascii="宋体" w:hAnsi="宋体" w:cs="宋体"/>
                <w:kern w:val="0"/>
                <w:szCs w:val="21"/>
              </w:rPr>
              <w:t>做好有毒有害废气的处理和防护</w:t>
            </w:r>
          </w:p>
        </w:tc>
        <w:tc>
          <w:tcPr>
            <w:tcW w:w="5567" w:type="dxa"/>
            <w:noWrap/>
            <w:tcMar>
              <w:left w:w="45" w:type="dxa"/>
              <w:right w:w="45" w:type="dxa"/>
            </w:tcMar>
            <w:vAlign w:val="center"/>
          </w:tcPr>
          <w:p w14:paraId="750F7120">
            <w:pPr>
              <w:widowControl/>
              <w:rPr>
                <w:rFonts w:ascii="宋体" w:hAnsi="宋体" w:cs="宋体"/>
                <w:kern w:val="0"/>
                <w:szCs w:val="21"/>
              </w:rPr>
            </w:pPr>
            <w:r>
              <w:rPr>
                <w:rFonts w:hint="eastAsia" w:ascii="宋体" w:hAnsi="宋体" w:cs="宋体"/>
                <w:kern w:val="0"/>
                <w:szCs w:val="21"/>
              </w:rPr>
              <w:t>（142）对于产生有毒有害废气的实验，须在通风柜中进行，并在实验装置尾端配有气体吸收装置，操作者佩戴合适有效的呼吸防护用具</w:t>
            </w:r>
          </w:p>
        </w:tc>
        <w:tc>
          <w:tcPr>
            <w:tcW w:w="991" w:type="dxa"/>
            <w:noWrap/>
            <w:tcMar>
              <w:left w:w="45" w:type="dxa"/>
              <w:right w:w="45" w:type="dxa"/>
            </w:tcMar>
            <w:vAlign w:val="center"/>
          </w:tcPr>
          <w:p w14:paraId="24A7300A">
            <w:pPr>
              <w:widowControl/>
              <w:rPr>
                <w:rFonts w:ascii="宋体" w:hAnsi="宋体" w:cs="宋体"/>
                <w:kern w:val="0"/>
                <w:szCs w:val="21"/>
              </w:rPr>
            </w:pPr>
          </w:p>
        </w:tc>
      </w:tr>
      <w:tr w14:paraId="6397C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65FCFFE8">
            <w:pPr>
              <w:widowControl/>
              <w:rPr>
                <w:rFonts w:ascii="宋体" w:hAnsi="宋体" w:cs="宋体"/>
                <w:b/>
                <w:kern w:val="0"/>
                <w:szCs w:val="21"/>
              </w:rPr>
            </w:pPr>
            <w:r>
              <w:rPr>
                <w:rFonts w:hint="eastAsia" w:ascii="宋体" w:hAnsi="宋体" w:cs="宋体"/>
                <w:b/>
                <w:kern w:val="0"/>
                <w:szCs w:val="21"/>
              </w:rPr>
              <w:t>9.5</w:t>
            </w:r>
          </w:p>
        </w:tc>
        <w:tc>
          <w:tcPr>
            <w:tcW w:w="8279" w:type="dxa"/>
            <w:gridSpan w:val="3"/>
            <w:noWrap/>
            <w:tcMar>
              <w:left w:w="45" w:type="dxa"/>
              <w:right w:w="45" w:type="dxa"/>
            </w:tcMar>
            <w:vAlign w:val="center"/>
          </w:tcPr>
          <w:p w14:paraId="56C9DF39">
            <w:pPr>
              <w:rPr>
                <w:rFonts w:ascii="宋体" w:hAnsi="宋体" w:cs="宋体"/>
                <w:b/>
                <w:szCs w:val="21"/>
              </w:rPr>
            </w:pPr>
            <w:r>
              <w:rPr>
                <w:rFonts w:hint="eastAsia" w:ascii="宋体" w:hAnsi="宋体" w:cs="宋体"/>
                <w:b/>
                <w:kern w:val="0"/>
                <w:szCs w:val="21"/>
              </w:rPr>
              <w:t>管制类化学品管理</w:t>
            </w:r>
          </w:p>
        </w:tc>
      </w:tr>
      <w:tr w14:paraId="64DCB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4AA2FC89">
            <w:pPr>
              <w:widowControl/>
              <w:rPr>
                <w:rFonts w:ascii="宋体" w:hAnsi="宋体" w:cs="宋体"/>
                <w:kern w:val="0"/>
                <w:szCs w:val="21"/>
              </w:rPr>
            </w:pPr>
            <w:r>
              <w:rPr>
                <w:rFonts w:hint="eastAsia" w:ascii="宋体" w:hAnsi="宋体" w:cs="宋体"/>
                <w:kern w:val="0"/>
                <w:szCs w:val="21"/>
              </w:rPr>
              <w:t>9.5.1</w:t>
            </w:r>
          </w:p>
        </w:tc>
        <w:tc>
          <w:tcPr>
            <w:tcW w:w="1721" w:type="dxa"/>
            <w:noWrap/>
            <w:tcMar>
              <w:left w:w="45" w:type="dxa"/>
              <w:right w:w="45" w:type="dxa"/>
            </w:tcMar>
            <w:vAlign w:val="center"/>
          </w:tcPr>
          <w:p w14:paraId="300736FA">
            <w:pPr>
              <w:widowControl/>
              <w:rPr>
                <w:rFonts w:ascii="宋体" w:hAnsi="宋体" w:cs="宋体"/>
                <w:kern w:val="0"/>
                <w:szCs w:val="21"/>
              </w:rPr>
            </w:pPr>
            <w:r>
              <w:rPr>
                <w:rFonts w:hint="eastAsia" w:ascii="宋体" w:hAnsi="宋体" w:cs="宋体"/>
                <w:kern w:val="0"/>
                <w:szCs w:val="21"/>
              </w:rPr>
              <w:t>剧毒化学品应当单独存放,实行双人收发、双人保管制度，技防措施符合管制要求</w:t>
            </w:r>
          </w:p>
          <w:p w14:paraId="6E2C2A7F">
            <w:pPr>
              <w:rPr>
                <w:rFonts w:ascii="宋体" w:hAnsi="宋体" w:cs="宋体"/>
                <w:kern w:val="0"/>
                <w:szCs w:val="21"/>
              </w:rPr>
            </w:pPr>
          </w:p>
        </w:tc>
        <w:tc>
          <w:tcPr>
            <w:tcW w:w="5567" w:type="dxa"/>
            <w:noWrap/>
            <w:tcMar>
              <w:left w:w="45" w:type="dxa"/>
              <w:right w:w="45" w:type="dxa"/>
            </w:tcMar>
            <w:vAlign w:val="center"/>
          </w:tcPr>
          <w:p w14:paraId="6BA50EF0">
            <w:pPr>
              <w:widowControl/>
              <w:rPr>
                <w:rFonts w:ascii="宋体" w:hAnsi="宋体" w:cs="宋体"/>
                <w:kern w:val="0"/>
                <w:szCs w:val="21"/>
              </w:rPr>
            </w:pPr>
            <w:r>
              <w:rPr>
                <w:rFonts w:hint="eastAsia" w:ascii="宋体" w:hAnsi="宋体" w:cs="宋体"/>
                <w:kern w:val="0"/>
                <w:szCs w:val="21"/>
              </w:rPr>
              <w:t>（143）单独存放，不得与易燃、易爆、腐蚀性物品等一起存放。</w:t>
            </w:r>
          </w:p>
          <w:p w14:paraId="28033A7B">
            <w:pPr>
              <w:widowControl/>
              <w:rPr>
                <w:rFonts w:ascii="宋体" w:hAnsi="宋体" w:cs="宋体"/>
                <w:kern w:val="0"/>
                <w:szCs w:val="21"/>
              </w:rPr>
            </w:pPr>
            <w:r>
              <w:rPr>
                <w:rFonts w:hint="eastAsia" w:ascii="宋体" w:hAnsi="宋体" w:cs="宋体"/>
                <w:kern w:val="0"/>
                <w:szCs w:val="21"/>
              </w:rPr>
              <w:t>（144）有专人管理并做好贮存、领取、发放情况登记，登记资料至少保存1年。</w:t>
            </w:r>
          </w:p>
          <w:p w14:paraId="38BC05B7">
            <w:pPr>
              <w:rPr>
                <w:rFonts w:ascii="宋体" w:hAnsi="宋体" w:cs="宋体"/>
                <w:szCs w:val="21"/>
              </w:rPr>
            </w:pPr>
            <w:r>
              <w:rPr>
                <w:rFonts w:hint="eastAsia" w:ascii="宋体" w:hAnsi="宋体" w:cs="宋体"/>
                <w:kern w:val="0"/>
                <w:szCs w:val="21"/>
              </w:rPr>
              <w:t>（145）防盗安全门应符合GB 17565《防盗安全门通用技术条件》的要求，防盗安全级别为乙级（含）以上，防盗锁应符合GA/T 73《机械防盗锁》的要求，防盗保险柜应符合GB 10409《防盗保险柜》的要求，监控管控执行公安部门的要求</w:t>
            </w:r>
          </w:p>
        </w:tc>
        <w:tc>
          <w:tcPr>
            <w:tcW w:w="991" w:type="dxa"/>
            <w:noWrap/>
            <w:tcMar>
              <w:left w:w="45" w:type="dxa"/>
              <w:right w:w="45" w:type="dxa"/>
            </w:tcMar>
            <w:vAlign w:val="center"/>
          </w:tcPr>
          <w:p w14:paraId="08906665">
            <w:pPr>
              <w:widowControl/>
              <w:rPr>
                <w:rFonts w:ascii="宋体" w:hAnsi="宋体" w:cs="宋体"/>
                <w:b/>
                <w:kern w:val="0"/>
                <w:szCs w:val="21"/>
              </w:rPr>
            </w:pPr>
          </w:p>
        </w:tc>
      </w:tr>
      <w:tr w14:paraId="439FB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60C6901A">
            <w:pPr>
              <w:widowControl/>
              <w:rPr>
                <w:rFonts w:ascii="宋体" w:hAnsi="宋体" w:cs="宋体"/>
                <w:kern w:val="0"/>
                <w:szCs w:val="21"/>
              </w:rPr>
            </w:pPr>
            <w:r>
              <w:rPr>
                <w:rFonts w:hint="eastAsia" w:ascii="宋体" w:hAnsi="宋体" w:cs="宋体"/>
                <w:kern w:val="0"/>
                <w:szCs w:val="21"/>
              </w:rPr>
              <w:t>9.5.2</w:t>
            </w:r>
          </w:p>
        </w:tc>
        <w:tc>
          <w:tcPr>
            <w:tcW w:w="1721" w:type="dxa"/>
            <w:noWrap/>
            <w:tcMar>
              <w:left w:w="45" w:type="dxa"/>
              <w:right w:w="45" w:type="dxa"/>
            </w:tcMar>
            <w:vAlign w:val="center"/>
          </w:tcPr>
          <w:p w14:paraId="3B8289F0">
            <w:pPr>
              <w:rPr>
                <w:rFonts w:ascii="宋体" w:hAnsi="宋体" w:cs="宋体"/>
                <w:kern w:val="0"/>
                <w:szCs w:val="21"/>
              </w:rPr>
            </w:pPr>
            <w:r>
              <w:rPr>
                <w:rFonts w:hint="eastAsia" w:ascii="宋体" w:hAnsi="宋体" w:cs="宋体"/>
                <w:kern w:val="0"/>
                <w:szCs w:val="21"/>
              </w:rPr>
              <w:t>易制毒化学品储存规范，台账清晰</w:t>
            </w:r>
          </w:p>
          <w:p w14:paraId="0EA0B5EE">
            <w:pPr>
              <w:widowControl/>
              <w:rPr>
                <w:rFonts w:ascii="宋体" w:hAnsi="宋体" w:cs="宋体"/>
                <w:kern w:val="0"/>
                <w:szCs w:val="21"/>
              </w:rPr>
            </w:pPr>
          </w:p>
        </w:tc>
        <w:tc>
          <w:tcPr>
            <w:tcW w:w="5567" w:type="dxa"/>
            <w:noWrap/>
            <w:tcMar>
              <w:left w:w="45" w:type="dxa"/>
              <w:right w:w="45" w:type="dxa"/>
            </w:tcMar>
            <w:vAlign w:val="center"/>
          </w:tcPr>
          <w:p w14:paraId="261CEBC8">
            <w:pPr>
              <w:widowControl/>
              <w:rPr>
                <w:rFonts w:ascii="宋体" w:hAnsi="宋体" w:cs="宋体"/>
                <w:kern w:val="0"/>
                <w:szCs w:val="21"/>
              </w:rPr>
            </w:pPr>
            <w:r>
              <w:rPr>
                <w:rFonts w:hint="eastAsia" w:ascii="宋体" w:hAnsi="宋体" w:cs="宋体"/>
                <w:kern w:val="0"/>
                <w:szCs w:val="21"/>
              </w:rPr>
              <w:t>（146）应设置专用存储区或者专柜储存并有防盗措施。</w:t>
            </w:r>
          </w:p>
          <w:p w14:paraId="6F68CE1B">
            <w:pPr>
              <w:widowControl/>
              <w:rPr>
                <w:rFonts w:ascii="宋体" w:hAnsi="宋体" w:cs="宋体"/>
                <w:kern w:val="0"/>
                <w:szCs w:val="21"/>
              </w:rPr>
            </w:pPr>
            <w:r>
              <w:rPr>
                <w:rFonts w:hint="eastAsia" w:ascii="宋体" w:hAnsi="宋体" w:cs="宋体"/>
                <w:kern w:val="0"/>
                <w:szCs w:val="21"/>
              </w:rPr>
              <w:t>（147）第一类易制毒化学品、药品类易制毒化学品实行双人双锁管理，账册保存期限不少于2年</w:t>
            </w:r>
          </w:p>
        </w:tc>
        <w:tc>
          <w:tcPr>
            <w:tcW w:w="991" w:type="dxa"/>
            <w:noWrap/>
            <w:tcMar>
              <w:left w:w="45" w:type="dxa"/>
              <w:right w:w="45" w:type="dxa"/>
            </w:tcMar>
            <w:vAlign w:val="center"/>
          </w:tcPr>
          <w:p w14:paraId="62EF6512">
            <w:pPr>
              <w:widowControl/>
              <w:rPr>
                <w:rFonts w:ascii="宋体" w:hAnsi="宋体" w:cs="宋体"/>
                <w:b/>
                <w:kern w:val="0"/>
                <w:szCs w:val="21"/>
              </w:rPr>
            </w:pPr>
          </w:p>
        </w:tc>
      </w:tr>
      <w:tr w14:paraId="5D22E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4A4C7E9D">
            <w:pPr>
              <w:widowControl/>
              <w:rPr>
                <w:rFonts w:ascii="宋体" w:hAnsi="宋体" w:cs="宋体"/>
                <w:kern w:val="0"/>
                <w:szCs w:val="21"/>
              </w:rPr>
            </w:pPr>
            <w:r>
              <w:rPr>
                <w:rFonts w:hint="eastAsia" w:ascii="宋体" w:hAnsi="宋体" w:cs="宋体"/>
                <w:kern w:val="0"/>
                <w:szCs w:val="21"/>
              </w:rPr>
              <w:t>9.5.3</w:t>
            </w:r>
          </w:p>
        </w:tc>
        <w:tc>
          <w:tcPr>
            <w:tcW w:w="1721" w:type="dxa"/>
            <w:noWrap/>
            <w:tcMar>
              <w:left w:w="45" w:type="dxa"/>
              <w:right w:w="45" w:type="dxa"/>
            </w:tcMar>
            <w:vAlign w:val="center"/>
          </w:tcPr>
          <w:p w14:paraId="7217227D">
            <w:pPr>
              <w:rPr>
                <w:rFonts w:ascii="宋体" w:hAnsi="宋体" w:cs="宋体"/>
                <w:szCs w:val="21"/>
              </w:rPr>
            </w:pPr>
            <w:r>
              <w:rPr>
                <w:rFonts w:hint="eastAsia" w:ascii="宋体" w:hAnsi="宋体" w:cs="宋体"/>
                <w:kern w:val="0"/>
                <w:szCs w:val="21"/>
              </w:rPr>
              <w:t>易制爆化学品存量合规、双人双锁保管</w:t>
            </w:r>
          </w:p>
          <w:p w14:paraId="0C2D4B6F">
            <w:pPr>
              <w:widowControl/>
              <w:rPr>
                <w:rFonts w:ascii="宋体" w:hAnsi="宋体" w:cs="宋体"/>
                <w:kern w:val="0"/>
                <w:szCs w:val="21"/>
              </w:rPr>
            </w:pPr>
          </w:p>
        </w:tc>
        <w:tc>
          <w:tcPr>
            <w:tcW w:w="5567" w:type="dxa"/>
            <w:noWrap/>
            <w:tcMar>
              <w:left w:w="45" w:type="dxa"/>
              <w:right w:w="45" w:type="dxa"/>
            </w:tcMar>
            <w:vAlign w:val="center"/>
          </w:tcPr>
          <w:p w14:paraId="36E5F9C2">
            <w:pPr>
              <w:widowControl/>
              <w:rPr>
                <w:rFonts w:ascii="宋体" w:hAnsi="宋体" w:cs="宋体"/>
                <w:kern w:val="0"/>
                <w:szCs w:val="21"/>
              </w:rPr>
            </w:pPr>
            <w:r>
              <w:rPr>
                <w:rFonts w:hint="eastAsia" w:ascii="宋体" w:hAnsi="宋体" w:cs="宋体"/>
                <w:kern w:val="0"/>
                <w:szCs w:val="21"/>
              </w:rPr>
              <w:t>（148）易制爆化学品存量合规。</w:t>
            </w:r>
          </w:p>
          <w:p w14:paraId="56A35DBE">
            <w:pPr>
              <w:widowControl/>
              <w:rPr>
                <w:rFonts w:ascii="宋体" w:hAnsi="宋体" w:cs="宋体"/>
                <w:kern w:val="0"/>
                <w:szCs w:val="21"/>
              </w:rPr>
            </w:pPr>
            <w:r>
              <w:rPr>
                <w:rFonts w:hint="eastAsia" w:ascii="宋体" w:hAnsi="宋体" w:cs="宋体"/>
                <w:kern w:val="0"/>
                <w:szCs w:val="21"/>
              </w:rPr>
              <w:t>（149）存放场所出入口应设置防盗安全门，或存放在专用储存柜内，储存场所防盗安全级别应为乙级（含）以上，专用储存柜应具有防盗功能，符合双人双锁管理要求，台账账册保存期限不少于1年</w:t>
            </w:r>
          </w:p>
        </w:tc>
        <w:tc>
          <w:tcPr>
            <w:tcW w:w="991" w:type="dxa"/>
            <w:noWrap/>
            <w:tcMar>
              <w:left w:w="45" w:type="dxa"/>
              <w:right w:w="45" w:type="dxa"/>
            </w:tcMar>
            <w:vAlign w:val="center"/>
          </w:tcPr>
          <w:p w14:paraId="265D1A84">
            <w:pPr>
              <w:widowControl/>
              <w:rPr>
                <w:rFonts w:ascii="宋体" w:hAnsi="宋体" w:cs="宋体"/>
                <w:b/>
                <w:kern w:val="0"/>
                <w:szCs w:val="21"/>
              </w:rPr>
            </w:pPr>
          </w:p>
        </w:tc>
      </w:tr>
      <w:tr w14:paraId="4F879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5159D439">
            <w:pPr>
              <w:widowControl/>
              <w:rPr>
                <w:rFonts w:ascii="宋体" w:hAnsi="宋体" w:cs="宋体"/>
                <w:kern w:val="0"/>
                <w:szCs w:val="21"/>
              </w:rPr>
            </w:pPr>
            <w:r>
              <w:rPr>
                <w:rFonts w:hint="eastAsia" w:ascii="宋体" w:hAnsi="宋体" w:cs="宋体"/>
                <w:kern w:val="0"/>
                <w:szCs w:val="21"/>
              </w:rPr>
              <w:t>9.5.4</w:t>
            </w:r>
          </w:p>
        </w:tc>
        <w:tc>
          <w:tcPr>
            <w:tcW w:w="1721" w:type="dxa"/>
            <w:noWrap/>
            <w:tcMar>
              <w:left w:w="45" w:type="dxa"/>
              <w:right w:w="45" w:type="dxa"/>
            </w:tcMar>
            <w:vAlign w:val="center"/>
          </w:tcPr>
          <w:p w14:paraId="7718CD74">
            <w:pPr>
              <w:rPr>
                <w:rFonts w:ascii="宋体" w:hAnsi="宋体" w:cs="宋体"/>
                <w:kern w:val="0"/>
                <w:szCs w:val="21"/>
              </w:rPr>
            </w:pPr>
            <w:r>
              <w:rPr>
                <w:rFonts w:hint="eastAsia" w:ascii="宋体" w:hAnsi="宋体" w:cs="宋体"/>
                <w:kern w:val="0"/>
                <w:szCs w:val="21"/>
              </w:rPr>
              <w:t>麻醉药品和第一类精神药品管理符合“双人双锁”要求，有专用账册</w:t>
            </w:r>
          </w:p>
        </w:tc>
        <w:tc>
          <w:tcPr>
            <w:tcW w:w="5567" w:type="dxa"/>
            <w:noWrap/>
            <w:tcMar>
              <w:left w:w="45" w:type="dxa"/>
              <w:right w:w="45" w:type="dxa"/>
            </w:tcMar>
            <w:vAlign w:val="center"/>
          </w:tcPr>
          <w:p w14:paraId="2DC9DCAF">
            <w:pPr>
              <w:widowControl/>
              <w:rPr>
                <w:rFonts w:ascii="宋体" w:hAnsi="宋体" w:cs="宋体"/>
                <w:kern w:val="0"/>
                <w:szCs w:val="21"/>
              </w:rPr>
            </w:pPr>
            <w:r>
              <w:rPr>
                <w:rFonts w:hint="eastAsia" w:ascii="宋体" w:hAnsi="宋体" w:cs="宋体"/>
                <w:kern w:val="0"/>
                <w:szCs w:val="21"/>
              </w:rPr>
              <w:t>（150）设立专库或者专柜储存，专库应当设有防盗设施并安装报警装置，专柜应当使用保险柜，专库和专柜应当实行双人双锁管理。</w:t>
            </w:r>
          </w:p>
          <w:p w14:paraId="2B0A2F17">
            <w:pPr>
              <w:widowControl/>
              <w:rPr>
                <w:rFonts w:ascii="宋体" w:hAnsi="宋体" w:cs="宋体"/>
                <w:bCs/>
                <w:kern w:val="0"/>
                <w:szCs w:val="21"/>
              </w:rPr>
            </w:pPr>
            <w:r>
              <w:rPr>
                <w:rFonts w:hint="eastAsia" w:ascii="宋体" w:hAnsi="宋体" w:cs="宋体"/>
                <w:kern w:val="0"/>
                <w:szCs w:val="21"/>
              </w:rPr>
              <w:t>（151）配备专人管理并建立专用账册，专用账册的保存期限应当自药品有效期期满之日起不少于5年</w:t>
            </w:r>
          </w:p>
        </w:tc>
        <w:tc>
          <w:tcPr>
            <w:tcW w:w="991" w:type="dxa"/>
            <w:noWrap/>
            <w:tcMar>
              <w:left w:w="45" w:type="dxa"/>
              <w:right w:w="45" w:type="dxa"/>
            </w:tcMar>
            <w:vAlign w:val="center"/>
          </w:tcPr>
          <w:p w14:paraId="7870B9D4">
            <w:pPr>
              <w:widowControl/>
              <w:rPr>
                <w:rFonts w:ascii="宋体" w:hAnsi="宋体" w:cs="宋体"/>
                <w:b/>
                <w:kern w:val="0"/>
                <w:szCs w:val="21"/>
              </w:rPr>
            </w:pPr>
          </w:p>
        </w:tc>
      </w:tr>
      <w:tr w14:paraId="03BB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3E0A9ACA">
            <w:pPr>
              <w:widowControl/>
              <w:rPr>
                <w:rFonts w:ascii="宋体" w:hAnsi="宋体" w:cs="宋体"/>
                <w:kern w:val="0"/>
                <w:szCs w:val="21"/>
              </w:rPr>
            </w:pPr>
            <w:r>
              <w:rPr>
                <w:rFonts w:hint="eastAsia" w:ascii="宋体" w:hAnsi="宋体" w:cs="宋体"/>
                <w:kern w:val="0"/>
                <w:szCs w:val="21"/>
              </w:rPr>
              <w:t>9.5.5</w:t>
            </w:r>
          </w:p>
        </w:tc>
        <w:tc>
          <w:tcPr>
            <w:tcW w:w="1721" w:type="dxa"/>
            <w:noWrap/>
            <w:tcMar>
              <w:left w:w="45" w:type="dxa"/>
              <w:right w:w="45" w:type="dxa"/>
            </w:tcMar>
            <w:vAlign w:val="center"/>
          </w:tcPr>
          <w:p w14:paraId="75FFB195">
            <w:pPr>
              <w:rPr>
                <w:rFonts w:ascii="宋体" w:hAnsi="宋体" w:cs="宋体"/>
                <w:kern w:val="0"/>
                <w:szCs w:val="21"/>
              </w:rPr>
            </w:pPr>
            <w:r>
              <w:rPr>
                <w:rFonts w:hint="eastAsia" w:ascii="宋体" w:hAnsi="宋体" w:cs="宋体"/>
                <w:kern w:val="0"/>
                <w:szCs w:val="21"/>
              </w:rPr>
              <w:t>爆炸品单独隔离、限量存储，使用、销毁按照公安部门的要求执行</w:t>
            </w:r>
          </w:p>
        </w:tc>
        <w:tc>
          <w:tcPr>
            <w:tcW w:w="5567" w:type="dxa"/>
            <w:noWrap/>
            <w:tcMar>
              <w:left w:w="45" w:type="dxa"/>
              <w:right w:w="45" w:type="dxa"/>
            </w:tcMar>
            <w:vAlign w:val="center"/>
          </w:tcPr>
          <w:p w14:paraId="1FEE505E">
            <w:pPr>
              <w:widowControl/>
              <w:rPr>
                <w:rFonts w:ascii="宋体" w:hAnsi="宋体" w:cs="宋体"/>
                <w:kern w:val="0"/>
                <w:szCs w:val="21"/>
              </w:rPr>
            </w:pPr>
            <w:r>
              <w:rPr>
                <w:rFonts w:hint="eastAsia" w:ascii="宋体" w:hAnsi="宋体" w:cs="宋体"/>
                <w:kern w:val="0"/>
                <w:szCs w:val="21"/>
              </w:rPr>
              <w:t>（152）收存和发放民用爆炸物品必须进行登记，做到账目清楚，账物相符</w:t>
            </w:r>
          </w:p>
        </w:tc>
        <w:tc>
          <w:tcPr>
            <w:tcW w:w="991" w:type="dxa"/>
            <w:noWrap/>
            <w:tcMar>
              <w:left w:w="45" w:type="dxa"/>
              <w:right w:w="45" w:type="dxa"/>
            </w:tcMar>
            <w:vAlign w:val="center"/>
          </w:tcPr>
          <w:p w14:paraId="1EDD1469">
            <w:pPr>
              <w:widowControl/>
              <w:jc w:val="left"/>
              <w:rPr>
                <w:rFonts w:ascii="宋体" w:hAnsi="宋体" w:cs="宋体"/>
                <w:kern w:val="0"/>
                <w:szCs w:val="21"/>
              </w:rPr>
            </w:pPr>
          </w:p>
        </w:tc>
      </w:tr>
      <w:tr w14:paraId="3875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3F2C8094">
            <w:pPr>
              <w:widowControl/>
              <w:rPr>
                <w:rFonts w:ascii="宋体" w:hAnsi="宋体" w:cs="宋体"/>
                <w:b/>
                <w:kern w:val="0"/>
                <w:szCs w:val="21"/>
              </w:rPr>
            </w:pPr>
            <w:r>
              <w:rPr>
                <w:rFonts w:hint="eastAsia" w:ascii="宋体" w:hAnsi="宋体" w:cs="宋体"/>
                <w:b/>
                <w:bCs/>
                <w:kern w:val="0"/>
                <w:szCs w:val="21"/>
              </w:rPr>
              <w:t>9.6</w:t>
            </w:r>
          </w:p>
        </w:tc>
        <w:tc>
          <w:tcPr>
            <w:tcW w:w="8279" w:type="dxa"/>
            <w:gridSpan w:val="3"/>
            <w:noWrap/>
            <w:tcMar>
              <w:left w:w="45" w:type="dxa"/>
              <w:right w:w="45" w:type="dxa"/>
            </w:tcMar>
            <w:vAlign w:val="center"/>
          </w:tcPr>
          <w:p w14:paraId="3B7C3E18">
            <w:pPr>
              <w:widowControl/>
              <w:rPr>
                <w:rFonts w:ascii="宋体" w:hAnsi="宋体" w:cs="宋体"/>
                <w:b/>
                <w:kern w:val="0"/>
                <w:szCs w:val="21"/>
              </w:rPr>
            </w:pPr>
            <w:r>
              <w:rPr>
                <w:rFonts w:hint="eastAsia" w:ascii="宋体" w:hAnsi="宋体" w:cs="宋体"/>
                <w:b/>
                <w:kern w:val="0"/>
                <w:szCs w:val="21"/>
              </w:rPr>
              <w:t>实验气体管理</w:t>
            </w:r>
          </w:p>
        </w:tc>
      </w:tr>
      <w:tr w14:paraId="0BFB3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21970FDD">
            <w:pPr>
              <w:widowControl/>
              <w:rPr>
                <w:rFonts w:ascii="宋体" w:hAnsi="宋体" w:cs="宋体"/>
                <w:kern w:val="0"/>
                <w:szCs w:val="21"/>
              </w:rPr>
            </w:pPr>
            <w:r>
              <w:rPr>
                <w:rFonts w:hint="eastAsia" w:ascii="宋体" w:hAnsi="宋体" w:cs="宋体"/>
                <w:kern w:val="0"/>
                <w:szCs w:val="21"/>
              </w:rPr>
              <w:t>9.6.1</w:t>
            </w:r>
          </w:p>
        </w:tc>
        <w:tc>
          <w:tcPr>
            <w:tcW w:w="1721" w:type="dxa"/>
            <w:noWrap/>
            <w:tcMar>
              <w:left w:w="45" w:type="dxa"/>
              <w:right w:w="45" w:type="dxa"/>
            </w:tcMar>
            <w:vAlign w:val="center"/>
          </w:tcPr>
          <w:p w14:paraId="365AB131">
            <w:pPr>
              <w:widowControl/>
              <w:rPr>
                <w:rFonts w:ascii="宋体" w:hAnsi="宋体" w:cs="宋体"/>
                <w:kern w:val="0"/>
                <w:szCs w:val="21"/>
              </w:rPr>
            </w:pPr>
            <w:r>
              <w:rPr>
                <w:rFonts w:hint="eastAsia" w:ascii="宋体" w:hAnsi="宋体" w:cs="宋体"/>
                <w:kern w:val="0"/>
                <w:szCs w:val="21"/>
              </w:rPr>
              <w:t>从合格供应商处采购实验气体，建立气体（气瓶）台账</w:t>
            </w:r>
          </w:p>
        </w:tc>
        <w:tc>
          <w:tcPr>
            <w:tcW w:w="5567" w:type="dxa"/>
            <w:noWrap/>
            <w:tcMar>
              <w:left w:w="45" w:type="dxa"/>
              <w:right w:w="45" w:type="dxa"/>
            </w:tcMar>
            <w:vAlign w:val="center"/>
          </w:tcPr>
          <w:p w14:paraId="7B12B9B4">
            <w:pPr>
              <w:widowControl/>
              <w:rPr>
                <w:rFonts w:ascii="宋体" w:hAnsi="宋体" w:cs="宋体"/>
                <w:bCs/>
                <w:kern w:val="0"/>
                <w:szCs w:val="21"/>
              </w:rPr>
            </w:pPr>
            <w:r>
              <w:rPr>
                <w:rFonts w:hint="eastAsia" w:ascii="宋体" w:hAnsi="宋体" w:cs="宋体"/>
                <w:bCs/>
                <w:kern w:val="0"/>
                <w:szCs w:val="21"/>
              </w:rPr>
              <w:t>（153）查看记录</w:t>
            </w:r>
          </w:p>
          <w:p w14:paraId="5AE2A629">
            <w:pPr>
              <w:widowControl/>
              <w:rPr>
                <w:rFonts w:ascii="宋体" w:hAnsi="宋体" w:cs="宋体"/>
                <w:bCs/>
                <w:kern w:val="0"/>
                <w:szCs w:val="21"/>
              </w:rPr>
            </w:pPr>
          </w:p>
        </w:tc>
        <w:tc>
          <w:tcPr>
            <w:tcW w:w="991" w:type="dxa"/>
            <w:noWrap/>
            <w:tcMar>
              <w:left w:w="45" w:type="dxa"/>
              <w:right w:w="45" w:type="dxa"/>
            </w:tcMar>
            <w:vAlign w:val="center"/>
          </w:tcPr>
          <w:p w14:paraId="43F253AD">
            <w:pPr>
              <w:widowControl/>
              <w:rPr>
                <w:rFonts w:ascii="宋体" w:hAnsi="宋体" w:cs="宋体"/>
                <w:bCs/>
                <w:kern w:val="0"/>
                <w:szCs w:val="21"/>
              </w:rPr>
            </w:pPr>
          </w:p>
        </w:tc>
      </w:tr>
      <w:tr w14:paraId="0632E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60339BEB">
            <w:pPr>
              <w:widowControl/>
              <w:rPr>
                <w:rFonts w:ascii="宋体" w:hAnsi="宋体" w:cs="宋体"/>
                <w:kern w:val="0"/>
                <w:szCs w:val="21"/>
              </w:rPr>
            </w:pPr>
            <w:r>
              <w:rPr>
                <w:rFonts w:hint="eastAsia" w:ascii="宋体" w:hAnsi="宋体" w:cs="宋体"/>
                <w:kern w:val="0"/>
                <w:szCs w:val="21"/>
              </w:rPr>
              <w:t>9.6.2</w:t>
            </w:r>
          </w:p>
        </w:tc>
        <w:tc>
          <w:tcPr>
            <w:tcW w:w="1721" w:type="dxa"/>
            <w:noWrap/>
            <w:tcMar>
              <w:left w:w="45" w:type="dxa"/>
              <w:right w:w="45" w:type="dxa"/>
            </w:tcMar>
            <w:vAlign w:val="center"/>
          </w:tcPr>
          <w:p w14:paraId="1C379AE5">
            <w:pPr>
              <w:widowControl/>
              <w:rPr>
                <w:rFonts w:ascii="宋体" w:hAnsi="宋体" w:cs="宋体"/>
                <w:kern w:val="0"/>
                <w:szCs w:val="21"/>
              </w:rPr>
            </w:pPr>
            <w:r>
              <w:rPr>
                <w:rFonts w:hint="eastAsia" w:ascii="宋体" w:hAnsi="宋体" w:cs="宋体"/>
                <w:kern w:val="0"/>
                <w:szCs w:val="21"/>
              </w:rPr>
              <w:t>气体（气瓶）的存放和使用符合相关要求</w:t>
            </w:r>
          </w:p>
        </w:tc>
        <w:tc>
          <w:tcPr>
            <w:tcW w:w="5567" w:type="dxa"/>
            <w:noWrap/>
            <w:tcMar>
              <w:left w:w="45" w:type="dxa"/>
              <w:right w:w="45" w:type="dxa"/>
            </w:tcMar>
            <w:vAlign w:val="center"/>
          </w:tcPr>
          <w:p w14:paraId="7DFCBD07">
            <w:pPr>
              <w:rPr>
                <w:rFonts w:ascii="宋体" w:hAnsi="宋体" w:cs="宋体"/>
                <w:kern w:val="0"/>
                <w:szCs w:val="21"/>
              </w:rPr>
            </w:pPr>
            <w:r>
              <w:rPr>
                <w:rFonts w:hint="eastAsia" w:ascii="宋体" w:hAnsi="宋体" w:cs="宋体"/>
                <w:kern w:val="0"/>
                <w:szCs w:val="21"/>
              </w:rPr>
              <w:t>（154）气体（气瓶）存放点须通风、远离热源、避免暴晒，地面平整干燥。</w:t>
            </w:r>
          </w:p>
          <w:p w14:paraId="24C34220">
            <w:pPr>
              <w:rPr>
                <w:rFonts w:ascii="宋体" w:hAnsi="宋体" w:cs="宋体"/>
                <w:kern w:val="0"/>
                <w:szCs w:val="21"/>
              </w:rPr>
            </w:pPr>
            <w:r>
              <w:rPr>
                <w:rFonts w:hint="eastAsia" w:ascii="宋体" w:hAnsi="宋体" w:cs="宋体"/>
                <w:kern w:val="0"/>
                <w:szCs w:val="21"/>
              </w:rPr>
              <w:t>（155）气瓶应合理固定。</w:t>
            </w:r>
          </w:p>
          <w:p w14:paraId="725A29E1">
            <w:pPr>
              <w:rPr>
                <w:rFonts w:ascii="宋体" w:hAnsi="宋体" w:cs="宋体"/>
                <w:kern w:val="0"/>
                <w:szCs w:val="21"/>
              </w:rPr>
            </w:pPr>
            <w:r>
              <w:rPr>
                <w:rFonts w:hint="eastAsia" w:ascii="宋体" w:hAnsi="宋体" w:cs="宋体"/>
                <w:kern w:val="0"/>
                <w:szCs w:val="21"/>
              </w:rPr>
              <w:t>（156）危险气体气瓶尽量置于室外，室内放置应使用常时排风且带监测报警装置的气瓶柜。</w:t>
            </w:r>
          </w:p>
          <w:p w14:paraId="31A21F44">
            <w:pPr>
              <w:rPr>
                <w:rFonts w:ascii="宋体" w:hAnsi="宋体" w:cs="宋体"/>
                <w:kern w:val="0"/>
                <w:szCs w:val="21"/>
              </w:rPr>
            </w:pPr>
            <w:r>
              <w:rPr>
                <w:rFonts w:hint="eastAsia" w:ascii="宋体" w:hAnsi="宋体" w:cs="宋体"/>
                <w:kern w:val="0"/>
                <w:szCs w:val="21"/>
              </w:rPr>
              <w:t>（157）气瓶的存放应控制在最小需求量。</w:t>
            </w:r>
          </w:p>
          <w:p w14:paraId="2ECFEAB3">
            <w:pPr>
              <w:rPr>
                <w:rFonts w:ascii="宋体" w:hAnsi="宋体" w:cs="宋体"/>
                <w:kern w:val="0"/>
                <w:szCs w:val="21"/>
              </w:rPr>
            </w:pPr>
            <w:r>
              <w:rPr>
                <w:rFonts w:hint="eastAsia" w:ascii="宋体" w:hAnsi="宋体" w:cs="宋体"/>
                <w:kern w:val="0"/>
                <w:szCs w:val="21"/>
              </w:rPr>
              <w:t>（158）涉及有毒、可燃气体的场所，配有通风设施和相应的气体监测和报警装置等，张贴必要的安全警示标志。</w:t>
            </w:r>
          </w:p>
          <w:p w14:paraId="4EE44372">
            <w:pPr>
              <w:rPr>
                <w:rFonts w:ascii="宋体" w:hAnsi="宋体" w:cs="宋体"/>
                <w:kern w:val="0"/>
                <w:szCs w:val="21"/>
              </w:rPr>
            </w:pPr>
            <w:r>
              <w:rPr>
                <w:rFonts w:hint="eastAsia" w:ascii="宋体" w:hAnsi="宋体" w:cs="宋体"/>
                <w:kern w:val="0"/>
                <w:szCs w:val="21"/>
              </w:rPr>
              <w:t>（159）可燃性气体与氧气等助燃气体气瓶不得混放。</w:t>
            </w:r>
          </w:p>
          <w:p w14:paraId="23E996A7">
            <w:pPr>
              <w:rPr>
                <w:rFonts w:ascii="宋体" w:hAnsi="宋体" w:cs="宋体"/>
                <w:kern w:val="0"/>
                <w:szCs w:val="21"/>
              </w:rPr>
            </w:pPr>
            <w:r>
              <w:rPr>
                <w:rFonts w:hint="eastAsia" w:ascii="宋体" w:hAnsi="宋体" w:cs="宋体"/>
                <w:kern w:val="0"/>
                <w:szCs w:val="21"/>
              </w:rPr>
              <w:t>（160）独立的气体气瓶室应通风、不混放、有监控，有专人管理和记录。</w:t>
            </w:r>
          </w:p>
          <w:p w14:paraId="4097C055">
            <w:pPr>
              <w:widowControl/>
              <w:rPr>
                <w:rFonts w:ascii="宋体" w:hAnsi="宋体" w:cs="宋体"/>
                <w:kern w:val="0"/>
                <w:szCs w:val="21"/>
              </w:rPr>
            </w:pPr>
            <w:r>
              <w:rPr>
                <w:rFonts w:hint="eastAsia" w:ascii="宋体" w:hAnsi="宋体" w:cs="宋体"/>
                <w:kern w:val="0"/>
                <w:szCs w:val="21"/>
              </w:rPr>
              <w:t>（161）有供应商提供的气瓶定期检验合格标识，无超过检验有效期的气瓶、无超过设计年限的气瓶。</w:t>
            </w:r>
          </w:p>
          <w:p w14:paraId="12D70887">
            <w:pPr>
              <w:rPr>
                <w:rFonts w:ascii="宋体" w:hAnsi="宋体" w:cs="宋体"/>
                <w:kern w:val="0"/>
                <w:szCs w:val="21"/>
              </w:rPr>
            </w:pPr>
            <w:r>
              <w:rPr>
                <w:rFonts w:hint="eastAsia" w:ascii="宋体" w:hAnsi="宋体" w:cs="宋体"/>
                <w:kern w:val="0"/>
                <w:szCs w:val="21"/>
              </w:rPr>
              <w:t>（162）气瓶颜色符合GB/T 7144《气瓶颜色标志》的规定，确认“满、使用中、空瓶”三种状态。</w:t>
            </w:r>
          </w:p>
          <w:p w14:paraId="79D7D2C2">
            <w:pPr>
              <w:rPr>
                <w:rFonts w:ascii="宋体" w:hAnsi="宋体" w:cs="宋体"/>
                <w:kern w:val="0"/>
                <w:szCs w:val="21"/>
              </w:rPr>
            </w:pPr>
            <w:r>
              <w:rPr>
                <w:rFonts w:hint="eastAsia" w:ascii="宋体" w:hAnsi="宋体" w:cs="宋体"/>
                <w:kern w:val="0"/>
                <w:szCs w:val="21"/>
              </w:rPr>
              <w:t>（163）使用完毕，应及时关闭气瓶总阀。</w:t>
            </w:r>
          </w:p>
          <w:p w14:paraId="5EEDAF4C">
            <w:pPr>
              <w:rPr>
                <w:rFonts w:ascii="宋体" w:hAnsi="宋体" w:cs="宋体"/>
                <w:kern w:val="0"/>
                <w:szCs w:val="21"/>
              </w:rPr>
            </w:pPr>
            <w:r>
              <w:rPr>
                <w:rFonts w:hint="eastAsia" w:ascii="宋体" w:hAnsi="宋体" w:cs="宋体"/>
                <w:kern w:val="0"/>
                <w:szCs w:val="21"/>
              </w:rPr>
              <w:t>（164）气瓶附件齐全</w:t>
            </w:r>
          </w:p>
        </w:tc>
        <w:tc>
          <w:tcPr>
            <w:tcW w:w="991" w:type="dxa"/>
            <w:noWrap/>
            <w:tcMar>
              <w:left w:w="45" w:type="dxa"/>
              <w:right w:w="45" w:type="dxa"/>
            </w:tcMar>
            <w:vAlign w:val="center"/>
          </w:tcPr>
          <w:p w14:paraId="2016E9E3">
            <w:pPr>
              <w:rPr>
                <w:rFonts w:ascii="宋体" w:hAnsi="宋体" w:cs="宋体"/>
                <w:szCs w:val="21"/>
              </w:rPr>
            </w:pPr>
          </w:p>
        </w:tc>
      </w:tr>
      <w:tr w14:paraId="678F8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5051CD12">
            <w:pPr>
              <w:widowControl/>
              <w:rPr>
                <w:rFonts w:ascii="宋体" w:hAnsi="宋体" w:cs="宋体"/>
                <w:kern w:val="0"/>
                <w:szCs w:val="21"/>
              </w:rPr>
            </w:pPr>
            <w:r>
              <w:rPr>
                <w:rFonts w:hint="eastAsia" w:ascii="宋体" w:hAnsi="宋体" w:cs="宋体"/>
                <w:kern w:val="0"/>
                <w:szCs w:val="21"/>
              </w:rPr>
              <w:t>9.6.3</w:t>
            </w:r>
          </w:p>
        </w:tc>
        <w:tc>
          <w:tcPr>
            <w:tcW w:w="1721" w:type="dxa"/>
            <w:noWrap/>
            <w:tcMar>
              <w:left w:w="45" w:type="dxa"/>
              <w:right w:w="45" w:type="dxa"/>
            </w:tcMar>
            <w:vAlign w:val="center"/>
          </w:tcPr>
          <w:p w14:paraId="58294332">
            <w:pPr>
              <w:rPr>
                <w:rFonts w:ascii="宋体" w:hAnsi="宋体" w:cs="宋体"/>
                <w:kern w:val="0"/>
                <w:szCs w:val="21"/>
              </w:rPr>
            </w:pPr>
            <w:r>
              <w:rPr>
                <w:rFonts w:hint="eastAsia" w:ascii="宋体" w:hAnsi="宋体" w:cs="宋体"/>
                <w:kern w:val="0"/>
                <w:szCs w:val="21"/>
              </w:rPr>
              <w:t>在较小密封空间使用可引起窒息的气体，须安装氧含量监测报警装置</w:t>
            </w:r>
          </w:p>
        </w:tc>
        <w:tc>
          <w:tcPr>
            <w:tcW w:w="5567" w:type="dxa"/>
            <w:noWrap/>
            <w:tcMar>
              <w:left w:w="45" w:type="dxa"/>
              <w:right w:w="45" w:type="dxa"/>
            </w:tcMar>
            <w:vAlign w:val="center"/>
          </w:tcPr>
          <w:p w14:paraId="287868A5">
            <w:pPr>
              <w:rPr>
                <w:rFonts w:ascii="宋体" w:hAnsi="宋体" w:cs="宋体"/>
                <w:szCs w:val="21"/>
              </w:rPr>
            </w:pPr>
            <w:r>
              <w:rPr>
                <w:rFonts w:hint="eastAsia" w:ascii="宋体" w:hAnsi="宋体" w:cs="宋体"/>
                <w:szCs w:val="21"/>
              </w:rPr>
              <w:t>（165）在存有大量无毒窒息性压缩气体或液化气体（液氮、液氩）的较小密闭空间，为</w:t>
            </w:r>
            <w:r>
              <w:rPr>
                <w:rFonts w:hint="eastAsia" w:ascii="宋体" w:hAnsi="宋体" w:cs="宋体"/>
                <w:bCs/>
                <w:kern w:val="0"/>
                <w:szCs w:val="21"/>
              </w:rPr>
              <w:t>防止气体大量泄漏或蒸发导致缺氧，</w:t>
            </w:r>
            <w:r>
              <w:rPr>
                <w:rFonts w:hint="eastAsia" w:ascii="宋体" w:hAnsi="宋体" w:cs="宋体"/>
                <w:szCs w:val="21"/>
              </w:rPr>
              <w:t>须安装氧含量监测报警装置。如，实验室存放1瓶常见规格40L公称体积，15MPa公称压力的窒息性气体气瓶，实验室层高2.8m时的临界面积为28m</w:t>
            </w:r>
            <w:r>
              <w:rPr>
                <w:rFonts w:hint="eastAsia" w:ascii="宋体" w:hAnsi="宋体" w:cs="宋体"/>
                <w:szCs w:val="21"/>
                <w:vertAlign w:val="superscript"/>
              </w:rPr>
              <w:t>2</w:t>
            </w:r>
            <w:r>
              <w:rPr>
                <w:rFonts w:hint="eastAsia" w:ascii="宋体" w:hAnsi="宋体" w:cs="宋体"/>
                <w:szCs w:val="21"/>
              </w:rPr>
              <w:t>，层高2.6m时的临界面积为30 m</w:t>
            </w:r>
            <w:r>
              <w:rPr>
                <w:rFonts w:hint="eastAsia" w:ascii="宋体" w:hAnsi="宋体" w:cs="宋体"/>
                <w:szCs w:val="21"/>
                <w:vertAlign w:val="superscript"/>
              </w:rPr>
              <w:t>2</w:t>
            </w:r>
            <w:r>
              <w:rPr>
                <w:rFonts w:hint="eastAsia" w:ascii="宋体" w:hAnsi="宋体" w:cs="宋体"/>
                <w:szCs w:val="21"/>
              </w:rPr>
              <w:t>；实验室存放10L体积液氮（液态密度0.808 g·mL</w:t>
            </w:r>
            <w:r>
              <w:rPr>
                <w:rFonts w:hint="eastAsia" w:ascii="宋体" w:hAnsi="宋体" w:cs="宋体"/>
                <w:szCs w:val="21"/>
                <w:vertAlign w:val="superscript"/>
              </w:rPr>
              <w:t>–1</w:t>
            </w:r>
            <w:r>
              <w:rPr>
                <w:rFonts w:hint="eastAsia" w:ascii="宋体" w:hAnsi="宋体" w:cs="宋体"/>
                <w:szCs w:val="21"/>
              </w:rPr>
              <w:t>），实验室层高2.8m时的临界面积为30m</w:t>
            </w:r>
            <w:r>
              <w:rPr>
                <w:rFonts w:hint="eastAsia" w:ascii="宋体" w:hAnsi="宋体" w:cs="宋体"/>
                <w:szCs w:val="21"/>
                <w:vertAlign w:val="superscript"/>
              </w:rPr>
              <w:t>2</w:t>
            </w:r>
            <w:r>
              <w:rPr>
                <w:rFonts w:hint="eastAsia" w:ascii="宋体" w:hAnsi="宋体" w:cs="宋体"/>
                <w:szCs w:val="21"/>
              </w:rPr>
              <w:t>，层高2.6m时的临界面积为35 m</w:t>
            </w:r>
            <w:r>
              <w:rPr>
                <w:rFonts w:hint="eastAsia" w:ascii="宋体" w:hAnsi="宋体" w:cs="宋体"/>
                <w:szCs w:val="21"/>
                <w:vertAlign w:val="superscript"/>
              </w:rPr>
              <w:t>2</w:t>
            </w:r>
          </w:p>
        </w:tc>
        <w:tc>
          <w:tcPr>
            <w:tcW w:w="991" w:type="dxa"/>
            <w:noWrap/>
            <w:tcMar>
              <w:left w:w="45" w:type="dxa"/>
              <w:right w:w="45" w:type="dxa"/>
            </w:tcMar>
            <w:vAlign w:val="center"/>
          </w:tcPr>
          <w:p w14:paraId="7C8335E6">
            <w:pPr>
              <w:widowControl/>
              <w:rPr>
                <w:rFonts w:ascii="宋体" w:hAnsi="宋体" w:cs="宋体"/>
                <w:bCs/>
                <w:kern w:val="0"/>
                <w:szCs w:val="21"/>
              </w:rPr>
            </w:pPr>
          </w:p>
        </w:tc>
      </w:tr>
      <w:tr w14:paraId="0CD1A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4EDD7709">
            <w:pPr>
              <w:widowControl/>
              <w:rPr>
                <w:rFonts w:ascii="宋体" w:hAnsi="宋体" w:cs="宋体"/>
                <w:kern w:val="0"/>
                <w:szCs w:val="21"/>
              </w:rPr>
            </w:pPr>
            <w:r>
              <w:rPr>
                <w:rFonts w:hint="eastAsia" w:ascii="宋体" w:hAnsi="宋体" w:cs="宋体"/>
                <w:kern w:val="0"/>
                <w:szCs w:val="21"/>
              </w:rPr>
              <w:t>9.6.4</w:t>
            </w:r>
          </w:p>
        </w:tc>
        <w:tc>
          <w:tcPr>
            <w:tcW w:w="1721" w:type="dxa"/>
            <w:noWrap/>
            <w:tcMar>
              <w:left w:w="45" w:type="dxa"/>
              <w:right w:w="45" w:type="dxa"/>
            </w:tcMar>
            <w:vAlign w:val="center"/>
          </w:tcPr>
          <w:p w14:paraId="18320AFE">
            <w:pPr>
              <w:widowControl/>
              <w:rPr>
                <w:rFonts w:ascii="宋体" w:hAnsi="宋体" w:cs="宋体"/>
                <w:kern w:val="0"/>
                <w:szCs w:val="21"/>
              </w:rPr>
            </w:pPr>
            <w:r>
              <w:rPr>
                <w:rFonts w:hint="eastAsia" w:ascii="宋体" w:hAnsi="宋体" w:cs="宋体"/>
                <w:kern w:val="0"/>
                <w:szCs w:val="21"/>
              </w:rPr>
              <w:t>气体管路和气瓶连接正确、有清晰的标识</w:t>
            </w:r>
          </w:p>
        </w:tc>
        <w:tc>
          <w:tcPr>
            <w:tcW w:w="5567" w:type="dxa"/>
            <w:noWrap/>
            <w:tcMar>
              <w:left w:w="45" w:type="dxa"/>
              <w:right w:w="45" w:type="dxa"/>
            </w:tcMar>
            <w:vAlign w:val="center"/>
          </w:tcPr>
          <w:p w14:paraId="0B7E1A73">
            <w:pPr>
              <w:widowControl/>
              <w:rPr>
                <w:rFonts w:ascii="宋体" w:hAnsi="宋体" w:cs="宋体"/>
                <w:bCs/>
                <w:kern w:val="0"/>
                <w:szCs w:val="21"/>
              </w:rPr>
            </w:pPr>
            <w:r>
              <w:rPr>
                <w:rFonts w:hint="eastAsia" w:ascii="宋体" w:hAnsi="宋体" w:cs="宋体"/>
                <w:kern w:val="0"/>
                <w:szCs w:val="21"/>
              </w:rPr>
              <w:t>（166）管路材质选择合适，无破损或老化现象，定期进行气密性检查；存在多条气体管路的房间须张贴详细的管路图，管路标识正确</w:t>
            </w:r>
          </w:p>
        </w:tc>
        <w:tc>
          <w:tcPr>
            <w:tcW w:w="991" w:type="dxa"/>
            <w:noWrap/>
            <w:tcMar>
              <w:left w:w="45" w:type="dxa"/>
              <w:right w:w="45" w:type="dxa"/>
            </w:tcMar>
            <w:vAlign w:val="center"/>
          </w:tcPr>
          <w:p w14:paraId="2BF9A5D6">
            <w:pPr>
              <w:widowControl/>
              <w:rPr>
                <w:rFonts w:ascii="宋体" w:hAnsi="宋体" w:cs="宋体"/>
                <w:bCs/>
                <w:kern w:val="0"/>
                <w:szCs w:val="21"/>
              </w:rPr>
            </w:pPr>
          </w:p>
        </w:tc>
      </w:tr>
      <w:tr w14:paraId="6DB78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6BC4CEB5">
            <w:pPr>
              <w:widowControl/>
              <w:rPr>
                <w:rFonts w:ascii="宋体" w:hAnsi="宋体" w:cs="宋体"/>
                <w:b/>
                <w:kern w:val="0"/>
                <w:szCs w:val="21"/>
              </w:rPr>
            </w:pPr>
            <w:r>
              <w:rPr>
                <w:rFonts w:hint="eastAsia" w:ascii="宋体" w:hAnsi="宋体" w:cs="宋体"/>
                <w:b/>
                <w:kern w:val="0"/>
                <w:szCs w:val="21"/>
              </w:rPr>
              <w:t>9.7</w:t>
            </w:r>
          </w:p>
        </w:tc>
        <w:tc>
          <w:tcPr>
            <w:tcW w:w="8279" w:type="dxa"/>
            <w:gridSpan w:val="3"/>
            <w:noWrap/>
            <w:tcMar>
              <w:left w:w="45" w:type="dxa"/>
              <w:right w:w="45" w:type="dxa"/>
            </w:tcMar>
            <w:vAlign w:val="center"/>
          </w:tcPr>
          <w:p w14:paraId="0A143810">
            <w:pPr>
              <w:widowControl/>
              <w:rPr>
                <w:rFonts w:ascii="宋体" w:hAnsi="宋体" w:cs="宋体"/>
                <w:b/>
                <w:kern w:val="0"/>
                <w:szCs w:val="21"/>
              </w:rPr>
            </w:pPr>
            <w:r>
              <w:rPr>
                <w:rFonts w:hint="eastAsia" w:ascii="宋体" w:hAnsi="宋体" w:cs="宋体"/>
                <w:b/>
                <w:kern w:val="0"/>
                <w:szCs w:val="21"/>
              </w:rPr>
              <w:t>实验室化学废弃物的收集、分类和转运</w:t>
            </w:r>
          </w:p>
        </w:tc>
      </w:tr>
      <w:tr w14:paraId="110D0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7765F8B4">
            <w:pPr>
              <w:widowControl/>
              <w:rPr>
                <w:rFonts w:ascii="宋体" w:hAnsi="宋体" w:cs="宋体"/>
                <w:kern w:val="0"/>
                <w:szCs w:val="21"/>
              </w:rPr>
            </w:pPr>
            <w:r>
              <w:rPr>
                <w:rFonts w:hint="eastAsia" w:ascii="宋体" w:hAnsi="宋体" w:cs="宋体"/>
                <w:kern w:val="0"/>
                <w:szCs w:val="21"/>
              </w:rPr>
              <w:t>9.7.1</w:t>
            </w:r>
          </w:p>
        </w:tc>
        <w:tc>
          <w:tcPr>
            <w:tcW w:w="1721" w:type="dxa"/>
            <w:noWrap/>
            <w:tcMar>
              <w:left w:w="45" w:type="dxa"/>
              <w:right w:w="45" w:type="dxa"/>
            </w:tcMar>
            <w:vAlign w:val="center"/>
          </w:tcPr>
          <w:p w14:paraId="63581836">
            <w:pPr>
              <w:widowControl/>
              <w:rPr>
                <w:rFonts w:ascii="宋体" w:hAnsi="宋体" w:cs="宋体"/>
                <w:kern w:val="0"/>
                <w:szCs w:val="21"/>
              </w:rPr>
            </w:pPr>
            <w:r>
              <w:rPr>
                <w:rFonts w:hint="eastAsia" w:ascii="宋体" w:hAnsi="宋体" w:cs="宋体"/>
                <w:kern w:val="0"/>
                <w:szCs w:val="21"/>
              </w:rPr>
              <w:t>实验室应设立化学废弃物暂存区</w:t>
            </w:r>
          </w:p>
        </w:tc>
        <w:tc>
          <w:tcPr>
            <w:tcW w:w="5567" w:type="dxa"/>
            <w:noWrap/>
            <w:tcMar>
              <w:left w:w="45" w:type="dxa"/>
              <w:right w:w="45" w:type="dxa"/>
            </w:tcMar>
            <w:vAlign w:val="center"/>
          </w:tcPr>
          <w:p w14:paraId="7813BDC3">
            <w:pPr>
              <w:widowControl/>
              <w:rPr>
                <w:rFonts w:ascii="宋体" w:hAnsi="宋体" w:cs="宋体"/>
                <w:kern w:val="0"/>
                <w:szCs w:val="21"/>
              </w:rPr>
            </w:pPr>
            <w:r>
              <w:rPr>
                <w:rFonts w:hint="eastAsia" w:ascii="宋体" w:hAnsi="宋体" w:cs="宋体"/>
                <w:kern w:val="0"/>
                <w:szCs w:val="21"/>
              </w:rPr>
              <w:t>（167）暂存区应远离火源、热源和不相容物质，避免日晒、雨淋，存放两种及以上不相容的实验室危险废物时，应分不同区域。</w:t>
            </w:r>
          </w:p>
          <w:p w14:paraId="378B9145">
            <w:pPr>
              <w:widowControl/>
              <w:rPr>
                <w:rFonts w:ascii="宋体" w:hAnsi="宋体" w:cs="宋体"/>
                <w:kern w:val="0"/>
                <w:szCs w:val="21"/>
              </w:rPr>
            </w:pPr>
            <w:r>
              <w:rPr>
                <w:rFonts w:hint="eastAsia" w:ascii="宋体" w:hAnsi="宋体" w:cs="宋体"/>
                <w:kern w:val="0"/>
                <w:szCs w:val="21"/>
              </w:rPr>
              <w:t>（168）暂存区应有警示标志并有防遗洒、防渗漏设施或措施。</w:t>
            </w:r>
          </w:p>
        </w:tc>
        <w:tc>
          <w:tcPr>
            <w:tcW w:w="991" w:type="dxa"/>
            <w:noWrap/>
            <w:tcMar>
              <w:left w:w="45" w:type="dxa"/>
              <w:right w:w="45" w:type="dxa"/>
            </w:tcMar>
            <w:vAlign w:val="center"/>
          </w:tcPr>
          <w:p w14:paraId="43471026">
            <w:pPr>
              <w:widowControl/>
              <w:rPr>
                <w:rFonts w:ascii="宋体" w:hAnsi="宋体" w:cs="宋体"/>
                <w:bCs/>
                <w:kern w:val="0"/>
                <w:szCs w:val="21"/>
              </w:rPr>
            </w:pPr>
          </w:p>
        </w:tc>
      </w:tr>
      <w:tr w14:paraId="41A6D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401B6BBC">
            <w:pPr>
              <w:widowControl/>
              <w:rPr>
                <w:rFonts w:ascii="宋体" w:hAnsi="宋体" w:cs="宋体"/>
                <w:kern w:val="0"/>
                <w:szCs w:val="21"/>
              </w:rPr>
            </w:pPr>
            <w:r>
              <w:rPr>
                <w:rFonts w:hint="eastAsia" w:ascii="宋体" w:hAnsi="宋体" w:cs="宋体"/>
                <w:kern w:val="0"/>
                <w:szCs w:val="21"/>
              </w:rPr>
              <w:t>9.7.2</w:t>
            </w:r>
          </w:p>
        </w:tc>
        <w:tc>
          <w:tcPr>
            <w:tcW w:w="1721" w:type="dxa"/>
            <w:noWrap/>
            <w:tcMar>
              <w:left w:w="45" w:type="dxa"/>
              <w:right w:w="45" w:type="dxa"/>
            </w:tcMar>
            <w:vAlign w:val="center"/>
          </w:tcPr>
          <w:p w14:paraId="2F9DADED">
            <w:pPr>
              <w:widowControl/>
              <w:rPr>
                <w:rFonts w:ascii="宋体" w:hAnsi="宋体" w:cs="宋体"/>
                <w:kern w:val="0"/>
                <w:szCs w:val="21"/>
              </w:rPr>
            </w:pPr>
            <w:r>
              <w:rPr>
                <w:rFonts w:hint="eastAsia" w:ascii="宋体" w:hAnsi="宋体" w:cs="宋体"/>
                <w:kern w:val="0"/>
                <w:szCs w:val="21"/>
              </w:rPr>
              <w:t>实验室内须规范收集化学废弃物</w:t>
            </w:r>
          </w:p>
        </w:tc>
        <w:tc>
          <w:tcPr>
            <w:tcW w:w="5567" w:type="dxa"/>
            <w:noWrap/>
            <w:tcMar>
              <w:left w:w="45" w:type="dxa"/>
              <w:right w:w="45" w:type="dxa"/>
            </w:tcMar>
            <w:vAlign w:val="center"/>
          </w:tcPr>
          <w:p w14:paraId="028A5E21">
            <w:pPr>
              <w:widowControl/>
              <w:rPr>
                <w:rFonts w:ascii="宋体" w:hAnsi="宋体" w:cs="宋体"/>
                <w:kern w:val="0"/>
                <w:szCs w:val="21"/>
              </w:rPr>
            </w:pPr>
            <w:r>
              <w:rPr>
                <w:rFonts w:hint="eastAsia" w:ascii="宋体" w:hAnsi="宋体" w:cs="宋体"/>
                <w:kern w:val="0"/>
                <w:szCs w:val="21"/>
              </w:rPr>
              <w:t>（169）危险废物应按化学特性和危险特性，进行分类收集和暂存，通常条件下不稳定物质必须稳定化处理后才能进入危废处理流程。</w:t>
            </w:r>
          </w:p>
          <w:p w14:paraId="0B9BF5AA">
            <w:pPr>
              <w:widowControl/>
              <w:rPr>
                <w:rFonts w:ascii="宋体" w:hAnsi="宋体" w:cs="宋体"/>
                <w:kern w:val="0"/>
                <w:szCs w:val="21"/>
              </w:rPr>
            </w:pPr>
            <w:r>
              <w:rPr>
                <w:rFonts w:hint="eastAsia" w:ascii="宋体" w:hAnsi="宋体" w:cs="宋体"/>
                <w:kern w:val="0"/>
                <w:szCs w:val="21"/>
              </w:rPr>
              <w:t>（170）废弃的化学试剂应存放在原试剂瓶中，保留原标签，且瓶口朝上放入专用固废箱中。</w:t>
            </w:r>
          </w:p>
          <w:p w14:paraId="7A34BB8E">
            <w:pPr>
              <w:widowControl/>
              <w:rPr>
                <w:rFonts w:ascii="宋体" w:hAnsi="宋体" w:cs="宋体"/>
                <w:kern w:val="0"/>
                <w:szCs w:val="21"/>
              </w:rPr>
            </w:pPr>
            <w:r>
              <w:rPr>
                <w:rFonts w:hint="eastAsia" w:ascii="宋体" w:hAnsi="宋体" w:cs="宋体"/>
                <w:kern w:val="0"/>
                <w:szCs w:val="21"/>
              </w:rPr>
              <w:t>（171）针头等利器须放入利器盒中收集。</w:t>
            </w:r>
          </w:p>
          <w:p w14:paraId="5DCD6783">
            <w:pPr>
              <w:widowControl/>
              <w:rPr>
                <w:rFonts w:ascii="宋体" w:hAnsi="宋体" w:cs="宋体"/>
                <w:kern w:val="0"/>
                <w:szCs w:val="21"/>
              </w:rPr>
            </w:pPr>
            <w:r>
              <w:rPr>
                <w:rFonts w:hint="eastAsia" w:ascii="宋体" w:hAnsi="宋体" w:cs="宋体"/>
                <w:kern w:val="0"/>
                <w:szCs w:val="21"/>
              </w:rPr>
              <w:t>（172）废液应分类装入专用废液桶中，液面不超过容量的3/4。废液桶须满足耐腐蚀、抗溶剂、耐挤压、抗冲击的要求。</w:t>
            </w:r>
          </w:p>
          <w:p w14:paraId="29CE72FC">
            <w:pPr>
              <w:widowControl/>
              <w:rPr>
                <w:rFonts w:ascii="宋体" w:hAnsi="宋体" w:cs="宋体"/>
                <w:kern w:val="0"/>
                <w:szCs w:val="21"/>
              </w:rPr>
            </w:pPr>
            <w:r>
              <w:rPr>
                <w:rFonts w:hint="eastAsia" w:ascii="宋体" w:hAnsi="宋体" w:cs="宋体"/>
                <w:kern w:val="0"/>
                <w:szCs w:val="21"/>
              </w:rPr>
              <w:t>（173）实验室危险废物收集容器上应粘贴危险废物信息标签、警示标识。</w:t>
            </w:r>
          </w:p>
          <w:p w14:paraId="6C70CA7F">
            <w:pPr>
              <w:widowControl/>
              <w:rPr>
                <w:rFonts w:ascii="宋体" w:hAnsi="宋体" w:cs="宋体"/>
                <w:kern w:val="0"/>
                <w:szCs w:val="21"/>
              </w:rPr>
            </w:pPr>
            <w:r>
              <w:rPr>
                <w:rFonts w:hint="eastAsia" w:ascii="宋体" w:hAnsi="宋体" w:cs="宋体"/>
                <w:kern w:val="0"/>
                <w:szCs w:val="21"/>
              </w:rPr>
              <w:t>（174）严禁将实验室危险废物直接排入下水道，严禁与生活垃圾、感染性废物或放射性废物等混装</w:t>
            </w:r>
          </w:p>
        </w:tc>
        <w:tc>
          <w:tcPr>
            <w:tcW w:w="991" w:type="dxa"/>
            <w:noWrap/>
            <w:tcMar>
              <w:left w:w="45" w:type="dxa"/>
              <w:right w:w="45" w:type="dxa"/>
            </w:tcMar>
            <w:vAlign w:val="center"/>
          </w:tcPr>
          <w:p w14:paraId="68CF7546">
            <w:pPr>
              <w:widowControl/>
              <w:rPr>
                <w:rFonts w:ascii="宋体" w:hAnsi="宋体" w:cs="宋体"/>
                <w:bCs/>
                <w:kern w:val="0"/>
                <w:szCs w:val="21"/>
              </w:rPr>
            </w:pPr>
          </w:p>
        </w:tc>
      </w:tr>
      <w:tr w14:paraId="4A412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4318555B">
            <w:pPr>
              <w:widowControl/>
              <w:rPr>
                <w:rFonts w:ascii="宋体" w:hAnsi="宋体" w:cs="宋体"/>
                <w:kern w:val="0"/>
                <w:szCs w:val="21"/>
              </w:rPr>
            </w:pPr>
            <w:r>
              <w:rPr>
                <w:rFonts w:hint="eastAsia" w:ascii="宋体" w:hAnsi="宋体" w:cs="宋体"/>
                <w:kern w:val="0"/>
                <w:szCs w:val="21"/>
              </w:rPr>
              <w:t>9.7.3</w:t>
            </w:r>
          </w:p>
        </w:tc>
        <w:tc>
          <w:tcPr>
            <w:tcW w:w="1721" w:type="dxa"/>
            <w:noWrap/>
            <w:tcMar>
              <w:left w:w="45" w:type="dxa"/>
              <w:right w:w="45" w:type="dxa"/>
            </w:tcMar>
            <w:vAlign w:val="center"/>
          </w:tcPr>
          <w:p w14:paraId="3A00223F">
            <w:pPr>
              <w:widowControl/>
              <w:rPr>
                <w:rFonts w:ascii="宋体" w:hAnsi="宋体" w:cs="宋体"/>
                <w:kern w:val="0"/>
                <w:szCs w:val="21"/>
              </w:rPr>
            </w:pPr>
            <w:r>
              <w:rPr>
                <w:rFonts w:hint="eastAsia" w:ascii="宋体" w:hAnsi="宋体" w:cs="宋体"/>
                <w:kern w:val="0"/>
                <w:szCs w:val="21"/>
              </w:rPr>
              <w:t>学校应建设化学废弃物贮存站并规范管理</w:t>
            </w:r>
          </w:p>
        </w:tc>
        <w:tc>
          <w:tcPr>
            <w:tcW w:w="5567" w:type="dxa"/>
            <w:noWrap/>
            <w:tcMar>
              <w:left w:w="45" w:type="dxa"/>
              <w:right w:w="45" w:type="dxa"/>
            </w:tcMar>
            <w:vAlign w:val="center"/>
          </w:tcPr>
          <w:p w14:paraId="0E95EFB4">
            <w:pPr>
              <w:widowControl/>
              <w:rPr>
                <w:rFonts w:ascii="宋体" w:hAnsi="宋体" w:cs="宋体"/>
                <w:kern w:val="0"/>
                <w:szCs w:val="21"/>
              </w:rPr>
            </w:pPr>
            <w:r>
              <w:rPr>
                <w:rFonts w:hint="eastAsia" w:ascii="宋体" w:hAnsi="宋体" w:cs="宋体"/>
                <w:kern w:val="0"/>
                <w:szCs w:val="21"/>
              </w:rPr>
              <w:t>（175）贮存设施、场所应当按照规定设置危险废物识别标志，存储装置符合GB/T 41962《实验室废弃物存储装置技术规范》的要求，易燃废弃物室外存储装置的单套内部面积应不大于30m</w:t>
            </w:r>
            <w:r>
              <w:rPr>
                <w:rFonts w:hint="eastAsia" w:ascii="宋体" w:hAnsi="宋体" w:cs="宋体"/>
                <w:kern w:val="0"/>
                <w:szCs w:val="21"/>
                <w:vertAlign w:val="superscript"/>
              </w:rPr>
              <w:t>2</w:t>
            </w:r>
            <w:r>
              <w:rPr>
                <w:rFonts w:hint="eastAsia" w:ascii="宋体" w:hAnsi="宋体" w:cs="宋体"/>
                <w:kern w:val="0"/>
                <w:szCs w:val="21"/>
              </w:rPr>
              <w:t>、高应不大于3m（尺寸误差应不大于10%），并在通风口处设置防火阀，公称动作温度为70</w:t>
            </w:r>
            <w:r>
              <w:rPr>
                <w:rFonts w:hint="eastAsia" w:ascii="宋体" w:hAnsi="宋体" w:cs="宋体"/>
                <w:szCs w:val="21"/>
              </w:rPr>
              <w:t>℃</w:t>
            </w:r>
            <w:r>
              <w:rPr>
                <w:rFonts w:hint="eastAsia" w:ascii="宋体" w:hAnsi="宋体" w:cs="宋体"/>
                <w:kern w:val="0"/>
                <w:szCs w:val="21"/>
              </w:rPr>
              <w:t>。</w:t>
            </w:r>
          </w:p>
          <w:p w14:paraId="1BC14AA5">
            <w:pPr>
              <w:widowControl/>
              <w:rPr>
                <w:rFonts w:ascii="宋体" w:hAnsi="宋体" w:cs="宋体"/>
                <w:kern w:val="0"/>
                <w:szCs w:val="21"/>
              </w:rPr>
            </w:pPr>
            <w:r>
              <w:rPr>
                <w:rFonts w:hint="eastAsia" w:ascii="宋体" w:hAnsi="宋体" w:cs="宋体"/>
                <w:kern w:val="0"/>
                <w:szCs w:val="21"/>
              </w:rPr>
              <w:t>（176）贮存站应有具体的管理办法并将贮存站安全运行、实验室危险废物出站转运等日常管理工作落实到相关人员的岗位职责中。</w:t>
            </w:r>
          </w:p>
          <w:p w14:paraId="48BDB8DA">
            <w:pPr>
              <w:widowControl/>
              <w:rPr>
                <w:rFonts w:ascii="宋体" w:hAnsi="宋体" w:cs="宋体"/>
                <w:bCs/>
                <w:kern w:val="0"/>
                <w:szCs w:val="21"/>
              </w:rPr>
            </w:pPr>
            <w:r>
              <w:rPr>
                <w:rFonts w:hint="eastAsia" w:ascii="宋体" w:hAnsi="宋体" w:cs="宋体"/>
                <w:bCs/>
                <w:kern w:val="0"/>
                <w:szCs w:val="21"/>
              </w:rPr>
              <w:t>（177）制定意外事故的防范措施和应急预案</w:t>
            </w:r>
            <w:r>
              <w:rPr>
                <w:rFonts w:hint="eastAsia" w:ascii="宋体" w:hAnsi="宋体" w:cs="宋体"/>
                <w:kern w:val="0"/>
                <w:szCs w:val="21"/>
              </w:rPr>
              <w:t>，并向所在地生态环境主管部门</w:t>
            </w:r>
            <w:r>
              <w:rPr>
                <w:rFonts w:hint="eastAsia" w:ascii="宋体" w:hAnsi="宋体" w:cs="宋体"/>
                <w:bCs/>
                <w:kern w:val="0"/>
                <w:szCs w:val="21"/>
              </w:rPr>
              <w:t>备案</w:t>
            </w:r>
          </w:p>
        </w:tc>
        <w:tc>
          <w:tcPr>
            <w:tcW w:w="991" w:type="dxa"/>
            <w:noWrap/>
            <w:tcMar>
              <w:left w:w="45" w:type="dxa"/>
              <w:right w:w="45" w:type="dxa"/>
            </w:tcMar>
            <w:vAlign w:val="center"/>
          </w:tcPr>
          <w:p w14:paraId="43F645A0">
            <w:pPr>
              <w:widowControl/>
              <w:rPr>
                <w:rFonts w:ascii="宋体" w:hAnsi="宋体" w:cs="宋体"/>
                <w:bCs/>
                <w:kern w:val="0"/>
                <w:szCs w:val="21"/>
              </w:rPr>
            </w:pPr>
          </w:p>
        </w:tc>
      </w:tr>
      <w:tr w14:paraId="1E8AE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764588E1">
            <w:pPr>
              <w:widowControl/>
              <w:rPr>
                <w:rFonts w:ascii="宋体" w:hAnsi="宋体" w:cs="宋体"/>
                <w:kern w:val="0"/>
                <w:szCs w:val="21"/>
              </w:rPr>
            </w:pPr>
            <w:r>
              <w:rPr>
                <w:rFonts w:hint="eastAsia" w:ascii="宋体" w:hAnsi="宋体" w:cs="宋体"/>
                <w:kern w:val="0"/>
                <w:szCs w:val="21"/>
              </w:rPr>
              <w:t>9.7.4</w:t>
            </w:r>
          </w:p>
        </w:tc>
        <w:tc>
          <w:tcPr>
            <w:tcW w:w="1721" w:type="dxa"/>
            <w:noWrap/>
            <w:tcMar>
              <w:left w:w="45" w:type="dxa"/>
              <w:right w:w="45" w:type="dxa"/>
            </w:tcMar>
            <w:vAlign w:val="center"/>
          </w:tcPr>
          <w:p w14:paraId="2C2DDD8B">
            <w:pPr>
              <w:widowControl/>
              <w:rPr>
                <w:rFonts w:ascii="宋体" w:hAnsi="宋体" w:cs="宋体"/>
                <w:kern w:val="0"/>
                <w:szCs w:val="21"/>
              </w:rPr>
            </w:pPr>
            <w:r>
              <w:rPr>
                <w:rFonts w:hint="eastAsia" w:ascii="宋体" w:hAnsi="宋体" w:cs="宋体"/>
                <w:kern w:val="0"/>
                <w:szCs w:val="21"/>
              </w:rPr>
              <w:t>化学废弃物的转运须合规</w:t>
            </w:r>
          </w:p>
        </w:tc>
        <w:tc>
          <w:tcPr>
            <w:tcW w:w="5567" w:type="dxa"/>
            <w:noWrap/>
            <w:tcMar>
              <w:left w:w="45" w:type="dxa"/>
              <w:right w:w="45" w:type="dxa"/>
            </w:tcMar>
            <w:vAlign w:val="center"/>
          </w:tcPr>
          <w:p w14:paraId="304865A3">
            <w:pPr>
              <w:widowControl/>
              <w:rPr>
                <w:rFonts w:ascii="宋体" w:hAnsi="宋体" w:cs="宋体"/>
                <w:kern w:val="0"/>
                <w:szCs w:val="21"/>
              </w:rPr>
            </w:pPr>
            <w:r>
              <w:rPr>
                <w:rFonts w:hint="eastAsia" w:ascii="宋体" w:hAnsi="宋体" w:cs="宋体"/>
                <w:kern w:val="0"/>
                <w:szCs w:val="21"/>
              </w:rPr>
              <w:t>（178）委托有危险废物处置资质的专业厂家集中处置化学废弃物，并查看协议。</w:t>
            </w:r>
          </w:p>
          <w:p w14:paraId="614705CA">
            <w:pPr>
              <w:widowControl/>
              <w:rPr>
                <w:rFonts w:ascii="宋体" w:hAnsi="宋体" w:cs="宋体"/>
                <w:kern w:val="0"/>
                <w:szCs w:val="21"/>
              </w:rPr>
            </w:pPr>
            <w:r>
              <w:rPr>
                <w:rFonts w:hint="eastAsia" w:ascii="宋体" w:hAnsi="宋体" w:cs="宋体"/>
                <w:kern w:val="0"/>
                <w:szCs w:val="21"/>
              </w:rPr>
              <w:t>（179）</w:t>
            </w:r>
            <w:r>
              <w:rPr>
                <w:rFonts w:hint="eastAsia" w:ascii="宋体" w:hAnsi="宋体" w:cs="宋体"/>
                <w:bCs/>
                <w:kern w:val="0"/>
                <w:szCs w:val="21"/>
              </w:rPr>
              <w:t>建立危险废物管理台账</w:t>
            </w:r>
            <w:r>
              <w:rPr>
                <w:rFonts w:hint="eastAsia" w:ascii="宋体" w:hAnsi="宋体" w:cs="宋体"/>
                <w:kern w:val="0"/>
                <w:szCs w:val="21"/>
              </w:rPr>
              <w:t>，如实记录有关信息，包括种类、产生量、流向、贮存、处置等有关资料。</w:t>
            </w:r>
          </w:p>
          <w:p w14:paraId="29690D50">
            <w:pPr>
              <w:widowControl/>
              <w:rPr>
                <w:rFonts w:ascii="宋体" w:hAnsi="宋体" w:cs="宋体"/>
                <w:kern w:val="0"/>
                <w:szCs w:val="21"/>
              </w:rPr>
            </w:pPr>
            <w:r>
              <w:rPr>
                <w:rFonts w:hint="eastAsia" w:ascii="宋体" w:hAnsi="宋体" w:cs="宋体"/>
                <w:kern w:val="0"/>
                <w:szCs w:val="21"/>
              </w:rPr>
              <w:t>（180）校外转运之前，贮存站必须妥善管理实验室危险废物，采取有效措施，防止废物的扬散、流失、渗漏或造成其他环境污染。</w:t>
            </w:r>
          </w:p>
          <w:p w14:paraId="5A31D027">
            <w:pPr>
              <w:widowControl/>
              <w:rPr>
                <w:rFonts w:ascii="宋体" w:hAnsi="宋体" w:cs="宋体"/>
                <w:kern w:val="0"/>
                <w:szCs w:val="21"/>
              </w:rPr>
            </w:pPr>
            <w:r>
              <w:rPr>
                <w:rFonts w:hint="eastAsia" w:ascii="宋体" w:hAnsi="宋体" w:cs="宋体"/>
                <w:kern w:val="0"/>
                <w:szCs w:val="21"/>
              </w:rPr>
              <w:t>（181）转运人员应使用专用运输工具，运输前根据运输废物的危险特性，应携带必要的应急物资和个体防护用具，如收集工具、手套、口罩等。</w:t>
            </w:r>
          </w:p>
          <w:p w14:paraId="664760CA">
            <w:pPr>
              <w:widowControl/>
              <w:rPr>
                <w:rFonts w:ascii="宋体" w:hAnsi="宋体" w:cs="宋体"/>
                <w:kern w:val="0"/>
                <w:szCs w:val="21"/>
              </w:rPr>
            </w:pPr>
            <w:r>
              <w:rPr>
                <w:rFonts w:hint="eastAsia" w:ascii="宋体" w:hAnsi="宋体" w:cs="宋体"/>
                <w:kern w:val="0"/>
                <w:szCs w:val="21"/>
              </w:rPr>
              <w:t>（182）实验室危险废物的校外转运必须按照国家有关规定填写危险废物电子或者纸质转移联单，任何单位和个人未经许可不得非法转运</w:t>
            </w:r>
          </w:p>
        </w:tc>
        <w:tc>
          <w:tcPr>
            <w:tcW w:w="991" w:type="dxa"/>
            <w:noWrap/>
            <w:tcMar>
              <w:left w:w="45" w:type="dxa"/>
              <w:right w:w="45" w:type="dxa"/>
            </w:tcMar>
            <w:vAlign w:val="center"/>
          </w:tcPr>
          <w:p w14:paraId="55ADC0F6">
            <w:pPr>
              <w:widowControl/>
              <w:rPr>
                <w:rFonts w:ascii="宋体" w:hAnsi="宋体" w:cs="宋体"/>
                <w:bCs/>
                <w:kern w:val="0"/>
                <w:szCs w:val="21"/>
              </w:rPr>
            </w:pPr>
          </w:p>
        </w:tc>
      </w:tr>
      <w:tr w14:paraId="015E0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034B2359">
            <w:pPr>
              <w:widowControl/>
              <w:rPr>
                <w:rFonts w:ascii="宋体" w:hAnsi="宋体" w:cs="宋体"/>
                <w:b/>
                <w:kern w:val="0"/>
                <w:szCs w:val="21"/>
              </w:rPr>
            </w:pPr>
            <w:r>
              <w:rPr>
                <w:rFonts w:hint="eastAsia" w:ascii="宋体" w:hAnsi="宋体" w:cs="宋体"/>
                <w:b/>
                <w:kern w:val="0"/>
                <w:szCs w:val="21"/>
              </w:rPr>
              <w:t>10</w:t>
            </w:r>
          </w:p>
        </w:tc>
        <w:tc>
          <w:tcPr>
            <w:tcW w:w="8279" w:type="dxa"/>
            <w:gridSpan w:val="3"/>
            <w:noWrap/>
            <w:tcMar>
              <w:left w:w="45" w:type="dxa"/>
              <w:right w:w="45" w:type="dxa"/>
            </w:tcMar>
            <w:vAlign w:val="center"/>
          </w:tcPr>
          <w:p w14:paraId="0C810B44">
            <w:pPr>
              <w:widowControl/>
              <w:rPr>
                <w:rFonts w:ascii="宋体" w:hAnsi="宋体" w:cs="宋体"/>
                <w:b/>
                <w:kern w:val="0"/>
                <w:szCs w:val="21"/>
              </w:rPr>
            </w:pPr>
            <w:r>
              <w:rPr>
                <w:rFonts w:hint="eastAsia" w:ascii="宋体" w:hAnsi="宋体" w:cs="宋体"/>
                <w:b/>
                <w:kern w:val="0"/>
                <w:szCs w:val="21"/>
              </w:rPr>
              <w:t>生物安全</w:t>
            </w:r>
          </w:p>
        </w:tc>
      </w:tr>
      <w:tr w14:paraId="4195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13129CD4">
            <w:pPr>
              <w:widowControl/>
              <w:rPr>
                <w:rFonts w:ascii="宋体" w:hAnsi="宋体" w:cs="宋体"/>
                <w:b/>
                <w:kern w:val="0"/>
                <w:szCs w:val="21"/>
              </w:rPr>
            </w:pPr>
            <w:r>
              <w:rPr>
                <w:rFonts w:hint="eastAsia" w:ascii="宋体" w:hAnsi="宋体" w:cs="宋体"/>
                <w:b/>
                <w:kern w:val="0"/>
                <w:szCs w:val="21"/>
              </w:rPr>
              <w:t>10.1</w:t>
            </w:r>
          </w:p>
        </w:tc>
        <w:tc>
          <w:tcPr>
            <w:tcW w:w="8279" w:type="dxa"/>
            <w:gridSpan w:val="3"/>
            <w:noWrap/>
            <w:tcMar>
              <w:left w:w="45" w:type="dxa"/>
              <w:right w:w="45" w:type="dxa"/>
            </w:tcMar>
            <w:vAlign w:val="center"/>
          </w:tcPr>
          <w:p w14:paraId="50AE21FB">
            <w:pPr>
              <w:widowControl/>
              <w:rPr>
                <w:rFonts w:ascii="宋体" w:hAnsi="宋体" w:cs="宋体"/>
                <w:b/>
                <w:kern w:val="0"/>
                <w:szCs w:val="21"/>
              </w:rPr>
            </w:pPr>
            <w:r>
              <w:rPr>
                <w:rFonts w:hint="eastAsia" w:ascii="宋体" w:hAnsi="宋体" w:cs="宋体"/>
                <w:b/>
                <w:kern w:val="0"/>
                <w:szCs w:val="21"/>
              </w:rPr>
              <w:t>实验室生物安全等级</w:t>
            </w:r>
          </w:p>
        </w:tc>
      </w:tr>
      <w:tr w14:paraId="399F4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49141062">
            <w:pPr>
              <w:widowControl/>
              <w:rPr>
                <w:rFonts w:ascii="宋体" w:hAnsi="宋体" w:cs="宋体"/>
                <w:kern w:val="0"/>
                <w:szCs w:val="21"/>
              </w:rPr>
            </w:pPr>
            <w:r>
              <w:rPr>
                <w:rFonts w:hint="eastAsia" w:ascii="宋体" w:hAnsi="宋体" w:cs="宋体"/>
                <w:kern w:val="0"/>
                <w:szCs w:val="21"/>
              </w:rPr>
              <w:t>10.1.1</w:t>
            </w:r>
          </w:p>
        </w:tc>
        <w:tc>
          <w:tcPr>
            <w:tcW w:w="1721" w:type="dxa"/>
            <w:noWrap/>
            <w:tcMar>
              <w:left w:w="45" w:type="dxa"/>
              <w:right w:w="45" w:type="dxa"/>
            </w:tcMar>
            <w:vAlign w:val="center"/>
          </w:tcPr>
          <w:p w14:paraId="4B34914C">
            <w:pPr>
              <w:widowControl/>
              <w:rPr>
                <w:rFonts w:ascii="宋体" w:hAnsi="宋体" w:cs="宋体"/>
                <w:kern w:val="0"/>
                <w:szCs w:val="21"/>
              </w:rPr>
            </w:pPr>
            <w:r>
              <w:rPr>
                <w:rFonts w:hint="eastAsia" w:ascii="宋体" w:hAnsi="宋体" w:cs="宋体"/>
                <w:kern w:val="0"/>
                <w:szCs w:val="21"/>
              </w:rPr>
              <w:t>开展病原微生物实验研究的实验室，须具备相应的安全等级资质</w:t>
            </w:r>
          </w:p>
        </w:tc>
        <w:tc>
          <w:tcPr>
            <w:tcW w:w="5567" w:type="dxa"/>
            <w:noWrap/>
            <w:tcMar>
              <w:left w:w="45" w:type="dxa"/>
              <w:right w:w="45" w:type="dxa"/>
            </w:tcMar>
            <w:vAlign w:val="center"/>
          </w:tcPr>
          <w:p w14:paraId="5C85B4ED">
            <w:pPr>
              <w:widowControl/>
              <w:rPr>
                <w:rFonts w:ascii="宋体" w:hAnsi="宋体" w:cs="宋体"/>
                <w:bCs/>
                <w:kern w:val="0"/>
                <w:szCs w:val="21"/>
              </w:rPr>
            </w:pPr>
            <w:r>
              <w:rPr>
                <w:rFonts w:hint="eastAsia" w:ascii="宋体" w:hAnsi="宋体" w:cs="宋体"/>
                <w:bCs/>
                <w:kern w:val="0"/>
                <w:szCs w:val="21"/>
              </w:rPr>
              <w:t>（183）BSL-3/ABSL-3 、 BSL-4/ABSL-4 实 验 室 须 经 政 府 部 门 批 准 建 设 ， BSL-1/ABSL-1、BSL-2/ABSL-2 实验室由学校建设后报卫生或农业农村部门备案</w:t>
            </w:r>
          </w:p>
        </w:tc>
        <w:tc>
          <w:tcPr>
            <w:tcW w:w="991" w:type="dxa"/>
            <w:noWrap/>
            <w:tcMar>
              <w:left w:w="45" w:type="dxa"/>
              <w:right w:w="45" w:type="dxa"/>
            </w:tcMar>
            <w:vAlign w:val="center"/>
          </w:tcPr>
          <w:p w14:paraId="4A764BF4">
            <w:pPr>
              <w:widowControl/>
              <w:rPr>
                <w:rFonts w:ascii="宋体" w:hAnsi="宋体" w:cs="宋体"/>
                <w:b/>
                <w:bCs/>
                <w:kern w:val="0"/>
                <w:szCs w:val="21"/>
              </w:rPr>
            </w:pPr>
          </w:p>
        </w:tc>
      </w:tr>
      <w:tr w14:paraId="3F2C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373323E0">
            <w:pPr>
              <w:widowControl/>
              <w:rPr>
                <w:rFonts w:ascii="宋体" w:hAnsi="宋体" w:cs="宋体"/>
                <w:kern w:val="0"/>
                <w:szCs w:val="21"/>
              </w:rPr>
            </w:pPr>
            <w:r>
              <w:rPr>
                <w:rFonts w:hint="eastAsia" w:ascii="宋体" w:hAnsi="宋体" w:cs="宋体"/>
                <w:kern w:val="0"/>
                <w:szCs w:val="21"/>
              </w:rPr>
              <w:t>10.1.2</w:t>
            </w:r>
          </w:p>
        </w:tc>
        <w:tc>
          <w:tcPr>
            <w:tcW w:w="1721" w:type="dxa"/>
            <w:noWrap/>
            <w:tcMar>
              <w:left w:w="45" w:type="dxa"/>
              <w:right w:w="45" w:type="dxa"/>
            </w:tcMar>
            <w:vAlign w:val="center"/>
          </w:tcPr>
          <w:p w14:paraId="2481919E">
            <w:pPr>
              <w:widowControl/>
              <w:rPr>
                <w:rFonts w:ascii="宋体" w:hAnsi="宋体" w:cs="宋体"/>
                <w:kern w:val="0"/>
                <w:szCs w:val="21"/>
              </w:rPr>
            </w:pPr>
            <w:r>
              <w:rPr>
                <w:rFonts w:hint="eastAsia" w:ascii="宋体" w:hAnsi="宋体" w:cs="宋体"/>
                <w:kern w:val="0"/>
                <w:szCs w:val="21"/>
              </w:rPr>
              <w:t>在相应等级的实验室开展涉及致病性生物因子的实验活动</w:t>
            </w:r>
          </w:p>
          <w:p w14:paraId="7A19E2A1">
            <w:pPr>
              <w:widowControl/>
              <w:rPr>
                <w:rFonts w:ascii="宋体" w:hAnsi="宋体" w:cs="宋体"/>
                <w:kern w:val="0"/>
                <w:szCs w:val="21"/>
              </w:rPr>
            </w:pPr>
          </w:p>
        </w:tc>
        <w:tc>
          <w:tcPr>
            <w:tcW w:w="5567" w:type="dxa"/>
            <w:noWrap/>
            <w:tcMar>
              <w:left w:w="45" w:type="dxa"/>
              <w:right w:w="45" w:type="dxa"/>
            </w:tcMar>
            <w:vAlign w:val="center"/>
          </w:tcPr>
          <w:p w14:paraId="6735B7FC">
            <w:pPr>
              <w:widowControl/>
              <w:rPr>
                <w:rFonts w:ascii="宋体" w:hAnsi="宋体" w:cs="宋体"/>
                <w:bCs/>
                <w:kern w:val="0"/>
                <w:szCs w:val="21"/>
              </w:rPr>
            </w:pPr>
            <w:r>
              <w:rPr>
                <w:rFonts w:hint="eastAsia" w:ascii="宋体" w:hAnsi="宋体" w:cs="宋体"/>
                <w:szCs w:val="21"/>
              </w:rPr>
              <w:t>（184）以国家法律、法规、标准、规范，以及权威机构发布的指南、数据等为依据</w:t>
            </w:r>
            <w:r>
              <w:rPr>
                <w:rFonts w:hint="eastAsia" w:ascii="宋体" w:hAnsi="宋体" w:cs="宋体"/>
                <w:kern w:val="0"/>
                <w:szCs w:val="21"/>
              </w:rPr>
              <w:t>，对涉及的致病性生物因子进行风险评估，选择对应的实验室安全级别进行致病性病原微生物研究，重点关注：开展未经灭活的高致病性病原微生物（列入一类、二类）相关实验和研究，必须在BSL-3/ABSL-3、BSL-4/ABSL-4实验室中进行；开展低致病性病原微生物（列入三类、四类），或经灭活的高致病性感染性材料的相关实验和研究，必须在BSL-1/ABSL-1、BSL-2/ABSL-2或以上等级实验室中进行</w:t>
            </w:r>
          </w:p>
        </w:tc>
        <w:tc>
          <w:tcPr>
            <w:tcW w:w="991" w:type="dxa"/>
            <w:noWrap/>
            <w:tcMar>
              <w:left w:w="45" w:type="dxa"/>
              <w:right w:w="45" w:type="dxa"/>
            </w:tcMar>
            <w:vAlign w:val="center"/>
          </w:tcPr>
          <w:p w14:paraId="2C357D71">
            <w:pPr>
              <w:widowControl/>
              <w:rPr>
                <w:rFonts w:ascii="宋体" w:hAnsi="宋体" w:cs="宋体"/>
                <w:b/>
                <w:bCs/>
                <w:kern w:val="0"/>
                <w:szCs w:val="21"/>
              </w:rPr>
            </w:pPr>
          </w:p>
        </w:tc>
      </w:tr>
      <w:tr w14:paraId="384FE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7356AB71">
            <w:pPr>
              <w:widowControl/>
              <w:rPr>
                <w:rFonts w:ascii="宋体" w:hAnsi="宋体" w:cs="宋体"/>
                <w:b/>
                <w:kern w:val="0"/>
                <w:szCs w:val="21"/>
              </w:rPr>
            </w:pPr>
            <w:r>
              <w:rPr>
                <w:rFonts w:hint="eastAsia" w:ascii="宋体" w:hAnsi="宋体" w:cs="宋体"/>
                <w:b/>
                <w:kern w:val="0"/>
                <w:szCs w:val="21"/>
              </w:rPr>
              <w:t>10.2</w:t>
            </w:r>
          </w:p>
        </w:tc>
        <w:tc>
          <w:tcPr>
            <w:tcW w:w="8279" w:type="dxa"/>
            <w:gridSpan w:val="3"/>
            <w:noWrap/>
            <w:tcMar>
              <w:left w:w="45" w:type="dxa"/>
              <w:right w:w="45" w:type="dxa"/>
            </w:tcMar>
            <w:vAlign w:val="center"/>
          </w:tcPr>
          <w:p w14:paraId="23622A9C">
            <w:pPr>
              <w:widowControl/>
              <w:rPr>
                <w:rFonts w:ascii="宋体" w:hAnsi="宋体" w:cs="宋体"/>
                <w:b/>
                <w:kern w:val="0"/>
                <w:szCs w:val="21"/>
              </w:rPr>
            </w:pPr>
            <w:r>
              <w:rPr>
                <w:rFonts w:hint="eastAsia" w:ascii="宋体" w:hAnsi="宋体" w:cs="宋体"/>
                <w:b/>
                <w:kern w:val="0"/>
                <w:szCs w:val="21"/>
              </w:rPr>
              <w:t>场所与设施</w:t>
            </w:r>
          </w:p>
        </w:tc>
      </w:tr>
      <w:tr w14:paraId="31CE7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5A6D6227">
            <w:pPr>
              <w:widowControl/>
              <w:rPr>
                <w:rFonts w:ascii="宋体" w:hAnsi="宋体" w:cs="宋体"/>
                <w:kern w:val="0"/>
                <w:szCs w:val="21"/>
              </w:rPr>
            </w:pPr>
            <w:r>
              <w:rPr>
                <w:rFonts w:hint="eastAsia" w:ascii="宋体" w:hAnsi="宋体" w:cs="宋体"/>
                <w:kern w:val="0"/>
                <w:szCs w:val="21"/>
              </w:rPr>
              <w:t>10.2.1</w:t>
            </w:r>
          </w:p>
        </w:tc>
        <w:tc>
          <w:tcPr>
            <w:tcW w:w="1721" w:type="dxa"/>
            <w:noWrap/>
            <w:tcMar>
              <w:left w:w="45" w:type="dxa"/>
              <w:right w:w="45" w:type="dxa"/>
            </w:tcMar>
            <w:vAlign w:val="center"/>
          </w:tcPr>
          <w:p w14:paraId="3DE75BA2">
            <w:pPr>
              <w:widowControl/>
              <w:rPr>
                <w:rFonts w:ascii="宋体" w:hAnsi="宋体" w:cs="宋体"/>
                <w:kern w:val="0"/>
                <w:szCs w:val="21"/>
              </w:rPr>
            </w:pPr>
            <w:r>
              <w:rPr>
                <w:rFonts w:hint="eastAsia" w:ascii="宋体" w:hAnsi="宋体" w:cs="宋体"/>
                <w:kern w:val="0"/>
                <w:szCs w:val="21"/>
              </w:rPr>
              <w:t>实验室安全防范设施达到相应生物安全实验室要求，各区域分布合理、气压正常</w:t>
            </w:r>
          </w:p>
        </w:tc>
        <w:tc>
          <w:tcPr>
            <w:tcW w:w="5567" w:type="dxa"/>
            <w:noWrap/>
            <w:tcMar>
              <w:left w:w="45" w:type="dxa"/>
              <w:right w:w="45" w:type="dxa"/>
            </w:tcMar>
            <w:vAlign w:val="center"/>
          </w:tcPr>
          <w:p w14:paraId="39F20C7A">
            <w:pPr>
              <w:rPr>
                <w:rFonts w:ascii="宋体" w:hAnsi="宋体" w:cs="宋体"/>
                <w:bCs/>
                <w:kern w:val="0"/>
                <w:szCs w:val="21"/>
              </w:rPr>
            </w:pPr>
            <w:r>
              <w:rPr>
                <w:rFonts w:hint="eastAsia" w:ascii="宋体" w:hAnsi="宋体" w:cs="宋体"/>
                <w:kern w:val="0"/>
                <w:szCs w:val="21"/>
              </w:rPr>
              <w:t>（185）实验室须设门禁管理和准入制度，储存病原微生物的场所或储柜配备防盗设施，BSL-3/ABSL-3及以上安全等级实验室须安装监控报警装置</w:t>
            </w:r>
          </w:p>
        </w:tc>
        <w:tc>
          <w:tcPr>
            <w:tcW w:w="991" w:type="dxa"/>
            <w:noWrap/>
            <w:tcMar>
              <w:left w:w="45" w:type="dxa"/>
              <w:right w:w="45" w:type="dxa"/>
            </w:tcMar>
            <w:vAlign w:val="center"/>
          </w:tcPr>
          <w:p w14:paraId="4C46A9A3">
            <w:pPr>
              <w:pStyle w:val="513"/>
              <w:ind w:firstLine="0" w:firstLineChars="0"/>
              <w:rPr>
                <w:rFonts w:ascii="宋体" w:hAnsi="宋体" w:eastAsia="宋体" w:cs="宋体"/>
                <w:b/>
                <w:bCs/>
                <w:kern w:val="0"/>
              </w:rPr>
            </w:pPr>
          </w:p>
        </w:tc>
      </w:tr>
      <w:tr w14:paraId="0CDF1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598CE986">
            <w:pPr>
              <w:widowControl/>
              <w:rPr>
                <w:rFonts w:ascii="宋体" w:hAnsi="宋体" w:cs="宋体"/>
                <w:kern w:val="0"/>
                <w:szCs w:val="21"/>
              </w:rPr>
            </w:pPr>
            <w:r>
              <w:rPr>
                <w:rFonts w:hint="eastAsia" w:ascii="宋体" w:hAnsi="宋体" w:cs="宋体"/>
                <w:kern w:val="0"/>
                <w:szCs w:val="21"/>
              </w:rPr>
              <w:t>10.2.2</w:t>
            </w:r>
          </w:p>
        </w:tc>
        <w:tc>
          <w:tcPr>
            <w:tcW w:w="1721" w:type="dxa"/>
            <w:noWrap/>
            <w:tcMar>
              <w:left w:w="45" w:type="dxa"/>
              <w:right w:w="45" w:type="dxa"/>
            </w:tcMar>
            <w:vAlign w:val="center"/>
          </w:tcPr>
          <w:p w14:paraId="4A3C2618">
            <w:pPr>
              <w:widowControl/>
              <w:rPr>
                <w:rFonts w:ascii="宋体" w:hAnsi="宋体" w:cs="宋体"/>
                <w:kern w:val="0"/>
                <w:szCs w:val="21"/>
              </w:rPr>
            </w:pPr>
            <w:r>
              <w:rPr>
                <w:rFonts w:hint="eastAsia" w:ascii="宋体" w:hAnsi="宋体" w:cs="宋体"/>
                <w:kern w:val="0"/>
                <w:szCs w:val="21"/>
              </w:rPr>
              <w:t>配有符合相应要求的生物安全设施</w:t>
            </w:r>
          </w:p>
        </w:tc>
        <w:tc>
          <w:tcPr>
            <w:tcW w:w="5567" w:type="dxa"/>
            <w:noWrap/>
            <w:tcMar>
              <w:left w:w="45" w:type="dxa"/>
              <w:right w:w="45" w:type="dxa"/>
            </w:tcMar>
            <w:vAlign w:val="center"/>
          </w:tcPr>
          <w:p w14:paraId="118A513C">
            <w:pPr>
              <w:widowControl/>
              <w:rPr>
                <w:rFonts w:ascii="宋体" w:hAnsi="宋体" w:cs="宋体"/>
                <w:bCs/>
                <w:kern w:val="0"/>
                <w:szCs w:val="21"/>
              </w:rPr>
            </w:pPr>
            <w:r>
              <w:rPr>
                <w:rFonts w:hint="eastAsia" w:ascii="宋体" w:hAnsi="宋体" w:cs="宋体"/>
                <w:kern w:val="0"/>
                <w:szCs w:val="21"/>
              </w:rPr>
              <w:t>（186）BSL-2以上安全等级实验室须配有II级生物安全柜，ABSL-2适用时配备，并定期进行检测，</w:t>
            </w:r>
            <w:r>
              <w:rPr>
                <w:rFonts w:hint="eastAsia" w:ascii="宋体" w:hAnsi="宋体" w:cs="宋体"/>
                <w:bCs/>
                <w:kern w:val="0"/>
                <w:szCs w:val="21"/>
              </w:rPr>
              <w:t>B型生物安全柜须有正常通风系统。</w:t>
            </w:r>
          </w:p>
          <w:p w14:paraId="7FD75A7D">
            <w:pPr>
              <w:widowControl/>
              <w:rPr>
                <w:rFonts w:ascii="宋体" w:hAnsi="宋体" w:cs="宋体"/>
                <w:kern w:val="0"/>
                <w:szCs w:val="21"/>
              </w:rPr>
            </w:pPr>
            <w:r>
              <w:rPr>
                <w:rFonts w:hint="eastAsia" w:ascii="宋体" w:hAnsi="宋体" w:cs="宋体"/>
                <w:kern w:val="0"/>
                <w:szCs w:val="21"/>
              </w:rPr>
              <w:t>（187）病原微生物实验室应有可靠和充足的电力供应，配备适用的消防器材、洗眼装置和必要的应急喷淋。</w:t>
            </w:r>
          </w:p>
          <w:p w14:paraId="043B1129">
            <w:pPr>
              <w:widowControl/>
              <w:rPr>
                <w:rFonts w:ascii="宋体" w:hAnsi="宋体" w:cs="宋体"/>
                <w:kern w:val="0"/>
                <w:szCs w:val="21"/>
              </w:rPr>
            </w:pPr>
            <w:r>
              <w:rPr>
                <w:rFonts w:hint="eastAsia" w:ascii="宋体" w:hAnsi="宋体" w:cs="宋体"/>
                <w:kern w:val="0"/>
                <w:szCs w:val="21"/>
              </w:rPr>
              <w:t>（188）已设传递窗的实验室要保证传递窗功能正常，内部不存放物品；室外排风口应有防风、防雨、防鼠、防虫设计，但不影响气体向上空排放。相关实验室采取有效措施防止昆虫、啮齿动物进入或逃逸，如安装防虫纱窗、挡鼠板等。</w:t>
            </w:r>
          </w:p>
          <w:p w14:paraId="6C2B06C3">
            <w:pPr>
              <w:widowControl/>
              <w:rPr>
                <w:rFonts w:ascii="宋体" w:hAnsi="宋体" w:cs="宋体"/>
                <w:bCs/>
                <w:kern w:val="0"/>
                <w:szCs w:val="21"/>
              </w:rPr>
            </w:pPr>
            <w:r>
              <w:rPr>
                <w:rFonts w:hint="eastAsia" w:ascii="宋体" w:hAnsi="宋体" w:cs="宋体"/>
                <w:kern w:val="0"/>
                <w:szCs w:val="21"/>
              </w:rPr>
              <w:t>（189）生物安全实验室配有压力蒸汽灭菌器，按规定要求监测灭菌效果</w:t>
            </w:r>
          </w:p>
        </w:tc>
        <w:tc>
          <w:tcPr>
            <w:tcW w:w="991" w:type="dxa"/>
            <w:noWrap/>
            <w:tcMar>
              <w:left w:w="45" w:type="dxa"/>
              <w:right w:w="45" w:type="dxa"/>
            </w:tcMar>
            <w:vAlign w:val="center"/>
          </w:tcPr>
          <w:p w14:paraId="2A70C371">
            <w:pPr>
              <w:widowControl/>
              <w:rPr>
                <w:rFonts w:ascii="宋体" w:hAnsi="宋体" w:cs="宋体"/>
                <w:b/>
                <w:bCs/>
                <w:kern w:val="0"/>
                <w:szCs w:val="21"/>
              </w:rPr>
            </w:pPr>
          </w:p>
        </w:tc>
      </w:tr>
      <w:tr w14:paraId="4DAA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053E0E97">
            <w:pPr>
              <w:widowControl/>
              <w:rPr>
                <w:rFonts w:ascii="宋体" w:hAnsi="宋体" w:cs="宋体"/>
                <w:kern w:val="0"/>
                <w:szCs w:val="21"/>
              </w:rPr>
            </w:pPr>
            <w:r>
              <w:rPr>
                <w:rFonts w:hint="eastAsia" w:ascii="宋体" w:hAnsi="宋体" w:cs="宋体"/>
                <w:kern w:val="0"/>
                <w:szCs w:val="21"/>
              </w:rPr>
              <w:t>10.2.3</w:t>
            </w:r>
          </w:p>
        </w:tc>
        <w:tc>
          <w:tcPr>
            <w:tcW w:w="1721" w:type="dxa"/>
            <w:noWrap/>
            <w:tcMar>
              <w:left w:w="45" w:type="dxa"/>
              <w:right w:w="45" w:type="dxa"/>
            </w:tcMar>
            <w:vAlign w:val="center"/>
          </w:tcPr>
          <w:p w14:paraId="5D13A793">
            <w:pPr>
              <w:widowControl/>
              <w:rPr>
                <w:rFonts w:ascii="宋体" w:hAnsi="宋体" w:cs="宋体"/>
                <w:kern w:val="0"/>
                <w:szCs w:val="21"/>
              </w:rPr>
            </w:pPr>
            <w:r>
              <w:rPr>
                <w:rFonts w:hint="eastAsia" w:ascii="宋体" w:hAnsi="宋体" w:cs="宋体"/>
                <w:kern w:val="0"/>
                <w:szCs w:val="21"/>
              </w:rPr>
              <w:t>场所消毒要保证人员安全</w:t>
            </w:r>
          </w:p>
        </w:tc>
        <w:tc>
          <w:tcPr>
            <w:tcW w:w="5567" w:type="dxa"/>
            <w:noWrap/>
            <w:tcMar>
              <w:left w:w="45" w:type="dxa"/>
              <w:right w:w="45" w:type="dxa"/>
            </w:tcMar>
            <w:vAlign w:val="center"/>
          </w:tcPr>
          <w:p w14:paraId="4D7B4A22">
            <w:pPr>
              <w:widowControl/>
              <w:rPr>
                <w:rFonts w:ascii="宋体" w:hAnsi="宋体" w:cs="宋体"/>
                <w:kern w:val="0"/>
                <w:szCs w:val="21"/>
              </w:rPr>
            </w:pPr>
            <w:r>
              <w:rPr>
                <w:rFonts w:hint="eastAsia" w:ascii="宋体" w:hAnsi="宋体" w:cs="宋体"/>
                <w:kern w:val="0"/>
                <w:szCs w:val="21"/>
              </w:rPr>
              <w:t>（190）使用紫外灯的生物安全实验室应设安全警示标志，尤其要对紫外灯开关张贴警示标识。</w:t>
            </w:r>
          </w:p>
          <w:p w14:paraId="19CCD88B">
            <w:pPr>
              <w:widowControl/>
              <w:rPr>
                <w:rFonts w:ascii="宋体" w:hAnsi="宋体" w:cs="宋体"/>
                <w:kern w:val="0"/>
                <w:szCs w:val="21"/>
              </w:rPr>
            </w:pPr>
            <w:r>
              <w:rPr>
                <w:rFonts w:hint="eastAsia" w:ascii="宋体" w:hAnsi="宋体" w:cs="宋体"/>
                <w:kern w:val="0"/>
                <w:szCs w:val="21"/>
              </w:rPr>
              <w:t>（191）使用紫外灯的生物安全实验室在消毒过程中禁止人员进入。采用紫外加臭氧方式消毒应在消毒时间结束后有一定的排风时间，臭氧消散后人员方可进入</w:t>
            </w:r>
          </w:p>
        </w:tc>
        <w:tc>
          <w:tcPr>
            <w:tcW w:w="991" w:type="dxa"/>
            <w:noWrap/>
            <w:tcMar>
              <w:left w:w="45" w:type="dxa"/>
              <w:right w:w="45" w:type="dxa"/>
            </w:tcMar>
            <w:vAlign w:val="center"/>
          </w:tcPr>
          <w:p w14:paraId="458A7585">
            <w:pPr>
              <w:pStyle w:val="18"/>
              <w:jc w:val="both"/>
              <w:rPr>
                <w:rFonts w:ascii="宋体" w:hAnsi="宋体" w:cs="宋体"/>
                <w:szCs w:val="21"/>
              </w:rPr>
            </w:pPr>
          </w:p>
        </w:tc>
      </w:tr>
      <w:tr w14:paraId="5F9F3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4FEAFC71">
            <w:pPr>
              <w:widowControl/>
              <w:rPr>
                <w:rFonts w:ascii="宋体" w:hAnsi="宋体" w:cs="宋体"/>
                <w:b/>
                <w:kern w:val="0"/>
                <w:szCs w:val="21"/>
              </w:rPr>
            </w:pPr>
            <w:r>
              <w:rPr>
                <w:rFonts w:hint="eastAsia" w:ascii="宋体" w:hAnsi="宋体" w:cs="宋体"/>
                <w:b/>
                <w:kern w:val="0"/>
                <w:szCs w:val="21"/>
              </w:rPr>
              <w:t>10.3</w:t>
            </w:r>
          </w:p>
        </w:tc>
        <w:tc>
          <w:tcPr>
            <w:tcW w:w="8279" w:type="dxa"/>
            <w:gridSpan w:val="3"/>
            <w:noWrap/>
            <w:tcMar>
              <w:left w:w="45" w:type="dxa"/>
              <w:right w:w="45" w:type="dxa"/>
            </w:tcMar>
            <w:vAlign w:val="center"/>
          </w:tcPr>
          <w:p w14:paraId="14129439">
            <w:pPr>
              <w:widowControl/>
              <w:rPr>
                <w:rFonts w:ascii="宋体" w:hAnsi="宋体" w:cs="宋体"/>
                <w:b/>
                <w:bCs/>
                <w:kern w:val="0"/>
                <w:szCs w:val="21"/>
              </w:rPr>
            </w:pPr>
            <w:r>
              <w:rPr>
                <w:rFonts w:hint="eastAsia" w:ascii="宋体" w:hAnsi="宋体" w:cs="宋体"/>
                <w:b/>
                <w:bCs/>
                <w:kern w:val="0"/>
                <w:szCs w:val="21"/>
              </w:rPr>
              <w:t>病原微生物获取与保管</w:t>
            </w:r>
          </w:p>
        </w:tc>
      </w:tr>
      <w:tr w14:paraId="4D375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04E3D286">
            <w:pPr>
              <w:widowControl/>
              <w:rPr>
                <w:rFonts w:ascii="宋体" w:hAnsi="宋体" w:cs="宋体"/>
                <w:kern w:val="0"/>
                <w:szCs w:val="21"/>
              </w:rPr>
            </w:pPr>
            <w:r>
              <w:rPr>
                <w:rFonts w:hint="eastAsia" w:ascii="宋体" w:hAnsi="宋体" w:cs="宋体"/>
                <w:kern w:val="0"/>
                <w:szCs w:val="21"/>
              </w:rPr>
              <w:t>10.3.1</w:t>
            </w:r>
          </w:p>
        </w:tc>
        <w:tc>
          <w:tcPr>
            <w:tcW w:w="1721" w:type="dxa"/>
            <w:noWrap/>
            <w:tcMar>
              <w:left w:w="45" w:type="dxa"/>
              <w:right w:w="45" w:type="dxa"/>
            </w:tcMar>
            <w:vAlign w:val="center"/>
          </w:tcPr>
          <w:p w14:paraId="26AA0CF3">
            <w:pPr>
              <w:widowControl/>
              <w:rPr>
                <w:rFonts w:ascii="宋体" w:hAnsi="宋体" w:cs="宋体"/>
                <w:kern w:val="0"/>
                <w:szCs w:val="21"/>
              </w:rPr>
            </w:pPr>
            <w:r>
              <w:rPr>
                <w:rFonts w:hint="eastAsia" w:ascii="宋体" w:hAnsi="宋体" w:cs="宋体"/>
                <w:kern w:val="0"/>
                <w:szCs w:val="21"/>
              </w:rPr>
              <w:t>使用高致病性病原微生物菌（毒）种，须办理相应申请和报批手续</w:t>
            </w:r>
          </w:p>
        </w:tc>
        <w:tc>
          <w:tcPr>
            <w:tcW w:w="5567" w:type="dxa"/>
            <w:noWrap/>
            <w:tcMar>
              <w:left w:w="45" w:type="dxa"/>
              <w:right w:w="45" w:type="dxa"/>
            </w:tcMar>
            <w:vAlign w:val="center"/>
          </w:tcPr>
          <w:p w14:paraId="4E495D76">
            <w:pPr>
              <w:widowControl/>
              <w:rPr>
                <w:rFonts w:ascii="宋体" w:hAnsi="宋体" w:cs="宋体"/>
                <w:kern w:val="0"/>
                <w:szCs w:val="21"/>
              </w:rPr>
            </w:pPr>
            <w:r>
              <w:rPr>
                <w:rFonts w:hint="eastAsia" w:ascii="宋体" w:hAnsi="宋体" w:cs="宋体"/>
                <w:kern w:val="0"/>
                <w:szCs w:val="21"/>
              </w:rPr>
              <w:t>（192）从正规渠道获取病原微生物菌（毒）株，学校应有审批流程。</w:t>
            </w:r>
          </w:p>
          <w:p w14:paraId="19F3D724">
            <w:pPr>
              <w:widowControl/>
              <w:rPr>
                <w:rFonts w:ascii="宋体" w:hAnsi="宋体" w:cs="宋体"/>
                <w:kern w:val="0"/>
                <w:szCs w:val="21"/>
              </w:rPr>
            </w:pPr>
            <w:r>
              <w:rPr>
                <w:rFonts w:hint="eastAsia" w:ascii="宋体" w:hAnsi="宋体" w:cs="宋体"/>
                <w:kern w:val="0"/>
                <w:szCs w:val="21"/>
              </w:rPr>
              <w:t>（193）转移和运输高致病病原微生物须按规定报卫生健康或农业农村主管部门批准，并按相应的运输包装要求包装后转移和运输</w:t>
            </w:r>
          </w:p>
        </w:tc>
        <w:tc>
          <w:tcPr>
            <w:tcW w:w="991" w:type="dxa"/>
            <w:noWrap/>
            <w:tcMar>
              <w:left w:w="45" w:type="dxa"/>
              <w:right w:w="45" w:type="dxa"/>
            </w:tcMar>
            <w:vAlign w:val="center"/>
          </w:tcPr>
          <w:p w14:paraId="38BCA530">
            <w:pPr>
              <w:widowControl/>
              <w:rPr>
                <w:rFonts w:ascii="宋体" w:hAnsi="宋体" w:cs="宋体"/>
                <w:kern w:val="0"/>
                <w:szCs w:val="21"/>
              </w:rPr>
            </w:pPr>
          </w:p>
        </w:tc>
      </w:tr>
      <w:tr w14:paraId="45BC2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259415BF">
            <w:pPr>
              <w:widowControl/>
              <w:rPr>
                <w:rFonts w:ascii="宋体" w:hAnsi="宋体" w:cs="宋体"/>
                <w:kern w:val="0"/>
                <w:szCs w:val="21"/>
              </w:rPr>
            </w:pPr>
            <w:r>
              <w:rPr>
                <w:rFonts w:hint="eastAsia" w:ascii="宋体" w:hAnsi="宋体" w:cs="宋体"/>
                <w:kern w:val="0"/>
                <w:szCs w:val="21"/>
              </w:rPr>
              <w:t>10.3.2</w:t>
            </w:r>
          </w:p>
        </w:tc>
        <w:tc>
          <w:tcPr>
            <w:tcW w:w="1721" w:type="dxa"/>
            <w:noWrap/>
            <w:tcMar>
              <w:left w:w="45" w:type="dxa"/>
              <w:right w:w="45" w:type="dxa"/>
            </w:tcMar>
            <w:vAlign w:val="center"/>
          </w:tcPr>
          <w:p w14:paraId="5B916D94">
            <w:pPr>
              <w:widowControl/>
              <w:rPr>
                <w:rFonts w:ascii="宋体" w:hAnsi="宋体" w:cs="宋体"/>
                <w:kern w:val="0"/>
                <w:szCs w:val="21"/>
              </w:rPr>
            </w:pPr>
            <w:r>
              <w:rPr>
                <w:rFonts w:hint="eastAsia" w:ascii="宋体" w:hAnsi="宋体" w:cs="宋体"/>
                <w:kern w:val="0"/>
                <w:szCs w:val="21"/>
              </w:rPr>
              <w:t>高致病性病原微生物菌（毒）种应妥善保存和严格管理</w:t>
            </w:r>
          </w:p>
        </w:tc>
        <w:tc>
          <w:tcPr>
            <w:tcW w:w="5567" w:type="dxa"/>
            <w:noWrap/>
            <w:tcMar>
              <w:left w:w="45" w:type="dxa"/>
              <w:right w:w="45" w:type="dxa"/>
            </w:tcMar>
            <w:vAlign w:val="center"/>
          </w:tcPr>
          <w:p w14:paraId="563CD67A">
            <w:pPr>
              <w:widowControl/>
              <w:rPr>
                <w:rFonts w:ascii="宋体" w:hAnsi="宋体" w:cs="宋体"/>
                <w:kern w:val="0"/>
                <w:szCs w:val="21"/>
              </w:rPr>
            </w:pPr>
            <w:r>
              <w:rPr>
                <w:rFonts w:hint="eastAsia" w:ascii="宋体" w:hAnsi="宋体" w:cs="宋体"/>
                <w:kern w:val="0"/>
                <w:szCs w:val="21"/>
              </w:rPr>
              <w:t>（194）病原微生物菌（毒）种保存在带锁的冰箱或柜子中，高致病性病原微生物实行双人双锁管理。有病原微生物菌（毒）种保存、实验使用、销毁的记录</w:t>
            </w:r>
          </w:p>
        </w:tc>
        <w:tc>
          <w:tcPr>
            <w:tcW w:w="991" w:type="dxa"/>
            <w:noWrap/>
            <w:tcMar>
              <w:left w:w="45" w:type="dxa"/>
              <w:right w:w="45" w:type="dxa"/>
            </w:tcMar>
            <w:vAlign w:val="center"/>
          </w:tcPr>
          <w:p w14:paraId="069477FF">
            <w:pPr>
              <w:widowControl/>
              <w:rPr>
                <w:rFonts w:ascii="宋体" w:hAnsi="宋体" w:cs="宋体"/>
                <w:bCs/>
                <w:kern w:val="0"/>
                <w:szCs w:val="21"/>
              </w:rPr>
            </w:pPr>
          </w:p>
        </w:tc>
      </w:tr>
      <w:tr w14:paraId="29D78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1DD3E745">
            <w:pPr>
              <w:widowControl/>
              <w:rPr>
                <w:rFonts w:ascii="宋体" w:hAnsi="宋体" w:cs="宋体"/>
                <w:b/>
                <w:kern w:val="0"/>
                <w:szCs w:val="21"/>
              </w:rPr>
            </w:pPr>
            <w:r>
              <w:rPr>
                <w:rFonts w:hint="eastAsia" w:ascii="宋体" w:hAnsi="宋体" w:cs="宋体"/>
                <w:b/>
                <w:kern w:val="0"/>
                <w:szCs w:val="21"/>
              </w:rPr>
              <w:t>10.4</w:t>
            </w:r>
          </w:p>
        </w:tc>
        <w:tc>
          <w:tcPr>
            <w:tcW w:w="8279" w:type="dxa"/>
            <w:gridSpan w:val="3"/>
            <w:noWrap/>
            <w:tcMar>
              <w:left w:w="45" w:type="dxa"/>
              <w:right w:w="45" w:type="dxa"/>
            </w:tcMar>
            <w:vAlign w:val="center"/>
          </w:tcPr>
          <w:p w14:paraId="5D97E2C2">
            <w:pPr>
              <w:widowControl/>
              <w:rPr>
                <w:rFonts w:ascii="宋体" w:hAnsi="宋体" w:cs="宋体"/>
                <w:b/>
                <w:kern w:val="0"/>
                <w:szCs w:val="21"/>
              </w:rPr>
            </w:pPr>
            <w:r>
              <w:rPr>
                <w:rFonts w:hint="eastAsia" w:ascii="宋体" w:hAnsi="宋体" w:cs="宋体"/>
                <w:b/>
                <w:kern w:val="0"/>
                <w:szCs w:val="21"/>
              </w:rPr>
              <w:t>人员管理</w:t>
            </w:r>
          </w:p>
        </w:tc>
      </w:tr>
      <w:tr w14:paraId="082C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190AC1DE">
            <w:pPr>
              <w:widowControl/>
              <w:rPr>
                <w:rFonts w:ascii="宋体" w:hAnsi="宋体" w:cs="宋体"/>
                <w:kern w:val="0"/>
                <w:szCs w:val="21"/>
              </w:rPr>
            </w:pPr>
            <w:r>
              <w:rPr>
                <w:rFonts w:hint="eastAsia" w:ascii="宋体" w:hAnsi="宋体" w:cs="宋体"/>
                <w:kern w:val="0"/>
                <w:szCs w:val="21"/>
              </w:rPr>
              <w:t>10.4.1</w:t>
            </w:r>
          </w:p>
        </w:tc>
        <w:tc>
          <w:tcPr>
            <w:tcW w:w="1721" w:type="dxa"/>
            <w:noWrap/>
            <w:tcMar>
              <w:left w:w="45" w:type="dxa"/>
              <w:right w:w="45" w:type="dxa"/>
            </w:tcMar>
            <w:vAlign w:val="center"/>
          </w:tcPr>
          <w:p w14:paraId="1B294B7D">
            <w:pPr>
              <w:widowControl/>
              <w:rPr>
                <w:rFonts w:ascii="宋体" w:hAnsi="宋体" w:cs="宋体"/>
                <w:kern w:val="0"/>
                <w:szCs w:val="21"/>
              </w:rPr>
            </w:pPr>
            <w:r>
              <w:rPr>
                <w:rFonts w:hint="eastAsia" w:ascii="宋体" w:hAnsi="宋体" w:cs="宋体"/>
                <w:kern w:val="0"/>
                <w:szCs w:val="21"/>
              </w:rPr>
              <w:t>开展病原微生物相关实验和研究的人员经过专业培训</w:t>
            </w:r>
          </w:p>
        </w:tc>
        <w:tc>
          <w:tcPr>
            <w:tcW w:w="5567" w:type="dxa"/>
            <w:noWrap/>
            <w:tcMar>
              <w:left w:w="45" w:type="dxa"/>
              <w:right w:w="45" w:type="dxa"/>
            </w:tcMar>
            <w:vAlign w:val="center"/>
          </w:tcPr>
          <w:p w14:paraId="45608722">
            <w:pPr>
              <w:widowControl/>
              <w:rPr>
                <w:rFonts w:ascii="宋体" w:hAnsi="宋体" w:cs="宋体"/>
                <w:bCs/>
                <w:kern w:val="0"/>
                <w:szCs w:val="21"/>
              </w:rPr>
            </w:pPr>
            <w:r>
              <w:rPr>
                <w:rFonts w:hint="eastAsia" w:ascii="宋体" w:hAnsi="宋体" w:cs="宋体"/>
                <w:kern w:val="0"/>
                <w:szCs w:val="21"/>
              </w:rPr>
              <w:t>（195）人员经考核合格，并取得证书</w:t>
            </w:r>
          </w:p>
        </w:tc>
        <w:tc>
          <w:tcPr>
            <w:tcW w:w="991" w:type="dxa"/>
            <w:noWrap/>
            <w:tcMar>
              <w:left w:w="45" w:type="dxa"/>
              <w:right w:w="45" w:type="dxa"/>
            </w:tcMar>
            <w:vAlign w:val="center"/>
          </w:tcPr>
          <w:p w14:paraId="6D8638A4">
            <w:pPr>
              <w:widowControl/>
              <w:rPr>
                <w:rFonts w:ascii="宋体" w:hAnsi="宋体" w:cs="宋体"/>
                <w:bCs/>
                <w:kern w:val="0"/>
                <w:szCs w:val="21"/>
              </w:rPr>
            </w:pPr>
          </w:p>
        </w:tc>
      </w:tr>
      <w:tr w14:paraId="3F643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2D534491">
            <w:pPr>
              <w:widowControl/>
              <w:rPr>
                <w:rFonts w:ascii="宋体" w:hAnsi="宋体" w:cs="宋体"/>
                <w:kern w:val="0"/>
                <w:szCs w:val="21"/>
              </w:rPr>
            </w:pPr>
            <w:r>
              <w:rPr>
                <w:rFonts w:hint="eastAsia" w:ascii="宋体" w:hAnsi="宋体" w:cs="宋体"/>
                <w:kern w:val="0"/>
                <w:szCs w:val="21"/>
              </w:rPr>
              <w:t>10.4.2</w:t>
            </w:r>
          </w:p>
        </w:tc>
        <w:tc>
          <w:tcPr>
            <w:tcW w:w="1721" w:type="dxa"/>
            <w:noWrap/>
            <w:tcMar>
              <w:left w:w="45" w:type="dxa"/>
              <w:right w:w="45" w:type="dxa"/>
            </w:tcMar>
            <w:vAlign w:val="center"/>
          </w:tcPr>
          <w:p w14:paraId="6F813489">
            <w:pPr>
              <w:widowControl/>
              <w:rPr>
                <w:rFonts w:ascii="宋体" w:hAnsi="宋体" w:cs="宋体"/>
                <w:szCs w:val="21"/>
              </w:rPr>
            </w:pPr>
            <w:r>
              <w:rPr>
                <w:rFonts w:hint="eastAsia" w:ascii="宋体" w:hAnsi="宋体" w:cs="宋体"/>
                <w:szCs w:val="21"/>
              </w:rPr>
              <w:t>为从事高致病性病原微生物的工作人员提供适宜的医学评估</w:t>
            </w:r>
          </w:p>
        </w:tc>
        <w:tc>
          <w:tcPr>
            <w:tcW w:w="5567" w:type="dxa"/>
            <w:noWrap/>
            <w:tcMar>
              <w:left w:w="45" w:type="dxa"/>
              <w:right w:w="45" w:type="dxa"/>
            </w:tcMar>
            <w:vAlign w:val="center"/>
          </w:tcPr>
          <w:p w14:paraId="0AF134E6">
            <w:pPr>
              <w:widowControl/>
              <w:rPr>
                <w:rFonts w:ascii="宋体" w:hAnsi="宋体" w:cs="宋体"/>
                <w:bCs/>
                <w:kern w:val="0"/>
                <w:szCs w:val="21"/>
              </w:rPr>
            </w:pPr>
            <w:r>
              <w:rPr>
                <w:rFonts w:hint="eastAsia" w:ascii="宋体" w:hAnsi="宋体" w:cs="宋体"/>
                <w:szCs w:val="21"/>
              </w:rPr>
              <w:t>（196）实施监测和治疗方案，并妥善保存相应的医学记录。</w:t>
            </w:r>
            <w:r>
              <w:rPr>
                <w:rFonts w:hint="eastAsia" w:ascii="宋体" w:hAnsi="宋体" w:cs="宋体"/>
                <w:bCs/>
                <w:kern w:val="0"/>
                <w:szCs w:val="21"/>
              </w:rPr>
              <w:t>有上岗前体检和离岗体检，长期工作有定期体检</w:t>
            </w:r>
          </w:p>
        </w:tc>
        <w:tc>
          <w:tcPr>
            <w:tcW w:w="991" w:type="dxa"/>
            <w:noWrap/>
            <w:tcMar>
              <w:left w:w="45" w:type="dxa"/>
              <w:right w:w="45" w:type="dxa"/>
            </w:tcMar>
            <w:vAlign w:val="center"/>
          </w:tcPr>
          <w:p w14:paraId="2C53EB52">
            <w:pPr>
              <w:widowControl/>
              <w:rPr>
                <w:rFonts w:ascii="宋体" w:hAnsi="宋体" w:cs="宋体"/>
                <w:bCs/>
                <w:kern w:val="0"/>
                <w:szCs w:val="21"/>
              </w:rPr>
            </w:pPr>
          </w:p>
        </w:tc>
      </w:tr>
      <w:tr w14:paraId="450E9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64EB5279">
            <w:pPr>
              <w:widowControl/>
              <w:rPr>
                <w:rFonts w:ascii="宋体" w:hAnsi="宋体" w:cs="宋体"/>
                <w:kern w:val="0"/>
                <w:szCs w:val="21"/>
              </w:rPr>
            </w:pPr>
            <w:r>
              <w:rPr>
                <w:rFonts w:hint="eastAsia" w:ascii="宋体" w:hAnsi="宋体" w:cs="宋体"/>
                <w:kern w:val="0"/>
                <w:szCs w:val="21"/>
              </w:rPr>
              <w:t>10.4.3</w:t>
            </w:r>
          </w:p>
        </w:tc>
        <w:tc>
          <w:tcPr>
            <w:tcW w:w="1721" w:type="dxa"/>
            <w:noWrap/>
            <w:tcMar>
              <w:left w:w="45" w:type="dxa"/>
              <w:right w:w="45" w:type="dxa"/>
            </w:tcMar>
            <w:vAlign w:val="center"/>
          </w:tcPr>
          <w:p w14:paraId="15137BCA">
            <w:pPr>
              <w:widowControl/>
              <w:rPr>
                <w:rFonts w:ascii="宋体" w:hAnsi="宋体" w:cs="宋体"/>
                <w:szCs w:val="21"/>
              </w:rPr>
            </w:pPr>
            <w:r>
              <w:rPr>
                <w:rFonts w:hint="eastAsia" w:ascii="宋体" w:hAnsi="宋体" w:cs="宋体"/>
                <w:szCs w:val="21"/>
              </w:rPr>
              <w:t>制定相应的人员准入制度</w:t>
            </w:r>
          </w:p>
        </w:tc>
        <w:tc>
          <w:tcPr>
            <w:tcW w:w="5567" w:type="dxa"/>
            <w:noWrap/>
            <w:tcMar>
              <w:left w:w="45" w:type="dxa"/>
              <w:right w:w="45" w:type="dxa"/>
            </w:tcMar>
            <w:vAlign w:val="center"/>
          </w:tcPr>
          <w:p w14:paraId="5975D705">
            <w:pPr>
              <w:widowControl/>
              <w:rPr>
                <w:rFonts w:ascii="宋体" w:hAnsi="宋体" w:cs="宋体"/>
                <w:bCs/>
                <w:kern w:val="0"/>
                <w:szCs w:val="21"/>
              </w:rPr>
            </w:pPr>
            <w:r>
              <w:rPr>
                <w:rFonts w:hint="eastAsia" w:ascii="宋体" w:hAnsi="宋体" w:cs="宋体"/>
                <w:szCs w:val="21"/>
              </w:rPr>
              <w:t>（197）外来人员进入生物安全实验室须经负责人批准，并有相关的教育培训、安全防控措施</w:t>
            </w:r>
            <w:r>
              <w:rPr>
                <w:rFonts w:hint="eastAsia" w:ascii="宋体" w:hAnsi="宋体" w:cs="宋体"/>
                <w:bCs/>
                <w:kern w:val="0"/>
                <w:szCs w:val="21"/>
              </w:rPr>
              <w:t>。出现感冒发热等症状时，不得进行病原微生物实验</w:t>
            </w:r>
          </w:p>
        </w:tc>
        <w:tc>
          <w:tcPr>
            <w:tcW w:w="991" w:type="dxa"/>
            <w:noWrap/>
            <w:tcMar>
              <w:left w:w="45" w:type="dxa"/>
              <w:right w:w="45" w:type="dxa"/>
            </w:tcMar>
            <w:vAlign w:val="center"/>
          </w:tcPr>
          <w:p w14:paraId="4902F077">
            <w:pPr>
              <w:widowControl/>
              <w:rPr>
                <w:rFonts w:ascii="宋体" w:hAnsi="宋体" w:cs="宋体"/>
                <w:bCs/>
                <w:kern w:val="0"/>
                <w:szCs w:val="21"/>
              </w:rPr>
            </w:pPr>
          </w:p>
        </w:tc>
      </w:tr>
      <w:tr w14:paraId="5FD89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0D6F89CF">
            <w:pPr>
              <w:widowControl/>
              <w:rPr>
                <w:rFonts w:ascii="宋体" w:hAnsi="宋体" w:cs="宋体"/>
                <w:b/>
                <w:kern w:val="0"/>
                <w:szCs w:val="21"/>
              </w:rPr>
            </w:pPr>
            <w:r>
              <w:rPr>
                <w:rFonts w:hint="eastAsia" w:ascii="宋体" w:hAnsi="宋体" w:cs="宋体"/>
                <w:b/>
                <w:kern w:val="0"/>
                <w:szCs w:val="21"/>
              </w:rPr>
              <w:t>10.5</w:t>
            </w:r>
          </w:p>
        </w:tc>
        <w:tc>
          <w:tcPr>
            <w:tcW w:w="8279" w:type="dxa"/>
            <w:gridSpan w:val="3"/>
            <w:noWrap/>
            <w:tcMar>
              <w:left w:w="45" w:type="dxa"/>
              <w:right w:w="45" w:type="dxa"/>
            </w:tcMar>
            <w:vAlign w:val="center"/>
          </w:tcPr>
          <w:p w14:paraId="477375DF">
            <w:pPr>
              <w:widowControl/>
              <w:rPr>
                <w:rFonts w:ascii="宋体" w:hAnsi="宋体" w:cs="宋体"/>
                <w:b/>
                <w:kern w:val="0"/>
                <w:szCs w:val="21"/>
              </w:rPr>
            </w:pPr>
            <w:r>
              <w:rPr>
                <w:rFonts w:hint="eastAsia" w:ascii="宋体" w:hAnsi="宋体" w:cs="宋体"/>
                <w:b/>
                <w:kern w:val="0"/>
                <w:szCs w:val="21"/>
              </w:rPr>
              <w:t>操作与管理</w:t>
            </w:r>
          </w:p>
        </w:tc>
      </w:tr>
      <w:tr w14:paraId="4E72B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6CDCAA77">
            <w:pPr>
              <w:widowControl/>
              <w:rPr>
                <w:rFonts w:ascii="宋体" w:hAnsi="宋体" w:cs="宋体"/>
                <w:kern w:val="0"/>
                <w:szCs w:val="21"/>
              </w:rPr>
            </w:pPr>
            <w:r>
              <w:rPr>
                <w:rFonts w:hint="eastAsia" w:ascii="宋体" w:hAnsi="宋体" w:cs="宋体"/>
                <w:kern w:val="0"/>
                <w:szCs w:val="21"/>
              </w:rPr>
              <w:t>10.5.1</w:t>
            </w:r>
          </w:p>
        </w:tc>
        <w:tc>
          <w:tcPr>
            <w:tcW w:w="1721" w:type="dxa"/>
            <w:noWrap/>
            <w:tcMar>
              <w:left w:w="45" w:type="dxa"/>
              <w:right w:w="45" w:type="dxa"/>
            </w:tcMar>
            <w:vAlign w:val="center"/>
          </w:tcPr>
          <w:p w14:paraId="0F76E152">
            <w:pPr>
              <w:widowControl/>
              <w:rPr>
                <w:rFonts w:ascii="宋体" w:hAnsi="宋体" w:cs="宋体"/>
                <w:kern w:val="0"/>
                <w:szCs w:val="21"/>
              </w:rPr>
            </w:pPr>
            <w:r>
              <w:rPr>
                <w:rFonts w:hint="eastAsia" w:ascii="宋体" w:hAnsi="宋体" w:cs="宋体"/>
                <w:kern w:val="0"/>
                <w:szCs w:val="21"/>
              </w:rPr>
              <w:t>制定并采用生物安全手册，有相关标准操作规范</w:t>
            </w:r>
          </w:p>
        </w:tc>
        <w:tc>
          <w:tcPr>
            <w:tcW w:w="5567" w:type="dxa"/>
            <w:noWrap/>
            <w:tcMar>
              <w:left w:w="45" w:type="dxa"/>
              <w:right w:w="45" w:type="dxa"/>
            </w:tcMar>
            <w:vAlign w:val="center"/>
          </w:tcPr>
          <w:p w14:paraId="133D9934">
            <w:pPr>
              <w:widowControl/>
              <w:rPr>
                <w:rFonts w:ascii="宋体" w:hAnsi="宋体" w:cs="宋体"/>
                <w:bCs/>
                <w:kern w:val="0"/>
                <w:szCs w:val="21"/>
              </w:rPr>
            </w:pPr>
            <w:r>
              <w:rPr>
                <w:rFonts w:hint="eastAsia" w:ascii="宋体" w:hAnsi="宋体" w:cs="宋体"/>
                <w:kern w:val="0"/>
                <w:szCs w:val="21"/>
              </w:rPr>
              <w:t>（198）有从事病原微生物相关实验活动的标准操作规范</w:t>
            </w:r>
          </w:p>
        </w:tc>
        <w:tc>
          <w:tcPr>
            <w:tcW w:w="991" w:type="dxa"/>
            <w:noWrap/>
            <w:tcMar>
              <w:left w:w="45" w:type="dxa"/>
              <w:right w:w="45" w:type="dxa"/>
            </w:tcMar>
            <w:vAlign w:val="center"/>
          </w:tcPr>
          <w:p w14:paraId="4B89CAFB">
            <w:pPr>
              <w:widowControl/>
              <w:rPr>
                <w:rFonts w:ascii="宋体" w:hAnsi="宋体" w:cs="宋体"/>
                <w:bCs/>
                <w:kern w:val="0"/>
                <w:szCs w:val="21"/>
              </w:rPr>
            </w:pPr>
          </w:p>
        </w:tc>
      </w:tr>
      <w:tr w14:paraId="52D82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42617182">
            <w:pPr>
              <w:widowControl/>
              <w:rPr>
                <w:rFonts w:ascii="宋体" w:hAnsi="宋体" w:cs="宋体"/>
                <w:kern w:val="0"/>
                <w:szCs w:val="21"/>
              </w:rPr>
            </w:pPr>
            <w:r>
              <w:rPr>
                <w:rFonts w:hint="eastAsia" w:ascii="宋体" w:hAnsi="宋体" w:cs="宋体"/>
                <w:kern w:val="0"/>
                <w:szCs w:val="21"/>
              </w:rPr>
              <w:t>10.5.2</w:t>
            </w:r>
          </w:p>
        </w:tc>
        <w:tc>
          <w:tcPr>
            <w:tcW w:w="1721" w:type="dxa"/>
            <w:noWrap/>
            <w:tcMar>
              <w:left w:w="45" w:type="dxa"/>
              <w:right w:w="45" w:type="dxa"/>
            </w:tcMar>
            <w:vAlign w:val="center"/>
          </w:tcPr>
          <w:p w14:paraId="0A9931CC">
            <w:pPr>
              <w:widowControl/>
              <w:rPr>
                <w:rFonts w:ascii="宋体" w:hAnsi="宋体" w:cs="宋体"/>
                <w:kern w:val="0"/>
                <w:szCs w:val="21"/>
              </w:rPr>
            </w:pPr>
            <w:r>
              <w:rPr>
                <w:rFonts w:hint="eastAsia" w:ascii="宋体" w:hAnsi="宋体" w:cs="宋体"/>
                <w:kern w:val="0"/>
                <w:szCs w:val="21"/>
              </w:rPr>
              <w:t>开展相关实验活动的风险评估和制定相应的应急预案</w:t>
            </w:r>
          </w:p>
        </w:tc>
        <w:tc>
          <w:tcPr>
            <w:tcW w:w="5567" w:type="dxa"/>
            <w:noWrap/>
            <w:tcMar>
              <w:left w:w="45" w:type="dxa"/>
              <w:right w:w="45" w:type="dxa"/>
            </w:tcMar>
            <w:vAlign w:val="center"/>
          </w:tcPr>
          <w:p w14:paraId="7470D3A6">
            <w:pPr>
              <w:widowControl/>
              <w:rPr>
                <w:rFonts w:ascii="宋体" w:hAnsi="宋体" w:cs="宋体"/>
                <w:bCs/>
                <w:kern w:val="0"/>
                <w:szCs w:val="21"/>
              </w:rPr>
            </w:pPr>
            <w:r>
              <w:rPr>
                <w:rFonts w:hint="eastAsia" w:ascii="宋体" w:hAnsi="宋体" w:cs="宋体"/>
                <w:kern w:val="0"/>
                <w:szCs w:val="21"/>
              </w:rPr>
              <w:t>（199）开展病原微生物的相关实验活动应有风险评估和应急预案，包括</w:t>
            </w:r>
            <w:r>
              <w:rPr>
                <w:rFonts w:hint="eastAsia" w:ascii="宋体" w:hAnsi="宋体" w:cs="宋体"/>
                <w:szCs w:val="21"/>
              </w:rPr>
              <w:t>病原微生物及感染材料溢洒和意外事故的书面处置程序</w:t>
            </w:r>
          </w:p>
        </w:tc>
        <w:tc>
          <w:tcPr>
            <w:tcW w:w="991" w:type="dxa"/>
            <w:noWrap/>
            <w:tcMar>
              <w:left w:w="45" w:type="dxa"/>
              <w:right w:w="45" w:type="dxa"/>
            </w:tcMar>
            <w:vAlign w:val="center"/>
          </w:tcPr>
          <w:p w14:paraId="6A4FD779">
            <w:pPr>
              <w:widowControl/>
              <w:rPr>
                <w:rFonts w:ascii="宋体" w:hAnsi="宋体" w:cs="宋体"/>
                <w:bCs/>
                <w:kern w:val="0"/>
                <w:szCs w:val="21"/>
              </w:rPr>
            </w:pPr>
          </w:p>
        </w:tc>
      </w:tr>
      <w:tr w14:paraId="12A1B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11DFC17D">
            <w:pPr>
              <w:widowControl/>
              <w:rPr>
                <w:rFonts w:ascii="宋体" w:hAnsi="宋体" w:cs="宋体"/>
                <w:kern w:val="0"/>
                <w:szCs w:val="21"/>
              </w:rPr>
            </w:pPr>
            <w:r>
              <w:rPr>
                <w:rFonts w:hint="eastAsia" w:ascii="宋体" w:hAnsi="宋体" w:cs="宋体"/>
                <w:kern w:val="0"/>
                <w:szCs w:val="21"/>
              </w:rPr>
              <w:t>10.5.3</w:t>
            </w:r>
          </w:p>
        </w:tc>
        <w:tc>
          <w:tcPr>
            <w:tcW w:w="1721" w:type="dxa"/>
            <w:noWrap/>
            <w:tcMar>
              <w:left w:w="45" w:type="dxa"/>
              <w:right w:w="45" w:type="dxa"/>
            </w:tcMar>
            <w:vAlign w:val="center"/>
          </w:tcPr>
          <w:p w14:paraId="6CA62DE1">
            <w:pPr>
              <w:widowControl/>
              <w:rPr>
                <w:rFonts w:ascii="宋体" w:hAnsi="宋体" w:cs="宋体"/>
                <w:kern w:val="0"/>
                <w:szCs w:val="21"/>
              </w:rPr>
            </w:pPr>
            <w:r>
              <w:rPr>
                <w:rFonts w:hint="eastAsia" w:ascii="宋体" w:hAnsi="宋体" w:cs="宋体"/>
                <w:kern w:val="0"/>
                <w:szCs w:val="21"/>
              </w:rPr>
              <w:t>实验操作合规，安全防护措施合理</w:t>
            </w:r>
          </w:p>
        </w:tc>
        <w:tc>
          <w:tcPr>
            <w:tcW w:w="5567" w:type="dxa"/>
            <w:noWrap/>
            <w:tcMar>
              <w:left w:w="45" w:type="dxa"/>
              <w:right w:w="45" w:type="dxa"/>
            </w:tcMar>
            <w:vAlign w:val="center"/>
          </w:tcPr>
          <w:p w14:paraId="64E655C7">
            <w:pPr>
              <w:rPr>
                <w:rFonts w:ascii="宋体" w:hAnsi="宋体" w:cs="宋体"/>
                <w:bCs/>
                <w:kern w:val="0"/>
                <w:szCs w:val="21"/>
              </w:rPr>
            </w:pPr>
            <w:r>
              <w:rPr>
                <w:rFonts w:hint="eastAsia" w:ascii="宋体" w:hAnsi="宋体" w:cs="宋体"/>
                <w:kern w:val="0"/>
                <w:szCs w:val="21"/>
              </w:rPr>
              <w:t>（200）在合适的生物安全柜中进行实验操作</w:t>
            </w:r>
            <w:r>
              <w:rPr>
                <w:rFonts w:hint="eastAsia" w:ascii="宋体" w:hAnsi="宋体" w:cs="宋体"/>
                <w:bCs/>
                <w:kern w:val="0"/>
                <w:szCs w:val="21"/>
              </w:rPr>
              <w:t>，不得在超净工作台中进行病原微生物实验。</w:t>
            </w:r>
          </w:p>
          <w:p w14:paraId="6B7A00F8">
            <w:pPr>
              <w:rPr>
                <w:rFonts w:ascii="宋体" w:hAnsi="宋体" w:cs="宋体"/>
                <w:kern w:val="0"/>
                <w:szCs w:val="21"/>
              </w:rPr>
            </w:pPr>
            <w:r>
              <w:rPr>
                <w:rFonts w:hint="eastAsia" w:ascii="宋体" w:hAnsi="宋体" w:cs="宋体"/>
                <w:bCs/>
                <w:kern w:val="0"/>
                <w:szCs w:val="21"/>
              </w:rPr>
              <w:t>（201）</w:t>
            </w:r>
            <w:r>
              <w:rPr>
                <w:rFonts w:hint="eastAsia" w:ascii="宋体" w:hAnsi="宋体" w:cs="宋体"/>
                <w:kern w:val="0"/>
                <w:szCs w:val="21"/>
              </w:rPr>
              <w:t>安全操作高速离心机，小心防止离心管破损或盖子破裂造成溢洒或气溶胶扩散。</w:t>
            </w:r>
          </w:p>
          <w:p w14:paraId="3626BB99">
            <w:pPr>
              <w:rPr>
                <w:rFonts w:ascii="宋体" w:hAnsi="宋体" w:cs="宋体"/>
                <w:kern w:val="0"/>
                <w:szCs w:val="21"/>
              </w:rPr>
            </w:pPr>
            <w:r>
              <w:rPr>
                <w:rFonts w:hint="eastAsia" w:ascii="宋体" w:hAnsi="宋体" w:cs="宋体"/>
                <w:kern w:val="0"/>
                <w:szCs w:val="21"/>
              </w:rPr>
              <w:t>（202）有合适的个体防护措施，</w:t>
            </w:r>
            <w:r>
              <w:rPr>
                <w:rFonts w:hint="eastAsia" w:ascii="宋体" w:hAnsi="宋体" w:cs="宋体"/>
                <w:szCs w:val="21"/>
              </w:rPr>
              <w:t>禁止戴防护手套操作相关实验以外的设施设备</w:t>
            </w:r>
          </w:p>
        </w:tc>
        <w:tc>
          <w:tcPr>
            <w:tcW w:w="991" w:type="dxa"/>
            <w:noWrap/>
            <w:tcMar>
              <w:left w:w="45" w:type="dxa"/>
              <w:right w:w="45" w:type="dxa"/>
            </w:tcMar>
            <w:vAlign w:val="center"/>
          </w:tcPr>
          <w:p w14:paraId="458CDC74">
            <w:pPr>
              <w:pStyle w:val="513"/>
              <w:ind w:firstLine="0" w:firstLineChars="0"/>
              <w:rPr>
                <w:rFonts w:ascii="宋体" w:hAnsi="宋体" w:eastAsia="宋体" w:cs="宋体"/>
                <w:bCs/>
                <w:kern w:val="0"/>
              </w:rPr>
            </w:pPr>
          </w:p>
        </w:tc>
      </w:tr>
      <w:tr w14:paraId="0C002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134485FA">
            <w:pPr>
              <w:widowControl/>
              <w:rPr>
                <w:rFonts w:ascii="宋体" w:hAnsi="宋体" w:cs="宋体"/>
                <w:b/>
                <w:kern w:val="0"/>
                <w:szCs w:val="21"/>
              </w:rPr>
            </w:pPr>
            <w:r>
              <w:rPr>
                <w:rFonts w:hint="eastAsia" w:ascii="宋体" w:hAnsi="宋体" w:cs="宋体"/>
                <w:b/>
                <w:kern w:val="0"/>
                <w:szCs w:val="21"/>
              </w:rPr>
              <w:t>10.6</w:t>
            </w:r>
          </w:p>
        </w:tc>
        <w:tc>
          <w:tcPr>
            <w:tcW w:w="8279" w:type="dxa"/>
            <w:gridSpan w:val="3"/>
            <w:noWrap/>
            <w:tcMar>
              <w:left w:w="45" w:type="dxa"/>
              <w:right w:w="45" w:type="dxa"/>
            </w:tcMar>
            <w:vAlign w:val="center"/>
          </w:tcPr>
          <w:p w14:paraId="4E94C729">
            <w:pPr>
              <w:widowControl/>
              <w:rPr>
                <w:rFonts w:ascii="宋体" w:hAnsi="宋体" w:cs="宋体"/>
                <w:bCs/>
                <w:kern w:val="0"/>
                <w:szCs w:val="21"/>
              </w:rPr>
            </w:pPr>
            <w:r>
              <w:rPr>
                <w:rFonts w:hint="eastAsia" w:ascii="宋体" w:hAnsi="宋体" w:cs="宋体"/>
                <w:b/>
                <w:kern w:val="0"/>
                <w:szCs w:val="21"/>
              </w:rPr>
              <w:t>实验动物安全</w:t>
            </w:r>
          </w:p>
        </w:tc>
      </w:tr>
      <w:tr w14:paraId="615C3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4AD8D26D">
            <w:pPr>
              <w:widowControl/>
              <w:rPr>
                <w:rFonts w:ascii="宋体" w:hAnsi="宋体" w:cs="宋体"/>
                <w:kern w:val="0"/>
                <w:szCs w:val="21"/>
              </w:rPr>
            </w:pPr>
            <w:r>
              <w:rPr>
                <w:rFonts w:hint="eastAsia" w:ascii="宋体" w:hAnsi="宋体" w:cs="宋体"/>
                <w:kern w:val="0"/>
                <w:szCs w:val="21"/>
              </w:rPr>
              <w:t>10.6.1</w:t>
            </w:r>
          </w:p>
        </w:tc>
        <w:tc>
          <w:tcPr>
            <w:tcW w:w="1721" w:type="dxa"/>
            <w:noWrap/>
            <w:tcMar>
              <w:left w:w="45" w:type="dxa"/>
              <w:right w:w="45" w:type="dxa"/>
            </w:tcMar>
            <w:vAlign w:val="center"/>
          </w:tcPr>
          <w:p w14:paraId="53CB9B7C">
            <w:pPr>
              <w:widowControl/>
              <w:rPr>
                <w:rFonts w:ascii="宋体" w:hAnsi="宋体" w:cs="宋体"/>
                <w:kern w:val="0"/>
                <w:szCs w:val="21"/>
              </w:rPr>
            </w:pPr>
            <w:r>
              <w:rPr>
                <w:rFonts w:hint="eastAsia" w:ascii="宋体" w:hAnsi="宋体" w:cs="宋体"/>
                <w:kern w:val="0"/>
                <w:szCs w:val="21"/>
              </w:rPr>
              <w:t>实验动物的购买、饲养、解剖等须符合相关规定</w:t>
            </w:r>
          </w:p>
        </w:tc>
        <w:tc>
          <w:tcPr>
            <w:tcW w:w="5567" w:type="dxa"/>
            <w:noWrap/>
            <w:tcMar>
              <w:left w:w="45" w:type="dxa"/>
              <w:right w:w="45" w:type="dxa"/>
            </w:tcMar>
            <w:vAlign w:val="center"/>
          </w:tcPr>
          <w:p w14:paraId="2A7B54D0">
            <w:pPr>
              <w:widowControl/>
              <w:rPr>
                <w:rFonts w:ascii="宋体" w:hAnsi="宋体" w:cs="宋体"/>
                <w:szCs w:val="21"/>
              </w:rPr>
            </w:pPr>
            <w:r>
              <w:rPr>
                <w:rFonts w:hint="eastAsia" w:ascii="宋体" w:hAnsi="宋体" w:cs="宋体"/>
                <w:kern w:val="0"/>
                <w:szCs w:val="21"/>
              </w:rPr>
              <w:t>（203）饲养实验动物的场所应有资质证书，实验动物须从具有资质的单位购买，有合格证明，</w:t>
            </w:r>
            <w:r>
              <w:rPr>
                <w:rFonts w:hint="eastAsia" w:ascii="宋体" w:hAnsi="宋体" w:cs="宋体"/>
                <w:szCs w:val="21"/>
              </w:rPr>
              <w:t>用于解剖的实验动物须经过检验检疫合格。</w:t>
            </w:r>
          </w:p>
          <w:p w14:paraId="2C37A0C9">
            <w:pPr>
              <w:widowControl/>
              <w:rPr>
                <w:rFonts w:ascii="宋体" w:hAnsi="宋体" w:cs="宋体"/>
                <w:szCs w:val="21"/>
              </w:rPr>
            </w:pPr>
            <w:r>
              <w:rPr>
                <w:rFonts w:hint="eastAsia" w:ascii="宋体" w:hAnsi="宋体" w:cs="宋体"/>
                <w:szCs w:val="21"/>
              </w:rPr>
              <w:t>（204）解剖实验动物时，必须做好个人安全防护。</w:t>
            </w:r>
          </w:p>
          <w:p w14:paraId="36E5A474">
            <w:pPr>
              <w:widowControl/>
              <w:rPr>
                <w:rFonts w:ascii="宋体" w:hAnsi="宋体" w:cs="宋体"/>
                <w:bCs/>
                <w:kern w:val="0"/>
                <w:szCs w:val="21"/>
              </w:rPr>
            </w:pPr>
            <w:r>
              <w:rPr>
                <w:rFonts w:hint="eastAsia" w:ascii="宋体" w:hAnsi="宋体" w:cs="宋体"/>
                <w:szCs w:val="21"/>
              </w:rPr>
              <w:t>（205）</w:t>
            </w:r>
            <w:r>
              <w:rPr>
                <w:rFonts w:hint="eastAsia" w:ascii="宋体" w:hAnsi="宋体" w:cs="宋体"/>
                <w:kern w:val="0"/>
                <w:szCs w:val="21"/>
              </w:rPr>
              <w:t>定期组织健康检查</w:t>
            </w:r>
          </w:p>
        </w:tc>
        <w:tc>
          <w:tcPr>
            <w:tcW w:w="991" w:type="dxa"/>
            <w:noWrap/>
            <w:tcMar>
              <w:left w:w="45" w:type="dxa"/>
              <w:right w:w="45" w:type="dxa"/>
            </w:tcMar>
            <w:vAlign w:val="center"/>
          </w:tcPr>
          <w:p w14:paraId="50AF03C5">
            <w:pPr>
              <w:widowControl/>
              <w:rPr>
                <w:rFonts w:ascii="宋体" w:hAnsi="宋体" w:cs="宋体"/>
                <w:bCs/>
                <w:kern w:val="0"/>
                <w:szCs w:val="21"/>
              </w:rPr>
            </w:pPr>
          </w:p>
        </w:tc>
      </w:tr>
      <w:tr w14:paraId="65AC9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259FE7CB">
            <w:pPr>
              <w:widowControl/>
              <w:rPr>
                <w:rFonts w:ascii="宋体" w:hAnsi="宋体" w:cs="宋体"/>
                <w:kern w:val="0"/>
                <w:szCs w:val="21"/>
              </w:rPr>
            </w:pPr>
            <w:r>
              <w:rPr>
                <w:rFonts w:hint="eastAsia" w:ascii="宋体" w:hAnsi="宋体" w:cs="宋体"/>
                <w:kern w:val="0"/>
                <w:szCs w:val="21"/>
              </w:rPr>
              <w:t>10.6.2</w:t>
            </w:r>
          </w:p>
        </w:tc>
        <w:tc>
          <w:tcPr>
            <w:tcW w:w="1721" w:type="dxa"/>
            <w:noWrap/>
            <w:tcMar>
              <w:left w:w="45" w:type="dxa"/>
              <w:right w:w="45" w:type="dxa"/>
            </w:tcMar>
            <w:vAlign w:val="center"/>
          </w:tcPr>
          <w:p w14:paraId="7608897E">
            <w:pPr>
              <w:widowControl/>
              <w:rPr>
                <w:rFonts w:ascii="宋体" w:hAnsi="宋体" w:cs="宋体"/>
                <w:szCs w:val="21"/>
              </w:rPr>
            </w:pPr>
            <w:r>
              <w:rPr>
                <w:rFonts w:hint="eastAsia" w:ascii="宋体" w:hAnsi="宋体" w:cs="宋体"/>
                <w:kern w:val="0"/>
                <w:szCs w:val="21"/>
              </w:rPr>
              <w:t>动物实验按相关规定进行伦理审查，保障动物权益</w:t>
            </w:r>
          </w:p>
        </w:tc>
        <w:tc>
          <w:tcPr>
            <w:tcW w:w="5567" w:type="dxa"/>
            <w:noWrap/>
            <w:tcMar>
              <w:left w:w="45" w:type="dxa"/>
              <w:right w:w="45" w:type="dxa"/>
            </w:tcMar>
            <w:vAlign w:val="center"/>
          </w:tcPr>
          <w:p w14:paraId="775CAAFD">
            <w:pPr>
              <w:widowControl/>
              <w:rPr>
                <w:rFonts w:ascii="宋体" w:hAnsi="宋体" w:cs="宋体"/>
                <w:bCs/>
                <w:kern w:val="0"/>
                <w:szCs w:val="21"/>
              </w:rPr>
            </w:pPr>
            <w:r>
              <w:rPr>
                <w:rFonts w:hint="eastAsia" w:ascii="宋体" w:hAnsi="宋体" w:cs="宋体"/>
                <w:bCs/>
                <w:kern w:val="0"/>
                <w:szCs w:val="21"/>
              </w:rPr>
              <w:t>（206）学校有伦理审查机构，查看伦理审查记录</w:t>
            </w:r>
          </w:p>
        </w:tc>
        <w:tc>
          <w:tcPr>
            <w:tcW w:w="991" w:type="dxa"/>
            <w:noWrap/>
            <w:tcMar>
              <w:left w:w="45" w:type="dxa"/>
              <w:right w:w="45" w:type="dxa"/>
            </w:tcMar>
            <w:vAlign w:val="center"/>
          </w:tcPr>
          <w:p w14:paraId="5D3F8696">
            <w:pPr>
              <w:widowControl/>
              <w:rPr>
                <w:rFonts w:ascii="宋体" w:hAnsi="宋体" w:cs="宋体"/>
                <w:bCs/>
                <w:kern w:val="0"/>
                <w:szCs w:val="21"/>
              </w:rPr>
            </w:pPr>
          </w:p>
        </w:tc>
      </w:tr>
      <w:tr w14:paraId="1EE64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2C455BE9">
            <w:pPr>
              <w:widowControl/>
              <w:rPr>
                <w:rFonts w:ascii="宋体" w:hAnsi="宋体" w:cs="宋体"/>
                <w:b/>
                <w:kern w:val="0"/>
                <w:szCs w:val="21"/>
              </w:rPr>
            </w:pPr>
            <w:r>
              <w:rPr>
                <w:rFonts w:hint="eastAsia" w:ascii="宋体" w:hAnsi="宋体" w:cs="宋体"/>
                <w:b/>
                <w:kern w:val="0"/>
                <w:szCs w:val="21"/>
              </w:rPr>
              <w:t>10.7</w:t>
            </w:r>
          </w:p>
        </w:tc>
        <w:tc>
          <w:tcPr>
            <w:tcW w:w="8279" w:type="dxa"/>
            <w:gridSpan w:val="3"/>
            <w:noWrap/>
            <w:tcMar>
              <w:left w:w="45" w:type="dxa"/>
              <w:right w:w="45" w:type="dxa"/>
            </w:tcMar>
            <w:vAlign w:val="center"/>
          </w:tcPr>
          <w:p w14:paraId="1D834B39">
            <w:pPr>
              <w:widowControl/>
              <w:rPr>
                <w:rFonts w:ascii="宋体" w:hAnsi="宋体" w:cs="宋体"/>
                <w:b/>
                <w:kern w:val="0"/>
                <w:szCs w:val="21"/>
              </w:rPr>
            </w:pPr>
            <w:r>
              <w:rPr>
                <w:rFonts w:hint="eastAsia" w:ascii="宋体" w:hAnsi="宋体" w:cs="宋体"/>
                <w:b/>
                <w:kern w:val="0"/>
                <w:szCs w:val="21"/>
              </w:rPr>
              <w:t>生物实验废物处置</w:t>
            </w:r>
          </w:p>
        </w:tc>
      </w:tr>
      <w:tr w14:paraId="55B01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1D40002C">
            <w:pPr>
              <w:widowControl/>
              <w:rPr>
                <w:rFonts w:ascii="宋体" w:hAnsi="宋体" w:cs="宋体"/>
                <w:kern w:val="0"/>
                <w:szCs w:val="21"/>
              </w:rPr>
            </w:pPr>
            <w:r>
              <w:rPr>
                <w:rFonts w:hint="eastAsia" w:ascii="宋体" w:hAnsi="宋体" w:cs="宋体"/>
                <w:kern w:val="0"/>
                <w:szCs w:val="21"/>
              </w:rPr>
              <w:t>10.7.1</w:t>
            </w:r>
          </w:p>
        </w:tc>
        <w:tc>
          <w:tcPr>
            <w:tcW w:w="1721" w:type="dxa"/>
            <w:noWrap/>
            <w:tcMar>
              <w:left w:w="45" w:type="dxa"/>
              <w:right w:w="45" w:type="dxa"/>
            </w:tcMar>
            <w:vAlign w:val="center"/>
          </w:tcPr>
          <w:p w14:paraId="0B870EE2">
            <w:pPr>
              <w:widowControl/>
              <w:rPr>
                <w:rFonts w:ascii="宋体" w:hAnsi="宋体" w:cs="宋体"/>
                <w:kern w:val="0"/>
                <w:szCs w:val="21"/>
              </w:rPr>
            </w:pPr>
            <w:r>
              <w:rPr>
                <w:rFonts w:hint="eastAsia" w:ascii="宋体" w:hAnsi="宋体" w:cs="宋体"/>
                <w:kern w:val="0"/>
                <w:szCs w:val="21"/>
              </w:rPr>
              <w:t>生物废弃物的中转和处置规范</w:t>
            </w:r>
          </w:p>
        </w:tc>
        <w:tc>
          <w:tcPr>
            <w:tcW w:w="5567" w:type="dxa"/>
            <w:noWrap/>
            <w:tcMar>
              <w:left w:w="45" w:type="dxa"/>
              <w:right w:w="45" w:type="dxa"/>
            </w:tcMar>
            <w:vAlign w:val="center"/>
          </w:tcPr>
          <w:p w14:paraId="61E2711B">
            <w:pPr>
              <w:rPr>
                <w:rFonts w:ascii="宋体" w:hAnsi="宋体" w:cs="宋体"/>
                <w:kern w:val="0"/>
                <w:szCs w:val="21"/>
              </w:rPr>
            </w:pPr>
            <w:r>
              <w:rPr>
                <w:rFonts w:hint="eastAsia" w:ascii="宋体" w:hAnsi="宋体" w:cs="宋体"/>
                <w:kern w:val="0"/>
                <w:szCs w:val="21"/>
              </w:rPr>
              <w:t>（207）学校与有资质的单位签约处置感染性废物，有交接记录，形成电子或者纸质台账。</w:t>
            </w:r>
          </w:p>
          <w:p w14:paraId="6FE5D89B">
            <w:pPr>
              <w:rPr>
                <w:rFonts w:ascii="宋体" w:hAnsi="宋体" w:cs="宋体"/>
                <w:bCs/>
                <w:kern w:val="0"/>
                <w:szCs w:val="21"/>
              </w:rPr>
            </w:pPr>
            <w:r>
              <w:rPr>
                <w:rFonts w:hint="eastAsia" w:ascii="宋体" w:hAnsi="宋体" w:cs="宋体"/>
                <w:kern w:val="0"/>
                <w:szCs w:val="21"/>
              </w:rPr>
              <w:t>（208）学校有生物废弃物中转站或收集点，生物废物及时收集转运</w:t>
            </w:r>
          </w:p>
        </w:tc>
        <w:tc>
          <w:tcPr>
            <w:tcW w:w="991" w:type="dxa"/>
            <w:noWrap/>
            <w:tcMar>
              <w:left w:w="45" w:type="dxa"/>
              <w:right w:w="45" w:type="dxa"/>
            </w:tcMar>
            <w:vAlign w:val="center"/>
          </w:tcPr>
          <w:p w14:paraId="3202FED9">
            <w:pPr>
              <w:widowControl/>
              <w:rPr>
                <w:rFonts w:ascii="宋体" w:hAnsi="宋体" w:cs="宋体"/>
                <w:b/>
                <w:bCs/>
                <w:kern w:val="0"/>
                <w:szCs w:val="21"/>
              </w:rPr>
            </w:pPr>
          </w:p>
        </w:tc>
      </w:tr>
      <w:tr w14:paraId="728D5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05875FCA">
            <w:pPr>
              <w:widowControl/>
              <w:rPr>
                <w:rFonts w:ascii="宋体" w:hAnsi="宋体" w:cs="宋体"/>
                <w:kern w:val="0"/>
                <w:szCs w:val="21"/>
              </w:rPr>
            </w:pPr>
            <w:r>
              <w:rPr>
                <w:rFonts w:hint="eastAsia" w:ascii="宋体" w:hAnsi="宋体" w:cs="宋体"/>
                <w:kern w:val="0"/>
                <w:szCs w:val="21"/>
              </w:rPr>
              <w:t>10.7.2</w:t>
            </w:r>
          </w:p>
        </w:tc>
        <w:tc>
          <w:tcPr>
            <w:tcW w:w="1721" w:type="dxa"/>
            <w:noWrap/>
            <w:tcMar>
              <w:left w:w="45" w:type="dxa"/>
              <w:right w:w="45" w:type="dxa"/>
            </w:tcMar>
            <w:vAlign w:val="center"/>
          </w:tcPr>
          <w:p w14:paraId="4D5D232F">
            <w:pPr>
              <w:widowControl/>
              <w:rPr>
                <w:rFonts w:ascii="宋体" w:hAnsi="宋体" w:cs="宋体"/>
                <w:kern w:val="0"/>
                <w:szCs w:val="21"/>
              </w:rPr>
            </w:pPr>
            <w:r>
              <w:rPr>
                <w:rFonts w:hint="eastAsia" w:ascii="宋体" w:hAnsi="宋体" w:cs="宋体"/>
                <w:kern w:val="0"/>
                <w:szCs w:val="21"/>
              </w:rPr>
              <w:t>生物废弃物与其他类别废物分开，并且做好防护和消杀</w:t>
            </w:r>
          </w:p>
        </w:tc>
        <w:tc>
          <w:tcPr>
            <w:tcW w:w="5567" w:type="dxa"/>
            <w:noWrap/>
            <w:tcMar>
              <w:left w:w="45" w:type="dxa"/>
              <w:right w:w="45" w:type="dxa"/>
            </w:tcMar>
            <w:vAlign w:val="center"/>
          </w:tcPr>
          <w:p w14:paraId="49B7003A">
            <w:pPr>
              <w:rPr>
                <w:rFonts w:ascii="宋体" w:hAnsi="宋体" w:cs="宋体"/>
                <w:kern w:val="0"/>
                <w:szCs w:val="21"/>
              </w:rPr>
            </w:pPr>
            <w:r>
              <w:rPr>
                <w:rFonts w:hint="eastAsia" w:ascii="宋体" w:hAnsi="宋体" w:cs="宋体"/>
                <w:kern w:val="0"/>
                <w:szCs w:val="21"/>
              </w:rPr>
              <w:t>（209）生物废物应与化学废物、生活垃圾等分开贮存。</w:t>
            </w:r>
          </w:p>
          <w:p w14:paraId="2ED83E80">
            <w:pPr>
              <w:rPr>
                <w:rFonts w:ascii="宋体" w:hAnsi="宋体" w:cs="宋体"/>
                <w:kern w:val="0"/>
                <w:szCs w:val="21"/>
              </w:rPr>
            </w:pPr>
            <w:r>
              <w:rPr>
                <w:rFonts w:hint="eastAsia" w:ascii="宋体" w:hAnsi="宋体" w:cs="宋体"/>
                <w:kern w:val="0"/>
                <w:szCs w:val="21"/>
              </w:rPr>
              <w:t>（210）实验室内配备生物废物垃圾桶（内置生物废物专用塑料袋），并粘贴专用标签标识。</w:t>
            </w:r>
          </w:p>
          <w:p w14:paraId="3AAC713E">
            <w:pPr>
              <w:rPr>
                <w:rFonts w:ascii="宋体" w:hAnsi="宋体" w:cs="宋体"/>
                <w:kern w:val="0"/>
                <w:szCs w:val="21"/>
              </w:rPr>
            </w:pPr>
            <w:r>
              <w:rPr>
                <w:rFonts w:hint="eastAsia" w:ascii="宋体" w:hAnsi="宋体" w:cs="宋体"/>
                <w:kern w:val="0"/>
                <w:szCs w:val="21"/>
              </w:rPr>
              <w:t>（211）刀片、移液枪头等尖锐物应使用利器盒或耐扎纸板箱盛放，送储时再装入生物废物专用塑料袋，贴好标签。</w:t>
            </w:r>
          </w:p>
          <w:p w14:paraId="2BE3D14A">
            <w:pPr>
              <w:rPr>
                <w:rFonts w:ascii="宋体" w:hAnsi="宋体" w:cs="宋体"/>
                <w:kern w:val="0"/>
                <w:szCs w:val="21"/>
              </w:rPr>
            </w:pPr>
            <w:r>
              <w:rPr>
                <w:rFonts w:hint="eastAsia" w:ascii="宋体" w:hAnsi="宋体" w:cs="宋体"/>
                <w:kern w:val="0"/>
                <w:szCs w:val="21"/>
              </w:rPr>
              <w:t>（212）动物实验结束后，动物尸体及组织应做无害化处理，感染性废物彻底灭菌后方可处置。</w:t>
            </w:r>
          </w:p>
          <w:p w14:paraId="19EA4317">
            <w:pPr>
              <w:rPr>
                <w:rFonts w:ascii="宋体" w:hAnsi="宋体" w:cs="宋体"/>
                <w:kern w:val="0"/>
                <w:szCs w:val="21"/>
              </w:rPr>
            </w:pPr>
            <w:r>
              <w:rPr>
                <w:rFonts w:hint="eastAsia" w:ascii="宋体" w:hAnsi="宋体" w:cs="宋体"/>
                <w:kern w:val="0"/>
                <w:szCs w:val="21"/>
              </w:rPr>
              <w:t>（213）涉及病原微生物或其他感染性生物废物必须进行高温高压灭菌或化学浸泡处理，然后由有资质的公司进行最终处置。</w:t>
            </w:r>
          </w:p>
          <w:p w14:paraId="444A23B0">
            <w:pPr>
              <w:rPr>
                <w:rFonts w:ascii="宋体" w:hAnsi="宋体" w:cs="宋体"/>
                <w:bCs/>
                <w:kern w:val="0"/>
                <w:szCs w:val="21"/>
              </w:rPr>
            </w:pPr>
            <w:r>
              <w:rPr>
                <w:rFonts w:hint="eastAsia" w:ascii="宋体" w:hAnsi="宋体" w:cs="宋体"/>
                <w:kern w:val="0"/>
                <w:szCs w:val="21"/>
              </w:rPr>
              <w:t>（214）高致病性生物材料废物处置实现溯源追踪</w:t>
            </w:r>
          </w:p>
        </w:tc>
        <w:tc>
          <w:tcPr>
            <w:tcW w:w="991" w:type="dxa"/>
            <w:noWrap/>
            <w:tcMar>
              <w:left w:w="45" w:type="dxa"/>
              <w:right w:w="45" w:type="dxa"/>
            </w:tcMar>
            <w:vAlign w:val="center"/>
          </w:tcPr>
          <w:p w14:paraId="48F46C32">
            <w:pPr>
              <w:widowControl/>
              <w:rPr>
                <w:rFonts w:ascii="宋体" w:hAnsi="宋体" w:cs="宋体"/>
                <w:b/>
                <w:bCs/>
                <w:kern w:val="0"/>
                <w:szCs w:val="21"/>
              </w:rPr>
            </w:pPr>
          </w:p>
        </w:tc>
      </w:tr>
      <w:tr w14:paraId="5089C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35E5B60F">
            <w:pPr>
              <w:widowControl/>
              <w:rPr>
                <w:rFonts w:ascii="宋体" w:hAnsi="宋体" w:cs="宋体"/>
                <w:b/>
                <w:kern w:val="0"/>
                <w:szCs w:val="21"/>
              </w:rPr>
            </w:pPr>
            <w:r>
              <w:rPr>
                <w:rFonts w:hint="eastAsia" w:ascii="宋体" w:hAnsi="宋体" w:cs="宋体"/>
                <w:b/>
                <w:kern w:val="0"/>
                <w:szCs w:val="21"/>
              </w:rPr>
              <w:t>11</w:t>
            </w:r>
          </w:p>
        </w:tc>
        <w:tc>
          <w:tcPr>
            <w:tcW w:w="8279" w:type="dxa"/>
            <w:gridSpan w:val="3"/>
            <w:noWrap/>
            <w:tcMar>
              <w:left w:w="45" w:type="dxa"/>
              <w:right w:w="45" w:type="dxa"/>
            </w:tcMar>
            <w:vAlign w:val="center"/>
          </w:tcPr>
          <w:p w14:paraId="6435DD84">
            <w:pPr>
              <w:widowControl/>
              <w:rPr>
                <w:rFonts w:ascii="宋体" w:hAnsi="宋体" w:cs="宋体"/>
                <w:b/>
                <w:kern w:val="0"/>
                <w:szCs w:val="21"/>
              </w:rPr>
            </w:pPr>
            <w:r>
              <w:rPr>
                <w:rFonts w:hint="eastAsia" w:ascii="宋体" w:hAnsi="宋体" w:cs="宋体"/>
                <w:b/>
                <w:kern w:val="0"/>
                <w:szCs w:val="21"/>
              </w:rPr>
              <w:t>辐射安全与核材料管制</w:t>
            </w:r>
          </w:p>
        </w:tc>
      </w:tr>
      <w:tr w14:paraId="21FA6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4AD22348">
            <w:pPr>
              <w:widowControl/>
              <w:rPr>
                <w:rFonts w:ascii="宋体" w:hAnsi="宋体" w:cs="宋体"/>
                <w:b/>
                <w:kern w:val="0"/>
                <w:szCs w:val="21"/>
              </w:rPr>
            </w:pPr>
            <w:r>
              <w:rPr>
                <w:rFonts w:hint="eastAsia" w:ascii="宋体" w:hAnsi="宋体" w:cs="宋体"/>
                <w:b/>
                <w:kern w:val="0"/>
                <w:szCs w:val="21"/>
              </w:rPr>
              <w:t>11.1</w:t>
            </w:r>
          </w:p>
        </w:tc>
        <w:tc>
          <w:tcPr>
            <w:tcW w:w="8279" w:type="dxa"/>
            <w:gridSpan w:val="3"/>
            <w:noWrap/>
            <w:tcMar>
              <w:left w:w="45" w:type="dxa"/>
              <w:right w:w="45" w:type="dxa"/>
            </w:tcMar>
            <w:vAlign w:val="center"/>
          </w:tcPr>
          <w:p w14:paraId="4DFEF281">
            <w:pPr>
              <w:widowControl/>
              <w:rPr>
                <w:rFonts w:ascii="宋体" w:hAnsi="宋体" w:cs="宋体"/>
                <w:b/>
                <w:kern w:val="0"/>
                <w:szCs w:val="21"/>
              </w:rPr>
            </w:pPr>
            <w:r>
              <w:rPr>
                <w:rFonts w:hint="eastAsia" w:ascii="宋体" w:hAnsi="宋体" w:cs="宋体"/>
                <w:b/>
                <w:kern w:val="0"/>
                <w:szCs w:val="21"/>
              </w:rPr>
              <w:t>资质与人员要求</w:t>
            </w:r>
          </w:p>
        </w:tc>
      </w:tr>
      <w:tr w14:paraId="5F2BE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64B57A7F">
            <w:pPr>
              <w:widowControl/>
              <w:rPr>
                <w:rFonts w:ascii="宋体" w:hAnsi="宋体" w:cs="宋体"/>
                <w:kern w:val="0"/>
                <w:szCs w:val="21"/>
              </w:rPr>
            </w:pPr>
            <w:r>
              <w:rPr>
                <w:rFonts w:hint="eastAsia" w:ascii="宋体" w:hAnsi="宋体" w:cs="宋体"/>
                <w:kern w:val="0"/>
                <w:szCs w:val="21"/>
              </w:rPr>
              <w:t>11.1.1</w:t>
            </w:r>
          </w:p>
        </w:tc>
        <w:tc>
          <w:tcPr>
            <w:tcW w:w="1721" w:type="dxa"/>
            <w:noWrap/>
            <w:tcMar>
              <w:left w:w="45" w:type="dxa"/>
              <w:right w:w="45" w:type="dxa"/>
            </w:tcMar>
            <w:vAlign w:val="center"/>
          </w:tcPr>
          <w:p w14:paraId="5419EC9F">
            <w:pPr>
              <w:widowControl/>
              <w:rPr>
                <w:rFonts w:ascii="宋体" w:hAnsi="宋体" w:cs="宋体"/>
                <w:b/>
                <w:kern w:val="0"/>
                <w:szCs w:val="21"/>
              </w:rPr>
            </w:pPr>
            <w:r>
              <w:rPr>
                <w:rFonts w:hint="eastAsia" w:ascii="宋体" w:hAnsi="宋体" w:cs="宋体"/>
                <w:szCs w:val="21"/>
              </w:rPr>
              <w:t>辐射工作</w:t>
            </w:r>
            <w:r>
              <w:rPr>
                <w:rFonts w:hint="eastAsia" w:ascii="宋体" w:hAnsi="宋体" w:cs="宋体"/>
                <w:bCs/>
                <w:kern w:val="0"/>
                <w:szCs w:val="21"/>
              </w:rPr>
              <w:t>单位须</w:t>
            </w:r>
            <w:r>
              <w:rPr>
                <w:rFonts w:hint="eastAsia" w:ascii="宋体" w:hAnsi="宋体" w:cs="宋体"/>
                <w:kern w:val="0"/>
                <w:szCs w:val="21"/>
              </w:rPr>
              <w:t>取得辐射安全许可证</w:t>
            </w:r>
          </w:p>
        </w:tc>
        <w:tc>
          <w:tcPr>
            <w:tcW w:w="5567" w:type="dxa"/>
            <w:noWrap/>
            <w:tcMar>
              <w:left w:w="45" w:type="dxa"/>
              <w:right w:w="45" w:type="dxa"/>
            </w:tcMar>
            <w:vAlign w:val="center"/>
          </w:tcPr>
          <w:p w14:paraId="22877243">
            <w:pPr>
              <w:widowControl/>
              <w:rPr>
                <w:rFonts w:ascii="宋体" w:hAnsi="宋体" w:cs="宋体"/>
                <w:kern w:val="0"/>
                <w:szCs w:val="21"/>
              </w:rPr>
            </w:pPr>
            <w:r>
              <w:rPr>
                <w:rFonts w:hint="eastAsia" w:ascii="宋体" w:hAnsi="宋体" w:cs="宋体"/>
                <w:kern w:val="0"/>
                <w:szCs w:val="21"/>
              </w:rPr>
              <w:t>（215）按辐射安全许可证规定的活动种类和范围，在许可的辐射活动场所内开展辐射类实验。除已被生态环境部门豁免管理外，射线装置、放射源或者非密封放射性物质应申领辐射安全许可证</w:t>
            </w:r>
          </w:p>
        </w:tc>
        <w:tc>
          <w:tcPr>
            <w:tcW w:w="991" w:type="dxa"/>
            <w:noWrap/>
            <w:tcMar>
              <w:left w:w="45" w:type="dxa"/>
              <w:right w:w="45" w:type="dxa"/>
            </w:tcMar>
            <w:vAlign w:val="center"/>
          </w:tcPr>
          <w:p w14:paraId="04816573">
            <w:pPr>
              <w:rPr>
                <w:rFonts w:ascii="宋体" w:hAnsi="宋体" w:cs="宋体"/>
                <w:szCs w:val="21"/>
              </w:rPr>
            </w:pPr>
          </w:p>
        </w:tc>
      </w:tr>
      <w:tr w14:paraId="4B651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7227714F">
            <w:pPr>
              <w:widowControl/>
              <w:rPr>
                <w:rFonts w:ascii="宋体" w:hAnsi="宋体" w:cs="宋体"/>
                <w:kern w:val="0"/>
                <w:szCs w:val="21"/>
              </w:rPr>
            </w:pPr>
            <w:r>
              <w:rPr>
                <w:rFonts w:hint="eastAsia" w:ascii="宋体" w:hAnsi="宋体" w:cs="宋体"/>
                <w:kern w:val="0"/>
                <w:szCs w:val="21"/>
              </w:rPr>
              <w:t>11.1.2</w:t>
            </w:r>
          </w:p>
        </w:tc>
        <w:tc>
          <w:tcPr>
            <w:tcW w:w="1721" w:type="dxa"/>
            <w:noWrap/>
            <w:tcMar>
              <w:left w:w="45" w:type="dxa"/>
              <w:right w:w="45" w:type="dxa"/>
            </w:tcMar>
            <w:vAlign w:val="center"/>
          </w:tcPr>
          <w:p w14:paraId="31073051">
            <w:pPr>
              <w:widowControl/>
              <w:rPr>
                <w:rFonts w:ascii="宋体" w:hAnsi="宋体" w:cs="宋体"/>
                <w:kern w:val="0"/>
                <w:szCs w:val="21"/>
              </w:rPr>
            </w:pPr>
            <w:r>
              <w:rPr>
                <w:rFonts w:hint="eastAsia" w:ascii="宋体" w:hAnsi="宋体" w:cs="宋体"/>
                <w:szCs w:val="21"/>
              </w:rPr>
              <w:t>辐射工作</w:t>
            </w:r>
            <w:r>
              <w:rPr>
                <w:rFonts w:hint="eastAsia" w:ascii="宋体" w:hAnsi="宋体" w:cs="宋体"/>
                <w:kern w:val="0"/>
                <w:szCs w:val="21"/>
              </w:rPr>
              <w:t>人员须经过专门培训，定期参加职业体检</w:t>
            </w:r>
          </w:p>
        </w:tc>
        <w:tc>
          <w:tcPr>
            <w:tcW w:w="5567" w:type="dxa"/>
            <w:noWrap/>
            <w:tcMar>
              <w:left w:w="45" w:type="dxa"/>
              <w:right w:w="45" w:type="dxa"/>
            </w:tcMar>
            <w:vAlign w:val="center"/>
          </w:tcPr>
          <w:p w14:paraId="4C82AF1A">
            <w:pPr>
              <w:widowControl/>
              <w:rPr>
                <w:rFonts w:ascii="宋体" w:hAnsi="宋体" w:cs="宋体"/>
                <w:kern w:val="0"/>
                <w:szCs w:val="21"/>
              </w:rPr>
            </w:pPr>
            <w:r>
              <w:rPr>
                <w:rFonts w:hint="eastAsia" w:ascii="宋体" w:hAnsi="宋体" w:cs="宋体"/>
                <w:kern w:val="0"/>
                <w:szCs w:val="21"/>
              </w:rPr>
              <w:t>（216）辐射工作人员应具有生态环境部组织考核的《核技术利用辐射安全与防护考核成绩报告单》，仅从事III类射线装置使用活动的人员可由所在单位自行组织考核。</w:t>
            </w:r>
          </w:p>
          <w:p w14:paraId="56C79944">
            <w:pPr>
              <w:widowControl/>
              <w:rPr>
                <w:rFonts w:ascii="宋体" w:hAnsi="宋体" w:cs="宋体"/>
                <w:kern w:val="0"/>
                <w:szCs w:val="21"/>
              </w:rPr>
            </w:pPr>
            <w:r>
              <w:rPr>
                <w:rFonts w:hint="eastAsia" w:ascii="宋体" w:hAnsi="宋体" w:cs="宋体"/>
                <w:kern w:val="0"/>
                <w:szCs w:val="21"/>
              </w:rPr>
              <w:t>（217）</w:t>
            </w:r>
            <w:r>
              <w:rPr>
                <w:rFonts w:hint="eastAsia" w:ascii="宋体" w:hAnsi="宋体" w:cs="宋体"/>
                <w:szCs w:val="21"/>
              </w:rPr>
              <w:t>辐射工作</w:t>
            </w:r>
            <w:r>
              <w:rPr>
                <w:rFonts w:hint="eastAsia" w:ascii="宋体" w:hAnsi="宋体" w:cs="宋体"/>
                <w:kern w:val="0"/>
                <w:szCs w:val="21"/>
              </w:rPr>
              <w:t>人员按时参加放射性职业体检（2年1次），有健康档案。</w:t>
            </w:r>
          </w:p>
          <w:p w14:paraId="5D19BD29">
            <w:pPr>
              <w:widowControl/>
              <w:rPr>
                <w:rFonts w:ascii="宋体" w:hAnsi="宋体" w:cs="宋体"/>
                <w:bCs/>
                <w:kern w:val="0"/>
                <w:szCs w:val="21"/>
              </w:rPr>
            </w:pPr>
            <w:r>
              <w:rPr>
                <w:rFonts w:hint="eastAsia" w:ascii="宋体" w:hAnsi="宋体" w:cs="宋体"/>
                <w:kern w:val="0"/>
                <w:szCs w:val="21"/>
              </w:rPr>
              <w:t>（218）</w:t>
            </w:r>
            <w:r>
              <w:rPr>
                <w:rFonts w:hint="eastAsia" w:ascii="宋体" w:hAnsi="宋体" w:cs="宋体"/>
                <w:szCs w:val="21"/>
              </w:rPr>
              <w:t>辐射工作</w:t>
            </w:r>
            <w:r>
              <w:rPr>
                <w:rFonts w:hint="eastAsia" w:ascii="宋体" w:hAnsi="宋体" w:cs="宋体"/>
                <w:kern w:val="0"/>
                <w:szCs w:val="21"/>
              </w:rPr>
              <w:t>人员进入实验场所须佩戴个人剂量计，剂量计委托有资质的单位按时进行剂量监测（3个月1次）</w:t>
            </w:r>
          </w:p>
        </w:tc>
        <w:tc>
          <w:tcPr>
            <w:tcW w:w="991" w:type="dxa"/>
            <w:noWrap/>
            <w:tcMar>
              <w:left w:w="45" w:type="dxa"/>
              <w:right w:w="45" w:type="dxa"/>
            </w:tcMar>
            <w:vAlign w:val="center"/>
          </w:tcPr>
          <w:p w14:paraId="06205921">
            <w:pPr>
              <w:rPr>
                <w:rFonts w:ascii="宋体" w:hAnsi="宋体" w:cs="宋体"/>
                <w:bCs/>
                <w:kern w:val="0"/>
                <w:szCs w:val="21"/>
              </w:rPr>
            </w:pPr>
          </w:p>
        </w:tc>
      </w:tr>
      <w:tr w14:paraId="1D84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45E59D50">
            <w:pPr>
              <w:widowControl/>
              <w:rPr>
                <w:rFonts w:ascii="宋体" w:hAnsi="宋体" w:cs="宋体"/>
                <w:kern w:val="0"/>
                <w:szCs w:val="21"/>
              </w:rPr>
            </w:pPr>
            <w:r>
              <w:rPr>
                <w:rFonts w:hint="eastAsia" w:ascii="宋体" w:hAnsi="宋体" w:cs="宋体"/>
                <w:kern w:val="0"/>
                <w:szCs w:val="21"/>
              </w:rPr>
              <w:t>11.1.3</w:t>
            </w:r>
          </w:p>
        </w:tc>
        <w:tc>
          <w:tcPr>
            <w:tcW w:w="1721" w:type="dxa"/>
            <w:noWrap/>
            <w:tcMar>
              <w:left w:w="45" w:type="dxa"/>
              <w:right w:w="45" w:type="dxa"/>
            </w:tcMar>
            <w:vAlign w:val="center"/>
          </w:tcPr>
          <w:p w14:paraId="73D5C347">
            <w:pPr>
              <w:widowControl/>
              <w:rPr>
                <w:rFonts w:ascii="宋体" w:hAnsi="宋体" w:cs="宋体"/>
                <w:szCs w:val="21"/>
              </w:rPr>
            </w:pPr>
            <w:r>
              <w:rPr>
                <w:rFonts w:hint="eastAsia" w:ascii="宋体" w:hAnsi="宋体" w:cs="宋体"/>
                <w:szCs w:val="21"/>
              </w:rPr>
              <w:t>核材料许可证持有单位须建立专职机构或指定专人负责保管核材料，执行国家法律法规要求。有帐目与报告制度，保证帐物相符</w:t>
            </w:r>
          </w:p>
        </w:tc>
        <w:tc>
          <w:tcPr>
            <w:tcW w:w="5567" w:type="dxa"/>
            <w:noWrap/>
            <w:tcMar>
              <w:left w:w="45" w:type="dxa"/>
              <w:right w:w="45" w:type="dxa"/>
            </w:tcMar>
            <w:vAlign w:val="center"/>
          </w:tcPr>
          <w:p w14:paraId="18F85D1C">
            <w:pPr>
              <w:widowControl/>
              <w:rPr>
                <w:rFonts w:ascii="宋体" w:hAnsi="宋体" w:cs="宋体"/>
                <w:kern w:val="0"/>
                <w:szCs w:val="21"/>
              </w:rPr>
            </w:pPr>
            <w:r>
              <w:rPr>
                <w:rFonts w:hint="eastAsia" w:ascii="宋体" w:hAnsi="宋体" w:cs="宋体"/>
                <w:bCs/>
                <w:kern w:val="0"/>
                <w:szCs w:val="21"/>
              </w:rPr>
              <w:t>（219）持有核材料数量达到法定要求的单位须</w:t>
            </w:r>
            <w:r>
              <w:rPr>
                <w:rFonts w:hint="eastAsia" w:ascii="宋体" w:hAnsi="宋体" w:cs="宋体"/>
                <w:kern w:val="0"/>
                <w:szCs w:val="21"/>
              </w:rPr>
              <w:t>取得核材料许可证，</w:t>
            </w:r>
            <w:r>
              <w:rPr>
                <w:rFonts w:hint="eastAsia" w:ascii="宋体" w:hAnsi="宋体" w:cs="宋体"/>
                <w:szCs w:val="21"/>
              </w:rPr>
              <w:t>有负责机构或指定专人负责核材料管制工作，核材料衡算和核安保工作执行国家法律法规要求</w:t>
            </w:r>
          </w:p>
        </w:tc>
        <w:tc>
          <w:tcPr>
            <w:tcW w:w="991" w:type="dxa"/>
            <w:noWrap/>
            <w:tcMar>
              <w:left w:w="45" w:type="dxa"/>
              <w:right w:w="45" w:type="dxa"/>
            </w:tcMar>
            <w:vAlign w:val="center"/>
          </w:tcPr>
          <w:p w14:paraId="475FA698">
            <w:pPr>
              <w:rPr>
                <w:rFonts w:ascii="宋体" w:hAnsi="宋体" w:cs="宋体"/>
                <w:bCs/>
                <w:kern w:val="0"/>
                <w:szCs w:val="21"/>
              </w:rPr>
            </w:pPr>
          </w:p>
        </w:tc>
      </w:tr>
      <w:tr w14:paraId="5755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7E35FE6A">
            <w:pPr>
              <w:widowControl/>
              <w:rPr>
                <w:rFonts w:ascii="宋体" w:hAnsi="宋体" w:cs="宋体"/>
                <w:b/>
                <w:kern w:val="0"/>
                <w:szCs w:val="21"/>
              </w:rPr>
            </w:pPr>
            <w:r>
              <w:rPr>
                <w:rFonts w:hint="eastAsia" w:ascii="宋体" w:hAnsi="宋体" w:cs="宋体"/>
                <w:b/>
                <w:kern w:val="0"/>
                <w:szCs w:val="21"/>
              </w:rPr>
              <w:t>11.2</w:t>
            </w:r>
          </w:p>
        </w:tc>
        <w:tc>
          <w:tcPr>
            <w:tcW w:w="8279" w:type="dxa"/>
            <w:gridSpan w:val="3"/>
            <w:noWrap/>
            <w:tcMar>
              <w:left w:w="45" w:type="dxa"/>
              <w:right w:w="45" w:type="dxa"/>
            </w:tcMar>
            <w:vAlign w:val="center"/>
          </w:tcPr>
          <w:p w14:paraId="1E54D9DC">
            <w:pPr>
              <w:widowControl/>
              <w:rPr>
                <w:rFonts w:ascii="宋体" w:hAnsi="宋体" w:cs="宋体"/>
                <w:b/>
                <w:kern w:val="0"/>
                <w:szCs w:val="21"/>
              </w:rPr>
            </w:pPr>
            <w:r>
              <w:rPr>
                <w:rFonts w:hint="eastAsia" w:ascii="宋体" w:hAnsi="宋体" w:cs="宋体"/>
                <w:b/>
                <w:kern w:val="0"/>
                <w:szCs w:val="21"/>
              </w:rPr>
              <w:t>场所设施与采购运输</w:t>
            </w:r>
          </w:p>
        </w:tc>
      </w:tr>
      <w:tr w14:paraId="0F9E6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61A30513">
            <w:pPr>
              <w:widowControl/>
              <w:rPr>
                <w:rFonts w:ascii="宋体" w:hAnsi="宋体" w:cs="宋体"/>
                <w:kern w:val="0"/>
                <w:szCs w:val="21"/>
              </w:rPr>
            </w:pPr>
            <w:r>
              <w:rPr>
                <w:rFonts w:hint="eastAsia" w:ascii="宋体" w:hAnsi="宋体" w:cs="宋体"/>
                <w:kern w:val="0"/>
                <w:szCs w:val="21"/>
              </w:rPr>
              <w:t>11.2.1</w:t>
            </w:r>
          </w:p>
        </w:tc>
        <w:tc>
          <w:tcPr>
            <w:tcW w:w="1721" w:type="dxa"/>
            <w:noWrap/>
            <w:tcMar>
              <w:left w:w="45" w:type="dxa"/>
              <w:right w:w="45" w:type="dxa"/>
            </w:tcMar>
            <w:vAlign w:val="center"/>
          </w:tcPr>
          <w:p w14:paraId="36C370BB">
            <w:pPr>
              <w:widowControl/>
              <w:rPr>
                <w:rFonts w:ascii="宋体" w:hAnsi="宋体" w:cs="宋体"/>
                <w:kern w:val="0"/>
                <w:szCs w:val="21"/>
              </w:rPr>
            </w:pPr>
            <w:r>
              <w:rPr>
                <w:rFonts w:hint="eastAsia" w:ascii="宋体" w:hAnsi="宋体" w:cs="宋体"/>
                <w:kern w:val="0"/>
                <w:szCs w:val="21"/>
              </w:rPr>
              <w:t>辐射设施和场所应设有警示、联锁和报警装置</w:t>
            </w:r>
          </w:p>
        </w:tc>
        <w:tc>
          <w:tcPr>
            <w:tcW w:w="5567" w:type="dxa"/>
            <w:noWrap/>
            <w:tcMar>
              <w:left w:w="45" w:type="dxa"/>
              <w:right w:w="45" w:type="dxa"/>
            </w:tcMar>
            <w:vAlign w:val="center"/>
          </w:tcPr>
          <w:p w14:paraId="302CC8F1">
            <w:pPr>
              <w:widowControl/>
              <w:rPr>
                <w:rFonts w:ascii="宋体" w:hAnsi="宋体" w:cs="宋体"/>
                <w:kern w:val="0"/>
                <w:szCs w:val="21"/>
              </w:rPr>
            </w:pPr>
            <w:r>
              <w:rPr>
                <w:rFonts w:hint="eastAsia" w:ascii="宋体" w:hAnsi="宋体" w:cs="宋体"/>
                <w:kern w:val="0"/>
                <w:szCs w:val="21"/>
              </w:rPr>
              <w:t>（220）放射源储存库应设双人双锁，并有安全报警系统和视频监控系统。</w:t>
            </w:r>
          </w:p>
          <w:p w14:paraId="7E43C44B">
            <w:pPr>
              <w:widowControl/>
              <w:rPr>
                <w:rFonts w:ascii="宋体" w:hAnsi="宋体" w:cs="宋体"/>
                <w:bCs/>
                <w:kern w:val="0"/>
                <w:szCs w:val="21"/>
              </w:rPr>
            </w:pPr>
            <w:r>
              <w:rPr>
                <w:rFonts w:hint="eastAsia" w:ascii="宋体" w:hAnsi="宋体" w:cs="宋体"/>
                <w:kern w:val="0"/>
                <w:szCs w:val="21"/>
              </w:rPr>
              <w:t>（221）辐照设施设备和场所应具有能正常工作的安全联锁装置和报警装置，有明显的安全警示标识、警戒线和剂量报警仪</w:t>
            </w:r>
          </w:p>
        </w:tc>
        <w:tc>
          <w:tcPr>
            <w:tcW w:w="991" w:type="dxa"/>
            <w:noWrap/>
            <w:tcMar>
              <w:left w:w="45" w:type="dxa"/>
              <w:right w:w="45" w:type="dxa"/>
            </w:tcMar>
            <w:vAlign w:val="center"/>
          </w:tcPr>
          <w:p w14:paraId="246A769F">
            <w:pPr>
              <w:rPr>
                <w:rFonts w:ascii="宋体" w:hAnsi="宋体" w:cs="宋体"/>
                <w:bCs/>
                <w:kern w:val="0"/>
                <w:szCs w:val="21"/>
              </w:rPr>
            </w:pPr>
          </w:p>
        </w:tc>
      </w:tr>
      <w:tr w14:paraId="307B3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6EB70CFC">
            <w:pPr>
              <w:widowControl/>
              <w:rPr>
                <w:rFonts w:ascii="宋体" w:hAnsi="宋体" w:cs="宋体"/>
                <w:kern w:val="0"/>
                <w:szCs w:val="21"/>
              </w:rPr>
            </w:pPr>
            <w:r>
              <w:rPr>
                <w:rFonts w:hint="eastAsia" w:ascii="宋体" w:hAnsi="宋体" w:cs="宋体"/>
                <w:kern w:val="0"/>
                <w:szCs w:val="21"/>
              </w:rPr>
              <w:t>11.2.2</w:t>
            </w:r>
          </w:p>
        </w:tc>
        <w:tc>
          <w:tcPr>
            <w:tcW w:w="1721" w:type="dxa"/>
            <w:noWrap/>
            <w:tcMar>
              <w:left w:w="45" w:type="dxa"/>
              <w:right w:w="45" w:type="dxa"/>
            </w:tcMar>
            <w:vAlign w:val="center"/>
          </w:tcPr>
          <w:p w14:paraId="71A5351D">
            <w:pPr>
              <w:widowControl/>
              <w:rPr>
                <w:rFonts w:ascii="宋体" w:hAnsi="宋体" w:cs="宋体"/>
                <w:kern w:val="0"/>
                <w:szCs w:val="21"/>
              </w:rPr>
            </w:pPr>
            <w:r>
              <w:rPr>
                <w:rFonts w:hint="eastAsia" w:ascii="宋体" w:hAnsi="宋体" w:cs="宋体"/>
                <w:szCs w:val="21"/>
              </w:rPr>
              <w:t>辐射实验场所每年有合格的实验场所检测报告</w:t>
            </w:r>
          </w:p>
        </w:tc>
        <w:tc>
          <w:tcPr>
            <w:tcW w:w="5567" w:type="dxa"/>
            <w:noWrap/>
            <w:tcMar>
              <w:left w:w="45" w:type="dxa"/>
              <w:right w:w="45" w:type="dxa"/>
            </w:tcMar>
            <w:vAlign w:val="center"/>
          </w:tcPr>
          <w:p w14:paraId="2F5815C1">
            <w:pPr>
              <w:widowControl/>
              <w:rPr>
                <w:rFonts w:ascii="宋体" w:hAnsi="宋体" w:cs="宋体"/>
                <w:bCs/>
                <w:kern w:val="0"/>
                <w:szCs w:val="21"/>
              </w:rPr>
            </w:pPr>
            <w:r>
              <w:rPr>
                <w:rFonts w:hint="eastAsia" w:ascii="宋体" w:hAnsi="宋体" w:cs="宋体"/>
                <w:bCs/>
                <w:kern w:val="0"/>
                <w:szCs w:val="21"/>
              </w:rPr>
              <w:t>（222）查</w:t>
            </w:r>
            <w:r>
              <w:rPr>
                <w:rFonts w:hint="eastAsia" w:ascii="宋体" w:hAnsi="宋体" w:cs="宋体"/>
                <w:kern w:val="0"/>
                <w:szCs w:val="21"/>
              </w:rPr>
              <w:t>看场所辐射环境监测报告</w:t>
            </w:r>
          </w:p>
        </w:tc>
        <w:tc>
          <w:tcPr>
            <w:tcW w:w="991" w:type="dxa"/>
            <w:noWrap/>
            <w:tcMar>
              <w:left w:w="45" w:type="dxa"/>
              <w:right w:w="45" w:type="dxa"/>
            </w:tcMar>
            <w:vAlign w:val="center"/>
          </w:tcPr>
          <w:p w14:paraId="23570D2B">
            <w:pPr>
              <w:rPr>
                <w:rFonts w:ascii="宋体" w:hAnsi="宋体" w:cs="宋体"/>
                <w:bCs/>
                <w:kern w:val="0"/>
                <w:szCs w:val="21"/>
              </w:rPr>
            </w:pPr>
          </w:p>
        </w:tc>
      </w:tr>
      <w:tr w14:paraId="48BD1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15538398">
            <w:pPr>
              <w:widowControl/>
              <w:rPr>
                <w:rFonts w:ascii="宋体" w:hAnsi="宋体" w:cs="宋体"/>
                <w:kern w:val="0"/>
                <w:szCs w:val="21"/>
              </w:rPr>
            </w:pPr>
            <w:r>
              <w:rPr>
                <w:rFonts w:hint="eastAsia" w:ascii="宋体" w:hAnsi="宋体" w:cs="宋体"/>
                <w:kern w:val="0"/>
                <w:szCs w:val="21"/>
              </w:rPr>
              <w:t>11.2.3</w:t>
            </w:r>
          </w:p>
        </w:tc>
        <w:tc>
          <w:tcPr>
            <w:tcW w:w="1721" w:type="dxa"/>
            <w:noWrap/>
            <w:tcMar>
              <w:left w:w="45" w:type="dxa"/>
              <w:right w:w="45" w:type="dxa"/>
            </w:tcMar>
            <w:vAlign w:val="center"/>
          </w:tcPr>
          <w:p w14:paraId="63D432F6">
            <w:pPr>
              <w:widowControl/>
              <w:rPr>
                <w:rFonts w:ascii="宋体" w:hAnsi="宋体" w:cs="宋体"/>
                <w:kern w:val="0"/>
                <w:szCs w:val="21"/>
              </w:rPr>
            </w:pPr>
            <w:r>
              <w:rPr>
                <w:rFonts w:hint="eastAsia" w:ascii="宋体" w:hAnsi="宋体" w:cs="宋体"/>
                <w:kern w:val="0"/>
                <w:szCs w:val="21"/>
              </w:rPr>
              <w:t>放射性物质的转让、转移和运输应按规定报批</w:t>
            </w:r>
          </w:p>
        </w:tc>
        <w:tc>
          <w:tcPr>
            <w:tcW w:w="5567" w:type="dxa"/>
            <w:noWrap/>
            <w:tcMar>
              <w:left w:w="45" w:type="dxa"/>
              <w:right w:w="45" w:type="dxa"/>
            </w:tcMar>
            <w:vAlign w:val="center"/>
          </w:tcPr>
          <w:p w14:paraId="38295E75">
            <w:pPr>
              <w:widowControl/>
              <w:rPr>
                <w:rFonts w:ascii="宋体" w:hAnsi="宋体" w:cs="宋体"/>
                <w:kern w:val="0"/>
                <w:szCs w:val="21"/>
              </w:rPr>
            </w:pPr>
            <w:r>
              <w:rPr>
                <w:rFonts w:hint="eastAsia" w:ascii="宋体" w:hAnsi="宋体" w:cs="宋体"/>
                <w:kern w:val="0"/>
                <w:szCs w:val="21"/>
              </w:rPr>
              <w:t>（223）放射性物质转让、转移有学校及生态环境部门的审批备案材料，在野外使用放射性物质开展实验应事先取得实验所在地省级生态环境主管部门的批准。</w:t>
            </w:r>
          </w:p>
          <w:p w14:paraId="52F85C65">
            <w:pPr>
              <w:widowControl/>
              <w:rPr>
                <w:rFonts w:ascii="宋体" w:hAnsi="宋体" w:cs="宋体"/>
                <w:kern w:val="0"/>
                <w:szCs w:val="21"/>
              </w:rPr>
            </w:pPr>
            <w:r>
              <w:rPr>
                <w:rFonts w:hint="eastAsia" w:ascii="宋体" w:hAnsi="宋体" w:cs="宋体"/>
                <w:kern w:val="0"/>
                <w:szCs w:val="21"/>
              </w:rPr>
              <w:t>（224）放射性物质的转移和运输有学校及公安部门的审批备案材料。</w:t>
            </w:r>
          </w:p>
          <w:p w14:paraId="56CD8687">
            <w:pPr>
              <w:widowControl/>
              <w:rPr>
                <w:rFonts w:ascii="宋体" w:hAnsi="宋体" w:cs="宋体"/>
                <w:bCs/>
                <w:kern w:val="0"/>
                <w:szCs w:val="21"/>
              </w:rPr>
            </w:pPr>
            <w:r>
              <w:rPr>
                <w:rFonts w:hint="eastAsia" w:ascii="宋体" w:hAnsi="宋体" w:cs="宋体"/>
                <w:kern w:val="0"/>
                <w:szCs w:val="21"/>
              </w:rPr>
              <w:t>（225）放射性物质及射线装置储存和使用场所变更应重新开展环境影响评价</w:t>
            </w:r>
          </w:p>
        </w:tc>
        <w:tc>
          <w:tcPr>
            <w:tcW w:w="991" w:type="dxa"/>
            <w:noWrap/>
            <w:tcMar>
              <w:left w:w="45" w:type="dxa"/>
              <w:right w:w="45" w:type="dxa"/>
            </w:tcMar>
            <w:vAlign w:val="center"/>
          </w:tcPr>
          <w:p w14:paraId="2759A0C2">
            <w:pPr>
              <w:widowControl/>
              <w:rPr>
                <w:rFonts w:ascii="宋体" w:hAnsi="宋体" w:cs="宋体"/>
                <w:bCs/>
                <w:kern w:val="0"/>
                <w:szCs w:val="21"/>
              </w:rPr>
            </w:pPr>
          </w:p>
        </w:tc>
      </w:tr>
      <w:tr w14:paraId="4C3DB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60465B62">
            <w:pPr>
              <w:widowControl/>
              <w:rPr>
                <w:rFonts w:ascii="宋体" w:hAnsi="宋体" w:cs="宋体"/>
                <w:b/>
                <w:kern w:val="0"/>
                <w:szCs w:val="21"/>
              </w:rPr>
            </w:pPr>
            <w:r>
              <w:rPr>
                <w:rFonts w:hint="eastAsia" w:ascii="宋体" w:hAnsi="宋体" w:cs="宋体"/>
                <w:b/>
                <w:kern w:val="0"/>
                <w:szCs w:val="21"/>
              </w:rPr>
              <w:t>11.3</w:t>
            </w:r>
          </w:p>
        </w:tc>
        <w:tc>
          <w:tcPr>
            <w:tcW w:w="8279" w:type="dxa"/>
            <w:gridSpan w:val="3"/>
            <w:noWrap/>
            <w:tcMar>
              <w:left w:w="45" w:type="dxa"/>
              <w:right w:w="45" w:type="dxa"/>
            </w:tcMar>
            <w:vAlign w:val="center"/>
          </w:tcPr>
          <w:p w14:paraId="0CF04DB2">
            <w:pPr>
              <w:widowControl/>
              <w:rPr>
                <w:rFonts w:ascii="宋体" w:hAnsi="宋体" w:cs="宋体"/>
                <w:b/>
                <w:kern w:val="0"/>
                <w:szCs w:val="21"/>
              </w:rPr>
            </w:pPr>
            <w:r>
              <w:rPr>
                <w:rFonts w:hint="eastAsia" w:ascii="宋体" w:hAnsi="宋体" w:cs="宋体"/>
                <w:b/>
                <w:kern w:val="0"/>
                <w:szCs w:val="21"/>
              </w:rPr>
              <w:t>放射性实验安全及废物处置</w:t>
            </w:r>
          </w:p>
        </w:tc>
      </w:tr>
      <w:tr w14:paraId="1FF56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436DC557">
            <w:pPr>
              <w:widowControl/>
              <w:rPr>
                <w:rFonts w:ascii="宋体" w:hAnsi="宋体" w:cs="宋体"/>
                <w:kern w:val="0"/>
                <w:szCs w:val="21"/>
              </w:rPr>
            </w:pPr>
            <w:r>
              <w:rPr>
                <w:rFonts w:hint="eastAsia" w:ascii="宋体" w:hAnsi="宋体" w:cs="宋体"/>
                <w:kern w:val="0"/>
                <w:szCs w:val="21"/>
              </w:rPr>
              <w:t>11.3.1</w:t>
            </w:r>
          </w:p>
        </w:tc>
        <w:tc>
          <w:tcPr>
            <w:tcW w:w="1721" w:type="dxa"/>
            <w:noWrap/>
            <w:tcMar>
              <w:left w:w="45" w:type="dxa"/>
              <w:right w:w="45" w:type="dxa"/>
            </w:tcMar>
            <w:vAlign w:val="center"/>
          </w:tcPr>
          <w:p w14:paraId="18548E5A">
            <w:pPr>
              <w:widowControl/>
              <w:rPr>
                <w:rFonts w:ascii="宋体" w:hAnsi="宋体" w:cs="宋体"/>
                <w:kern w:val="0"/>
                <w:szCs w:val="21"/>
              </w:rPr>
            </w:pPr>
            <w:r>
              <w:rPr>
                <w:rFonts w:hint="eastAsia" w:ascii="宋体" w:hAnsi="宋体" w:cs="宋体"/>
                <w:kern w:val="0"/>
                <w:szCs w:val="21"/>
              </w:rPr>
              <w:t>各类放射性装置有符合国家相关规定的操作规程、安保方案及应急预案，并遵照执行</w:t>
            </w:r>
          </w:p>
        </w:tc>
        <w:tc>
          <w:tcPr>
            <w:tcW w:w="5567" w:type="dxa"/>
            <w:noWrap/>
            <w:tcMar>
              <w:left w:w="45" w:type="dxa"/>
              <w:right w:w="45" w:type="dxa"/>
            </w:tcMar>
            <w:vAlign w:val="center"/>
          </w:tcPr>
          <w:p w14:paraId="0274CE9D">
            <w:pPr>
              <w:widowControl/>
              <w:rPr>
                <w:rFonts w:ascii="宋体" w:hAnsi="宋体" w:cs="宋体"/>
                <w:kern w:val="0"/>
                <w:szCs w:val="21"/>
              </w:rPr>
            </w:pPr>
            <w:r>
              <w:rPr>
                <w:rFonts w:hint="eastAsia" w:ascii="宋体" w:hAnsi="宋体" w:cs="宋体"/>
                <w:kern w:val="0"/>
                <w:szCs w:val="21"/>
              </w:rPr>
              <w:t>（226）</w:t>
            </w:r>
            <w:bookmarkStart w:id="8" w:name="_Hlk67119357"/>
            <w:r>
              <w:rPr>
                <w:rFonts w:hint="eastAsia" w:ascii="宋体" w:hAnsi="宋体" w:cs="宋体"/>
                <w:kern w:val="0"/>
                <w:szCs w:val="21"/>
              </w:rPr>
              <w:t>重点关注γ辐照、电子加速器、射线探伤仪、非密封放射性实验操作、V类以上的放射源实验操作。</w:t>
            </w:r>
          </w:p>
          <w:p w14:paraId="6F869E05">
            <w:pPr>
              <w:widowControl/>
              <w:rPr>
                <w:rFonts w:ascii="宋体" w:hAnsi="宋体" w:cs="宋体"/>
                <w:bCs/>
                <w:kern w:val="0"/>
                <w:szCs w:val="21"/>
              </w:rPr>
            </w:pPr>
            <w:r>
              <w:rPr>
                <w:rFonts w:hint="eastAsia" w:ascii="宋体" w:hAnsi="宋体" w:cs="宋体"/>
                <w:kern w:val="0"/>
                <w:szCs w:val="21"/>
              </w:rPr>
              <w:t>（227）查看辐射事故应急预案</w:t>
            </w:r>
            <w:bookmarkEnd w:id="8"/>
            <w:r>
              <w:rPr>
                <w:rFonts w:hint="eastAsia" w:ascii="宋体" w:hAnsi="宋体" w:cs="宋体"/>
                <w:kern w:val="0"/>
                <w:szCs w:val="21"/>
              </w:rPr>
              <w:t>及应急演练记录（每年不少于1次演练）</w:t>
            </w:r>
          </w:p>
        </w:tc>
        <w:tc>
          <w:tcPr>
            <w:tcW w:w="991" w:type="dxa"/>
            <w:noWrap/>
            <w:tcMar>
              <w:left w:w="45" w:type="dxa"/>
              <w:right w:w="45" w:type="dxa"/>
            </w:tcMar>
            <w:vAlign w:val="center"/>
          </w:tcPr>
          <w:p w14:paraId="43084CDE">
            <w:pPr>
              <w:widowControl/>
              <w:rPr>
                <w:rFonts w:ascii="宋体" w:hAnsi="宋体" w:cs="宋体"/>
                <w:bCs/>
                <w:kern w:val="0"/>
                <w:szCs w:val="21"/>
              </w:rPr>
            </w:pPr>
          </w:p>
        </w:tc>
      </w:tr>
      <w:tr w14:paraId="5F657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28090CB5">
            <w:pPr>
              <w:widowControl/>
              <w:rPr>
                <w:rFonts w:ascii="宋体" w:hAnsi="宋体" w:cs="宋体"/>
                <w:kern w:val="0"/>
                <w:szCs w:val="21"/>
              </w:rPr>
            </w:pPr>
            <w:r>
              <w:rPr>
                <w:rFonts w:hint="eastAsia" w:ascii="宋体" w:hAnsi="宋体" w:cs="宋体"/>
                <w:kern w:val="0"/>
                <w:szCs w:val="21"/>
              </w:rPr>
              <w:t>11.3.2</w:t>
            </w:r>
          </w:p>
        </w:tc>
        <w:tc>
          <w:tcPr>
            <w:tcW w:w="1721" w:type="dxa"/>
            <w:noWrap/>
            <w:tcMar>
              <w:left w:w="45" w:type="dxa"/>
              <w:right w:w="45" w:type="dxa"/>
            </w:tcMar>
            <w:vAlign w:val="center"/>
          </w:tcPr>
          <w:p w14:paraId="233DD03A">
            <w:pPr>
              <w:widowControl/>
              <w:rPr>
                <w:rFonts w:ascii="宋体" w:hAnsi="宋体" w:cs="宋体"/>
                <w:kern w:val="0"/>
                <w:szCs w:val="21"/>
              </w:rPr>
            </w:pPr>
            <w:r>
              <w:rPr>
                <w:rFonts w:hint="eastAsia" w:ascii="宋体" w:hAnsi="宋体" w:cs="宋体"/>
                <w:kern w:val="0"/>
                <w:szCs w:val="21"/>
              </w:rPr>
              <w:t>放射源及设备报废时有符合国家相关规定的处置方案或回收协议</w:t>
            </w:r>
          </w:p>
        </w:tc>
        <w:tc>
          <w:tcPr>
            <w:tcW w:w="5567" w:type="dxa"/>
            <w:noWrap/>
            <w:tcMar>
              <w:left w:w="45" w:type="dxa"/>
              <w:right w:w="45" w:type="dxa"/>
            </w:tcMar>
            <w:vAlign w:val="center"/>
          </w:tcPr>
          <w:p w14:paraId="09ECC94D">
            <w:pPr>
              <w:widowControl/>
              <w:rPr>
                <w:rFonts w:ascii="宋体" w:hAnsi="宋体" w:cs="宋体"/>
                <w:kern w:val="0"/>
                <w:szCs w:val="21"/>
              </w:rPr>
            </w:pPr>
            <w:r>
              <w:rPr>
                <w:rFonts w:hint="eastAsia" w:ascii="宋体" w:hAnsi="宋体" w:cs="宋体"/>
                <w:kern w:val="0"/>
                <w:szCs w:val="21"/>
              </w:rPr>
              <w:t>（228）中、长半衰期核素固液废物有符合国家相关规定的处置方案或回收协议，短半衰期核素固液废弃物放置10个半衰期经检测达标并经审管部门的批准可以作为普通废物处理，并有处置记录。</w:t>
            </w:r>
          </w:p>
          <w:p w14:paraId="7B614772">
            <w:pPr>
              <w:widowControl/>
              <w:rPr>
                <w:rFonts w:ascii="宋体" w:hAnsi="宋体" w:cs="宋体"/>
                <w:bCs/>
                <w:kern w:val="0"/>
                <w:szCs w:val="21"/>
              </w:rPr>
            </w:pPr>
            <w:r>
              <w:rPr>
                <w:rFonts w:hint="eastAsia" w:ascii="宋体" w:hAnsi="宋体" w:cs="宋体"/>
                <w:kern w:val="0"/>
                <w:szCs w:val="21"/>
              </w:rPr>
              <w:t>（229）报废含有放射源或可产生放射性的设备，须报学校管理部门同意，并按国家规定进行退役处置。</w:t>
            </w:r>
            <w:r>
              <w:rPr>
                <w:rFonts w:hint="eastAsia" w:ascii="宋体" w:hAnsi="宋体" w:cs="宋体"/>
                <w:bCs/>
                <w:kern w:val="0"/>
                <w:szCs w:val="21"/>
              </w:rPr>
              <w:t>X光管报废时应破坏高压设备，拍照留存。</w:t>
            </w:r>
          </w:p>
          <w:p w14:paraId="1058E38E">
            <w:pPr>
              <w:widowControl/>
              <w:rPr>
                <w:rFonts w:ascii="宋体" w:hAnsi="宋体" w:cs="宋体"/>
                <w:kern w:val="0"/>
                <w:szCs w:val="21"/>
              </w:rPr>
            </w:pPr>
            <w:r>
              <w:rPr>
                <w:rFonts w:hint="eastAsia" w:ascii="宋体" w:hAnsi="宋体" w:cs="宋体"/>
                <w:bCs/>
                <w:kern w:val="0"/>
                <w:szCs w:val="21"/>
              </w:rPr>
              <w:t>（230）</w:t>
            </w:r>
            <w:r>
              <w:rPr>
                <w:rFonts w:hint="eastAsia" w:ascii="宋体" w:hAnsi="宋体" w:cs="宋体"/>
                <w:kern w:val="0"/>
                <w:szCs w:val="21"/>
              </w:rPr>
              <w:t>涉源实验场所退役，须按国家相关规定执行</w:t>
            </w:r>
          </w:p>
        </w:tc>
        <w:tc>
          <w:tcPr>
            <w:tcW w:w="991" w:type="dxa"/>
            <w:noWrap/>
            <w:tcMar>
              <w:left w:w="45" w:type="dxa"/>
              <w:right w:w="45" w:type="dxa"/>
            </w:tcMar>
            <w:vAlign w:val="center"/>
          </w:tcPr>
          <w:p w14:paraId="0F2A3203">
            <w:pPr>
              <w:widowControl/>
              <w:rPr>
                <w:rFonts w:ascii="宋体" w:hAnsi="宋体" w:cs="宋体"/>
                <w:bCs/>
                <w:kern w:val="0"/>
                <w:szCs w:val="21"/>
              </w:rPr>
            </w:pPr>
          </w:p>
        </w:tc>
      </w:tr>
      <w:tr w14:paraId="065D0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62DAC469">
            <w:pPr>
              <w:widowControl/>
              <w:rPr>
                <w:rFonts w:ascii="宋体" w:hAnsi="宋体" w:cs="宋体"/>
                <w:kern w:val="0"/>
                <w:szCs w:val="21"/>
              </w:rPr>
            </w:pPr>
            <w:r>
              <w:rPr>
                <w:rFonts w:hint="eastAsia" w:ascii="宋体" w:hAnsi="宋体" w:cs="宋体"/>
                <w:kern w:val="0"/>
                <w:szCs w:val="21"/>
              </w:rPr>
              <w:t>11.3.3</w:t>
            </w:r>
          </w:p>
        </w:tc>
        <w:tc>
          <w:tcPr>
            <w:tcW w:w="1721" w:type="dxa"/>
            <w:noWrap/>
            <w:tcMar>
              <w:left w:w="45" w:type="dxa"/>
              <w:right w:w="45" w:type="dxa"/>
            </w:tcMar>
            <w:vAlign w:val="center"/>
          </w:tcPr>
          <w:p w14:paraId="790A7297">
            <w:pPr>
              <w:widowControl/>
              <w:rPr>
                <w:rFonts w:ascii="宋体" w:hAnsi="宋体" w:cs="宋体"/>
                <w:kern w:val="0"/>
                <w:szCs w:val="21"/>
              </w:rPr>
            </w:pPr>
            <w:r>
              <w:rPr>
                <w:rFonts w:hint="eastAsia" w:ascii="宋体" w:hAnsi="宋体" w:cs="宋体"/>
                <w:kern w:val="0"/>
                <w:szCs w:val="21"/>
              </w:rPr>
              <w:t>放射性废物（源）应严加管理，不得作为普通废物处理，不得擅自处置</w:t>
            </w:r>
          </w:p>
        </w:tc>
        <w:tc>
          <w:tcPr>
            <w:tcW w:w="5567" w:type="dxa"/>
            <w:noWrap/>
            <w:tcMar>
              <w:left w:w="45" w:type="dxa"/>
              <w:right w:w="45" w:type="dxa"/>
            </w:tcMar>
            <w:vAlign w:val="center"/>
          </w:tcPr>
          <w:p w14:paraId="140B25C8">
            <w:pPr>
              <w:widowControl/>
              <w:rPr>
                <w:rFonts w:ascii="宋体" w:hAnsi="宋体" w:cs="宋体"/>
                <w:kern w:val="0"/>
                <w:szCs w:val="21"/>
              </w:rPr>
            </w:pPr>
            <w:bookmarkStart w:id="9" w:name="_Hlk67118907"/>
            <w:r>
              <w:rPr>
                <w:rFonts w:hint="eastAsia" w:ascii="宋体" w:hAnsi="宋体" w:cs="宋体"/>
                <w:kern w:val="0"/>
                <w:szCs w:val="21"/>
              </w:rPr>
              <w:t>（231）相关实验室应当配置专门的放射性废物收集桶，放射性废液送贮前应进行固化整备。</w:t>
            </w:r>
          </w:p>
          <w:p w14:paraId="66811192">
            <w:pPr>
              <w:widowControl/>
              <w:rPr>
                <w:rFonts w:ascii="宋体" w:hAnsi="宋体" w:cs="宋体"/>
                <w:kern w:val="0"/>
                <w:szCs w:val="21"/>
              </w:rPr>
            </w:pPr>
            <w:r>
              <w:rPr>
                <w:rFonts w:hint="eastAsia" w:ascii="宋体" w:hAnsi="宋体" w:cs="宋体"/>
                <w:kern w:val="0"/>
                <w:szCs w:val="21"/>
              </w:rPr>
              <w:t>（232）放射性废物应及时送交</w:t>
            </w:r>
            <w:bookmarkEnd w:id="9"/>
            <w:r>
              <w:rPr>
                <w:rFonts w:hint="eastAsia" w:ascii="宋体" w:hAnsi="宋体" w:cs="宋体"/>
                <w:kern w:val="0"/>
                <w:szCs w:val="21"/>
              </w:rPr>
              <w:t>有资质的放射性废物集中贮存单位贮存。</w:t>
            </w:r>
          </w:p>
          <w:p w14:paraId="2BEB762E">
            <w:pPr>
              <w:widowControl/>
              <w:rPr>
                <w:rFonts w:ascii="宋体" w:hAnsi="宋体" w:cs="宋体"/>
                <w:kern w:val="0"/>
                <w:szCs w:val="21"/>
              </w:rPr>
            </w:pPr>
            <w:r>
              <w:rPr>
                <w:rFonts w:hint="eastAsia" w:ascii="宋体" w:hAnsi="宋体" w:cs="宋体"/>
                <w:kern w:val="0"/>
                <w:szCs w:val="21"/>
              </w:rPr>
              <w:t>（233）排放气态或液态放射性流出物应严格按照环评和地方生态环境部门批准的排放量和排放方式执行</w:t>
            </w:r>
          </w:p>
        </w:tc>
        <w:tc>
          <w:tcPr>
            <w:tcW w:w="991" w:type="dxa"/>
            <w:noWrap/>
            <w:tcMar>
              <w:left w:w="45" w:type="dxa"/>
              <w:right w:w="45" w:type="dxa"/>
            </w:tcMar>
            <w:vAlign w:val="center"/>
          </w:tcPr>
          <w:p w14:paraId="3F6984D8">
            <w:pPr>
              <w:widowControl/>
              <w:rPr>
                <w:rFonts w:ascii="宋体" w:hAnsi="宋体" w:cs="宋体"/>
                <w:bCs/>
                <w:kern w:val="0"/>
                <w:szCs w:val="21"/>
              </w:rPr>
            </w:pPr>
          </w:p>
        </w:tc>
      </w:tr>
      <w:tr w14:paraId="45DED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55DA119D">
            <w:pPr>
              <w:widowControl/>
              <w:rPr>
                <w:rFonts w:ascii="宋体" w:hAnsi="宋体" w:cs="宋体"/>
                <w:b/>
                <w:kern w:val="0"/>
                <w:szCs w:val="21"/>
              </w:rPr>
            </w:pPr>
            <w:r>
              <w:rPr>
                <w:rFonts w:hint="eastAsia" w:ascii="宋体" w:hAnsi="宋体" w:cs="宋体"/>
                <w:b/>
                <w:kern w:val="0"/>
                <w:szCs w:val="21"/>
              </w:rPr>
              <w:t>12</w:t>
            </w:r>
          </w:p>
        </w:tc>
        <w:tc>
          <w:tcPr>
            <w:tcW w:w="8279" w:type="dxa"/>
            <w:gridSpan w:val="3"/>
            <w:noWrap/>
            <w:tcMar>
              <w:left w:w="45" w:type="dxa"/>
              <w:right w:w="45" w:type="dxa"/>
            </w:tcMar>
            <w:vAlign w:val="center"/>
          </w:tcPr>
          <w:p w14:paraId="5DE0DBBB">
            <w:pPr>
              <w:widowControl/>
              <w:rPr>
                <w:rFonts w:ascii="宋体" w:hAnsi="宋体" w:cs="宋体"/>
                <w:b/>
                <w:kern w:val="0"/>
                <w:szCs w:val="21"/>
              </w:rPr>
            </w:pPr>
            <w:r>
              <w:rPr>
                <w:rFonts w:hint="eastAsia" w:ascii="宋体" w:hAnsi="宋体" w:cs="宋体"/>
                <w:b/>
                <w:kern w:val="0"/>
                <w:szCs w:val="21"/>
              </w:rPr>
              <w:t>机电等安全</w:t>
            </w:r>
          </w:p>
        </w:tc>
      </w:tr>
      <w:tr w14:paraId="2409F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4476D3AB">
            <w:pPr>
              <w:widowControl/>
              <w:rPr>
                <w:rFonts w:ascii="宋体" w:hAnsi="宋体" w:cs="宋体"/>
                <w:b/>
                <w:kern w:val="0"/>
                <w:szCs w:val="21"/>
              </w:rPr>
            </w:pPr>
            <w:r>
              <w:rPr>
                <w:rFonts w:hint="eastAsia" w:ascii="宋体" w:hAnsi="宋体" w:cs="宋体"/>
                <w:b/>
                <w:kern w:val="0"/>
                <w:szCs w:val="21"/>
              </w:rPr>
              <w:t>12.1</w:t>
            </w:r>
          </w:p>
        </w:tc>
        <w:tc>
          <w:tcPr>
            <w:tcW w:w="8279" w:type="dxa"/>
            <w:gridSpan w:val="3"/>
            <w:noWrap/>
            <w:tcMar>
              <w:left w:w="45" w:type="dxa"/>
              <w:right w:w="45" w:type="dxa"/>
            </w:tcMar>
            <w:vAlign w:val="center"/>
          </w:tcPr>
          <w:p w14:paraId="27F945EB">
            <w:pPr>
              <w:widowControl/>
              <w:rPr>
                <w:rFonts w:ascii="宋体" w:hAnsi="宋体" w:cs="宋体"/>
                <w:b/>
                <w:kern w:val="0"/>
                <w:szCs w:val="21"/>
              </w:rPr>
            </w:pPr>
            <w:r>
              <w:rPr>
                <w:rFonts w:hint="eastAsia" w:ascii="宋体" w:hAnsi="宋体" w:cs="宋体"/>
                <w:b/>
                <w:kern w:val="0"/>
                <w:szCs w:val="21"/>
              </w:rPr>
              <w:t>仪器设备常规管理</w:t>
            </w:r>
          </w:p>
        </w:tc>
      </w:tr>
      <w:tr w14:paraId="0F849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257CFF29">
            <w:pPr>
              <w:widowControl/>
              <w:rPr>
                <w:rFonts w:ascii="宋体" w:hAnsi="宋体" w:cs="宋体"/>
                <w:kern w:val="0"/>
                <w:szCs w:val="21"/>
              </w:rPr>
            </w:pPr>
            <w:r>
              <w:rPr>
                <w:rFonts w:hint="eastAsia" w:ascii="宋体" w:hAnsi="宋体" w:cs="宋体"/>
                <w:kern w:val="0"/>
                <w:szCs w:val="21"/>
              </w:rPr>
              <w:t>12.1.1</w:t>
            </w:r>
          </w:p>
        </w:tc>
        <w:tc>
          <w:tcPr>
            <w:tcW w:w="1721" w:type="dxa"/>
            <w:noWrap/>
            <w:tcMar>
              <w:left w:w="45" w:type="dxa"/>
              <w:right w:w="45" w:type="dxa"/>
            </w:tcMar>
            <w:vAlign w:val="center"/>
          </w:tcPr>
          <w:p w14:paraId="496C0BE6">
            <w:pPr>
              <w:widowControl/>
              <w:rPr>
                <w:rFonts w:ascii="宋体" w:hAnsi="宋体" w:cs="宋体"/>
                <w:kern w:val="0"/>
                <w:szCs w:val="21"/>
              </w:rPr>
            </w:pPr>
            <w:r>
              <w:rPr>
                <w:rFonts w:hint="eastAsia" w:ascii="宋体" w:hAnsi="宋体" w:cs="宋体"/>
                <w:kern w:val="0"/>
                <w:szCs w:val="21"/>
              </w:rPr>
              <w:t>建立设备台账，设备上有资产标签，有明确的管理人员</w:t>
            </w:r>
          </w:p>
        </w:tc>
        <w:tc>
          <w:tcPr>
            <w:tcW w:w="5567" w:type="dxa"/>
            <w:noWrap/>
            <w:tcMar>
              <w:left w:w="45" w:type="dxa"/>
              <w:right w:w="45" w:type="dxa"/>
            </w:tcMar>
            <w:vAlign w:val="center"/>
          </w:tcPr>
          <w:p w14:paraId="3AAC30E9">
            <w:pPr>
              <w:widowControl/>
              <w:rPr>
                <w:rFonts w:ascii="宋体" w:hAnsi="宋体" w:cs="宋体"/>
                <w:b/>
                <w:bCs/>
                <w:kern w:val="0"/>
                <w:szCs w:val="21"/>
              </w:rPr>
            </w:pPr>
            <w:r>
              <w:rPr>
                <w:rFonts w:hint="eastAsia" w:ascii="宋体" w:hAnsi="宋体" w:cs="宋体"/>
                <w:kern w:val="0"/>
                <w:szCs w:val="21"/>
              </w:rPr>
              <w:t>（234）查看电子或纸质台账</w:t>
            </w:r>
          </w:p>
        </w:tc>
        <w:tc>
          <w:tcPr>
            <w:tcW w:w="991" w:type="dxa"/>
            <w:noWrap/>
            <w:tcMar>
              <w:left w:w="45" w:type="dxa"/>
              <w:right w:w="45" w:type="dxa"/>
            </w:tcMar>
            <w:vAlign w:val="center"/>
          </w:tcPr>
          <w:p w14:paraId="2835CCC1">
            <w:pPr>
              <w:widowControl/>
              <w:rPr>
                <w:rFonts w:ascii="宋体" w:hAnsi="宋体" w:cs="宋体"/>
                <w:b/>
                <w:bCs/>
                <w:kern w:val="0"/>
                <w:szCs w:val="21"/>
              </w:rPr>
            </w:pPr>
          </w:p>
        </w:tc>
      </w:tr>
      <w:tr w14:paraId="3B545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099292C8">
            <w:pPr>
              <w:widowControl/>
              <w:rPr>
                <w:rFonts w:ascii="宋体" w:hAnsi="宋体" w:cs="宋体"/>
                <w:kern w:val="0"/>
                <w:szCs w:val="21"/>
              </w:rPr>
            </w:pPr>
            <w:r>
              <w:rPr>
                <w:rFonts w:hint="eastAsia" w:ascii="宋体" w:hAnsi="宋体" w:cs="宋体"/>
                <w:kern w:val="0"/>
                <w:szCs w:val="21"/>
              </w:rPr>
              <w:t>12.1.2</w:t>
            </w:r>
          </w:p>
        </w:tc>
        <w:tc>
          <w:tcPr>
            <w:tcW w:w="1721" w:type="dxa"/>
            <w:noWrap/>
            <w:tcMar>
              <w:left w:w="45" w:type="dxa"/>
              <w:right w:w="45" w:type="dxa"/>
            </w:tcMar>
            <w:vAlign w:val="center"/>
          </w:tcPr>
          <w:p w14:paraId="663BAAD9">
            <w:pPr>
              <w:widowControl/>
              <w:rPr>
                <w:rFonts w:ascii="宋体" w:hAnsi="宋体" w:cs="宋体"/>
                <w:kern w:val="0"/>
                <w:szCs w:val="21"/>
              </w:rPr>
            </w:pPr>
            <w:r>
              <w:rPr>
                <w:rFonts w:hint="eastAsia" w:ascii="宋体" w:hAnsi="宋体" w:cs="宋体"/>
                <w:kern w:val="0"/>
                <w:szCs w:val="21"/>
              </w:rPr>
              <w:t>大型、特种设备的使用须符合相关规定</w:t>
            </w:r>
          </w:p>
        </w:tc>
        <w:tc>
          <w:tcPr>
            <w:tcW w:w="5567" w:type="dxa"/>
            <w:noWrap/>
            <w:tcMar>
              <w:left w:w="45" w:type="dxa"/>
              <w:right w:w="45" w:type="dxa"/>
            </w:tcMar>
            <w:vAlign w:val="center"/>
          </w:tcPr>
          <w:p w14:paraId="026A6850">
            <w:pPr>
              <w:widowControl/>
              <w:rPr>
                <w:rFonts w:ascii="宋体" w:hAnsi="宋体" w:cs="宋体"/>
                <w:kern w:val="0"/>
                <w:szCs w:val="21"/>
              </w:rPr>
            </w:pPr>
            <w:r>
              <w:rPr>
                <w:rFonts w:hint="eastAsia" w:ascii="宋体" w:hAnsi="宋体" w:cs="宋体"/>
                <w:kern w:val="0"/>
                <w:szCs w:val="21"/>
              </w:rPr>
              <w:t>（235）大型仪器设备、高功率的设备与电路容量相匹配，有设备运行维护记录，有安全操作规程或注意事项</w:t>
            </w:r>
          </w:p>
        </w:tc>
        <w:tc>
          <w:tcPr>
            <w:tcW w:w="991" w:type="dxa"/>
            <w:noWrap/>
            <w:tcMar>
              <w:left w:w="45" w:type="dxa"/>
              <w:right w:w="45" w:type="dxa"/>
            </w:tcMar>
            <w:vAlign w:val="center"/>
          </w:tcPr>
          <w:p w14:paraId="7DD39853">
            <w:pPr>
              <w:widowControl/>
              <w:rPr>
                <w:rFonts w:ascii="宋体" w:hAnsi="宋体" w:cs="宋体"/>
                <w:b/>
                <w:bCs/>
                <w:kern w:val="0"/>
                <w:szCs w:val="21"/>
              </w:rPr>
            </w:pPr>
          </w:p>
        </w:tc>
      </w:tr>
      <w:tr w14:paraId="2EED0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1AAD1AD0">
            <w:pPr>
              <w:widowControl/>
              <w:rPr>
                <w:rFonts w:ascii="宋体" w:hAnsi="宋体" w:cs="宋体"/>
                <w:kern w:val="0"/>
                <w:szCs w:val="21"/>
              </w:rPr>
            </w:pPr>
            <w:r>
              <w:rPr>
                <w:rFonts w:hint="eastAsia" w:ascii="宋体" w:hAnsi="宋体" w:cs="宋体"/>
                <w:kern w:val="0"/>
                <w:szCs w:val="21"/>
              </w:rPr>
              <w:t>12.1.3</w:t>
            </w:r>
          </w:p>
        </w:tc>
        <w:tc>
          <w:tcPr>
            <w:tcW w:w="1721" w:type="dxa"/>
            <w:noWrap/>
            <w:tcMar>
              <w:left w:w="45" w:type="dxa"/>
              <w:right w:w="45" w:type="dxa"/>
            </w:tcMar>
            <w:vAlign w:val="center"/>
          </w:tcPr>
          <w:p w14:paraId="1956AAE6">
            <w:pPr>
              <w:widowControl/>
              <w:rPr>
                <w:rFonts w:ascii="宋体" w:hAnsi="宋体" w:cs="宋体"/>
                <w:kern w:val="0"/>
                <w:szCs w:val="21"/>
              </w:rPr>
            </w:pPr>
            <w:r>
              <w:rPr>
                <w:rFonts w:hint="eastAsia" w:ascii="宋体" w:hAnsi="宋体" w:cs="宋体"/>
                <w:kern w:val="0"/>
                <w:szCs w:val="21"/>
              </w:rPr>
              <w:t>仪器设备的接地和用电符合相关要求</w:t>
            </w:r>
          </w:p>
        </w:tc>
        <w:tc>
          <w:tcPr>
            <w:tcW w:w="5567" w:type="dxa"/>
            <w:noWrap/>
            <w:tcMar>
              <w:left w:w="45" w:type="dxa"/>
              <w:right w:w="45" w:type="dxa"/>
            </w:tcMar>
            <w:vAlign w:val="center"/>
          </w:tcPr>
          <w:p w14:paraId="163AEF23">
            <w:pPr>
              <w:widowControl/>
              <w:rPr>
                <w:rFonts w:ascii="宋体" w:hAnsi="宋体" w:cs="宋体"/>
                <w:szCs w:val="21"/>
              </w:rPr>
            </w:pPr>
            <w:r>
              <w:rPr>
                <w:rFonts w:hint="eastAsia" w:ascii="宋体" w:hAnsi="宋体" w:cs="宋体"/>
                <w:szCs w:val="21"/>
              </w:rPr>
              <w:t>（236）仪器设备接地系统应按规范要求，采用铜质材料，接地电阻不高于0.5Ω。</w:t>
            </w:r>
          </w:p>
          <w:p w14:paraId="174497DB">
            <w:pPr>
              <w:widowControl/>
              <w:rPr>
                <w:rFonts w:ascii="宋体" w:hAnsi="宋体" w:cs="宋体"/>
                <w:kern w:val="0"/>
                <w:szCs w:val="21"/>
              </w:rPr>
            </w:pPr>
            <w:r>
              <w:rPr>
                <w:rFonts w:hint="eastAsia" w:ascii="宋体" w:hAnsi="宋体" w:cs="宋体"/>
                <w:szCs w:val="21"/>
              </w:rPr>
              <w:t>（237）电脑、空调、电加热器等不随意开机过夜。</w:t>
            </w:r>
            <w:r>
              <w:rPr>
                <w:rFonts w:hint="eastAsia" w:ascii="宋体" w:hAnsi="宋体" w:cs="宋体"/>
                <w:kern w:val="0"/>
                <w:szCs w:val="21"/>
              </w:rPr>
              <w:t>对于不能断电的特殊仪器设备，采取必要的防护措施（如双路供电、不间断电源、监控报警等）</w:t>
            </w:r>
          </w:p>
        </w:tc>
        <w:tc>
          <w:tcPr>
            <w:tcW w:w="991" w:type="dxa"/>
            <w:noWrap/>
            <w:tcMar>
              <w:left w:w="45" w:type="dxa"/>
              <w:right w:w="45" w:type="dxa"/>
            </w:tcMar>
            <w:vAlign w:val="center"/>
          </w:tcPr>
          <w:p w14:paraId="6832AAAC">
            <w:pPr>
              <w:widowControl/>
              <w:rPr>
                <w:rFonts w:ascii="宋体" w:hAnsi="宋体" w:cs="宋体"/>
                <w:b/>
                <w:bCs/>
                <w:kern w:val="0"/>
                <w:szCs w:val="21"/>
              </w:rPr>
            </w:pPr>
          </w:p>
        </w:tc>
      </w:tr>
      <w:tr w14:paraId="138CC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556F3605">
            <w:pPr>
              <w:widowControl/>
              <w:rPr>
                <w:rFonts w:ascii="宋体" w:hAnsi="宋体" w:cs="宋体"/>
                <w:kern w:val="0"/>
                <w:szCs w:val="21"/>
              </w:rPr>
            </w:pPr>
            <w:r>
              <w:rPr>
                <w:rFonts w:hint="eastAsia" w:ascii="宋体" w:hAnsi="宋体" w:cs="宋体"/>
                <w:kern w:val="0"/>
                <w:szCs w:val="21"/>
              </w:rPr>
              <w:t>12.1.4</w:t>
            </w:r>
          </w:p>
        </w:tc>
        <w:tc>
          <w:tcPr>
            <w:tcW w:w="1721" w:type="dxa"/>
            <w:noWrap/>
            <w:tcMar>
              <w:left w:w="45" w:type="dxa"/>
              <w:right w:w="45" w:type="dxa"/>
            </w:tcMar>
            <w:vAlign w:val="center"/>
          </w:tcPr>
          <w:p w14:paraId="783F1345">
            <w:pPr>
              <w:rPr>
                <w:rFonts w:ascii="宋体" w:hAnsi="宋体" w:cs="宋体"/>
                <w:szCs w:val="21"/>
              </w:rPr>
            </w:pPr>
            <w:r>
              <w:rPr>
                <w:rFonts w:hint="eastAsia" w:ascii="宋体" w:hAnsi="宋体" w:cs="宋体"/>
                <w:szCs w:val="21"/>
              </w:rPr>
              <w:t>特殊设备应配备相应的安全防护措施</w:t>
            </w:r>
          </w:p>
        </w:tc>
        <w:tc>
          <w:tcPr>
            <w:tcW w:w="5567" w:type="dxa"/>
            <w:noWrap/>
            <w:tcMar>
              <w:left w:w="45" w:type="dxa"/>
              <w:right w:w="45" w:type="dxa"/>
            </w:tcMar>
            <w:vAlign w:val="center"/>
          </w:tcPr>
          <w:p w14:paraId="40AD41C5">
            <w:pPr>
              <w:widowControl/>
              <w:rPr>
                <w:rFonts w:ascii="宋体" w:hAnsi="宋体" w:cs="宋体"/>
                <w:szCs w:val="21"/>
              </w:rPr>
            </w:pPr>
            <w:r>
              <w:rPr>
                <w:rFonts w:hint="eastAsia" w:ascii="宋体" w:hAnsi="宋体" w:cs="宋体"/>
                <w:kern w:val="0"/>
                <w:szCs w:val="21"/>
              </w:rPr>
              <w:t>（238）关注高温、高压、高速运动、电磁辐射等特殊设备，对使用者有培训要求，有安全警示标识和</w:t>
            </w:r>
            <w:r>
              <w:rPr>
                <w:rFonts w:hint="eastAsia" w:ascii="宋体" w:hAnsi="宋体" w:cs="宋体"/>
                <w:szCs w:val="21"/>
              </w:rPr>
              <w:t>安全警示线（黄色），设备安全防护措施完好。</w:t>
            </w:r>
          </w:p>
          <w:p w14:paraId="272B4763">
            <w:pPr>
              <w:widowControl/>
              <w:rPr>
                <w:rFonts w:ascii="宋体" w:hAnsi="宋体" w:cs="宋体"/>
                <w:bCs/>
                <w:kern w:val="0"/>
                <w:szCs w:val="21"/>
              </w:rPr>
            </w:pPr>
            <w:r>
              <w:rPr>
                <w:rFonts w:hint="eastAsia" w:ascii="宋体" w:hAnsi="宋体" w:cs="宋体"/>
                <w:szCs w:val="21"/>
              </w:rPr>
              <w:t>（239）</w:t>
            </w:r>
            <w:r>
              <w:rPr>
                <w:rFonts w:hint="eastAsia" w:ascii="宋体" w:hAnsi="宋体" w:cs="宋体"/>
                <w:kern w:val="0"/>
                <w:szCs w:val="21"/>
              </w:rPr>
              <w:t>非标准设备、自制设备应经安全论证合格后方可使用，须充分考虑安全系数，并有安全防护措施</w:t>
            </w:r>
          </w:p>
        </w:tc>
        <w:tc>
          <w:tcPr>
            <w:tcW w:w="991" w:type="dxa"/>
            <w:noWrap/>
            <w:tcMar>
              <w:left w:w="45" w:type="dxa"/>
              <w:right w:w="45" w:type="dxa"/>
            </w:tcMar>
            <w:vAlign w:val="center"/>
          </w:tcPr>
          <w:p w14:paraId="2627542C">
            <w:pPr>
              <w:widowControl/>
              <w:rPr>
                <w:rFonts w:ascii="宋体" w:hAnsi="宋体" w:cs="宋体"/>
                <w:bCs/>
                <w:kern w:val="0"/>
                <w:szCs w:val="21"/>
              </w:rPr>
            </w:pPr>
          </w:p>
        </w:tc>
      </w:tr>
      <w:tr w14:paraId="2BD07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41CFB188">
            <w:pPr>
              <w:widowControl/>
              <w:rPr>
                <w:rFonts w:ascii="宋体" w:hAnsi="宋体" w:cs="宋体"/>
                <w:b/>
                <w:kern w:val="0"/>
                <w:szCs w:val="21"/>
              </w:rPr>
            </w:pPr>
            <w:r>
              <w:rPr>
                <w:rFonts w:hint="eastAsia" w:ascii="宋体" w:hAnsi="宋体" w:cs="宋体"/>
                <w:b/>
                <w:kern w:val="0"/>
                <w:szCs w:val="21"/>
              </w:rPr>
              <w:t>12.2</w:t>
            </w:r>
          </w:p>
        </w:tc>
        <w:tc>
          <w:tcPr>
            <w:tcW w:w="8279" w:type="dxa"/>
            <w:gridSpan w:val="3"/>
            <w:noWrap/>
            <w:tcMar>
              <w:left w:w="45" w:type="dxa"/>
              <w:right w:w="45" w:type="dxa"/>
            </w:tcMar>
            <w:vAlign w:val="center"/>
          </w:tcPr>
          <w:p w14:paraId="790501AF">
            <w:pPr>
              <w:widowControl/>
              <w:rPr>
                <w:rFonts w:ascii="宋体" w:hAnsi="宋体" w:cs="宋体"/>
                <w:b/>
                <w:kern w:val="0"/>
                <w:szCs w:val="21"/>
              </w:rPr>
            </w:pPr>
            <w:r>
              <w:rPr>
                <w:rFonts w:hint="eastAsia" w:ascii="宋体" w:hAnsi="宋体" w:cs="宋体"/>
                <w:b/>
                <w:kern w:val="0"/>
                <w:szCs w:val="21"/>
              </w:rPr>
              <w:t>机械安全</w:t>
            </w:r>
          </w:p>
        </w:tc>
      </w:tr>
      <w:tr w14:paraId="71A58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2AE522AA">
            <w:pPr>
              <w:widowControl/>
              <w:rPr>
                <w:rFonts w:ascii="宋体" w:hAnsi="宋体" w:cs="宋体"/>
                <w:kern w:val="0"/>
                <w:szCs w:val="21"/>
              </w:rPr>
            </w:pPr>
            <w:r>
              <w:rPr>
                <w:rFonts w:hint="eastAsia" w:ascii="宋体" w:hAnsi="宋体" w:cs="宋体"/>
                <w:kern w:val="0"/>
                <w:szCs w:val="21"/>
              </w:rPr>
              <w:t>12.2.1</w:t>
            </w:r>
          </w:p>
        </w:tc>
        <w:tc>
          <w:tcPr>
            <w:tcW w:w="1721" w:type="dxa"/>
            <w:noWrap/>
            <w:tcMar>
              <w:left w:w="45" w:type="dxa"/>
              <w:right w:w="45" w:type="dxa"/>
            </w:tcMar>
            <w:vAlign w:val="center"/>
          </w:tcPr>
          <w:p w14:paraId="5977286E">
            <w:pPr>
              <w:widowControl/>
              <w:rPr>
                <w:rFonts w:ascii="宋体" w:hAnsi="宋体" w:cs="宋体"/>
                <w:kern w:val="0"/>
                <w:szCs w:val="21"/>
              </w:rPr>
            </w:pPr>
            <w:r>
              <w:rPr>
                <w:rFonts w:hint="eastAsia" w:ascii="宋体" w:hAnsi="宋体" w:cs="宋体"/>
                <w:kern w:val="0"/>
                <w:szCs w:val="21"/>
              </w:rPr>
              <w:t>机械设备应保持清洁整齐，可靠接地</w:t>
            </w:r>
          </w:p>
        </w:tc>
        <w:tc>
          <w:tcPr>
            <w:tcW w:w="5567" w:type="dxa"/>
            <w:noWrap/>
            <w:tcMar>
              <w:left w:w="45" w:type="dxa"/>
              <w:right w:w="45" w:type="dxa"/>
            </w:tcMar>
            <w:vAlign w:val="center"/>
          </w:tcPr>
          <w:p w14:paraId="2CC6804B">
            <w:pPr>
              <w:widowControl/>
              <w:rPr>
                <w:rFonts w:ascii="宋体" w:hAnsi="宋体" w:cs="宋体"/>
                <w:kern w:val="0"/>
                <w:szCs w:val="21"/>
              </w:rPr>
            </w:pPr>
            <w:r>
              <w:rPr>
                <w:rFonts w:hint="eastAsia" w:ascii="宋体" w:hAnsi="宋体" w:cs="宋体"/>
                <w:kern w:val="0"/>
                <w:szCs w:val="21"/>
              </w:rPr>
              <w:t>（240）机床应保持清洁整齐，严禁在床头、床面、刀架上放置物品。</w:t>
            </w:r>
          </w:p>
          <w:p w14:paraId="0B50CBDE">
            <w:pPr>
              <w:widowControl/>
              <w:rPr>
                <w:rFonts w:ascii="宋体" w:hAnsi="宋体" w:cs="宋体"/>
                <w:kern w:val="0"/>
                <w:szCs w:val="21"/>
              </w:rPr>
            </w:pPr>
            <w:r>
              <w:rPr>
                <w:rFonts w:hint="eastAsia" w:ascii="宋体" w:hAnsi="宋体" w:cs="宋体"/>
                <w:kern w:val="0"/>
                <w:szCs w:val="21"/>
              </w:rPr>
              <w:t>（241）机械设备可靠接地，实验结束后，应切断电源，整理好场地并将实验用具等摆放整齐，及时清理机械设备产生的废渣、废屑</w:t>
            </w:r>
          </w:p>
        </w:tc>
        <w:tc>
          <w:tcPr>
            <w:tcW w:w="991" w:type="dxa"/>
            <w:noWrap/>
            <w:tcMar>
              <w:left w:w="45" w:type="dxa"/>
              <w:right w:w="45" w:type="dxa"/>
            </w:tcMar>
            <w:vAlign w:val="center"/>
          </w:tcPr>
          <w:p w14:paraId="0332FB82">
            <w:pPr>
              <w:widowControl/>
              <w:rPr>
                <w:rFonts w:ascii="宋体" w:hAnsi="宋体" w:cs="宋体"/>
                <w:bCs/>
                <w:kern w:val="0"/>
                <w:szCs w:val="21"/>
              </w:rPr>
            </w:pPr>
          </w:p>
        </w:tc>
      </w:tr>
      <w:tr w14:paraId="4DE66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1A1D5546">
            <w:pPr>
              <w:widowControl/>
              <w:rPr>
                <w:rFonts w:ascii="宋体" w:hAnsi="宋体" w:cs="宋体"/>
                <w:kern w:val="0"/>
                <w:szCs w:val="21"/>
              </w:rPr>
            </w:pPr>
            <w:r>
              <w:rPr>
                <w:rFonts w:hint="eastAsia" w:ascii="宋体" w:hAnsi="宋体" w:cs="宋体"/>
                <w:kern w:val="0"/>
                <w:szCs w:val="21"/>
              </w:rPr>
              <w:t>12.2.2</w:t>
            </w:r>
          </w:p>
        </w:tc>
        <w:tc>
          <w:tcPr>
            <w:tcW w:w="1721" w:type="dxa"/>
            <w:noWrap/>
            <w:tcMar>
              <w:left w:w="45" w:type="dxa"/>
              <w:right w:w="45" w:type="dxa"/>
            </w:tcMar>
            <w:vAlign w:val="center"/>
          </w:tcPr>
          <w:p w14:paraId="516F16EA">
            <w:pPr>
              <w:widowControl/>
              <w:rPr>
                <w:rFonts w:ascii="宋体" w:hAnsi="宋体" w:cs="宋体"/>
                <w:kern w:val="0"/>
                <w:szCs w:val="21"/>
              </w:rPr>
            </w:pPr>
            <w:r>
              <w:rPr>
                <w:rFonts w:hint="eastAsia" w:ascii="宋体" w:hAnsi="宋体" w:cs="宋体"/>
                <w:kern w:val="0"/>
                <w:szCs w:val="21"/>
              </w:rPr>
              <w:t>操作机械设备时实验人员应做好个体防护</w:t>
            </w:r>
          </w:p>
        </w:tc>
        <w:tc>
          <w:tcPr>
            <w:tcW w:w="5567" w:type="dxa"/>
            <w:noWrap/>
            <w:tcMar>
              <w:left w:w="45" w:type="dxa"/>
              <w:right w:w="45" w:type="dxa"/>
            </w:tcMar>
            <w:vAlign w:val="center"/>
          </w:tcPr>
          <w:p w14:paraId="12C558B5">
            <w:pPr>
              <w:rPr>
                <w:rFonts w:ascii="宋体" w:hAnsi="宋体" w:cs="宋体"/>
                <w:kern w:val="0"/>
                <w:szCs w:val="21"/>
              </w:rPr>
            </w:pPr>
            <w:r>
              <w:rPr>
                <w:rFonts w:hint="eastAsia" w:ascii="宋体" w:hAnsi="宋体" w:cs="宋体"/>
                <w:kern w:val="0"/>
                <w:szCs w:val="21"/>
              </w:rPr>
              <w:t>（242）个体防护用品要穿戴齐全，如工作服、工作帽、工作鞋、防护眼镜等。操作冷加工设备时必须穿“三紧式”工作服，不能留长发（长发要盘在工作帽内），禁止戴手套。</w:t>
            </w:r>
          </w:p>
          <w:p w14:paraId="375210FB">
            <w:pPr>
              <w:rPr>
                <w:rFonts w:ascii="宋体" w:hAnsi="宋体" w:cs="宋体"/>
                <w:kern w:val="0"/>
                <w:szCs w:val="21"/>
              </w:rPr>
            </w:pPr>
            <w:r>
              <w:rPr>
                <w:rFonts w:hint="eastAsia" w:ascii="宋体" w:hAnsi="宋体" w:cs="宋体"/>
                <w:kern w:val="0"/>
                <w:szCs w:val="21"/>
              </w:rPr>
              <w:t>（243）进入高速切削机械操作工作场所，应穿好工作服、工作鞋，戴好防护眼镜，扣紧衣袖口，戴好工作帽（长发学生必须将长发盘在工作帽内），禁止戴手套、长围巾、领带、手镯等配饰物，禁止穿拖鞋、高跟鞋等。设备运转时严禁用手调整工件</w:t>
            </w:r>
          </w:p>
        </w:tc>
        <w:tc>
          <w:tcPr>
            <w:tcW w:w="991" w:type="dxa"/>
            <w:noWrap/>
            <w:tcMar>
              <w:left w:w="45" w:type="dxa"/>
              <w:right w:w="45" w:type="dxa"/>
            </w:tcMar>
            <w:vAlign w:val="center"/>
          </w:tcPr>
          <w:p w14:paraId="5124C46C">
            <w:pPr>
              <w:widowControl/>
              <w:rPr>
                <w:rFonts w:ascii="宋体" w:hAnsi="宋体" w:cs="宋体"/>
                <w:bCs/>
                <w:kern w:val="0"/>
                <w:szCs w:val="21"/>
              </w:rPr>
            </w:pPr>
          </w:p>
        </w:tc>
      </w:tr>
      <w:tr w14:paraId="2413B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64CE5ACD">
            <w:pPr>
              <w:widowControl/>
              <w:rPr>
                <w:rFonts w:ascii="宋体" w:hAnsi="宋体" w:cs="宋体"/>
                <w:kern w:val="0"/>
                <w:szCs w:val="21"/>
              </w:rPr>
            </w:pPr>
            <w:r>
              <w:rPr>
                <w:rFonts w:hint="eastAsia" w:ascii="宋体" w:hAnsi="宋体" w:cs="宋体"/>
                <w:kern w:val="0"/>
                <w:szCs w:val="21"/>
              </w:rPr>
              <w:t>12.2.3</w:t>
            </w:r>
          </w:p>
        </w:tc>
        <w:tc>
          <w:tcPr>
            <w:tcW w:w="1721" w:type="dxa"/>
            <w:noWrap/>
            <w:tcMar>
              <w:left w:w="45" w:type="dxa"/>
              <w:right w:w="45" w:type="dxa"/>
            </w:tcMar>
            <w:vAlign w:val="center"/>
          </w:tcPr>
          <w:p w14:paraId="3299F5CA">
            <w:pPr>
              <w:widowControl/>
              <w:rPr>
                <w:rFonts w:ascii="宋体" w:hAnsi="宋体" w:cs="宋体"/>
                <w:kern w:val="0"/>
                <w:szCs w:val="21"/>
              </w:rPr>
            </w:pPr>
            <w:r>
              <w:rPr>
                <w:rFonts w:hint="eastAsia" w:ascii="宋体" w:hAnsi="宋体" w:cs="宋体"/>
                <w:kern w:val="0"/>
                <w:szCs w:val="21"/>
              </w:rPr>
              <w:t>铸锻及热处理实验应满足场地和防护要求</w:t>
            </w:r>
          </w:p>
        </w:tc>
        <w:tc>
          <w:tcPr>
            <w:tcW w:w="5567" w:type="dxa"/>
            <w:noWrap/>
            <w:tcMar>
              <w:left w:w="45" w:type="dxa"/>
              <w:right w:w="45" w:type="dxa"/>
            </w:tcMar>
            <w:vAlign w:val="center"/>
          </w:tcPr>
          <w:p w14:paraId="3EB40175">
            <w:pPr>
              <w:widowControl/>
              <w:rPr>
                <w:rFonts w:ascii="宋体" w:hAnsi="宋体" w:cs="宋体"/>
                <w:kern w:val="0"/>
                <w:szCs w:val="21"/>
              </w:rPr>
            </w:pPr>
            <w:r>
              <w:rPr>
                <w:rFonts w:hint="eastAsia" w:ascii="宋体" w:hAnsi="宋体" w:cs="宋体"/>
                <w:kern w:val="0"/>
                <w:szCs w:val="21"/>
              </w:rPr>
              <w:t>（244）铸造实验场地宽敞、通道畅通，使用设备前，操作者要按要求穿戴好防护用品。</w:t>
            </w:r>
          </w:p>
          <w:p w14:paraId="1AC58D98">
            <w:pPr>
              <w:widowControl/>
              <w:rPr>
                <w:rFonts w:ascii="宋体" w:hAnsi="宋体" w:cs="宋体"/>
                <w:kern w:val="0"/>
                <w:szCs w:val="21"/>
              </w:rPr>
            </w:pPr>
            <w:r>
              <w:rPr>
                <w:rFonts w:hint="eastAsia" w:ascii="宋体" w:hAnsi="宋体" w:cs="宋体"/>
                <w:kern w:val="0"/>
                <w:szCs w:val="21"/>
              </w:rPr>
              <w:t>（245）盐浴炉加热零件必须预先烘干，并用铁丝绑牢，缓慢放入炉中，以防盐液炸崩烫伤。</w:t>
            </w:r>
          </w:p>
          <w:p w14:paraId="4AB63F2C">
            <w:pPr>
              <w:widowControl/>
              <w:rPr>
                <w:rFonts w:ascii="宋体" w:hAnsi="宋体" w:cs="宋体"/>
                <w:kern w:val="0"/>
                <w:szCs w:val="21"/>
              </w:rPr>
            </w:pPr>
            <w:r>
              <w:rPr>
                <w:rFonts w:hint="eastAsia" w:ascii="宋体" w:hAnsi="宋体" w:cs="宋体"/>
                <w:kern w:val="0"/>
                <w:szCs w:val="21"/>
              </w:rPr>
              <w:t>（246）淬火油槽不得有水，油量不能过少，以免发生火灾。</w:t>
            </w:r>
          </w:p>
          <w:p w14:paraId="61493F7A">
            <w:pPr>
              <w:widowControl/>
              <w:rPr>
                <w:rFonts w:ascii="宋体" w:hAnsi="宋体" w:cs="宋体"/>
                <w:kern w:val="0"/>
                <w:szCs w:val="21"/>
              </w:rPr>
            </w:pPr>
            <w:r>
              <w:rPr>
                <w:rFonts w:hint="eastAsia" w:ascii="宋体" w:hAnsi="宋体" w:cs="宋体"/>
                <w:kern w:val="0"/>
                <w:szCs w:val="21"/>
              </w:rPr>
              <w:t>（247）与铁水接触的一切工具，使用前必须加热，严禁将冷的工具伸入铁水内，以免引起爆炸。</w:t>
            </w:r>
          </w:p>
          <w:p w14:paraId="18526EB8">
            <w:pPr>
              <w:widowControl/>
              <w:rPr>
                <w:rFonts w:ascii="宋体" w:hAnsi="宋体" w:cs="宋体"/>
                <w:b/>
                <w:bCs/>
                <w:kern w:val="0"/>
                <w:szCs w:val="21"/>
              </w:rPr>
            </w:pPr>
            <w:r>
              <w:rPr>
                <w:rFonts w:hint="eastAsia" w:ascii="宋体" w:hAnsi="宋体" w:cs="宋体"/>
                <w:kern w:val="0"/>
                <w:szCs w:val="21"/>
              </w:rPr>
              <w:t>（248）锻压设备不得空打或大力敲打过薄锻件，锻造时锻件应达到850℃以上，锻锤空置时应垫有木块</w:t>
            </w:r>
          </w:p>
        </w:tc>
        <w:tc>
          <w:tcPr>
            <w:tcW w:w="991" w:type="dxa"/>
            <w:noWrap/>
            <w:tcMar>
              <w:left w:w="45" w:type="dxa"/>
              <w:right w:w="45" w:type="dxa"/>
            </w:tcMar>
            <w:vAlign w:val="center"/>
          </w:tcPr>
          <w:p w14:paraId="25BA8B63">
            <w:pPr>
              <w:widowControl/>
              <w:rPr>
                <w:rFonts w:ascii="宋体" w:hAnsi="宋体" w:cs="宋体"/>
                <w:b/>
                <w:bCs/>
                <w:kern w:val="0"/>
                <w:szCs w:val="21"/>
              </w:rPr>
            </w:pPr>
          </w:p>
        </w:tc>
      </w:tr>
      <w:tr w14:paraId="063C6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332E2026">
            <w:pPr>
              <w:rPr>
                <w:rFonts w:ascii="宋体" w:hAnsi="宋体" w:cs="宋体"/>
                <w:szCs w:val="21"/>
              </w:rPr>
            </w:pPr>
            <w:r>
              <w:rPr>
                <w:rFonts w:hint="eastAsia" w:ascii="宋体" w:hAnsi="宋体" w:cs="宋体"/>
                <w:kern w:val="0"/>
                <w:szCs w:val="21"/>
              </w:rPr>
              <w:t>12.2.4</w:t>
            </w:r>
          </w:p>
        </w:tc>
        <w:tc>
          <w:tcPr>
            <w:tcW w:w="1721" w:type="dxa"/>
            <w:noWrap/>
            <w:tcMar>
              <w:left w:w="45" w:type="dxa"/>
              <w:right w:w="45" w:type="dxa"/>
            </w:tcMar>
            <w:vAlign w:val="center"/>
          </w:tcPr>
          <w:p w14:paraId="555D8E1F">
            <w:pPr>
              <w:widowControl/>
              <w:rPr>
                <w:rFonts w:ascii="宋体" w:hAnsi="宋体" w:cs="宋体"/>
                <w:kern w:val="0"/>
                <w:szCs w:val="21"/>
              </w:rPr>
            </w:pPr>
            <w:r>
              <w:rPr>
                <w:rFonts w:hint="eastAsia" w:ascii="宋体" w:hAnsi="宋体" w:cs="宋体"/>
                <w:kern w:val="0"/>
                <w:szCs w:val="21"/>
              </w:rPr>
              <w:t>高处作业应符合相关操作规程</w:t>
            </w:r>
          </w:p>
        </w:tc>
        <w:tc>
          <w:tcPr>
            <w:tcW w:w="5567" w:type="dxa"/>
            <w:noWrap/>
            <w:tcMar>
              <w:left w:w="45" w:type="dxa"/>
              <w:right w:w="45" w:type="dxa"/>
            </w:tcMar>
            <w:vAlign w:val="center"/>
          </w:tcPr>
          <w:p w14:paraId="4E332E1D">
            <w:pPr>
              <w:widowControl/>
              <w:rPr>
                <w:rFonts w:ascii="宋体" w:hAnsi="宋体" w:cs="宋体"/>
                <w:kern w:val="0"/>
                <w:szCs w:val="21"/>
              </w:rPr>
            </w:pPr>
            <w:r>
              <w:rPr>
                <w:rFonts w:hint="eastAsia" w:ascii="宋体" w:hAnsi="宋体" w:cs="宋体"/>
                <w:kern w:val="0"/>
                <w:szCs w:val="21"/>
              </w:rPr>
              <w:t>（249）在坠落高度基准面2m及以上有可能坠落的高处进行作业，须穿防滑鞋、佩戴安全帽、使用安全带。</w:t>
            </w:r>
          </w:p>
          <w:p w14:paraId="38A93569">
            <w:pPr>
              <w:widowControl/>
              <w:rPr>
                <w:rFonts w:ascii="宋体" w:hAnsi="宋体" w:cs="宋体"/>
                <w:kern w:val="0"/>
                <w:szCs w:val="21"/>
              </w:rPr>
            </w:pPr>
            <w:r>
              <w:rPr>
                <w:rFonts w:hint="eastAsia" w:ascii="宋体" w:hAnsi="宋体" w:cs="宋体"/>
                <w:kern w:val="0"/>
                <w:szCs w:val="21"/>
              </w:rPr>
              <w:t>（250）临边作业须在临空一侧设置防护栏杆，有相关安全操作规程</w:t>
            </w:r>
          </w:p>
        </w:tc>
        <w:tc>
          <w:tcPr>
            <w:tcW w:w="991" w:type="dxa"/>
            <w:noWrap/>
            <w:tcMar>
              <w:left w:w="45" w:type="dxa"/>
              <w:right w:w="45" w:type="dxa"/>
            </w:tcMar>
            <w:vAlign w:val="center"/>
          </w:tcPr>
          <w:p w14:paraId="354C3359">
            <w:pPr>
              <w:widowControl/>
              <w:rPr>
                <w:rFonts w:ascii="宋体" w:hAnsi="宋体" w:cs="宋体"/>
                <w:bCs/>
                <w:kern w:val="0"/>
                <w:szCs w:val="21"/>
              </w:rPr>
            </w:pPr>
          </w:p>
        </w:tc>
      </w:tr>
      <w:tr w14:paraId="47A9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7C95A133">
            <w:pPr>
              <w:widowControl/>
              <w:rPr>
                <w:rFonts w:ascii="宋体" w:hAnsi="宋体" w:cs="宋体"/>
                <w:b/>
                <w:kern w:val="0"/>
                <w:szCs w:val="21"/>
              </w:rPr>
            </w:pPr>
            <w:r>
              <w:rPr>
                <w:rFonts w:hint="eastAsia" w:ascii="宋体" w:hAnsi="宋体" w:cs="宋体"/>
                <w:b/>
                <w:kern w:val="0"/>
                <w:szCs w:val="21"/>
              </w:rPr>
              <w:t>12.3</w:t>
            </w:r>
          </w:p>
        </w:tc>
        <w:tc>
          <w:tcPr>
            <w:tcW w:w="8279" w:type="dxa"/>
            <w:gridSpan w:val="3"/>
            <w:noWrap/>
            <w:tcMar>
              <w:left w:w="45" w:type="dxa"/>
              <w:right w:w="45" w:type="dxa"/>
            </w:tcMar>
            <w:vAlign w:val="center"/>
          </w:tcPr>
          <w:p w14:paraId="0757C079">
            <w:pPr>
              <w:widowControl/>
              <w:rPr>
                <w:rFonts w:ascii="宋体" w:hAnsi="宋体" w:cs="宋体"/>
                <w:b/>
                <w:kern w:val="0"/>
                <w:szCs w:val="21"/>
              </w:rPr>
            </w:pPr>
            <w:r>
              <w:rPr>
                <w:rFonts w:hint="eastAsia" w:ascii="宋体" w:hAnsi="宋体" w:cs="宋体"/>
                <w:b/>
                <w:kern w:val="0"/>
                <w:szCs w:val="21"/>
              </w:rPr>
              <w:t>电气安全</w:t>
            </w:r>
          </w:p>
        </w:tc>
      </w:tr>
      <w:tr w14:paraId="6D4BE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55A80635">
            <w:pPr>
              <w:widowControl/>
              <w:rPr>
                <w:rFonts w:ascii="宋体" w:hAnsi="宋体" w:cs="宋体"/>
                <w:kern w:val="0"/>
                <w:szCs w:val="21"/>
              </w:rPr>
            </w:pPr>
            <w:r>
              <w:rPr>
                <w:rFonts w:hint="eastAsia" w:ascii="宋体" w:hAnsi="宋体" w:cs="宋体"/>
                <w:kern w:val="0"/>
                <w:szCs w:val="21"/>
              </w:rPr>
              <w:t>12.3.1</w:t>
            </w:r>
          </w:p>
        </w:tc>
        <w:tc>
          <w:tcPr>
            <w:tcW w:w="1721" w:type="dxa"/>
            <w:noWrap/>
            <w:tcMar>
              <w:left w:w="45" w:type="dxa"/>
              <w:right w:w="45" w:type="dxa"/>
            </w:tcMar>
            <w:vAlign w:val="center"/>
          </w:tcPr>
          <w:p w14:paraId="54CD7986">
            <w:pPr>
              <w:widowControl/>
              <w:rPr>
                <w:rFonts w:ascii="宋体" w:hAnsi="宋体" w:cs="宋体"/>
                <w:kern w:val="0"/>
                <w:szCs w:val="21"/>
              </w:rPr>
            </w:pPr>
            <w:r>
              <w:rPr>
                <w:rFonts w:hint="eastAsia" w:ascii="宋体" w:hAnsi="宋体" w:cs="宋体"/>
                <w:kern w:val="0"/>
                <w:szCs w:val="21"/>
              </w:rPr>
              <w:t>电气设备的使用应符合用电安全规范</w:t>
            </w:r>
          </w:p>
        </w:tc>
        <w:tc>
          <w:tcPr>
            <w:tcW w:w="5567" w:type="dxa"/>
            <w:noWrap/>
            <w:tcMar>
              <w:left w:w="45" w:type="dxa"/>
              <w:right w:w="45" w:type="dxa"/>
            </w:tcMar>
            <w:vAlign w:val="center"/>
          </w:tcPr>
          <w:p w14:paraId="1B13FD47">
            <w:pPr>
              <w:widowControl/>
              <w:tabs>
                <w:tab w:val="left" w:pos="4321"/>
              </w:tabs>
              <w:rPr>
                <w:rFonts w:ascii="宋体" w:hAnsi="宋体" w:cs="宋体"/>
                <w:kern w:val="0"/>
                <w:szCs w:val="21"/>
              </w:rPr>
            </w:pPr>
            <w:r>
              <w:rPr>
                <w:rFonts w:hint="eastAsia" w:ascii="宋体" w:hAnsi="宋体" w:cs="宋体"/>
                <w:kern w:val="0"/>
                <w:szCs w:val="21"/>
              </w:rPr>
              <w:t>（251）各种电气设备及电线应始终保持干燥，防止浸湿，以防短路引起火灾或烧坏电气设备。</w:t>
            </w:r>
          </w:p>
          <w:p w14:paraId="593A5402">
            <w:pPr>
              <w:widowControl/>
              <w:tabs>
                <w:tab w:val="left" w:pos="4321"/>
              </w:tabs>
              <w:rPr>
                <w:rFonts w:ascii="宋体" w:hAnsi="宋体" w:cs="宋体"/>
                <w:szCs w:val="21"/>
              </w:rPr>
            </w:pPr>
            <w:r>
              <w:rPr>
                <w:rFonts w:hint="eastAsia" w:ascii="宋体" w:hAnsi="宋体" w:cs="宋体"/>
                <w:kern w:val="0"/>
                <w:szCs w:val="21"/>
              </w:rPr>
              <w:t>（252）</w:t>
            </w:r>
            <w:r>
              <w:rPr>
                <w:rFonts w:hint="eastAsia" w:ascii="宋体" w:hAnsi="宋体" w:cs="宋体"/>
                <w:szCs w:val="21"/>
              </w:rPr>
              <w:t>实验室内的功能间墙面都应设有专用接地母排，并设有多点接地引出端。</w:t>
            </w:r>
          </w:p>
          <w:p w14:paraId="34047609">
            <w:pPr>
              <w:widowControl/>
              <w:tabs>
                <w:tab w:val="left" w:pos="4321"/>
              </w:tabs>
              <w:rPr>
                <w:rFonts w:ascii="宋体" w:hAnsi="宋体" w:cs="宋体"/>
                <w:kern w:val="0"/>
                <w:szCs w:val="21"/>
              </w:rPr>
            </w:pPr>
            <w:r>
              <w:rPr>
                <w:rFonts w:hint="eastAsia" w:ascii="宋体" w:hAnsi="宋体" w:cs="宋体"/>
                <w:szCs w:val="21"/>
              </w:rPr>
              <w:t>（253）高压、大电流等强电实验室</w:t>
            </w:r>
            <w:r>
              <w:rPr>
                <w:rFonts w:hint="eastAsia" w:ascii="宋体" w:hAnsi="宋体" w:cs="宋体"/>
                <w:kern w:val="0"/>
                <w:szCs w:val="21"/>
              </w:rPr>
              <w:t>要设定安全距离，按规定设置安全警示牌，安全信号灯，联动式警铃、门锁，有安全隔离装置或屏蔽遮栏（由金属制成，并可靠接地，</w:t>
            </w:r>
            <w:r>
              <w:rPr>
                <w:rFonts w:hint="eastAsia" w:ascii="宋体" w:hAnsi="宋体" w:cs="宋体"/>
                <w:szCs w:val="21"/>
              </w:rPr>
              <w:t>高度不低于2m</w:t>
            </w:r>
            <w:r>
              <w:rPr>
                <w:rFonts w:hint="eastAsia" w:ascii="宋体" w:hAnsi="宋体" w:cs="宋体"/>
                <w:kern w:val="0"/>
                <w:szCs w:val="21"/>
              </w:rPr>
              <w:t>）。</w:t>
            </w:r>
          </w:p>
          <w:p w14:paraId="3D994A09">
            <w:pPr>
              <w:widowControl/>
              <w:tabs>
                <w:tab w:val="left" w:pos="4321"/>
              </w:tabs>
              <w:rPr>
                <w:rFonts w:ascii="宋体" w:hAnsi="宋体" w:cs="宋体"/>
                <w:kern w:val="0"/>
                <w:szCs w:val="21"/>
              </w:rPr>
            </w:pPr>
            <w:r>
              <w:rPr>
                <w:rFonts w:hint="eastAsia" w:ascii="宋体" w:hAnsi="宋体" w:cs="宋体"/>
                <w:kern w:val="0"/>
                <w:szCs w:val="21"/>
              </w:rPr>
              <w:t>（254）控制室（控制台）应铺橡胶、绝缘垫等。</w:t>
            </w:r>
          </w:p>
          <w:p w14:paraId="1CD7B3A9">
            <w:pPr>
              <w:widowControl/>
              <w:tabs>
                <w:tab w:val="left" w:pos="4321"/>
              </w:tabs>
              <w:rPr>
                <w:rFonts w:ascii="宋体" w:hAnsi="宋体" w:cs="宋体"/>
                <w:szCs w:val="21"/>
              </w:rPr>
            </w:pPr>
            <w:r>
              <w:rPr>
                <w:rFonts w:hint="eastAsia" w:ascii="宋体" w:hAnsi="宋体" w:cs="宋体"/>
                <w:kern w:val="0"/>
                <w:szCs w:val="21"/>
              </w:rPr>
              <w:t>（255）</w:t>
            </w:r>
            <w:r>
              <w:rPr>
                <w:rFonts w:hint="eastAsia" w:ascii="宋体" w:hAnsi="宋体" w:cs="宋体"/>
                <w:szCs w:val="21"/>
              </w:rPr>
              <w:t>强电实验室禁止存放易燃、易爆、易腐品，保持通风散热。</w:t>
            </w:r>
          </w:p>
          <w:p w14:paraId="091D1005">
            <w:pPr>
              <w:widowControl/>
              <w:tabs>
                <w:tab w:val="left" w:pos="4321"/>
              </w:tabs>
              <w:rPr>
                <w:rFonts w:ascii="宋体" w:hAnsi="宋体" w:cs="宋体"/>
                <w:szCs w:val="21"/>
              </w:rPr>
            </w:pPr>
            <w:r>
              <w:rPr>
                <w:rFonts w:hint="eastAsia" w:ascii="宋体" w:hAnsi="宋体" w:cs="宋体"/>
                <w:szCs w:val="21"/>
              </w:rPr>
              <w:t>（256）应为设备配备残余电流泄放专用的接地系统。</w:t>
            </w:r>
          </w:p>
          <w:p w14:paraId="20AAADB8">
            <w:pPr>
              <w:widowControl/>
              <w:tabs>
                <w:tab w:val="left" w:pos="4321"/>
              </w:tabs>
              <w:rPr>
                <w:rFonts w:ascii="宋体" w:hAnsi="宋体" w:cs="宋体"/>
                <w:szCs w:val="21"/>
              </w:rPr>
            </w:pPr>
            <w:r>
              <w:rPr>
                <w:rFonts w:hint="eastAsia" w:ascii="宋体" w:hAnsi="宋体" w:cs="宋体"/>
                <w:szCs w:val="21"/>
              </w:rPr>
              <w:t>（257）禁止在有可燃气体泄露隐患的环境中使用电动工具；电烙铁有专门的搁架，用毕立即切断电源。</w:t>
            </w:r>
          </w:p>
          <w:p w14:paraId="695080B0">
            <w:pPr>
              <w:widowControl/>
              <w:tabs>
                <w:tab w:val="left" w:pos="4321"/>
              </w:tabs>
              <w:rPr>
                <w:rFonts w:ascii="宋体" w:hAnsi="宋体" w:cs="宋体"/>
                <w:kern w:val="0"/>
                <w:szCs w:val="21"/>
              </w:rPr>
            </w:pPr>
            <w:r>
              <w:rPr>
                <w:rFonts w:hint="eastAsia" w:ascii="宋体" w:hAnsi="宋体" w:cs="宋体"/>
                <w:szCs w:val="21"/>
              </w:rPr>
              <w:t>（258）强磁设备应配备与大地相连的金属屏蔽网</w:t>
            </w:r>
          </w:p>
        </w:tc>
        <w:tc>
          <w:tcPr>
            <w:tcW w:w="991" w:type="dxa"/>
            <w:noWrap/>
            <w:tcMar>
              <w:left w:w="45" w:type="dxa"/>
              <w:right w:w="45" w:type="dxa"/>
            </w:tcMar>
            <w:vAlign w:val="center"/>
          </w:tcPr>
          <w:p w14:paraId="76E13BB9">
            <w:pPr>
              <w:widowControl/>
              <w:rPr>
                <w:rFonts w:ascii="宋体" w:hAnsi="宋体" w:cs="宋体"/>
                <w:b/>
                <w:bCs/>
                <w:kern w:val="0"/>
                <w:szCs w:val="21"/>
              </w:rPr>
            </w:pPr>
          </w:p>
        </w:tc>
      </w:tr>
      <w:tr w14:paraId="7485C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2A915A16">
            <w:pPr>
              <w:widowControl/>
              <w:rPr>
                <w:rFonts w:ascii="宋体" w:hAnsi="宋体" w:cs="宋体"/>
                <w:kern w:val="0"/>
                <w:szCs w:val="21"/>
              </w:rPr>
            </w:pPr>
            <w:r>
              <w:rPr>
                <w:rFonts w:hint="eastAsia" w:ascii="宋体" w:hAnsi="宋体" w:cs="宋体"/>
                <w:kern w:val="0"/>
                <w:szCs w:val="21"/>
              </w:rPr>
              <w:t>12.3.2</w:t>
            </w:r>
          </w:p>
        </w:tc>
        <w:tc>
          <w:tcPr>
            <w:tcW w:w="1721" w:type="dxa"/>
            <w:noWrap/>
            <w:tcMar>
              <w:left w:w="45" w:type="dxa"/>
              <w:right w:w="45" w:type="dxa"/>
            </w:tcMar>
            <w:vAlign w:val="center"/>
          </w:tcPr>
          <w:p w14:paraId="77174D2B">
            <w:pPr>
              <w:widowControl/>
              <w:rPr>
                <w:rFonts w:ascii="宋体" w:hAnsi="宋体" w:cs="宋体"/>
                <w:kern w:val="0"/>
                <w:szCs w:val="21"/>
              </w:rPr>
            </w:pPr>
            <w:r>
              <w:rPr>
                <w:rFonts w:hint="eastAsia" w:ascii="宋体" w:hAnsi="宋体" w:cs="宋体"/>
                <w:kern w:val="0"/>
                <w:szCs w:val="21"/>
              </w:rPr>
              <w:t>操作电气设备应配备合适的防护器具</w:t>
            </w:r>
          </w:p>
        </w:tc>
        <w:tc>
          <w:tcPr>
            <w:tcW w:w="5567" w:type="dxa"/>
            <w:noWrap/>
            <w:tcMar>
              <w:left w:w="45" w:type="dxa"/>
              <w:right w:w="45" w:type="dxa"/>
            </w:tcMar>
            <w:vAlign w:val="center"/>
          </w:tcPr>
          <w:p w14:paraId="2F86A6C5">
            <w:pPr>
              <w:widowControl/>
              <w:rPr>
                <w:rFonts w:ascii="宋体" w:hAnsi="宋体" w:cs="宋体"/>
                <w:kern w:val="0"/>
                <w:szCs w:val="21"/>
              </w:rPr>
            </w:pPr>
            <w:r>
              <w:rPr>
                <w:rFonts w:hint="eastAsia" w:ascii="宋体" w:hAnsi="宋体" w:cs="宋体"/>
                <w:kern w:val="0"/>
                <w:szCs w:val="21"/>
              </w:rPr>
              <w:t>（259）强电类高电压实验必须两人（含）以上，操作时应戴绝缘手套；防护器具按规定进行周期试验或定期更换；</w:t>
            </w:r>
            <w:r>
              <w:rPr>
                <w:rFonts w:hint="eastAsia" w:ascii="宋体" w:hAnsi="宋体" w:cs="宋体"/>
                <w:szCs w:val="21"/>
              </w:rPr>
              <w:t>静电场所要保持空气湿润，工作人员要穿戴防静电服、手套和鞋靴</w:t>
            </w:r>
          </w:p>
        </w:tc>
        <w:tc>
          <w:tcPr>
            <w:tcW w:w="991" w:type="dxa"/>
            <w:noWrap/>
            <w:tcMar>
              <w:left w:w="45" w:type="dxa"/>
              <w:right w:w="45" w:type="dxa"/>
            </w:tcMar>
            <w:vAlign w:val="center"/>
          </w:tcPr>
          <w:p w14:paraId="728B9F0C">
            <w:pPr>
              <w:widowControl/>
              <w:rPr>
                <w:rFonts w:ascii="宋体" w:hAnsi="宋体" w:cs="宋体"/>
                <w:b/>
                <w:bCs/>
                <w:kern w:val="0"/>
                <w:szCs w:val="21"/>
              </w:rPr>
            </w:pPr>
          </w:p>
        </w:tc>
      </w:tr>
      <w:tr w14:paraId="61DCA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7A774E8C">
            <w:pPr>
              <w:widowControl/>
              <w:rPr>
                <w:rFonts w:ascii="宋体" w:hAnsi="宋体" w:cs="宋体"/>
                <w:b/>
                <w:kern w:val="0"/>
                <w:szCs w:val="21"/>
              </w:rPr>
            </w:pPr>
            <w:r>
              <w:rPr>
                <w:rFonts w:hint="eastAsia" w:ascii="宋体" w:hAnsi="宋体" w:cs="宋体"/>
                <w:b/>
                <w:kern w:val="0"/>
                <w:szCs w:val="21"/>
              </w:rPr>
              <w:t>12.4</w:t>
            </w:r>
          </w:p>
        </w:tc>
        <w:tc>
          <w:tcPr>
            <w:tcW w:w="8279" w:type="dxa"/>
            <w:gridSpan w:val="3"/>
            <w:noWrap/>
            <w:tcMar>
              <w:left w:w="45" w:type="dxa"/>
              <w:right w:w="45" w:type="dxa"/>
            </w:tcMar>
            <w:vAlign w:val="center"/>
          </w:tcPr>
          <w:p w14:paraId="533DD5FA">
            <w:pPr>
              <w:widowControl/>
              <w:rPr>
                <w:rFonts w:ascii="宋体" w:hAnsi="宋体" w:cs="宋体"/>
                <w:b/>
                <w:kern w:val="0"/>
                <w:szCs w:val="21"/>
              </w:rPr>
            </w:pPr>
            <w:r>
              <w:rPr>
                <w:rFonts w:hint="eastAsia" w:ascii="宋体" w:hAnsi="宋体" w:cs="宋体"/>
                <w:b/>
                <w:kern w:val="0"/>
                <w:szCs w:val="21"/>
              </w:rPr>
              <w:t>激光安全</w:t>
            </w:r>
          </w:p>
        </w:tc>
      </w:tr>
      <w:tr w14:paraId="62FEF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492E013E">
            <w:pPr>
              <w:widowControl/>
              <w:rPr>
                <w:rFonts w:ascii="宋体" w:hAnsi="宋体" w:cs="宋体"/>
                <w:kern w:val="0"/>
                <w:szCs w:val="21"/>
              </w:rPr>
            </w:pPr>
            <w:r>
              <w:rPr>
                <w:rFonts w:hint="eastAsia" w:ascii="宋体" w:hAnsi="宋体" w:cs="宋体"/>
                <w:kern w:val="0"/>
                <w:szCs w:val="21"/>
              </w:rPr>
              <w:t>12.4.1</w:t>
            </w:r>
          </w:p>
        </w:tc>
        <w:tc>
          <w:tcPr>
            <w:tcW w:w="1721" w:type="dxa"/>
            <w:noWrap/>
            <w:tcMar>
              <w:left w:w="45" w:type="dxa"/>
              <w:right w:w="45" w:type="dxa"/>
            </w:tcMar>
            <w:vAlign w:val="center"/>
          </w:tcPr>
          <w:p w14:paraId="2C78A3B9">
            <w:pPr>
              <w:widowControl/>
              <w:rPr>
                <w:rFonts w:ascii="宋体" w:hAnsi="宋体" w:cs="宋体"/>
                <w:kern w:val="0"/>
                <w:szCs w:val="21"/>
              </w:rPr>
            </w:pPr>
            <w:r>
              <w:rPr>
                <w:rFonts w:hint="eastAsia" w:ascii="宋体" w:hAnsi="宋体" w:cs="宋体"/>
                <w:bCs/>
                <w:kern w:val="0"/>
                <w:szCs w:val="21"/>
              </w:rPr>
              <w:t>激光实验室配有完备的安全屏蔽设施</w:t>
            </w:r>
          </w:p>
        </w:tc>
        <w:tc>
          <w:tcPr>
            <w:tcW w:w="5567" w:type="dxa"/>
            <w:noWrap/>
            <w:tcMar>
              <w:left w:w="45" w:type="dxa"/>
              <w:right w:w="45" w:type="dxa"/>
            </w:tcMar>
            <w:vAlign w:val="center"/>
          </w:tcPr>
          <w:p w14:paraId="2B167787">
            <w:pPr>
              <w:widowControl/>
              <w:rPr>
                <w:rFonts w:ascii="宋体" w:hAnsi="宋体" w:cs="宋体"/>
                <w:bCs/>
                <w:kern w:val="0"/>
                <w:szCs w:val="21"/>
              </w:rPr>
            </w:pPr>
            <w:r>
              <w:rPr>
                <w:rFonts w:hint="eastAsia" w:ascii="宋体" w:hAnsi="宋体" w:cs="宋体"/>
                <w:bCs/>
                <w:kern w:val="0"/>
                <w:szCs w:val="21"/>
              </w:rPr>
              <w:t>（260）功率较大的激光器有互锁装置、防护罩，激光照射方向不会对他人造成伤害，防止激光发射口及反射镜上扬</w:t>
            </w:r>
          </w:p>
        </w:tc>
        <w:tc>
          <w:tcPr>
            <w:tcW w:w="991" w:type="dxa"/>
            <w:noWrap/>
            <w:tcMar>
              <w:left w:w="45" w:type="dxa"/>
              <w:right w:w="45" w:type="dxa"/>
            </w:tcMar>
            <w:vAlign w:val="center"/>
          </w:tcPr>
          <w:p w14:paraId="00A67560">
            <w:pPr>
              <w:widowControl/>
              <w:rPr>
                <w:rFonts w:ascii="宋体" w:hAnsi="宋体" w:cs="宋体"/>
                <w:b/>
                <w:bCs/>
                <w:kern w:val="0"/>
                <w:szCs w:val="21"/>
              </w:rPr>
            </w:pPr>
          </w:p>
        </w:tc>
      </w:tr>
      <w:tr w14:paraId="6D5FF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0661703F">
            <w:pPr>
              <w:widowControl/>
              <w:rPr>
                <w:rFonts w:ascii="宋体" w:hAnsi="宋体" w:cs="宋体"/>
                <w:kern w:val="0"/>
                <w:szCs w:val="21"/>
              </w:rPr>
            </w:pPr>
            <w:r>
              <w:rPr>
                <w:rFonts w:hint="eastAsia" w:ascii="宋体" w:hAnsi="宋体" w:cs="宋体"/>
                <w:kern w:val="0"/>
                <w:szCs w:val="21"/>
              </w:rPr>
              <w:t>12.4.2</w:t>
            </w:r>
          </w:p>
        </w:tc>
        <w:tc>
          <w:tcPr>
            <w:tcW w:w="1721" w:type="dxa"/>
            <w:noWrap/>
            <w:tcMar>
              <w:left w:w="45" w:type="dxa"/>
              <w:right w:w="45" w:type="dxa"/>
            </w:tcMar>
            <w:vAlign w:val="center"/>
          </w:tcPr>
          <w:p w14:paraId="1E19D2F5">
            <w:pPr>
              <w:widowControl/>
              <w:rPr>
                <w:rFonts w:ascii="宋体" w:hAnsi="宋体" w:cs="宋体"/>
                <w:bCs/>
                <w:kern w:val="0"/>
                <w:szCs w:val="21"/>
              </w:rPr>
            </w:pPr>
            <w:r>
              <w:rPr>
                <w:rFonts w:hint="eastAsia" w:ascii="宋体" w:hAnsi="宋体" w:cs="宋体"/>
                <w:bCs/>
                <w:kern w:val="0"/>
                <w:szCs w:val="21"/>
              </w:rPr>
              <w:t>进行激光实验时须佩戴合适的个体防护用具</w:t>
            </w:r>
          </w:p>
        </w:tc>
        <w:tc>
          <w:tcPr>
            <w:tcW w:w="5567" w:type="dxa"/>
            <w:noWrap/>
            <w:tcMar>
              <w:left w:w="45" w:type="dxa"/>
              <w:right w:w="45" w:type="dxa"/>
            </w:tcMar>
            <w:vAlign w:val="center"/>
          </w:tcPr>
          <w:p w14:paraId="3CA1A13C">
            <w:pPr>
              <w:widowControl/>
              <w:rPr>
                <w:rFonts w:ascii="宋体" w:hAnsi="宋体" w:cs="宋体"/>
                <w:bCs/>
                <w:kern w:val="0"/>
                <w:szCs w:val="21"/>
              </w:rPr>
            </w:pPr>
            <w:r>
              <w:rPr>
                <w:rFonts w:hint="eastAsia" w:ascii="宋体" w:hAnsi="宋体" w:cs="宋体"/>
                <w:bCs/>
                <w:kern w:val="0"/>
                <w:szCs w:val="21"/>
              </w:rPr>
              <w:t>（261）操作人员佩戴防护眼镜等防护用品、不戴手表等能反光的物品，</w:t>
            </w:r>
            <w:r>
              <w:rPr>
                <w:rFonts w:hint="eastAsia" w:ascii="宋体" w:hAnsi="宋体" w:cs="宋体"/>
                <w:szCs w:val="21"/>
                <w:shd w:val="clear" w:color="auto" w:fill="FFFFFF"/>
              </w:rPr>
              <w:t>禁止直视激光束和它的反向光束，禁止对激光器件做任何目视准直操作，</w:t>
            </w:r>
            <w:r>
              <w:rPr>
                <w:rFonts w:hint="eastAsia" w:ascii="宋体" w:hAnsi="宋体" w:cs="宋体"/>
                <w:bCs/>
                <w:kern w:val="0"/>
                <w:szCs w:val="21"/>
              </w:rPr>
              <w:t>禁止用眼睛检查激光器故障，检查激光器必须在断电情况下进行</w:t>
            </w:r>
          </w:p>
        </w:tc>
        <w:tc>
          <w:tcPr>
            <w:tcW w:w="991" w:type="dxa"/>
            <w:noWrap/>
            <w:tcMar>
              <w:left w:w="45" w:type="dxa"/>
              <w:right w:w="45" w:type="dxa"/>
            </w:tcMar>
            <w:vAlign w:val="center"/>
          </w:tcPr>
          <w:p w14:paraId="34F70B03">
            <w:pPr>
              <w:widowControl/>
              <w:rPr>
                <w:rFonts w:ascii="宋体" w:hAnsi="宋体" w:cs="宋体"/>
                <w:b/>
                <w:bCs/>
                <w:kern w:val="0"/>
                <w:szCs w:val="21"/>
              </w:rPr>
            </w:pPr>
          </w:p>
        </w:tc>
      </w:tr>
      <w:tr w14:paraId="3902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38810FD3">
            <w:pPr>
              <w:widowControl/>
              <w:rPr>
                <w:rFonts w:ascii="宋体" w:hAnsi="宋体" w:cs="宋体"/>
                <w:kern w:val="0"/>
                <w:szCs w:val="21"/>
              </w:rPr>
            </w:pPr>
            <w:r>
              <w:rPr>
                <w:rFonts w:hint="eastAsia" w:ascii="宋体" w:hAnsi="宋体" w:cs="宋体"/>
                <w:kern w:val="0"/>
                <w:szCs w:val="21"/>
              </w:rPr>
              <w:t>12.4.3</w:t>
            </w:r>
          </w:p>
        </w:tc>
        <w:tc>
          <w:tcPr>
            <w:tcW w:w="1721" w:type="dxa"/>
            <w:noWrap/>
            <w:tcMar>
              <w:left w:w="45" w:type="dxa"/>
              <w:right w:w="45" w:type="dxa"/>
            </w:tcMar>
            <w:vAlign w:val="center"/>
          </w:tcPr>
          <w:p w14:paraId="055339EE">
            <w:pPr>
              <w:widowControl/>
              <w:rPr>
                <w:rFonts w:ascii="宋体" w:hAnsi="宋体" w:cs="宋体"/>
                <w:bCs/>
                <w:kern w:val="0"/>
                <w:szCs w:val="21"/>
              </w:rPr>
            </w:pPr>
            <w:r>
              <w:rPr>
                <w:rFonts w:hint="eastAsia" w:ascii="宋体" w:hAnsi="宋体" w:cs="宋体"/>
                <w:bCs/>
                <w:kern w:val="0"/>
                <w:szCs w:val="21"/>
              </w:rPr>
              <w:t>警告标识</w:t>
            </w:r>
          </w:p>
        </w:tc>
        <w:tc>
          <w:tcPr>
            <w:tcW w:w="5567" w:type="dxa"/>
            <w:noWrap/>
            <w:tcMar>
              <w:left w:w="45" w:type="dxa"/>
              <w:right w:w="45" w:type="dxa"/>
            </w:tcMar>
            <w:vAlign w:val="center"/>
          </w:tcPr>
          <w:p w14:paraId="4BB647A0">
            <w:pPr>
              <w:widowControl/>
              <w:rPr>
                <w:rFonts w:ascii="宋体" w:hAnsi="宋体" w:cs="宋体"/>
                <w:bCs/>
                <w:kern w:val="0"/>
                <w:szCs w:val="21"/>
              </w:rPr>
            </w:pPr>
            <w:r>
              <w:rPr>
                <w:rFonts w:hint="eastAsia" w:ascii="宋体" w:hAnsi="宋体" w:cs="宋体"/>
                <w:bCs/>
                <w:kern w:val="0"/>
                <w:szCs w:val="21"/>
              </w:rPr>
              <w:t>（262）所有激光区域内张贴警告标识</w:t>
            </w:r>
          </w:p>
        </w:tc>
        <w:tc>
          <w:tcPr>
            <w:tcW w:w="991" w:type="dxa"/>
            <w:noWrap/>
            <w:tcMar>
              <w:left w:w="45" w:type="dxa"/>
              <w:right w:w="45" w:type="dxa"/>
            </w:tcMar>
            <w:vAlign w:val="center"/>
          </w:tcPr>
          <w:p w14:paraId="1D8CA866">
            <w:pPr>
              <w:widowControl/>
              <w:rPr>
                <w:rFonts w:ascii="宋体" w:hAnsi="宋体" w:cs="宋体"/>
                <w:b/>
                <w:bCs/>
                <w:kern w:val="0"/>
                <w:szCs w:val="21"/>
              </w:rPr>
            </w:pPr>
          </w:p>
        </w:tc>
      </w:tr>
      <w:tr w14:paraId="58B9B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57844318">
            <w:pPr>
              <w:widowControl/>
              <w:rPr>
                <w:rFonts w:ascii="宋体" w:hAnsi="宋体" w:cs="宋体"/>
                <w:b/>
                <w:kern w:val="0"/>
                <w:szCs w:val="21"/>
              </w:rPr>
            </w:pPr>
            <w:r>
              <w:rPr>
                <w:rFonts w:hint="eastAsia" w:ascii="宋体" w:hAnsi="宋体" w:cs="宋体"/>
                <w:b/>
                <w:kern w:val="0"/>
                <w:szCs w:val="21"/>
              </w:rPr>
              <w:t>12.5</w:t>
            </w:r>
          </w:p>
        </w:tc>
        <w:tc>
          <w:tcPr>
            <w:tcW w:w="8279" w:type="dxa"/>
            <w:gridSpan w:val="3"/>
            <w:noWrap/>
            <w:tcMar>
              <w:left w:w="45" w:type="dxa"/>
              <w:right w:w="45" w:type="dxa"/>
            </w:tcMar>
            <w:vAlign w:val="center"/>
          </w:tcPr>
          <w:p w14:paraId="7FBA3A5E">
            <w:pPr>
              <w:widowControl/>
              <w:rPr>
                <w:rFonts w:ascii="宋体" w:hAnsi="宋体" w:cs="宋体"/>
                <w:b/>
                <w:kern w:val="0"/>
                <w:szCs w:val="21"/>
              </w:rPr>
            </w:pPr>
            <w:r>
              <w:rPr>
                <w:rFonts w:hint="eastAsia" w:ascii="宋体" w:hAnsi="宋体" w:cs="宋体"/>
                <w:b/>
                <w:kern w:val="0"/>
                <w:szCs w:val="21"/>
              </w:rPr>
              <w:t>粉尘安全</w:t>
            </w:r>
          </w:p>
        </w:tc>
      </w:tr>
      <w:tr w14:paraId="2722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1E49A0BE">
            <w:pPr>
              <w:widowControl/>
              <w:rPr>
                <w:rFonts w:ascii="宋体" w:hAnsi="宋体" w:cs="宋体"/>
                <w:kern w:val="0"/>
                <w:szCs w:val="21"/>
              </w:rPr>
            </w:pPr>
            <w:r>
              <w:rPr>
                <w:rFonts w:hint="eastAsia" w:ascii="宋体" w:hAnsi="宋体" w:cs="宋体"/>
                <w:kern w:val="0"/>
                <w:szCs w:val="21"/>
              </w:rPr>
              <w:t>12.5.1</w:t>
            </w:r>
          </w:p>
        </w:tc>
        <w:tc>
          <w:tcPr>
            <w:tcW w:w="1721" w:type="dxa"/>
            <w:noWrap/>
            <w:tcMar>
              <w:left w:w="45" w:type="dxa"/>
              <w:right w:w="45" w:type="dxa"/>
            </w:tcMar>
            <w:vAlign w:val="center"/>
          </w:tcPr>
          <w:p w14:paraId="50B100A8">
            <w:pPr>
              <w:rPr>
                <w:rFonts w:ascii="宋体" w:hAnsi="宋体" w:cs="宋体"/>
                <w:kern w:val="0"/>
                <w:szCs w:val="21"/>
              </w:rPr>
            </w:pPr>
            <w:r>
              <w:rPr>
                <w:rFonts w:hint="eastAsia" w:ascii="宋体" w:hAnsi="宋体" w:cs="宋体"/>
                <w:kern w:val="0"/>
                <w:szCs w:val="21"/>
              </w:rPr>
              <w:t>粉尘爆炸危险场所，应选用防爆型电气设备</w:t>
            </w:r>
          </w:p>
        </w:tc>
        <w:tc>
          <w:tcPr>
            <w:tcW w:w="5567" w:type="dxa"/>
            <w:noWrap/>
            <w:tcMar>
              <w:left w:w="45" w:type="dxa"/>
              <w:right w:w="45" w:type="dxa"/>
            </w:tcMar>
            <w:vAlign w:val="center"/>
          </w:tcPr>
          <w:p w14:paraId="4DB471EB">
            <w:pPr>
              <w:widowControl/>
              <w:rPr>
                <w:rFonts w:ascii="宋体" w:hAnsi="宋体" w:cs="宋体"/>
                <w:kern w:val="0"/>
                <w:szCs w:val="21"/>
              </w:rPr>
            </w:pPr>
            <w:r>
              <w:rPr>
                <w:rFonts w:hint="eastAsia" w:ascii="宋体" w:hAnsi="宋体" w:cs="宋体"/>
                <w:kern w:val="0"/>
                <w:szCs w:val="21"/>
              </w:rPr>
              <w:t>（263）防爆灯、防爆电气开关的导线敷设应选用镀锌管，必须达到整体防爆要求。</w:t>
            </w:r>
          </w:p>
          <w:p w14:paraId="78BF260B">
            <w:pPr>
              <w:widowControl/>
              <w:rPr>
                <w:rFonts w:ascii="宋体" w:hAnsi="宋体" w:cs="宋体"/>
                <w:bCs/>
                <w:kern w:val="0"/>
                <w:szCs w:val="21"/>
              </w:rPr>
            </w:pPr>
            <w:r>
              <w:rPr>
                <w:rFonts w:hint="eastAsia" w:ascii="宋体" w:hAnsi="宋体" w:cs="宋体"/>
                <w:kern w:val="0"/>
                <w:szCs w:val="21"/>
              </w:rPr>
              <w:t>（264）粉尘加工要有除尘装置，除尘器符合防静电安全要求，除尘设施应有阻爆、隔爆、泄爆装置，使用工具具有防爆功能或不产生火花</w:t>
            </w:r>
          </w:p>
        </w:tc>
        <w:tc>
          <w:tcPr>
            <w:tcW w:w="991" w:type="dxa"/>
            <w:noWrap/>
            <w:tcMar>
              <w:left w:w="45" w:type="dxa"/>
              <w:right w:w="45" w:type="dxa"/>
            </w:tcMar>
            <w:vAlign w:val="center"/>
          </w:tcPr>
          <w:p w14:paraId="24AC224F">
            <w:pPr>
              <w:pStyle w:val="513"/>
              <w:ind w:firstLine="0" w:firstLineChars="0"/>
              <w:rPr>
                <w:rFonts w:ascii="宋体" w:hAnsi="宋体" w:eastAsia="宋体" w:cs="宋体"/>
                <w:b/>
                <w:bCs/>
                <w:kern w:val="0"/>
              </w:rPr>
            </w:pPr>
          </w:p>
        </w:tc>
      </w:tr>
      <w:tr w14:paraId="1AAA6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60042220">
            <w:pPr>
              <w:widowControl/>
              <w:rPr>
                <w:rFonts w:ascii="宋体" w:hAnsi="宋体" w:cs="宋体"/>
                <w:kern w:val="0"/>
                <w:szCs w:val="21"/>
              </w:rPr>
            </w:pPr>
            <w:r>
              <w:rPr>
                <w:rFonts w:hint="eastAsia" w:ascii="宋体" w:hAnsi="宋体" w:cs="宋体"/>
                <w:kern w:val="0"/>
                <w:szCs w:val="21"/>
              </w:rPr>
              <w:t>12.5.2</w:t>
            </w:r>
          </w:p>
        </w:tc>
        <w:tc>
          <w:tcPr>
            <w:tcW w:w="1721" w:type="dxa"/>
            <w:noWrap/>
            <w:tcMar>
              <w:left w:w="45" w:type="dxa"/>
              <w:right w:w="45" w:type="dxa"/>
            </w:tcMar>
            <w:vAlign w:val="center"/>
          </w:tcPr>
          <w:p w14:paraId="2A909E95">
            <w:pPr>
              <w:widowControl/>
              <w:rPr>
                <w:rFonts w:ascii="宋体" w:hAnsi="宋体" w:cs="宋体"/>
                <w:kern w:val="0"/>
                <w:szCs w:val="21"/>
              </w:rPr>
            </w:pPr>
            <w:r>
              <w:rPr>
                <w:rFonts w:hint="eastAsia" w:ascii="宋体" w:hAnsi="宋体" w:cs="宋体"/>
                <w:kern w:val="0"/>
                <w:szCs w:val="21"/>
              </w:rPr>
              <w:t>进入产生粉尘的实验场所，须穿戴合适的个体防护用具</w:t>
            </w:r>
          </w:p>
        </w:tc>
        <w:tc>
          <w:tcPr>
            <w:tcW w:w="5567" w:type="dxa"/>
            <w:noWrap/>
            <w:tcMar>
              <w:left w:w="45" w:type="dxa"/>
              <w:right w:w="45" w:type="dxa"/>
            </w:tcMar>
            <w:vAlign w:val="center"/>
          </w:tcPr>
          <w:p w14:paraId="6336D39D">
            <w:pPr>
              <w:rPr>
                <w:rFonts w:ascii="宋体" w:hAnsi="宋体" w:cs="宋体"/>
                <w:bCs/>
                <w:kern w:val="0"/>
                <w:szCs w:val="21"/>
              </w:rPr>
            </w:pPr>
            <w:r>
              <w:rPr>
                <w:rFonts w:hint="eastAsia" w:ascii="宋体" w:hAnsi="宋体" w:cs="宋体"/>
                <w:kern w:val="0"/>
                <w:szCs w:val="21"/>
              </w:rPr>
              <w:t>（265）进入粉尘爆炸危险场所应穿防静电服装，禁止穿化纤材料制作的衣服，工作时必须佩戴防尘口罩和护耳器</w:t>
            </w:r>
          </w:p>
        </w:tc>
        <w:tc>
          <w:tcPr>
            <w:tcW w:w="991" w:type="dxa"/>
            <w:noWrap/>
            <w:tcMar>
              <w:left w:w="45" w:type="dxa"/>
              <w:right w:w="45" w:type="dxa"/>
            </w:tcMar>
            <w:vAlign w:val="center"/>
          </w:tcPr>
          <w:p w14:paraId="154150B0">
            <w:pPr>
              <w:widowControl/>
              <w:rPr>
                <w:rFonts w:ascii="宋体" w:hAnsi="宋体" w:cs="宋体"/>
                <w:b/>
                <w:bCs/>
                <w:kern w:val="0"/>
                <w:szCs w:val="21"/>
              </w:rPr>
            </w:pPr>
          </w:p>
        </w:tc>
      </w:tr>
      <w:tr w14:paraId="3C85E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1321CE6C">
            <w:pPr>
              <w:widowControl/>
              <w:rPr>
                <w:rFonts w:ascii="宋体" w:hAnsi="宋体" w:cs="宋体"/>
                <w:kern w:val="0"/>
                <w:szCs w:val="21"/>
              </w:rPr>
            </w:pPr>
            <w:r>
              <w:rPr>
                <w:rFonts w:hint="eastAsia" w:ascii="宋体" w:hAnsi="宋体" w:cs="宋体"/>
                <w:kern w:val="0"/>
                <w:szCs w:val="21"/>
              </w:rPr>
              <w:t>12.5.3</w:t>
            </w:r>
          </w:p>
        </w:tc>
        <w:tc>
          <w:tcPr>
            <w:tcW w:w="1721" w:type="dxa"/>
            <w:noWrap/>
            <w:tcMar>
              <w:left w:w="45" w:type="dxa"/>
              <w:right w:w="45" w:type="dxa"/>
            </w:tcMar>
            <w:vAlign w:val="center"/>
          </w:tcPr>
          <w:p w14:paraId="589D7169">
            <w:pPr>
              <w:widowControl/>
              <w:rPr>
                <w:rFonts w:ascii="宋体" w:hAnsi="宋体" w:cs="宋体"/>
                <w:kern w:val="0"/>
                <w:szCs w:val="21"/>
              </w:rPr>
            </w:pPr>
            <w:r>
              <w:rPr>
                <w:rFonts w:hint="eastAsia" w:ascii="宋体" w:hAnsi="宋体" w:cs="宋体"/>
                <w:kern w:val="0"/>
                <w:szCs w:val="21"/>
              </w:rPr>
              <w:t>确保实验室粉尘浓度在爆炸限以下，并配备灭火装置</w:t>
            </w:r>
          </w:p>
        </w:tc>
        <w:tc>
          <w:tcPr>
            <w:tcW w:w="5567" w:type="dxa"/>
            <w:noWrap/>
            <w:tcMar>
              <w:left w:w="45" w:type="dxa"/>
              <w:right w:w="45" w:type="dxa"/>
            </w:tcMar>
            <w:vAlign w:val="center"/>
          </w:tcPr>
          <w:p w14:paraId="67A367FB">
            <w:pPr>
              <w:widowControl/>
              <w:rPr>
                <w:rFonts w:ascii="宋体" w:hAnsi="宋体" w:cs="宋体"/>
                <w:bCs/>
                <w:kern w:val="0"/>
                <w:szCs w:val="21"/>
                <w:highlight w:val="yellow"/>
              </w:rPr>
            </w:pPr>
            <w:r>
              <w:rPr>
                <w:rFonts w:hint="eastAsia" w:ascii="宋体" w:hAnsi="宋体" w:cs="宋体"/>
                <w:kern w:val="0"/>
                <w:szCs w:val="21"/>
              </w:rPr>
              <w:t>（266）粉尘浓度较高的场所，应配备必要的加湿装置、静电消除装置以及合适的灭火装置等</w:t>
            </w:r>
          </w:p>
        </w:tc>
        <w:tc>
          <w:tcPr>
            <w:tcW w:w="991" w:type="dxa"/>
            <w:noWrap/>
            <w:tcMar>
              <w:left w:w="45" w:type="dxa"/>
              <w:right w:w="45" w:type="dxa"/>
            </w:tcMar>
            <w:vAlign w:val="center"/>
          </w:tcPr>
          <w:p w14:paraId="1F17EFA6">
            <w:pPr>
              <w:rPr>
                <w:rFonts w:ascii="宋体" w:hAnsi="宋体" w:cs="宋体"/>
                <w:bCs/>
                <w:kern w:val="0"/>
                <w:szCs w:val="21"/>
              </w:rPr>
            </w:pPr>
          </w:p>
        </w:tc>
      </w:tr>
      <w:tr w14:paraId="27402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377A32EE">
            <w:pPr>
              <w:widowControl/>
              <w:rPr>
                <w:rFonts w:ascii="宋体" w:hAnsi="宋体" w:cs="宋体"/>
                <w:b/>
                <w:kern w:val="0"/>
                <w:szCs w:val="21"/>
              </w:rPr>
            </w:pPr>
            <w:r>
              <w:rPr>
                <w:rFonts w:hint="eastAsia" w:ascii="宋体" w:hAnsi="宋体" w:cs="宋体"/>
                <w:b/>
                <w:kern w:val="0"/>
                <w:szCs w:val="21"/>
              </w:rPr>
              <w:t>13</w:t>
            </w:r>
          </w:p>
        </w:tc>
        <w:tc>
          <w:tcPr>
            <w:tcW w:w="8279" w:type="dxa"/>
            <w:gridSpan w:val="3"/>
            <w:noWrap/>
            <w:tcMar>
              <w:left w:w="45" w:type="dxa"/>
              <w:right w:w="45" w:type="dxa"/>
            </w:tcMar>
            <w:vAlign w:val="center"/>
          </w:tcPr>
          <w:p w14:paraId="67EF5315">
            <w:pPr>
              <w:widowControl/>
              <w:rPr>
                <w:rFonts w:ascii="宋体" w:hAnsi="宋体" w:cs="宋体"/>
                <w:b/>
                <w:kern w:val="0"/>
                <w:szCs w:val="21"/>
              </w:rPr>
            </w:pPr>
            <w:r>
              <w:rPr>
                <w:rFonts w:hint="eastAsia" w:ascii="宋体" w:hAnsi="宋体" w:cs="宋体"/>
                <w:b/>
                <w:kern w:val="0"/>
                <w:szCs w:val="21"/>
              </w:rPr>
              <w:t>特种设备与常规冷热设备</w:t>
            </w:r>
          </w:p>
        </w:tc>
      </w:tr>
      <w:tr w14:paraId="12DA1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0BC02DFC">
            <w:pPr>
              <w:widowControl/>
              <w:rPr>
                <w:rFonts w:ascii="宋体" w:hAnsi="宋体" w:cs="宋体"/>
                <w:b/>
                <w:kern w:val="0"/>
                <w:szCs w:val="21"/>
              </w:rPr>
            </w:pPr>
            <w:r>
              <w:rPr>
                <w:rFonts w:hint="eastAsia" w:ascii="宋体" w:hAnsi="宋体" w:cs="宋体"/>
                <w:b/>
                <w:kern w:val="0"/>
                <w:szCs w:val="21"/>
              </w:rPr>
              <w:t>13.1</w:t>
            </w:r>
          </w:p>
        </w:tc>
        <w:tc>
          <w:tcPr>
            <w:tcW w:w="8279" w:type="dxa"/>
            <w:gridSpan w:val="3"/>
            <w:noWrap/>
            <w:tcMar>
              <w:left w:w="45" w:type="dxa"/>
              <w:right w:w="45" w:type="dxa"/>
            </w:tcMar>
            <w:vAlign w:val="center"/>
          </w:tcPr>
          <w:p w14:paraId="4D5D5087">
            <w:pPr>
              <w:widowControl/>
              <w:rPr>
                <w:rFonts w:ascii="宋体" w:hAnsi="宋体" w:cs="宋体"/>
                <w:b/>
                <w:kern w:val="0"/>
                <w:szCs w:val="21"/>
              </w:rPr>
            </w:pPr>
            <w:r>
              <w:rPr>
                <w:rFonts w:hint="eastAsia" w:ascii="宋体" w:hAnsi="宋体" w:cs="宋体"/>
                <w:b/>
                <w:kern w:val="0"/>
                <w:szCs w:val="21"/>
              </w:rPr>
              <w:t>起重类设备</w:t>
            </w:r>
          </w:p>
        </w:tc>
      </w:tr>
      <w:tr w14:paraId="024FD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39CE6F40">
            <w:pPr>
              <w:widowControl/>
              <w:rPr>
                <w:rFonts w:ascii="宋体" w:hAnsi="宋体" w:cs="宋体"/>
                <w:kern w:val="0"/>
                <w:szCs w:val="21"/>
              </w:rPr>
            </w:pPr>
            <w:r>
              <w:rPr>
                <w:rFonts w:hint="eastAsia" w:ascii="宋体" w:hAnsi="宋体" w:cs="宋体"/>
                <w:kern w:val="0"/>
                <w:szCs w:val="21"/>
              </w:rPr>
              <w:t>13.1.1</w:t>
            </w:r>
          </w:p>
        </w:tc>
        <w:tc>
          <w:tcPr>
            <w:tcW w:w="1721" w:type="dxa"/>
            <w:noWrap/>
            <w:tcMar>
              <w:left w:w="45" w:type="dxa"/>
              <w:right w:w="45" w:type="dxa"/>
            </w:tcMar>
            <w:vAlign w:val="center"/>
          </w:tcPr>
          <w:p w14:paraId="0965FDDB">
            <w:pPr>
              <w:widowControl/>
              <w:rPr>
                <w:rFonts w:ascii="宋体" w:hAnsi="宋体" w:cs="宋体"/>
                <w:kern w:val="0"/>
                <w:szCs w:val="21"/>
              </w:rPr>
            </w:pPr>
            <w:r>
              <w:rPr>
                <w:rFonts w:hint="eastAsia" w:ascii="宋体" w:hAnsi="宋体" w:cs="宋体"/>
                <w:kern w:val="0"/>
                <w:szCs w:val="21"/>
              </w:rPr>
              <w:t>达到《特种设备目录》中起重机械指标的起重设备须取得特种设备使用登记证</w:t>
            </w:r>
          </w:p>
        </w:tc>
        <w:tc>
          <w:tcPr>
            <w:tcW w:w="5567" w:type="dxa"/>
            <w:noWrap/>
            <w:tcMar>
              <w:left w:w="45" w:type="dxa"/>
              <w:right w:w="45" w:type="dxa"/>
            </w:tcMar>
            <w:vAlign w:val="center"/>
          </w:tcPr>
          <w:p w14:paraId="1ED9344B">
            <w:pPr>
              <w:widowControl/>
              <w:rPr>
                <w:rFonts w:ascii="宋体" w:hAnsi="宋体" w:cs="宋体"/>
                <w:kern w:val="0"/>
                <w:szCs w:val="21"/>
              </w:rPr>
            </w:pPr>
            <w:r>
              <w:rPr>
                <w:rFonts w:hint="eastAsia" w:ascii="宋体" w:hAnsi="宋体" w:cs="宋体"/>
                <w:kern w:val="0"/>
                <w:szCs w:val="21"/>
              </w:rPr>
              <w:t>（267）额定起重量大于或者等于0.5t的升降机；额定起重量大于或者等于3t（或额定起重力矩大于或者等于40t·m的塔式起重机，或生产率大于或者等于300t/h的装卸桥），且提升高度大于或者等于2m的起重机；层数大于或者等于2层的机械式停车设备，须取得特种设备使用登记证</w:t>
            </w:r>
          </w:p>
        </w:tc>
        <w:tc>
          <w:tcPr>
            <w:tcW w:w="991" w:type="dxa"/>
            <w:noWrap/>
            <w:tcMar>
              <w:left w:w="45" w:type="dxa"/>
              <w:right w:w="45" w:type="dxa"/>
            </w:tcMar>
            <w:vAlign w:val="center"/>
          </w:tcPr>
          <w:p w14:paraId="4CB15909">
            <w:pPr>
              <w:widowControl/>
              <w:rPr>
                <w:rFonts w:ascii="宋体" w:hAnsi="宋体" w:cs="宋体"/>
                <w:b/>
                <w:bCs/>
                <w:kern w:val="0"/>
                <w:szCs w:val="21"/>
              </w:rPr>
            </w:pPr>
          </w:p>
        </w:tc>
      </w:tr>
      <w:tr w14:paraId="663E2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16B9FBF0">
            <w:pPr>
              <w:widowControl/>
              <w:rPr>
                <w:rFonts w:ascii="宋体" w:hAnsi="宋体" w:cs="宋体"/>
                <w:kern w:val="0"/>
                <w:szCs w:val="21"/>
              </w:rPr>
            </w:pPr>
            <w:r>
              <w:rPr>
                <w:rFonts w:hint="eastAsia" w:ascii="宋体" w:hAnsi="宋体" w:cs="宋体"/>
                <w:kern w:val="0"/>
                <w:szCs w:val="21"/>
              </w:rPr>
              <w:t>13.1.2</w:t>
            </w:r>
          </w:p>
        </w:tc>
        <w:tc>
          <w:tcPr>
            <w:tcW w:w="1721" w:type="dxa"/>
            <w:noWrap/>
            <w:tcMar>
              <w:left w:w="45" w:type="dxa"/>
              <w:right w:w="45" w:type="dxa"/>
            </w:tcMar>
            <w:vAlign w:val="center"/>
          </w:tcPr>
          <w:p w14:paraId="16F935F5">
            <w:pPr>
              <w:widowControl/>
              <w:rPr>
                <w:rFonts w:ascii="宋体" w:hAnsi="宋体" w:cs="宋体"/>
                <w:kern w:val="0"/>
                <w:szCs w:val="21"/>
              </w:rPr>
            </w:pPr>
            <w:r>
              <w:rPr>
                <w:rFonts w:hint="eastAsia" w:ascii="宋体" w:hAnsi="宋体" w:cs="宋体"/>
                <w:kern w:val="0"/>
                <w:szCs w:val="21"/>
              </w:rPr>
              <w:t>起重机械作业人员、检验单位须有相关资质</w:t>
            </w:r>
          </w:p>
        </w:tc>
        <w:tc>
          <w:tcPr>
            <w:tcW w:w="5567" w:type="dxa"/>
            <w:noWrap/>
            <w:tcMar>
              <w:left w:w="45" w:type="dxa"/>
              <w:right w:w="45" w:type="dxa"/>
            </w:tcMar>
            <w:vAlign w:val="center"/>
          </w:tcPr>
          <w:p w14:paraId="2234F76D">
            <w:pPr>
              <w:rPr>
                <w:rFonts w:ascii="宋体" w:hAnsi="宋体" w:cs="宋体"/>
                <w:kern w:val="0"/>
                <w:szCs w:val="21"/>
              </w:rPr>
            </w:pPr>
            <w:r>
              <w:rPr>
                <w:rFonts w:hint="eastAsia" w:ascii="宋体" w:hAnsi="宋体" w:cs="宋体"/>
                <w:kern w:val="0"/>
                <w:szCs w:val="21"/>
              </w:rPr>
              <w:t>（268）起重机指挥、起重机司机须取得相应的特种设备安全管理和作业人员证，持证上岗，并每4年复审一次。</w:t>
            </w:r>
          </w:p>
          <w:p w14:paraId="1EA89D27">
            <w:pPr>
              <w:rPr>
                <w:rFonts w:ascii="宋体" w:hAnsi="宋体" w:cs="宋体"/>
                <w:kern w:val="0"/>
                <w:szCs w:val="21"/>
              </w:rPr>
            </w:pPr>
            <w:r>
              <w:rPr>
                <w:rFonts w:hint="eastAsia" w:ascii="宋体" w:hAnsi="宋体" w:cs="宋体"/>
                <w:kern w:val="0"/>
                <w:szCs w:val="21"/>
              </w:rPr>
              <w:t>（269）委托有资质的单位进行定期检验，并将《特种设备使用标志》置于特种设备的显著位置</w:t>
            </w:r>
          </w:p>
        </w:tc>
        <w:tc>
          <w:tcPr>
            <w:tcW w:w="991" w:type="dxa"/>
            <w:noWrap/>
            <w:tcMar>
              <w:left w:w="45" w:type="dxa"/>
              <w:right w:w="45" w:type="dxa"/>
            </w:tcMar>
            <w:vAlign w:val="center"/>
          </w:tcPr>
          <w:p w14:paraId="5F347FA5">
            <w:pPr>
              <w:widowControl/>
              <w:rPr>
                <w:rFonts w:ascii="宋体" w:hAnsi="宋体" w:cs="宋体"/>
                <w:kern w:val="0"/>
                <w:szCs w:val="21"/>
              </w:rPr>
            </w:pPr>
          </w:p>
        </w:tc>
      </w:tr>
      <w:tr w14:paraId="43F6A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44BB6089">
            <w:pPr>
              <w:widowControl/>
              <w:rPr>
                <w:rFonts w:ascii="宋体" w:hAnsi="宋体" w:cs="宋体"/>
                <w:kern w:val="0"/>
                <w:szCs w:val="21"/>
              </w:rPr>
            </w:pPr>
            <w:r>
              <w:rPr>
                <w:rFonts w:hint="eastAsia" w:ascii="宋体" w:hAnsi="宋体" w:cs="宋体"/>
                <w:kern w:val="0"/>
                <w:szCs w:val="21"/>
              </w:rPr>
              <w:t>13.1.3</w:t>
            </w:r>
          </w:p>
        </w:tc>
        <w:tc>
          <w:tcPr>
            <w:tcW w:w="1721" w:type="dxa"/>
            <w:noWrap/>
            <w:tcMar>
              <w:left w:w="45" w:type="dxa"/>
              <w:right w:w="45" w:type="dxa"/>
            </w:tcMar>
            <w:vAlign w:val="center"/>
          </w:tcPr>
          <w:p w14:paraId="6C0C282B">
            <w:pPr>
              <w:widowControl/>
              <w:rPr>
                <w:rFonts w:ascii="宋体" w:hAnsi="宋体" w:cs="宋体"/>
                <w:kern w:val="0"/>
                <w:szCs w:val="21"/>
              </w:rPr>
            </w:pPr>
            <w:r>
              <w:rPr>
                <w:rFonts w:hint="eastAsia" w:ascii="宋体" w:hAnsi="宋体" w:cs="宋体"/>
                <w:kern w:val="0"/>
                <w:szCs w:val="21"/>
              </w:rPr>
              <w:t>起重机械须定期保养，设置警示标识，安装防护设施</w:t>
            </w:r>
          </w:p>
        </w:tc>
        <w:tc>
          <w:tcPr>
            <w:tcW w:w="5567" w:type="dxa"/>
            <w:noWrap/>
            <w:tcMar>
              <w:left w:w="45" w:type="dxa"/>
              <w:right w:w="45" w:type="dxa"/>
            </w:tcMar>
            <w:vAlign w:val="center"/>
          </w:tcPr>
          <w:p w14:paraId="40754A7F">
            <w:pPr>
              <w:widowControl/>
              <w:rPr>
                <w:rFonts w:ascii="宋体" w:hAnsi="宋体" w:cs="宋体"/>
                <w:kern w:val="0"/>
                <w:szCs w:val="21"/>
              </w:rPr>
            </w:pPr>
            <w:r>
              <w:rPr>
                <w:rFonts w:hint="eastAsia" w:ascii="宋体" w:hAnsi="宋体" w:cs="宋体"/>
                <w:kern w:val="0"/>
                <w:szCs w:val="21"/>
              </w:rPr>
              <w:t>（270）在用起重机械至少每月进行1次日常维护保养和自行检查，并做记录。</w:t>
            </w:r>
          </w:p>
          <w:p w14:paraId="348F3F1A">
            <w:pPr>
              <w:widowControl/>
              <w:rPr>
                <w:rFonts w:ascii="宋体" w:hAnsi="宋体" w:cs="宋体"/>
                <w:kern w:val="0"/>
                <w:szCs w:val="21"/>
              </w:rPr>
            </w:pPr>
            <w:r>
              <w:rPr>
                <w:rFonts w:hint="eastAsia" w:ascii="宋体" w:hAnsi="宋体" w:cs="宋体"/>
                <w:kern w:val="0"/>
                <w:szCs w:val="21"/>
              </w:rPr>
              <w:t>（271）制定安全操作规程，并在周边醒目位置张贴警示标识，有必要的安全距离和防护措施。</w:t>
            </w:r>
          </w:p>
          <w:p w14:paraId="5800FBA6">
            <w:pPr>
              <w:widowControl/>
              <w:rPr>
                <w:rFonts w:ascii="宋体" w:hAnsi="宋体" w:cs="宋体"/>
                <w:kern w:val="0"/>
                <w:szCs w:val="21"/>
              </w:rPr>
            </w:pPr>
            <w:r>
              <w:rPr>
                <w:rFonts w:hint="eastAsia" w:ascii="宋体" w:hAnsi="宋体" w:cs="宋体"/>
                <w:kern w:val="0"/>
                <w:szCs w:val="21"/>
              </w:rPr>
              <w:t>（272）起重设备声光报警正常，室内起重设备应标有运行通道。</w:t>
            </w:r>
          </w:p>
          <w:p w14:paraId="073EC00D">
            <w:pPr>
              <w:widowControl/>
              <w:rPr>
                <w:rFonts w:ascii="宋体" w:hAnsi="宋体" w:cs="宋体"/>
                <w:b/>
                <w:bCs/>
                <w:kern w:val="0"/>
                <w:szCs w:val="21"/>
              </w:rPr>
            </w:pPr>
            <w:r>
              <w:rPr>
                <w:rFonts w:hint="eastAsia" w:ascii="宋体" w:hAnsi="宋体" w:cs="宋体"/>
                <w:kern w:val="0"/>
                <w:szCs w:val="21"/>
              </w:rPr>
              <w:t>（273）废弃不用的起重机械应及时拆除</w:t>
            </w:r>
          </w:p>
        </w:tc>
        <w:tc>
          <w:tcPr>
            <w:tcW w:w="991" w:type="dxa"/>
            <w:noWrap/>
            <w:tcMar>
              <w:left w:w="45" w:type="dxa"/>
              <w:right w:w="45" w:type="dxa"/>
            </w:tcMar>
            <w:vAlign w:val="center"/>
          </w:tcPr>
          <w:p w14:paraId="7F015CE7">
            <w:pPr>
              <w:widowControl/>
              <w:rPr>
                <w:rFonts w:ascii="宋体" w:hAnsi="宋体" w:cs="宋体"/>
                <w:bCs/>
                <w:kern w:val="0"/>
                <w:szCs w:val="21"/>
              </w:rPr>
            </w:pPr>
          </w:p>
        </w:tc>
      </w:tr>
      <w:tr w14:paraId="2B9FA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056F0C1B">
            <w:pPr>
              <w:widowControl/>
              <w:rPr>
                <w:rFonts w:ascii="宋体" w:hAnsi="宋体" w:cs="宋体"/>
                <w:b/>
                <w:kern w:val="0"/>
                <w:szCs w:val="21"/>
              </w:rPr>
            </w:pPr>
            <w:r>
              <w:rPr>
                <w:rFonts w:hint="eastAsia" w:ascii="宋体" w:hAnsi="宋体" w:cs="宋体"/>
                <w:b/>
                <w:kern w:val="0"/>
                <w:szCs w:val="21"/>
              </w:rPr>
              <w:t>13.2</w:t>
            </w:r>
          </w:p>
        </w:tc>
        <w:tc>
          <w:tcPr>
            <w:tcW w:w="8279" w:type="dxa"/>
            <w:gridSpan w:val="3"/>
            <w:noWrap/>
            <w:tcMar>
              <w:left w:w="45" w:type="dxa"/>
              <w:right w:w="45" w:type="dxa"/>
            </w:tcMar>
            <w:vAlign w:val="center"/>
          </w:tcPr>
          <w:p w14:paraId="537E134B">
            <w:pPr>
              <w:widowControl/>
              <w:rPr>
                <w:rFonts w:ascii="宋体" w:hAnsi="宋体" w:cs="宋体"/>
                <w:bCs/>
                <w:kern w:val="0"/>
                <w:szCs w:val="21"/>
              </w:rPr>
            </w:pPr>
            <w:r>
              <w:rPr>
                <w:rFonts w:hint="eastAsia" w:ascii="宋体" w:hAnsi="宋体" w:cs="宋体"/>
                <w:b/>
                <w:kern w:val="0"/>
                <w:szCs w:val="21"/>
              </w:rPr>
              <w:t>压力容器</w:t>
            </w:r>
          </w:p>
        </w:tc>
      </w:tr>
      <w:tr w14:paraId="404FF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1788ADD2">
            <w:pPr>
              <w:widowControl/>
              <w:rPr>
                <w:rFonts w:ascii="宋体" w:hAnsi="宋体" w:cs="宋体"/>
                <w:kern w:val="0"/>
                <w:szCs w:val="21"/>
              </w:rPr>
            </w:pPr>
            <w:r>
              <w:rPr>
                <w:rFonts w:hint="eastAsia" w:ascii="宋体" w:hAnsi="宋体" w:cs="宋体"/>
                <w:kern w:val="0"/>
                <w:szCs w:val="21"/>
              </w:rPr>
              <w:t>13.2.1</w:t>
            </w:r>
          </w:p>
        </w:tc>
        <w:tc>
          <w:tcPr>
            <w:tcW w:w="1721" w:type="dxa"/>
            <w:noWrap/>
            <w:tcMar>
              <w:left w:w="45" w:type="dxa"/>
              <w:right w:w="45" w:type="dxa"/>
            </w:tcMar>
            <w:vAlign w:val="center"/>
          </w:tcPr>
          <w:p w14:paraId="6C6FE7A0">
            <w:pPr>
              <w:rPr>
                <w:rFonts w:ascii="宋体" w:hAnsi="宋体" w:cs="宋体"/>
                <w:kern w:val="0"/>
                <w:szCs w:val="21"/>
              </w:rPr>
            </w:pPr>
            <w:r>
              <w:rPr>
                <w:rFonts w:hint="eastAsia" w:ascii="宋体" w:hAnsi="宋体" w:cs="宋体"/>
                <w:kern w:val="0"/>
                <w:szCs w:val="21"/>
              </w:rPr>
              <w:t>压力容器使用登记、相关人员资格</w:t>
            </w:r>
          </w:p>
        </w:tc>
        <w:tc>
          <w:tcPr>
            <w:tcW w:w="5567" w:type="dxa"/>
            <w:noWrap/>
            <w:tcMar>
              <w:left w:w="45" w:type="dxa"/>
              <w:right w:w="45" w:type="dxa"/>
            </w:tcMar>
            <w:vAlign w:val="center"/>
          </w:tcPr>
          <w:p w14:paraId="36BA2F6E">
            <w:pPr>
              <w:rPr>
                <w:rFonts w:ascii="宋体" w:hAnsi="宋体" w:cs="宋体"/>
                <w:kern w:val="0"/>
                <w:szCs w:val="21"/>
              </w:rPr>
            </w:pPr>
            <w:r>
              <w:rPr>
                <w:rFonts w:hint="eastAsia" w:ascii="宋体" w:hAnsi="宋体" w:cs="宋体"/>
                <w:kern w:val="0"/>
                <w:szCs w:val="21"/>
              </w:rPr>
              <w:t>（274）盛装气体或者液体，承载一定压力的密闭设备，其范围规定为最高工作压力大于或者等于0.1MPa（表压）的气体、液化气体和最高工作温度高于或者等于标准沸点的液体、容积大于或者等于30L且内直径（非圆形截面指截面内边界最大几何尺寸）大于或者等于150mm的固定式容器和移动式容器，以及氧舱，</w:t>
            </w:r>
            <w:r>
              <w:rPr>
                <w:rFonts w:hint="eastAsia" w:ascii="宋体" w:hAnsi="宋体" w:cs="宋体"/>
                <w:bCs/>
                <w:kern w:val="0"/>
                <w:szCs w:val="21"/>
              </w:rPr>
              <w:t>须</w:t>
            </w:r>
            <w:r>
              <w:rPr>
                <w:rFonts w:hint="eastAsia" w:ascii="宋体" w:hAnsi="宋体" w:cs="宋体"/>
                <w:kern w:val="0"/>
                <w:szCs w:val="21"/>
              </w:rPr>
              <w:t>取得特种设备使用登记证。设备铭牌上标明为简单压力容器的无须办理。（气瓶的安全检查要点见9.6“实验室气体管理”）。</w:t>
            </w:r>
          </w:p>
          <w:p w14:paraId="5895D8BC">
            <w:pPr>
              <w:widowControl/>
              <w:rPr>
                <w:rFonts w:ascii="宋体" w:hAnsi="宋体" w:cs="宋体"/>
                <w:kern w:val="0"/>
                <w:szCs w:val="21"/>
              </w:rPr>
            </w:pPr>
            <w:r>
              <w:rPr>
                <w:rFonts w:hint="eastAsia" w:ascii="宋体" w:hAnsi="宋体" w:cs="宋体"/>
                <w:kern w:val="0"/>
                <w:szCs w:val="21"/>
              </w:rPr>
              <w:t>（275）快开门式压力容器操作人员、移动式压力容器充装人员、氧舱维护保养人员、特种设备安全管理员应取得相应的特种设备安全管理和作业人员证，持证上岗，并每4年复审1次</w:t>
            </w:r>
          </w:p>
        </w:tc>
        <w:tc>
          <w:tcPr>
            <w:tcW w:w="991" w:type="dxa"/>
            <w:noWrap/>
            <w:tcMar>
              <w:left w:w="45" w:type="dxa"/>
              <w:right w:w="45" w:type="dxa"/>
            </w:tcMar>
            <w:vAlign w:val="center"/>
          </w:tcPr>
          <w:p w14:paraId="4B635945">
            <w:pPr>
              <w:rPr>
                <w:rFonts w:ascii="宋体" w:hAnsi="宋体" w:cs="宋体"/>
                <w:bCs/>
                <w:kern w:val="0"/>
                <w:szCs w:val="21"/>
              </w:rPr>
            </w:pPr>
          </w:p>
        </w:tc>
      </w:tr>
      <w:tr w14:paraId="700D6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24109A34">
            <w:pPr>
              <w:widowControl/>
              <w:rPr>
                <w:rFonts w:ascii="宋体" w:hAnsi="宋体" w:cs="宋体"/>
                <w:kern w:val="0"/>
                <w:szCs w:val="21"/>
              </w:rPr>
            </w:pPr>
            <w:r>
              <w:rPr>
                <w:rFonts w:hint="eastAsia" w:ascii="宋体" w:hAnsi="宋体" w:cs="宋体"/>
                <w:kern w:val="0"/>
                <w:szCs w:val="21"/>
              </w:rPr>
              <w:t>13.2.2</w:t>
            </w:r>
          </w:p>
        </w:tc>
        <w:tc>
          <w:tcPr>
            <w:tcW w:w="1721" w:type="dxa"/>
            <w:noWrap/>
            <w:tcMar>
              <w:left w:w="45" w:type="dxa"/>
              <w:right w:w="45" w:type="dxa"/>
            </w:tcMar>
            <w:vAlign w:val="center"/>
          </w:tcPr>
          <w:p w14:paraId="4581DC84">
            <w:pPr>
              <w:rPr>
                <w:rFonts w:ascii="宋体" w:hAnsi="宋体" w:cs="宋体"/>
                <w:kern w:val="0"/>
                <w:szCs w:val="21"/>
              </w:rPr>
            </w:pPr>
            <w:r>
              <w:rPr>
                <w:rFonts w:hint="eastAsia" w:ascii="宋体" w:hAnsi="宋体" w:cs="宋体"/>
                <w:kern w:val="0"/>
                <w:szCs w:val="21"/>
              </w:rPr>
              <w:t>压力容器定期检验</w:t>
            </w:r>
          </w:p>
        </w:tc>
        <w:tc>
          <w:tcPr>
            <w:tcW w:w="5567" w:type="dxa"/>
            <w:noWrap/>
            <w:tcMar>
              <w:left w:w="45" w:type="dxa"/>
              <w:right w:w="45" w:type="dxa"/>
            </w:tcMar>
            <w:vAlign w:val="center"/>
          </w:tcPr>
          <w:p w14:paraId="1960589A">
            <w:pPr>
              <w:widowControl/>
              <w:rPr>
                <w:rFonts w:ascii="宋体" w:hAnsi="宋体" w:cs="宋体"/>
                <w:kern w:val="0"/>
                <w:szCs w:val="21"/>
              </w:rPr>
            </w:pPr>
            <w:r>
              <w:rPr>
                <w:rFonts w:hint="eastAsia" w:ascii="宋体" w:hAnsi="宋体" w:cs="宋体"/>
                <w:kern w:val="0"/>
                <w:szCs w:val="21"/>
              </w:rPr>
              <w:t>（276）委托有资质的单位进行定期检验，并将定期检验合格证置于特种设备的显著位置</w:t>
            </w:r>
          </w:p>
          <w:p w14:paraId="370C6B24">
            <w:pPr>
              <w:rPr>
                <w:rFonts w:ascii="宋体" w:hAnsi="宋体" w:cs="宋体"/>
                <w:kern w:val="0"/>
                <w:szCs w:val="21"/>
              </w:rPr>
            </w:pPr>
            <w:r>
              <w:rPr>
                <w:rFonts w:hint="eastAsia" w:ascii="宋体" w:hAnsi="宋体" w:cs="宋体"/>
                <w:kern w:val="0"/>
                <w:szCs w:val="21"/>
              </w:rPr>
              <w:t>（277）安全阀或压力表等附件须委托有资质的单位定期校验或检定</w:t>
            </w:r>
          </w:p>
        </w:tc>
        <w:tc>
          <w:tcPr>
            <w:tcW w:w="991" w:type="dxa"/>
            <w:noWrap/>
            <w:tcMar>
              <w:left w:w="45" w:type="dxa"/>
              <w:right w:w="45" w:type="dxa"/>
            </w:tcMar>
            <w:vAlign w:val="center"/>
          </w:tcPr>
          <w:p w14:paraId="185487DA">
            <w:pPr>
              <w:rPr>
                <w:rFonts w:ascii="宋体" w:hAnsi="宋体" w:cs="宋体"/>
                <w:bCs/>
                <w:kern w:val="0"/>
                <w:szCs w:val="21"/>
              </w:rPr>
            </w:pPr>
          </w:p>
        </w:tc>
      </w:tr>
      <w:tr w14:paraId="0476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14E4CD6C">
            <w:pPr>
              <w:widowControl/>
              <w:rPr>
                <w:rFonts w:ascii="宋体" w:hAnsi="宋体" w:cs="宋体"/>
                <w:kern w:val="0"/>
                <w:szCs w:val="21"/>
              </w:rPr>
            </w:pPr>
            <w:r>
              <w:rPr>
                <w:rFonts w:hint="eastAsia" w:ascii="宋体" w:hAnsi="宋体" w:cs="宋体"/>
                <w:kern w:val="0"/>
                <w:szCs w:val="21"/>
              </w:rPr>
              <w:t>13.2.3</w:t>
            </w:r>
          </w:p>
        </w:tc>
        <w:tc>
          <w:tcPr>
            <w:tcW w:w="1721" w:type="dxa"/>
            <w:noWrap/>
            <w:tcMar>
              <w:left w:w="45" w:type="dxa"/>
              <w:right w:w="45" w:type="dxa"/>
            </w:tcMar>
            <w:vAlign w:val="center"/>
          </w:tcPr>
          <w:p w14:paraId="7F3D8749">
            <w:pPr>
              <w:rPr>
                <w:rFonts w:ascii="宋体" w:hAnsi="宋体" w:cs="宋体"/>
                <w:kern w:val="0"/>
                <w:szCs w:val="21"/>
              </w:rPr>
            </w:pPr>
            <w:r>
              <w:rPr>
                <w:rFonts w:hint="eastAsia" w:ascii="宋体" w:hAnsi="宋体" w:cs="宋体"/>
                <w:kern w:val="0"/>
                <w:szCs w:val="21"/>
              </w:rPr>
              <w:t>压力容器使用管理</w:t>
            </w:r>
          </w:p>
        </w:tc>
        <w:tc>
          <w:tcPr>
            <w:tcW w:w="5567" w:type="dxa"/>
            <w:noWrap/>
            <w:tcMar>
              <w:left w:w="45" w:type="dxa"/>
              <w:right w:w="45" w:type="dxa"/>
            </w:tcMar>
            <w:vAlign w:val="center"/>
          </w:tcPr>
          <w:p w14:paraId="490E0F55">
            <w:pPr>
              <w:rPr>
                <w:rFonts w:ascii="宋体" w:hAnsi="宋体" w:cs="宋体"/>
                <w:kern w:val="0"/>
                <w:szCs w:val="21"/>
              </w:rPr>
            </w:pPr>
            <w:r>
              <w:rPr>
                <w:rFonts w:hint="eastAsia" w:ascii="宋体" w:hAnsi="宋体" w:cs="宋体"/>
                <w:kern w:val="0"/>
                <w:szCs w:val="21"/>
              </w:rPr>
              <w:t>（278）设置安全管理机构，配备安全管理负责人、安全管理人员和作业人员，建立各项安全管理制度，制定操作规程。</w:t>
            </w:r>
          </w:p>
          <w:p w14:paraId="50C5E3F6">
            <w:pPr>
              <w:rPr>
                <w:rFonts w:ascii="宋体" w:hAnsi="宋体" w:cs="宋体"/>
                <w:kern w:val="0"/>
                <w:szCs w:val="21"/>
              </w:rPr>
            </w:pPr>
            <w:r>
              <w:rPr>
                <w:rFonts w:hint="eastAsia" w:ascii="宋体" w:hAnsi="宋体" w:cs="宋体"/>
                <w:kern w:val="0"/>
                <w:szCs w:val="21"/>
              </w:rPr>
              <w:t>（279）实验室应经常巡回检查，发现异常及时处理，并做记录。</w:t>
            </w:r>
          </w:p>
          <w:p w14:paraId="300B6151">
            <w:pPr>
              <w:rPr>
                <w:rFonts w:ascii="宋体" w:hAnsi="宋体" w:cs="宋体"/>
                <w:kern w:val="0"/>
                <w:szCs w:val="21"/>
              </w:rPr>
            </w:pPr>
            <w:r>
              <w:rPr>
                <w:rFonts w:hint="eastAsia" w:ascii="宋体" w:hAnsi="宋体" w:cs="宋体"/>
                <w:kern w:val="0"/>
                <w:szCs w:val="21"/>
              </w:rPr>
              <w:t>（280）建立压力容器自行检查制度，对压力容器本体及其安全附件、装卸附件安全保护装置、测量调控装置、附属仪器仪表进行经常性维护保养，每月至少进行1次月度检查，每年至少进行1次年度检查，并做记录。</w:t>
            </w:r>
          </w:p>
          <w:p w14:paraId="6C38AEFD">
            <w:pPr>
              <w:rPr>
                <w:rFonts w:ascii="宋体" w:hAnsi="宋体" w:cs="宋体"/>
                <w:kern w:val="0"/>
                <w:szCs w:val="21"/>
              </w:rPr>
            </w:pPr>
            <w:r>
              <w:rPr>
                <w:rFonts w:hint="eastAsia" w:ascii="宋体" w:hAnsi="宋体" w:cs="宋体"/>
                <w:kern w:val="0"/>
                <w:szCs w:val="21"/>
              </w:rPr>
              <w:t>（281）简单压力容器也应建立设备安全管理档案。</w:t>
            </w:r>
          </w:p>
          <w:p w14:paraId="3B88C012">
            <w:pPr>
              <w:rPr>
                <w:rFonts w:ascii="宋体" w:hAnsi="宋体" w:cs="宋体"/>
                <w:kern w:val="0"/>
                <w:szCs w:val="21"/>
              </w:rPr>
            </w:pPr>
            <w:r>
              <w:rPr>
                <w:rFonts w:hint="eastAsia" w:ascii="宋体" w:hAnsi="宋体" w:cs="宋体"/>
                <w:kern w:val="0"/>
                <w:szCs w:val="21"/>
              </w:rPr>
              <w:t>（282）盛装可燃、爆炸性气体的压力容器，其电气设施应防爆，电器开关和熔断器都应设置在明显位置。室外放置的大型气罐应注意防雷</w:t>
            </w:r>
          </w:p>
        </w:tc>
        <w:tc>
          <w:tcPr>
            <w:tcW w:w="991" w:type="dxa"/>
            <w:noWrap/>
            <w:tcMar>
              <w:left w:w="45" w:type="dxa"/>
              <w:right w:w="45" w:type="dxa"/>
            </w:tcMar>
            <w:vAlign w:val="center"/>
          </w:tcPr>
          <w:p w14:paraId="35889FF4">
            <w:pPr>
              <w:rPr>
                <w:rFonts w:ascii="宋体" w:hAnsi="宋体" w:cs="宋体"/>
                <w:bCs/>
                <w:kern w:val="0"/>
                <w:szCs w:val="21"/>
              </w:rPr>
            </w:pPr>
          </w:p>
        </w:tc>
      </w:tr>
      <w:tr w14:paraId="46641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4B5BC2E5">
            <w:pPr>
              <w:widowControl/>
              <w:rPr>
                <w:rFonts w:ascii="宋体" w:hAnsi="宋体" w:cs="宋体"/>
                <w:kern w:val="0"/>
                <w:szCs w:val="21"/>
              </w:rPr>
            </w:pPr>
            <w:r>
              <w:rPr>
                <w:rFonts w:hint="eastAsia" w:ascii="宋体" w:hAnsi="宋体" w:cs="宋体"/>
                <w:kern w:val="0"/>
                <w:szCs w:val="21"/>
              </w:rPr>
              <w:t>13.2.4</w:t>
            </w:r>
          </w:p>
        </w:tc>
        <w:tc>
          <w:tcPr>
            <w:tcW w:w="1721" w:type="dxa"/>
            <w:noWrap/>
            <w:tcMar>
              <w:left w:w="45" w:type="dxa"/>
              <w:right w:w="45" w:type="dxa"/>
            </w:tcMar>
            <w:vAlign w:val="center"/>
          </w:tcPr>
          <w:p w14:paraId="0321EE2E">
            <w:pPr>
              <w:rPr>
                <w:rFonts w:ascii="宋体" w:hAnsi="宋体" w:cs="宋体"/>
                <w:kern w:val="0"/>
                <w:szCs w:val="21"/>
              </w:rPr>
            </w:pPr>
            <w:r>
              <w:rPr>
                <w:rFonts w:hint="eastAsia" w:ascii="宋体" w:hAnsi="宋体" w:cs="宋体"/>
                <w:kern w:val="0"/>
                <w:szCs w:val="21"/>
              </w:rPr>
              <w:t>压力容器的使用年限及报废</w:t>
            </w:r>
          </w:p>
        </w:tc>
        <w:tc>
          <w:tcPr>
            <w:tcW w:w="5567" w:type="dxa"/>
            <w:noWrap/>
            <w:tcMar>
              <w:left w:w="45" w:type="dxa"/>
              <w:right w:w="45" w:type="dxa"/>
            </w:tcMar>
            <w:vAlign w:val="center"/>
          </w:tcPr>
          <w:p w14:paraId="7E21806D">
            <w:pPr>
              <w:rPr>
                <w:rFonts w:ascii="宋体" w:hAnsi="宋体" w:cs="宋体"/>
                <w:kern w:val="0"/>
                <w:szCs w:val="21"/>
              </w:rPr>
            </w:pPr>
            <w:r>
              <w:rPr>
                <w:rFonts w:hint="eastAsia" w:ascii="宋体" w:hAnsi="宋体" w:cs="宋体"/>
                <w:kern w:val="0"/>
                <w:szCs w:val="21"/>
              </w:rPr>
              <w:t>（283）达到设计使用年限的压力容器应及时报废（未规定设计使用年限，但是使用超过20年的压力容器视为达到使用年限），如若超期使用必须进行检验和安全评估</w:t>
            </w:r>
          </w:p>
        </w:tc>
        <w:tc>
          <w:tcPr>
            <w:tcW w:w="991" w:type="dxa"/>
            <w:noWrap/>
            <w:tcMar>
              <w:left w:w="45" w:type="dxa"/>
              <w:right w:w="45" w:type="dxa"/>
            </w:tcMar>
            <w:vAlign w:val="center"/>
          </w:tcPr>
          <w:p w14:paraId="46215DD8">
            <w:pPr>
              <w:rPr>
                <w:rFonts w:ascii="宋体" w:hAnsi="宋体" w:cs="宋体"/>
                <w:bCs/>
                <w:kern w:val="0"/>
                <w:szCs w:val="21"/>
              </w:rPr>
            </w:pPr>
          </w:p>
        </w:tc>
      </w:tr>
      <w:tr w14:paraId="4E106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412FA603">
            <w:pPr>
              <w:widowControl/>
              <w:rPr>
                <w:rFonts w:ascii="宋体" w:hAnsi="宋体" w:cs="宋体"/>
                <w:b/>
                <w:kern w:val="0"/>
                <w:szCs w:val="21"/>
              </w:rPr>
            </w:pPr>
            <w:r>
              <w:rPr>
                <w:rFonts w:hint="eastAsia" w:ascii="宋体" w:hAnsi="宋体" w:cs="宋体"/>
                <w:b/>
                <w:kern w:val="0"/>
                <w:szCs w:val="21"/>
              </w:rPr>
              <w:t>13.3</w:t>
            </w:r>
          </w:p>
        </w:tc>
        <w:tc>
          <w:tcPr>
            <w:tcW w:w="8279" w:type="dxa"/>
            <w:gridSpan w:val="3"/>
            <w:noWrap/>
            <w:tcMar>
              <w:left w:w="45" w:type="dxa"/>
              <w:right w:w="45" w:type="dxa"/>
            </w:tcMar>
            <w:vAlign w:val="center"/>
          </w:tcPr>
          <w:p w14:paraId="010C1417">
            <w:pPr>
              <w:widowControl/>
              <w:rPr>
                <w:rFonts w:ascii="宋体" w:hAnsi="宋体" w:cs="宋体"/>
                <w:b/>
                <w:kern w:val="0"/>
                <w:szCs w:val="21"/>
              </w:rPr>
            </w:pPr>
            <w:r>
              <w:rPr>
                <w:rFonts w:hint="eastAsia" w:ascii="宋体" w:hAnsi="宋体" w:cs="宋体"/>
                <w:b/>
                <w:kern w:val="0"/>
                <w:szCs w:val="21"/>
              </w:rPr>
              <w:t>场（厂）内专用机动车辆</w:t>
            </w:r>
          </w:p>
        </w:tc>
      </w:tr>
      <w:tr w14:paraId="5D21A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3098F21C">
            <w:pPr>
              <w:widowControl/>
              <w:rPr>
                <w:rFonts w:ascii="宋体" w:hAnsi="宋体" w:cs="宋体"/>
                <w:kern w:val="0"/>
                <w:szCs w:val="21"/>
              </w:rPr>
            </w:pPr>
            <w:r>
              <w:rPr>
                <w:rFonts w:hint="eastAsia" w:ascii="宋体" w:hAnsi="宋体" w:cs="宋体"/>
                <w:kern w:val="0"/>
                <w:szCs w:val="21"/>
              </w:rPr>
              <w:t>13.3.1</w:t>
            </w:r>
          </w:p>
        </w:tc>
        <w:tc>
          <w:tcPr>
            <w:tcW w:w="1721" w:type="dxa"/>
            <w:noWrap/>
            <w:tcMar>
              <w:left w:w="45" w:type="dxa"/>
              <w:right w:w="45" w:type="dxa"/>
            </w:tcMar>
            <w:vAlign w:val="center"/>
          </w:tcPr>
          <w:p w14:paraId="609D5528">
            <w:pPr>
              <w:widowControl/>
              <w:rPr>
                <w:rFonts w:ascii="宋体" w:hAnsi="宋体" w:cs="宋体"/>
                <w:kern w:val="0"/>
                <w:szCs w:val="21"/>
              </w:rPr>
            </w:pPr>
            <w:r>
              <w:rPr>
                <w:rFonts w:hint="eastAsia" w:ascii="宋体" w:hAnsi="宋体" w:cs="宋体"/>
                <w:kern w:val="0"/>
                <w:szCs w:val="21"/>
              </w:rPr>
              <w:t>场（厂）内专用机动车辆须取得特种设备使用登记证</w:t>
            </w:r>
          </w:p>
        </w:tc>
        <w:tc>
          <w:tcPr>
            <w:tcW w:w="5567" w:type="dxa"/>
            <w:noWrap/>
            <w:tcMar>
              <w:left w:w="45" w:type="dxa"/>
              <w:right w:w="45" w:type="dxa"/>
            </w:tcMar>
            <w:vAlign w:val="center"/>
          </w:tcPr>
          <w:p w14:paraId="3102B5FF">
            <w:pPr>
              <w:widowControl/>
              <w:rPr>
                <w:rFonts w:ascii="宋体" w:hAnsi="宋体" w:cs="宋体"/>
                <w:kern w:val="0"/>
                <w:szCs w:val="21"/>
              </w:rPr>
            </w:pPr>
            <w:r>
              <w:rPr>
                <w:rFonts w:hint="eastAsia" w:ascii="宋体" w:hAnsi="宋体" w:cs="宋体"/>
                <w:kern w:val="0"/>
                <w:szCs w:val="21"/>
              </w:rPr>
              <w:t>（284）校园内使用的专用机动车辆须取得特种设备使用登记证</w:t>
            </w:r>
          </w:p>
        </w:tc>
        <w:tc>
          <w:tcPr>
            <w:tcW w:w="991" w:type="dxa"/>
            <w:noWrap/>
            <w:tcMar>
              <w:left w:w="45" w:type="dxa"/>
              <w:right w:w="45" w:type="dxa"/>
            </w:tcMar>
            <w:vAlign w:val="center"/>
          </w:tcPr>
          <w:p w14:paraId="793C54CC">
            <w:pPr>
              <w:widowControl/>
              <w:rPr>
                <w:rFonts w:ascii="宋体" w:hAnsi="宋体" w:cs="宋体"/>
                <w:bCs/>
                <w:kern w:val="0"/>
                <w:szCs w:val="21"/>
              </w:rPr>
            </w:pPr>
          </w:p>
        </w:tc>
      </w:tr>
      <w:tr w14:paraId="0669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79C5568A">
            <w:pPr>
              <w:widowControl/>
              <w:rPr>
                <w:rFonts w:ascii="宋体" w:hAnsi="宋体" w:cs="宋体"/>
                <w:kern w:val="0"/>
                <w:szCs w:val="21"/>
              </w:rPr>
            </w:pPr>
            <w:r>
              <w:rPr>
                <w:rFonts w:hint="eastAsia" w:ascii="宋体" w:hAnsi="宋体" w:cs="宋体"/>
                <w:kern w:val="0"/>
                <w:szCs w:val="21"/>
              </w:rPr>
              <w:t>13.3.2</w:t>
            </w:r>
          </w:p>
        </w:tc>
        <w:tc>
          <w:tcPr>
            <w:tcW w:w="1721" w:type="dxa"/>
            <w:noWrap/>
            <w:tcMar>
              <w:left w:w="45" w:type="dxa"/>
              <w:right w:w="45" w:type="dxa"/>
            </w:tcMar>
            <w:vAlign w:val="center"/>
          </w:tcPr>
          <w:p w14:paraId="42139B8A">
            <w:pPr>
              <w:widowControl/>
              <w:rPr>
                <w:rFonts w:ascii="宋体" w:hAnsi="宋体" w:cs="宋体"/>
                <w:kern w:val="0"/>
                <w:szCs w:val="21"/>
              </w:rPr>
            </w:pPr>
            <w:r>
              <w:rPr>
                <w:rFonts w:hint="eastAsia" w:ascii="宋体" w:hAnsi="宋体" w:cs="宋体"/>
                <w:kern w:val="0"/>
                <w:szCs w:val="21"/>
              </w:rPr>
              <w:t>作业人员取得相应的特种设备安全管理和作业人员证，持证上岗</w:t>
            </w:r>
          </w:p>
        </w:tc>
        <w:tc>
          <w:tcPr>
            <w:tcW w:w="5567" w:type="dxa"/>
            <w:noWrap/>
            <w:tcMar>
              <w:left w:w="45" w:type="dxa"/>
              <w:right w:w="45" w:type="dxa"/>
            </w:tcMar>
            <w:vAlign w:val="center"/>
          </w:tcPr>
          <w:p w14:paraId="4C5463E8">
            <w:pPr>
              <w:rPr>
                <w:rFonts w:ascii="宋体" w:hAnsi="宋体" w:cs="宋体"/>
                <w:b/>
                <w:bCs/>
                <w:kern w:val="0"/>
                <w:szCs w:val="21"/>
              </w:rPr>
            </w:pPr>
            <w:r>
              <w:rPr>
                <w:rFonts w:hint="eastAsia" w:ascii="宋体" w:hAnsi="宋体" w:cs="宋体"/>
                <w:kern w:val="0"/>
                <w:szCs w:val="21"/>
              </w:rPr>
              <w:t>（285）作业人员取得相应的特种设备安全管理和作业人员证，证书在有效期内</w:t>
            </w:r>
          </w:p>
        </w:tc>
        <w:tc>
          <w:tcPr>
            <w:tcW w:w="991" w:type="dxa"/>
            <w:noWrap/>
            <w:tcMar>
              <w:left w:w="45" w:type="dxa"/>
              <w:right w:w="45" w:type="dxa"/>
            </w:tcMar>
            <w:vAlign w:val="center"/>
          </w:tcPr>
          <w:p w14:paraId="165E9061">
            <w:pPr>
              <w:widowControl/>
              <w:rPr>
                <w:rFonts w:ascii="宋体" w:hAnsi="宋体" w:cs="宋体"/>
                <w:bCs/>
                <w:kern w:val="0"/>
                <w:szCs w:val="21"/>
              </w:rPr>
            </w:pPr>
          </w:p>
        </w:tc>
      </w:tr>
      <w:tr w14:paraId="3B16F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6E9B6A31">
            <w:pPr>
              <w:widowControl/>
              <w:rPr>
                <w:rFonts w:ascii="宋体" w:hAnsi="宋体" w:cs="宋体"/>
                <w:kern w:val="0"/>
                <w:szCs w:val="21"/>
              </w:rPr>
            </w:pPr>
            <w:r>
              <w:rPr>
                <w:rFonts w:hint="eastAsia" w:ascii="宋体" w:hAnsi="宋体" w:cs="宋体"/>
                <w:kern w:val="0"/>
                <w:szCs w:val="21"/>
              </w:rPr>
              <w:t>13.3.3</w:t>
            </w:r>
          </w:p>
        </w:tc>
        <w:tc>
          <w:tcPr>
            <w:tcW w:w="1721" w:type="dxa"/>
            <w:noWrap/>
            <w:tcMar>
              <w:left w:w="45" w:type="dxa"/>
              <w:right w:w="45" w:type="dxa"/>
            </w:tcMar>
            <w:vAlign w:val="center"/>
          </w:tcPr>
          <w:p w14:paraId="7E0A388A">
            <w:pPr>
              <w:widowControl/>
              <w:rPr>
                <w:rFonts w:ascii="宋体" w:hAnsi="宋体" w:cs="宋体"/>
                <w:kern w:val="0"/>
                <w:szCs w:val="21"/>
              </w:rPr>
            </w:pPr>
            <w:r>
              <w:rPr>
                <w:rFonts w:hint="eastAsia" w:ascii="宋体" w:hAnsi="宋体" w:cs="宋体"/>
                <w:kern w:val="0"/>
                <w:szCs w:val="21"/>
              </w:rPr>
              <w:t>委托有资质的单位进行定期检验</w:t>
            </w:r>
          </w:p>
        </w:tc>
        <w:tc>
          <w:tcPr>
            <w:tcW w:w="5567" w:type="dxa"/>
            <w:noWrap/>
            <w:tcMar>
              <w:left w:w="45" w:type="dxa"/>
              <w:right w:w="45" w:type="dxa"/>
            </w:tcMar>
            <w:vAlign w:val="center"/>
          </w:tcPr>
          <w:p w14:paraId="647C630C">
            <w:pPr>
              <w:widowControl/>
              <w:rPr>
                <w:rFonts w:ascii="宋体" w:hAnsi="宋体" w:cs="宋体"/>
                <w:kern w:val="0"/>
                <w:szCs w:val="21"/>
              </w:rPr>
            </w:pPr>
            <w:r>
              <w:rPr>
                <w:rFonts w:hint="eastAsia" w:ascii="宋体" w:hAnsi="宋体" w:cs="宋体"/>
                <w:kern w:val="0"/>
                <w:szCs w:val="21"/>
              </w:rPr>
              <w:t>（286）合格证在有效期内</w:t>
            </w:r>
          </w:p>
        </w:tc>
        <w:tc>
          <w:tcPr>
            <w:tcW w:w="991" w:type="dxa"/>
            <w:noWrap/>
            <w:tcMar>
              <w:left w:w="45" w:type="dxa"/>
              <w:right w:w="45" w:type="dxa"/>
            </w:tcMar>
            <w:vAlign w:val="center"/>
          </w:tcPr>
          <w:p w14:paraId="53142199">
            <w:pPr>
              <w:widowControl/>
              <w:rPr>
                <w:rFonts w:ascii="宋体" w:hAnsi="宋体" w:cs="宋体"/>
                <w:bCs/>
                <w:kern w:val="0"/>
                <w:szCs w:val="21"/>
              </w:rPr>
            </w:pPr>
          </w:p>
        </w:tc>
      </w:tr>
      <w:tr w14:paraId="74848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21FDEB58">
            <w:pPr>
              <w:widowControl/>
              <w:rPr>
                <w:rFonts w:ascii="宋体" w:hAnsi="宋体" w:cs="宋体"/>
                <w:b/>
                <w:kern w:val="0"/>
                <w:szCs w:val="21"/>
              </w:rPr>
            </w:pPr>
            <w:r>
              <w:rPr>
                <w:rFonts w:hint="eastAsia" w:ascii="宋体" w:hAnsi="宋体" w:cs="宋体"/>
                <w:b/>
                <w:kern w:val="0"/>
                <w:szCs w:val="21"/>
              </w:rPr>
              <w:t>13.4</w:t>
            </w:r>
          </w:p>
        </w:tc>
        <w:tc>
          <w:tcPr>
            <w:tcW w:w="8279" w:type="dxa"/>
            <w:gridSpan w:val="3"/>
            <w:noWrap/>
            <w:tcMar>
              <w:left w:w="45" w:type="dxa"/>
              <w:right w:w="45" w:type="dxa"/>
            </w:tcMar>
            <w:vAlign w:val="center"/>
          </w:tcPr>
          <w:p w14:paraId="7FA594AF">
            <w:pPr>
              <w:widowControl/>
              <w:rPr>
                <w:rFonts w:ascii="宋体" w:hAnsi="宋体" w:cs="宋体"/>
                <w:b/>
                <w:kern w:val="0"/>
                <w:szCs w:val="21"/>
              </w:rPr>
            </w:pPr>
            <w:r>
              <w:rPr>
                <w:rFonts w:hint="eastAsia" w:ascii="宋体" w:hAnsi="宋体" w:cs="宋体"/>
                <w:b/>
                <w:kern w:val="0"/>
                <w:szCs w:val="21"/>
              </w:rPr>
              <w:t>加热及制冷装置管理</w:t>
            </w:r>
          </w:p>
        </w:tc>
      </w:tr>
      <w:tr w14:paraId="5C6B4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5314881D">
            <w:pPr>
              <w:widowControl/>
              <w:rPr>
                <w:rFonts w:ascii="宋体" w:hAnsi="宋体" w:cs="宋体"/>
                <w:kern w:val="0"/>
                <w:szCs w:val="21"/>
              </w:rPr>
            </w:pPr>
            <w:r>
              <w:rPr>
                <w:rFonts w:hint="eastAsia" w:ascii="宋体" w:hAnsi="宋体" w:cs="宋体"/>
                <w:kern w:val="0"/>
                <w:szCs w:val="21"/>
              </w:rPr>
              <w:t>13.4.1</w:t>
            </w:r>
          </w:p>
        </w:tc>
        <w:tc>
          <w:tcPr>
            <w:tcW w:w="1721" w:type="dxa"/>
            <w:noWrap/>
            <w:tcMar>
              <w:left w:w="45" w:type="dxa"/>
              <w:right w:w="45" w:type="dxa"/>
            </w:tcMar>
            <w:vAlign w:val="center"/>
          </w:tcPr>
          <w:p w14:paraId="43CED349">
            <w:pPr>
              <w:widowControl/>
              <w:rPr>
                <w:rFonts w:ascii="宋体" w:hAnsi="宋体" w:cs="宋体"/>
                <w:kern w:val="0"/>
                <w:szCs w:val="21"/>
              </w:rPr>
            </w:pPr>
            <w:r>
              <w:rPr>
                <w:rFonts w:hint="eastAsia" w:ascii="宋体" w:hAnsi="宋体" w:cs="宋体"/>
                <w:kern w:val="0"/>
                <w:szCs w:val="21"/>
              </w:rPr>
              <w:t>贮存危险化学品的冰箱满足防爆要求</w:t>
            </w:r>
          </w:p>
        </w:tc>
        <w:tc>
          <w:tcPr>
            <w:tcW w:w="5567" w:type="dxa"/>
            <w:noWrap/>
            <w:tcMar>
              <w:left w:w="45" w:type="dxa"/>
              <w:right w:w="45" w:type="dxa"/>
            </w:tcMar>
            <w:vAlign w:val="center"/>
          </w:tcPr>
          <w:p w14:paraId="09603630">
            <w:pPr>
              <w:widowControl/>
              <w:rPr>
                <w:rFonts w:ascii="宋体" w:hAnsi="宋体" w:cs="宋体"/>
                <w:kern w:val="0"/>
                <w:szCs w:val="21"/>
              </w:rPr>
            </w:pPr>
            <w:r>
              <w:rPr>
                <w:rFonts w:hint="eastAsia" w:ascii="宋体" w:hAnsi="宋体" w:cs="宋体"/>
                <w:kern w:val="0"/>
                <w:szCs w:val="21"/>
              </w:rPr>
              <w:t>（287）贮存危险化学品的冰箱应为防爆冰箱或经过防爆改造的冰箱，并在冰箱门上注明是否防爆</w:t>
            </w:r>
          </w:p>
        </w:tc>
        <w:tc>
          <w:tcPr>
            <w:tcW w:w="991" w:type="dxa"/>
            <w:noWrap/>
            <w:tcMar>
              <w:left w:w="45" w:type="dxa"/>
              <w:right w:w="45" w:type="dxa"/>
            </w:tcMar>
            <w:vAlign w:val="center"/>
          </w:tcPr>
          <w:p w14:paraId="4954E598">
            <w:pPr>
              <w:widowControl/>
              <w:rPr>
                <w:rFonts w:ascii="宋体" w:hAnsi="宋体" w:cs="宋体"/>
                <w:bCs/>
                <w:kern w:val="0"/>
                <w:szCs w:val="21"/>
              </w:rPr>
            </w:pPr>
          </w:p>
        </w:tc>
      </w:tr>
      <w:tr w14:paraId="4419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69E34B9F">
            <w:pPr>
              <w:widowControl/>
              <w:rPr>
                <w:rFonts w:ascii="宋体" w:hAnsi="宋体" w:cs="宋体"/>
                <w:kern w:val="0"/>
                <w:szCs w:val="21"/>
              </w:rPr>
            </w:pPr>
            <w:r>
              <w:rPr>
                <w:rFonts w:hint="eastAsia" w:ascii="宋体" w:hAnsi="宋体" w:cs="宋体"/>
                <w:kern w:val="0"/>
                <w:szCs w:val="21"/>
              </w:rPr>
              <w:t>13.4.2</w:t>
            </w:r>
          </w:p>
        </w:tc>
        <w:tc>
          <w:tcPr>
            <w:tcW w:w="1721" w:type="dxa"/>
            <w:noWrap/>
            <w:tcMar>
              <w:left w:w="45" w:type="dxa"/>
              <w:right w:w="45" w:type="dxa"/>
            </w:tcMar>
            <w:vAlign w:val="center"/>
          </w:tcPr>
          <w:p w14:paraId="563CD58D">
            <w:pPr>
              <w:widowControl/>
              <w:rPr>
                <w:rFonts w:ascii="宋体" w:hAnsi="宋体" w:cs="宋体"/>
                <w:kern w:val="0"/>
                <w:szCs w:val="21"/>
              </w:rPr>
            </w:pPr>
            <w:r>
              <w:rPr>
                <w:rFonts w:hint="eastAsia" w:ascii="宋体" w:hAnsi="宋体" w:cs="宋体"/>
                <w:kern w:val="0"/>
                <w:szCs w:val="21"/>
              </w:rPr>
              <w:t>冰箱内存放的物品须标识明确，试剂必须可靠密封</w:t>
            </w:r>
          </w:p>
        </w:tc>
        <w:tc>
          <w:tcPr>
            <w:tcW w:w="5567" w:type="dxa"/>
            <w:noWrap/>
            <w:tcMar>
              <w:left w:w="45" w:type="dxa"/>
              <w:right w:w="45" w:type="dxa"/>
            </w:tcMar>
            <w:vAlign w:val="center"/>
          </w:tcPr>
          <w:p w14:paraId="45D2F552">
            <w:pPr>
              <w:widowControl/>
              <w:rPr>
                <w:rFonts w:ascii="宋体" w:hAnsi="宋体" w:cs="宋体"/>
                <w:kern w:val="0"/>
                <w:szCs w:val="21"/>
              </w:rPr>
            </w:pPr>
            <w:r>
              <w:rPr>
                <w:rFonts w:hint="eastAsia" w:ascii="宋体" w:hAnsi="宋体" w:cs="宋体"/>
                <w:kern w:val="0"/>
                <w:szCs w:val="21"/>
              </w:rPr>
              <w:t>（288）标识至少包括：名称、使用人、日期等，并经常清理。</w:t>
            </w:r>
          </w:p>
          <w:p w14:paraId="773D90AD">
            <w:pPr>
              <w:widowControl/>
              <w:rPr>
                <w:rFonts w:ascii="宋体" w:hAnsi="宋体" w:cs="宋体"/>
                <w:kern w:val="0"/>
                <w:szCs w:val="21"/>
              </w:rPr>
            </w:pPr>
            <w:r>
              <w:rPr>
                <w:rFonts w:hint="eastAsia" w:ascii="宋体" w:hAnsi="宋体" w:cs="宋体"/>
                <w:kern w:val="0"/>
                <w:szCs w:val="21"/>
              </w:rPr>
              <w:t>（289）实验室冰箱中试剂瓶螺口拧紧，无开口容器，不得放置非实验用食品、药品。超低温冰箱门上有储物分区标识，置于走廊等区域的超低温冰箱须上锁</w:t>
            </w:r>
          </w:p>
        </w:tc>
        <w:tc>
          <w:tcPr>
            <w:tcW w:w="991" w:type="dxa"/>
            <w:noWrap/>
            <w:tcMar>
              <w:left w:w="45" w:type="dxa"/>
              <w:right w:w="45" w:type="dxa"/>
            </w:tcMar>
            <w:vAlign w:val="center"/>
          </w:tcPr>
          <w:p w14:paraId="0E93D5D9">
            <w:pPr>
              <w:widowControl/>
              <w:rPr>
                <w:rFonts w:ascii="宋体" w:hAnsi="宋体" w:cs="宋体"/>
                <w:bCs/>
                <w:kern w:val="0"/>
                <w:szCs w:val="21"/>
              </w:rPr>
            </w:pPr>
          </w:p>
        </w:tc>
      </w:tr>
      <w:tr w14:paraId="3715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1924C916">
            <w:pPr>
              <w:widowControl/>
              <w:rPr>
                <w:rFonts w:ascii="宋体" w:hAnsi="宋体" w:cs="宋体"/>
                <w:kern w:val="0"/>
                <w:szCs w:val="21"/>
              </w:rPr>
            </w:pPr>
            <w:r>
              <w:rPr>
                <w:rFonts w:hint="eastAsia" w:ascii="宋体" w:hAnsi="宋体" w:cs="宋体"/>
                <w:kern w:val="0"/>
                <w:szCs w:val="21"/>
              </w:rPr>
              <w:t>13.4.3</w:t>
            </w:r>
          </w:p>
        </w:tc>
        <w:tc>
          <w:tcPr>
            <w:tcW w:w="1721" w:type="dxa"/>
            <w:noWrap/>
            <w:tcMar>
              <w:left w:w="45" w:type="dxa"/>
              <w:right w:w="45" w:type="dxa"/>
            </w:tcMar>
            <w:vAlign w:val="center"/>
          </w:tcPr>
          <w:p w14:paraId="0580120E">
            <w:pPr>
              <w:widowControl/>
              <w:rPr>
                <w:rFonts w:ascii="宋体" w:hAnsi="宋体" w:cs="宋体"/>
                <w:kern w:val="0"/>
                <w:szCs w:val="21"/>
              </w:rPr>
            </w:pPr>
            <w:r>
              <w:rPr>
                <w:rFonts w:hint="eastAsia" w:ascii="宋体" w:hAnsi="宋体" w:cs="宋体"/>
                <w:kern w:val="0"/>
                <w:szCs w:val="21"/>
              </w:rPr>
              <w:t>冰箱、烘箱、电阻炉的使用满足使用期间和空间等要求</w:t>
            </w:r>
          </w:p>
        </w:tc>
        <w:tc>
          <w:tcPr>
            <w:tcW w:w="5567" w:type="dxa"/>
            <w:noWrap/>
            <w:tcMar>
              <w:left w:w="45" w:type="dxa"/>
              <w:right w:w="45" w:type="dxa"/>
            </w:tcMar>
            <w:vAlign w:val="center"/>
          </w:tcPr>
          <w:p w14:paraId="24E7825B">
            <w:pPr>
              <w:widowControl/>
              <w:rPr>
                <w:rFonts w:ascii="宋体" w:hAnsi="宋体" w:cs="宋体"/>
                <w:kern w:val="0"/>
                <w:szCs w:val="21"/>
              </w:rPr>
            </w:pPr>
            <w:r>
              <w:rPr>
                <w:rFonts w:hint="eastAsia" w:ascii="宋体" w:hAnsi="宋体" w:cs="宋体"/>
                <w:kern w:val="0"/>
                <w:szCs w:val="21"/>
              </w:rPr>
              <w:t>（290）冰箱不超期使用（一般使用期限控制为10年），如超期使用须经审批。</w:t>
            </w:r>
          </w:p>
          <w:p w14:paraId="72E2C4D8">
            <w:pPr>
              <w:widowControl/>
              <w:rPr>
                <w:rFonts w:ascii="宋体" w:hAnsi="宋体" w:cs="宋体"/>
                <w:kern w:val="0"/>
                <w:szCs w:val="21"/>
              </w:rPr>
            </w:pPr>
            <w:r>
              <w:rPr>
                <w:rFonts w:hint="eastAsia" w:ascii="宋体" w:hAnsi="宋体" w:cs="宋体"/>
                <w:kern w:val="0"/>
                <w:szCs w:val="21"/>
              </w:rPr>
              <w:t>（291）冰箱周围留出足够空间，周围不堆放杂物，不影响散热。</w:t>
            </w:r>
          </w:p>
          <w:p w14:paraId="24A5E52C">
            <w:pPr>
              <w:widowControl/>
              <w:rPr>
                <w:rFonts w:ascii="宋体" w:hAnsi="宋体" w:cs="宋体"/>
                <w:kern w:val="0"/>
                <w:szCs w:val="21"/>
              </w:rPr>
            </w:pPr>
            <w:r>
              <w:rPr>
                <w:rFonts w:hint="eastAsia" w:ascii="宋体" w:hAnsi="宋体" w:cs="宋体"/>
                <w:kern w:val="0"/>
                <w:szCs w:val="21"/>
              </w:rPr>
              <w:t>（292）烘箱、电阻炉不超期使用（一般使用期限控制为12年），如超期使用须经审批。</w:t>
            </w:r>
          </w:p>
          <w:p w14:paraId="582C339A">
            <w:pPr>
              <w:widowControl/>
              <w:rPr>
                <w:rFonts w:ascii="宋体" w:hAnsi="宋体" w:cs="宋体"/>
                <w:kern w:val="0"/>
                <w:szCs w:val="21"/>
              </w:rPr>
            </w:pPr>
            <w:r>
              <w:rPr>
                <w:rFonts w:hint="eastAsia" w:ascii="宋体" w:hAnsi="宋体" w:cs="宋体"/>
                <w:kern w:val="0"/>
                <w:szCs w:val="21"/>
              </w:rPr>
              <w:t>（293）加热设备应放置在通风干燥处，不直接放置在木桌、木板等易燃物品上，周围有一定的散热空间，设备旁不能放置易燃易爆化学品、气瓶、冰箱、杂物等，应远离配电箱、插座、接线板等设备</w:t>
            </w:r>
          </w:p>
        </w:tc>
        <w:tc>
          <w:tcPr>
            <w:tcW w:w="991" w:type="dxa"/>
            <w:noWrap/>
            <w:tcMar>
              <w:left w:w="45" w:type="dxa"/>
              <w:right w:w="45" w:type="dxa"/>
            </w:tcMar>
            <w:vAlign w:val="center"/>
          </w:tcPr>
          <w:p w14:paraId="42B683CF">
            <w:pPr>
              <w:widowControl/>
              <w:rPr>
                <w:rFonts w:ascii="宋体" w:hAnsi="宋体" w:cs="宋体"/>
                <w:bCs/>
                <w:kern w:val="0"/>
                <w:szCs w:val="21"/>
              </w:rPr>
            </w:pPr>
          </w:p>
        </w:tc>
      </w:tr>
      <w:tr w14:paraId="648BC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7E4EFDD2">
            <w:pPr>
              <w:widowControl/>
              <w:rPr>
                <w:rFonts w:ascii="宋体" w:hAnsi="宋体" w:cs="宋体"/>
                <w:kern w:val="0"/>
                <w:szCs w:val="21"/>
              </w:rPr>
            </w:pPr>
            <w:r>
              <w:rPr>
                <w:rFonts w:hint="eastAsia" w:ascii="宋体" w:hAnsi="宋体" w:cs="宋体"/>
                <w:kern w:val="0"/>
                <w:szCs w:val="21"/>
              </w:rPr>
              <w:t>13.4.4</w:t>
            </w:r>
          </w:p>
        </w:tc>
        <w:tc>
          <w:tcPr>
            <w:tcW w:w="1721" w:type="dxa"/>
            <w:noWrap/>
            <w:tcMar>
              <w:left w:w="45" w:type="dxa"/>
              <w:right w:w="45" w:type="dxa"/>
            </w:tcMar>
            <w:vAlign w:val="center"/>
          </w:tcPr>
          <w:p w14:paraId="00B74E35">
            <w:pPr>
              <w:widowControl/>
              <w:rPr>
                <w:rFonts w:ascii="宋体" w:hAnsi="宋体" w:cs="宋体"/>
                <w:kern w:val="0"/>
                <w:szCs w:val="21"/>
              </w:rPr>
            </w:pPr>
            <w:r>
              <w:rPr>
                <w:rFonts w:hint="eastAsia" w:ascii="宋体" w:hAnsi="宋体" w:cs="宋体"/>
                <w:kern w:val="0"/>
                <w:szCs w:val="21"/>
              </w:rPr>
              <w:t>烘箱、电阻炉等加热设备须制定安全操作规程</w:t>
            </w:r>
          </w:p>
        </w:tc>
        <w:tc>
          <w:tcPr>
            <w:tcW w:w="5567" w:type="dxa"/>
            <w:noWrap/>
            <w:tcMar>
              <w:left w:w="45" w:type="dxa"/>
              <w:right w:w="45" w:type="dxa"/>
            </w:tcMar>
            <w:vAlign w:val="center"/>
          </w:tcPr>
          <w:p w14:paraId="7A8364D1">
            <w:pPr>
              <w:widowControl/>
              <w:rPr>
                <w:rFonts w:ascii="宋体" w:hAnsi="宋体" w:cs="宋体"/>
                <w:kern w:val="0"/>
                <w:szCs w:val="21"/>
              </w:rPr>
            </w:pPr>
            <w:r>
              <w:rPr>
                <w:rFonts w:hint="eastAsia" w:ascii="宋体" w:hAnsi="宋体" w:cs="宋体"/>
                <w:kern w:val="0"/>
                <w:szCs w:val="21"/>
              </w:rPr>
              <w:t>（294）加热设备周边醒目位置张贴高温警示标志，并有必要的防护措施，张贴有安全操作规程、警示标志。</w:t>
            </w:r>
          </w:p>
          <w:p w14:paraId="0FC10884">
            <w:pPr>
              <w:widowControl/>
              <w:rPr>
                <w:rFonts w:ascii="宋体" w:hAnsi="宋体" w:cs="宋体"/>
                <w:kern w:val="0"/>
                <w:szCs w:val="21"/>
              </w:rPr>
            </w:pPr>
            <w:r>
              <w:rPr>
                <w:rFonts w:hint="eastAsia" w:ascii="宋体" w:hAnsi="宋体" w:cs="宋体"/>
                <w:kern w:val="0"/>
                <w:szCs w:val="21"/>
              </w:rPr>
              <w:t>（295）烘箱等加热设备内不准烘烤易燃易爆试剂及易燃物品。</w:t>
            </w:r>
          </w:p>
          <w:p w14:paraId="11AEF3E5">
            <w:pPr>
              <w:widowControl/>
              <w:rPr>
                <w:rFonts w:ascii="宋体" w:hAnsi="宋体" w:cs="宋体"/>
                <w:kern w:val="0"/>
                <w:szCs w:val="21"/>
              </w:rPr>
            </w:pPr>
            <w:r>
              <w:rPr>
                <w:rFonts w:hint="eastAsia" w:ascii="宋体" w:hAnsi="宋体" w:cs="宋体"/>
                <w:kern w:val="0"/>
                <w:szCs w:val="21"/>
              </w:rPr>
              <w:t>（296）不得使用塑料筐等易燃容器盛放实验物品在烘箱等加热设备内烘烤。</w:t>
            </w:r>
          </w:p>
          <w:p w14:paraId="7664A91C">
            <w:pPr>
              <w:widowControl/>
              <w:rPr>
                <w:rFonts w:ascii="宋体" w:hAnsi="宋体" w:cs="宋体"/>
                <w:kern w:val="0"/>
                <w:szCs w:val="21"/>
              </w:rPr>
            </w:pPr>
            <w:r>
              <w:rPr>
                <w:rFonts w:hint="eastAsia" w:ascii="宋体" w:hAnsi="宋体" w:cs="宋体"/>
                <w:kern w:val="0"/>
                <w:szCs w:val="21"/>
              </w:rPr>
              <w:t>（297）烘箱使用完毕，清理物品、切断电源，确认其冷却至安全温度后方能离开。</w:t>
            </w:r>
          </w:p>
          <w:p w14:paraId="3EEF3AFA">
            <w:pPr>
              <w:widowControl/>
              <w:rPr>
                <w:rFonts w:ascii="宋体" w:hAnsi="宋体" w:cs="宋体"/>
                <w:kern w:val="0"/>
                <w:szCs w:val="21"/>
              </w:rPr>
            </w:pPr>
            <w:r>
              <w:rPr>
                <w:rFonts w:hint="eastAsia" w:ascii="宋体" w:hAnsi="宋体" w:cs="宋体"/>
                <w:kern w:val="0"/>
                <w:szCs w:val="21"/>
              </w:rPr>
              <w:t>（298）使用电阻炉等明火设备时有人值守。</w:t>
            </w:r>
          </w:p>
          <w:p w14:paraId="7529EBC2">
            <w:pPr>
              <w:widowControl/>
              <w:rPr>
                <w:rFonts w:ascii="宋体" w:hAnsi="宋体" w:cs="宋体"/>
                <w:kern w:val="0"/>
                <w:szCs w:val="21"/>
              </w:rPr>
            </w:pPr>
            <w:r>
              <w:rPr>
                <w:rFonts w:hint="eastAsia" w:ascii="宋体" w:hAnsi="宋体" w:cs="宋体"/>
                <w:kern w:val="0"/>
                <w:szCs w:val="21"/>
              </w:rPr>
              <w:t>（299）使用加热设备时，温度较高的实验须有人值守或有实时监控措施</w:t>
            </w:r>
          </w:p>
        </w:tc>
        <w:tc>
          <w:tcPr>
            <w:tcW w:w="991" w:type="dxa"/>
            <w:noWrap/>
            <w:tcMar>
              <w:left w:w="45" w:type="dxa"/>
              <w:right w:w="45" w:type="dxa"/>
            </w:tcMar>
            <w:vAlign w:val="center"/>
          </w:tcPr>
          <w:p w14:paraId="209B0BF3">
            <w:pPr>
              <w:widowControl/>
              <w:rPr>
                <w:rFonts w:ascii="宋体" w:hAnsi="宋体" w:cs="宋体"/>
                <w:kern w:val="0"/>
                <w:szCs w:val="21"/>
              </w:rPr>
            </w:pPr>
          </w:p>
        </w:tc>
      </w:tr>
      <w:tr w14:paraId="66B5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tcMar>
              <w:left w:w="45" w:type="dxa"/>
              <w:right w:w="45" w:type="dxa"/>
            </w:tcMar>
            <w:vAlign w:val="center"/>
          </w:tcPr>
          <w:p w14:paraId="313BF8F9">
            <w:pPr>
              <w:widowControl/>
              <w:rPr>
                <w:rFonts w:ascii="宋体" w:hAnsi="宋体" w:cs="宋体"/>
                <w:kern w:val="0"/>
                <w:szCs w:val="21"/>
              </w:rPr>
            </w:pPr>
            <w:r>
              <w:rPr>
                <w:rFonts w:hint="eastAsia" w:ascii="宋体" w:hAnsi="宋体" w:cs="宋体"/>
                <w:kern w:val="0"/>
                <w:szCs w:val="21"/>
              </w:rPr>
              <w:t>13.4.5</w:t>
            </w:r>
          </w:p>
        </w:tc>
        <w:tc>
          <w:tcPr>
            <w:tcW w:w="1721" w:type="dxa"/>
            <w:noWrap/>
            <w:tcMar>
              <w:left w:w="45" w:type="dxa"/>
              <w:right w:w="45" w:type="dxa"/>
            </w:tcMar>
            <w:vAlign w:val="center"/>
          </w:tcPr>
          <w:p w14:paraId="1F45D36C">
            <w:pPr>
              <w:widowControl/>
              <w:rPr>
                <w:rFonts w:ascii="宋体" w:hAnsi="宋体" w:cs="宋体"/>
                <w:szCs w:val="21"/>
              </w:rPr>
            </w:pPr>
            <w:r>
              <w:rPr>
                <w:rFonts w:hint="eastAsia" w:ascii="宋体" w:hAnsi="宋体" w:cs="宋体"/>
                <w:kern w:val="0"/>
                <w:szCs w:val="21"/>
              </w:rPr>
              <w:t>使用明火电炉或者电吹风须有安全防范举措</w:t>
            </w:r>
          </w:p>
        </w:tc>
        <w:tc>
          <w:tcPr>
            <w:tcW w:w="5567" w:type="dxa"/>
            <w:noWrap/>
            <w:tcMar>
              <w:left w:w="45" w:type="dxa"/>
              <w:right w:w="45" w:type="dxa"/>
            </w:tcMar>
            <w:vAlign w:val="center"/>
          </w:tcPr>
          <w:p w14:paraId="73D2F354">
            <w:pPr>
              <w:widowControl/>
              <w:rPr>
                <w:rFonts w:ascii="宋体" w:hAnsi="宋体" w:cs="宋体"/>
                <w:kern w:val="0"/>
                <w:szCs w:val="21"/>
              </w:rPr>
            </w:pPr>
            <w:r>
              <w:rPr>
                <w:rFonts w:hint="eastAsia" w:ascii="宋体" w:hAnsi="宋体" w:cs="宋体"/>
                <w:kern w:val="0"/>
                <w:szCs w:val="21"/>
              </w:rPr>
              <w:t>（300）涉及化学品的实验室不使用明火电炉。如必须使用，须有安全防范措施。</w:t>
            </w:r>
          </w:p>
          <w:p w14:paraId="6437C366">
            <w:pPr>
              <w:widowControl/>
              <w:rPr>
                <w:rFonts w:ascii="宋体" w:hAnsi="宋体" w:cs="宋体"/>
                <w:kern w:val="0"/>
                <w:szCs w:val="21"/>
              </w:rPr>
            </w:pPr>
            <w:r>
              <w:rPr>
                <w:rFonts w:hint="eastAsia" w:ascii="宋体" w:hAnsi="宋体" w:cs="宋体"/>
                <w:kern w:val="0"/>
                <w:szCs w:val="21"/>
              </w:rPr>
              <w:t>（301）不使用明火电炉加热易燃易爆试剂。</w:t>
            </w:r>
          </w:p>
          <w:p w14:paraId="5910DB70">
            <w:pPr>
              <w:widowControl/>
              <w:rPr>
                <w:rFonts w:ascii="宋体" w:hAnsi="宋体" w:cs="宋体"/>
                <w:kern w:val="0"/>
                <w:szCs w:val="21"/>
              </w:rPr>
            </w:pPr>
            <w:r>
              <w:rPr>
                <w:rFonts w:hint="eastAsia" w:ascii="宋体" w:hAnsi="宋体" w:cs="宋体"/>
                <w:kern w:val="0"/>
                <w:szCs w:val="21"/>
              </w:rPr>
              <w:t>（302）明火电炉、电吹风、电热枪等用毕，须及时拔除电源插头。</w:t>
            </w:r>
          </w:p>
          <w:p w14:paraId="3F0D552C">
            <w:pPr>
              <w:widowControl/>
              <w:rPr>
                <w:rFonts w:ascii="宋体" w:hAnsi="宋体" w:cs="宋体"/>
                <w:kern w:val="0"/>
                <w:szCs w:val="21"/>
              </w:rPr>
            </w:pPr>
            <w:r>
              <w:rPr>
                <w:rFonts w:hint="eastAsia" w:ascii="宋体" w:hAnsi="宋体" w:cs="宋体"/>
                <w:kern w:val="0"/>
                <w:szCs w:val="21"/>
              </w:rPr>
              <w:t>（303）不可用纸质、木质等材料自制红外灯烘箱</w:t>
            </w:r>
          </w:p>
        </w:tc>
        <w:tc>
          <w:tcPr>
            <w:tcW w:w="991" w:type="dxa"/>
            <w:noWrap/>
            <w:tcMar>
              <w:left w:w="45" w:type="dxa"/>
              <w:right w:w="45" w:type="dxa"/>
            </w:tcMar>
            <w:vAlign w:val="center"/>
          </w:tcPr>
          <w:p w14:paraId="5E26C0FC">
            <w:pPr>
              <w:widowControl/>
              <w:rPr>
                <w:rFonts w:ascii="宋体" w:hAnsi="宋体" w:cs="宋体"/>
                <w:kern w:val="0"/>
                <w:szCs w:val="21"/>
              </w:rPr>
            </w:pPr>
          </w:p>
        </w:tc>
      </w:tr>
    </w:tbl>
    <w:p w14:paraId="12927F00">
      <w:pPr>
        <w:spacing w:line="360" w:lineRule="auto"/>
        <w:jc w:val="center"/>
        <w:rPr>
          <w:rFonts w:ascii="宋体" w:hAnsi="宋体" w:cs="宋体"/>
          <w:bCs/>
          <w:szCs w:val="21"/>
        </w:rPr>
      </w:pPr>
      <w:r>
        <w:rPr>
          <w:rFonts w:hint="eastAsia" w:ascii="宋体" w:hAnsi="宋体" w:cs="宋体"/>
          <w:bCs/>
          <w:szCs w:val="21"/>
        </w:rPr>
        <w:t>表4高等学校实验室安全检查项目表（2025年）</w:t>
      </w:r>
    </w:p>
    <w:p w14:paraId="2E45E805">
      <w:pPr>
        <w:spacing w:line="360" w:lineRule="auto"/>
        <w:ind w:firstLine="420" w:firstLineChars="200"/>
        <w:rPr>
          <w:rFonts w:ascii="宋体" w:hAnsi="宋体" w:cs="宋体"/>
          <w:bCs/>
          <w:szCs w:val="21"/>
          <w:highlight w:val="yellow"/>
        </w:rPr>
      </w:pPr>
      <w:r>
        <w:rPr>
          <w:rFonts w:hint="eastAsia" w:ascii="宋体" w:hAnsi="宋体" w:cs="宋体"/>
          <w:bCs/>
          <w:szCs w:val="21"/>
          <w:highlight w:val="yellow"/>
        </w:rPr>
        <w:t>★（2）实训（验）室安全隐患定期排查频次（不少于）：</w:t>
      </w:r>
    </w:p>
    <w:tbl>
      <w:tblPr>
        <w:tblStyle w:val="50"/>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2012"/>
        <w:gridCol w:w="1984"/>
        <w:gridCol w:w="1985"/>
        <w:gridCol w:w="1984"/>
      </w:tblGrid>
      <w:tr w14:paraId="31A0B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5" w:type="dxa"/>
            <w:vMerge w:val="restart"/>
            <w:noWrap/>
            <w:vAlign w:val="center"/>
          </w:tcPr>
          <w:p w14:paraId="18F21EE1">
            <w:pPr>
              <w:spacing w:line="360" w:lineRule="auto"/>
              <w:rPr>
                <w:rFonts w:ascii="宋体" w:hAnsi="宋体" w:cs="宋体"/>
                <w:szCs w:val="21"/>
                <w:highlight w:val="yellow"/>
              </w:rPr>
            </w:pPr>
            <w:r>
              <w:rPr>
                <w:rFonts w:hint="eastAsia" w:ascii="宋体" w:hAnsi="宋体" w:cs="宋体"/>
                <w:szCs w:val="21"/>
                <w:highlight w:val="yellow"/>
              </w:rPr>
              <w:t>要求</w:t>
            </w:r>
          </w:p>
        </w:tc>
        <w:tc>
          <w:tcPr>
            <w:tcW w:w="7965" w:type="dxa"/>
            <w:gridSpan w:val="4"/>
            <w:noWrap/>
            <w:vAlign w:val="center"/>
          </w:tcPr>
          <w:p w14:paraId="768DF1CF">
            <w:pPr>
              <w:spacing w:line="360" w:lineRule="auto"/>
              <w:ind w:firstLine="420" w:firstLineChars="200"/>
              <w:jc w:val="center"/>
              <w:rPr>
                <w:rFonts w:ascii="宋体" w:hAnsi="宋体" w:cs="宋体"/>
                <w:szCs w:val="21"/>
                <w:highlight w:val="yellow"/>
              </w:rPr>
            </w:pPr>
            <w:r>
              <w:rPr>
                <w:rFonts w:hint="eastAsia" w:ascii="宋体" w:hAnsi="宋体" w:cs="宋体"/>
                <w:szCs w:val="21"/>
                <w:highlight w:val="yellow"/>
              </w:rPr>
              <w:t>实验室分级</w:t>
            </w:r>
          </w:p>
        </w:tc>
      </w:tr>
      <w:tr w14:paraId="528FF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5" w:type="dxa"/>
            <w:vMerge w:val="continue"/>
            <w:noWrap/>
            <w:vAlign w:val="center"/>
          </w:tcPr>
          <w:p w14:paraId="050D9D3B">
            <w:pPr>
              <w:spacing w:line="360" w:lineRule="auto"/>
              <w:ind w:firstLine="420" w:firstLineChars="200"/>
              <w:jc w:val="center"/>
              <w:rPr>
                <w:rFonts w:ascii="宋体" w:hAnsi="宋体" w:cs="宋体"/>
                <w:szCs w:val="21"/>
                <w:highlight w:val="yellow"/>
              </w:rPr>
            </w:pPr>
          </w:p>
        </w:tc>
        <w:tc>
          <w:tcPr>
            <w:tcW w:w="2012" w:type="dxa"/>
            <w:noWrap/>
            <w:vAlign w:val="center"/>
          </w:tcPr>
          <w:p w14:paraId="3313CBC1">
            <w:pPr>
              <w:spacing w:line="360" w:lineRule="auto"/>
              <w:ind w:firstLine="420" w:firstLineChars="200"/>
              <w:jc w:val="center"/>
              <w:rPr>
                <w:rFonts w:ascii="宋体" w:hAnsi="宋体" w:cs="宋体"/>
                <w:szCs w:val="21"/>
                <w:highlight w:val="yellow"/>
              </w:rPr>
            </w:pPr>
            <w:r>
              <w:rPr>
                <w:rFonts w:hint="eastAsia" w:ascii="宋体" w:hAnsi="宋体" w:cs="宋体"/>
                <w:szCs w:val="21"/>
                <w:highlight w:val="yellow"/>
              </w:rPr>
              <w:t>Ⅰ级/红色级实验室</w:t>
            </w:r>
          </w:p>
        </w:tc>
        <w:tc>
          <w:tcPr>
            <w:tcW w:w="1984" w:type="dxa"/>
            <w:noWrap/>
            <w:vAlign w:val="center"/>
          </w:tcPr>
          <w:p w14:paraId="6A86D0ED">
            <w:pPr>
              <w:spacing w:line="360" w:lineRule="auto"/>
              <w:ind w:firstLine="420" w:firstLineChars="200"/>
              <w:jc w:val="center"/>
              <w:rPr>
                <w:rFonts w:ascii="宋体" w:hAnsi="宋体" w:cs="宋体"/>
                <w:szCs w:val="21"/>
                <w:highlight w:val="yellow"/>
              </w:rPr>
            </w:pPr>
            <w:r>
              <w:rPr>
                <w:rFonts w:hint="eastAsia" w:ascii="宋体" w:hAnsi="宋体" w:cs="宋体"/>
                <w:szCs w:val="21"/>
                <w:highlight w:val="yellow"/>
              </w:rPr>
              <w:t>Ⅱ级/橙色级实验室</w:t>
            </w:r>
          </w:p>
        </w:tc>
        <w:tc>
          <w:tcPr>
            <w:tcW w:w="1985" w:type="dxa"/>
            <w:noWrap/>
            <w:vAlign w:val="center"/>
          </w:tcPr>
          <w:p w14:paraId="0F7B3BC9">
            <w:pPr>
              <w:spacing w:line="360" w:lineRule="auto"/>
              <w:ind w:firstLine="420" w:firstLineChars="200"/>
              <w:jc w:val="center"/>
              <w:rPr>
                <w:rFonts w:ascii="宋体" w:hAnsi="宋体" w:cs="宋体"/>
                <w:szCs w:val="21"/>
                <w:highlight w:val="yellow"/>
              </w:rPr>
            </w:pPr>
            <w:r>
              <w:rPr>
                <w:rFonts w:hint="eastAsia" w:ascii="宋体" w:hAnsi="宋体" w:cs="宋体"/>
                <w:szCs w:val="21"/>
                <w:highlight w:val="yellow"/>
              </w:rPr>
              <w:t>Ⅲ级/黄色级实验室</w:t>
            </w:r>
          </w:p>
        </w:tc>
        <w:tc>
          <w:tcPr>
            <w:tcW w:w="1984" w:type="dxa"/>
            <w:noWrap/>
            <w:vAlign w:val="center"/>
          </w:tcPr>
          <w:p w14:paraId="23E42290">
            <w:pPr>
              <w:spacing w:line="360" w:lineRule="auto"/>
              <w:ind w:firstLine="420" w:firstLineChars="200"/>
              <w:jc w:val="center"/>
              <w:rPr>
                <w:rFonts w:ascii="宋体" w:hAnsi="宋体" w:cs="宋体"/>
                <w:szCs w:val="21"/>
                <w:highlight w:val="yellow"/>
              </w:rPr>
            </w:pPr>
            <w:r>
              <w:rPr>
                <w:rFonts w:hint="eastAsia" w:ascii="宋体" w:hAnsi="宋体" w:cs="宋体"/>
                <w:szCs w:val="21"/>
                <w:highlight w:val="yellow"/>
              </w:rPr>
              <w:t>Ⅳ级/蓝色级实验室</w:t>
            </w:r>
          </w:p>
        </w:tc>
      </w:tr>
      <w:tr w14:paraId="71CAC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1" w:hRule="atLeast"/>
        </w:trPr>
        <w:tc>
          <w:tcPr>
            <w:tcW w:w="755" w:type="dxa"/>
            <w:noWrap/>
            <w:vAlign w:val="center"/>
          </w:tcPr>
          <w:p w14:paraId="24D45245">
            <w:pPr>
              <w:spacing w:line="360" w:lineRule="auto"/>
              <w:rPr>
                <w:rFonts w:ascii="宋体" w:hAnsi="宋体" w:cs="宋体"/>
                <w:szCs w:val="21"/>
                <w:highlight w:val="yellow"/>
              </w:rPr>
            </w:pPr>
            <w:r>
              <w:rPr>
                <w:rFonts w:hint="eastAsia" w:ascii="宋体" w:hAnsi="宋体" w:cs="宋体"/>
                <w:szCs w:val="21"/>
                <w:highlight w:val="yellow"/>
              </w:rPr>
              <w:t>安全检查频次</w:t>
            </w:r>
          </w:p>
        </w:tc>
        <w:tc>
          <w:tcPr>
            <w:tcW w:w="2012" w:type="dxa"/>
            <w:noWrap/>
            <w:vAlign w:val="center"/>
          </w:tcPr>
          <w:p w14:paraId="7FB5F618">
            <w:pPr>
              <w:spacing w:line="360" w:lineRule="auto"/>
              <w:ind w:firstLine="420" w:firstLineChars="200"/>
              <w:rPr>
                <w:rFonts w:ascii="宋体" w:hAnsi="宋体" w:cs="宋体"/>
                <w:szCs w:val="21"/>
                <w:highlight w:val="yellow"/>
              </w:rPr>
            </w:pPr>
            <w:r>
              <w:rPr>
                <w:rFonts w:hint="eastAsia" w:ascii="宋体" w:hAnsi="宋体" w:cs="宋体"/>
                <w:szCs w:val="21"/>
                <w:highlight w:val="yellow"/>
              </w:rPr>
              <w:t>每月开展不少于1次安全检查，每间实训（验）室全年安全检查不少于12次</w:t>
            </w:r>
          </w:p>
        </w:tc>
        <w:tc>
          <w:tcPr>
            <w:tcW w:w="1984" w:type="dxa"/>
            <w:noWrap/>
            <w:vAlign w:val="center"/>
          </w:tcPr>
          <w:p w14:paraId="481F89F3">
            <w:pPr>
              <w:spacing w:line="360" w:lineRule="auto"/>
              <w:ind w:firstLine="420" w:firstLineChars="200"/>
              <w:rPr>
                <w:rFonts w:ascii="宋体" w:hAnsi="宋体" w:cs="宋体"/>
                <w:szCs w:val="21"/>
                <w:highlight w:val="yellow"/>
              </w:rPr>
            </w:pPr>
            <w:r>
              <w:rPr>
                <w:rFonts w:hint="eastAsia" w:ascii="宋体" w:hAnsi="宋体" w:cs="宋体"/>
                <w:szCs w:val="21"/>
                <w:highlight w:val="yellow"/>
              </w:rPr>
              <w:t>每季度开展不少于1次安全检查，每间实训（验）室全年安全检查不少于4次</w:t>
            </w:r>
          </w:p>
        </w:tc>
        <w:tc>
          <w:tcPr>
            <w:tcW w:w="1985" w:type="dxa"/>
            <w:noWrap/>
            <w:vAlign w:val="center"/>
          </w:tcPr>
          <w:p w14:paraId="4DBF0557">
            <w:pPr>
              <w:spacing w:line="360" w:lineRule="auto"/>
              <w:ind w:firstLine="420" w:firstLineChars="200"/>
              <w:rPr>
                <w:rFonts w:ascii="宋体" w:hAnsi="宋体" w:cs="宋体"/>
                <w:szCs w:val="21"/>
                <w:highlight w:val="yellow"/>
              </w:rPr>
            </w:pPr>
            <w:r>
              <w:rPr>
                <w:rFonts w:hint="eastAsia" w:ascii="宋体" w:hAnsi="宋体" w:cs="宋体"/>
                <w:szCs w:val="21"/>
                <w:highlight w:val="yellow"/>
              </w:rPr>
              <w:t>每半年开展不少于1次安全检查，每间实训（验）室全年安全检查不少于2次</w:t>
            </w:r>
          </w:p>
        </w:tc>
        <w:tc>
          <w:tcPr>
            <w:tcW w:w="1984" w:type="dxa"/>
            <w:noWrap/>
            <w:vAlign w:val="center"/>
          </w:tcPr>
          <w:p w14:paraId="633B9793">
            <w:pPr>
              <w:spacing w:line="360" w:lineRule="auto"/>
              <w:ind w:firstLine="420" w:firstLineChars="200"/>
              <w:rPr>
                <w:rFonts w:ascii="宋体" w:hAnsi="宋体" w:cs="宋体"/>
                <w:szCs w:val="21"/>
                <w:highlight w:val="yellow"/>
              </w:rPr>
            </w:pPr>
            <w:r>
              <w:rPr>
                <w:rFonts w:hint="eastAsia" w:ascii="宋体" w:hAnsi="宋体" w:cs="宋体"/>
                <w:szCs w:val="21"/>
                <w:highlight w:val="yellow"/>
              </w:rPr>
              <w:t>每年开展不少于1次安全检查，每间实训（验）室全年安全检查不少于1次</w:t>
            </w:r>
          </w:p>
        </w:tc>
      </w:tr>
    </w:tbl>
    <w:p w14:paraId="3E685EC2">
      <w:pPr>
        <w:spacing w:line="360" w:lineRule="auto"/>
        <w:ind w:firstLine="420" w:firstLineChars="200"/>
        <w:rPr>
          <w:rFonts w:ascii="宋体" w:hAnsi="宋体" w:cs="宋体"/>
          <w:bCs/>
          <w:szCs w:val="21"/>
          <w:highlight w:val="yellow"/>
        </w:rPr>
      </w:pPr>
      <w:r>
        <w:rPr>
          <w:rFonts w:hint="eastAsia" w:ascii="宋体" w:hAnsi="宋体" w:cs="宋体"/>
          <w:bCs/>
          <w:szCs w:val="21"/>
          <w:highlight w:val="yellow"/>
        </w:rPr>
        <w:t>★中标人需根据采购人需求，另增加0-3次安全专项检查。（专项检查的内容和范围由采购人确定）</w:t>
      </w:r>
    </w:p>
    <w:p w14:paraId="63120337">
      <w:pPr>
        <w:spacing w:line="360" w:lineRule="auto"/>
        <w:ind w:firstLine="420" w:firstLineChars="200"/>
        <w:rPr>
          <w:rFonts w:ascii="宋体" w:hAnsi="宋体" w:cs="宋体"/>
          <w:bCs/>
          <w:szCs w:val="21"/>
          <w:highlight w:val="yellow"/>
        </w:rPr>
      </w:pPr>
      <w:r>
        <w:rPr>
          <w:rFonts w:hint="eastAsia" w:ascii="宋体" w:hAnsi="宋体" w:cs="宋体"/>
          <w:bCs/>
          <w:szCs w:val="21"/>
          <w:highlight w:val="yellow"/>
        </w:rPr>
        <w:t>★中标人应根据采购人时间要求开展安全隐患排查，每次隐患排查结束后5个自然日内，中标人需按采购人要求，向采购人提供本次检查的实训（验）室隐患问题清单；隐患问题清单需包括检查地点、安全隐患问题描述、隐患图片、相应的整改措施（或建议）以及整改的法律法规依据、整改完成后图片等。</w:t>
      </w:r>
    </w:p>
    <w:p w14:paraId="1DDDC219">
      <w:pPr>
        <w:spacing w:line="360" w:lineRule="auto"/>
        <w:ind w:firstLine="420" w:firstLineChars="200"/>
        <w:rPr>
          <w:rFonts w:ascii="宋体" w:hAnsi="宋体" w:cs="宋体"/>
          <w:bCs/>
          <w:szCs w:val="21"/>
          <w:highlight w:val="yellow"/>
        </w:rPr>
      </w:pPr>
      <w:r>
        <w:rPr>
          <w:rFonts w:hint="eastAsia" w:ascii="宋体" w:hAnsi="宋体" w:cs="宋体"/>
          <w:bCs/>
          <w:szCs w:val="21"/>
          <w:highlight w:val="yellow"/>
        </w:rPr>
        <w:t>★服务期结束后，对隐患数量进行统计分析，编制完成工作总结报告、安全隐患整改台账。</w:t>
      </w:r>
    </w:p>
    <w:p w14:paraId="762BB9EE">
      <w:pPr>
        <w:spacing w:line="360" w:lineRule="auto"/>
        <w:ind w:firstLine="420" w:firstLineChars="200"/>
        <w:rPr>
          <w:rFonts w:ascii="宋体" w:hAnsi="宋体" w:cs="宋体"/>
          <w:bCs/>
          <w:szCs w:val="21"/>
        </w:rPr>
      </w:pPr>
      <w:r>
        <w:rPr>
          <w:rFonts w:hint="eastAsia" w:ascii="宋体" w:hAnsi="宋体" w:cs="宋体"/>
          <w:bCs/>
          <w:szCs w:val="21"/>
        </w:rPr>
        <w:t>（三）服务要求</w:t>
      </w:r>
    </w:p>
    <w:p w14:paraId="3B9DF14E">
      <w:pPr>
        <w:spacing w:line="360" w:lineRule="auto"/>
        <w:ind w:firstLine="420" w:firstLineChars="200"/>
        <w:rPr>
          <w:rFonts w:ascii="宋体" w:hAnsi="宋体" w:cs="宋体"/>
          <w:szCs w:val="21"/>
        </w:rPr>
      </w:pPr>
      <w:r>
        <w:rPr>
          <w:rFonts w:hint="eastAsia" w:ascii="宋体" w:hAnsi="宋体" w:cs="宋体"/>
          <w:szCs w:val="21"/>
        </w:rPr>
        <w:t>1.中标人应熟悉校内各学院</w:t>
      </w:r>
      <w:r>
        <w:rPr>
          <w:rFonts w:hint="eastAsia" w:ascii="宋体" w:hAnsi="宋体" w:cs="宋体"/>
          <w:bCs/>
          <w:szCs w:val="21"/>
        </w:rPr>
        <w:t>实训（验）室</w:t>
      </w:r>
      <w:r>
        <w:rPr>
          <w:rFonts w:hint="eastAsia" w:ascii="宋体" w:hAnsi="宋体" w:cs="宋体"/>
          <w:szCs w:val="21"/>
        </w:rPr>
        <w:t>危险源情况和管理要求，负责安排工作人员去各个</w:t>
      </w:r>
      <w:r>
        <w:rPr>
          <w:rFonts w:hint="eastAsia" w:ascii="宋体" w:hAnsi="宋体" w:cs="宋体"/>
          <w:bCs/>
          <w:szCs w:val="21"/>
        </w:rPr>
        <w:t>实训（验）室</w:t>
      </w:r>
      <w:r>
        <w:rPr>
          <w:rFonts w:hint="eastAsia" w:ascii="宋体" w:hAnsi="宋体" w:cs="宋体"/>
          <w:szCs w:val="21"/>
        </w:rPr>
        <w:t>进行现场检查的同时需对</w:t>
      </w:r>
      <w:r>
        <w:rPr>
          <w:rFonts w:hint="eastAsia" w:ascii="宋体" w:hAnsi="宋体" w:cs="宋体"/>
          <w:bCs/>
          <w:szCs w:val="21"/>
        </w:rPr>
        <w:t>实训（验）室内师生进行安全指导</w:t>
      </w:r>
      <w:r>
        <w:rPr>
          <w:rFonts w:hint="eastAsia" w:ascii="宋体" w:hAnsi="宋体" w:cs="宋体"/>
          <w:szCs w:val="21"/>
        </w:rPr>
        <w:t>。本项目所涉及的所有劳务费、耗材费用、运输费、增值税和其它税等全部税费以及履行合同所需的费用、所有风险、责任等其他一切与实施项目有关的费用应含在此次的服务项目投标总价里面，采购人不另行支付任何费用。</w:t>
      </w:r>
    </w:p>
    <w:p w14:paraId="1C4B8DBC">
      <w:pPr>
        <w:spacing w:line="360" w:lineRule="auto"/>
        <w:ind w:firstLine="420" w:firstLineChars="200"/>
        <w:rPr>
          <w:rFonts w:ascii="宋体" w:hAnsi="宋体" w:cs="宋体"/>
          <w:szCs w:val="21"/>
        </w:rPr>
      </w:pPr>
      <w:r>
        <w:rPr>
          <w:rFonts w:hint="eastAsia" w:ascii="宋体" w:hAnsi="宋体" w:cs="宋体"/>
          <w:szCs w:val="21"/>
        </w:rPr>
        <w:t>2.自服务项目开始，工作人员进出学校，应接受采购人学校管理，服从采购人学校的管理规章制度。</w:t>
      </w:r>
    </w:p>
    <w:p w14:paraId="714CB1C4">
      <w:pPr>
        <w:spacing w:line="360" w:lineRule="auto"/>
        <w:ind w:firstLine="420" w:firstLineChars="200"/>
        <w:rPr>
          <w:rFonts w:ascii="宋体" w:hAnsi="宋体" w:cs="宋体"/>
          <w:szCs w:val="21"/>
        </w:rPr>
      </w:pPr>
      <w:r>
        <w:rPr>
          <w:rFonts w:hint="eastAsia" w:ascii="宋体" w:hAnsi="宋体" w:cs="宋体"/>
          <w:szCs w:val="21"/>
        </w:rPr>
        <w:t>3.项目实施过程中，所有的专业检测工具均由中标人提供。</w:t>
      </w:r>
    </w:p>
    <w:p w14:paraId="6CF80141">
      <w:pPr>
        <w:spacing w:line="360" w:lineRule="auto"/>
        <w:ind w:firstLine="420" w:firstLineChars="200"/>
        <w:rPr>
          <w:rFonts w:ascii="宋体" w:hAnsi="宋体" w:cs="宋体"/>
          <w:szCs w:val="21"/>
        </w:rPr>
      </w:pPr>
      <w:r>
        <w:rPr>
          <w:rFonts w:hint="eastAsia" w:ascii="宋体" w:hAnsi="宋体" w:cs="宋体"/>
          <w:szCs w:val="21"/>
        </w:rPr>
        <w:t>（四）人员要求</w:t>
      </w:r>
    </w:p>
    <w:p w14:paraId="68A2A1E0">
      <w:pPr>
        <w:spacing w:line="360" w:lineRule="auto"/>
        <w:ind w:firstLine="420" w:firstLineChars="200"/>
        <w:rPr>
          <w:rFonts w:ascii="宋体" w:hAnsi="宋体" w:cs="宋体"/>
          <w:szCs w:val="21"/>
        </w:rPr>
      </w:pPr>
      <w:r>
        <w:rPr>
          <w:rFonts w:hint="eastAsia" w:ascii="宋体" w:hAnsi="宋体" w:cs="宋体"/>
          <w:szCs w:val="21"/>
        </w:rPr>
        <w:t>1.</w:t>
      </w:r>
      <w:r>
        <w:rPr>
          <w:rFonts w:hint="eastAsia"/>
          <w:szCs w:val="21"/>
        </w:rPr>
        <w:t>投标人需为本项目安排项目服务人员，</w:t>
      </w:r>
      <w:r>
        <w:rPr>
          <w:rFonts w:hint="eastAsia" w:ascii="宋体" w:hAnsi="宋体" w:cs="宋体"/>
          <w:szCs w:val="21"/>
        </w:rPr>
        <w:t>包含1名项目负</w:t>
      </w:r>
      <w:r>
        <w:rPr>
          <w:rFonts w:hint="eastAsia"/>
          <w:szCs w:val="21"/>
        </w:rPr>
        <w:t>责人和</w:t>
      </w:r>
      <w:r>
        <w:rPr>
          <w:rFonts w:hint="eastAsia" w:ascii="宋体" w:hAnsi="宋体" w:cs="宋体"/>
          <w:szCs w:val="21"/>
        </w:rPr>
        <w:t>不少于5名</w:t>
      </w:r>
      <w:r>
        <w:rPr>
          <w:rFonts w:hint="eastAsia"/>
          <w:szCs w:val="21"/>
        </w:rPr>
        <w:t>项目团队成员，具备完成本项目履约要求的能力</w:t>
      </w:r>
      <w:r>
        <w:rPr>
          <w:rFonts w:hint="eastAsia" w:ascii="宋体" w:hAnsi="宋体" w:cs="宋体"/>
          <w:szCs w:val="21"/>
        </w:rPr>
        <w:t>。</w:t>
      </w:r>
    </w:p>
    <w:p w14:paraId="5C5C428E">
      <w:pPr>
        <w:spacing w:line="360" w:lineRule="auto"/>
        <w:ind w:firstLine="420" w:firstLineChars="200"/>
        <w:rPr>
          <w:rFonts w:ascii="宋体" w:hAnsi="宋体" w:cs="宋体"/>
          <w:szCs w:val="21"/>
        </w:rPr>
      </w:pPr>
      <w:r>
        <w:rPr>
          <w:rFonts w:hint="eastAsia" w:ascii="宋体" w:hAnsi="宋体" w:cs="宋体"/>
          <w:szCs w:val="21"/>
        </w:rPr>
        <w:t>2.在本项目实施过程中，中标人投入本项目的工作人员不得随意变动。如确因实际情况需要更换的，在更换前须征得采购人书面同意。</w:t>
      </w:r>
    </w:p>
    <w:p w14:paraId="3F04703D">
      <w:pPr>
        <w:spacing w:line="360" w:lineRule="auto"/>
        <w:ind w:firstLine="420" w:firstLineChars="200"/>
        <w:rPr>
          <w:rFonts w:ascii="宋体" w:hAnsi="宋体" w:cs="宋体"/>
          <w:szCs w:val="21"/>
        </w:rPr>
      </w:pPr>
      <w:r>
        <w:rPr>
          <w:rFonts w:hint="eastAsia" w:ascii="宋体" w:hAnsi="宋体" w:cs="宋体"/>
          <w:szCs w:val="21"/>
        </w:rPr>
        <w:t>3.投入项目的相关工作组成员应具备较高业务水平、工作协调能力，并接受采购人的管理。</w:t>
      </w:r>
    </w:p>
    <w:p w14:paraId="52793DC8">
      <w:pPr>
        <w:spacing w:line="360" w:lineRule="auto"/>
        <w:ind w:firstLine="420" w:firstLineChars="200"/>
        <w:rPr>
          <w:rFonts w:ascii="宋体" w:hAnsi="宋体" w:cs="宋体"/>
          <w:b/>
          <w:szCs w:val="21"/>
        </w:rPr>
      </w:pPr>
      <w:r>
        <w:rPr>
          <w:rFonts w:hint="eastAsia" w:ascii="宋体" w:hAnsi="宋体" w:cs="宋体"/>
          <w:szCs w:val="21"/>
        </w:rPr>
        <w:t>4.为了便于沟通和管理，中标人在与采购人签订本项目合同时，应将专责工作组成员的身份证明、联系方式报采购人备案。如在本项目服务期内，相关人员或联系方式发生变动的，应及时通知采购人。</w:t>
      </w:r>
    </w:p>
    <w:p w14:paraId="440EB62D">
      <w:pPr>
        <w:pStyle w:val="506"/>
        <w:wordWrap/>
        <w:spacing w:afterLines="0" w:line="360" w:lineRule="auto"/>
        <w:ind w:firstLine="420"/>
        <w:rPr>
          <w:rFonts w:cs="Times New Roman"/>
          <w:snapToGrid/>
          <w:spacing w:val="0"/>
          <w:sz w:val="21"/>
          <w:szCs w:val="21"/>
        </w:rPr>
      </w:pPr>
    </w:p>
    <w:p w14:paraId="43F0FFFE">
      <w:pPr>
        <w:pStyle w:val="321"/>
        <w:ind w:firstLine="0" w:firstLineChars="0"/>
        <w:rPr>
          <w:b/>
        </w:rPr>
      </w:pPr>
      <w:r>
        <w:rPr>
          <w:rFonts w:hint="eastAsia"/>
          <w:b/>
        </w:rPr>
        <w:t>三、项目商务要求</w:t>
      </w:r>
    </w:p>
    <w:p w14:paraId="4B22E35B">
      <w:pPr>
        <w:spacing w:line="360" w:lineRule="auto"/>
        <w:ind w:firstLine="420" w:firstLineChars="200"/>
        <w:rPr>
          <w:rFonts w:ascii="宋体" w:hAnsi="宋体" w:cs="宋体"/>
          <w:szCs w:val="21"/>
          <w:highlight w:val="yellow"/>
        </w:rPr>
      </w:pPr>
      <w:r>
        <w:rPr>
          <w:rFonts w:hint="eastAsia" w:ascii="宋体" w:hAnsi="宋体" w:cs="宋体"/>
          <w:szCs w:val="21"/>
          <w:highlight w:val="yellow"/>
        </w:rPr>
        <w:t>★（一）服务期限：</w:t>
      </w:r>
    </w:p>
    <w:p w14:paraId="346E17B3">
      <w:pPr>
        <w:spacing w:line="360" w:lineRule="auto"/>
        <w:ind w:firstLine="420" w:firstLineChars="200"/>
        <w:rPr>
          <w:rFonts w:ascii="宋体" w:hAnsi="宋体" w:cs="宋体"/>
          <w:szCs w:val="21"/>
        </w:rPr>
      </w:pPr>
      <w:r>
        <w:rPr>
          <w:rFonts w:hint="eastAsia" w:ascii="宋体" w:hAnsi="宋体" w:cs="宋体"/>
          <w:szCs w:val="21"/>
          <w:highlight w:val="yellow"/>
        </w:rPr>
        <w:t>自合同签订之日起</w:t>
      </w:r>
      <w:r>
        <w:rPr>
          <w:rFonts w:hint="eastAsia" w:ascii="宋体" w:hAnsi="宋体" w:cs="宋体"/>
          <w:szCs w:val="21"/>
          <w:highlight w:val="yellow"/>
          <w:u w:val="single"/>
        </w:rPr>
        <w:t xml:space="preserve"> 1 </w:t>
      </w:r>
      <w:r>
        <w:rPr>
          <w:rFonts w:hint="eastAsia" w:ascii="宋体" w:hAnsi="宋体" w:cs="宋体"/>
          <w:szCs w:val="21"/>
          <w:highlight w:val="yellow"/>
        </w:rPr>
        <w:t>年。本项目为长期服务项目，合同期满可以续签，但合同履行期限最长不得超过三十六个月。如采购人对履约情况不满意，采购人不再续约。</w:t>
      </w:r>
    </w:p>
    <w:p w14:paraId="09C0E0F0">
      <w:pPr>
        <w:spacing w:line="360" w:lineRule="auto"/>
        <w:ind w:firstLine="420" w:firstLineChars="200"/>
        <w:rPr>
          <w:rFonts w:ascii="宋体" w:hAnsi="宋体" w:cs="宋体"/>
          <w:szCs w:val="21"/>
        </w:rPr>
      </w:pPr>
      <w:r>
        <w:rPr>
          <w:rFonts w:hint="eastAsia" w:ascii="宋体" w:hAnsi="宋体" w:cs="宋体"/>
          <w:szCs w:val="21"/>
        </w:rPr>
        <w:t>（二）质量考核验收标准</w:t>
      </w:r>
    </w:p>
    <w:p w14:paraId="0B15918F">
      <w:pPr>
        <w:spacing w:line="360" w:lineRule="auto"/>
        <w:ind w:firstLine="420" w:firstLineChars="200"/>
        <w:rPr>
          <w:rFonts w:ascii="宋体" w:hAnsi="宋体" w:cs="宋体"/>
          <w:szCs w:val="21"/>
        </w:rPr>
      </w:pPr>
      <w:r>
        <w:rPr>
          <w:rFonts w:hint="eastAsia" w:ascii="宋体" w:hAnsi="宋体" w:cs="宋体"/>
          <w:szCs w:val="21"/>
        </w:rPr>
        <w:t>质量考核验收标准：按照中标人承诺的服务内容、技术与商务响应条款及相关行业标准等逐项进行验收。</w:t>
      </w:r>
    </w:p>
    <w:p w14:paraId="5336AEA1">
      <w:pPr>
        <w:spacing w:line="360" w:lineRule="auto"/>
        <w:ind w:firstLine="420" w:firstLineChars="200"/>
        <w:jc w:val="left"/>
        <w:rPr>
          <w:rFonts w:ascii="宋体" w:hAnsi="宋体" w:cs="宋体"/>
          <w:szCs w:val="21"/>
          <w:highlight w:val="yellow"/>
        </w:rPr>
      </w:pPr>
      <w:r>
        <w:rPr>
          <w:rFonts w:hint="eastAsia" w:ascii="宋体" w:hAnsi="宋体" w:cs="宋体"/>
          <w:szCs w:val="21"/>
          <w:highlight w:val="yellow"/>
        </w:rPr>
        <w:t>★（三）报价要求</w:t>
      </w:r>
    </w:p>
    <w:p w14:paraId="66166DDD">
      <w:pPr>
        <w:spacing w:line="360" w:lineRule="auto"/>
        <w:ind w:firstLine="420" w:firstLineChars="200"/>
        <w:jc w:val="left"/>
        <w:rPr>
          <w:rFonts w:ascii="宋体" w:hAnsi="宋体" w:cs="宋体"/>
          <w:szCs w:val="21"/>
        </w:rPr>
      </w:pPr>
      <w:r>
        <w:rPr>
          <w:rFonts w:hint="eastAsia" w:ascii="宋体" w:hAnsi="宋体" w:cs="宋体"/>
          <w:szCs w:val="21"/>
          <w:highlight w:val="yellow"/>
        </w:rPr>
        <w:t xml:space="preserve">  投标人报价应按人民币报价，包括但不限于管理费用、人员费用、税费、生产材料费用、设施硬件配置费用等与完成本项目服务工作有关的全部费用。</w:t>
      </w:r>
    </w:p>
    <w:p w14:paraId="3D216F96">
      <w:pPr>
        <w:spacing w:line="360" w:lineRule="auto"/>
        <w:ind w:firstLine="420" w:firstLineChars="200"/>
        <w:jc w:val="left"/>
        <w:rPr>
          <w:rFonts w:ascii="宋体" w:hAnsi="宋体" w:cs="宋体"/>
          <w:szCs w:val="21"/>
          <w:highlight w:val="yellow"/>
        </w:rPr>
      </w:pPr>
      <w:r>
        <w:rPr>
          <w:rFonts w:hint="eastAsia" w:ascii="宋体" w:hAnsi="宋体" w:cs="宋体"/>
          <w:szCs w:val="21"/>
          <w:highlight w:val="yellow"/>
        </w:rPr>
        <w:t>★（四）付款方式</w:t>
      </w:r>
    </w:p>
    <w:p w14:paraId="5EE4E137">
      <w:pPr>
        <w:spacing w:line="360" w:lineRule="auto"/>
        <w:ind w:firstLine="420" w:firstLineChars="200"/>
        <w:rPr>
          <w:rFonts w:ascii="宋体" w:hAnsi="宋体" w:cs="宋体"/>
          <w:szCs w:val="21"/>
        </w:rPr>
      </w:pPr>
      <w:r>
        <w:rPr>
          <w:rFonts w:hint="eastAsia" w:ascii="宋体" w:hAnsi="宋体" w:cs="宋体"/>
          <w:szCs w:val="21"/>
          <w:highlight w:val="yellow"/>
        </w:rPr>
        <w:t>本项目为跨年支付项目，为保障项目顺利开展，该项目采用分期付款方式，签订合同以后，中标人给出项目服务方案、项目进度安排及相应发票后10个工作日内，采购人支付合同金额的70%作为预付款。项目服务期满并经确认验收合格后，由中标人提供相应发票，采购人支付合同金额的30%给中标人。</w:t>
      </w:r>
    </w:p>
    <w:p w14:paraId="1D3AAFF8">
      <w:pPr>
        <w:spacing w:line="360" w:lineRule="auto"/>
        <w:ind w:firstLine="420" w:firstLineChars="200"/>
        <w:jc w:val="left"/>
        <w:rPr>
          <w:rFonts w:ascii="宋体" w:hAnsi="宋体" w:cs="宋体"/>
          <w:szCs w:val="21"/>
        </w:rPr>
      </w:pPr>
      <w:r>
        <w:rPr>
          <w:rFonts w:hint="eastAsia" w:ascii="宋体" w:hAnsi="宋体" w:cs="宋体"/>
          <w:szCs w:val="21"/>
        </w:rPr>
        <w:t>（五）违约责任</w:t>
      </w:r>
    </w:p>
    <w:p w14:paraId="013E8A59">
      <w:pPr>
        <w:snapToGrid w:val="0"/>
        <w:spacing w:line="360" w:lineRule="auto"/>
        <w:ind w:firstLine="420" w:firstLineChars="200"/>
        <w:jc w:val="left"/>
        <w:rPr>
          <w:rFonts w:ascii="宋体" w:hAnsi="宋体" w:cs="宋体"/>
          <w:szCs w:val="21"/>
        </w:rPr>
      </w:pPr>
      <w:r>
        <w:rPr>
          <w:rFonts w:hint="eastAsia" w:ascii="宋体" w:hAnsi="宋体" w:cs="宋体"/>
          <w:szCs w:val="21"/>
        </w:rPr>
        <w:t>合同生效后，中标人逾期提供服务，采购人可向中标人主张每日支付合同总价千分之三的违约金。中标人所交付的服务不符合同约定标准的，采购人有权拒绝。中标人不能依约提供技术服务或单方终止合同，采购人可向中标人主张不超过合同总价百分之三十的违约金并承担相应的违约责任。</w:t>
      </w:r>
    </w:p>
    <w:p w14:paraId="2D66E011">
      <w:pPr>
        <w:spacing w:line="360" w:lineRule="auto"/>
        <w:ind w:firstLine="420" w:firstLineChars="200"/>
        <w:jc w:val="left"/>
        <w:rPr>
          <w:rFonts w:ascii="宋体" w:hAnsi="宋体" w:cs="宋体"/>
          <w:szCs w:val="21"/>
        </w:rPr>
      </w:pPr>
      <w:r>
        <w:rPr>
          <w:rFonts w:hint="eastAsia" w:ascii="宋体" w:hAnsi="宋体" w:cs="宋体"/>
          <w:szCs w:val="21"/>
        </w:rPr>
        <w:t>（六） 知识产权</w:t>
      </w:r>
    </w:p>
    <w:p w14:paraId="4EE6D663">
      <w:pPr>
        <w:spacing w:line="360" w:lineRule="auto"/>
        <w:ind w:firstLine="420" w:firstLineChars="200"/>
        <w:jc w:val="left"/>
        <w:rPr>
          <w:rFonts w:ascii="宋体" w:hAnsi="宋体" w:cs="宋体"/>
          <w:szCs w:val="21"/>
        </w:rPr>
      </w:pPr>
      <w:r>
        <w:rPr>
          <w:rFonts w:hint="eastAsia" w:ascii="宋体" w:hAnsi="宋体" w:cs="宋体"/>
          <w:szCs w:val="21"/>
        </w:rPr>
        <w:t>1.中标人在项目实施过程中不得侵犯第三人知识产权以及其他权益，</w:t>
      </w:r>
      <w:r>
        <w:rPr>
          <w:rFonts w:hint="eastAsia" w:ascii="宋体" w:hAnsi="宋体" w:cs="宋体"/>
          <w:color w:val="000000"/>
          <w:szCs w:val="21"/>
        </w:rPr>
        <w:t>否则</w:t>
      </w:r>
      <w:r>
        <w:rPr>
          <w:rFonts w:hint="eastAsia" w:ascii="宋体" w:hAnsi="宋体" w:cs="宋体"/>
          <w:szCs w:val="21"/>
        </w:rPr>
        <w:t>，中标人应赔偿采购人因此遭受的一切损失（包括但不限于赔偿金、违约金、律师费、调查取证费、差旅费等）。需要使用第三人知识产权的，中标人应取得权利人许可或授权并</w:t>
      </w:r>
      <w:r>
        <w:rPr>
          <w:rFonts w:hint="eastAsia"/>
        </w:rPr>
        <w:t>承担由此产生的全部费用</w:t>
      </w:r>
      <w:r>
        <w:rPr>
          <w:rFonts w:hint="eastAsia" w:ascii="宋体" w:hAnsi="宋体" w:cs="宋体"/>
          <w:szCs w:val="21"/>
        </w:rPr>
        <w:t>。</w:t>
      </w:r>
    </w:p>
    <w:p w14:paraId="3930D420">
      <w:pPr>
        <w:spacing w:line="360" w:lineRule="auto"/>
        <w:ind w:firstLine="420" w:firstLineChars="200"/>
        <w:jc w:val="left"/>
        <w:rPr>
          <w:rFonts w:ascii="宋体" w:hAnsi="宋体" w:cs="宋体"/>
          <w:szCs w:val="21"/>
        </w:rPr>
      </w:pPr>
      <w:r>
        <w:rPr>
          <w:rFonts w:hint="eastAsia" w:ascii="宋体" w:hAnsi="宋体" w:cs="宋体"/>
          <w:szCs w:val="21"/>
        </w:rPr>
        <w:t>2.除第三人依法享有的知识产权外，中标人实施本项目所形成成果的知识产品归采购人所有，未经采购人许可，中标人不得随意使用。</w:t>
      </w:r>
    </w:p>
    <w:p w14:paraId="21E360F3">
      <w:pPr>
        <w:spacing w:line="360" w:lineRule="auto"/>
        <w:ind w:firstLine="420" w:firstLineChars="200"/>
        <w:jc w:val="left"/>
        <w:rPr>
          <w:rFonts w:ascii="宋体" w:hAnsi="宋体" w:cs="宋体"/>
          <w:szCs w:val="21"/>
        </w:rPr>
      </w:pPr>
      <w:r>
        <w:rPr>
          <w:rFonts w:hint="eastAsia" w:ascii="宋体" w:hAnsi="宋体" w:cs="宋体"/>
          <w:szCs w:val="21"/>
        </w:rPr>
        <w:t>（七） 合同解除</w:t>
      </w:r>
    </w:p>
    <w:p w14:paraId="0E091CCE">
      <w:pPr>
        <w:spacing w:line="360" w:lineRule="auto"/>
        <w:ind w:firstLine="420" w:firstLineChars="200"/>
        <w:rPr>
          <w:rFonts w:ascii="宋体" w:hAnsi="宋体" w:cs="宋体"/>
          <w:szCs w:val="21"/>
        </w:rPr>
      </w:pPr>
      <w:r>
        <w:rPr>
          <w:rFonts w:hint="eastAsia" w:ascii="宋体" w:hAnsi="宋体" w:cs="宋体"/>
          <w:szCs w:val="21"/>
        </w:rPr>
        <w:t>有下列情形之一的，当事人可以解除合同：</w:t>
      </w:r>
    </w:p>
    <w:p w14:paraId="59C1D1CD">
      <w:pPr>
        <w:spacing w:line="360" w:lineRule="auto"/>
        <w:ind w:firstLine="420" w:firstLineChars="200"/>
        <w:rPr>
          <w:rFonts w:ascii="宋体" w:hAnsi="宋体" w:cs="宋体"/>
          <w:szCs w:val="21"/>
        </w:rPr>
      </w:pPr>
      <w:r>
        <w:rPr>
          <w:rFonts w:hint="eastAsia" w:ascii="宋体" w:hAnsi="宋体" w:cs="宋体"/>
          <w:szCs w:val="21"/>
        </w:rPr>
        <w:t>1. 因不可抗力致使不能实现合同目的；</w:t>
      </w:r>
    </w:p>
    <w:p w14:paraId="567D41E8">
      <w:pPr>
        <w:spacing w:line="360" w:lineRule="auto"/>
        <w:ind w:firstLine="420" w:firstLineChars="200"/>
        <w:rPr>
          <w:rFonts w:ascii="宋体" w:hAnsi="宋体" w:cs="宋体"/>
          <w:szCs w:val="21"/>
        </w:rPr>
      </w:pPr>
      <w:r>
        <w:rPr>
          <w:rFonts w:hint="eastAsia" w:ascii="宋体" w:hAnsi="宋体" w:cs="宋体"/>
          <w:szCs w:val="21"/>
        </w:rPr>
        <w:t>2. 由于中标人的原因未能在本合同约定的交付期提交成果报告的，逾期超过15个日历日仍不能提交的，或中标人所交付的成果报告数量、质量不符合同规定标准的，并经过15个日历日整改仍不达标的，采购人有权单方解除合同并要求中标人承担相应的违约责任，同时赔偿由此给采购人造成的其他经济损失；</w:t>
      </w:r>
    </w:p>
    <w:p w14:paraId="4A2A97A1">
      <w:pPr>
        <w:spacing w:line="360" w:lineRule="auto"/>
        <w:ind w:firstLine="420" w:firstLineChars="200"/>
        <w:rPr>
          <w:rFonts w:ascii="宋体" w:hAnsi="宋体" w:cs="宋体"/>
          <w:szCs w:val="21"/>
        </w:rPr>
      </w:pPr>
      <w:r>
        <w:rPr>
          <w:rFonts w:hint="eastAsia" w:ascii="宋体" w:hAnsi="宋体" w:cs="宋体"/>
          <w:szCs w:val="21"/>
        </w:rPr>
        <w:t>3.法律规定的其他情形。</w:t>
      </w:r>
    </w:p>
    <w:p w14:paraId="0D5887AD">
      <w:pPr>
        <w:spacing w:line="360" w:lineRule="auto"/>
        <w:ind w:firstLine="420" w:firstLineChars="200"/>
        <w:jc w:val="left"/>
        <w:rPr>
          <w:rFonts w:ascii="宋体" w:hAnsi="宋体" w:cs="宋体"/>
          <w:szCs w:val="21"/>
        </w:rPr>
      </w:pPr>
      <w:r>
        <w:rPr>
          <w:rFonts w:hint="eastAsia" w:ascii="宋体" w:hAnsi="宋体" w:cs="宋体"/>
          <w:szCs w:val="21"/>
        </w:rPr>
        <w:t>（八）争议的解决</w:t>
      </w:r>
    </w:p>
    <w:p w14:paraId="13F3D4F5">
      <w:pPr>
        <w:spacing w:line="360" w:lineRule="auto"/>
        <w:ind w:firstLine="420" w:firstLineChars="200"/>
        <w:jc w:val="left"/>
        <w:rPr>
          <w:rFonts w:ascii="宋体" w:hAnsi="宋体" w:cs="宋体"/>
          <w:szCs w:val="21"/>
        </w:rPr>
      </w:pPr>
      <w:r>
        <w:rPr>
          <w:rFonts w:hint="eastAsia" w:ascii="宋体" w:hAnsi="宋体" w:cs="宋体"/>
          <w:szCs w:val="21"/>
        </w:rPr>
        <w:t>凡因本协议引起的或与本协议有关的任何争议，由双方友好协商解决。协商不成时，双方均有权向深圳市南山区人民法院提起</w:t>
      </w:r>
      <w:r>
        <w:fldChar w:fldCharType="begin"/>
      </w:r>
      <w:r>
        <w:instrText xml:space="preserve"> HYPERLINK "http://www.64365.com/baike/ss/" \t "_blank" \o "诉讼" </w:instrText>
      </w:r>
      <w:r>
        <w:fldChar w:fldCharType="separate"/>
      </w:r>
      <w:r>
        <w:rPr>
          <w:rFonts w:hint="eastAsia" w:ascii="宋体" w:hAnsi="宋体" w:cs="宋体"/>
          <w:szCs w:val="21"/>
        </w:rPr>
        <w:t>诉讼</w:t>
      </w:r>
      <w:r>
        <w:rPr>
          <w:rFonts w:hint="eastAsia" w:ascii="宋体" w:hAnsi="宋体" w:cs="宋体"/>
          <w:szCs w:val="21"/>
        </w:rPr>
        <w:fldChar w:fldCharType="end"/>
      </w:r>
      <w:r>
        <w:rPr>
          <w:rFonts w:hint="eastAsia" w:ascii="宋体" w:hAnsi="宋体" w:cs="宋体"/>
          <w:szCs w:val="21"/>
        </w:rPr>
        <w:t>。</w:t>
      </w:r>
    </w:p>
    <w:p w14:paraId="6C2629E4">
      <w:pPr>
        <w:rPr>
          <w:rFonts w:ascii="宋体" w:hAnsi="宋体" w:cs="宋体"/>
          <w:szCs w:val="21"/>
        </w:rPr>
      </w:pPr>
      <w:r>
        <w:rPr>
          <w:rFonts w:hint="eastAsia" w:ascii="宋体" w:hAnsi="宋体" w:cs="宋体"/>
          <w:szCs w:val="21"/>
        </w:rPr>
        <w:br w:type="page"/>
      </w:r>
    </w:p>
    <w:p w14:paraId="267F5E5F">
      <w:pPr>
        <w:pStyle w:val="2"/>
      </w:pPr>
      <w:bookmarkStart w:id="10" w:name="_Toc135293161"/>
      <w:r>
        <w:rPr>
          <w:rFonts w:hint="eastAsia"/>
        </w:rPr>
        <w:t>第三章  投标文件初审</w:t>
      </w:r>
      <w:bookmarkEnd w:id="10"/>
    </w:p>
    <w:p w14:paraId="3F8263FD">
      <w:pPr>
        <w:adjustRightInd w:val="0"/>
        <w:spacing w:line="360" w:lineRule="auto"/>
        <w:rPr>
          <w:snapToGrid w:val="0"/>
          <w:kern w:val="0"/>
        </w:rPr>
      </w:pPr>
    </w:p>
    <w:p w14:paraId="268E099F">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3B7F6826">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19853690">
      <w:pPr>
        <w:adjustRightInd w:val="0"/>
        <w:spacing w:line="360" w:lineRule="auto"/>
        <w:ind w:firstLine="422" w:firstLineChars="201"/>
        <w:rPr>
          <w:rFonts w:ascii="宋体" w:hAnsi="宋体"/>
          <w:snapToGrid w:val="0"/>
          <w:kern w:val="0"/>
        </w:rPr>
      </w:pPr>
    </w:p>
    <w:p w14:paraId="2AC7B9F4">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2A1F0B9E">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080D0E72">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0C8A208C">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65C72798">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331FA4AF">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7BF41344">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09664BDA">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00959330">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2DE6D85C">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18F86754">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754FA882">
      <w:pPr>
        <w:adjustRightInd w:val="0"/>
        <w:spacing w:line="360" w:lineRule="auto"/>
        <w:ind w:firstLine="422" w:firstLineChars="201"/>
        <w:rPr>
          <w:rFonts w:ascii="宋体" w:hAnsi="宋体"/>
          <w:snapToGrid w:val="0"/>
          <w:kern w:val="0"/>
        </w:rPr>
      </w:pPr>
      <w:r>
        <w:rPr>
          <w:rFonts w:hint="eastAsia" w:ascii="宋体" w:hAnsi="宋体"/>
          <w:snapToGrid w:val="0"/>
          <w:kern w:val="0"/>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情形）。</w:t>
      </w:r>
    </w:p>
    <w:p w14:paraId="4B00584B">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7E900CE4">
      <w:pPr>
        <w:adjustRightInd w:val="0"/>
        <w:spacing w:line="360" w:lineRule="auto"/>
        <w:ind w:firstLine="422" w:firstLineChars="201"/>
        <w:rPr>
          <w:rFonts w:ascii="宋体" w:hAnsi="宋体"/>
          <w:snapToGrid w:val="0"/>
          <w:kern w:val="0"/>
        </w:rPr>
      </w:pPr>
      <w:r>
        <w:rPr>
          <w:rFonts w:hint="eastAsia" w:ascii="宋体" w:hAnsi="宋体"/>
          <w:snapToGrid w:val="0"/>
          <w:kern w:val="0"/>
        </w:rPr>
        <w:t>13、法律法规规定的其它情形。</w:t>
      </w:r>
      <w:bookmarkStart w:id="11" w:name="_Toc135293162"/>
    </w:p>
    <w:p w14:paraId="03B32995">
      <w:pPr>
        <w:pStyle w:val="20"/>
        <w:rPr>
          <w:rFonts w:ascii="宋体" w:hAnsi="宋体"/>
          <w:snapToGrid w:val="0"/>
          <w:kern w:val="0"/>
        </w:rPr>
      </w:pPr>
    </w:p>
    <w:p w14:paraId="5C6FA171">
      <w:pPr>
        <w:rPr>
          <w:rFonts w:ascii="宋体" w:hAnsi="宋体"/>
          <w:snapToGrid w:val="0"/>
          <w:kern w:val="0"/>
        </w:rPr>
      </w:pPr>
    </w:p>
    <w:p w14:paraId="3E73EF5E">
      <w:pPr>
        <w:pStyle w:val="20"/>
        <w:rPr>
          <w:rFonts w:ascii="宋体" w:hAnsi="宋体"/>
          <w:snapToGrid w:val="0"/>
          <w:kern w:val="0"/>
        </w:rPr>
      </w:pPr>
    </w:p>
    <w:p w14:paraId="60910464">
      <w:pPr>
        <w:rPr>
          <w:rFonts w:ascii="宋体" w:hAnsi="宋体"/>
          <w:snapToGrid w:val="0"/>
          <w:kern w:val="0"/>
        </w:rPr>
      </w:pPr>
    </w:p>
    <w:p w14:paraId="7FD77D38">
      <w:pPr>
        <w:pStyle w:val="20"/>
        <w:rPr>
          <w:rFonts w:ascii="宋体" w:hAnsi="宋体"/>
          <w:snapToGrid w:val="0"/>
          <w:kern w:val="0"/>
        </w:rPr>
      </w:pPr>
    </w:p>
    <w:p w14:paraId="06747ABB"/>
    <w:p w14:paraId="6D4276CA">
      <w:pPr>
        <w:pStyle w:val="2"/>
        <w:spacing w:after="0"/>
      </w:pPr>
      <w:r>
        <w:rPr>
          <w:rFonts w:hint="eastAsia"/>
        </w:rPr>
        <w:t>第四章  评标方法和标准</w:t>
      </w:r>
      <w:bookmarkEnd w:id="11"/>
    </w:p>
    <w:p w14:paraId="76405D0D"/>
    <w:p w14:paraId="22E054AF">
      <w:pPr>
        <w:pStyle w:val="4"/>
        <w:spacing w:before="0" w:after="0"/>
      </w:pPr>
      <w:bookmarkStart w:id="12" w:name="_Toc44690702"/>
      <w:bookmarkStart w:id="13" w:name="_Toc44690429"/>
      <w:bookmarkStart w:id="14" w:name="_Toc44691393"/>
      <w:bookmarkStart w:id="15" w:name="_Toc44691161"/>
      <w:bookmarkStart w:id="16" w:name="_Toc135293163"/>
      <w:r>
        <w:rPr>
          <w:rFonts w:hint="eastAsia"/>
        </w:rPr>
        <w:t>一、</w:t>
      </w:r>
      <w:r>
        <w:t>评标方法</w:t>
      </w:r>
      <w:bookmarkEnd w:id="12"/>
      <w:bookmarkEnd w:id="13"/>
      <w:bookmarkEnd w:id="14"/>
      <w:bookmarkEnd w:id="15"/>
      <w:bookmarkEnd w:id="16"/>
    </w:p>
    <w:p w14:paraId="62A08259">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7D9D80B8">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4E946C8D">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4B512B6C">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w:t>
      </w:r>
      <w:r>
        <w:rPr>
          <w:rFonts w:cs="仿宋" w:asciiTheme="minorEastAsia" w:hAnsiTheme="minorEastAsia" w:eastAsiaTheme="minorEastAsia"/>
          <w:kern w:val="2"/>
          <w:sz w:val="21"/>
          <w:szCs w:val="21"/>
        </w:rPr>
        <w:t>3</w:t>
      </w:r>
      <w:r>
        <w:rPr>
          <w:rFonts w:hint="eastAsia" w:cs="仿宋" w:asciiTheme="minorEastAsia" w:hAnsiTheme="minorEastAsia" w:eastAsiaTheme="minorEastAsia"/>
          <w:kern w:val="2"/>
          <w:sz w:val="21"/>
          <w:szCs w:val="21"/>
        </w:rPr>
        <w:t>名。</w:t>
      </w:r>
    </w:p>
    <w:p w14:paraId="70C72E16">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1E0CD298">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7114A75A">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78EBA8E9">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（因落实政府采购政策进行价格调整的，以调整后的价格计算投标报价。）</w:t>
      </w:r>
    </w:p>
    <w:p w14:paraId="6809EC50">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5、推荐候选中标供应商：</w:t>
      </w:r>
    </w:p>
    <w:p w14:paraId="5DF8A8B1">
      <w:pPr>
        <w:pStyle w:val="45"/>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评标排名前三的投标人</w:t>
      </w:r>
      <w:r>
        <w:rPr>
          <w:rFonts w:hint="eastAsia" w:cs="仿宋" w:asciiTheme="minorEastAsia" w:hAnsiTheme="minorEastAsia" w:eastAsiaTheme="minorEastAsia"/>
          <w:kern w:val="2"/>
          <w:sz w:val="21"/>
          <w:szCs w:val="21"/>
        </w:rPr>
        <w:t>作为候选中标供应商。</w:t>
      </w:r>
    </w:p>
    <w:p w14:paraId="707C3839">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14:paraId="79872214">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6、确定中标供应商：</w:t>
      </w:r>
    </w:p>
    <w:p w14:paraId="10B52E5F">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5501992E">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0BAA38D8">
      <w:pPr>
        <w:spacing w:line="360" w:lineRule="auto"/>
        <w:ind w:firstLine="424" w:firstLineChars="202"/>
        <w:rPr>
          <w:rFonts w:asciiTheme="minorEastAsia" w:hAnsiTheme="minorEastAsia" w:eastAsiaTheme="minorEastAsia"/>
        </w:rPr>
      </w:pPr>
    </w:p>
    <w:p w14:paraId="2882DD5A">
      <w:pPr>
        <w:pStyle w:val="4"/>
        <w:spacing w:before="0" w:after="0"/>
      </w:pPr>
      <w:bookmarkStart w:id="17" w:name="_Toc135293164"/>
      <w:r>
        <w:rPr>
          <w:rFonts w:hint="eastAsia"/>
        </w:rPr>
        <w:t>二、评标标准</w:t>
      </w:r>
      <w:bookmarkEnd w:id="17"/>
    </w:p>
    <w:p w14:paraId="212E051B">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54D3B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2C429424">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评分项及评分规则</w:t>
            </w:r>
          </w:p>
        </w:tc>
        <w:tc>
          <w:tcPr>
            <w:tcW w:w="1187" w:type="dxa"/>
            <w:vAlign w:val="center"/>
          </w:tcPr>
          <w:p w14:paraId="64E2EF46">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权重</w:t>
            </w:r>
          </w:p>
        </w:tc>
      </w:tr>
      <w:tr w14:paraId="1E3B1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1C905C91">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一、价格部分</w:t>
            </w:r>
          </w:p>
        </w:tc>
        <w:tc>
          <w:tcPr>
            <w:tcW w:w="1187" w:type="dxa"/>
            <w:vAlign w:val="center"/>
          </w:tcPr>
          <w:p w14:paraId="313DCE37">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10</w:t>
            </w:r>
          </w:p>
        </w:tc>
      </w:tr>
      <w:tr w14:paraId="7E3FA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573BB9A0">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价格分采用低价优先法计算，即满足招标文件要求且投标价格最低的投标报价为评标基准价，其价格分为满分。其他投标人的价格分统一按照下列公式计算：</w:t>
            </w:r>
          </w:p>
          <w:p w14:paraId="16FAEAE4">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投标报价得分=(评标基准价／投标报价)×权重</w:t>
            </w:r>
          </w:p>
          <w:p w14:paraId="5FE2336E">
            <w:pPr>
              <w:adjustRightInd w:val="0"/>
              <w:snapToGrid w:val="0"/>
              <w:spacing w:line="360" w:lineRule="exact"/>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备注：</w:t>
            </w:r>
          </w:p>
          <w:p w14:paraId="2421A7BB">
            <w:pPr>
              <w:adjustRightInd w:val="0"/>
              <w:snapToGrid w:val="0"/>
              <w:spacing w:line="360" w:lineRule="exact"/>
              <w:rPr>
                <w:rFonts w:asciiTheme="minorEastAsia" w:hAnsiTheme="minorEastAsia" w:eastAsiaTheme="minorEastAsia"/>
                <w:bCs/>
                <w:snapToGrid w:val="0"/>
                <w:kern w:val="0"/>
                <w:szCs w:val="21"/>
              </w:rPr>
            </w:pPr>
            <w:r>
              <w:rPr>
                <w:rFonts w:hint="eastAsia" w:asciiTheme="minorEastAsia" w:hAnsiTheme="minorEastAsia" w:eastAsiaTheme="minorEastAsia"/>
                <w:snapToGrid w:val="0"/>
                <w:kern w:val="0"/>
                <w:szCs w:val="21"/>
              </w:rPr>
              <w:t>1、因落实政府采购政策进行价格调整的，以调整后的价格计算评标基准价和投标报价</w:t>
            </w:r>
            <w:r>
              <w:rPr>
                <w:rFonts w:hint="eastAsia" w:asciiTheme="minorEastAsia" w:hAnsiTheme="minorEastAsia" w:eastAsiaTheme="minorEastAsia"/>
                <w:bCs/>
                <w:snapToGrid w:val="0"/>
                <w:kern w:val="0"/>
                <w:szCs w:val="21"/>
              </w:rPr>
              <w:t>；</w:t>
            </w:r>
          </w:p>
          <w:p w14:paraId="69407520">
            <w:pPr>
              <w:autoSpaceDE w:val="0"/>
              <w:autoSpaceDN w:val="0"/>
              <w:adjustRightInd w:val="0"/>
              <w:spacing w:line="360" w:lineRule="exact"/>
              <w:jc w:val="left"/>
              <w:rPr>
                <w:rFonts w:cs="仿宋" w:asciiTheme="minorEastAsia" w:hAnsiTheme="minorEastAsia" w:eastAsiaTheme="minorEastAsia"/>
                <w:szCs w:val="21"/>
              </w:rPr>
            </w:pPr>
            <w:r>
              <w:rPr>
                <w:rFonts w:hint="eastAsia" w:asciiTheme="minorEastAsia" w:hAnsiTheme="minorEastAsia" w:eastAsiaTheme="minorEastAsia"/>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3FD05955">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按公式计算评分</w:t>
            </w:r>
          </w:p>
        </w:tc>
      </w:tr>
      <w:tr w14:paraId="14A40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7F9FFAE5">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二、技术部分</w:t>
            </w:r>
          </w:p>
        </w:tc>
        <w:tc>
          <w:tcPr>
            <w:tcW w:w="1187" w:type="dxa"/>
            <w:vAlign w:val="center"/>
          </w:tcPr>
          <w:p w14:paraId="5EBCAA4D">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highlight w:val="yellow"/>
              </w:rPr>
              <w:t>40</w:t>
            </w:r>
          </w:p>
        </w:tc>
      </w:tr>
      <w:tr w14:paraId="4AE9B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031AC30C">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序号</w:t>
            </w:r>
          </w:p>
        </w:tc>
        <w:tc>
          <w:tcPr>
            <w:tcW w:w="1143" w:type="dxa"/>
            <w:vAlign w:val="center"/>
          </w:tcPr>
          <w:p w14:paraId="41D4FCF8">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内容</w:t>
            </w:r>
          </w:p>
        </w:tc>
        <w:tc>
          <w:tcPr>
            <w:tcW w:w="709" w:type="dxa"/>
            <w:vAlign w:val="center"/>
          </w:tcPr>
          <w:p w14:paraId="47D1BEF7">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权重</w:t>
            </w:r>
          </w:p>
        </w:tc>
        <w:tc>
          <w:tcPr>
            <w:tcW w:w="5953" w:type="dxa"/>
            <w:vAlign w:val="center"/>
          </w:tcPr>
          <w:p w14:paraId="26E9BBF3">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评分规则</w:t>
            </w:r>
          </w:p>
        </w:tc>
        <w:tc>
          <w:tcPr>
            <w:tcW w:w="1187" w:type="dxa"/>
            <w:vAlign w:val="center"/>
          </w:tcPr>
          <w:p w14:paraId="5CB6020C">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评分方式</w:t>
            </w:r>
          </w:p>
        </w:tc>
      </w:tr>
      <w:tr w14:paraId="59E90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1823C3C5">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143" w:type="dxa"/>
            <w:vAlign w:val="center"/>
          </w:tcPr>
          <w:p w14:paraId="230E8145">
            <w:pPr>
              <w:spacing w:line="360" w:lineRule="exact"/>
              <w:jc w:val="center"/>
              <w:rPr>
                <w:rFonts w:ascii="宋体" w:hAnsi="宋体" w:cs="宋体"/>
                <w:kern w:val="0"/>
                <w:szCs w:val="21"/>
              </w:rPr>
            </w:pPr>
            <w:r>
              <w:rPr>
                <w:rFonts w:hint="eastAsia" w:ascii="宋体" w:hAnsi="宋体" w:cs="宋体"/>
                <w:color w:val="000000"/>
                <w:szCs w:val="21"/>
              </w:rPr>
              <w:t>服务条款响应情况</w:t>
            </w:r>
          </w:p>
        </w:tc>
        <w:tc>
          <w:tcPr>
            <w:tcW w:w="709" w:type="dxa"/>
            <w:vAlign w:val="center"/>
          </w:tcPr>
          <w:p w14:paraId="6C58C5E8">
            <w:pPr>
              <w:spacing w:line="360" w:lineRule="exact"/>
              <w:jc w:val="center"/>
              <w:rPr>
                <w:rFonts w:ascii="宋体" w:hAnsi="宋体" w:cs="宋体"/>
                <w:kern w:val="0"/>
                <w:szCs w:val="21"/>
              </w:rPr>
            </w:pPr>
            <w:r>
              <w:rPr>
                <w:rFonts w:hint="eastAsia" w:ascii="宋体" w:hAnsi="宋体" w:cs="宋体"/>
                <w:color w:val="000000"/>
                <w:szCs w:val="21"/>
              </w:rPr>
              <w:t>10</w:t>
            </w:r>
          </w:p>
        </w:tc>
        <w:tc>
          <w:tcPr>
            <w:tcW w:w="5953" w:type="dxa"/>
            <w:vAlign w:val="center"/>
          </w:tcPr>
          <w:p w14:paraId="50D0B6D8">
            <w:pPr>
              <w:spacing w:line="360" w:lineRule="exact"/>
              <w:ind w:firstLine="420" w:firstLineChars="200"/>
              <w:jc w:val="left"/>
              <w:rPr>
                <w:rFonts w:ascii="宋体" w:hAnsi="宋体" w:cs="宋体"/>
                <w:kern w:val="0"/>
                <w:szCs w:val="21"/>
              </w:rPr>
            </w:pPr>
            <w:r>
              <w:rPr>
                <w:rFonts w:hint="eastAsia" w:ascii="宋体" w:hAnsi="宋体" w:cs="宋体"/>
                <w:szCs w:val="21"/>
              </w:rPr>
              <w:t>投标人应如实填写《</w:t>
            </w:r>
            <w:r>
              <w:rPr>
                <w:rFonts w:hint="eastAsia" w:ascii="宋体" w:hAnsi="宋体" w:cs="宋体"/>
                <w:color w:val="000000"/>
                <w:szCs w:val="21"/>
              </w:rPr>
              <w:t>服务要求偏离表</w:t>
            </w:r>
            <w:r>
              <w:rPr>
                <w:rFonts w:hint="eastAsia" w:ascii="宋体" w:hAnsi="宋体" w:cs="宋体"/>
                <w:szCs w:val="21"/>
              </w:rPr>
              <w:t>》，评审委员会根据项目</w:t>
            </w:r>
            <w:r>
              <w:rPr>
                <w:rFonts w:hint="eastAsia" w:ascii="宋体" w:hAnsi="宋体" w:cs="宋体"/>
                <w:color w:val="000000"/>
                <w:szCs w:val="21"/>
              </w:rPr>
              <w:t>服务要求</w:t>
            </w:r>
            <w:r>
              <w:rPr>
                <w:rFonts w:hint="eastAsia" w:ascii="宋体" w:hAnsi="宋体" w:cs="宋体"/>
                <w:szCs w:val="21"/>
              </w:rPr>
              <w:t>条款响应情况进行打分，</w:t>
            </w:r>
            <w:r>
              <w:rPr>
                <w:rFonts w:hint="eastAsia" w:ascii="宋体" w:hAnsi="宋体" w:cs="仿宋"/>
                <w:szCs w:val="21"/>
              </w:rPr>
              <w:t>各项非实质性服务参数指标及要求</w:t>
            </w:r>
            <w:r>
              <w:rPr>
                <w:rFonts w:hint="eastAsia" w:ascii="宋体" w:hAnsi="宋体" w:cs="宋体"/>
                <w:szCs w:val="21"/>
              </w:rPr>
              <w:t>全部满足的得10分，</w:t>
            </w:r>
            <w:r>
              <w:rPr>
                <w:rFonts w:hint="eastAsia" w:ascii="宋体" w:hAnsi="宋体" w:cs="宋体"/>
                <w:color w:val="000000"/>
                <w:szCs w:val="21"/>
              </w:rPr>
              <w:t>每负偏离一项扣0.95分，</w:t>
            </w:r>
            <w:r>
              <w:rPr>
                <w:rFonts w:hint="eastAsia" w:ascii="宋体" w:hAnsi="宋体" w:cs="宋体"/>
                <w:bCs/>
                <w:szCs w:val="21"/>
              </w:rPr>
              <w:t>扣完为止。</w:t>
            </w:r>
          </w:p>
        </w:tc>
        <w:tc>
          <w:tcPr>
            <w:tcW w:w="1187" w:type="dxa"/>
            <w:vAlign w:val="center"/>
          </w:tcPr>
          <w:p w14:paraId="2E08C0F7">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0785D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754" w:type="dxa"/>
            <w:vAlign w:val="center"/>
          </w:tcPr>
          <w:p w14:paraId="2AF51CFE">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4CF67EF2">
            <w:pPr>
              <w:spacing w:line="360" w:lineRule="exact"/>
              <w:jc w:val="center"/>
              <w:rPr>
                <w:rFonts w:ascii="宋体" w:hAnsi="宋体" w:cs="宋体"/>
                <w:kern w:val="0"/>
                <w:szCs w:val="21"/>
              </w:rPr>
            </w:pPr>
            <w:r>
              <w:rPr>
                <w:rFonts w:hint="eastAsia" w:ascii="宋体" w:hAnsi="宋体" w:cs="宋体"/>
                <w:szCs w:val="21"/>
              </w:rPr>
              <w:t>实施方案</w:t>
            </w:r>
          </w:p>
        </w:tc>
        <w:tc>
          <w:tcPr>
            <w:tcW w:w="709" w:type="dxa"/>
            <w:vAlign w:val="center"/>
          </w:tcPr>
          <w:p w14:paraId="277B8D8C">
            <w:pPr>
              <w:spacing w:line="360" w:lineRule="exact"/>
              <w:jc w:val="center"/>
              <w:rPr>
                <w:rFonts w:ascii="宋体" w:hAnsi="宋体" w:cs="宋体"/>
                <w:kern w:val="0"/>
                <w:szCs w:val="21"/>
              </w:rPr>
            </w:pPr>
            <w:r>
              <w:rPr>
                <w:rFonts w:hint="eastAsia" w:ascii="宋体" w:hAnsi="宋体" w:cs="宋体"/>
                <w:szCs w:val="21"/>
              </w:rPr>
              <w:t>10</w:t>
            </w:r>
          </w:p>
        </w:tc>
        <w:tc>
          <w:tcPr>
            <w:tcW w:w="5953" w:type="dxa"/>
          </w:tcPr>
          <w:p w14:paraId="56C647DD">
            <w:pPr>
              <w:spacing w:line="360" w:lineRule="exact"/>
              <w:jc w:val="left"/>
              <w:rPr>
                <w:rFonts w:ascii="宋体" w:hAnsi="宋体" w:cs="宋体"/>
                <w:szCs w:val="21"/>
              </w:rPr>
            </w:pPr>
            <w:r>
              <w:rPr>
                <w:rFonts w:hint="eastAsia" w:ascii="宋体" w:hAnsi="宋体" w:cs="宋体"/>
                <w:szCs w:val="21"/>
              </w:rPr>
              <w:t>（一）评分内容：</w:t>
            </w:r>
          </w:p>
          <w:p w14:paraId="286BABFE">
            <w:pPr>
              <w:spacing w:line="360" w:lineRule="exact"/>
              <w:jc w:val="left"/>
              <w:rPr>
                <w:rFonts w:ascii="宋体" w:hAnsi="宋体" w:cs="宋体"/>
                <w:szCs w:val="21"/>
              </w:rPr>
            </w:pPr>
            <w:r>
              <w:rPr>
                <w:rFonts w:hint="eastAsia" w:ascii="宋体" w:hAnsi="宋体" w:cs="宋体"/>
                <w:szCs w:val="21"/>
              </w:rPr>
              <w:t>对投标人提供的本项目的实施方案进行评审，具体包含以下内容：</w:t>
            </w:r>
          </w:p>
          <w:p w14:paraId="3E7FDAB1">
            <w:pPr>
              <w:spacing w:line="360" w:lineRule="exact"/>
              <w:jc w:val="left"/>
              <w:rPr>
                <w:rFonts w:ascii="宋体" w:hAnsi="宋体" w:cs="宋体"/>
                <w:szCs w:val="21"/>
              </w:rPr>
            </w:pPr>
            <w:r>
              <w:rPr>
                <w:rFonts w:hint="eastAsia" w:ascii="宋体" w:hAnsi="宋体" w:cs="宋体"/>
                <w:szCs w:val="21"/>
              </w:rPr>
              <w:t>（1）技术团队构架、技术人员安排；</w:t>
            </w:r>
          </w:p>
          <w:p w14:paraId="6204984B">
            <w:pPr>
              <w:spacing w:line="360" w:lineRule="exact"/>
              <w:jc w:val="left"/>
              <w:rPr>
                <w:rFonts w:ascii="宋体" w:hAnsi="宋体" w:cs="宋体"/>
                <w:szCs w:val="21"/>
              </w:rPr>
            </w:pPr>
            <w:r>
              <w:rPr>
                <w:rFonts w:hint="eastAsia" w:ascii="宋体" w:hAnsi="宋体" w:cs="宋体"/>
                <w:szCs w:val="21"/>
              </w:rPr>
              <w:t>（2）项目质量保障方案</w:t>
            </w:r>
            <w:r>
              <w:rPr>
                <w:rFonts w:hint="eastAsia"/>
              </w:rPr>
              <w:t>；</w:t>
            </w:r>
          </w:p>
          <w:p w14:paraId="419269BE">
            <w:pPr>
              <w:spacing w:line="360" w:lineRule="exact"/>
              <w:jc w:val="left"/>
              <w:rPr>
                <w:rFonts w:ascii="宋体" w:hAnsi="宋体" w:cs="宋体"/>
                <w:szCs w:val="21"/>
              </w:rPr>
            </w:pPr>
            <w:r>
              <w:rPr>
                <w:rFonts w:hint="eastAsia" w:ascii="宋体" w:hAnsi="宋体" w:cs="宋体"/>
                <w:szCs w:val="21"/>
              </w:rPr>
              <w:t>（3）项目实施计划</w:t>
            </w:r>
            <w:r>
              <w:rPr>
                <w:rFonts w:hint="eastAsia"/>
              </w:rPr>
              <w:t>。</w:t>
            </w:r>
          </w:p>
          <w:p w14:paraId="288AA3FD">
            <w:pPr>
              <w:spacing w:line="360" w:lineRule="exact"/>
              <w:jc w:val="left"/>
              <w:rPr>
                <w:rFonts w:ascii="宋体" w:hAnsi="宋体" w:cs="宋体"/>
                <w:szCs w:val="21"/>
              </w:rPr>
            </w:pPr>
            <w:r>
              <w:rPr>
                <w:rFonts w:hint="eastAsia" w:ascii="宋体" w:hAnsi="宋体" w:cs="宋体"/>
                <w:szCs w:val="21"/>
              </w:rPr>
              <w:t>（二）评分依据：</w:t>
            </w:r>
          </w:p>
          <w:p w14:paraId="443BBA79">
            <w:pPr>
              <w:spacing w:line="360" w:lineRule="exact"/>
              <w:jc w:val="left"/>
              <w:rPr>
                <w:rFonts w:ascii="宋体" w:hAnsi="宋体" w:cs="宋体"/>
                <w:szCs w:val="21"/>
              </w:rPr>
            </w:pPr>
            <w:r>
              <w:rPr>
                <w:rFonts w:hint="eastAsia" w:ascii="宋体" w:hAnsi="宋体" w:cs="宋体"/>
                <w:szCs w:val="21"/>
              </w:rPr>
              <w:t>以上内容每提供一项得2分，全部提供得6分。在此基础上，专家根据各供应商的具体响应内容按照量化的评审因素指标进一步评审：</w:t>
            </w:r>
          </w:p>
          <w:p w14:paraId="2C1C4A06">
            <w:pPr>
              <w:spacing w:line="360" w:lineRule="exact"/>
              <w:jc w:val="left"/>
              <w:rPr>
                <w:rFonts w:ascii="宋体" w:hAnsi="宋体" w:cs="宋体"/>
                <w:szCs w:val="21"/>
              </w:rPr>
            </w:pPr>
            <w:r>
              <w:rPr>
                <w:rFonts w:hint="eastAsia" w:ascii="宋体" w:hAnsi="宋体" w:cs="宋体"/>
                <w:szCs w:val="21"/>
              </w:rPr>
              <w:t>（1）方案符合实际、完整、规范、思路清晰，内容合理性强，加4分；</w:t>
            </w:r>
          </w:p>
          <w:p w14:paraId="4E1EA28E">
            <w:pPr>
              <w:spacing w:line="360" w:lineRule="exact"/>
              <w:jc w:val="left"/>
              <w:rPr>
                <w:rFonts w:ascii="宋体" w:hAnsi="宋体" w:cs="宋体"/>
                <w:szCs w:val="21"/>
              </w:rPr>
            </w:pPr>
            <w:r>
              <w:rPr>
                <w:rFonts w:hint="eastAsia" w:ascii="宋体" w:hAnsi="宋体" w:cs="宋体"/>
                <w:szCs w:val="21"/>
              </w:rPr>
              <w:t>（2）方案较符合实际、较完整规范、思路较清晰，内容合理性较强，加3分；</w:t>
            </w:r>
          </w:p>
          <w:p w14:paraId="7ADAF721">
            <w:pPr>
              <w:spacing w:line="360" w:lineRule="exact"/>
              <w:jc w:val="left"/>
              <w:rPr>
                <w:rFonts w:ascii="宋体" w:hAnsi="宋体" w:cs="宋体"/>
                <w:szCs w:val="21"/>
              </w:rPr>
            </w:pPr>
            <w:r>
              <w:rPr>
                <w:rFonts w:hint="eastAsia" w:ascii="宋体" w:hAnsi="宋体" w:cs="宋体"/>
                <w:szCs w:val="21"/>
              </w:rPr>
              <w:t>（3）方案较普通、完整性规范性一般，思路不够清晰，内容合理性一般，加1分；</w:t>
            </w:r>
          </w:p>
          <w:p w14:paraId="1DF6E7C5">
            <w:pPr>
              <w:spacing w:line="360" w:lineRule="exact"/>
              <w:jc w:val="left"/>
              <w:rPr>
                <w:rFonts w:ascii="宋体" w:hAnsi="宋体" w:cs="宋体"/>
                <w:szCs w:val="21"/>
              </w:rPr>
            </w:pPr>
            <w:r>
              <w:rPr>
                <w:rFonts w:hint="eastAsia" w:ascii="宋体" w:hAnsi="宋体" w:cs="宋体"/>
                <w:szCs w:val="21"/>
              </w:rPr>
              <w:t>（4）方案不完整、不规范，思路不清晰，内容合理性较差或未提供，不加分。</w:t>
            </w:r>
          </w:p>
        </w:tc>
        <w:tc>
          <w:tcPr>
            <w:tcW w:w="1187" w:type="dxa"/>
            <w:vAlign w:val="center"/>
          </w:tcPr>
          <w:p w14:paraId="414B283D">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6C37C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27011C42">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143" w:type="dxa"/>
            <w:vAlign w:val="center"/>
          </w:tcPr>
          <w:p w14:paraId="20E0F0A8">
            <w:pPr>
              <w:spacing w:line="360" w:lineRule="exact"/>
              <w:jc w:val="center"/>
              <w:rPr>
                <w:rFonts w:ascii="宋体" w:hAnsi="宋体" w:cs="宋体"/>
                <w:kern w:val="0"/>
                <w:szCs w:val="21"/>
              </w:rPr>
            </w:pPr>
            <w:r>
              <w:rPr>
                <w:rFonts w:hint="eastAsia" w:ascii="宋体" w:hAnsi="宋体" w:cs="宋体"/>
                <w:szCs w:val="21"/>
              </w:rPr>
              <w:t>项目重点难点分析、应对措施及相关的合理化建议</w:t>
            </w:r>
          </w:p>
        </w:tc>
        <w:tc>
          <w:tcPr>
            <w:tcW w:w="709" w:type="dxa"/>
            <w:vAlign w:val="center"/>
          </w:tcPr>
          <w:p w14:paraId="415D84C2">
            <w:pPr>
              <w:spacing w:line="360" w:lineRule="exact"/>
              <w:jc w:val="center"/>
              <w:rPr>
                <w:rFonts w:ascii="宋体" w:hAnsi="宋体" w:cs="宋体"/>
                <w:kern w:val="0"/>
                <w:szCs w:val="21"/>
              </w:rPr>
            </w:pPr>
            <w:r>
              <w:rPr>
                <w:rFonts w:hint="eastAsia" w:ascii="宋体" w:hAnsi="宋体" w:cs="宋体"/>
                <w:szCs w:val="21"/>
              </w:rPr>
              <w:t>10</w:t>
            </w:r>
          </w:p>
        </w:tc>
        <w:tc>
          <w:tcPr>
            <w:tcW w:w="5953" w:type="dxa"/>
            <w:vAlign w:val="center"/>
          </w:tcPr>
          <w:p w14:paraId="72AF9664">
            <w:pPr>
              <w:spacing w:line="360" w:lineRule="exact"/>
              <w:rPr>
                <w:rFonts w:ascii="宋体" w:hAnsi="宋体" w:cs="宋体"/>
                <w:szCs w:val="21"/>
              </w:rPr>
            </w:pPr>
            <w:r>
              <w:rPr>
                <w:rFonts w:hint="eastAsia" w:ascii="宋体" w:hAnsi="宋体" w:cs="宋体"/>
                <w:szCs w:val="21"/>
              </w:rPr>
              <w:t>（一）评分内容：</w:t>
            </w:r>
          </w:p>
          <w:p w14:paraId="599B466E">
            <w:pPr>
              <w:spacing w:line="360" w:lineRule="exact"/>
              <w:rPr>
                <w:rFonts w:ascii="宋体" w:hAnsi="宋体" w:cs="宋体"/>
                <w:szCs w:val="21"/>
              </w:rPr>
            </w:pPr>
            <w:r>
              <w:rPr>
                <w:rFonts w:hint="eastAsia" w:ascii="宋体" w:hAnsi="宋体" w:cs="宋体"/>
                <w:szCs w:val="21"/>
              </w:rPr>
              <w:t>考察投标人提供的项目重点难点分析、应对措施及相关的合理化建议，包含以下内容：</w:t>
            </w:r>
          </w:p>
          <w:p w14:paraId="108EA212">
            <w:pPr>
              <w:spacing w:line="360" w:lineRule="exact"/>
              <w:rPr>
                <w:rFonts w:ascii="宋体" w:hAnsi="宋体" w:cs="宋体"/>
                <w:szCs w:val="21"/>
              </w:rPr>
            </w:pPr>
            <w:r>
              <w:rPr>
                <w:rFonts w:hint="eastAsia" w:ascii="宋体" w:hAnsi="宋体" w:cs="宋体"/>
                <w:szCs w:val="21"/>
              </w:rPr>
              <w:t>1、项目重点难点分析；</w:t>
            </w:r>
          </w:p>
          <w:p w14:paraId="19CFB9D8">
            <w:pPr>
              <w:spacing w:line="360" w:lineRule="exact"/>
              <w:rPr>
                <w:rFonts w:ascii="宋体" w:hAnsi="宋体" w:cs="宋体"/>
                <w:szCs w:val="21"/>
              </w:rPr>
            </w:pPr>
            <w:r>
              <w:rPr>
                <w:rFonts w:hint="eastAsia" w:ascii="宋体" w:hAnsi="宋体" w:cs="宋体"/>
                <w:szCs w:val="21"/>
              </w:rPr>
              <w:t>2、针对项目重点难点逐项提出应对措施；</w:t>
            </w:r>
          </w:p>
          <w:p w14:paraId="1A90D4B8">
            <w:pPr>
              <w:spacing w:line="360" w:lineRule="exact"/>
              <w:rPr>
                <w:rFonts w:ascii="宋体" w:hAnsi="宋体" w:cs="宋体"/>
                <w:szCs w:val="21"/>
              </w:rPr>
            </w:pPr>
            <w:r>
              <w:rPr>
                <w:rFonts w:hint="eastAsia" w:ascii="宋体" w:hAnsi="宋体" w:cs="宋体"/>
                <w:szCs w:val="21"/>
              </w:rPr>
              <w:t>3、相关的合理化建议。</w:t>
            </w:r>
          </w:p>
          <w:p w14:paraId="68D89D03">
            <w:pPr>
              <w:spacing w:line="360" w:lineRule="exact"/>
              <w:rPr>
                <w:rFonts w:ascii="宋体" w:hAnsi="宋体" w:cs="宋体"/>
                <w:szCs w:val="21"/>
              </w:rPr>
            </w:pPr>
            <w:r>
              <w:rPr>
                <w:rFonts w:hint="eastAsia" w:ascii="宋体" w:hAnsi="宋体" w:cs="宋体"/>
                <w:szCs w:val="21"/>
              </w:rPr>
              <w:t>（二）评分标准：</w:t>
            </w:r>
          </w:p>
          <w:p w14:paraId="563DD977">
            <w:pPr>
              <w:spacing w:line="360" w:lineRule="exact"/>
              <w:rPr>
                <w:rFonts w:ascii="宋体" w:hAnsi="宋体" w:cs="宋体"/>
                <w:szCs w:val="21"/>
              </w:rPr>
            </w:pPr>
            <w:r>
              <w:rPr>
                <w:rFonts w:hint="eastAsia" w:ascii="宋体" w:hAnsi="宋体" w:cs="宋体"/>
                <w:szCs w:val="21"/>
              </w:rPr>
              <w:t>方案包含以上三项内容得3分；包含以上二项内容得2分；包含以上一项内容得1分；其他情况不得分。</w:t>
            </w:r>
          </w:p>
          <w:p w14:paraId="6B64C322">
            <w:pPr>
              <w:spacing w:line="360" w:lineRule="exact"/>
              <w:rPr>
                <w:rFonts w:ascii="宋体" w:hAnsi="宋体" w:cs="宋体"/>
                <w:szCs w:val="21"/>
              </w:rPr>
            </w:pPr>
            <w:r>
              <w:rPr>
                <w:rFonts w:hint="eastAsia" w:ascii="宋体" w:hAnsi="宋体" w:cs="宋体"/>
                <w:szCs w:val="21"/>
              </w:rPr>
              <w:t>在此基础上，根据方案响应情况进一步评审：</w:t>
            </w:r>
          </w:p>
          <w:p w14:paraId="68F96CF6">
            <w:pPr>
              <w:spacing w:line="360" w:lineRule="exact"/>
              <w:rPr>
                <w:rFonts w:ascii="宋体" w:hAnsi="宋体" w:cs="宋体"/>
                <w:szCs w:val="21"/>
              </w:rPr>
            </w:pPr>
            <w:r>
              <w:rPr>
                <w:rFonts w:hint="eastAsia" w:ascii="宋体" w:hAnsi="宋体" w:cs="宋体"/>
                <w:szCs w:val="21"/>
              </w:rPr>
              <w:t>1.重点难点分析全面，应对措施可行性高，相关建议科学合理的，加7分；</w:t>
            </w:r>
          </w:p>
          <w:p w14:paraId="444F6D2F">
            <w:pPr>
              <w:spacing w:line="360" w:lineRule="exact"/>
              <w:rPr>
                <w:rFonts w:ascii="宋体" w:hAnsi="宋体" w:cs="宋体"/>
                <w:szCs w:val="21"/>
              </w:rPr>
            </w:pPr>
            <w:r>
              <w:rPr>
                <w:rFonts w:hint="eastAsia" w:ascii="宋体" w:hAnsi="宋体" w:cs="宋体"/>
                <w:szCs w:val="21"/>
              </w:rPr>
              <w:t>2.重点难点分析比较全面，应对措施可行性较高，相关建议比较合理的，加5分；</w:t>
            </w:r>
          </w:p>
          <w:p w14:paraId="46153038">
            <w:pPr>
              <w:spacing w:line="360" w:lineRule="exact"/>
              <w:rPr>
                <w:rFonts w:ascii="宋体" w:hAnsi="宋体" w:cs="宋体"/>
                <w:szCs w:val="21"/>
              </w:rPr>
            </w:pPr>
            <w:r>
              <w:rPr>
                <w:rFonts w:hint="eastAsia" w:ascii="宋体" w:hAnsi="宋体" w:cs="宋体"/>
                <w:szCs w:val="21"/>
              </w:rPr>
              <w:t>3.重点难点分析不够全面，应对措施可行性一般，相关建议不够合理的，加3分；</w:t>
            </w:r>
          </w:p>
          <w:p w14:paraId="05C702A1">
            <w:pPr>
              <w:spacing w:line="360" w:lineRule="exact"/>
              <w:rPr>
                <w:rFonts w:ascii="宋体" w:hAnsi="宋体" w:cs="宋体"/>
                <w:kern w:val="0"/>
                <w:szCs w:val="21"/>
              </w:rPr>
            </w:pPr>
            <w:r>
              <w:rPr>
                <w:rFonts w:hint="eastAsia" w:ascii="宋体" w:hAnsi="宋体" w:cs="宋体"/>
                <w:szCs w:val="21"/>
              </w:rPr>
              <w:t>4.重点难点分析不全面，应对措施可行性低，相关建议不合理的，不加分。</w:t>
            </w:r>
          </w:p>
        </w:tc>
        <w:tc>
          <w:tcPr>
            <w:tcW w:w="1187" w:type="dxa"/>
            <w:vAlign w:val="center"/>
          </w:tcPr>
          <w:p w14:paraId="59FC36FC">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3B874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75" w:hRule="atLeast"/>
          <w:jc w:val="center"/>
        </w:trPr>
        <w:tc>
          <w:tcPr>
            <w:tcW w:w="754" w:type="dxa"/>
            <w:vAlign w:val="center"/>
          </w:tcPr>
          <w:p w14:paraId="072F2A79">
            <w:pPr>
              <w:widowControl/>
              <w:snapToGrid w:val="0"/>
              <w:spacing w:line="36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4</w:t>
            </w:r>
          </w:p>
        </w:tc>
        <w:tc>
          <w:tcPr>
            <w:tcW w:w="1143" w:type="dxa"/>
            <w:vAlign w:val="center"/>
          </w:tcPr>
          <w:p w14:paraId="5CBD6F14">
            <w:pPr>
              <w:spacing w:line="360" w:lineRule="exact"/>
              <w:jc w:val="center"/>
              <w:rPr>
                <w:rFonts w:ascii="宋体" w:hAnsi="宋体" w:cs="宋体"/>
                <w:szCs w:val="21"/>
              </w:rPr>
            </w:pPr>
            <w:r>
              <w:rPr>
                <w:rFonts w:hint="eastAsia" w:ascii="宋体" w:hAnsi="宋体" w:cs="宋体"/>
                <w:szCs w:val="21"/>
              </w:rPr>
              <w:t>质量（完成时间、安全、环保）保障措施及方案</w:t>
            </w:r>
          </w:p>
        </w:tc>
        <w:tc>
          <w:tcPr>
            <w:tcW w:w="709" w:type="dxa"/>
            <w:vAlign w:val="center"/>
          </w:tcPr>
          <w:p w14:paraId="1B42AFFB">
            <w:pPr>
              <w:spacing w:line="360" w:lineRule="exact"/>
              <w:jc w:val="center"/>
              <w:rPr>
                <w:rFonts w:ascii="宋体" w:hAnsi="宋体" w:cs="宋体"/>
                <w:kern w:val="0"/>
                <w:szCs w:val="21"/>
              </w:rPr>
            </w:pPr>
            <w:r>
              <w:rPr>
                <w:rFonts w:hint="eastAsia" w:ascii="宋体" w:hAnsi="宋体" w:cs="宋体"/>
                <w:szCs w:val="21"/>
              </w:rPr>
              <w:t>10</w:t>
            </w:r>
          </w:p>
        </w:tc>
        <w:tc>
          <w:tcPr>
            <w:tcW w:w="5953" w:type="dxa"/>
            <w:vAlign w:val="center"/>
          </w:tcPr>
          <w:p w14:paraId="0C358EB8">
            <w:pPr>
              <w:spacing w:line="360" w:lineRule="exact"/>
              <w:jc w:val="left"/>
              <w:rPr>
                <w:rFonts w:ascii="宋体" w:hAnsi="宋体" w:cs="宋体"/>
                <w:szCs w:val="21"/>
              </w:rPr>
            </w:pPr>
            <w:r>
              <w:rPr>
                <w:rFonts w:hint="eastAsia" w:ascii="宋体" w:hAnsi="宋体" w:cs="宋体"/>
                <w:szCs w:val="21"/>
              </w:rPr>
              <w:t>（一）评分内容：</w:t>
            </w:r>
          </w:p>
          <w:p w14:paraId="191DD995">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考察投标人提供的</w:t>
            </w:r>
            <w:r>
              <w:rPr>
                <w:rFonts w:hint="eastAsia" w:asciiTheme="minorEastAsia" w:hAnsiTheme="minorEastAsia" w:eastAsiaTheme="minorEastAsia"/>
                <w:szCs w:val="21"/>
              </w:rPr>
              <w:t>质量保障措施及方案</w:t>
            </w:r>
            <w:r>
              <w:rPr>
                <w:rFonts w:hint="eastAsia" w:asciiTheme="minorEastAsia" w:hAnsiTheme="minorEastAsia" w:eastAsiaTheme="minorEastAsia"/>
                <w:kern w:val="0"/>
                <w:szCs w:val="21"/>
              </w:rPr>
              <w:t>，包含以下内容：</w:t>
            </w:r>
          </w:p>
          <w:p w14:paraId="5B9105DC">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1、项目质量管理制度；</w:t>
            </w:r>
          </w:p>
          <w:p w14:paraId="64BE9773">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2、服务质量检查、整改方案；</w:t>
            </w:r>
          </w:p>
          <w:p w14:paraId="5CAE2C4B">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3、项目成果保障措施。</w:t>
            </w:r>
          </w:p>
          <w:p w14:paraId="2601B8E0">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759D8C61">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方案包含以上三项内容得3分；包含以上二项内容得2分；包含以上一项内容得1分；其他情况不得分。</w:t>
            </w:r>
          </w:p>
          <w:p w14:paraId="5BFC0295">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在此基础上，根据方案响应情况进一步评审：</w:t>
            </w:r>
          </w:p>
          <w:p w14:paraId="6C71EAE0">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kern w:val="0"/>
                <w:szCs w:val="21"/>
              </w:rPr>
              <w:t>质量管理制度科学完善，质量检查、整改方案和项目成果保障措施可行性高的</w:t>
            </w:r>
            <w:r>
              <w:rPr>
                <w:rFonts w:hint="eastAsia" w:asciiTheme="minorEastAsia" w:hAnsiTheme="minorEastAsia" w:eastAsiaTheme="minorEastAsia"/>
                <w:szCs w:val="21"/>
              </w:rPr>
              <w:t>，加7分；</w:t>
            </w:r>
          </w:p>
          <w:p w14:paraId="74385DE5">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kern w:val="0"/>
                <w:szCs w:val="21"/>
              </w:rPr>
              <w:t>质量管理制度比较完善，质量检查、整改方案和项目成果保障措施可行性较高的</w:t>
            </w:r>
            <w:r>
              <w:rPr>
                <w:rFonts w:hint="eastAsia" w:asciiTheme="minorEastAsia" w:hAnsiTheme="minorEastAsia" w:eastAsiaTheme="minorEastAsia"/>
                <w:szCs w:val="21"/>
              </w:rPr>
              <w:t>，加5分；</w:t>
            </w:r>
          </w:p>
          <w:p w14:paraId="5C4675E1">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kern w:val="0"/>
                <w:szCs w:val="21"/>
              </w:rPr>
              <w:t>质量管理制度不够完善，质量检查、整改方案和项目成果保障措施可行性一般的</w:t>
            </w:r>
            <w:r>
              <w:rPr>
                <w:rFonts w:hint="eastAsia" w:asciiTheme="minorEastAsia" w:hAnsiTheme="minorEastAsia" w:eastAsiaTheme="minorEastAsia"/>
                <w:szCs w:val="21"/>
              </w:rPr>
              <w:t>，加3分；</w:t>
            </w:r>
          </w:p>
          <w:p w14:paraId="076DCC5E">
            <w:pPr>
              <w:pStyle w:val="18"/>
              <w:rPr>
                <w:rFonts w:ascii="宋体" w:hAnsi="宋体" w:cs="宋体"/>
                <w:szCs w:val="21"/>
              </w:rPr>
            </w:pPr>
            <w:r>
              <w:rPr>
                <w:rFonts w:hint="eastAsia" w:asciiTheme="minorEastAsia" w:hAnsiTheme="minorEastAsia" w:eastAsiaTheme="minorEastAsia"/>
                <w:szCs w:val="21"/>
              </w:rPr>
              <w:t>4.</w:t>
            </w:r>
            <w:r>
              <w:rPr>
                <w:rFonts w:hint="eastAsia" w:asciiTheme="minorEastAsia" w:hAnsiTheme="minorEastAsia" w:eastAsiaTheme="minorEastAsia"/>
                <w:kern w:val="0"/>
                <w:szCs w:val="21"/>
              </w:rPr>
              <w:t>质量管理制度不完善，质量检查、整改方案和项目成果保障措施可行性低的</w:t>
            </w:r>
            <w:r>
              <w:rPr>
                <w:rFonts w:hint="eastAsia" w:asciiTheme="minorEastAsia" w:hAnsiTheme="minorEastAsia" w:eastAsiaTheme="minorEastAsia"/>
                <w:szCs w:val="21"/>
              </w:rPr>
              <w:t>，不加分</w:t>
            </w:r>
            <w:r>
              <w:rPr>
                <w:rFonts w:hint="eastAsia" w:ascii="宋体" w:hAnsi="宋体" w:cs="宋体"/>
                <w:szCs w:val="21"/>
              </w:rPr>
              <w:t>。</w:t>
            </w:r>
          </w:p>
        </w:tc>
        <w:tc>
          <w:tcPr>
            <w:tcW w:w="1187" w:type="dxa"/>
            <w:vAlign w:val="center"/>
          </w:tcPr>
          <w:p w14:paraId="55452AD7">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290D4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345920A9">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lang w:val="zh-CN"/>
              </w:rPr>
              <w:t>三、商务部分</w:t>
            </w:r>
          </w:p>
        </w:tc>
        <w:tc>
          <w:tcPr>
            <w:tcW w:w="1187" w:type="dxa"/>
            <w:vAlign w:val="center"/>
          </w:tcPr>
          <w:p w14:paraId="1F3B95AB">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highlight w:val="yellow"/>
              </w:rPr>
              <w:t>50</w:t>
            </w:r>
          </w:p>
        </w:tc>
      </w:tr>
      <w:tr w14:paraId="3F3EE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5DCF35D5">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序号</w:t>
            </w:r>
          </w:p>
        </w:tc>
        <w:tc>
          <w:tcPr>
            <w:tcW w:w="1143" w:type="dxa"/>
            <w:vAlign w:val="center"/>
          </w:tcPr>
          <w:p w14:paraId="43643CA8">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内容</w:t>
            </w:r>
          </w:p>
        </w:tc>
        <w:tc>
          <w:tcPr>
            <w:tcW w:w="709" w:type="dxa"/>
            <w:vAlign w:val="center"/>
          </w:tcPr>
          <w:p w14:paraId="02186025">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权重</w:t>
            </w:r>
          </w:p>
        </w:tc>
        <w:tc>
          <w:tcPr>
            <w:tcW w:w="5953" w:type="dxa"/>
            <w:vAlign w:val="center"/>
          </w:tcPr>
          <w:p w14:paraId="1F54A7E6">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评分规则</w:t>
            </w:r>
          </w:p>
        </w:tc>
        <w:tc>
          <w:tcPr>
            <w:tcW w:w="1187" w:type="dxa"/>
            <w:vAlign w:val="center"/>
          </w:tcPr>
          <w:p w14:paraId="2305023F">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评分方式</w:t>
            </w:r>
          </w:p>
        </w:tc>
      </w:tr>
      <w:tr w14:paraId="13F74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754" w:type="dxa"/>
            <w:vAlign w:val="center"/>
          </w:tcPr>
          <w:p w14:paraId="7241D9FB">
            <w:pPr>
              <w:jc w:val="center"/>
              <w:rPr>
                <w:rFonts w:cs="仿宋" w:asciiTheme="minorEastAsia" w:hAnsiTheme="minorEastAsia" w:eastAsiaTheme="minorEastAsia"/>
                <w:szCs w:val="21"/>
                <w:lang w:val="zh-CN"/>
              </w:rPr>
            </w:pPr>
            <w:r>
              <w:rPr>
                <w:rFonts w:hint="eastAsia" w:ascii="宋体" w:hAnsi="宋体"/>
                <w:szCs w:val="21"/>
              </w:rPr>
              <w:t>1</w:t>
            </w:r>
          </w:p>
        </w:tc>
        <w:tc>
          <w:tcPr>
            <w:tcW w:w="1143" w:type="dxa"/>
            <w:vAlign w:val="center"/>
          </w:tcPr>
          <w:p w14:paraId="448BCFC5">
            <w:pPr>
              <w:spacing w:line="360" w:lineRule="exact"/>
              <w:jc w:val="center"/>
              <w:rPr>
                <w:rFonts w:asciiTheme="minorEastAsia" w:hAnsiTheme="minorEastAsia" w:eastAsiaTheme="minorEastAsia" w:cstheme="minorEastAsia"/>
                <w:kern w:val="0"/>
                <w:szCs w:val="21"/>
              </w:rPr>
            </w:pPr>
            <w:r>
              <w:rPr>
                <w:rFonts w:hint="eastAsia" w:ascii="宋体" w:hAnsi="宋体" w:cs="宋体"/>
                <w:szCs w:val="21"/>
              </w:rPr>
              <w:t>商务</w:t>
            </w:r>
            <w:r>
              <w:rPr>
                <w:rFonts w:hint="eastAsia" w:ascii="宋体" w:hAnsi="宋体" w:cs="宋体"/>
                <w:bCs/>
                <w:szCs w:val="21"/>
              </w:rPr>
              <w:t>条款</w:t>
            </w:r>
            <w:r>
              <w:rPr>
                <w:rFonts w:hint="eastAsia" w:ascii="宋体" w:hAnsi="宋体" w:cs="宋体"/>
                <w:szCs w:val="21"/>
              </w:rPr>
              <w:t>响应情况</w:t>
            </w:r>
          </w:p>
        </w:tc>
        <w:tc>
          <w:tcPr>
            <w:tcW w:w="709" w:type="dxa"/>
            <w:vAlign w:val="center"/>
          </w:tcPr>
          <w:p w14:paraId="06F8EF2B">
            <w:pPr>
              <w:spacing w:line="360" w:lineRule="exact"/>
              <w:ind w:firstLine="210" w:firstLineChars="100"/>
              <w:rPr>
                <w:rFonts w:hint="eastAsia" w:eastAsia="宋体" w:asciiTheme="minorEastAsia" w:hAnsiTheme="minorEastAsia" w:cstheme="minorEastAsia"/>
                <w:kern w:val="0"/>
                <w:szCs w:val="21"/>
                <w:lang w:eastAsia="zh-CN"/>
              </w:rPr>
            </w:pPr>
            <w:r>
              <w:rPr>
                <w:rFonts w:hint="eastAsia" w:ascii="宋体" w:hAnsi="宋体" w:cs="宋体"/>
                <w:szCs w:val="21"/>
                <w:lang w:val="en-US" w:eastAsia="zh-CN"/>
              </w:rPr>
              <w:t>4</w:t>
            </w:r>
          </w:p>
        </w:tc>
        <w:tc>
          <w:tcPr>
            <w:tcW w:w="5953" w:type="dxa"/>
            <w:vAlign w:val="center"/>
          </w:tcPr>
          <w:p w14:paraId="6A12F0D0">
            <w:pPr>
              <w:spacing w:line="360" w:lineRule="exact"/>
              <w:jc w:val="left"/>
              <w:rPr>
                <w:rFonts w:asciiTheme="minorEastAsia" w:hAnsiTheme="minorEastAsia" w:eastAsiaTheme="minorEastAsia" w:cstheme="minorEastAsia"/>
                <w:kern w:val="0"/>
                <w:szCs w:val="21"/>
              </w:rPr>
            </w:pPr>
            <w:r>
              <w:rPr>
                <w:rFonts w:hint="eastAsia" w:ascii="宋体" w:hAnsi="宋体" w:cs="宋体"/>
                <w:szCs w:val="21"/>
              </w:rPr>
              <w:t>投标人应如实填写《商务条款偏离表》，评审委员会根据商务条款响应情况进行评审，各项非实质性要求全部满足的得</w:t>
            </w:r>
            <w:r>
              <w:rPr>
                <w:rFonts w:hint="eastAsia" w:ascii="宋体" w:hAnsi="宋体" w:cs="宋体"/>
                <w:szCs w:val="21"/>
                <w:lang w:val="en-US" w:eastAsia="zh-CN"/>
              </w:rPr>
              <w:t>4</w:t>
            </w:r>
            <w:r>
              <w:rPr>
                <w:rFonts w:hint="eastAsia" w:ascii="宋体" w:hAnsi="宋体" w:cs="宋体"/>
                <w:szCs w:val="21"/>
              </w:rPr>
              <w:t>分，每负偏离一项扣</w:t>
            </w:r>
            <w:r>
              <w:rPr>
                <w:rFonts w:hint="eastAsia" w:ascii="宋体" w:hAnsi="宋体" w:cs="宋体"/>
                <w:szCs w:val="21"/>
                <w:lang w:val="en-US" w:eastAsia="zh-CN"/>
              </w:rPr>
              <w:t>0.5</w:t>
            </w:r>
            <w:r>
              <w:rPr>
                <w:rFonts w:hint="eastAsia" w:ascii="宋体" w:hAnsi="宋体" w:cs="宋体"/>
                <w:szCs w:val="21"/>
              </w:rPr>
              <w:t>分，最低0分。商务要求中包含子项条款的，按子项条款响应情况逐项评分</w:t>
            </w:r>
            <w:r>
              <w:rPr>
                <w:rFonts w:hint="eastAsia" w:ascii="宋体" w:hAnsi="宋体" w:cs="宋体"/>
                <w:color w:val="000000"/>
                <w:szCs w:val="21"/>
              </w:rPr>
              <w:t>。</w:t>
            </w:r>
          </w:p>
        </w:tc>
        <w:tc>
          <w:tcPr>
            <w:tcW w:w="1187" w:type="dxa"/>
            <w:vAlign w:val="center"/>
          </w:tcPr>
          <w:p w14:paraId="709909ED">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1CF9A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85" w:hRule="atLeast"/>
          <w:jc w:val="center"/>
        </w:trPr>
        <w:tc>
          <w:tcPr>
            <w:tcW w:w="754" w:type="dxa"/>
            <w:vAlign w:val="center"/>
          </w:tcPr>
          <w:p w14:paraId="082BC91C">
            <w:pPr>
              <w:jc w:val="center"/>
              <w:rPr>
                <w:rFonts w:cs="宋体" w:asciiTheme="minorEastAsia" w:hAnsiTheme="minorEastAsia" w:eastAsiaTheme="minorEastAsia"/>
                <w:kern w:val="0"/>
                <w:szCs w:val="21"/>
              </w:rPr>
            </w:pPr>
            <w:r>
              <w:rPr>
                <w:rFonts w:ascii="宋体" w:hAnsi="宋体"/>
                <w:szCs w:val="21"/>
              </w:rPr>
              <w:t>2</w:t>
            </w:r>
          </w:p>
        </w:tc>
        <w:tc>
          <w:tcPr>
            <w:tcW w:w="1143" w:type="dxa"/>
            <w:vAlign w:val="center"/>
          </w:tcPr>
          <w:p w14:paraId="48ABCC71">
            <w:pPr>
              <w:spacing w:line="360" w:lineRule="exact"/>
              <w:jc w:val="center"/>
              <w:rPr>
                <w:rFonts w:ascii="宋体" w:hAnsi="宋体" w:cs="宋体"/>
                <w:szCs w:val="21"/>
              </w:rPr>
            </w:pPr>
            <w:r>
              <w:rPr>
                <w:rFonts w:hint="eastAsia" w:ascii="宋体" w:hAnsi="宋体"/>
                <w:szCs w:val="21"/>
              </w:rPr>
              <w:t>投标人通过相关认证情况</w:t>
            </w:r>
          </w:p>
        </w:tc>
        <w:tc>
          <w:tcPr>
            <w:tcW w:w="709" w:type="dxa"/>
            <w:vAlign w:val="center"/>
          </w:tcPr>
          <w:p w14:paraId="25A6EE43">
            <w:pPr>
              <w:spacing w:line="360" w:lineRule="exact"/>
              <w:jc w:val="center"/>
              <w:rPr>
                <w:rFonts w:ascii="宋体" w:hAnsi="宋体" w:cs="宋体"/>
                <w:szCs w:val="21"/>
              </w:rPr>
            </w:pPr>
            <w:r>
              <w:rPr>
                <w:rFonts w:hint="eastAsia" w:ascii="宋体" w:hAnsi="宋体"/>
                <w:szCs w:val="21"/>
              </w:rPr>
              <w:t>8</w:t>
            </w:r>
          </w:p>
        </w:tc>
        <w:tc>
          <w:tcPr>
            <w:tcW w:w="5953" w:type="dxa"/>
          </w:tcPr>
          <w:p w14:paraId="528FE22C">
            <w:pPr>
              <w:spacing w:line="360" w:lineRule="exact"/>
              <w:jc w:val="left"/>
              <w:rPr>
                <w:rFonts w:ascii="宋体" w:hAnsi="宋体"/>
                <w:szCs w:val="21"/>
              </w:rPr>
            </w:pPr>
            <w:r>
              <w:rPr>
                <w:rFonts w:hint="eastAsia" w:ascii="宋体" w:hAnsi="宋体"/>
                <w:szCs w:val="21"/>
              </w:rPr>
              <w:t>（一）评分内容：</w:t>
            </w:r>
          </w:p>
          <w:p w14:paraId="19B6E884">
            <w:pPr>
              <w:spacing w:line="360" w:lineRule="exact"/>
              <w:jc w:val="left"/>
              <w:rPr>
                <w:rFonts w:ascii="宋体" w:hAnsi="宋体"/>
                <w:szCs w:val="21"/>
              </w:rPr>
            </w:pPr>
            <w:r>
              <w:rPr>
                <w:rFonts w:hint="eastAsia" w:ascii="宋体" w:hAnsi="宋体"/>
                <w:szCs w:val="21"/>
              </w:rPr>
              <w:t>1.投标人具有有效期内的ISO 9001质量管理体系认证，得3分；</w:t>
            </w:r>
          </w:p>
          <w:p w14:paraId="3C231066">
            <w:pPr>
              <w:spacing w:line="360" w:lineRule="exact"/>
              <w:jc w:val="left"/>
              <w:rPr>
                <w:rFonts w:ascii="宋体" w:hAnsi="宋体"/>
                <w:szCs w:val="21"/>
              </w:rPr>
            </w:pPr>
            <w:r>
              <w:rPr>
                <w:rFonts w:hint="eastAsia" w:ascii="宋体" w:hAnsi="宋体"/>
                <w:szCs w:val="21"/>
              </w:rPr>
              <w:t>2.投标人具有有效期内的</w:t>
            </w:r>
            <w:r>
              <w:rPr>
                <w:rFonts w:ascii="宋体" w:hAnsi="宋体"/>
                <w:szCs w:val="21"/>
              </w:rPr>
              <w:t>ISO 14001环境管理体系认证</w:t>
            </w:r>
            <w:r>
              <w:rPr>
                <w:rFonts w:hint="eastAsia" w:ascii="宋体" w:hAnsi="宋体"/>
                <w:szCs w:val="21"/>
              </w:rPr>
              <w:t>，得3分；</w:t>
            </w:r>
          </w:p>
          <w:p w14:paraId="79FD0AB8">
            <w:pPr>
              <w:spacing w:line="360" w:lineRule="exact"/>
              <w:jc w:val="left"/>
              <w:rPr>
                <w:rFonts w:ascii="宋体" w:hAnsi="宋体"/>
                <w:szCs w:val="21"/>
              </w:rPr>
            </w:pPr>
            <w:r>
              <w:rPr>
                <w:rFonts w:hint="eastAsia" w:ascii="宋体" w:hAnsi="宋体"/>
                <w:szCs w:val="21"/>
              </w:rPr>
              <w:t>3.投标人具有有效期内ISO 45001（或 OHSAS 18001）职业健康安全管理体系认证，得2分。</w:t>
            </w:r>
          </w:p>
          <w:p w14:paraId="6F545118">
            <w:pPr>
              <w:spacing w:line="360" w:lineRule="exact"/>
              <w:jc w:val="left"/>
              <w:rPr>
                <w:rFonts w:ascii="宋体" w:hAnsi="宋体"/>
                <w:szCs w:val="21"/>
              </w:rPr>
            </w:pPr>
            <w:r>
              <w:rPr>
                <w:rFonts w:hint="eastAsia" w:asciiTheme="minorEastAsia" w:hAnsiTheme="minorEastAsia" w:eastAsiaTheme="minorEastAsia" w:cstheme="minorEastAsia"/>
                <w:kern w:val="0"/>
                <w:szCs w:val="21"/>
                <w:lang w:bidi="ar"/>
              </w:rPr>
              <w:t>如存在与上述认证证书名称有所差异，但属于同类证书，符合同种证书要求的，也可得分。</w:t>
            </w:r>
          </w:p>
          <w:p w14:paraId="74F1A958">
            <w:pPr>
              <w:spacing w:line="360" w:lineRule="exact"/>
              <w:jc w:val="left"/>
              <w:rPr>
                <w:rFonts w:ascii="宋体" w:hAnsi="宋体"/>
                <w:szCs w:val="21"/>
              </w:rPr>
            </w:pPr>
            <w:r>
              <w:rPr>
                <w:rFonts w:hint="eastAsia" w:ascii="宋体" w:hAnsi="宋体"/>
                <w:szCs w:val="21"/>
              </w:rPr>
              <w:t>（二）评分依据：</w:t>
            </w:r>
          </w:p>
          <w:p w14:paraId="7D7C36C7">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1.提供有效认证证书（如认证证书注明年审要求的，必须按规定年审且证书在有效期内的方为有效；如未注明年审要求的，证书必须在有效期内的方为有效）；</w:t>
            </w:r>
          </w:p>
          <w:p w14:paraId="1A4C129B">
            <w:pPr>
              <w:autoSpaceDE w:val="0"/>
              <w:autoSpaceDN w:val="0"/>
              <w:adjustRightInd w:val="0"/>
              <w:spacing w:line="360" w:lineRule="exact"/>
              <w:jc w:val="left"/>
              <w:rPr>
                <w:rFonts w:cs="仿宋" w:asciiTheme="minorEastAsia" w:hAnsiTheme="minorEastAsia" w:eastAsiaTheme="minorEastAsia"/>
                <w:szCs w:val="21"/>
                <w:lang w:val="zh-CN"/>
              </w:rPr>
            </w:pPr>
            <w:r>
              <w:rPr>
                <w:rFonts w:hint="eastAsia" w:asciiTheme="minorEastAsia" w:hAnsiTheme="minorEastAsia" w:eastAsiaTheme="minorEastAsia"/>
                <w:kern w:val="0"/>
                <w:szCs w:val="21"/>
              </w:rPr>
              <w:t>2.提供证书官网或权威机构【如：全国认证认可信息公共服务平台（cx.cnca.cn）】认证信息查询截图（截图需显示证书状态为有效）。</w:t>
            </w:r>
            <w:r>
              <w:rPr>
                <w:rFonts w:hint="eastAsia" w:cs="仿宋" w:asciiTheme="minorEastAsia" w:hAnsiTheme="minorEastAsia" w:eastAsiaTheme="minorEastAsia"/>
                <w:szCs w:val="21"/>
                <w:lang w:val="zh-CN"/>
              </w:rPr>
              <w:t>相关证书在公开渠道无法查询的，投标人需提供颁发部门或者监管机构的证明材料，证明证书真实有效且为合法机构颁发；</w:t>
            </w:r>
          </w:p>
          <w:p w14:paraId="4E8D8BA9">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szCs w:val="21"/>
              </w:rPr>
              <w:t>3.如证书由行业协会颁发，需提供该行业协会在“中国社会组织政务服务平台”（网址：</w:t>
            </w:r>
            <w:r>
              <w:rPr>
                <w:rFonts w:asciiTheme="minorEastAsia" w:hAnsiTheme="minorEastAsia" w:eastAsiaTheme="minorEastAsia"/>
                <w:szCs w:val="21"/>
              </w:rPr>
              <w:t>https://chinanpo.mca.gov.cn/</w:t>
            </w:r>
            <w:r>
              <w:rPr>
                <w:rFonts w:hint="eastAsia" w:asciiTheme="minorEastAsia" w:hAnsiTheme="minorEastAsia" w:eastAsiaTheme="minorEastAsia"/>
                <w:szCs w:val="21"/>
              </w:rPr>
              <w:t>）查询的已合法登记且状态正常截图，否则不予认可，视为无效证书；</w:t>
            </w:r>
          </w:p>
          <w:p w14:paraId="2ABF050B">
            <w:pPr>
              <w:autoSpaceDE w:val="0"/>
              <w:autoSpaceDN w:val="0"/>
              <w:adjustRightInd w:val="0"/>
              <w:spacing w:line="360" w:lineRule="exact"/>
              <w:jc w:val="left"/>
              <w:rPr>
                <w:rFonts w:ascii="宋体" w:hAnsi="宋体" w:cs="宋体"/>
                <w:szCs w:val="21"/>
                <w:lang w:val="zh-CN"/>
              </w:rPr>
            </w:pPr>
            <w:r>
              <w:rPr>
                <w:rFonts w:hint="eastAsia" w:asciiTheme="minorEastAsia" w:hAnsiTheme="minorEastAsia" w:eastAsiaTheme="minorEastAsia"/>
                <w:kern w:val="0"/>
                <w:szCs w:val="21"/>
              </w:rPr>
              <w:t>4.如</w:t>
            </w:r>
            <w:r>
              <w:rPr>
                <w:rFonts w:hint="eastAsia" w:ascii="宋体" w:hAnsi="宋体" w:cs="宋体"/>
                <w:szCs w:val="21"/>
                <w:lang w:val="zh-CN"/>
              </w:rPr>
              <w:t>投标人成立时间不足三个月，可提供情况说明作为佐证材料，无需提供证书和</w:t>
            </w:r>
            <w:r>
              <w:rPr>
                <w:rFonts w:hint="eastAsia" w:asciiTheme="minorEastAsia" w:hAnsiTheme="minorEastAsia" w:eastAsiaTheme="minorEastAsia"/>
                <w:kern w:val="0"/>
                <w:szCs w:val="21"/>
              </w:rPr>
              <w:t>认证信息查询截图</w:t>
            </w:r>
            <w:r>
              <w:rPr>
                <w:rFonts w:hint="eastAsia" w:ascii="宋体" w:hAnsi="宋体" w:cs="宋体"/>
                <w:szCs w:val="21"/>
                <w:lang w:val="zh-CN"/>
              </w:rPr>
              <w:t>亦视为满足评分要求；</w:t>
            </w:r>
          </w:p>
          <w:p w14:paraId="130ADF1F">
            <w:pPr>
              <w:spacing w:line="360" w:lineRule="exact"/>
              <w:jc w:val="left"/>
              <w:rPr>
                <w:rFonts w:asciiTheme="minorEastAsia" w:hAnsiTheme="minorEastAsia" w:eastAsiaTheme="minorEastAsia" w:cstheme="minorEastAsia"/>
                <w:szCs w:val="21"/>
              </w:rPr>
            </w:pPr>
            <w:r>
              <w:rPr>
                <w:rFonts w:hint="eastAsia" w:ascii="宋体" w:hAnsi="宋体" w:cs="宋体" w:eastAsiaTheme="minorEastAsia"/>
                <w:szCs w:val="21"/>
              </w:rPr>
              <w:t>5.</w:t>
            </w:r>
            <w:r>
              <w:rPr>
                <w:rFonts w:hint="eastAsia" w:asciiTheme="minorEastAsia" w:hAnsiTheme="minorEastAsia" w:eastAsiaTheme="minorEastAsia"/>
                <w:szCs w:val="21"/>
              </w:rPr>
              <w:t>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47A5C422">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6A243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11" w:hRule="atLeast"/>
          <w:jc w:val="center"/>
        </w:trPr>
        <w:tc>
          <w:tcPr>
            <w:tcW w:w="754" w:type="dxa"/>
            <w:vAlign w:val="center"/>
          </w:tcPr>
          <w:p w14:paraId="24AC95FC">
            <w:pPr>
              <w:jc w:val="center"/>
              <w:rPr>
                <w:rFonts w:cs="仿宋" w:asciiTheme="minorEastAsia" w:hAnsiTheme="minorEastAsia" w:eastAsiaTheme="minorEastAsia"/>
                <w:szCs w:val="21"/>
                <w:lang w:val="zh-CN"/>
              </w:rPr>
            </w:pPr>
            <w:r>
              <w:rPr>
                <w:rFonts w:ascii="宋体" w:hAnsi="宋体"/>
                <w:szCs w:val="21"/>
              </w:rPr>
              <w:t>3</w:t>
            </w:r>
          </w:p>
        </w:tc>
        <w:tc>
          <w:tcPr>
            <w:tcW w:w="1143" w:type="dxa"/>
            <w:vAlign w:val="center"/>
          </w:tcPr>
          <w:p w14:paraId="19B10E75">
            <w:pPr>
              <w:spacing w:line="360" w:lineRule="exact"/>
              <w:jc w:val="center"/>
              <w:rPr>
                <w:rFonts w:ascii="宋体" w:hAnsi="宋体" w:cs="宋体"/>
                <w:szCs w:val="21"/>
              </w:rPr>
            </w:pPr>
            <w:r>
              <w:rPr>
                <w:rFonts w:hint="eastAsia" w:ascii="宋体" w:hAnsi="宋体"/>
                <w:szCs w:val="21"/>
              </w:rPr>
              <w:t>投标人同类项目业绩情况</w:t>
            </w:r>
          </w:p>
        </w:tc>
        <w:tc>
          <w:tcPr>
            <w:tcW w:w="709" w:type="dxa"/>
            <w:vAlign w:val="center"/>
          </w:tcPr>
          <w:p w14:paraId="79887F94">
            <w:pPr>
              <w:spacing w:line="360" w:lineRule="exact"/>
              <w:jc w:val="center"/>
              <w:rPr>
                <w:rFonts w:ascii="宋体" w:hAnsi="宋体" w:cs="宋体"/>
                <w:szCs w:val="21"/>
              </w:rPr>
            </w:pPr>
            <w:r>
              <w:rPr>
                <w:rFonts w:hint="eastAsia" w:ascii="宋体" w:hAnsi="宋体"/>
                <w:szCs w:val="21"/>
              </w:rPr>
              <w:t>10</w:t>
            </w:r>
          </w:p>
        </w:tc>
        <w:tc>
          <w:tcPr>
            <w:tcW w:w="5953" w:type="dxa"/>
          </w:tcPr>
          <w:p w14:paraId="11492B52">
            <w:pPr>
              <w:spacing w:line="360" w:lineRule="exact"/>
              <w:jc w:val="left"/>
              <w:rPr>
                <w:rFonts w:ascii="宋体" w:hAnsi="宋体" w:cs="宋体"/>
                <w:szCs w:val="21"/>
              </w:rPr>
            </w:pPr>
            <w:r>
              <w:rPr>
                <w:rFonts w:hint="eastAsia" w:ascii="宋体" w:hAnsi="宋体" w:cs="宋体"/>
                <w:szCs w:val="21"/>
              </w:rPr>
              <w:t>（一）评分内容：</w:t>
            </w:r>
          </w:p>
          <w:p w14:paraId="3DAF2701">
            <w:pPr>
              <w:spacing w:line="360" w:lineRule="exact"/>
              <w:ind w:firstLine="420" w:firstLineChars="200"/>
              <w:jc w:val="left"/>
              <w:rPr>
                <w:rFonts w:ascii="宋体" w:hAnsi="宋体" w:cs="宋体"/>
                <w:szCs w:val="21"/>
              </w:rPr>
            </w:pPr>
            <w:r>
              <w:rPr>
                <w:rFonts w:hint="eastAsia" w:ascii="宋体" w:hAnsi="宋体" w:eastAsia="宋体" w:cs="宋体"/>
              </w:rPr>
              <w:t>投标人自2022年1月1日起</w:t>
            </w:r>
            <w:r>
              <w:rPr>
                <w:rFonts w:hint="eastAsia" w:ascii="宋体" w:hAnsi="宋体" w:eastAsia="宋体" w:cs="宋体"/>
                <w:bCs/>
                <w:szCs w:val="21"/>
              </w:rPr>
              <w:t>至投标截止之日（以合同签订时间为准）</w:t>
            </w:r>
            <w:r>
              <w:rPr>
                <w:rFonts w:hint="eastAsia" w:ascii="宋体" w:hAnsi="宋体" w:eastAsia="宋体" w:cs="宋体"/>
                <w:szCs w:val="21"/>
              </w:rPr>
              <w:t>具有</w:t>
            </w:r>
            <w:r>
              <w:rPr>
                <w:rFonts w:hint="eastAsia" w:ascii="宋体" w:hAnsi="宋体" w:eastAsia="宋体" w:cs="宋体"/>
                <w:bCs/>
                <w:szCs w:val="21"/>
              </w:rPr>
              <w:t>同类项目业绩，每提供</w:t>
            </w:r>
            <w:r>
              <w:rPr>
                <w:rFonts w:hint="eastAsia" w:ascii="宋体" w:hAnsi="宋体" w:cs="宋体"/>
                <w:bCs/>
                <w:szCs w:val="21"/>
              </w:rPr>
              <w:t>一个同类项目</w:t>
            </w:r>
            <w:r>
              <w:rPr>
                <w:rFonts w:hint="eastAsia" w:ascii="宋体" w:hAnsi="宋体" w:cs="宋体"/>
                <w:szCs w:val="21"/>
              </w:rPr>
              <w:t>得2分，最高得10分，未提供不得分。</w:t>
            </w:r>
          </w:p>
          <w:p w14:paraId="0C8566CC">
            <w:pPr>
              <w:spacing w:line="360" w:lineRule="exact"/>
              <w:jc w:val="left"/>
              <w:rPr>
                <w:rFonts w:ascii="宋体" w:hAnsi="宋体" w:cs="宋体"/>
                <w:szCs w:val="21"/>
              </w:rPr>
            </w:pPr>
            <w:r>
              <w:rPr>
                <w:rFonts w:hint="eastAsia" w:ascii="宋体" w:hAnsi="宋体" w:cs="宋体"/>
                <w:szCs w:val="21"/>
              </w:rPr>
              <w:t>（二）评分依据：</w:t>
            </w:r>
          </w:p>
          <w:p w14:paraId="55264E3B">
            <w:pPr>
              <w:spacing w:line="360" w:lineRule="exact"/>
              <w:jc w:val="left"/>
              <w:rPr>
                <w:rFonts w:ascii="宋体" w:hAnsi="宋体" w:cs="宋体"/>
                <w:szCs w:val="21"/>
              </w:rPr>
            </w:pPr>
            <w:r>
              <w:rPr>
                <w:rFonts w:hint="eastAsia" w:ascii="宋体" w:hAnsi="宋体" w:cs="宋体"/>
                <w:szCs w:val="21"/>
              </w:rPr>
              <w:t>1.要求同时提供合同关键信息（关键信息包括但不仅限于合同的项目名称、服务内容、合同签订日期、甲乙双方签字盖章页）。</w:t>
            </w:r>
          </w:p>
          <w:p w14:paraId="439736E5">
            <w:pPr>
              <w:spacing w:line="360" w:lineRule="exact"/>
              <w:jc w:val="left"/>
              <w:rPr>
                <w:rFonts w:ascii="宋体" w:hAnsi="宋体" w:cs="宋体"/>
                <w:szCs w:val="21"/>
              </w:rPr>
            </w:pPr>
            <w:r>
              <w:rPr>
                <w:rFonts w:hint="eastAsia" w:ascii="宋体" w:hAnsi="宋体" w:cs="宋体"/>
                <w:szCs w:val="21"/>
              </w:rPr>
              <w:t>2.通过合同关键信息无法判断是否得分的，还须同时提供能证明得分的其它证明资料，如项目报告或合同采购人出具的证明文件等。</w:t>
            </w:r>
          </w:p>
          <w:p w14:paraId="304083E5">
            <w:pPr>
              <w:spacing w:line="360" w:lineRule="exact"/>
              <w:jc w:val="left"/>
              <w:rPr>
                <w:rFonts w:asciiTheme="minorEastAsia" w:hAnsiTheme="minorEastAsia" w:eastAsiaTheme="minorEastAsia" w:cstheme="minorEastAsia"/>
                <w:szCs w:val="21"/>
              </w:rPr>
            </w:pPr>
            <w:r>
              <w:rPr>
                <w:rFonts w:hint="eastAsia" w:ascii="宋体" w:hAnsi="宋体" w:cs="宋体"/>
                <w:szCs w:val="21"/>
              </w:rPr>
              <w:t>3.以上资料均要求提供复印件或扫描件并加盖投标人公章，原件备查。评分中出现无证明资料或专家无法凭所提供资料判断是否得分的情况，一律作不得分处理。</w:t>
            </w:r>
          </w:p>
        </w:tc>
        <w:tc>
          <w:tcPr>
            <w:tcW w:w="1187" w:type="dxa"/>
            <w:vAlign w:val="center"/>
          </w:tcPr>
          <w:p w14:paraId="275E0D32">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74EF3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3" w:hRule="atLeast"/>
          <w:jc w:val="center"/>
        </w:trPr>
        <w:tc>
          <w:tcPr>
            <w:tcW w:w="754" w:type="dxa"/>
            <w:vAlign w:val="center"/>
          </w:tcPr>
          <w:p w14:paraId="791CAB6D">
            <w:pPr>
              <w:jc w:val="center"/>
              <w:rPr>
                <w:rFonts w:cs="仿宋" w:asciiTheme="minorEastAsia" w:hAnsiTheme="minorEastAsia"/>
                <w:szCs w:val="21"/>
              </w:rPr>
            </w:pPr>
            <w:bookmarkStart w:id="18" w:name="_Toc135293165"/>
            <w:bookmarkStart w:id="19" w:name="_Toc44691162"/>
            <w:bookmarkStart w:id="20" w:name="_Toc44690703"/>
            <w:bookmarkStart w:id="21" w:name="_Toc44691394"/>
            <w:bookmarkStart w:id="22" w:name="_Toc44690430"/>
            <w:r>
              <w:rPr>
                <w:rFonts w:hint="eastAsia" w:ascii="宋体" w:hAnsi="宋体"/>
                <w:szCs w:val="21"/>
              </w:rPr>
              <w:t>4</w:t>
            </w:r>
          </w:p>
        </w:tc>
        <w:tc>
          <w:tcPr>
            <w:tcW w:w="1143" w:type="dxa"/>
            <w:vAlign w:val="center"/>
          </w:tcPr>
          <w:p w14:paraId="21F13FFD">
            <w:pPr>
              <w:spacing w:line="360" w:lineRule="exact"/>
              <w:jc w:val="center"/>
              <w:rPr>
                <w:rFonts w:ascii="宋体" w:hAnsi="宋体" w:cs="宋体"/>
                <w:szCs w:val="21"/>
              </w:rPr>
            </w:pPr>
            <w:r>
              <w:rPr>
                <w:rFonts w:hint="eastAsia" w:ascii="宋体" w:hAnsi="宋体"/>
                <w:szCs w:val="21"/>
              </w:rPr>
              <w:t>拟安排的项目负责人情况（仅限一人）</w:t>
            </w:r>
          </w:p>
        </w:tc>
        <w:tc>
          <w:tcPr>
            <w:tcW w:w="709" w:type="dxa"/>
            <w:vAlign w:val="center"/>
          </w:tcPr>
          <w:p w14:paraId="5B602B59">
            <w:pPr>
              <w:spacing w:line="360" w:lineRule="exact"/>
              <w:jc w:val="center"/>
              <w:rPr>
                <w:rFonts w:ascii="宋体" w:hAnsi="宋体" w:cs="宋体"/>
                <w:szCs w:val="21"/>
              </w:rPr>
            </w:pPr>
            <w:r>
              <w:rPr>
                <w:rFonts w:hint="eastAsia" w:ascii="宋体" w:hAnsi="宋体"/>
                <w:szCs w:val="21"/>
              </w:rPr>
              <w:t>8</w:t>
            </w:r>
          </w:p>
        </w:tc>
        <w:tc>
          <w:tcPr>
            <w:tcW w:w="5953" w:type="dxa"/>
            <w:vAlign w:val="center"/>
          </w:tcPr>
          <w:p w14:paraId="0D74B084">
            <w:pPr>
              <w:spacing w:line="360" w:lineRule="exact"/>
              <w:jc w:val="left"/>
              <w:rPr>
                <w:rFonts w:ascii="宋体" w:hAnsi="宋体" w:cs="宋体"/>
                <w:color w:val="000000"/>
                <w:szCs w:val="21"/>
              </w:rPr>
            </w:pPr>
            <w:r>
              <w:rPr>
                <w:rFonts w:hint="eastAsia" w:ascii="宋体" w:hAnsi="宋体" w:cs="宋体"/>
                <w:color w:val="000000"/>
                <w:szCs w:val="21"/>
              </w:rPr>
              <w:t>（一）评分内容：</w:t>
            </w:r>
          </w:p>
          <w:p w14:paraId="2BD6F5FE">
            <w:pPr>
              <w:wordWrap w:val="0"/>
              <w:spacing w:line="360" w:lineRule="exact"/>
              <w:rPr>
                <w:rFonts w:ascii="宋体" w:hAnsi="宋体" w:cs="宋体"/>
                <w:szCs w:val="21"/>
              </w:rPr>
            </w:pPr>
            <w:r>
              <w:rPr>
                <w:rFonts w:hint="eastAsia" w:ascii="宋体" w:hAnsi="宋体" w:cs="宋体"/>
                <w:szCs w:val="21"/>
              </w:rPr>
              <w:t>投标人拟安排的项目负责人</w:t>
            </w:r>
            <w:r>
              <w:rPr>
                <w:rFonts w:hint="eastAsia" w:cs="宋体" w:asciiTheme="minorEastAsia" w:hAnsiTheme="minorEastAsia" w:eastAsiaTheme="minorEastAsia"/>
                <w:color w:val="000000"/>
                <w:kern w:val="0"/>
                <w:szCs w:val="21"/>
              </w:rPr>
              <w:t>(仅限1人）</w:t>
            </w:r>
            <w:r>
              <w:rPr>
                <w:rFonts w:hint="eastAsia" w:asciiTheme="minorEastAsia" w:hAnsiTheme="minorEastAsia" w:eastAsiaTheme="minorEastAsia"/>
                <w:szCs w:val="21"/>
              </w:rPr>
              <w:t>需为投标人</w:t>
            </w:r>
            <w:r>
              <w:rPr>
                <w:rFonts w:hint="eastAsia" w:asciiTheme="minorEastAsia" w:hAnsiTheme="minorEastAsia" w:eastAsiaTheme="minorEastAsia"/>
                <w:color w:val="000000" w:themeColor="text1"/>
                <w:szCs w:val="21"/>
                <w14:textFill>
                  <w14:solidFill>
                    <w14:schemeClr w14:val="tx1"/>
                  </w14:solidFill>
                </w14:textFill>
              </w:rPr>
              <w:t>正式聘任</w:t>
            </w:r>
            <w:r>
              <w:rPr>
                <w:rFonts w:hint="eastAsia" w:asciiTheme="minorEastAsia" w:hAnsiTheme="minorEastAsia" w:eastAsiaTheme="minorEastAsia"/>
                <w:szCs w:val="21"/>
              </w:rPr>
              <w:t>员工，否则本项不得分。在此基础上，</w:t>
            </w:r>
            <w:r>
              <w:rPr>
                <w:rFonts w:hint="eastAsia" w:ascii="宋体" w:hAnsi="宋体" w:cs="宋体"/>
                <w:szCs w:val="21"/>
              </w:rPr>
              <w:t>符合以下情形的：</w:t>
            </w:r>
          </w:p>
          <w:p w14:paraId="4C0FA7FC">
            <w:pPr>
              <w:wordWrap w:val="0"/>
              <w:spacing w:line="360" w:lineRule="exact"/>
              <w:rPr>
                <w:rFonts w:hint="eastAsia" w:ascii="宋体" w:hAnsi="宋体" w:eastAsia="宋体" w:cs="宋体"/>
                <w:szCs w:val="21"/>
                <w:lang w:eastAsia="zh-CN"/>
              </w:rPr>
            </w:pPr>
            <w:r>
              <w:rPr>
                <w:rFonts w:hint="eastAsia" w:ascii="宋体" w:hAnsi="宋体" w:cs="宋体"/>
                <w:szCs w:val="21"/>
              </w:rPr>
              <w:t>1、具有本科或以上学历的，得2分；具有专科学历的，得1分，本项最高得2分</w:t>
            </w:r>
            <w:r>
              <w:rPr>
                <w:rFonts w:hint="eastAsia" w:ascii="宋体" w:hAnsi="宋体" w:cs="宋体"/>
                <w:szCs w:val="21"/>
                <w:lang w:eastAsia="zh-CN"/>
              </w:rPr>
              <w:t>；</w:t>
            </w:r>
          </w:p>
          <w:p w14:paraId="6CF6A5D6">
            <w:pPr>
              <w:wordWrap w:val="0"/>
              <w:spacing w:line="360" w:lineRule="exact"/>
              <w:rPr>
                <w:rFonts w:hint="eastAsia" w:ascii="宋体" w:hAnsi="宋体" w:eastAsia="宋体" w:cs="宋体"/>
                <w:szCs w:val="21"/>
                <w:lang w:eastAsia="zh-CN"/>
              </w:rPr>
            </w:pPr>
            <w:r>
              <w:rPr>
                <w:rFonts w:hint="eastAsia" w:ascii="宋体" w:hAnsi="宋体" w:cs="宋体"/>
                <w:szCs w:val="21"/>
              </w:rPr>
              <w:t>2、具有安全类专业的高级工程师或以上职称的，得1分</w:t>
            </w:r>
            <w:r>
              <w:rPr>
                <w:rFonts w:hint="eastAsia" w:ascii="宋体" w:hAnsi="宋体" w:cs="宋体"/>
                <w:szCs w:val="21"/>
                <w:lang w:eastAsia="zh-CN"/>
              </w:rPr>
              <w:t>；</w:t>
            </w:r>
          </w:p>
          <w:p w14:paraId="5EE74198">
            <w:pPr>
              <w:wordWrap w:val="0"/>
              <w:spacing w:line="360" w:lineRule="exact"/>
              <w:rPr>
                <w:rFonts w:ascii="宋体" w:hAnsi="宋体" w:cs="宋体"/>
                <w:szCs w:val="21"/>
              </w:rPr>
            </w:pPr>
            <w:r>
              <w:rPr>
                <w:rFonts w:hint="eastAsia" w:ascii="宋体" w:hAnsi="宋体" w:cs="宋体"/>
                <w:szCs w:val="21"/>
              </w:rPr>
              <w:t>3、</w:t>
            </w:r>
            <w:r>
              <w:rPr>
                <w:rFonts w:hint="eastAsia" w:ascii="宋体" w:hAnsi="宋体" w:cs="宋体"/>
              </w:rPr>
              <w:t>2022年1月1日起</w:t>
            </w:r>
            <w:r>
              <w:rPr>
                <w:rFonts w:hint="eastAsia" w:ascii="宋体" w:hAnsi="宋体" w:cs="宋体"/>
                <w:bCs/>
                <w:szCs w:val="21"/>
              </w:rPr>
              <w:t>至投标截止之日（以合同签订时间为准）</w:t>
            </w:r>
            <w:r>
              <w:rPr>
                <w:rFonts w:hint="eastAsia" w:ascii="宋体" w:hAnsi="宋体" w:cs="宋体"/>
                <w:szCs w:val="21"/>
              </w:rPr>
              <w:t>具有同类</w:t>
            </w:r>
            <w:r>
              <w:rPr>
                <w:rFonts w:hint="eastAsia" w:ascii="宋体" w:hAnsi="宋体" w:cs="宋体"/>
                <w:spacing w:val="8"/>
                <w:szCs w:val="21"/>
                <w:lang w:bidi="zh-CN"/>
              </w:rPr>
              <w:t>项目</w:t>
            </w:r>
            <w:r>
              <w:rPr>
                <w:rFonts w:hint="eastAsia" w:ascii="宋体" w:hAnsi="宋体" w:cs="宋体"/>
                <w:szCs w:val="21"/>
              </w:rPr>
              <w:t>负责人经验的，每提供一项得1分，</w:t>
            </w:r>
            <w:r>
              <w:rPr>
                <w:rFonts w:hint="eastAsia" w:ascii="宋体" w:hAnsi="宋体" w:cs="宋体"/>
                <w:szCs w:val="21"/>
                <w:lang w:val="en-US" w:eastAsia="zh-CN"/>
              </w:rPr>
              <w:t>该</w:t>
            </w:r>
            <w:r>
              <w:rPr>
                <w:rFonts w:hint="eastAsia" w:ascii="宋体" w:hAnsi="宋体" w:cs="宋体"/>
                <w:szCs w:val="21"/>
              </w:rPr>
              <w:t>项最高得5分。</w:t>
            </w:r>
          </w:p>
          <w:p w14:paraId="67C391D5">
            <w:pPr>
              <w:wordWrap w:val="0"/>
              <w:spacing w:line="360" w:lineRule="exact"/>
              <w:rPr>
                <w:rFonts w:ascii="宋体" w:hAnsi="宋体" w:cs="宋体"/>
                <w:szCs w:val="21"/>
              </w:rPr>
            </w:pPr>
            <w:r>
              <w:rPr>
                <w:rFonts w:hint="eastAsia" w:ascii="宋体" w:hAnsi="宋体" w:cs="宋体"/>
                <w:szCs w:val="21"/>
              </w:rPr>
              <w:t>本项最高得8分，学历以最高学历计算得分。</w:t>
            </w:r>
          </w:p>
          <w:p w14:paraId="630221DC">
            <w:pPr>
              <w:wordWrap w:val="0"/>
              <w:spacing w:line="360" w:lineRule="exact"/>
              <w:rPr>
                <w:rFonts w:ascii="宋体" w:hAnsi="宋体" w:cs="宋体"/>
                <w:b/>
                <w:szCs w:val="21"/>
              </w:rPr>
            </w:pPr>
            <w:r>
              <w:rPr>
                <w:rFonts w:hint="eastAsia" w:ascii="宋体" w:hAnsi="宋体" w:cs="宋体"/>
                <w:bCs/>
                <w:szCs w:val="21"/>
              </w:rPr>
              <w:t>（二）评分依据：</w:t>
            </w:r>
          </w:p>
          <w:p w14:paraId="6997F99B">
            <w:pPr>
              <w:wordWrap w:val="0"/>
              <w:spacing w:line="360" w:lineRule="exact"/>
              <w:rPr>
                <w:rFonts w:ascii="宋体" w:hAnsi="宋体" w:cs="宋体"/>
                <w:szCs w:val="21"/>
              </w:rPr>
            </w:pPr>
            <w:r>
              <w:rPr>
                <w:rFonts w:hint="eastAsia" w:ascii="宋体" w:hAnsi="宋体" w:cs="宋体"/>
                <w:szCs w:val="21"/>
              </w:rPr>
              <w:t>1.</w:t>
            </w:r>
            <w:r>
              <w:rPr>
                <w:rFonts w:hint="eastAsia" w:ascii="宋体" w:hAnsi="宋体" w:cs="宋体"/>
                <w:bCs/>
                <w:szCs w:val="21"/>
              </w:rPr>
              <w:t>提供项目负责人通过投标单位缴纳的载有社保部门或税务部门公章的近三个月（含投标当月）内任意一个月的个人社保证明；如供应商为新成立单位且成立时间不足一个月的，可提供加盖公章的情况说明或者证明材料，无需提供相关人员社保，亦视为符合；如为退休返聘人员则提供劳动合同或返聘协议，无需提供相关人员社保，亦视为符合；</w:t>
            </w:r>
          </w:p>
          <w:p w14:paraId="548FF2AC">
            <w:pPr>
              <w:wordWrap w:val="0"/>
              <w:spacing w:line="360" w:lineRule="exact"/>
              <w:jc w:val="left"/>
              <w:rPr>
                <w:rFonts w:ascii="宋体" w:hAnsi="宋体" w:cs="宋体"/>
                <w:szCs w:val="21"/>
              </w:rPr>
            </w:pPr>
            <w:r>
              <w:rPr>
                <w:rFonts w:hint="eastAsia" w:ascii="宋体" w:hAnsi="宋体" w:cs="宋体"/>
                <w:szCs w:val="21"/>
              </w:rPr>
              <w:t>2.提供上述相关证书，若证书为协会颁发的，则还需要提供该机构在中国社会组织政务服务平台（网址https://xxgs.chinanpo.mca.gov.cn)的查询“正常”页面截图；</w:t>
            </w:r>
          </w:p>
          <w:p w14:paraId="55E74F31">
            <w:pPr>
              <w:pStyle w:val="20"/>
              <w:spacing w:after="0" w:line="360" w:lineRule="exact"/>
              <w:rPr>
                <w:rFonts w:ascii="宋体" w:hAnsi="宋体" w:cs="宋体"/>
              </w:rPr>
            </w:pPr>
            <w:r>
              <w:rPr>
                <w:rFonts w:hint="eastAsia" w:ascii="宋体" w:hAnsi="宋体" w:cs="宋体"/>
                <w:szCs w:val="21"/>
              </w:rPr>
              <w:t>3.涉及考察学历或学位的，提供毕业证书（或学位证书）以及学信网查询记录，对于学信网无法查询的，还需提供毕业院校或人社部门或教育部门等颁发机构或监管机构出具的证明，否则无效；</w:t>
            </w:r>
          </w:p>
          <w:p w14:paraId="6A81A5A7">
            <w:pPr>
              <w:wordWrap w:val="0"/>
              <w:spacing w:line="360" w:lineRule="exact"/>
              <w:rPr>
                <w:rFonts w:ascii="宋体" w:hAnsi="宋体" w:cs="宋体"/>
                <w:szCs w:val="21"/>
              </w:rPr>
            </w:pPr>
            <w:r>
              <w:rPr>
                <w:rFonts w:hint="eastAsia" w:ascii="宋体" w:hAnsi="宋体" w:cs="宋体"/>
                <w:szCs w:val="21"/>
              </w:rPr>
              <w:t>4.如涉及考察项目负责人工作经验，要求提供项目合同关键信息作为得分依据。通过合同关键信息无法体现负责人姓名的，可提供经甲方盖章的证明文件（如履约评价表或项目验收单等）；</w:t>
            </w:r>
          </w:p>
          <w:p w14:paraId="0CEA88D8">
            <w:pPr>
              <w:wordWrap w:val="0"/>
              <w:spacing w:line="360" w:lineRule="exact"/>
              <w:rPr>
                <w:rFonts w:asciiTheme="minorEastAsia" w:hAnsiTheme="minorEastAsia" w:eastAsiaTheme="minorEastAsia" w:cstheme="minorEastAsia"/>
                <w:szCs w:val="21"/>
              </w:rPr>
            </w:pPr>
            <w:r>
              <w:rPr>
                <w:rFonts w:hint="eastAsia" w:ascii="宋体" w:hAnsi="宋体" w:cs="宋体"/>
                <w:szCs w:val="21"/>
              </w:rPr>
              <w:t>5.以上资料均提供复印件或扫描件，如涉及网站截图或照片等证明材料，需提供清晰图片，均要求加盖投标人公章，原件备查。未按要求提供或提供不清晰导致专家无法判断的不得分。</w:t>
            </w:r>
          </w:p>
        </w:tc>
        <w:tc>
          <w:tcPr>
            <w:tcW w:w="1187" w:type="dxa"/>
            <w:vAlign w:val="center"/>
          </w:tcPr>
          <w:p w14:paraId="2BF1C549">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61BA5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26" w:hRule="atLeast"/>
          <w:jc w:val="center"/>
        </w:trPr>
        <w:tc>
          <w:tcPr>
            <w:tcW w:w="754" w:type="dxa"/>
            <w:vAlign w:val="center"/>
          </w:tcPr>
          <w:p w14:paraId="553B8C41">
            <w:pPr>
              <w:jc w:val="center"/>
              <w:rPr>
                <w:rFonts w:cs="仿宋" w:asciiTheme="minorEastAsia" w:hAnsiTheme="minorEastAsia"/>
                <w:szCs w:val="21"/>
              </w:rPr>
            </w:pPr>
            <w:r>
              <w:rPr>
                <w:rFonts w:hint="eastAsia" w:ascii="宋体" w:hAnsi="宋体"/>
                <w:szCs w:val="21"/>
              </w:rPr>
              <w:t>5</w:t>
            </w:r>
          </w:p>
        </w:tc>
        <w:tc>
          <w:tcPr>
            <w:tcW w:w="1143" w:type="dxa"/>
            <w:vAlign w:val="center"/>
          </w:tcPr>
          <w:p w14:paraId="37BA2A7F">
            <w:pPr>
              <w:spacing w:line="360" w:lineRule="exact"/>
              <w:jc w:val="center"/>
              <w:rPr>
                <w:rFonts w:ascii="宋体" w:hAnsi="宋体" w:cs="宋体"/>
                <w:szCs w:val="21"/>
              </w:rPr>
            </w:pPr>
            <w:r>
              <w:rPr>
                <w:rFonts w:hint="eastAsia" w:ascii="宋体" w:hAnsi="宋体"/>
                <w:szCs w:val="21"/>
              </w:rPr>
              <w:t>拟安排的项目主要团队成员（主要技术人员）情况（项目负责人除外）</w:t>
            </w:r>
          </w:p>
        </w:tc>
        <w:tc>
          <w:tcPr>
            <w:tcW w:w="709" w:type="dxa"/>
            <w:vAlign w:val="center"/>
          </w:tcPr>
          <w:p w14:paraId="1C00F28B">
            <w:pPr>
              <w:spacing w:line="360" w:lineRule="exact"/>
              <w:jc w:val="center"/>
              <w:rPr>
                <w:rFonts w:ascii="宋体" w:hAnsi="宋体" w:cs="宋体"/>
                <w:szCs w:val="21"/>
              </w:rPr>
            </w:pPr>
            <w:r>
              <w:rPr>
                <w:rFonts w:hint="eastAsia" w:ascii="宋体" w:hAnsi="宋体"/>
                <w:szCs w:val="21"/>
              </w:rPr>
              <w:t>12</w:t>
            </w:r>
          </w:p>
        </w:tc>
        <w:tc>
          <w:tcPr>
            <w:tcW w:w="5953" w:type="dxa"/>
          </w:tcPr>
          <w:p w14:paraId="18FF91A4">
            <w:pPr>
              <w:numPr>
                <w:ilvl w:val="0"/>
                <w:numId w:val="11"/>
              </w:numPr>
              <w:spacing w:line="360" w:lineRule="exact"/>
              <w:jc w:val="left"/>
              <w:rPr>
                <w:rFonts w:ascii="宋体" w:hAnsi="宋体" w:cs="宋体"/>
                <w:szCs w:val="21"/>
              </w:rPr>
            </w:pPr>
            <w:r>
              <w:rPr>
                <w:rFonts w:hint="eastAsia" w:ascii="宋体" w:hAnsi="宋体" w:cs="宋体"/>
                <w:szCs w:val="21"/>
              </w:rPr>
              <w:t>评分内容：</w:t>
            </w:r>
          </w:p>
          <w:p w14:paraId="2DEE4D6D">
            <w:pPr>
              <w:pStyle w:val="20"/>
              <w:spacing w:after="0" w:line="360" w:lineRule="exact"/>
            </w:pPr>
            <w:r>
              <w:rPr>
                <w:rFonts w:hint="eastAsia" w:cs="宋体" w:asciiTheme="minorEastAsia" w:hAnsiTheme="minorEastAsia" w:eastAsiaTheme="minorEastAsia"/>
                <w:szCs w:val="21"/>
              </w:rPr>
              <w:t>拟安排的项目团队成员（项目负责人除外）</w:t>
            </w:r>
            <w:r>
              <w:rPr>
                <w:rFonts w:hint="eastAsia" w:asciiTheme="minorEastAsia" w:hAnsiTheme="minorEastAsia" w:eastAsiaTheme="minorEastAsia"/>
                <w:szCs w:val="21"/>
              </w:rPr>
              <w:t>需为投标人</w:t>
            </w:r>
            <w:r>
              <w:rPr>
                <w:rFonts w:hint="eastAsia" w:asciiTheme="minorEastAsia" w:hAnsiTheme="minorEastAsia" w:eastAsiaTheme="minorEastAsia"/>
                <w:color w:val="000000" w:themeColor="text1"/>
                <w:szCs w:val="21"/>
                <w14:textFill>
                  <w14:solidFill>
                    <w14:schemeClr w14:val="tx1"/>
                  </w14:solidFill>
                </w14:textFill>
              </w:rPr>
              <w:t>正式聘任</w:t>
            </w:r>
            <w:r>
              <w:rPr>
                <w:rFonts w:hint="eastAsia" w:asciiTheme="minorEastAsia" w:hAnsiTheme="minorEastAsia" w:eastAsiaTheme="minorEastAsia"/>
                <w:szCs w:val="21"/>
              </w:rPr>
              <w:t>员工，否则本项不得分。在此基础上，按以下标准评分：</w:t>
            </w:r>
          </w:p>
          <w:p w14:paraId="1ECA2DCC">
            <w:pPr>
              <w:spacing w:line="360" w:lineRule="exact"/>
              <w:rPr>
                <w:rFonts w:ascii="宋体" w:hAnsi="宋体" w:cs="宋体"/>
                <w:szCs w:val="21"/>
              </w:rPr>
            </w:pPr>
            <w:r>
              <w:rPr>
                <w:rFonts w:hint="eastAsia" w:ascii="宋体" w:hAnsi="宋体" w:cs="宋体"/>
                <w:szCs w:val="21"/>
              </w:rPr>
              <w:t>1.主要团队成员具备本科或以上学历，每提供1人得1分，最高得4分。</w:t>
            </w:r>
          </w:p>
          <w:p w14:paraId="33E20864">
            <w:pPr>
              <w:spacing w:line="360" w:lineRule="exact"/>
              <w:rPr>
                <w:rFonts w:ascii="宋体" w:hAnsi="宋体" w:cs="宋体"/>
                <w:szCs w:val="21"/>
              </w:rPr>
            </w:pPr>
            <w:r>
              <w:rPr>
                <w:rFonts w:hint="eastAsia" w:ascii="宋体" w:hAnsi="宋体" w:cs="宋体"/>
                <w:szCs w:val="21"/>
              </w:rPr>
              <w:t>2.主要项目团队成员具有同类项目工作经验的，每提供1人得1分，最高得5分。</w:t>
            </w:r>
          </w:p>
          <w:p w14:paraId="25863FC5">
            <w:pPr>
              <w:spacing w:line="360" w:lineRule="exact"/>
              <w:jc w:val="left"/>
              <w:rPr>
                <w:rFonts w:ascii="宋体" w:hAnsi="宋体" w:cs="宋体"/>
                <w:color w:val="FF0000"/>
                <w:szCs w:val="21"/>
              </w:rPr>
            </w:pPr>
            <w:r>
              <w:rPr>
                <w:rFonts w:hint="eastAsia" w:ascii="宋体" w:hAnsi="宋体" w:cs="宋体"/>
                <w:szCs w:val="21"/>
              </w:rPr>
              <w:t>3.团队每提供1人具有安全相关专业的高级工程师或以上职称的得1分，本项最高得3分。</w:t>
            </w:r>
          </w:p>
          <w:p w14:paraId="77B44CE6">
            <w:pPr>
              <w:spacing w:line="360" w:lineRule="exact"/>
              <w:jc w:val="left"/>
              <w:rPr>
                <w:rFonts w:ascii="宋体" w:hAnsi="宋体" w:cs="宋体"/>
                <w:szCs w:val="21"/>
              </w:rPr>
            </w:pPr>
            <w:r>
              <w:rPr>
                <w:rFonts w:hint="eastAsia" w:ascii="宋体" w:hAnsi="宋体" w:cs="宋体"/>
                <w:szCs w:val="21"/>
              </w:rPr>
              <w:t>（二）评分依据：</w:t>
            </w:r>
          </w:p>
          <w:p w14:paraId="6BEDFA91">
            <w:pPr>
              <w:spacing w:line="360" w:lineRule="exact"/>
              <w:jc w:val="left"/>
              <w:rPr>
                <w:rFonts w:ascii="宋体" w:hAnsi="宋体" w:cs="宋体"/>
                <w:szCs w:val="21"/>
              </w:rPr>
            </w:pPr>
            <w:r>
              <w:rPr>
                <w:rFonts w:hint="eastAsia" w:ascii="宋体" w:hAnsi="宋体" w:cs="宋体"/>
                <w:szCs w:val="21"/>
              </w:rPr>
              <w:t>1.提供项目团队成员通过投标单位缴纳的载有社保部门或税务部门公章的近三个月（含投标当月）内任意一个月的个人社保证明；如供应商为新成立单位且成立时间不足一个月的，可提供加盖公章的情况说明或者证明材料，无需提供相关人员社保，亦视为符合；如为退休返聘人员则提供劳动合同或返聘协议，无需提供相关人员社保，亦视为符合；</w:t>
            </w:r>
          </w:p>
          <w:p w14:paraId="31DDDF19">
            <w:pPr>
              <w:spacing w:line="360" w:lineRule="exact"/>
              <w:jc w:val="left"/>
              <w:rPr>
                <w:rFonts w:ascii="宋体" w:hAnsi="宋体" w:cs="宋体"/>
                <w:szCs w:val="21"/>
              </w:rPr>
            </w:pPr>
            <w:r>
              <w:rPr>
                <w:rFonts w:hint="eastAsia" w:ascii="宋体" w:hAnsi="宋体" w:cs="宋体"/>
                <w:szCs w:val="21"/>
              </w:rPr>
              <w:t>2.提供项目团队成员职称证书；</w:t>
            </w:r>
          </w:p>
          <w:p w14:paraId="7E830A1F">
            <w:pPr>
              <w:spacing w:line="360" w:lineRule="exact"/>
              <w:jc w:val="left"/>
              <w:rPr>
                <w:rFonts w:ascii="宋体" w:hAnsi="宋体" w:cs="宋体"/>
                <w:szCs w:val="21"/>
              </w:rPr>
            </w:pPr>
            <w:r>
              <w:rPr>
                <w:rFonts w:hint="eastAsia" w:ascii="宋体" w:hAnsi="宋体" w:cs="宋体"/>
                <w:szCs w:val="21"/>
              </w:rPr>
              <w:t>3.涉及考察学历或学位的，提供毕业证书（或学位证书）以及学信网查询记录，对于学信网无法查询的，还需提供毕业院校或人社部门或教育部门等颁发机构或监管机构出具的证明，否则无效；</w:t>
            </w:r>
          </w:p>
          <w:p w14:paraId="40B89D03">
            <w:pPr>
              <w:spacing w:line="360" w:lineRule="exact"/>
              <w:jc w:val="left"/>
              <w:rPr>
                <w:rFonts w:ascii="宋体" w:hAnsi="宋体" w:cs="宋体"/>
                <w:szCs w:val="21"/>
              </w:rPr>
            </w:pPr>
            <w:r>
              <w:rPr>
                <w:rFonts w:hint="eastAsia" w:ascii="宋体" w:hAnsi="宋体" w:cs="宋体"/>
                <w:szCs w:val="21"/>
              </w:rPr>
              <w:t>4.涉及考察人员工作经验的，要求提供项目合同关键信息作为评分依据，通过合同关键信息无法判断是否得分的，还需同时提供加盖合同甲方公章或业务章的证明文件；</w:t>
            </w:r>
          </w:p>
          <w:p w14:paraId="5C2B80DD">
            <w:pPr>
              <w:spacing w:line="360" w:lineRule="exact"/>
              <w:jc w:val="left"/>
              <w:rPr>
                <w:rFonts w:ascii="宋体" w:hAnsi="宋体" w:cs="宋体"/>
                <w:szCs w:val="21"/>
              </w:rPr>
            </w:pPr>
            <w:r>
              <w:rPr>
                <w:rFonts w:hint="eastAsia" w:ascii="宋体" w:hAnsi="宋体" w:cs="宋体"/>
                <w:szCs w:val="21"/>
              </w:rPr>
              <w:t>5.提供以上证明文件复印件或扫描件，如涉及网站截图或照片等证明材料，需提供清晰图片，均要求加盖投标人公章。未按要求提供有效证明材料或提供不清晰导致评委无法识别的不计得分。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31A162FF">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5DF35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6" w:hRule="atLeast"/>
          <w:jc w:val="center"/>
        </w:trPr>
        <w:tc>
          <w:tcPr>
            <w:tcW w:w="754" w:type="dxa"/>
            <w:vAlign w:val="center"/>
          </w:tcPr>
          <w:p w14:paraId="4DB164C6">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6</w:t>
            </w:r>
          </w:p>
        </w:tc>
        <w:tc>
          <w:tcPr>
            <w:tcW w:w="1143" w:type="dxa"/>
            <w:vAlign w:val="center"/>
          </w:tcPr>
          <w:p w14:paraId="49753BE3">
            <w:pPr>
              <w:jc w:val="center"/>
              <w:rPr>
                <w:rFonts w:ascii="宋体" w:hAnsi="宋体"/>
                <w:szCs w:val="21"/>
              </w:rPr>
            </w:pPr>
            <w:r>
              <w:rPr>
                <w:rFonts w:hint="eastAsia" w:ascii="宋体" w:hAnsi="宋体"/>
                <w:szCs w:val="21"/>
              </w:rPr>
              <w:t>服务网点</w:t>
            </w:r>
          </w:p>
        </w:tc>
        <w:tc>
          <w:tcPr>
            <w:tcW w:w="709" w:type="dxa"/>
            <w:vAlign w:val="center"/>
          </w:tcPr>
          <w:p w14:paraId="4D40E496">
            <w:pPr>
              <w:jc w:val="center"/>
              <w:rPr>
                <w:rFonts w:ascii="宋体" w:hAnsi="宋体"/>
                <w:szCs w:val="21"/>
              </w:rPr>
            </w:pPr>
            <w:r>
              <w:rPr>
                <w:rFonts w:hint="eastAsia" w:ascii="宋体" w:hAnsi="宋体"/>
                <w:szCs w:val="21"/>
              </w:rPr>
              <w:t>3</w:t>
            </w:r>
          </w:p>
        </w:tc>
        <w:tc>
          <w:tcPr>
            <w:tcW w:w="5953" w:type="dxa"/>
          </w:tcPr>
          <w:p w14:paraId="24F431F6">
            <w:pPr>
              <w:spacing w:line="360" w:lineRule="exact"/>
              <w:jc w:val="left"/>
              <w:rPr>
                <w:rFonts w:ascii="宋体" w:hAnsi="宋体" w:cs="宋体"/>
                <w:szCs w:val="21"/>
              </w:rPr>
            </w:pPr>
            <w:r>
              <w:rPr>
                <w:rFonts w:hint="eastAsia" w:ascii="宋体" w:hAnsi="宋体"/>
                <w:szCs w:val="21"/>
              </w:rPr>
              <w:t>（一）评分内容：</w:t>
            </w:r>
          </w:p>
          <w:p w14:paraId="3BA06AE7">
            <w:pPr>
              <w:spacing w:line="360" w:lineRule="exact"/>
              <w:jc w:val="left"/>
              <w:rPr>
                <w:rFonts w:ascii="宋体" w:hAnsi="宋体" w:cs="宋体"/>
                <w:szCs w:val="21"/>
              </w:rPr>
            </w:pPr>
            <w:r>
              <w:rPr>
                <w:rFonts w:hint="eastAsia" w:ascii="宋体" w:hAnsi="宋体" w:cs="宋体"/>
                <w:szCs w:val="21"/>
              </w:rPr>
              <w:t>供应商承诺中标后提供本地经营（服务）网点得3分。</w:t>
            </w:r>
          </w:p>
          <w:p w14:paraId="665DBD1D">
            <w:pPr>
              <w:spacing w:line="360" w:lineRule="exact"/>
              <w:jc w:val="left"/>
              <w:rPr>
                <w:rFonts w:asciiTheme="minorEastAsia" w:hAnsiTheme="minorEastAsia" w:eastAsiaTheme="minorEastAsia"/>
                <w:szCs w:val="21"/>
              </w:rPr>
            </w:pPr>
            <w:r>
              <w:rPr>
                <w:rFonts w:hint="eastAsia" w:ascii="宋体" w:hAnsi="宋体"/>
                <w:szCs w:val="21"/>
              </w:rPr>
              <w:t>（二）评分依据:</w:t>
            </w:r>
            <w:r>
              <w:rPr>
                <w:rFonts w:hint="eastAsia" w:ascii="宋体" w:hAnsi="宋体" w:cs="宋体"/>
                <w:szCs w:val="21"/>
              </w:rPr>
              <w:br w:type="textWrapping"/>
            </w:r>
            <w:r>
              <w:rPr>
                <w:rFonts w:hint="eastAsia" w:ascii="宋体" w:hAnsi="宋体" w:cs="宋体"/>
                <w:szCs w:val="21"/>
              </w:rPr>
              <w:t>要求提供承诺（格式自定）作为得分依据，未提供承诺或承诺内容不满足要求不得分。</w:t>
            </w:r>
          </w:p>
        </w:tc>
        <w:tc>
          <w:tcPr>
            <w:tcW w:w="1187" w:type="dxa"/>
            <w:vAlign w:val="center"/>
          </w:tcPr>
          <w:p w14:paraId="0C53DD6D">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450A4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33" w:hRule="atLeast"/>
          <w:jc w:val="center"/>
        </w:trPr>
        <w:tc>
          <w:tcPr>
            <w:tcW w:w="754" w:type="dxa"/>
            <w:vAlign w:val="center"/>
          </w:tcPr>
          <w:p w14:paraId="688ECF67">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7</w:t>
            </w:r>
          </w:p>
        </w:tc>
        <w:tc>
          <w:tcPr>
            <w:tcW w:w="1143" w:type="dxa"/>
            <w:vAlign w:val="center"/>
          </w:tcPr>
          <w:p w14:paraId="0A041801">
            <w:pPr>
              <w:jc w:val="center"/>
              <w:rPr>
                <w:rFonts w:ascii="宋体" w:hAnsi="宋体" w:cs="宋体"/>
                <w:szCs w:val="21"/>
              </w:rPr>
            </w:pPr>
            <w:r>
              <w:rPr>
                <w:rFonts w:hint="eastAsia" w:ascii="宋体" w:hAnsi="宋体"/>
                <w:szCs w:val="21"/>
              </w:rPr>
              <w:t>诚信情况</w:t>
            </w:r>
          </w:p>
        </w:tc>
        <w:tc>
          <w:tcPr>
            <w:tcW w:w="709" w:type="dxa"/>
            <w:vAlign w:val="center"/>
          </w:tcPr>
          <w:p w14:paraId="5E8DA9E2">
            <w:pPr>
              <w:wordWrap w:val="0"/>
              <w:jc w:val="center"/>
              <w:rPr>
                <w:rFonts w:ascii="宋体" w:hAnsi="宋体" w:cs="宋体"/>
                <w:szCs w:val="21"/>
              </w:rPr>
            </w:pPr>
            <w:r>
              <w:rPr>
                <w:rFonts w:ascii="宋体" w:hAnsi="宋体"/>
                <w:szCs w:val="21"/>
              </w:rPr>
              <w:t>5</w:t>
            </w:r>
          </w:p>
        </w:tc>
        <w:tc>
          <w:tcPr>
            <w:tcW w:w="5953" w:type="dxa"/>
            <w:vAlign w:val="center"/>
          </w:tcPr>
          <w:p w14:paraId="15739964">
            <w:pPr>
              <w:pStyle w:val="18"/>
              <w:spacing w:line="360" w:lineRule="exact"/>
              <w:rPr>
                <w:rFonts w:ascii="宋体" w:hAnsi="宋体" w:cs="宋体"/>
                <w:szCs w:val="21"/>
              </w:rPr>
            </w:pPr>
            <w:r>
              <w:rPr>
                <w:rFonts w:hint="eastAsia" w:ascii="宋体" w:hAnsi="宋体" w:cs="宋体"/>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35B3C905">
            <w:pPr>
              <w:pStyle w:val="18"/>
              <w:spacing w:line="360" w:lineRule="exact"/>
              <w:rPr>
                <w:rFonts w:asciiTheme="minorEastAsia" w:hAnsiTheme="minorEastAsia" w:eastAsiaTheme="minorEastAsia" w:cstheme="minorEastAsia"/>
                <w:color w:val="000000"/>
                <w:szCs w:val="21"/>
              </w:rPr>
            </w:pPr>
            <w:r>
              <w:rPr>
                <w:rFonts w:hint="eastAsia" w:ascii="宋体" w:hAnsi="宋体" w:cs="宋体"/>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25E56A9C">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bl>
    <w:p w14:paraId="0ABB3CD2">
      <w:pPr>
        <w:pStyle w:val="4"/>
        <w:spacing w:before="0" w:after="0"/>
        <w:jc w:val="left"/>
        <w:rPr>
          <w:rFonts w:asciiTheme="minorEastAsia" w:hAnsiTheme="minorEastAsia"/>
          <w:bCs w:val="0"/>
          <w:sz w:val="21"/>
          <w:szCs w:val="21"/>
        </w:rPr>
      </w:pPr>
      <w:r>
        <w:rPr>
          <w:rFonts w:hint="eastAsia" w:asciiTheme="minorEastAsia" w:hAnsiTheme="minorEastAsia"/>
          <w:bCs w:val="0"/>
          <w:sz w:val="21"/>
          <w:szCs w:val="21"/>
        </w:rPr>
        <w:t>备注：</w:t>
      </w:r>
      <w:bookmarkEnd w:id="18"/>
      <w:bookmarkEnd w:id="19"/>
      <w:bookmarkEnd w:id="20"/>
      <w:bookmarkEnd w:id="21"/>
      <w:bookmarkEnd w:id="22"/>
    </w:p>
    <w:p w14:paraId="30BAC22A">
      <w:pPr>
        <w:pStyle w:val="3"/>
        <w:spacing w:before="0" w:after="0"/>
      </w:pPr>
      <w:bookmarkStart w:id="23" w:name="_Toc135293166"/>
      <w:r>
        <w:rPr>
          <w:rFonts w:hint="eastAsia"/>
        </w:rPr>
        <w:t>1、资质证书有效期</w:t>
      </w:r>
      <w:bookmarkEnd w:id="23"/>
    </w:p>
    <w:p w14:paraId="7C43A6DE">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F94F05A">
      <w:pPr>
        <w:adjustRightInd w:val="0"/>
        <w:spacing w:line="360" w:lineRule="exact"/>
        <w:rPr>
          <w:rFonts w:asciiTheme="minorEastAsia" w:hAnsiTheme="minorEastAsia" w:eastAsiaTheme="minorEastAsia"/>
          <w:b/>
        </w:rPr>
      </w:pPr>
    </w:p>
    <w:p w14:paraId="4F5E4277">
      <w:pPr>
        <w:pStyle w:val="3"/>
        <w:spacing w:before="0" w:after="0"/>
        <w:rPr>
          <w:rFonts w:asciiTheme="minorEastAsia" w:hAnsiTheme="minorEastAsia" w:eastAsiaTheme="minorEastAsia"/>
        </w:rPr>
      </w:pPr>
      <w:bookmarkStart w:id="24" w:name="_Toc135293167"/>
      <w:r>
        <w:rPr>
          <w:rFonts w:hint="eastAsia" w:asciiTheme="minorEastAsia" w:hAnsiTheme="minorEastAsia" w:eastAsiaTheme="minorEastAsia"/>
        </w:rPr>
        <w:t>2、政府采购扶持政策</w:t>
      </w:r>
      <w:bookmarkEnd w:id="24"/>
    </w:p>
    <w:p w14:paraId="66870051">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其他未列明行业</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3C5AF5D4">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51C09ED2">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5CACF2B4">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1794F283">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4FE6F0A6">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75BF7F46">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4676749E">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1814494C">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6E36335E">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6AE28091">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6CD92B9E">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3472636A">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25AFD031">
      <w:pPr>
        <w:spacing w:line="360" w:lineRule="auto"/>
        <w:ind w:firstLine="420" w:firstLineChars="200"/>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3B9C2514">
      <w:pPr>
        <w:widowControl/>
        <w:jc w:val="left"/>
      </w:pPr>
    </w:p>
    <w:p w14:paraId="582E5AB2">
      <w:pPr>
        <w:pStyle w:val="2"/>
        <w:spacing w:before="0" w:after="0" w:line="240" w:lineRule="auto"/>
      </w:pPr>
      <w:bookmarkStart w:id="25" w:name="_Toc135293168"/>
    </w:p>
    <w:p w14:paraId="7703AD2F">
      <w:pPr>
        <w:pStyle w:val="2"/>
      </w:pPr>
    </w:p>
    <w:p w14:paraId="2D41E2D0"/>
    <w:p w14:paraId="2229595D"/>
    <w:p w14:paraId="735C411C"/>
    <w:p w14:paraId="60C95FEB"/>
    <w:p w14:paraId="0F7777B3"/>
    <w:p w14:paraId="4C6B53F7"/>
    <w:p w14:paraId="3E802711"/>
    <w:p w14:paraId="49A86779"/>
    <w:p w14:paraId="7836F767"/>
    <w:p w14:paraId="13010B72"/>
    <w:p w14:paraId="37A2D474"/>
    <w:p w14:paraId="0F1614B3"/>
    <w:p w14:paraId="57D581FC"/>
    <w:p w14:paraId="742837F7"/>
    <w:p w14:paraId="3E21605E"/>
    <w:p w14:paraId="039D59C1"/>
    <w:p w14:paraId="65CA600B"/>
    <w:p w14:paraId="5C644DF4"/>
    <w:p w14:paraId="6D0C7BCF"/>
    <w:p w14:paraId="3C017E12"/>
    <w:p w14:paraId="15B85D78"/>
    <w:p w14:paraId="4ECB3CD6"/>
    <w:p w14:paraId="494CD769"/>
    <w:p w14:paraId="3604F40A"/>
    <w:p w14:paraId="6F665C3E"/>
    <w:p w14:paraId="14B91E12"/>
    <w:p w14:paraId="278B998D"/>
    <w:p w14:paraId="7BAE5F03"/>
    <w:p w14:paraId="6553D32E">
      <w:pPr>
        <w:pStyle w:val="2"/>
      </w:pPr>
      <w:r>
        <w:rPr>
          <w:rFonts w:hint="eastAsia"/>
        </w:rPr>
        <w:t>第五章  投标人须知前附表</w:t>
      </w:r>
      <w:bookmarkEnd w:id="25"/>
    </w:p>
    <w:p w14:paraId="403A4260">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06647D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C005312">
            <w:pPr>
              <w:pStyle w:val="26"/>
              <w:spacing w:line="360" w:lineRule="auto"/>
              <w:jc w:val="center"/>
              <w:rPr>
                <w:rFonts w:hAnsi="宋体"/>
              </w:rPr>
            </w:pPr>
            <w:r>
              <w:rPr>
                <w:rFonts w:hint="eastAsia" w:hAnsi="宋体"/>
              </w:rPr>
              <w:t>项号</w:t>
            </w:r>
          </w:p>
        </w:tc>
        <w:tc>
          <w:tcPr>
            <w:tcW w:w="1038" w:type="dxa"/>
            <w:vAlign w:val="center"/>
          </w:tcPr>
          <w:p w14:paraId="780B9FC0">
            <w:pPr>
              <w:pStyle w:val="26"/>
              <w:spacing w:line="360" w:lineRule="auto"/>
              <w:jc w:val="center"/>
              <w:rPr>
                <w:rFonts w:hAnsi="宋体"/>
              </w:rPr>
            </w:pPr>
            <w:r>
              <w:rPr>
                <w:rFonts w:hint="eastAsia" w:hAnsi="宋体"/>
              </w:rPr>
              <w:t>条款号</w:t>
            </w:r>
          </w:p>
        </w:tc>
        <w:tc>
          <w:tcPr>
            <w:tcW w:w="1843" w:type="dxa"/>
            <w:vAlign w:val="center"/>
          </w:tcPr>
          <w:p w14:paraId="5EDCC36E">
            <w:pPr>
              <w:pStyle w:val="26"/>
              <w:spacing w:line="360" w:lineRule="auto"/>
              <w:jc w:val="center"/>
              <w:rPr>
                <w:rFonts w:hAnsi="宋体"/>
              </w:rPr>
            </w:pPr>
            <w:r>
              <w:rPr>
                <w:rFonts w:hint="eastAsia" w:hAnsi="宋体"/>
              </w:rPr>
              <w:t>内容</w:t>
            </w:r>
          </w:p>
        </w:tc>
        <w:tc>
          <w:tcPr>
            <w:tcW w:w="6520" w:type="dxa"/>
          </w:tcPr>
          <w:p w14:paraId="18999692">
            <w:pPr>
              <w:pStyle w:val="26"/>
              <w:spacing w:line="360" w:lineRule="auto"/>
              <w:jc w:val="center"/>
              <w:rPr>
                <w:rFonts w:hAnsi="宋体"/>
              </w:rPr>
            </w:pPr>
            <w:r>
              <w:rPr>
                <w:rFonts w:hint="eastAsia" w:hAnsi="宋体"/>
              </w:rPr>
              <w:t>内容规定</w:t>
            </w:r>
          </w:p>
        </w:tc>
      </w:tr>
      <w:tr w14:paraId="1033B4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218B76B">
            <w:pPr>
              <w:pStyle w:val="26"/>
              <w:spacing w:line="360" w:lineRule="auto"/>
              <w:jc w:val="center"/>
              <w:rPr>
                <w:rFonts w:hAnsi="宋体"/>
              </w:rPr>
            </w:pPr>
            <w:r>
              <w:rPr>
                <w:rFonts w:hAnsi="宋体"/>
              </w:rPr>
              <w:t>1</w:t>
            </w:r>
          </w:p>
        </w:tc>
        <w:tc>
          <w:tcPr>
            <w:tcW w:w="1038" w:type="dxa"/>
            <w:vAlign w:val="center"/>
          </w:tcPr>
          <w:p w14:paraId="4E972102">
            <w:pPr>
              <w:pStyle w:val="26"/>
              <w:spacing w:line="360" w:lineRule="auto"/>
              <w:jc w:val="center"/>
              <w:rPr>
                <w:rFonts w:hAnsi="宋体"/>
              </w:rPr>
            </w:pPr>
            <w:r>
              <w:rPr>
                <w:rFonts w:hAnsi="宋体"/>
              </w:rPr>
              <w:t>1.1</w:t>
            </w:r>
          </w:p>
        </w:tc>
        <w:tc>
          <w:tcPr>
            <w:tcW w:w="1843" w:type="dxa"/>
            <w:vAlign w:val="center"/>
          </w:tcPr>
          <w:p w14:paraId="6F29735B">
            <w:pPr>
              <w:pStyle w:val="26"/>
              <w:spacing w:line="360" w:lineRule="exact"/>
              <w:jc w:val="center"/>
              <w:rPr>
                <w:rFonts w:hAnsi="宋体"/>
              </w:rPr>
            </w:pPr>
            <w:r>
              <w:rPr>
                <w:rFonts w:hint="eastAsia" w:hAnsi="宋体"/>
              </w:rPr>
              <w:t>项目名称</w:t>
            </w:r>
          </w:p>
        </w:tc>
        <w:tc>
          <w:tcPr>
            <w:tcW w:w="6520" w:type="dxa"/>
            <w:vAlign w:val="center"/>
          </w:tcPr>
          <w:p w14:paraId="6E6526CC">
            <w:pPr>
              <w:pStyle w:val="26"/>
              <w:spacing w:line="360" w:lineRule="exact"/>
            </w:pPr>
            <w:r>
              <w:rPr>
                <w:rFonts w:hint="eastAsia"/>
              </w:rPr>
              <w:t>实训（验）室安全巡检</w:t>
            </w:r>
          </w:p>
        </w:tc>
      </w:tr>
      <w:tr w14:paraId="74122E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4442C7F">
            <w:pPr>
              <w:pStyle w:val="26"/>
              <w:spacing w:line="360" w:lineRule="auto"/>
              <w:jc w:val="center"/>
              <w:rPr>
                <w:rFonts w:hAnsi="宋体"/>
              </w:rPr>
            </w:pPr>
            <w:r>
              <w:rPr>
                <w:rFonts w:hint="eastAsia" w:hAnsi="宋体"/>
              </w:rPr>
              <w:t>2</w:t>
            </w:r>
          </w:p>
        </w:tc>
        <w:tc>
          <w:tcPr>
            <w:tcW w:w="1038" w:type="dxa"/>
            <w:vAlign w:val="center"/>
          </w:tcPr>
          <w:p w14:paraId="0EA0159C">
            <w:pPr>
              <w:pStyle w:val="26"/>
              <w:spacing w:line="360" w:lineRule="auto"/>
              <w:jc w:val="center"/>
              <w:rPr>
                <w:rFonts w:hAnsi="宋体"/>
              </w:rPr>
            </w:pPr>
            <w:r>
              <w:rPr>
                <w:rFonts w:hAnsi="宋体"/>
              </w:rPr>
              <w:t>2.1</w:t>
            </w:r>
          </w:p>
        </w:tc>
        <w:tc>
          <w:tcPr>
            <w:tcW w:w="1843" w:type="dxa"/>
            <w:vAlign w:val="center"/>
          </w:tcPr>
          <w:p w14:paraId="78F0061B">
            <w:pPr>
              <w:pStyle w:val="26"/>
              <w:spacing w:line="360" w:lineRule="exact"/>
              <w:jc w:val="center"/>
              <w:rPr>
                <w:rFonts w:hAnsi="宋体"/>
              </w:rPr>
            </w:pPr>
            <w:r>
              <w:rPr>
                <w:rFonts w:hint="eastAsia" w:hAnsi="宋体"/>
              </w:rPr>
              <w:t>采购人</w:t>
            </w:r>
          </w:p>
        </w:tc>
        <w:tc>
          <w:tcPr>
            <w:tcW w:w="6520" w:type="dxa"/>
            <w:vAlign w:val="center"/>
          </w:tcPr>
          <w:p w14:paraId="41B51CE4">
            <w:pPr>
              <w:pStyle w:val="26"/>
              <w:spacing w:line="360" w:lineRule="exact"/>
              <w:rPr>
                <w:rFonts w:hAnsi="宋体"/>
                <w:szCs w:val="24"/>
              </w:rPr>
            </w:pPr>
            <w:r>
              <w:rPr>
                <w:rFonts w:hint="eastAsia" w:hAnsi="宋体"/>
                <w:snapToGrid w:val="0"/>
                <w:szCs w:val="21"/>
              </w:rPr>
              <w:t>深圳职业技术大学</w:t>
            </w:r>
          </w:p>
        </w:tc>
      </w:tr>
      <w:tr w14:paraId="7C0ED7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6A23D87">
            <w:pPr>
              <w:pStyle w:val="26"/>
              <w:spacing w:line="360" w:lineRule="auto"/>
              <w:jc w:val="center"/>
              <w:rPr>
                <w:rFonts w:hAnsi="宋体"/>
              </w:rPr>
            </w:pPr>
            <w:r>
              <w:rPr>
                <w:rFonts w:hint="eastAsia" w:hAnsi="宋体"/>
              </w:rPr>
              <w:t>3</w:t>
            </w:r>
          </w:p>
        </w:tc>
        <w:tc>
          <w:tcPr>
            <w:tcW w:w="1038" w:type="dxa"/>
            <w:vAlign w:val="center"/>
          </w:tcPr>
          <w:p w14:paraId="35FBC3BB">
            <w:pPr>
              <w:pStyle w:val="26"/>
              <w:spacing w:line="360" w:lineRule="auto"/>
              <w:jc w:val="center"/>
              <w:rPr>
                <w:rFonts w:hAnsi="宋体"/>
              </w:rPr>
            </w:pPr>
            <w:r>
              <w:rPr>
                <w:rFonts w:hAnsi="宋体"/>
              </w:rPr>
              <w:t>2.2</w:t>
            </w:r>
          </w:p>
        </w:tc>
        <w:tc>
          <w:tcPr>
            <w:tcW w:w="1843" w:type="dxa"/>
            <w:vAlign w:val="center"/>
          </w:tcPr>
          <w:p w14:paraId="7AF3F3D1">
            <w:pPr>
              <w:pStyle w:val="26"/>
              <w:spacing w:line="360" w:lineRule="exact"/>
              <w:jc w:val="center"/>
              <w:rPr>
                <w:rFonts w:hAnsi="宋体"/>
              </w:rPr>
            </w:pPr>
            <w:r>
              <w:rPr>
                <w:rFonts w:hint="eastAsia" w:hAnsi="宋体"/>
              </w:rPr>
              <w:t>采购代理机构</w:t>
            </w:r>
          </w:p>
        </w:tc>
        <w:tc>
          <w:tcPr>
            <w:tcW w:w="6520" w:type="dxa"/>
            <w:vAlign w:val="center"/>
          </w:tcPr>
          <w:p w14:paraId="6408EF6D">
            <w:pPr>
              <w:pStyle w:val="26"/>
              <w:spacing w:line="360" w:lineRule="exact"/>
              <w:rPr>
                <w:rFonts w:hAnsi="宋体"/>
              </w:rPr>
            </w:pPr>
            <w:r>
              <w:rPr>
                <w:rFonts w:hAnsi="宋体"/>
              </w:rPr>
              <w:t>深圳市中正招标有限公司</w:t>
            </w:r>
          </w:p>
        </w:tc>
      </w:tr>
      <w:tr w14:paraId="2BC0DC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3EBE6AEC">
            <w:pPr>
              <w:pStyle w:val="26"/>
              <w:spacing w:line="360" w:lineRule="auto"/>
              <w:jc w:val="center"/>
              <w:rPr>
                <w:rFonts w:hAnsi="宋体"/>
              </w:rPr>
            </w:pPr>
            <w:r>
              <w:rPr>
                <w:rFonts w:hint="eastAsia" w:hAnsi="宋体"/>
              </w:rPr>
              <w:t>4</w:t>
            </w:r>
          </w:p>
        </w:tc>
        <w:tc>
          <w:tcPr>
            <w:tcW w:w="1038" w:type="dxa"/>
            <w:vAlign w:val="center"/>
          </w:tcPr>
          <w:p w14:paraId="3A0C5416">
            <w:pPr>
              <w:pStyle w:val="26"/>
              <w:spacing w:line="360" w:lineRule="auto"/>
              <w:jc w:val="center"/>
              <w:rPr>
                <w:rFonts w:hAnsi="宋体"/>
              </w:rPr>
            </w:pPr>
            <w:r>
              <w:rPr>
                <w:rFonts w:hint="eastAsia" w:hAnsi="宋体"/>
              </w:rPr>
              <w:t>3.1</w:t>
            </w:r>
          </w:p>
        </w:tc>
        <w:tc>
          <w:tcPr>
            <w:tcW w:w="1843" w:type="dxa"/>
            <w:vAlign w:val="center"/>
          </w:tcPr>
          <w:p w14:paraId="09CADB9D">
            <w:pPr>
              <w:pStyle w:val="26"/>
              <w:spacing w:line="360" w:lineRule="exact"/>
              <w:jc w:val="center"/>
              <w:rPr>
                <w:rFonts w:hAnsi="宋体"/>
              </w:rPr>
            </w:pPr>
            <w:r>
              <w:rPr>
                <w:rFonts w:hint="eastAsia" w:hAnsi="宋体"/>
              </w:rPr>
              <w:t>资金来源</w:t>
            </w:r>
          </w:p>
        </w:tc>
        <w:tc>
          <w:tcPr>
            <w:tcW w:w="6520" w:type="dxa"/>
            <w:vAlign w:val="center"/>
          </w:tcPr>
          <w:p w14:paraId="690D6BAE">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0A6C76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55A20E9F">
            <w:pPr>
              <w:pStyle w:val="26"/>
              <w:spacing w:line="360" w:lineRule="auto"/>
              <w:jc w:val="center"/>
              <w:rPr>
                <w:rFonts w:hAnsi="宋体"/>
              </w:rPr>
            </w:pPr>
            <w:r>
              <w:rPr>
                <w:rFonts w:hint="eastAsia" w:hAnsi="宋体"/>
              </w:rPr>
              <w:t>5</w:t>
            </w:r>
          </w:p>
        </w:tc>
        <w:tc>
          <w:tcPr>
            <w:tcW w:w="1038" w:type="dxa"/>
            <w:vAlign w:val="center"/>
          </w:tcPr>
          <w:p w14:paraId="4419A0E1">
            <w:pPr>
              <w:pStyle w:val="26"/>
              <w:spacing w:line="360" w:lineRule="auto"/>
              <w:jc w:val="center"/>
              <w:rPr>
                <w:rFonts w:hAnsi="宋体"/>
              </w:rPr>
            </w:pPr>
            <w:r>
              <w:rPr>
                <w:rFonts w:hint="eastAsia" w:hAnsi="宋体"/>
              </w:rPr>
              <w:t>4.7</w:t>
            </w:r>
          </w:p>
        </w:tc>
        <w:tc>
          <w:tcPr>
            <w:tcW w:w="1843" w:type="dxa"/>
            <w:vAlign w:val="center"/>
          </w:tcPr>
          <w:p w14:paraId="7C51714B">
            <w:pPr>
              <w:pStyle w:val="26"/>
              <w:spacing w:line="360" w:lineRule="auto"/>
              <w:jc w:val="center"/>
              <w:rPr>
                <w:rFonts w:hAnsi="宋体"/>
              </w:rPr>
            </w:pPr>
            <w:r>
              <w:rPr>
                <w:rFonts w:hint="eastAsia" w:hAnsi="宋体"/>
              </w:rPr>
              <w:t>投标人资格要求</w:t>
            </w:r>
          </w:p>
        </w:tc>
        <w:tc>
          <w:tcPr>
            <w:tcW w:w="6520" w:type="dxa"/>
            <w:vAlign w:val="center"/>
          </w:tcPr>
          <w:p w14:paraId="0C825C8D">
            <w:pPr>
              <w:pStyle w:val="26"/>
              <w:spacing w:line="300" w:lineRule="auto"/>
              <w:rPr>
                <w:rFonts w:hAnsi="宋体"/>
                <w:szCs w:val="21"/>
              </w:rPr>
            </w:pPr>
            <w:r>
              <w:rPr>
                <w:rFonts w:hint="eastAsia" w:hAnsi="宋体"/>
                <w:szCs w:val="21"/>
              </w:rPr>
              <w:t>详见《第一章 投标邀请》“申请人的资格要求”</w:t>
            </w:r>
          </w:p>
          <w:p w14:paraId="4CDBFDC3">
            <w:pPr>
              <w:pStyle w:val="26"/>
              <w:spacing w:line="360" w:lineRule="auto"/>
              <w:rPr>
                <w:rFonts w:hAnsi="宋体"/>
                <w:b/>
                <w:bCs/>
                <w:szCs w:val="21"/>
              </w:rPr>
            </w:pPr>
            <w:r>
              <w:rPr>
                <w:rFonts w:hint="eastAsia" w:hAnsi="宋体"/>
                <w:b/>
                <w:bCs/>
                <w:szCs w:val="21"/>
              </w:rPr>
              <w:t>（投标人资格证明文件详见第七章 投标文件格式）</w:t>
            </w:r>
          </w:p>
        </w:tc>
      </w:tr>
      <w:tr w14:paraId="43B0DF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3AB796E2">
            <w:pPr>
              <w:pStyle w:val="26"/>
              <w:spacing w:line="360" w:lineRule="auto"/>
              <w:jc w:val="center"/>
              <w:rPr>
                <w:rFonts w:hAnsi="宋体"/>
              </w:rPr>
            </w:pPr>
            <w:r>
              <w:rPr>
                <w:rFonts w:hint="eastAsia" w:hAnsi="宋体"/>
              </w:rPr>
              <w:t>6</w:t>
            </w:r>
          </w:p>
        </w:tc>
        <w:tc>
          <w:tcPr>
            <w:tcW w:w="1038" w:type="dxa"/>
            <w:vAlign w:val="center"/>
          </w:tcPr>
          <w:p w14:paraId="209D1EE7">
            <w:pPr>
              <w:pStyle w:val="26"/>
              <w:spacing w:line="360" w:lineRule="auto"/>
              <w:jc w:val="center"/>
              <w:rPr>
                <w:rFonts w:hAnsi="宋体"/>
              </w:rPr>
            </w:pPr>
            <w:r>
              <w:rPr>
                <w:rFonts w:hint="eastAsia" w:hAnsi="宋体"/>
              </w:rPr>
              <w:t>4.8</w:t>
            </w:r>
          </w:p>
        </w:tc>
        <w:tc>
          <w:tcPr>
            <w:tcW w:w="1843" w:type="dxa"/>
            <w:vAlign w:val="center"/>
          </w:tcPr>
          <w:p w14:paraId="2B0E73B0">
            <w:pPr>
              <w:pStyle w:val="26"/>
              <w:spacing w:line="360" w:lineRule="auto"/>
              <w:jc w:val="center"/>
              <w:rPr>
                <w:rFonts w:hAnsi="宋体"/>
              </w:rPr>
            </w:pPr>
            <w:r>
              <w:rPr>
                <w:rFonts w:hint="eastAsia" w:hAnsi="宋体"/>
              </w:rPr>
              <w:t>联合体投标</w:t>
            </w:r>
          </w:p>
        </w:tc>
        <w:tc>
          <w:tcPr>
            <w:tcW w:w="6520" w:type="dxa"/>
          </w:tcPr>
          <w:p w14:paraId="24ACC688">
            <w:pPr>
              <w:pStyle w:val="26"/>
              <w:spacing w:line="360" w:lineRule="auto"/>
              <w:rPr>
                <w:rFonts w:hAnsi="宋体"/>
              </w:rPr>
            </w:pPr>
            <w:r>
              <w:rPr>
                <w:rFonts w:hint="eastAsia" w:hAnsi="宋体"/>
              </w:rPr>
              <w:t>不接受</w:t>
            </w:r>
          </w:p>
        </w:tc>
      </w:tr>
      <w:tr w14:paraId="069E4B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79F4C037">
            <w:pPr>
              <w:pStyle w:val="26"/>
              <w:spacing w:line="360" w:lineRule="auto"/>
              <w:jc w:val="center"/>
              <w:rPr>
                <w:rFonts w:hAnsi="宋体"/>
              </w:rPr>
            </w:pPr>
            <w:r>
              <w:rPr>
                <w:rFonts w:hint="eastAsia" w:hAnsi="宋体"/>
              </w:rPr>
              <w:t>7</w:t>
            </w:r>
          </w:p>
        </w:tc>
        <w:tc>
          <w:tcPr>
            <w:tcW w:w="1038" w:type="dxa"/>
            <w:vAlign w:val="center"/>
          </w:tcPr>
          <w:p w14:paraId="03BF8DA5">
            <w:pPr>
              <w:pStyle w:val="26"/>
              <w:spacing w:line="360" w:lineRule="auto"/>
              <w:jc w:val="center"/>
              <w:rPr>
                <w:rFonts w:hAnsi="宋体"/>
              </w:rPr>
            </w:pPr>
            <w:r>
              <w:rPr>
                <w:rFonts w:hint="eastAsia" w:hAnsi="宋体"/>
              </w:rPr>
              <w:t>6.1</w:t>
            </w:r>
          </w:p>
        </w:tc>
        <w:tc>
          <w:tcPr>
            <w:tcW w:w="1843" w:type="dxa"/>
            <w:vAlign w:val="center"/>
          </w:tcPr>
          <w:p w14:paraId="162B05E3">
            <w:pPr>
              <w:pStyle w:val="26"/>
              <w:spacing w:line="360" w:lineRule="auto"/>
              <w:jc w:val="center"/>
              <w:rPr>
                <w:rFonts w:hAnsi="宋体"/>
              </w:rPr>
            </w:pPr>
            <w:r>
              <w:rPr>
                <w:rFonts w:hint="eastAsia" w:hAnsi="宋体"/>
              </w:rPr>
              <w:t>踏勘现场</w:t>
            </w:r>
          </w:p>
        </w:tc>
        <w:tc>
          <w:tcPr>
            <w:tcW w:w="6520" w:type="dxa"/>
          </w:tcPr>
          <w:p w14:paraId="0A0C977B">
            <w:pPr>
              <w:pStyle w:val="26"/>
              <w:spacing w:line="360" w:lineRule="auto"/>
              <w:rPr>
                <w:rFonts w:hAnsi="宋体"/>
              </w:rPr>
            </w:pPr>
            <w:r>
              <w:rPr>
                <w:rFonts w:hint="eastAsia" w:hAnsi="宋体"/>
              </w:rPr>
              <w:t>不统一组织</w:t>
            </w:r>
            <w:r>
              <w:rPr>
                <w:rFonts w:hint="eastAsia"/>
                <w:snapToGrid w:val="0"/>
              </w:rPr>
              <w:t>，由各投标人自行查看现场。</w:t>
            </w:r>
          </w:p>
        </w:tc>
      </w:tr>
      <w:tr w14:paraId="2FC5B4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2ABD3F24">
            <w:pPr>
              <w:pStyle w:val="26"/>
              <w:spacing w:line="360" w:lineRule="auto"/>
              <w:jc w:val="center"/>
              <w:rPr>
                <w:rFonts w:hAnsi="宋体"/>
              </w:rPr>
            </w:pPr>
            <w:r>
              <w:rPr>
                <w:rFonts w:hint="eastAsia" w:hAnsi="宋体"/>
              </w:rPr>
              <w:t>8</w:t>
            </w:r>
          </w:p>
        </w:tc>
        <w:tc>
          <w:tcPr>
            <w:tcW w:w="1038" w:type="dxa"/>
            <w:vAlign w:val="center"/>
          </w:tcPr>
          <w:p w14:paraId="26DA2EDB">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11568DB7">
            <w:pPr>
              <w:pStyle w:val="26"/>
              <w:spacing w:line="360" w:lineRule="auto"/>
              <w:jc w:val="center"/>
              <w:rPr>
                <w:rFonts w:hAnsi="宋体"/>
              </w:rPr>
            </w:pPr>
            <w:r>
              <w:rPr>
                <w:rFonts w:hint="eastAsia" w:hAnsi="宋体"/>
              </w:rPr>
              <w:t>投标有效期</w:t>
            </w:r>
          </w:p>
        </w:tc>
        <w:tc>
          <w:tcPr>
            <w:tcW w:w="6520" w:type="dxa"/>
          </w:tcPr>
          <w:p w14:paraId="2594B6B6">
            <w:pPr>
              <w:pStyle w:val="26"/>
              <w:spacing w:line="360" w:lineRule="auto"/>
              <w:rPr>
                <w:rFonts w:hAnsi="宋体"/>
              </w:rPr>
            </w:pPr>
            <w:r>
              <w:rPr>
                <w:rFonts w:hint="eastAsia" w:hAnsi="宋体"/>
              </w:rPr>
              <w:t>90</w:t>
            </w:r>
            <w:r>
              <w:rPr>
                <w:rFonts w:hAnsi="宋体"/>
              </w:rPr>
              <w:t>日历天（从投标截止之日算起）</w:t>
            </w:r>
          </w:p>
        </w:tc>
      </w:tr>
      <w:tr w14:paraId="5DEE7E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5E5C6A5A">
            <w:pPr>
              <w:pStyle w:val="26"/>
              <w:spacing w:line="360" w:lineRule="auto"/>
              <w:jc w:val="center"/>
              <w:rPr>
                <w:rFonts w:hAnsi="宋体"/>
              </w:rPr>
            </w:pPr>
            <w:r>
              <w:rPr>
                <w:rFonts w:hint="eastAsia" w:hAnsi="宋体"/>
              </w:rPr>
              <w:t>9</w:t>
            </w:r>
          </w:p>
        </w:tc>
        <w:tc>
          <w:tcPr>
            <w:tcW w:w="1038" w:type="dxa"/>
            <w:vAlign w:val="center"/>
          </w:tcPr>
          <w:p w14:paraId="19ECA94F">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77BF60E3">
            <w:pPr>
              <w:pStyle w:val="26"/>
              <w:spacing w:line="360" w:lineRule="auto"/>
              <w:jc w:val="center"/>
              <w:rPr>
                <w:rFonts w:hAnsi="宋体"/>
              </w:rPr>
            </w:pPr>
            <w:r>
              <w:rPr>
                <w:rFonts w:hint="eastAsia" w:hAnsi="宋体"/>
              </w:rPr>
              <w:t>投标保证金</w:t>
            </w:r>
          </w:p>
        </w:tc>
        <w:tc>
          <w:tcPr>
            <w:tcW w:w="6520" w:type="dxa"/>
            <w:vAlign w:val="center"/>
          </w:tcPr>
          <w:p w14:paraId="6A2EA777">
            <w:pPr>
              <w:tabs>
                <w:tab w:val="left" w:pos="915"/>
              </w:tabs>
              <w:spacing w:line="360" w:lineRule="exact"/>
              <w:rPr>
                <w:rFonts w:hAnsi="宋体"/>
              </w:rPr>
            </w:pPr>
            <w:r>
              <w:rPr>
                <w:rFonts w:hint="eastAsia" w:hAnsi="宋体"/>
              </w:rPr>
              <w:t>不要求向采购代理机构提交</w:t>
            </w:r>
          </w:p>
        </w:tc>
      </w:tr>
      <w:tr w14:paraId="064EB7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774730C1">
            <w:pPr>
              <w:pStyle w:val="26"/>
              <w:spacing w:line="360" w:lineRule="auto"/>
              <w:jc w:val="center"/>
              <w:rPr>
                <w:rFonts w:hAnsi="宋体"/>
              </w:rPr>
            </w:pPr>
            <w:r>
              <w:rPr>
                <w:rFonts w:hint="eastAsia" w:hAnsi="宋体"/>
              </w:rPr>
              <w:t>10</w:t>
            </w:r>
          </w:p>
        </w:tc>
        <w:tc>
          <w:tcPr>
            <w:tcW w:w="1038" w:type="dxa"/>
            <w:vAlign w:val="center"/>
          </w:tcPr>
          <w:p w14:paraId="62E9721E">
            <w:pPr>
              <w:pStyle w:val="26"/>
              <w:spacing w:line="360" w:lineRule="auto"/>
              <w:jc w:val="center"/>
              <w:rPr>
                <w:rFonts w:hAnsi="宋体"/>
              </w:rPr>
            </w:pPr>
            <w:r>
              <w:rPr>
                <w:rFonts w:hint="eastAsia" w:hAnsi="宋体"/>
              </w:rPr>
              <w:t>16.1</w:t>
            </w:r>
          </w:p>
        </w:tc>
        <w:tc>
          <w:tcPr>
            <w:tcW w:w="1843" w:type="dxa"/>
            <w:vAlign w:val="center"/>
          </w:tcPr>
          <w:p w14:paraId="299CCE87">
            <w:pPr>
              <w:pStyle w:val="26"/>
              <w:spacing w:line="360" w:lineRule="auto"/>
              <w:jc w:val="center"/>
              <w:rPr>
                <w:rFonts w:hAnsi="宋体"/>
              </w:rPr>
            </w:pPr>
            <w:r>
              <w:rPr>
                <w:rFonts w:hint="eastAsia" w:hAnsi="宋体"/>
              </w:rPr>
              <w:t>投标预备会</w:t>
            </w:r>
          </w:p>
          <w:p w14:paraId="2B16591C">
            <w:pPr>
              <w:pStyle w:val="26"/>
              <w:spacing w:line="360" w:lineRule="auto"/>
              <w:jc w:val="center"/>
              <w:rPr>
                <w:rFonts w:hAnsi="宋体"/>
              </w:rPr>
            </w:pPr>
            <w:r>
              <w:rPr>
                <w:rFonts w:hint="eastAsia" w:hAnsi="宋体"/>
              </w:rPr>
              <w:t>（答疑会）</w:t>
            </w:r>
          </w:p>
        </w:tc>
        <w:tc>
          <w:tcPr>
            <w:tcW w:w="6520" w:type="dxa"/>
            <w:vAlign w:val="center"/>
          </w:tcPr>
          <w:p w14:paraId="3D8D95E2">
            <w:pPr>
              <w:pStyle w:val="26"/>
              <w:spacing w:line="360" w:lineRule="auto"/>
              <w:rPr>
                <w:rFonts w:hAnsi="宋体"/>
              </w:rPr>
            </w:pPr>
            <w:r>
              <w:rPr>
                <w:rFonts w:hint="eastAsia" w:hAnsi="宋体"/>
              </w:rPr>
              <w:t>不召开</w:t>
            </w:r>
          </w:p>
        </w:tc>
      </w:tr>
      <w:tr w14:paraId="564A48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64FBEC6">
            <w:pPr>
              <w:pStyle w:val="26"/>
              <w:spacing w:line="360" w:lineRule="auto"/>
              <w:jc w:val="center"/>
              <w:rPr>
                <w:rFonts w:hAnsi="宋体"/>
              </w:rPr>
            </w:pPr>
            <w:r>
              <w:rPr>
                <w:rFonts w:hint="eastAsia" w:hAnsi="宋体"/>
              </w:rPr>
              <w:t>11</w:t>
            </w:r>
          </w:p>
        </w:tc>
        <w:tc>
          <w:tcPr>
            <w:tcW w:w="1038" w:type="dxa"/>
            <w:vAlign w:val="center"/>
          </w:tcPr>
          <w:p w14:paraId="5EE8550C">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4319FDDF">
            <w:pPr>
              <w:pStyle w:val="26"/>
              <w:spacing w:line="360" w:lineRule="auto"/>
              <w:jc w:val="center"/>
              <w:rPr>
                <w:rFonts w:hAnsi="宋体"/>
              </w:rPr>
            </w:pPr>
            <w:r>
              <w:rPr>
                <w:rFonts w:hint="eastAsia" w:hAnsi="宋体"/>
              </w:rPr>
              <w:t>投标文件数量</w:t>
            </w:r>
          </w:p>
        </w:tc>
        <w:tc>
          <w:tcPr>
            <w:tcW w:w="6520" w:type="dxa"/>
          </w:tcPr>
          <w:p w14:paraId="214DDC62">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yellow"/>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32073E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E19FE0C">
            <w:pPr>
              <w:pStyle w:val="26"/>
              <w:spacing w:line="360" w:lineRule="auto"/>
              <w:jc w:val="center"/>
              <w:rPr>
                <w:rFonts w:hAnsi="宋体"/>
              </w:rPr>
            </w:pPr>
            <w:r>
              <w:rPr>
                <w:rFonts w:hint="eastAsia" w:hAnsi="宋体"/>
              </w:rPr>
              <w:t>12</w:t>
            </w:r>
          </w:p>
        </w:tc>
        <w:tc>
          <w:tcPr>
            <w:tcW w:w="1038" w:type="dxa"/>
            <w:vAlign w:val="center"/>
          </w:tcPr>
          <w:p w14:paraId="751E7E5A">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69EC9DCD">
            <w:pPr>
              <w:pStyle w:val="26"/>
              <w:spacing w:line="360" w:lineRule="auto"/>
              <w:jc w:val="center"/>
              <w:rPr>
                <w:rFonts w:hAnsi="宋体"/>
              </w:rPr>
            </w:pPr>
            <w:r>
              <w:rPr>
                <w:rFonts w:hint="eastAsia" w:hAnsi="宋体"/>
              </w:rPr>
              <w:t>开标</w:t>
            </w:r>
          </w:p>
        </w:tc>
        <w:tc>
          <w:tcPr>
            <w:tcW w:w="6520" w:type="dxa"/>
          </w:tcPr>
          <w:p w14:paraId="621FFE20">
            <w:pPr>
              <w:pStyle w:val="26"/>
              <w:spacing w:line="360" w:lineRule="auto"/>
              <w:rPr>
                <w:rFonts w:hAnsi="宋体"/>
              </w:rPr>
            </w:pPr>
            <w:r>
              <w:rPr>
                <w:rFonts w:hint="eastAsia" w:hAnsi="宋体"/>
                <w:szCs w:val="21"/>
              </w:rPr>
              <w:t>详见《第一章 投标邀请》</w:t>
            </w:r>
          </w:p>
        </w:tc>
      </w:tr>
      <w:tr w14:paraId="7C257A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AD78131">
            <w:pPr>
              <w:pStyle w:val="26"/>
              <w:spacing w:line="360" w:lineRule="auto"/>
              <w:jc w:val="center"/>
              <w:rPr>
                <w:rFonts w:hAnsi="宋体"/>
              </w:rPr>
            </w:pPr>
            <w:r>
              <w:rPr>
                <w:rFonts w:hint="eastAsia" w:hAnsi="宋体"/>
              </w:rPr>
              <w:t>13</w:t>
            </w:r>
          </w:p>
        </w:tc>
        <w:tc>
          <w:tcPr>
            <w:tcW w:w="1038" w:type="dxa"/>
            <w:vAlign w:val="center"/>
          </w:tcPr>
          <w:p w14:paraId="65910ED5">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23D3315A">
            <w:pPr>
              <w:pStyle w:val="26"/>
              <w:spacing w:line="360" w:lineRule="auto"/>
              <w:jc w:val="center"/>
              <w:rPr>
                <w:rFonts w:hAnsi="宋体"/>
              </w:rPr>
            </w:pPr>
            <w:r>
              <w:rPr>
                <w:rFonts w:hint="eastAsia" w:hAnsi="宋体"/>
              </w:rPr>
              <w:t>投标截止时间</w:t>
            </w:r>
          </w:p>
        </w:tc>
        <w:tc>
          <w:tcPr>
            <w:tcW w:w="6520" w:type="dxa"/>
          </w:tcPr>
          <w:p w14:paraId="0AACBE79">
            <w:pPr>
              <w:pStyle w:val="26"/>
              <w:spacing w:line="360" w:lineRule="auto"/>
              <w:rPr>
                <w:rFonts w:hAnsi="宋体"/>
                <w:b/>
              </w:rPr>
            </w:pPr>
            <w:r>
              <w:rPr>
                <w:rFonts w:hint="eastAsia" w:hAnsi="宋体"/>
                <w:szCs w:val="21"/>
              </w:rPr>
              <w:t>详见《第一章 投标邀请》</w:t>
            </w:r>
          </w:p>
        </w:tc>
      </w:tr>
      <w:tr w14:paraId="21D961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E28FA0A">
            <w:pPr>
              <w:pStyle w:val="26"/>
              <w:spacing w:line="360" w:lineRule="auto"/>
              <w:jc w:val="center"/>
              <w:rPr>
                <w:rFonts w:hAnsi="宋体"/>
              </w:rPr>
            </w:pPr>
            <w:r>
              <w:rPr>
                <w:rFonts w:hint="eastAsia" w:hAnsi="宋体"/>
              </w:rPr>
              <w:t>14</w:t>
            </w:r>
          </w:p>
        </w:tc>
        <w:tc>
          <w:tcPr>
            <w:tcW w:w="1038" w:type="dxa"/>
            <w:vAlign w:val="center"/>
          </w:tcPr>
          <w:p w14:paraId="30DF0158">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00C3228B">
            <w:pPr>
              <w:pStyle w:val="26"/>
              <w:spacing w:line="360" w:lineRule="auto"/>
              <w:jc w:val="center"/>
              <w:rPr>
                <w:rFonts w:hAnsi="宋体"/>
              </w:rPr>
            </w:pPr>
            <w:r>
              <w:rPr>
                <w:rFonts w:hint="eastAsia" w:hAnsi="宋体"/>
              </w:rPr>
              <w:t>评标办法</w:t>
            </w:r>
          </w:p>
        </w:tc>
        <w:tc>
          <w:tcPr>
            <w:tcW w:w="6520" w:type="dxa"/>
          </w:tcPr>
          <w:p w14:paraId="2C700C4E">
            <w:pPr>
              <w:pStyle w:val="26"/>
              <w:spacing w:line="360" w:lineRule="auto"/>
              <w:rPr>
                <w:rFonts w:hAnsi="宋体"/>
              </w:rPr>
            </w:pPr>
            <w:r>
              <w:rPr>
                <w:rFonts w:hint="eastAsia" w:hAnsi="宋体"/>
              </w:rPr>
              <w:t>综合评分法</w:t>
            </w:r>
          </w:p>
        </w:tc>
      </w:tr>
      <w:tr w14:paraId="1F939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5A737F2">
            <w:pPr>
              <w:pStyle w:val="26"/>
              <w:spacing w:line="360" w:lineRule="auto"/>
              <w:jc w:val="center"/>
              <w:rPr>
                <w:rFonts w:hAnsi="宋体"/>
              </w:rPr>
            </w:pPr>
            <w:r>
              <w:rPr>
                <w:rFonts w:hint="eastAsia" w:hAnsi="宋体"/>
              </w:rPr>
              <w:t>15</w:t>
            </w:r>
          </w:p>
        </w:tc>
        <w:tc>
          <w:tcPr>
            <w:tcW w:w="1038" w:type="dxa"/>
            <w:vAlign w:val="center"/>
          </w:tcPr>
          <w:p w14:paraId="4A213726">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6C3A2E5F">
            <w:pPr>
              <w:pStyle w:val="26"/>
              <w:spacing w:line="360" w:lineRule="auto"/>
              <w:jc w:val="center"/>
              <w:rPr>
                <w:snapToGrid w:val="0"/>
                <w:kern w:val="0"/>
              </w:rPr>
            </w:pPr>
            <w:r>
              <w:rPr>
                <w:rFonts w:hint="eastAsia"/>
                <w:snapToGrid w:val="0"/>
                <w:kern w:val="0"/>
              </w:rPr>
              <w:t>履约保证金</w:t>
            </w:r>
          </w:p>
        </w:tc>
        <w:tc>
          <w:tcPr>
            <w:tcW w:w="6520" w:type="dxa"/>
          </w:tcPr>
          <w:p w14:paraId="24EB2D70">
            <w:pPr>
              <w:pStyle w:val="26"/>
              <w:spacing w:line="360" w:lineRule="auto"/>
              <w:rPr>
                <w:rFonts w:hAnsi="宋体"/>
              </w:rPr>
            </w:pPr>
            <w:r>
              <w:rPr>
                <w:rFonts w:hint="eastAsia"/>
                <w:snapToGrid w:val="0"/>
                <w:kern w:val="0"/>
              </w:rPr>
              <w:t>按签订的合同条款执行</w:t>
            </w:r>
          </w:p>
        </w:tc>
      </w:tr>
      <w:tr w14:paraId="1ABFBD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2EB458E">
            <w:pPr>
              <w:pStyle w:val="26"/>
              <w:spacing w:line="360" w:lineRule="auto"/>
              <w:jc w:val="center"/>
              <w:rPr>
                <w:rFonts w:hAnsi="宋体"/>
              </w:rPr>
            </w:pPr>
            <w:r>
              <w:rPr>
                <w:rFonts w:hint="eastAsia" w:hAnsi="宋体"/>
              </w:rPr>
              <w:t>16</w:t>
            </w:r>
          </w:p>
        </w:tc>
        <w:tc>
          <w:tcPr>
            <w:tcW w:w="1038" w:type="dxa"/>
            <w:vAlign w:val="center"/>
          </w:tcPr>
          <w:p w14:paraId="3854C329">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457F4F14">
            <w:pPr>
              <w:pStyle w:val="26"/>
              <w:spacing w:line="360" w:lineRule="auto"/>
              <w:jc w:val="center"/>
              <w:rPr>
                <w:rFonts w:hAnsi="宋体"/>
              </w:rPr>
            </w:pPr>
            <w:r>
              <w:rPr>
                <w:rFonts w:hint="eastAsia" w:hAnsi="宋体"/>
              </w:rPr>
              <w:t>中标服务费</w:t>
            </w:r>
          </w:p>
        </w:tc>
        <w:tc>
          <w:tcPr>
            <w:tcW w:w="6520" w:type="dxa"/>
          </w:tcPr>
          <w:p w14:paraId="38B8B235">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53C0004B">
            <w:pPr>
              <w:pStyle w:val="26"/>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40  </w:t>
            </w:r>
            <w:r>
              <w:rPr>
                <w:rFonts w:hint="eastAsia" w:asciiTheme="minorEastAsia" w:hAnsiTheme="minorEastAsia" w:eastAsiaTheme="minorEastAsia"/>
              </w:rPr>
              <w:t>%，最低收取人民币4500元。</w:t>
            </w:r>
          </w:p>
          <w:p w14:paraId="59B04DA2">
            <w:pPr>
              <w:pStyle w:val="26"/>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7E40A078">
      <w:pPr>
        <w:rPr>
          <w:szCs w:val="21"/>
        </w:rPr>
      </w:pPr>
    </w:p>
    <w:p w14:paraId="29FF4AEC"/>
    <w:p w14:paraId="01A41A3E"/>
    <w:p w14:paraId="14D6FB48"/>
    <w:p w14:paraId="7E7249BD"/>
    <w:p w14:paraId="3A7F724C"/>
    <w:p w14:paraId="3C4A1D05"/>
    <w:p w14:paraId="2DD56E34"/>
    <w:p w14:paraId="2560FB51"/>
    <w:p w14:paraId="426668F6"/>
    <w:p w14:paraId="1D889A9B"/>
    <w:p w14:paraId="128655F5"/>
    <w:p w14:paraId="0586AA66"/>
    <w:p w14:paraId="5B368AEF"/>
    <w:p w14:paraId="36C27B2E"/>
    <w:p w14:paraId="7DC1A7A4"/>
    <w:p w14:paraId="3F4AC41C"/>
    <w:p w14:paraId="2CD1A72F"/>
    <w:p w14:paraId="56EDF8F7"/>
    <w:p w14:paraId="5B758F2B"/>
    <w:p w14:paraId="1582C3D7"/>
    <w:p w14:paraId="0311FA6F"/>
    <w:p w14:paraId="2ACE03AE"/>
    <w:p w14:paraId="08E9C932"/>
    <w:p w14:paraId="3A24A295"/>
    <w:p w14:paraId="6E2622A8"/>
    <w:p w14:paraId="7A606929"/>
    <w:p w14:paraId="6B731299"/>
    <w:p w14:paraId="35242596"/>
    <w:p w14:paraId="5708312C"/>
    <w:p w14:paraId="257B3213"/>
    <w:p w14:paraId="72F947E0"/>
    <w:p w14:paraId="1704CA0F"/>
    <w:p w14:paraId="3CFB9092"/>
    <w:p w14:paraId="0F57CFA1"/>
    <w:p w14:paraId="57C9ABED"/>
    <w:p w14:paraId="5E269342"/>
    <w:p w14:paraId="677F58EA"/>
    <w:p w14:paraId="0835852D"/>
    <w:p w14:paraId="0124F881"/>
    <w:p w14:paraId="6D416D06"/>
    <w:p w14:paraId="1FB411BF"/>
    <w:p w14:paraId="0D8815BC">
      <w:pPr>
        <w:pStyle w:val="2"/>
      </w:pPr>
      <w:bookmarkStart w:id="26" w:name="_Toc135293330"/>
      <w:r>
        <w:rPr>
          <w:rFonts w:hint="eastAsia"/>
        </w:rPr>
        <w:t>第六章  投标人须知</w:t>
      </w:r>
      <w:bookmarkEnd w:id="26"/>
    </w:p>
    <w:p w14:paraId="5BB2CEAE">
      <w:pPr>
        <w:pStyle w:val="4"/>
        <w:spacing w:before="0" w:after="0"/>
      </w:pPr>
      <w:bookmarkStart w:id="27" w:name="_Toc135293331"/>
      <w:r>
        <w:rPr>
          <w:rFonts w:hint="eastAsia"/>
        </w:rPr>
        <w:t>一、说明</w:t>
      </w:r>
      <w:bookmarkEnd w:id="27"/>
    </w:p>
    <w:p w14:paraId="251AAED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1.适用范围</w:t>
      </w:r>
    </w:p>
    <w:p w14:paraId="59D2E6C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19028A8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《深圳职业技术大学采购办法》、《深圳职业技术大学采购办法实施细则》</w:t>
      </w:r>
      <w:r>
        <w:rPr>
          <w:rFonts w:hint="eastAsia" w:asciiTheme="minorEastAsia" w:hAnsiTheme="minorEastAsia" w:eastAsiaTheme="minorEastAsia"/>
          <w:szCs w:val="21"/>
        </w:rPr>
        <w:t>，参考</w:t>
      </w:r>
      <w:r>
        <w:rPr>
          <w:rFonts w:hint="eastAsia" w:asciiTheme="minorEastAsia" w:hAnsiTheme="minorEastAsia" w:eastAsiaTheme="minorEastAsia"/>
          <w:snapToGrid w:val="0"/>
          <w:kern w:val="0"/>
        </w:rPr>
        <w:t>政府采购相关法规、规章、规定，通过招标来择优选定供应商。</w:t>
      </w:r>
    </w:p>
    <w:p w14:paraId="083EC4D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53B1E23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78DE8FB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0215C3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2084EB8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  “货物”是指各种形态和种类的物品，包括原材料、燃料、设备、产品等。</w:t>
      </w:r>
    </w:p>
    <w:p w14:paraId="4C0AF7E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629392D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  “服务”是指除货物和工程以外的其他政府采购对象，包括政府自身需要的服务和政府向社会公众提供的公共服务。</w:t>
      </w:r>
    </w:p>
    <w:p w14:paraId="1260EDF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0978973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682E146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13F2515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7140997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4948630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1AF9670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6D45FA6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7BCCF9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1C7276C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1E8F6BF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63C096E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648B29F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63D1C6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p>
    <w:p w14:paraId="25FAE201">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p>
    <w:p w14:paraId="79365BF7">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p>
    <w:p w14:paraId="3E4D9AA0">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p>
    <w:p w14:paraId="11B8B00B">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p>
    <w:p w14:paraId="0761ECB2">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p>
    <w:p w14:paraId="6C9A0E2C">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p>
    <w:p w14:paraId="79E2594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068571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0F98CE8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5C938F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2E5362D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75AE69F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39DBFD1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59AA6D5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76F1073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14A27C3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7834869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22CA665F">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31786EA2">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3E73B98D">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2B9FDB39">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68365F65">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7147BD67">
      <w:pPr>
        <w:adjustRightInd w:val="0"/>
        <w:spacing w:line="360" w:lineRule="auto"/>
        <w:jc w:val="center"/>
        <w:rPr>
          <w:rFonts w:asciiTheme="minorEastAsia" w:hAnsiTheme="minorEastAsia" w:eastAsiaTheme="minorEastAsia"/>
          <w:b/>
          <w:snapToGrid w:val="0"/>
          <w:kern w:val="0"/>
        </w:rPr>
      </w:pPr>
      <w:bookmarkStart w:id="28" w:name="q5"/>
      <w:bookmarkEnd w:id="28"/>
    </w:p>
    <w:p w14:paraId="4B839FC0">
      <w:pPr>
        <w:pStyle w:val="4"/>
        <w:spacing w:before="0" w:after="0"/>
      </w:pPr>
      <w:bookmarkStart w:id="29" w:name="_Toc135293332"/>
      <w:r>
        <w:rPr>
          <w:rFonts w:hint="eastAsia"/>
        </w:rPr>
        <w:t>二、招标文件说明</w:t>
      </w:r>
      <w:bookmarkEnd w:id="29"/>
    </w:p>
    <w:p w14:paraId="0695F87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7FF137C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0D2948CF">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087121B7">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2987AE4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p>
    <w:p w14:paraId="2432F47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1520E7A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4495493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2FE4F2D0">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78482AF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0E39463D">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3D1E8C9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62AADFF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3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5A0C45C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在投标截止日2日前，采购代理机构可主动或依据投标人要求澄清的问题修改招标文件，并以书面形式通知所有购买招标文件的每一投标人，对方在收到该通知后应立即以书面的形式予以确认。</w:t>
      </w:r>
    </w:p>
    <w:p w14:paraId="34F3B76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3ECDDA6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3FAA0A31">
      <w:pPr>
        <w:adjustRightInd w:val="0"/>
        <w:spacing w:line="360" w:lineRule="auto"/>
        <w:ind w:firstLine="600"/>
        <w:jc w:val="center"/>
        <w:rPr>
          <w:rFonts w:asciiTheme="minorEastAsia" w:hAnsiTheme="minorEastAsia" w:eastAsiaTheme="minorEastAsia"/>
          <w:b/>
          <w:snapToGrid w:val="0"/>
          <w:kern w:val="0"/>
        </w:rPr>
      </w:pPr>
    </w:p>
    <w:p w14:paraId="21234890">
      <w:pPr>
        <w:pStyle w:val="4"/>
        <w:spacing w:before="0" w:after="0"/>
      </w:pPr>
      <w:bookmarkStart w:id="30" w:name="q6"/>
      <w:bookmarkEnd w:id="30"/>
      <w:bookmarkStart w:id="31" w:name="_Toc135293333"/>
      <w:r>
        <w:rPr>
          <w:rFonts w:hint="eastAsia"/>
        </w:rPr>
        <w:t>三、投标文件的编写</w:t>
      </w:r>
      <w:bookmarkEnd w:id="31"/>
    </w:p>
    <w:p w14:paraId="7C122BA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2F074A8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608FAE5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63FCD68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4644BF6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3001D9B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4A6E002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3313339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（3）评标指引表、供应商自查表、供应商基本情况表</w:t>
      </w:r>
    </w:p>
    <w:p w14:paraId="47C4A6D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7B8CBF2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hint="eastAsia"/>
          <w:snapToGrid w:val="0"/>
          <w:kern w:val="0"/>
          <w:szCs w:val="21"/>
        </w:rPr>
        <w:t>法定代表人（负责人）证明书及授权委托书</w:t>
      </w:r>
      <w:r>
        <w:rPr>
          <w:rFonts w:hint="eastAsia" w:asciiTheme="minorEastAsia" w:hAnsiTheme="minorEastAsia" w:eastAsiaTheme="minorEastAsia"/>
          <w:snapToGrid w:val="0"/>
          <w:kern w:val="0"/>
        </w:rPr>
        <w:t>（投标文件格式2）</w:t>
      </w:r>
    </w:p>
    <w:p w14:paraId="12CCA30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（6）投标函（投标文件格式3） </w:t>
      </w:r>
    </w:p>
    <w:p w14:paraId="208789A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505C57C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34223B9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14:paraId="0CF5966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（投标文件格式8）</w:t>
      </w:r>
    </w:p>
    <w:p w14:paraId="38C8B42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14:paraId="05C9C14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14:paraId="6E272404">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14:paraId="17D2444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4962EBE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06C9241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22A9C97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1050387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34BFA42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 投标人应分别在招标文件所附的“开标一览表”（投标文件格式5）和“报价表”（投标文件格式6）上写明投标货物的单价和投标总价。投标人对每种项目只允许有一个报价，采购代理机构不接受有任何选择的报价。</w:t>
      </w:r>
    </w:p>
    <w:p w14:paraId="044B2C3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7F3EA9B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7537DE6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投标人必须提交证明其有资格进行投标，和中标后有能力履行合同的证明文件（投标文件格式1与格式10），作为投标文件的一部分。</w:t>
      </w:r>
    </w:p>
    <w:p w14:paraId="027D1468">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2EA6725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1525DBA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3886EF9B">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66A7E25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snapToGrid w:val="0"/>
          <w:kern w:val="0"/>
        </w:rPr>
        <w:t>以下有关投标保证金的条款仅适用于需要缴纳投标保证金的项目。是否需要缴纳投标保证金以《投标人须知前附表》中的规定或说明为准。</w:t>
      </w:r>
    </w:p>
    <w:p w14:paraId="4E61460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4E4B772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46122DC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4投标保证金应以支票、银行转账或招标机构能够接受的其它非现金形式提交。（注：投标保证金必须从投标供应商基本账户转出，否则属于隐瞒真实情况，提供虚假资料。）</w:t>
      </w:r>
    </w:p>
    <w:p w14:paraId="03096F4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64BAF78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7B48142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中标人的投标保证金，采购代理机构将在中标人签订合同并支付中标服务费后5个工作日内退还。</w:t>
      </w:r>
    </w:p>
    <w:p w14:paraId="63D4266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2C51C405">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67D1B6F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57DC81D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096AA8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如果中标人未能做到：</w:t>
      </w:r>
    </w:p>
    <w:p w14:paraId="5C7DC47C">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1B3E23F7">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61004CF3">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674B0F4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715D3538">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3CFBC0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528ADDD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0E1BCDC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0E8DF58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6EB130B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55F185E6">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042B680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投标文件数量按前附表第11项所述，须在每一份投标文件上明确注明“正本”或“副本”字样。一旦正本和副本有差异，以正本为准。 </w:t>
      </w:r>
    </w:p>
    <w:p w14:paraId="3FEBA04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3DEC9E7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 投标文件正本及开标一览表须打印，并经法定代表人或其授权代表签字和盖章，投标文件的副本可采用正本复印件。</w:t>
      </w:r>
    </w:p>
    <w:p w14:paraId="0985422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4除投标人对错处做必要修改外，投标文件中不许有加行、涂抹或改写，如有修改遗漏处，必须由投标人法定代表人或其授权代表签字和盖章。</w:t>
      </w:r>
    </w:p>
    <w:p w14:paraId="4BBD7CE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5电报、电话、传真形式的投标概不接受。</w:t>
      </w:r>
    </w:p>
    <w:p w14:paraId="5A670ED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7A184BFD">
      <w:pPr>
        <w:adjustRightInd w:val="0"/>
        <w:spacing w:line="360" w:lineRule="auto"/>
        <w:rPr>
          <w:rFonts w:asciiTheme="minorEastAsia" w:hAnsiTheme="minorEastAsia" w:eastAsiaTheme="minorEastAsia"/>
          <w:snapToGrid w:val="0"/>
          <w:kern w:val="0"/>
        </w:rPr>
      </w:pPr>
    </w:p>
    <w:p w14:paraId="37B32E75">
      <w:pPr>
        <w:pStyle w:val="4"/>
        <w:spacing w:before="0" w:after="0"/>
      </w:pPr>
      <w:bookmarkStart w:id="32" w:name="q7"/>
      <w:bookmarkEnd w:id="32"/>
      <w:bookmarkStart w:id="33" w:name="_Toc135293334"/>
      <w:r>
        <w:rPr>
          <w:rFonts w:hint="eastAsia"/>
        </w:rPr>
        <w:t>四、投标文件的递交</w:t>
      </w:r>
      <w:bookmarkEnd w:id="33"/>
    </w:p>
    <w:p w14:paraId="1889612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18.投标文件的密封和标记</w:t>
      </w:r>
    </w:p>
    <w:p w14:paraId="35315F1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5A04E9C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w:t>
      </w:r>
      <w:r>
        <w:rPr>
          <w:rFonts w:hint="eastAsia" w:asciiTheme="minorEastAsia" w:hAnsiTheme="minorEastAsia" w:eastAsiaTheme="minorEastAsia"/>
          <w:snapToGrid w:val="0"/>
          <w:kern w:val="0"/>
        </w:rPr>
        <w:t>信封，在信封上注明“备份光盘（或U盘）”。</w:t>
      </w:r>
    </w:p>
    <w:p w14:paraId="09FD3F3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将投标文件“正本”、“副本”和密封好的“备份光盘（或U盘）”一起封装在同一个外层包封中，同时还应在封套上载明以下信息：</w:t>
      </w:r>
    </w:p>
    <w:p w14:paraId="690F586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01FA9D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532B8E9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5B49B8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6A700E2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344BA0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w:t>
      </w:r>
      <w:r>
        <w:rPr>
          <w:rFonts w:hint="eastAsia"/>
          <w:snapToGrid w:val="0"/>
          <w:kern w:val="0"/>
        </w:rPr>
        <w:t>备份光</w:t>
      </w:r>
      <w:r>
        <w:rPr>
          <w:rFonts w:hint="eastAsia" w:asciiTheme="minorEastAsia" w:hAnsiTheme="minorEastAsia" w:eastAsiaTheme="minorEastAsia"/>
          <w:snapToGrid w:val="0"/>
          <w:kern w:val="0"/>
        </w:rPr>
        <w:t>盘（或U盘）”；</w:t>
      </w:r>
    </w:p>
    <w:p w14:paraId="4E78F36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e.  年月日时分（开标时间）前不得开封。</w:t>
      </w:r>
    </w:p>
    <w:p w14:paraId="33F6C8C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14E571B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38C0689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13FF206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79233CF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2D30540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27FCE22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1A2A470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e.  年月日时分（开标时间）前不得开封。</w:t>
      </w:r>
    </w:p>
    <w:p w14:paraId="505EB72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0CDD2D2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2AF0079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0FF84D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3B203C3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1B241EFE">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20884F6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1C6E6BB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4" w:name="_Hlt35050056"/>
      <w:bookmarkEnd w:id="34"/>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4F36864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06F6C0B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3E2A91A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59056BF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7DABD5CD">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74EF3806">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215DF4C1">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7E99A4ED">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5D98456E">
      <w:pPr>
        <w:tabs>
          <w:tab w:val="left" w:pos="0"/>
        </w:tabs>
        <w:adjustRightInd w:val="0"/>
        <w:spacing w:line="360" w:lineRule="auto"/>
        <w:rPr>
          <w:rFonts w:asciiTheme="minorEastAsia" w:hAnsiTheme="minorEastAsia" w:eastAsiaTheme="minorEastAsia"/>
          <w:snapToGrid w:val="0"/>
          <w:kern w:val="0"/>
        </w:rPr>
      </w:pPr>
    </w:p>
    <w:p w14:paraId="751A0F32">
      <w:pPr>
        <w:pStyle w:val="4"/>
        <w:spacing w:before="0" w:after="0"/>
      </w:pPr>
      <w:bookmarkStart w:id="35" w:name="q8"/>
      <w:bookmarkEnd w:id="35"/>
      <w:bookmarkStart w:id="36" w:name="_Toc135293335"/>
      <w:r>
        <w:rPr>
          <w:rFonts w:hint="eastAsia"/>
        </w:rPr>
        <w:t>五、开标和评标</w:t>
      </w:r>
      <w:bookmarkEnd w:id="36"/>
    </w:p>
    <w:p w14:paraId="4B82B51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22.开标</w:t>
      </w:r>
    </w:p>
    <w:p w14:paraId="306AB0C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7627E7C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4CC9123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54215F1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07A1F36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10471EF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4A13E30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76E36E5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6EC0B9DD">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1E39216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43A77C6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44FFD65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49BEC71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33AD9858">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32A403A4">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3508DCF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5F95C994">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对不同文字文本投标文件的解释发生异议的，以中文文本为准。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70F2C02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1716D01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33924B4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6D3A11A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15A2FAE3">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C3BA80F">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0405663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13525D3E">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011E6F3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1748A82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2D318EEE">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471C990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3591BC4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116466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00DC69D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02AD993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88F659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7453DCB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454A154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44308CA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1EDC8B0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0C7009C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评委会不向落标方解释落标原因，不退还投标文件。</w:t>
      </w:r>
    </w:p>
    <w:p w14:paraId="37223477">
      <w:pPr>
        <w:adjustRightInd w:val="0"/>
        <w:spacing w:line="360" w:lineRule="auto"/>
        <w:ind w:left="357"/>
        <w:jc w:val="center"/>
        <w:rPr>
          <w:rFonts w:asciiTheme="minorEastAsia" w:hAnsiTheme="minorEastAsia" w:eastAsiaTheme="minorEastAsia"/>
          <w:b/>
          <w:snapToGrid w:val="0"/>
          <w:kern w:val="0"/>
        </w:rPr>
      </w:pPr>
      <w:bookmarkStart w:id="37" w:name="q9"/>
      <w:bookmarkEnd w:id="37"/>
    </w:p>
    <w:p w14:paraId="65AC6357">
      <w:pPr>
        <w:pStyle w:val="4"/>
        <w:spacing w:before="0" w:after="0"/>
      </w:pPr>
      <w:bookmarkStart w:id="38" w:name="_Toc135293336"/>
      <w:r>
        <w:rPr>
          <w:rFonts w:hint="eastAsia"/>
        </w:rPr>
        <w:t>六、授予合同</w:t>
      </w:r>
      <w:bookmarkEnd w:id="38"/>
    </w:p>
    <w:p w14:paraId="5AADB12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696C2E40">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5717F1D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5C325E6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p>
    <w:p w14:paraId="7692099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7AF8C4F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中标人向采购代理机构支付中标服务费后，领取《中标通知书》。</w:t>
      </w:r>
    </w:p>
    <w:p w14:paraId="77A06E3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152DB74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56547D1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0EAA9CB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中标人应按《中标通知书》或按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353CF52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招标文件、中标人的投标文件及其澄清文件等，均为签订合同的依据。</w:t>
      </w:r>
    </w:p>
    <w:p w14:paraId="040E205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2EF879E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中标人须按招标文件的规定或根据合同条款的规定向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53B4974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022522A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中标服务费按前附表第16项所述。</w:t>
      </w:r>
    </w:p>
    <w:p w14:paraId="1697594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65C32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0AF504AC">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1312"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9"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6" o:spid="_x0000_s1026" o:spt="20" style="position:absolute;left:0pt;flip:x y;margin-left:48.8pt;margin-top:0.9pt;height:57.65pt;width:114.3pt;z-index:251661312;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OtYT3RAAAACAEAAA8AAAAAAAAAAQAgAAAAIgAAAGRycy9kb3ducmV2LnhtbFBLAQIUABQAAAAI&#10;AIdO4kDaBEvr9AEAAPYDAAAOAAAAAAAAAAEAIAAAACABAABkcnMvZTJvRG9jLnhtbFBLBQYAAAAA&#10;BgAGAFkBAACG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2336"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10"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7" o:spid="_x0000_s1026" o:spt="20" style="position:absolute;left:0pt;flip:x y;margin-left:7.1pt;margin-top:25.35pt;height:33.2pt;width:156pt;z-index:251662336;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Vo/+y0wAAAAkBAAAPAAAAAAAAAAEAIAAAACIAAABkcnMvZG93bnJldi54bWxQSwECFAAUAAAA&#10;CACHTuJAXCqzsPMBAAD3AwAADgAAAAAAAAABACAAAAAiAQAAZHJzL2Uyb0RvYy54bWxQSwUGAAAA&#10;AAYABgBZAQAAhwU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8"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5"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rkdN+1QAAAAkBAAAPAAAAAAAA&#10;AAEAIAAAACIAAABkcnMvZG93bnJldi54bWxQSwECFAAUAAAACACHTuJAHG4PMNwBAADXAwAADgAA&#10;AAAAAAABACAAAAAkAQAAZHJzL2Uyb0RvYy54bWxQSwUGAAAAAAYABgBZAQAAcgU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4DC12F21">
            <w:pPr>
              <w:ind w:firstLine="392" w:firstLineChars="186"/>
              <w:rPr>
                <w:rFonts w:ascii="宋体" w:hAnsi="宋体"/>
                <w:b/>
                <w:szCs w:val="21"/>
              </w:rPr>
            </w:pPr>
            <w:r>
              <w:rPr>
                <w:rFonts w:hint="eastAsia" w:ascii="宋体" w:hAnsi="宋体"/>
                <w:b/>
                <w:szCs w:val="21"/>
              </w:rPr>
              <w:t>费率　　　　　</w:t>
            </w:r>
          </w:p>
          <w:p w14:paraId="32B44142">
            <w:pPr>
              <w:ind w:firstLine="1054"/>
              <w:rPr>
                <w:rFonts w:ascii="宋体" w:hAnsi="宋体"/>
                <w:b/>
                <w:szCs w:val="21"/>
              </w:rPr>
            </w:pPr>
            <w:r>
              <w:rPr>
                <w:rFonts w:hint="eastAsia" w:ascii="宋体" w:hAnsi="宋体"/>
                <w:b/>
                <w:szCs w:val="21"/>
              </w:rPr>
              <w:t>　　　</w:t>
            </w:r>
          </w:p>
          <w:p w14:paraId="2207AEF1">
            <w:pPr>
              <w:rPr>
                <w:rFonts w:ascii="宋体" w:hAnsi="宋体"/>
                <w:b/>
                <w:szCs w:val="21"/>
              </w:rPr>
            </w:pPr>
            <w:r>
              <w:rPr>
                <w:rFonts w:hint="eastAsia" w:ascii="宋体" w:hAnsi="宋体"/>
                <w:b/>
                <w:szCs w:val="21"/>
              </w:rPr>
              <w:t>中标金额</w:t>
            </w:r>
          </w:p>
        </w:tc>
        <w:tc>
          <w:tcPr>
            <w:tcW w:w="2056" w:type="dxa"/>
            <w:vAlign w:val="center"/>
          </w:tcPr>
          <w:p w14:paraId="553C205D">
            <w:pPr>
              <w:jc w:val="center"/>
              <w:rPr>
                <w:rFonts w:ascii="宋体" w:hAnsi="宋体"/>
                <w:b/>
                <w:szCs w:val="21"/>
              </w:rPr>
            </w:pPr>
            <w:r>
              <w:rPr>
                <w:rFonts w:hint="eastAsia" w:ascii="宋体" w:hAnsi="宋体"/>
                <w:b/>
                <w:szCs w:val="21"/>
              </w:rPr>
              <w:t>货物采购</w:t>
            </w:r>
          </w:p>
        </w:tc>
        <w:tc>
          <w:tcPr>
            <w:tcW w:w="2056" w:type="dxa"/>
            <w:vAlign w:val="center"/>
          </w:tcPr>
          <w:p w14:paraId="1177F987">
            <w:pPr>
              <w:jc w:val="center"/>
              <w:rPr>
                <w:rFonts w:ascii="宋体" w:hAnsi="宋体"/>
                <w:b/>
                <w:szCs w:val="21"/>
              </w:rPr>
            </w:pPr>
            <w:r>
              <w:rPr>
                <w:rFonts w:hint="eastAsia" w:ascii="宋体" w:hAnsi="宋体"/>
                <w:b/>
                <w:szCs w:val="21"/>
              </w:rPr>
              <w:t>服务采购</w:t>
            </w:r>
          </w:p>
        </w:tc>
        <w:tc>
          <w:tcPr>
            <w:tcW w:w="2057" w:type="dxa"/>
            <w:vAlign w:val="center"/>
          </w:tcPr>
          <w:p w14:paraId="200036C3">
            <w:pPr>
              <w:jc w:val="center"/>
              <w:rPr>
                <w:rFonts w:ascii="宋体" w:hAnsi="宋体"/>
                <w:b/>
                <w:szCs w:val="21"/>
              </w:rPr>
            </w:pPr>
            <w:r>
              <w:rPr>
                <w:rFonts w:hint="eastAsia" w:ascii="宋体" w:hAnsi="宋体"/>
                <w:b/>
                <w:szCs w:val="21"/>
              </w:rPr>
              <w:t>工程采购</w:t>
            </w:r>
          </w:p>
        </w:tc>
      </w:tr>
      <w:tr w14:paraId="34338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6C96EB7">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311656AA">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3D91EEC1">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1DD90E65">
            <w:pPr>
              <w:widowControl/>
              <w:snapToGrid w:val="0"/>
              <w:jc w:val="center"/>
              <w:rPr>
                <w:rFonts w:ascii="宋体" w:hAnsi="宋体"/>
                <w:kern w:val="0"/>
                <w:szCs w:val="21"/>
              </w:rPr>
            </w:pPr>
            <w:r>
              <w:rPr>
                <w:rFonts w:hint="eastAsia" w:ascii="宋体" w:hAnsi="宋体"/>
                <w:kern w:val="0"/>
                <w:szCs w:val="21"/>
              </w:rPr>
              <w:t>1.000%</w:t>
            </w:r>
          </w:p>
        </w:tc>
      </w:tr>
      <w:tr w14:paraId="480C1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9899D5B">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219034F4">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53E06791">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591BCC53">
            <w:pPr>
              <w:widowControl/>
              <w:snapToGrid w:val="0"/>
              <w:jc w:val="center"/>
              <w:rPr>
                <w:rFonts w:ascii="宋体" w:hAnsi="宋体"/>
                <w:kern w:val="0"/>
                <w:szCs w:val="21"/>
              </w:rPr>
            </w:pPr>
            <w:r>
              <w:rPr>
                <w:rFonts w:hint="eastAsia" w:ascii="宋体" w:hAnsi="宋体"/>
                <w:kern w:val="0"/>
                <w:szCs w:val="21"/>
              </w:rPr>
              <w:t>0.700%</w:t>
            </w:r>
          </w:p>
        </w:tc>
      </w:tr>
      <w:tr w14:paraId="42B8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7238ABC3">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4BD94615">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7E550A45">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4A89DF3E">
            <w:pPr>
              <w:widowControl/>
              <w:snapToGrid w:val="0"/>
              <w:jc w:val="center"/>
              <w:rPr>
                <w:rFonts w:ascii="宋体" w:hAnsi="宋体"/>
                <w:kern w:val="0"/>
                <w:szCs w:val="21"/>
              </w:rPr>
            </w:pPr>
            <w:r>
              <w:rPr>
                <w:rFonts w:hint="eastAsia" w:ascii="宋体" w:hAnsi="宋体"/>
                <w:kern w:val="0"/>
                <w:szCs w:val="21"/>
              </w:rPr>
              <w:t>0.550%</w:t>
            </w:r>
          </w:p>
        </w:tc>
      </w:tr>
      <w:tr w14:paraId="5A576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0A98EB0">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71B92710">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5CE1D3CC">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6AADDFFB">
            <w:pPr>
              <w:widowControl/>
              <w:snapToGrid w:val="0"/>
              <w:jc w:val="center"/>
              <w:rPr>
                <w:rFonts w:ascii="宋体" w:hAnsi="宋体"/>
                <w:kern w:val="0"/>
                <w:szCs w:val="21"/>
              </w:rPr>
            </w:pPr>
            <w:r>
              <w:rPr>
                <w:rFonts w:hint="eastAsia" w:ascii="宋体" w:hAnsi="宋体"/>
                <w:kern w:val="0"/>
                <w:szCs w:val="21"/>
              </w:rPr>
              <w:t>0.350%</w:t>
            </w:r>
          </w:p>
        </w:tc>
      </w:tr>
      <w:tr w14:paraId="5D6DF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14896E7">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4A358186">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4AC73BDA">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4E8AA9B4">
            <w:pPr>
              <w:widowControl/>
              <w:snapToGrid w:val="0"/>
              <w:jc w:val="center"/>
              <w:rPr>
                <w:rFonts w:ascii="宋体" w:hAnsi="宋体"/>
                <w:kern w:val="0"/>
                <w:szCs w:val="21"/>
              </w:rPr>
            </w:pPr>
            <w:r>
              <w:rPr>
                <w:rFonts w:hint="eastAsia" w:ascii="宋体" w:hAnsi="宋体"/>
                <w:kern w:val="0"/>
                <w:szCs w:val="21"/>
              </w:rPr>
              <w:t>0.200%</w:t>
            </w:r>
          </w:p>
        </w:tc>
      </w:tr>
      <w:tr w14:paraId="5304A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7909D2D2">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5C74D0F5">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6461A09B">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5A5C87AC">
            <w:pPr>
              <w:widowControl/>
              <w:snapToGrid w:val="0"/>
              <w:jc w:val="center"/>
              <w:rPr>
                <w:rFonts w:ascii="宋体" w:hAnsi="宋体"/>
                <w:kern w:val="0"/>
                <w:szCs w:val="21"/>
              </w:rPr>
            </w:pPr>
            <w:r>
              <w:rPr>
                <w:rFonts w:hint="eastAsia" w:ascii="宋体" w:hAnsi="宋体"/>
                <w:kern w:val="0"/>
                <w:szCs w:val="21"/>
              </w:rPr>
              <w:t>0.050%</w:t>
            </w:r>
          </w:p>
        </w:tc>
      </w:tr>
      <w:tr w14:paraId="56B53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666B98A">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302DD019">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3838E58C">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37359BB0">
            <w:pPr>
              <w:widowControl/>
              <w:snapToGrid w:val="0"/>
              <w:jc w:val="center"/>
              <w:rPr>
                <w:rFonts w:ascii="宋体" w:hAnsi="宋体"/>
                <w:bCs/>
                <w:kern w:val="0"/>
                <w:szCs w:val="21"/>
              </w:rPr>
            </w:pPr>
            <w:r>
              <w:rPr>
                <w:rFonts w:hint="eastAsia" w:ascii="宋体" w:hAnsi="宋体"/>
                <w:bCs/>
                <w:kern w:val="0"/>
                <w:szCs w:val="21"/>
              </w:rPr>
              <w:t>0.035%</w:t>
            </w:r>
          </w:p>
        </w:tc>
      </w:tr>
      <w:tr w14:paraId="1CFB1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ED65B43">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7C563AFC">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01A376D7">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4867BC9E">
            <w:pPr>
              <w:widowControl/>
              <w:snapToGrid w:val="0"/>
              <w:jc w:val="center"/>
              <w:rPr>
                <w:rFonts w:ascii="宋体" w:hAnsi="宋体"/>
                <w:bCs/>
                <w:kern w:val="0"/>
                <w:szCs w:val="21"/>
              </w:rPr>
            </w:pPr>
            <w:r>
              <w:rPr>
                <w:rFonts w:hint="eastAsia" w:ascii="宋体" w:hAnsi="宋体"/>
                <w:bCs/>
                <w:kern w:val="0"/>
                <w:szCs w:val="21"/>
              </w:rPr>
              <w:t>0.008%</w:t>
            </w:r>
          </w:p>
        </w:tc>
      </w:tr>
      <w:tr w14:paraId="2527C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AC2ADAC">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4A4AF34D">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7B58F6E7">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251F5C5D">
            <w:pPr>
              <w:widowControl/>
              <w:snapToGrid w:val="0"/>
              <w:jc w:val="center"/>
              <w:rPr>
                <w:rFonts w:ascii="宋体" w:hAnsi="宋体"/>
                <w:bCs/>
                <w:kern w:val="0"/>
                <w:szCs w:val="21"/>
              </w:rPr>
            </w:pPr>
            <w:r>
              <w:rPr>
                <w:rFonts w:hint="eastAsia" w:ascii="宋体" w:hAnsi="宋体"/>
                <w:bCs/>
                <w:kern w:val="0"/>
                <w:szCs w:val="21"/>
              </w:rPr>
              <w:t>0.006%</w:t>
            </w:r>
          </w:p>
        </w:tc>
      </w:tr>
      <w:tr w14:paraId="5B63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216D1F99">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07830E4F">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70647D91">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4774D1A0">
            <w:pPr>
              <w:widowControl/>
              <w:snapToGrid w:val="0"/>
              <w:jc w:val="center"/>
              <w:rPr>
                <w:rFonts w:ascii="宋体" w:hAnsi="宋体"/>
                <w:bCs/>
                <w:kern w:val="0"/>
                <w:szCs w:val="21"/>
              </w:rPr>
            </w:pPr>
            <w:r>
              <w:rPr>
                <w:rFonts w:hint="eastAsia" w:ascii="宋体" w:hAnsi="宋体"/>
                <w:bCs/>
                <w:kern w:val="0"/>
                <w:szCs w:val="21"/>
              </w:rPr>
              <w:t>0.004%</w:t>
            </w:r>
          </w:p>
        </w:tc>
      </w:tr>
    </w:tbl>
    <w:p w14:paraId="6D2B7967">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14:paraId="27B87664">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6476ACFC">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14:paraId="4F2DAB19">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14:paraId="4064A439">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14:paraId="0073A303">
      <w:pPr>
        <w:spacing w:line="360" w:lineRule="auto"/>
        <w:ind w:firstLine="1044" w:firstLineChars="200"/>
        <w:rPr>
          <w:b/>
          <w:sz w:val="52"/>
          <w:szCs w:val="52"/>
        </w:rPr>
      </w:pPr>
    </w:p>
    <w:p w14:paraId="05D1A5D9">
      <w:pPr>
        <w:pStyle w:val="4"/>
        <w:spacing w:before="0" w:after="0"/>
      </w:pPr>
      <w:bookmarkStart w:id="39" w:name="_Toc135293337"/>
      <w:r>
        <w:rPr>
          <w:rFonts w:hint="eastAsia"/>
        </w:rPr>
        <w:t>七、质疑处理</w:t>
      </w:r>
      <w:bookmarkEnd w:id="39"/>
    </w:p>
    <w:p w14:paraId="7AE04A19">
      <w:pPr>
        <w:spacing w:line="360" w:lineRule="auto"/>
        <w:rPr>
          <w:rFonts w:asciiTheme="majorEastAsia" w:hAnsiTheme="majorEastAsia" w:eastAsiaTheme="majorEastAsia"/>
          <w:b/>
          <w:bCs/>
          <w:szCs w:val="21"/>
        </w:rPr>
      </w:pPr>
      <w:bookmarkStart w:id="40" w:name="_Hlk72439706"/>
      <w:r>
        <w:rPr>
          <w:rFonts w:hint="eastAsia" w:asciiTheme="majorEastAsia" w:hAnsiTheme="majorEastAsia" w:eastAsiaTheme="majorEastAsia"/>
          <w:b/>
          <w:bCs/>
          <w:szCs w:val="21"/>
        </w:rPr>
        <w:t>35.质疑提出与答复</w:t>
      </w:r>
    </w:p>
    <w:p w14:paraId="14A10990">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6F35A95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加本项目采购活动的供应商认为采购文件使自己的权益受到损害的，应于投标截止3日前，以书面形式向采购代理机构提出质疑；认为采购过程、中标或者成交结果使自己的权益受到损害的，应当在知道或者应知其权益受到损害之日起5日内，以书面形式向采购代理机构提出质疑。</w:t>
      </w:r>
    </w:p>
    <w:p w14:paraId="7B0C8C9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1BA3C8A4">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1103CDF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317A765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41" w:name="_Hlk75374941"/>
      <w:r>
        <w:rPr>
          <w:rFonts w:hint="eastAsia" w:asciiTheme="majorEastAsia" w:hAnsiTheme="majorEastAsia" w:eastAsiaTheme="majorEastAsia"/>
          <w:szCs w:val="21"/>
        </w:rPr>
        <w:t>以联合体形式参与的，质疑应当由组成联合体的所有成员共同提出</w:t>
      </w:r>
      <w:bookmarkEnd w:id="41"/>
      <w:r>
        <w:rPr>
          <w:rFonts w:hint="eastAsia" w:asciiTheme="majorEastAsia" w:hAnsiTheme="majorEastAsia" w:eastAsiaTheme="majorEastAsia"/>
          <w:szCs w:val="21"/>
        </w:rPr>
        <w:t>；</w:t>
      </w:r>
    </w:p>
    <w:p w14:paraId="57D9510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规定质疑期内一次性提出针对同一采购程序环节的质疑。应当知道其权益受到损害之日是指：对招标文件的质疑，为招标文件公布之日；对采购过程的质疑，为各采购程序环节结束之日；对中标结果以及评审委员会组成人员的质疑，为中标结果公示之日；</w:t>
      </w:r>
    </w:p>
    <w:p w14:paraId="04181DBA">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795A4CFE">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19525C3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72FBD73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678D4F0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5A0BCDC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3B7B33F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63F86D6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762FFE9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2D1701A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46AE4A5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6113C90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2586355">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54BEC3D1">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129BBC6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2E1601E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4580702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48F96DC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6F8B1F8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36E3758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33F1296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063FC85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637936F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22BF1B3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4FB988C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5653BB8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35.7质疑答复时限</w:t>
      </w:r>
    </w:p>
    <w:p w14:paraId="19C88B77">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自收文之日起10日内。</w:t>
      </w:r>
    </w:p>
    <w:p w14:paraId="5CC98D60">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35.8投诉</w:t>
      </w:r>
    </w:p>
    <w:p w14:paraId="75109F88">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对质疑答复不满意或者未在规定时间内答复的，提出质疑的供应商可以在答复期满后15个工作日内向采购单位纪委办公室(审计室)投诉。</w:t>
      </w:r>
      <w:bookmarkEnd w:id="40"/>
    </w:p>
    <w:p w14:paraId="2099CA9C">
      <w:pPr>
        <w:spacing w:line="360" w:lineRule="auto"/>
        <w:rPr>
          <w:rFonts w:asciiTheme="majorEastAsia" w:hAnsiTheme="majorEastAsia" w:eastAsiaTheme="majorEastAsia"/>
          <w:szCs w:val="21"/>
        </w:rPr>
      </w:pPr>
    </w:p>
    <w:p w14:paraId="02433F28"/>
    <w:p w14:paraId="58D5F508"/>
    <w:p w14:paraId="5B1E05DF"/>
    <w:p w14:paraId="20C82816"/>
    <w:p w14:paraId="19D16FB2"/>
    <w:p w14:paraId="7FB041DD"/>
    <w:p w14:paraId="4C12E58B"/>
    <w:p w14:paraId="41FEF0B8"/>
    <w:p w14:paraId="18B96E85"/>
    <w:p w14:paraId="176FA5D1"/>
    <w:p w14:paraId="73E02112"/>
    <w:p w14:paraId="4A882430"/>
    <w:p w14:paraId="4DB0BA94">
      <w:pPr>
        <w:pStyle w:val="2"/>
      </w:pPr>
      <w:bookmarkStart w:id="42" w:name="_Toc135293177"/>
      <w:r>
        <w:rPr>
          <w:rFonts w:hint="eastAsia"/>
        </w:rPr>
        <w:t>第七章  投标文件格式</w:t>
      </w:r>
      <w:bookmarkEnd w:id="42"/>
    </w:p>
    <w:p w14:paraId="7D77E5E8">
      <w:pPr>
        <w:jc w:val="center"/>
        <w:rPr>
          <w:b/>
          <w:sz w:val="52"/>
          <w:szCs w:val="52"/>
        </w:rPr>
      </w:pPr>
    </w:p>
    <w:p w14:paraId="57A90763">
      <w:pPr>
        <w:pStyle w:val="4"/>
        <w:spacing w:line="400" w:lineRule="exact"/>
        <w:rPr>
          <w:rFonts w:ascii="仿宋" w:hAnsi="仿宋" w:eastAsia="仿宋"/>
        </w:rPr>
      </w:pPr>
      <w:bookmarkStart w:id="43" w:name="_Toc14934"/>
      <w:bookmarkStart w:id="44" w:name="_Toc44690704"/>
      <w:bookmarkStart w:id="45" w:name="_Toc135293178"/>
      <w:bookmarkStart w:id="46" w:name="_Toc44691163"/>
      <w:bookmarkStart w:id="47" w:name="_Toc44690431"/>
      <w:bookmarkStart w:id="48" w:name="_Toc11772"/>
      <w:bookmarkStart w:id="49" w:name="_Toc25194"/>
      <w:bookmarkStart w:id="50" w:name="_Toc44691395"/>
      <w:bookmarkStart w:id="51" w:name="_Toc31468"/>
      <w:r>
        <w:rPr>
          <w:rFonts w:hint="eastAsia" w:ascii="仿宋" w:hAnsi="仿宋" w:eastAsia="仿宋"/>
        </w:rPr>
        <w:t>投标文件编制说明</w:t>
      </w:r>
      <w:bookmarkEnd w:id="43"/>
      <w:bookmarkEnd w:id="44"/>
      <w:bookmarkEnd w:id="45"/>
      <w:bookmarkEnd w:id="46"/>
      <w:bookmarkEnd w:id="47"/>
      <w:bookmarkEnd w:id="48"/>
      <w:bookmarkEnd w:id="49"/>
      <w:bookmarkEnd w:id="50"/>
      <w:bookmarkEnd w:id="51"/>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1762E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039F9A61">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7BCC3135">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13AEB2C6">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5C38E636">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02F2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080C1CB5">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4AB89C0F">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14:paraId="7E1CF4C6">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14:paraId="520F2FFB">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14:paraId="4C908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21D1B6C2">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60AC8626">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14:paraId="00A3FF0F">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14:paraId="21F6AD5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14:paraId="304CF3A0">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14:paraId="0C327C8E">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14:paraId="3C5EC77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14:paraId="04623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0EDCD8F3">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7BE6A899">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14:paraId="1E2D7CE5">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14:paraId="4A217BF8">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14:paraId="10445535">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14:paraId="72EF82E1">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67E14ADD">
      <w:pPr>
        <w:spacing w:line="360" w:lineRule="auto"/>
        <w:ind w:firstLine="420" w:firstLineChars="200"/>
        <w:rPr>
          <w:rFonts w:asciiTheme="minorEastAsia" w:hAnsiTheme="minorEastAsia" w:eastAsiaTheme="minorEastAsia"/>
        </w:rPr>
      </w:pPr>
    </w:p>
    <w:p w14:paraId="37D1B142">
      <w:pPr>
        <w:spacing w:line="360" w:lineRule="auto"/>
        <w:ind w:firstLine="420" w:firstLineChars="200"/>
        <w:rPr>
          <w:rFonts w:asciiTheme="minorEastAsia" w:hAnsiTheme="minorEastAsia" w:eastAsiaTheme="minorEastAsia"/>
        </w:rPr>
      </w:pPr>
    </w:p>
    <w:p w14:paraId="43EAD8AA">
      <w:pPr>
        <w:jc w:val="center"/>
        <w:rPr>
          <w:b/>
          <w:sz w:val="52"/>
          <w:szCs w:val="52"/>
        </w:rPr>
      </w:pPr>
    </w:p>
    <w:p w14:paraId="77F16512"/>
    <w:p w14:paraId="293292CC"/>
    <w:p w14:paraId="023F59BB"/>
    <w:p w14:paraId="5C048AFA"/>
    <w:p w14:paraId="345F6C5E">
      <w:pPr>
        <w:jc w:val="center"/>
        <w:rPr>
          <w:b/>
          <w:bCs/>
          <w:sz w:val="52"/>
        </w:rPr>
      </w:pPr>
    </w:p>
    <w:p w14:paraId="6DF6B7C4">
      <w:pPr>
        <w:jc w:val="center"/>
        <w:rPr>
          <w:b/>
          <w:bCs/>
          <w:sz w:val="52"/>
        </w:rPr>
      </w:pPr>
      <w:r>
        <w:rPr>
          <w:rFonts w:hint="eastAsia"/>
          <w:b/>
          <w:bCs/>
          <w:sz w:val="52"/>
        </w:rPr>
        <w:t>投 标 文 件</w:t>
      </w:r>
    </w:p>
    <w:p w14:paraId="20DCE3C1">
      <w:pPr>
        <w:jc w:val="center"/>
        <w:rPr>
          <w:b/>
          <w:bCs/>
        </w:rPr>
      </w:pPr>
    </w:p>
    <w:p w14:paraId="0309AEA7">
      <w:pPr>
        <w:jc w:val="center"/>
        <w:rPr>
          <w:b/>
          <w:bCs/>
        </w:rPr>
      </w:pPr>
    </w:p>
    <w:p w14:paraId="779B8B66">
      <w:pPr>
        <w:jc w:val="center"/>
        <w:rPr>
          <w:b/>
          <w:bCs/>
        </w:rPr>
      </w:pPr>
    </w:p>
    <w:p w14:paraId="0C314716">
      <w:pPr>
        <w:jc w:val="center"/>
        <w:rPr>
          <w:b/>
          <w:bCs/>
        </w:rPr>
      </w:pPr>
    </w:p>
    <w:p w14:paraId="7878AADF">
      <w:pPr>
        <w:jc w:val="center"/>
        <w:rPr>
          <w:b/>
          <w:bCs/>
        </w:rPr>
      </w:pPr>
    </w:p>
    <w:p w14:paraId="47E0C3AC">
      <w:pPr>
        <w:jc w:val="center"/>
        <w:rPr>
          <w:b/>
          <w:bCs/>
        </w:rPr>
      </w:pPr>
    </w:p>
    <w:p w14:paraId="1F7C3B84">
      <w:pPr>
        <w:jc w:val="center"/>
        <w:rPr>
          <w:rFonts w:ascii="宋体" w:hAnsi="宋体"/>
          <w:b/>
          <w:bCs/>
          <w:sz w:val="30"/>
          <w:szCs w:val="30"/>
        </w:rPr>
      </w:pPr>
      <w:r>
        <w:rPr>
          <w:rFonts w:hint="eastAsia" w:ascii="宋体" w:hAnsi="宋体"/>
          <w:b/>
          <w:bCs/>
          <w:sz w:val="30"/>
          <w:szCs w:val="30"/>
        </w:rPr>
        <w:t>（正本/副本）</w:t>
      </w:r>
    </w:p>
    <w:p w14:paraId="75700B42">
      <w:pPr>
        <w:jc w:val="center"/>
        <w:rPr>
          <w:b/>
          <w:bCs/>
        </w:rPr>
      </w:pPr>
    </w:p>
    <w:p w14:paraId="70E88FA4">
      <w:pPr>
        <w:jc w:val="center"/>
        <w:rPr>
          <w:b/>
          <w:bCs/>
        </w:rPr>
      </w:pPr>
    </w:p>
    <w:p w14:paraId="2FC25BC9">
      <w:pPr>
        <w:jc w:val="center"/>
        <w:rPr>
          <w:b/>
          <w:bCs/>
        </w:rPr>
      </w:pPr>
    </w:p>
    <w:p w14:paraId="0DD98A5B">
      <w:pPr>
        <w:jc w:val="center"/>
        <w:rPr>
          <w:b/>
          <w:bCs/>
        </w:rPr>
      </w:pPr>
    </w:p>
    <w:p w14:paraId="06161788">
      <w:pPr>
        <w:jc w:val="center"/>
        <w:rPr>
          <w:b/>
          <w:bCs/>
        </w:rPr>
      </w:pPr>
    </w:p>
    <w:p w14:paraId="0788A33A">
      <w:pPr>
        <w:jc w:val="center"/>
        <w:rPr>
          <w:b/>
          <w:bCs/>
        </w:rPr>
      </w:pPr>
    </w:p>
    <w:p w14:paraId="59B8FCFF">
      <w:pPr>
        <w:jc w:val="center"/>
        <w:rPr>
          <w:b/>
          <w:bCs/>
        </w:rPr>
      </w:pPr>
    </w:p>
    <w:p w14:paraId="704D0A26">
      <w:pPr>
        <w:jc w:val="center"/>
        <w:rPr>
          <w:b/>
          <w:bCs/>
        </w:rPr>
      </w:pPr>
    </w:p>
    <w:p w14:paraId="2334345A">
      <w:pPr>
        <w:jc w:val="center"/>
        <w:rPr>
          <w:b/>
          <w:bCs/>
        </w:rPr>
      </w:pPr>
    </w:p>
    <w:p w14:paraId="0EF6C710">
      <w:pPr>
        <w:jc w:val="center"/>
        <w:rPr>
          <w:b/>
          <w:bCs/>
        </w:rPr>
      </w:pPr>
    </w:p>
    <w:p w14:paraId="37CF2ED6">
      <w:pPr>
        <w:jc w:val="center"/>
        <w:rPr>
          <w:b/>
          <w:bCs/>
        </w:rPr>
      </w:pPr>
    </w:p>
    <w:p w14:paraId="5C9C5394">
      <w:pPr>
        <w:jc w:val="center"/>
        <w:rPr>
          <w:b/>
          <w:bCs/>
        </w:rPr>
      </w:pPr>
    </w:p>
    <w:p w14:paraId="711D784E">
      <w:pPr>
        <w:jc w:val="center"/>
        <w:rPr>
          <w:b/>
          <w:bCs/>
        </w:rPr>
      </w:pPr>
    </w:p>
    <w:p w14:paraId="78AB5FE1">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68D653C0">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490806AF">
      <w:pPr>
        <w:spacing w:line="480" w:lineRule="auto"/>
        <w:ind w:firstLine="1275" w:firstLineChars="529"/>
        <w:rPr>
          <w:b/>
          <w:bCs/>
          <w:sz w:val="24"/>
        </w:rPr>
      </w:pPr>
      <w:r>
        <w:rPr>
          <w:rFonts w:hint="eastAsia"/>
          <w:b/>
          <w:bCs/>
          <w:sz w:val="24"/>
        </w:rPr>
        <w:t>法定代表人或</w:t>
      </w:r>
    </w:p>
    <w:p w14:paraId="0E0587DB">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1DD1E12B">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55122D5E">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78FE6289">
      <w:pPr>
        <w:rPr>
          <w:b/>
          <w:bCs/>
        </w:rPr>
      </w:pPr>
    </w:p>
    <w:p w14:paraId="4FE31D4F">
      <w:pPr>
        <w:spacing w:line="400" w:lineRule="exact"/>
        <w:rPr>
          <w:rFonts w:ascii="仿宋" w:hAnsi="仿宋" w:eastAsia="仿宋"/>
        </w:rPr>
      </w:pPr>
      <w:bookmarkStart w:id="52" w:name="_投标文件格式（第一册）"/>
      <w:bookmarkEnd w:id="52"/>
      <w:bookmarkStart w:id="53" w:name="q0"/>
    </w:p>
    <w:p w14:paraId="12154615">
      <w:pPr>
        <w:spacing w:line="400" w:lineRule="exact"/>
        <w:rPr>
          <w:rFonts w:ascii="仿宋" w:hAnsi="仿宋" w:eastAsia="仿宋"/>
        </w:rPr>
      </w:pPr>
    </w:p>
    <w:p w14:paraId="576F91C6">
      <w:pPr>
        <w:spacing w:line="400" w:lineRule="exact"/>
        <w:rPr>
          <w:rFonts w:ascii="仿宋" w:hAnsi="仿宋" w:eastAsia="仿宋"/>
        </w:rPr>
      </w:pPr>
    </w:p>
    <w:p w14:paraId="383F1C52">
      <w:pPr>
        <w:pStyle w:val="4"/>
        <w:spacing w:line="400" w:lineRule="exact"/>
        <w:rPr>
          <w:rFonts w:ascii="仿宋" w:hAnsi="仿宋" w:eastAsia="仿宋"/>
        </w:rPr>
      </w:pPr>
      <w:bookmarkStart w:id="54" w:name="_Toc135293179"/>
    </w:p>
    <w:p w14:paraId="47B27FE4">
      <w:pPr>
        <w:pStyle w:val="4"/>
        <w:spacing w:line="400" w:lineRule="exact"/>
        <w:rPr>
          <w:rFonts w:ascii="仿宋" w:hAnsi="仿宋" w:eastAsia="仿宋"/>
        </w:rPr>
      </w:pPr>
      <w:r>
        <w:rPr>
          <w:rFonts w:hint="eastAsia" w:ascii="仿宋" w:hAnsi="仿宋" w:eastAsia="仿宋"/>
        </w:rPr>
        <w:t>投标文件格式</w:t>
      </w:r>
      <w:bookmarkEnd w:id="54"/>
    </w:p>
    <w:bookmarkEnd w:id="53"/>
    <w:p w14:paraId="357ACBA3">
      <w:pPr>
        <w:numPr>
          <w:ilvl w:val="0"/>
          <w:numId w:val="12"/>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7172DFB4">
      <w:pPr>
        <w:numPr>
          <w:ilvl w:val="0"/>
          <w:numId w:val="12"/>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14:paraId="21F5D938">
      <w:pPr>
        <w:numPr>
          <w:ilvl w:val="0"/>
          <w:numId w:val="12"/>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评标指引表、供应商自查表、供应商基本情况表</w:t>
      </w:r>
    </w:p>
    <w:p w14:paraId="12674DA0">
      <w:pPr>
        <w:numPr>
          <w:ilvl w:val="0"/>
          <w:numId w:val="12"/>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14:paraId="30692DCE">
      <w:pPr>
        <w:numPr>
          <w:ilvl w:val="0"/>
          <w:numId w:val="12"/>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6AC2B318">
      <w:pPr>
        <w:numPr>
          <w:ilvl w:val="0"/>
          <w:numId w:val="12"/>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14:paraId="0160F4EE">
      <w:pPr>
        <w:numPr>
          <w:ilvl w:val="0"/>
          <w:numId w:val="12"/>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072DDE54">
      <w:pPr>
        <w:numPr>
          <w:ilvl w:val="0"/>
          <w:numId w:val="12"/>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38172391">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14:paraId="3A4200E0">
      <w:pPr>
        <w:numPr>
          <w:ilvl w:val="0"/>
          <w:numId w:val="12"/>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14:paraId="71A2A664">
      <w:pPr>
        <w:pStyle w:val="455"/>
        <w:numPr>
          <w:ilvl w:val="0"/>
          <w:numId w:val="12"/>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2C5C60B0">
      <w:pPr>
        <w:pStyle w:val="455"/>
        <w:numPr>
          <w:ilvl w:val="0"/>
          <w:numId w:val="12"/>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0EC0185F">
      <w:pPr>
        <w:pStyle w:val="455"/>
        <w:numPr>
          <w:ilvl w:val="0"/>
          <w:numId w:val="12"/>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3BD97795">
      <w:pPr>
        <w:pStyle w:val="455"/>
        <w:numPr>
          <w:ilvl w:val="0"/>
          <w:numId w:val="12"/>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14:paraId="57E2023C">
      <w:pPr>
        <w:adjustRightInd w:val="0"/>
        <w:spacing w:line="300" w:lineRule="auto"/>
        <w:ind w:left="-2"/>
        <w:rPr>
          <w:rFonts w:ascii="宋体" w:hAnsi="宋体"/>
          <w:snapToGrid w:val="0"/>
          <w:kern w:val="0"/>
          <w:szCs w:val="21"/>
        </w:rPr>
      </w:pPr>
    </w:p>
    <w:p w14:paraId="785D7CD1">
      <w:pPr>
        <w:adjustRightInd w:val="0"/>
        <w:spacing w:line="300" w:lineRule="auto"/>
        <w:ind w:left="-2"/>
        <w:rPr>
          <w:rFonts w:ascii="宋体" w:hAnsi="宋体"/>
          <w:snapToGrid w:val="0"/>
          <w:kern w:val="0"/>
          <w:szCs w:val="21"/>
        </w:rPr>
      </w:pPr>
    </w:p>
    <w:p w14:paraId="01A2FC58">
      <w:pPr>
        <w:adjustRightInd w:val="0"/>
        <w:spacing w:line="300" w:lineRule="auto"/>
        <w:ind w:left="-2"/>
        <w:rPr>
          <w:rFonts w:ascii="宋体" w:hAnsi="宋体"/>
          <w:snapToGrid w:val="0"/>
          <w:kern w:val="0"/>
          <w:szCs w:val="21"/>
        </w:rPr>
      </w:pPr>
    </w:p>
    <w:p w14:paraId="7DF69115">
      <w:pPr>
        <w:ind w:hanging="2"/>
        <w:rPr>
          <w:b/>
          <w:bCs/>
          <w:sz w:val="28"/>
        </w:rPr>
      </w:pPr>
    </w:p>
    <w:p w14:paraId="2B01181A">
      <w:pPr>
        <w:adjustRightInd w:val="0"/>
        <w:snapToGrid w:val="0"/>
        <w:spacing w:line="300" w:lineRule="auto"/>
        <w:jc w:val="center"/>
      </w:pPr>
      <w:bookmarkStart w:id="55" w:name="_格式1__投标人资格证明文件"/>
      <w:bookmarkEnd w:id="55"/>
    </w:p>
    <w:p w14:paraId="64305EE0">
      <w:pPr>
        <w:adjustRightInd w:val="0"/>
        <w:snapToGrid w:val="0"/>
        <w:spacing w:line="300" w:lineRule="auto"/>
        <w:jc w:val="center"/>
      </w:pPr>
    </w:p>
    <w:p w14:paraId="0ED9D0F7">
      <w:pPr>
        <w:adjustRightInd w:val="0"/>
        <w:snapToGrid w:val="0"/>
        <w:spacing w:line="300" w:lineRule="auto"/>
        <w:jc w:val="center"/>
      </w:pPr>
    </w:p>
    <w:p w14:paraId="505B8982">
      <w:pPr>
        <w:adjustRightInd w:val="0"/>
        <w:snapToGrid w:val="0"/>
        <w:spacing w:line="300" w:lineRule="auto"/>
        <w:jc w:val="center"/>
      </w:pPr>
    </w:p>
    <w:p w14:paraId="2834B6CC">
      <w:pPr>
        <w:adjustRightInd w:val="0"/>
        <w:snapToGrid w:val="0"/>
        <w:spacing w:line="300" w:lineRule="auto"/>
        <w:jc w:val="center"/>
      </w:pPr>
    </w:p>
    <w:p w14:paraId="32CC95B2">
      <w:pPr>
        <w:adjustRightInd w:val="0"/>
        <w:snapToGrid w:val="0"/>
        <w:spacing w:line="300" w:lineRule="auto"/>
        <w:jc w:val="center"/>
      </w:pPr>
    </w:p>
    <w:p w14:paraId="2303393B">
      <w:pPr>
        <w:adjustRightInd w:val="0"/>
        <w:snapToGrid w:val="0"/>
        <w:spacing w:line="300" w:lineRule="auto"/>
        <w:jc w:val="center"/>
      </w:pPr>
    </w:p>
    <w:p w14:paraId="6640A5AE">
      <w:pPr>
        <w:adjustRightInd w:val="0"/>
        <w:snapToGrid w:val="0"/>
        <w:spacing w:line="300" w:lineRule="auto"/>
        <w:jc w:val="center"/>
      </w:pPr>
    </w:p>
    <w:p w14:paraId="084CE5AE">
      <w:pPr>
        <w:adjustRightInd w:val="0"/>
        <w:snapToGrid w:val="0"/>
        <w:spacing w:line="300" w:lineRule="auto"/>
        <w:jc w:val="center"/>
      </w:pPr>
    </w:p>
    <w:p w14:paraId="1114B748">
      <w:pPr>
        <w:adjustRightInd w:val="0"/>
        <w:snapToGrid w:val="0"/>
        <w:spacing w:line="300" w:lineRule="auto"/>
        <w:jc w:val="center"/>
      </w:pPr>
    </w:p>
    <w:p w14:paraId="25AD47FD">
      <w:pPr>
        <w:adjustRightInd w:val="0"/>
        <w:snapToGrid w:val="0"/>
        <w:spacing w:line="300" w:lineRule="auto"/>
        <w:jc w:val="center"/>
      </w:pPr>
    </w:p>
    <w:p w14:paraId="2DDFF4EA">
      <w:pPr>
        <w:adjustRightInd w:val="0"/>
        <w:snapToGrid w:val="0"/>
        <w:spacing w:line="300" w:lineRule="auto"/>
        <w:jc w:val="center"/>
      </w:pPr>
    </w:p>
    <w:p w14:paraId="39C1C0C4">
      <w:pPr>
        <w:adjustRightInd w:val="0"/>
        <w:snapToGrid w:val="0"/>
        <w:spacing w:line="300" w:lineRule="auto"/>
        <w:jc w:val="center"/>
      </w:pPr>
    </w:p>
    <w:p w14:paraId="4DF52F09">
      <w:pPr>
        <w:adjustRightInd w:val="0"/>
        <w:snapToGrid w:val="0"/>
        <w:spacing w:line="300" w:lineRule="auto"/>
        <w:jc w:val="center"/>
      </w:pPr>
    </w:p>
    <w:p w14:paraId="40E46557">
      <w:pPr>
        <w:adjustRightInd w:val="0"/>
        <w:snapToGrid w:val="0"/>
        <w:spacing w:line="300" w:lineRule="auto"/>
        <w:jc w:val="center"/>
      </w:pPr>
    </w:p>
    <w:p w14:paraId="11F9C9B0">
      <w:pPr>
        <w:pStyle w:val="4"/>
        <w:spacing w:line="400" w:lineRule="exact"/>
        <w:rPr>
          <w:rFonts w:ascii="仿宋" w:hAnsi="仿宋" w:eastAsia="仿宋"/>
        </w:rPr>
      </w:pPr>
      <w:bookmarkStart w:id="56" w:name="_Toc135293180"/>
      <w:bookmarkStart w:id="57" w:name="_Toc73613640"/>
      <w:r>
        <w:rPr>
          <w:rFonts w:hint="eastAsia" w:ascii="仿宋" w:hAnsi="仿宋" w:eastAsia="仿宋"/>
        </w:rPr>
        <w:t>政府采购违法行为风险知悉确认书</w:t>
      </w:r>
      <w:bookmarkEnd w:id="56"/>
    </w:p>
    <w:p w14:paraId="72C3AB07">
      <w:pPr>
        <w:spacing w:after="156" w:afterLines="50" w:line="360" w:lineRule="exact"/>
        <w:ind w:firstLine="422" w:firstLineChars="200"/>
        <w:rPr>
          <w:rFonts w:ascii="宋体" w:hAnsi="宋体" w:cs="宋体"/>
          <w:b/>
          <w:bCs/>
          <w:szCs w:val="21"/>
        </w:rPr>
      </w:pPr>
      <w:r>
        <w:rPr>
          <w:rFonts w:hint="eastAsia" w:ascii="宋体" w:hAnsi="宋体" w:cs="宋体"/>
          <w:b/>
          <w:bCs/>
          <w:szCs w:val="21"/>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51"/>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910"/>
      </w:tblGrid>
      <w:tr w14:paraId="6BBFE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tcPr>
          <w:p w14:paraId="5542CE29">
            <w:pPr>
              <w:spacing w:line="400" w:lineRule="exact"/>
              <w:jc w:val="center"/>
              <w:rPr>
                <w:rFonts w:ascii="宋体" w:hAnsi="宋体" w:cs="宋体"/>
                <w:szCs w:val="21"/>
              </w:rPr>
            </w:pPr>
            <w:r>
              <w:rPr>
                <w:rFonts w:hint="eastAsia" w:ascii="宋体" w:hAnsi="宋体" w:cs="宋体"/>
                <w:szCs w:val="21"/>
              </w:rPr>
              <w:t>序号</w:t>
            </w:r>
          </w:p>
        </w:tc>
        <w:tc>
          <w:tcPr>
            <w:tcW w:w="8910" w:type="dxa"/>
          </w:tcPr>
          <w:p w14:paraId="583E3AEB">
            <w:pPr>
              <w:spacing w:line="400" w:lineRule="exact"/>
              <w:jc w:val="center"/>
              <w:rPr>
                <w:rFonts w:ascii="宋体" w:hAnsi="宋体" w:cs="宋体"/>
                <w:szCs w:val="21"/>
              </w:rPr>
            </w:pPr>
            <w:r>
              <w:rPr>
                <w:rFonts w:hint="eastAsia" w:ascii="宋体" w:hAnsi="宋体" w:cs="宋体"/>
                <w:b/>
                <w:bCs/>
                <w:szCs w:val="21"/>
              </w:rPr>
              <w:t>供应商参与投标禁止情形</w:t>
            </w:r>
          </w:p>
        </w:tc>
      </w:tr>
      <w:tr w14:paraId="295F7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45A1B520">
            <w:pPr>
              <w:spacing w:line="400" w:lineRule="exact"/>
              <w:jc w:val="center"/>
              <w:rPr>
                <w:rFonts w:ascii="宋体" w:hAnsi="宋体" w:cs="宋体"/>
                <w:szCs w:val="21"/>
              </w:rPr>
            </w:pPr>
            <w:r>
              <w:rPr>
                <w:rFonts w:hint="eastAsia" w:ascii="宋体" w:hAnsi="宋体" w:cs="宋体"/>
                <w:szCs w:val="21"/>
              </w:rPr>
              <w:t>1</w:t>
            </w:r>
          </w:p>
        </w:tc>
        <w:tc>
          <w:tcPr>
            <w:tcW w:w="8910" w:type="dxa"/>
            <w:vAlign w:val="center"/>
          </w:tcPr>
          <w:p w14:paraId="3543C328">
            <w:pPr>
              <w:spacing w:line="400" w:lineRule="exact"/>
              <w:jc w:val="left"/>
              <w:rPr>
                <w:rFonts w:ascii="宋体" w:hAnsi="宋体" w:cs="宋体"/>
                <w:szCs w:val="21"/>
              </w:rPr>
            </w:pPr>
            <w:r>
              <w:rPr>
                <w:rFonts w:hint="eastAsia" w:ascii="宋体" w:hAnsi="宋体" w:cs="宋体"/>
                <w:szCs w:val="21"/>
              </w:rPr>
              <w:t>与其他投标供应商的法定代表人、主要经营负责人、投标授权代表人、项目负责人、主要技术人员为</w:t>
            </w:r>
            <w:r>
              <w:rPr>
                <w:rFonts w:hint="eastAsia" w:ascii="宋体" w:hAnsi="宋体" w:cs="宋体"/>
                <w:b/>
                <w:bCs/>
                <w:szCs w:val="21"/>
              </w:rPr>
              <w:t>同一人、属同一单位或者在同一单位缴纳社会保险</w:t>
            </w:r>
            <w:r>
              <w:rPr>
                <w:rFonts w:hint="eastAsia" w:ascii="宋体" w:hAnsi="宋体" w:cs="宋体"/>
                <w:szCs w:val="21"/>
              </w:rPr>
              <w:t>。</w:t>
            </w:r>
          </w:p>
        </w:tc>
      </w:tr>
      <w:tr w14:paraId="2B21D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7368C0B4">
            <w:pPr>
              <w:spacing w:line="400" w:lineRule="exact"/>
              <w:jc w:val="center"/>
              <w:rPr>
                <w:rFonts w:ascii="宋体" w:hAnsi="宋体" w:cs="宋体"/>
                <w:szCs w:val="21"/>
              </w:rPr>
            </w:pPr>
            <w:r>
              <w:rPr>
                <w:rFonts w:hint="eastAsia" w:ascii="宋体" w:hAnsi="宋体" w:cs="宋体"/>
                <w:szCs w:val="21"/>
              </w:rPr>
              <w:t>2</w:t>
            </w:r>
          </w:p>
        </w:tc>
        <w:tc>
          <w:tcPr>
            <w:tcW w:w="8910" w:type="dxa"/>
            <w:vAlign w:val="center"/>
          </w:tcPr>
          <w:p w14:paraId="113E7ED3">
            <w:pPr>
              <w:spacing w:line="400" w:lineRule="exact"/>
              <w:jc w:val="left"/>
              <w:rPr>
                <w:rFonts w:ascii="宋体" w:hAnsi="宋体" w:cs="宋体"/>
                <w:szCs w:val="21"/>
              </w:rPr>
            </w:pPr>
            <w:r>
              <w:rPr>
                <w:rFonts w:hint="eastAsia" w:ascii="宋体" w:hAnsi="宋体" w:cs="宋体"/>
                <w:szCs w:val="21"/>
              </w:rPr>
              <w:t>参与本项目政府采购活动时，与其他投标供应商存在单位负责人为</w:t>
            </w:r>
            <w:r>
              <w:rPr>
                <w:rFonts w:hint="eastAsia" w:ascii="宋体" w:hAnsi="宋体" w:cs="宋体"/>
                <w:b/>
                <w:bCs/>
                <w:szCs w:val="21"/>
              </w:rPr>
              <w:t>同一人或直接控股、管理关系</w:t>
            </w:r>
            <w:r>
              <w:rPr>
                <w:rFonts w:hint="eastAsia" w:ascii="宋体" w:hAnsi="宋体" w:cs="宋体"/>
                <w:szCs w:val="21"/>
              </w:rPr>
              <w:t>。</w:t>
            </w:r>
          </w:p>
        </w:tc>
      </w:tr>
      <w:tr w14:paraId="7414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tcPr>
          <w:p w14:paraId="2F7E1CC0">
            <w:pPr>
              <w:spacing w:line="400" w:lineRule="exact"/>
              <w:jc w:val="center"/>
              <w:rPr>
                <w:rFonts w:ascii="宋体" w:hAnsi="宋体" w:cs="宋体"/>
                <w:szCs w:val="21"/>
              </w:rPr>
            </w:pPr>
            <w:r>
              <w:rPr>
                <w:rFonts w:hint="eastAsia" w:ascii="宋体" w:hAnsi="宋体" w:cs="宋体"/>
                <w:szCs w:val="21"/>
              </w:rPr>
              <w:t>3</w:t>
            </w:r>
          </w:p>
        </w:tc>
        <w:tc>
          <w:tcPr>
            <w:tcW w:w="8910" w:type="dxa"/>
            <w:vAlign w:val="center"/>
          </w:tcPr>
          <w:p w14:paraId="542CF341">
            <w:pPr>
              <w:spacing w:line="400" w:lineRule="exact"/>
              <w:jc w:val="left"/>
              <w:rPr>
                <w:rFonts w:ascii="宋体" w:hAnsi="宋体" w:cs="宋体"/>
                <w:szCs w:val="21"/>
              </w:rPr>
            </w:pPr>
            <w:r>
              <w:rPr>
                <w:rFonts w:hint="eastAsia" w:ascii="宋体" w:hAnsi="宋体" w:cs="宋体"/>
                <w:szCs w:val="21"/>
              </w:rPr>
              <w:t>与其他投标供应商的投标文件或部分投标文件</w:t>
            </w:r>
            <w:r>
              <w:rPr>
                <w:rFonts w:hint="eastAsia" w:ascii="宋体" w:hAnsi="宋体" w:cs="宋体"/>
                <w:b/>
                <w:bCs/>
                <w:szCs w:val="21"/>
              </w:rPr>
              <w:t>相互混装或存在非正常一致</w:t>
            </w:r>
            <w:r>
              <w:rPr>
                <w:rFonts w:hint="eastAsia" w:ascii="宋体" w:hAnsi="宋体" w:cs="宋体"/>
                <w:szCs w:val="21"/>
              </w:rPr>
              <w:t>。</w:t>
            </w:r>
          </w:p>
        </w:tc>
      </w:tr>
      <w:tr w14:paraId="4129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2C1EDC72">
            <w:pPr>
              <w:spacing w:line="400" w:lineRule="exact"/>
              <w:jc w:val="center"/>
              <w:rPr>
                <w:rFonts w:ascii="宋体" w:hAnsi="宋体" w:cs="宋体"/>
                <w:szCs w:val="21"/>
              </w:rPr>
            </w:pPr>
            <w:r>
              <w:rPr>
                <w:rFonts w:hint="eastAsia" w:ascii="宋体" w:hAnsi="宋体" w:cs="宋体"/>
                <w:szCs w:val="21"/>
              </w:rPr>
              <w:t>4</w:t>
            </w:r>
          </w:p>
        </w:tc>
        <w:tc>
          <w:tcPr>
            <w:tcW w:w="8910" w:type="dxa"/>
            <w:vAlign w:val="center"/>
          </w:tcPr>
          <w:p w14:paraId="28669A9C">
            <w:pPr>
              <w:spacing w:line="400" w:lineRule="exact"/>
              <w:jc w:val="left"/>
              <w:rPr>
                <w:rFonts w:ascii="宋体" w:hAnsi="宋体" w:cs="宋体"/>
                <w:szCs w:val="21"/>
              </w:rPr>
            </w:pPr>
            <w:r>
              <w:rPr>
                <w:rFonts w:hint="eastAsia" w:ascii="宋体" w:hAnsi="宋体" w:cs="宋体"/>
                <w:szCs w:val="21"/>
              </w:rPr>
              <w:t>与其他投标供应商的投标文件由</w:t>
            </w:r>
            <w:r>
              <w:rPr>
                <w:rFonts w:hint="eastAsia" w:ascii="宋体" w:hAnsi="宋体" w:cs="宋体"/>
                <w:b/>
                <w:bCs/>
                <w:szCs w:val="21"/>
              </w:rPr>
              <w:t>同一单位或者同一人编制</w:t>
            </w:r>
            <w:r>
              <w:rPr>
                <w:rFonts w:hint="eastAsia" w:ascii="宋体" w:hAnsi="宋体" w:cs="宋体"/>
                <w:szCs w:val="21"/>
              </w:rPr>
              <w:t>，或者使用</w:t>
            </w:r>
            <w:r>
              <w:rPr>
                <w:rFonts w:hint="eastAsia" w:ascii="宋体" w:hAnsi="宋体" w:cs="宋体"/>
                <w:b/>
                <w:bCs/>
                <w:szCs w:val="21"/>
              </w:rPr>
              <w:t>同一设备编制</w:t>
            </w:r>
            <w:r>
              <w:rPr>
                <w:rFonts w:hint="eastAsia" w:ascii="宋体" w:hAnsi="宋体" w:cs="宋体"/>
                <w:szCs w:val="21"/>
              </w:rPr>
              <w:t>（“文件制作机器码”“文件创建标识码”一致）。</w:t>
            </w:r>
          </w:p>
        </w:tc>
      </w:tr>
      <w:tr w14:paraId="2A0D1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5942FE68">
            <w:pPr>
              <w:spacing w:line="400" w:lineRule="exact"/>
              <w:jc w:val="center"/>
              <w:rPr>
                <w:rFonts w:ascii="宋体" w:hAnsi="宋体" w:cs="宋体"/>
                <w:szCs w:val="21"/>
              </w:rPr>
            </w:pPr>
            <w:r>
              <w:rPr>
                <w:rFonts w:hint="eastAsia" w:ascii="宋体" w:hAnsi="宋体" w:cs="宋体"/>
                <w:szCs w:val="21"/>
              </w:rPr>
              <w:t>5</w:t>
            </w:r>
          </w:p>
        </w:tc>
        <w:tc>
          <w:tcPr>
            <w:tcW w:w="8910" w:type="dxa"/>
            <w:vAlign w:val="center"/>
          </w:tcPr>
          <w:p w14:paraId="3DCFECC2">
            <w:pPr>
              <w:spacing w:line="400" w:lineRule="exact"/>
              <w:jc w:val="left"/>
              <w:rPr>
                <w:rFonts w:ascii="宋体" w:hAnsi="宋体" w:cs="宋体"/>
                <w:szCs w:val="21"/>
              </w:rPr>
            </w:pPr>
            <w:r>
              <w:rPr>
                <w:rFonts w:hint="eastAsia" w:ascii="宋体" w:hAnsi="宋体" w:cs="宋体"/>
                <w:szCs w:val="21"/>
              </w:rPr>
              <w:t>提供</w:t>
            </w:r>
            <w:r>
              <w:rPr>
                <w:rFonts w:hint="eastAsia" w:ascii="宋体" w:hAnsi="宋体" w:cs="宋体"/>
                <w:b/>
                <w:bCs/>
                <w:szCs w:val="21"/>
              </w:rPr>
              <w:t>未经出具机构核实</w:t>
            </w:r>
            <w:r>
              <w:rPr>
                <w:rFonts w:hint="eastAsia" w:ascii="宋体" w:hAnsi="宋体" w:cs="宋体"/>
                <w:szCs w:val="21"/>
              </w:rPr>
              <w:t>的虚假的检验检测报告、业绩材料、社保缴纳证明、学历学位证书、职称认证证书等材料。</w:t>
            </w:r>
          </w:p>
        </w:tc>
      </w:tr>
      <w:tr w14:paraId="3DEA5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tcPr>
          <w:p w14:paraId="21C443DF">
            <w:pPr>
              <w:spacing w:line="400" w:lineRule="exact"/>
              <w:jc w:val="center"/>
              <w:rPr>
                <w:rFonts w:ascii="宋体" w:hAnsi="宋体" w:cs="宋体"/>
                <w:szCs w:val="21"/>
              </w:rPr>
            </w:pPr>
            <w:r>
              <w:rPr>
                <w:rFonts w:hint="eastAsia" w:ascii="宋体" w:hAnsi="宋体" w:cs="宋体"/>
                <w:szCs w:val="21"/>
              </w:rPr>
              <w:t>6</w:t>
            </w:r>
          </w:p>
        </w:tc>
        <w:tc>
          <w:tcPr>
            <w:tcW w:w="8910" w:type="dxa"/>
            <w:vAlign w:val="center"/>
          </w:tcPr>
          <w:p w14:paraId="070F6D9A">
            <w:pPr>
              <w:spacing w:line="400" w:lineRule="exact"/>
              <w:jc w:val="left"/>
              <w:rPr>
                <w:rFonts w:ascii="宋体" w:hAnsi="宋体" w:cs="宋体"/>
                <w:szCs w:val="21"/>
              </w:rPr>
            </w:pPr>
            <w:r>
              <w:rPr>
                <w:rFonts w:hint="eastAsia" w:ascii="宋体" w:hAnsi="宋体" w:cs="宋体"/>
                <w:szCs w:val="21"/>
              </w:rPr>
              <w:t>擅自将投标密钥或电子营业执照出借他人使用或未妥善保管。</w:t>
            </w:r>
          </w:p>
        </w:tc>
      </w:tr>
    </w:tbl>
    <w:p w14:paraId="3D558D1C">
      <w:pPr>
        <w:spacing w:before="156" w:beforeLines="50" w:line="380" w:lineRule="exact"/>
        <w:ind w:firstLine="422" w:firstLineChars="200"/>
        <w:rPr>
          <w:rFonts w:ascii="宋体" w:hAnsi="宋体" w:cs="宋体"/>
          <w:b/>
          <w:szCs w:val="21"/>
        </w:rPr>
      </w:pPr>
      <w:r>
        <w:rPr>
          <w:rFonts w:hint="eastAsia" w:ascii="宋体" w:hAnsi="宋体" w:cs="宋体"/>
          <w:b/>
          <w:szCs w:val="21"/>
        </w:rPr>
        <w:t>一、我单位已充分知悉“隐瞒真实情况，提供虚假资料”的法定情形，包括但不限于：</w:t>
      </w:r>
    </w:p>
    <w:p w14:paraId="18331227">
      <w:pPr>
        <w:spacing w:line="380" w:lineRule="exact"/>
        <w:ind w:firstLine="420" w:firstLineChars="200"/>
        <w:rPr>
          <w:rFonts w:ascii="宋体" w:hAnsi="宋体" w:cs="宋体"/>
          <w:szCs w:val="21"/>
        </w:rPr>
      </w:pPr>
      <w:r>
        <w:rPr>
          <w:rFonts w:hint="eastAsia" w:ascii="宋体" w:hAnsi="宋体" w:cs="宋体"/>
          <w:szCs w:val="21"/>
        </w:rPr>
        <w:t>（一）通过转让或者租借等方式从其他单位获取资格或者资质证书投标的。</w:t>
      </w:r>
    </w:p>
    <w:p w14:paraId="6D1FAA6C">
      <w:pPr>
        <w:spacing w:line="380" w:lineRule="exact"/>
        <w:ind w:firstLine="420" w:firstLineChars="200"/>
        <w:rPr>
          <w:rFonts w:ascii="宋体" w:hAnsi="宋体" w:cs="宋体"/>
          <w:szCs w:val="21"/>
        </w:rPr>
      </w:pPr>
      <w:r>
        <w:rPr>
          <w:rFonts w:hint="eastAsia" w:ascii="宋体" w:hAnsi="宋体" w:cs="宋体"/>
          <w:szCs w:val="21"/>
        </w:rPr>
        <w:t>（二）由其他单位或者其他单位负责人在投标供应商编制的投标文件上加盖印章或者签字的。</w:t>
      </w:r>
    </w:p>
    <w:p w14:paraId="3F8BDD4C">
      <w:pPr>
        <w:spacing w:line="380" w:lineRule="exact"/>
        <w:ind w:firstLine="420" w:firstLineChars="200"/>
        <w:rPr>
          <w:rFonts w:ascii="宋体" w:hAnsi="宋体" w:cs="宋体"/>
          <w:szCs w:val="21"/>
        </w:rPr>
      </w:pPr>
      <w:r>
        <w:rPr>
          <w:rFonts w:hint="eastAsia" w:ascii="宋体" w:hAnsi="宋体" w:cs="宋体"/>
          <w:szCs w:val="21"/>
        </w:rPr>
        <w:t>（三）项目负责人或者主要技术人员不是本单位人员的。</w:t>
      </w:r>
    </w:p>
    <w:p w14:paraId="55CFA536">
      <w:pPr>
        <w:spacing w:line="380" w:lineRule="exact"/>
        <w:ind w:firstLine="420" w:firstLineChars="200"/>
        <w:rPr>
          <w:rFonts w:ascii="宋体" w:hAnsi="宋体" w:cs="宋体"/>
          <w:szCs w:val="21"/>
        </w:rPr>
      </w:pPr>
      <w:r>
        <w:rPr>
          <w:rFonts w:hint="eastAsia" w:ascii="宋体" w:hAnsi="宋体" w:cs="宋体"/>
          <w:szCs w:val="21"/>
        </w:rPr>
        <w:t>（四）投标保证金不是从投标供应商基本账户转出的。</w:t>
      </w:r>
    </w:p>
    <w:p w14:paraId="0953F355">
      <w:pPr>
        <w:spacing w:line="380" w:lineRule="exact"/>
        <w:ind w:firstLine="420" w:firstLineChars="200"/>
        <w:rPr>
          <w:rFonts w:ascii="宋体" w:hAnsi="宋体" w:cs="宋体"/>
          <w:szCs w:val="21"/>
        </w:rPr>
      </w:pPr>
      <w:r>
        <w:rPr>
          <w:rFonts w:hint="eastAsia" w:ascii="宋体" w:hAnsi="宋体" w:cs="宋体"/>
          <w:szCs w:val="21"/>
        </w:rPr>
        <w:t>（五）其他隐瞒真实情况、提供虚假资料的行为。</w:t>
      </w:r>
    </w:p>
    <w:p w14:paraId="230AB52F">
      <w:pPr>
        <w:spacing w:line="380" w:lineRule="exact"/>
        <w:ind w:firstLine="422" w:firstLineChars="200"/>
        <w:rPr>
          <w:rFonts w:ascii="宋体" w:hAnsi="宋体" w:cs="宋体"/>
          <w:b/>
          <w:szCs w:val="21"/>
        </w:rPr>
      </w:pPr>
      <w:r>
        <w:rPr>
          <w:rFonts w:hint="eastAsia" w:ascii="宋体" w:hAnsi="宋体" w:cs="宋体"/>
          <w:b/>
          <w:szCs w:val="21"/>
        </w:rPr>
        <w:t>二、我单位已充分知悉“与其他采购参加人串通投标”的法定情形，包括但不限于：</w:t>
      </w:r>
    </w:p>
    <w:p w14:paraId="19664F9C">
      <w:pPr>
        <w:spacing w:line="380" w:lineRule="exact"/>
        <w:ind w:firstLine="420" w:firstLineChars="200"/>
        <w:rPr>
          <w:rFonts w:ascii="宋体" w:hAnsi="宋体" w:cs="宋体"/>
          <w:szCs w:val="21"/>
        </w:rPr>
      </w:pPr>
      <w:r>
        <w:rPr>
          <w:rFonts w:hint="eastAsia" w:ascii="宋体" w:hAnsi="宋体" w:cs="宋体"/>
          <w:szCs w:val="21"/>
        </w:rPr>
        <w:t>（一）投标供应商之间相互约定给予未中标的供应商利益补偿。</w:t>
      </w:r>
    </w:p>
    <w:p w14:paraId="671D12CC">
      <w:pPr>
        <w:spacing w:line="380" w:lineRule="exact"/>
        <w:ind w:firstLine="420" w:firstLineChars="200"/>
        <w:rPr>
          <w:rFonts w:ascii="宋体" w:hAnsi="宋体" w:cs="宋体"/>
          <w:szCs w:val="21"/>
        </w:rPr>
      </w:pPr>
      <w:r>
        <w:rPr>
          <w:rFonts w:hint="eastAsia" w:ascii="宋体" w:hAnsi="宋体" w:cs="宋体"/>
          <w:szCs w:val="21"/>
        </w:rPr>
        <w:t>（二）不同投标供应商的法定代表人、主要经营负责人、项目投标授权代表人、项目负责人、主要技术人员为同一人、属同一单位或者在同一单位缴纳社会保险。</w:t>
      </w:r>
    </w:p>
    <w:p w14:paraId="4917C84F">
      <w:pPr>
        <w:spacing w:line="340" w:lineRule="exact"/>
        <w:ind w:firstLine="420" w:firstLineChars="200"/>
        <w:rPr>
          <w:rFonts w:ascii="宋体" w:hAnsi="宋体" w:cs="宋体"/>
          <w:szCs w:val="21"/>
        </w:rPr>
      </w:pPr>
      <w:r>
        <w:rPr>
          <w:rFonts w:hint="eastAsia" w:ascii="宋体" w:hAnsi="宋体" w:cs="宋体"/>
          <w:szCs w:val="21"/>
        </w:rPr>
        <w:t>（三）不同投标供应商的投标文件由同一单位或者同一人编制，或者由同一人分阶段参与编制的。</w:t>
      </w:r>
    </w:p>
    <w:p w14:paraId="54444B49">
      <w:pPr>
        <w:spacing w:line="340" w:lineRule="exact"/>
        <w:ind w:firstLine="420" w:firstLineChars="200"/>
        <w:rPr>
          <w:rFonts w:ascii="宋体" w:hAnsi="宋体" w:cs="宋体"/>
          <w:szCs w:val="21"/>
        </w:rPr>
      </w:pPr>
      <w:r>
        <w:rPr>
          <w:rFonts w:hint="eastAsia" w:ascii="宋体" w:hAnsi="宋体" w:cs="宋体"/>
          <w:szCs w:val="21"/>
        </w:rPr>
        <w:t>（四）不同投标供应商的投标文件或部分投标文件相互混装。</w:t>
      </w:r>
    </w:p>
    <w:p w14:paraId="5CFB8C7D">
      <w:pPr>
        <w:spacing w:line="340" w:lineRule="exact"/>
        <w:ind w:firstLine="420" w:firstLineChars="200"/>
        <w:rPr>
          <w:rFonts w:ascii="宋体" w:hAnsi="宋体" w:cs="宋体"/>
          <w:szCs w:val="21"/>
        </w:rPr>
      </w:pPr>
      <w:r>
        <w:rPr>
          <w:rFonts w:hint="eastAsia" w:ascii="宋体" w:hAnsi="宋体" w:cs="宋体"/>
          <w:szCs w:val="21"/>
        </w:rPr>
        <w:t>（五）不同投标供应商的投标文件内容存在非正常一致。</w:t>
      </w:r>
    </w:p>
    <w:p w14:paraId="7B569066">
      <w:pPr>
        <w:spacing w:line="340" w:lineRule="exact"/>
        <w:ind w:firstLine="420" w:firstLineChars="200"/>
        <w:rPr>
          <w:rFonts w:ascii="宋体" w:hAnsi="宋体" w:cs="宋体"/>
          <w:szCs w:val="21"/>
        </w:rPr>
      </w:pPr>
      <w:r>
        <w:rPr>
          <w:rFonts w:hint="eastAsia" w:ascii="宋体" w:hAnsi="宋体" w:cs="宋体"/>
          <w:szCs w:val="21"/>
        </w:rPr>
        <w:t>（六）由同一单位工作人员为两家以上（含两家）供应商进行同一项投标活动的。</w:t>
      </w:r>
    </w:p>
    <w:p w14:paraId="5F0E8B0F">
      <w:pPr>
        <w:spacing w:line="340" w:lineRule="exact"/>
        <w:ind w:firstLine="420" w:firstLineChars="200"/>
        <w:rPr>
          <w:rFonts w:ascii="宋体" w:hAnsi="宋体" w:cs="宋体"/>
          <w:szCs w:val="21"/>
        </w:rPr>
      </w:pPr>
      <w:r>
        <w:rPr>
          <w:rFonts w:hint="eastAsia" w:ascii="宋体" w:hAnsi="宋体" w:cs="宋体"/>
          <w:szCs w:val="21"/>
        </w:rPr>
        <w:t>（七）不同投标人的投标报价呈规律性差异。</w:t>
      </w:r>
    </w:p>
    <w:p w14:paraId="0EFC3E39">
      <w:pPr>
        <w:spacing w:line="340" w:lineRule="exact"/>
        <w:ind w:firstLine="420" w:firstLineChars="200"/>
        <w:rPr>
          <w:rFonts w:ascii="宋体" w:hAnsi="宋体" w:cs="宋体"/>
          <w:szCs w:val="21"/>
        </w:rPr>
      </w:pPr>
      <w:r>
        <w:rPr>
          <w:rFonts w:hint="eastAsia" w:ascii="宋体" w:hAnsi="宋体" w:cs="宋体"/>
          <w:szCs w:val="21"/>
        </w:rPr>
        <w:t>（八）不同投标人的投标保证金从同一单位或者个人的账户转出。</w:t>
      </w:r>
    </w:p>
    <w:p w14:paraId="523C1BE0">
      <w:pPr>
        <w:spacing w:line="340" w:lineRule="exact"/>
        <w:ind w:firstLine="420" w:firstLineChars="200"/>
        <w:rPr>
          <w:rFonts w:ascii="宋体" w:hAnsi="宋体" w:cs="宋体"/>
          <w:szCs w:val="21"/>
        </w:rPr>
      </w:pPr>
      <w:r>
        <w:rPr>
          <w:rFonts w:hint="eastAsia" w:ascii="宋体" w:hAnsi="宋体" w:cs="宋体"/>
          <w:szCs w:val="21"/>
        </w:rPr>
        <w:t>（九）主管部门依照法律、法规认定的其他情形。</w:t>
      </w:r>
    </w:p>
    <w:p w14:paraId="3629A32D">
      <w:pPr>
        <w:spacing w:line="340" w:lineRule="exact"/>
        <w:ind w:firstLine="422" w:firstLineChars="200"/>
        <w:rPr>
          <w:rFonts w:ascii="宋体" w:hAnsi="宋体" w:cs="宋体"/>
          <w:b/>
          <w:szCs w:val="21"/>
        </w:rPr>
      </w:pPr>
      <w:r>
        <w:rPr>
          <w:rFonts w:hint="eastAsia" w:ascii="宋体" w:hAnsi="宋体" w:cs="宋体"/>
          <w:b/>
          <w:szCs w:val="21"/>
        </w:rPr>
        <w:t>三、我单位已充分知悉下列情形存在法律风险，在投标前已对相关风险事项进行排查。</w:t>
      </w:r>
    </w:p>
    <w:p w14:paraId="13C1CB10">
      <w:pPr>
        <w:spacing w:line="340" w:lineRule="exact"/>
        <w:ind w:firstLine="420" w:firstLineChars="200"/>
        <w:rPr>
          <w:rFonts w:ascii="宋体" w:hAnsi="宋体" w:cs="宋体"/>
          <w:b/>
          <w:szCs w:val="21"/>
        </w:rPr>
      </w:pPr>
      <w:r>
        <w:rPr>
          <w:rFonts w:hint="eastAsia" w:ascii="宋体" w:hAnsi="宋体" w:cs="宋体"/>
          <w:szCs w:val="21"/>
        </w:rPr>
        <w:t>（一）对于从其他主体获取的投标资料，我单位应审慎核查，确保其真实性。</w:t>
      </w:r>
      <w:r>
        <w:rPr>
          <w:rFonts w:hint="eastAsia" w:ascii="宋体" w:hAnsi="宋体" w:cs="宋体"/>
          <w:b/>
          <w:szCs w:val="21"/>
        </w:rPr>
        <w:t>如主管部门查实投标文件中存在虚假资料的，无论相关资料是否由第三方或本公司员工提供，均不影响主管部门对供应商存在“隐瞒真实情况，提供虚假资料”违法行为的认定。</w:t>
      </w:r>
    </w:p>
    <w:p w14:paraId="42BCC9E6">
      <w:pPr>
        <w:spacing w:line="340" w:lineRule="exact"/>
        <w:ind w:firstLine="420" w:firstLineChars="200"/>
        <w:rPr>
          <w:rFonts w:ascii="宋体" w:hAnsi="宋体" w:cs="宋体"/>
          <w:szCs w:val="21"/>
        </w:rPr>
      </w:pPr>
      <w:r>
        <w:rPr>
          <w:rFonts w:hint="eastAsia" w:ascii="宋体" w:hAnsi="宋体" w:cs="宋体"/>
          <w:szCs w:val="21"/>
        </w:rPr>
        <w:t>（二）对于涉及国家机关出具的公文、证件、证明材料等文件，一旦涉嫌虚假，经查实，主管部门将依法从严处理，并移送有关部门追究法律责任；涉嫌犯罪的，移送司法机关处理。</w:t>
      </w:r>
    </w:p>
    <w:p w14:paraId="3EA2780F">
      <w:pPr>
        <w:spacing w:line="340" w:lineRule="exact"/>
        <w:ind w:firstLine="420" w:firstLineChars="200"/>
        <w:rPr>
          <w:rFonts w:ascii="宋体" w:hAnsi="宋体" w:cs="宋体"/>
          <w:szCs w:val="21"/>
        </w:rPr>
      </w:pPr>
      <w:r>
        <w:rPr>
          <w:rFonts w:hint="eastAsia" w:ascii="宋体" w:hAnsi="宋体" w:cs="宋体"/>
          <w:szCs w:val="21"/>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宋体" w:hAnsi="宋体" w:cs="宋体"/>
          <w:b/>
          <w:bCs/>
          <w:szCs w:val="21"/>
        </w:rPr>
        <w:t>擅自将投标密钥或电子营业执照出借他人使用所造成的法律后果，由我单位自行承担</w:t>
      </w:r>
      <w:r>
        <w:rPr>
          <w:rFonts w:hint="eastAsia" w:ascii="宋体" w:hAnsi="宋体" w:cs="宋体"/>
          <w:szCs w:val="21"/>
        </w:rPr>
        <w:t>。</w:t>
      </w:r>
    </w:p>
    <w:p w14:paraId="099A3FE6">
      <w:pPr>
        <w:spacing w:line="340" w:lineRule="exact"/>
        <w:ind w:firstLine="422" w:firstLineChars="200"/>
        <w:rPr>
          <w:rFonts w:ascii="宋体" w:hAnsi="宋体" w:cs="宋体"/>
          <w:b/>
          <w:szCs w:val="21"/>
        </w:rPr>
      </w:pPr>
      <w:r>
        <w:rPr>
          <w:rFonts w:hint="eastAsia" w:ascii="宋体" w:hAnsi="宋体" w:cs="宋体"/>
          <w:b/>
          <w:szCs w:val="21"/>
        </w:rPr>
        <w:t>四、我单位已充分知悉政府采购违法、违规行为的法律后果。</w:t>
      </w:r>
    </w:p>
    <w:p w14:paraId="7211662D">
      <w:pPr>
        <w:spacing w:line="340" w:lineRule="exact"/>
        <w:ind w:firstLine="420" w:firstLineChars="200"/>
        <w:rPr>
          <w:rFonts w:ascii="宋体" w:hAnsi="宋体" w:cs="宋体"/>
          <w:szCs w:val="21"/>
        </w:rPr>
      </w:pPr>
      <w:r>
        <w:rPr>
          <w:rFonts w:hint="eastAsia" w:ascii="宋体" w:hAnsi="宋体" w:cs="宋体"/>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25BDF27F">
      <w:pPr>
        <w:spacing w:line="340" w:lineRule="exact"/>
        <w:ind w:firstLine="420" w:firstLineChars="200"/>
        <w:rPr>
          <w:rFonts w:ascii="宋体" w:hAnsi="宋体" w:cs="宋体"/>
          <w:szCs w:val="21"/>
        </w:rPr>
      </w:pPr>
      <w:r>
        <w:rPr>
          <w:rFonts w:hint="eastAsia" w:ascii="宋体" w:hAnsi="宋体" w:cs="宋体"/>
          <w:szCs w:val="21"/>
        </w:rPr>
        <w:t>以下文字请投标供应商抄写并确认：“我单位已仔细阅读《政府采购违法行为风险知悉确认书》，充分知悉违法行为的法律后果，并承诺将严谨、诚信、依法依规参与政府采购活动”。</w:t>
      </w:r>
    </w:p>
    <w:tbl>
      <w:tblPr>
        <w:tblStyle w:val="511"/>
        <w:tblW w:w="972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5F0D732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720" w:type="dxa"/>
            <w:tcBorders>
              <w:top w:val="nil"/>
              <w:left w:val="nil"/>
              <w:bottom w:val="single" w:color="000000" w:sz="8" w:space="0"/>
              <w:right w:val="nil"/>
            </w:tcBorders>
          </w:tcPr>
          <w:p w14:paraId="63F9AEDE">
            <w:pPr>
              <w:autoSpaceDE w:val="0"/>
              <w:autoSpaceDN w:val="0"/>
              <w:spacing w:line="340" w:lineRule="exact"/>
              <w:ind w:firstLine="1866"/>
              <w:rPr>
                <w:rFonts w:ascii="宋体" w:hAnsi="宋体" w:cs="宋体"/>
                <w:spacing w:val="-4"/>
                <w:kern w:val="0"/>
                <w:szCs w:val="21"/>
              </w:rPr>
            </w:pPr>
          </w:p>
        </w:tc>
      </w:tr>
      <w:tr w14:paraId="695DC32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tcPr>
          <w:p w14:paraId="685CF4F0">
            <w:pPr>
              <w:autoSpaceDE w:val="0"/>
              <w:autoSpaceDN w:val="0"/>
              <w:spacing w:line="340" w:lineRule="exact"/>
              <w:ind w:firstLine="1866"/>
              <w:rPr>
                <w:rFonts w:ascii="宋体" w:hAnsi="宋体" w:cs="宋体"/>
                <w:spacing w:val="-4"/>
                <w:kern w:val="0"/>
                <w:szCs w:val="21"/>
              </w:rPr>
            </w:pPr>
          </w:p>
        </w:tc>
      </w:tr>
      <w:tr w14:paraId="5EBCF80A">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tcPr>
          <w:p w14:paraId="3D2E06F2">
            <w:pPr>
              <w:autoSpaceDE w:val="0"/>
              <w:autoSpaceDN w:val="0"/>
              <w:spacing w:line="340" w:lineRule="exact"/>
              <w:ind w:firstLine="1866"/>
              <w:rPr>
                <w:rFonts w:ascii="宋体" w:hAnsi="宋体" w:cs="宋体"/>
                <w:spacing w:val="-4"/>
                <w:kern w:val="0"/>
                <w:szCs w:val="21"/>
              </w:rPr>
            </w:pPr>
          </w:p>
        </w:tc>
      </w:tr>
      <w:tr w14:paraId="2EC7C7E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tcPr>
          <w:p w14:paraId="31A3E3C5">
            <w:pPr>
              <w:autoSpaceDE w:val="0"/>
              <w:autoSpaceDN w:val="0"/>
              <w:spacing w:line="340" w:lineRule="exact"/>
              <w:ind w:firstLine="1866"/>
              <w:rPr>
                <w:rFonts w:ascii="宋体" w:hAnsi="宋体" w:cs="宋体"/>
                <w:spacing w:val="-4"/>
                <w:kern w:val="0"/>
                <w:szCs w:val="21"/>
              </w:rPr>
            </w:pPr>
          </w:p>
        </w:tc>
      </w:tr>
    </w:tbl>
    <w:p w14:paraId="17DA0D13">
      <w:pPr>
        <w:widowControl/>
        <w:wordWrap w:val="0"/>
        <w:autoSpaceDE w:val="0"/>
        <w:autoSpaceDN w:val="0"/>
        <w:spacing w:line="340" w:lineRule="exact"/>
        <w:ind w:right="808" w:firstLine="404" w:firstLineChars="200"/>
        <w:jc w:val="right"/>
        <w:rPr>
          <w:rFonts w:ascii="宋体" w:hAnsi="宋体" w:cs="宋体"/>
          <w:spacing w:val="-4"/>
          <w:kern w:val="0"/>
          <w:szCs w:val="21"/>
        </w:rPr>
      </w:pPr>
    </w:p>
    <w:p w14:paraId="734B8372">
      <w:pPr>
        <w:widowControl/>
        <w:wordWrap w:val="0"/>
        <w:autoSpaceDE w:val="0"/>
        <w:autoSpaceDN w:val="0"/>
        <w:spacing w:line="340" w:lineRule="exact"/>
        <w:ind w:right="808" w:firstLine="404" w:firstLineChars="200"/>
        <w:jc w:val="right"/>
        <w:rPr>
          <w:rFonts w:ascii="宋体" w:hAnsi="宋体" w:cs="宋体"/>
          <w:spacing w:val="-4"/>
          <w:kern w:val="0"/>
          <w:szCs w:val="21"/>
        </w:rPr>
      </w:pPr>
    </w:p>
    <w:p w14:paraId="477D1362">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单位负责人签名：</w:t>
      </w:r>
      <w:r>
        <w:rPr>
          <w:rFonts w:hint="eastAsia" w:ascii="宋体" w:hAnsi="宋体" w:cs="宋体"/>
          <w:spacing w:val="-4"/>
          <w:kern w:val="0"/>
          <w:szCs w:val="21"/>
          <w:u w:val="single"/>
        </w:rPr>
        <w:t xml:space="preserve">              </w:t>
      </w:r>
    </w:p>
    <w:p w14:paraId="1A2CDB16">
      <w:pPr>
        <w:widowControl/>
        <w:wordWrap w:val="0"/>
        <w:autoSpaceDE w:val="0"/>
        <w:autoSpaceDN w:val="0"/>
        <w:spacing w:line="340" w:lineRule="exact"/>
        <w:ind w:right="808" w:firstLine="404" w:firstLineChars="200"/>
        <w:jc w:val="center"/>
        <w:rPr>
          <w:rFonts w:ascii="宋体" w:hAnsi="宋体" w:cs="宋体"/>
          <w:spacing w:val="-4"/>
          <w:kern w:val="0"/>
          <w:szCs w:val="21"/>
          <w:u w:val="single"/>
        </w:rPr>
      </w:pPr>
      <w:r>
        <w:rPr>
          <w:rFonts w:hint="eastAsia" w:ascii="宋体" w:hAnsi="宋体" w:cs="宋体"/>
          <w:spacing w:val="-4"/>
          <w:kern w:val="0"/>
          <w:szCs w:val="21"/>
        </w:rPr>
        <w:t xml:space="preserve">                                         （加盖单位公章）</w:t>
      </w:r>
    </w:p>
    <w:p w14:paraId="7E7BB165">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 xml:space="preserve">     日期：</w:t>
      </w:r>
      <w:r>
        <w:rPr>
          <w:rFonts w:hint="eastAsia" w:ascii="宋体" w:hAnsi="宋体" w:cs="宋体"/>
          <w:spacing w:val="-4"/>
          <w:kern w:val="0"/>
          <w:szCs w:val="21"/>
          <w:u w:val="single"/>
        </w:rPr>
        <w:t xml:space="preserve">              </w:t>
      </w:r>
    </w:p>
    <w:p w14:paraId="57162140">
      <w:pPr>
        <w:spacing w:line="360" w:lineRule="auto"/>
        <w:ind w:firstLine="420" w:firstLineChars="200"/>
        <w:rPr>
          <w:szCs w:val="21"/>
        </w:rPr>
      </w:pPr>
    </w:p>
    <w:p w14:paraId="38AA81C1"/>
    <w:p w14:paraId="60DCAEE0"/>
    <w:p w14:paraId="0BAD2D0C"/>
    <w:p w14:paraId="2E61A0C0"/>
    <w:p w14:paraId="0DDAB074"/>
    <w:p w14:paraId="3B9059B1"/>
    <w:p w14:paraId="3DC41F6E"/>
    <w:p w14:paraId="1053FFE5"/>
    <w:p w14:paraId="21226DDA"/>
    <w:p w14:paraId="6763B9A7"/>
    <w:p w14:paraId="663F27A4"/>
    <w:p w14:paraId="5AAE9FE9">
      <w:r>
        <w:br w:type="page"/>
      </w:r>
    </w:p>
    <w:p w14:paraId="5EC710D6">
      <w:pPr>
        <w:pStyle w:val="4"/>
      </w:pPr>
    </w:p>
    <w:p w14:paraId="2762BAA5">
      <w:pPr>
        <w:pStyle w:val="4"/>
        <w:spacing w:line="400" w:lineRule="exact"/>
        <w:rPr>
          <w:rFonts w:ascii="仿宋" w:hAnsi="仿宋" w:eastAsia="仿宋"/>
        </w:rPr>
      </w:pPr>
      <w:bookmarkStart w:id="58" w:name="_Toc135293181"/>
      <w:r>
        <w:rPr>
          <w:rFonts w:hint="eastAsia" w:ascii="仿宋" w:hAnsi="仿宋" w:eastAsia="仿宋"/>
        </w:rPr>
        <w:t>评标指引表</w:t>
      </w:r>
      <w:bookmarkEnd w:id="57"/>
      <w:bookmarkEnd w:id="58"/>
    </w:p>
    <w:p w14:paraId="5F9436FA">
      <w:pPr>
        <w:jc w:val="center"/>
        <w:rPr>
          <w:b/>
          <w:szCs w:val="21"/>
        </w:rPr>
      </w:pPr>
    </w:p>
    <w:p w14:paraId="3E1721D2">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0DE728F9">
      <w:pPr>
        <w:spacing w:line="360" w:lineRule="exact"/>
        <w:rPr>
          <w:b/>
          <w:szCs w:val="21"/>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5ED2A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12C6518F">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63583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0FDD5CCA">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24F89E9A">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693DD416">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3E166367">
            <w:pPr>
              <w:spacing w:line="360" w:lineRule="exact"/>
              <w:jc w:val="center"/>
              <w:rPr>
                <w:rFonts w:ascii="宋体" w:hAnsi="宋体"/>
                <w:szCs w:val="21"/>
              </w:rPr>
            </w:pPr>
            <w:r>
              <w:rPr>
                <w:rFonts w:hint="eastAsia" w:ascii="宋体" w:hAnsi="宋体"/>
                <w:szCs w:val="21"/>
              </w:rPr>
              <w:t>备注</w:t>
            </w:r>
          </w:p>
        </w:tc>
      </w:tr>
      <w:tr w14:paraId="60896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7A55FE10">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67C5DA73">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2D904E7E">
            <w:pPr>
              <w:spacing w:line="360" w:lineRule="exact"/>
              <w:jc w:val="center"/>
              <w:rPr>
                <w:rFonts w:ascii="宋体" w:hAnsi="宋体"/>
                <w:b/>
                <w:szCs w:val="21"/>
              </w:rPr>
            </w:pPr>
          </w:p>
        </w:tc>
        <w:tc>
          <w:tcPr>
            <w:tcW w:w="1472" w:type="dxa"/>
            <w:vAlign w:val="center"/>
          </w:tcPr>
          <w:p w14:paraId="7381E7BA">
            <w:pPr>
              <w:spacing w:line="360" w:lineRule="exact"/>
              <w:jc w:val="center"/>
              <w:rPr>
                <w:rFonts w:ascii="宋体" w:hAnsi="宋体"/>
                <w:b/>
                <w:szCs w:val="21"/>
              </w:rPr>
            </w:pPr>
          </w:p>
        </w:tc>
      </w:tr>
      <w:tr w14:paraId="425B8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10C37142">
            <w:pPr>
              <w:spacing w:line="360" w:lineRule="exact"/>
              <w:jc w:val="center"/>
              <w:rPr>
                <w:rFonts w:ascii="宋体" w:hAnsi="宋体"/>
                <w:szCs w:val="21"/>
              </w:rPr>
            </w:pPr>
            <w:r>
              <w:rPr>
                <w:rFonts w:hint="eastAsia" w:ascii="宋体" w:hAnsi="宋体"/>
                <w:szCs w:val="21"/>
              </w:rPr>
              <w:t>技术部分</w:t>
            </w:r>
          </w:p>
        </w:tc>
        <w:tc>
          <w:tcPr>
            <w:tcW w:w="4854" w:type="dxa"/>
          </w:tcPr>
          <w:p w14:paraId="38138349">
            <w:pPr>
              <w:spacing w:line="360" w:lineRule="exact"/>
              <w:jc w:val="center"/>
              <w:rPr>
                <w:rFonts w:ascii="宋体" w:hAnsi="宋体"/>
                <w:szCs w:val="21"/>
              </w:rPr>
            </w:pPr>
            <w:r>
              <w:rPr>
                <w:rFonts w:hint="eastAsia" w:ascii="宋体" w:hAnsi="宋体"/>
                <w:szCs w:val="21"/>
              </w:rPr>
              <w:t>1.……</w:t>
            </w:r>
          </w:p>
        </w:tc>
        <w:tc>
          <w:tcPr>
            <w:tcW w:w="2169" w:type="dxa"/>
            <w:vAlign w:val="center"/>
          </w:tcPr>
          <w:p w14:paraId="06F5C159">
            <w:pPr>
              <w:spacing w:line="360" w:lineRule="exact"/>
              <w:jc w:val="center"/>
              <w:rPr>
                <w:rFonts w:ascii="宋体" w:hAnsi="宋体"/>
                <w:b/>
                <w:szCs w:val="21"/>
              </w:rPr>
            </w:pPr>
          </w:p>
        </w:tc>
        <w:tc>
          <w:tcPr>
            <w:tcW w:w="1472" w:type="dxa"/>
            <w:vAlign w:val="center"/>
          </w:tcPr>
          <w:p w14:paraId="3A41CF40">
            <w:pPr>
              <w:spacing w:line="360" w:lineRule="exact"/>
              <w:jc w:val="center"/>
              <w:rPr>
                <w:rFonts w:ascii="宋体" w:hAnsi="宋体"/>
                <w:b/>
                <w:szCs w:val="21"/>
              </w:rPr>
            </w:pPr>
          </w:p>
        </w:tc>
      </w:tr>
      <w:tr w14:paraId="560C9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5D3C6E02">
            <w:pPr>
              <w:spacing w:line="360" w:lineRule="exact"/>
              <w:jc w:val="center"/>
              <w:rPr>
                <w:rFonts w:ascii="宋体" w:hAnsi="宋体"/>
                <w:szCs w:val="21"/>
              </w:rPr>
            </w:pPr>
          </w:p>
        </w:tc>
        <w:tc>
          <w:tcPr>
            <w:tcW w:w="4854" w:type="dxa"/>
          </w:tcPr>
          <w:p w14:paraId="4A8C1892">
            <w:pPr>
              <w:spacing w:line="360" w:lineRule="exact"/>
              <w:jc w:val="center"/>
              <w:rPr>
                <w:rFonts w:ascii="宋体" w:hAnsi="宋体"/>
                <w:szCs w:val="21"/>
              </w:rPr>
            </w:pPr>
            <w:r>
              <w:rPr>
                <w:rFonts w:hint="eastAsia" w:ascii="宋体" w:hAnsi="宋体"/>
                <w:szCs w:val="21"/>
              </w:rPr>
              <w:t>2.……</w:t>
            </w:r>
          </w:p>
        </w:tc>
        <w:tc>
          <w:tcPr>
            <w:tcW w:w="2169" w:type="dxa"/>
            <w:vAlign w:val="center"/>
          </w:tcPr>
          <w:p w14:paraId="2352C271">
            <w:pPr>
              <w:spacing w:line="360" w:lineRule="exact"/>
              <w:jc w:val="center"/>
              <w:rPr>
                <w:rFonts w:ascii="宋体" w:hAnsi="宋体"/>
                <w:b/>
                <w:szCs w:val="21"/>
              </w:rPr>
            </w:pPr>
          </w:p>
        </w:tc>
        <w:tc>
          <w:tcPr>
            <w:tcW w:w="1472" w:type="dxa"/>
            <w:vAlign w:val="center"/>
          </w:tcPr>
          <w:p w14:paraId="17CFE9C5">
            <w:pPr>
              <w:spacing w:line="360" w:lineRule="exact"/>
              <w:jc w:val="center"/>
              <w:rPr>
                <w:rFonts w:ascii="宋体" w:hAnsi="宋体"/>
                <w:b/>
                <w:szCs w:val="21"/>
              </w:rPr>
            </w:pPr>
          </w:p>
        </w:tc>
      </w:tr>
      <w:tr w14:paraId="7CF93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3E234840">
            <w:pPr>
              <w:spacing w:line="360" w:lineRule="exact"/>
              <w:jc w:val="center"/>
              <w:rPr>
                <w:rFonts w:ascii="宋体" w:hAnsi="宋体"/>
                <w:szCs w:val="21"/>
              </w:rPr>
            </w:pPr>
          </w:p>
        </w:tc>
        <w:tc>
          <w:tcPr>
            <w:tcW w:w="4854" w:type="dxa"/>
          </w:tcPr>
          <w:p w14:paraId="1809693B">
            <w:pPr>
              <w:spacing w:line="360" w:lineRule="exact"/>
              <w:jc w:val="center"/>
              <w:rPr>
                <w:rFonts w:ascii="宋体" w:hAnsi="宋体"/>
                <w:szCs w:val="21"/>
              </w:rPr>
            </w:pPr>
            <w:r>
              <w:rPr>
                <w:rFonts w:hint="eastAsia" w:ascii="宋体" w:hAnsi="宋体"/>
                <w:szCs w:val="21"/>
              </w:rPr>
              <w:t>……</w:t>
            </w:r>
          </w:p>
        </w:tc>
        <w:tc>
          <w:tcPr>
            <w:tcW w:w="2169" w:type="dxa"/>
            <w:vAlign w:val="center"/>
          </w:tcPr>
          <w:p w14:paraId="1D8B1B4A">
            <w:pPr>
              <w:spacing w:line="360" w:lineRule="exact"/>
              <w:jc w:val="center"/>
              <w:rPr>
                <w:rFonts w:ascii="宋体" w:hAnsi="宋体"/>
                <w:b/>
                <w:szCs w:val="21"/>
              </w:rPr>
            </w:pPr>
          </w:p>
        </w:tc>
        <w:tc>
          <w:tcPr>
            <w:tcW w:w="1472" w:type="dxa"/>
            <w:vAlign w:val="center"/>
          </w:tcPr>
          <w:p w14:paraId="2C6C1A6C">
            <w:pPr>
              <w:spacing w:line="360" w:lineRule="exact"/>
              <w:jc w:val="center"/>
              <w:rPr>
                <w:rFonts w:ascii="宋体" w:hAnsi="宋体"/>
                <w:b/>
                <w:szCs w:val="21"/>
              </w:rPr>
            </w:pPr>
          </w:p>
        </w:tc>
      </w:tr>
      <w:tr w14:paraId="0E299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2B3EF6FB">
            <w:pPr>
              <w:spacing w:line="360" w:lineRule="exact"/>
              <w:jc w:val="center"/>
              <w:rPr>
                <w:rFonts w:ascii="宋体" w:hAnsi="宋体"/>
                <w:szCs w:val="21"/>
              </w:rPr>
            </w:pPr>
            <w:r>
              <w:rPr>
                <w:rFonts w:hint="eastAsia" w:ascii="宋体" w:hAnsi="宋体"/>
                <w:szCs w:val="21"/>
              </w:rPr>
              <w:t>商务部分</w:t>
            </w:r>
          </w:p>
        </w:tc>
        <w:tc>
          <w:tcPr>
            <w:tcW w:w="4854" w:type="dxa"/>
          </w:tcPr>
          <w:p w14:paraId="46330FC3">
            <w:pPr>
              <w:spacing w:line="360" w:lineRule="exact"/>
              <w:jc w:val="center"/>
              <w:rPr>
                <w:rFonts w:ascii="宋体" w:hAnsi="宋体"/>
                <w:szCs w:val="21"/>
              </w:rPr>
            </w:pPr>
            <w:r>
              <w:rPr>
                <w:rFonts w:hint="eastAsia" w:ascii="宋体" w:hAnsi="宋体"/>
                <w:szCs w:val="21"/>
              </w:rPr>
              <w:t>1.……</w:t>
            </w:r>
          </w:p>
        </w:tc>
        <w:tc>
          <w:tcPr>
            <w:tcW w:w="2169" w:type="dxa"/>
            <w:vAlign w:val="center"/>
          </w:tcPr>
          <w:p w14:paraId="001F374B">
            <w:pPr>
              <w:spacing w:line="360" w:lineRule="exact"/>
              <w:jc w:val="center"/>
              <w:rPr>
                <w:rFonts w:ascii="宋体" w:hAnsi="宋体"/>
                <w:b/>
                <w:szCs w:val="21"/>
              </w:rPr>
            </w:pPr>
          </w:p>
        </w:tc>
        <w:tc>
          <w:tcPr>
            <w:tcW w:w="1472" w:type="dxa"/>
            <w:vAlign w:val="center"/>
          </w:tcPr>
          <w:p w14:paraId="1D7AE9DB">
            <w:pPr>
              <w:spacing w:line="360" w:lineRule="exact"/>
              <w:jc w:val="center"/>
              <w:rPr>
                <w:rFonts w:ascii="宋体" w:hAnsi="宋体"/>
                <w:b/>
                <w:szCs w:val="21"/>
              </w:rPr>
            </w:pPr>
          </w:p>
        </w:tc>
      </w:tr>
      <w:tr w14:paraId="4A9F3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24FCF5D2">
            <w:pPr>
              <w:spacing w:line="360" w:lineRule="exact"/>
              <w:jc w:val="center"/>
              <w:rPr>
                <w:rFonts w:ascii="宋体" w:hAnsi="宋体"/>
                <w:szCs w:val="21"/>
              </w:rPr>
            </w:pPr>
          </w:p>
        </w:tc>
        <w:tc>
          <w:tcPr>
            <w:tcW w:w="4854" w:type="dxa"/>
          </w:tcPr>
          <w:p w14:paraId="3D83434E">
            <w:pPr>
              <w:spacing w:line="360" w:lineRule="exact"/>
              <w:jc w:val="center"/>
              <w:rPr>
                <w:rFonts w:ascii="宋体" w:hAnsi="宋体"/>
                <w:szCs w:val="21"/>
              </w:rPr>
            </w:pPr>
            <w:r>
              <w:rPr>
                <w:rFonts w:hint="eastAsia" w:ascii="宋体" w:hAnsi="宋体"/>
                <w:szCs w:val="21"/>
              </w:rPr>
              <w:t>2.……</w:t>
            </w:r>
          </w:p>
        </w:tc>
        <w:tc>
          <w:tcPr>
            <w:tcW w:w="2169" w:type="dxa"/>
            <w:vAlign w:val="center"/>
          </w:tcPr>
          <w:p w14:paraId="3E307E64">
            <w:pPr>
              <w:spacing w:line="360" w:lineRule="exact"/>
              <w:jc w:val="center"/>
              <w:rPr>
                <w:rFonts w:ascii="宋体" w:hAnsi="宋体"/>
                <w:b/>
                <w:szCs w:val="21"/>
              </w:rPr>
            </w:pPr>
          </w:p>
        </w:tc>
        <w:tc>
          <w:tcPr>
            <w:tcW w:w="1472" w:type="dxa"/>
            <w:vAlign w:val="center"/>
          </w:tcPr>
          <w:p w14:paraId="1ED8B395">
            <w:pPr>
              <w:spacing w:line="360" w:lineRule="exact"/>
              <w:jc w:val="center"/>
              <w:rPr>
                <w:rFonts w:ascii="宋体" w:hAnsi="宋体"/>
                <w:b/>
                <w:szCs w:val="21"/>
              </w:rPr>
            </w:pPr>
          </w:p>
        </w:tc>
      </w:tr>
      <w:tr w14:paraId="080F4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596F9FE1">
            <w:pPr>
              <w:spacing w:line="360" w:lineRule="exact"/>
              <w:jc w:val="center"/>
              <w:rPr>
                <w:rFonts w:ascii="宋体" w:hAnsi="宋体"/>
                <w:szCs w:val="21"/>
              </w:rPr>
            </w:pPr>
          </w:p>
        </w:tc>
        <w:tc>
          <w:tcPr>
            <w:tcW w:w="4854" w:type="dxa"/>
          </w:tcPr>
          <w:p w14:paraId="3C80A29F">
            <w:pPr>
              <w:spacing w:line="360" w:lineRule="exact"/>
              <w:jc w:val="center"/>
              <w:rPr>
                <w:rFonts w:ascii="宋体" w:hAnsi="宋体"/>
                <w:szCs w:val="21"/>
              </w:rPr>
            </w:pPr>
            <w:r>
              <w:rPr>
                <w:rFonts w:hint="eastAsia" w:ascii="宋体" w:hAnsi="宋体"/>
                <w:szCs w:val="21"/>
              </w:rPr>
              <w:t>……</w:t>
            </w:r>
          </w:p>
        </w:tc>
        <w:tc>
          <w:tcPr>
            <w:tcW w:w="2169" w:type="dxa"/>
            <w:vAlign w:val="center"/>
          </w:tcPr>
          <w:p w14:paraId="7E59401E">
            <w:pPr>
              <w:spacing w:line="360" w:lineRule="exact"/>
              <w:jc w:val="center"/>
              <w:rPr>
                <w:rFonts w:ascii="宋体" w:hAnsi="宋体"/>
                <w:b/>
                <w:szCs w:val="21"/>
              </w:rPr>
            </w:pPr>
          </w:p>
        </w:tc>
        <w:tc>
          <w:tcPr>
            <w:tcW w:w="1472" w:type="dxa"/>
            <w:vAlign w:val="center"/>
          </w:tcPr>
          <w:p w14:paraId="3BE61577">
            <w:pPr>
              <w:spacing w:line="360" w:lineRule="exact"/>
              <w:jc w:val="center"/>
              <w:rPr>
                <w:rFonts w:ascii="宋体" w:hAnsi="宋体"/>
                <w:b/>
                <w:szCs w:val="21"/>
              </w:rPr>
            </w:pPr>
          </w:p>
        </w:tc>
      </w:tr>
    </w:tbl>
    <w:p w14:paraId="38F87C11">
      <w:pPr>
        <w:spacing w:line="360" w:lineRule="exact"/>
        <w:rPr>
          <w:b/>
          <w:szCs w:val="21"/>
        </w:rPr>
      </w:pPr>
    </w:p>
    <w:p w14:paraId="6B074E62">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752A740F">
      <w:pPr>
        <w:jc w:val="center"/>
      </w:pPr>
    </w:p>
    <w:p w14:paraId="77384516"/>
    <w:p w14:paraId="6412C85C"/>
    <w:p w14:paraId="37B2BDDB"/>
    <w:p w14:paraId="18DFCCBB"/>
    <w:p w14:paraId="0527A3F0"/>
    <w:p w14:paraId="768574D8"/>
    <w:p w14:paraId="6B4DA698"/>
    <w:p w14:paraId="355F8052"/>
    <w:p w14:paraId="5CAA30C7">
      <w:pPr>
        <w:pStyle w:val="3"/>
        <w:tabs>
          <w:tab w:val="left" w:pos="371"/>
        </w:tabs>
        <w:spacing w:before="120" w:after="120"/>
        <w:ind w:left="-1" w:leftChars="-1" w:hanging="1"/>
        <w:jc w:val="center"/>
        <w:rPr>
          <w:rFonts w:asciiTheme="minorEastAsia" w:hAnsiTheme="minorEastAsia" w:eastAsiaTheme="minorEastAsia"/>
        </w:rPr>
      </w:pPr>
      <w:bookmarkStart w:id="59" w:name="_Toc44691164"/>
      <w:bookmarkStart w:id="60" w:name="_Toc44690432"/>
      <w:bookmarkStart w:id="61" w:name="_Toc44690705"/>
      <w:bookmarkStart w:id="62" w:name="_Toc44691396"/>
      <w:bookmarkStart w:id="63" w:name="_Toc135293182"/>
    </w:p>
    <w:p w14:paraId="273BA491">
      <w:pPr>
        <w:widowControl/>
        <w:jc w:val="left"/>
        <w:rPr>
          <w:rFonts w:asciiTheme="minorEastAsia" w:hAnsiTheme="minorEastAsia" w:eastAsiaTheme="minorEastAsia"/>
          <w:b/>
          <w:bCs/>
          <w:sz w:val="24"/>
          <w:szCs w:val="32"/>
        </w:rPr>
      </w:pPr>
      <w:r>
        <w:rPr>
          <w:rFonts w:asciiTheme="minorEastAsia" w:hAnsiTheme="minorEastAsia" w:eastAsiaTheme="minorEastAsia"/>
        </w:rPr>
        <w:br w:type="page"/>
      </w:r>
    </w:p>
    <w:p w14:paraId="57E0FDF6">
      <w:pPr>
        <w:pStyle w:val="4"/>
        <w:spacing w:line="400" w:lineRule="exact"/>
        <w:rPr>
          <w:rFonts w:ascii="仿宋" w:hAnsi="仿宋" w:eastAsia="仿宋"/>
        </w:rPr>
      </w:pPr>
    </w:p>
    <w:p w14:paraId="00538712">
      <w:pPr>
        <w:pStyle w:val="4"/>
        <w:spacing w:line="400" w:lineRule="exact"/>
        <w:rPr>
          <w:rFonts w:ascii="仿宋" w:hAnsi="仿宋" w:eastAsia="仿宋"/>
        </w:rPr>
      </w:pPr>
      <w:r>
        <w:rPr>
          <w:rFonts w:hint="eastAsia" w:ascii="仿宋" w:hAnsi="仿宋" w:eastAsia="仿宋"/>
        </w:rPr>
        <w:t>供应商自查表</w:t>
      </w:r>
    </w:p>
    <w:p w14:paraId="0AEFCDAF">
      <w:pPr>
        <w:spacing w:before="157" w:line="198" w:lineRule="auto"/>
        <w:ind w:left="126" w:right="-21" w:rightChars="-10"/>
        <w:jc w:val="center"/>
      </w:pPr>
      <w:r>
        <w:rPr>
          <w:rFonts w:hint="eastAsia" w:ascii="宋体" w:hAnsi="宋体" w:cs="宋体"/>
          <w:szCs w:val="21"/>
        </w:rPr>
        <w:t>填表单位：（加盖单位公章）       填表日期：年   月   日</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54E55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vAlign w:val="center"/>
          </w:tcPr>
          <w:p w14:paraId="78233FB1">
            <w:pPr>
              <w:spacing w:line="360" w:lineRule="exact"/>
              <w:jc w:val="center"/>
              <w:rPr>
                <w:rFonts w:ascii="宋体" w:hAnsi="宋体"/>
                <w:szCs w:val="21"/>
              </w:rPr>
            </w:pPr>
            <w:r>
              <w:rPr>
                <w:rFonts w:hint="eastAsia" w:ascii="宋体" w:hAnsi="宋体"/>
                <w:szCs w:val="21"/>
              </w:rPr>
              <w:t>序号</w:t>
            </w:r>
          </w:p>
        </w:tc>
        <w:tc>
          <w:tcPr>
            <w:tcW w:w="6023" w:type="dxa"/>
            <w:vAlign w:val="center"/>
          </w:tcPr>
          <w:p w14:paraId="7DA83021">
            <w:pPr>
              <w:spacing w:line="360" w:lineRule="exact"/>
              <w:jc w:val="center"/>
              <w:rPr>
                <w:rFonts w:ascii="宋体" w:hAnsi="宋体"/>
                <w:szCs w:val="21"/>
              </w:rPr>
            </w:pPr>
            <w:r>
              <w:rPr>
                <w:rFonts w:hint="eastAsia" w:ascii="宋体" w:hAnsi="宋体"/>
                <w:szCs w:val="21"/>
              </w:rPr>
              <w:t>是否存在以下投标违规行为</w:t>
            </w:r>
          </w:p>
        </w:tc>
        <w:tc>
          <w:tcPr>
            <w:tcW w:w="2921" w:type="dxa"/>
            <w:vAlign w:val="center"/>
          </w:tcPr>
          <w:p w14:paraId="7419AE1A">
            <w:pPr>
              <w:spacing w:line="360" w:lineRule="exact"/>
              <w:jc w:val="center"/>
              <w:rPr>
                <w:rFonts w:ascii="宋体" w:hAnsi="宋体"/>
                <w:szCs w:val="21"/>
              </w:rPr>
            </w:pPr>
            <w:r>
              <w:rPr>
                <w:rFonts w:hint="eastAsia" w:ascii="宋体" w:hAnsi="宋体"/>
                <w:szCs w:val="21"/>
              </w:rPr>
              <w:t>自查情况</w:t>
            </w:r>
          </w:p>
          <w:p w14:paraId="3B4CD51B">
            <w:pPr>
              <w:spacing w:line="360" w:lineRule="exact"/>
              <w:jc w:val="center"/>
              <w:rPr>
                <w:rFonts w:ascii="宋体" w:hAnsi="宋体"/>
                <w:szCs w:val="21"/>
              </w:rPr>
            </w:pPr>
            <w:r>
              <w:rPr>
                <w:rFonts w:hint="eastAsia" w:ascii="宋体" w:hAnsi="宋体"/>
                <w:szCs w:val="21"/>
              </w:rPr>
              <w:t>（填写“不存在”或“存在”）</w:t>
            </w:r>
          </w:p>
        </w:tc>
        <w:tc>
          <w:tcPr>
            <w:tcW w:w="924" w:type="dxa"/>
            <w:vAlign w:val="center"/>
          </w:tcPr>
          <w:p w14:paraId="3010AE74">
            <w:pPr>
              <w:spacing w:line="360" w:lineRule="exact"/>
              <w:jc w:val="center"/>
              <w:rPr>
                <w:rFonts w:ascii="宋体" w:hAnsi="宋体"/>
                <w:szCs w:val="21"/>
              </w:rPr>
            </w:pPr>
            <w:r>
              <w:rPr>
                <w:rFonts w:hint="eastAsia" w:ascii="宋体" w:hAnsi="宋体"/>
                <w:szCs w:val="21"/>
              </w:rPr>
              <w:t>备注</w:t>
            </w:r>
          </w:p>
        </w:tc>
      </w:tr>
      <w:tr w14:paraId="26BEA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vAlign w:val="center"/>
          </w:tcPr>
          <w:p w14:paraId="31DB2519">
            <w:pPr>
              <w:spacing w:line="360" w:lineRule="exact"/>
              <w:jc w:val="center"/>
              <w:rPr>
                <w:rFonts w:ascii="宋体" w:hAnsi="宋体"/>
                <w:szCs w:val="21"/>
              </w:rPr>
            </w:pPr>
            <w:r>
              <w:rPr>
                <w:rFonts w:hint="eastAsia" w:ascii="宋体" w:hAnsi="宋体"/>
                <w:szCs w:val="21"/>
              </w:rPr>
              <w:t>1</w:t>
            </w:r>
          </w:p>
        </w:tc>
        <w:tc>
          <w:tcPr>
            <w:tcW w:w="6023" w:type="dxa"/>
            <w:vAlign w:val="center"/>
          </w:tcPr>
          <w:p w14:paraId="5B0A3406">
            <w:pPr>
              <w:jc w:val="left"/>
              <w:rPr>
                <w:rFonts w:ascii="宋体" w:hAnsi="宋体" w:cs="宋体"/>
              </w:rPr>
            </w:pPr>
            <w:r>
              <w:rPr>
                <w:rFonts w:hint="eastAsia" w:ascii="宋体" w:hAnsi="宋体" w:cs="宋体"/>
                <w:bCs/>
                <w:szCs w:val="21"/>
              </w:rPr>
              <w:t>投标供应商之间相互约定给予未中标的供应商利益补偿。</w:t>
            </w:r>
          </w:p>
        </w:tc>
        <w:tc>
          <w:tcPr>
            <w:tcW w:w="2921" w:type="dxa"/>
            <w:vAlign w:val="center"/>
          </w:tcPr>
          <w:p w14:paraId="41C906A3">
            <w:pPr>
              <w:spacing w:line="360" w:lineRule="exact"/>
              <w:jc w:val="center"/>
              <w:rPr>
                <w:rFonts w:ascii="宋体" w:hAnsi="宋体"/>
                <w:b/>
                <w:szCs w:val="21"/>
              </w:rPr>
            </w:pPr>
          </w:p>
        </w:tc>
        <w:tc>
          <w:tcPr>
            <w:tcW w:w="924" w:type="dxa"/>
            <w:vAlign w:val="center"/>
          </w:tcPr>
          <w:p w14:paraId="79A70510">
            <w:pPr>
              <w:spacing w:line="360" w:lineRule="exact"/>
              <w:jc w:val="center"/>
              <w:rPr>
                <w:rFonts w:ascii="宋体" w:hAnsi="宋体"/>
                <w:b/>
                <w:szCs w:val="21"/>
              </w:rPr>
            </w:pPr>
          </w:p>
        </w:tc>
      </w:tr>
      <w:tr w14:paraId="13788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228304C0">
            <w:pPr>
              <w:spacing w:line="360" w:lineRule="exact"/>
              <w:jc w:val="center"/>
              <w:rPr>
                <w:rFonts w:ascii="宋体" w:hAnsi="宋体"/>
                <w:szCs w:val="21"/>
              </w:rPr>
            </w:pPr>
            <w:r>
              <w:rPr>
                <w:rFonts w:hint="eastAsia" w:ascii="宋体" w:hAnsi="宋体"/>
                <w:szCs w:val="21"/>
              </w:rPr>
              <w:t>2</w:t>
            </w:r>
          </w:p>
        </w:tc>
        <w:tc>
          <w:tcPr>
            <w:tcW w:w="6023" w:type="dxa"/>
            <w:vAlign w:val="center"/>
          </w:tcPr>
          <w:p w14:paraId="0F3367E5">
            <w:pPr>
              <w:jc w:val="left"/>
              <w:rPr>
                <w:rFonts w:ascii="宋体" w:hAnsi="宋体" w:cs="宋体"/>
                <w:snapToGrid w:val="0"/>
                <w:kern w:val="0"/>
                <w:szCs w:val="21"/>
              </w:rPr>
            </w:pPr>
            <w:r>
              <w:rPr>
                <w:rFonts w:hint="eastAsia" w:ascii="宋体" w:hAnsi="宋体" w:cs="宋体"/>
                <w:snapToGrid w:val="0"/>
                <w:kern w:val="0"/>
                <w:szCs w:val="21"/>
              </w:rPr>
              <w:t>不同投标供应商的法定代表人、主要经营负责人、项目投标授权代表人、项目负责人、主要技术人员为同一人、属同一单位或者在同一单位缴纳社会保险。</w:t>
            </w:r>
          </w:p>
        </w:tc>
        <w:tc>
          <w:tcPr>
            <w:tcW w:w="2921" w:type="dxa"/>
            <w:vAlign w:val="center"/>
          </w:tcPr>
          <w:p w14:paraId="65B46301">
            <w:pPr>
              <w:spacing w:line="360" w:lineRule="exact"/>
              <w:jc w:val="center"/>
              <w:rPr>
                <w:rFonts w:ascii="宋体" w:hAnsi="宋体"/>
                <w:b/>
                <w:szCs w:val="21"/>
              </w:rPr>
            </w:pPr>
          </w:p>
        </w:tc>
        <w:tc>
          <w:tcPr>
            <w:tcW w:w="924" w:type="dxa"/>
            <w:vAlign w:val="center"/>
          </w:tcPr>
          <w:p w14:paraId="6D7A1674">
            <w:pPr>
              <w:spacing w:line="360" w:lineRule="exact"/>
              <w:jc w:val="center"/>
              <w:rPr>
                <w:rFonts w:ascii="宋体" w:hAnsi="宋体"/>
                <w:b/>
                <w:szCs w:val="21"/>
              </w:rPr>
            </w:pPr>
          </w:p>
        </w:tc>
      </w:tr>
      <w:tr w14:paraId="3EA19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vAlign w:val="center"/>
          </w:tcPr>
          <w:p w14:paraId="7EE91420">
            <w:pPr>
              <w:spacing w:line="360" w:lineRule="exact"/>
              <w:jc w:val="center"/>
              <w:rPr>
                <w:rFonts w:ascii="宋体" w:hAnsi="宋体"/>
                <w:szCs w:val="21"/>
              </w:rPr>
            </w:pPr>
            <w:r>
              <w:rPr>
                <w:rFonts w:hint="eastAsia" w:ascii="宋体" w:hAnsi="宋体"/>
                <w:szCs w:val="21"/>
              </w:rPr>
              <w:t>3</w:t>
            </w:r>
          </w:p>
        </w:tc>
        <w:tc>
          <w:tcPr>
            <w:tcW w:w="6023" w:type="dxa"/>
            <w:vAlign w:val="center"/>
          </w:tcPr>
          <w:p w14:paraId="24199DB2">
            <w:pPr>
              <w:jc w:val="left"/>
              <w:rPr>
                <w:rFonts w:ascii="宋体" w:hAnsi="宋体" w:cs="宋体"/>
                <w:snapToGrid w:val="0"/>
                <w:kern w:val="0"/>
                <w:szCs w:val="21"/>
              </w:rPr>
            </w:pPr>
            <w:r>
              <w:rPr>
                <w:rFonts w:hint="eastAsia" w:ascii="宋体" w:hAnsi="宋体" w:cs="宋体"/>
                <w:snapToGrid w:val="0"/>
                <w:kern w:val="0"/>
                <w:szCs w:val="21"/>
              </w:rPr>
              <w:t>不同投标供应商的投标文件由同一单位或者同一人编制，或者由同一人分阶段参与编制的。</w:t>
            </w:r>
          </w:p>
        </w:tc>
        <w:tc>
          <w:tcPr>
            <w:tcW w:w="2921" w:type="dxa"/>
            <w:vAlign w:val="center"/>
          </w:tcPr>
          <w:p w14:paraId="56918EC4">
            <w:pPr>
              <w:spacing w:line="360" w:lineRule="exact"/>
              <w:jc w:val="center"/>
              <w:rPr>
                <w:rFonts w:ascii="宋体" w:hAnsi="宋体"/>
                <w:b/>
                <w:szCs w:val="21"/>
              </w:rPr>
            </w:pPr>
          </w:p>
        </w:tc>
        <w:tc>
          <w:tcPr>
            <w:tcW w:w="924" w:type="dxa"/>
            <w:vAlign w:val="center"/>
          </w:tcPr>
          <w:p w14:paraId="3C9BB910">
            <w:pPr>
              <w:spacing w:line="360" w:lineRule="exact"/>
              <w:jc w:val="center"/>
              <w:rPr>
                <w:rFonts w:ascii="宋体" w:hAnsi="宋体"/>
                <w:b/>
                <w:szCs w:val="21"/>
              </w:rPr>
            </w:pPr>
          </w:p>
        </w:tc>
      </w:tr>
      <w:tr w14:paraId="5CF57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vAlign w:val="center"/>
          </w:tcPr>
          <w:p w14:paraId="2C24DF64">
            <w:pPr>
              <w:spacing w:line="360" w:lineRule="exact"/>
              <w:jc w:val="center"/>
              <w:rPr>
                <w:rFonts w:ascii="宋体" w:hAnsi="宋体"/>
                <w:szCs w:val="21"/>
              </w:rPr>
            </w:pPr>
            <w:r>
              <w:rPr>
                <w:rFonts w:hint="eastAsia" w:ascii="宋体" w:hAnsi="宋体"/>
                <w:szCs w:val="21"/>
              </w:rPr>
              <w:t>4</w:t>
            </w:r>
          </w:p>
        </w:tc>
        <w:tc>
          <w:tcPr>
            <w:tcW w:w="6023" w:type="dxa"/>
            <w:vAlign w:val="center"/>
          </w:tcPr>
          <w:p w14:paraId="3290979F">
            <w:pPr>
              <w:jc w:val="left"/>
              <w:rPr>
                <w:rFonts w:ascii="宋体" w:hAnsi="宋体" w:cs="宋体"/>
                <w:snapToGrid w:val="0"/>
                <w:kern w:val="0"/>
                <w:szCs w:val="21"/>
              </w:rPr>
            </w:pPr>
            <w:r>
              <w:rPr>
                <w:rFonts w:hint="eastAsia" w:ascii="宋体" w:hAnsi="宋体" w:cs="宋体"/>
                <w:snapToGrid w:val="0"/>
                <w:kern w:val="0"/>
                <w:szCs w:val="21"/>
              </w:rPr>
              <w:t>不同投标供应商的投标文件或部分投标文件相互混装。</w:t>
            </w:r>
          </w:p>
        </w:tc>
        <w:tc>
          <w:tcPr>
            <w:tcW w:w="2921" w:type="dxa"/>
            <w:vAlign w:val="center"/>
          </w:tcPr>
          <w:p w14:paraId="38890065">
            <w:pPr>
              <w:spacing w:line="360" w:lineRule="exact"/>
              <w:jc w:val="center"/>
              <w:rPr>
                <w:rFonts w:ascii="宋体" w:hAnsi="宋体"/>
                <w:b/>
                <w:szCs w:val="21"/>
              </w:rPr>
            </w:pPr>
          </w:p>
        </w:tc>
        <w:tc>
          <w:tcPr>
            <w:tcW w:w="924" w:type="dxa"/>
            <w:vAlign w:val="center"/>
          </w:tcPr>
          <w:p w14:paraId="7AED1F6B">
            <w:pPr>
              <w:spacing w:line="360" w:lineRule="exact"/>
              <w:jc w:val="center"/>
              <w:rPr>
                <w:rFonts w:ascii="宋体" w:hAnsi="宋体"/>
                <w:b/>
                <w:szCs w:val="21"/>
              </w:rPr>
            </w:pPr>
          </w:p>
        </w:tc>
      </w:tr>
      <w:tr w14:paraId="4B52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vAlign w:val="center"/>
          </w:tcPr>
          <w:p w14:paraId="16181286">
            <w:pPr>
              <w:spacing w:line="360" w:lineRule="exact"/>
              <w:jc w:val="center"/>
              <w:rPr>
                <w:rFonts w:ascii="宋体" w:hAnsi="宋体"/>
                <w:szCs w:val="21"/>
              </w:rPr>
            </w:pPr>
            <w:r>
              <w:rPr>
                <w:rFonts w:hint="eastAsia" w:ascii="宋体" w:hAnsi="宋体"/>
                <w:szCs w:val="21"/>
              </w:rPr>
              <w:t>5</w:t>
            </w:r>
          </w:p>
        </w:tc>
        <w:tc>
          <w:tcPr>
            <w:tcW w:w="6023" w:type="dxa"/>
            <w:vAlign w:val="center"/>
          </w:tcPr>
          <w:p w14:paraId="32D34814">
            <w:pPr>
              <w:jc w:val="left"/>
              <w:rPr>
                <w:rFonts w:ascii="宋体" w:hAnsi="宋体" w:cs="宋体"/>
                <w:snapToGrid w:val="0"/>
                <w:kern w:val="0"/>
                <w:szCs w:val="21"/>
              </w:rPr>
            </w:pPr>
            <w:r>
              <w:rPr>
                <w:szCs w:val="21"/>
              </w:rPr>
              <w:t>不同投标供应商的投标文件内容存在非正常一致。</w:t>
            </w:r>
          </w:p>
        </w:tc>
        <w:tc>
          <w:tcPr>
            <w:tcW w:w="2921" w:type="dxa"/>
            <w:vAlign w:val="center"/>
          </w:tcPr>
          <w:p w14:paraId="00A3AC30">
            <w:pPr>
              <w:spacing w:line="360" w:lineRule="exact"/>
              <w:jc w:val="center"/>
              <w:rPr>
                <w:rFonts w:ascii="宋体" w:hAnsi="宋体"/>
                <w:b/>
                <w:szCs w:val="21"/>
              </w:rPr>
            </w:pPr>
          </w:p>
        </w:tc>
        <w:tc>
          <w:tcPr>
            <w:tcW w:w="924" w:type="dxa"/>
            <w:vAlign w:val="center"/>
          </w:tcPr>
          <w:p w14:paraId="64580577">
            <w:pPr>
              <w:spacing w:line="360" w:lineRule="exact"/>
              <w:jc w:val="center"/>
              <w:rPr>
                <w:rFonts w:ascii="宋体" w:hAnsi="宋体"/>
                <w:b/>
                <w:szCs w:val="21"/>
              </w:rPr>
            </w:pPr>
          </w:p>
        </w:tc>
      </w:tr>
      <w:tr w14:paraId="4C6D7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vAlign w:val="center"/>
          </w:tcPr>
          <w:p w14:paraId="15C7E0F1">
            <w:pPr>
              <w:spacing w:line="360" w:lineRule="exact"/>
              <w:jc w:val="center"/>
              <w:rPr>
                <w:rFonts w:ascii="宋体" w:hAnsi="宋体"/>
                <w:szCs w:val="21"/>
              </w:rPr>
            </w:pPr>
            <w:r>
              <w:rPr>
                <w:rFonts w:hint="eastAsia" w:ascii="宋体" w:hAnsi="宋体"/>
                <w:szCs w:val="21"/>
              </w:rPr>
              <w:t>6</w:t>
            </w:r>
          </w:p>
        </w:tc>
        <w:tc>
          <w:tcPr>
            <w:tcW w:w="6023" w:type="dxa"/>
            <w:vAlign w:val="center"/>
          </w:tcPr>
          <w:p w14:paraId="29E221DC">
            <w:pPr>
              <w:jc w:val="left"/>
              <w:rPr>
                <w:rFonts w:ascii="宋体" w:hAnsi="宋体" w:cs="宋体"/>
                <w:snapToGrid w:val="0"/>
                <w:kern w:val="0"/>
                <w:szCs w:val="21"/>
              </w:rPr>
            </w:pPr>
            <w:r>
              <w:rPr>
                <w:rFonts w:hint="eastAsia" w:ascii="宋体" w:hAnsi="宋体" w:cs="宋体"/>
                <w:snapToGrid w:val="0"/>
                <w:kern w:val="0"/>
                <w:szCs w:val="21"/>
              </w:rPr>
              <w:t>由同一单位工作人员为两家以上（含两家）供应商进行同一项投标活动。</w:t>
            </w:r>
          </w:p>
        </w:tc>
        <w:tc>
          <w:tcPr>
            <w:tcW w:w="2921" w:type="dxa"/>
            <w:vAlign w:val="center"/>
          </w:tcPr>
          <w:p w14:paraId="4652D30B">
            <w:pPr>
              <w:spacing w:line="360" w:lineRule="exact"/>
              <w:jc w:val="center"/>
              <w:rPr>
                <w:rFonts w:ascii="宋体" w:hAnsi="宋体"/>
                <w:b/>
                <w:szCs w:val="21"/>
              </w:rPr>
            </w:pPr>
          </w:p>
        </w:tc>
        <w:tc>
          <w:tcPr>
            <w:tcW w:w="924" w:type="dxa"/>
            <w:vAlign w:val="center"/>
          </w:tcPr>
          <w:p w14:paraId="047D69F1">
            <w:pPr>
              <w:spacing w:line="360" w:lineRule="exact"/>
              <w:jc w:val="center"/>
              <w:rPr>
                <w:rFonts w:ascii="宋体" w:hAnsi="宋体"/>
                <w:b/>
                <w:szCs w:val="21"/>
              </w:rPr>
            </w:pPr>
          </w:p>
        </w:tc>
      </w:tr>
      <w:tr w14:paraId="4FCC1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vAlign w:val="center"/>
          </w:tcPr>
          <w:p w14:paraId="4AFAFC5D">
            <w:pPr>
              <w:spacing w:line="360" w:lineRule="exact"/>
              <w:jc w:val="center"/>
              <w:rPr>
                <w:rFonts w:ascii="宋体" w:hAnsi="宋体"/>
                <w:szCs w:val="21"/>
              </w:rPr>
            </w:pPr>
            <w:r>
              <w:rPr>
                <w:rFonts w:hint="eastAsia" w:ascii="宋体" w:hAnsi="宋体"/>
                <w:szCs w:val="21"/>
              </w:rPr>
              <w:t>7</w:t>
            </w:r>
          </w:p>
        </w:tc>
        <w:tc>
          <w:tcPr>
            <w:tcW w:w="6023" w:type="dxa"/>
            <w:vAlign w:val="center"/>
          </w:tcPr>
          <w:p w14:paraId="071DC17D">
            <w:pPr>
              <w:jc w:val="left"/>
              <w:rPr>
                <w:rFonts w:ascii="宋体" w:hAnsi="宋体" w:cs="宋体"/>
                <w:snapToGrid w:val="0"/>
                <w:kern w:val="0"/>
                <w:szCs w:val="21"/>
              </w:rPr>
            </w:pPr>
            <w:r>
              <w:rPr>
                <w:rFonts w:hint="eastAsia" w:ascii="宋体" w:hAnsi="宋体" w:cs="宋体"/>
                <w:snapToGrid w:val="0"/>
                <w:kern w:val="0"/>
                <w:szCs w:val="21"/>
              </w:rPr>
              <w:t>不同投标人的投标文件载明的项目管理成员或者联系人员为同一人。</w:t>
            </w:r>
          </w:p>
        </w:tc>
        <w:tc>
          <w:tcPr>
            <w:tcW w:w="2921" w:type="dxa"/>
            <w:vAlign w:val="center"/>
          </w:tcPr>
          <w:p w14:paraId="3E0C1661">
            <w:pPr>
              <w:spacing w:line="360" w:lineRule="exact"/>
              <w:jc w:val="center"/>
              <w:rPr>
                <w:rFonts w:ascii="宋体" w:hAnsi="宋体"/>
                <w:b/>
                <w:szCs w:val="21"/>
              </w:rPr>
            </w:pPr>
          </w:p>
        </w:tc>
        <w:tc>
          <w:tcPr>
            <w:tcW w:w="924" w:type="dxa"/>
            <w:vAlign w:val="center"/>
          </w:tcPr>
          <w:p w14:paraId="4331B7BC">
            <w:pPr>
              <w:spacing w:line="360" w:lineRule="exact"/>
              <w:jc w:val="center"/>
              <w:rPr>
                <w:rFonts w:ascii="宋体" w:hAnsi="宋体"/>
                <w:b/>
                <w:szCs w:val="21"/>
              </w:rPr>
            </w:pPr>
          </w:p>
        </w:tc>
      </w:tr>
      <w:tr w14:paraId="5C2CD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vAlign w:val="center"/>
          </w:tcPr>
          <w:p w14:paraId="39D15363">
            <w:pPr>
              <w:spacing w:line="360" w:lineRule="exact"/>
              <w:jc w:val="center"/>
              <w:rPr>
                <w:rFonts w:ascii="宋体" w:hAnsi="宋体"/>
                <w:szCs w:val="21"/>
              </w:rPr>
            </w:pPr>
            <w:r>
              <w:rPr>
                <w:rFonts w:hint="eastAsia" w:ascii="宋体" w:hAnsi="宋体"/>
                <w:szCs w:val="21"/>
              </w:rPr>
              <w:t>8</w:t>
            </w:r>
          </w:p>
        </w:tc>
        <w:tc>
          <w:tcPr>
            <w:tcW w:w="6023" w:type="dxa"/>
            <w:vAlign w:val="center"/>
          </w:tcPr>
          <w:p w14:paraId="175D6F47">
            <w:pPr>
              <w:jc w:val="left"/>
              <w:rPr>
                <w:rFonts w:ascii="宋体" w:hAnsi="宋体" w:cs="宋体"/>
                <w:snapToGrid w:val="0"/>
                <w:kern w:val="0"/>
                <w:szCs w:val="21"/>
              </w:rPr>
            </w:pPr>
            <w:r>
              <w:rPr>
                <w:rFonts w:hint="eastAsia" w:ascii="宋体" w:hAnsi="宋体" w:cs="宋体"/>
              </w:rPr>
              <w:t>不同投标人的投标报价呈规律性差异。</w:t>
            </w:r>
          </w:p>
        </w:tc>
        <w:tc>
          <w:tcPr>
            <w:tcW w:w="2921" w:type="dxa"/>
            <w:vAlign w:val="center"/>
          </w:tcPr>
          <w:p w14:paraId="6DFFF899">
            <w:pPr>
              <w:spacing w:line="360" w:lineRule="exact"/>
              <w:jc w:val="center"/>
              <w:rPr>
                <w:rFonts w:ascii="宋体" w:hAnsi="宋体"/>
                <w:b/>
                <w:szCs w:val="21"/>
              </w:rPr>
            </w:pPr>
          </w:p>
        </w:tc>
        <w:tc>
          <w:tcPr>
            <w:tcW w:w="924" w:type="dxa"/>
            <w:vAlign w:val="center"/>
          </w:tcPr>
          <w:p w14:paraId="1AA6D82C">
            <w:pPr>
              <w:spacing w:line="360" w:lineRule="exact"/>
              <w:jc w:val="center"/>
              <w:rPr>
                <w:rFonts w:ascii="宋体" w:hAnsi="宋体"/>
                <w:b/>
                <w:szCs w:val="21"/>
              </w:rPr>
            </w:pPr>
          </w:p>
        </w:tc>
      </w:tr>
      <w:tr w14:paraId="66872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vAlign w:val="center"/>
          </w:tcPr>
          <w:p w14:paraId="3BAEEE4F">
            <w:pPr>
              <w:spacing w:line="360" w:lineRule="exact"/>
              <w:jc w:val="center"/>
              <w:rPr>
                <w:rFonts w:ascii="宋体" w:hAnsi="宋体"/>
                <w:szCs w:val="21"/>
              </w:rPr>
            </w:pPr>
            <w:r>
              <w:rPr>
                <w:rFonts w:hint="eastAsia" w:ascii="宋体" w:hAnsi="宋体"/>
                <w:szCs w:val="21"/>
              </w:rPr>
              <w:t>9</w:t>
            </w:r>
          </w:p>
        </w:tc>
        <w:tc>
          <w:tcPr>
            <w:tcW w:w="6023" w:type="dxa"/>
            <w:vAlign w:val="center"/>
          </w:tcPr>
          <w:p w14:paraId="15CF6592">
            <w:pPr>
              <w:jc w:val="left"/>
              <w:rPr>
                <w:rFonts w:ascii="宋体" w:hAnsi="宋体" w:cs="宋体"/>
                <w:snapToGrid w:val="0"/>
                <w:kern w:val="0"/>
                <w:szCs w:val="21"/>
              </w:rPr>
            </w:pPr>
            <w:r>
              <w:rPr>
                <w:rFonts w:hint="eastAsia" w:ascii="宋体" w:hAnsi="宋体" w:cs="宋体"/>
              </w:rPr>
              <w:t>不同投标人的投标保证金从同一单位或者个人的账户转出。</w:t>
            </w:r>
          </w:p>
        </w:tc>
        <w:tc>
          <w:tcPr>
            <w:tcW w:w="2921" w:type="dxa"/>
            <w:vAlign w:val="center"/>
          </w:tcPr>
          <w:p w14:paraId="368F11F5">
            <w:pPr>
              <w:spacing w:line="360" w:lineRule="exact"/>
              <w:jc w:val="center"/>
              <w:rPr>
                <w:rFonts w:ascii="宋体" w:hAnsi="宋体"/>
                <w:b/>
                <w:szCs w:val="21"/>
              </w:rPr>
            </w:pPr>
          </w:p>
        </w:tc>
        <w:tc>
          <w:tcPr>
            <w:tcW w:w="924" w:type="dxa"/>
            <w:vAlign w:val="center"/>
          </w:tcPr>
          <w:p w14:paraId="6F70AA4A">
            <w:pPr>
              <w:spacing w:line="360" w:lineRule="exact"/>
              <w:jc w:val="center"/>
              <w:rPr>
                <w:rFonts w:ascii="宋体" w:hAnsi="宋体"/>
                <w:b/>
                <w:szCs w:val="21"/>
              </w:rPr>
            </w:pPr>
          </w:p>
        </w:tc>
      </w:tr>
      <w:tr w14:paraId="27DE3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06260827">
            <w:pPr>
              <w:spacing w:line="360" w:lineRule="exact"/>
              <w:jc w:val="center"/>
              <w:rPr>
                <w:rFonts w:ascii="宋体" w:hAnsi="宋体"/>
                <w:szCs w:val="21"/>
              </w:rPr>
            </w:pPr>
            <w:r>
              <w:rPr>
                <w:rFonts w:hint="eastAsia" w:ascii="宋体" w:hAnsi="宋体"/>
                <w:szCs w:val="21"/>
              </w:rPr>
              <w:t>10</w:t>
            </w:r>
          </w:p>
        </w:tc>
        <w:tc>
          <w:tcPr>
            <w:tcW w:w="6023" w:type="dxa"/>
            <w:vAlign w:val="center"/>
          </w:tcPr>
          <w:p w14:paraId="285D814A">
            <w:pPr>
              <w:jc w:val="left"/>
              <w:rPr>
                <w:rFonts w:ascii="宋体" w:hAnsi="宋体" w:cs="宋体"/>
                <w:szCs w:val="21"/>
              </w:rPr>
            </w:pPr>
            <w:r>
              <w:rPr>
                <w:rFonts w:hint="eastAsia" w:ascii="宋体" w:hAnsi="宋体"/>
                <w:szCs w:val="21"/>
              </w:rPr>
              <w:t>投标人之间协商投标报价等投标文件的实质性内容。</w:t>
            </w:r>
          </w:p>
        </w:tc>
        <w:tc>
          <w:tcPr>
            <w:tcW w:w="2921" w:type="dxa"/>
            <w:vAlign w:val="center"/>
          </w:tcPr>
          <w:p w14:paraId="095CDEAB">
            <w:pPr>
              <w:spacing w:line="360" w:lineRule="exact"/>
              <w:jc w:val="center"/>
              <w:rPr>
                <w:rFonts w:ascii="宋体" w:hAnsi="宋体"/>
                <w:b/>
                <w:szCs w:val="21"/>
              </w:rPr>
            </w:pPr>
          </w:p>
        </w:tc>
        <w:tc>
          <w:tcPr>
            <w:tcW w:w="924" w:type="dxa"/>
            <w:vAlign w:val="center"/>
          </w:tcPr>
          <w:p w14:paraId="26604C44">
            <w:pPr>
              <w:spacing w:line="360" w:lineRule="exact"/>
              <w:jc w:val="center"/>
              <w:rPr>
                <w:rFonts w:ascii="宋体" w:hAnsi="宋体"/>
                <w:b/>
                <w:szCs w:val="21"/>
              </w:rPr>
            </w:pPr>
          </w:p>
        </w:tc>
      </w:tr>
      <w:tr w14:paraId="3B4D7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7A412EEB">
            <w:pPr>
              <w:spacing w:line="360" w:lineRule="exact"/>
              <w:jc w:val="center"/>
              <w:rPr>
                <w:rFonts w:ascii="宋体" w:hAnsi="宋体"/>
                <w:szCs w:val="21"/>
              </w:rPr>
            </w:pPr>
            <w:r>
              <w:rPr>
                <w:rFonts w:hint="eastAsia" w:ascii="宋体" w:hAnsi="宋体"/>
                <w:szCs w:val="21"/>
              </w:rPr>
              <w:t>11</w:t>
            </w:r>
          </w:p>
        </w:tc>
        <w:tc>
          <w:tcPr>
            <w:tcW w:w="6023" w:type="dxa"/>
            <w:vAlign w:val="center"/>
          </w:tcPr>
          <w:p w14:paraId="05103225">
            <w:pPr>
              <w:jc w:val="left"/>
              <w:rPr>
                <w:rFonts w:ascii="宋体" w:hAnsi="宋体" w:cs="宋体"/>
                <w:szCs w:val="21"/>
              </w:rPr>
            </w:pPr>
            <w:r>
              <w:rPr>
                <w:rFonts w:hint="eastAsia" w:ascii="宋体" w:hAnsi="宋体"/>
                <w:szCs w:val="21"/>
              </w:rPr>
              <w:t>投标人之间约定中标人。</w:t>
            </w:r>
          </w:p>
        </w:tc>
        <w:tc>
          <w:tcPr>
            <w:tcW w:w="2921" w:type="dxa"/>
            <w:vAlign w:val="center"/>
          </w:tcPr>
          <w:p w14:paraId="2FF5DEF2">
            <w:pPr>
              <w:spacing w:line="360" w:lineRule="exact"/>
              <w:jc w:val="center"/>
              <w:rPr>
                <w:rFonts w:ascii="宋体" w:hAnsi="宋体"/>
                <w:b/>
                <w:szCs w:val="21"/>
              </w:rPr>
            </w:pPr>
          </w:p>
        </w:tc>
        <w:tc>
          <w:tcPr>
            <w:tcW w:w="924" w:type="dxa"/>
            <w:vAlign w:val="center"/>
          </w:tcPr>
          <w:p w14:paraId="7957C136">
            <w:pPr>
              <w:spacing w:line="360" w:lineRule="exact"/>
              <w:jc w:val="center"/>
              <w:rPr>
                <w:rFonts w:ascii="宋体" w:hAnsi="宋体"/>
                <w:b/>
                <w:szCs w:val="21"/>
              </w:rPr>
            </w:pPr>
          </w:p>
        </w:tc>
      </w:tr>
      <w:tr w14:paraId="76F72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4CB559A3">
            <w:pPr>
              <w:spacing w:line="360" w:lineRule="exact"/>
              <w:jc w:val="center"/>
              <w:rPr>
                <w:rFonts w:ascii="宋体" w:hAnsi="宋体"/>
                <w:szCs w:val="21"/>
              </w:rPr>
            </w:pPr>
            <w:r>
              <w:rPr>
                <w:rFonts w:hint="eastAsia" w:ascii="宋体" w:hAnsi="宋体"/>
                <w:szCs w:val="21"/>
              </w:rPr>
              <w:t>12</w:t>
            </w:r>
          </w:p>
        </w:tc>
        <w:tc>
          <w:tcPr>
            <w:tcW w:w="6023" w:type="dxa"/>
            <w:vAlign w:val="center"/>
          </w:tcPr>
          <w:p w14:paraId="0BC169CE">
            <w:pPr>
              <w:jc w:val="left"/>
              <w:rPr>
                <w:rFonts w:ascii="宋体" w:hAnsi="宋体" w:cs="宋体"/>
                <w:szCs w:val="21"/>
              </w:rPr>
            </w:pPr>
            <w:r>
              <w:rPr>
                <w:rFonts w:hint="eastAsia" w:ascii="宋体" w:hAnsi="宋体"/>
                <w:szCs w:val="21"/>
              </w:rPr>
              <w:t>投标人之间约定部分投标人放弃投标或者中标。</w:t>
            </w:r>
          </w:p>
        </w:tc>
        <w:tc>
          <w:tcPr>
            <w:tcW w:w="2921" w:type="dxa"/>
            <w:vAlign w:val="center"/>
          </w:tcPr>
          <w:p w14:paraId="1A3B257E">
            <w:pPr>
              <w:spacing w:line="360" w:lineRule="exact"/>
              <w:jc w:val="center"/>
              <w:rPr>
                <w:rFonts w:ascii="宋体" w:hAnsi="宋体"/>
                <w:b/>
                <w:szCs w:val="21"/>
              </w:rPr>
            </w:pPr>
          </w:p>
        </w:tc>
        <w:tc>
          <w:tcPr>
            <w:tcW w:w="924" w:type="dxa"/>
            <w:vAlign w:val="center"/>
          </w:tcPr>
          <w:p w14:paraId="03C4D812">
            <w:pPr>
              <w:spacing w:line="360" w:lineRule="exact"/>
              <w:jc w:val="center"/>
              <w:rPr>
                <w:rFonts w:ascii="宋体" w:hAnsi="宋体"/>
                <w:b/>
                <w:szCs w:val="21"/>
              </w:rPr>
            </w:pPr>
          </w:p>
        </w:tc>
      </w:tr>
      <w:tr w14:paraId="45C58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4FC3A6CA">
            <w:pPr>
              <w:spacing w:line="360" w:lineRule="exact"/>
              <w:jc w:val="center"/>
              <w:rPr>
                <w:rFonts w:ascii="宋体" w:hAnsi="宋体"/>
                <w:szCs w:val="21"/>
              </w:rPr>
            </w:pPr>
            <w:r>
              <w:rPr>
                <w:rFonts w:hint="eastAsia" w:ascii="宋体" w:hAnsi="宋体"/>
                <w:szCs w:val="21"/>
              </w:rPr>
              <w:t>13</w:t>
            </w:r>
          </w:p>
        </w:tc>
        <w:tc>
          <w:tcPr>
            <w:tcW w:w="6023" w:type="dxa"/>
            <w:vAlign w:val="center"/>
          </w:tcPr>
          <w:p w14:paraId="06501B45">
            <w:pPr>
              <w:jc w:val="left"/>
              <w:rPr>
                <w:rFonts w:ascii="宋体" w:hAnsi="宋体" w:cs="宋体"/>
                <w:szCs w:val="21"/>
              </w:rPr>
            </w:pPr>
            <w:r>
              <w:rPr>
                <w:rFonts w:hint="eastAsia" w:ascii="宋体" w:hAnsi="宋体"/>
                <w:szCs w:val="21"/>
              </w:rPr>
              <w:t>属于同一集团、协会、商会等组织成员的投标人按照该组织要求协同投标。</w:t>
            </w:r>
          </w:p>
        </w:tc>
        <w:tc>
          <w:tcPr>
            <w:tcW w:w="2921" w:type="dxa"/>
            <w:vAlign w:val="center"/>
          </w:tcPr>
          <w:p w14:paraId="287B0450">
            <w:pPr>
              <w:spacing w:line="360" w:lineRule="exact"/>
              <w:jc w:val="center"/>
              <w:rPr>
                <w:rFonts w:ascii="宋体" w:hAnsi="宋体"/>
                <w:b/>
                <w:szCs w:val="21"/>
              </w:rPr>
            </w:pPr>
          </w:p>
        </w:tc>
        <w:tc>
          <w:tcPr>
            <w:tcW w:w="924" w:type="dxa"/>
            <w:vAlign w:val="center"/>
          </w:tcPr>
          <w:p w14:paraId="46073152">
            <w:pPr>
              <w:spacing w:line="360" w:lineRule="exact"/>
              <w:jc w:val="center"/>
              <w:rPr>
                <w:rFonts w:ascii="宋体" w:hAnsi="宋体"/>
                <w:b/>
                <w:szCs w:val="21"/>
              </w:rPr>
            </w:pPr>
          </w:p>
        </w:tc>
      </w:tr>
      <w:tr w14:paraId="431F2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13897744">
            <w:pPr>
              <w:spacing w:line="360" w:lineRule="exact"/>
              <w:jc w:val="center"/>
              <w:rPr>
                <w:rFonts w:ascii="宋体" w:hAnsi="宋体"/>
                <w:szCs w:val="21"/>
              </w:rPr>
            </w:pPr>
            <w:r>
              <w:rPr>
                <w:rFonts w:hint="eastAsia" w:ascii="宋体" w:hAnsi="宋体"/>
                <w:szCs w:val="21"/>
              </w:rPr>
              <w:t>14</w:t>
            </w:r>
          </w:p>
        </w:tc>
        <w:tc>
          <w:tcPr>
            <w:tcW w:w="6023" w:type="dxa"/>
            <w:vAlign w:val="center"/>
          </w:tcPr>
          <w:p w14:paraId="0E72E663">
            <w:pPr>
              <w:jc w:val="left"/>
              <w:rPr>
                <w:rFonts w:ascii="宋体" w:hAnsi="宋体" w:cs="宋体"/>
                <w:szCs w:val="21"/>
              </w:rPr>
            </w:pPr>
            <w:r>
              <w:rPr>
                <w:rFonts w:hint="eastAsia" w:ascii="宋体" w:hAnsi="宋体"/>
                <w:szCs w:val="21"/>
              </w:rPr>
              <w:t>投标人之间为谋取中标或者排斥特定投标人而采取的其他联合行动。</w:t>
            </w:r>
          </w:p>
        </w:tc>
        <w:tc>
          <w:tcPr>
            <w:tcW w:w="2921" w:type="dxa"/>
            <w:vAlign w:val="center"/>
          </w:tcPr>
          <w:p w14:paraId="1166C423">
            <w:pPr>
              <w:spacing w:line="360" w:lineRule="exact"/>
              <w:jc w:val="center"/>
              <w:rPr>
                <w:rFonts w:ascii="宋体" w:hAnsi="宋体"/>
                <w:b/>
                <w:szCs w:val="21"/>
              </w:rPr>
            </w:pPr>
          </w:p>
        </w:tc>
        <w:tc>
          <w:tcPr>
            <w:tcW w:w="924" w:type="dxa"/>
            <w:vAlign w:val="center"/>
          </w:tcPr>
          <w:p w14:paraId="594C4E25">
            <w:pPr>
              <w:spacing w:line="360" w:lineRule="exact"/>
              <w:jc w:val="center"/>
              <w:rPr>
                <w:rFonts w:ascii="宋体" w:hAnsi="宋体"/>
                <w:b/>
                <w:szCs w:val="21"/>
              </w:rPr>
            </w:pPr>
          </w:p>
        </w:tc>
      </w:tr>
      <w:tr w14:paraId="20C7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0741C05D">
            <w:pPr>
              <w:spacing w:line="360" w:lineRule="exact"/>
              <w:jc w:val="center"/>
              <w:rPr>
                <w:rFonts w:ascii="宋体" w:hAnsi="宋体"/>
                <w:szCs w:val="21"/>
              </w:rPr>
            </w:pPr>
            <w:r>
              <w:rPr>
                <w:rFonts w:hint="eastAsia" w:ascii="宋体" w:hAnsi="宋体"/>
                <w:szCs w:val="21"/>
              </w:rPr>
              <w:t>15</w:t>
            </w:r>
          </w:p>
        </w:tc>
        <w:tc>
          <w:tcPr>
            <w:tcW w:w="6023" w:type="dxa"/>
            <w:vAlign w:val="center"/>
          </w:tcPr>
          <w:p w14:paraId="475021E1">
            <w:pPr>
              <w:jc w:val="left"/>
              <w:rPr>
                <w:rFonts w:ascii="宋体" w:hAnsi="宋体" w:cs="宋体"/>
                <w:szCs w:val="21"/>
              </w:rPr>
            </w:pPr>
            <w:r>
              <w:rPr>
                <w:rFonts w:hint="eastAsia" w:ascii="宋体" w:hAnsi="宋体"/>
                <w:snapToGrid w:val="0"/>
              </w:rPr>
              <w:t>其他与政府采购活动参加人串通投标的</w:t>
            </w:r>
            <w:r>
              <w:rPr>
                <w:rFonts w:hint="eastAsia" w:ascii="宋体" w:hAnsi="宋体" w:cs="宋体"/>
                <w:szCs w:val="21"/>
              </w:rPr>
              <w:t>行为。</w:t>
            </w:r>
          </w:p>
        </w:tc>
        <w:tc>
          <w:tcPr>
            <w:tcW w:w="2921" w:type="dxa"/>
            <w:vAlign w:val="center"/>
          </w:tcPr>
          <w:p w14:paraId="22CCE3FD">
            <w:pPr>
              <w:spacing w:line="360" w:lineRule="exact"/>
              <w:jc w:val="center"/>
              <w:rPr>
                <w:rFonts w:ascii="宋体" w:hAnsi="宋体"/>
                <w:b/>
                <w:szCs w:val="21"/>
              </w:rPr>
            </w:pPr>
          </w:p>
        </w:tc>
        <w:tc>
          <w:tcPr>
            <w:tcW w:w="924" w:type="dxa"/>
            <w:vAlign w:val="center"/>
          </w:tcPr>
          <w:p w14:paraId="14A7D20D">
            <w:pPr>
              <w:spacing w:line="360" w:lineRule="exact"/>
              <w:jc w:val="center"/>
              <w:rPr>
                <w:rFonts w:ascii="宋体" w:hAnsi="宋体"/>
                <w:b/>
                <w:szCs w:val="21"/>
              </w:rPr>
            </w:pPr>
          </w:p>
        </w:tc>
      </w:tr>
      <w:tr w14:paraId="15B4A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01BF94FD">
            <w:pPr>
              <w:spacing w:line="360" w:lineRule="exact"/>
              <w:jc w:val="center"/>
              <w:rPr>
                <w:rFonts w:ascii="宋体" w:hAnsi="宋体"/>
                <w:szCs w:val="21"/>
              </w:rPr>
            </w:pPr>
            <w:r>
              <w:rPr>
                <w:rFonts w:hint="eastAsia" w:ascii="宋体" w:hAnsi="宋体"/>
                <w:szCs w:val="21"/>
              </w:rPr>
              <w:t>16</w:t>
            </w:r>
          </w:p>
        </w:tc>
        <w:tc>
          <w:tcPr>
            <w:tcW w:w="6023" w:type="dxa"/>
            <w:vAlign w:val="center"/>
          </w:tcPr>
          <w:p w14:paraId="14B2977F">
            <w:pPr>
              <w:jc w:val="left"/>
              <w:rPr>
                <w:rFonts w:ascii="宋体" w:hAnsi="宋体" w:cs="宋体"/>
                <w:snapToGrid w:val="0"/>
                <w:kern w:val="0"/>
                <w:szCs w:val="21"/>
              </w:rPr>
            </w:pPr>
            <w:r>
              <w:rPr>
                <w:rFonts w:hint="eastAsia" w:ascii="宋体" w:hAnsi="宋体" w:cs="宋体"/>
                <w:szCs w:val="21"/>
              </w:rPr>
              <w:t>通过转让或者租借等方式从其他单位获取资格或者资质证书投标。</w:t>
            </w:r>
          </w:p>
        </w:tc>
        <w:tc>
          <w:tcPr>
            <w:tcW w:w="2921" w:type="dxa"/>
            <w:vAlign w:val="center"/>
          </w:tcPr>
          <w:p w14:paraId="1C8773E8">
            <w:pPr>
              <w:spacing w:line="360" w:lineRule="exact"/>
              <w:jc w:val="center"/>
              <w:rPr>
                <w:rFonts w:ascii="宋体" w:hAnsi="宋体"/>
                <w:b/>
                <w:szCs w:val="21"/>
              </w:rPr>
            </w:pPr>
          </w:p>
        </w:tc>
        <w:tc>
          <w:tcPr>
            <w:tcW w:w="924" w:type="dxa"/>
            <w:vAlign w:val="center"/>
          </w:tcPr>
          <w:p w14:paraId="17E89C1A">
            <w:pPr>
              <w:spacing w:line="360" w:lineRule="exact"/>
              <w:jc w:val="center"/>
              <w:rPr>
                <w:rFonts w:ascii="宋体" w:hAnsi="宋体"/>
                <w:b/>
                <w:szCs w:val="21"/>
              </w:rPr>
            </w:pPr>
          </w:p>
        </w:tc>
      </w:tr>
      <w:tr w14:paraId="2BB1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vAlign w:val="center"/>
          </w:tcPr>
          <w:p w14:paraId="4E8902B7">
            <w:pPr>
              <w:spacing w:line="360" w:lineRule="exact"/>
              <w:jc w:val="center"/>
              <w:rPr>
                <w:rFonts w:ascii="宋体" w:hAnsi="宋体"/>
                <w:szCs w:val="21"/>
              </w:rPr>
            </w:pPr>
            <w:r>
              <w:rPr>
                <w:rFonts w:hint="eastAsia" w:ascii="宋体" w:hAnsi="宋体"/>
                <w:szCs w:val="21"/>
              </w:rPr>
              <w:t>17</w:t>
            </w:r>
          </w:p>
        </w:tc>
        <w:tc>
          <w:tcPr>
            <w:tcW w:w="6023" w:type="dxa"/>
            <w:vAlign w:val="center"/>
          </w:tcPr>
          <w:p w14:paraId="3F662EB4">
            <w:pPr>
              <w:jc w:val="left"/>
              <w:rPr>
                <w:rFonts w:ascii="宋体" w:hAnsi="宋体" w:cs="宋体"/>
                <w:snapToGrid w:val="0"/>
                <w:kern w:val="0"/>
                <w:szCs w:val="21"/>
              </w:rPr>
            </w:pPr>
            <w:r>
              <w:rPr>
                <w:rFonts w:hint="eastAsia" w:ascii="宋体" w:hAnsi="宋体" w:cs="宋体"/>
                <w:szCs w:val="21"/>
              </w:rPr>
              <w:t>由其他单位或者其他单位负责人在投标供应商编制的投标文件上加盖印章或者签字。</w:t>
            </w:r>
          </w:p>
        </w:tc>
        <w:tc>
          <w:tcPr>
            <w:tcW w:w="2921" w:type="dxa"/>
            <w:vAlign w:val="center"/>
          </w:tcPr>
          <w:p w14:paraId="773BA08A">
            <w:pPr>
              <w:spacing w:line="360" w:lineRule="exact"/>
              <w:jc w:val="center"/>
              <w:rPr>
                <w:rFonts w:ascii="宋体" w:hAnsi="宋体"/>
                <w:b/>
                <w:szCs w:val="21"/>
              </w:rPr>
            </w:pPr>
          </w:p>
        </w:tc>
        <w:tc>
          <w:tcPr>
            <w:tcW w:w="924" w:type="dxa"/>
            <w:vAlign w:val="center"/>
          </w:tcPr>
          <w:p w14:paraId="132FF051">
            <w:pPr>
              <w:spacing w:line="360" w:lineRule="exact"/>
              <w:jc w:val="center"/>
              <w:rPr>
                <w:rFonts w:ascii="宋体" w:hAnsi="宋体"/>
                <w:b/>
                <w:szCs w:val="21"/>
              </w:rPr>
            </w:pPr>
          </w:p>
        </w:tc>
      </w:tr>
      <w:tr w14:paraId="154A5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2BD01FCF">
            <w:pPr>
              <w:spacing w:line="360" w:lineRule="exact"/>
              <w:jc w:val="center"/>
              <w:rPr>
                <w:rFonts w:ascii="宋体" w:hAnsi="宋体"/>
                <w:szCs w:val="21"/>
              </w:rPr>
            </w:pPr>
            <w:r>
              <w:rPr>
                <w:rFonts w:hint="eastAsia" w:ascii="宋体" w:hAnsi="宋体"/>
                <w:szCs w:val="21"/>
              </w:rPr>
              <w:t>18</w:t>
            </w:r>
          </w:p>
        </w:tc>
        <w:tc>
          <w:tcPr>
            <w:tcW w:w="6023" w:type="dxa"/>
            <w:vAlign w:val="center"/>
          </w:tcPr>
          <w:p w14:paraId="6827FDD2">
            <w:pPr>
              <w:jc w:val="left"/>
              <w:rPr>
                <w:rFonts w:ascii="宋体" w:hAnsi="宋体" w:cs="宋体"/>
                <w:snapToGrid w:val="0"/>
                <w:kern w:val="0"/>
                <w:szCs w:val="21"/>
              </w:rPr>
            </w:pPr>
            <w:r>
              <w:rPr>
                <w:rFonts w:hint="eastAsia" w:ascii="宋体" w:hAnsi="宋体" w:cs="宋体"/>
                <w:szCs w:val="21"/>
              </w:rPr>
              <w:t>项目负责人或者主要技术人员不是本单位人员，不能提供项目负责人或者主要技术人员的劳动合同、社会保险等劳动关系证明材料。</w:t>
            </w:r>
          </w:p>
        </w:tc>
        <w:tc>
          <w:tcPr>
            <w:tcW w:w="2921" w:type="dxa"/>
            <w:vAlign w:val="center"/>
          </w:tcPr>
          <w:p w14:paraId="41BE1D75">
            <w:pPr>
              <w:spacing w:line="360" w:lineRule="exact"/>
              <w:jc w:val="center"/>
              <w:rPr>
                <w:rFonts w:ascii="宋体" w:hAnsi="宋体"/>
                <w:b/>
                <w:szCs w:val="21"/>
              </w:rPr>
            </w:pPr>
          </w:p>
        </w:tc>
        <w:tc>
          <w:tcPr>
            <w:tcW w:w="924" w:type="dxa"/>
            <w:vAlign w:val="center"/>
          </w:tcPr>
          <w:p w14:paraId="1CB31A78">
            <w:pPr>
              <w:spacing w:line="360" w:lineRule="exact"/>
              <w:jc w:val="center"/>
              <w:rPr>
                <w:rFonts w:ascii="宋体" w:hAnsi="宋体"/>
                <w:b/>
                <w:szCs w:val="21"/>
              </w:rPr>
            </w:pPr>
          </w:p>
        </w:tc>
      </w:tr>
      <w:tr w14:paraId="74F9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vAlign w:val="center"/>
          </w:tcPr>
          <w:p w14:paraId="562310B9">
            <w:pPr>
              <w:spacing w:line="360" w:lineRule="exact"/>
              <w:jc w:val="center"/>
              <w:rPr>
                <w:rFonts w:ascii="宋体" w:hAnsi="宋体"/>
                <w:szCs w:val="21"/>
              </w:rPr>
            </w:pPr>
            <w:r>
              <w:rPr>
                <w:rFonts w:hint="eastAsia" w:ascii="宋体" w:hAnsi="宋体"/>
                <w:szCs w:val="21"/>
              </w:rPr>
              <w:t>19</w:t>
            </w:r>
          </w:p>
        </w:tc>
        <w:tc>
          <w:tcPr>
            <w:tcW w:w="6023" w:type="dxa"/>
            <w:vAlign w:val="center"/>
          </w:tcPr>
          <w:p w14:paraId="46DA6E64">
            <w:pPr>
              <w:jc w:val="left"/>
              <w:rPr>
                <w:rFonts w:ascii="宋体" w:hAnsi="宋体" w:cs="宋体"/>
                <w:snapToGrid w:val="0"/>
                <w:kern w:val="0"/>
                <w:szCs w:val="21"/>
              </w:rPr>
            </w:pPr>
            <w:r>
              <w:rPr>
                <w:rFonts w:hint="eastAsia" w:ascii="宋体" w:hAnsi="宋体" w:cs="宋体"/>
                <w:szCs w:val="21"/>
              </w:rPr>
              <w:t>投标保证金不是从投标供应商基本账户转出。</w:t>
            </w:r>
          </w:p>
        </w:tc>
        <w:tc>
          <w:tcPr>
            <w:tcW w:w="2921" w:type="dxa"/>
            <w:vAlign w:val="center"/>
          </w:tcPr>
          <w:p w14:paraId="43D786BD">
            <w:pPr>
              <w:spacing w:line="360" w:lineRule="exact"/>
              <w:jc w:val="center"/>
              <w:rPr>
                <w:rFonts w:ascii="宋体" w:hAnsi="宋体"/>
                <w:b/>
                <w:szCs w:val="21"/>
              </w:rPr>
            </w:pPr>
          </w:p>
        </w:tc>
        <w:tc>
          <w:tcPr>
            <w:tcW w:w="924" w:type="dxa"/>
            <w:vAlign w:val="center"/>
          </w:tcPr>
          <w:p w14:paraId="74E8B782">
            <w:pPr>
              <w:spacing w:line="360" w:lineRule="exact"/>
              <w:jc w:val="center"/>
              <w:rPr>
                <w:rFonts w:ascii="宋体" w:hAnsi="宋体"/>
                <w:b/>
                <w:szCs w:val="21"/>
              </w:rPr>
            </w:pPr>
          </w:p>
        </w:tc>
      </w:tr>
      <w:tr w14:paraId="2C8A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vAlign w:val="center"/>
          </w:tcPr>
          <w:p w14:paraId="0547817A">
            <w:pPr>
              <w:spacing w:line="360" w:lineRule="exact"/>
              <w:jc w:val="center"/>
              <w:rPr>
                <w:rFonts w:ascii="宋体" w:hAnsi="宋体"/>
                <w:szCs w:val="21"/>
              </w:rPr>
            </w:pPr>
            <w:r>
              <w:rPr>
                <w:rFonts w:hint="eastAsia" w:ascii="宋体" w:hAnsi="宋体"/>
                <w:szCs w:val="21"/>
              </w:rPr>
              <w:t>20</w:t>
            </w:r>
          </w:p>
        </w:tc>
        <w:tc>
          <w:tcPr>
            <w:tcW w:w="6023" w:type="dxa"/>
            <w:vAlign w:val="center"/>
          </w:tcPr>
          <w:p w14:paraId="19324C8A">
            <w:pPr>
              <w:jc w:val="left"/>
              <w:rPr>
                <w:rFonts w:ascii="宋体" w:hAnsi="宋体" w:cs="宋体"/>
                <w:snapToGrid w:val="0"/>
                <w:kern w:val="0"/>
                <w:szCs w:val="21"/>
              </w:rPr>
            </w:pPr>
            <w:r>
              <w:rPr>
                <w:szCs w:val="21"/>
              </w:rPr>
              <w:t>其他隐瞒真实情况、提供虚假资料的行为。</w:t>
            </w:r>
          </w:p>
        </w:tc>
        <w:tc>
          <w:tcPr>
            <w:tcW w:w="2921" w:type="dxa"/>
            <w:vAlign w:val="center"/>
          </w:tcPr>
          <w:p w14:paraId="186392A2">
            <w:pPr>
              <w:spacing w:line="360" w:lineRule="exact"/>
              <w:jc w:val="center"/>
              <w:rPr>
                <w:rFonts w:ascii="宋体" w:hAnsi="宋体"/>
                <w:b/>
                <w:szCs w:val="21"/>
              </w:rPr>
            </w:pPr>
          </w:p>
        </w:tc>
        <w:tc>
          <w:tcPr>
            <w:tcW w:w="924" w:type="dxa"/>
            <w:vAlign w:val="center"/>
          </w:tcPr>
          <w:p w14:paraId="45E260A0">
            <w:pPr>
              <w:spacing w:line="360" w:lineRule="exact"/>
              <w:jc w:val="center"/>
              <w:rPr>
                <w:rFonts w:ascii="宋体" w:hAnsi="宋体"/>
                <w:b/>
                <w:szCs w:val="21"/>
              </w:rPr>
            </w:pPr>
          </w:p>
        </w:tc>
      </w:tr>
    </w:tbl>
    <w:p w14:paraId="39A2A309">
      <w:pPr>
        <w:spacing w:line="360" w:lineRule="auto"/>
        <w:jc w:val="left"/>
        <w:rPr>
          <w:rFonts w:ascii="宋体" w:hAnsi="宋体" w:cs="宋体"/>
          <w:szCs w:val="21"/>
        </w:rPr>
      </w:pPr>
      <w:r>
        <w:rPr>
          <w:rFonts w:hint="eastAsia" w:ascii="宋体" w:hAnsi="宋体" w:cs="宋体"/>
          <w:szCs w:val="21"/>
        </w:rPr>
        <w:t>注：投标（响应）供应商出现上述与其他采购参加人串通投标、隐瞒真实情况或提供虚假资料行为的，将依法承担法律责任。</w:t>
      </w:r>
    </w:p>
    <w:p w14:paraId="1893E0FB">
      <w:pPr>
        <w:pStyle w:val="4"/>
        <w:spacing w:line="400" w:lineRule="exact"/>
        <w:rPr>
          <w:rFonts w:ascii="仿宋" w:hAnsi="仿宋" w:eastAsia="仿宋"/>
        </w:rPr>
      </w:pPr>
    </w:p>
    <w:p w14:paraId="42FE5237">
      <w:pPr>
        <w:rPr>
          <w:rFonts w:ascii="仿宋" w:hAnsi="仿宋" w:eastAsia="仿宋"/>
        </w:rPr>
      </w:pPr>
      <w:r>
        <w:rPr>
          <w:rFonts w:hint="eastAsia" w:ascii="仿宋" w:hAnsi="仿宋" w:eastAsia="仿宋"/>
        </w:rPr>
        <w:br w:type="page"/>
      </w:r>
    </w:p>
    <w:p w14:paraId="5719E21F">
      <w:pPr>
        <w:pStyle w:val="4"/>
        <w:spacing w:line="400" w:lineRule="exact"/>
        <w:rPr>
          <w:rFonts w:ascii="仿宋" w:hAnsi="仿宋" w:eastAsia="仿宋"/>
        </w:rPr>
      </w:pPr>
    </w:p>
    <w:p w14:paraId="538347B6">
      <w:pPr>
        <w:pStyle w:val="4"/>
        <w:spacing w:line="400" w:lineRule="exact"/>
        <w:rPr>
          <w:rFonts w:ascii="仿宋" w:hAnsi="仿宋" w:eastAsia="仿宋"/>
        </w:rPr>
      </w:pPr>
      <w:r>
        <w:rPr>
          <w:rFonts w:hint="eastAsia" w:ascii="仿宋" w:hAnsi="仿宋" w:eastAsia="仿宋"/>
        </w:rPr>
        <w:t>供应商基本情况表</w:t>
      </w:r>
    </w:p>
    <w:p w14:paraId="42E8D074">
      <w:pPr>
        <w:spacing w:before="157" w:line="198" w:lineRule="auto"/>
        <w:ind w:left="126" w:right="-21" w:rightChars="-10"/>
        <w:jc w:val="center"/>
        <w:rPr>
          <w:rFonts w:ascii="宋体" w:hAnsi="宋体" w:cs="宋体"/>
          <w:szCs w:val="21"/>
        </w:rPr>
      </w:pPr>
      <w:r>
        <w:rPr>
          <w:rFonts w:hint="eastAsia" w:ascii="宋体" w:hAnsi="宋体" w:cs="宋体"/>
          <w:szCs w:val="21"/>
        </w:rPr>
        <w:t>填表单位：（加盖单位公章）       填表日期：年   月   日</w:t>
      </w:r>
    </w:p>
    <w:p w14:paraId="5BB53C7A">
      <w:pPr>
        <w:spacing w:line="75" w:lineRule="exact"/>
        <w:rPr>
          <w:rFonts w:ascii="宋体" w:hAnsi="宋体" w:cs="宋体"/>
          <w:szCs w:val="21"/>
        </w:rPr>
      </w:pPr>
    </w:p>
    <w:tbl>
      <w:tblPr>
        <w:tblStyle w:val="510"/>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6FBFA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tcPr>
          <w:p w14:paraId="4026E4A7">
            <w:pPr>
              <w:pStyle w:val="509"/>
              <w:spacing w:before="180" w:line="203" w:lineRule="auto"/>
              <w:ind w:left="359"/>
              <w:rPr>
                <w:rFonts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7036988A">
            <w:pPr>
              <w:jc w:val="center"/>
              <w:rPr>
                <w:rFonts w:ascii="宋体" w:hAnsi="宋体" w:cs="宋体"/>
                <w:szCs w:val="21"/>
              </w:rPr>
            </w:pPr>
          </w:p>
        </w:tc>
        <w:tc>
          <w:tcPr>
            <w:tcW w:w="1990" w:type="dxa"/>
            <w:gridSpan w:val="2"/>
          </w:tcPr>
          <w:p w14:paraId="4128F195">
            <w:pPr>
              <w:pStyle w:val="509"/>
              <w:spacing w:before="181" w:line="201" w:lineRule="auto"/>
              <w:ind w:left="527"/>
              <w:rPr>
                <w:rFonts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3B0B6F94">
            <w:pPr>
              <w:jc w:val="center"/>
              <w:rPr>
                <w:rFonts w:ascii="宋体" w:hAnsi="宋体" w:cs="宋体"/>
                <w:szCs w:val="21"/>
              </w:rPr>
            </w:pPr>
          </w:p>
        </w:tc>
      </w:tr>
      <w:tr w14:paraId="6910F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tcPr>
          <w:p w14:paraId="159967E0">
            <w:pPr>
              <w:pStyle w:val="509"/>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vAlign w:val="center"/>
          </w:tcPr>
          <w:p w14:paraId="333DEC7E">
            <w:pPr>
              <w:widowControl/>
              <w:kinsoku w:val="0"/>
              <w:autoSpaceDE w:val="0"/>
              <w:autoSpaceDN w:val="0"/>
              <w:adjustRightInd w:val="0"/>
              <w:snapToGrid w:val="0"/>
              <w:spacing w:line="360" w:lineRule="exact"/>
              <w:jc w:val="center"/>
              <w:textAlignment w:val="baseline"/>
              <w:rPr>
                <w:rFonts w:ascii="宋体" w:hAnsi="宋体" w:cs="宋体"/>
                <w:szCs w:val="21"/>
              </w:rPr>
            </w:pPr>
          </w:p>
        </w:tc>
        <w:tc>
          <w:tcPr>
            <w:tcW w:w="1990" w:type="dxa"/>
            <w:gridSpan w:val="2"/>
          </w:tcPr>
          <w:p w14:paraId="216CA93C">
            <w:pPr>
              <w:pStyle w:val="509"/>
              <w:widowControl/>
              <w:kinsoku w:val="0"/>
              <w:autoSpaceDE w:val="0"/>
              <w:autoSpaceDN w:val="0"/>
              <w:adjustRightInd w:val="0"/>
              <w:snapToGrid w:val="0"/>
              <w:spacing w:before="40" w:line="360" w:lineRule="exact"/>
              <w:ind w:left="527" w:right="152" w:hanging="362"/>
              <w:textAlignment w:val="baseline"/>
              <w:rPr>
                <w:rFonts w:ascii="宋体" w:hAnsi="宋体" w:eastAsia="宋体" w:cs="宋体"/>
                <w:sz w:val="21"/>
                <w:szCs w:val="21"/>
                <w:lang w:eastAsia="zh-CN"/>
              </w:rPr>
            </w:pPr>
            <w:r>
              <w:rPr>
                <w:rFonts w:hint="eastAsia" w:ascii="宋体" w:hAnsi="宋体" w:eastAsia="宋体" w:cs="宋体"/>
                <w:spacing w:val="-2"/>
                <w:sz w:val="21"/>
                <w:szCs w:val="21"/>
                <w:lang w:eastAsia="zh-CN"/>
              </w:rPr>
              <w:t>供应商统一社会</w:t>
            </w:r>
            <w:r>
              <w:rPr>
                <w:rFonts w:hint="eastAsia" w:ascii="宋体" w:hAnsi="宋体" w:eastAsia="宋体" w:cs="宋体"/>
                <w:spacing w:val="-3"/>
                <w:sz w:val="21"/>
                <w:szCs w:val="21"/>
                <w:lang w:eastAsia="zh-CN"/>
              </w:rPr>
              <w:t>信用代码</w:t>
            </w:r>
          </w:p>
        </w:tc>
        <w:tc>
          <w:tcPr>
            <w:tcW w:w="2988" w:type="dxa"/>
            <w:gridSpan w:val="2"/>
            <w:vAlign w:val="center"/>
          </w:tcPr>
          <w:p w14:paraId="536C7BA5">
            <w:pPr>
              <w:widowControl/>
              <w:kinsoku w:val="0"/>
              <w:autoSpaceDE w:val="0"/>
              <w:autoSpaceDN w:val="0"/>
              <w:adjustRightInd w:val="0"/>
              <w:snapToGrid w:val="0"/>
              <w:spacing w:line="360" w:lineRule="exact"/>
              <w:jc w:val="center"/>
              <w:textAlignment w:val="baseline"/>
              <w:rPr>
                <w:rFonts w:ascii="宋体" w:hAnsi="宋体" w:cs="宋体"/>
                <w:szCs w:val="21"/>
              </w:rPr>
            </w:pPr>
          </w:p>
        </w:tc>
      </w:tr>
      <w:tr w14:paraId="17078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7AB5A5A0">
            <w:pPr>
              <w:pStyle w:val="509"/>
              <w:spacing w:before="175" w:line="198"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投标（响应）供应商相关人员情况</w:t>
            </w:r>
          </w:p>
        </w:tc>
      </w:tr>
      <w:tr w14:paraId="52198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Pr>
          <w:p w14:paraId="7B9FC9CB">
            <w:pPr>
              <w:pStyle w:val="509"/>
              <w:spacing w:before="217" w:line="202"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14:paraId="72374BDA">
            <w:pPr>
              <w:pStyle w:val="509"/>
              <w:spacing w:before="213" w:line="202" w:lineRule="auto"/>
              <w:ind w:left="916"/>
              <w:rPr>
                <w:rFonts w:ascii="宋体" w:hAnsi="宋体" w:eastAsia="宋体" w:cs="宋体"/>
                <w:sz w:val="21"/>
                <w:szCs w:val="21"/>
              </w:rPr>
            </w:pPr>
            <w:r>
              <w:rPr>
                <w:rFonts w:hint="eastAsia" w:ascii="宋体" w:hAnsi="宋体" w:eastAsia="宋体" w:cs="宋体"/>
                <w:spacing w:val="-6"/>
                <w:sz w:val="21"/>
                <w:szCs w:val="21"/>
              </w:rPr>
              <w:t>职务</w:t>
            </w:r>
          </w:p>
        </w:tc>
        <w:tc>
          <w:tcPr>
            <w:tcW w:w="946" w:type="dxa"/>
          </w:tcPr>
          <w:p w14:paraId="2440FAC3">
            <w:pPr>
              <w:pStyle w:val="509"/>
              <w:spacing w:before="213" w:line="203" w:lineRule="auto"/>
              <w:ind w:left="245"/>
              <w:rPr>
                <w:rFonts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tcPr>
          <w:p w14:paraId="789F8D4E">
            <w:pPr>
              <w:pStyle w:val="509"/>
              <w:spacing w:before="214" w:line="203" w:lineRule="auto"/>
              <w:ind w:left="410"/>
              <w:rPr>
                <w:rFonts w:ascii="宋体" w:hAnsi="宋体" w:eastAsia="宋体" w:cs="宋体"/>
                <w:sz w:val="21"/>
                <w:szCs w:val="21"/>
              </w:rPr>
            </w:pPr>
            <w:r>
              <w:rPr>
                <w:rFonts w:hint="eastAsia" w:ascii="宋体" w:hAnsi="宋体" w:eastAsia="宋体" w:cs="宋体"/>
                <w:spacing w:val="-3"/>
                <w:sz w:val="21"/>
                <w:szCs w:val="21"/>
              </w:rPr>
              <w:t>身份证号码</w:t>
            </w:r>
          </w:p>
        </w:tc>
        <w:tc>
          <w:tcPr>
            <w:tcW w:w="1499" w:type="dxa"/>
          </w:tcPr>
          <w:p w14:paraId="70E085E2">
            <w:pPr>
              <w:pStyle w:val="509"/>
              <w:widowControl/>
              <w:kinsoku w:val="0"/>
              <w:autoSpaceDE w:val="0"/>
              <w:autoSpaceDN w:val="0"/>
              <w:adjustRightInd w:val="0"/>
              <w:snapToGrid w:val="0"/>
              <w:spacing w:before="39" w:line="360" w:lineRule="exact"/>
              <w:ind w:left="288" w:right="266" w:firstLine="5"/>
              <w:textAlignment w:val="baseline"/>
              <w:rPr>
                <w:rFonts w:ascii="宋体" w:hAnsi="宋体" w:eastAsia="宋体" w:cs="宋体"/>
                <w:sz w:val="21"/>
                <w:szCs w:val="21"/>
              </w:rPr>
            </w:pPr>
            <w:r>
              <w:rPr>
                <w:rFonts w:hint="eastAsia" w:ascii="Times New Roman" w:hAnsi="Times New Roman" w:eastAsia="宋体" w:cs="Times New Roman"/>
                <w:snapToGrid w:val="0"/>
                <w:kern w:val="0"/>
                <w:sz w:val="21"/>
                <w:lang w:eastAsia="zh-CN"/>
              </w:rPr>
              <w:t>劳动合同 关系单位</w:t>
            </w:r>
          </w:p>
        </w:tc>
        <w:tc>
          <w:tcPr>
            <w:tcW w:w="1489" w:type="dxa"/>
          </w:tcPr>
          <w:p w14:paraId="11A49236">
            <w:pPr>
              <w:pStyle w:val="509"/>
              <w:widowControl/>
              <w:kinsoku w:val="0"/>
              <w:autoSpaceDE w:val="0"/>
              <w:autoSpaceDN w:val="0"/>
              <w:adjustRightInd w:val="0"/>
              <w:snapToGrid w:val="0"/>
              <w:spacing w:before="39" w:line="360" w:lineRule="exact"/>
              <w:ind w:left="271" w:right="262" w:firstLine="8"/>
              <w:textAlignment w:val="baseline"/>
              <w:rPr>
                <w:rFonts w:ascii="宋体" w:hAnsi="宋体" w:eastAsia="宋体" w:cs="宋体"/>
                <w:sz w:val="21"/>
                <w:szCs w:val="21"/>
              </w:rPr>
            </w:pPr>
            <w:r>
              <w:rPr>
                <w:rFonts w:hint="eastAsia" w:ascii="Times New Roman" w:hAnsi="Times New Roman" w:eastAsia="宋体" w:cs="Times New Roman"/>
                <w:snapToGrid w:val="0"/>
                <w:kern w:val="0"/>
                <w:sz w:val="21"/>
                <w:lang w:eastAsia="zh-CN"/>
              </w:rPr>
              <w:t>缴纳社会 保险单位</w:t>
            </w:r>
          </w:p>
        </w:tc>
      </w:tr>
      <w:tr w14:paraId="3F549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tcPr>
          <w:p w14:paraId="0B5F0546">
            <w:pPr>
              <w:spacing w:line="252" w:lineRule="auto"/>
              <w:rPr>
                <w:rFonts w:ascii="宋体" w:hAnsi="宋体" w:cs="宋体"/>
                <w:szCs w:val="21"/>
              </w:rPr>
            </w:pPr>
          </w:p>
          <w:p w14:paraId="2A498B22">
            <w:pPr>
              <w:pStyle w:val="509"/>
              <w:spacing w:before="103"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2281" w:type="dxa"/>
            <w:gridSpan w:val="2"/>
          </w:tcPr>
          <w:p w14:paraId="48662656">
            <w:pPr>
              <w:pStyle w:val="509"/>
              <w:spacing w:before="174" w:line="235" w:lineRule="auto"/>
              <w:ind w:left="240" w:right="116" w:hanging="101"/>
              <w:rPr>
                <w:rFonts w:ascii="宋体" w:hAnsi="宋体" w:eastAsia="宋体" w:cs="宋体"/>
                <w:sz w:val="21"/>
                <w:szCs w:val="21"/>
                <w:lang w:eastAsia="zh-CN"/>
              </w:rPr>
            </w:pPr>
            <w:r>
              <w:rPr>
                <w:rFonts w:hint="eastAsia" w:ascii="宋体" w:hAnsi="宋体" w:eastAsia="宋体" w:cs="宋体"/>
                <w:spacing w:val="-6"/>
                <w:sz w:val="21"/>
                <w:szCs w:val="21"/>
                <w:lang w:eastAsia="zh-CN"/>
              </w:rPr>
              <w:t>法定代表人/单位负责人/主要经营负责人</w:t>
            </w:r>
          </w:p>
        </w:tc>
        <w:tc>
          <w:tcPr>
            <w:tcW w:w="946" w:type="dxa"/>
            <w:vAlign w:val="center"/>
          </w:tcPr>
          <w:p w14:paraId="025CA6E3">
            <w:pPr>
              <w:jc w:val="center"/>
              <w:rPr>
                <w:rFonts w:ascii="宋体" w:hAnsi="宋体" w:cs="宋体"/>
                <w:szCs w:val="21"/>
              </w:rPr>
            </w:pPr>
          </w:p>
        </w:tc>
        <w:tc>
          <w:tcPr>
            <w:tcW w:w="1990" w:type="dxa"/>
            <w:gridSpan w:val="2"/>
            <w:vAlign w:val="center"/>
          </w:tcPr>
          <w:p w14:paraId="3EA1CE63">
            <w:pPr>
              <w:jc w:val="center"/>
              <w:rPr>
                <w:rFonts w:ascii="宋体" w:hAnsi="宋体" w:cs="宋体"/>
                <w:szCs w:val="21"/>
              </w:rPr>
            </w:pPr>
          </w:p>
        </w:tc>
        <w:tc>
          <w:tcPr>
            <w:tcW w:w="1499" w:type="dxa"/>
            <w:vAlign w:val="center"/>
          </w:tcPr>
          <w:p w14:paraId="31DE274B">
            <w:pPr>
              <w:jc w:val="center"/>
              <w:rPr>
                <w:rFonts w:ascii="宋体" w:hAnsi="宋体" w:cs="宋体"/>
                <w:szCs w:val="21"/>
              </w:rPr>
            </w:pPr>
          </w:p>
        </w:tc>
        <w:tc>
          <w:tcPr>
            <w:tcW w:w="1489" w:type="dxa"/>
            <w:vAlign w:val="center"/>
          </w:tcPr>
          <w:p w14:paraId="078FB7CD">
            <w:pPr>
              <w:jc w:val="center"/>
              <w:rPr>
                <w:rFonts w:ascii="宋体" w:hAnsi="宋体" w:cs="宋体"/>
                <w:szCs w:val="21"/>
              </w:rPr>
            </w:pPr>
          </w:p>
        </w:tc>
      </w:tr>
      <w:tr w14:paraId="35413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02F5522B">
            <w:pPr>
              <w:pStyle w:val="509"/>
              <w:spacing w:before="21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2281" w:type="dxa"/>
            <w:gridSpan w:val="2"/>
          </w:tcPr>
          <w:p w14:paraId="54B18DB1">
            <w:pPr>
              <w:pStyle w:val="509"/>
              <w:spacing w:before="190" w:line="202" w:lineRule="auto"/>
              <w:ind w:left="161"/>
              <w:rPr>
                <w:rFonts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2F9E0928">
            <w:pPr>
              <w:jc w:val="center"/>
              <w:rPr>
                <w:rFonts w:ascii="宋体" w:hAnsi="宋体" w:cs="宋体"/>
                <w:szCs w:val="21"/>
              </w:rPr>
            </w:pPr>
          </w:p>
        </w:tc>
        <w:tc>
          <w:tcPr>
            <w:tcW w:w="1990" w:type="dxa"/>
            <w:gridSpan w:val="2"/>
            <w:vAlign w:val="center"/>
          </w:tcPr>
          <w:p w14:paraId="05307B1A">
            <w:pPr>
              <w:jc w:val="center"/>
              <w:rPr>
                <w:rFonts w:ascii="宋体" w:hAnsi="宋体" w:cs="宋体"/>
                <w:szCs w:val="21"/>
              </w:rPr>
            </w:pPr>
          </w:p>
        </w:tc>
        <w:tc>
          <w:tcPr>
            <w:tcW w:w="1499" w:type="dxa"/>
            <w:vAlign w:val="center"/>
          </w:tcPr>
          <w:p w14:paraId="7E4D3F9B">
            <w:pPr>
              <w:jc w:val="center"/>
              <w:rPr>
                <w:rFonts w:ascii="宋体" w:hAnsi="宋体" w:cs="宋体"/>
                <w:szCs w:val="21"/>
              </w:rPr>
            </w:pPr>
          </w:p>
        </w:tc>
        <w:tc>
          <w:tcPr>
            <w:tcW w:w="1489" w:type="dxa"/>
            <w:vAlign w:val="center"/>
          </w:tcPr>
          <w:p w14:paraId="1B663A77">
            <w:pPr>
              <w:jc w:val="center"/>
              <w:rPr>
                <w:rFonts w:ascii="宋体" w:hAnsi="宋体" w:cs="宋体"/>
                <w:szCs w:val="21"/>
              </w:rPr>
            </w:pPr>
          </w:p>
        </w:tc>
      </w:tr>
      <w:tr w14:paraId="2916D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4ED7C830">
            <w:pPr>
              <w:pStyle w:val="509"/>
              <w:spacing w:before="210" w:line="167" w:lineRule="auto"/>
              <w:ind w:left="321"/>
              <w:rPr>
                <w:rFonts w:ascii="宋体" w:hAnsi="宋体" w:eastAsia="宋体" w:cs="宋体"/>
                <w:sz w:val="21"/>
                <w:szCs w:val="21"/>
              </w:rPr>
            </w:pPr>
            <w:r>
              <w:rPr>
                <w:rFonts w:hint="eastAsia" w:ascii="宋体" w:hAnsi="宋体" w:eastAsia="宋体" w:cs="宋体"/>
                <w:sz w:val="21"/>
                <w:szCs w:val="21"/>
              </w:rPr>
              <w:t>3</w:t>
            </w:r>
          </w:p>
        </w:tc>
        <w:tc>
          <w:tcPr>
            <w:tcW w:w="2281" w:type="dxa"/>
            <w:gridSpan w:val="2"/>
          </w:tcPr>
          <w:p w14:paraId="6545950C">
            <w:pPr>
              <w:pStyle w:val="509"/>
              <w:spacing w:before="178" w:line="201" w:lineRule="auto"/>
              <w:ind w:left="551"/>
              <w:rPr>
                <w:rFonts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0B475D6D">
            <w:pPr>
              <w:jc w:val="center"/>
              <w:rPr>
                <w:rFonts w:ascii="宋体" w:hAnsi="宋体" w:cs="宋体"/>
                <w:szCs w:val="21"/>
              </w:rPr>
            </w:pPr>
          </w:p>
        </w:tc>
        <w:tc>
          <w:tcPr>
            <w:tcW w:w="1990" w:type="dxa"/>
            <w:gridSpan w:val="2"/>
            <w:vAlign w:val="center"/>
          </w:tcPr>
          <w:p w14:paraId="20C88929">
            <w:pPr>
              <w:jc w:val="center"/>
              <w:rPr>
                <w:rFonts w:ascii="宋体" w:hAnsi="宋体" w:cs="宋体"/>
                <w:szCs w:val="21"/>
              </w:rPr>
            </w:pPr>
          </w:p>
        </w:tc>
        <w:tc>
          <w:tcPr>
            <w:tcW w:w="1499" w:type="dxa"/>
            <w:vAlign w:val="center"/>
          </w:tcPr>
          <w:p w14:paraId="54F36BF6">
            <w:pPr>
              <w:jc w:val="center"/>
              <w:rPr>
                <w:rFonts w:ascii="宋体" w:hAnsi="宋体" w:cs="宋体"/>
                <w:szCs w:val="21"/>
              </w:rPr>
            </w:pPr>
          </w:p>
        </w:tc>
        <w:tc>
          <w:tcPr>
            <w:tcW w:w="1489" w:type="dxa"/>
            <w:vAlign w:val="center"/>
          </w:tcPr>
          <w:p w14:paraId="6B5C305F">
            <w:pPr>
              <w:jc w:val="center"/>
              <w:rPr>
                <w:rFonts w:ascii="宋体" w:hAnsi="宋体" w:cs="宋体"/>
                <w:szCs w:val="21"/>
              </w:rPr>
            </w:pPr>
          </w:p>
        </w:tc>
      </w:tr>
      <w:tr w14:paraId="6189A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2CF16042">
            <w:pPr>
              <w:pStyle w:val="509"/>
              <w:spacing w:before="210" w:line="168" w:lineRule="auto"/>
              <w:ind w:left="314"/>
              <w:rPr>
                <w:rFonts w:ascii="宋体" w:hAnsi="宋体" w:eastAsia="宋体" w:cs="宋体"/>
                <w:sz w:val="21"/>
                <w:szCs w:val="21"/>
              </w:rPr>
            </w:pPr>
            <w:r>
              <w:rPr>
                <w:rFonts w:hint="eastAsia" w:ascii="宋体" w:hAnsi="宋体" w:eastAsia="宋体" w:cs="宋体"/>
                <w:sz w:val="21"/>
                <w:szCs w:val="21"/>
              </w:rPr>
              <w:t>4</w:t>
            </w:r>
          </w:p>
        </w:tc>
        <w:tc>
          <w:tcPr>
            <w:tcW w:w="2281" w:type="dxa"/>
            <w:gridSpan w:val="2"/>
          </w:tcPr>
          <w:p w14:paraId="6BDDAC21">
            <w:pPr>
              <w:pStyle w:val="509"/>
              <w:spacing w:before="176" w:line="202" w:lineRule="auto"/>
              <w:ind w:left="440"/>
              <w:rPr>
                <w:rFonts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5FF64872">
            <w:pPr>
              <w:jc w:val="center"/>
              <w:rPr>
                <w:rFonts w:ascii="宋体" w:hAnsi="宋体" w:cs="宋体"/>
                <w:szCs w:val="21"/>
              </w:rPr>
            </w:pPr>
          </w:p>
        </w:tc>
        <w:tc>
          <w:tcPr>
            <w:tcW w:w="1990" w:type="dxa"/>
            <w:gridSpan w:val="2"/>
            <w:vAlign w:val="center"/>
          </w:tcPr>
          <w:p w14:paraId="7FDEE61E">
            <w:pPr>
              <w:jc w:val="center"/>
              <w:rPr>
                <w:rFonts w:ascii="宋体" w:hAnsi="宋体" w:cs="宋体"/>
                <w:szCs w:val="21"/>
              </w:rPr>
            </w:pPr>
          </w:p>
        </w:tc>
        <w:tc>
          <w:tcPr>
            <w:tcW w:w="1499" w:type="dxa"/>
            <w:vAlign w:val="center"/>
          </w:tcPr>
          <w:p w14:paraId="10F1FB94">
            <w:pPr>
              <w:jc w:val="center"/>
              <w:rPr>
                <w:rFonts w:ascii="宋体" w:hAnsi="宋体" w:cs="宋体"/>
                <w:szCs w:val="21"/>
              </w:rPr>
            </w:pPr>
          </w:p>
        </w:tc>
        <w:tc>
          <w:tcPr>
            <w:tcW w:w="1489" w:type="dxa"/>
            <w:vAlign w:val="center"/>
          </w:tcPr>
          <w:p w14:paraId="17502FF6">
            <w:pPr>
              <w:jc w:val="center"/>
              <w:rPr>
                <w:rFonts w:ascii="宋体" w:hAnsi="宋体" w:cs="宋体"/>
                <w:szCs w:val="21"/>
              </w:rPr>
            </w:pPr>
          </w:p>
        </w:tc>
      </w:tr>
      <w:tr w14:paraId="49FE3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27DAAA91">
            <w:pPr>
              <w:pStyle w:val="509"/>
              <w:spacing w:before="215" w:line="165" w:lineRule="auto"/>
              <w:ind w:left="325"/>
              <w:rPr>
                <w:rFonts w:ascii="宋体" w:hAnsi="宋体" w:eastAsia="宋体" w:cs="宋体"/>
                <w:sz w:val="21"/>
                <w:szCs w:val="21"/>
              </w:rPr>
            </w:pPr>
            <w:r>
              <w:rPr>
                <w:rFonts w:hint="eastAsia" w:ascii="宋体" w:hAnsi="宋体" w:eastAsia="宋体" w:cs="宋体"/>
                <w:sz w:val="21"/>
                <w:szCs w:val="21"/>
              </w:rPr>
              <w:t>5</w:t>
            </w:r>
          </w:p>
        </w:tc>
        <w:tc>
          <w:tcPr>
            <w:tcW w:w="2281" w:type="dxa"/>
            <w:gridSpan w:val="2"/>
          </w:tcPr>
          <w:p w14:paraId="159A8F16">
            <w:pPr>
              <w:pStyle w:val="509"/>
              <w:spacing w:before="178" w:line="202" w:lineRule="auto"/>
              <w:ind w:left="189"/>
              <w:rPr>
                <w:rFonts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7ACF60CC">
            <w:pPr>
              <w:jc w:val="center"/>
              <w:rPr>
                <w:rFonts w:ascii="宋体" w:hAnsi="宋体" w:cs="宋体"/>
                <w:szCs w:val="21"/>
              </w:rPr>
            </w:pPr>
          </w:p>
        </w:tc>
        <w:tc>
          <w:tcPr>
            <w:tcW w:w="1990" w:type="dxa"/>
            <w:gridSpan w:val="2"/>
            <w:vAlign w:val="center"/>
          </w:tcPr>
          <w:p w14:paraId="1A82B782">
            <w:pPr>
              <w:jc w:val="center"/>
              <w:rPr>
                <w:rFonts w:ascii="宋体" w:hAnsi="宋体" w:cs="宋体"/>
                <w:szCs w:val="21"/>
              </w:rPr>
            </w:pPr>
          </w:p>
        </w:tc>
        <w:tc>
          <w:tcPr>
            <w:tcW w:w="1499" w:type="dxa"/>
            <w:vAlign w:val="center"/>
          </w:tcPr>
          <w:p w14:paraId="5F5CED07">
            <w:pPr>
              <w:jc w:val="center"/>
              <w:rPr>
                <w:rFonts w:ascii="宋体" w:hAnsi="宋体" w:cs="宋体"/>
                <w:szCs w:val="21"/>
              </w:rPr>
            </w:pPr>
          </w:p>
        </w:tc>
        <w:tc>
          <w:tcPr>
            <w:tcW w:w="1489" w:type="dxa"/>
            <w:vAlign w:val="center"/>
          </w:tcPr>
          <w:p w14:paraId="2B02EF21">
            <w:pPr>
              <w:jc w:val="center"/>
              <w:rPr>
                <w:rFonts w:ascii="宋体" w:hAnsi="宋体" w:cs="宋体"/>
                <w:szCs w:val="21"/>
              </w:rPr>
            </w:pPr>
          </w:p>
        </w:tc>
      </w:tr>
      <w:tr w14:paraId="04D3B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38CB2EF1">
            <w:pPr>
              <w:pStyle w:val="509"/>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说明：1.同一职务有多人担任（如主要技术人员）的，应分行填写。</w:t>
            </w:r>
          </w:p>
          <w:p w14:paraId="432F2226">
            <w:pPr>
              <w:pStyle w:val="509"/>
              <w:numPr>
                <w:ilvl w:val="0"/>
                <w:numId w:val="13"/>
              </w:numPr>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同一人员可以担任多个职务。上述项目负责人、主要技术人员必须为供应商本单位人员人员，主要技术人员不等同于项目团队成员。</w:t>
            </w:r>
          </w:p>
          <w:p w14:paraId="5F19302B">
            <w:pPr>
              <w:pStyle w:val="509"/>
              <w:numPr>
                <w:ilvl w:val="0"/>
                <w:numId w:val="13"/>
              </w:numPr>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法定代表人/单位负责人/主要经营负责人一栏填写“法定代表人”信息。</w:t>
            </w:r>
          </w:p>
        </w:tc>
      </w:tr>
      <w:tr w14:paraId="66F49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15D0D832">
            <w:pPr>
              <w:pStyle w:val="509"/>
              <w:spacing w:before="177" w:line="198"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投标（响应）供应商关联关系情况</w:t>
            </w:r>
          </w:p>
        </w:tc>
      </w:tr>
      <w:tr w14:paraId="0E952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501E67F4">
            <w:pPr>
              <w:pStyle w:val="509"/>
              <w:spacing w:before="178" w:line="202"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14:paraId="67253BF3">
            <w:pPr>
              <w:pStyle w:val="509"/>
              <w:spacing w:before="177" w:line="202" w:lineRule="auto"/>
              <w:ind w:left="436"/>
              <w:rPr>
                <w:rFonts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tcPr>
          <w:p w14:paraId="439D3761">
            <w:pPr>
              <w:pStyle w:val="509"/>
              <w:spacing w:before="177" w:line="203" w:lineRule="auto"/>
              <w:ind w:left="166"/>
              <w:rPr>
                <w:rFonts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tcPr>
          <w:p w14:paraId="7B546F27">
            <w:pPr>
              <w:pStyle w:val="509"/>
              <w:spacing w:before="177" w:line="204" w:lineRule="auto"/>
              <w:ind w:left="1862"/>
              <w:rPr>
                <w:rFonts w:ascii="宋体" w:hAnsi="宋体" w:eastAsia="宋体" w:cs="宋体"/>
                <w:sz w:val="21"/>
                <w:szCs w:val="21"/>
              </w:rPr>
            </w:pPr>
            <w:r>
              <w:rPr>
                <w:rFonts w:hint="eastAsia" w:ascii="宋体" w:hAnsi="宋体" w:eastAsia="宋体" w:cs="宋体"/>
                <w:spacing w:val="-4"/>
                <w:sz w:val="21"/>
                <w:szCs w:val="21"/>
              </w:rPr>
              <w:t>备注</w:t>
            </w:r>
          </w:p>
        </w:tc>
      </w:tr>
      <w:tr w14:paraId="49F89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tcPr>
          <w:p w14:paraId="50B7E130">
            <w:pPr>
              <w:spacing w:line="290" w:lineRule="auto"/>
              <w:rPr>
                <w:rFonts w:ascii="宋体" w:hAnsi="宋体" w:cs="宋体"/>
                <w:szCs w:val="21"/>
              </w:rPr>
            </w:pPr>
          </w:p>
          <w:p w14:paraId="19C0C9E2">
            <w:pPr>
              <w:spacing w:line="290" w:lineRule="auto"/>
              <w:rPr>
                <w:rFonts w:ascii="宋体" w:hAnsi="宋体" w:cs="宋体"/>
                <w:szCs w:val="21"/>
              </w:rPr>
            </w:pPr>
          </w:p>
          <w:p w14:paraId="41EE6746">
            <w:pPr>
              <w:pStyle w:val="509"/>
              <w:spacing w:before="103"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2281" w:type="dxa"/>
            <w:gridSpan w:val="2"/>
          </w:tcPr>
          <w:p w14:paraId="1BF3EBF4">
            <w:pPr>
              <w:spacing w:line="274" w:lineRule="auto"/>
              <w:rPr>
                <w:rFonts w:ascii="宋体" w:hAnsi="宋体" w:cs="宋体"/>
                <w:szCs w:val="21"/>
              </w:rPr>
            </w:pPr>
          </w:p>
          <w:p w14:paraId="45E3F566">
            <w:pPr>
              <w:spacing w:line="274" w:lineRule="auto"/>
              <w:rPr>
                <w:rFonts w:ascii="宋体" w:hAnsi="宋体" w:cs="宋体"/>
                <w:szCs w:val="21"/>
              </w:rPr>
            </w:pPr>
          </w:p>
          <w:p w14:paraId="02BC2E3D">
            <w:pPr>
              <w:pStyle w:val="509"/>
              <w:spacing w:before="103" w:line="203" w:lineRule="auto"/>
              <w:ind w:left="671"/>
              <w:rPr>
                <w:rFonts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71BE5F61">
            <w:pPr>
              <w:jc w:val="center"/>
              <w:rPr>
                <w:rFonts w:ascii="宋体" w:hAnsi="宋体" w:cs="宋体"/>
                <w:szCs w:val="21"/>
              </w:rPr>
            </w:pPr>
          </w:p>
        </w:tc>
        <w:tc>
          <w:tcPr>
            <w:tcW w:w="4187" w:type="dxa"/>
            <w:gridSpan w:val="3"/>
            <w:vAlign w:val="center"/>
          </w:tcPr>
          <w:p w14:paraId="6A36A540">
            <w:pPr>
              <w:pStyle w:val="509"/>
              <w:widowControl/>
              <w:kinsoku w:val="0"/>
              <w:autoSpaceDE w:val="0"/>
              <w:autoSpaceDN w:val="0"/>
              <w:adjustRightInd w:val="0"/>
              <w:snapToGrid w:val="0"/>
              <w:spacing w:before="27" w:line="300" w:lineRule="exact"/>
              <w:ind w:left="98" w:right="116" w:firstLine="19"/>
              <w:textAlignment w:val="baseline"/>
              <w:rPr>
                <w:rFonts w:ascii="宋体" w:hAnsi="宋体" w:eastAsia="宋体" w:cs="宋体"/>
                <w:sz w:val="21"/>
                <w:szCs w:val="21"/>
                <w:lang w:eastAsia="zh-CN"/>
              </w:rPr>
            </w:pPr>
            <w:r>
              <w:rPr>
                <w:rFonts w:hint="eastAsia" w:ascii="宋体" w:hAnsi="宋体" w:eastAsia="宋体" w:cs="宋体"/>
                <w:spacing w:val="-1"/>
                <w:sz w:val="21"/>
                <w:szCs w:val="21"/>
                <w:lang w:eastAsia="zh-CN"/>
              </w:rPr>
              <w:t>指出资额（或持有股份）占投标（响应）供应商资</w:t>
            </w:r>
            <w:r>
              <w:rPr>
                <w:rFonts w:hint="eastAsia" w:ascii="宋体" w:hAnsi="宋体" w:eastAsia="宋体" w:cs="宋体"/>
                <w:spacing w:val="-8"/>
                <w:sz w:val="21"/>
                <w:szCs w:val="21"/>
                <w:lang w:eastAsia="zh-CN"/>
              </w:rPr>
              <w:t>本总额（或股本总额）50%以上的股东，以及出资额</w:t>
            </w:r>
            <w:r>
              <w:rPr>
                <w:rFonts w:hint="eastAsia" w:ascii="宋体" w:hAnsi="宋体" w:eastAsia="宋体" w:cs="宋体"/>
                <w:spacing w:val="-5"/>
                <w:sz w:val="21"/>
                <w:szCs w:val="21"/>
                <w:lang w:eastAsia="zh-CN"/>
              </w:rPr>
              <w:t>（或持有股份）的比例虽然不足50%，但依</w:t>
            </w:r>
            <w:r>
              <w:rPr>
                <w:rFonts w:hint="eastAsia" w:ascii="宋体" w:hAnsi="宋体" w:eastAsia="宋体" w:cs="宋体"/>
                <w:spacing w:val="-6"/>
                <w:sz w:val="21"/>
                <w:szCs w:val="21"/>
                <w:lang w:eastAsia="zh-CN"/>
              </w:rPr>
              <w:t>其出资</w:t>
            </w:r>
            <w:r>
              <w:rPr>
                <w:rFonts w:hint="eastAsia" w:ascii="宋体" w:hAnsi="宋体" w:eastAsia="宋体" w:cs="宋体"/>
                <w:spacing w:val="-9"/>
                <w:sz w:val="21"/>
                <w:szCs w:val="21"/>
                <w:lang w:eastAsia="zh-CN"/>
              </w:rPr>
              <w:t>额（或持有股份）所享有的表决权已足以对投标（响</w:t>
            </w:r>
            <w:r>
              <w:rPr>
                <w:rFonts w:hint="eastAsia" w:ascii="宋体" w:hAnsi="宋体" w:eastAsia="宋体" w:cs="宋体"/>
                <w:sz w:val="21"/>
                <w:szCs w:val="21"/>
                <w:lang w:eastAsia="zh-CN"/>
              </w:rPr>
              <w:t>应）供应商股东会（或股东大会）的决议产生重要</w:t>
            </w:r>
            <w:r>
              <w:rPr>
                <w:rFonts w:hint="eastAsia" w:ascii="宋体" w:hAnsi="宋体" w:eastAsia="宋体" w:cs="宋体"/>
                <w:spacing w:val="-2"/>
                <w:sz w:val="21"/>
                <w:szCs w:val="21"/>
                <w:lang w:eastAsia="zh-CN"/>
              </w:rPr>
              <w:t>影响的股东。</w:t>
            </w:r>
          </w:p>
        </w:tc>
      </w:tr>
      <w:tr w14:paraId="2CB0A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Pr>
          <w:p w14:paraId="5D3454EE">
            <w:pPr>
              <w:pStyle w:val="509"/>
              <w:spacing w:before="25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2281" w:type="dxa"/>
            <w:gridSpan w:val="2"/>
          </w:tcPr>
          <w:p w14:paraId="3D73786B">
            <w:pPr>
              <w:pStyle w:val="509"/>
              <w:spacing w:before="217" w:line="203" w:lineRule="auto"/>
              <w:ind w:left="678"/>
              <w:rPr>
                <w:rFonts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7A428155">
            <w:pPr>
              <w:jc w:val="center"/>
              <w:rPr>
                <w:rFonts w:ascii="宋体" w:hAnsi="宋体" w:cs="宋体"/>
                <w:szCs w:val="21"/>
              </w:rPr>
            </w:pPr>
          </w:p>
        </w:tc>
        <w:tc>
          <w:tcPr>
            <w:tcW w:w="4187" w:type="dxa"/>
            <w:gridSpan w:val="3"/>
          </w:tcPr>
          <w:p w14:paraId="35ED8204">
            <w:pPr>
              <w:pStyle w:val="509"/>
              <w:widowControl/>
              <w:kinsoku w:val="0"/>
              <w:autoSpaceDE w:val="0"/>
              <w:autoSpaceDN w:val="0"/>
              <w:adjustRightInd w:val="0"/>
              <w:snapToGrid w:val="0"/>
              <w:spacing w:before="43" w:line="300" w:lineRule="exact"/>
              <w:ind w:left="120" w:right="24"/>
              <w:textAlignment w:val="baseline"/>
              <w:rPr>
                <w:rFonts w:ascii="宋体" w:hAnsi="宋体" w:eastAsia="宋体" w:cs="宋体"/>
                <w:sz w:val="21"/>
                <w:szCs w:val="21"/>
                <w:lang w:eastAsia="zh-CN"/>
              </w:rPr>
            </w:pPr>
            <w:r>
              <w:rPr>
                <w:rFonts w:hint="eastAsia" w:ascii="宋体" w:hAnsi="宋体" w:eastAsia="宋体" w:cs="宋体"/>
                <w:spacing w:val="-8"/>
                <w:sz w:val="21"/>
                <w:szCs w:val="21"/>
                <w:lang w:eastAsia="zh-CN"/>
              </w:rPr>
              <w:t>指对投标（响应）供应商不具有出资持</w:t>
            </w:r>
            <w:r>
              <w:rPr>
                <w:rFonts w:hint="eastAsia" w:ascii="宋体" w:hAnsi="宋体" w:eastAsia="宋体" w:cs="宋体"/>
                <w:spacing w:val="-3"/>
                <w:sz w:val="21"/>
                <w:szCs w:val="21"/>
                <w:lang w:eastAsia="zh-CN"/>
              </w:rPr>
              <w:t>股关系，但对其存在管理关系的主体。</w:t>
            </w:r>
          </w:p>
        </w:tc>
      </w:tr>
      <w:tr w14:paraId="018F3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tcPr>
          <w:p w14:paraId="55C289F2">
            <w:pPr>
              <w:pStyle w:val="509"/>
              <w:spacing w:before="42" w:line="180"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说明：同一关联关系类型有多个主体的，应分行填写。</w:t>
            </w:r>
          </w:p>
        </w:tc>
      </w:tr>
    </w:tbl>
    <w:p w14:paraId="7C0D0771">
      <w:pPr>
        <w:spacing w:line="360" w:lineRule="auto"/>
        <w:rPr>
          <w:rFonts w:ascii="宋体" w:hAnsi="宋体" w:cs="宋体"/>
        </w:rPr>
      </w:pPr>
    </w:p>
    <w:p w14:paraId="00BABD18">
      <w:pPr>
        <w:spacing w:line="360" w:lineRule="auto"/>
        <w:rPr>
          <w:rFonts w:ascii="宋体" w:hAnsi="宋体" w:cs="宋体"/>
          <w:b/>
          <w:bCs/>
        </w:rPr>
      </w:pPr>
      <w:r>
        <w:rPr>
          <w:rFonts w:hint="eastAsia" w:ascii="宋体" w:hAnsi="宋体" w:cs="宋体"/>
          <w:b/>
          <w:bCs/>
        </w:rPr>
        <w:t>填报要求：</w:t>
      </w:r>
    </w:p>
    <w:p w14:paraId="4B3C4453">
      <w:pPr>
        <w:spacing w:line="360" w:lineRule="auto"/>
        <w:rPr>
          <w:rFonts w:ascii="宋体" w:hAnsi="宋体" w:cs="宋体"/>
          <w:b/>
          <w:bCs/>
        </w:rPr>
      </w:pPr>
      <w:r>
        <w:rPr>
          <w:rFonts w:hint="eastAsia" w:ascii="宋体" w:hAnsi="宋体" w:cs="宋体"/>
        </w:rPr>
        <w:t>★</w:t>
      </w:r>
      <w:r>
        <w:rPr>
          <w:rFonts w:hint="eastAsia" w:ascii="宋体" w:hAnsi="宋体" w:cs="宋体"/>
          <w:b/>
          <w:bCs/>
        </w:rPr>
        <w:t>1、投标（响应）供应商须如实填报《供应商基本情况表》并加盖投标（响应）供应商公章。</w:t>
      </w:r>
    </w:p>
    <w:p w14:paraId="35E6838B">
      <w:pPr>
        <w:spacing w:line="360" w:lineRule="auto"/>
        <w:rPr>
          <w:rFonts w:ascii="宋体" w:hAnsi="宋体" w:cs="宋体"/>
          <w:b/>
          <w:bCs/>
        </w:rPr>
      </w:pPr>
      <w:r>
        <w:rPr>
          <w:rFonts w:hint="eastAsia" w:ascii="宋体" w:hAnsi="宋体" w:cs="宋体"/>
        </w:rPr>
        <w:t>★</w:t>
      </w:r>
      <w:r>
        <w:rPr>
          <w:rFonts w:hint="eastAsia" w:ascii="宋体" w:hAnsi="宋体" w:cs="宋体"/>
          <w:b/>
          <w:bCs/>
        </w:rPr>
        <w:t>2、投标（响应）供应商需提供法定代表人、主要经营负责人、项目投标授权代表人、项目负责人、主要技术人员、投标文件编制人员</w:t>
      </w:r>
      <w:r>
        <w:rPr>
          <w:rFonts w:hint="eastAsia" w:ascii="宋体" w:hAnsi="宋体" w:cs="宋体"/>
          <w:b/>
          <w:bCs/>
          <w:highlight w:val="yellow"/>
        </w:rPr>
        <w:t>在投标（响应）截止日前最近一个月载有社保部门或税务部门公章的社会保险证明材料（如因主管部门原因最近一个月的社保证明无法提供，可往前顺延一至二个月）</w:t>
      </w:r>
      <w:r>
        <w:rPr>
          <w:rFonts w:hint="eastAsia" w:ascii="宋体" w:hAnsi="宋体" w:cs="宋体"/>
          <w:b/>
          <w:bCs/>
        </w:rPr>
        <w:t>。</w:t>
      </w:r>
    </w:p>
    <w:p w14:paraId="36D30795">
      <w:pPr>
        <w:spacing w:line="360" w:lineRule="auto"/>
        <w:rPr>
          <w:rFonts w:ascii="宋体" w:hAnsi="宋体" w:cs="宋体"/>
          <w:b/>
          <w:bCs/>
        </w:rPr>
      </w:pPr>
      <w:r>
        <w:rPr>
          <w:rFonts w:hint="eastAsia" w:ascii="宋体" w:hAnsi="宋体" w:cs="宋体"/>
          <w:b/>
          <w:bCs/>
        </w:rPr>
        <w:t>注：1)投标（响应）供应商应如实提供上述人员的社会保险证明，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w:t>
      </w:r>
    </w:p>
    <w:p w14:paraId="205CC4BB">
      <w:pPr>
        <w:spacing w:line="360" w:lineRule="auto"/>
        <w:rPr>
          <w:rFonts w:ascii="宋体" w:hAnsi="宋体" w:cs="宋体"/>
          <w:b/>
          <w:bCs/>
        </w:rPr>
      </w:pPr>
      <w:r>
        <w:rPr>
          <w:rFonts w:hint="eastAsia" w:ascii="宋体" w:hAnsi="宋体" w:cs="宋体"/>
          <w:b/>
          <w:bCs/>
        </w:rPr>
        <w:t>2)如因为主管部门原因无法提供社保证明的，需提供主管部门官方通知证明（或官网公告截图）。</w:t>
      </w:r>
    </w:p>
    <w:p w14:paraId="2FA5B3D3">
      <w:pPr>
        <w:spacing w:line="360" w:lineRule="auto"/>
        <w:rPr>
          <w:rFonts w:ascii="宋体" w:hAnsi="宋体" w:cs="宋体"/>
          <w:b/>
          <w:bCs/>
        </w:rPr>
      </w:pPr>
      <w:r>
        <w:rPr>
          <w:rFonts w:hint="eastAsia" w:ascii="宋体" w:hAnsi="宋体" w:cs="宋体"/>
          <w:b/>
          <w:bCs/>
        </w:rPr>
        <w:t>3)如投标（响应）供应商为新成立单位且成立时间不足一个月或相关人员任职不足一个月，无法提供社保证明的，应提供加盖投标（响应）供应商公章的情况说明或者证明材料。</w:t>
      </w:r>
    </w:p>
    <w:p w14:paraId="738363DF">
      <w:pPr>
        <w:spacing w:line="360" w:lineRule="auto"/>
        <w:rPr>
          <w:rFonts w:ascii="宋体" w:hAnsi="宋体" w:cs="宋体"/>
          <w:b/>
          <w:bCs/>
        </w:rPr>
      </w:pPr>
      <w:r>
        <w:rPr>
          <w:rFonts w:hint="eastAsia" w:ascii="宋体" w:hAnsi="宋体" w:cs="宋体"/>
          <w:b/>
          <w:bCs/>
        </w:rPr>
        <w:t>4)如为退休人员，无法提供社保证明的，应提供加盖投标（响应）供应商公章的情况说明或者证明材料。</w:t>
      </w:r>
    </w:p>
    <w:p w14:paraId="04951524">
      <w:pPr>
        <w:spacing w:line="360" w:lineRule="auto"/>
        <w:rPr>
          <w:rFonts w:ascii="宋体" w:hAnsi="宋体" w:cs="宋体"/>
          <w:b/>
          <w:bCs/>
        </w:rPr>
      </w:pPr>
      <w:r>
        <w:rPr>
          <w:rFonts w:hint="eastAsia" w:ascii="宋体" w:hAnsi="宋体" w:cs="宋体"/>
          <w:b/>
          <w:bCs/>
        </w:rPr>
        <w:t>5)如为依法不需要缴纳社会保险或因为单位特殊性质、人员特殊情况等原因无法提供社保证明的，应提供加盖投标（响应）供应商公章的情况说明或者证明材料。</w:t>
      </w:r>
    </w:p>
    <w:p w14:paraId="6AE4CC5B">
      <w:pPr>
        <w:spacing w:line="360" w:lineRule="auto"/>
        <w:rPr>
          <w:rFonts w:ascii="宋体" w:hAnsi="宋体" w:cs="宋体"/>
          <w:b/>
          <w:bCs/>
        </w:rPr>
      </w:pPr>
      <w:r>
        <w:rPr>
          <w:rFonts w:hint="eastAsia" w:ascii="宋体" w:hAnsi="宋体" w:cs="宋体"/>
          <w:b/>
          <w:bCs/>
        </w:rPr>
        <w:t>6)如本项目未安排项目投标授权代表人、项目负责人、主要技术人员的，相关人员信息可填写“无”，无需提供未安排人员的社保证明。</w:t>
      </w:r>
    </w:p>
    <w:p w14:paraId="58B87D65">
      <w:pPr>
        <w:spacing w:line="360" w:lineRule="auto"/>
        <w:rPr>
          <w:rFonts w:ascii="宋体" w:hAnsi="宋体" w:cs="宋体"/>
          <w:b/>
          <w:bCs/>
        </w:rPr>
      </w:pPr>
      <w:r>
        <w:rPr>
          <w:rFonts w:hint="eastAsia" w:ascii="宋体" w:hAnsi="宋体" w:cs="宋体"/>
          <w:b/>
          <w:bCs/>
        </w:rPr>
        <w:t>7）本表中填报的人员姓名、身份证号码、缴纳社会保险单位应与社保证明材料中显示的信息相同。</w:t>
      </w:r>
    </w:p>
    <w:p w14:paraId="2AAC2286">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57ECD76E">
      <w:pPr>
        <w:spacing w:line="360" w:lineRule="auto"/>
        <w:rPr>
          <w:rFonts w:ascii="宋体" w:hAnsi="宋体" w:cs="宋体"/>
          <w:b/>
          <w:bCs/>
        </w:rPr>
      </w:pPr>
      <w:r>
        <w:rPr>
          <w:rFonts w:hint="eastAsia" w:ascii="宋体" w:hAnsi="宋体" w:cs="宋体"/>
        </w:rPr>
        <w:t>★</w:t>
      </w:r>
      <w:r>
        <w:rPr>
          <w:rFonts w:hint="eastAsia" w:ascii="宋体" w:hAnsi="宋体" w:cs="宋体"/>
          <w:b/>
          <w:bCs/>
        </w:rPr>
        <w:t>3、如审查发现投标（响应）供应商填报信息与其他平台查询结果不一致，将要求供应商在评审期间合理的时间内提供书面说明，供应商未按要求提供书面说明的，将导致投标（响应）无效。</w:t>
      </w:r>
    </w:p>
    <w:p w14:paraId="0B543B02">
      <w:pPr>
        <w:spacing w:line="360" w:lineRule="auto"/>
        <w:rPr>
          <w:rFonts w:ascii="宋体" w:hAnsi="宋体" w:cs="宋体"/>
          <w:b/>
          <w:bCs/>
          <w:highlight w:val="yellow"/>
        </w:rPr>
      </w:pPr>
    </w:p>
    <w:p w14:paraId="1150CF5F">
      <w:pPr>
        <w:pStyle w:val="4"/>
        <w:spacing w:line="400" w:lineRule="exact"/>
        <w:rPr>
          <w:rFonts w:ascii="仿宋" w:hAnsi="仿宋" w:eastAsia="仿宋"/>
        </w:rPr>
      </w:pPr>
      <w:r>
        <w:rPr>
          <w:rFonts w:hint="eastAsia" w:ascii="仿宋" w:hAnsi="仿宋" w:eastAsia="仿宋"/>
        </w:rPr>
        <w:t>个人社保缴纳明细截图</w:t>
      </w:r>
    </w:p>
    <w:p w14:paraId="2412B2FC">
      <w:pPr>
        <w:spacing w:line="560" w:lineRule="exact"/>
        <w:rPr>
          <w:rFonts w:ascii="宋体" w:hAnsi="宋体" w:cs="宋体"/>
          <w:szCs w:val="21"/>
        </w:rPr>
      </w:pPr>
      <w:r>
        <w:rPr>
          <w:rFonts w:hint="eastAsia" w:ascii="宋体" w:hAnsi="宋体" w:cs="宋体"/>
          <w:szCs w:val="21"/>
        </w:rPr>
        <w:t>1、</w:t>
      </w:r>
      <w:r>
        <w:rPr>
          <w:rFonts w:hint="eastAsia" w:ascii="宋体" w:hAnsi="宋体" w:cs="宋体"/>
          <w:spacing w:val="-6"/>
          <w:szCs w:val="21"/>
        </w:rPr>
        <w:t>法定代表人/单位负责人/主要经营负责人</w:t>
      </w:r>
    </w:p>
    <w:p w14:paraId="4D078B3E">
      <w:pPr>
        <w:spacing w:line="560" w:lineRule="exact"/>
        <w:rPr>
          <w:rFonts w:ascii="宋体" w:hAnsi="宋体" w:cs="宋体"/>
          <w:szCs w:val="21"/>
        </w:rPr>
      </w:pPr>
    </w:p>
    <w:p w14:paraId="44B4B800">
      <w:pPr>
        <w:spacing w:line="560" w:lineRule="exact"/>
        <w:rPr>
          <w:rFonts w:ascii="宋体" w:hAnsi="宋体" w:cs="宋体"/>
          <w:szCs w:val="21"/>
        </w:rPr>
      </w:pPr>
    </w:p>
    <w:p w14:paraId="6DA4E25E">
      <w:pPr>
        <w:spacing w:line="560" w:lineRule="exact"/>
        <w:rPr>
          <w:rFonts w:ascii="宋体" w:hAnsi="宋体" w:cs="宋体"/>
          <w:szCs w:val="21"/>
        </w:rPr>
      </w:pPr>
      <w:r>
        <w:rPr>
          <w:rFonts w:hint="eastAsia" w:ascii="宋体" w:hAnsi="宋体" w:cs="宋体"/>
          <w:szCs w:val="21"/>
        </w:rPr>
        <w:t>2、项目投标授权代表人</w:t>
      </w:r>
    </w:p>
    <w:p w14:paraId="030ABC09">
      <w:pPr>
        <w:spacing w:line="560" w:lineRule="exact"/>
        <w:rPr>
          <w:rFonts w:ascii="宋体" w:hAnsi="宋体" w:cs="宋体"/>
          <w:szCs w:val="21"/>
        </w:rPr>
      </w:pPr>
    </w:p>
    <w:p w14:paraId="014D3609">
      <w:pPr>
        <w:spacing w:line="560" w:lineRule="exact"/>
        <w:rPr>
          <w:rFonts w:ascii="宋体" w:hAnsi="宋体" w:cs="宋体"/>
          <w:szCs w:val="21"/>
        </w:rPr>
      </w:pPr>
    </w:p>
    <w:p w14:paraId="484F0287">
      <w:pPr>
        <w:spacing w:line="560" w:lineRule="exact"/>
        <w:rPr>
          <w:rFonts w:ascii="宋体" w:hAnsi="宋体" w:cs="宋体"/>
          <w:szCs w:val="21"/>
        </w:rPr>
      </w:pPr>
      <w:r>
        <w:rPr>
          <w:rFonts w:hint="eastAsia" w:ascii="宋体" w:hAnsi="宋体" w:cs="宋体"/>
          <w:szCs w:val="21"/>
        </w:rPr>
        <w:t>3、项目负责人</w:t>
      </w:r>
    </w:p>
    <w:p w14:paraId="528918B8">
      <w:pPr>
        <w:spacing w:line="560" w:lineRule="exact"/>
        <w:rPr>
          <w:rFonts w:ascii="宋体" w:hAnsi="宋体" w:cs="宋体"/>
          <w:szCs w:val="21"/>
        </w:rPr>
      </w:pPr>
    </w:p>
    <w:p w14:paraId="756EAE8E">
      <w:pPr>
        <w:spacing w:line="560" w:lineRule="exact"/>
        <w:rPr>
          <w:rFonts w:ascii="宋体" w:hAnsi="宋体" w:cs="宋体"/>
          <w:szCs w:val="21"/>
        </w:rPr>
      </w:pPr>
    </w:p>
    <w:p w14:paraId="433FA029">
      <w:pPr>
        <w:spacing w:line="560" w:lineRule="exact"/>
        <w:rPr>
          <w:rFonts w:ascii="宋体" w:hAnsi="宋体" w:cs="宋体"/>
          <w:szCs w:val="21"/>
        </w:rPr>
      </w:pPr>
      <w:r>
        <w:rPr>
          <w:rFonts w:hint="eastAsia" w:ascii="宋体" w:hAnsi="宋体" w:cs="宋体"/>
          <w:szCs w:val="21"/>
        </w:rPr>
        <w:t>4、主要技术人员</w:t>
      </w:r>
    </w:p>
    <w:p w14:paraId="2CDF78A7">
      <w:pPr>
        <w:spacing w:line="560" w:lineRule="exact"/>
        <w:rPr>
          <w:rFonts w:ascii="宋体" w:hAnsi="宋体" w:cs="宋体"/>
          <w:szCs w:val="21"/>
        </w:rPr>
      </w:pPr>
    </w:p>
    <w:p w14:paraId="552EC149">
      <w:pPr>
        <w:spacing w:line="560" w:lineRule="exact"/>
        <w:rPr>
          <w:rFonts w:ascii="宋体" w:hAnsi="宋体" w:cs="宋体"/>
          <w:szCs w:val="21"/>
        </w:rPr>
      </w:pPr>
    </w:p>
    <w:p w14:paraId="5C601A1E">
      <w:pPr>
        <w:numPr>
          <w:ilvl w:val="0"/>
          <w:numId w:val="14"/>
        </w:numPr>
        <w:spacing w:line="560" w:lineRule="exact"/>
        <w:rPr>
          <w:rFonts w:ascii="宋体" w:hAnsi="宋体" w:cs="宋体"/>
          <w:spacing w:val="-2"/>
          <w:szCs w:val="21"/>
        </w:rPr>
      </w:pPr>
      <w:r>
        <w:rPr>
          <w:rFonts w:hint="eastAsia" w:ascii="宋体" w:hAnsi="宋体" w:cs="宋体"/>
          <w:spacing w:val="-2"/>
          <w:szCs w:val="21"/>
        </w:rPr>
        <w:t>投标文件编制人员</w:t>
      </w:r>
    </w:p>
    <w:p w14:paraId="4B575831">
      <w:pPr>
        <w:spacing w:line="560" w:lineRule="exact"/>
        <w:rPr>
          <w:rFonts w:ascii="宋体" w:hAnsi="宋体" w:cs="宋体"/>
          <w:spacing w:val="-2"/>
          <w:szCs w:val="21"/>
        </w:rPr>
      </w:pPr>
    </w:p>
    <w:p w14:paraId="1511C8A2">
      <w:pPr>
        <w:spacing w:line="560" w:lineRule="exact"/>
        <w:rPr>
          <w:rFonts w:ascii="宋体" w:hAnsi="宋体" w:cs="宋体"/>
          <w:szCs w:val="21"/>
        </w:rPr>
      </w:pPr>
    </w:p>
    <w:p w14:paraId="629DB56C">
      <w:pPr>
        <w:spacing w:line="560" w:lineRule="exact"/>
        <w:rPr>
          <w:rFonts w:ascii="宋体" w:hAnsi="宋体" w:cs="宋体"/>
          <w:szCs w:val="21"/>
        </w:rPr>
      </w:pPr>
      <w:r>
        <w:rPr>
          <w:rFonts w:hint="eastAsia" w:ascii="宋体" w:hAnsi="宋体" w:cs="宋体"/>
          <w:szCs w:val="21"/>
        </w:rPr>
        <w:t>其他说明材料：(可以根据项目情况增添附件)</w:t>
      </w:r>
    </w:p>
    <w:p w14:paraId="71C5F4C8">
      <w:pPr>
        <w:pStyle w:val="4"/>
      </w:pPr>
    </w:p>
    <w:p w14:paraId="7CBDBBEC">
      <w:r>
        <w:rPr>
          <w:rFonts w:hint="eastAsia" w:ascii="宋体" w:hAnsi="宋体" w:cs="宋体"/>
          <w:szCs w:val="21"/>
        </w:rPr>
        <w:t>注：同一人员兼任不同职务的，可以合并提供社保等证明材料，本格式仅供参考。</w:t>
      </w:r>
    </w:p>
    <w:p w14:paraId="22973D65">
      <w:pPr>
        <w:rPr>
          <w:rFonts w:asciiTheme="minorEastAsia" w:hAnsiTheme="minorEastAsia" w:eastAsiaTheme="minorEastAsia"/>
        </w:rPr>
      </w:pPr>
      <w:r>
        <w:rPr>
          <w:rFonts w:hint="eastAsia" w:asciiTheme="minorEastAsia" w:hAnsiTheme="minorEastAsia" w:eastAsiaTheme="minorEastAsia"/>
        </w:rPr>
        <w:br w:type="page"/>
      </w:r>
    </w:p>
    <w:bookmarkEnd w:id="59"/>
    <w:bookmarkEnd w:id="60"/>
    <w:bookmarkEnd w:id="61"/>
    <w:bookmarkEnd w:id="62"/>
    <w:bookmarkEnd w:id="63"/>
    <w:p w14:paraId="67AF1EEF">
      <w:pPr>
        <w:pStyle w:val="3"/>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p>
    <w:p w14:paraId="22BA4B10">
      <w:pPr>
        <w:adjustRightInd w:val="0"/>
        <w:snapToGrid w:val="0"/>
        <w:spacing w:line="360" w:lineRule="auto"/>
        <w:ind w:firstLine="424" w:firstLineChars="202"/>
        <w:rPr>
          <w:rFonts w:ascii="宋体" w:hAnsi="宋体"/>
          <w:bCs/>
          <w:snapToGrid w:val="0"/>
          <w:kern w:val="0"/>
          <w:szCs w:val="21"/>
        </w:rPr>
      </w:pPr>
    </w:p>
    <w:p w14:paraId="251F9A15">
      <w:pPr>
        <w:adjustRightInd w:val="0"/>
        <w:snapToGrid w:val="0"/>
        <w:spacing w:line="360" w:lineRule="auto"/>
        <w:ind w:firstLine="424" w:firstLineChars="202"/>
        <w:rPr>
          <w:szCs w:val="21"/>
        </w:rPr>
      </w:pPr>
      <w:r>
        <w:rPr>
          <w:rFonts w:hint="eastAsia"/>
          <w:szCs w:val="21"/>
        </w:rPr>
        <w:t>1、营业执照或法人证书等证明材料</w:t>
      </w:r>
    </w:p>
    <w:p w14:paraId="0C09D459">
      <w:pPr>
        <w:spacing w:line="400" w:lineRule="exact"/>
        <w:ind w:firstLine="420" w:firstLineChars="200"/>
        <w:rPr>
          <w:rFonts w:ascii="宋体" w:hAnsi="宋体"/>
          <w:snapToGrid w:val="0"/>
        </w:rPr>
      </w:pPr>
      <w:r>
        <w:rPr>
          <w:rFonts w:hint="eastAsia" w:ascii="宋体" w:hAnsi="宋体" w:cs="Courier New"/>
          <w:snapToGrid w:val="0"/>
          <w:szCs w:val="18"/>
        </w:rPr>
        <w:t>注：</w:t>
      </w:r>
      <w:r>
        <w:rPr>
          <w:rFonts w:hint="eastAsia" w:ascii="宋体" w:hAnsi="宋体"/>
          <w:snapToGrid w:val="0"/>
        </w:rPr>
        <w:t>如果是分支机构参与投标，还须同时提供其具有独立法人资格的上级主体出具的有效授权书及上级主体的营业执照或法人证书等证明材料复印件或扫描件加盖投标人公章，原件备查；本项目不接受总公司与分支机构同时参与投标，也不接受同一总公司有两个或以上分支机构参与投标，如出现以上情形，该两家或以上投标人均按无效投标处理。</w:t>
      </w:r>
    </w:p>
    <w:p w14:paraId="7511DB01">
      <w:pPr>
        <w:spacing w:line="400" w:lineRule="exact"/>
        <w:ind w:firstLine="420" w:firstLineChars="200"/>
        <w:rPr>
          <w:rFonts w:ascii="宋体" w:hAnsi="宋体" w:cs="Courier New"/>
          <w:snapToGrid w:val="0"/>
          <w:szCs w:val="18"/>
        </w:rPr>
      </w:pPr>
    </w:p>
    <w:p w14:paraId="28FEE5B2">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（提供复印件或扫描件加盖投标人公章）</w:t>
      </w:r>
    </w:p>
    <w:p w14:paraId="707D4C1B"/>
    <w:p w14:paraId="06DE8A29">
      <w:pPr>
        <w:adjustRightInd w:val="0"/>
        <w:snapToGrid w:val="0"/>
        <w:spacing w:line="360" w:lineRule="auto"/>
        <w:ind w:firstLine="424" w:firstLineChars="202"/>
        <w:rPr>
          <w:rFonts w:ascii="宋体" w:hAnsi="宋体"/>
          <w:bCs/>
          <w:snapToGrid w:val="0"/>
          <w:kern w:val="0"/>
          <w:szCs w:val="21"/>
        </w:rPr>
      </w:pPr>
    </w:p>
    <w:p w14:paraId="0B30A923">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615F4F8D"/>
    <w:p w14:paraId="56E57734">
      <w:pPr>
        <w:adjustRightInd w:val="0"/>
        <w:spacing w:line="300" w:lineRule="auto"/>
        <w:ind w:hanging="2"/>
        <w:jc w:val="center"/>
      </w:pPr>
      <w:r>
        <w:rPr>
          <w:rFonts w:hint="eastAsia"/>
          <w:b/>
          <w:snapToGrid w:val="0"/>
          <w:kern w:val="0"/>
          <w:sz w:val="28"/>
        </w:rPr>
        <w:t>政府采购投标及履约承诺函</w:t>
      </w:r>
    </w:p>
    <w:p w14:paraId="416D57E3">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3FA1EB57">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1026E787">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4F53FD9B">
      <w:pPr>
        <w:spacing w:line="400" w:lineRule="exact"/>
        <w:ind w:firstLine="420" w:firstLineChars="200"/>
        <w:rPr>
          <w:rFonts w:ascii="宋体" w:hAnsi="宋体"/>
          <w:szCs w:val="21"/>
        </w:rPr>
      </w:pPr>
      <w:r>
        <w:rPr>
          <w:rFonts w:hint="eastAsia" w:ascii="宋体" w:hAnsi="宋体"/>
          <w:szCs w:val="21"/>
        </w:rPr>
        <w:t>（一）具有独立承担民事责任的能力；</w:t>
      </w:r>
    </w:p>
    <w:p w14:paraId="5AB1607C">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697A88E3">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6A6FE9E2">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2AE00F9B">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50FDF5FE">
      <w:pPr>
        <w:spacing w:line="400" w:lineRule="exact"/>
        <w:ind w:firstLine="420" w:firstLineChars="200"/>
        <w:rPr>
          <w:rFonts w:ascii="宋体" w:hAnsi="宋体"/>
          <w:szCs w:val="21"/>
        </w:rPr>
      </w:pPr>
      <w:r>
        <w:rPr>
          <w:rFonts w:hint="eastAsia" w:ascii="宋体" w:hAnsi="宋体"/>
          <w:szCs w:val="21"/>
        </w:rPr>
        <w:t>（六）法律、行政法规规定的其他条件。</w:t>
      </w:r>
    </w:p>
    <w:p w14:paraId="4416C6FA">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7A7E3CDB">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13EDFC64">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78640042">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5B3239E9">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w:t>
      </w:r>
      <w:r>
        <w:rPr>
          <w:rFonts w:hint="eastAsia" w:ascii="宋体" w:hAnsi="宋体" w:cs="宋体"/>
          <w:szCs w:val="21"/>
        </w:rPr>
        <w:t>与其他采购参加人不存在包括但不限于以下串通投标情形</w:t>
      </w:r>
      <w:r>
        <w:rPr>
          <w:rFonts w:hint="eastAsia" w:ascii="宋体" w:hAnsi="宋体"/>
          <w:szCs w:val="21"/>
        </w:rPr>
        <w:t>：</w:t>
      </w:r>
    </w:p>
    <w:p w14:paraId="024E3D9D">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4A1E7386">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39317B5F">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36226759">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1CC39D14">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2F329641">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30D5C2BE">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18B8919D">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4DF6FB50">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1B703309">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EC6E7AB">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439FC8E3">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41DF4738">
      <w:pPr>
        <w:spacing w:line="360" w:lineRule="auto"/>
        <w:ind w:firstLine="600"/>
        <w:rPr>
          <w:rFonts w:cs="Courier New"/>
          <w:snapToGrid w:val="0"/>
          <w:szCs w:val="18"/>
        </w:rPr>
      </w:pPr>
    </w:p>
    <w:p w14:paraId="171ADEAF">
      <w:pPr>
        <w:adjustRightInd w:val="0"/>
        <w:snapToGrid w:val="0"/>
        <w:spacing w:line="300" w:lineRule="auto"/>
        <w:rPr>
          <w:snapToGrid w:val="0"/>
          <w:kern w:val="0"/>
        </w:rPr>
      </w:pPr>
      <w:r>
        <w:rPr>
          <w:rFonts w:hint="eastAsia"/>
          <w:snapToGrid w:val="0"/>
          <w:kern w:val="0"/>
        </w:rPr>
        <w:t>投标单位：（加盖公章）</w:t>
      </w:r>
    </w:p>
    <w:p w14:paraId="65ED7FBE">
      <w:pPr>
        <w:adjustRightInd w:val="0"/>
        <w:snapToGrid w:val="0"/>
        <w:spacing w:line="300" w:lineRule="auto"/>
        <w:rPr>
          <w:snapToGrid w:val="0"/>
          <w:kern w:val="0"/>
        </w:rPr>
      </w:pPr>
    </w:p>
    <w:p w14:paraId="11580EFE">
      <w:pPr>
        <w:adjustRightInd w:val="0"/>
        <w:snapToGrid w:val="0"/>
        <w:spacing w:line="360" w:lineRule="auto"/>
        <w:ind w:firstLine="600"/>
        <w:jc w:val="right"/>
      </w:pPr>
      <w:r>
        <w:rPr>
          <w:rFonts w:hint="eastAsia"/>
        </w:rPr>
        <w:t>年     月    日</w:t>
      </w:r>
    </w:p>
    <w:p w14:paraId="62BE942D">
      <w:pPr>
        <w:adjustRightInd w:val="0"/>
        <w:snapToGrid w:val="0"/>
        <w:spacing w:line="360" w:lineRule="auto"/>
        <w:ind w:firstLine="600"/>
        <w:jc w:val="right"/>
      </w:pPr>
    </w:p>
    <w:p w14:paraId="555CD198">
      <w:pPr>
        <w:adjustRightInd w:val="0"/>
        <w:snapToGrid w:val="0"/>
        <w:spacing w:line="360" w:lineRule="auto"/>
        <w:ind w:firstLine="600"/>
        <w:jc w:val="right"/>
      </w:pPr>
    </w:p>
    <w:p w14:paraId="28AC55FD">
      <w:pPr>
        <w:adjustRightInd w:val="0"/>
        <w:snapToGrid w:val="0"/>
        <w:spacing w:line="360" w:lineRule="auto"/>
        <w:ind w:firstLine="424" w:firstLineChars="202"/>
        <w:rPr>
          <w:rFonts w:ascii="宋体" w:hAnsi="宋体"/>
        </w:rPr>
      </w:pPr>
      <w:r>
        <w:rPr>
          <w:rFonts w:hint="eastAsia" w:ascii="宋体" w:hAnsi="宋体"/>
        </w:rPr>
        <w:t>3、其它资格证明材料</w:t>
      </w:r>
    </w:p>
    <w:p w14:paraId="12F23F58">
      <w:pPr>
        <w:spacing w:line="400" w:lineRule="exact"/>
        <w:ind w:firstLine="420" w:firstLineChars="200"/>
        <w:rPr>
          <w:rFonts w:ascii="宋体" w:hAnsi="宋体"/>
          <w:szCs w:val="21"/>
        </w:rPr>
      </w:pPr>
      <w:r>
        <w:rPr>
          <w:rFonts w:hint="eastAsia" w:ascii="宋体" w:hAnsi="宋体"/>
          <w:szCs w:val="21"/>
        </w:rPr>
        <w:t>（如有，按第一章投标邀请“申请人的资格要求”提供）</w:t>
      </w:r>
    </w:p>
    <w:p w14:paraId="4AFCF605">
      <w:pPr>
        <w:adjustRightInd w:val="0"/>
        <w:snapToGrid w:val="0"/>
        <w:spacing w:line="360" w:lineRule="auto"/>
        <w:ind w:firstLine="600"/>
        <w:jc w:val="right"/>
      </w:pPr>
    </w:p>
    <w:p w14:paraId="10FE9F6F">
      <w:pPr>
        <w:adjustRightInd w:val="0"/>
        <w:snapToGrid w:val="0"/>
        <w:spacing w:line="360" w:lineRule="auto"/>
        <w:ind w:firstLine="600"/>
        <w:jc w:val="right"/>
      </w:pPr>
    </w:p>
    <w:p w14:paraId="6C73C5D9">
      <w:pPr>
        <w:adjustRightInd w:val="0"/>
        <w:snapToGrid w:val="0"/>
        <w:spacing w:line="360" w:lineRule="auto"/>
        <w:ind w:firstLine="487" w:firstLineChars="202"/>
        <w:rPr>
          <w:rFonts w:ascii="楷体_GB2312" w:eastAsia="楷体_GB2312"/>
          <w:b/>
          <w:bCs/>
          <w:snapToGrid w:val="0"/>
          <w:kern w:val="0"/>
          <w:sz w:val="24"/>
        </w:rPr>
      </w:pPr>
      <w:r>
        <w:rPr>
          <w:rFonts w:hint="eastAsia" w:ascii="楷体_GB2312" w:eastAsia="楷体_GB2312"/>
          <w:b/>
          <w:bCs/>
          <w:snapToGrid w:val="0"/>
          <w:kern w:val="0"/>
          <w:sz w:val="24"/>
        </w:rPr>
        <w:t>注：投标人提供的以上资料均需加盖公章</w:t>
      </w:r>
    </w:p>
    <w:p w14:paraId="769F927B">
      <w:pPr>
        <w:adjustRightInd w:val="0"/>
        <w:snapToGrid w:val="0"/>
        <w:spacing w:line="360" w:lineRule="auto"/>
        <w:ind w:firstLine="600"/>
        <w:jc w:val="right"/>
      </w:pPr>
    </w:p>
    <w:p w14:paraId="5D6A69BB">
      <w:pPr>
        <w:adjustRightInd w:val="0"/>
        <w:snapToGrid w:val="0"/>
        <w:spacing w:line="360" w:lineRule="auto"/>
        <w:ind w:firstLine="600"/>
        <w:jc w:val="right"/>
      </w:pPr>
    </w:p>
    <w:p w14:paraId="17DE3CE7">
      <w:pPr>
        <w:adjustRightInd w:val="0"/>
        <w:snapToGrid w:val="0"/>
        <w:spacing w:line="360" w:lineRule="auto"/>
        <w:ind w:firstLine="600"/>
        <w:jc w:val="right"/>
      </w:pPr>
    </w:p>
    <w:p w14:paraId="1D50F713">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64" w:name="_Toc135293183"/>
      <w:r>
        <w:rPr>
          <w:rFonts w:hint="eastAsia" w:asciiTheme="minorEastAsia" w:hAnsiTheme="minorEastAsia" w:eastAsiaTheme="minorEastAsia"/>
        </w:rPr>
        <w:t>格式2  法定代表人（负责人）证明书及授权委托书</w:t>
      </w:r>
      <w:bookmarkEnd w:id="64"/>
    </w:p>
    <w:p w14:paraId="056B49FC">
      <w:pPr>
        <w:widowControl/>
        <w:jc w:val="left"/>
        <w:rPr>
          <w:rFonts w:ascii="宋体" w:hAnsi="宋体"/>
          <w:b/>
          <w:sz w:val="28"/>
          <w:szCs w:val="28"/>
        </w:rPr>
      </w:pPr>
    </w:p>
    <w:p w14:paraId="41A93381">
      <w:pPr>
        <w:spacing w:line="360" w:lineRule="auto"/>
        <w:ind w:firstLine="422" w:firstLineChars="175"/>
        <w:rPr>
          <w:b/>
          <w:sz w:val="24"/>
        </w:rPr>
      </w:pPr>
      <w:r>
        <w:rPr>
          <w:rFonts w:hint="eastAsia"/>
          <w:b/>
          <w:sz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52C63284">
      <w:pPr>
        <w:pStyle w:val="4"/>
      </w:pPr>
    </w:p>
    <w:p w14:paraId="6BBCF713">
      <w:pPr>
        <w:rPr>
          <w:rFonts w:ascii="宋体" w:hAnsi="宋体"/>
          <w:b/>
          <w:sz w:val="28"/>
          <w:szCs w:val="28"/>
        </w:rPr>
      </w:pPr>
      <w:r>
        <w:rPr>
          <w:rFonts w:hint="eastAsia" w:ascii="宋体" w:hAnsi="宋体"/>
          <w:b/>
          <w:sz w:val="28"/>
          <w:szCs w:val="28"/>
        </w:rPr>
        <w:br w:type="page"/>
      </w:r>
    </w:p>
    <w:p w14:paraId="221FFFD9">
      <w:pPr>
        <w:widowControl/>
        <w:jc w:val="center"/>
        <w:rPr>
          <w:rFonts w:ascii="宋体" w:hAnsi="宋体"/>
          <w:b/>
          <w:sz w:val="28"/>
          <w:szCs w:val="28"/>
        </w:rPr>
      </w:pPr>
      <w:r>
        <w:rPr>
          <w:rFonts w:hint="eastAsia" w:ascii="宋体" w:hAnsi="宋体"/>
          <w:b/>
          <w:sz w:val="28"/>
          <w:szCs w:val="28"/>
        </w:rPr>
        <w:t>法定代表人（负责人）证明书（参考）</w:t>
      </w:r>
    </w:p>
    <w:p w14:paraId="5DEAB4E2">
      <w:pPr>
        <w:spacing w:line="400" w:lineRule="exact"/>
        <w:rPr>
          <w:rFonts w:ascii="宋体" w:hAnsi="宋体"/>
          <w:bCs/>
          <w:sz w:val="28"/>
        </w:rPr>
      </w:pPr>
    </w:p>
    <w:p w14:paraId="44C0C1AB">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5F6872A6">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4A9FB5C7">
      <w:pPr>
        <w:spacing w:line="480" w:lineRule="auto"/>
        <w:ind w:firstLine="420" w:firstLineChars="200"/>
        <w:rPr>
          <w:rFonts w:ascii="宋体" w:hAnsi="宋体"/>
        </w:rPr>
      </w:pPr>
      <w:r>
        <w:rPr>
          <w:rFonts w:hint="eastAsia" w:ascii="宋体" w:hAnsi="宋体"/>
        </w:rPr>
        <w:t>附：</w:t>
      </w:r>
    </w:p>
    <w:p w14:paraId="1AF9AFB5">
      <w:pPr>
        <w:spacing w:line="480" w:lineRule="auto"/>
        <w:ind w:firstLine="840" w:firstLineChars="400"/>
        <w:rPr>
          <w:rFonts w:ascii="宋体" w:hAnsi="宋体"/>
        </w:rPr>
      </w:pPr>
      <w:r>
        <w:rPr>
          <w:rFonts w:hint="eastAsia" w:ascii="宋体" w:hAnsi="宋体"/>
        </w:rPr>
        <w:t xml:space="preserve">营业执照（注册号）：                       </w:t>
      </w:r>
    </w:p>
    <w:p w14:paraId="5EE26B0A">
      <w:pPr>
        <w:spacing w:line="480" w:lineRule="auto"/>
        <w:ind w:firstLine="840" w:firstLineChars="400"/>
        <w:rPr>
          <w:rFonts w:ascii="宋体" w:hAnsi="宋体"/>
        </w:rPr>
      </w:pPr>
      <w:r>
        <w:rPr>
          <w:rFonts w:hint="eastAsia" w:ascii="宋体" w:hAnsi="宋体"/>
        </w:rPr>
        <w:t>经济性质：</w:t>
      </w:r>
    </w:p>
    <w:p w14:paraId="37158FFE">
      <w:pPr>
        <w:spacing w:line="480" w:lineRule="auto"/>
        <w:ind w:firstLine="840" w:firstLineChars="400"/>
        <w:rPr>
          <w:rFonts w:ascii="宋体" w:hAnsi="宋体"/>
        </w:rPr>
      </w:pPr>
      <w:r>
        <w:rPr>
          <w:rFonts w:hint="eastAsia" w:ascii="宋体" w:hAnsi="宋体"/>
        </w:rPr>
        <w:t>主营（产）：</w:t>
      </w:r>
    </w:p>
    <w:p w14:paraId="097358F8">
      <w:pPr>
        <w:spacing w:line="480" w:lineRule="auto"/>
        <w:ind w:firstLine="840" w:firstLineChars="400"/>
        <w:rPr>
          <w:rFonts w:ascii="宋体" w:hAnsi="宋体"/>
        </w:rPr>
      </w:pPr>
      <w:r>
        <w:rPr>
          <w:rFonts w:hint="eastAsia" w:ascii="宋体" w:hAnsi="宋体"/>
        </w:rPr>
        <w:t>兼营（产）：</w:t>
      </w:r>
    </w:p>
    <w:p w14:paraId="5BB13E47">
      <w:pPr>
        <w:spacing w:line="480" w:lineRule="auto"/>
        <w:ind w:firstLine="960" w:firstLineChars="400"/>
        <w:rPr>
          <w:rFonts w:ascii="宋体" w:hAnsi="宋体"/>
          <w:sz w:val="24"/>
        </w:rPr>
      </w:pPr>
    </w:p>
    <w:p w14:paraId="01035C6E">
      <w:pPr>
        <w:spacing w:line="500" w:lineRule="exact"/>
        <w:rPr>
          <w:rFonts w:ascii="宋体"/>
          <w:b/>
          <w:bCs/>
        </w:rPr>
      </w:pPr>
      <w:r>
        <w:rPr>
          <w:rFonts w:ascii="宋体"/>
          <w:b/>
          <w:bCs/>
        </w:rPr>
        <mc:AlternateContent>
          <mc:Choice Requires="wps">
            <w:drawing>
              <wp:anchor distT="0" distB="0" distL="114300" distR="114300" simplePos="0" relativeHeight="251664384"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11" name="矩形 11"/>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EBDA60">
                            <w:pPr>
                              <w:ind w:firstLine="1260" w:firstLineChars="600"/>
                            </w:pPr>
                            <w:r>
                              <w:rPr>
                                <w:rFonts w:hint="eastAsia"/>
                              </w:rPr>
                              <w:t xml:space="preserve"> 法定代表人</w:t>
                            </w:r>
                            <w:r>
                              <w:rPr>
                                <w:rFonts w:hint="eastAsia" w:ascii="宋体" w:hAnsi="宋体"/>
                              </w:rPr>
                              <w:t>（负责人）</w:t>
                            </w:r>
                          </w:p>
                          <w:p w14:paraId="49F07814">
                            <w:pPr>
                              <w:ind w:firstLine="1050" w:firstLineChars="500"/>
                            </w:pPr>
                            <w:r>
                              <w:rPr>
                                <w:rFonts w:hint="eastAsia"/>
                              </w:rPr>
                              <w:t xml:space="preserve"> 居民身份证复印件粘贴处</w:t>
                            </w:r>
                          </w:p>
                          <w:p w14:paraId="1EC3B218">
                            <w:pPr>
                              <w:ind w:firstLine="1050" w:firstLineChars="500"/>
                            </w:pPr>
                          </w:p>
                          <w:p w14:paraId="33BAF76D">
                            <w:pPr>
                              <w:ind w:firstLine="1785" w:firstLineChars="850"/>
                            </w:pPr>
                            <w:r>
                              <w:rPr>
                                <w:rFonts w:hint="eastAsia"/>
                              </w:rPr>
                              <w:t>（反面）</w:t>
                            </w:r>
                          </w:p>
                          <w:p w14:paraId="3C622788">
                            <w:pPr>
                              <w:ind w:firstLine="1050" w:firstLineChars="500"/>
                            </w:pPr>
                          </w:p>
                          <w:p w14:paraId="7907140B"/>
                        </w:txbxContent>
                      </wps:txbx>
                      <wps:bodyPr upright="1"/>
                    </wps:wsp>
                  </a:graphicData>
                </a:graphic>
              </wp:anchor>
            </w:drawing>
          </mc:Choice>
          <mc:Fallback>
            <w:pict>
              <v:rect id="_x0000_s1026" o:spid="_x0000_s1026" o:spt="1" style="position:absolute;left:0pt;margin-left:250.65pt;margin-top:10.75pt;height:156pt;width:243pt;z-index:251664384;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Lbtl9gAAAAKAQAADwAAAAAAAAABACAAAAAiAAAAZHJzL2Rv&#10;d25yZXYueG1sUEsBAhQAFAAAAAgAh07iQBNJvKIBAgAALAQAAA4AAAAAAAAAAQAgAAAAJwEAAGRy&#10;cy9lMm9Eb2MueG1sUEsFBgAAAAAGAAYAWQEAAJoFAAAAAA==&#10;">
                <v:fill on="t" focussize="0,0"/>
                <v:stroke color="#000000" joinstyle="miter"/>
                <v:imagedata o:title=""/>
                <o:lock v:ext="edit" aspectratio="f"/>
                <v:textbox>
                  <w:txbxContent>
                    <w:p w14:paraId="61EBDA60">
                      <w:pPr>
                        <w:ind w:firstLine="1260" w:firstLineChars="600"/>
                      </w:pPr>
                      <w:r>
                        <w:rPr>
                          <w:rFonts w:hint="eastAsia"/>
                        </w:rPr>
                        <w:t xml:space="preserve"> 法定代表人</w:t>
                      </w:r>
                      <w:r>
                        <w:rPr>
                          <w:rFonts w:hint="eastAsia" w:ascii="宋体" w:hAnsi="宋体"/>
                        </w:rPr>
                        <w:t>（负责人）</w:t>
                      </w:r>
                    </w:p>
                    <w:p w14:paraId="49F07814">
                      <w:pPr>
                        <w:ind w:firstLine="1050" w:firstLineChars="500"/>
                      </w:pPr>
                      <w:r>
                        <w:rPr>
                          <w:rFonts w:hint="eastAsia"/>
                        </w:rPr>
                        <w:t xml:space="preserve"> 居民身份证复印件粘贴处</w:t>
                      </w:r>
                    </w:p>
                    <w:p w14:paraId="1EC3B218">
                      <w:pPr>
                        <w:ind w:firstLine="1050" w:firstLineChars="500"/>
                      </w:pPr>
                    </w:p>
                    <w:p w14:paraId="33BAF76D">
                      <w:pPr>
                        <w:ind w:firstLine="1785" w:firstLineChars="850"/>
                      </w:pPr>
                      <w:r>
                        <w:rPr>
                          <w:rFonts w:hint="eastAsia"/>
                        </w:rPr>
                        <w:t>（反面）</w:t>
                      </w:r>
                    </w:p>
                    <w:p w14:paraId="3C622788">
                      <w:pPr>
                        <w:ind w:firstLine="1050" w:firstLineChars="500"/>
                      </w:pPr>
                    </w:p>
                    <w:p w14:paraId="7907140B"/>
                  </w:txbxContent>
                </v:textbox>
              </v:rect>
            </w:pict>
          </mc:Fallback>
        </mc:AlternateContent>
      </w: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7" name="矩形 7"/>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2C5D1F">
                            <w:pPr>
                              <w:ind w:firstLine="1260" w:firstLineChars="600"/>
                              <w:jc w:val="left"/>
                            </w:pPr>
                            <w:r>
                              <w:rPr>
                                <w:rFonts w:hint="eastAsia"/>
                              </w:rPr>
                              <w:t>法定代表人</w:t>
                            </w:r>
                            <w:r>
                              <w:rPr>
                                <w:rFonts w:hint="eastAsia" w:ascii="宋体" w:hAnsi="宋体"/>
                              </w:rPr>
                              <w:t>（负责人）</w:t>
                            </w:r>
                          </w:p>
                          <w:p w14:paraId="23F3C2C4">
                            <w:pPr>
                              <w:ind w:firstLine="1050" w:firstLineChars="500"/>
                              <w:jc w:val="left"/>
                            </w:pPr>
                            <w:r>
                              <w:rPr>
                                <w:rFonts w:hint="eastAsia"/>
                              </w:rPr>
                              <w:t xml:space="preserve"> 居民身份证复印件粘贴处</w:t>
                            </w:r>
                          </w:p>
                          <w:p w14:paraId="45490FB3">
                            <w:pPr>
                              <w:ind w:firstLine="1050" w:firstLineChars="500"/>
                              <w:jc w:val="left"/>
                            </w:pPr>
                          </w:p>
                          <w:p w14:paraId="54BBCCD9">
                            <w:pPr>
                              <w:ind w:firstLine="1785" w:firstLineChars="850"/>
                              <w:jc w:val="left"/>
                            </w:pPr>
                            <w:r>
                              <w:rPr>
                                <w:rFonts w:hint="eastAsia"/>
                              </w:rPr>
                              <w:t>（正面）</w:t>
                            </w:r>
                          </w:p>
                          <w:p w14:paraId="47DF33FD">
                            <w:pPr>
                              <w:ind w:firstLine="1050" w:firstLineChars="500"/>
                              <w:jc w:val="left"/>
                            </w:pPr>
                          </w:p>
                          <w:p w14:paraId="7F86B0D3">
                            <w:pPr>
                              <w:jc w:val="left"/>
                            </w:pPr>
                          </w:p>
                        </w:txbxContent>
                      </wps:txbx>
                      <wps:bodyPr upright="1"/>
                    </wps:wsp>
                  </a:graphicData>
                </a:graphic>
              </wp:anchor>
            </w:drawing>
          </mc:Choice>
          <mc:Fallback>
            <w:pict>
              <v:rect id="_x0000_s1026" o:spid="_x0000_s1026" o:spt="1" style="position:absolute;left:0pt;margin-left:-11.85pt;margin-top:10.75pt;height:156pt;width:243pt;z-index:251663360;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l/X8XZAAAACgEAAA8AAAAAAAAAAQAgAAAAIgAAAGRycy9k&#10;b3ducmV2LnhtbFBLAQIUABQAAAAIAIdO4kAPNmDjAQIAACoEAAAOAAAAAAAAAAEAIAAAACgBAABk&#10;cnMvZTJvRG9jLnhtbFBLBQYAAAAABgAGAFkBAACbBQAAAAA=&#10;">
                <v:fill on="t" focussize="0,0"/>
                <v:stroke color="#000000" joinstyle="miter"/>
                <v:imagedata o:title=""/>
                <o:lock v:ext="edit" aspectratio="f"/>
                <v:textbox>
                  <w:txbxContent>
                    <w:p w14:paraId="682C5D1F">
                      <w:pPr>
                        <w:ind w:firstLine="1260" w:firstLineChars="600"/>
                        <w:jc w:val="left"/>
                      </w:pPr>
                      <w:r>
                        <w:rPr>
                          <w:rFonts w:hint="eastAsia"/>
                        </w:rPr>
                        <w:t>法定代表人</w:t>
                      </w:r>
                      <w:r>
                        <w:rPr>
                          <w:rFonts w:hint="eastAsia" w:ascii="宋体" w:hAnsi="宋体"/>
                        </w:rPr>
                        <w:t>（负责人）</w:t>
                      </w:r>
                    </w:p>
                    <w:p w14:paraId="23F3C2C4">
                      <w:pPr>
                        <w:ind w:firstLine="1050" w:firstLineChars="500"/>
                        <w:jc w:val="left"/>
                      </w:pPr>
                      <w:r>
                        <w:rPr>
                          <w:rFonts w:hint="eastAsia"/>
                        </w:rPr>
                        <w:t xml:space="preserve"> 居民身份证复印件粘贴处</w:t>
                      </w:r>
                    </w:p>
                    <w:p w14:paraId="45490FB3">
                      <w:pPr>
                        <w:ind w:firstLine="1050" w:firstLineChars="500"/>
                        <w:jc w:val="left"/>
                      </w:pPr>
                    </w:p>
                    <w:p w14:paraId="54BBCCD9">
                      <w:pPr>
                        <w:ind w:firstLine="1785" w:firstLineChars="850"/>
                        <w:jc w:val="left"/>
                      </w:pPr>
                      <w:r>
                        <w:rPr>
                          <w:rFonts w:hint="eastAsia"/>
                        </w:rPr>
                        <w:t>（正面）</w:t>
                      </w:r>
                    </w:p>
                    <w:p w14:paraId="47DF33FD">
                      <w:pPr>
                        <w:ind w:firstLine="1050" w:firstLineChars="500"/>
                        <w:jc w:val="left"/>
                      </w:pPr>
                    </w:p>
                    <w:p w14:paraId="7F86B0D3">
                      <w:pPr>
                        <w:jc w:val="left"/>
                      </w:pPr>
                    </w:p>
                  </w:txbxContent>
                </v:textbox>
              </v:rect>
            </w:pict>
          </mc:Fallback>
        </mc:AlternateContent>
      </w:r>
    </w:p>
    <w:p w14:paraId="7F15A05C">
      <w:pPr>
        <w:spacing w:line="500" w:lineRule="exact"/>
        <w:rPr>
          <w:rFonts w:ascii="宋体"/>
          <w:b/>
          <w:bCs/>
        </w:rPr>
      </w:pPr>
    </w:p>
    <w:p w14:paraId="7E2B3D25">
      <w:pPr>
        <w:spacing w:line="500" w:lineRule="exact"/>
        <w:rPr>
          <w:rFonts w:ascii="宋体"/>
          <w:b/>
          <w:bCs/>
        </w:rPr>
      </w:pPr>
    </w:p>
    <w:p w14:paraId="4E096A7D">
      <w:pPr>
        <w:spacing w:line="500" w:lineRule="exact"/>
        <w:rPr>
          <w:rFonts w:ascii="宋体"/>
          <w:b/>
          <w:bCs/>
        </w:rPr>
      </w:pPr>
    </w:p>
    <w:p w14:paraId="3630F062">
      <w:pPr>
        <w:spacing w:line="500" w:lineRule="exact"/>
        <w:rPr>
          <w:rFonts w:ascii="宋体"/>
          <w:b/>
          <w:bCs/>
        </w:rPr>
      </w:pPr>
    </w:p>
    <w:p w14:paraId="0B410D86">
      <w:pPr>
        <w:spacing w:line="500" w:lineRule="exact"/>
        <w:rPr>
          <w:rFonts w:ascii="宋体"/>
          <w:b/>
          <w:bCs/>
        </w:rPr>
      </w:pPr>
    </w:p>
    <w:p w14:paraId="08B37669">
      <w:pPr>
        <w:spacing w:line="500" w:lineRule="exact"/>
        <w:rPr>
          <w:rFonts w:ascii="宋体"/>
          <w:b/>
          <w:bCs/>
        </w:rPr>
      </w:pPr>
      <w:r>
        <w:rPr>
          <w:rFonts w:hint="eastAsia" w:ascii="宋体"/>
          <w:b/>
          <w:bCs/>
        </w:rPr>
        <w:t xml:space="preserve">                         </w:t>
      </w:r>
    </w:p>
    <w:p w14:paraId="0E45D81A">
      <w:pPr>
        <w:spacing w:line="360" w:lineRule="auto"/>
        <w:ind w:firstLine="539" w:firstLineChars="257"/>
        <w:rPr>
          <w:highlight w:val="yellow"/>
        </w:rPr>
      </w:pPr>
      <w:r>
        <w:rPr>
          <w:rFonts w:hint="eastAsia"/>
          <w:highlight w:val="yellow"/>
        </w:rPr>
        <w:t>注：投标人必须提供有效的身份证件（有效期限未过期）。</w:t>
      </w:r>
    </w:p>
    <w:p w14:paraId="4B954082">
      <w:pPr>
        <w:spacing w:line="360" w:lineRule="auto"/>
        <w:ind w:firstLine="539" w:firstLineChars="257"/>
        <w:rPr>
          <w:highlight w:val="yellow"/>
        </w:rPr>
      </w:pPr>
    </w:p>
    <w:p w14:paraId="0800E14B">
      <w:pPr>
        <w:spacing w:line="360" w:lineRule="auto"/>
        <w:ind w:firstLine="539" w:firstLineChars="257"/>
      </w:pPr>
      <w:r>
        <w:rPr>
          <w:rFonts w:hint="eastAsia"/>
        </w:rPr>
        <w:t>单位名称：（</w:t>
      </w:r>
      <w:r>
        <w:rPr>
          <w:rFonts w:hint="eastAsia"/>
          <w:snapToGrid w:val="0"/>
          <w:kern w:val="0"/>
        </w:rPr>
        <w:t>加盖公章</w:t>
      </w:r>
      <w:r>
        <w:rPr>
          <w:rFonts w:hint="eastAsia"/>
        </w:rPr>
        <w:t>）</w:t>
      </w:r>
      <w:r>
        <w:rPr>
          <w:rFonts w:hint="eastAsia"/>
          <w:u w:val="single"/>
        </w:rPr>
        <w:t xml:space="preserve">                                </w:t>
      </w:r>
    </w:p>
    <w:p w14:paraId="2F023DED">
      <w:pPr>
        <w:spacing w:line="360" w:lineRule="auto"/>
        <w:ind w:firstLine="539" w:firstLineChars="257"/>
      </w:pPr>
    </w:p>
    <w:p w14:paraId="1EA067A5">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67D565E1">
      <w:pPr>
        <w:ind w:firstLine="2249" w:firstLineChars="800"/>
        <w:rPr>
          <w:b/>
          <w:bCs/>
          <w:sz w:val="28"/>
        </w:rPr>
      </w:pPr>
    </w:p>
    <w:p w14:paraId="16940164">
      <w:pPr>
        <w:jc w:val="center"/>
        <w:rPr>
          <w:b/>
          <w:bCs/>
          <w:sz w:val="28"/>
        </w:rPr>
      </w:pPr>
    </w:p>
    <w:p w14:paraId="03205FC6">
      <w:pPr>
        <w:jc w:val="center"/>
        <w:rPr>
          <w:b/>
          <w:bCs/>
          <w:sz w:val="28"/>
        </w:rPr>
      </w:pPr>
    </w:p>
    <w:p w14:paraId="53819BB4">
      <w:pPr>
        <w:jc w:val="center"/>
        <w:rPr>
          <w:b/>
          <w:bCs/>
          <w:sz w:val="28"/>
        </w:rPr>
      </w:pPr>
    </w:p>
    <w:p w14:paraId="111BD8E6">
      <w:pPr>
        <w:jc w:val="center"/>
        <w:rPr>
          <w:b/>
          <w:bCs/>
          <w:sz w:val="28"/>
        </w:rPr>
      </w:pPr>
      <w:r>
        <w:rPr>
          <w:rFonts w:hint="eastAsia"/>
          <w:b/>
          <w:bCs/>
          <w:sz w:val="28"/>
        </w:rPr>
        <w:t>法定代表人（负责人）授权委托书</w:t>
      </w:r>
      <w:r>
        <w:rPr>
          <w:rFonts w:hint="eastAsia" w:ascii="宋体" w:hAnsi="宋体"/>
          <w:b/>
          <w:sz w:val="30"/>
          <w:szCs w:val="30"/>
        </w:rPr>
        <w:t>（参考）</w:t>
      </w:r>
    </w:p>
    <w:p w14:paraId="14878669"/>
    <w:p w14:paraId="6B863FB9">
      <w:pPr>
        <w:rPr>
          <w:b/>
          <w:bCs/>
        </w:rPr>
      </w:pPr>
      <w:r>
        <w:rPr>
          <w:rFonts w:hint="eastAsia"/>
        </w:rPr>
        <w:t>深圳市中正招标有限公司</w:t>
      </w:r>
      <w:r>
        <w:rPr>
          <w:rFonts w:hint="eastAsia"/>
          <w:b/>
          <w:bCs/>
        </w:rPr>
        <w:t>：</w:t>
      </w:r>
    </w:p>
    <w:p w14:paraId="14BB693A">
      <w:pPr>
        <w:ind w:firstLine="630"/>
      </w:pPr>
    </w:p>
    <w:p w14:paraId="07698F9A">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3B86284B">
      <w:pPr>
        <w:adjustRightInd w:val="0"/>
        <w:snapToGrid w:val="0"/>
        <w:spacing w:line="360" w:lineRule="auto"/>
        <w:ind w:firstLine="629"/>
      </w:pPr>
    </w:p>
    <w:p w14:paraId="07CF930A">
      <w:pPr>
        <w:adjustRightInd w:val="0"/>
        <w:snapToGrid w:val="0"/>
        <w:spacing w:line="360" w:lineRule="auto"/>
        <w:ind w:firstLine="629"/>
        <w:rPr>
          <w:b/>
          <w:bCs/>
        </w:rPr>
      </w:pPr>
      <w:r>
        <w:rPr>
          <w:rFonts w:hint="eastAsia"/>
          <w:b/>
          <w:bCs/>
        </w:rPr>
        <w:t>附授权代表情况：</w:t>
      </w:r>
    </w:p>
    <w:p w14:paraId="34E7C3EE">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4F299387">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4615CB58">
      <w:pPr>
        <w:adjustRightInd w:val="0"/>
        <w:snapToGrid w:val="0"/>
        <w:spacing w:line="360" w:lineRule="auto"/>
        <w:ind w:firstLine="629"/>
      </w:pPr>
      <w:r>
        <w:rPr>
          <w:rFonts w:hint="eastAsia"/>
        </w:rPr>
        <w:t>职务：</w:t>
      </w:r>
    </w:p>
    <w:p w14:paraId="7A4AC67D">
      <w:pPr>
        <w:adjustRightInd w:val="0"/>
        <w:snapToGrid w:val="0"/>
        <w:spacing w:line="360" w:lineRule="auto"/>
        <w:ind w:firstLine="629"/>
      </w:pPr>
      <w:r>
        <w:rPr>
          <w:rFonts w:hint="eastAsia"/>
        </w:rPr>
        <w:t>身份证号码：</w:t>
      </w:r>
    </w:p>
    <w:p w14:paraId="4802A4E3">
      <w:pPr>
        <w:adjustRightInd w:val="0"/>
        <w:snapToGrid w:val="0"/>
        <w:spacing w:line="360" w:lineRule="auto"/>
        <w:ind w:firstLine="629"/>
        <w:rPr>
          <w:b/>
          <w:bCs/>
        </w:rPr>
      </w:pPr>
      <w:r>
        <w:rPr>
          <w:rFonts w:hint="eastAsia"/>
        </w:rPr>
        <w:t>邮编：</w:t>
      </w:r>
      <w:r>
        <w:rPr>
          <w:rFonts w:hint="eastAsia"/>
          <w:b/>
          <w:bCs/>
        </w:rPr>
        <w:t xml:space="preserve"> </w:t>
      </w:r>
    </w:p>
    <w:p w14:paraId="46AB788B">
      <w:pPr>
        <w:adjustRightInd w:val="0"/>
        <w:snapToGrid w:val="0"/>
        <w:spacing w:line="360" w:lineRule="auto"/>
        <w:ind w:firstLine="629"/>
      </w:pPr>
      <w:r>
        <w:rPr>
          <w:rFonts w:hint="eastAsia"/>
        </w:rPr>
        <w:t>通讯地址：</w:t>
      </w:r>
      <w:r>
        <w:rPr>
          <w:rFonts w:hint="eastAsia"/>
          <w:b/>
          <w:bCs/>
        </w:rPr>
        <w:t xml:space="preserve"> </w:t>
      </w:r>
    </w:p>
    <w:p w14:paraId="40303D58">
      <w:pPr>
        <w:adjustRightInd w:val="0"/>
        <w:snapToGrid w:val="0"/>
        <w:spacing w:line="360" w:lineRule="auto"/>
        <w:ind w:firstLine="629"/>
      </w:pPr>
      <w:r>
        <w:rPr>
          <w:rFonts w:hint="eastAsia"/>
        </w:rPr>
        <w:t>电话：</w:t>
      </w:r>
    </w:p>
    <w:p w14:paraId="3621CEC9">
      <w:pPr>
        <w:adjustRightInd w:val="0"/>
        <w:snapToGrid w:val="0"/>
        <w:spacing w:line="360" w:lineRule="auto"/>
        <w:ind w:firstLine="629"/>
      </w:pPr>
      <w:r>
        <w:rPr>
          <w:rFonts w:hint="eastAsia"/>
        </w:rPr>
        <w:t xml:space="preserve"> </w:t>
      </w:r>
    </w:p>
    <w:p w14:paraId="3A3306BC">
      <w:pPr>
        <w:ind w:firstLine="630"/>
      </w:pPr>
      <w:r>
        <w:rPr>
          <w:rFonts w:hint="eastAsia"/>
        </w:rPr>
        <w:t>投标单位名称：（公章）</w:t>
      </w:r>
    </w:p>
    <w:p w14:paraId="7C2D8CF3">
      <w:pPr>
        <w:ind w:firstLine="630"/>
      </w:pPr>
    </w:p>
    <w:p w14:paraId="4902E904">
      <w:pPr>
        <w:ind w:firstLine="630"/>
      </w:pPr>
      <w:r>
        <w:rPr>
          <w:rFonts w:hint="eastAsia"/>
        </w:rPr>
        <w:t>法定代表人（单位负责人）：（</w:t>
      </w:r>
      <w:r>
        <w:rPr>
          <w:snapToGrid w:val="0"/>
          <w:kern w:val="0"/>
        </w:rPr>
        <w:t>签字</w:t>
      </w:r>
      <w:r>
        <w:rPr>
          <w:rFonts w:hint="eastAsia"/>
        </w:rPr>
        <w:t>）</w:t>
      </w:r>
    </w:p>
    <w:p w14:paraId="64AC568C">
      <w:pPr>
        <w:ind w:firstLine="630"/>
      </w:pPr>
    </w:p>
    <w:p w14:paraId="1898404D">
      <w:pPr>
        <w:ind w:firstLine="630"/>
      </w:pPr>
      <w:r>
        <w:rPr>
          <w:rFonts w:hint="eastAsia"/>
        </w:rPr>
        <w:t>授权代表：（</w:t>
      </w:r>
      <w:r>
        <w:rPr>
          <w:snapToGrid w:val="0"/>
          <w:kern w:val="0"/>
        </w:rPr>
        <w:t>签字</w:t>
      </w:r>
      <w:r>
        <w:rPr>
          <w:rFonts w:hint="eastAsia"/>
        </w:rPr>
        <w:t>）</w:t>
      </w:r>
    </w:p>
    <w:p w14:paraId="5F086C03">
      <w:pPr>
        <w:ind w:firstLine="630"/>
      </w:pPr>
    </w:p>
    <w:p w14:paraId="51637719">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6724077D">
      <w:pPr>
        <w:spacing w:line="440" w:lineRule="exact"/>
        <w:rPr>
          <w:rFonts w:ascii="黑体" w:eastAsia="黑体"/>
        </w:rPr>
      </w:pPr>
      <w:bookmarkStart w:id="65" w:name="_Toc226217114"/>
      <w:r>
        <w:rPr>
          <w:rFonts w:ascii="宋体"/>
        </w:rPr>
        <mc:AlternateContent>
          <mc:Choice Requires="wps">
            <w:drawing>
              <wp:anchor distT="0" distB="0" distL="114300" distR="114300" simplePos="0" relativeHeight="25166540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13" name="矩形 1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BE9FCA">
                            <w:pPr>
                              <w:ind w:firstLine="1260" w:firstLineChars="600"/>
                            </w:pPr>
                            <w:r>
                              <w:rPr>
                                <w:rFonts w:hint="eastAsia"/>
                              </w:rPr>
                              <w:t>被授权人（授权代表）</w:t>
                            </w:r>
                          </w:p>
                          <w:p w14:paraId="2CDF6429">
                            <w:pPr>
                              <w:ind w:firstLine="1050" w:firstLineChars="500"/>
                            </w:pPr>
                            <w:r>
                              <w:rPr>
                                <w:rFonts w:hint="eastAsia"/>
                              </w:rPr>
                              <w:t>居民身份证复印件粘贴处</w:t>
                            </w:r>
                          </w:p>
                          <w:p w14:paraId="46E72AA4">
                            <w:pPr>
                              <w:ind w:firstLine="1050" w:firstLineChars="500"/>
                            </w:pPr>
                          </w:p>
                          <w:p w14:paraId="4CE2B443">
                            <w:pPr>
                              <w:jc w:val="center"/>
                            </w:pPr>
                            <w:r>
                              <w:rPr>
                                <w:rFonts w:hint="eastAsia"/>
                              </w:rPr>
                              <w:t>（正面）</w:t>
                            </w:r>
                          </w:p>
                        </w:txbxContent>
                      </wps:txbx>
                      <wps:bodyPr upright="1"/>
                    </wps:wsp>
                  </a:graphicData>
                </a:graphic>
              </wp:anchor>
            </w:drawing>
          </mc:Choice>
          <mc:Fallback>
            <w:pict>
              <v:rect id="_x0000_s1026" o:spid="_x0000_s1026" o:spt="1" style="position:absolute;left:0pt;margin-left:-10.35pt;margin-top:5.6pt;height:156pt;width:243pt;z-index:25166540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KcuhdgAAAAKAQAADwAAAAAAAAABACAAAAAiAAAAZHJzL2Rv&#10;d25yZXYueG1sUEsBAhQAFAAAAAgAh07iQLWFs+4BAgAALAQAAA4AAAAAAAAAAQAgAAAAJwEAAGRy&#10;cy9lMm9Eb2MueG1sUEsFBgAAAAAGAAYAWQEAAJoFAAAAAA==&#10;">
                <v:fill on="t" focussize="0,0"/>
                <v:stroke color="#000000" joinstyle="miter"/>
                <v:imagedata o:title=""/>
                <o:lock v:ext="edit" aspectratio="f"/>
                <v:textbox>
                  <w:txbxContent>
                    <w:p w14:paraId="1FBE9FCA">
                      <w:pPr>
                        <w:ind w:firstLine="1260" w:firstLineChars="600"/>
                      </w:pPr>
                      <w:r>
                        <w:rPr>
                          <w:rFonts w:hint="eastAsia"/>
                        </w:rPr>
                        <w:t>被授权人（授权代表）</w:t>
                      </w:r>
                    </w:p>
                    <w:p w14:paraId="2CDF6429">
                      <w:pPr>
                        <w:ind w:firstLine="1050" w:firstLineChars="500"/>
                      </w:pPr>
                      <w:r>
                        <w:rPr>
                          <w:rFonts w:hint="eastAsia"/>
                        </w:rPr>
                        <w:t>居民身份证复印件粘贴处</w:t>
                      </w:r>
                    </w:p>
                    <w:p w14:paraId="46E72AA4">
                      <w:pPr>
                        <w:ind w:firstLine="1050" w:firstLineChars="500"/>
                      </w:pPr>
                    </w:p>
                    <w:p w14:paraId="4CE2B443">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643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12" name="矩形 1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749AF1">
                            <w:pPr>
                              <w:ind w:firstLine="1260" w:firstLineChars="600"/>
                            </w:pPr>
                            <w:r>
                              <w:rPr>
                                <w:rFonts w:hint="eastAsia"/>
                              </w:rPr>
                              <w:t>被授权人（授权代表）</w:t>
                            </w:r>
                          </w:p>
                          <w:p w14:paraId="55AAA080">
                            <w:pPr>
                              <w:ind w:firstLine="1050" w:firstLineChars="500"/>
                            </w:pPr>
                            <w:r>
                              <w:rPr>
                                <w:rFonts w:hint="eastAsia"/>
                              </w:rPr>
                              <w:t>居民身份证复印件粘贴处</w:t>
                            </w:r>
                          </w:p>
                          <w:p w14:paraId="7A14D483">
                            <w:pPr>
                              <w:ind w:firstLine="1050" w:firstLineChars="500"/>
                            </w:pPr>
                          </w:p>
                          <w:p w14:paraId="21FC5CD1">
                            <w:pPr>
                              <w:ind w:firstLine="1785" w:firstLineChars="850"/>
                            </w:pPr>
                            <w:r>
                              <w:rPr>
                                <w:rFonts w:hint="eastAsia"/>
                              </w:rPr>
                              <w:t>（反面）</w:t>
                            </w:r>
                          </w:p>
                          <w:p w14:paraId="280805E2"/>
                        </w:txbxContent>
                      </wps:txbx>
                      <wps:bodyPr upright="1"/>
                    </wps:wsp>
                  </a:graphicData>
                </a:graphic>
              </wp:anchor>
            </w:drawing>
          </mc:Choice>
          <mc:Fallback>
            <w:pict>
              <v:rect id="_x0000_s1026" o:spid="_x0000_s1026" o:spt="1" style="position:absolute;left:0pt;margin-left:249.9pt;margin-top:5.6pt;height:156pt;width:243pt;z-index:25166643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dm/rtgAAAAKAQAADwAAAAAAAAABACAAAAAiAAAAZHJzL2Rv&#10;d25yZXYueG1sUEsBAhQAFAAAAAgAh07iQOZjtMgBAgAALAQAAA4AAAAAAAAAAQAgAAAAJwEAAGRy&#10;cy9lMm9Eb2MueG1sUEsFBgAAAAAGAAYAWQEAAJoFAAAAAA==&#10;">
                <v:fill on="t" focussize="0,0"/>
                <v:stroke color="#000000" joinstyle="miter"/>
                <v:imagedata o:title=""/>
                <o:lock v:ext="edit" aspectratio="f"/>
                <v:textbox>
                  <w:txbxContent>
                    <w:p w14:paraId="7D749AF1">
                      <w:pPr>
                        <w:ind w:firstLine="1260" w:firstLineChars="600"/>
                      </w:pPr>
                      <w:r>
                        <w:rPr>
                          <w:rFonts w:hint="eastAsia"/>
                        </w:rPr>
                        <w:t>被授权人（授权代表）</w:t>
                      </w:r>
                    </w:p>
                    <w:p w14:paraId="55AAA080">
                      <w:pPr>
                        <w:ind w:firstLine="1050" w:firstLineChars="500"/>
                      </w:pPr>
                      <w:r>
                        <w:rPr>
                          <w:rFonts w:hint="eastAsia"/>
                        </w:rPr>
                        <w:t>居民身份证复印件粘贴处</w:t>
                      </w:r>
                    </w:p>
                    <w:p w14:paraId="7A14D483">
                      <w:pPr>
                        <w:ind w:firstLine="1050" w:firstLineChars="500"/>
                      </w:pPr>
                    </w:p>
                    <w:p w14:paraId="21FC5CD1">
                      <w:pPr>
                        <w:ind w:firstLine="1785" w:firstLineChars="850"/>
                      </w:pPr>
                      <w:r>
                        <w:rPr>
                          <w:rFonts w:hint="eastAsia"/>
                        </w:rPr>
                        <w:t>（反面）</w:t>
                      </w:r>
                    </w:p>
                    <w:p w14:paraId="280805E2"/>
                  </w:txbxContent>
                </v:textbox>
              </v:rect>
            </w:pict>
          </mc:Fallback>
        </mc:AlternateContent>
      </w:r>
      <w:bookmarkEnd w:id="65"/>
    </w:p>
    <w:p w14:paraId="75DAE85D">
      <w:pPr>
        <w:spacing w:line="440" w:lineRule="exact"/>
        <w:rPr>
          <w:rFonts w:ascii="黑体" w:eastAsia="黑体"/>
        </w:rPr>
      </w:pPr>
    </w:p>
    <w:p w14:paraId="5A1E1DF9">
      <w:pPr>
        <w:spacing w:line="440" w:lineRule="exact"/>
        <w:rPr>
          <w:rFonts w:ascii="黑体" w:eastAsia="黑体"/>
        </w:rPr>
      </w:pPr>
    </w:p>
    <w:p w14:paraId="0F70DBC3">
      <w:pPr>
        <w:spacing w:line="440" w:lineRule="exact"/>
        <w:rPr>
          <w:rFonts w:ascii="黑体" w:eastAsia="黑体"/>
        </w:rPr>
      </w:pPr>
    </w:p>
    <w:p w14:paraId="1BC86AFD">
      <w:pPr>
        <w:spacing w:line="440" w:lineRule="exact"/>
        <w:rPr>
          <w:rFonts w:ascii="黑体" w:eastAsia="黑体"/>
        </w:rPr>
      </w:pPr>
    </w:p>
    <w:p w14:paraId="7637C39A">
      <w:pPr>
        <w:tabs>
          <w:tab w:val="left" w:pos="5115"/>
        </w:tabs>
        <w:spacing w:line="440" w:lineRule="exact"/>
        <w:rPr>
          <w:rFonts w:ascii="黑体" w:eastAsia="黑体"/>
        </w:rPr>
      </w:pPr>
      <w:r>
        <w:rPr>
          <w:rFonts w:ascii="黑体" w:eastAsia="黑体"/>
        </w:rPr>
        <w:tab/>
      </w:r>
    </w:p>
    <w:p w14:paraId="3B395326">
      <w:pPr>
        <w:spacing w:line="440" w:lineRule="exact"/>
        <w:rPr>
          <w:rFonts w:ascii="黑体" w:eastAsia="黑体"/>
        </w:rPr>
      </w:pPr>
    </w:p>
    <w:p w14:paraId="25D5946A">
      <w:pPr>
        <w:adjustRightInd w:val="0"/>
        <w:snapToGrid w:val="0"/>
        <w:spacing w:line="300" w:lineRule="auto"/>
        <w:ind w:firstLine="5008" w:firstLineChars="2385"/>
      </w:pPr>
    </w:p>
    <w:p w14:paraId="5B088B05">
      <w:pPr>
        <w:spacing w:line="360" w:lineRule="auto"/>
        <w:ind w:firstLine="539" w:firstLineChars="257"/>
      </w:pPr>
      <w:r>
        <w:rPr>
          <w:rFonts w:hint="eastAsia"/>
          <w:highlight w:val="yellow"/>
        </w:rPr>
        <w:t>注：投标人必须提供有效的身份证件（有效期限未过期）。</w:t>
      </w:r>
    </w:p>
    <w:p w14:paraId="26CEF0C0">
      <w:pPr>
        <w:adjustRightInd w:val="0"/>
        <w:snapToGrid w:val="0"/>
        <w:spacing w:line="300" w:lineRule="auto"/>
      </w:pPr>
    </w:p>
    <w:p w14:paraId="35B2171F">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74A956EB">
      <w:pPr>
        <w:adjustRightInd w:val="0"/>
        <w:snapToGrid w:val="0"/>
        <w:spacing w:line="300" w:lineRule="auto"/>
        <w:rPr>
          <w:rFonts w:asciiTheme="majorEastAsia" w:hAnsiTheme="majorEastAsia" w:eastAsiaTheme="majorEastAsia"/>
          <w:b/>
          <w:snapToGrid w:val="0"/>
          <w:kern w:val="0"/>
          <w:sz w:val="24"/>
        </w:rPr>
      </w:pPr>
    </w:p>
    <w:p w14:paraId="46EDC924">
      <w:pPr>
        <w:tabs>
          <w:tab w:val="left" w:pos="720"/>
        </w:tabs>
        <w:adjustRightInd w:val="0"/>
        <w:snapToGrid w:val="0"/>
        <w:spacing w:line="300" w:lineRule="auto"/>
      </w:pPr>
    </w:p>
    <w:p w14:paraId="0F7285CA">
      <w:pPr>
        <w:tabs>
          <w:tab w:val="left" w:pos="720"/>
        </w:tabs>
        <w:adjustRightInd w:val="0"/>
        <w:snapToGrid w:val="0"/>
        <w:spacing w:line="300" w:lineRule="auto"/>
        <w:rPr>
          <w:b/>
          <w:snapToGrid w:val="0"/>
          <w:kern w:val="0"/>
          <w:sz w:val="28"/>
        </w:rPr>
      </w:pPr>
    </w:p>
    <w:p w14:paraId="42462341">
      <w:pPr>
        <w:pStyle w:val="3"/>
        <w:tabs>
          <w:tab w:val="left" w:pos="371"/>
        </w:tabs>
        <w:spacing w:before="120" w:after="120"/>
        <w:ind w:left="-1" w:leftChars="-1" w:hanging="1"/>
        <w:jc w:val="center"/>
        <w:rPr>
          <w:rFonts w:asciiTheme="minorEastAsia" w:hAnsiTheme="minorEastAsia" w:eastAsiaTheme="minorEastAsia"/>
        </w:rPr>
      </w:pPr>
      <w:bookmarkStart w:id="66" w:name="_Toc135293184"/>
      <w:r>
        <w:rPr>
          <w:rFonts w:hint="eastAsia" w:asciiTheme="minorEastAsia" w:hAnsiTheme="minorEastAsia" w:eastAsiaTheme="minorEastAsia"/>
        </w:rPr>
        <w:t>格式3  投标函</w:t>
      </w:r>
      <w:bookmarkEnd w:id="66"/>
    </w:p>
    <w:p w14:paraId="4FA03FD5">
      <w:pPr>
        <w:adjustRightInd w:val="0"/>
        <w:snapToGrid w:val="0"/>
        <w:spacing w:line="312" w:lineRule="auto"/>
      </w:pPr>
    </w:p>
    <w:p w14:paraId="548C33A6">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1EA4B7F3">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5AF3B9AA">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319D21C7">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5BCA5247">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7B5F8927">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4823C980">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450020C7">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6C543120">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3525D0B8">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306B779E">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69E0C3B4">
      <w:pPr>
        <w:adjustRightInd w:val="0"/>
        <w:snapToGrid w:val="0"/>
        <w:spacing w:line="360" w:lineRule="auto"/>
        <w:ind w:firstLine="600"/>
      </w:pPr>
    </w:p>
    <w:p w14:paraId="7DD99DBB">
      <w:pPr>
        <w:adjustRightInd w:val="0"/>
        <w:snapToGrid w:val="0"/>
        <w:spacing w:line="360" w:lineRule="auto"/>
        <w:ind w:firstLine="426"/>
      </w:pPr>
      <w:r>
        <w:t>单    位： （</w:t>
      </w:r>
      <w:r>
        <w:rPr>
          <w:rFonts w:hint="eastAsia"/>
          <w:snapToGrid w:val="0"/>
          <w:kern w:val="0"/>
        </w:rPr>
        <w:t>加盖公章</w:t>
      </w:r>
      <w:r>
        <w:t>）</w:t>
      </w:r>
    </w:p>
    <w:p w14:paraId="6BEDAD02">
      <w:pPr>
        <w:adjustRightInd w:val="0"/>
        <w:snapToGrid w:val="0"/>
        <w:spacing w:line="360" w:lineRule="auto"/>
        <w:ind w:firstLine="426"/>
      </w:pPr>
      <w:r>
        <w:t xml:space="preserve">地    址： </w:t>
      </w:r>
    </w:p>
    <w:p w14:paraId="0159EB62">
      <w:pPr>
        <w:adjustRightInd w:val="0"/>
        <w:snapToGrid w:val="0"/>
        <w:spacing w:line="360" w:lineRule="auto"/>
        <w:ind w:firstLine="426"/>
      </w:pPr>
      <w:r>
        <w:t xml:space="preserve">电    话： </w:t>
      </w:r>
    </w:p>
    <w:p w14:paraId="4AD41793">
      <w:pPr>
        <w:adjustRightInd w:val="0"/>
        <w:snapToGrid w:val="0"/>
        <w:spacing w:line="360" w:lineRule="auto"/>
        <w:ind w:firstLine="426"/>
      </w:pPr>
      <w:r>
        <w:t>传    真：</w:t>
      </w:r>
    </w:p>
    <w:p w14:paraId="526F110A">
      <w:pPr>
        <w:adjustRightInd w:val="0"/>
        <w:snapToGrid w:val="0"/>
        <w:spacing w:line="360" w:lineRule="auto"/>
        <w:ind w:firstLine="426"/>
      </w:pPr>
      <w:r>
        <w:t>邮    编：</w:t>
      </w:r>
    </w:p>
    <w:p w14:paraId="262D9087">
      <w:pPr>
        <w:adjustRightInd w:val="0"/>
        <w:snapToGrid w:val="0"/>
        <w:spacing w:line="360" w:lineRule="auto"/>
        <w:ind w:firstLine="426"/>
      </w:pPr>
      <w:r>
        <w:t xml:space="preserve">联 系 人： </w:t>
      </w:r>
    </w:p>
    <w:p w14:paraId="4842F69C">
      <w:pPr>
        <w:adjustRightInd w:val="0"/>
        <w:snapToGrid w:val="0"/>
        <w:spacing w:line="360" w:lineRule="auto"/>
        <w:ind w:firstLine="600"/>
      </w:pPr>
    </w:p>
    <w:p w14:paraId="63E8832E">
      <w:pPr>
        <w:adjustRightInd w:val="0"/>
        <w:snapToGrid w:val="0"/>
        <w:spacing w:line="360" w:lineRule="auto"/>
        <w:ind w:firstLine="600"/>
        <w:jc w:val="right"/>
      </w:pPr>
      <w:r>
        <w:rPr>
          <w:rFonts w:hint="eastAsia"/>
        </w:rPr>
        <w:t>年     月    日</w:t>
      </w:r>
    </w:p>
    <w:p w14:paraId="32801F2F">
      <w:pPr>
        <w:adjustRightInd w:val="0"/>
        <w:snapToGrid w:val="0"/>
        <w:spacing w:line="360" w:lineRule="auto"/>
        <w:ind w:firstLine="600"/>
        <w:jc w:val="right"/>
      </w:pPr>
    </w:p>
    <w:p w14:paraId="46A6F6A5">
      <w:pPr>
        <w:adjustRightInd w:val="0"/>
        <w:spacing w:line="300" w:lineRule="auto"/>
        <w:ind w:hanging="2"/>
        <w:jc w:val="center"/>
        <w:rPr>
          <w:b/>
          <w:snapToGrid w:val="0"/>
          <w:kern w:val="0"/>
          <w:sz w:val="28"/>
        </w:rPr>
      </w:pPr>
    </w:p>
    <w:p w14:paraId="32006B60">
      <w:pPr>
        <w:tabs>
          <w:tab w:val="left" w:pos="371"/>
        </w:tabs>
        <w:spacing w:before="120" w:after="120"/>
        <w:ind w:left="-1" w:leftChars="-1" w:hanging="1"/>
        <w:jc w:val="center"/>
        <w:rPr>
          <w:rFonts w:asciiTheme="minorEastAsia" w:hAnsiTheme="minorEastAsia" w:eastAsiaTheme="minorEastAsia"/>
          <w:sz w:val="24"/>
        </w:rPr>
      </w:pPr>
    </w:p>
    <w:p w14:paraId="05061948">
      <w:pPr>
        <w:tabs>
          <w:tab w:val="left" w:pos="371"/>
        </w:tabs>
        <w:spacing w:before="120" w:after="120"/>
        <w:ind w:left="-1" w:leftChars="-1" w:hanging="1"/>
        <w:jc w:val="center"/>
        <w:rPr>
          <w:rFonts w:asciiTheme="minorEastAsia" w:hAnsiTheme="minorEastAsia" w:eastAsiaTheme="minorEastAsia"/>
          <w:sz w:val="24"/>
        </w:rPr>
      </w:pPr>
    </w:p>
    <w:p w14:paraId="22A83A7A">
      <w:pPr>
        <w:pStyle w:val="3"/>
        <w:tabs>
          <w:tab w:val="left" w:pos="371"/>
        </w:tabs>
        <w:spacing w:before="120" w:after="120"/>
        <w:ind w:left="-1" w:leftChars="-1" w:hanging="1"/>
        <w:jc w:val="center"/>
        <w:rPr>
          <w:rFonts w:asciiTheme="minorEastAsia" w:hAnsiTheme="minorEastAsia" w:eastAsiaTheme="minorEastAsia"/>
        </w:rPr>
      </w:pPr>
      <w:bookmarkStart w:id="67" w:name="_Toc135293185"/>
      <w:r>
        <w:rPr>
          <w:rFonts w:hint="eastAsia" w:asciiTheme="minorEastAsia" w:hAnsiTheme="minorEastAsia" w:eastAsiaTheme="minorEastAsia"/>
        </w:rPr>
        <w:t>格式4  评分中涉及的承诺及声明函</w:t>
      </w:r>
      <w:bookmarkEnd w:id="67"/>
    </w:p>
    <w:p w14:paraId="2737301D">
      <w:pPr>
        <w:widowControl/>
        <w:snapToGrid w:val="0"/>
        <w:spacing w:line="360" w:lineRule="auto"/>
        <w:jc w:val="left"/>
        <w:rPr>
          <w:rFonts w:ascii="仿宋" w:hAnsi="仿宋" w:eastAsia="仿宋"/>
          <w:b/>
          <w:bCs/>
          <w:color w:val="FF0000"/>
          <w:kern w:val="0"/>
          <w:sz w:val="25"/>
          <w:szCs w:val="25"/>
        </w:rPr>
      </w:pPr>
    </w:p>
    <w:p w14:paraId="3F70DA08">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2B056E54">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5AE6A9B4">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0E72B2AE">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7B1B7594">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8" w:name="_Hlk71925120"/>
      <w:r>
        <w:rPr>
          <w:rFonts w:hint="eastAsia" w:asciiTheme="minorEastAsia" w:hAnsiTheme="minorEastAsia" w:eastAsiaTheme="minorEastAsia"/>
          <w:kern w:val="0"/>
          <w:szCs w:val="21"/>
        </w:rPr>
        <w:t>《关于印发中小企业划型标准规定的通知》（工信部联企业〔2011〕300 号</w:t>
      </w:r>
      <w:bookmarkEnd w:id="68"/>
      <w:r>
        <w:rPr>
          <w:rFonts w:hint="eastAsia" w:asciiTheme="minorEastAsia" w:hAnsiTheme="minorEastAsia" w:eastAsiaTheme="minorEastAsia"/>
          <w:kern w:val="0"/>
          <w:szCs w:val="21"/>
        </w:rPr>
        <w:t>）</w:t>
      </w:r>
    </w:p>
    <w:p w14:paraId="37602E8F">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(3)国家统计局关于印发《统计上大中小微型企业划分办法 （2017）》的通知（国统字〔2017〕213 号）</w:t>
      </w:r>
    </w:p>
    <w:p w14:paraId="06BE105E">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(4)财政部 民政部 中国残疾人联合会关于促进残疾人就业 政府采购政策的通知（财库〔2017〕141号）</w:t>
      </w:r>
    </w:p>
    <w:p w14:paraId="76C1EC25">
      <w:pPr>
        <w:widowControl/>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kern w:val="0"/>
          <w:szCs w:val="21"/>
        </w:rPr>
        <w:t>(5)财政部 司法部关于政府采购支持监狱企业发展有关问题的通知（财库〔2014〕68号）</w:t>
      </w:r>
    </w:p>
    <w:p w14:paraId="53F37DD8">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3、请依照招标文件提供的格式和内容填写声明函，不要随意变更格式；满足多项优惠政策的投标人，不重复享受多项价格扣除政策。不符合要求的供应商可以不填写。</w:t>
      </w:r>
    </w:p>
    <w:p w14:paraId="520459F5">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4、《中小企业声明函》填写要求：</w:t>
      </w:r>
    </w:p>
    <w:p w14:paraId="75B7C6FE">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360017A1">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1F445277">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7305C55E">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366C3DC9">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数据，从业人员、资产总额指标以上年度末数据为依据，营业收入指标以上年度累计数据为依据。无上年度数据的新成立企业可不填报。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p>
    <w:p w14:paraId="1072C93A">
      <w:pPr>
        <w:widowControl/>
        <w:snapToGrid w:val="0"/>
        <w:spacing w:line="360" w:lineRule="auto"/>
        <w:ind w:firstLine="420" w:firstLineChars="200"/>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（6）在“中型企业、小型企业、微型企业”下划线处如实填写相应的企业类型</w:t>
      </w:r>
      <w:r>
        <w:rPr>
          <w:rFonts w:hint="eastAsia" w:ascii="宋体" w:hAnsi="宋体" w:eastAsiaTheme="minorEastAsia" w:cstheme="minorBidi"/>
          <w:kern w:val="0"/>
          <w:szCs w:val="21"/>
        </w:rPr>
        <w:t>；</w:t>
      </w:r>
    </w:p>
    <w:p w14:paraId="301132DE">
      <w:pPr>
        <w:widowControl/>
        <w:snapToGrid w:val="0"/>
        <w:spacing w:line="360" w:lineRule="auto"/>
        <w:ind w:firstLine="422" w:firstLineChars="200"/>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489F39A9">
      <w:pPr>
        <w:widowControl/>
        <w:snapToGrid w:val="0"/>
        <w:spacing w:line="360" w:lineRule="auto"/>
        <w:ind w:firstLine="422" w:firstLineChars="200"/>
        <w:jc w:val="left"/>
        <w:rPr>
          <w:rFonts w:asciiTheme="minorHAnsi" w:hAnsiTheme="minorHAnsi" w:eastAsiaTheme="minorEastAsia" w:cstheme="minorBidi"/>
          <w:szCs w:val="22"/>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color w:val="FF0000"/>
          <w:szCs w:val="22"/>
        </w:rPr>
        <w:t>。</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23AD4BAD">
      <w:pPr>
        <w:widowControl/>
        <w:snapToGrid w:val="0"/>
        <w:spacing w:line="360" w:lineRule="auto"/>
        <w:ind w:firstLine="422" w:firstLineChars="200"/>
        <w:jc w:val="left"/>
        <w:rPr>
          <w:rFonts w:ascii="宋体" w:hAnsi="宋体" w:eastAsiaTheme="minorEastAsia" w:cstheme="minorBidi"/>
          <w:kern w:val="0"/>
          <w:szCs w:val="21"/>
        </w:rPr>
      </w:pPr>
      <w:r>
        <w:rPr>
          <w:rFonts w:hint="eastAsia" w:ascii="宋体" w:hAnsi="宋体" w:eastAsiaTheme="minorEastAsia" w:cstheme="minorBidi"/>
          <w:b/>
          <w:bCs/>
          <w:color w:val="FF0000"/>
          <w:kern w:val="0"/>
          <w:szCs w:val="21"/>
        </w:rPr>
        <w:t>（9）声明函正文中“企业名称”应填写投标（响应）的货物制造商/服务承接商/工程承建商（根据项目属性确定）。</w:t>
      </w:r>
      <w:r>
        <w:rPr>
          <w:rFonts w:hint="eastAsia" w:ascii="宋体" w:hAnsi="宋体" w:eastAsiaTheme="minorEastAsia" w:cstheme="minorBidi"/>
          <w:kern w:val="0"/>
          <w:szCs w:val="21"/>
        </w:rPr>
        <w:t>对于分包方式面向中小企业采购的项目，正文中“企业名称”应填写分包部分采购标的对应的货物制造商/服务承接商/工程承建商（根据项目属性确定）。对于以联合体方式面向中小企业采购的项目，正文中“企业名称”应填写联合体中中小企业承担采购标的对应的货物制造商/服务承接商/工程承建商（根据项目属性确定）</w:t>
      </w:r>
      <w:r>
        <w:rPr>
          <w:rFonts w:hint="eastAsia" w:ascii="宋体" w:hAnsi="宋体" w:eastAsiaTheme="minorEastAsia" w:cstheme="minorBidi"/>
          <w:b/>
          <w:bCs/>
          <w:color w:val="FF0000"/>
          <w:kern w:val="0"/>
          <w:szCs w:val="21"/>
        </w:rPr>
        <w:t>【《中小企业声明函》由参加政府采购活动的供应商出具；“</w:t>
      </w:r>
      <w:r>
        <w:rPr>
          <w:rFonts w:hint="eastAsia" w:ascii="宋体" w:hAnsi="宋体"/>
          <w:b/>
          <w:bCs/>
          <w:color w:val="FF0000"/>
          <w:szCs w:val="21"/>
        </w:rPr>
        <w:t>企业名称</w:t>
      </w:r>
      <w:r>
        <w:rPr>
          <w:rFonts w:ascii="宋体" w:hAnsi="宋体"/>
          <w:b/>
          <w:bCs/>
          <w:color w:val="FF0000"/>
          <w:szCs w:val="21"/>
        </w:rPr>
        <w:t>(</w:t>
      </w:r>
      <w:r>
        <w:rPr>
          <w:rFonts w:hint="eastAsia" w:ascii="宋体" w:hAnsi="宋体"/>
          <w:b/>
          <w:bCs/>
          <w:color w:val="FF0000"/>
          <w:szCs w:val="21"/>
        </w:rPr>
        <w:t>公章</w:t>
      </w:r>
      <w:r>
        <w:rPr>
          <w:rFonts w:ascii="宋体" w:hAnsi="宋体"/>
          <w:b/>
          <w:bCs/>
          <w:color w:val="FF0000"/>
          <w:szCs w:val="21"/>
        </w:rPr>
        <w:t>)</w:t>
      </w:r>
      <w:r>
        <w:rPr>
          <w:rFonts w:hint="eastAsia" w:ascii="宋体" w:hAnsi="宋体" w:eastAsiaTheme="minorEastAsia" w:cstheme="minorBidi"/>
          <w:b/>
          <w:bCs/>
          <w:color w:val="FF0000"/>
          <w:kern w:val="0"/>
          <w:szCs w:val="21"/>
        </w:rPr>
        <w:t>”填写投标（响应）供应商名称并加盖投标（响应）供应商公章】</w:t>
      </w:r>
      <w:r>
        <w:rPr>
          <w:rFonts w:hint="eastAsia" w:ascii="宋体" w:hAnsi="宋体" w:eastAsiaTheme="minorEastAsia" w:cstheme="minorBidi"/>
          <w:kern w:val="0"/>
          <w:szCs w:val="21"/>
        </w:rPr>
        <w:t>；</w:t>
      </w:r>
    </w:p>
    <w:p w14:paraId="0D6A5E44">
      <w:pPr>
        <w:widowControl/>
        <w:snapToGrid w:val="0"/>
        <w:spacing w:line="360" w:lineRule="auto"/>
        <w:ind w:firstLine="420" w:firstLineChars="200"/>
        <w:jc w:val="left"/>
        <w:rPr>
          <w:rFonts w:asciiTheme="minorHAnsi" w:hAnsiTheme="minorHAnsi" w:eastAsiaTheme="minorEastAsia" w:cstheme="minorBidi"/>
          <w:szCs w:val="22"/>
        </w:rPr>
      </w:pPr>
      <w:r>
        <w:rPr>
          <w:rFonts w:hint="eastAsia" w:ascii="宋体" w:hAnsi="宋体" w:eastAsiaTheme="minorEastAsia" w:cstheme="minorBidi"/>
          <w:kern w:val="0"/>
          <w:szCs w:val="21"/>
        </w:rPr>
        <w:t>（10）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12D54E20">
      <w:pPr>
        <w:pStyle w:val="5"/>
        <w:tabs>
          <w:tab w:val="left" w:pos="0"/>
        </w:tabs>
        <w:jc w:val="center"/>
        <w:rPr>
          <w:rFonts w:ascii="宋体" w:hAnsi="宋体" w:eastAsia="宋体"/>
        </w:rPr>
      </w:pPr>
      <w:r>
        <w:rPr>
          <w:rFonts w:hint="eastAsia" w:ascii="宋体" w:hAnsi="宋体" w:eastAsia="宋体"/>
        </w:rPr>
        <w:t>中小企业声明函</w:t>
      </w:r>
    </w:p>
    <w:p w14:paraId="26132446">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3151E94E">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4534CD60">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3665ED72">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1B11BEDA">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2325E23C">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00D25F3B">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09603419">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4A77C730">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16BE2399">
      <w:pPr>
        <w:spacing w:line="360" w:lineRule="auto"/>
        <w:ind w:firstLine="420" w:firstLineChars="200"/>
        <w:rPr>
          <w:rFonts w:ascii="宋体" w:hAnsi="宋体"/>
          <w:szCs w:val="21"/>
        </w:rPr>
      </w:pPr>
      <w:r>
        <w:rPr>
          <w:rFonts w:hint="eastAsia" w:ascii="宋体" w:hAnsi="宋体"/>
          <w:szCs w:val="21"/>
        </w:rPr>
        <w:t>备注：</w:t>
      </w:r>
    </w:p>
    <w:p w14:paraId="184CDC3E">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14A2CDC3">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75B36C7C">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5C3E9DCB">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36CC7C5">
      <w:pPr>
        <w:spacing w:line="360" w:lineRule="auto"/>
        <w:ind w:firstLine="420" w:firstLineChars="200"/>
        <w:rPr>
          <w:rFonts w:ascii="宋体" w:hAnsi="宋体"/>
          <w:szCs w:val="21"/>
        </w:rPr>
      </w:pPr>
    </w:p>
    <w:p w14:paraId="0A2627E5">
      <w:pPr>
        <w:pStyle w:val="5"/>
        <w:tabs>
          <w:tab w:val="left" w:pos="0"/>
        </w:tabs>
        <w:jc w:val="center"/>
        <w:rPr>
          <w:rFonts w:ascii="宋体" w:hAnsi="宋体" w:eastAsia="宋体"/>
        </w:rPr>
      </w:pPr>
      <w:r>
        <w:rPr>
          <w:rFonts w:hint="eastAsia" w:ascii="宋体" w:hAnsi="宋体" w:eastAsia="宋体"/>
        </w:rPr>
        <w:t>监狱企业声明函</w:t>
      </w:r>
    </w:p>
    <w:p w14:paraId="19733022">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6AAF5E82">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650BF58A">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CC4DD4D">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7CF40B2E">
      <w:pPr>
        <w:spacing w:line="360" w:lineRule="auto"/>
        <w:ind w:firstLine="645"/>
        <w:rPr>
          <w:rFonts w:ascii="宋体"/>
          <w:b/>
          <w:szCs w:val="21"/>
        </w:rPr>
      </w:pPr>
    </w:p>
    <w:p w14:paraId="15E38D4D">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08C79281">
      <w:pPr>
        <w:spacing w:line="360" w:lineRule="auto"/>
        <w:ind w:left="723" w:hanging="723" w:hangingChars="300"/>
        <w:rPr>
          <w:b/>
          <w:sz w:val="24"/>
        </w:rPr>
      </w:pPr>
    </w:p>
    <w:p w14:paraId="2531F69E">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6F9168B6">
      <w:pPr>
        <w:spacing w:line="360" w:lineRule="auto"/>
        <w:ind w:firstLine="420" w:firstLineChars="200"/>
        <w:rPr>
          <w:rFonts w:ascii="宋体" w:hAnsi="宋体"/>
          <w:szCs w:val="21"/>
        </w:rPr>
      </w:pPr>
    </w:p>
    <w:p w14:paraId="6F24FC7E">
      <w:pPr>
        <w:pStyle w:val="5"/>
        <w:tabs>
          <w:tab w:val="left" w:pos="0"/>
        </w:tabs>
        <w:jc w:val="center"/>
        <w:rPr>
          <w:rFonts w:ascii="宋体" w:hAnsi="宋体" w:eastAsia="宋体"/>
        </w:rPr>
      </w:pPr>
      <w:r>
        <w:rPr>
          <w:rFonts w:hint="eastAsia" w:ascii="宋体" w:hAnsi="宋体" w:eastAsia="宋体"/>
        </w:rPr>
        <w:t>残疾人福利性单位声明函</w:t>
      </w:r>
    </w:p>
    <w:p w14:paraId="3F01863F">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6E44AA86">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3C4D2F5D">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5947CC13">
      <w:pPr>
        <w:spacing w:line="360" w:lineRule="auto"/>
        <w:ind w:firstLine="420" w:firstLineChars="200"/>
        <w:rPr>
          <w:rFonts w:ascii="宋体" w:hAnsi="宋体"/>
          <w:szCs w:val="21"/>
        </w:rPr>
      </w:pPr>
    </w:p>
    <w:p w14:paraId="54CCDD08">
      <w:pPr>
        <w:spacing w:line="360" w:lineRule="auto"/>
        <w:ind w:firstLine="420" w:firstLineChars="200"/>
        <w:rPr>
          <w:rFonts w:ascii="宋体" w:hAnsi="宋体"/>
          <w:szCs w:val="21"/>
        </w:rPr>
      </w:pPr>
    </w:p>
    <w:p w14:paraId="096FEC91">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3825C3C0">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0248729F">
      <w:pPr>
        <w:spacing w:line="360" w:lineRule="auto"/>
        <w:ind w:firstLine="420" w:firstLineChars="200"/>
        <w:jc w:val="right"/>
        <w:rPr>
          <w:rFonts w:ascii="宋体" w:hAnsi="宋体"/>
          <w:szCs w:val="21"/>
        </w:rPr>
      </w:pPr>
    </w:p>
    <w:p w14:paraId="561C2602">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60827DC4">
      <w:bookmarkStart w:id="69" w:name="_Toc44690433"/>
      <w:bookmarkStart w:id="70" w:name="_Toc44691397"/>
      <w:bookmarkStart w:id="71" w:name="_Toc135293186"/>
      <w:bookmarkStart w:id="72" w:name="_Toc44691165"/>
      <w:bookmarkStart w:id="73" w:name="_Toc44690706"/>
    </w:p>
    <w:p w14:paraId="58EC687E"/>
    <w:p w14:paraId="3A77BB8E">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26156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1A0F892B">
            <w:pPr>
              <w:jc w:val="center"/>
              <w:rPr>
                <w:b/>
                <w:szCs w:val="21"/>
              </w:rPr>
            </w:pPr>
            <w:r>
              <w:rPr>
                <w:rFonts w:hint="eastAsia"/>
                <w:b/>
                <w:szCs w:val="21"/>
              </w:rPr>
              <w:t>序号</w:t>
            </w:r>
          </w:p>
        </w:tc>
        <w:tc>
          <w:tcPr>
            <w:tcW w:w="1213" w:type="dxa"/>
            <w:vMerge w:val="restart"/>
            <w:vAlign w:val="center"/>
          </w:tcPr>
          <w:p w14:paraId="20629848">
            <w:pPr>
              <w:jc w:val="center"/>
              <w:rPr>
                <w:b/>
                <w:szCs w:val="21"/>
              </w:rPr>
            </w:pPr>
            <w:r>
              <w:rPr>
                <w:rFonts w:hint="eastAsia"/>
                <w:b/>
                <w:szCs w:val="21"/>
              </w:rPr>
              <w:t>投标产品名称</w:t>
            </w:r>
          </w:p>
        </w:tc>
        <w:tc>
          <w:tcPr>
            <w:tcW w:w="1840" w:type="dxa"/>
            <w:vMerge w:val="restart"/>
            <w:vAlign w:val="center"/>
          </w:tcPr>
          <w:p w14:paraId="3C043F3B">
            <w:pPr>
              <w:jc w:val="center"/>
              <w:rPr>
                <w:b/>
                <w:szCs w:val="21"/>
              </w:rPr>
            </w:pPr>
            <w:r>
              <w:rPr>
                <w:rFonts w:hint="eastAsia"/>
                <w:b/>
                <w:szCs w:val="21"/>
              </w:rPr>
              <w:t>规格及型号</w:t>
            </w:r>
          </w:p>
        </w:tc>
        <w:tc>
          <w:tcPr>
            <w:tcW w:w="4351" w:type="dxa"/>
            <w:gridSpan w:val="3"/>
            <w:vAlign w:val="center"/>
          </w:tcPr>
          <w:p w14:paraId="48F77A65">
            <w:pPr>
              <w:jc w:val="center"/>
              <w:rPr>
                <w:b/>
                <w:szCs w:val="21"/>
              </w:rPr>
            </w:pPr>
            <w:r>
              <w:rPr>
                <w:rFonts w:hint="eastAsia"/>
                <w:b/>
                <w:szCs w:val="21"/>
              </w:rPr>
              <w:t>投标产品报价</w:t>
            </w:r>
          </w:p>
        </w:tc>
        <w:tc>
          <w:tcPr>
            <w:tcW w:w="1503" w:type="dxa"/>
            <w:vMerge w:val="restart"/>
            <w:vAlign w:val="center"/>
          </w:tcPr>
          <w:p w14:paraId="2F2B3996">
            <w:pPr>
              <w:jc w:val="center"/>
              <w:rPr>
                <w:b/>
                <w:szCs w:val="21"/>
              </w:rPr>
            </w:pPr>
            <w:r>
              <w:rPr>
                <w:rFonts w:hint="eastAsia"/>
                <w:b/>
                <w:szCs w:val="21"/>
              </w:rPr>
              <w:t>属于优先采购清单的类别</w:t>
            </w:r>
          </w:p>
        </w:tc>
        <w:tc>
          <w:tcPr>
            <w:tcW w:w="720" w:type="dxa"/>
            <w:vMerge w:val="restart"/>
            <w:vAlign w:val="center"/>
          </w:tcPr>
          <w:p w14:paraId="4297C052">
            <w:pPr>
              <w:jc w:val="center"/>
              <w:rPr>
                <w:b/>
                <w:szCs w:val="21"/>
              </w:rPr>
            </w:pPr>
            <w:r>
              <w:rPr>
                <w:rFonts w:hint="eastAsia"/>
                <w:b/>
                <w:szCs w:val="21"/>
              </w:rPr>
              <w:t>备注</w:t>
            </w:r>
          </w:p>
        </w:tc>
      </w:tr>
      <w:tr w14:paraId="79DC4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7314632F">
            <w:pPr>
              <w:rPr>
                <w:szCs w:val="21"/>
              </w:rPr>
            </w:pPr>
          </w:p>
        </w:tc>
        <w:tc>
          <w:tcPr>
            <w:tcW w:w="1213" w:type="dxa"/>
            <w:vMerge w:val="continue"/>
            <w:vAlign w:val="center"/>
          </w:tcPr>
          <w:p w14:paraId="480E1F47">
            <w:pPr>
              <w:rPr>
                <w:szCs w:val="21"/>
              </w:rPr>
            </w:pPr>
          </w:p>
        </w:tc>
        <w:tc>
          <w:tcPr>
            <w:tcW w:w="1840" w:type="dxa"/>
            <w:vMerge w:val="continue"/>
            <w:vAlign w:val="center"/>
          </w:tcPr>
          <w:p w14:paraId="280C6B64">
            <w:pPr>
              <w:rPr>
                <w:szCs w:val="21"/>
              </w:rPr>
            </w:pPr>
          </w:p>
        </w:tc>
        <w:tc>
          <w:tcPr>
            <w:tcW w:w="818" w:type="dxa"/>
            <w:vAlign w:val="center"/>
          </w:tcPr>
          <w:p w14:paraId="0F21B1F4">
            <w:pPr>
              <w:rPr>
                <w:szCs w:val="21"/>
              </w:rPr>
            </w:pPr>
            <w:r>
              <w:rPr>
                <w:rFonts w:hint="eastAsia"/>
                <w:szCs w:val="21"/>
              </w:rPr>
              <w:t>数量</w:t>
            </w:r>
          </w:p>
        </w:tc>
        <w:tc>
          <w:tcPr>
            <w:tcW w:w="1241" w:type="dxa"/>
            <w:vAlign w:val="center"/>
          </w:tcPr>
          <w:p w14:paraId="67DCB7E1">
            <w:pPr>
              <w:jc w:val="center"/>
              <w:rPr>
                <w:szCs w:val="21"/>
              </w:rPr>
            </w:pPr>
            <w:r>
              <w:rPr>
                <w:rFonts w:hint="eastAsia"/>
                <w:szCs w:val="21"/>
              </w:rPr>
              <w:t>投标单价（元）</w:t>
            </w:r>
          </w:p>
        </w:tc>
        <w:tc>
          <w:tcPr>
            <w:tcW w:w="2292" w:type="dxa"/>
            <w:vAlign w:val="center"/>
          </w:tcPr>
          <w:p w14:paraId="01B61CC6">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52D45011">
            <w:pPr>
              <w:rPr>
                <w:szCs w:val="21"/>
              </w:rPr>
            </w:pPr>
          </w:p>
        </w:tc>
        <w:tc>
          <w:tcPr>
            <w:tcW w:w="720" w:type="dxa"/>
            <w:vMerge w:val="continue"/>
            <w:vAlign w:val="center"/>
          </w:tcPr>
          <w:p w14:paraId="1D6D5BF1">
            <w:pPr>
              <w:rPr>
                <w:szCs w:val="21"/>
              </w:rPr>
            </w:pPr>
          </w:p>
        </w:tc>
      </w:tr>
      <w:tr w14:paraId="5B3BD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399558D0">
            <w:pPr>
              <w:jc w:val="center"/>
              <w:rPr>
                <w:rFonts w:ascii="宋体" w:hAnsi="宋体"/>
                <w:szCs w:val="21"/>
              </w:rPr>
            </w:pPr>
            <w:r>
              <w:rPr>
                <w:rFonts w:hint="eastAsia" w:ascii="宋体" w:hAnsi="宋体"/>
                <w:szCs w:val="21"/>
              </w:rPr>
              <w:t>1</w:t>
            </w:r>
          </w:p>
        </w:tc>
        <w:tc>
          <w:tcPr>
            <w:tcW w:w="1213" w:type="dxa"/>
            <w:vAlign w:val="center"/>
          </w:tcPr>
          <w:p w14:paraId="54A4EF70">
            <w:pPr>
              <w:jc w:val="center"/>
              <w:rPr>
                <w:szCs w:val="21"/>
              </w:rPr>
            </w:pPr>
          </w:p>
        </w:tc>
        <w:tc>
          <w:tcPr>
            <w:tcW w:w="1840" w:type="dxa"/>
            <w:vAlign w:val="center"/>
          </w:tcPr>
          <w:p w14:paraId="570AABD9">
            <w:pPr>
              <w:jc w:val="center"/>
              <w:rPr>
                <w:szCs w:val="21"/>
              </w:rPr>
            </w:pPr>
          </w:p>
        </w:tc>
        <w:tc>
          <w:tcPr>
            <w:tcW w:w="818" w:type="dxa"/>
            <w:vAlign w:val="center"/>
          </w:tcPr>
          <w:p w14:paraId="1F4A4170">
            <w:pPr>
              <w:jc w:val="center"/>
              <w:rPr>
                <w:szCs w:val="21"/>
              </w:rPr>
            </w:pPr>
          </w:p>
        </w:tc>
        <w:tc>
          <w:tcPr>
            <w:tcW w:w="1241" w:type="dxa"/>
            <w:vAlign w:val="center"/>
          </w:tcPr>
          <w:p w14:paraId="2A872AF7">
            <w:pPr>
              <w:jc w:val="center"/>
              <w:rPr>
                <w:szCs w:val="21"/>
              </w:rPr>
            </w:pPr>
          </w:p>
        </w:tc>
        <w:tc>
          <w:tcPr>
            <w:tcW w:w="2292" w:type="dxa"/>
            <w:vAlign w:val="center"/>
          </w:tcPr>
          <w:p w14:paraId="3A2984D6">
            <w:pPr>
              <w:jc w:val="center"/>
              <w:rPr>
                <w:szCs w:val="21"/>
              </w:rPr>
            </w:pPr>
          </w:p>
        </w:tc>
        <w:tc>
          <w:tcPr>
            <w:tcW w:w="1503" w:type="dxa"/>
            <w:vAlign w:val="center"/>
          </w:tcPr>
          <w:p w14:paraId="1AED21D2">
            <w:pPr>
              <w:jc w:val="center"/>
              <w:rPr>
                <w:szCs w:val="21"/>
              </w:rPr>
            </w:pPr>
          </w:p>
        </w:tc>
        <w:tc>
          <w:tcPr>
            <w:tcW w:w="720" w:type="dxa"/>
            <w:vAlign w:val="center"/>
          </w:tcPr>
          <w:p w14:paraId="5556C051">
            <w:pPr>
              <w:jc w:val="center"/>
              <w:rPr>
                <w:szCs w:val="21"/>
              </w:rPr>
            </w:pPr>
          </w:p>
        </w:tc>
      </w:tr>
      <w:tr w14:paraId="67E8A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197D884C">
            <w:pPr>
              <w:jc w:val="center"/>
              <w:rPr>
                <w:rFonts w:ascii="宋体" w:hAnsi="宋体"/>
                <w:szCs w:val="21"/>
              </w:rPr>
            </w:pPr>
            <w:r>
              <w:rPr>
                <w:rFonts w:hint="eastAsia" w:ascii="宋体" w:hAnsi="宋体"/>
                <w:szCs w:val="21"/>
              </w:rPr>
              <w:t>2</w:t>
            </w:r>
          </w:p>
        </w:tc>
        <w:tc>
          <w:tcPr>
            <w:tcW w:w="1213" w:type="dxa"/>
            <w:vAlign w:val="center"/>
          </w:tcPr>
          <w:p w14:paraId="7457D5DA">
            <w:pPr>
              <w:jc w:val="center"/>
              <w:rPr>
                <w:szCs w:val="21"/>
              </w:rPr>
            </w:pPr>
          </w:p>
        </w:tc>
        <w:tc>
          <w:tcPr>
            <w:tcW w:w="1840" w:type="dxa"/>
            <w:vAlign w:val="center"/>
          </w:tcPr>
          <w:p w14:paraId="4614F7FD">
            <w:pPr>
              <w:jc w:val="center"/>
              <w:rPr>
                <w:szCs w:val="21"/>
              </w:rPr>
            </w:pPr>
          </w:p>
        </w:tc>
        <w:tc>
          <w:tcPr>
            <w:tcW w:w="818" w:type="dxa"/>
            <w:vAlign w:val="center"/>
          </w:tcPr>
          <w:p w14:paraId="276016BB">
            <w:pPr>
              <w:jc w:val="center"/>
              <w:rPr>
                <w:szCs w:val="21"/>
              </w:rPr>
            </w:pPr>
          </w:p>
        </w:tc>
        <w:tc>
          <w:tcPr>
            <w:tcW w:w="1241" w:type="dxa"/>
            <w:vAlign w:val="center"/>
          </w:tcPr>
          <w:p w14:paraId="18D51B8E">
            <w:pPr>
              <w:jc w:val="center"/>
              <w:rPr>
                <w:szCs w:val="21"/>
              </w:rPr>
            </w:pPr>
          </w:p>
        </w:tc>
        <w:tc>
          <w:tcPr>
            <w:tcW w:w="2292" w:type="dxa"/>
            <w:vAlign w:val="center"/>
          </w:tcPr>
          <w:p w14:paraId="627BE300">
            <w:pPr>
              <w:jc w:val="center"/>
              <w:rPr>
                <w:szCs w:val="21"/>
              </w:rPr>
            </w:pPr>
          </w:p>
        </w:tc>
        <w:tc>
          <w:tcPr>
            <w:tcW w:w="1503" w:type="dxa"/>
            <w:vAlign w:val="center"/>
          </w:tcPr>
          <w:p w14:paraId="189D9851">
            <w:pPr>
              <w:jc w:val="center"/>
              <w:rPr>
                <w:szCs w:val="21"/>
              </w:rPr>
            </w:pPr>
          </w:p>
        </w:tc>
        <w:tc>
          <w:tcPr>
            <w:tcW w:w="720" w:type="dxa"/>
            <w:vAlign w:val="center"/>
          </w:tcPr>
          <w:p w14:paraId="25A1B738">
            <w:pPr>
              <w:jc w:val="center"/>
              <w:rPr>
                <w:szCs w:val="21"/>
              </w:rPr>
            </w:pPr>
          </w:p>
        </w:tc>
      </w:tr>
    </w:tbl>
    <w:p w14:paraId="2BDA6B74">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75AFCEDE">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15EE7B6B">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517C8D26">
      <w:pPr>
        <w:widowControl/>
        <w:jc w:val="left"/>
      </w:pPr>
      <w:r>
        <w:br w:type="page"/>
      </w:r>
    </w:p>
    <w:p w14:paraId="3902D24E"/>
    <w:p w14:paraId="52512949">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9"/>
      <w:bookmarkEnd w:id="70"/>
      <w:bookmarkEnd w:id="71"/>
      <w:bookmarkEnd w:id="72"/>
      <w:bookmarkEnd w:id="73"/>
    </w:p>
    <w:p w14:paraId="423DE2F0">
      <w:pPr>
        <w:adjustRightInd w:val="0"/>
        <w:snapToGrid w:val="0"/>
        <w:spacing w:line="360" w:lineRule="auto"/>
        <w:rPr>
          <w:bCs/>
          <w:snapToGrid w:val="0"/>
          <w:kern w:val="0"/>
        </w:rPr>
      </w:pPr>
    </w:p>
    <w:p w14:paraId="136031B3">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1E8AFC14">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15F9E6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2B579140">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14:paraId="3B3BC99C">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6963D589">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14:paraId="6165F762">
            <w:pPr>
              <w:adjustRightInd w:val="0"/>
              <w:snapToGrid w:val="0"/>
              <w:spacing w:line="360" w:lineRule="auto"/>
              <w:jc w:val="center"/>
              <w:rPr>
                <w:snapToGrid w:val="0"/>
                <w:kern w:val="0"/>
              </w:rPr>
            </w:pPr>
            <w:r>
              <w:rPr>
                <w:rFonts w:hint="eastAsia"/>
                <w:snapToGrid w:val="0"/>
                <w:kern w:val="0"/>
              </w:rPr>
              <w:t>备注</w:t>
            </w:r>
          </w:p>
        </w:tc>
      </w:tr>
      <w:tr w14:paraId="52332C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14:paraId="1BEA910E">
            <w:pPr>
              <w:adjustRightInd w:val="0"/>
              <w:snapToGrid w:val="0"/>
              <w:spacing w:line="360" w:lineRule="auto"/>
              <w:jc w:val="center"/>
            </w:pPr>
            <w:r>
              <w:rPr>
                <w:rFonts w:hint="eastAsia" w:asciiTheme="minorEastAsia" w:hAnsiTheme="minorEastAsia" w:eastAsiaTheme="minorEastAsia"/>
              </w:rPr>
              <w:t>实训（验）室安全巡检</w:t>
            </w:r>
          </w:p>
        </w:tc>
        <w:tc>
          <w:tcPr>
            <w:tcW w:w="4034" w:type="dxa"/>
            <w:tcBorders>
              <w:top w:val="single" w:color="auto" w:sz="4" w:space="0"/>
            </w:tcBorders>
            <w:vAlign w:val="center"/>
          </w:tcPr>
          <w:p w14:paraId="33DDA639">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2D44552A">
            <w:pPr>
              <w:adjustRightInd w:val="0"/>
              <w:snapToGrid w:val="0"/>
              <w:spacing w:line="360" w:lineRule="auto"/>
              <w:jc w:val="center"/>
              <w:rPr>
                <w:snapToGrid w:val="0"/>
                <w:kern w:val="0"/>
              </w:rPr>
            </w:pPr>
          </w:p>
        </w:tc>
      </w:tr>
    </w:tbl>
    <w:p w14:paraId="3990F554">
      <w:pPr>
        <w:adjustRightInd w:val="0"/>
        <w:snapToGrid w:val="0"/>
        <w:spacing w:line="360" w:lineRule="auto"/>
        <w:rPr>
          <w:snapToGrid w:val="0"/>
          <w:kern w:val="0"/>
        </w:rPr>
      </w:pPr>
    </w:p>
    <w:p w14:paraId="1CFD51C1">
      <w:pPr>
        <w:adjustRightInd w:val="0"/>
        <w:snapToGrid w:val="0"/>
        <w:spacing w:line="360" w:lineRule="auto"/>
        <w:rPr>
          <w:snapToGrid w:val="0"/>
          <w:kern w:val="0"/>
        </w:rPr>
      </w:pPr>
    </w:p>
    <w:p w14:paraId="6E7B77E5">
      <w:pPr>
        <w:adjustRightInd w:val="0"/>
        <w:snapToGrid w:val="0"/>
        <w:spacing w:line="360" w:lineRule="auto"/>
        <w:rPr>
          <w:snapToGrid w:val="0"/>
          <w:kern w:val="0"/>
        </w:rPr>
      </w:pPr>
      <w:r>
        <w:rPr>
          <w:snapToGrid w:val="0"/>
          <w:kern w:val="0"/>
        </w:rPr>
        <w:t>投标单位：（</w:t>
      </w:r>
      <w:r>
        <w:rPr>
          <w:rFonts w:hint="eastAsia"/>
          <w:snapToGrid w:val="0"/>
          <w:kern w:val="0"/>
        </w:rPr>
        <w:t>加盖公章</w:t>
      </w:r>
      <w:r>
        <w:rPr>
          <w:snapToGrid w:val="0"/>
          <w:kern w:val="0"/>
        </w:rPr>
        <w:t>）</w:t>
      </w:r>
    </w:p>
    <w:p w14:paraId="50C0493E">
      <w:pPr>
        <w:adjustRightInd w:val="0"/>
        <w:snapToGrid w:val="0"/>
        <w:spacing w:line="360" w:lineRule="auto"/>
        <w:rPr>
          <w:snapToGrid w:val="0"/>
          <w:kern w:val="0"/>
        </w:rPr>
      </w:pPr>
    </w:p>
    <w:p w14:paraId="3B5A95B8">
      <w:pPr>
        <w:adjustRightInd w:val="0"/>
        <w:snapToGrid w:val="0"/>
        <w:spacing w:line="360" w:lineRule="auto"/>
        <w:ind w:firstLine="6825" w:firstLineChars="3250"/>
        <w:rPr>
          <w:snapToGrid w:val="0"/>
          <w:kern w:val="0"/>
        </w:rPr>
      </w:pPr>
      <w:r>
        <w:rPr>
          <w:snapToGrid w:val="0"/>
          <w:kern w:val="0"/>
        </w:rPr>
        <w:t>年    月    日</w:t>
      </w:r>
    </w:p>
    <w:p w14:paraId="3476E8A4">
      <w:pPr>
        <w:adjustRightInd w:val="0"/>
        <w:snapToGrid w:val="0"/>
        <w:spacing w:line="360" w:lineRule="auto"/>
        <w:ind w:firstLine="1050" w:firstLineChars="500"/>
        <w:rPr>
          <w:snapToGrid w:val="0"/>
          <w:kern w:val="0"/>
        </w:rPr>
      </w:pPr>
    </w:p>
    <w:p w14:paraId="2ECC68B8">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1865A7B1">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14:paraId="580A1AD7">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0A54766">
      <w:pPr>
        <w:adjustRightInd w:val="0"/>
        <w:spacing w:line="312" w:lineRule="auto"/>
        <w:ind w:firstLine="437"/>
        <w:rPr>
          <w:b/>
          <w:sz w:val="28"/>
        </w:rPr>
      </w:pPr>
      <w:r>
        <w:rPr>
          <w:rFonts w:hint="eastAsia" w:ascii="宋体" w:hAnsi="宋体"/>
          <w:szCs w:val="21"/>
        </w:rPr>
        <w:t>4、</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55F90B96"/>
    <w:p w14:paraId="2874877D"/>
    <w:p w14:paraId="61670D46"/>
    <w:p w14:paraId="2C0AF77E"/>
    <w:p w14:paraId="6E1AD208"/>
    <w:p w14:paraId="2E246F55"/>
    <w:p w14:paraId="0FF63F32"/>
    <w:p w14:paraId="20CED6FF"/>
    <w:p w14:paraId="3DF62991"/>
    <w:p w14:paraId="22C16009">
      <w:r>
        <w:br w:type="page"/>
      </w:r>
    </w:p>
    <w:p w14:paraId="091F4690"/>
    <w:p w14:paraId="67EE973A">
      <w:pPr>
        <w:pStyle w:val="3"/>
        <w:tabs>
          <w:tab w:val="left" w:pos="371"/>
        </w:tabs>
        <w:spacing w:before="120" w:after="120"/>
        <w:ind w:left="-1" w:leftChars="-1" w:hanging="1"/>
        <w:jc w:val="center"/>
        <w:rPr>
          <w:rFonts w:asciiTheme="minorEastAsia" w:hAnsiTheme="minorEastAsia" w:eastAsiaTheme="minorEastAsia"/>
        </w:rPr>
      </w:pPr>
      <w:bookmarkStart w:id="74" w:name="_Toc44691398"/>
      <w:bookmarkStart w:id="75" w:name="_Toc44690434"/>
      <w:bookmarkStart w:id="76" w:name="_Toc44691166"/>
      <w:bookmarkStart w:id="77" w:name="_Toc135293187"/>
      <w:bookmarkStart w:id="78" w:name="_Toc44690707"/>
      <w:r>
        <w:rPr>
          <w:rFonts w:hint="eastAsia" w:asciiTheme="minorEastAsia" w:hAnsiTheme="minorEastAsia" w:eastAsiaTheme="minorEastAsia"/>
        </w:rPr>
        <w:t>格式6  报价表</w:t>
      </w:r>
      <w:bookmarkEnd w:id="74"/>
      <w:bookmarkEnd w:id="75"/>
      <w:bookmarkEnd w:id="76"/>
      <w:bookmarkEnd w:id="77"/>
      <w:bookmarkEnd w:id="78"/>
    </w:p>
    <w:p w14:paraId="45A59170">
      <w:pPr>
        <w:spacing w:line="300" w:lineRule="auto"/>
        <w:rPr>
          <w:rFonts w:ascii="楷体_GB2312" w:eastAsia="楷体_GB2312"/>
          <w:b/>
          <w:sz w:val="24"/>
        </w:rPr>
      </w:pPr>
      <w:r>
        <w:rPr>
          <w:rFonts w:hint="eastAsia" w:ascii="楷体_GB2312" w:eastAsia="楷体_GB2312"/>
          <w:b/>
          <w:sz w:val="24"/>
        </w:rPr>
        <w:t>1   报价要求</w:t>
      </w:r>
    </w:p>
    <w:p w14:paraId="6469A964">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1C41CBA0">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14:paraId="4CAB449E">
      <w:pPr>
        <w:adjustRightInd w:val="0"/>
        <w:snapToGrid w:val="0"/>
        <w:spacing w:line="300" w:lineRule="auto"/>
        <w:rPr>
          <w:snapToGrid w:val="0"/>
          <w:kern w:val="0"/>
        </w:rPr>
      </w:pPr>
    </w:p>
    <w:p w14:paraId="3C6D2131">
      <w:pPr>
        <w:spacing w:line="300" w:lineRule="auto"/>
        <w:rPr>
          <w:rFonts w:eastAsia="楷体_GB2312"/>
          <w:b/>
          <w:sz w:val="24"/>
        </w:rPr>
      </w:pPr>
      <w:r>
        <w:rPr>
          <w:rFonts w:hint="eastAsia" w:eastAsia="楷体_GB2312"/>
          <w:b/>
          <w:sz w:val="24"/>
        </w:rPr>
        <w:t>2   报价表</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85"/>
        <w:gridCol w:w="876"/>
        <w:gridCol w:w="909"/>
        <w:gridCol w:w="1643"/>
        <w:gridCol w:w="1701"/>
        <w:gridCol w:w="1125"/>
      </w:tblGrid>
      <w:tr w14:paraId="0A42DF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vAlign w:val="center"/>
          </w:tcPr>
          <w:p w14:paraId="113625C9">
            <w:pPr>
              <w:adjustRightInd w:val="0"/>
              <w:snapToGrid w:val="0"/>
              <w:spacing w:line="300" w:lineRule="auto"/>
              <w:jc w:val="center"/>
              <w:rPr>
                <w:b/>
                <w:snapToGrid w:val="0"/>
                <w:kern w:val="0"/>
              </w:rPr>
            </w:pPr>
            <w:r>
              <w:rPr>
                <w:rFonts w:hint="eastAsia"/>
                <w:b/>
                <w:snapToGrid w:val="0"/>
                <w:kern w:val="0"/>
              </w:rPr>
              <w:t>序号</w:t>
            </w:r>
          </w:p>
        </w:tc>
        <w:tc>
          <w:tcPr>
            <w:tcW w:w="2485" w:type="dxa"/>
            <w:vAlign w:val="center"/>
          </w:tcPr>
          <w:p w14:paraId="5A5241E8">
            <w:pPr>
              <w:adjustRightInd w:val="0"/>
              <w:snapToGrid w:val="0"/>
              <w:spacing w:line="300" w:lineRule="auto"/>
              <w:jc w:val="center"/>
              <w:rPr>
                <w:b/>
                <w:snapToGrid w:val="0"/>
                <w:kern w:val="0"/>
              </w:rPr>
            </w:pPr>
            <w:r>
              <w:rPr>
                <w:rFonts w:hint="eastAsia"/>
                <w:b/>
                <w:snapToGrid w:val="0"/>
                <w:kern w:val="0"/>
              </w:rPr>
              <w:t>项目内容</w:t>
            </w:r>
          </w:p>
        </w:tc>
        <w:tc>
          <w:tcPr>
            <w:tcW w:w="876" w:type="dxa"/>
            <w:vAlign w:val="center"/>
          </w:tcPr>
          <w:p w14:paraId="2945186B">
            <w:pPr>
              <w:adjustRightInd w:val="0"/>
              <w:snapToGrid w:val="0"/>
              <w:spacing w:line="300" w:lineRule="auto"/>
              <w:jc w:val="center"/>
              <w:rPr>
                <w:b/>
                <w:snapToGrid w:val="0"/>
                <w:kern w:val="0"/>
              </w:rPr>
            </w:pPr>
            <w:r>
              <w:rPr>
                <w:rFonts w:hint="eastAsia"/>
                <w:b/>
                <w:snapToGrid w:val="0"/>
                <w:kern w:val="0"/>
              </w:rPr>
              <w:t>数量</w:t>
            </w:r>
          </w:p>
        </w:tc>
        <w:tc>
          <w:tcPr>
            <w:tcW w:w="909" w:type="dxa"/>
            <w:vAlign w:val="center"/>
          </w:tcPr>
          <w:p w14:paraId="5311CC53">
            <w:pPr>
              <w:adjustRightInd w:val="0"/>
              <w:snapToGrid w:val="0"/>
              <w:spacing w:line="300" w:lineRule="auto"/>
              <w:jc w:val="center"/>
              <w:rPr>
                <w:b/>
                <w:snapToGrid w:val="0"/>
                <w:kern w:val="0"/>
              </w:rPr>
            </w:pPr>
            <w:r>
              <w:rPr>
                <w:rFonts w:hint="eastAsia"/>
                <w:b/>
                <w:snapToGrid w:val="0"/>
                <w:kern w:val="0"/>
              </w:rPr>
              <w:t>单位</w:t>
            </w:r>
          </w:p>
        </w:tc>
        <w:tc>
          <w:tcPr>
            <w:tcW w:w="1643" w:type="dxa"/>
            <w:vAlign w:val="center"/>
          </w:tcPr>
          <w:p w14:paraId="418D68AC">
            <w:pPr>
              <w:adjustRightInd w:val="0"/>
              <w:snapToGrid w:val="0"/>
              <w:spacing w:line="300" w:lineRule="auto"/>
              <w:jc w:val="center"/>
              <w:rPr>
                <w:b/>
                <w:snapToGrid w:val="0"/>
                <w:kern w:val="0"/>
              </w:rPr>
            </w:pPr>
            <w:r>
              <w:rPr>
                <w:rFonts w:hint="eastAsia"/>
                <w:b/>
                <w:snapToGrid w:val="0"/>
                <w:kern w:val="0"/>
              </w:rPr>
              <w:t>单价（单位：元）</w:t>
            </w:r>
          </w:p>
        </w:tc>
        <w:tc>
          <w:tcPr>
            <w:tcW w:w="1701" w:type="dxa"/>
            <w:vAlign w:val="center"/>
          </w:tcPr>
          <w:p w14:paraId="7CEC8C0E">
            <w:pPr>
              <w:adjustRightInd w:val="0"/>
              <w:snapToGrid w:val="0"/>
              <w:spacing w:line="300" w:lineRule="auto"/>
              <w:jc w:val="center"/>
              <w:rPr>
                <w:b/>
                <w:snapToGrid w:val="0"/>
                <w:kern w:val="0"/>
              </w:rPr>
            </w:pPr>
            <w:r>
              <w:rPr>
                <w:rFonts w:hint="eastAsia"/>
                <w:b/>
                <w:snapToGrid w:val="0"/>
                <w:kern w:val="0"/>
              </w:rPr>
              <w:t>总价（单位：元）</w:t>
            </w:r>
          </w:p>
        </w:tc>
        <w:tc>
          <w:tcPr>
            <w:tcW w:w="1125" w:type="dxa"/>
            <w:vAlign w:val="center"/>
          </w:tcPr>
          <w:p w14:paraId="1EF75F5A">
            <w:pPr>
              <w:adjustRightInd w:val="0"/>
              <w:snapToGrid w:val="0"/>
              <w:spacing w:line="300" w:lineRule="auto"/>
              <w:jc w:val="center"/>
              <w:rPr>
                <w:b/>
                <w:snapToGrid w:val="0"/>
                <w:kern w:val="0"/>
              </w:rPr>
            </w:pPr>
            <w:r>
              <w:rPr>
                <w:rFonts w:hint="eastAsia"/>
                <w:b/>
                <w:snapToGrid w:val="0"/>
                <w:kern w:val="0"/>
              </w:rPr>
              <w:t>备注</w:t>
            </w:r>
          </w:p>
        </w:tc>
      </w:tr>
      <w:tr w14:paraId="404584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28079C17">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1</w:t>
            </w:r>
          </w:p>
        </w:tc>
        <w:tc>
          <w:tcPr>
            <w:tcW w:w="2485" w:type="dxa"/>
            <w:vAlign w:val="center"/>
          </w:tcPr>
          <w:p w14:paraId="01DCC4A0">
            <w:pPr>
              <w:adjustRightInd w:val="0"/>
              <w:snapToGrid w:val="0"/>
              <w:spacing w:line="300" w:lineRule="auto"/>
              <w:jc w:val="center"/>
              <w:rPr>
                <w:rFonts w:ascii="宋体" w:hAnsi="宋体"/>
                <w:szCs w:val="21"/>
                <w:lang w:val="zh-CN"/>
              </w:rPr>
            </w:pPr>
          </w:p>
        </w:tc>
        <w:tc>
          <w:tcPr>
            <w:tcW w:w="876" w:type="dxa"/>
            <w:vAlign w:val="center"/>
          </w:tcPr>
          <w:p w14:paraId="21DE30DF">
            <w:pPr>
              <w:adjustRightInd w:val="0"/>
              <w:snapToGrid w:val="0"/>
              <w:spacing w:line="300" w:lineRule="auto"/>
              <w:jc w:val="center"/>
              <w:rPr>
                <w:snapToGrid w:val="0"/>
                <w:kern w:val="0"/>
              </w:rPr>
            </w:pPr>
          </w:p>
        </w:tc>
        <w:tc>
          <w:tcPr>
            <w:tcW w:w="909" w:type="dxa"/>
            <w:vAlign w:val="center"/>
          </w:tcPr>
          <w:p w14:paraId="43166CDF">
            <w:pPr>
              <w:adjustRightInd w:val="0"/>
              <w:snapToGrid w:val="0"/>
              <w:spacing w:line="300" w:lineRule="auto"/>
              <w:jc w:val="center"/>
              <w:rPr>
                <w:snapToGrid w:val="0"/>
                <w:kern w:val="0"/>
              </w:rPr>
            </w:pPr>
          </w:p>
        </w:tc>
        <w:tc>
          <w:tcPr>
            <w:tcW w:w="1643" w:type="dxa"/>
            <w:vAlign w:val="center"/>
          </w:tcPr>
          <w:p w14:paraId="7126A5BB">
            <w:pPr>
              <w:adjustRightInd w:val="0"/>
              <w:snapToGrid w:val="0"/>
              <w:spacing w:line="300" w:lineRule="auto"/>
              <w:jc w:val="center"/>
              <w:rPr>
                <w:snapToGrid w:val="0"/>
                <w:kern w:val="0"/>
              </w:rPr>
            </w:pPr>
          </w:p>
        </w:tc>
        <w:tc>
          <w:tcPr>
            <w:tcW w:w="1701" w:type="dxa"/>
            <w:vAlign w:val="center"/>
          </w:tcPr>
          <w:p w14:paraId="122E3198">
            <w:pPr>
              <w:adjustRightInd w:val="0"/>
              <w:snapToGrid w:val="0"/>
              <w:spacing w:line="300" w:lineRule="auto"/>
              <w:jc w:val="center"/>
              <w:rPr>
                <w:snapToGrid w:val="0"/>
                <w:kern w:val="0"/>
              </w:rPr>
            </w:pPr>
          </w:p>
        </w:tc>
        <w:tc>
          <w:tcPr>
            <w:tcW w:w="1125" w:type="dxa"/>
            <w:vAlign w:val="center"/>
          </w:tcPr>
          <w:p w14:paraId="050832E0">
            <w:pPr>
              <w:adjustRightInd w:val="0"/>
              <w:snapToGrid w:val="0"/>
              <w:spacing w:line="300" w:lineRule="auto"/>
              <w:jc w:val="center"/>
              <w:rPr>
                <w:snapToGrid w:val="0"/>
                <w:kern w:val="0"/>
              </w:rPr>
            </w:pPr>
          </w:p>
        </w:tc>
      </w:tr>
      <w:tr w14:paraId="7DD44A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0F918203">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2</w:t>
            </w:r>
          </w:p>
        </w:tc>
        <w:tc>
          <w:tcPr>
            <w:tcW w:w="2485" w:type="dxa"/>
            <w:vAlign w:val="center"/>
          </w:tcPr>
          <w:p w14:paraId="45580752">
            <w:pPr>
              <w:adjustRightInd w:val="0"/>
              <w:snapToGrid w:val="0"/>
              <w:spacing w:line="300" w:lineRule="auto"/>
              <w:jc w:val="center"/>
              <w:rPr>
                <w:rFonts w:ascii="宋体" w:hAnsi="宋体"/>
                <w:szCs w:val="21"/>
                <w:lang w:val="zh-CN"/>
              </w:rPr>
            </w:pPr>
          </w:p>
        </w:tc>
        <w:tc>
          <w:tcPr>
            <w:tcW w:w="876" w:type="dxa"/>
            <w:vAlign w:val="center"/>
          </w:tcPr>
          <w:p w14:paraId="6B438D3A">
            <w:pPr>
              <w:adjustRightInd w:val="0"/>
              <w:snapToGrid w:val="0"/>
              <w:spacing w:line="300" w:lineRule="auto"/>
              <w:jc w:val="center"/>
              <w:rPr>
                <w:snapToGrid w:val="0"/>
                <w:kern w:val="0"/>
              </w:rPr>
            </w:pPr>
          </w:p>
        </w:tc>
        <w:tc>
          <w:tcPr>
            <w:tcW w:w="909" w:type="dxa"/>
            <w:vAlign w:val="center"/>
          </w:tcPr>
          <w:p w14:paraId="482AC850">
            <w:pPr>
              <w:adjustRightInd w:val="0"/>
              <w:snapToGrid w:val="0"/>
              <w:spacing w:line="300" w:lineRule="auto"/>
              <w:jc w:val="center"/>
              <w:rPr>
                <w:snapToGrid w:val="0"/>
                <w:kern w:val="0"/>
              </w:rPr>
            </w:pPr>
          </w:p>
        </w:tc>
        <w:tc>
          <w:tcPr>
            <w:tcW w:w="1643" w:type="dxa"/>
            <w:vAlign w:val="center"/>
          </w:tcPr>
          <w:p w14:paraId="363E5F61">
            <w:pPr>
              <w:adjustRightInd w:val="0"/>
              <w:snapToGrid w:val="0"/>
              <w:spacing w:line="300" w:lineRule="auto"/>
              <w:jc w:val="center"/>
              <w:rPr>
                <w:snapToGrid w:val="0"/>
                <w:kern w:val="0"/>
              </w:rPr>
            </w:pPr>
          </w:p>
        </w:tc>
        <w:tc>
          <w:tcPr>
            <w:tcW w:w="1701" w:type="dxa"/>
            <w:vAlign w:val="center"/>
          </w:tcPr>
          <w:p w14:paraId="627E2E1C">
            <w:pPr>
              <w:adjustRightInd w:val="0"/>
              <w:snapToGrid w:val="0"/>
              <w:spacing w:line="300" w:lineRule="auto"/>
              <w:jc w:val="center"/>
              <w:rPr>
                <w:snapToGrid w:val="0"/>
                <w:kern w:val="0"/>
              </w:rPr>
            </w:pPr>
          </w:p>
        </w:tc>
        <w:tc>
          <w:tcPr>
            <w:tcW w:w="1125" w:type="dxa"/>
            <w:vAlign w:val="center"/>
          </w:tcPr>
          <w:p w14:paraId="372EC417">
            <w:pPr>
              <w:adjustRightInd w:val="0"/>
              <w:snapToGrid w:val="0"/>
              <w:spacing w:line="300" w:lineRule="auto"/>
              <w:jc w:val="center"/>
              <w:rPr>
                <w:snapToGrid w:val="0"/>
                <w:kern w:val="0"/>
              </w:rPr>
            </w:pPr>
          </w:p>
        </w:tc>
      </w:tr>
      <w:tr w14:paraId="5E891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03BEDFA1">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3 </w:t>
            </w:r>
          </w:p>
        </w:tc>
        <w:tc>
          <w:tcPr>
            <w:tcW w:w="2485" w:type="dxa"/>
            <w:vAlign w:val="center"/>
          </w:tcPr>
          <w:p w14:paraId="197057A4">
            <w:pPr>
              <w:adjustRightInd w:val="0"/>
              <w:snapToGrid w:val="0"/>
              <w:spacing w:line="300" w:lineRule="auto"/>
              <w:jc w:val="center"/>
              <w:rPr>
                <w:rFonts w:ascii="宋体" w:hAnsi="宋体"/>
                <w:szCs w:val="21"/>
                <w:lang w:val="zh-CN"/>
              </w:rPr>
            </w:pPr>
          </w:p>
        </w:tc>
        <w:tc>
          <w:tcPr>
            <w:tcW w:w="876" w:type="dxa"/>
            <w:vAlign w:val="center"/>
          </w:tcPr>
          <w:p w14:paraId="51FD0A12">
            <w:pPr>
              <w:adjustRightInd w:val="0"/>
              <w:snapToGrid w:val="0"/>
              <w:spacing w:line="300" w:lineRule="auto"/>
              <w:jc w:val="center"/>
              <w:rPr>
                <w:snapToGrid w:val="0"/>
                <w:kern w:val="0"/>
              </w:rPr>
            </w:pPr>
          </w:p>
        </w:tc>
        <w:tc>
          <w:tcPr>
            <w:tcW w:w="909" w:type="dxa"/>
            <w:vAlign w:val="center"/>
          </w:tcPr>
          <w:p w14:paraId="00843865">
            <w:pPr>
              <w:adjustRightInd w:val="0"/>
              <w:snapToGrid w:val="0"/>
              <w:spacing w:line="300" w:lineRule="auto"/>
              <w:jc w:val="center"/>
              <w:rPr>
                <w:snapToGrid w:val="0"/>
                <w:kern w:val="0"/>
              </w:rPr>
            </w:pPr>
          </w:p>
        </w:tc>
        <w:tc>
          <w:tcPr>
            <w:tcW w:w="1643" w:type="dxa"/>
            <w:vAlign w:val="center"/>
          </w:tcPr>
          <w:p w14:paraId="6CA3EDDC">
            <w:pPr>
              <w:adjustRightInd w:val="0"/>
              <w:snapToGrid w:val="0"/>
              <w:spacing w:line="300" w:lineRule="auto"/>
              <w:jc w:val="center"/>
              <w:rPr>
                <w:snapToGrid w:val="0"/>
                <w:kern w:val="0"/>
              </w:rPr>
            </w:pPr>
          </w:p>
        </w:tc>
        <w:tc>
          <w:tcPr>
            <w:tcW w:w="1701" w:type="dxa"/>
            <w:vAlign w:val="center"/>
          </w:tcPr>
          <w:p w14:paraId="38F062D3">
            <w:pPr>
              <w:adjustRightInd w:val="0"/>
              <w:snapToGrid w:val="0"/>
              <w:spacing w:line="300" w:lineRule="auto"/>
              <w:jc w:val="center"/>
              <w:rPr>
                <w:snapToGrid w:val="0"/>
                <w:kern w:val="0"/>
              </w:rPr>
            </w:pPr>
          </w:p>
        </w:tc>
        <w:tc>
          <w:tcPr>
            <w:tcW w:w="1125" w:type="dxa"/>
            <w:vAlign w:val="center"/>
          </w:tcPr>
          <w:p w14:paraId="4F74B77F">
            <w:pPr>
              <w:adjustRightInd w:val="0"/>
              <w:snapToGrid w:val="0"/>
              <w:spacing w:line="300" w:lineRule="auto"/>
              <w:jc w:val="center"/>
              <w:rPr>
                <w:snapToGrid w:val="0"/>
                <w:kern w:val="0"/>
              </w:rPr>
            </w:pPr>
          </w:p>
        </w:tc>
      </w:tr>
      <w:tr w14:paraId="288F3E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3E014218">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4</w:t>
            </w:r>
          </w:p>
        </w:tc>
        <w:tc>
          <w:tcPr>
            <w:tcW w:w="2485" w:type="dxa"/>
            <w:vAlign w:val="center"/>
          </w:tcPr>
          <w:p w14:paraId="6A49B1B6">
            <w:pPr>
              <w:adjustRightInd w:val="0"/>
              <w:snapToGrid w:val="0"/>
              <w:spacing w:line="300" w:lineRule="auto"/>
              <w:jc w:val="center"/>
              <w:rPr>
                <w:rFonts w:ascii="宋体" w:hAnsi="宋体"/>
                <w:szCs w:val="21"/>
                <w:lang w:val="zh-CN"/>
              </w:rPr>
            </w:pPr>
          </w:p>
        </w:tc>
        <w:tc>
          <w:tcPr>
            <w:tcW w:w="876" w:type="dxa"/>
            <w:vAlign w:val="center"/>
          </w:tcPr>
          <w:p w14:paraId="33641FDA">
            <w:pPr>
              <w:adjustRightInd w:val="0"/>
              <w:snapToGrid w:val="0"/>
              <w:spacing w:line="300" w:lineRule="auto"/>
              <w:jc w:val="center"/>
              <w:rPr>
                <w:snapToGrid w:val="0"/>
                <w:kern w:val="0"/>
              </w:rPr>
            </w:pPr>
          </w:p>
        </w:tc>
        <w:tc>
          <w:tcPr>
            <w:tcW w:w="909" w:type="dxa"/>
            <w:vAlign w:val="center"/>
          </w:tcPr>
          <w:p w14:paraId="10E95C13">
            <w:pPr>
              <w:adjustRightInd w:val="0"/>
              <w:snapToGrid w:val="0"/>
              <w:spacing w:line="300" w:lineRule="auto"/>
              <w:jc w:val="center"/>
              <w:rPr>
                <w:snapToGrid w:val="0"/>
                <w:kern w:val="0"/>
              </w:rPr>
            </w:pPr>
          </w:p>
        </w:tc>
        <w:tc>
          <w:tcPr>
            <w:tcW w:w="1643" w:type="dxa"/>
            <w:vAlign w:val="center"/>
          </w:tcPr>
          <w:p w14:paraId="69E4B9AD">
            <w:pPr>
              <w:adjustRightInd w:val="0"/>
              <w:snapToGrid w:val="0"/>
              <w:spacing w:line="300" w:lineRule="auto"/>
              <w:jc w:val="center"/>
              <w:rPr>
                <w:snapToGrid w:val="0"/>
                <w:kern w:val="0"/>
              </w:rPr>
            </w:pPr>
          </w:p>
        </w:tc>
        <w:tc>
          <w:tcPr>
            <w:tcW w:w="1701" w:type="dxa"/>
            <w:vAlign w:val="center"/>
          </w:tcPr>
          <w:p w14:paraId="252044FC">
            <w:pPr>
              <w:adjustRightInd w:val="0"/>
              <w:snapToGrid w:val="0"/>
              <w:spacing w:line="300" w:lineRule="auto"/>
              <w:jc w:val="center"/>
              <w:rPr>
                <w:snapToGrid w:val="0"/>
                <w:kern w:val="0"/>
              </w:rPr>
            </w:pPr>
          </w:p>
        </w:tc>
        <w:tc>
          <w:tcPr>
            <w:tcW w:w="1125" w:type="dxa"/>
            <w:vAlign w:val="center"/>
          </w:tcPr>
          <w:p w14:paraId="4012A828">
            <w:pPr>
              <w:adjustRightInd w:val="0"/>
              <w:snapToGrid w:val="0"/>
              <w:spacing w:line="300" w:lineRule="auto"/>
              <w:jc w:val="center"/>
              <w:rPr>
                <w:snapToGrid w:val="0"/>
                <w:kern w:val="0"/>
              </w:rPr>
            </w:pPr>
          </w:p>
        </w:tc>
      </w:tr>
      <w:tr w14:paraId="7FD57C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bottom w:val="single" w:color="auto" w:sz="4" w:space="0"/>
            </w:tcBorders>
            <w:vAlign w:val="center"/>
          </w:tcPr>
          <w:p w14:paraId="5C8AB233">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5</w:t>
            </w:r>
          </w:p>
        </w:tc>
        <w:tc>
          <w:tcPr>
            <w:tcW w:w="2485" w:type="dxa"/>
            <w:tcBorders>
              <w:bottom w:val="single" w:color="auto" w:sz="4" w:space="0"/>
            </w:tcBorders>
            <w:vAlign w:val="center"/>
          </w:tcPr>
          <w:p w14:paraId="30DDD162">
            <w:pPr>
              <w:adjustRightInd w:val="0"/>
              <w:snapToGrid w:val="0"/>
              <w:spacing w:line="300" w:lineRule="auto"/>
              <w:jc w:val="center"/>
              <w:rPr>
                <w:rFonts w:ascii="宋体" w:hAnsi="宋体"/>
                <w:szCs w:val="21"/>
                <w:lang w:val="zh-CN"/>
              </w:rPr>
            </w:pPr>
          </w:p>
        </w:tc>
        <w:tc>
          <w:tcPr>
            <w:tcW w:w="876" w:type="dxa"/>
            <w:tcBorders>
              <w:bottom w:val="single" w:color="auto" w:sz="4" w:space="0"/>
            </w:tcBorders>
            <w:vAlign w:val="center"/>
          </w:tcPr>
          <w:p w14:paraId="476123E7">
            <w:pPr>
              <w:adjustRightInd w:val="0"/>
              <w:snapToGrid w:val="0"/>
              <w:spacing w:line="300" w:lineRule="auto"/>
              <w:jc w:val="center"/>
              <w:rPr>
                <w:snapToGrid w:val="0"/>
                <w:kern w:val="0"/>
              </w:rPr>
            </w:pPr>
          </w:p>
        </w:tc>
        <w:tc>
          <w:tcPr>
            <w:tcW w:w="909" w:type="dxa"/>
            <w:tcBorders>
              <w:bottom w:val="single" w:color="auto" w:sz="4" w:space="0"/>
            </w:tcBorders>
            <w:vAlign w:val="center"/>
          </w:tcPr>
          <w:p w14:paraId="569B72DA">
            <w:pPr>
              <w:adjustRightInd w:val="0"/>
              <w:snapToGrid w:val="0"/>
              <w:spacing w:line="300" w:lineRule="auto"/>
              <w:jc w:val="center"/>
              <w:rPr>
                <w:snapToGrid w:val="0"/>
                <w:kern w:val="0"/>
              </w:rPr>
            </w:pPr>
          </w:p>
        </w:tc>
        <w:tc>
          <w:tcPr>
            <w:tcW w:w="1643" w:type="dxa"/>
            <w:tcBorders>
              <w:bottom w:val="single" w:color="auto" w:sz="4" w:space="0"/>
            </w:tcBorders>
            <w:vAlign w:val="center"/>
          </w:tcPr>
          <w:p w14:paraId="20FED16F">
            <w:pPr>
              <w:adjustRightInd w:val="0"/>
              <w:snapToGrid w:val="0"/>
              <w:spacing w:line="300" w:lineRule="auto"/>
              <w:jc w:val="center"/>
              <w:rPr>
                <w:snapToGrid w:val="0"/>
                <w:kern w:val="0"/>
              </w:rPr>
            </w:pPr>
          </w:p>
        </w:tc>
        <w:tc>
          <w:tcPr>
            <w:tcW w:w="1701" w:type="dxa"/>
            <w:tcBorders>
              <w:bottom w:val="single" w:color="auto" w:sz="4" w:space="0"/>
            </w:tcBorders>
            <w:vAlign w:val="center"/>
          </w:tcPr>
          <w:p w14:paraId="62C69793">
            <w:pPr>
              <w:adjustRightInd w:val="0"/>
              <w:snapToGrid w:val="0"/>
              <w:spacing w:line="300" w:lineRule="auto"/>
              <w:jc w:val="center"/>
              <w:rPr>
                <w:snapToGrid w:val="0"/>
                <w:kern w:val="0"/>
              </w:rPr>
            </w:pPr>
          </w:p>
        </w:tc>
        <w:tc>
          <w:tcPr>
            <w:tcW w:w="1125" w:type="dxa"/>
            <w:tcBorders>
              <w:bottom w:val="single" w:color="auto" w:sz="4" w:space="0"/>
            </w:tcBorders>
            <w:vAlign w:val="center"/>
          </w:tcPr>
          <w:p w14:paraId="7C1938D6">
            <w:pPr>
              <w:adjustRightInd w:val="0"/>
              <w:snapToGrid w:val="0"/>
              <w:spacing w:line="300" w:lineRule="auto"/>
              <w:jc w:val="center"/>
              <w:rPr>
                <w:snapToGrid w:val="0"/>
                <w:kern w:val="0"/>
              </w:rPr>
            </w:pPr>
          </w:p>
        </w:tc>
      </w:tr>
      <w:tr w14:paraId="44961E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0757834E">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6</w:t>
            </w:r>
          </w:p>
        </w:tc>
        <w:tc>
          <w:tcPr>
            <w:tcW w:w="2485" w:type="dxa"/>
            <w:tcBorders>
              <w:top w:val="single" w:color="auto" w:sz="4" w:space="0"/>
              <w:bottom w:val="single" w:color="auto" w:sz="4" w:space="0"/>
            </w:tcBorders>
            <w:vAlign w:val="center"/>
          </w:tcPr>
          <w:p w14:paraId="2A917C82">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29AF8356">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3BBD813E">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1A7095CB">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7F41675C">
            <w:pPr>
              <w:adjustRightInd w:val="0"/>
              <w:snapToGrid w:val="0"/>
              <w:spacing w:line="300" w:lineRule="auto"/>
              <w:jc w:val="center"/>
              <w:rPr>
                <w:snapToGrid w:val="0"/>
                <w:kern w:val="0"/>
              </w:rPr>
            </w:pPr>
          </w:p>
        </w:tc>
        <w:tc>
          <w:tcPr>
            <w:tcW w:w="1125" w:type="dxa"/>
            <w:tcBorders>
              <w:bottom w:val="single" w:color="auto" w:sz="4" w:space="0"/>
            </w:tcBorders>
            <w:vAlign w:val="center"/>
          </w:tcPr>
          <w:p w14:paraId="25BA5DF5">
            <w:pPr>
              <w:adjustRightInd w:val="0"/>
              <w:snapToGrid w:val="0"/>
              <w:spacing w:line="300" w:lineRule="auto"/>
              <w:jc w:val="center"/>
              <w:rPr>
                <w:snapToGrid w:val="0"/>
                <w:kern w:val="0"/>
              </w:rPr>
            </w:pPr>
          </w:p>
        </w:tc>
      </w:tr>
      <w:tr w14:paraId="0E667C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295D92AD">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7</w:t>
            </w:r>
          </w:p>
        </w:tc>
        <w:tc>
          <w:tcPr>
            <w:tcW w:w="2485" w:type="dxa"/>
            <w:tcBorders>
              <w:top w:val="single" w:color="auto" w:sz="4" w:space="0"/>
              <w:bottom w:val="single" w:color="auto" w:sz="4" w:space="0"/>
            </w:tcBorders>
            <w:vAlign w:val="center"/>
          </w:tcPr>
          <w:p w14:paraId="619AA967">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22957D78">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31960ED8">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27919358">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46E7F7E3">
            <w:pPr>
              <w:adjustRightInd w:val="0"/>
              <w:snapToGrid w:val="0"/>
              <w:spacing w:line="300" w:lineRule="auto"/>
              <w:jc w:val="center"/>
              <w:rPr>
                <w:snapToGrid w:val="0"/>
                <w:kern w:val="0"/>
              </w:rPr>
            </w:pPr>
          </w:p>
        </w:tc>
        <w:tc>
          <w:tcPr>
            <w:tcW w:w="1125" w:type="dxa"/>
            <w:tcBorders>
              <w:bottom w:val="single" w:color="auto" w:sz="4" w:space="0"/>
            </w:tcBorders>
            <w:vAlign w:val="center"/>
          </w:tcPr>
          <w:p w14:paraId="147CA879">
            <w:pPr>
              <w:adjustRightInd w:val="0"/>
              <w:snapToGrid w:val="0"/>
              <w:spacing w:line="300" w:lineRule="auto"/>
              <w:jc w:val="center"/>
              <w:rPr>
                <w:snapToGrid w:val="0"/>
                <w:kern w:val="0"/>
              </w:rPr>
            </w:pPr>
          </w:p>
        </w:tc>
      </w:tr>
      <w:tr w14:paraId="7B941A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41" w:type="dxa"/>
            <w:gridSpan w:val="5"/>
            <w:tcBorders>
              <w:top w:val="single" w:color="auto" w:sz="4" w:space="0"/>
            </w:tcBorders>
            <w:vAlign w:val="center"/>
          </w:tcPr>
          <w:p w14:paraId="3CFAB099">
            <w:pPr>
              <w:adjustRightInd w:val="0"/>
              <w:snapToGrid w:val="0"/>
              <w:spacing w:line="300" w:lineRule="auto"/>
              <w:jc w:val="center"/>
              <w:rPr>
                <w:snapToGrid w:val="0"/>
                <w:kern w:val="0"/>
              </w:rPr>
            </w:pPr>
            <w:r>
              <w:rPr>
                <w:rFonts w:hint="eastAsia"/>
                <w:snapToGrid w:val="0"/>
                <w:kern w:val="0"/>
              </w:rPr>
              <w:t>合计（即投标总价，单位：元）</w:t>
            </w:r>
          </w:p>
        </w:tc>
        <w:tc>
          <w:tcPr>
            <w:tcW w:w="1701" w:type="dxa"/>
            <w:tcBorders>
              <w:top w:val="single" w:color="auto" w:sz="4" w:space="0"/>
            </w:tcBorders>
            <w:vAlign w:val="center"/>
          </w:tcPr>
          <w:p w14:paraId="6B86B3ED">
            <w:pPr>
              <w:adjustRightInd w:val="0"/>
              <w:snapToGrid w:val="0"/>
              <w:spacing w:line="300" w:lineRule="auto"/>
              <w:jc w:val="center"/>
              <w:rPr>
                <w:snapToGrid w:val="0"/>
                <w:kern w:val="0"/>
              </w:rPr>
            </w:pPr>
          </w:p>
        </w:tc>
        <w:tc>
          <w:tcPr>
            <w:tcW w:w="1125" w:type="dxa"/>
            <w:tcBorders>
              <w:top w:val="single" w:color="auto" w:sz="4" w:space="0"/>
            </w:tcBorders>
            <w:vAlign w:val="center"/>
          </w:tcPr>
          <w:p w14:paraId="1C7A9EA6">
            <w:pPr>
              <w:adjustRightInd w:val="0"/>
              <w:snapToGrid w:val="0"/>
              <w:spacing w:line="300" w:lineRule="auto"/>
              <w:jc w:val="center"/>
              <w:rPr>
                <w:snapToGrid w:val="0"/>
                <w:kern w:val="0"/>
              </w:rPr>
            </w:pPr>
          </w:p>
        </w:tc>
      </w:tr>
    </w:tbl>
    <w:p w14:paraId="7A7E18EA">
      <w:pPr>
        <w:spacing w:before="156" w:beforeLines="50" w:after="156"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14:paraId="75BDD290">
      <w:pPr>
        <w:adjustRightInd w:val="0"/>
        <w:spacing w:before="156" w:beforeLines="50" w:after="156"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14:paraId="5DEAE7E1">
      <w:pPr>
        <w:adjustRightInd w:val="0"/>
        <w:snapToGrid w:val="0"/>
        <w:spacing w:line="300" w:lineRule="auto"/>
        <w:rPr>
          <w:snapToGrid w:val="0"/>
          <w:kern w:val="0"/>
        </w:rPr>
      </w:pPr>
    </w:p>
    <w:p w14:paraId="04BA648C">
      <w:pPr>
        <w:adjustRightInd w:val="0"/>
        <w:snapToGrid w:val="0"/>
        <w:spacing w:line="300" w:lineRule="auto"/>
        <w:rPr>
          <w:snapToGrid w:val="0"/>
          <w:kern w:val="0"/>
        </w:rPr>
      </w:pPr>
    </w:p>
    <w:p w14:paraId="208420AB">
      <w:pPr>
        <w:adjustRightInd w:val="0"/>
        <w:snapToGrid w:val="0"/>
        <w:spacing w:line="300" w:lineRule="auto"/>
        <w:rPr>
          <w:snapToGrid w:val="0"/>
          <w:kern w:val="0"/>
        </w:rPr>
      </w:pPr>
      <w:r>
        <w:rPr>
          <w:rFonts w:hint="eastAsia"/>
          <w:snapToGrid w:val="0"/>
          <w:kern w:val="0"/>
        </w:rPr>
        <w:t>投标单位：（加盖公章）</w:t>
      </w:r>
    </w:p>
    <w:p w14:paraId="0737F153">
      <w:pPr>
        <w:adjustRightInd w:val="0"/>
        <w:snapToGrid w:val="0"/>
        <w:spacing w:line="300" w:lineRule="auto"/>
        <w:rPr>
          <w:snapToGrid w:val="0"/>
          <w:kern w:val="0"/>
        </w:rPr>
      </w:pPr>
    </w:p>
    <w:p w14:paraId="5A9F4E96">
      <w:pPr>
        <w:adjustRightInd w:val="0"/>
        <w:snapToGrid w:val="0"/>
        <w:spacing w:line="300" w:lineRule="auto"/>
        <w:rPr>
          <w:snapToGrid w:val="0"/>
          <w:kern w:val="0"/>
        </w:rPr>
      </w:pPr>
    </w:p>
    <w:p w14:paraId="2452915B">
      <w:pPr>
        <w:adjustRightInd w:val="0"/>
        <w:snapToGrid w:val="0"/>
        <w:spacing w:line="300" w:lineRule="auto"/>
        <w:rPr>
          <w:snapToGrid w:val="0"/>
          <w:kern w:val="0"/>
        </w:rPr>
      </w:pPr>
    </w:p>
    <w:p w14:paraId="0127D0BC">
      <w:pPr>
        <w:wordWrap w:val="0"/>
        <w:adjustRightInd w:val="0"/>
        <w:snapToGrid w:val="0"/>
        <w:spacing w:line="300" w:lineRule="auto"/>
        <w:jc w:val="right"/>
      </w:pPr>
      <w:r>
        <w:rPr>
          <w:rFonts w:hint="eastAsia"/>
          <w:snapToGrid w:val="0"/>
          <w:kern w:val="0"/>
        </w:rPr>
        <w:t>年    月   日</w:t>
      </w:r>
    </w:p>
    <w:p w14:paraId="7A15FE19">
      <w:pPr>
        <w:pStyle w:val="28"/>
        <w:adjustRightInd w:val="0"/>
        <w:snapToGrid w:val="0"/>
        <w:spacing w:line="312" w:lineRule="auto"/>
        <w:jc w:val="center"/>
        <w:rPr>
          <w:rFonts w:ascii="Times New Roman" w:hAnsi="Times New Roman"/>
          <w:b/>
          <w:sz w:val="28"/>
        </w:rPr>
      </w:pPr>
    </w:p>
    <w:p w14:paraId="55573FB3"/>
    <w:p w14:paraId="68A4FB03"/>
    <w:p w14:paraId="033FEA2F"/>
    <w:p w14:paraId="324E9643"/>
    <w:p w14:paraId="5657E612"/>
    <w:p w14:paraId="3D75A9CC"/>
    <w:p w14:paraId="135972E4"/>
    <w:p w14:paraId="7A75F008">
      <w:pPr>
        <w:pStyle w:val="3"/>
        <w:tabs>
          <w:tab w:val="left" w:pos="371"/>
        </w:tabs>
        <w:spacing w:before="120" w:after="120"/>
        <w:ind w:left="-1" w:leftChars="-1" w:hanging="1"/>
        <w:jc w:val="center"/>
        <w:rPr>
          <w:rFonts w:asciiTheme="minorEastAsia" w:hAnsiTheme="minorEastAsia" w:eastAsiaTheme="minorEastAsia"/>
        </w:rPr>
      </w:pPr>
      <w:bookmarkStart w:id="79" w:name="_Toc44690435"/>
      <w:bookmarkStart w:id="80" w:name="_Toc44691399"/>
      <w:bookmarkStart w:id="81" w:name="_Toc44691167"/>
      <w:bookmarkStart w:id="82" w:name="_Toc44690708"/>
      <w:bookmarkStart w:id="83" w:name="_Toc135293188"/>
    </w:p>
    <w:p w14:paraId="0444D07A">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服务方案</w:t>
      </w:r>
      <w:bookmarkEnd w:id="79"/>
      <w:bookmarkEnd w:id="80"/>
      <w:bookmarkEnd w:id="81"/>
      <w:bookmarkEnd w:id="82"/>
      <w:bookmarkEnd w:id="83"/>
    </w:p>
    <w:p w14:paraId="4AF50B6C">
      <w:pPr>
        <w:pStyle w:val="7"/>
      </w:pPr>
    </w:p>
    <w:p w14:paraId="67A14308">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14:paraId="022892A9">
      <w:pPr>
        <w:spacing w:line="400" w:lineRule="exact"/>
        <w:ind w:firstLine="420" w:firstLineChars="200"/>
        <w:rPr>
          <w:rFonts w:ascii="宋体" w:hAnsi="宋体"/>
          <w:szCs w:val="21"/>
        </w:rPr>
      </w:pPr>
    </w:p>
    <w:p w14:paraId="39D8941E">
      <w:pPr>
        <w:spacing w:line="360" w:lineRule="auto"/>
        <w:ind w:firstLine="420" w:firstLineChars="200"/>
        <w:rPr>
          <w:rFonts w:ascii="宋体" w:hAnsi="宋体"/>
          <w:szCs w:val="21"/>
        </w:rPr>
      </w:pPr>
      <w:r>
        <w:rPr>
          <w:rFonts w:hint="eastAsia" w:ascii="宋体" w:hAnsi="宋体"/>
          <w:szCs w:val="21"/>
        </w:rPr>
        <w:t>1、</w:t>
      </w:r>
      <w:r>
        <w:rPr>
          <w:rFonts w:hint="eastAsia" w:ascii="宋体" w:hAnsi="宋体" w:cs="宋体"/>
          <w:color w:val="000000"/>
          <w:szCs w:val="21"/>
        </w:rPr>
        <w:t>服务条款响应情况</w:t>
      </w:r>
    </w:p>
    <w:p w14:paraId="6D365E57">
      <w:pPr>
        <w:spacing w:line="360" w:lineRule="auto"/>
        <w:ind w:firstLine="420" w:firstLineChars="200"/>
        <w:rPr>
          <w:rFonts w:ascii="宋体" w:hAnsi="宋体"/>
          <w:szCs w:val="21"/>
        </w:rPr>
      </w:pPr>
      <w:r>
        <w:rPr>
          <w:rFonts w:hint="eastAsia" w:ascii="宋体" w:hAnsi="宋体"/>
          <w:szCs w:val="21"/>
        </w:rPr>
        <w:t>2、</w:t>
      </w:r>
      <w:r>
        <w:rPr>
          <w:rFonts w:hint="eastAsia" w:ascii="Courier New" w:hAnsi="Courier New"/>
          <w:color w:val="000000"/>
          <w:szCs w:val="21"/>
        </w:rPr>
        <w:t>实施方案</w:t>
      </w:r>
    </w:p>
    <w:p w14:paraId="182991C2">
      <w:pPr>
        <w:spacing w:line="360" w:lineRule="auto"/>
        <w:ind w:firstLine="420" w:firstLineChars="200"/>
        <w:rPr>
          <w:rFonts w:ascii="宋体" w:hAnsi="宋体" w:cs="宋体"/>
          <w:szCs w:val="21"/>
        </w:rPr>
      </w:pPr>
      <w:r>
        <w:rPr>
          <w:rFonts w:hint="eastAsia" w:ascii="宋体" w:hAnsi="宋体"/>
          <w:szCs w:val="21"/>
        </w:rPr>
        <w:t>3、项目重点难点分析、应对措施及相关的合理化建议</w:t>
      </w:r>
    </w:p>
    <w:p w14:paraId="6535AD52">
      <w:pPr>
        <w:spacing w:line="360" w:lineRule="auto"/>
        <w:ind w:firstLine="420" w:firstLineChars="200"/>
        <w:rPr>
          <w:rFonts w:ascii="宋体" w:hAnsi="宋体" w:cs="宋体"/>
          <w:szCs w:val="21"/>
        </w:rPr>
      </w:pPr>
      <w:r>
        <w:rPr>
          <w:rFonts w:hint="eastAsia" w:ascii="宋体" w:hAnsi="宋体" w:cs="宋体"/>
          <w:szCs w:val="21"/>
        </w:rPr>
        <w:t>4、质量（完成时间、安全、环保）保障措施及方案</w:t>
      </w:r>
    </w:p>
    <w:p w14:paraId="3E86AF7E">
      <w:pPr>
        <w:spacing w:line="360" w:lineRule="auto"/>
        <w:ind w:firstLine="420" w:firstLineChars="200"/>
        <w:rPr>
          <w:rFonts w:ascii="Courier New" w:hAnsi="Courier New" w:cs="Courier New"/>
          <w:color w:val="000000"/>
          <w:szCs w:val="21"/>
        </w:rPr>
      </w:pPr>
      <w:r>
        <w:rPr>
          <w:rFonts w:hint="eastAsia" w:ascii="宋体" w:hAnsi="宋体"/>
          <w:szCs w:val="21"/>
        </w:rPr>
        <w:t>5、</w:t>
      </w:r>
      <w:r>
        <w:rPr>
          <w:rFonts w:hint="eastAsia" w:ascii="Courier New" w:hAnsi="Courier New" w:cs="Courier New"/>
          <w:color w:val="000000"/>
          <w:szCs w:val="21"/>
        </w:rPr>
        <w:t>商务</w:t>
      </w:r>
      <w:r>
        <w:rPr>
          <w:rFonts w:hint="eastAsia" w:ascii="Courier New" w:hAnsi="Courier New" w:cs="Courier New"/>
          <w:bCs/>
          <w:color w:val="000000"/>
          <w:szCs w:val="21"/>
        </w:rPr>
        <w:t>条款</w:t>
      </w:r>
      <w:r>
        <w:rPr>
          <w:rFonts w:hint="eastAsia" w:ascii="Courier New" w:hAnsi="Courier New" w:cs="Courier New"/>
          <w:color w:val="000000"/>
          <w:szCs w:val="21"/>
        </w:rPr>
        <w:t>响应情况</w:t>
      </w:r>
    </w:p>
    <w:p w14:paraId="681F35D5">
      <w:pPr>
        <w:spacing w:line="360" w:lineRule="auto"/>
        <w:ind w:firstLine="420" w:firstLineChars="200"/>
        <w:rPr>
          <w:rFonts w:ascii="Courier New" w:hAnsi="Courier New" w:cs="Courier New"/>
          <w:color w:val="000000"/>
          <w:szCs w:val="21"/>
        </w:rPr>
      </w:pPr>
      <w:r>
        <w:rPr>
          <w:rFonts w:hint="eastAsia" w:asciiTheme="minorEastAsia" w:hAnsiTheme="minorEastAsia" w:eastAsiaTheme="minorEastAsia" w:cstheme="minorEastAsia"/>
          <w:color w:val="000000"/>
          <w:szCs w:val="21"/>
        </w:rPr>
        <w:t>6、</w:t>
      </w:r>
      <w:r>
        <w:rPr>
          <w:rFonts w:hint="eastAsia" w:asciiTheme="minorEastAsia" w:hAnsiTheme="minorEastAsia" w:eastAsiaTheme="minorEastAsia" w:cstheme="minorEastAsia"/>
          <w:szCs w:val="21"/>
        </w:rPr>
        <w:t>投标</w:t>
      </w:r>
      <w:r>
        <w:rPr>
          <w:rFonts w:hint="eastAsia" w:ascii="宋体" w:hAnsi="宋体"/>
          <w:szCs w:val="21"/>
        </w:rPr>
        <w:t>人通过相关认证情况</w:t>
      </w:r>
    </w:p>
    <w:p w14:paraId="5E927DCD">
      <w:pPr>
        <w:spacing w:line="360" w:lineRule="auto"/>
        <w:ind w:firstLine="420" w:firstLineChars="200"/>
        <w:rPr>
          <w:rFonts w:ascii="Courier New" w:hAnsi="Courier New"/>
          <w:color w:val="000000"/>
          <w:szCs w:val="21"/>
        </w:rPr>
      </w:pPr>
      <w:r>
        <w:rPr>
          <w:rFonts w:hint="eastAsia" w:ascii="宋体" w:hAnsi="宋体" w:cs="宋体"/>
          <w:szCs w:val="21"/>
        </w:rPr>
        <w:t>7、</w:t>
      </w:r>
      <w:r>
        <w:rPr>
          <w:rFonts w:hint="eastAsia" w:ascii="Courier New" w:hAnsi="Courier New"/>
          <w:color w:val="000000"/>
          <w:szCs w:val="21"/>
        </w:rPr>
        <w:t>投标人同类项目业绩情况</w:t>
      </w:r>
    </w:p>
    <w:p w14:paraId="30021960">
      <w:pPr>
        <w:spacing w:line="360" w:lineRule="auto"/>
        <w:ind w:firstLine="420" w:firstLineChars="200"/>
        <w:rPr>
          <w:rFonts w:ascii="宋体" w:hAnsi="宋体"/>
          <w:szCs w:val="21"/>
        </w:rPr>
      </w:pPr>
      <w:r>
        <w:rPr>
          <w:rFonts w:hint="eastAsia" w:ascii="宋体" w:hAnsi="宋体"/>
          <w:szCs w:val="21"/>
          <w:lang w:val="en-US" w:eastAsia="zh-CN"/>
        </w:rPr>
        <w:t>8</w:t>
      </w:r>
      <w:r>
        <w:rPr>
          <w:rFonts w:hint="eastAsia" w:ascii="宋体" w:hAnsi="宋体"/>
          <w:szCs w:val="21"/>
        </w:rPr>
        <w:t>、拟投入人员情况：包括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7252C376">
      <w:pPr>
        <w:spacing w:line="360" w:lineRule="auto"/>
        <w:ind w:left="420"/>
        <w:rPr>
          <w:rFonts w:ascii="宋体" w:hAnsi="宋体"/>
          <w:szCs w:val="21"/>
        </w:rPr>
      </w:pPr>
      <w:r>
        <w:rPr>
          <w:rFonts w:hint="eastAsia" w:ascii="宋体" w:hAnsi="宋体"/>
          <w:szCs w:val="21"/>
          <w:lang w:val="en-US" w:eastAsia="zh-CN"/>
        </w:rPr>
        <w:t>9</w:t>
      </w:r>
      <w:r>
        <w:rPr>
          <w:rFonts w:hint="eastAsia" w:ascii="宋体" w:hAnsi="宋体"/>
          <w:szCs w:val="21"/>
        </w:rPr>
        <w:t>、服务网点</w:t>
      </w:r>
    </w:p>
    <w:p w14:paraId="4530165A">
      <w:pPr>
        <w:spacing w:line="360" w:lineRule="auto"/>
        <w:ind w:left="420"/>
        <w:rPr>
          <w:rFonts w:ascii="宋体" w:hAnsi="宋体"/>
          <w:bCs/>
        </w:rPr>
      </w:pPr>
      <w:r>
        <w:rPr>
          <w:rFonts w:hint="eastAsia" w:ascii="宋体" w:hAnsi="宋体"/>
          <w:bCs/>
        </w:rPr>
        <w:t>1</w:t>
      </w:r>
      <w:r>
        <w:rPr>
          <w:rFonts w:hint="eastAsia" w:ascii="宋体" w:hAnsi="宋体"/>
          <w:bCs/>
          <w:lang w:val="en-US" w:eastAsia="zh-CN"/>
        </w:rPr>
        <w:t>0</w:t>
      </w:r>
      <w:r>
        <w:rPr>
          <w:rFonts w:hint="eastAsia" w:ascii="宋体" w:hAnsi="宋体"/>
          <w:bCs/>
        </w:rPr>
        <w:t>、投标人认为必要的其他方案</w:t>
      </w:r>
    </w:p>
    <w:p w14:paraId="3D8DC962">
      <w:pPr>
        <w:adjustRightInd w:val="0"/>
        <w:snapToGrid w:val="0"/>
        <w:spacing w:line="300" w:lineRule="auto"/>
        <w:rPr>
          <w:snapToGrid w:val="0"/>
          <w:kern w:val="0"/>
        </w:rPr>
      </w:pPr>
    </w:p>
    <w:p w14:paraId="7EC82D6D">
      <w:pPr>
        <w:adjustRightInd w:val="0"/>
        <w:snapToGrid w:val="0"/>
        <w:spacing w:line="300" w:lineRule="auto"/>
        <w:rPr>
          <w:snapToGrid w:val="0"/>
          <w:kern w:val="0"/>
        </w:rPr>
      </w:pPr>
    </w:p>
    <w:p w14:paraId="64C7D76D">
      <w:pPr>
        <w:adjustRightInd w:val="0"/>
        <w:snapToGrid w:val="0"/>
        <w:spacing w:line="300" w:lineRule="auto"/>
        <w:rPr>
          <w:snapToGrid w:val="0"/>
          <w:kern w:val="0"/>
        </w:rPr>
      </w:pPr>
    </w:p>
    <w:p w14:paraId="56311AAC">
      <w:pPr>
        <w:adjustRightInd w:val="0"/>
        <w:snapToGrid w:val="0"/>
        <w:spacing w:line="300" w:lineRule="auto"/>
        <w:jc w:val="right"/>
        <w:rPr>
          <w:snapToGrid w:val="0"/>
          <w:kern w:val="0"/>
        </w:rPr>
      </w:pPr>
    </w:p>
    <w:p w14:paraId="57BBF73E">
      <w:pPr>
        <w:adjustRightInd w:val="0"/>
        <w:snapToGrid w:val="0"/>
        <w:spacing w:line="300" w:lineRule="auto"/>
        <w:jc w:val="right"/>
        <w:rPr>
          <w:snapToGrid w:val="0"/>
          <w:kern w:val="0"/>
        </w:rPr>
      </w:pPr>
    </w:p>
    <w:p w14:paraId="21080422">
      <w:pPr>
        <w:adjustRightInd w:val="0"/>
        <w:snapToGrid w:val="0"/>
        <w:spacing w:line="300" w:lineRule="auto"/>
        <w:jc w:val="right"/>
        <w:rPr>
          <w:snapToGrid w:val="0"/>
          <w:kern w:val="0"/>
        </w:rPr>
      </w:pPr>
    </w:p>
    <w:p w14:paraId="0595196D">
      <w:pPr>
        <w:adjustRightInd w:val="0"/>
        <w:snapToGrid w:val="0"/>
        <w:spacing w:line="300" w:lineRule="auto"/>
        <w:jc w:val="right"/>
        <w:rPr>
          <w:snapToGrid w:val="0"/>
          <w:kern w:val="0"/>
        </w:rPr>
      </w:pPr>
    </w:p>
    <w:p w14:paraId="46283119">
      <w:pPr>
        <w:adjustRightInd w:val="0"/>
        <w:snapToGrid w:val="0"/>
        <w:spacing w:line="300" w:lineRule="auto"/>
        <w:jc w:val="right"/>
        <w:rPr>
          <w:snapToGrid w:val="0"/>
          <w:kern w:val="0"/>
        </w:rPr>
      </w:pPr>
    </w:p>
    <w:p w14:paraId="5B9C8C36">
      <w:pPr>
        <w:adjustRightInd w:val="0"/>
        <w:snapToGrid w:val="0"/>
        <w:spacing w:line="300" w:lineRule="auto"/>
        <w:jc w:val="right"/>
        <w:rPr>
          <w:snapToGrid w:val="0"/>
          <w:kern w:val="0"/>
        </w:rPr>
      </w:pPr>
    </w:p>
    <w:p w14:paraId="6C0AF508">
      <w:pPr>
        <w:adjustRightInd w:val="0"/>
        <w:snapToGrid w:val="0"/>
        <w:spacing w:line="300" w:lineRule="auto"/>
        <w:jc w:val="right"/>
        <w:rPr>
          <w:snapToGrid w:val="0"/>
          <w:kern w:val="0"/>
        </w:rPr>
      </w:pPr>
    </w:p>
    <w:p w14:paraId="45CD4693">
      <w:pPr>
        <w:adjustRightInd w:val="0"/>
        <w:snapToGrid w:val="0"/>
        <w:spacing w:line="300" w:lineRule="auto"/>
        <w:jc w:val="right"/>
        <w:rPr>
          <w:snapToGrid w:val="0"/>
          <w:kern w:val="0"/>
        </w:rPr>
      </w:pPr>
    </w:p>
    <w:p w14:paraId="09838E2D">
      <w:pPr>
        <w:adjustRightInd w:val="0"/>
        <w:snapToGrid w:val="0"/>
        <w:spacing w:line="300" w:lineRule="auto"/>
        <w:jc w:val="right"/>
        <w:rPr>
          <w:snapToGrid w:val="0"/>
          <w:kern w:val="0"/>
        </w:rPr>
      </w:pPr>
    </w:p>
    <w:p w14:paraId="173B0C65">
      <w:pPr>
        <w:adjustRightInd w:val="0"/>
        <w:snapToGrid w:val="0"/>
        <w:spacing w:line="300" w:lineRule="auto"/>
        <w:jc w:val="right"/>
        <w:rPr>
          <w:snapToGrid w:val="0"/>
          <w:kern w:val="0"/>
        </w:rPr>
      </w:pPr>
    </w:p>
    <w:p w14:paraId="6A880867">
      <w:pPr>
        <w:adjustRightInd w:val="0"/>
        <w:snapToGrid w:val="0"/>
        <w:spacing w:line="300" w:lineRule="auto"/>
        <w:jc w:val="right"/>
        <w:rPr>
          <w:snapToGrid w:val="0"/>
          <w:kern w:val="0"/>
        </w:rPr>
      </w:pPr>
    </w:p>
    <w:p w14:paraId="2EE3346C">
      <w:pPr>
        <w:adjustRightInd w:val="0"/>
        <w:snapToGrid w:val="0"/>
        <w:spacing w:line="300" w:lineRule="auto"/>
        <w:jc w:val="right"/>
        <w:rPr>
          <w:snapToGrid w:val="0"/>
          <w:kern w:val="0"/>
        </w:rPr>
      </w:pPr>
    </w:p>
    <w:p w14:paraId="65B4A495">
      <w:pPr>
        <w:adjustRightInd w:val="0"/>
        <w:snapToGrid w:val="0"/>
        <w:spacing w:line="300" w:lineRule="auto"/>
        <w:jc w:val="right"/>
        <w:rPr>
          <w:snapToGrid w:val="0"/>
          <w:kern w:val="0"/>
        </w:rPr>
      </w:pPr>
    </w:p>
    <w:p w14:paraId="465935D9">
      <w:pPr>
        <w:adjustRightInd w:val="0"/>
        <w:snapToGrid w:val="0"/>
        <w:spacing w:line="300" w:lineRule="auto"/>
        <w:jc w:val="right"/>
        <w:rPr>
          <w:snapToGrid w:val="0"/>
          <w:kern w:val="0"/>
        </w:rPr>
      </w:pPr>
    </w:p>
    <w:p w14:paraId="1C3CE10B">
      <w:pPr>
        <w:adjustRightInd w:val="0"/>
        <w:snapToGrid w:val="0"/>
        <w:spacing w:line="300" w:lineRule="auto"/>
        <w:jc w:val="right"/>
        <w:rPr>
          <w:snapToGrid w:val="0"/>
          <w:kern w:val="0"/>
        </w:rPr>
      </w:pPr>
    </w:p>
    <w:p w14:paraId="211C8CF0">
      <w:pPr>
        <w:adjustRightInd w:val="0"/>
        <w:snapToGrid w:val="0"/>
        <w:spacing w:line="300" w:lineRule="auto"/>
        <w:jc w:val="right"/>
        <w:rPr>
          <w:snapToGrid w:val="0"/>
          <w:kern w:val="0"/>
        </w:rPr>
      </w:pPr>
    </w:p>
    <w:p w14:paraId="175D0540">
      <w:pPr>
        <w:adjustRightInd w:val="0"/>
        <w:snapToGrid w:val="0"/>
        <w:spacing w:line="300" w:lineRule="auto"/>
        <w:jc w:val="right"/>
        <w:rPr>
          <w:snapToGrid w:val="0"/>
          <w:kern w:val="0"/>
        </w:rPr>
      </w:pPr>
    </w:p>
    <w:p w14:paraId="5473B6CE">
      <w:pPr>
        <w:tabs>
          <w:tab w:val="left" w:pos="8248"/>
          <w:tab w:val="left" w:pos="9368"/>
        </w:tabs>
        <w:spacing w:line="360" w:lineRule="auto"/>
      </w:pPr>
    </w:p>
    <w:p w14:paraId="3896CCDF">
      <w:pPr>
        <w:tabs>
          <w:tab w:val="left" w:pos="8248"/>
          <w:tab w:val="left" w:pos="9368"/>
        </w:tabs>
        <w:spacing w:line="360" w:lineRule="auto"/>
      </w:pPr>
      <w:r>
        <w:rPr>
          <w:rFonts w:hint="eastAsia"/>
        </w:rPr>
        <w:t>附表：</w:t>
      </w:r>
    </w:p>
    <w:p w14:paraId="06D6FE28">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6B1D4B90"/>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289CB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7181B509">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0260BEA6">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742BB157">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5F1CE4BF">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19AFAE94">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710C38AC">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08BDD7A3">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6D5854F4">
            <w:pPr>
              <w:jc w:val="center"/>
              <w:rPr>
                <w:rFonts w:ascii="宋体" w:hAnsi="宋体" w:cs="Courier New"/>
                <w:snapToGrid w:val="0"/>
                <w:szCs w:val="21"/>
              </w:rPr>
            </w:pPr>
            <w:r>
              <w:rPr>
                <w:rFonts w:hint="eastAsia" w:ascii="宋体" w:hAnsi="宋体" w:cs="Courier New"/>
                <w:snapToGrid w:val="0"/>
                <w:szCs w:val="21"/>
              </w:rPr>
              <w:t>工作经验</w:t>
            </w:r>
          </w:p>
        </w:tc>
      </w:tr>
      <w:tr w14:paraId="29EAF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78AAC304">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0C916C24">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232454EE">
            <w:pPr>
              <w:rPr>
                <w:rFonts w:ascii="宋体" w:hAnsi="宋体" w:cs="Courier New"/>
                <w:snapToGrid w:val="0"/>
                <w:szCs w:val="21"/>
              </w:rPr>
            </w:pPr>
          </w:p>
        </w:tc>
        <w:tc>
          <w:tcPr>
            <w:tcW w:w="567" w:type="dxa"/>
            <w:vAlign w:val="center"/>
          </w:tcPr>
          <w:p w14:paraId="65D8B002">
            <w:pPr>
              <w:rPr>
                <w:rFonts w:ascii="宋体" w:hAnsi="宋体" w:cs="Courier New"/>
                <w:snapToGrid w:val="0"/>
                <w:szCs w:val="21"/>
              </w:rPr>
            </w:pPr>
          </w:p>
        </w:tc>
        <w:tc>
          <w:tcPr>
            <w:tcW w:w="1308" w:type="dxa"/>
            <w:vAlign w:val="center"/>
          </w:tcPr>
          <w:p w14:paraId="5ED7DAEB">
            <w:pPr>
              <w:rPr>
                <w:rFonts w:ascii="宋体" w:hAnsi="宋体" w:cs="Courier New"/>
                <w:snapToGrid w:val="0"/>
                <w:szCs w:val="21"/>
              </w:rPr>
            </w:pPr>
          </w:p>
        </w:tc>
        <w:tc>
          <w:tcPr>
            <w:tcW w:w="1544" w:type="dxa"/>
            <w:vAlign w:val="center"/>
          </w:tcPr>
          <w:p w14:paraId="44749CD2">
            <w:pPr>
              <w:rPr>
                <w:rFonts w:ascii="宋体" w:hAnsi="宋体" w:cs="Courier New"/>
                <w:snapToGrid w:val="0"/>
                <w:szCs w:val="21"/>
              </w:rPr>
            </w:pPr>
          </w:p>
        </w:tc>
        <w:tc>
          <w:tcPr>
            <w:tcW w:w="1260" w:type="dxa"/>
            <w:vAlign w:val="center"/>
          </w:tcPr>
          <w:p w14:paraId="4D2ADB6E">
            <w:pPr>
              <w:rPr>
                <w:rFonts w:ascii="宋体" w:hAnsi="宋体" w:cs="Courier New"/>
                <w:snapToGrid w:val="0"/>
                <w:szCs w:val="21"/>
              </w:rPr>
            </w:pPr>
          </w:p>
        </w:tc>
        <w:tc>
          <w:tcPr>
            <w:tcW w:w="1620" w:type="dxa"/>
            <w:vAlign w:val="center"/>
          </w:tcPr>
          <w:p w14:paraId="36BA9D13">
            <w:pPr>
              <w:rPr>
                <w:rFonts w:ascii="宋体" w:hAnsi="宋体" w:cs="Courier New"/>
                <w:snapToGrid w:val="0"/>
                <w:szCs w:val="21"/>
              </w:rPr>
            </w:pPr>
          </w:p>
        </w:tc>
      </w:tr>
      <w:tr w14:paraId="114FC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B07E8EE">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712E7D20">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5A38AE89">
            <w:pPr>
              <w:rPr>
                <w:rFonts w:ascii="宋体" w:hAnsi="宋体" w:cs="Courier New"/>
                <w:snapToGrid w:val="0"/>
                <w:szCs w:val="21"/>
              </w:rPr>
            </w:pPr>
          </w:p>
        </w:tc>
        <w:tc>
          <w:tcPr>
            <w:tcW w:w="567" w:type="dxa"/>
          </w:tcPr>
          <w:p w14:paraId="588EE773">
            <w:pPr>
              <w:rPr>
                <w:rFonts w:ascii="宋体" w:hAnsi="宋体" w:cs="Courier New"/>
                <w:snapToGrid w:val="0"/>
                <w:szCs w:val="21"/>
              </w:rPr>
            </w:pPr>
          </w:p>
        </w:tc>
        <w:tc>
          <w:tcPr>
            <w:tcW w:w="1308" w:type="dxa"/>
          </w:tcPr>
          <w:p w14:paraId="24A16241">
            <w:pPr>
              <w:rPr>
                <w:rFonts w:ascii="宋体" w:hAnsi="宋体" w:cs="Courier New"/>
                <w:snapToGrid w:val="0"/>
                <w:szCs w:val="21"/>
              </w:rPr>
            </w:pPr>
          </w:p>
        </w:tc>
        <w:tc>
          <w:tcPr>
            <w:tcW w:w="1544" w:type="dxa"/>
          </w:tcPr>
          <w:p w14:paraId="3BBA70CF">
            <w:pPr>
              <w:rPr>
                <w:rFonts w:ascii="宋体" w:hAnsi="宋体" w:cs="Courier New"/>
                <w:snapToGrid w:val="0"/>
                <w:szCs w:val="21"/>
              </w:rPr>
            </w:pPr>
          </w:p>
        </w:tc>
        <w:tc>
          <w:tcPr>
            <w:tcW w:w="1260" w:type="dxa"/>
          </w:tcPr>
          <w:p w14:paraId="282EE8DE">
            <w:pPr>
              <w:rPr>
                <w:rFonts w:ascii="宋体" w:hAnsi="宋体" w:cs="Courier New"/>
                <w:snapToGrid w:val="0"/>
                <w:szCs w:val="21"/>
              </w:rPr>
            </w:pPr>
          </w:p>
        </w:tc>
        <w:tc>
          <w:tcPr>
            <w:tcW w:w="1620" w:type="dxa"/>
          </w:tcPr>
          <w:p w14:paraId="25A22649">
            <w:pPr>
              <w:rPr>
                <w:rFonts w:ascii="宋体" w:hAnsi="宋体" w:cs="Courier New"/>
                <w:snapToGrid w:val="0"/>
                <w:szCs w:val="21"/>
              </w:rPr>
            </w:pPr>
          </w:p>
        </w:tc>
      </w:tr>
      <w:tr w14:paraId="6ED6F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29A481F">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72D218ED">
            <w:pPr>
              <w:jc w:val="center"/>
              <w:rPr>
                <w:rFonts w:ascii="宋体" w:hAnsi="宋体" w:cs="Courier New"/>
                <w:snapToGrid w:val="0"/>
                <w:szCs w:val="21"/>
              </w:rPr>
            </w:pPr>
          </w:p>
        </w:tc>
        <w:tc>
          <w:tcPr>
            <w:tcW w:w="851" w:type="dxa"/>
          </w:tcPr>
          <w:p w14:paraId="08793D64">
            <w:pPr>
              <w:rPr>
                <w:rFonts w:ascii="宋体" w:hAnsi="宋体" w:cs="Courier New"/>
                <w:snapToGrid w:val="0"/>
                <w:szCs w:val="21"/>
              </w:rPr>
            </w:pPr>
          </w:p>
        </w:tc>
        <w:tc>
          <w:tcPr>
            <w:tcW w:w="567" w:type="dxa"/>
          </w:tcPr>
          <w:p w14:paraId="3F458794">
            <w:pPr>
              <w:rPr>
                <w:rFonts w:ascii="宋体" w:hAnsi="宋体" w:cs="Courier New"/>
                <w:snapToGrid w:val="0"/>
                <w:szCs w:val="21"/>
              </w:rPr>
            </w:pPr>
          </w:p>
        </w:tc>
        <w:tc>
          <w:tcPr>
            <w:tcW w:w="1308" w:type="dxa"/>
          </w:tcPr>
          <w:p w14:paraId="2B5EC3E2">
            <w:pPr>
              <w:rPr>
                <w:rFonts w:ascii="宋体" w:hAnsi="宋体" w:cs="Courier New"/>
                <w:snapToGrid w:val="0"/>
                <w:szCs w:val="21"/>
              </w:rPr>
            </w:pPr>
          </w:p>
        </w:tc>
        <w:tc>
          <w:tcPr>
            <w:tcW w:w="1544" w:type="dxa"/>
          </w:tcPr>
          <w:p w14:paraId="489AF7F3">
            <w:pPr>
              <w:rPr>
                <w:rFonts w:ascii="宋体" w:hAnsi="宋体" w:cs="Courier New"/>
                <w:snapToGrid w:val="0"/>
                <w:szCs w:val="21"/>
              </w:rPr>
            </w:pPr>
          </w:p>
        </w:tc>
        <w:tc>
          <w:tcPr>
            <w:tcW w:w="1260" w:type="dxa"/>
          </w:tcPr>
          <w:p w14:paraId="6CBB7BA1">
            <w:pPr>
              <w:rPr>
                <w:rFonts w:ascii="宋体" w:hAnsi="宋体" w:cs="Courier New"/>
                <w:snapToGrid w:val="0"/>
                <w:szCs w:val="21"/>
              </w:rPr>
            </w:pPr>
          </w:p>
        </w:tc>
        <w:tc>
          <w:tcPr>
            <w:tcW w:w="1620" w:type="dxa"/>
          </w:tcPr>
          <w:p w14:paraId="566D9A43">
            <w:pPr>
              <w:rPr>
                <w:rFonts w:ascii="宋体" w:hAnsi="宋体" w:cs="Courier New"/>
                <w:snapToGrid w:val="0"/>
                <w:szCs w:val="21"/>
              </w:rPr>
            </w:pPr>
          </w:p>
        </w:tc>
      </w:tr>
      <w:tr w14:paraId="7AEA3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2B19D9B">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049A3755">
            <w:pPr>
              <w:jc w:val="center"/>
              <w:rPr>
                <w:rFonts w:ascii="宋体" w:hAnsi="宋体" w:cs="Courier New"/>
                <w:snapToGrid w:val="0"/>
                <w:szCs w:val="21"/>
              </w:rPr>
            </w:pPr>
          </w:p>
        </w:tc>
        <w:tc>
          <w:tcPr>
            <w:tcW w:w="851" w:type="dxa"/>
          </w:tcPr>
          <w:p w14:paraId="1DF76358">
            <w:pPr>
              <w:rPr>
                <w:rFonts w:ascii="宋体" w:hAnsi="宋体" w:cs="Courier New"/>
                <w:snapToGrid w:val="0"/>
                <w:szCs w:val="21"/>
              </w:rPr>
            </w:pPr>
          </w:p>
        </w:tc>
        <w:tc>
          <w:tcPr>
            <w:tcW w:w="567" w:type="dxa"/>
          </w:tcPr>
          <w:p w14:paraId="59E95074">
            <w:pPr>
              <w:rPr>
                <w:rFonts w:ascii="宋体" w:hAnsi="宋体" w:cs="Courier New"/>
                <w:snapToGrid w:val="0"/>
                <w:szCs w:val="21"/>
              </w:rPr>
            </w:pPr>
          </w:p>
        </w:tc>
        <w:tc>
          <w:tcPr>
            <w:tcW w:w="1308" w:type="dxa"/>
          </w:tcPr>
          <w:p w14:paraId="65A3B975">
            <w:pPr>
              <w:rPr>
                <w:rFonts w:ascii="宋体" w:hAnsi="宋体" w:cs="Courier New"/>
                <w:snapToGrid w:val="0"/>
                <w:szCs w:val="21"/>
              </w:rPr>
            </w:pPr>
          </w:p>
        </w:tc>
        <w:tc>
          <w:tcPr>
            <w:tcW w:w="1544" w:type="dxa"/>
          </w:tcPr>
          <w:p w14:paraId="2AE0DA4B">
            <w:pPr>
              <w:rPr>
                <w:rFonts w:ascii="宋体" w:hAnsi="宋体" w:cs="Courier New"/>
                <w:snapToGrid w:val="0"/>
                <w:szCs w:val="21"/>
              </w:rPr>
            </w:pPr>
          </w:p>
        </w:tc>
        <w:tc>
          <w:tcPr>
            <w:tcW w:w="1260" w:type="dxa"/>
          </w:tcPr>
          <w:p w14:paraId="5962600E">
            <w:pPr>
              <w:rPr>
                <w:rFonts w:ascii="宋体" w:hAnsi="宋体" w:cs="Courier New"/>
                <w:snapToGrid w:val="0"/>
                <w:szCs w:val="21"/>
              </w:rPr>
            </w:pPr>
          </w:p>
        </w:tc>
        <w:tc>
          <w:tcPr>
            <w:tcW w:w="1620" w:type="dxa"/>
          </w:tcPr>
          <w:p w14:paraId="3ACD1268">
            <w:pPr>
              <w:rPr>
                <w:rFonts w:ascii="宋体" w:hAnsi="宋体" w:cs="Courier New"/>
                <w:snapToGrid w:val="0"/>
                <w:szCs w:val="21"/>
              </w:rPr>
            </w:pPr>
          </w:p>
        </w:tc>
      </w:tr>
      <w:tr w14:paraId="0297E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14123BE">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01C90BB4">
            <w:pPr>
              <w:jc w:val="center"/>
              <w:rPr>
                <w:rFonts w:ascii="宋体" w:hAnsi="宋体" w:cs="Courier New"/>
                <w:snapToGrid w:val="0"/>
                <w:szCs w:val="21"/>
              </w:rPr>
            </w:pPr>
          </w:p>
        </w:tc>
        <w:tc>
          <w:tcPr>
            <w:tcW w:w="851" w:type="dxa"/>
          </w:tcPr>
          <w:p w14:paraId="4A90DA08">
            <w:pPr>
              <w:rPr>
                <w:rFonts w:ascii="宋体" w:hAnsi="宋体" w:cs="Courier New"/>
                <w:snapToGrid w:val="0"/>
                <w:szCs w:val="21"/>
              </w:rPr>
            </w:pPr>
          </w:p>
        </w:tc>
        <w:tc>
          <w:tcPr>
            <w:tcW w:w="567" w:type="dxa"/>
          </w:tcPr>
          <w:p w14:paraId="68B85E62">
            <w:pPr>
              <w:rPr>
                <w:rFonts w:ascii="宋体" w:hAnsi="宋体" w:cs="Courier New"/>
                <w:snapToGrid w:val="0"/>
                <w:szCs w:val="21"/>
              </w:rPr>
            </w:pPr>
          </w:p>
        </w:tc>
        <w:tc>
          <w:tcPr>
            <w:tcW w:w="1308" w:type="dxa"/>
          </w:tcPr>
          <w:p w14:paraId="4F0BAC88">
            <w:pPr>
              <w:rPr>
                <w:rFonts w:ascii="宋体" w:hAnsi="宋体" w:cs="Courier New"/>
                <w:snapToGrid w:val="0"/>
                <w:szCs w:val="21"/>
              </w:rPr>
            </w:pPr>
          </w:p>
        </w:tc>
        <w:tc>
          <w:tcPr>
            <w:tcW w:w="1544" w:type="dxa"/>
          </w:tcPr>
          <w:p w14:paraId="2ED37AE9">
            <w:pPr>
              <w:rPr>
                <w:rFonts w:ascii="宋体" w:hAnsi="宋体" w:cs="Courier New"/>
                <w:snapToGrid w:val="0"/>
                <w:szCs w:val="21"/>
              </w:rPr>
            </w:pPr>
          </w:p>
        </w:tc>
        <w:tc>
          <w:tcPr>
            <w:tcW w:w="1260" w:type="dxa"/>
          </w:tcPr>
          <w:p w14:paraId="21CA58C5">
            <w:pPr>
              <w:rPr>
                <w:rFonts w:ascii="宋体" w:hAnsi="宋体" w:cs="Courier New"/>
                <w:snapToGrid w:val="0"/>
                <w:szCs w:val="21"/>
              </w:rPr>
            </w:pPr>
          </w:p>
        </w:tc>
        <w:tc>
          <w:tcPr>
            <w:tcW w:w="1620" w:type="dxa"/>
          </w:tcPr>
          <w:p w14:paraId="0B797598">
            <w:pPr>
              <w:rPr>
                <w:rFonts w:ascii="宋体" w:hAnsi="宋体" w:cs="Courier New"/>
                <w:snapToGrid w:val="0"/>
                <w:szCs w:val="21"/>
              </w:rPr>
            </w:pPr>
          </w:p>
        </w:tc>
      </w:tr>
      <w:tr w14:paraId="1362B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76E2E1C">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23712EE8">
            <w:pPr>
              <w:jc w:val="center"/>
              <w:rPr>
                <w:rFonts w:ascii="宋体" w:hAnsi="宋体" w:cs="Courier New"/>
                <w:snapToGrid w:val="0"/>
                <w:szCs w:val="21"/>
              </w:rPr>
            </w:pPr>
          </w:p>
        </w:tc>
        <w:tc>
          <w:tcPr>
            <w:tcW w:w="851" w:type="dxa"/>
          </w:tcPr>
          <w:p w14:paraId="0B4A2569">
            <w:pPr>
              <w:rPr>
                <w:rFonts w:ascii="宋体" w:hAnsi="宋体" w:cs="Courier New"/>
                <w:snapToGrid w:val="0"/>
                <w:szCs w:val="21"/>
              </w:rPr>
            </w:pPr>
          </w:p>
        </w:tc>
        <w:tc>
          <w:tcPr>
            <w:tcW w:w="567" w:type="dxa"/>
          </w:tcPr>
          <w:p w14:paraId="196F7D51">
            <w:pPr>
              <w:rPr>
                <w:rFonts w:ascii="宋体" w:hAnsi="宋体" w:cs="Courier New"/>
                <w:snapToGrid w:val="0"/>
                <w:szCs w:val="21"/>
              </w:rPr>
            </w:pPr>
          </w:p>
        </w:tc>
        <w:tc>
          <w:tcPr>
            <w:tcW w:w="1308" w:type="dxa"/>
          </w:tcPr>
          <w:p w14:paraId="52C437BD">
            <w:pPr>
              <w:rPr>
                <w:rFonts w:ascii="宋体" w:hAnsi="宋体" w:cs="Courier New"/>
                <w:snapToGrid w:val="0"/>
                <w:szCs w:val="21"/>
              </w:rPr>
            </w:pPr>
          </w:p>
        </w:tc>
        <w:tc>
          <w:tcPr>
            <w:tcW w:w="1544" w:type="dxa"/>
          </w:tcPr>
          <w:p w14:paraId="381648D1">
            <w:pPr>
              <w:rPr>
                <w:rFonts w:ascii="宋体" w:hAnsi="宋体" w:cs="Courier New"/>
                <w:snapToGrid w:val="0"/>
                <w:szCs w:val="21"/>
              </w:rPr>
            </w:pPr>
          </w:p>
        </w:tc>
        <w:tc>
          <w:tcPr>
            <w:tcW w:w="1260" w:type="dxa"/>
          </w:tcPr>
          <w:p w14:paraId="2BDE3ABB">
            <w:pPr>
              <w:rPr>
                <w:rFonts w:ascii="宋体" w:hAnsi="宋体" w:cs="Courier New"/>
                <w:snapToGrid w:val="0"/>
                <w:szCs w:val="21"/>
              </w:rPr>
            </w:pPr>
          </w:p>
        </w:tc>
        <w:tc>
          <w:tcPr>
            <w:tcW w:w="1620" w:type="dxa"/>
          </w:tcPr>
          <w:p w14:paraId="61D7CF61">
            <w:pPr>
              <w:rPr>
                <w:rFonts w:ascii="宋体" w:hAnsi="宋体" w:cs="Courier New"/>
                <w:snapToGrid w:val="0"/>
                <w:szCs w:val="21"/>
              </w:rPr>
            </w:pPr>
          </w:p>
        </w:tc>
      </w:tr>
      <w:tr w14:paraId="4067A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1AE43FA">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017B9A21">
            <w:pPr>
              <w:jc w:val="center"/>
              <w:rPr>
                <w:rFonts w:ascii="宋体" w:hAnsi="宋体" w:cs="Courier New"/>
                <w:snapToGrid w:val="0"/>
                <w:szCs w:val="21"/>
              </w:rPr>
            </w:pPr>
          </w:p>
        </w:tc>
        <w:tc>
          <w:tcPr>
            <w:tcW w:w="851" w:type="dxa"/>
          </w:tcPr>
          <w:p w14:paraId="7A87F536">
            <w:pPr>
              <w:rPr>
                <w:rFonts w:ascii="宋体" w:hAnsi="宋体" w:cs="Courier New"/>
                <w:snapToGrid w:val="0"/>
                <w:szCs w:val="21"/>
              </w:rPr>
            </w:pPr>
          </w:p>
        </w:tc>
        <w:tc>
          <w:tcPr>
            <w:tcW w:w="567" w:type="dxa"/>
          </w:tcPr>
          <w:p w14:paraId="42C3780A">
            <w:pPr>
              <w:rPr>
                <w:rFonts w:ascii="宋体" w:hAnsi="宋体" w:cs="Courier New"/>
                <w:snapToGrid w:val="0"/>
                <w:szCs w:val="21"/>
              </w:rPr>
            </w:pPr>
          </w:p>
        </w:tc>
        <w:tc>
          <w:tcPr>
            <w:tcW w:w="1308" w:type="dxa"/>
          </w:tcPr>
          <w:p w14:paraId="2C0684E6">
            <w:pPr>
              <w:rPr>
                <w:rFonts w:ascii="宋体" w:hAnsi="宋体" w:cs="Courier New"/>
                <w:snapToGrid w:val="0"/>
                <w:szCs w:val="21"/>
              </w:rPr>
            </w:pPr>
          </w:p>
        </w:tc>
        <w:tc>
          <w:tcPr>
            <w:tcW w:w="1544" w:type="dxa"/>
          </w:tcPr>
          <w:p w14:paraId="22D29968">
            <w:pPr>
              <w:rPr>
                <w:rFonts w:ascii="宋体" w:hAnsi="宋体" w:cs="Courier New"/>
                <w:snapToGrid w:val="0"/>
                <w:szCs w:val="21"/>
              </w:rPr>
            </w:pPr>
          </w:p>
        </w:tc>
        <w:tc>
          <w:tcPr>
            <w:tcW w:w="1260" w:type="dxa"/>
          </w:tcPr>
          <w:p w14:paraId="609C1AD2">
            <w:pPr>
              <w:rPr>
                <w:rFonts w:ascii="宋体" w:hAnsi="宋体" w:cs="Courier New"/>
                <w:snapToGrid w:val="0"/>
                <w:szCs w:val="21"/>
              </w:rPr>
            </w:pPr>
          </w:p>
        </w:tc>
        <w:tc>
          <w:tcPr>
            <w:tcW w:w="1620" w:type="dxa"/>
          </w:tcPr>
          <w:p w14:paraId="66976DFB">
            <w:pPr>
              <w:rPr>
                <w:rFonts w:ascii="宋体" w:hAnsi="宋体" w:cs="Courier New"/>
                <w:snapToGrid w:val="0"/>
                <w:szCs w:val="21"/>
              </w:rPr>
            </w:pPr>
          </w:p>
        </w:tc>
      </w:tr>
      <w:tr w14:paraId="7A692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F1F769E">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4DABA6BB">
            <w:pPr>
              <w:jc w:val="center"/>
              <w:rPr>
                <w:rFonts w:ascii="宋体" w:hAnsi="宋体" w:cs="Courier New"/>
                <w:snapToGrid w:val="0"/>
                <w:szCs w:val="21"/>
              </w:rPr>
            </w:pPr>
          </w:p>
        </w:tc>
        <w:tc>
          <w:tcPr>
            <w:tcW w:w="851" w:type="dxa"/>
          </w:tcPr>
          <w:p w14:paraId="339F9FF2">
            <w:pPr>
              <w:rPr>
                <w:rFonts w:ascii="宋体" w:hAnsi="宋体" w:cs="Courier New"/>
                <w:snapToGrid w:val="0"/>
                <w:szCs w:val="21"/>
              </w:rPr>
            </w:pPr>
          </w:p>
        </w:tc>
        <w:tc>
          <w:tcPr>
            <w:tcW w:w="567" w:type="dxa"/>
          </w:tcPr>
          <w:p w14:paraId="27471DD7">
            <w:pPr>
              <w:rPr>
                <w:rFonts w:ascii="宋体" w:hAnsi="宋体" w:cs="Courier New"/>
                <w:snapToGrid w:val="0"/>
                <w:szCs w:val="21"/>
              </w:rPr>
            </w:pPr>
          </w:p>
        </w:tc>
        <w:tc>
          <w:tcPr>
            <w:tcW w:w="1308" w:type="dxa"/>
          </w:tcPr>
          <w:p w14:paraId="0AEECB5E">
            <w:pPr>
              <w:rPr>
                <w:rFonts w:ascii="宋体" w:hAnsi="宋体" w:cs="Courier New"/>
                <w:snapToGrid w:val="0"/>
                <w:szCs w:val="21"/>
              </w:rPr>
            </w:pPr>
          </w:p>
        </w:tc>
        <w:tc>
          <w:tcPr>
            <w:tcW w:w="1544" w:type="dxa"/>
          </w:tcPr>
          <w:p w14:paraId="0EA966EC">
            <w:pPr>
              <w:rPr>
                <w:rFonts w:ascii="宋体" w:hAnsi="宋体" w:cs="Courier New"/>
                <w:snapToGrid w:val="0"/>
                <w:szCs w:val="21"/>
              </w:rPr>
            </w:pPr>
          </w:p>
        </w:tc>
        <w:tc>
          <w:tcPr>
            <w:tcW w:w="1260" w:type="dxa"/>
          </w:tcPr>
          <w:p w14:paraId="7B8B27E4">
            <w:pPr>
              <w:rPr>
                <w:rFonts w:ascii="宋体" w:hAnsi="宋体" w:cs="Courier New"/>
                <w:snapToGrid w:val="0"/>
                <w:szCs w:val="21"/>
              </w:rPr>
            </w:pPr>
          </w:p>
        </w:tc>
        <w:tc>
          <w:tcPr>
            <w:tcW w:w="1620" w:type="dxa"/>
          </w:tcPr>
          <w:p w14:paraId="757C7447">
            <w:pPr>
              <w:rPr>
                <w:rFonts w:ascii="宋体" w:hAnsi="宋体" w:cs="Courier New"/>
                <w:snapToGrid w:val="0"/>
                <w:szCs w:val="21"/>
              </w:rPr>
            </w:pPr>
          </w:p>
        </w:tc>
      </w:tr>
      <w:tr w14:paraId="4A32B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8FDA038">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0C8EEF83">
            <w:pPr>
              <w:jc w:val="center"/>
              <w:rPr>
                <w:rFonts w:ascii="宋体" w:hAnsi="宋体" w:cs="Courier New"/>
                <w:snapToGrid w:val="0"/>
                <w:szCs w:val="21"/>
              </w:rPr>
            </w:pPr>
          </w:p>
        </w:tc>
        <w:tc>
          <w:tcPr>
            <w:tcW w:w="851" w:type="dxa"/>
          </w:tcPr>
          <w:p w14:paraId="598B97EA">
            <w:pPr>
              <w:rPr>
                <w:rFonts w:ascii="宋体" w:hAnsi="宋体" w:cs="Courier New"/>
                <w:snapToGrid w:val="0"/>
                <w:szCs w:val="21"/>
              </w:rPr>
            </w:pPr>
          </w:p>
        </w:tc>
        <w:tc>
          <w:tcPr>
            <w:tcW w:w="567" w:type="dxa"/>
          </w:tcPr>
          <w:p w14:paraId="297413E5">
            <w:pPr>
              <w:rPr>
                <w:rFonts w:ascii="宋体" w:hAnsi="宋体" w:cs="Courier New"/>
                <w:snapToGrid w:val="0"/>
                <w:szCs w:val="21"/>
              </w:rPr>
            </w:pPr>
          </w:p>
        </w:tc>
        <w:tc>
          <w:tcPr>
            <w:tcW w:w="1308" w:type="dxa"/>
          </w:tcPr>
          <w:p w14:paraId="3BD6AA7B">
            <w:pPr>
              <w:rPr>
                <w:rFonts w:ascii="宋体" w:hAnsi="宋体" w:cs="Courier New"/>
                <w:snapToGrid w:val="0"/>
                <w:szCs w:val="21"/>
              </w:rPr>
            </w:pPr>
          </w:p>
        </w:tc>
        <w:tc>
          <w:tcPr>
            <w:tcW w:w="1544" w:type="dxa"/>
          </w:tcPr>
          <w:p w14:paraId="15080D08">
            <w:pPr>
              <w:rPr>
                <w:rFonts w:ascii="宋体" w:hAnsi="宋体" w:cs="Courier New"/>
                <w:snapToGrid w:val="0"/>
                <w:szCs w:val="21"/>
              </w:rPr>
            </w:pPr>
          </w:p>
        </w:tc>
        <w:tc>
          <w:tcPr>
            <w:tcW w:w="1260" w:type="dxa"/>
          </w:tcPr>
          <w:p w14:paraId="22AE0E6D">
            <w:pPr>
              <w:rPr>
                <w:rFonts w:ascii="宋体" w:hAnsi="宋体" w:cs="Courier New"/>
                <w:snapToGrid w:val="0"/>
                <w:szCs w:val="21"/>
              </w:rPr>
            </w:pPr>
          </w:p>
        </w:tc>
        <w:tc>
          <w:tcPr>
            <w:tcW w:w="1620" w:type="dxa"/>
          </w:tcPr>
          <w:p w14:paraId="05F8FD2C">
            <w:pPr>
              <w:rPr>
                <w:rFonts w:ascii="宋体" w:hAnsi="宋体" w:cs="Courier New"/>
                <w:snapToGrid w:val="0"/>
                <w:szCs w:val="21"/>
              </w:rPr>
            </w:pPr>
          </w:p>
        </w:tc>
      </w:tr>
    </w:tbl>
    <w:p w14:paraId="034E0ABC">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0B1EF41A">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24E53139">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7DA1D760">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0E23A69A">
      <w:pPr>
        <w:spacing w:line="360" w:lineRule="auto"/>
        <w:rPr>
          <w:rFonts w:cs="Courier New"/>
          <w:snapToGrid w:val="0"/>
          <w:szCs w:val="18"/>
        </w:rPr>
      </w:pPr>
    </w:p>
    <w:p w14:paraId="123C3AC2">
      <w:pPr>
        <w:adjustRightInd w:val="0"/>
        <w:snapToGrid w:val="0"/>
        <w:spacing w:line="300" w:lineRule="auto"/>
        <w:rPr>
          <w:snapToGrid w:val="0"/>
          <w:kern w:val="0"/>
        </w:rPr>
      </w:pPr>
      <w:r>
        <w:rPr>
          <w:rFonts w:hint="eastAsia"/>
          <w:snapToGrid w:val="0"/>
          <w:kern w:val="0"/>
        </w:rPr>
        <w:t>投标单位：（加盖公章）</w:t>
      </w:r>
    </w:p>
    <w:p w14:paraId="09EA4C0B">
      <w:pPr>
        <w:adjustRightInd w:val="0"/>
        <w:snapToGrid w:val="0"/>
        <w:spacing w:line="300" w:lineRule="auto"/>
        <w:rPr>
          <w:snapToGrid w:val="0"/>
          <w:kern w:val="0"/>
        </w:rPr>
      </w:pPr>
    </w:p>
    <w:p w14:paraId="47036C8D">
      <w:pPr>
        <w:adjustRightInd w:val="0"/>
        <w:snapToGrid w:val="0"/>
        <w:spacing w:line="300" w:lineRule="auto"/>
        <w:rPr>
          <w:snapToGrid w:val="0"/>
          <w:kern w:val="0"/>
        </w:rPr>
      </w:pPr>
    </w:p>
    <w:p w14:paraId="4A46B9DB">
      <w:pPr>
        <w:adjustRightInd w:val="0"/>
        <w:snapToGrid w:val="0"/>
        <w:spacing w:line="300" w:lineRule="auto"/>
        <w:rPr>
          <w:snapToGrid w:val="0"/>
          <w:kern w:val="0"/>
        </w:rPr>
      </w:pPr>
    </w:p>
    <w:p w14:paraId="38949356">
      <w:pPr>
        <w:adjustRightInd w:val="0"/>
        <w:snapToGrid w:val="0"/>
        <w:spacing w:line="300" w:lineRule="auto"/>
        <w:rPr>
          <w:snapToGrid w:val="0"/>
          <w:kern w:val="0"/>
        </w:rPr>
      </w:pPr>
    </w:p>
    <w:p w14:paraId="36F98E2B">
      <w:pPr>
        <w:wordWrap w:val="0"/>
        <w:adjustRightInd w:val="0"/>
        <w:snapToGrid w:val="0"/>
        <w:spacing w:line="300" w:lineRule="auto"/>
        <w:jc w:val="right"/>
        <w:rPr>
          <w:snapToGrid w:val="0"/>
          <w:kern w:val="0"/>
        </w:rPr>
      </w:pPr>
      <w:r>
        <w:rPr>
          <w:rFonts w:hint="eastAsia"/>
          <w:snapToGrid w:val="0"/>
          <w:kern w:val="0"/>
        </w:rPr>
        <w:t>年    月   日</w:t>
      </w:r>
    </w:p>
    <w:p w14:paraId="30DEC40A">
      <w:pPr>
        <w:adjustRightInd w:val="0"/>
        <w:snapToGrid w:val="0"/>
        <w:spacing w:line="300" w:lineRule="auto"/>
        <w:jc w:val="right"/>
        <w:rPr>
          <w:snapToGrid w:val="0"/>
          <w:kern w:val="0"/>
        </w:rPr>
      </w:pPr>
    </w:p>
    <w:p w14:paraId="50AD8BEE"/>
    <w:p w14:paraId="0A442620"/>
    <w:p w14:paraId="33A6D2A7">
      <w:pPr>
        <w:pStyle w:val="3"/>
        <w:tabs>
          <w:tab w:val="left" w:pos="371"/>
        </w:tabs>
        <w:spacing w:before="120" w:after="120"/>
        <w:ind w:left="-1" w:leftChars="-1" w:hanging="1"/>
        <w:jc w:val="center"/>
        <w:rPr>
          <w:rFonts w:asciiTheme="minorEastAsia" w:hAnsiTheme="minorEastAsia" w:eastAsiaTheme="minorEastAsia"/>
        </w:rPr>
      </w:pPr>
      <w:bookmarkStart w:id="84" w:name="_Toc135293189"/>
    </w:p>
    <w:p w14:paraId="52314108"/>
    <w:p w14:paraId="460B11A3">
      <w:pPr>
        <w:pStyle w:val="4"/>
      </w:pPr>
    </w:p>
    <w:p w14:paraId="072A00F4"/>
    <w:p w14:paraId="19F6059C">
      <w:pPr>
        <w:pStyle w:val="3"/>
        <w:tabs>
          <w:tab w:val="left" w:pos="371"/>
        </w:tabs>
        <w:spacing w:before="120" w:after="120"/>
        <w:ind w:left="-1" w:leftChars="-1" w:hanging="1"/>
        <w:jc w:val="center"/>
        <w:rPr>
          <w:rFonts w:asciiTheme="minorEastAsia" w:hAnsiTheme="minorEastAsia" w:eastAsiaTheme="minorEastAsia"/>
        </w:rPr>
      </w:pPr>
    </w:p>
    <w:p w14:paraId="2662C16D">
      <w:pPr>
        <w:pStyle w:val="3"/>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8投标人情况介绍</w:t>
      </w:r>
      <w:bookmarkEnd w:id="84"/>
    </w:p>
    <w:p w14:paraId="7F4D3408"/>
    <w:p w14:paraId="5539D5EA">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0BFBFF8C">
      <w:pPr>
        <w:adjustRightInd w:val="0"/>
        <w:snapToGrid w:val="0"/>
        <w:spacing w:line="360" w:lineRule="auto"/>
        <w:rPr>
          <w:rFonts w:ascii="宋体" w:hAnsi="宋体"/>
          <w:bCs/>
          <w:snapToGrid w:val="0"/>
          <w:kern w:val="0"/>
          <w:szCs w:val="21"/>
        </w:rPr>
      </w:pPr>
    </w:p>
    <w:p w14:paraId="7EEBC7A2">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001AB610">
      <w:pPr>
        <w:adjustRightInd w:val="0"/>
        <w:snapToGrid w:val="0"/>
        <w:spacing w:line="360" w:lineRule="auto"/>
        <w:rPr>
          <w:bCs/>
          <w:snapToGrid w:val="0"/>
          <w:kern w:val="0"/>
        </w:rPr>
      </w:pPr>
    </w:p>
    <w:p w14:paraId="45EEC001">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27CC1886">
      <w:pPr>
        <w:rPr>
          <w:rFonts w:ascii="宋体" w:hAnsi="宋体"/>
          <w:sz w:val="28"/>
        </w:rPr>
      </w:pPr>
    </w:p>
    <w:p w14:paraId="1BD3330B"/>
    <w:p w14:paraId="37C33650"/>
    <w:p w14:paraId="0A5898F0"/>
    <w:p w14:paraId="09A8811B"/>
    <w:p w14:paraId="33B103F0"/>
    <w:p w14:paraId="5BDD4DCA"/>
    <w:p w14:paraId="68B9CBD5"/>
    <w:p w14:paraId="2853F100"/>
    <w:p w14:paraId="52898A77"/>
    <w:p w14:paraId="41F901B6"/>
    <w:p w14:paraId="507D1D3A"/>
    <w:p w14:paraId="7B29E5A2"/>
    <w:p w14:paraId="0F11291A"/>
    <w:p w14:paraId="23EA7808"/>
    <w:p w14:paraId="3F01F66E"/>
    <w:p w14:paraId="343B8E44"/>
    <w:p w14:paraId="354372AA"/>
    <w:p w14:paraId="15618E00"/>
    <w:p w14:paraId="7A21F341"/>
    <w:p w14:paraId="6A0709BE"/>
    <w:p w14:paraId="0BB48190"/>
    <w:p w14:paraId="3E7139CB"/>
    <w:p w14:paraId="757EBD2A"/>
    <w:p w14:paraId="68DC06D2"/>
    <w:p w14:paraId="6BA6AB4E"/>
    <w:p w14:paraId="03B325D4"/>
    <w:p w14:paraId="3EDAC22D"/>
    <w:p w14:paraId="62B3B9BE"/>
    <w:p w14:paraId="144B7F2A"/>
    <w:p w14:paraId="63AAF1D4"/>
    <w:p w14:paraId="54822C7D"/>
    <w:p w14:paraId="03549BF8"/>
    <w:p w14:paraId="5D7BB3A2"/>
    <w:p w14:paraId="2CE1FB88">
      <w:pPr>
        <w:pStyle w:val="3"/>
        <w:tabs>
          <w:tab w:val="left" w:pos="371"/>
        </w:tabs>
        <w:spacing w:before="120" w:after="120"/>
        <w:ind w:left="-1" w:leftChars="-1" w:hanging="1"/>
        <w:jc w:val="center"/>
        <w:rPr>
          <w:rFonts w:asciiTheme="minorEastAsia" w:hAnsiTheme="minorEastAsia" w:eastAsiaTheme="minorEastAsia"/>
        </w:rPr>
      </w:pPr>
      <w:bookmarkStart w:id="85" w:name="_Toc44690709"/>
      <w:bookmarkStart w:id="86" w:name="_Toc44691168"/>
      <w:bookmarkStart w:id="87" w:name="_Toc44691400"/>
      <w:bookmarkStart w:id="88" w:name="_Toc44690436"/>
      <w:bookmarkStart w:id="89" w:name="_Toc135293190"/>
      <w:r>
        <w:rPr>
          <w:rFonts w:hint="eastAsia" w:asciiTheme="minorEastAsia" w:hAnsiTheme="minorEastAsia" w:eastAsiaTheme="minorEastAsia"/>
        </w:rPr>
        <w:t>格式9  偏离表</w:t>
      </w:r>
      <w:bookmarkEnd w:id="85"/>
      <w:bookmarkEnd w:id="86"/>
      <w:bookmarkEnd w:id="87"/>
      <w:bookmarkEnd w:id="88"/>
      <w:bookmarkEnd w:id="89"/>
    </w:p>
    <w:p w14:paraId="2BC3BBE6">
      <w:pPr>
        <w:adjustRightInd w:val="0"/>
        <w:snapToGrid w:val="0"/>
        <w:spacing w:line="360" w:lineRule="auto"/>
        <w:rPr>
          <w:rFonts w:ascii="宋体" w:hAnsi="宋体"/>
        </w:rPr>
      </w:pPr>
    </w:p>
    <w:p w14:paraId="18252111">
      <w:pPr>
        <w:snapToGrid w:val="0"/>
        <w:spacing w:line="360" w:lineRule="auto"/>
        <w:jc w:val="center"/>
        <w:rPr>
          <w:b/>
        </w:rPr>
      </w:pPr>
      <w:r>
        <w:rPr>
          <w:rFonts w:hint="eastAsia"/>
          <w:b/>
        </w:rPr>
        <w:t>服务要求偏离表</w:t>
      </w:r>
    </w:p>
    <w:tbl>
      <w:tblPr>
        <w:tblStyle w:val="50"/>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1"/>
        <w:gridCol w:w="1985"/>
        <w:gridCol w:w="1276"/>
        <w:gridCol w:w="2551"/>
      </w:tblGrid>
      <w:tr w14:paraId="3BCBE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51" w:type="dxa"/>
            <w:vAlign w:val="center"/>
          </w:tcPr>
          <w:p w14:paraId="30859312">
            <w:pPr>
              <w:jc w:val="center"/>
              <w:rPr>
                <w:rFonts w:ascii="宋体" w:hAnsi="宋体"/>
                <w:szCs w:val="21"/>
              </w:rPr>
            </w:pPr>
            <w:r>
              <w:rPr>
                <w:rFonts w:hint="eastAsia" w:ascii="宋体" w:hAnsi="宋体"/>
                <w:szCs w:val="21"/>
              </w:rPr>
              <w:t>序号</w:t>
            </w:r>
          </w:p>
        </w:tc>
        <w:tc>
          <w:tcPr>
            <w:tcW w:w="2551" w:type="dxa"/>
            <w:vAlign w:val="center"/>
          </w:tcPr>
          <w:p w14:paraId="2392E551">
            <w:pPr>
              <w:jc w:val="center"/>
              <w:rPr>
                <w:rFonts w:ascii="宋体" w:hAnsi="宋体"/>
                <w:szCs w:val="21"/>
              </w:rPr>
            </w:pPr>
            <w:r>
              <w:rPr>
                <w:rFonts w:hint="eastAsia" w:ascii="宋体" w:hAnsi="宋体"/>
                <w:szCs w:val="21"/>
              </w:rPr>
              <w:t>招标文件服务要求</w:t>
            </w:r>
          </w:p>
        </w:tc>
        <w:tc>
          <w:tcPr>
            <w:tcW w:w="1985" w:type="dxa"/>
            <w:vAlign w:val="center"/>
          </w:tcPr>
          <w:p w14:paraId="321DEA81">
            <w:pPr>
              <w:jc w:val="center"/>
              <w:rPr>
                <w:rFonts w:ascii="宋体" w:hAnsi="宋体"/>
                <w:szCs w:val="21"/>
              </w:rPr>
            </w:pPr>
            <w:r>
              <w:rPr>
                <w:rFonts w:hint="eastAsia" w:ascii="宋体" w:hAnsi="宋体"/>
                <w:szCs w:val="21"/>
              </w:rPr>
              <w:t>投标文件服务响应</w:t>
            </w:r>
          </w:p>
        </w:tc>
        <w:tc>
          <w:tcPr>
            <w:tcW w:w="1276" w:type="dxa"/>
            <w:vAlign w:val="center"/>
          </w:tcPr>
          <w:p w14:paraId="2C2CB493">
            <w:pPr>
              <w:jc w:val="center"/>
              <w:rPr>
                <w:rFonts w:ascii="宋体" w:hAnsi="宋体"/>
                <w:szCs w:val="21"/>
              </w:rPr>
            </w:pPr>
            <w:r>
              <w:rPr>
                <w:rFonts w:hint="eastAsia" w:ascii="宋体" w:hAnsi="宋体"/>
                <w:szCs w:val="21"/>
              </w:rPr>
              <w:t>偏离情况</w:t>
            </w:r>
          </w:p>
        </w:tc>
        <w:tc>
          <w:tcPr>
            <w:tcW w:w="2551" w:type="dxa"/>
            <w:vAlign w:val="center"/>
          </w:tcPr>
          <w:p w14:paraId="4ACC8CC4">
            <w:pPr>
              <w:jc w:val="center"/>
              <w:rPr>
                <w:rFonts w:ascii="宋体" w:hAnsi="宋体"/>
                <w:szCs w:val="21"/>
              </w:rPr>
            </w:pPr>
            <w:r>
              <w:rPr>
                <w:rFonts w:hint="eastAsia" w:ascii="宋体" w:hAnsi="宋体"/>
                <w:szCs w:val="21"/>
              </w:rPr>
              <w:t>说明</w:t>
            </w:r>
          </w:p>
        </w:tc>
      </w:tr>
      <w:tr w14:paraId="63110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51" w:type="dxa"/>
            <w:vAlign w:val="center"/>
          </w:tcPr>
          <w:p w14:paraId="0BD71361">
            <w:pPr>
              <w:jc w:val="center"/>
              <w:rPr>
                <w:rFonts w:ascii="宋体" w:hAnsi="宋体" w:cs="宋体"/>
                <w:szCs w:val="21"/>
              </w:rPr>
            </w:pPr>
            <w:r>
              <w:rPr>
                <w:rFonts w:hint="eastAsia" w:ascii="宋体" w:hAnsi="宋体" w:cs="宋体"/>
                <w:szCs w:val="21"/>
              </w:rPr>
              <w:t>1</w:t>
            </w:r>
          </w:p>
        </w:tc>
        <w:tc>
          <w:tcPr>
            <w:tcW w:w="2551" w:type="dxa"/>
          </w:tcPr>
          <w:p w14:paraId="4760A020">
            <w:pPr>
              <w:spacing w:line="300" w:lineRule="exact"/>
              <w:rPr>
                <w:rFonts w:ascii="宋体" w:hAnsi="宋体" w:cs="宋体"/>
                <w:szCs w:val="21"/>
              </w:rPr>
            </w:pPr>
            <w:r>
              <w:rPr>
                <w:rFonts w:hint="eastAsia" w:ascii="宋体" w:hAnsi="宋体" w:cs="宋体"/>
                <w:szCs w:val="21"/>
              </w:rPr>
              <w:t>（一）项目基本情况</w:t>
            </w:r>
          </w:p>
          <w:p w14:paraId="70D9D936">
            <w:pPr>
              <w:spacing w:line="300" w:lineRule="exact"/>
              <w:rPr>
                <w:rFonts w:ascii="宋体" w:hAnsi="宋体" w:cs="宋体"/>
                <w:szCs w:val="21"/>
              </w:rPr>
            </w:pPr>
            <w:r>
              <w:rPr>
                <w:rFonts w:hint="eastAsia" w:ascii="宋体" w:hAnsi="宋体" w:cs="宋体"/>
                <w:szCs w:val="21"/>
              </w:rPr>
              <w:t>学校现有西丽校区、香蜜校区、深汕校区三个校区，本次项目包括西丽校区和香蜜校区共计745间实训（验）室的安全检查和西丽校区废水废气处理设施的安全检查。西丽校区现有675间实训（验）室、废水处理设施4套、废气处理设施20套；香蜜校区现有70间实训（验）室。风险等级Ⅰ级实训（验）室18间，风险等级Ⅱ级实训（验）室18间，风险等级Ⅲ级实训（验）室56间，风险等级Ⅳ级实训（验）室653间（此分级动态变化）。</w:t>
            </w:r>
          </w:p>
        </w:tc>
        <w:tc>
          <w:tcPr>
            <w:tcW w:w="1985" w:type="dxa"/>
          </w:tcPr>
          <w:p w14:paraId="4C6C2427">
            <w:pPr>
              <w:rPr>
                <w:sz w:val="24"/>
              </w:rPr>
            </w:pPr>
          </w:p>
        </w:tc>
        <w:tc>
          <w:tcPr>
            <w:tcW w:w="1276" w:type="dxa"/>
          </w:tcPr>
          <w:p w14:paraId="45678ED8">
            <w:pPr>
              <w:rPr>
                <w:sz w:val="24"/>
              </w:rPr>
            </w:pPr>
          </w:p>
        </w:tc>
        <w:tc>
          <w:tcPr>
            <w:tcW w:w="2551" w:type="dxa"/>
          </w:tcPr>
          <w:p w14:paraId="6EC7D1E9">
            <w:pPr>
              <w:rPr>
                <w:szCs w:val="21"/>
              </w:rPr>
            </w:pPr>
          </w:p>
        </w:tc>
      </w:tr>
      <w:tr w14:paraId="11FB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vAlign w:val="center"/>
          </w:tcPr>
          <w:p w14:paraId="06B5C0C0">
            <w:pPr>
              <w:jc w:val="center"/>
              <w:rPr>
                <w:rFonts w:ascii="宋体" w:hAnsi="宋体" w:cs="宋体"/>
                <w:sz w:val="24"/>
              </w:rPr>
            </w:pPr>
            <w:r>
              <w:rPr>
                <w:rFonts w:hint="eastAsia" w:ascii="宋体" w:hAnsi="宋体" w:cs="宋体"/>
                <w:sz w:val="24"/>
              </w:rPr>
              <w:t>2</w:t>
            </w:r>
          </w:p>
        </w:tc>
        <w:tc>
          <w:tcPr>
            <w:tcW w:w="2551" w:type="dxa"/>
          </w:tcPr>
          <w:p w14:paraId="3797BAC0">
            <w:pPr>
              <w:spacing w:line="300" w:lineRule="exact"/>
              <w:rPr>
                <w:rFonts w:ascii="宋体" w:hAnsi="宋体" w:cs="宋体"/>
                <w:bCs/>
                <w:szCs w:val="21"/>
              </w:rPr>
            </w:pPr>
            <w:r>
              <w:rPr>
                <w:rFonts w:hint="eastAsia" w:ascii="宋体" w:hAnsi="宋体" w:cs="宋体"/>
                <w:bCs/>
                <w:szCs w:val="21"/>
              </w:rPr>
              <w:t>（二）项目服务内容</w:t>
            </w:r>
          </w:p>
          <w:p w14:paraId="62E7DB92">
            <w:pPr>
              <w:spacing w:line="300" w:lineRule="exact"/>
              <w:ind w:firstLine="420" w:firstLineChars="200"/>
              <w:rPr>
                <w:rFonts w:ascii="宋体" w:hAnsi="宋体" w:cs="宋体"/>
                <w:bCs/>
                <w:szCs w:val="21"/>
              </w:rPr>
            </w:pPr>
            <w:r>
              <w:rPr>
                <w:rFonts w:hint="eastAsia" w:ascii="宋体" w:hAnsi="宋体" w:cs="宋体"/>
                <w:bCs/>
                <w:szCs w:val="21"/>
              </w:rPr>
              <w:t>中标人按照教育部最新颁布的《高等学校实验室安全分级分类管理办法（试行）》对采购人全校实训（验）室进行动态分级分类。</w:t>
            </w:r>
          </w:p>
          <w:p w14:paraId="56116046">
            <w:pPr>
              <w:spacing w:line="300" w:lineRule="exact"/>
              <w:ind w:firstLine="420" w:firstLineChars="200"/>
              <w:rPr>
                <w:rFonts w:ascii="宋体" w:hAnsi="宋体" w:cs="宋体"/>
                <w:bCs/>
                <w:szCs w:val="21"/>
              </w:rPr>
            </w:pPr>
            <w:r>
              <w:rPr>
                <w:rFonts w:hint="eastAsia" w:ascii="宋体" w:hAnsi="宋体" w:cs="宋体"/>
                <w:bCs/>
                <w:szCs w:val="21"/>
              </w:rPr>
              <w:t>1.实训（验）室分级</w:t>
            </w:r>
          </w:p>
          <w:p w14:paraId="6C6C6C7C">
            <w:pPr>
              <w:spacing w:line="300" w:lineRule="exact"/>
              <w:rPr>
                <w:rFonts w:ascii="宋体" w:hAnsi="宋体" w:cs="宋体"/>
                <w:bCs/>
                <w:szCs w:val="21"/>
              </w:rPr>
            </w:pPr>
            <w:r>
              <w:rPr>
                <w:rFonts w:hint="eastAsia" w:ascii="宋体" w:hAnsi="宋体" w:cs="宋体"/>
                <w:bCs/>
                <w:szCs w:val="21"/>
              </w:rPr>
              <w:t>中标人须全面了解采购人实训（验）室中存在的危险源及其存量，并依据教育部最新颁布的《高等学校实验室安全分级分类管理办法（试行）》判定实训（验）室安全等级。实训（验）室安全等级可分为Ⅰ、Ⅱ、Ⅲ、Ⅳ级（或红、橙、黄、蓝级），分别对应重大风险、高风险、中风险、低风险等级的实训（验）室。等级划分以表1高校实验室安全分级表和表2高校实验室安全风险评价表为标准（具体以教育部最新颁布的《高等学校实验室安全分级分类管理办法（试行）》为准）</w:t>
            </w:r>
          </w:p>
          <w:p w14:paraId="2AE0E29C">
            <w:pPr>
              <w:spacing w:line="300" w:lineRule="exact"/>
              <w:ind w:firstLine="420" w:firstLineChars="200"/>
              <w:rPr>
                <w:sz w:val="24"/>
              </w:rPr>
            </w:pPr>
            <w:r>
              <w:rPr>
                <w:rFonts w:hint="eastAsia" w:ascii="宋体" w:hAnsi="宋体" w:cs="宋体"/>
                <w:bCs/>
                <w:szCs w:val="21"/>
              </w:rPr>
              <w:t>中标人对采购人实训（验）室</w:t>
            </w:r>
            <w:r>
              <w:rPr>
                <w:rFonts w:hint="eastAsia" w:ascii="宋体" w:hAnsi="宋体" w:cs="宋体"/>
                <w:szCs w:val="21"/>
              </w:rPr>
              <w:t>分级先按表1中各级</w:t>
            </w:r>
            <w:r>
              <w:rPr>
                <w:rFonts w:hint="eastAsia" w:ascii="宋体" w:hAnsi="宋体" w:cs="宋体"/>
                <w:bCs/>
                <w:szCs w:val="21"/>
              </w:rPr>
              <w:t>实训（验）室</w:t>
            </w:r>
            <w:r>
              <w:rPr>
                <w:rFonts w:hint="eastAsia" w:ascii="宋体" w:hAnsi="宋体" w:cs="宋体"/>
                <w:szCs w:val="21"/>
              </w:rPr>
              <w:t>所对应的参考情况划分，无所列情况的，按表2高校实验室安全风险评价表进行累计评分确定等级。根据表2时累计评分达到100分的为Ⅰ级/红色级实验室（重大风险实验室）；累计评分在[75, 100)范围的为Ⅱ级/橙色级实验室（高风险实验室）；累计评分在[25, 75)范围的为Ⅲ级/黄色级实验室（中风险实验室）；累计评分在[0, 25)范围的为Ⅳ级/蓝色级实验室（低风险实验室）。对于</w:t>
            </w:r>
            <w:r>
              <w:rPr>
                <w:rFonts w:hint="eastAsia" w:ascii="宋体" w:hAnsi="宋体" w:cs="宋体"/>
                <w:bCs/>
                <w:szCs w:val="21"/>
              </w:rPr>
              <w:t>采购人实训（验）室</w:t>
            </w:r>
            <w:r>
              <w:rPr>
                <w:rFonts w:hint="eastAsia" w:ascii="宋体" w:hAnsi="宋体" w:cs="宋体"/>
                <w:szCs w:val="21"/>
              </w:rPr>
              <w:t>既有表1所列参考情况，又有表2所列危险源的，取两者较高者所对应的</w:t>
            </w:r>
            <w:r>
              <w:rPr>
                <w:rFonts w:hint="eastAsia" w:ascii="宋体" w:hAnsi="宋体" w:cs="宋体"/>
                <w:bCs/>
                <w:szCs w:val="21"/>
              </w:rPr>
              <w:t>实训（验）室</w:t>
            </w:r>
            <w:r>
              <w:rPr>
                <w:rFonts w:hint="eastAsia" w:ascii="宋体" w:hAnsi="宋体" w:cs="宋体"/>
                <w:szCs w:val="21"/>
              </w:rPr>
              <w:t>等级来判定。</w:t>
            </w:r>
          </w:p>
        </w:tc>
        <w:tc>
          <w:tcPr>
            <w:tcW w:w="1985" w:type="dxa"/>
          </w:tcPr>
          <w:p w14:paraId="33F56FC7">
            <w:pPr>
              <w:rPr>
                <w:sz w:val="24"/>
              </w:rPr>
            </w:pPr>
          </w:p>
        </w:tc>
        <w:tc>
          <w:tcPr>
            <w:tcW w:w="1276" w:type="dxa"/>
          </w:tcPr>
          <w:p w14:paraId="2D19A25E">
            <w:pPr>
              <w:rPr>
                <w:sz w:val="24"/>
              </w:rPr>
            </w:pPr>
          </w:p>
        </w:tc>
        <w:tc>
          <w:tcPr>
            <w:tcW w:w="2551" w:type="dxa"/>
          </w:tcPr>
          <w:p w14:paraId="424FAA64">
            <w:pPr>
              <w:rPr>
                <w:sz w:val="24"/>
              </w:rPr>
            </w:pPr>
          </w:p>
        </w:tc>
      </w:tr>
      <w:tr w14:paraId="3876E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vAlign w:val="center"/>
          </w:tcPr>
          <w:p w14:paraId="749A902E">
            <w:pPr>
              <w:jc w:val="center"/>
              <w:rPr>
                <w:rFonts w:ascii="宋体" w:hAnsi="宋体" w:cs="宋体"/>
                <w:szCs w:val="21"/>
              </w:rPr>
            </w:pPr>
            <w:r>
              <w:rPr>
                <w:rFonts w:hint="eastAsia" w:ascii="宋体" w:hAnsi="宋体" w:cs="宋体"/>
                <w:szCs w:val="21"/>
              </w:rPr>
              <w:t>3</w:t>
            </w:r>
          </w:p>
        </w:tc>
        <w:tc>
          <w:tcPr>
            <w:tcW w:w="2551" w:type="dxa"/>
          </w:tcPr>
          <w:p w14:paraId="21308ED2">
            <w:pPr>
              <w:spacing w:line="300" w:lineRule="exact"/>
              <w:ind w:firstLine="420" w:firstLineChars="200"/>
              <w:rPr>
                <w:rFonts w:ascii="宋体" w:hAnsi="宋体" w:cs="宋体"/>
                <w:bCs/>
                <w:szCs w:val="21"/>
              </w:rPr>
            </w:pPr>
            <w:r>
              <w:rPr>
                <w:rFonts w:hint="eastAsia" w:ascii="宋体" w:hAnsi="宋体" w:cs="宋体"/>
                <w:bCs/>
                <w:szCs w:val="21"/>
              </w:rPr>
              <w:t>2.实训（验）室分类</w:t>
            </w:r>
          </w:p>
          <w:p w14:paraId="4BCB68EC">
            <w:pPr>
              <w:pStyle w:val="20"/>
              <w:spacing w:after="0" w:line="300" w:lineRule="exact"/>
              <w:rPr>
                <w:rFonts w:ascii="宋体" w:hAnsi="宋体" w:cs="宋体"/>
                <w:bCs/>
                <w:szCs w:val="21"/>
              </w:rPr>
            </w:pPr>
            <w:r>
              <w:rPr>
                <w:rFonts w:hint="eastAsia" w:ascii="宋体" w:hAnsi="宋体" w:cs="宋体"/>
                <w:bCs/>
                <w:szCs w:val="21"/>
              </w:rPr>
              <w:t>中标人对采购人实训（验）室安全分类依据实训（验）室中存在的主要危险源类别判定实训（验）室安全类别。同一间实训（验）室涉及危险源种类较多的，可依据等级最高的危险源来判定其类别。具体划分参考表3高校实验室分类参照表（以教育部最新颁布的《高等学校实验室安全分级分类管理办法（试行）》为准）。</w:t>
            </w:r>
          </w:p>
          <w:p w14:paraId="599DEF12">
            <w:pPr>
              <w:spacing w:line="300" w:lineRule="exact"/>
              <w:ind w:firstLine="420" w:firstLineChars="200"/>
              <w:rPr>
                <w:sz w:val="24"/>
              </w:rPr>
            </w:pPr>
            <w:r>
              <w:rPr>
                <w:rFonts w:hint="eastAsia" w:ascii="宋体" w:hAnsi="宋体" w:cs="宋体"/>
                <w:bCs/>
                <w:szCs w:val="21"/>
              </w:rPr>
              <w:t>中标人需对采购人学校实训（验）室按上述要求进行动态分级分类，首次分级分类后需向采购人提供实训（验）室分级分类清单，清单需包含实训（验）室所在地、风险等级、类别、主要危险源、实训（验）室安全责任人、教学或科研用途、所属二级单位等关键信息，在后续管理中动态更新。</w:t>
            </w:r>
          </w:p>
        </w:tc>
        <w:tc>
          <w:tcPr>
            <w:tcW w:w="1985" w:type="dxa"/>
          </w:tcPr>
          <w:p w14:paraId="226972DE">
            <w:pPr>
              <w:rPr>
                <w:sz w:val="24"/>
              </w:rPr>
            </w:pPr>
          </w:p>
        </w:tc>
        <w:tc>
          <w:tcPr>
            <w:tcW w:w="1276" w:type="dxa"/>
          </w:tcPr>
          <w:p w14:paraId="42BFD772">
            <w:pPr>
              <w:rPr>
                <w:sz w:val="24"/>
              </w:rPr>
            </w:pPr>
          </w:p>
        </w:tc>
        <w:tc>
          <w:tcPr>
            <w:tcW w:w="2551" w:type="dxa"/>
          </w:tcPr>
          <w:p w14:paraId="785E8E69">
            <w:pPr>
              <w:rPr>
                <w:sz w:val="24"/>
              </w:rPr>
            </w:pPr>
          </w:p>
        </w:tc>
      </w:tr>
      <w:tr w14:paraId="2D3C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vAlign w:val="center"/>
          </w:tcPr>
          <w:p w14:paraId="1D10B96D">
            <w:pPr>
              <w:jc w:val="center"/>
              <w:rPr>
                <w:rFonts w:ascii="宋体" w:hAnsi="宋体" w:cs="宋体"/>
                <w:szCs w:val="21"/>
              </w:rPr>
            </w:pPr>
            <w:r>
              <w:rPr>
                <w:rFonts w:hint="eastAsia" w:ascii="宋体" w:hAnsi="宋体" w:cs="宋体"/>
                <w:szCs w:val="21"/>
              </w:rPr>
              <w:t>4</w:t>
            </w:r>
          </w:p>
        </w:tc>
        <w:tc>
          <w:tcPr>
            <w:tcW w:w="2551" w:type="dxa"/>
          </w:tcPr>
          <w:p w14:paraId="14AE3A8B">
            <w:pPr>
              <w:spacing w:line="300" w:lineRule="exact"/>
              <w:ind w:firstLine="420" w:firstLineChars="200"/>
              <w:rPr>
                <w:rFonts w:ascii="宋体" w:hAnsi="宋体" w:cs="宋体"/>
                <w:bCs/>
                <w:szCs w:val="21"/>
              </w:rPr>
            </w:pPr>
            <w:r>
              <w:rPr>
                <w:rFonts w:hint="eastAsia" w:ascii="宋体" w:hAnsi="宋体" w:cs="宋体"/>
                <w:bCs/>
                <w:szCs w:val="21"/>
              </w:rPr>
              <w:t>3.实训（验）室安全检查</w:t>
            </w:r>
          </w:p>
          <w:p w14:paraId="4368F5BD">
            <w:pPr>
              <w:spacing w:line="300" w:lineRule="exact"/>
              <w:ind w:firstLine="420" w:firstLineChars="200"/>
              <w:rPr>
                <w:rFonts w:ascii="宋体" w:hAnsi="宋体" w:cs="宋体"/>
                <w:bCs/>
                <w:szCs w:val="21"/>
              </w:rPr>
            </w:pPr>
            <w:r>
              <w:rPr>
                <w:rFonts w:hint="eastAsia" w:ascii="宋体" w:hAnsi="宋体" w:cs="宋体"/>
                <w:bCs/>
                <w:szCs w:val="21"/>
              </w:rPr>
              <w:t>中标人依据教育部最新</w:t>
            </w:r>
            <w:r>
              <w:rPr>
                <w:rFonts w:hint="eastAsia" w:ascii="宋体" w:hAnsi="宋体" w:cs="宋体"/>
              </w:rPr>
              <w:t>颁布</w:t>
            </w:r>
            <w:r>
              <w:rPr>
                <w:rFonts w:hint="eastAsia" w:ascii="宋体" w:hAnsi="宋体" w:cs="宋体"/>
                <w:bCs/>
                <w:szCs w:val="21"/>
              </w:rPr>
              <w:t>的表4《高等学校实验室安全检查项目表》（2025年）和其他国家、省、市及学校相关规范开展全校实训（验）室、实训（验）室集中楼层的公共区域以及废水处理设施、废气处理设施等进行安全检查及</w:t>
            </w:r>
            <w:r>
              <w:rPr>
                <w:rFonts w:hint="eastAsia" w:ascii="宋体" w:hAnsi="宋体" w:cs="宋体"/>
                <w:szCs w:val="21"/>
              </w:rPr>
              <w:t>隐患问题</w:t>
            </w:r>
            <w:r>
              <w:rPr>
                <w:rFonts w:hint="eastAsia" w:ascii="宋体" w:hAnsi="宋体" w:cs="宋体"/>
                <w:bCs/>
                <w:szCs w:val="21"/>
              </w:rPr>
              <w:t>整改指导。</w:t>
            </w:r>
          </w:p>
          <w:p w14:paraId="7259E61E">
            <w:pPr>
              <w:spacing w:line="300" w:lineRule="exact"/>
              <w:rPr>
                <w:sz w:val="24"/>
              </w:rPr>
            </w:pPr>
            <w:r>
              <w:rPr>
                <w:rFonts w:hint="eastAsia" w:ascii="宋体" w:hAnsi="宋体" w:cs="宋体"/>
                <w:bCs/>
                <w:szCs w:val="21"/>
              </w:rPr>
              <w:t>（1）实训（验）室安全检查要点（包括但不限于）：表4高等学校实验室安全检查项目表（2025年）</w:t>
            </w:r>
          </w:p>
        </w:tc>
        <w:tc>
          <w:tcPr>
            <w:tcW w:w="1985" w:type="dxa"/>
          </w:tcPr>
          <w:p w14:paraId="7A7BDE40">
            <w:pPr>
              <w:rPr>
                <w:sz w:val="24"/>
              </w:rPr>
            </w:pPr>
          </w:p>
        </w:tc>
        <w:tc>
          <w:tcPr>
            <w:tcW w:w="1276" w:type="dxa"/>
          </w:tcPr>
          <w:p w14:paraId="18FD9447">
            <w:pPr>
              <w:rPr>
                <w:sz w:val="24"/>
              </w:rPr>
            </w:pPr>
          </w:p>
        </w:tc>
        <w:tc>
          <w:tcPr>
            <w:tcW w:w="2551" w:type="dxa"/>
          </w:tcPr>
          <w:p w14:paraId="2B24409D">
            <w:pPr>
              <w:rPr>
                <w:sz w:val="24"/>
              </w:rPr>
            </w:pPr>
          </w:p>
        </w:tc>
      </w:tr>
      <w:tr w14:paraId="5D332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vAlign w:val="center"/>
          </w:tcPr>
          <w:p w14:paraId="4C00BF04">
            <w:pPr>
              <w:jc w:val="center"/>
              <w:rPr>
                <w:rFonts w:ascii="宋体" w:hAnsi="宋体" w:cs="宋体"/>
                <w:szCs w:val="21"/>
              </w:rPr>
            </w:pPr>
            <w:r>
              <w:rPr>
                <w:rFonts w:hint="eastAsia" w:ascii="宋体" w:hAnsi="宋体" w:cs="宋体"/>
                <w:szCs w:val="21"/>
              </w:rPr>
              <w:t>5</w:t>
            </w:r>
          </w:p>
        </w:tc>
        <w:tc>
          <w:tcPr>
            <w:tcW w:w="2551" w:type="dxa"/>
          </w:tcPr>
          <w:p w14:paraId="23BE9936">
            <w:pPr>
              <w:spacing w:line="300" w:lineRule="exact"/>
              <w:ind w:firstLine="420" w:firstLineChars="200"/>
              <w:rPr>
                <w:rFonts w:ascii="宋体" w:hAnsi="宋体" w:cs="宋体"/>
                <w:bCs/>
                <w:szCs w:val="21"/>
              </w:rPr>
            </w:pPr>
            <w:r>
              <w:rPr>
                <w:rFonts w:hint="eastAsia" w:ascii="宋体" w:hAnsi="宋体" w:cs="宋体"/>
                <w:bCs/>
                <w:szCs w:val="21"/>
              </w:rPr>
              <w:t>★（2）实训（验）室安全隐患定期排查频次（不少于）：</w:t>
            </w:r>
          </w:p>
          <w:p w14:paraId="460F7465">
            <w:pPr>
              <w:spacing w:line="300" w:lineRule="exact"/>
              <w:ind w:firstLine="420" w:firstLineChars="200"/>
              <w:rPr>
                <w:rFonts w:ascii="宋体" w:hAnsi="宋体" w:cs="宋体"/>
                <w:szCs w:val="21"/>
              </w:rPr>
            </w:pPr>
            <w:r>
              <w:rPr>
                <w:rFonts w:hint="eastAsia" w:ascii="宋体" w:hAnsi="宋体" w:cs="宋体"/>
                <w:szCs w:val="21"/>
              </w:rPr>
              <w:t>Ⅰ级/红色级实验室：每月开展不少于1次安全检查，每间实训（验）室全年安全检查不少于12次；</w:t>
            </w:r>
          </w:p>
          <w:p w14:paraId="69A4D0A4">
            <w:pPr>
              <w:spacing w:line="300" w:lineRule="exact"/>
              <w:ind w:firstLine="420" w:firstLineChars="200"/>
              <w:rPr>
                <w:rFonts w:ascii="宋体" w:hAnsi="宋体" w:cs="宋体"/>
                <w:szCs w:val="21"/>
              </w:rPr>
            </w:pPr>
            <w:r>
              <w:rPr>
                <w:rFonts w:hint="eastAsia" w:ascii="宋体" w:hAnsi="宋体" w:cs="宋体"/>
                <w:szCs w:val="21"/>
              </w:rPr>
              <w:t>Ⅱ级/橙色级实验室：每季度开展不少于1次安全检查，每间实训（验）室全年安全检查不少于4次；</w:t>
            </w:r>
          </w:p>
          <w:p w14:paraId="1A2C8171">
            <w:pPr>
              <w:spacing w:line="300" w:lineRule="exact"/>
              <w:ind w:firstLine="420" w:firstLineChars="200"/>
              <w:rPr>
                <w:rFonts w:ascii="宋体" w:hAnsi="宋体" w:cs="宋体"/>
                <w:szCs w:val="21"/>
              </w:rPr>
            </w:pPr>
            <w:r>
              <w:rPr>
                <w:rFonts w:hint="eastAsia" w:ascii="宋体" w:hAnsi="宋体" w:cs="宋体"/>
                <w:szCs w:val="21"/>
              </w:rPr>
              <w:t>Ⅲ级/黄色级实验室：每半年开展不少于1次安全检查，每间实训（验）室全年安全检查不少于2次；</w:t>
            </w:r>
          </w:p>
          <w:p w14:paraId="64F9E7E6">
            <w:pPr>
              <w:spacing w:line="300" w:lineRule="exact"/>
              <w:ind w:firstLine="420" w:firstLineChars="200"/>
              <w:rPr>
                <w:rFonts w:ascii="宋体" w:hAnsi="宋体" w:cs="宋体"/>
                <w:szCs w:val="21"/>
              </w:rPr>
            </w:pPr>
            <w:r>
              <w:rPr>
                <w:rFonts w:hint="eastAsia" w:ascii="宋体" w:hAnsi="宋体" w:cs="宋体"/>
                <w:szCs w:val="21"/>
              </w:rPr>
              <w:t>Ⅳ级/蓝色级实验室：每年开展不少于1次安全检查，每间实训（验）室全年安全检查不少于1次。</w:t>
            </w:r>
          </w:p>
          <w:p w14:paraId="423E890A">
            <w:pPr>
              <w:spacing w:line="300" w:lineRule="exact"/>
              <w:ind w:firstLine="420" w:firstLineChars="200"/>
              <w:rPr>
                <w:rFonts w:ascii="宋体" w:hAnsi="宋体" w:cs="宋体"/>
                <w:bCs/>
                <w:szCs w:val="21"/>
              </w:rPr>
            </w:pPr>
            <w:r>
              <w:rPr>
                <w:rFonts w:hint="eastAsia" w:ascii="宋体" w:hAnsi="宋体" w:cs="宋体"/>
                <w:bCs/>
                <w:szCs w:val="21"/>
              </w:rPr>
              <w:t>★中标人需根据采购人需求，另增加0-3次安全专项检查。（专项检查的内容和范围由采购人确定）</w:t>
            </w:r>
          </w:p>
          <w:p w14:paraId="48E67F22">
            <w:pPr>
              <w:spacing w:line="300" w:lineRule="exact"/>
              <w:ind w:firstLine="420" w:firstLineChars="200"/>
              <w:rPr>
                <w:rFonts w:ascii="宋体" w:hAnsi="宋体" w:cs="宋体"/>
                <w:bCs/>
                <w:szCs w:val="21"/>
              </w:rPr>
            </w:pPr>
            <w:r>
              <w:rPr>
                <w:rFonts w:hint="eastAsia" w:ascii="宋体" w:hAnsi="宋体" w:cs="宋体"/>
                <w:bCs/>
                <w:szCs w:val="21"/>
              </w:rPr>
              <w:t>★中标人应根据采购人时间要求开展安全隐患排查，每次隐患排查结束后5个自然日内，中标人需按采购人要求，向采购人提供本次检查的实训（验）室隐患问题清单；隐患问题清单需包括检查地点、安全隐患问题描述、隐患图片、相应的整改措施（或建议）以及整改的法律法规依据、整改完成后图片等。</w:t>
            </w:r>
          </w:p>
          <w:p w14:paraId="36943126">
            <w:pPr>
              <w:spacing w:line="300" w:lineRule="exact"/>
              <w:ind w:firstLine="420" w:firstLineChars="200"/>
              <w:rPr>
                <w:rFonts w:ascii="宋体" w:hAnsi="宋体" w:cs="宋体"/>
                <w:szCs w:val="21"/>
                <w:highlight w:val="yellow"/>
              </w:rPr>
            </w:pPr>
            <w:r>
              <w:rPr>
                <w:rFonts w:hint="eastAsia" w:ascii="宋体" w:hAnsi="宋体" w:cs="宋体"/>
                <w:bCs/>
                <w:szCs w:val="21"/>
              </w:rPr>
              <w:t>★服务期结束后，对隐患数量进行统计分析，编制完成工作总结报告、安全隐患整改台账。</w:t>
            </w:r>
          </w:p>
        </w:tc>
        <w:tc>
          <w:tcPr>
            <w:tcW w:w="1985" w:type="dxa"/>
          </w:tcPr>
          <w:p w14:paraId="567979E2">
            <w:pPr>
              <w:rPr>
                <w:sz w:val="24"/>
              </w:rPr>
            </w:pPr>
          </w:p>
        </w:tc>
        <w:tc>
          <w:tcPr>
            <w:tcW w:w="1276" w:type="dxa"/>
          </w:tcPr>
          <w:p w14:paraId="0D4F8FF8">
            <w:pPr>
              <w:rPr>
                <w:sz w:val="24"/>
              </w:rPr>
            </w:pPr>
          </w:p>
        </w:tc>
        <w:tc>
          <w:tcPr>
            <w:tcW w:w="2551" w:type="dxa"/>
          </w:tcPr>
          <w:p w14:paraId="29706C0C">
            <w:pPr>
              <w:rPr>
                <w:sz w:val="24"/>
              </w:rPr>
            </w:pPr>
          </w:p>
        </w:tc>
      </w:tr>
      <w:tr w14:paraId="5B75E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vAlign w:val="center"/>
          </w:tcPr>
          <w:p w14:paraId="57432BC0">
            <w:pPr>
              <w:jc w:val="center"/>
              <w:rPr>
                <w:rFonts w:ascii="宋体" w:hAnsi="宋体" w:cs="宋体"/>
                <w:szCs w:val="21"/>
              </w:rPr>
            </w:pPr>
            <w:r>
              <w:rPr>
                <w:rFonts w:hint="eastAsia" w:ascii="宋体" w:hAnsi="宋体" w:cs="宋体"/>
                <w:szCs w:val="21"/>
              </w:rPr>
              <w:t>6</w:t>
            </w:r>
          </w:p>
        </w:tc>
        <w:tc>
          <w:tcPr>
            <w:tcW w:w="2551" w:type="dxa"/>
          </w:tcPr>
          <w:p w14:paraId="0D12DDAC">
            <w:pPr>
              <w:spacing w:line="300" w:lineRule="exact"/>
              <w:rPr>
                <w:rFonts w:ascii="宋体" w:hAnsi="宋体" w:cs="宋体"/>
                <w:bCs/>
                <w:szCs w:val="21"/>
              </w:rPr>
            </w:pPr>
            <w:r>
              <w:rPr>
                <w:rFonts w:hint="eastAsia" w:ascii="宋体" w:hAnsi="宋体" w:cs="宋体"/>
                <w:bCs/>
                <w:szCs w:val="21"/>
              </w:rPr>
              <w:t>（三）服务要求</w:t>
            </w:r>
          </w:p>
          <w:p w14:paraId="33EECEBF">
            <w:pPr>
              <w:spacing w:line="300" w:lineRule="exact"/>
              <w:ind w:firstLine="420" w:firstLineChars="200"/>
              <w:rPr>
                <w:sz w:val="24"/>
              </w:rPr>
            </w:pPr>
            <w:r>
              <w:rPr>
                <w:rFonts w:hint="eastAsia" w:ascii="宋体" w:hAnsi="宋体" w:cs="宋体"/>
                <w:szCs w:val="21"/>
              </w:rPr>
              <w:t>1.中标人应熟悉校内各学院</w:t>
            </w:r>
            <w:r>
              <w:rPr>
                <w:rFonts w:hint="eastAsia" w:ascii="宋体" w:hAnsi="宋体" w:cs="宋体"/>
                <w:bCs/>
                <w:szCs w:val="21"/>
              </w:rPr>
              <w:t>实训（验）室</w:t>
            </w:r>
            <w:r>
              <w:rPr>
                <w:rFonts w:hint="eastAsia" w:ascii="宋体" w:hAnsi="宋体" w:cs="宋体"/>
                <w:szCs w:val="21"/>
              </w:rPr>
              <w:t>危险源情况和管理要求，负责安排工作人员去各个</w:t>
            </w:r>
            <w:r>
              <w:rPr>
                <w:rFonts w:hint="eastAsia" w:ascii="宋体" w:hAnsi="宋体" w:cs="宋体"/>
                <w:bCs/>
                <w:szCs w:val="21"/>
              </w:rPr>
              <w:t>实训（验）室</w:t>
            </w:r>
            <w:r>
              <w:rPr>
                <w:rFonts w:hint="eastAsia" w:ascii="宋体" w:hAnsi="宋体" w:cs="宋体"/>
                <w:szCs w:val="21"/>
              </w:rPr>
              <w:t>进行现场检查的同时需对</w:t>
            </w:r>
            <w:r>
              <w:rPr>
                <w:rFonts w:hint="eastAsia" w:ascii="宋体" w:hAnsi="宋体" w:cs="宋体"/>
                <w:bCs/>
                <w:szCs w:val="21"/>
              </w:rPr>
              <w:t>实训（验）室内师生进行安全指导</w:t>
            </w:r>
            <w:r>
              <w:rPr>
                <w:rFonts w:hint="eastAsia" w:ascii="宋体" w:hAnsi="宋体" w:cs="宋体"/>
                <w:szCs w:val="21"/>
              </w:rPr>
              <w:t>。本项目所涉及的所有劳务费、耗材费用、运输费、增值税和其它税等全部税费以及履行合同所需的费用、所有风险、责任等其他一切与实施项目有关的费用应含在此次的服务项目</w:t>
            </w:r>
            <w:r>
              <w:rPr>
                <w:rFonts w:hint="eastAsia"/>
              </w:rPr>
              <w:t>投标总价</w:t>
            </w:r>
            <w:r>
              <w:rPr>
                <w:rFonts w:hint="eastAsia" w:ascii="宋体" w:hAnsi="宋体" w:cs="宋体"/>
                <w:szCs w:val="21"/>
              </w:rPr>
              <w:t>里面，采购人不另行支付任何费用。</w:t>
            </w:r>
          </w:p>
        </w:tc>
        <w:tc>
          <w:tcPr>
            <w:tcW w:w="1985" w:type="dxa"/>
          </w:tcPr>
          <w:p w14:paraId="04FBF2A4">
            <w:pPr>
              <w:rPr>
                <w:sz w:val="24"/>
              </w:rPr>
            </w:pPr>
          </w:p>
        </w:tc>
        <w:tc>
          <w:tcPr>
            <w:tcW w:w="1276" w:type="dxa"/>
          </w:tcPr>
          <w:p w14:paraId="13C9803F">
            <w:pPr>
              <w:rPr>
                <w:sz w:val="24"/>
              </w:rPr>
            </w:pPr>
          </w:p>
        </w:tc>
        <w:tc>
          <w:tcPr>
            <w:tcW w:w="2551" w:type="dxa"/>
          </w:tcPr>
          <w:p w14:paraId="21C55C00">
            <w:pPr>
              <w:rPr>
                <w:sz w:val="24"/>
              </w:rPr>
            </w:pPr>
          </w:p>
        </w:tc>
      </w:tr>
      <w:tr w14:paraId="67281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851" w:type="dxa"/>
            <w:vAlign w:val="center"/>
          </w:tcPr>
          <w:p w14:paraId="23EF1652">
            <w:pPr>
              <w:jc w:val="center"/>
              <w:rPr>
                <w:rFonts w:ascii="宋体" w:hAnsi="宋体" w:cs="宋体"/>
                <w:szCs w:val="21"/>
              </w:rPr>
            </w:pPr>
            <w:r>
              <w:rPr>
                <w:rFonts w:hint="eastAsia" w:ascii="宋体" w:hAnsi="宋体" w:cs="宋体"/>
                <w:szCs w:val="21"/>
              </w:rPr>
              <w:t>7</w:t>
            </w:r>
          </w:p>
        </w:tc>
        <w:tc>
          <w:tcPr>
            <w:tcW w:w="2551" w:type="dxa"/>
          </w:tcPr>
          <w:p w14:paraId="151EF42C">
            <w:pPr>
              <w:spacing w:line="300" w:lineRule="exact"/>
              <w:ind w:firstLine="420" w:firstLineChars="200"/>
              <w:rPr>
                <w:sz w:val="24"/>
              </w:rPr>
            </w:pPr>
            <w:r>
              <w:rPr>
                <w:rFonts w:hint="eastAsia" w:ascii="宋体" w:hAnsi="宋体" w:cs="宋体"/>
                <w:szCs w:val="21"/>
              </w:rPr>
              <w:t>2.自服务项目开始，工作人员进出学校，应接受采购人学校管理，服从采购人学校的管理规章制度。</w:t>
            </w:r>
          </w:p>
        </w:tc>
        <w:tc>
          <w:tcPr>
            <w:tcW w:w="1985" w:type="dxa"/>
          </w:tcPr>
          <w:p w14:paraId="1E68385A">
            <w:pPr>
              <w:rPr>
                <w:sz w:val="24"/>
              </w:rPr>
            </w:pPr>
          </w:p>
        </w:tc>
        <w:tc>
          <w:tcPr>
            <w:tcW w:w="1276" w:type="dxa"/>
          </w:tcPr>
          <w:p w14:paraId="7C2C3EF6">
            <w:pPr>
              <w:rPr>
                <w:sz w:val="24"/>
              </w:rPr>
            </w:pPr>
          </w:p>
        </w:tc>
        <w:tc>
          <w:tcPr>
            <w:tcW w:w="2551" w:type="dxa"/>
          </w:tcPr>
          <w:p w14:paraId="792E636C">
            <w:pPr>
              <w:rPr>
                <w:sz w:val="24"/>
              </w:rPr>
            </w:pPr>
          </w:p>
        </w:tc>
      </w:tr>
      <w:tr w14:paraId="40DB6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vAlign w:val="center"/>
          </w:tcPr>
          <w:p w14:paraId="361457B3">
            <w:pPr>
              <w:jc w:val="center"/>
              <w:rPr>
                <w:rFonts w:ascii="宋体" w:hAnsi="宋体" w:cs="宋体"/>
                <w:szCs w:val="21"/>
              </w:rPr>
            </w:pPr>
            <w:r>
              <w:rPr>
                <w:rFonts w:hint="eastAsia" w:ascii="宋体" w:hAnsi="宋体" w:cs="宋体"/>
                <w:szCs w:val="21"/>
              </w:rPr>
              <w:t>8</w:t>
            </w:r>
          </w:p>
        </w:tc>
        <w:tc>
          <w:tcPr>
            <w:tcW w:w="2551" w:type="dxa"/>
          </w:tcPr>
          <w:p w14:paraId="4112EEDF">
            <w:pPr>
              <w:spacing w:line="300" w:lineRule="exact"/>
              <w:ind w:firstLine="420" w:firstLineChars="200"/>
              <w:rPr>
                <w:rFonts w:ascii="宋体" w:hAnsi="宋体" w:cs="宋体"/>
                <w:szCs w:val="21"/>
              </w:rPr>
            </w:pPr>
            <w:r>
              <w:rPr>
                <w:rFonts w:hint="eastAsia" w:ascii="宋体" w:hAnsi="宋体" w:cs="宋体"/>
                <w:szCs w:val="21"/>
              </w:rPr>
              <w:t>3.项目实施过程中，所有的专业检测工具均由中标人提供。</w:t>
            </w:r>
          </w:p>
        </w:tc>
        <w:tc>
          <w:tcPr>
            <w:tcW w:w="1985" w:type="dxa"/>
          </w:tcPr>
          <w:p w14:paraId="3182A639">
            <w:pPr>
              <w:rPr>
                <w:sz w:val="24"/>
              </w:rPr>
            </w:pPr>
          </w:p>
        </w:tc>
        <w:tc>
          <w:tcPr>
            <w:tcW w:w="1276" w:type="dxa"/>
          </w:tcPr>
          <w:p w14:paraId="0D798719">
            <w:pPr>
              <w:rPr>
                <w:sz w:val="24"/>
              </w:rPr>
            </w:pPr>
          </w:p>
        </w:tc>
        <w:tc>
          <w:tcPr>
            <w:tcW w:w="2551" w:type="dxa"/>
          </w:tcPr>
          <w:p w14:paraId="30ACE75B">
            <w:pPr>
              <w:rPr>
                <w:sz w:val="24"/>
              </w:rPr>
            </w:pPr>
          </w:p>
        </w:tc>
      </w:tr>
      <w:tr w14:paraId="35DF4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vAlign w:val="center"/>
          </w:tcPr>
          <w:p w14:paraId="3A391D83">
            <w:pPr>
              <w:jc w:val="center"/>
              <w:rPr>
                <w:rFonts w:ascii="宋体" w:hAnsi="宋体" w:cs="宋体"/>
                <w:szCs w:val="21"/>
              </w:rPr>
            </w:pPr>
            <w:r>
              <w:rPr>
                <w:rFonts w:hint="eastAsia" w:ascii="宋体" w:hAnsi="宋体" w:cs="宋体"/>
                <w:szCs w:val="21"/>
              </w:rPr>
              <w:t>9</w:t>
            </w:r>
          </w:p>
        </w:tc>
        <w:tc>
          <w:tcPr>
            <w:tcW w:w="2551" w:type="dxa"/>
          </w:tcPr>
          <w:p w14:paraId="0038D8CB">
            <w:pPr>
              <w:spacing w:line="300" w:lineRule="exact"/>
              <w:rPr>
                <w:rFonts w:ascii="宋体" w:hAnsi="宋体" w:cs="宋体"/>
                <w:szCs w:val="21"/>
              </w:rPr>
            </w:pPr>
            <w:r>
              <w:rPr>
                <w:rFonts w:hint="eastAsia" w:ascii="宋体" w:hAnsi="宋体" w:cs="宋体"/>
                <w:szCs w:val="21"/>
              </w:rPr>
              <w:t>（四）人员要求</w:t>
            </w:r>
          </w:p>
          <w:p w14:paraId="71E85EDA">
            <w:pPr>
              <w:spacing w:line="300" w:lineRule="exact"/>
              <w:ind w:firstLine="420" w:firstLineChars="200"/>
              <w:rPr>
                <w:rFonts w:ascii="宋体" w:hAnsi="宋体" w:cs="宋体"/>
                <w:szCs w:val="21"/>
              </w:rPr>
            </w:pPr>
            <w:r>
              <w:rPr>
                <w:rFonts w:hint="eastAsia" w:ascii="宋体" w:hAnsi="宋体" w:cs="宋体"/>
                <w:szCs w:val="21"/>
              </w:rPr>
              <w:t>1.投</w:t>
            </w:r>
            <w:r>
              <w:rPr>
                <w:rFonts w:hint="eastAsia"/>
                <w:szCs w:val="21"/>
              </w:rPr>
              <w:t>标人需为本项目安排项目服务人员，</w:t>
            </w:r>
            <w:r>
              <w:rPr>
                <w:rFonts w:hint="eastAsia" w:ascii="宋体" w:hAnsi="宋体" w:cs="宋体"/>
                <w:szCs w:val="21"/>
              </w:rPr>
              <w:t>包含1名项目负</w:t>
            </w:r>
            <w:r>
              <w:rPr>
                <w:rFonts w:hint="eastAsia"/>
                <w:szCs w:val="21"/>
              </w:rPr>
              <w:t>责人和</w:t>
            </w:r>
            <w:r>
              <w:rPr>
                <w:rFonts w:hint="eastAsia" w:ascii="宋体" w:hAnsi="宋体" w:cs="宋体"/>
                <w:szCs w:val="21"/>
              </w:rPr>
              <w:t>不少于5名</w:t>
            </w:r>
            <w:r>
              <w:rPr>
                <w:rFonts w:hint="eastAsia"/>
                <w:szCs w:val="21"/>
              </w:rPr>
              <w:t>项目团队成员，具备完成本项目履约要求的能力。</w:t>
            </w:r>
          </w:p>
        </w:tc>
        <w:tc>
          <w:tcPr>
            <w:tcW w:w="1985" w:type="dxa"/>
          </w:tcPr>
          <w:p w14:paraId="4FD9EF94">
            <w:pPr>
              <w:rPr>
                <w:sz w:val="24"/>
              </w:rPr>
            </w:pPr>
          </w:p>
        </w:tc>
        <w:tc>
          <w:tcPr>
            <w:tcW w:w="1276" w:type="dxa"/>
          </w:tcPr>
          <w:p w14:paraId="1AD9E938">
            <w:pPr>
              <w:rPr>
                <w:sz w:val="24"/>
              </w:rPr>
            </w:pPr>
          </w:p>
        </w:tc>
        <w:tc>
          <w:tcPr>
            <w:tcW w:w="2551" w:type="dxa"/>
          </w:tcPr>
          <w:p w14:paraId="064278F7">
            <w:pPr>
              <w:rPr>
                <w:sz w:val="24"/>
              </w:rPr>
            </w:pPr>
          </w:p>
        </w:tc>
      </w:tr>
      <w:tr w14:paraId="71458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vAlign w:val="center"/>
          </w:tcPr>
          <w:p w14:paraId="6446B936">
            <w:pPr>
              <w:jc w:val="center"/>
              <w:rPr>
                <w:rFonts w:ascii="宋体" w:hAnsi="宋体" w:cs="宋体"/>
                <w:szCs w:val="21"/>
              </w:rPr>
            </w:pPr>
            <w:r>
              <w:rPr>
                <w:rFonts w:hint="eastAsia" w:ascii="宋体" w:hAnsi="宋体" w:cs="宋体"/>
                <w:szCs w:val="21"/>
              </w:rPr>
              <w:t>10</w:t>
            </w:r>
          </w:p>
        </w:tc>
        <w:tc>
          <w:tcPr>
            <w:tcW w:w="2551" w:type="dxa"/>
          </w:tcPr>
          <w:p w14:paraId="6DC00770">
            <w:pPr>
              <w:spacing w:line="300" w:lineRule="exact"/>
              <w:ind w:firstLine="420" w:firstLineChars="200"/>
              <w:rPr>
                <w:sz w:val="24"/>
              </w:rPr>
            </w:pPr>
            <w:r>
              <w:rPr>
                <w:rFonts w:hint="eastAsia" w:ascii="宋体" w:hAnsi="宋体" w:cs="宋体"/>
                <w:szCs w:val="21"/>
              </w:rPr>
              <w:t>2.在本项目实施过程中，中标人投入本项目的工作人员不得随意变动。如确因实际情况需要更换的，在更换前须征得采购人书面同意。</w:t>
            </w:r>
          </w:p>
        </w:tc>
        <w:tc>
          <w:tcPr>
            <w:tcW w:w="1985" w:type="dxa"/>
          </w:tcPr>
          <w:p w14:paraId="6F118BEB">
            <w:pPr>
              <w:rPr>
                <w:sz w:val="24"/>
              </w:rPr>
            </w:pPr>
          </w:p>
        </w:tc>
        <w:tc>
          <w:tcPr>
            <w:tcW w:w="1276" w:type="dxa"/>
          </w:tcPr>
          <w:p w14:paraId="709EA4CF">
            <w:pPr>
              <w:rPr>
                <w:sz w:val="24"/>
              </w:rPr>
            </w:pPr>
          </w:p>
        </w:tc>
        <w:tc>
          <w:tcPr>
            <w:tcW w:w="2551" w:type="dxa"/>
          </w:tcPr>
          <w:p w14:paraId="12F0D4AC">
            <w:pPr>
              <w:rPr>
                <w:sz w:val="24"/>
              </w:rPr>
            </w:pPr>
          </w:p>
        </w:tc>
      </w:tr>
      <w:tr w14:paraId="5E409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vAlign w:val="center"/>
          </w:tcPr>
          <w:p w14:paraId="53B14A43">
            <w:pPr>
              <w:jc w:val="center"/>
              <w:rPr>
                <w:rFonts w:ascii="宋体" w:hAnsi="宋体" w:cs="宋体"/>
                <w:szCs w:val="21"/>
              </w:rPr>
            </w:pPr>
            <w:r>
              <w:rPr>
                <w:rFonts w:hint="eastAsia" w:ascii="宋体" w:hAnsi="宋体" w:cs="宋体"/>
                <w:szCs w:val="21"/>
              </w:rPr>
              <w:t>11</w:t>
            </w:r>
          </w:p>
        </w:tc>
        <w:tc>
          <w:tcPr>
            <w:tcW w:w="2551" w:type="dxa"/>
          </w:tcPr>
          <w:p w14:paraId="7881E3D6">
            <w:pPr>
              <w:spacing w:line="300" w:lineRule="exact"/>
              <w:ind w:firstLine="420" w:firstLineChars="200"/>
              <w:rPr>
                <w:szCs w:val="21"/>
              </w:rPr>
            </w:pPr>
            <w:r>
              <w:rPr>
                <w:rFonts w:hint="eastAsia" w:ascii="宋体" w:hAnsi="宋体" w:cs="宋体"/>
                <w:szCs w:val="21"/>
              </w:rPr>
              <w:t>3.投入项目的相关工作组成员应具备较高业务水平、工作协调能力，并接受采购人的管理。</w:t>
            </w:r>
          </w:p>
        </w:tc>
        <w:tc>
          <w:tcPr>
            <w:tcW w:w="1985" w:type="dxa"/>
          </w:tcPr>
          <w:p w14:paraId="7784975E">
            <w:pPr>
              <w:rPr>
                <w:sz w:val="24"/>
              </w:rPr>
            </w:pPr>
          </w:p>
        </w:tc>
        <w:tc>
          <w:tcPr>
            <w:tcW w:w="1276" w:type="dxa"/>
          </w:tcPr>
          <w:p w14:paraId="56C270B7">
            <w:pPr>
              <w:rPr>
                <w:sz w:val="24"/>
              </w:rPr>
            </w:pPr>
          </w:p>
        </w:tc>
        <w:tc>
          <w:tcPr>
            <w:tcW w:w="2551" w:type="dxa"/>
          </w:tcPr>
          <w:p w14:paraId="251227C6">
            <w:pPr>
              <w:rPr>
                <w:sz w:val="24"/>
              </w:rPr>
            </w:pPr>
          </w:p>
        </w:tc>
      </w:tr>
      <w:tr w14:paraId="63750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vAlign w:val="center"/>
          </w:tcPr>
          <w:p w14:paraId="14C09D2B">
            <w:pPr>
              <w:jc w:val="center"/>
              <w:rPr>
                <w:rFonts w:ascii="宋体" w:hAnsi="宋体" w:cs="宋体"/>
                <w:szCs w:val="21"/>
              </w:rPr>
            </w:pPr>
            <w:r>
              <w:rPr>
                <w:rFonts w:hint="eastAsia" w:ascii="宋体" w:hAnsi="宋体" w:cs="宋体"/>
                <w:szCs w:val="21"/>
              </w:rPr>
              <w:t>12</w:t>
            </w:r>
          </w:p>
        </w:tc>
        <w:tc>
          <w:tcPr>
            <w:tcW w:w="2551" w:type="dxa"/>
          </w:tcPr>
          <w:p w14:paraId="5DC853F5">
            <w:pPr>
              <w:spacing w:line="300" w:lineRule="exact"/>
              <w:ind w:firstLine="420" w:firstLineChars="200"/>
              <w:rPr>
                <w:sz w:val="24"/>
              </w:rPr>
            </w:pPr>
            <w:r>
              <w:rPr>
                <w:rFonts w:hint="eastAsia" w:ascii="宋体" w:hAnsi="宋体" w:cs="宋体"/>
                <w:szCs w:val="21"/>
              </w:rPr>
              <w:t>4.为了便于沟通和管理，中标人在与采购人签订本项目合同时，应将专责工作组成员的身份证明、联系方式报采购人备案。如在本项目</w:t>
            </w:r>
            <w:r>
              <w:rPr>
                <w:rFonts w:hint="eastAsia"/>
              </w:rPr>
              <w:t>服务期内</w:t>
            </w:r>
            <w:r>
              <w:rPr>
                <w:rFonts w:hint="eastAsia" w:ascii="宋体" w:hAnsi="宋体" w:cs="宋体"/>
                <w:szCs w:val="21"/>
              </w:rPr>
              <w:t>，相关人员或联系方式发生变动的，应及时通知采购人。</w:t>
            </w:r>
          </w:p>
        </w:tc>
        <w:tc>
          <w:tcPr>
            <w:tcW w:w="1985" w:type="dxa"/>
          </w:tcPr>
          <w:p w14:paraId="35D67F0B">
            <w:pPr>
              <w:rPr>
                <w:sz w:val="24"/>
              </w:rPr>
            </w:pPr>
          </w:p>
        </w:tc>
        <w:tc>
          <w:tcPr>
            <w:tcW w:w="1276" w:type="dxa"/>
          </w:tcPr>
          <w:p w14:paraId="46D2DA53">
            <w:pPr>
              <w:rPr>
                <w:sz w:val="24"/>
              </w:rPr>
            </w:pPr>
          </w:p>
        </w:tc>
        <w:tc>
          <w:tcPr>
            <w:tcW w:w="2551" w:type="dxa"/>
          </w:tcPr>
          <w:p w14:paraId="1F4F246C">
            <w:pPr>
              <w:rPr>
                <w:sz w:val="24"/>
              </w:rPr>
            </w:pPr>
          </w:p>
        </w:tc>
      </w:tr>
    </w:tbl>
    <w:p w14:paraId="672F99EA">
      <w:pPr>
        <w:spacing w:line="400" w:lineRule="exact"/>
        <w:ind w:firstLine="424" w:firstLineChars="202"/>
        <w:rPr>
          <w:rFonts w:ascii="宋体" w:hAnsi="宋体" w:cs="Arial"/>
          <w:bCs/>
          <w:szCs w:val="21"/>
        </w:rPr>
      </w:pPr>
      <w:r>
        <w:rPr>
          <w:rFonts w:hint="eastAsia" w:ascii="宋体" w:hAnsi="宋体" w:cs="Arial"/>
          <w:bCs/>
          <w:szCs w:val="21"/>
        </w:rPr>
        <w:t>备注：1、“招标文件服务要求”一栏填写招标文件第二章《项目需求》中“</w:t>
      </w:r>
      <w:r>
        <w:rPr>
          <w:rFonts w:hint="eastAsia" w:ascii="宋体" w:hAnsi="宋体" w:cs="Arial"/>
          <w:b/>
          <w:bCs/>
          <w:szCs w:val="21"/>
        </w:rPr>
        <w:t>二、项目服务要求</w:t>
      </w:r>
      <w:r>
        <w:rPr>
          <w:rFonts w:hint="eastAsia" w:ascii="宋体" w:hAnsi="宋体" w:cs="Arial"/>
          <w:bCs/>
          <w:szCs w:val="21"/>
        </w:rPr>
        <w:t>”的内容；</w:t>
      </w:r>
    </w:p>
    <w:p w14:paraId="06488630">
      <w:pPr>
        <w:spacing w:line="400" w:lineRule="exact"/>
        <w:rPr>
          <w:rFonts w:ascii="宋体" w:hAnsi="宋体" w:cs="Arial"/>
          <w:bCs/>
          <w:szCs w:val="21"/>
        </w:rPr>
      </w:pPr>
      <w:r>
        <w:rPr>
          <w:rFonts w:hint="eastAsia" w:ascii="宋体" w:hAnsi="宋体" w:cs="Arial"/>
          <w:bCs/>
          <w:szCs w:val="21"/>
        </w:rPr>
        <w:t>“投标文件服务响应”一栏详细填写响应情况，并应对照招标文件服务要求一一对应响应。</w:t>
      </w:r>
    </w:p>
    <w:p w14:paraId="55F9B1E0">
      <w:pPr>
        <w:spacing w:line="400" w:lineRule="exact"/>
        <w:ind w:firstLine="424" w:firstLineChars="202"/>
        <w:rPr>
          <w:rFonts w:ascii="宋体" w:hAnsi="宋体" w:cs="Arial"/>
          <w:bCs/>
          <w:szCs w:val="21"/>
        </w:rPr>
      </w:pPr>
      <w:r>
        <w:rPr>
          <w:rFonts w:hint="eastAsia" w:ascii="宋体" w:hAnsi="宋体" w:cs="Arial"/>
          <w:bCs/>
          <w:szCs w:val="21"/>
        </w:rPr>
        <w:t>2、“偏离情况”一栏应如实填写“正偏离”、“负偏离”或“无偏离”。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3ADB7658">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Cs/>
          <w:kern w:val="0"/>
          <w:szCs w:val="21"/>
        </w:rPr>
        <w:t>如招标文件要求提供证明材料的，</w:t>
      </w:r>
      <w:r>
        <w:rPr>
          <w:rFonts w:hint="eastAsia" w:asciiTheme="minorEastAsia" w:hAnsiTheme="minorEastAsia" w:eastAsiaTheme="minorEastAsia"/>
          <w:szCs w:val="21"/>
        </w:rPr>
        <w:t>投标人应在“说明”一栏中列出服务要求的证明资料名称，并注明</w:t>
      </w:r>
      <w:r>
        <w:rPr>
          <w:rFonts w:hint="eastAsia" w:asciiTheme="minorEastAsia" w:hAnsiTheme="minorEastAsia" w:eastAsiaTheme="minorEastAsia"/>
          <w:bCs/>
          <w:kern w:val="0"/>
          <w:szCs w:val="21"/>
        </w:rPr>
        <w:t>注明证明材料在投标文件中的具体位置，未按要求提供证明材料或未注明证明材料的具体位置或提供的证明资料显示不符合招标文件要求、模糊不清无法判断或未显示是否满足招标文件要求的，均视为负偏离</w:t>
      </w:r>
      <w:r>
        <w:rPr>
          <w:rFonts w:hint="eastAsia" w:asciiTheme="minorEastAsia" w:hAnsiTheme="minorEastAsia" w:eastAsiaTheme="minorEastAsia"/>
          <w:szCs w:val="21"/>
        </w:rPr>
        <w:t>。未要求提供相应证明材料的，投标人可以不提供。</w:t>
      </w:r>
    </w:p>
    <w:p w14:paraId="7291AE33">
      <w:pPr>
        <w:adjustRightInd w:val="0"/>
        <w:snapToGrid w:val="0"/>
        <w:spacing w:line="360" w:lineRule="auto"/>
        <w:rPr>
          <w:bCs/>
          <w:snapToGrid w:val="0"/>
        </w:rPr>
      </w:pPr>
    </w:p>
    <w:p w14:paraId="6754733B">
      <w:pPr>
        <w:snapToGrid w:val="0"/>
        <w:spacing w:line="360" w:lineRule="auto"/>
        <w:jc w:val="center"/>
        <w:rPr>
          <w:rFonts w:hint="eastAsia"/>
          <w:b/>
        </w:rPr>
      </w:pPr>
    </w:p>
    <w:p w14:paraId="39B363EE">
      <w:pPr>
        <w:snapToGrid w:val="0"/>
        <w:spacing w:line="360" w:lineRule="auto"/>
        <w:jc w:val="center"/>
        <w:rPr>
          <w:rFonts w:hint="eastAsia"/>
          <w:b/>
        </w:rPr>
      </w:pPr>
    </w:p>
    <w:p w14:paraId="6A481E4E">
      <w:pPr>
        <w:snapToGrid w:val="0"/>
        <w:spacing w:line="360" w:lineRule="auto"/>
        <w:jc w:val="center"/>
        <w:rPr>
          <w:rFonts w:hint="eastAsia"/>
          <w:b/>
        </w:rPr>
      </w:pPr>
    </w:p>
    <w:p w14:paraId="57D9EEB1">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68622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27B5999A">
            <w:pPr>
              <w:spacing w:line="360" w:lineRule="auto"/>
              <w:jc w:val="center"/>
              <w:rPr>
                <w:rFonts w:ascii="宋体" w:hAnsi="宋体"/>
                <w:szCs w:val="21"/>
              </w:rPr>
            </w:pPr>
            <w:r>
              <w:rPr>
                <w:rFonts w:hint="eastAsia" w:ascii="宋体" w:hAnsi="宋体"/>
                <w:szCs w:val="21"/>
              </w:rPr>
              <w:t>序号</w:t>
            </w:r>
          </w:p>
        </w:tc>
        <w:tc>
          <w:tcPr>
            <w:tcW w:w="3077" w:type="dxa"/>
            <w:vAlign w:val="center"/>
          </w:tcPr>
          <w:p w14:paraId="4A6B4867">
            <w:pPr>
              <w:spacing w:line="360" w:lineRule="auto"/>
              <w:jc w:val="center"/>
              <w:rPr>
                <w:rFonts w:ascii="宋体" w:hAnsi="宋体"/>
                <w:szCs w:val="21"/>
              </w:rPr>
            </w:pPr>
            <w:r>
              <w:rPr>
                <w:rFonts w:hint="eastAsia" w:ascii="宋体" w:hAnsi="宋体"/>
                <w:szCs w:val="21"/>
              </w:rPr>
              <w:t>招标文件商务要求</w:t>
            </w:r>
          </w:p>
        </w:tc>
        <w:tc>
          <w:tcPr>
            <w:tcW w:w="2735" w:type="dxa"/>
            <w:vAlign w:val="center"/>
          </w:tcPr>
          <w:p w14:paraId="0A54CDBE">
            <w:pPr>
              <w:spacing w:line="360" w:lineRule="auto"/>
              <w:jc w:val="center"/>
              <w:rPr>
                <w:rFonts w:ascii="宋体" w:hAnsi="宋体"/>
                <w:szCs w:val="21"/>
              </w:rPr>
            </w:pPr>
            <w:r>
              <w:rPr>
                <w:rFonts w:hint="eastAsia" w:ascii="宋体" w:hAnsi="宋体"/>
                <w:szCs w:val="21"/>
              </w:rPr>
              <w:t>投标文件商务响应</w:t>
            </w:r>
          </w:p>
        </w:tc>
        <w:tc>
          <w:tcPr>
            <w:tcW w:w="1801" w:type="dxa"/>
            <w:vAlign w:val="center"/>
          </w:tcPr>
          <w:p w14:paraId="415154C7">
            <w:pPr>
              <w:spacing w:line="360" w:lineRule="auto"/>
              <w:jc w:val="center"/>
              <w:rPr>
                <w:rFonts w:ascii="宋体" w:hAnsi="宋体"/>
                <w:szCs w:val="21"/>
              </w:rPr>
            </w:pPr>
            <w:r>
              <w:rPr>
                <w:rFonts w:hint="eastAsia" w:ascii="宋体" w:hAnsi="宋体"/>
                <w:szCs w:val="21"/>
              </w:rPr>
              <w:t>偏离情况</w:t>
            </w:r>
          </w:p>
        </w:tc>
        <w:tc>
          <w:tcPr>
            <w:tcW w:w="1515" w:type="dxa"/>
            <w:vAlign w:val="center"/>
          </w:tcPr>
          <w:p w14:paraId="2FAC5B8E">
            <w:pPr>
              <w:spacing w:line="360" w:lineRule="auto"/>
              <w:jc w:val="center"/>
              <w:rPr>
                <w:rFonts w:ascii="宋体" w:hAnsi="宋体"/>
                <w:szCs w:val="21"/>
              </w:rPr>
            </w:pPr>
            <w:r>
              <w:rPr>
                <w:rFonts w:hint="eastAsia" w:ascii="宋体" w:hAnsi="宋体"/>
                <w:szCs w:val="21"/>
              </w:rPr>
              <w:t>说明</w:t>
            </w:r>
          </w:p>
        </w:tc>
      </w:tr>
      <w:tr w14:paraId="1D1B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6868642B">
            <w:pPr>
              <w:spacing w:line="360" w:lineRule="auto"/>
              <w:jc w:val="center"/>
              <w:rPr>
                <w:rFonts w:ascii="宋体" w:hAnsi="宋体" w:cs="宋体"/>
                <w:bCs/>
                <w:szCs w:val="21"/>
              </w:rPr>
            </w:pPr>
          </w:p>
        </w:tc>
        <w:tc>
          <w:tcPr>
            <w:tcW w:w="3077" w:type="dxa"/>
          </w:tcPr>
          <w:p w14:paraId="1FF15F8B">
            <w:pPr>
              <w:spacing w:line="360" w:lineRule="auto"/>
              <w:rPr>
                <w:rFonts w:ascii="宋体" w:hAnsi="宋体"/>
                <w:bCs/>
                <w:szCs w:val="21"/>
              </w:rPr>
            </w:pPr>
          </w:p>
        </w:tc>
        <w:tc>
          <w:tcPr>
            <w:tcW w:w="2735" w:type="dxa"/>
          </w:tcPr>
          <w:p w14:paraId="77242771">
            <w:pPr>
              <w:spacing w:line="360" w:lineRule="auto"/>
              <w:rPr>
                <w:rFonts w:ascii="宋体" w:hAnsi="宋体" w:cs="宋体"/>
                <w:szCs w:val="21"/>
              </w:rPr>
            </w:pPr>
          </w:p>
        </w:tc>
        <w:tc>
          <w:tcPr>
            <w:tcW w:w="1801" w:type="dxa"/>
          </w:tcPr>
          <w:p w14:paraId="4B3EE45C">
            <w:pPr>
              <w:spacing w:line="360" w:lineRule="auto"/>
              <w:rPr>
                <w:rFonts w:ascii="宋体" w:hAnsi="宋体" w:cs="宋体"/>
                <w:szCs w:val="21"/>
              </w:rPr>
            </w:pPr>
          </w:p>
        </w:tc>
        <w:tc>
          <w:tcPr>
            <w:tcW w:w="1515" w:type="dxa"/>
          </w:tcPr>
          <w:p w14:paraId="603C63D2">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5E11F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0A8E38E7">
            <w:pPr>
              <w:spacing w:line="360" w:lineRule="auto"/>
              <w:jc w:val="center"/>
              <w:rPr>
                <w:rFonts w:ascii="宋体" w:hAnsi="宋体" w:cs="宋体"/>
                <w:bCs/>
                <w:szCs w:val="21"/>
              </w:rPr>
            </w:pPr>
          </w:p>
        </w:tc>
        <w:tc>
          <w:tcPr>
            <w:tcW w:w="3077" w:type="dxa"/>
          </w:tcPr>
          <w:p w14:paraId="5C698411">
            <w:pPr>
              <w:spacing w:line="360" w:lineRule="auto"/>
              <w:rPr>
                <w:rFonts w:ascii="宋体" w:hAnsi="宋体" w:cs="宋体"/>
                <w:b/>
                <w:szCs w:val="21"/>
              </w:rPr>
            </w:pPr>
          </w:p>
        </w:tc>
        <w:tc>
          <w:tcPr>
            <w:tcW w:w="2735" w:type="dxa"/>
          </w:tcPr>
          <w:p w14:paraId="7E82D2B3">
            <w:pPr>
              <w:spacing w:line="360" w:lineRule="auto"/>
              <w:rPr>
                <w:rFonts w:ascii="宋体" w:hAnsi="宋体" w:cs="宋体"/>
                <w:szCs w:val="21"/>
              </w:rPr>
            </w:pPr>
          </w:p>
        </w:tc>
        <w:tc>
          <w:tcPr>
            <w:tcW w:w="1801" w:type="dxa"/>
          </w:tcPr>
          <w:p w14:paraId="177561E2">
            <w:pPr>
              <w:spacing w:line="360" w:lineRule="auto"/>
              <w:rPr>
                <w:rFonts w:ascii="宋体" w:hAnsi="宋体" w:cs="宋体"/>
                <w:szCs w:val="21"/>
              </w:rPr>
            </w:pPr>
          </w:p>
        </w:tc>
        <w:tc>
          <w:tcPr>
            <w:tcW w:w="1515" w:type="dxa"/>
          </w:tcPr>
          <w:p w14:paraId="7E2E5083">
            <w:pPr>
              <w:spacing w:line="360" w:lineRule="auto"/>
              <w:rPr>
                <w:rFonts w:ascii="宋体" w:hAnsi="宋体" w:cs="宋体"/>
                <w:szCs w:val="21"/>
              </w:rPr>
            </w:pPr>
          </w:p>
        </w:tc>
      </w:tr>
      <w:tr w14:paraId="38A05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0E487B44">
            <w:pPr>
              <w:spacing w:line="360" w:lineRule="auto"/>
              <w:jc w:val="center"/>
              <w:rPr>
                <w:rFonts w:ascii="宋体" w:hAnsi="宋体" w:cs="宋体"/>
                <w:bCs/>
                <w:szCs w:val="21"/>
              </w:rPr>
            </w:pPr>
          </w:p>
        </w:tc>
        <w:tc>
          <w:tcPr>
            <w:tcW w:w="3077" w:type="dxa"/>
          </w:tcPr>
          <w:p w14:paraId="2B6741F9">
            <w:pPr>
              <w:spacing w:line="360" w:lineRule="auto"/>
              <w:rPr>
                <w:rFonts w:ascii="宋体" w:hAnsi="宋体"/>
                <w:bCs/>
                <w:szCs w:val="21"/>
              </w:rPr>
            </w:pPr>
          </w:p>
        </w:tc>
        <w:tc>
          <w:tcPr>
            <w:tcW w:w="2735" w:type="dxa"/>
          </w:tcPr>
          <w:p w14:paraId="34DE87F4">
            <w:pPr>
              <w:spacing w:line="360" w:lineRule="auto"/>
              <w:rPr>
                <w:rFonts w:ascii="宋体" w:hAnsi="宋体" w:cs="宋体"/>
                <w:szCs w:val="21"/>
              </w:rPr>
            </w:pPr>
          </w:p>
        </w:tc>
        <w:tc>
          <w:tcPr>
            <w:tcW w:w="1801" w:type="dxa"/>
          </w:tcPr>
          <w:p w14:paraId="3D724104">
            <w:pPr>
              <w:spacing w:line="360" w:lineRule="auto"/>
              <w:rPr>
                <w:rFonts w:ascii="宋体" w:hAnsi="宋体" w:cs="宋体"/>
                <w:szCs w:val="21"/>
              </w:rPr>
            </w:pPr>
          </w:p>
        </w:tc>
        <w:tc>
          <w:tcPr>
            <w:tcW w:w="1515" w:type="dxa"/>
          </w:tcPr>
          <w:p w14:paraId="15C4D4BB">
            <w:pPr>
              <w:spacing w:line="360" w:lineRule="auto"/>
              <w:rPr>
                <w:rFonts w:ascii="宋体" w:hAnsi="宋体" w:cs="宋体"/>
                <w:szCs w:val="21"/>
              </w:rPr>
            </w:pPr>
          </w:p>
        </w:tc>
      </w:tr>
      <w:tr w14:paraId="3B895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5EDFC32B">
            <w:pPr>
              <w:spacing w:line="360" w:lineRule="auto"/>
              <w:jc w:val="center"/>
              <w:rPr>
                <w:rFonts w:ascii="宋体" w:hAnsi="宋体" w:cs="宋体"/>
                <w:bCs/>
                <w:szCs w:val="21"/>
              </w:rPr>
            </w:pPr>
          </w:p>
        </w:tc>
        <w:tc>
          <w:tcPr>
            <w:tcW w:w="3077" w:type="dxa"/>
          </w:tcPr>
          <w:p w14:paraId="762BE874">
            <w:pPr>
              <w:spacing w:line="360" w:lineRule="auto"/>
              <w:rPr>
                <w:rFonts w:ascii="宋体" w:hAnsi="宋体" w:cs="宋体"/>
                <w:b/>
                <w:szCs w:val="21"/>
              </w:rPr>
            </w:pPr>
          </w:p>
        </w:tc>
        <w:tc>
          <w:tcPr>
            <w:tcW w:w="2735" w:type="dxa"/>
          </w:tcPr>
          <w:p w14:paraId="6D4A139F">
            <w:pPr>
              <w:spacing w:line="360" w:lineRule="auto"/>
              <w:rPr>
                <w:rFonts w:ascii="宋体" w:hAnsi="宋体" w:cs="宋体"/>
                <w:szCs w:val="21"/>
              </w:rPr>
            </w:pPr>
          </w:p>
        </w:tc>
        <w:tc>
          <w:tcPr>
            <w:tcW w:w="1801" w:type="dxa"/>
          </w:tcPr>
          <w:p w14:paraId="03D00E27">
            <w:pPr>
              <w:spacing w:line="360" w:lineRule="auto"/>
              <w:rPr>
                <w:rFonts w:ascii="宋体" w:hAnsi="宋体" w:cs="宋体"/>
                <w:szCs w:val="21"/>
              </w:rPr>
            </w:pPr>
          </w:p>
        </w:tc>
        <w:tc>
          <w:tcPr>
            <w:tcW w:w="1515" w:type="dxa"/>
          </w:tcPr>
          <w:p w14:paraId="47F1D35A">
            <w:pPr>
              <w:spacing w:line="360" w:lineRule="auto"/>
              <w:rPr>
                <w:rFonts w:ascii="宋体" w:hAnsi="宋体" w:cs="宋体"/>
                <w:szCs w:val="21"/>
              </w:rPr>
            </w:pPr>
          </w:p>
        </w:tc>
      </w:tr>
    </w:tbl>
    <w:p w14:paraId="576AD3C9">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招标文件商务要求</w:t>
      </w:r>
      <w:r>
        <w:rPr>
          <w:rFonts w:hint="eastAsia" w:ascii="宋体" w:hAnsi="宋体" w:cs="Arial"/>
          <w:bCs/>
          <w:szCs w:val="21"/>
        </w:rPr>
        <w:t>”一栏逐一列出招标文件第二章《项目需求》中“</w:t>
      </w:r>
      <w:r>
        <w:rPr>
          <w:rFonts w:hint="eastAsia" w:ascii="宋体" w:hAnsi="宋体" w:cs="Arial"/>
          <w:b/>
          <w:bCs/>
          <w:szCs w:val="21"/>
        </w:rPr>
        <w:t>三、项目商务要求</w:t>
      </w:r>
      <w:r>
        <w:rPr>
          <w:rFonts w:hint="eastAsia" w:ascii="宋体" w:hAnsi="宋体" w:cs="Arial"/>
          <w:bCs/>
          <w:szCs w:val="21"/>
        </w:rPr>
        <w:t>”的内容；“</w:t>
      </w:r>
      <w:r>
        <w:rPr>
          <w:rFonts w:hint="eastAsia" w:ascii="宋体" w:hAnsi="宋体"/>
          <w:szCs w:val="21"/>
        </w:rPr>
        <w:t>投标文件商务响应</w:t>
      </w:r>
      <w:r>
        <w:rPr>
          <w:rFonts w:hint="eastAsia" w:ascii="宋体" w:hAnsi="宋体" w:cs="Arial"/>
          <w:bCs/>
          <w:szCs w:val="21"/>
        </w:rPr>
        <w:t>”一栏应详细填写投标商务条款的响应内容。</w:t>
      </w:r>
    </w:p>
    <w:p w14:paraId="75B11AC6">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39F481C5">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w:t>
      </w:r>
      <w:r>
        <w:rPr>
          <w:rFonts w:hint="eastAsia" w:asciiTheme="minorEastAsia" w:hAnsiTheme="minorEastAsia" w:eastAsiaTheme="minorEastAsia"/>
          <w:bCs/>
          <w:kern w:val="0"/>
          <w:szCs w:val="21"/>
        </w:rPr>
        <w:t>招标文件</w:t>
      </w:r>
      <w:r>
        <w:rPr>
          <w:rFonts w:hint="eastAsia" w:ascii="宋体" w:hAnsi="宋体" w:cs="宋体"/>
          <w:bCs/>
          <w:szCs w:val="21"/>
        </w:rPr>
        <w:t>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38FE4548">
      <w:pPr>
        <w:adjustRightInd w:val="0"/>
        <w:snapToGrid w:val="0"/>
        <w:spacing w:line="300" w:lineRule="auto"/>
        <w:rPr>
          <w:rFonts w:eastAsia="楷体_GB2312"/>
          <w:snapToGrid w:val="0"/>
          <w:kern w:val="0"/>
        </w:rPr>
      </w:pPr>
    </w:p>
    <w:p w14:paraId="3520D07A">
      <w:pPr>
        <w:adjustRightInd w:val="0"/>
        <w:snapToGrid w:val="0"/>
        <w:spacing w:line="300" w:lineRule="auto"/>
        <w:rPr>
          <w:snapToGrid w:val="0"/>
          <w:kern w:val="0"/>
        </w:rPr>
      </w:pPr>
    </w:p>
    <w:p w14:paraId="47FC854E">
      <w:pPr>
        <w:adjustRightInd w:val="0"/>
        <w:snapToGrid w:val="0"/>
        <w:spacing w:line="300" w:lineRule="auto"/>
        <w:rPr>
          <w:snapToGrid w:val="0"/>
          <w:kern w:val="0"/>
        </w:rPr>
      </w:pPr>
      <w:r>
        <w:rPr>
          <w:rFonts w:hint="eastAsia"/>
          <w:snapToGrid w:val="0"/>
          <w:kern w:val="0"/>
        </w:rPr>
        <w:t>投标单位：（加盖公章）</w:t>
      </w:r>
    </w:p>
    <w:p w14:paraId="0257239C">
      <w:pPr>
        <w:adjustRightInd w:val="0"/>
        <w:snapToGrid w:val="0"/>
        <w:spacing w:line="300" w:lineRule="auto"/>
        <w:rPr>
          <w:snapToGrid w:val="0"/>
          <w:kern w:val="0"/>
        </w:rPr>
      </w:pPr>
    </w:p>
    <w:p w14:paraId="047820DF">
      <w:pPr>
        <w:adjustRightInd w:val="0"/>
        <w:snapToGrid w:val="0"/>
        <w:spacing w:line="300" w:lineRule="auto"/>
        <w:rPr>
          <w:snapToGrid w:val="0"/>
          <w:kern w:val="0"/>
        </w:rPr>
      </w:pPr>
    </w:p>
    <w:p w14:paraId="65BD7121">
      <w:pPr>
        <w:wordWrap w:val="0"/>
        <w:adjustRightInd w:val="0"/>
        <w:snapToGrid w:val="0"/>
        <w:spacing w:line="300" w:lineRule="auto"/>
        <w:jc w:val="right"/>
        <w:rPr>
          <w:snapToGrid w:val="0"/>
          <w:kern w:val="0"/>
        </w:rPr>
      </w:pPr>
      <w:r>
        <w:rPr>
          <w:rFonts w:hint="eastAsia"/>
          <w:snapToGrid w:val="0"/>
          <w:kern w:val="0"/>
        </w:rPr>
        <w:t>年    月   日</w:t>
      </w:r>
    </w:p>
    <w:p w14:paraId="3A019A36">
      <w:pPr>
        <w:adjustRightInd w:val="0"/>
        <w:snapToGrid w:val="0"/>
        <w:spacing w:line="300" w:lineRule="auto"/>
        <w:jc w:val="left"/>
        <w:rPr>
          <w:snapToGrid w:val="0"/>
          <w:kern w:val="0"/>
        </w:rPr>
      </w:pPr>
    </w:p>
    <w:p w14:paraId="43759CB6">
      <w:pPr>
        <w:pStyle w:val="3"/>
        <w:tabs>
          <w:tab w:val="left" w:pos="371"/>
        </w:tabs>
        <w:spacing w:before="120" w:after="120"/>
        <w:ind w:left="-1" w:leftChars="-1" w:hanging="1"/>
        <w:jc w:val="center"/>
        <w:rPr>
          <w:rFonts w:asciiTheme="minorEastAsia" w:hAnsiTheme="minorEastAsia" w:eastAsiaTheme="minorEastAsia"/>
        </w:rPr>
      </w:pPr>
      <w:bookmarkStart w:id="90" w:name="q16"/>
      <w:bookmarkEnd w:id="90"/>
      <w:bookmarkStart w:id="91" w:name="_格式3__"/>
      <w:bookmarkEnd w:id="91"/>
      <w:bookmarkStart w:id="92" w:name="q17"/>
      <w:bookmarkEnd w:id="92"/>
      <w:bookmarkStart w:id="93" w:name="_格式2__投标保证金凭证"/>
      <w:bookmarkEnd w:id="93"/>
      <w:bookmarkStart w:id="94" w:name="_格式5__"/>
      <w:bookmarkEnd w:id="94"/>
      <w:bookmarkStart w:id="95" w:name="_格式4__"/>
      <w:bookmarkEnd w:id="95"/>
      <w:bookmarkStart w:id="96" w:name="q15"/>
      <w:bookmarkEnd w:id="96"/>
      <w:r>
        <w:rPr>
          <w:rFonts w:asciiTheme="minorEastAsia" w:hAnsiTheme="minorEastAsia" w:eastAsiaTheme="minorEastAsia"/>
        </w:rPr>
        <w:tab/>
      </w:r>
      <w:bookmarkStart w:id="97" w:name="_Toc44691169"/>
      <w:bookmarkStart w:id="98" w:name="_Toc44691401"/>
      <w:bookmarkStart w:id="99" w:name="_Toc44690437"/>
      <w:bookmarkStart w:id="100" w:name="_Toc44690710"/>
      <w:bookmarkStart w:id="101" w:name="_Toc135293191"/>
    </w:p>
    <w:p w14:paraId="0236E336">
      <w:pPr>
        <w:rPr>
          <w:rFonts w:asciiTheme="minorEastAsia" w:hAnsiTheme="minorEastAsia" w:eastAsiaTheme="minorEastAsia"/>
        </w:rPr>
      </w:pPr>
      <w:r>
        <w:rPr>
          <w:rFonts w:asciiTheme="minorEastAsia" w:hAnsiTheme="minorEastAsia" w:eastAsiaTheme="minorEastAsia"/>
        </w:rPr>
        <w:br w:type="page"/>
      </w:r>
    </w:p>
    <w:p w14:paraId="090690B5">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 xml:space="preserve">格式10  </w:t>
      </w:r>
      <w:bookmarkEnd w:id="97"/>
      <w:bookmarkEnd w:id="98"/>
      <w:bookmarkEnd w:id="99"/>
      <w:bookmarkEnd w:id="100"/>
      <w:r>
        <w:rPr>
          <w:rFonts w:hint="eastAsia" w:asciiTheme="minorEastAsia" w:hAnsiTheme="minorEastAsia" w:eastAsiaTheme="minorEastAsia"/>
        </w:rPr>
        <w:t>招标文件要求的其他资料或投标人认为需要补充的资料</w:t>
      </w:r>
      <w:bookmarkEnd w:id="101"/>
    </w:p>
    <w:p w14:paraId="2532D489">
      <w:pPr>
        <w:spacing w:line="360" w:lineRule="auto"/>
        <w:jc w:val="center"/>
      </w:pPr>
    </w:p>
    <w:p w14:paraId="25E381BC">
      <w:pPr>
        <w:adjustRightInd w:val="0"/>
        <w:snapToGrid w:val="0"/>
        <w:spacing w:line="300" w:lineRule="auto"/>
        <w:jc w:val="center"/>
        <w:rPr>
          <w:snapToGrid w:val="0"/>
          <w:kern w:val="0"/>
        </w:rPr>
      </w:pPr>
      <w:r>
        <w:rPr>
          <w:rFonts w:hint="eastAsia"/>
          <w:snapToGrid w:val="0"/>
          <w:kern w:val="0"/>
        </w:rPr>
        <w:t>（投标人自拟）</w:t>
      </w:r>
    </w:p>
    <w:p w14:paraId="1B4AB3D9">
      <w:pPr>
        <w:jc w:val="left"/>
        <w:rPr>
          <w:snapToGrid w:val="0"/>
          <w:kern w:val="0"/>
          <w:sz w:val="52"/>
          <w:szCs w:val="52"/>
        </w:rPr>
      </w:pPr>
    </w:p>
    <w:p w14:paraId="1BC67F2C"/>
    <w:p w14:paraId="13A13A79"/>
    <w:p w14:paraId="6F97D955"/>
    <w:p w14:paraId="6A99E07D"/>
    <w:p w14:paraId="21432D32"/>
    <w:p w14:paraId="3516C2A0"/>
    <w:p w14:paraId="7527C193"/>
    <w:p w14:paraId="52F6B7DD"/>
    <w:p w14:paraId="6CBE53C9"/>
    <w:p w14:paraId="3173E043"/>
    <w:p w14:paraId="22E09F1A"/>
    <w:p w14:paraId="1E9B5A9A"/>
    <w:p w14:paraId="5AB2A108">
      <w:pPr>
        <w:widowControl/>
        <w:jc w:val="left"/>
        <w:rPr>
          <w:rFonts w:eastAsiaTheme="minorEastAsia"/>
          <w:b/>
          <w:kern w:val="44"/>
          <w:sz w:val="44"/>
          <w:szCs w:val="28"/>
        </w:rPr>
      </w:pPr>
    </w:p>
    <w:p w14:paraId="3234C6D1">
      <w:pPr>
        <w:widowControl/>
        <w:jc w:val="left"/>
      </w:pPr>
      <w:r>
        <w:br w:type="page"/>
      </w:r>
    </w:p>
    <w:p w14:paraId="7811ABC8"/>
    <w:p w14:paraId="4C9E5F5F">
      <w:pPr>
        <w:pStyle w:val="2"/>
      </w:pPr>
      <w:bookmarkStart w:id="102" w:name="_Toc135293192"/>
      <w:r>
        <w:rPr>
          <w:rFonts w:hint="eastAsia"/>
        </w:rPr>
        <w:t>第八章  合同条款</w:t>
      </w:r>
      <w:bookmarkEnd w:id="102"/>
    </w:p>
    <w:p w14:paraId="5B551D87">
      <w:pPr>
        <w:jc w:val="center"/>
        <w:rPr>
          <w:b/>
          <w:szCs w:val="21"/>
        </w:rPr>
      </w:pPr>
    </w:p>
    <w:p w14:paraId="0DF10BC8">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573FDF0B">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65110AB2">
      <w:pPr>
        <w:pStyle w:val="26"/>
        <w:spacing w:line="360" w:lineRule="auto"/>
        <w:ind w:firstLine="482" w:firstLineChars="200"/>
        <w:rPr>
          <w:rFonts w:ascii="Times New Roman" w:hAnsi="Times New Roman"/>
          <w:b/>
          <w:sz w:val="24"/>
        </w:rPr>
      </w:pPr>
    </w:p>
    <w:p w14:paraId="62827A6E">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0116AC8F">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43B5F7DC">
      <w:pPr>
        <w:adjustRightInd w:val="0"/>
        <w:snapToGrid w:val="0"/>
        <w:spacing w:line="360" w:lineRule="auto"/>
        <w:rPr>
          <w:rFonts w:ascii="宋体" w:hAnsi="宋体"/>
          <w:szCs w:val="21"/>
        </w:rPr>
      </w:pPr>
    </w:p>
    <w:p w14:paraId="4DBFC039">
      <w:pPr>
        <w:snapToGrid w:val="0"/>
        <w:spacing w:line="360" w:lineRule="auto"/>
        <w:ind w:firstLine="420" w:firstLineChars="200"/>
        <w:rPr>
          <w:rFonts w:ascii="宋体" w:hAnsi="宋体"/>
          <w:szCs w:val="21"/>
        </w:rPr>
      </w:pPr>
      <w:r>
        <w:rPr>
          <w:rFonts w:hint="eastAsia" w:ascii="宋体" w:hAnsi="宋体"/>
          <w:szCs w:val="21"/>
        </w:rPr>
        <w:t>根据招标项目（项目编号__________________）的中标结果，由_______________________单位为中标人。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034528CE">
      <w:pPr>
        <w:pStyle w:val="26"/>
        <w:snapToGrid w:val="0"/>
        <w:spacing w:line="360" w:lineRule="auto"/>
        <w:ind w:firstLine="422" w:firstLineChars="200"/>
        <w:rPr>
          <w:rFonts w:hAnsi="宋体"/>
          <w:b/>
          <w:szCs w:val="21"/>
        </w:rPr>
      </w:pPr>
      <w:r>
        <w:rPr>
          <w:rFonts w:hint="eastAsia" w:hAnsi="宋体"/>
          <w:b/>
          <w:szCs w:val="21"/>
        </w:rPr>
        <w:t>一、服务内容</w:t>
      </w:r>
    </w:p>
    <w:p w14:paraId="37F8AF1D">
      <w:pPr>
        <w:spacing w:line="360" w:lineRule="auto"/>
        <w:ind w:firstLine="422" w:firstLineChars="201"/>
        <w:rPr>
          <w:rFonts w:ascii="宋体" w:hAnsi="宋体"/>
          <w:szCs w:val="21"/>
        </w:rPr>
      </w:pPr>
      <w:r>
        <w:rPr>
          <w:rFonts w:hint="eastAsia" w:ascii="宋体" w:hAnsi="宋体"/>
          <w:szCs w:val="21"/>
        </w:rPr>
        <w:t>______________________</w:t>
      </w:r>
    </w:p>
    <w:p w14:paraId="2D54ACE2">
      <w:pPr>
        <w:pStyle w:val="26"/>
        <w:snapToGrid w:val="0"/>
        <w:spacing w:line="360" w:lineRule="auto"/>
        <w:ind w:firstLine="422" w:firstLineChars="200"/>
        <w:rPr>
          <w:rFonts w:hAnsi="宋体"/>
          <w:b/>
          <w:szCs w:val="21"/>
        </w:rPr>
      </w:pPr>
      <w:r>
        <w:rPr>
          <w:rFonts w:hint="eastAsia" w:hAnsi="宋体"/>
          <w:b/>
          <w:szCs w:val="21"/>
        </w:rPr>
        <w:t>二、合同金额</w:t>
      </w:r>
    </w:p>
    <w:p w14:paraId="20568799">
      <w:pPr>
        <w:pStyle w:val="26"/>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09587C00">
      <w:pPr>
        <w:pStyle w:val="26"/>
        <w:snapToGrid w:val="0"/>
        <w:spacing w:line="360" w:lineRule="auto"/>
        <w:ind w:firstLine="422" w:firstLineChars="200"/>
        <w:rPr>
          <w:rFonts w:hAnsi="宋体"/>
          <w:b/>
          <w:szCs w:val="21"/>
        </w:rPr>
      </w:pPr>
      <w:r>
        <w:rPr>
          <w:rFonts w:hint="eastAsia" w:hAnsi="宋体"/>
          <w:b/>
          <w:szCs w:val="21"/>
        </w:rPr>
        <w:t>三、技术资料</w:t>
      </w:r>
    </w:p>
    <w:p w14:paraId="57948AF5">
      <w:pPr>
        <w:pStyle w:val="26"/>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14:paraId="388A4AD8">
      <w:pPr>
        <w:pStyle w:val="26"/>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72713B3A">
      <w:pPr>
        <w:pStyle w:val="26"/>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14:paraId="71D9E1DB">
      <w:pPr>
        <w:pStyle w:val="26"/>
        <w:snapToGrid w:val="0"/>
        <w:spacing w:line="360" w:lineRule="auto"/>
        <w:ind w:firstLine="422" w:firstLineChars="200"/>
        <w:rPr>
          <w:rFonts w:hAnsi="宋体"/>
          <w:b/>
          <w:szCs w:val="21"/>
        </w:rPr>
      </w:pPr>
      <w:r>
        <w:rPr>
          <w:rFonts w:hint="eastAsia" w:hAnsi="宋体"/>
          <w:b/>
          <w:szCs w:val="21"/>
        </w:rPr>
        <w:t>四、知识产权</w:t>
      </w:r>
    </w:p>
    <w:p w14:paraId="6C020CE0">
      <w:pPr>
        <w:pStyle w:val="26"/>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14:paraId="742FC7E2">
      <w:pPr>
        <w:pStyle w:val="26"/>
        <w:snapToGrid w:val="0"/>
        <w:spacing w:line="360" w:lineRule="auto"/>
        <w:ind w:firstLine="422" w:firstLineChars="200"/>
        <w:rPr>
          <w:rFonts w:hAnsi="宋体"/>
          <w:b/>
          <w:szCs w:val="21"/>
        </w:rPr>
      </w:pPr>
      <w:r>
        <w:rPr>
          <w:rFonts w:hint="eastAsia" w:hAnsi="宋体"/>
          <w:b/>
          <w:szCs w:val="21"/>
        </w:rPr>
        <w:t>五、履约保证金</w:t>
      </w:r>
    </w:p>
    <w:p w14:paraId="79862B7C">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7E6DD554">
      <w:pPr>
        <w:snapToGrid w:val="0"/>
        <w:spacing w:line="360" w:lineRule="auto"/>
        <w:ind w:firstLine="420" w:firstLineChars="200"/>
        <w:rPr>
          <w:rFonts w:ascii="宋体" w:hAnsi="宋体"/>
          <w:szCs w:val="21"/>
        </w:rPr>
      </w:pPr>
      <w:r>
        <w:rPr>
          <w:rFonts w:hint="eastAsia" w:ascii="宋体" w:hAnsi="宋体"/>
          <w:szCs w:val="21"/>
        </w:rPr>
        <w:t>1、_______________________</w:t>
      </w:r>
    </w:p>
    <w:p w14:paraId="142A01B9">
      <w:pPr>
        <w:snapToGrid w:val="0"/>
        <w:spacing w:line="360" w:lineRule="auto"/>
        <w:ind w:firstLine="420" w:firstLineChars="200"/>
        <w:rPr>
          <w:rFonts w:ascii="宋体" w:hAnsi="宋体"/>
          <w:szCs w:val="21"/>
        </w:rPr>
      </w:pPr>
      <w:r>
        <w:rPr>
          <w:rFonts w:hint="eastAsia" w:ascii="宋体" w:hAnsi="宋体"/>
          <w:szCs w:val="21"/>
        </w:rPr>
        <w:t>2、_______________________</w:t>
      </w:r>
    </w:p>
    <w:p w14:paraId="2D678EF2">
      <w:pPr>
        <w:snapToGrid w:val="0"/>
        <w:spacing w:line="360" w:lineRule="auto"/>
        <w:ind w:firstLine="420" w:firstLineChars="200"/>
        <w:rPr>
          <w:rFonts w:ascii="宋体" w:hAnsi="宋体"/>
          <w:szCs w:val="21"/>
        </w:rPr>
      </w:pPr>
      <w:r>
        <w:rPr>
          <w:rFonts w:hint="eastAsia" w:ascii="宋体" w:hAnsi="宋体"/>
          <w:szCs w:val="21"/>
        </w:rPr>
        <w:t>3、_______________________</w:t>
      </w:r>
    </w:p>
    <w:p w14:paraId="53F5E7DD">
      <w:pPr>
        <w:snapToGrid w:val="0"/>
        <w:spacing w:line="360" w:lineRule="auto"/>
        <w:ind w:firstLine="420" w:firstLineChars="200"/>
        <w:rPr>
          <w:rFonts w:ascii="宋体" w:hAnsi="宋体"/>
          <w:szCs w:val="21"/>
        </w:rPr>
      </w:pPr>
      <w:r>
        <w:rPr>
          <w:rFonts w:hint="eastAsia" w:ascii="宋体" w:hAnsi="宋体"/>
          <w:szCs w:val="21"/>
        </w:rPr>
        <w:t>4、_______________________</w:t>
      </w:r>
    </w:p>
    <w:p w14:paraId="323A8FAD">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4A00468D">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6C613F80">
      <w:pPr>
        <w:snapToGrid w:val="0"/>
        <w:spacing w:line="360" w:lineRule="auto"/>
        <w:ind w:firstLine="420" w:firstLineChars="200"/>
        <w:rPr>
          <w:rFonts w:ascii="宋体" w:hAnsi="宋体"/>
          <w:szCs w:val="21"/>
        </w:rPr>
      </w:pPr>
      <w:r>
        <w:rPr>
          <w:rFonts w:hint="eastAsia" w:ascii="宋体" w:hAnsi="宋体"/>
          <w:szCs w:val="21"/>
        </w:rPr>
        <w:t>1、_______________________</w:t>
      </w:r>
    </w:p>
    <w:p w14:paraId="684A4FB2">
      <w:pPr>
        <w:snapToGrid w:val="0"/>
        <w:spacing w:line="360" w:lineRule="auto"/>
        <w:ind w:firstLine="420" w:firstLineChars="200"/>
        <w:rPr>
          <w:rFonts w:ascii="宋体" w:hAnsi="宋体"/>
          <w:szCs w:val="21"/>
        </w:rPr>
      </w:pPr>
      <w:r>
        <w:rPr>
          <w:rFonts w:hint="eastAsia" w:ascii="宋体" w:hAnsi="宋体"/>
          <w:szCs w:val="21"/>
        </w:rPr>
        <w:t>2、_______________________</w:t>
      </w:r>
    </w:p>
    <w:p w14:paraId="5B8C45A1">
      <w:pPr>
        <w:snapToGrid w:val="0"/>
        <w:spacing w:line="360" w:lineRule="auto"/>
        <w:ind w:firstLine="420" w:firstLineChars="200"/>
        <w:rPr>
          <w:rFonts w:ascii="宋体" w:hAnsi="宋体"/>
          <w:szCs w:val="21"/>
        </w:rPr>
      </w:pPr>
      <w:r>
        <w:rPr>
          <w:rFonts w:hint="eastAsia" w:ascii="宋体" w:hAnsi="宋体"/>
          <w:szCs w:val="21"/>
        </w:rPr>
        <w:t>3、_______________________</w:t>
      </w:r>
    </w:p>
    <w:p w14:paraId="1E930201">
      <w:pPr>
        <w:snapToGrid w:val="0"/>
        <w:spacing w:line="360" w:lineRule="auto"/>
        <w:ind w:firstLine="420" w:firstLineChars="200"/>
        <w:rPr>
          <w:rFonts w:ascii="宋体" w:hAnsi="宋体"/>
          <w:szCs w:val="21"/>
        </w:rPr>
      </w:pPr>
      <w:r>
        <w:rPr>
          <w:rFonts w:hint="eastAsia" w:ascii="宋体" w:hAnsi="宋体"/>
          <w:szCs w:val="21"/>
        </w:rPr>
        <w:t>4、_______________________</w:t>
      </w:r>
    </w:p>
    <w:p w14:paraId="6EAFBB30">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19A247CA">
      <w:pPr>
        <w:pStyle w:val="26"/>
        <w:snapToGrid w:val="0"/>
        <w:spacing w:line="360" w:lineRule="auto"/>
        <w:ind w:firstLine="422" w:firstLineChars="200"/>
        <w:rPr>
          <w:rFonts w:hAnsi="宋体"/>
          <w:b/>
          <w:szCs w:val="21"/>
        </w:rPr>
      </w:pPr>
      <w:r>
        <w:rPr>
          <w:rFonts w:hint="eastAsia" w:hAnsi="宋体"/>
          <w:b/>
          <w:szCs w:val="21"/>
        </w:rPr>
        <w:t>八、合同履行时间、履行方式及履行地点</w:t>
      </w:r>
    </w:p>
    <w:p w14:paraId="1EEA25A3">
      <w:pPr>
        <w:pStyle w:val="26"/>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4CB8E8B3">
      <w:pPr>
        <w:pStyle w:val="26"/>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06F73477">
      <w:pPr>
        <w:pStyle w:val="26"/>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3DC7A40A">
      <w:pPr>
        <w:snapToGrid w:val="0"/>
        <w:spacing w:line="360" w:lineRule="auto"/>
        <w:ind w:firstLine="422" w:firstLineChars="200"/>
        <w:rPr>
          <w:rFonts w:ascii="宋体" w:hAnsi="宋体"/>
          <w:b/>
          <w:szCs w:val="21"/>
        </w:rPr>
      </w:pPr>
      <w:r>
        <w:rPr>
          <w:rFonts w:hint="eastAsia" w:ascii="宋体" w:hAnsi="宋体"/>
          <w:b/>
          <w:szCs w:val="21"/>
        </w:rPr>
        <w:t>九、验收</w:t>
      </w:r>
    </w:p>
    <w:p w14:paraId="12CE2267">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57F8CB1D">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293AE8B9">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0B8E544F">
      <w:pPr>
        <w:pStyle w:val="26"/>
        <w:snapToGrid w:val="0"/>
        <w:spacing w:line="360" w:lineRule="auto"/>
        <w:ind w:firstLine="422" w:firstLineChars="200"/>
        <w:rPr>
          <w:rFonts w:hAnsi="宋体"/>
          <w:b/>
          <w:szCs w:val="21"/>
        </w:rPr>
      </w:pPr>
      <w:r>
        <w:rPr>
          <w:rFonts w:hint="eastAsia" w:hAnsi="宋体"/>
          <w:b/>
          <w:szCs w:val="21"/>
        </w:rPr>
        <w:t>十、付款方式和税费</w:t>
      </w:r>
    </w:p>
    <w:p w14:paraId="76738AD3">
      <w:pPr>
        <w:pStyle w:val="26"/>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bCs/>
          <w:szCs w:val="21"/>
        </w:rPr>
        <w:t>。</w:t>
      </w:r>
    </w:p>
    <w:p w14:paraId="7CA02160">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20AC1254">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6CD669AB">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65787202">
      <w:pPr>
        <w:pStyle w:val="26"/>
        <w:snapToGrid w:val="0"/>
        <w:spacing w:line="360" w:lineRule="auto"/>
        <w:ind w:firstLine="422" w:firstLineChars="200"/>
        <w:rPr>
          <w:rFonts w:hAnsi="宋体"/>
          <w:b/>
          <w:szCs w:val="21"/>
        </w:rPr>
      </w:pPr>
      <w:r>
        <w:rPr>
          <w:rFonts w:hint="eastAsia" w:hAnsi="宋体"/>
          <w:b/>
          <w:szCs w:val="21"/>
        </w:rPr>
        <w:t>十二、违约责任</w:t>
      </w:r>
    </w:p>
    <w:p w14:paraId="0EFE5ADA">
      <w:pPr>
        <w:pStyle w:val="26"/>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p>
    <w:p w14:paraId="18CCDC3C">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1119C6D2">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3A5EEF6D">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7AAAD642">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21A4259F">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2D6C071B">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57F34A58">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5BF50E21">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0254AD23">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06A17C9B">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71B93530">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4EF2E15B">
      <w:pPr>
        <w:pStyle w:val="26"/>
        <w:snapToGrid w:val="0"/>
        <w:spacing w:line="360" w:lineRule="auto"/>
        <w:ind w:firstLine="420" w:firstLineChars="200"/>
        <w:rPr>
          <w:rFonts w:hAnsi="宋体"/>
          <w:szCs w:val="21"/>
        </w:rPr>
      </w:pPr>
      <w:r>
        <w:rPr>
          <w:rFonts w:hint="eastAsia" w:hAnsi="宋体"/>
          <w:szCs w:val="21"/>
        </w:rPr>
        <w:t>附件：</w:t>
      </w:r>
    </w:p>
    <w:p w14:paraId="59E594D7">
      <w:pPr>
        <w:snapToGrid w:val="0"/>
        <w:spacing w:line="360" w:lineRule="auto"/>
        <w:ind w:firstLine="420" w:firstLineChars="200"/>
        <w:rPr>
          <w:rFonts w:ascii="宋体" w:hAnsi="宋体"/>
          <w:szCs w:val="21"/>
        </w:rPr>
      </w:pPr>
      <w:r>
        <w:rPr>
          <w:rFonts w:hint="eastAsia" w:ascii="宋体" w:hAnsi="宋体"/>
          <w:szCs w:val="21"/>
        </w:rPr>
        <w:t>1、《中标通知书》</w:t>
      </w:r>
    </w:p>
    <w:p w14:paraId="701DFF6C">
      <w:pPr>
        <w:snapToGrid w:val="0"/>
        <w:spacing w:line="360" w:lineRule="auto"/>
        <w:ind w:firstLine="420" w:firstLineChars="200"/>
        <w:rPr>
          <w:rFonts w:ascii="宋体" w:hAnsi="宋体"/>
          <w:szCs w:val="21"/>
        </w:rPr>
      </w:pPr>
      <w:r>
        <w:rPr>
          <w:rFonts w:hint="eastAsia" w:ascii="宋体" w:hAnsi="宋体"/>
          <w:szCs w:val="21"/>
        </w:rPr>
        <w:t>2、《投标文件》</w:t>
      </w:r>
    </w:p>
    <w:p w14:paraId="69F20596">
      <w:pPr>
        <w:snapToGrid w:val="0"/>
        <w:spacing w:line="360" w:lineRule="auto"/>
        <w:ind w:firstLine="420" w:firstLineChars="200"/>
        <w:rPr>
          <w:rFonts w:ascii="宋体" w:hAnsi="宋体"/>
          <w:szCs w:val="21"/>
        </w:rPr>
      </w:pPr>
      <w:r>
        <w:rPr>
          <w:rFonts w:hint="eastAsia" w:ascii="宋体" w:hAnsi="宋体"/>
          <w:szCs w:val="21"/>
        </w:rPr>
        <w:t>3、《招标文件》</w:t>
      </w:r>
    </w:p>
    <w:p w14:paraId="2C088026">
      <w:pPr>
        <w:snapToGrid w:val="0"/>
        <w:spacing w:line="360" w:lineRule="auto"/>
        <w:rPr>
          <w:rFonts w:ascii="宋体" w:hAnsi="宋体"/>
          <w:szCs w:val="21"/>
        </w:rPr>
      </w:pPr>
    </w:p>
    <w:p w14:paraId="1E668D74">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  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149172C2">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0320E045">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委托代理人：</w:t>
      </w:r>
    </w:p>
    <w:p w14:paraId="44E2695E">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日期：   年     月    日</w:t>
      </w:r>
    </w:p>
    <w:p w14:paraId="44EE6E4E">
      <w:pPr>
        <w:jc w:val="center"/>
        <w:rPr>
          <w:b/>
          <w:sz w:val="52"/>
          <w:szCs w:val="52"/>
        </w:rPr>
      </w:pPr>
    </w:p>
    <w:p w14:paraId="0AB549C8">
      <w:pPr>
        <w:tabs>
          <w:tab w:val="left" w:pos="1875"/>
        </w:tabs>
      </w:pPr>
    </w:p>
    <w:p w14:paraId="77BD34CA">
      <w:pPr>
        <w:tabs>
          <w:tab w:val="left" w:pos="1875"/>
        </w:tabs>
      </w:pPr>
    </w:p>
    <w:p w14:paraId="0FD8C02C">
      <w:pPr>
        <w:tabs>
          <w:tab w:val="left" w:pos="1875"/>
        </w:tabs>
      </w:pPr>
    </w:p>
    <w:p w14:paraId="59AB2C81">
      <w:pPr>
        <w:tabs>
          <w:tab w:val="left" w:pos="1875"/>
        </w:tabs>
      </w:pPr>
    </w:p>
    <w:p w14:paraId="07E3CAB8">
      <w:pPr>
        <w:tabs>
          <w:tab w:val="left" w:pos="1875"/>
        </w:tabs>
      </w:pPr>
    </w:p>
    <w:p w14:paraId="3B67125D">
      <w:pPr>
        <w:tabs>
          <w:tab w:val="left" w:pos="1875"/>
        </w:tabs>
      </w:pPr>
    </w:p>
    <w:p w14:paraId="16B77ED4">
      <w:pPr>
        <w:tabs>
          <w:tab w:val="left" w:pos="1875"/>
        </w:tabs>
      </w:pPr>
    </w:p>
    <w:p w14:paraId="0DC545AF">
      <w:pPr>
        <w:tabs>
          <w:tab w:val="left" w:pos="1875"/>
        </w:tabs>
      </w:pPr>
    </w:p>
    <w:p w14:paraId="48236059">
      <w:pPr>
        <w:tabs>
          <w:tab w:val="left" w:pos="1875"/>
        </w:tabs>
      </w:pPr>
    </w:p>
    <w:p w14:paraId="1575DE8C">
      <w:pPr>
        <w:tabs>
          <w:tab w:val="left" w:pos="1875"/>
        </w:tabs>
      </w:pPr>
    </w:p>
    <w:p w14:paraId="68CB1AA1">
      <w:pPr>
        <w:tabs>
          <w:tab w:val="left" w:pos="1875"/>
        </w:tabs>
      </w:pPr>
    </w:p>
    <w:p w14:paraId="32F6BF15">
      <w:pPr>
        <w:tabs>
          <w:tab w:val="left" w:pos="1875"/>
        </w:tabs>
      </w:pPr>
    </w:p>
    <w:p w14:paraId="1BF9D538">
      <w:pPr>
        <w:tabs>
          <w:tab w:val="left" w:pos="1875"/>
        </w:tabs>
      </w:pPr>
    </w:p>
    <w:p w14:paraId="588C24BD">
      <w:pPr>
        <w:tabs>
          <w:tab w:val="left" w:pos="1875"/>
        </w:tabs>
      </w:pPr>
    </w:p>
    <w:p w14:paraId="2B90C0AB">
      <w:pPr>
        <w:tabs>
          <w:tab w:val="left" w:pos="1875"/>
        </w:tabs>
      </w:pPr>
    </w:p>
    <w:p w14:paraId="528699FD">
      <w:pPr>
        <w:tabs>
          <w:tab w:val="left" w:pos="1875"/>
        </w:tabs>
      </w:pPr>
    </w:p>
    <w:p w14:paraId="299823E3">
      <w:pPr>
        <w:tabs>
          <w:tab w:val="left" w:pos="1875"/>
        </w:tabs>
      </w:pPr>
    </w:p>
    <w:p w14:paraId="40E39B59">
      <w:pPr>
        <w:tabs>
          <w:tab w:val="left" w:pos="1875"/>
        </w:tabs>
      </w:pPr>
    </w:p>
    <w:p w14:paraId="4F14A1CB">
      <w:pPr>
        <w:tabs>
          <w:tab w:val="left" w:pos="1875"/>
        </w:tabs>
      </w:pPr>
    </w:p>
    <w:p w14:paraId="4572EAE1">
      <w:pPr>
        <w:tabs>
          <w:tab w:val="left" w:pos="1875"/>
        </w:tabs>
      </w:pPr>
    </w:p>
    <w:p w14:paraId="0030D839">
      <w:pPr>
        <w:tabs>
          <w:tab w:val="left" w:pos="1875"/>
        </w:tabs>
      </w:pPr>
    </w:p>
    <w:p w14:paraId="4B6D0C9B">
      <w:pPr>
        <w:tabs>
          <w:tab w:val="left" w:pos="1875"/>
        </w:tabs>
      </w:pPr>
    </w:p>
    <w:p w14:paraId="50592CC2">
      <w:pPr>
        <w:tabs>
          <w:tab w:val="left" w:pos="1875"/>
        </w:tabs>
      </w:pPr>
    </w:p>
    <w:p w14:paraId="63283B2E">
      <w:pPr>
        <w:tabs>
          <w:tab w:val="left" w:pos="1875"/>
        </w:tabs>
      </w:pPr>
    </w:p>
    <w:p w14:paraId="3676CB12">
      <w:pPr>
        <w:tabs>
          <w:tab w:val="left" w:pos="1875"/>
        </w:tabs>
      </w:pPr>
    </w:p>
    <w:p w14:paraId="07086C1D">
      <w:pPr>
        <w:pStyle w:val="2"/>
      </w:pPr>
      <w:bookmarkStart w:id="103" w:name="_Toc135293193"/>
      <w:bookmarkStart w:id="104" w:name="_Toc73610161"/>
      <w:r>
        <w:rPr>
          <w:rFonts w:hint="eastAsia"/>
        </w:rPr>
        <w:t>第九章  附件</w:t>
      </w:r>
      <w:bookmarkEnd w:id="103"/>
      <w:bookmarkEnd w:id="104"/>
    </w:p>
    <w:p w14:paraId="58706B07">
      <w:pPr>
        <w:pStyle w:val="4"/>
        <w:spacing w:before="0" w:after="0"/>
      </w:pPr>
      <w:bookmarkStart w:id="105" w:name="_Toc135293194"/>
      <w:bookmarkStart w:id="106" w:name="_Toc73613644"/>
      <w:bookmarkStart w:id="107" w:name="_Toc73610162"/>
      <w:r>
        <w:rPr>
          <w:rFonts w:hint="eastAsia"/>
        </w:rPr>
        <w:t>一、财政部 工业和信息化部关于印发《政府采购促进中小企业发展管理办法》的通知</w:t>
      </w:r>
      <w:bookmarkEnd w:id="105"/>
      <w:bookmarkEnd w:id="106"/>
      <w:bookmarkEnd w:id="107"/>
    </w:p>
    <w:p w14:paraId="156BC468">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06156DA9">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6BC6EDF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77171D9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53465065">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77776D6E">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30E992F8">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66FA58E7">
      <w:pPr>
        <w:widowControl/>
        <w:shd w:val="clear" w:color="auto" w:fill="FFFFFF"/>
        <w:spacing w:line="360" w:lineRule="auto"/>
        <w:ind w:firstLine="480"/>
        <w:rPr>
          <w:rFonts w:cs="宋体" w:asciiTheme="minorEastAsia" w:hAnsiTheme="minorEastAsia" w:eastAsiaTheme="minorEastAsia"/>
          <w:color w:val="333333"/>
          <w:kern w:val="0"/>
          <w:szCs w:val="21"/>
        </w:rPr>
      </w:pPr>
    </w:p>
    <w:p w14:paraId="21D7064D">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4D601345">
      <w:pPr>
        <w:widowControl/>
        <w:shd w:val="clear" w:color="auto" w:fill="FFFFFF"/>
        <w:spacing w:line="360" w:lineRule="auto"/>
        <w:ind w:firstLine="480"/>
        <w:rPr>
          <w:rFonts w:cs="宋体" w:asciiTheme="minorEastAsia" w:hAnsiTheme="minorEastAsia" w:eastAsiaTheme="minorEastAsia"/>
          <w:color w:val="333333"/>
          <w:kern w:val="0"/>
          <w:szCs w:val="21"/>
        </w:rPr>
      </w:pPr>
    </w:p>
    <w:p w14:paraId="6A6EDDE5">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0878B496">
      <w:pPr>
        <w:widowControl/>
        <w:shd w:val="clear" w:color="auto" w:fill="FFFFFF"/>
        <w:spacing w:line="360" w:lineRule="auto"/>
        <w:ind w:firstLine="480"/>
        <w:rPr>
          <w:rFonts w:cs="宋体" w:asciiTheme="minorEastAsia" w:hAnsiTheme="minorEastAsia" w:eastAsiaTheme="minorEastAsia"/>
          <w:color w:val="333333"/>
          <w:kern w:val="0"/>
          <w:szCs w:val="21"/>
        </w:rPr>
      </w:pPr>
    </w:p>
    <w:p w14:paraId="38E6A18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545DBEE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E96E4B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186B1F4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2B5A4F4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57BFD8F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2920A2E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0A491C2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4A74984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0C65C9C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5AABD70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1AE299F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6A04015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0CA323C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57B4DAE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1833432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381BD98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65E5EDE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325D437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0EDD09F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6C22661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62D73D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098DEF6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319B5B2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7813644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47E8FDA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291DEB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05C0DB9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43C27A3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48923F6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4BF0836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2275EEF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2C9A122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72BB74A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6AB20BF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1A2B9EE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0B762BD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19E3A5E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23D91B3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69B7BF5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675AFFC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821B80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5CF455F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0FC3E24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7E36CE3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665548A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68AB237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66DC868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536F121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3BA6908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037D34F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5B43A9C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6A927DA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48CD3104">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3322D51E">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619509CF">
      <w:pPr>
        <w:spacing w:line="360" w:lineRule="auto"/>
        <w:rPr>
          <w:rFonts w:asciiTheme="minorEastAsia" w:hAnsiTheme="minorEastAsia" w:eastAsiaTheme="minorEastAsia"/>
          <w:szCs w:val="21"/>
        </w:rPr>
      </w:pPr>
    </w:p>
    <w:p w14:paraId="61912EF6">
      <w:pPr>
        <w:pStyle w:val="4"/>
        <w:spacing w:before="0" w:after="0"/>
      </w:pPr>
      <w:bookmarkStart w:id="108" w:name="_Toc73613645"/>
      <w:bookmarkStart w:id="109" w:name="_Toc73610163"/>
      <w:bookmarkStart w:id="110" w:name="_Toc135293195"/>
      <w:r>
        <w:rPr>
          <w:rFonts w:hint="eastAsia"/>
        </w:rPr>
        <w:t>二、关于印发中小企业划型标准规定的通知</w:t>
      </w:r>
      <w:bookmarkEnd w:id="108"/>
      <w:bookmarkEnd w:id="109"/>
      <w:bookmarkEnd w:id="110"/>
    </w:p>
    <w:p w14:paraId="0F912A7C">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67D70645">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7289C5DB">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785351B8">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3DC94149">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1BA8331B">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7AD00EF8">
      <w:pPr>
        <w:pStyle w:val="4"/>
        <w:spacing w:before="0" w:after="0"/>
      </w:pPr>
      <w:bookmarkStart w:id="111" w:name="_Toc73613646"/>
      <w:bookmarkStart w:id="112" w:name="_Toc135293196"/>
      <w:bookmarkStart w:id="113" w:name="_Toc73610164"/>
      <w:r>
        <w:rPr>
          <w:rFonts w:hint="eastAsia"/>
        </w:rPr>
        <w:t>三、</w:t>
      </w:r>
      <w:r>
        <w:t>国家统计局关于印发《统计上大中小微型企业划分办法 （2017）》的通知</w:t>
      </w:r>
      <w:bookmarkEnd w:id="111"/>
      <w:bookmarkEnd w:id="112"/>
      <w:bookmarkEnd w:id="113"/>
      <w:r>
        <w:t> </w:t>
      </w:r>
    </w:p>
    <w:p w14:paraId="0FC3EDE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56527B8B">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3E0B1DF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7A3463F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7D875DB2">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16E71FB1">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2C6D1B04">
      <w:pPr>
        <w:widowControl/>
        <w:spacing w:line="360" w:lineRule="auto"/>
        <w:jc w:val="center"/>
        <w:rPr>
          <w:rFonts w:cs="宋体" w:asciiTheme="minorEastAsia" w:hAnsiTheme="minorEastAsia" w:eastAsiaTheme="minorEastAsia"/>
          <w:b/>
          <w:bCs/>
          <w:kern w:val="0"/>
          <w:szCs w:val="21"/>
        </w:rPr>
      </w:pPr>
    </w:p>
    <w:p w14:paraId="2A365A89">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70BB4430">
      <w:pPr>
        <w:widowControl/>
        <w:spacing w:line="360" w:lineRule="auto"/>
        <w:jc w:val="left"/>
        <w:rPr>
          <w:rFonts w:cs="宋体" w:asciiTheme="minorEastAsia" w:hAnsiTheme="minorEastAsia" w:eastAsiaTheme="minorEastAsia"/>
          <w:kern w:val="0"/>
          <w:szCs w:val="21"/>
        </w:rPr>
      </w:pPr>
    </w:p>
    <w:p w14:paraId="4C8F3994">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122783D8">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68B6F50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0A9DF91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72C630A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75AF7577">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3CC05FBF">
      <w:pPr>
        <w:widowControl/>
        <w:spacing w:line="360" w:lineRule="auto"/>
        <w:jc w:val="left"/>
        <w:rPr>
          <w:rFonts w:cs="宋体" w:asciiTheme="minorEastAsia" w:hAnsiTheme="minorEastAsia" w:eastAsiaTheme="minorEastAsia"/>
          <w:kern w:val="0"/>
          <w:szCs w:val="21"/>
        </w:rPr>
      </w:pPr>
    </w:p>
    <w:p w14:paraId="214E2A2C">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7BB88265">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14E4B48E">
      <w:pPr>
        <w:widowControl/>
        <w:spacing w:line="360" w:lineRule="auto"/>
        <w:jc w:val="left"/>
        <w:rPr>
          <w:rFonts w:cs="宋体" w:asciiTheme="minorEastAsia" w:hAnsiTheme="minorEastAsia" w:eastAsiaTheme="minorEastAsia"/>
          <w:kern w:val="0"/>
          <w:szCs w:val="21"/>
        </w:rPr>
      </w:pPr>
    </w:p>
    <w:p w14:paraId="4B76D8F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62973ED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1940B43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2D544869">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72D54615">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562E24E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6B90863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70CD97E9">
      <w:pPr>
        <w:widowControl/>
        <w:spacing w:line="360" w:lineRule="auto"/>
        <w:jc w:val="left"/>
        <w:rPr>
          <w:rFonts w:cs="宋体" w:asciiTheme="minorEastAsia" w:hAnsiTheme="minorEastAsia" w:eastAsiaTheme="minorEastAsia"/>
          <w:kern w:val="0"/>
          <w:szCs w:val="21"/>
        </w:rPr>
      </w:pPr>
    </w:p>
    <w:p w14:paraId="163B94E1">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441B52B7">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8A1DB35">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28F4C116">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1BC9DCC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3CBE130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71E2237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13E0E48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157C7E9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220A068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2C920A7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6C5EE38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3BA0E9A1">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E5F1AF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95E30F3">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747E929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7CDC731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25BFB470">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03BC600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85F1F7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575DAFA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74828D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CA09107">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AA04A4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6CEE670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3569C722">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4358D30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B87752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6807F5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EC1E42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263B102">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6BCDFC3B">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12B1065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49EFE19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56F66D5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DA02B8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4EC8C57D">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2553868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0C73AC83">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5640D644">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65336FE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200A61C7">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1E9D719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9833CE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1B7F89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073F6B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08BDA88">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478338B0">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7A94D08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0B8C8539">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5881B74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920CE9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0D8BEEA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EF6A8D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397A5A3">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1129C3A4">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283594F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43A4268B">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4682724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83E2B7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CCDDA8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884C97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F1FB020">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0A342C98">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1C29B323">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17773E8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7DC4E39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BF848D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25EB794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23C9AF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7165E1B">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4B8B8C4">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38918D10">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216A59BA">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D633D3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6B7E68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72B1DF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FED468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9275FBD">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0421058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440F752F">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1E43A11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270447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642EE5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72611CA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4D6B9B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333EB1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363333F">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6A27AC4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D64EC4F">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4502076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108949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4A988B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F5F06B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AD0DB4B">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757B791">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3D10B59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418A31B1">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0E8238B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FC1B17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619C7FE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3273B1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20E3778">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4A271DA8">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5673BFF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1F0051DB">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32B658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EE30A4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C6CE5E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68ED74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9257277">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43CC3E6C">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2E087A7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6F8E4AC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A9E1CD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B44089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3C43832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298F41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79E358C">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8901337">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6612CA4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3B9EA049">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3DC0B66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C4BB62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15D3CD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CC1340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32E23A9">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5E25C8C">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69C25C7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1ABD9F9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3992AF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FE7379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633F8E6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1948D5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19DE7C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A0C1CC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1899B43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4F080F4">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94EECA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BD7305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9AFDB9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581B03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48832B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71A7490">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29EDF3D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39D490F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E565BF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BA3D18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5EFD93E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66223A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ACAF1B6">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FF31ED8">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F7E868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A1ED1D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6AD107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FFFDF3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66E28F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BFB0CA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FA8192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333C979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09C6D3E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887E8D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513A1C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A10A7D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5910AF0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4941BD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5B32037">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64DD909D">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59751B5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843153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BAB639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BEA588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ECC183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B046DA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7755B9">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0DF451A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3051454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64FF6A3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8D2A59C">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1E2B27EB">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309CDFE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4D5F8E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95445EB">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886A84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978FBB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6757A9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FB52FD1">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2E58E88A">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608357B">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6CAD06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38A3E5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096FFE95">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4EA1C7D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26963770">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063D50EA">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EFBD0C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704A2C37">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1847008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69394A2C">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750119E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09F3E0C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5796131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1723080">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676077F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B018CE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05FE0EF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608ED3E">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317464C6">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737F8A9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03EAE779">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747F450B">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275818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3EEDBD2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EECDEF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E8F0C53">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DF3FA6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78D5B9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59BCF37A">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1F0CD5DF">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36FA7A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235746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8584AA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299C6E3">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6B171A49">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429A1BB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5AF5B53D">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5B1FB702">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502E3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5E98EE6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9ED220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EA5ACC6">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EB4938C">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9807F4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DB5E6F9">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060F1D2">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5E179B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13B648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F9420A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E6CE401">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23FB258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110DE7A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54A05632">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1F80CDAB">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2055B36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41E5F68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31379F5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28AE05FB">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620B6FC5">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1383023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4B92AE76">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30F4A552">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0E341DF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5272CEC4">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E6BD66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D2323E5">
      <w:pPr>
        <w:spacing w:line="360" w:lineRule="auto"/>
        <w:rPr>
          <w:rFonts w:asciiTheme="minorEastAsia" w:hAnsiTheme="minorEastAsia" w:eastAsiaTheme="minorEastAsia"/>
          <w:szCs w:val="21"/>
        </w:rPr>
      </w:pPr>
    </w:p>
    <w:p w14:paraId="06784535">
      <w:pPr>
        <w:pStyle w:val="4"/>
        <w:spacing w:before="0" w:after="0"/>
      </w:pPr>
      <w:bookmarkStart w:id="114" w:name="_Toc73613647"/>
      <w:bookmarkStart w:id="115" w:name="_Toc135293197"/>
      <w:bookmarkStart w:id="116" w:name="_Toc73610165"/>
      <w:r>
        <w:rPr>
          <w:rFonts w:hint="eastAsia"/>
        </w:rPr>
        <w:t>四、</w:t>
      </w:r>
      <w:r>
        <w:t>财政部 民政部 中国残疾人联合会关于促进残疾人就业 政府采购政策的通知</w:t>
      </w:r>
      <w:bookmarkEnd w:id="114"/>
      <w:bookmarkEnd w:id="115"/>
      <w:bookmarkEnd w:id="116"/>
    </w:p>
    <w:p w14:paraId="440AB835">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79EC8E2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33D4E28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7A01BA8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5D34576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6ED8ED2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2837129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61782C2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4E307E9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27C2363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228DE3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27517C5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2D80D58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298E8EE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9511B6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04A507B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1CE715B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55BF602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3B97E969">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5A66D6E4">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1CC8C1B8">
      <w:pPr>
        <w:widowControl/>
        <w:spacing w:line="360" w:lineRule="auto"/>
        <w:jc w:val="right"/>
        <w:rPr>
          <w:rFonts w:cs="宋体" w:asciiTheme="minorEastAsia" w:hAnsiTheme="minorEastAsia" w:eastAsiaTheme="minorEastAsia"/>
          <w:kern w:val="0"/>
          <w:szCs w:val="21"/>
        </w:rPr>
      </w:pPr>
    </w:p>
    <w:p w14:paraId="57B4B109">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5639594F">
      <w:pPr>
        <w:tabs>
          <w:tab w:val="left" w:pos="1875"/>
        </w:tabs>
        <w:rPr>
          <w:rFonts w:ascii="Calibri" w:hAnsi="Calibri"/>
          <w:szCs w:val="22"/>
        </w:rPr>
      </w:pPr>
    </w:p>
    <w:p w14:paraId="6DC5CE39">
      <w:pPr>
        <w:rPr>
          <w:rFonts w:ascii="Calibri" w:hAnsi="Calibri"/>
          <w:szCs w:val="22"/>
        </w:rPr>
      </w:pPr>
    </w:p>
    <w:p w14:paraId="69F4D35E">
      <w:pPr>
        <w:pStyle w:val="4"/>
        <w:spacing w:before="0" w:after="0"/>
      </w:pPr>
      <w:bookmarkStart w:id="117" w:name="_Toc135293198"/>
      <w:r>
        <w:rPr>
          <w:rFonts w:hint="eastAsia"/>
        </w:rPr>
        <w:t>五、财政部 司法部关于政府采购支持监狱企业发展有关问题的通知</w:t>
      </w:r>
      <w:bookmarkEnd w:id="117"/>
    </w:p>
    <w:p w14:paraId="11F0B037">
      <w:pPr>
        <w:widowControl/>
        <w:spacing w:line="360" w:lineRule="auto"/>
        <w:jc w:val="center"/>
        <w:rPr>
          <w:rFonts w:cs="宋体" w:asciiTheme="minorEastAsia" w:hAnsiTheme="minorEastAsia" w:eastAsiaTheme="minorEastAsia"/>
          <w:kern w:val="0"/>
          <w:szCs w:val="21"/>
        </w:rPr>
      </w:pPr>
    </w:p>
    <w:p w14:paraId="07C29B5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6A548C98">
      <w:pPr>
        <w:widowControl/>
        <w:spacing w:line="360" w:lineRule="auto"/>
        <w:jc w:val="left"/>
        <w:rPr>
          <w:rFonts w:cs="宋体" w:asciiTheme="minorEastAsia" w:hAnsiTheme="minorEastAsia" w:eastAsiaTheme="minorEastAsia"/>
          <w:kern w:val="0"/>
          <w:szCs w:val="21"/>
        </w:rPr>
      </w:pPr>
    </w:p>
    <w:p w14:paraId="03A37BA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51B35452">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0E25FBC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5CCA94E">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6B65325D">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3C0CBEDA">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2332BE21">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0A5A32DA">
      <w:pPr>
        <w:widowControl/>
        <w:spacing w:line="360" w:lineRule="auto"/>
        <w:jc w:val="left"/>
        <w:rPr>
          <w:rFonts w:cs="宋体" w:asciiTheme="minorEastAsia" w:hAnsiTheme="minorEastAsia" w:eastAsiaTheme="minorEastAsia"/>
          <w:kern w:val="0"/>
          <w:szCs w:val="21"/>
        </w:rPr>
      </w:pPr>
    </w:p>
    <w:p w14:paraId="1E7C6F62">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7DDED856">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5226E14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21AB41AB"/>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ˎ̥">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04141">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80</w:t>
    </w:r>
    <w:r>
      <w:rPr>
        <w:rStyle w:val="54"/>
      </w:rPr>
      <w:fldChar w:fldCharType="end"/>
    </w:r>
  </w:p>
  <w:p w14:paraId="031E6B71">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B323C">
    <w:pPr>
      <w:pStyle w:val="32"/>
      <w:tabs>
        <w:tab w:val="center" w:pos="4819"/>
        <w:tab w:val="right" w:pos="9638"/>
      </w:tabs>
      <w:jc w:val="left"/>
    </w:pPr>
    <w:r>
      <w:rPr>
        <w:rFonts w:hint="eastAsia"/>
      </w:rPr>
      <w:t>项目名称：实训（验）室安全巡检                                                   项目编号：</w:t>
    </w:r>
    <w:r>
      <w:rPr>
        <w:rFonts w:hint="eastAsia" w:asciiTheme="minorEastAsia" w:hAnsiTheme="minorEastAsia" w:eastAsiaTheme="minorEastAsia"/>
      </w:rPr>
      <w:t>CGXM-2025-006606</w:t>
    </w:r>
    <w:r>
      <w:tab/>
    </w:r>
  </w:p>
  <w:p w14:paraId="41B20B83">
    <w:pPr>
      <w:pStyle w:val="32"/>
      <w:tabs>
        <w:tab w:val="center" w:pos="4819"/>
        <w:tab w:val="right" w:pos="9638"/>
      </w:tabs>
      <w:jc w:val="left"/>
      <w:rPr>
        <w:u w:val="single"/>
      </w:rPr>
    </w:pPr>
    <w:r>
      <w:rPr>
        <w:u w:val="single"/>
      </w:rPr>
      <w:tab/>
    </w:r>
    <w:r>
      <w:rPr>
        <w:rFonts w:hint="eastAsia"/>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BC6D79FF"/>
    <w:multiLevelType w:val="multilevel"/>
    <w:tmpl w:val="BC6D79FF"/>
    <w:lvl w:ilvl="0" w:tentative="0">
      <w:start w:val="1"/>
      <w:numFmt w:val="decimal"/>
      <w:suff w:val="noth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D084DF77"/>
    <w:multiLevelType w:val="singleLevel"/>
    <w:tmpl w:val="D084DF77"/>
    <w:lvl w:ilvl="0" w:tentative="0">
      <w:start w:val="2"/>
      <w:numFmt w:val="decimal"/>
      <w:lvlText w:val="%1."/>
      <w:lvlJc w:val="left"/>
      <w:pPr>
        <w:tabs>
          <w:tab w:val="left" w:pos="312"/>
        </w:tabs>
      </w:pPr>
    </w:lvl>
  </w:abstractNum>
  <w:abstractNum w:abstractNumId="3">
    <w:nsid w:val="D84DCEFE"/>
    <w:multiLevelType w:val="multilevel"/>
    <w:tmpl w:val="D84DCEFE"/>
    <w:lvl w:ilvl="0" w:tentative="0">
      <w:start w:val="1"/>
      <w:numFmt w:val="decimal"/>
      <w:suff w:val="noth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D9F11087"/>
    <w:multiLevelType w:val="multilevel"/>
    <w:tmpl w:val="D9F11087"/>
    <w:lvl w:ilvl="0" w:tentative="0">
      <w:start w:val="1"/>
      <w:numFmt w:val="decimal"/>
      <w:suff w:val="noth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E8C17AB3"/>
    <w:multiLevelType w:val="singleLevel"/>
    <w:tmpl w:val="E8C17AB3"/>
    <w:lvl w:ilvl="0" w:tentative="0">
      <w:start w:val="1"/>
      <w:numFmt w:val="decimal"/>
      <w:suff w:val="nothing"/>
      <w:lvlText w:val="（%1）"/>
      <w:lvlJc w:val="left"/>
    </w:lvl>
  </w:abstractNum>
  <w:abstractNum w:abstractNumId="6">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7">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DBF6318"/>
    <w:multiLevelType w:val="multilevel"/>
    <w:tmpl w:val="0DBF6318"/>
    <w:lvl w:ilvl="0" w:tentative="0">
      <w:start w:val="1"/>
      <w:numFmt w:val="decimal"/>
      <w:suff w:val="noth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159A61A3"/>
    <w:multiLevelType w:val="singleLevel"/>
    <w:tmpl w:val="159A61A3"/>
    <w:lvl w:ilvl="0" w:tentative="0">
      <w:start w:val="1"/>
      <w:numFmt w:val="chineseCounting"/>
      <w:suff w:val="nothing"/>
      <w:lvlText w:val="（%1）"/>
      <w:lvlJc w:val="left"/>
      <w:rPr>
        <w:rFonts w:hint="eastAsia"/>
      </w:rPr>
    </w:lvl>
  </w:abstractNum>
  <w:abstractNum w:abstractNumId="11">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12">
    <w:nsid w:val="52B45398"/>
    <w:multiLevelType w:val="multilevel"/>
    <w:tmpl w:val="52B45398"/>
    <w:lvl w:ilvl="0" w:tentative="0">
      <w:start w:val="1"/>
      <w:numFmt w:val="decimal"/>
      <w:suff w:val="noth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6717CA7E"/>
    <w:multiLevelType w:val="multilevel"/>
    <w:tmpl w:val="6717CA7E"/>
    <w:lvl w:ilvl="0" w:tentative="0">
      <w:start w:val="1"/>
      <w:numFmt w:val="decimal"/>
      <w:suff w:val="noth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6"/>
  </w:num>
  <w:num w:numId="2">
    <w:abstractNumId w:val="8"/>
  </w:num>
  <w:num w:numId="3">
    <w:abstractNumId w:val="7"/>
  </w:num>
  <w:num w:numId="4">
    <w:abstractNumId w:val="13"/>
  </w:num>
  <w:num w:numId="5">
    <w:abstractNumId w:val="9"/>
  </w:num>
  <w:num w:numId="6">
    <w:abstractNumId w:val="3"/>
  </w:num>
  <w:num w:numId="7">
    <w:abstractNumId w:val="4"/>
  </w:num>
  <w:num w:numId="8">
    <w:abstractNumId w:val="5"/>
  </w:num>
  <w:num w:numId="9">
    <w:abstractNumId w:val="12"/>
  </w:num>
  <w:num w:numId="10">
    <w:abstractNumId w:val="1"/>
  </w:num>
  <w:num w:numId="11">
    <w:abstractNumId w:val="10"/>
  </w:num>
  <w:num w:numId="12">
    <w:abstractNumId w:val="11"/>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2YmRlNDU3NGEzNjI1NDQyMDllNWVlNzk1MzhhMzI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2FC"/>
    <w:rsid w:val="00037359"/>
    <w:rsid w:val="0003762A"/>
    <w:rsid w:val="0003795A"/>
    <w:rsid w:val="000404E1"/>
    <w:rsid w:val="00040DA4"/>
    <w:rsid w:val="00042670"/>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351"/>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222"/>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1A9"/>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49D"/>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4101"/>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24AF"/>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477"/>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870"/>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4FFB"/>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2ED"/>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5A8A"/>
    <w:rsid w:val="0056605B"/>
    <w:rsid w:val="005664D0"/>
    <w:rsid w:val="00566509"/>
    <w:rsid w:val="00566610"/>
    <w:rsid w:val="005667AB"/>
    <w:rsid w:val="00566C96"/>
    <w:rsid w:val="0056736F"/>
    <w:rsid w:val="00567D1B"/>
    <w:rsid w:val="0057049D"/>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2B6F"/>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660"/>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024"/>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0F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49E"/>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7F6C6F"/>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229"/>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096"/>
    <w:rsid w:val="00904F14"/>
    <w:rsid w:val="0090562E"/>
    <w:rsid w:val="00905A66"/>
    <w:rsid w:val="00905DB4"/>
    <w:rsid w:val="00905F41"/>
    <w:rsid w:val="00906446"/>
    <w:rsid w:val="00906459"/>
    <w:rsid w:val="009068B9"/>
    <w:rsid w:val="00906C94"/>
    <w:rsid w:val="009071BB"/>
    <w:rsid w:val="00910402"/>
    <w:rsid w:val="00911100"/>
    <w:rsid w:val="009112D6"/>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386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A31"/>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B7DCE"/>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23C"/>
    <w:rsid w:val="00A033F9"/>
    <w:rsid w:val="00A03C6A"/>
    <w:rsid w:val="00A04285"/>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558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63B"/>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1D96"/>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277"/>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BF7D43"/>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5E9D"/>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2B17"/>
    <w:rsid w:val="00D43193"/>
    <w:rsid w:val="00D432D3"/>
    <w:rsid w:val="00D43430"/>
    <w:rsid w:val="00D43441"/>
    <w:rsid w:val="00D439C3"/>
    <w:rsid w:val="00D43F3D"/>
    <w:rsid w:val="00D449C6"/>
    <w:rsid w:val="00D44A3B"/>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2CC"/>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3FA"/>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279E7"/>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07DCC"/>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0D6029"/>
    <w:rsid w:val="0125788B"/>
    <w:rsid w:val="013226CF"/>
    <w:rsid w:val="016F56C0"/>
    <w:rsid w:val="019329D2"/>
    <w:rsid w:val="01DE31C3"/>
    <w:rsid w:val="01E813FA"/>
    <w:rsid w:val="01F0299B"/>
    <w:rsid w:val="02181129"/>
    <w:rsid w:val="02323801"/>
    <w:rsid w:val="02352754"/>
    <w:rsid w:val="025B5C57"/>
    <w:rsid w:val="026E4F91"/>
    <w:rsid w:val="0273635F"/>
    <w:rsid w:val="028C11CF"/>
    <w:rsid w:val="02C77214"/>
    <w:rsid w:val="02CB1CF7"/>
    <w:rsid w:val="02E226C9"/>
    <w:rsid w:val="02FC6355"/>
    <w:rsid w:val="030B2A3C"/>
    <w:rsid w:val="03103BAE"/>
    <w:rsid w:val="0317318F"/>
    <w:rsid w:val="03661A20"/>
    <w:rsid w:val="03675DAC"/>
    <w:rsid w:val="03863E70"/>
    <w:rsid w:val="03CF75C5"/>
    <w:rsid w:val="041D095D"/>
    <w:rsid w:val="044C0C16"/>
    <w:rsid w:val="04DD5D12"/>
    <w:rsid w:val="04DF7CDC"/>
    <w:rsid w:val="054247C4"/>
    <w:rsid w:val="057B1393"/>
    <w:rsid w:val="05A01219"/>
    <w:rsid w:val="05C87DB9"/>
    <w:rsid w:val="05D76C05"/>
    <w:rsid w:val="06471FDD"/>
    <w:rsid w:val="06A6250E"/>
    <w:rsid w:val="07035F04"/>
    <w:rsid w:val="07AD2313"/>
    <w:rsid w:val="07C7298C"/>
    <w:rsid w:val="07ED6E65"/>
    <w:rsid w:val="08283748"/>
    <w:rsid w:val="08425EAC"/>
    <w:rsid w:val="08646E76"/>
    <w:rsid w:val="08DC4C5E"/>
    <w:rsid w:val="091636B0"/>
    <w:rsid w:val="093D1475"/>
    <w:rsid w:val="0961739E"/>
    <w:rsid w:val="098E6083"/>
    <w:rsid w:val="09D354E6"/>
    <w:rsid w:val="09E35745"/>
    <w:rsid w:val="09EF276F"/>
    <w:rsid w:val="0A1E12A6"/>
    <w:rsid w:val="0AD6392F"/>
    <w:rsid w:val="0ADA4400"/>
    <w:rsid w:val="0B106CF7"/>
    <w:rsid w:val="0B13248D"/>
    <w:rsid w:val="0B205B2B"/>
    <w:rsid w:val="0B3D0378"/>
    <w:rsid w:val="0B782559"/>
    <w:rsid w:val="0B8415DD"/>
    <w:rsid w:val="0BFD483A"/>
    <w:rsid w:val="0C085D6A"/>
    <w:rsid w:val="0C523489"/>
    <w:rsid w:val="0C5B67E0"/>
    <w:rsid w:val="0C670CE3"/>
    <w:rsid w:val="0CE57E5A"/>
    <w:rsid w:val="0D256CBB"/>
    <w:rsid w:val="0D2941EA"/>
    <w:rsid w:val="0D344BB7"/>
    <w:rsid w:val="0D49488C"/>
    <w:rsid w:val="0D566BC9"/>
    <w:rsid w:val="0D7C1890"/>
    <w:rsid w:val="0D8B597D"/>
    <w:rsid w:val="0DB241E0"/>
    <w:rsid w:val="0E060087"/>
    <w:rsid w:val="0E180322"/>
    <w:rsid w:val="0E5928AD"/>
    <w:rsid w:val="0E715E49"/>
    <w:rsid w:val="0E8C4995"/>
    <w:rsid w:val="0EA97F9C"/>
    <w:rsid w:val="0EED1EA7"/>
    <w:rsid w:val="0EF27BFB"/>
    <w:rsid w:val="0F0D2BA7"/>
    <w:rsid w:val="0F1E55F5"/>
    <w:rsid w:val="0F1F58A5"/>
    <w:rsid w:val="0F31382A"/>
    <w:rsid w:val="0F6A604F"/>
    <w:rsid w:val="0F9D2C6D"/>
    <w:rsid w:val="0FA638D0"/>
    <w:rsid w:val="0FB104C7"/>
    <w:rsid w:val="0FBC50EF"/>
    <w:rsid w:val="10050C09"/>
    <w:rsid w:val="10571CE9"/>
    <w:rsid w:val="107E3805"/>
    <w:rsid w:val="10B62239"/>
    <w:rsid w:val="10F06966"/>
    <w:rsid w:val="10F24DDB"/>
    <w:rsid w:val="10F42D61"/>
    <w:rsid w:val="11080DB5"/>
    <w:rsid w:val="111725AC"/>
    <w:rsid w:val="115F3FD7"/>
    <w:rsid w:val="11834124"/>
    <w:rsid w:val="11A259DD"/>
    <w:rsid w:val="11D90C91"/>
    <w:rsid w:val="11F9269A"/>
    <w:rsid w:val="120474A0"/>
    <w:rsid w:val="121511E1"/>
    <w:rsid w:val="123F687E"/>
    <w:rsid w:val="124F1F30"/>
    <w:rsid w:val="1272218F"/>
    <w:rsid w:val="12AA1929"/>
    <w:rsid w:val="12C32C8D"/>
    <w:rsid w:val="12ED5EA4"/>
    <w:rsid w:val="13102ABE"/>
    <w:rsid w:val="131D5CAC"/>
    <w:rsid w:val="13A46CB7"/>
    <w:rsid w:val="13BE6A0A"/>
    <w:rsid w:val="149A3C1F"/>
    <w:rsid w:val="14CF5677"/>
    <w:rsid w:val="14DC1B42"/>
    <w:rsid w:val="14F03C41"/>
    <w:rsid w:val="14FC12B7"/>
    <w:rsid w:val="14FE7D0A"/>
    <w:rsid w:val="154F67B8"/>
    <w:rsid w:val="15634011"/>
    <w:rsid w:val="15877D00"/>
    <w:rsid w:val="16290DB7"/>
    <w:rsid w:val="16461969"/>
    <w:rsid w:val="167D280D"/>
    <w:rsid w:val="16B92412"/>
    <w:rsid w:val="16EA2C3C"/>
    <w:rsid w:val="17047766"/>
    <w:rsid w:val="170A4C85"/>
    <w:rsid w:val="174A5413"/>
    <w:rsid w:val="17566A1E"/>
    <w:rsid w:val="175D203B"/>
    <w:rsid w:val="17887D5F"/>
    <w:rsid w:val="17935895"/>
    <w:rsid w:val="17984446"/>
    <w:rsid w:val="17BC6D09"/>
    <w:rsid w:val="17D64F6F"/>
    <w:rsid w:val="17EB6CC4"/>
    <w:rsid w:val="17F52C18"/>
    <w:rsid w:val="1807166C"/>
    <w:rsid w:val="184530EF"/>
    <w:rsid w:val="18544D1A"/>
    <w:rsid w:val="187842FE"/>
    <w:rsid w:val="188128B0"/>
    <w:rsid w:val="18A4506D"/>
    <w:rsid w:val="18C32649"/>
    <w:rsid w:val="18C474BD"/>
    <w:rsid w:val="18D21BDA"/>
    <w:rsid w:val="19227A4B"/>
    <w:rsid w:val="192E667D"/>
    <w:rsid w:val="193006AE"/>
    <w:rsid w:val="195245FA"/>
    <w:rsid w:val="1981715C"/>
    <w:rsid w:val="19BA4B0D"/>
    <w:rsid w:val="19C71013"/>
    <w:rsid w:val="19C77265"/>
    <w:rsid w:val="19D92AF4"/>
    <w:rsid w:val="1A120E31"/>
    <w:rsid w:val="1A367F46"/>
    <w:rsid w:val="1A3A17E5"/>
    <w:rsid w:val="1A3B761A"/>
    <w:rsid w:val="1A4E7B88"/>
    <w:rsid w:val="1B1464DA"/>
    <w:rsid w:val="1B3E182A"/>
    <w:rsid w:val="1B4B5195"/>
    <w:rsid w:val="1B8A679C"/>
    <w:rsid w:val="1BA3160C"/>
    <w:rsid w:val="1BDC34DA"/>
    <w:rsid w:val="1C174C6F"/>
    <w:rsid w:val="1C592E11"/>
    <w:rsid w:val="1C7C020D"/>
    <w:rsid w:val="1C8F78BA"/>
    <w:rsid w:val="1C983248"/>
    <w:rsid w:val="1C9B0D84"/>
    <w:rsid w:val="1C9F6277"/>
    <w:rsid w:val="1CA53701"/>
    <w:rsid w:val="1CDD3F3B"/>
    <w:rsid w:val="1CE67A02"/>
    <w:rsid w:val="1CEF3CEA"/>
    <w:rsid w:val="1D4D6869"/>
    <w:rsid w:val="1D6B6159"/>
    <w:rsid w:val="1D7414B2"/>
    <w:rsid w:val="1DD01078"/>
    <w:rsid w:val="1DD45AAC"/>
    <w:rsid w:val="1DF42FCA"/>
    <w:rsid w:val="1E09637C"/>
    <w:rsid w:val="1E197334"/>
    <w:rsid w:val="1E37603B"/>
    <w:rsid w:val="1E5170FD"/>
    <w:rsid w:val="1E876FC3"/>
    <w:rsid w:val="1E9F430C"/>
    <w:rsid w:val="1EC27FFB"/>
    <w:rsid w:val="1EFB7701"/>
    <w:rsid w:val="1EFC175F"/>
    <w:rsid w:val="1F29007A"/>
    <w:rsid w:val="1F3D18D5"/>
    <w:rsid w:val="20252FDD"/>
    <w:rsid w:val="206D3F39"/>
    <w:rsid w:val="20707345"/>
    <w:rsid w:val="20887022"/>
    <w:rsid w:val="20C22534"/>
    <w:rsid w:val="20FD7003"/>
    <w:rsid w:val="212F207F"/>
    <w:rsid w:val="21760101"/>
    <w:rsid w:val="219F72F5"/>
    <w:rsid w:val="21D043AE"/>
    <w:rsid w:val="221A1EFC"/>
    <w:rsid w:val="22342FBD"/>
    <w:rsid w:val="22B25284"/>
    <w:rsid w:val="22C07D9F"/>
    <w:rsid w:val="22E5075C"/>
    <w:rsid w:val="23056CBA"/>
    <w:rsid w:val="2309269C"/>
    <w:rsid w:val="23290648"/>
    <w:rsid w:val="232B2612"/>
    <w:rsid w:val="234C1E42"/>
    <w:rsid w:val="235356C5"/>
    <w:rsid w:val="2369320B"/>
    <w:rsid w:val="23900222"/>
    <w:rsid w:val="23922FD4"/>
    <w:rsid w:val="239643B6"/>
    <w:rsid w:val="23B1286A"/>
    <w:rsid w:val="23C6059E"/>
    <w:rsid w:val="23C95079"/>
    <w:rsid w:val="23D22A8E"/>
    <w:rsid w:val="23FE5D77"/>
    <w:rsid w:val="24031A53"/>
    <w:rsid w:val="240E0B76"/>
    <w:rsid w:val="24307C26"/>
    <w:rsid w:val="24322559"/>
    <w:rsid w:val="243C25FD"/>
    <w:rsid w:val="24561911"/>
    <w:rsid w:val="2480073C"/>
    <w:rsid w:val="248E5D4C"/>
    <w:rsid w:val="24C47897"/>
    <w:rsid w:val="24CE594B"/>
    <w:rsid w:val="24D521C3"/>
    <w:rsid w:val="24E337F8"/>
    <w:rsid w:val="2503311B"/>
    <w:rsid w:val="252C71BA"/>
    <w:rsid w:val="254A2AF8"/>
    <w:rsid w:val="258D3B57"/>
    <w:rsid w:val="259E0197"/>
    <w:rsid w:val="2604539D"/>
    <w:rsid w:val="26094761"/>
    <w:rsid w:val="262336EE"/>
    <w:rsid w:val="26347A30"/>
    <w:rsid w:val="265E4AAD"/>
    <w:rsid w:val="269E4C0C"/>
    <w:rsid w:val="27024D1A"/>
    <w:rsid w:val="274C2B57"/>
    <w:rsid w:val="277B4E47"/>
    <w:rsid w:val="278F0C96"/>
    <w:rsid w:val="27A6670B"/>
    <w:rsid w:val="27A97FAA"/>
    <w:rsid w:val="27AA0910"/>
    <w:rsid w:val="27AA4F6F"/>
    <w:rsid w:val="27C9064C"/>
    <w:rsid w:val="28604410"/>
    <w:rsid w:val="28823097"/>
    <w:rsid w:val="288E0F4E"/>
    <w:rsid w:val="2898228E"/>
    <w:rsid w:val="289B3D96"/>
    <w:rsid w:val="28DC7F0B"/>
    <w:rsid w:val="28F7242D"/>
    <w:rsid w:val="29076E89"/>
    <w:rsid w:val="29086F52"/>
    <w:rsid w:val="293272A7"/>
    <w:rsid w:val="297A7E50"/>
    <w:rsid w:val="2987256D"/>
    <w:rsid w:val="29A30A29"/>
    <w:rsid w:val="29D84B76"/>
    <w:rsid w:val="29EB48A9"/>
    <w:rsid w:val="29F00112"/>
    <w:rsid w:val="2A161A99"/>
    <w:rsid w:val="2A195C85"/>
    <w:rsid w:val="2A3224D8"/>
    <w:rsid w:val="2A7615AE"/>
    <w:rsid w:val="2AB90CCE"/>
    <w:rsid w:val="2AD85037"/>
    <w:rsid w:val="2B002AD1"/>
    <w:rsid w:val="2BC03B14"/>
    <w:rsid w:val="2BC2788C"/>
    <w:rsid w:val="2BD0253B"/>
    <w:rsid w:val="2BE75544"/>
    <w:rsid w:val="2BEF5CCA"/>
    <w:rsid w:val="2C125A58"/>
    <w:rsid w:val="2C187060"/>
    <w:rsid w:val="2C2C2F57"/>
    <w:rsid w:val="2C444480"/>
    <w:rsid w:val="2C564DC3"/>
    <w:rsid w:val="2C567FD4"/>
    <w:rsid w:val="2C7E7C57"/>
    <w:rsid w:val="2CA927FA"/>
    <w:rsid w:val="2CAB47C4"/>
    <w:rsid w:val="2CB573F1"/>
    <w:rsid w:val="2CE90E48"/>
    <w:rsid w:val="2D0D4B37"/>
    <w:rsid w:val="2D0D6EBF"/>
    <w:rsid w:val="2D191D85"/>
    <w:rsid w:val="2D5531EF"/>
    <w:rsid w:val="2D621327"/>
    <w:rsid w:val="2D6C141D"/>
    <w:rsid w:val="2D940DB4"/>
    <w:rsid w:val="2D9C13E5"/>
    <w:rsid w:val="2DEA2B8B"/>
    <w:rsid w:val="2E063012"/>
    <w:rsid w:val="2E385BE3"/>
    <w:rsid w:val="2E980D64"/>
    <w:rsid w:val="2E9870F5"/>
    <w:rsid w:val="2EB64B4B"/>
    <w:rsid w:val="2EDB590A"/>
    <w:rsid w:val="2F0A29E3"/>
    <w:rsid w:val="2F4B7B98"/>
    <w:rsid w:val="2F8135BA"/>
    <w:rsid w:val="2FB648FC"/>
    <w:rsid w:val="2FBC560F"/>
    <w:rsid w:val="2FC02334"/>
    <w:rsid w:val="30345138"/>
    <w:rsid w:val="30601421"/>
    <w:rsid w:val="30817D6A"/>
    <w:rsid w:val="30DD0CC4"/>
    <w:rsid w:val="314D7BF8"/>
    <w:rsid w:val="315030B5"/>
    <w:rsid w:val="3157114E"/>
    <w:rsid w:val="31572824"/>
    <w:rsid w:val="315D7CF4"/>
    <w:rsid w:val="31C81974"/>
    <w:rsid w:val="31E00A6C"/>
    <w:rsid w:val="31E367AE"/>
    <w:rsid w:val="31F2037F"/>
    <w:rsid w:val="31FC33CC"/>
    <w:rsid w:val="32096215"/>
    <w:rsid w:val="324B19B3"/>
    <w:rsid w:val="326D44E9"/>
    <w:rsid w:val="329B11F6"/>
    <w:rsid w:val="32AC6BA0"/>
    <w:rsid w:val="33463EAF"/>
    <w:rsid w:val="336008AB"/>
    <w:rsid w:val="336E087E"/>
    <w:rsid w:val="337E22EA"/>
    <w:rsid w:val="3381627F"/>
    <w:rsid w:val="33A85DA6"/>
    <w:rsid w:val="33C3087D"/>
    <w:rsid w:val="33FB1B8D"/>
    <w:rsid w:val="344C0413"/>
    <w:rsid w:val="344F5E45"/>
    <w:rsid w:val="34842E9F"/>
    <w:rsid w:val="34B7742E"/>
    <w:rsid w:val="34D16D92"/>
    <w:rsid w:val="34F245FB"/>
    <w:rsid w:val="34FA7B3A"/>
    <w:rsid w:val="350F28AA"/>
    <w:rsid w:val="3538296D"/>
    <w:rsid w:val="354B6B44"/>
    <w:rsid w:val="35883ABF"/>
    <w:rsid w:val="35961B12"/>
    <w:rsid w:val="35DB68E3"/>
    <w:rsid w:val="35F965A0"/>
    <w:rsid w:val="361B02C4"/>
    <w:rsid w:val="364523AD"/>
    <w:rsid w:val="36654422"/>
    <w:rsid w:val="36700D38"/>
    <w:rsid w:val="36820344"/>
    <w:rsid w:val="368636C2"/>
    <w:rsid w:val="36C24BE4"/>
    <w:rsid w:val="36C4673D"/>
    <w:rsid w:val="37612D37"/>
    <w:rsid w:val="37712166"/>
    <w:rsid w:val="377C6DA9"/>
    <w:rsid w:val="37A97B52"/>
    <w:rsid w:val="37B10B63"/>
    <w:rsid w:val="37C404E8"/>
    <w:rsid w:val="37D17C49"/>
    <w:rsid w:val="37DC0287"/>
    <w:rsid w:val="387624AA"/>
    <w:rsid w:val="388A1731"/>
    <w:rsid w:val="388C7258"/>
    <w:rsid w:val="38950836"/>
    <w:rsid w:val="38AA134A"/>
    <w:rsid w:val="38F86802"/>
    <w:rsid w:val="38FF3ECD"/>
    <w:rsid w:val="3900628A"/>
    <w:rsid w:val="390721D7"/>
    <w:rsid w:val="393B510C"/>
    <w:rsid w:val="393E7417"/>
    <w:rsid w:val="393F4767"/>
    <w:rsid w:val="39A97E97"/>
    <w:rsid w:val="3A260C29"/>
    <w:rsid w:val="3A3E0A25"/>
    <w:rsid w:val="3A651F6E"/>
    <w:rsid w:val="3A687850"/>
    <w:rsid w:val="3A7A7584"/>
    <w:rsid w:val="3A980471"/>
    <w:rsid w:val="3AA53060"/>
    <w:rsid w:val="3AD26068"/>
    <w:rsid w:val="3AD32391"/>
    <w:rsid w:val="3B003F2D"/>
    <w:rsid w:val="3B023801"/>
    <w:rsid w:val="3B57268D"/>
    <w:rsid w:val="3B6176CE"/>
    <w:rsid w:val="3B9823B7"/>
    <w:rsid w:val="3BB979E5"/>
    <w:rsid w:val="3BCD002B"/>
    <w:rsid w:val="3BE850ED"/>
    <w:rsid w:val="3BF9504C"/>
    <w:rsid w:val="3C770175"/>
    <w:rsid w:val="3C872BFA"/>
    <w:rsid w:val="3C9D3F8B"/>
    <w:rsid w:val="3CA60B04"/>
    <w:rsid w:val="3CCF5E45"/>
    <w:rsid w:val="3CDB07AE"/>
    <w:rsid w:val="3CEF24AB"/>
    <w:rsid w:val="3CF11603"/>
    <w:rsid w:val="3D132367"/>
    <w:rsid w:val="3D5129F3"/>
    <w:rsid w:val="3D515A8A"/>
    <w:rsid w:val="3D623CEE"/>
    <w:rsid w:val="3D7507FB"/>
    <w:rsid w:val="3DE56C57"/>
    <w:rsid w:val="3E432AAE"/>
    <w:rsid w:val="3E7C1B1C"/>
    <w:rsid w:val="3EB5127A"/>
    <w:rsid w:val="3EF341BE"/>
    <w:rsid w:val="3F1735F3"/>
    <w:rsid w:val="3F2A1578"/>
    <w:rsid w:val="3F393ECB"/>
    <w:rsid w:val="3F4355C6"/>
    <w:rsid w:val="3F503E5E"/>
    <w:rsid w:val="3F7A2278"/>
    <w:rsid w:val="3F812CA8"/>
    <w:rsid w:val="3FB547D5"/>
    <w:rsid w:val="3FC16214"/>
    <w:rsid w:val="3FC76DC7"/>
    <w:rsid w:val="3FD634AE"/>
    <w:rsid w:val="3FF81676"/>
    <w:rsid w:val="401C5365"/>
    <w:rsid w:val="401C6633"/>
    <w:rsid w:val="40A84E4B"/>
    <w:rsid w:val="40ED4F53"/>
    <w:rsid w:val="41405083"/>
    <w:rsid w:val="41576FF8"/>
    <w:rsid w:val="418F600A"/>
    <w:rsid w:val="41D34149"/>
    <w:rsid w:val="41D9164E"/>
    <w:rsid w:val="41DD521D"/>
    <w:rsid w:val="42064962"/>
    <w:rsid w:val="421870CD"/>
    <w:rsid w:val="423B7022"/>
    <w:rsid w:val="424566C9"/>
    <w:rsid w:val="428E6A43"/>
    <w:rsid w:val="429A23DC"/>
    <w:rsid w:val="42A87124"/>
    <w:rsid w:val="42C13916"/>
    <w:rsid w:val="42C972FA"/>
    <w:rsid w:val="42D633EC"/>
    <w:rsid w:val="430239C6"/>
    <w:rsid w:val="435E5C94"/>
    <w:rsid w:val="43607C5E"/>
    <w:rsid w:val="437B05F4"/>
    <w:rsid w:val="4389060E"/>
    <w:rsid w:val="438A79C3"/>
    <w:rsid w:val="43C8028A"/>
    <w:rsid w:val="43D51667"/>
    <w:rsid w:val="441D78FE"/>
    <w:rsid w:val="443B2C25"/>
    <w:rsid w:val="444A6219"/>
    <w:rsid w:val="447A08AC"/>
    <w:rsid w:val="447B63D2"/>
    <w:rsid w:val="448421F1"/>
    <w:rsid w:val="449F47B6"/>
    <w:rsid w:val="44B931B7"/>
    <w:rsid w:val="44DC50C3"/>
    <w:rsid w:val="452F651C"/>
    <w:rsid w:val="455235D7"/>
    <w:rsid w:val="4577303D"/>
    <w:rsid w:val="45D37D9B"/>
    <w:rsid w:val="45F34DBA"/>
    <w:rsid w:val="46113492"/>
    <w:rsid w:val="462705C0"/>
    <w:rsid w:val="462C02CC"/>
    <w:rsid w:val="463D3209"/>
    <w:rsid w:val="464053BE"/>
    <w:rsid w:val="464851B4"/>
    <w:rsid w:val="467C732F"/>
    <w:rsid w:val="46DA7D28"/>
    <w:rsid w:val="471843AC"/>
    <w:rsid w:val="474642BA"/>
    <w:rsid w:val="47637D1D"/>
    <w:rsid w:val="478D4D9A"/>
    <w:rsid w:val="48194FD5"/>
    <w:rsid w:val="4828061F"/>
    <w:rsid w:val="484514CB"/>
    <w:rsid w:val="487675DC"/>
    <w:rsid w:val="48C86EE1"/>
    <w:rsid w:val="49211C3E"/>
    <w:rsid w:val="4972249A"/>
    <w:rsid w:val="498272AD"/>
    <w:rsid w:val="49A34BDC"/>
    <w:rsid w:val="49BF4FB3"/>
    <w:rsid w:val="49FA6EF8"/>
    <w:rsid w:val="4A0701BA"/>
    <w:rsid w:val="4A17094B"/>
    <w:rsid w:val="4A5751EC"/>
    <w:rsid w:val="4A64512B"/>
    <w:rsid w:val="4A784961"/>
    <w:rsid w:val="4A7B35D0"/>
    <w:rsid w:val="4ACE0BCE"/>
    <w:rsid w:val="4ACF3A3C"/>
    <w:rsid w:val="4AE44884"/>
    <w:rsid w:val="4B1700DF"/>
    <w:rsid w:val="4B4B11F4"/>
    <w:rsid w:val="4B754894"/>
    <w:rsid w:val="4B7D0C82"/>
    <w:rsid w:val="4B9C1A50"/>
    <w:rsid w:val="4BA95F1B"/>
    <w:rsid w:val="4BC30D8B"/>
    <w:rsid w:val="4BD96800"/>
    <w:rsid w:val="4C085898"/>
    <w:rsid w:val="4C3677AE"/>
    <w:rsid w:val="4C373527"/>
    <w:rsid w:val="4CD90E2A"/>
    <w:rsid w:val="4CEA72F5"/>
    <w:rsid w:val="4D1473C4"/>
    <w:rsid w:val="4D5C3245"/>
    <w:rsid w:val="4DA71FF5"/>
    <w:rsid w:val="4DBC3CE3"/>
    <w:rsid w:val="4DFE42FC"/>
    <w:rsid w:val="4E055E94"/>
    <w:rsid w:val="4E1910C7"/>
    <w:rsid w:val="4EAA3D64"/>
    <w:rsid w:val="4EB175C0"/>
    <w:rsid w:val="4EBB21ED"/>
    <w:rsid w:val="4EE5726A"/>
    <w:rsid w:val="4F021BCA"/>
    <w:rsid w:val="4F0F6A19"/>
    <w:rsid w:val="4F1163D7"/>
    <w:rsid w:val="4F9C3DCC"/>
    <w:rsid w:val="4FCC3F86"/>
    <w:rsid w:val="50504A55"/>
    <w:rsid w:val="50DB26D2"/>
    <w:rsid w:val="50EA6DB9"/>
    <w:rsid w:val="515D3A2F"/>
    <w:rsid w:val="51AF590D"/>
    <w:rsid w:val="51BC69A8"/>
    <w:rsid w:val="51C615D4"/>
    <w:rsid w:val="51D10A66"/>
    <w:rsid w:val="51D64140"/>
    <w:rsid w:val="52432C25"/>
    <w:rsid w:val="528A390F"/>
    <w:rsid w:val="528B199C"/>
    <w:rsid w:val="528C6991"/>
    <w:rsid w:val="52C13B4A"/>
    <w:rsid w:val="52C27FEE"/>
    <w:rsid w:val="52C3297B"/>
    <w:rsid w:val="52D970E6"/>
    <w:rsid w:val="53C02053"/>
    <w:rsid w:val="53CC09F8"/>
    <w:rsid w:val="53E75832"/>
    <w:rsid w:val="54054633"/>
    <w:rsid w:val="540605E4"/>
    <w:rsid w:val="54136627"/>
    <w:rsid w:val="543F23D9"/>
    <w:rsid w:val="545A4256"/>
    <w:rsid w:val="54640C31"/>
    <w:rsid w:val="547F0032"/>
    <w:rsid w:val="54A02A20"/>
    <w:rsid w:val="55B24F8F"/>
    <w:rsid w:val="55BD502A"/>
    <w:rsid w:val="55BF0815"/>
    <w:rsid w:val="55C87B3E"/>
    <w:rsid w:val="56017F1B"/>
    <w:rsid w:val="56A4413A"/>
    <w:rsid w:val="56C105BC"/>
    <w:rsid w:val="56EE3382"/>
    <w:rsid w:val="56EF29AC"/>
    <w:rsid w:val="57142FA7"/>
    <w:rsid w:val="57286ECF"/>
    <w:rsid w:val="5797131D"/>
    <w:rsid w:val="57F33150"/>
    <w:rsid w:val="57FC08F2"/>
    <w:rsid w:val="57FE558C"/>
    <w:rsid w:val="581B1F4E"/>
    <w:rsid w:val="58254B7B"/>
    <w:rsid w:val="58677DAE"/>
    <w:rsid w:val="586D1575"/>
    <w:rsid w:val="58D67D8C"/>
    <w:rsid w:val="58E10577"/>
    <w:rsid w:val="59165EF7"/>
    <w:rsid w:val="591A2206"/>
    <w:rsid w:val="592461EB"/>
    <w:rsid w:val="59493AD6"/>
    <w:rsid w:val="595C637A"/>
    <w:rsid w:val="59702A12"/>
    <w:rsid w:val="59CF1242"/>
    <w:rsid w:val="59E44CEE"/>
    <w:rsid w:val="59EE5FB9"/>
    <w:rsid w:val="5AE46F75"/>
    <w:rsid w:val="5AED2A9C"/>
    <w:rsid w:val="5AFE3A3B"/>
    <w:rsid w:val="5B0D4A78"/>
    <w:rsid w:val="5B1F1D55"/>
    <w:rsid w:val="5B597015"/>
    <w:rsid w:val="5B891CFC"/>
    <w:rsid w:val="5BB701E0"/>
    <w:rsid w:val="5BC746C9"/>
    <w:rsid w:val="5BCF72D8"/>
    <w:rsid w:val="5C642116"/>
    <w:rsid w:val="5C807D0C"/>
    <w:rsid w:val="5C844A63"/>
    <w:rsid w:val="5CC61F72"/>
    <w:rsid w:val="5CDA23D8"/>
    <w:rsid w:val="5CF206F7"/>
    <w:rsid w:val="5D380EAD"/>
    <w:rsid w:val="5D440F45"/>
    <w:rsid w:val="5D6121B1"/>
    <w:rsid w:val="5D883BE2"/>
    <w:rsid w:val="5D8B5480"/>
    <w:rsid w:val="5DA764EE"/>
    <w:rsid w:val="5EA0340D"/>
    <w:rsid w:val="5ED66C3C"/>
    <w:rsid w:val="5EE017FC"/>
    <w:rsid w:val="5F0E0117"/>
    <w:rsid w:val="5F6661A5"/>
    <w:rsid w:val="5F7A468D"/>
    <w:rsid w:val="5F9E76ED"/>
    <w:rsid w:val="5FC66C44"/>
    <w:rsid w:val="5FCB33A1"/>
    <w:rsid w:val="5FDD643B"/>
    <w:rsid w:val="5FE61094"/>
    <w:rsid w:val="607249AE"/>
    <w:rsid w:val="60A019BB"/>
    <w:rsid w:val="60BA3E42"/>
    <w:rsid w:val="60E05AE3"/>
    <w:rsid w:val="6109503A"/>
    <w:rsid w:val="61181E1C"/>
    <w:rsid w:val="6155072E"/>
    <w:rsid w:val="61811074"/>
    <w:rsid w:val="6194383B"/>
    <w:rsid w:val="61A415C7"/>
    <w:rsid w:val="61C71D9F"/>
    <w:rsid w:val="61CB5375"/>
    <w:rsid w:val="61D4389A"/>
    <w:rsid w:val="61EA4E6B"/>
    <w:rsid w:val="61F21F72"/>
    <w:rsid w:val="623348CA"/>
    <w:rsid w:val="625421DB"/>
    <w:rsid w:val="62652744"/>
    <w:rsid w:val="62B40FD5"/>
    <w:rsid w:val="62C92CD3"/>
    <w:rsid w:val="62CC27C3"/>
    <w:rsid w:val="62CF7BBD"/>
    <w:rsid w:val="62EA2801"/>
    <w:rsid w:val="630C2BBF"/>
    <w:rsid w:val="63462575"/>
    <w:rsid w:val="636D5D54"/>
    <w:rsid w:val="63A454EE"/>
    <w:rsid w:val="63D11B11"/>
    <w:rsid w:val="64122457"/>
    <w:rsid w:val="64124205"/>
    <w:rsid w:val="64395C36"/>
    <w:rsid w:val="646D768E"/>
    <w:rsid w:val="64850E7B"/>
    <w:rsid w:val="64966BE4"/>
    <w:rsid w:val="64B37F11"/>
    <w:rsid w:val="64C2650A"/>
    <w:rsid w:val="64E8140A"/>
    <w:rsid w:val="64EF2799"/>
    <w:rsid w:val="653308D7"/>
    <w:rsid w:val="65492532"/>
    <w:rsid w:val="65687212"/>
    <w:rsid w:val="657131AE"/>
    <w:rsid w:val="657D5FF6"/>
    <w:rsid w:val="658254E1"/>
    <w:rsid w:val="659A1AD6"/>
    <w:rsid w:val="65BF03BD"/>
    <w:rsid w:val="65C05392"/>
    <w:rsid w:val="65CA685B"/>
    <w:rsid w:val="65CF34A7"/>
    <w:rsid w:val="65DC0E29"/>
    <w:rsid w:val="65DC4ACB"/>
    <w:rsid w:val="65F660EF"/>
    <w:rsid w:val="6618187B"/>
    <w:rsid w:val="661E1452"/>
    <w:rsid w:val="66214BD4"/>
    <w:rsid w:val="663C7C5F"/>
    <w:rsid w:val="6673798C"/>
    <w:rsid w:val="66A03D4A"/>
    <w:rsid w:val="66B9305E"/>
    <w:rsid w:val="66F83B86"/>
    <w:rsid w:val="672901E4"/>
    <w:rsid w:val="673905B6"/>
    <w:rsid w:val="681C3942"/>
    <w:rsid w:val="68460AAC"/>
    <w:rsid w:val="68AC1CFE"/>
    <w:rsid w:val="68EC626C"/>
    <w:rsid w:val="68F650DE"/>
    <w:rsid w:val="69036813"/>
    <w:rsid w:val="6905484B"/>
    <w:rsid w:val="690F6F65"/>
    <w:rsid w:val="69227F4C"/>
    <w:rsid w:val="69382960"/>
    <w:rsid w:val="694D7A8E"/>
    <w:rsid w:val="696C085C"/>
    <w:rsid w:val="69DA0037"/>
    <w:rsid w:val="6AC65D4A"/>
    <w:rsid w:val="6AD613DB"/>
    <w:rsid w:val="6B052831"/>
    <w:rsid w:val="6B0A032C"/>
    <w:rsid w:val="6B405AFC"/>
    <w:rsid w:val="6BBF52F0"/>
    <w:rsid w:val="6BCD1DE6"/>
    <w:rsid w:val="6BEA3CBA"/>
    <w:rsid w:val="6BF07722"/>
    <w:rsid w:val="6C044D7B"/>
    <w:rsid w:val="6C4258A4"/>
    <w:rsid w:val="6C4443B0"/>
    <w:rsid w:val="6C505023"/>
    <w:rsid w:val="6C7812C6"/>
    <w:rsid w:val="6CC453F4"/>
    <w:rsid w:val="6CCE7457"/>
    <w:rsid w:val="6CF41368"/>
    <w:rsid w:val="6CFE5C6F"/>
    <w:rsid w:val="6D14299F"/>
    <w:rsid w:val="6D4C69DA"/>
    <w:rsid w:val="6D5E2269"/>
    <w:rsid w:val="6D672A1E"/>
    <w:rsid w:val="6DC237D1"/>
    <w:rsid w:val="6E100405"/>
    <w:rsid w:val="6E2F4B86"/>
    <w:rsid w:val="6E681EA9"/>
    <w:rsid w:val="6E8421A4"/>
    <w:rsid w:val="6EA14A8D"/>
    <w:rsid w:val="6EB56801"/>
    <w:rsid w:val="6EB74327"/>
    <w:rsid w:val="6F286FD3"/>
    <w:rsid w:val="6F3C482C"/>
    <w:rsid w:val="6F40725E"/>
    <w:rsid w:val="6F4C2770"/>
    <w:rsid w:val="6F745D74"/>
    <w:rsid w:val="6F856571"/>
    <w:rsid w:val="6F8F2BAE"/>
    <w:rsid w:val="6FC70A59"/>
    <w:rsid w:val="700C2451"/>
    <w:rsid w:val="704D7B76"/>
    <w:rsid w:val="70514307"/>
    <w:rsid w:val="705D0EFE"/>
    <w:rsid w:val="70AE175A"/>
    <w:rsid w:val="70C42D2B"/>
    <w:rsid w:val="711172CF"/>
    <w:rsid w:val="71A85829"/>
    <w:rsid w:val="71FD54DD"/>
    <w:rsid w:val="72035AD5"/>
    <w:rsid w:val="72127AC6"/>
    <w:rsid w:val="729A3A97"/>
    <w:rsid w:val="72A93942"/>
    <w:rsid w:val="72CA287C"/>
    <w:rsid w:val="730833A3"/>
    <w:rsid w:val="732267F0"/>
    <w:rsid w:val="7329331A"/>
    <w:rsid w:val="738844E4"/>
    <w:rsid w:val="738E7E4C"/>
    <w:rsid w:val="739A7F5B"/>
    <w:rsid w:val="73C51294"/>
    <w:rsid w:val="73C66DBA"/>
    <w:rsid w:val="73DB2866"/>
    <w:rsid w:val="7400407A"/>
    <w:rsid w:val="7410294D"/>
    <w:rsid w:val="74275AAB"/>
    <w:rsid w:val="749E3893"/>
    <w:rsid w:val="74C62A79"/>
    <w:rsid w:val="74D177C5"/>
    <w:rsid w:val="750464B4"/>
    <w:rsid w:val="75096F5F"/>
    <w:rsid w:val="752B4572"/>
    <w:rsid w:val="75491385"/>
    <w:rsid w:val="754B3A1B"/>
    <w:rsid w:val="754E7067"/>
    <w:rsid w:val="75815055"/>
    <w:rsid w:val="75B07D22"/>
    <w:rsid w:val="75B82733"/>
    <w:rsid w:val="75D27C98"/>
    <w:rsid w:val="761207A0"/>
    <w:rsid w:val="76373F9F"/>
    <w:rsid w:val="76611729"/>
    <w:rsid w:val="768B469F"/>
    <w:rsid w:val="76B31608"/>
    <w:rsid w:val="76B33626"/>
    <w:rsid w:val="76D71644"/>
    <w:rsid w:val="76EE69B8"/>
    <w:rsid w:val="770135F9"/>
    <w:rsid w:val="77106CCA"/>
    <w:rsid w:val="772347AB"/>
    <w:rsid w:val="776C2FB6"/>
    <w:rsid w:val="776E39F1"/>
    <w:rsid w:val="77D90A2D"/>
    <w:rsid w:val="77F67FDD"/>
    <w:rsid w:val="785A6A91"/>
    <w:rsid w:val="786372CE"/>
    <w:rsid w:val="78FD646B"/>
    <w:rsid w:val="790C34C1"/>
    <w:rsid w:val="796450AB"/>
    <w:rsid w:val="79982284"/>
    <w:rsid w:val="7998662D"/>
    <w:rsid w:val="79F820B0"/>
    <w:rsid w:val="7A2F2846"/>
    <w:rsid w:val="7A305A34"/>
    <w:rsid w:val="7A4035DE"/>
    <w:rsid w:val="7A65732D"/>
    <w:rsid w:val="7A772BBC"/>
    <w:rsid w:val="7A8C5878"/>
    <w:rsid w:val="7A9E418F"/>
    <w:rsid w:val="7AE975DE"/>
    <w:rsid w:val="7AED0C72"/>
    <w:rsid w:val="7AFB559C"/>
    <w:rsid w:val="7B1A02B2"/>
    <w:rsid w:val="7B364826"/>
    <w:rsid w:val="7B471854"/>
    <w:rsid w:val="7BB87930"/>
    <w:rsid w:val="7BDC1EC1"/>
    <w:rsid w:val="7BDF4EBD"/>
    <w:rsid w:val="7C482A62"/>
    <w:rsid w:val="7C552333"/>
    <w:rsid w:val="7CA86C55"/>
    <w:rsid w:val="7CB4634A"/>
    <w:rsid w:val="7CDA5B60"/>
    <w:rsid w:val="7CF019C1"/>
    <w:rsid w:val="7D0365C6"/>
    <w:rsid w:val="7D341239"/>
    <w:rsid w:val="7D34485C"/>
    <w:rsid w:val="7D461CAD"/>
    <w:rsid w:val="7D853842"/>
    <w:rsid w:val="7D8E0949"/>
    <w:rsid w:val="7DB4261D"/>
    <w:rsid w:val="7DBA173E"/>
    <w:rsid w:val="7DCC76C3"/>
    <w:rsid w:val="7DD16A88"/>
    <w:rsid w:val="7DDF2F52"/>
    <w:rsid w:val="7E28286A"/>
    <w:rsid w:val="7E290672"/>
    <w:rsid w:val="7E2E7A36"/>
    <w:rsid w:val="7E3E4D75"/>
    <w:rsid w:val="7E4515FE"/>
    <w:rsid w:val="7E4A77EA"/>
    <w:rsid w:val="7E5A6A7D"/>
    <w:rsid w:val="7E7C115E"/>
    <w:rsid w:val="7E947EBC"/>
    <w:rsid w:val="7EAD59B2"/>
    <w:rsid w:val="7EBF11BA"/>
    <w:rsid w:val="7EDC56E4"/>
    <w:rsid w:val="7F2A28F3"/>
    <w:rsid w:val="7F596B88"/>
    <w:rsid w:val="7F680E86"/>
    <w:rsid w:val="7F91273C"/>
    <w:rsid w:val="7F9129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4">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59"/>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autoRedefine/>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autoRedefine/>
    <w:qFormat/>
    <w:uiPriority w:val="0"/>
    <w:pPr>
      <w:ind w:firstLine="420" w:firstLineChars="200"/>
    </w:pPr>
  </w:style>
  <w:style w:type="paragraph" w:styleId="12">
    <w:name w:val="toc 7"/>
    <w:basedOn w:val="1"/>
    <w:next w:val="1"/>
    <w:autoRedefine/>
    <w:qFormat/>
    <w:uiPriority w:val="0"/>
    <w:pPr>
      <w:ind w:left="1260"/>
      <w:jc w:val="left"/>
    </w:pPr>
    <w:rPr>
      <w:szCs w:val="21"/>
    </w:rPr>
  </w:style>
  <w:style w:type="paragraph" w:styleId="13">
    <w:name w:val="List Number 2"/>
    <w:basedOn w:val="1"/>
    <w:autoRedefine/>
    <w:qFormat/>
    <w:uiPriority w:val="0"/>
    <w:pPr>
      <w:tabs>
        <w:tab w:val="left" w:pos="780"/>
      </w:tabs>
      <w:ind w:left="780" w:hanging="360"/>
    </w:pPr>
    <w:rPr>
      <w:szCs w:val="20"/>
    </w:rPr>
  </w:style>
  <w:style w:type="paragraph" w:styleId="14">
    <w:name w:val="List Bullet 4"/>
    <w:basedOn w:val="1"/>
    <w:autoRedefine/>
    <w:qFormat/>
    <w:uiPriority w:val="0"/>
    <w:pPr>
      <w:tabs>
        <w:tab w:val="left" w:pos="425"/>
        <w:tab w:val="left" w:pos="1620"/>
      </w:tabs>
      <w:ind w:left="425" w:hanging="425"/>
    </w:pPr>
    <w:rPr>
      <w:szCs w:val="20"/>
    </w:rPr>
  </w:style>
  <w:style w:type="paragraph" w:styleId="15">
    <w:name w:val="caption"/>
    <w:basedOn w:val="1"/>
    <w:next w:val="1"/>
    <w:link w:val="297"/>
    <w:autoRedefine/>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autoRedefine/>
    <w:qFormat/>
    <w:uiPriority w:val="0"/>
    <w:pPr>
      <w:shd w:val="clear" w:color="auto" w:fill="000080"/>
    </w:pPr>
  </w:style>
  <w:style w:type="paragraph" w:styleId="18">
    <w:name w:val="annotation text"/>
    <w:basedOn w:val="1"/>
    <w:link w:val="69"/>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link w:val="71"/>
    <w:qFormat/>
    <w:uiPriority w:val="0"/>
    <w:pPr>
      <w:spacing w:after="120"/>
    </w:pPr>
  </w:style>
  <w:style w:type="paragraph" w:styleId="21">
    <w:name w:val="Body Text Indent"/>
    <w:basedOn w:val="1"/>
    <w:link w:val="74"/>
    <w:autoRedefine/>
    <w:qFormat/>
    <w:uiPriority w:val="0"/>
    <w:pPr>
      <w:spacing w:after="120"/>
      <w:ind w:left="420" w:leftChars="200"/>
    </w:pPr>
  </w:style>
  <w:style w:type="paragraph" w:styleId="22">
    <w:name w:val="Block Text"/>
    <w:basedOn w:val="1"/>
    <w:autoRedefine/>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autoRedefine/>
    <w:qFormat/>
    <w:uiPriority w:val="0"/>
    <w:pPr>
      <w:ind w:left="840"/>
      <w:jc w:val="left"/>
    </w:pPr>
    <w:rPr>
      <w:szCs w:val="21"/>
    </w:rPr>
  </w:style>
  <w:style w:type="paragraph" w:styleId="25">
    <w:name w:val="toc 3"/>
    <w:basedOn w:val="1"/>
    <w:next w:val="1"/>
    <w:autoRedefine/>
    <w:qFormat/>
    <w:uiPriority w:val="39"/>
    <w:pPr>
      <w:ind w:left="420"/>
      <w:jc w:val="left"/>
    </w:pPr>
    <w:rPr>
      <w:iCs/>
    </w:rPr>
  </w:style>
  <w:style w:type="paragraph" w:styleId="26">
    <w:name w:val="Plain Text"/>
    <w:basedOn w:val="1"/>
    <w:link w:val="75"/>
    <w:autoRedefine/>
    <w:qFormat/>
    <w:uiPriority w:val="0"/>
    <w:rPr>
      <w:rFonts w:ascii="宋体" w:hAnsi="Courier New"/>
      <w:szCs w:val="20"/>
    </w:rPr>
  </w:style>
  <w:style w:type="paragraph" w:styleId="27">
    <w:name w:val="toc 8"/>
    <w:basedOn w:val="1"/>
    <w:next w:val="1"/>
    <w:autoRedefine/>
    <w:qFormat/>
    <w:uiPriority w:val="0"/>
    <w:pPr>
      <w:ind w:left="1470"/>
      <w:jc w:val="left"/>
    </w:pPr>
    <w:rPr>
      <w:szCs w:val="21"/>
    </w:rPr>
  </w:style>
  <w:style w:type="paragraph" w:styleId="28">
    <w:name w:val="Date"/>
    <w:basedOn w:val="1"/>
    <w:next w:val="1"/>
    <w:link w:val="316"/>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autoRedefine/>
    <w:qFormat/>
    <w:uiPriority w:val="0"/>
    <w:pPr>
      <w:spacing w:after="120" w:line="480" w:lineRule="auto"/>
      <w:ind w:left="420" w:leftChars="200"/>
    </w:pPr>
  </w:style>
  <w:style w:type="paragraph" w:styleId="30">
    <w:name w:val="Balloon Text"/>
    <w:basedOn w:val="1"/>
    <w:link w:val="77"/>
    <w:autoRedefine/>
    <w:qFormat/>
    <w:uiPriority w:val="0"/>
    <w:rPr>
      <w:sz w:val="18"/>
      <w:szCs w:val="18"/>
    </w:rPr>
  </w:style>
  <w:style w:type="paragraph" w:styleId="31">
    <w:name w:val="footer"/>
    <w:basedOn w:val="1"/>
    <w:link w:val="78"/>
    <w:autoRedefine/>
    <w:qFormat/>
    <w:uiPriority w:val="99"/>
    <w:pPr>
      <w:tabs>
        <w:tab w:val="center" w:pos="4153"/>
        <w:tab w:val="right" w:pos="8306"/>
      </w:tabs>
      <w:snapToGrid w:val="0"/>
      <w:jc w:val="left"/>
    </w:pPr>
    <w:rPr>
      <w:sz w:val="18"/>
      <w:szCs w:val="18"/>
    </w:rPr>
  </w:style>
  <w:style w:type="paragraph" w:styleId="32">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autoRedefine/>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autoRedefine/>
    <w:qFormat/>
    <w:uiPriority w:val="0"/>
    <w:pPr>
      <w:ind w:left="630"/>
      <w:jc w:val="left"/>
    </w:pPr>
    <w:rPr>
      <w:szCs w:val="21"/>
    </w:rPr>
  </w:style>
  <w:style w:type="paragraph" w:styleId="36">
    <w:name w:val="index heading"/>
    <w:basedOn w:val="1"/>
    <w:next w:val="37"/>
    <w:autoRedefine/>
    <w:qFormat/>
    <w:uiPriority w:val="0"/>
    <w:rPr>
      <w:szCs w:val="20"/>
    </w:rPr>
  </w:style>
  <w:style w:type="paragraph" w:styleId="37">
    <w:name w:val="index 1"/>
    <w:basedOn w:val="1"/>
    <w:next w:val="1"/>
    <w:autoRedefine/>
    <w:qFormat/>
    <w:uiPriority w:val="0"/>
  </w:style>
  <w:style w:type="paragraph" w:styleId="38">
    <w:name w:val="footnote text"/>
    <w:basedOn w:val="1"/>
    <w:link w:val="481"/>
    <w:autoRedefine/>
    <w:qFormat/>
    <w:uiPriority w:val="0"/>
    <w:pPr>
      <w:snapToGrid w:val="0"/>
      <w:jc w:val="left"/>
    </w:pPr>
    <w:rPr>
      <w:sz w:val="18"/>
      <w:szCs w:val="18"/>
    </w:rPr>
  </w:style>
  <w:style w:type="paragraph" w:styleId="39">
    <w:name w:val="toc 6"/>
    <w:basedOn w:val="1"/>
    <w:next w:val="1"/>
    <w:autoRedefine/>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autoRedefine/>
    <w:qFormat/>
    <w:uiPriority w:val="39"/>
    <w:pPr>
      <w:ind w:left="210"/>
      <w:jc w:val="left"/>
    </w:pPr>
    <w:rPr>
      <w:smallCaps/>
    </w:rPr>
  </w:style>
  <w:style w:type="paragraph" w:styleId="42">
    <w:name w:val="toc 9"/>
    <w:basedOn w:val="1"/>
    <w:next w:val="1"/>
    <w:autoRedefine/>
    <w:qFormat/>
    <w:uiPriority w:val="0"/>
    <w:pPr>
      <w:ind w:left="1680"/>
      <w:jc w:val="left"/>
    </w:pPr>
    <w:rPr>
      <w:szCs w:val="21"/>
    </w:rPr>
  </w:style>
  <w:style w:type="paragraph" w:styleId="43">
    <w:name w:val="Body Text 2"/>
    <w:basedOn w:val="1"/>
    <w:link w:val="306"/>
    <w:autoRedefine/>
    <w:qFormat/>
    <w:uiPriority w:val="0"/>
    <w:rPr>
      <w:sz w:val="28"/>
      <w:szCs w:val="20"/>
    </w:rPr>
  </w:style>
  <w:style w:type="paragraph" w:styleId="44">
    <w:name w:val="HTML Preformatted"/>
    <w:basedOn w:val="1"/>
    <w:link w:val="8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autoRedefine/>
    <w:qFormat/>
    <w:uiPriority w:val="99"/>
    <w:pPr>
      <w:widowControl/>
      <w:spacing w:before="100" w:beforeAutospacing="1" w:after="100" w:afterAutospacing="1"/>
      <w:jc w:val="left"/>
    </w:pPr>
    <w:rPr>
      <w:kern w:val="0"/>
      <w:sz w:val="24"/>
    </w:rPr>
  </w:style>
  <w:style w:type="paragraph" w:styleId="46">
    <w:name w:val="Title"/>
    <w:basedOn w:val="1"/>
    <w:link w:val="81"/>
    <w:autoRedefine/>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autoRedefine/>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autoRedefine/>
    <w:qFormat/>
    <w:uiPriority w:val="22"/>
    <w:rPr>
      <w:b/>
      <w:bCs/>
    </w:rPr>
  </w:style>
  <w:style w:type="character" w:styleId="54">
    <w:name w:val="page number"/>
    <w:basedOn w:val="52"/>
    <w:autoRedefine/>
    <w:qFormat/>
    <w:uiPriority w:val="0"/>
  </w:style>
  <w:style w:type="character" w:styleId="55">
    <w:name w:val="FollowedHyperlink"/>
    <w:basedOn w:val="52"/>
    <w:autoRedefine/>
    <w:unhideWhenUsed/>
    <w:qFormat/>
    <w:uiPriority w:val="0"/>
    <w:rPr>
      <w:color w:val="800080"/>
      <w:u w:val="single"/>
    </w:rPr>
  </w:style>
  <w:style w:type="character" w:styleId="56">
    <w:name w:val="Emphasis"/>
    <w:autoRedefine/>
    <w:qFormat/>
    <w:uiPriority w:val="20"/>
    <w:rPr>
      <w:i/>
      <w:iCs/>
    </w:rPr>
  </w:style>
  <w:style w:type="character" w:styleId="57">
    <w:name w:val="Hyperlink"/>
    <w:autoRedefine/>
    <w:qFormat/>
    <w:uiPriority w:val="99"/>
    <w:rPr>
      <w:color w:val="0000FF"/>
      <w:u w:val="single"/>
    </w:rPr>
  </w:style>
  <w:style w:type="character" w:styleId="58">
    <w:name w:val="annotation reference"/>
    <w:qFormat/>
    <w:uiPriority w:val="0"/>
    <w:rPr>
      <w:sz w:val="21"/>
      <w:szCs w:val="21"/>
    </w:rPr>
  </w:style>
  <w:style w:type="character" w:customStyle="1" w:styleId="59">
    <w:name w:val="标题 3 字符"/>
    <w:basedOn w:val="52"/>
    <w:link w:val="3"/>
    <w:qFormat/>
    <w:uiPriority w:val="0"/>
    <w:rPr>
      <w:b/>
      <w:bCs/>
      <w:kern w:val="2"/>
      <w:sz w:val="24"/>
      <w:szCs w:val="32"/>
    </w:rPr>
  </w:style>
  <w:style w:type="character" w:customStyle="1" w:styleId="60">
    <w:name w:val="标题 1 字符"/>
    <w:basedOn w:val="52"/>
    <w:link w:val="2"/>
    <w:qFormat/>
    <w:uiPriority w:val="0"/>
    <w:rPr>
      <w:rFonts w:eastAsiaTheme="minorEastAsia"/>
      <w:b/>
      <w:kern w:val="44"/>
      <w:sz w:val="44"/>
      <w:szCs w:val="28"/>
    </w:rPr>
  </w:style>
  <w:style w:type="character" w:customStyle="1" w:styleId="61">
    <w:name w:val="标题 2 字符"/>
    <w:basedOn w:val="52"/>
    <w:link w:val="4"/>
    <w:autoRedefine/>
    <w:qFormat/>
    <w:uiPriority w:val="0"/>
    <w:rPr>
      <w:rFonts w:ascii="Arial" w:hAnsi="Arial" w:eastAsiaTheme="minorEastAsia"/>
      <w:b/>
      <w:bCs/>
      <w:kern w:val="2"/>
      <w:sz w:val="28"/>
      <w:szCs w:val="32"/>
    </w:rPr>
  </w:style>
  <w:style w:type="character" w:customStyle="1" w:styleId="62">
    <w:name w:val="标题 4 字符"/>
    <w:basedOn w:val="52"/>
    <w:link w:val="5"/>
    <w:qFormat/>
    <w:uiPriority w:val="99"/>
    <w:rPr>
      <w:rFonts w:ascii="Arial" w:hAnsi="Arial" w:eastAsia="黑体"/>
      <w:b/>
      <w:bCs/>
      <w:kern w:val="2"/>
      <w:sz w:val="28"/>
      <w:szCs w:val="28"/>
    </w:rPr>
  </w:style>
  <w:style w:type="character" w:customStyle="1" w:styleId="63">
    <w:name w:val="正文缩进 字符"/>
    <w:link w:val="7"/>
    <w:qFormat/>
    <w:uiPriority w:val="0"/>
    <w:rPr>
      <w:rFonts w:eastAsia="宋体"/>
      <w:kern w:val="2"/>
      <w:sz w:val="21"/>
      <w:szCs w:val="24"/>
      <w:lang w:val="en-US" w:eastAsia="zh-CN" w:bidi="ar-SA"/>
    </w:rPr>
  </w:style>
  <w:style w:type="character" w:customStyle="1" w:styleId="64">
    <w:name w:val="标题 5 字符"/>
    <w:basedOn w:val="52"/>
    <w:link w:val="6"/>
    <w:autoRedefine/>
    <w:qFormat/>
    <w:uiPriority w:val="0"/>
    <w:rPr>
      <w:b/>
      <w:kern w:val="2"/>
      <w:sz w:val="28"/>
      <w:szCs w:val="24"/>
    </w:rPr>
  </w:style>
  <w:style w:type="character" w:customStyle="1" w:styleId="65">
    <w:name w:val="标题 6 字符"/>
    <w:basedOn w:val="52"/>
    <w:link w:val="8"/>
    <w:autoRedefine/>
    <w:qFormat/>
    <w:uiPriority w:val="9"/>
    <w:rPr>
      <w:rFonts w:ascii="Arial" w:hAnsi="Arial" w:eastAsia="黑体"/>
      <w:b/>
      <w:kern w:val="2"/>
      <w:sz w:val="24"/>
      <w:szCs w:val="24"/>
    </w:rPr>
  </w:style>
  <w:style w:type="character" w:customStyle="1" w:styleId="66">
    <w:name w:val="标题 7 字符"/>
    <w:basedOn w:val="52"/>
    <w:link w:val="9"/>
    <w:autoRedefine/>
    <w:qFormat/>
    <w:uiPriority w:val="9"/>
    <w:rPr>
      <w:b/>
      <w:kern w:val="2"/>
      <w:sz w:val="24"/>
      <w:szCs w:val="24"/>
    </w:rPr>
  </w:style>
  <w:style w:type="character" w:customStyle="1" w:styleId="67">
    <w:name w:val="标题 8 字符"/>
    <w:basedOn w:val="52"/>
    <w:link w:val="10"/>
    <w:autoRedefine/>
    <w:qFormat/>
    <w:uiPriority w:val="9"/>
    <w:rPr>
      <w:rFonts w:ascii="Arial" w:hAnsi="Arial" w:eastAsia="黑体"/>
      <w:kern w:val="2"/>
      <w:sz w:val="24"/>
      <w:szCs w:val="24"/>
    </w:rPr>
  </w:style>
  <w:style w:type="character" w:customStyle="1" w:styleId="68">
    <w:name w:val="标题 9 字符"/>
    <w:basedOn w:val="52"/>
    <w:link w:val="11"/>
    <w:autoRedefine/>
    <w:qFormat/>
    <w:uiPriority w:val="0"/>
    <w:rPr>
      <w:rFonts w:ascii="Arial" w:hAnsi="Arial" w:eastAsia="黑体"/>
      <w:kern w:val="2"/>
      <w:sz w:val="21"/>
      <w:szCs w:val="24"/>
    </w:rPr>
  </w:style>
  <w:style w:type="character" w:customStyle="1" w:styleId="69">
    <w:name w:val="批注文字 字符1"/>
    <w:link w:val="18"/>
    <w:autoRedefine/>
    <w:qFormat/>
    <w:uiPriority w:val="0"/>
    <w:rPr>
      <w:kern w:val="2"/>
      <w:sz w:val="21"/>
      <w:szCs w:val="24"/>
    </w:rPr>
  </w:style>
  <w:style w:type="character" w:customStyle="1" w:styleId="70">
    <w:name w:val="批注主题 字符"/>
    <w:basedOn w:val="69"/>
    <w:link w:val="47"/>
    <w:autoRedefine/>
    <w:qFormat/>
    <w:uiPriority w:val="0"/>
    <w:rPr>
      <w:b/>
      <w:bCs/>
      <w:kern w:val="2"/>
      <w:sz w:val="21"/>
      <w:szCs w:val="24"/>
    </w:rPr>
  </w:style>
  <w:style w:type="character" w:customStyle="1" w:styleId="71">
    <w:name w:val="正文文本 字符1"/>
    <w:basedOn w:val="52"/>
    <w:link w:val="20"/>
    <w:autoRedefine/>
    <w:qFormat/>
    <w:uiPriority w:val="0"/>
    <w:rPr>
      <w:kern w:val="2"/>
      <w:sz w:val="21"/>
      <w:szCs w:val="24"/>
    </w:rPr>
  </w:style>
  <w:style w:type="character" w:customStyle="1" w:styleId="72">
    <w:name w:val="正文文本首行缩进 字符"/>
    <w:link w:val="48"/>
    <w:autoRedefine/>
    <w:qFormat/>
    <w:uiPriority w:val="0"/>
    <w:rPr>
      <w:rFonts w:eastAsia="宋体"/>
      <w:kern w:val="2"/>
      <w:sz w:val="21"/>
      <w:szCs w:val="24"/>
      <w:lang w:val="en-US" w:eastAsia="zh-CN" w:bidi="ar-SA"/>
    </w:rPr>
  </w:style>
  <w:style w:type="character" w:customStyle="1" w:styleId="73">
    <w:name w:val="文档结构图 字符"/>
    <w:basedOn w:val="52"/>
    <w:link w:val="17"/>
    <w:autoRedefine/>
    <w:qFormat/>
    <w:uiPriority w:val="0"/>
    <w:rPr>
      <w:kern w:val="2"/>
      <w:sz w:val="21"/>
      <w:szCs w:val="24"/>
      <w:shd w:val="clear" w:color="auto" w:fill="000080"/>
    </w:rPr>
  </w:style>
  <w:style w:type="character" w:customStyle="1" w:styleId="74">
    <w:name w:val="正文文本缩进 字符1"/>
    <w:basedOn w:val="52"/>
    <w:link w:val="21"/>
    <w:autoRedefine/>
    <w:qFormat/>
    <w:uiPriority w:val="0"/>
    <w:rPr>
      <w:kern w:val="2"/>
      <w:sz w:val="21"/>
      <w:szCs w:val="24"/>
    </w:rPr>
  </w:style>
  <w:style w:type="character" w:customStyle="1" w:styleId="75">
    <w:name w:val="纯文本 字符"/>
    <w:link w:val="26"/>
    <w:autoRedefine/>
    <w:qFormat/>
    <w:uiPriority w:val="0"/>
    <w:rPr>
      <w:rFonts w:ascii="宋体" w:hAnsi="Courier New" w:eastAsia="宋体"/>
      <w:kern w:val="2"/>
      <w:sz w:val="21"/>
      <w:lang w:val="en-US" w:eastAsia="zh-CN" w:bidi="ar-SA"/>
    </w:rPr>
  </w:style>
  <w:style w:type="character" w:customStyle="1" w:styleId="76">
    <w:name w:val="正文文本缩进 2 字符"/>
    <w:link w:val="29"/>
    <w:autoRedefine/>
    <w:qFormat/>
    <w:uiPriority w:val="0"/>
    <w:rPr>
      <w:kern w:val="2"/>
      <w:sz w:val="21"/>
      <w:szCs w:val="24"/>
    </w:rPr>
  </w:style>
  <w:style w:type="character" w:customStyle="1" w:styleId="77">
    <w:name w:val="批注框文本 字符"/>
    <w:basedOn w:val="52"/>
    <w:link w:val="30"/>
    <w:autoRedefine/>
    <w:qFormat/>
    <w:uiPriority w:val="99"/>
    <w:rPr>
      <w:kern w:val="2"/>
      <w:sz w:val="18"/>
      <w:szCs w:val="18"/>
    </w:rPr>
  </w:style>
  <w:style w:type="character" w:customStyle="1" w:styleId="78">
    <w:name w:val="页脚 字符"/>
    <w:basedOn w:val="52"/>
    <w:link w:val="31"/>
    <w:autoRedefine/>
    <w:qFormat/>
    <w:uiPriority w:val="99"/>
    <w:rPr>
      <w:kern w:val="2"/>
      <w:sz w:val="18"/>
      <w:szCs w:val="18"/>
    </w:rPr>
  </w:style>
  <w:style w:type="character" w:customStyle="1" w:styleId="79">
    <w:name w:val="页眉 字符"/>
    <w:link w:val="32"/>
    <w:autoRedefine/>
    <w:qFormat/>
    <w:uiPriority w:val="99"/>
    <w:rPr>
      <w:kern w:val="2"/>
      <w:sz w:val="18"/>
      <w:szCs w:val="18"/>
    </w:rPr>
  </w:style>
  <w:style w:type="character" w:customStyle="1" w:styleId="80">
    <w:name w:val="HTML 预设格式 字符"/>
    <w:link w:val="44"/>
    <w:autoRedefine/>
    <w:qFormat/>
    <w:uiPriority w:val="0"/>
    <w:rPr>
      <w:rFonts w:ascii="宋体" w:hAnsi="宋体" w:cs="宋体"/>
      <w:sz w:val="24"/>
      <w:szCs w:val="24"/>
    </w:rPr>
  </w:style>
  <w:style w:type="character" w:customStyle="1" w:styleId="81">
    <w:name w:val="标题 字符"/>
    <w:link w:val="46"/>
    <w:autoRedefine/>
    <w:qFormat/>
    <w:uiPriority w:val="0"/>
    <w:rPr>
      <w:rFonts w:ascii="Arial" w:hAnsi="Arial" w:eastAsia="隶书" w:cs="Arial"/>
      <w:b/>
      <w:bCs/>
      <w:kern w:val="2"/>
      <w:sz w:val="32"/>
      <w:szCs w:val="32"/>
    </w:rPr>
  </w:style>
  <w:style w:type="paragraph" w:customStyle="1" w:styleId="82">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autoRedefine/>
    <w:qFormat/>
    <w:uiPriority w:val="0"/>
    <w:pPr>
      <w:spacing w:line="360" w:lineRule="auto"/>
      <w:ind w:firstLine="516" w:firstLineChars="215"/>
    </w:pPr>
    <w:rPr>
      <w:sz w:val="24"/>
      <w:szCs w:val="20"/>
    </w:rPr>
  </w:style>
  <w:style w:type="character" w:customStyle="1" w:styleId="84">
    <w:name w:val="样式1 Char Char Char"/>
    <w:link w:val="83"/>
    <w:autoRedefine/>
    <w:qFormat/>
    <w:uiPriority w:val="0"/>
    <w:rPr>
      <w:rFonts w:eastAsia="宋体"/>
      <w:kern w:val="2"/>
      <w:sz w:val="24"/>
      <w:lang w:val="en-US" w:eastAsia="zh-CN" w:bidi="ar-SA"/>
    </w:rPr>
  </w:style>
  <w:style w:type="paragraph" w:customStyle="1" w:styleId="85">
    <w:name w:val="样式1"/>
    <w:basedOn w:val="46"/>
    <w:link w:val="86"/>
    <w:autoRedefine/>
    <w:qFormat/>
    <w:uiPriority w:val="0"/>
    <w:pPr>
      <w:spacing w:before="120" w:after="120"/>
    </w:pPr>
    <w:rPr>
      <w:rFonts w:eastAsia="黑体" w:cs="Arial"/>
      <w:b w:val="0"/>
      <w:sz w:val="30"/>
      <w:szCs w:val="21"/>
    </w:rPr>
  </w:style>
  <w:style w:type="character" w:customStyle="1" w:styleId="86">
    <w:name w:val="样式1 Char"/>
    <w:link w:val="85"/>
    <w:autoRedefine/>
    <w:qFormat/>
    <w:uiPriority w:val="0"/>
    <w:rPr>
      <w:rFonts w:ascii="Arial" w:hAnsi="Arial" w:eastAsia="黑体" w:cs="Arial"/>
      <w:bCs/>
      <w:kern w:val="2"/>
      <w:sz w:val="30"/>
      <w:szCs w:val="21"/>
      <w:lang w:val="en-US" w:eastAsia="zh-CN" w:bidi="ar-SA"/>
    </w:rPr>
  </w:style>
  <w:style w:type="paragraph" w:customStyle="1" w:styleId="87">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autoRedefine/>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autoRedefine/>
    <w:qFormat/>
    <w:uiPriority w:val="0"/>
    <w:rPr>
      <w:rFonts w:ascii="仿宋_GB2312" w:eastAsia="仿宋_GB2312"/>
      <w:b/>
      <w:sz w:val="32"/>
      <w:szCs w:val="32"/>
    </w:rPr>
  </w:style>
  <w:style w:type="character" w:customStyle="1" w:styleId="91">
    <w:name w:val="tpc_title1"/>
    <w:autoRedefine/>
    <w:qFormat/>
    <w:uiPriority w:val="0"/>
    <w:rPr>
      <w:b/>
      <w:bCs/>
      <w:sz w:val="18"/>
      <w:szCs w:val="18"/>
    </w:rPr>
  </w:style>
  <w:style w:type="character" w:customStyle="1" w:styleId="92">
    <w:name w:val="tpc_content1"/>
    <w:autoRedefine/>
    <w:qFormat/>
    <w:uiPriority w:val="0"/>
    <w:rPr>
      <w:sz w:val="20"/>
      <w:szCs w:val="20"/>
    </w:rPr>
  </w:style>
  <w:style w:type="paragraph" w:customStyle="1" w:styleId="9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autoRedefine/>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autoRedefine/>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autoRedefine/>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autoRedefine/>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autoRedefine/>
    <w:qFormat/>
    <w:uiPriority w:val="0"/>
    <w:rPr>
      <w:rFonts w:hint="eastAsia" w:ascii="仿宋_GB2312" w:eastAsia="仿宋_GB2312" w:cs="仿宋_GB2312"/>
      <w:color w:val="000000"/>
      <w:sz w:val="20"/>
      <w:szCs w:val="20"/>
      <w:u w:val="none"/>
    </w:rPr>
  </w:style>
  <w:style w:type="character" w:customStyle="1" w:styleId="167">
    <w:name w:val="font31"/>
    <w:basedOn w:val="52"/>
    <w:autoRedefine/>
    <w:qFormat/>
    <w:uiPriority w:val="0"/>
    <w:rPr>
      <w:rFonts w:hint="default" w:ascii="Symbol" w:hAnsi="Symbol" w:cs="Symbol"/>
      <w:color w:val="000000"/>
      <w:sz w:val="20"/>
      <w:szCs w:val="20"/>
      <w:u w:val="none"/>
    </w:rPr>
  </w:style>
  <w:style w:type="character" w:customStyle="1" w:styleId="168">
    <w:name w:val="font71"/>
    <w:basedOn w:val="52"/>
    <w:autoRedefine/>
    <w:qFormat/>
    <w:uiPriority w:val="0"/>
    <w:rPr>
      <w:rFonts w:ascii="Arial" w:hAnsi="Arial" w:cs="Arial"/>
      <w:color w:val="000000"/>
      <w:sz w:val="20"/>
      <w:szCs w:val="20"/>
      <w:u w:val="none"/>
    </w:rPr>
  </w:style>
  <w:style w:type="character" w:customStyle="1" w:styleId="169">
    <w:name w:val="font21"/>
    <w:basedOn w:val="52"/>
    <w:autoRedefine/>
    <w:qFormat/>
    <w:uiPriority w:val="0"/>
    <w:rPr>
      <w:rFonts w:hint="default" w:ascii="Symbol" w:hAnsi="Symbol" w:cs="Symbol"/>
      <w:color w:val="000000"/>
      <w:sz w:val="20"/>
      <w:szCs w:val="20"/>
      <w:u w:val="none"/>
    </w:rPr>
  </w:style>
  <w:style w:type="character" w:customStyle="1" w:styleId="170">
    <w:name w:val="font91"/>
    <w:basedOn w:val="52"/>
    <w:autoRedefine/>
    <w:qFormat/>
    <w:uiPriority w:val="0"/>
    <w:rPr>
      <w:rFonts w:ascii="Arial" w:hAnsi="Arial" w:cs="Arial"/>
      <w:color w:val="000000"/>
      <w:sz w:val="20"/>
      <w:szCs w:val="20"/>
      <w:u w:val="none"/>
    </w:rPr>
  </w:style>
  <w:style w:type="character" w:customStyle="1" w:styleId="171">
    <w:name w:val="font51"/>
    <w:basedOn w:val="52"/>
    <w:autoRedefine/>
    <w:qFormat/>
    <w:uiPriority w:val="0"/>
    <w:rPr>
      <w:rFonts w:ascii="仿宋" w:hAnsi="仿宋" w:eastAsia="仿宋" w:cs="仿宋"/>
      <w:color w:val="000000"/>
      <w:sz w:val="21"/>
      <w:szCs w:val="21"/>
      <w:u w:val="none"/>
    </w:rPr>
  </w:style>
  <w:style w:type="character" w:customStyle="1" w:styleId="172">
    <w:name w:val="font101"/>
    <w:basedOn w:val="52"/>
    <w:autoRedefine/>
    <w:qFormat/>
    <w:uiPriority w:val="0"/>
    <w:rPr>
      <w:rFonts w:hint="eastAsia" w:ascii="仿宋_GB2312" w:eastAsia="仿宋_GB2312" w:cs="仿宋_GB2312"/>
      <w:color w:val="000000"/>
      <w:sz w:val="20"/>
      <w:szCs w:val="20"/>
      <w:u w:val="none"/>
    </w:rPr>
  </w:style>
  <w:style w:type="character" w:customStyle="1" w:styleId="173">
    <w:name w:val="font61"/>
    <w:basedOn w:val="52"/>
    <w:autoRedefine/>
    <w:qFormat/>
    <w:uiPriority w:val="0"/>
    <w:rPr>
      <w:rFonts w:hint="eastAsia" w:ascii="宋体" w:hAnsi="宋体" w:eastAsia="宋体" w:cs="宋体"/>
      <w:color w:val="000000"/>
      <w:sz w:val="20"/>
      <w:szCs w:val="20"/>
      <w:u w:val="none"/>
    </w:rPr>
  </w:style>
  <w:style w:type="character" w:customStyle="1" w:styleId="174">
    <w:name w:val="font81"/>
    <w:basedOn w:val="52"/>
    <w:autoRedefine/>
    <w:qFormat/>
    <w:uiPriority w:val="0"/>
    <w:rPr>
      <w:rFonts w:hint="eastAsia" w:ascii="仿宋" w:hAnsi="仿宋" w:eastAsia="仿宋" w:cs="仿宋"/>
      <w:color w:val="000000"/>
      <w:sz w:val="21"/>
      <w:szCs w:val="21"/>
      <w:u w:val="none"/>
    </w:rPr>
  </w:style>
  <w:style w:type="character" w:customStyle="1" w:styleId="175">
    <w:name w:val="font111"/>
    <w:basedOn w:val="52"/>
    <w:autoRedefine/>
    <w:qFormat/>
    <w:uiPriority w:val="0"/>
    <w:rPr>
      <w:rFonts w:hint="eastAsia" w:ascii="仿宋_GB2312" w:eastAsia="仿宋_GB2312" w:cs="仿宋_GB2312"/>
      <w:color w:val="000000"/>
      <w:sz w:val="21"/>
      <w:szCs w:val="21"/>
      <w:u w:val="none"/>
    </w:rPr>
  </w:style>
  <w:style w:type="character" w:customStyle="1" w:styleId="176">
    <w:name w:val="font121"/>
    <w:basedOn w:val="52"/>
    <w:autoRedefine/>
    <w:qFormat/>
    <w:uiPriority w:val="0"/>
    <w:rPr>
      <w:rFonts w:ascii="Arial" w:hAnsi="Arial" w:cs="Arial"/>
      <w:color w:val="000000"/>
      <w:sz w:val="20"/>
      <w:szCs w:val="20"/>
      <w:u w:val="none"/>
    </w:rPr>
  </w:style>
  <w:style w:type="character" w:customStyle="1" w:styleId="177">
    <w:name w:val="font112"/>
    <w:basedOn w:val="52"/>
    <w:autoRedefine/>
    <w:qFormat/>
    <w:uiPriority w:val="0"/>
    <w:rPr>
      <w:rFonts w:hint="eastAsia" w:ascii="仿宋_GB2312" w:eastAsia="仿宋_GB2312" w:cs="仿宋_GB2312"/>
      <w:color w:val="000000"/>
      <w:sz w:val="21"/>
      <w:szCs w:val="21"/>
      <w:u w:val="none"/>
    </w:rPr>
  </w:style>
  <w:style w:type="paragraph" w:customStyle="1" w:styleId="178">
    <w:name w:val="xl29164"/>
    <w:basedOn w:val="1"/>
    <w:autoRedefine/>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autoRedefine/>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autoRedefine/>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autoRedefine/>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autoRedefine/>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autoRedefine/>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autoRedefine/>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autoRedefine/>
    <w:qFormat/>
    <w:uiPriority w:val="0"/>
    <w:rPr>
      <w:rFonts w:eastAsia="Times New Roman"/>
      <w:sz w:val="24"/>
      <w:szCs w:val="24"/>
    </w:rPr>
  </w:style>
  <w:style w:type="paragraph" w:customStyle="1" w:styleId="276">
    <w:name w:val="正文－段落"/>
    <w:link w:val="275"/>
    <w:autoRedefine/>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autoRedefine/>
    <w:qFormat/>
    <w:uiPriority w:val="0"/>
    <w:rPr>
      <w:rFonts w:ascii="宋体" w:hAnsi="Courier New"/>
      <w:spacing w:val="-8"/>
      <w:kern w:val="2"/>
      <w:sz w:val="24"/>
    </w:rPr>
  </w:style>
  <w:style w:type="character" w:customStyle="1" w:styleId="278">
    <w:name w:val="日期 Char"/>
    <w:autoRedefine/>
    <w:qFormat/>
    <w:uiPriority w:val="0"/>
    <w:rPr>
      <w:rFonts w:ascii="宋体" w:hAnsi="宋体"/>
      <w:sz w:val="24"/>
    </w:rPr>
  </w:style>
  <w:style w:type="character" w:customStyle="1" w:styleId="279">
    <w:name w:val="Char Char9"/>
    <w:autoRedefine/>
    <w:qFormat/>
    <w:uiPriority w:val="0"/>
    <w:rPr>
      <w:rFonts w:hint="default" w:ascii="Calibri" w:hAnsi="Calibri" w:eastAsia="宋体"/>
      <w:sz w:val="18"/>
      <w:szCs w:val="18"/>
      <w:lang w:bidi="ar-SA"/>
    </w:rPr>
  </w:style>
  <w:style w:type="character" w:customStyle="1" w:styleId="280">
    <w:name w:val="Char Char17"/>
    <w:autoRedefine/>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autoRedefine/>
    <w:qFormat/>
    <w:uiPriority w:val="0"/>
    <w:rPr>
      <w:rFonts w:ascii="黑体" w:hAnsi="Courier New" w:eastAsia="黑体" w:cs="Courier New"/>
    </w:rPr>
  </w:style>
  <w:style w:type="character" w:customStyle="1" w:styleId="282">
    <w:name w:val="1.5倍行距 Char Char"/>
    <w:link w:val="283"/>
    <w:autoRedefine/>
    <w:qFormat/>
    <w:uiPriority w:val="0"/>
    <w:rPr>
      <w:kern w:val="2"/>
      <w:sz w:val="21"/>
      <w:szCs w:val="24"/>
    </w:rPr>
  </w:style>
  <w:style w:type="paragraph" w:customStyle="1" w:styleId="283">
    <w:name w:val="1.5倍行距"/>
    <w:basedOn w:val="1"/>
    <w:link w:val="282"/>
    <w:autoRedefine/>
    <w:qFormat/>
    <w:uiPriority w:val="0"/>
    <w:pPr>
      <w:spacing w:line="360" w:lineRule="auto"/>
      <w:ind w:firstLine="420"/>
    </w:pPr>
  </w:style>
  <w:style w:type="character" w:customStyle="1" w:styleId="284">
    <w:name w:val="H2 Char1"/>
    <w:autoRedefine/>
    <w:qFormat/>
    <w:uiPriority w:val="0"/>
    <w:rPr>
      <w:rFonts w:ascii="Cambria" w:hAnsi="Cambria"/>
      <w:b/>
      <w:bCs/>
      <w:sz w:val="32"/>
      <w:szCs w:val="32"/>
    </w:rPr>
  </w:style>
  <w:style w:type="character" w:customStyle="1" w:styleId="285">
    <w:name w:val="Char Char4"/>
    <w:autoRedefine/>
    <w:qFormat/>
    <w:uiPriority w:val="0"/>
    <w:rPr>
      <w:rFonts w:hint="default" w:ascii="Calibri" w:hAnsi="Calibri" w:eastAsia="宋体"/>
      <w:kern w:val="2"/>
      <w:sz w:val="21"/>
      <w:szCs w:val="22"/>
      <w:lang w:val="en-US" w:eastAsia="zh-CN" w:bidi="ar-SA"/>
    </w:rPr>
  </w:style>
  <w:style w:type="character" w:customStyle="1" w:styleId="286">
    <w:name w:val="正文文本缩进 2 Char"/>
    <w:autoRedefine/>
    <w:qFormat/>
    <w:uiPriority w:val="0"/>
    <w:rPr>
      <w:kern w:val="2"/>
      <w:sz w:val="21"/>
    </w:rPr>
  </w:style>
  <w:style w:type="character" w:customStyle="1" w:styleId="287">
    <w:name w:val="签名 字符"/>
    <w:link w:val="33"/>
    <w:autoRedefine/>
    <w:qFormat/>
    <w:uiPriority w:val="0"/>
    <w:rPr>
      <w:rFonts w:eastAsia="楷体_GB2312"/>
      <w:kern w:val="2"/>
      <w:sz w:val="21"/>
    </w:rPr>
  </w:style>
  <w:style w:type="character" w:customStyle="1" w:styleId="288">
    <w:name w:val="标题2 Char"/>
    <w:link w:val="289"/>
    <w:autoRedefine/>
    <w:qFormat/>
    <w:uiPriority w:val="0"/>
    <w:rPr>
      <w:rFonts w:ascii="仿宋" w:hAnsi="仿宋" w:eastAsia="仿宋"/>
      <w:b/>
      <w:bCs/>
      <w:color w:val="000000"/>
      <w:kern w:val="2"/>
      <w:sz w:val="24"/>
      <w:szCs w:val="24"/>
    </w:rPr>
  </w:style>
  <w:style w:type="paragraph" w:customStyle="1" w:styleId="289">
    <w:name w:val="标题2"/>
    <w:basedOn w:val="290"/>
    <w:link w:val="288"/>
    <w:autoRedefine/>
    <w:qFormat/>
    <w:uiPriority w:val="0"/>
    <w:pPr>
      <w:tabs>
        <w:tab w:val="left" w:pos="425"/>
        <w:tab w:val="left" w:pos="709"/>
        <w:tab w:val="left" w:pos="851"/>
        <w:tab w:val="left" w:pos="1419"/>
      </w:tabs>
    </w:pPr>
    <w:rPr>
      <w:szCs w:val="24"/>
    </w:rPr>
  </w:style>
  <w:style w:type="paragraph" w:customStyle="1" w:styleId="290">
    <w:name w:val="三级"/>
    <w:basedOn w:val="3"/>
    <w:link w:val="291"/>
    <w:autoRedefine/>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autoRedefine/>
    <w:qFormat/>
    <w:uiPriority w:val="0"/>
    <w:rPr>
      <w:rFonts w:ascii="仿宋" w:hAnsi="仿宋" w:eastAsia="仿宋"/>
      <w:b/>
      <w:bCs/>
      <w:color w:val="000000"/>
      <w:kern w:val="2"/>
      <w:sz w:val="32"/>
      <w:szCs w:val="32"/>
    </w:rPr>
  </w:style>
  <w:style w:type="character" w:customStyle="1" w:styleId="292">
    <w:name w:val="正文文本首行缩进 2 字符"/>
    <w:link w:val="49"/>
    <w:autoRedefine/>
    <w:qFormat/>
    <w:uiPriority w:val="0"/>
    <w:rPr>
      <w:sz w:val="24"/>
      <w:szCs w:val="24"/>
    </w:rPr>
  </w:style>
  <w:style w:type="character" w:customStyle="1" w:styleId="293">
    <w:name w:val="正文首行缩进 Char Char Char1"/>
    <w:autoRedefine/>
    <w:qFormat/>
    <w:uiPriority w:val="0"/>
    <w:rPr>
      <w:rFonts w:ascii="Times New Roman" w:hAnsi="Times New Roman"/>
      <w:kern w:val="2"/>
      <w:sz w:val="24"/>
      <w:szCs w:val="24"/>
    </w:rPr>
  </w:style>
  <w:style w:type="character" w:customStyle="1" w:styleId="294">
    <w:name w:val="标题 Char1"/>
    <w:autoRedefine/>
    <w:qFormat/>
    <w:uiPriority w:val="0"/>
    <w:rPr>
      <w:rFonts w:ascii="Arial" w:hAnsi="Arial"/>
      <w:b/>
      <w:kern w:val="2"/>
      <w:sz w:val="36"/>
      <w:szCs w:val="24"/>
    </w:rPr>
  </w:style>
  <w:style w:type="character" w:customStyle="1" w:styleId="295">
    <w:name w:val="正文文本 字符"/>
    <w:autoRedefine/>
    <w:qFormat/>
    <w:uiPriority w:val="0"/>
    <w:rPr>
      <w:rFonts w:eastAsia="宋体"/>
      <w:kern w:val="2"/>
      <w:sz w:val="21"/>
      <w:szCs w:val="24"/>
      <w:lang w:bidi="ar-SA"/>
    </w:rPr>
  </w:style>
  <w:style w:type="character" w:customStyle="1" w:styleId="296">
    <w:name w:val="正文文本缩进 Char"/>
    <w:autoRedefine/>
    <w:qFormat/>
    <w:uiPriority w:val="0"/>
    <w:rPr>
      <w:kern w:val="2"/>
      <w:sz w:val="24"/>
    </w:rPr>
  </w:style>
  <w:style w:type="character" w:customStyle="1" w:styleId="297">
    <w:name w:val="题注 字符"/>
    <w:link w:val="15"/>
    <w:autoRedefine/>
    <w:qFormat/>
    <w:uiPriority w:val="0"/>
    <w:rPr>
      <w:rFonts w:ascii="Cambria" w:hAnsi="Cambria" w:eastAsia="黑体"/>
      <w:kern w:val="2"/>
      <w:sz w:val="21"/>
      <w:szCs w:val="24"/>
    </w:rPr>
  </w:style>
  <w:style w:type="character" w:customStyle="1" w:styleId="298">
    <w:name w:val="bt Char1"/>
    <w:autoRedefine/>
    <w:qFormat/>
    <w:uiPriority w:val="0"/>
    <w:rPr>
      <w:rFonts w:ascii="Times New Roman" w:hAnsi="Times New Roman"/>
      <w:kern w:val="2"/>
      <w:sz w:val="24"/>
      <w:szCs w:val="24"/>
    </w:rPr>
  </w:style>
  <w:style w:type="character" w:customStyle="1" w:styleId="299">
    <w:name w:val="Char Char18"/>
    <w:autoRedefine/>
    <w:qFormat/>
    <w:uiPriority w:val="0"/>
    <w:rPr>
      <w:rFonts w:hint="default" w:ascii="Cambria" w:hAnsi="Cambria" w:eastAsia="宋体"/>
      <w:b/>
      <w:bCs/>
      <w:sz w:val="32"/>
      <w:szCs w:val="32"/>
      <w:lang w:bidi="ar-SA"/>
    </w:rPr>
  </w:style>
  <w:style w:type="character" w:customStyle="1" w:styleId="300">
    <w:name w:val="四级 Char"/>
    <w:link w:val="301"/>
    <w:autoRedefine/>
    <w:qFormat/>
    <w:uiPriority w:val="0"/>
    <w:rPr>
      <w:rFonts w:ascii="仿宋" w:hAnsi="仿宋" w:eastAsia="仿宋"/>
      <w:bCs/>
      <w:kern w:val="2"/>
      <w:sz w:val="32"/>
      <w:szCs w:val="32"/>
    </w:rPr>
  </w:style>
  <w:style w:type="paragraph" w:customStyle="1" w:styleId="301">
    <w:name w:val="四级"/>
    <w:basedOn w:val="5"/>
    <w:link w:val="300"/>
    <w:autoRedefine/>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autoRedefine/>
    <w:qFormat/>
    <w:uiPriority w:val="0"/>
  </w:style>
  <w:style w:type="character" w:customStyle="1" w:styleId="303">
    <w:name w:val="p141"/>
    <w:autoRedefine/>
    <w:qFormat/>
    <w:uiPriority w:val="0"/>
    <w:rPr>
      <w:sz w:val="21"/>
      <w:szCs w:val="21"/>
    </w:rPr>
  </w:style>
  <w:style w:type="character" w:customStyle="1" w:styleId="304">
    <w:name w:val="正文文本缩进 3 Char"/>
    <w:autoRedefine/>
    <w:qFormat/>
    <w:uiPriority w:val="0"/>
    <w:rPr>
      <w:kern w:val="2"/>
      <w:sz w:val="21"/>
    </w:rPr>
  </w:style>
  <w:style w:type="character" w:customStyle="1" w:styleId="305">
    <w:name w:val="Char Char13"/>
    <w:autoRedefine/>
    <w:qFormat/>
    <w:uiPriority w:val="0"/>
    <w:rPr>
      <w:rFonts w:ascii="Cambria" w:hAnsi="Cambria" w:eastAsia="宋体"/>
      <w:sz w:val="24"/>
      <w:szCs w:val="24"/>
      <w:lang w:bidi="ar-SA"/>
    </w:rPr>
  </w:style>
  <w:style w:type="character" w:customStyle="1" w:styleId="306">
    <w:name w:val="正文文本 2 字符"/>
    <w:link w:val="43"/>
    <w:autoRedefine/>
    <w:qFormat/>
    <w:uiPriority w:val="0"/>
    <w:rPr>
      <w:kern w:val="2"/>
      <w:sz w:val="28"/>
    </w:rPr>
  </w:style>
  <w:style w:type="character" w:customStyle="1" w:styleId="307">
    <w:name w:val="Char Char5"/>
    <w:autoRedefine/>
    <w:qFormat/>
    <w:uiPriority w:val="0"/>
    <w:rPr>
      <w:rFonts w:ascii="宋体" w:hAnsi="宋体" w:eastAsia="宋体"/>
      <w:b/>
      <w:bCs/>
      <w:szCs w:val="24"/>
      <w:lang w:bidi="ar-SA"/>
    </w:rPr>
  </w:style>
  <w:style w:type="character" w:customStyle="1" w:styleId="308">
    <w:name w:val="正文文本 2 Char"/>
    <w:autoRedefine/>
    <w:qFormat/>
    <w:uiPriority w:val="0"/>
    <w:rPr>
      <w:kern w:val="2"/>
      <w:sz w:val="28"/>
    </w:rPr>
  </w:style>
  <w:style w:type="character" w:customStyle="1" w:styleId="309">
    <w:name w:val="Char Char6"/>
    <w:autoRedefine/>
    <w:qFormat/>
    <w:uiPriority w:val="0"/>
    <w:rPr>
      <w:rFonts w:ascii="宋体" w:hAnsi="宋体" w:eastAsia="宋体"/>
      <w:szCs w:val="24"/>
      <w:lang w:bidi="ar-SA"/>
    </w:rPr>
  </w:style>
  <w:style w:type="character" w:customStyle="1" w:styleId="310">
    <w:name w:val="Char Char15"/>
    <w:autoRedefine/>
    <w:qFormat/>
    <w:uiPriority w:val="0"/>
    <w:rPr>
      <w:rFonts w:hint="default" w:ascii="Cambria" w:hAnsi="Cambria" w:eastAsia="宋体"/>
      <w:b/>
      <w:bCs/>
      <w:sz w:val="24"/>
      <w:szCs w:val="24"/>
      <w:lang w:bidi="ar-SA"/>
    </w:rPr>
  </w:style>
  <w:style w:type="character" w:customStyle="1" w:styleId="311">
    <w:name w:val="H4 Char"/>
    <w:autoRedefine/>
    <w:qFormat/>
    <w:uiPriority w:val="0"/>
    <w:rPr>
      <w:rFonts w:ascii="Cambria" w:hAnsi="Cambria" w:eastAsia="仿宋_GB2312"/>
      <w:b/>
      <w:bCs/>
      <w:sz w:val="32"/>
      <w:szCs w:val="28"/>
    </w:rPr>
  </w:style>
  <w:style w:type="character" w:customStyle="1" w:styleId="312">
    <w:name w:val="Char Char20"/>
    <w:autoRedefine/>
    <w:qFormat/>
    <w:uiPriority w:val="0"/>
    <w:rPr>
      <w:rFonts w:eastAsia="宋体"/>
      <w:b/>
      <w:kern w:val="2"/>
      <w:sz w:val="28"/>
      <w:lang w:bidi="ar-SA"/>
    </w:rPr>
  </w:style>
  <w:style w:type="character" w:customStyle="1" w:styleId="313">
    <w:name w:val="正文文本缩进 3 字符"/>
    <w:link w:val="40"/>
    <w:autoRedefine/>
    <w:qFormat/>
    <w:uiPriority w:val="0"/>
    <w:rPr>
      <w:kern w:val="2"/>
      <w:sz w:val="21"/>
    </w:rPr>
  </w:style>
  <w:style w:type="character" w:customStyle="1" w:styleId="314">
    <w:name w:val="Char Char16"/>
    <w:autoRedefine/>
    <w:qFormat/>
    <w:uiPriority w:val="0"/>
    <w:rPr>
      <w:rFonts w:hint="eastAsia" w:ascii="仿宋_GB2313" w:hAnsi="仿宋_GB2313" w:eastAsia="仿宋_GB2312"/>
      <w:b/>
      <w:bCs/>
      <w:sz w:val="32"/>
      <w:szCs w:val="28"/>
      <w:lang w:bidi="ar-SA"/>
    </w:rPr>
  </w:style>
  <w:style w:type="character" w:customStyle="1" w:styleId="315">
    <w:name w:val="Char Char7"/>
    <w:autoRedefine/>
    <w:qFormat/>
    <w:uiPriority w:val="0"/>
    <w:rPr>
      <w:rFonts w:ascii="宋体" w:hAnsi="宋体" w:eastAsia="宋体"/>
      <w:sz w:val="24"/>
      <w:szCs w:val="24"/>
      <w:lang w:bidi="ar-SA"/>
    </w:rPr>
  </w:style>
  <w:style w:type="character" w:customStyle="1" w:styleId="316">
    <w:name w:val="日期 字符"/>
    <w:link w:val="28"/>
    <w:autoRedefine/>
    <w:qFormat/>
    <w:uiPriority w:val="0"/>
    <w:rPr>
      <w:rFonts w:ascii="宋体" w:hAnsi="宋体"/>
      <w:kern w:val="2"/>
      <w:sz w:val="24"/>
      <w:szCs w:val="24"/>
    </w:rPr>
  </w:style>
  <w:style w:type="character" w:customStyle="1" w:styleId="317">
    <w:name w:val="Char Char12"/>
    <w:autoRedefine/>
    <w:qFormat/>
    <w:uiPriority w:val="0"/>
    <w:rPr>
      <w:rFonts w:hint="default" w:ascii="Cambria" w:hAnsi="Cambria" w:eastAsia="宋体"/>
      <w:szCs w:val="21"/>
      <w:lang w:bidi="ar-SA"/>
    </w:rPr>
  </w:style>
  <w:style w:type="character" w:customStyle="1" w:styleId="318">
    <w:name w:val="标题 4 Char"/>
    <w:autoRedefine/>
    <w:qFormat/>
    <w:uiPriority w:val="0"/>
    <w:rPr>
      <w:rFonts w:ascii="Arial" w:hAnsi="Arial" w:eastAsia="黑体"/>
      <w:b/>
      <w:kern w:val="2"/>
      <w:sz w:val="24"/>
    </w:rPr>
  </w:style>
  <w:style w:type="character" w:customStyle="1" w:styleId="319">
    <w:name w:val="Char Char2"/>
    <w:autoRedefine/>
    <w:qFormat/>
    <w:uiPriority w:val="0"/>
    <w:rPr>
      <w:rFonts w:ascii="宋体" w:hAnsi="宋体" w:eastAsia="宋体"/>
      <w:kern w:val="2"/>
      <w:sz w:val="24"/>
      <w:szCs w:val="24"/>
      <w:lang w:val="en-US" w:eastAsia="zh-CN" w:bidi="ar-SA"/>
    </w:rPr>
  </w:style>
  <w:style w:type="character" w:customStyle="1" w:styleId="320">
    <w:name w:val="*正文 Char"/>
    <w:link w:val="321"/>
    <w:autoRedefine/>
    <w:qFormat/>
    <w:uiPriority w:val="0"/>
    <w:rPr>
      <w:rFonts w:ascii="宋体" w:hAnsi="宋体"/>
      <w:sz w:val="24"/>
      <w:szCs w:val="24"/>
    </w:rPr>
  </w:style>
  <w:style w:type="paragraph" w:customStyle="1" w:styleId="321">
    <w:name w:val="*正文"/>
    <w:basedOn w:val="1"/>
    <w:link w:val="320"/>
    <w:autoRedefine/>
    <w:qFormat/>
    <w:uiPriority w:val="0"/>
    <w:pPr>
      <w:spacing w:line="360" w:lineRule="auto"/>
      <w:ind w:firstLine="200" w:firstLineChars="200"/>
    </w:pPr>
    <w:rPr>
      <w:rFonts w:ascii="宋体" w:hAnsi="宋体"/>
      <w:kern w:val="0"/>
      <w:sz w:val="24"/>
    </w:rPr>
  </w:style>
  <w:style w:type="character" w:customStyle="1" w:styleId="322">
    <w:name w:val="页脚 字符1"/>
    <w:autoRedefine/>
    <w:qFormat/>
    <w:uiPriority w:val="0"/>
    <w:rPr>
      <w:rFonts w:eastAsia="宋体"/>
      <w:kern w:val="2"/>
      <w:sz w:val="18"/>
      <w:lang w:bidi="ar-SA"/>
    </w:rPr>
  </w:style>
  <w:style w:type="character" w:customStyle="1" w:styleId="323">
    <w:name w:val="GP正文[858D7CFB-ED40-4347-BF05-701D383B685F]"/>
    <w:link w:val="324"/>
    <w:autoRedefine/>
    <w:qFormat/>
    <w:uiPriority w:val="0"/>
    <w:rPr>
      <w:rFonts w:ascii="宋体" w:hAnsi="宋体"/>
      <w:kern w:val="2"/>
      <w:sz w:val="24"/>
      <w:szCs w:val="24"/>
    </w:rPr>
  </w:style>
  <w:style w:type="paragraph" w:customStyle="1" w:styleId="324">
    <w:name w:val="GP正文"/>
    <w:basedOn w:val="1"/>
    <w:link w:val="323"/>
    <w:autoRedefine/>
    <w:qFormat/>
    <w:uiPriority w:val="0"/>
    <w:pPr>
      <w:spacing w:line="360" w:lineRule="auto"/>
      <w:ind w:firstLine="200" w:firstLineChars="200"/>
      <w:jc w:val="left"/>
    </w:pPr>
    <w:rPr>
      <w:rFonts w:ascii="宋体" w:hAnsi="宋体"/>
      <w:sz w:val="24"/>
    </w:rPr>
  </w:style>
  <w:style w:type="character" w:customStyle="1" w:styleId="325">
    <w:name w:val="Char Char14"/>
    <w:autoRedefine/>
    <w:qFormat/>
    <w:uiPriority w:val="0"/>
    <w:rPr>
      <w:rFonts w:ascii="Calibri" w:hAnsi="Calibri" w:eastAsia="宋体"/>
      <w:b/>
      <w:bCs/>
      <w:sz w:val="24"/>
      <w:szCs w:val="24"/>
      <w:lang w:bidi="ar-SA"/>
    </w:rPr>
  </w:style>
  <w:style w:type="character" w:customStyle="1" w:styleId="326">
    <w:name w:val="Char Char19"/>
    <w:autoRedefine/>
    <w:qFormat/>
    <w:uiPriority w:val="0"/>
    <w:rPr>
      <w:rFonts w:ascii="Arial" w:hAnsi="Arial" w:eastAsia="黑体"/>
      <w:b/>
      <w:kern w:val="2"/>
      <w:sz w:val="24"/>
      <w:lang w:bidi="ar-SA"/>
    </w:rPr>
  </w:style>
  <w:style w:type="character" w:customStyle="1" w:styleId="327">
    <w:name w:val="正文文本 Char1"/>
    <w:autoRedefine/>
    <w:qFormat/>
    <w:uiPriority w:val="0"/>
    <w:rPr>
      <w:kern w:val="2"/>
      <w:sz w:val="21"/>
      <w:szCs w:val="24"/>
    </w:rPr>
  </w:style>
  <w:style w:type="character" w:customStyle="1" w:styleId="328">
    <w:name w:val="二级 Char"/>
    <w:link w:val="329"/>
    <w:autoRedefine/>
    <w:qFormat/>
    <w:uiPriority w:val="0"/>
    <w:rPr>
      <w:rFonts w:ascii="仿宋" w:hAnsi="仿宋" w:eastAsia="仿宋"/>
      <w:b/>
      <w:bCs/>
      <w:spacing w:val="24"/>
      <w:kern w:val="2"/>
      <w:sz w:val="32"/>
      <w:szCs w:val="32"/>
    </w:rPr>
  </w:style>
  <w:style w:type="paragraph" w:customStyle="1" w:styleId="329">
    <w:name w:val="二级"/>
    <w:basedOn w:val="4"/>
    <w:link w:val="328"/>
    <w:autoRedefine/>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autoRedefine/>
    <w:qFormat/>
    <w:uiPriority w:val="0"/>
    <w:rPr>
      <w:rFonts w:eastAsia="楷体_GB2312"/>
      <w:kern w:val="2"/>
      <w:sz w:val="21"/>
    </w:rPr>
  </w:style>
  <w:style w:type="character" w:customStyle="1" w:styleId="331">
    <w:name w:val="Char Char"/>
    <w:autoRedefine/>
    <w:qFormat/>
    <w:uiPriority w:val="0"/>
    <w:rPr>
      <w:rFonts w:hint="eastAsia" w:ascii="宋体" w:hAnsi="Courier New" w:eastAsia="宋体"/>
      <w:spacing w:val="-8"/>
      <w:kern w:val="2"/>
      <w:sz w:val="24"/>
      <w:lang w:val="en-US" w:eastAsia="zh-CN" w:bidi="ar-SA"/>
    </w:rPr>
  </w:style>
  <w:style w:type="character" w:customStyle="1" w:styleId="332">
    <w:name w:val="Char Char11"/>
    <w:autoRedefine/>
    <w:qFormat/>
    <w:uiPriority w:val="0"/>
    <w:rPr>
      <w:rFonts w:hint="default" w:ascii="Calibri" w:hAnsi="Calibri" w:eastAsia="宋体"/>
      <w:sz w:val="18"/>
      <w:szCs w:val="18"/>
      <w:lang w:bidi="ar-SA"/>
    </w:rPr>
  </w:style>
  <w:style w:type="character" w:customStyle="1" w:styleId="333">
    <w:name w:val="页眉 字符1"/>
    <w:autoRedefine/>
    <w:qFormat/>
    <w:uiPriority w:val="0"/>
    <w:rPr>
      <w:rFonts w:eastAsia="宋体"/>
      <w:kern w:val="2"/>
      <w:sz w:val="18"/>
      <w:szCs w:val="18"/>
      <w:lang w:bidi="ar-SA"/>
    </w:rPr>
  </w:style>
  <w:style w:type="character" w:customStyle="1" w:styleId="334">
    <w:name w:val="正文首行缩进 Char1"/>
    <w:autoRedefine/>
    <w:qFormat/>
    <w:uiPriority w:val="0"/>
    <w:rPr>
      <w:kern w:val="2"/>
      <w:sz w:val="21"/>
    </w:rPr>
  </w:style>
  <w:style w:type="character" w:customStyle="1" w:styleId="335">
    <w:name w:val="页眉 Char1"/>
    <w:autoRedefine/>
    <w:qFormat/>
    <w:uiPriority w:val="0"/>
    <w:rPr>
      <w:rFonts w:eastAsia="宋体"/>
      <w:kern w:val="2"/>
      <w:sz w:val="18"/>
      <w:szCs w:val="18"/>
      <w:lang w:val="en-US" w:eastAsia="zh-CN" w:bidi="ar-SA"/>
    </w:rPr>
  </w:style>
  <w:style w:type="character" w:customStyle="1" w:styleId="336">
    <w:name w:val="题注 Char"/>
    <w:autoRedefine/>
    <w:qFormat/>
    <w:uiPriority w:val="0"/>
    <w:rPr>
      <w:rFonts w:ascii="Cambria" w:hAnsi="Cambria" w:eastAsia="黑体"/>
      <w:kern w:val="2"/>
      <w:lang w:bidi="ar-SA"/>
    </w:rPr>
  </w:style>
  <w:style w:type="character" w:customStyle="1" w:styleId="337">
    <w:name w:val="样式 标题 3 + 小四 Char"/>
    <w:autoRedefine/>
    <w:qFormat/>
    <w:uiPriority w:val="0"/>
    <w:rPr>
      <w:rFonts w:ascii="宋体" w:hAnsi="宋体" w:cs="Arial"/>
      <w:b/>
      <w:bCs/>
      <w:smallCaps/>
      <w:sz w:val="24"/>
      <w:lang w:val="en-US" w:eastAsia="zh-CN"/>
    </w:rPr>
  </w:style>
  <w:style w:type="character" w:customStyle="1" w:styleId="338">
    <w:name w:val="unnamed21"/>
    <w:autoRedefine/>
    <w:qFormat/>
    <w:uiPriority w:val="0"/>
    <w:rPr>
      <w:color w:val="CC6633"/>
      <w:u w:val="none"/>
    </w:rPr>
  </w:style>
  <w:style w:type="character" w:customStyle="1" w:styleId="339">
    <w:name w:val="16"/>
    <w:autoRedefine/>
    <w:qFormat/>
    <w:uiPriority w:val="0"/>
    <w:rPr>
      <w:rFonts w:hint="eastAsia" w:ascii="宋体" w:hAnsi="宋体" w:eastAsia="宋体" w:cs="Arial"/>
      <w:b/>
      <w:bCs/>
      <w:smallCaps/>
      <w:kern w:val="2"/>
      <w:sz w:val="24"/>
      <w:szCs w:val="24"/>
    </w:rPr>
  </w:style>
  <w:style w:type="character" w:customStyle="1" w:styleId="340">
    <w:name w:val="正文文本缩进 字符"/>
    <w:autoRedefine/>
    <w:qFormat/>
    <w:uiPriority w:val="0"/>
    <w:rPr>
      <w:rFonts w:eastAsia="宋体"/>
      <w:kern w:val="2"/>
      <w:sz w:val="24"/>
      <w:lang w:bidi="ar-SA"/>
    </w:rPr>
  </w:style>
  <w:style w:type="character" w:customStyle="1" w:styleId="341">
    <w:name w:val="Char Char8"/>
    <w:autoRedefine/>
    <w:qFormat/>
    <w:uiPriority w:val="0"/>
    <w:rPr>
      <w:rFonts w:hint="default" w:ascii="Calibri" w:hAnsi="Calibri" w:eastAsia="宋体"/>
      <w:kern w:val="2"/>
      <w:sz w:val="21"/>
      <w:szCs w:val="22"/>
      <w:lang w:val="en-US" w:eastAsia="zh-CN" w:bidi="ar-SA"/>
    </w:rPr>
  </w:style>
  <w:style w:type="character" w:customStyle="1" w:styleId="342">
    <w:name w:val="H3 Char1"/>
    <w:autoRedefine/>
    <w:qFormat/>
    <w:uiPriority w:val="0"/>
    <w:rPr>
      <w:rFonts w:ascii="仿宋_GB2312" w:eastAsia="仿宋_GB2312"/>
      <w:b/>
      <w:bCs/>
      <w:color w:val="000000"/>
      <w:kern w:val="2"/>
      <w:sz w:val="32"/>
      <w:szCs w:val="32"/>
    </w:rPr>
  </w:style>
  <w:style w:type="character" w:customStyle="1" w:styleId="343">
    <w:name w:val="Char Char1"/>
    <w:autoRedefine/>
    <w:qFormat/>
    <w:uiPriority w:val="0"/>
    <w:rPr>
      <w:rFonts w:hint="eastAsia" w:ascii="宋体" w:hAnsi="宋体" w:eastAsia="宋体"/>
      <w:kern w:val="2"/>
      <w:sz w:val="21"/>
      <w:szCs w:val="24"/>
      <w:lang w:val="en-US" w:eastAsia="zh-CN" w:bidi="ar-SA"/>
    </w:rPr>
  </w:style>
  <w:style w:type="character" w:customStyle="1" w:styleId="344">
    <w:name w:val="Char Char10"/>
    <w:autoRedefine/>
    <w:qFormat/>
    <w:uiPriority w:val="0"/>
    <w:rPr>
      <w:rFonts w:eastAsia="宋体"/>
      <w:kern w:val="2"/>
      <w:sz w:val="18"/>
      <w:szCs w:val="18"/>
      <w:lang w:val="en-US" w:eastAsia="zh-CN" w:bidi="ar-SA"/>
    </w:rPr>
  </w:style>
  <w:style w:type="character" w:customStyle="1" w:styleId="345">
    <w:name w:val="文档正文 Char"/>
    <w:link w:val="346"/>
    <w:autoRedefine/>
    <w:qFormat/>
    <w:uiPriority w:val="0"/>
    <w:rPr>
      <w:rFonts w:ascii="Arial" w:hAnsi="Arial" w:cs="Arial"/>
      <w:bCs/>
      <w:kern w:val="2"/>
      <w:sz w:val="24"/>
      <w:szCs w:val="24"/>
    </w:rPr>
  </w:style>
  <w:style w:type="paragraph" w:customStyle="1" w:styleId="346">
    <w:name w:val="文档正文"/>
    <w:basedOn w:val="1"/>
    <w:link w:val="345"/>
    <w:autoRedefine/>
    <w:qFormat/>
    <w:uiPriority w:val="0"/>
    <w:rPr>
      <w:rFonts w:ascii="Arial" w:hAnsi="Arial" w:cs="Arial"/>
      <w:bCs/>
      <w:sz w:val="24"/>
    </w:rPr>
  </w:style>
  <w:style w:type="character" w:customStyle="1" w:styleId="347">
    <w:name w:val="正文文本 2 Char2"/>
    <w:basedOn w:val="52"/>
    <w:autoRedefine/>
    <w:semiHidden/>
    <w:qFormat/>
    <w:uiPriority w:val="0"/>
    <w:rPr>
      <w:kern w:val="2"/>
      <w:sz w:val="21"/>
      <w:szCs w:val="24"/>
    </w:rPr>
  </w:style>
  <w:style w:type="character" w:customStyle="1" w:styleId="348">
    <w:name w:val="标题 字符1"/>
    <w:basedOn w:val="52"/>
    <w:autoRedefine/>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autoRedefine/>
    <w:qFormat/>
    <w:uiPriority w:val="0"/>
    <w:rPr>
      <w:kern w:val="2"/>
      <w:sz w:val="21"/>
      <w:szCs w:val="24"/>
    </w:rPr>
  </w:style>
  <w:style w:type="character" w:customStyle="1" w:styleId="350">
    <w:name w:val="签名 Char2"/>
    <w:basedOn w:val="52"/>
    <w:autoRedefine/>
    <w:semiHidden/>
    <w:qFormat/>
    <w:uiPriority w:val="0"/>
    <w:rPr>
      <w:kern w:val="2"/>
      <w:sz w:val="21"/>
      <w:szCs w:val="24"/>
    </w:rPr>
  </w:style>
  <w:style w:type="character" w:customStyle="1" w:styleId="351">
    <w:name w:val="正文文本缩进 3 Char2"/>
    <w:basedOn w:val="52"/>
    <w:autoRedefine/>
    <w:semiHidden/>
    <w:qFormat/>
    <w:uiPriority w:val="0"/>
    <w:rPr>
      <w:kern w:val="2"/>
      <w:sz w:val="16"/>
      <w:szCs w:val="16"/>
    </w:rPr>
  </w:style>
  <w:style w:type="character" w:customStyle="1" w:styleId="352">
    <w:name w:val="日期 Char2"/>
    <w:basedOn w:val="52"/>
    <w:autoRedefine/>
    <w:semiHidden/>
    <w:qFormat/>
    <w:uiPriority w:val="0"/>
    <w:rPr>
      <w:kern w:val="2"/>
      <w:sz w:val="21"/>
      <w:szCs w:val="24"/>
    </w:rPr>
  </w:style>
  <w:style w:type="paragraph" w:customStyle="1" w:styleId="353">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autoRedefine/>
    <w:qFormat/>
    <w:uiPriority w:val="0"/>
    <w:pPr>
      <w:widowControl/>
      <w:jc w:val="center"/>
    </w:pPr>
    <w:rPr>
      <w:rFonts w:ascii="Arial" w:hAnsi="Arial"/>
      <w:b/>
      <w:kern w:val="0"/>
      <w:sz w:val="18"/>
      <w:szCs w:val="20"/>
    </w:rPr>
  </w:style>
  <w:style w:type="paragraph" w:customStyle="1" w:styleId="359">
    <w:name w:val="4"/>
    <w:basedOn w:val="1"/>
    <w:next w:val="1"/>
    <w:autoRedefine/>
    <w:qFormat/>
    <w:uiPriority w:val="0"/>
  </w:style>
  <w:style w:type="paragraph" w:customStyle="1" w:styleId="36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autoRedefine/>
    <w:qFormat/>
    <w:uiPriority w:val="0"/>
    <w:pPr>
      <w:spacing w:line="360" w:lineRule="auto"/>
      <w:ind w:firstLine="200" w:firstLineChars="200"/>
    </w:pPr>
    <w:rPr>
      <w:szCs w:val="20"/>
    </w:rPr>
  </w:style>
  <w:style w:type="paragraph" w:customStyle="1" w:styleId="362">
    <w:name w:val="样式 标题 5H5dashdsddh5PIM 5口一heading 5Titre5Table label...3"/>
    <w:basedOn w:val="6"/>
    <w:autoRedefine/>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autoRedefine/>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autoRedefine/>
    <w:qFormat/>
    <w:uiPriority w:val="0"/>
    <w:pPr>
      <w:tabs>
        <w:tab w:val="right" w:leader="dot" w:pos="9458"/>
      </w:tabs>
    </w:pPr>
    <w:rPr>
      <w:rFonts w:ascii="Arial" w:cs="Arial"/>
      <w:i/>
    </w:rPr>
  </w:style>
  <w:style w:type="paragraph" w:customStyle="1" w:styleId="365">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autoRedefine/>
    <w:qFormat/>
    <w:uiPriority w:val="0"/>
    <w:pPr>
      <w:keepLines/>
      <w:widowControl/>
      <w:spacing w:beforeLines="50" w:afterLines="50" w:line="300" w:lineRule="auto"/>
    </w:pPr>
    <w:rPr>
      <w:rFonts w:ascii="Arial" w:hAnsi="Arial"/>
      <w:bCs/>
    </w:rPr>
  </w:style>
  <w:style w:type="paragraph" w:customStyle="1" w:styleId="367">
    <w:name w:val="样式5"/>
    <w:basedOn w:val="368"/>
    <w:next w:val="368"/>
    <w:autoRedefine/>
    <w:qFormat/>
    <w:uiPriority w:val="0"/>
    <w:pPr>
      <w:tabs>
        <w:tab w:val="right" w:leader="dot" w:pos="9458"/>
      </w:tabs>
    </w:pPr>
  </w:style>
  <w:style w:type="paragraph" w:customStyle="1" w:styleId="368">
    <w:name w:val="样式4"/>
    <w:basedOn w:val="34"/>
    <w:autoRedefine/>
    <w:qFormat/>
    <w:uiPriority w:val="0"/>
    <w:pPr>
      <w:tabs>
        <w:tab w:val="right" w:leader="dot" w:pos="9458"/>
      </w:tabs>
    </w:pPr>
    <w:rPr>
      <w:b w:val="0"/>
    </w:rPr>
  </w:style>
  <w:style w:type="paragraph" w:customStyle="1" w:styleId="369">
    <w:name w:val="TOC 标题1"/>
    <w:basedOn w:val="2"/>
    <w:next w:val="1"/>
    <w:autoRedefine/>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autoRedefine/>
    <w:qFormat/>
    <w:uiPriority w:val="0"/>
    <w:pPr>
      <w:widowControl/>
      <w:jc w:val="center"/>
    </w:pPr>
    <w:rPr>
      <w:rFonts w:ascii="Arial" w:hAnsi="Arial"/>
      <w:snapToGrid w:val="0"/>
      <w:kern w:val="0"/>
      <w:sz w:val="18"/>
      <w:szCs w:val="20"/>
    </w:rPr>
  </w:style>
  <w:style w:type="paragraph" w:customStyle="1" w:styleId="374">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autoRedefine/>
    <w:qFormat/>
    <w:uiPriority w:val="0"/>
    <w:pPr>
      <w:ind w:firstLine="567"/>
    </w:pPr>
    <w:rPr>
      <w:spacing w:val="20"/>
      <w:sz w:val="24"/>
      <w:szCs w:val="20"/>
    </w:rPr>
  </w:style>
  <w:style w:type="paragraph" w:customStyle="1" w:styleId="385">
    <w:name w:val="_正文"/>
    <w:basedOn w:val="1"/>
    <w:autoRedefine/>
    <w:qFormat/>
    <w:uiPriority w:val="99"/>
    <w:pPr>
      <w:spacing w:line="360" w:lineRule="auto"/>
      <w:ind w:firstLine="200" w:firstLineChars="200"/>
    </w:pPr>
    <w:rPr>
      <w:rFonts w:ascii="宋体" w:hAnsi="宋体"/>
      <w:sz w:val="24"/>
    </w:rPr>
  </w:style>
  <w:style w:type="paragraph" w:customStyle="1" w:styleId="386">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autoRedefine/>
    <w:qFormat/>
    <w:uiPriority w:val="0"/>
    <w:pPr>
      <w:ind w:firstLine="420" w:firstLineChars="200"/>
    </w:pPr>
    <w:rPr>
      <w:rFonts w:ascii="仿宋_GB2312" w:eastAsia="仿宋_GB2312" w:cs="宋体"/>
      <w:spacing w:val="6"/>
      <w:sz w:val="30"/>
      <w:szCs w:val="30"/>
    </w:rPr>
  </w:style>
  <w:style w:type="paragraph" w:customStyle="1" w:styleId="388">
    <w:name w:val="_Style 15"/>
    <w:basedOn w:val="1"/>
    <w:autoRedefine/>
    <w:qFormat/>
    <w:uiPriority w:val="0"/>
  </w:style>
  <w:style w:type="paragraph" w:customStyle="1" w:styleId="389">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autoRedefine/>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autoRedefine/>
    <w:qFormat/>
    <w:uiPriority w:val="0"/>
    <w:pPr>
      <w:ind w:left="572" w:right="32" w:firstLine="478"/>
    </w:pPr>
    <w:rPr>
      <w:szCs w:val="21"/>
    </w:rPr>
  </w:style>
  <w:style w:type="paragraph" w:customStyle="1" w:styleId="397">
    <w:name w:val="Bullet w/Single Space"/>
    <w:basedOn w:val="1"/>
    <w:autoRedefine/>
    <w:qFormat/>
    <w:uiPriority w:val="0"/>
    <w:pPr>
      <w:widowControl/>
      <w:numPr>
        <w:ilvl w:val="0"/>
        <w:numId w:val="3"/>
      </w:numPr>
      <w:ind w:left="720"/>
      <w:jc w:val="left"/>
    </w:pPr>
    <w:rPr>
      <w:kern w:val="0"/>
      <w:sz w:val="24"/>
      <w:szCs w:val="20"/>
      <w:lang w:eastAsia="en-US"/>
    </w:rPr>
  </w:style>
  <w:style w:type="paragraph" w:customStyle="1" w:styleId="398">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autoRedefine/>
    <w:qFormat/>
    <w:uiPriority w:val="0"/>
    <w:pPr>
      <w:spacing w:line="360" w:lineRule="auto"/>
      <w:ind w:hanging="420"/>
      <w:jc w:val="center"/>
    </w:pPr>
    <w:rPr>
      <w:sz w:val="24"/>
      <w:szCs w:val="20"/>
    </w:rPr>
  </w:style>
  <w:style w:type="paragraph" w:customStyle="1" w:styleId="400">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autoRedefine/>
    <w:qFormat/>
    <w:uiPriority w:val="0"/>
  </w:style>
  <w:style w:type="paragraph" w:customStyle="1" w:styleId="402">
    <w:name w:val="z1"/>
    <w:basedOn w:val="1"/>
    <w:autoRedefine/>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autoRedefine/>
    <w:qFormat/>
    <w:uiPriority w:val="0"/>
  </w:style>
  <w:style w:type="paragraph" w:customStyle="1" w:styleId="40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autoRedefine/>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autoRedefine/>
    <w:qFormat/>
    <w:uiPriority w:val="0"/>
    <w:rPr>
      <w:rFonts w:ascii="Tahoma" w:hAnsi="Tahoma"/>
      <w:sz w:val="24"/>
      <w:szCs w:val="20"/>
    </w:rPr>
  </w:style>
  <w:style w:type="paragraph" w:customStyle="1" w:styleId="409">
    <w:name w:val="正文内容"/>
    <w:basedOn w:val="1"/>
    <w:autoRedefine/>
    <w:qFormat/>
    <w:uiPriority w:val="0"/>
    <w:rPr>
      <w:rFonts w:ascii="Arial" w:hAnsi="Arial"/>
      <w:spacing w:val="-12"/>
      <w:szCs w:val="20"/>
    </w:rPr>
  </w:style>
  <w:style w:type="paragraph" w:customStyle="1" w:styleId="4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autoRedefine/>
    <w:qFormat/>
    <w:uiPriority w:val="0"/>
    <w:rPr>
      <w:rFonts w:ascii="Times New Roman" w:hAnsi="Times New Roman" w:eastAsia="宋体" w:cs="Times New Roman"/>
      <w:lang w:val="en-US" w:eastAsia="zh-CN" w:bidi="ar-SA"/>
    </w:rPr>
  </w:style>
  <w:style w:type="paragraph" w:customStyle="1" w:styleId="4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autoRedefine/>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autoRedefine/>
    <w:qFormat/>
    <w:uiPriority w:val="0"/>
  </w:style>
  <w:style w:type="paragraph" w:customStyle="1" w:styleId="419">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autoRedefine/>
    <w:qFormat/>
    <w:uiPriority w:val="0"/>
    <w:pPr>
      <w:spacing w:before="120" w:after="120"/>
    </w:pPr>
    <w:rPr>
      <w:rFonts w:ascii="宋体"/>
      <w:b/>
      <w:sz w:val="28"/>
    </w:rPr>
  </w:style>
  <w:style w:type="paragraph" w:customStyle="1" w:styleId="422">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autoRedefine/>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autoRedefine/>
    <w:qFormat/>
    <w:uiPriority w:val="0"/>
    <w:pPr>
      <w:ind w:left="980" w:hanging="420"/>
    </w:pPr>
    <w:rPr>
      <w:sz w:val="24"/>
    </w:rPr>
  </w:style>
  <w:style w:type="paragraph" w:customStyle="1" w:styleId="426">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autoRedefine/>
    <w:qFormat/>
    <w:uiPriority w:val="0"/>
    <w:pPr>
      <w:ind w:firstLine="480" w:firstLineChars="200"/>
    </w:pPr>
    <w:rPr>
      <w:rFonts w:cs="宋体"/>
      <w:szCs w:val="20"/>
    </w:rPr>
  </w:style>
  <w:style w:type="paragraph" w:customStyle="1" w:styleId="429">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autoRedefine/>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autoRedefine/>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表段落 字符1"/>
    <w:link w:val="455"/>
    <w:autoRedefine/>
    <w:qFormat/>
    <w:uiPriority w:val="34"/>
    <w:rPr>
      <w:kern w:val="2"/>
      <w:sz w:val="21"/>
      <w:szCs w:val="24"/>
    </w:rPr>
  </w:style>
  <w:style w:type="paragraph" w:styleId="455">
    <w:name w:val="List Paragraph"/>
    <w:basedOn w:val="1"/>
    <w:link w:val="454"/>
    <w:autoRedefine/>
    <w:qFormat/>
    <w:uiPriority w:val="34"/>
    <w:pPr>
      <w:ind w:firstLine="420" w:firstLineChars="200"/>
    </w:pPr>
  </w:style>
  <w:style w:type="paragraph" w:customStyle="1" w:styleId="456">
    <w:name w:val="yiv1649619028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autoRedefine/>
    <w:qFormat/>
    <w:uiPriority w:val="0"/>
    <w:pPr>
      <w:spacing w:afterLines="20"/>
      <w:ind w:firstLine="1446" w:firstLineChars="200"/>
    </w:pPr>
    <w:rPr>
      <w:rFonts w:ascii="Calibri" w:hAnsi="Calibri"/>
      <w:sz w:val="24"/>
    </w:rPr>
  </w:style>
  <w:style w:type="character" w:customStyle="1" w:styleId="458">
    <w:name w:val="正文文本 3 字符"/>
    <w:basedOn w:val="52"/>
    <w:link w:val="19"/>
    <w:autoRedefine/>
    <w:qFormat/>
    <w:uiPriority w:val="0"/>
    <w:rPr>
      <w:kern w:val="2"/>
      <w:sz w:val="16"/>
      <w:szCs w:val="16"/>
    </w:rPr>
  </w:style>
  <w:style w:type="character" w:customStyle="1" w:styleId="459">
    <w:name w:val="content"/>
    <w:basedOn w:val="52"/>
    <w:qFormat/>
    <w:uiPriority w:val="0"/>
  </w:style>
  <w:style w:type="character" w:customStyle="1" w:styleId="460">
    <w:name w:val="ca-3"/>
    <w:basedOn w:val="52"/>
    <w:autoRedefine/>
    <w:qFormat/>
    <w:uiPriority w:val="0"/>
  </w:style>
  <w:style w:type="character" w:customStyle="1" w:styleId="461">
    <w:name w:val="textcontents1"/>
    <w:autoRedefine/>
    <w:qFormat/>
    <w:uiPriority w:val="0"/>
    <w:rPr>
      <w:rFonts w:hint="default" w:ascii="ˎ̥" w:hAnsi="ˎ̥"/>
      <w:sz w:val="21"/>
      <w:szCs w:val="21"/>
    </w:rPr>
  </w:style>
  <w:style w:type="character" w:customStyle="1" w:styleId="462">
    <w:name w:val="脚注文本 Char1"/>
    <w:autoRedefine/>
    <w:qFormat/>
    <w:uiPriority w:val="0"/>
    <w:rPr>
      <w:kern w:val="2"/>
      <w:sz w:val="18"/>
      <w:szCs w:val="18"/>
    </w:rPr>
  </w:style>
  <w:style w:type="character" w:customStyle="1" w:styleId="463">
    <w:name w:val="脚注文本 Char"/>
    <w:autoRedefine/>
    <w:qFormat/>
    <w:uiPriority w:val="0"/>
    <w:rPr>
      <w:kern w:val="2"/>
      <w:sz w:val="18"/>
      <w:szCs w:val="18"/>
    </w:rPr>
  </w:style>
  <w:style w:type="character" w:customStyle="1" w:styleId="464">
    <w:name w:val="正文首行缩进（绿盟科技） Char"/>
    <w:link w:val="465"/>
    <w:autoRedefine/>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autoRedefine/>
    <w:qFormat/>
    <w:uiPriority w:val="0"/>
  </w:style>
  <w:style w:type="character" w:customStyle="1" w:styleId="467">
    <w:name w:val="Char Char21"/>
    <w:autoRedefine/>
    <w:qFormat/>
    <w:uiPriority w:val="0"/>
    <w:rPr>
      <w:b/>
      <w:bCs/>
      <w:kern w:val="2"/>
      <w:sz w:val="32"/>
      <w:szCs w:val="32"/>
    </w:rPr>
  </w:style>
  <w:style w:type="character" w:customStyle="1" w:styleId="468">
    <w:name w:val="content1"/>
    <w:autoRedefine/>
    <w:qFormat/>
    <w:uiPriority w:val="0"/>
    <w:rPr>
      <w:rFonts w:hint="default" w:ascii="??" w:hAnsi="??"/>
      <w:sz w:val="16"/>
      <w:szCs w:val="16"/>
      <w:u w:val="none"/>
    </w:rPr>
  </w:style>
  <w:style w:type="character" w:customStyle="1" w:styleId="469">
    <w:name w:val="text21"/>
    <w:basedOn w:val="52"/>
    <w:autoRedefine/>
    <w:qFormat/>
    <w:uiPriority w:val="0"/>
  </w:style>
  <w:style w:type="character" w:customStyle="1" w:styleId="470">
    <w:name w:val="apple-style-span"/>
    <w:basedOn w:val="52"/>
    <w:qFormat/>
    <w:uiPriority w:val="0"/>
  </w:style>
  <w:style w:type="paragraph" w:customStyle="1" w:styleId="471">
    <w:name w:val="缺省文本"/>
    <w:basedOn w:val="1"/>
    <w:autoRedefine/>
    <w:qFormat/>
    <w:uiPriority w:val="0"/>
    <w:pPr>
      <w:autoSpaceDE w:val="0"/>
      <w:autoSpaceDN w:val="0"/>
      <w:adjustRightInd w:val="0"/>
      <w:jc w:val="left"/>
    </w:pPr>
    <w:rPr>
      <w:kern w:val="0"/>
      <w:sz w:val="24"/>
    </w:rPr>
  </w:style>
  <w:style w:type="paragraph" w:customStyle="1" w:styleId="47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autoRedefine/>
    <w:qFormat/>
    <w:uiPriority w:val="0"/>
    <w:rPr>
      <w:rFonts w:ascii="宋体" w:hAnsi="Courier New"/>
      <w:szCs w:val="20"/>
    </w:rPr>
  </w:style>
  <w:style w:type="character" w:customStyle="1" w:styleId="481">
    <w:name w:val="脚注文本 字符"/>
    <w:basedOn w:val="52"/>
    <w:link w:val="38"/>
    <w:autoRedefine/>
    <w:semiHidden/>
    <w:qFormat/>
    <w:uiPriority w:val="0"/>
    <w:rPr>
      <w:kern w:val="2"/>
      <w:sz w:val="18"/>
      <w:szCs w:val="18"/>
    </w:rPr>
  </w:style>
  <w:style w:type="paragraph" w:customStyle="1" w:styleId="482">
    <w:name w:val="_Style 56"/>
    <w:basedOn w:val="1"/>
    <w:next w:val="26"/>
    <w:autoRedefine/>
    <w:qFormat/>
    <w:uiPriority w:val="0"/>
    <w:rPr>
      <w:rFonts w:ascii="宋体" w:hAnsi="Courier New"/>
      <w:szCs w:val="20"/>
    </w:rPr>
  </w:style>
  <w:style w:type="paragraph" w:customStyle="1" w:styleId="483">
    <w:name w:val="Char Char Char Char2"/>
    <w:basedOn w:val="1"/>
    <w:autoRedefine/>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autoRedefine/>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autoRedefine/>
    <w:qFormat/>
    <w:uiPriority w:val="0"/>
    <w:pPr>
      <w:widowControl/>
      <w:spacing w:after="160" w:line="240" w:lineRule="exact"/>
      <w:jc w:val="left"/>
    </w:pPr>
  </w:style>
  <w:style w:type="paragraph" w:customStyle="1" w:styleId="490">
    <w:name w:val="_Style 50"/>
    <w:basedOn w:val="1"/>
    <w:next w:val="29"/>
    <w:autoRedefine/>
    <w:qFormat/>
    <w:uiPriority w:val="0"/>
    <w:pPr>
      <w:adjustRightInd w:val="0"/>
      <w:snapToGrid w:val="0"/>
      <w:spacing w:line="300" w:lineRule="auto"/>
      <w:ind w:firstLine="630" w:firstLineChars="300"/>
    </w:pPr>
    <w:rPr>
      <w:snapToGrid w:val="0"/>
      <w:kern w:val="0"/>
    </w:rPr>
  </w:style>
  <w:style w:type="paragraph" w:customStyle="1" w:styleId="491">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Ｒ07-正!!文 Char Char"/>
    <w:link w:val="506"/>
    <w:autoRedefine/>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autoRedefine/>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paragraph" w:customStyle="1" w:styleId="509">
    <w:name w:val="Table Text"/>
    <w:basedOn w:val="1"/>
    <w:semiHidden/>
    <w:qFormat/>
    <w:uiPriority w:val="0"/>
    <w:rPr>
      <w:rFonts w:ascii="微软雅黑" w:hAnsi="微软雅黑" w:eastAsia="微软雅黑" w:cs="微软雅黑"/>
      <w:sz w:val="24"/>
      <w:lang w:eastAsia="en-US"/>
    </w:rPr>
  </w:style>
  <w:style w:type="table" w:customStyle="1" w:styleId="510">
    <w:name w:val="Table Normal"/>
    <w:semiHidden/>
    <w:unhideWhenUsed/>
    <w:qFormat/>
    <w:uiPriority w:val="0"/>
    <w:tblPr>
      <w:tblCellMar>
        <w:top w:w="0" w:type="dxa"/>
        <w:left w:w="0" w:type="dxa"/>
        <w:bottom w:w="0" w:type="dxa"/>
        <w:right w:w="0" w:type="dxa"/>
      </w:tblCellMar>
    </w:tblPr>
  </w:style>
  <w:style w:type="table" w:customStyle="1" w:styleId="511">
    <w:name w:val="网格型1"/>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2">
    <w:name w:val="表格文字"/>
    <w:basedOn w:val="1"/>
    <w:qFormat/>
    <w:uiPriority w:val="0"/>
    <w:pPr>
      <w:spacing w:before="25" w:after="25"/>
      <w:jc w:val="left"/>
    </w:pPr>
    <w:rPr>
      <w:bCs/>
      <w:spacing w:val="10"/>
      <w:kern w:val="0"/>
      <w:sz w:val="24"/>
    </w:rPr>
  </w:style>
  <w:style w:type="paragraph" w:customStyle="1" w:styleId="513">
    <w:name w:val="列出段落2"/>
    <w:basedOn w:val="1"/>
    <w:qFormat/>
    <w:uiPriority w:val="0"/>
    <w:pPr>
      <w:ind w:firstLine="420" w:firstLineChars="200"/>
    </w:pPr>
    <w:rPr>
      <w:rFonts w:ascii="等线" w:hAnsi="等线" w:eastAsia="等线"/>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106</Pages>
  <Words>6069</Words>
  <Characters>6544</Characters>
  <Lines>581</Lines>
  <Paragraphs>163</Paragraphs>
  <TotalTime>150</TotalTime>
  <ScaleCrop>false</ScaleCrop>
  <LinksUpToDate>false</LinksUpToDate>
  <CharactersWithSpaces>6683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2025-05-28T06:45:00Z</dcterms:created>
  <dc:creator>微软用户</dc:creator>
  <cp:lastModifiedBy>中正招标-梁工</cp:lastModifiedBy>
  <cp:lastPrinted>2020-05-26T01:03:00Z</cp:lastPrinted>
  <dcterms:modified xsi:type="dcterms:W3CDTF">2025-06-18T07:58:45Z</dcterms:modified>
  <dc:title>招标编号：UHO2010-G0029</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50E6FCD016C143C3A4C35686C6061E09_13</vt:lpwstr>
  </property>
  <property fmtid="{D5CDD505-2E9C-101B-9397-08002B2CF9AE}" pid="4" name="KSOTemplateDocerSaveRecord">
    <vt:lpwstr>eyJoZGlkIjoiNzFmODkyYTJhYTc0NDU2NmYyMGFlOTA5ZWRiNzRhY2IiLCJ1c2VySWQiOiIxNTIxNDE1MzI1In0=</vt:lpwstr>
  </property>
</Properties>
</file>