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网站安全系统服务(2025)</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CGXM-2024-005903</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55AF9D16">
      <w:pPr>
        <w:pStyle w:val="28"/>
        <w:adjustRightInd w:val="0"/>
        <w:snapToGrid w:val="0"/>
        <w:spacing w:line="300" w:lineRule="auto"/>
        <w:ind w:hanging="835"/>
        <w:jc w:val="center"/>
        <w:rPr>
          <w:b/>
          <w:snapToGrid w:val="0"/>
          <w:sz w:val="30"/>
        </w:rPr>
      </w:pPr>
    </w:p>
    <w:p w14:paraId="1D60393A">
      <w:pPr>
        <w:rPr>
          <w:b/>
          <w:snapToGrid w:val="0"/>
          <w:sz w:val="30"/>
        </w:rPr>
      </w:pPr>
    </w:p>
    <w:p w14:paraId="6251FA34">
      <w:pPr>
        <w:rPr>
          <w:b/>
          <w:snapToGrid w:val="0"/>
          <w:sz w:val="30"/>
        </w:rPr>
      </w:pPr>
    </w:p>
    <w:p w14:paraId="517B1836">
      <w:pPr>
        <w:pStyle w:val="28"/>
        <w:adjustRightInd w:val="0"/>
        <w:snapToGrid w:val="0"/>
        <w:spacing w:line="300" w:lineRule="auto"/>
        <w:ind w:hanging="835"/>
        <w:jc w:val="center"/>
        <w:rPr>
          <w:b/>
          <w:snapToGrid w:val="0"/>
          <w:sz w:val="30"/>
        </w:rPr>
      </w:pPr>
    </w:p>
    <w:p w14:paraId="092996B8">
      <w:pPr>
        <w:pStyle w:val="28"/>
        <w:adjustRightInd w:val="0"/>
        <w:snapToGrid w:val="0"/>
        <w:spacing w:line="300" w:lineRule="auto"/>
        <w:ind w:hanging="835"/>
        <w:jc w:val="center"/>
        <w:rPr>
          <w:rFonts w:asciiTheme="minorEastAsia" w:hAnsiTheme="minorEastAsia" w:eastAsiaTheme="minorEastAsia"/>
          <w:b/>
          <w:bCs/>
          <w:sz w:val="44"/>
          <w:szCs w:val="44"/>
        </w:rPr>
      </w:pPr>
      <w:r>
        <w:rPr>
          <w:rFonts w:hint="eastAsia"/>
          <w:b/>
          <w:snapToGrid w:val="0"/>
          <w:sz w:val="30"/>
        </w:rPr>
        <w:t>二〇二五年</w:t>
      </w:r>
      <w:r>
        <w:rPr>
          <w:rFonts w:hint="eastAsia"/>
          <w:b/>
          <w:snapToGrid w:val="0"/>
          <w:sz w:val="30"/>
          <w:lang w:val="en-US" w:eastAsia="zh-CN"/>
        </w:rPr>
        <w:t>五</w:t>
      </w:r>
      <w:r>
        <w:rPr>
          <w:rFonts w:hint="eastAsia"/>
          <w:b/>
          <w:snapToGrid w:val="0"/>
          <w:sz w:val="30"/>
        </w:rPr>
        <w:t>月</w:t>
      </w: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A61BFC3">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vAlign w:val="center"/>
          </w:tcPr>
          <w:p w14:paraId="4D67FC26">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9D84C11">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vAlign w:val="center"/>
          </w:tcPr>
          <w:p w14:paraId="6FCE3B3F">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1472A9EF">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vAlign w:val="center"/>
          </w:tcPr>
          <w:p w14:paraId="5290C97C">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60E67A9">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vAlign w:val="center"/>
          </w:tcPr>
          <w:p w14:paraId="43C09C65">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5661C29F">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vAlign w:val="center"/>
          </w:tcPr>
          <w:p w14:paraId="296F5B3A">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2FAF6D99">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vAlign w:val="center"/>
          </w:tcPr>
          <w:p w14:paraId="6CC032D7">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553345D">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vAlign w:val="center"/>
          </w:tcPr>
          <w:p w14:paraId="07440E33">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033404C5">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1287C094">
          <w:pPr>
            <w:pStyle w:val="34"/>
            <w:tabs>
              <w:tab w:val="right" w:leader="dot" w:pos="9628"/>
            </w:tabs>
            <w:rPr>
              <w:rFonts w:ascii="仿宋_GB2312" w:eastAsia="仿宋_GB2312"/>
              <w:sz w:val="24"/>
            </w:rPr>
          </w:pPr>
        </w:p>
        <w:p w14:paraId="3FA3563A">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5506FE7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56B3164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78A0E58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F6F9D0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698EDDF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5191429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CA96B07">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9547D09">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013ABE4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46D974A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1</w:t>
          </w:r>
        </w:p>
        <w:p w14:paraId="602A35B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1</w:t>
          </w:r>
        </w:p>
        <w:p w14:paraId="7C6724D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3</w:t>
          </w:r>
        </w:p>
        <w:p w14:paraId="742C7D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4</w:t>
          </w:r>
        </w:p>
        <w:p w14:paraId="738A999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6</w:t>
          </w:r>
        </w:p>
        <w:p w14:paraId="2720384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t>8</w:t>
          </w:r>
        </w:p>
        <w:p w14:paraId="163A8B7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t>0</w:t>
          </w:r>
        </w:p>
        <w:p w14:paraId="77C9759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t>1</w:t>
          </w:r>
        </w:p>
        <w:p w14:paraId="54D343D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48D0B33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60BAC6C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606513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575B9EA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46</w:t>
          </w:r>
          <w:r>
            <w:rPr>
              <w:rFonts w:hint="eastAsia" w:ascii="仿宋_GB2312" w:eastAsia="仿宋_GB2312"/>
              <w:sz w:val="24"/>
            </w:rPr>
            <w:fldChar w:fldCharType="end"/>
          </w:r>
          <w:r>
            <w:rPr>
              <w:rFonts w:hint="eastAsia" w:ascii="仿宋_GB2312" w:eastAsia="仿宋_GB2312"/>
              <w:sz w:val="24"/>
            </w:rPr>
            <w:fldChar w:fldCharType="end"/>
          </w:r>
        </w:p>
        <w:p w14:paraId="088E51B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3A5AFD2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5AFB92A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7949D7E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6FB625D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5F2185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84</w:t>
          </w:r>
          <w:r>
            <w:rPr>
              <w:rFonts w:hint="eastAsia" w:ascii="仿宋_GB2312" w:eastAsia="仿宋_GB2312"/>
              <w:sz w:val="24"/>
            </w:rPr>
            <w:fldChar w:fldCharType="end"/>
          </w:r>
          <w:r>
            <w:rPr>
              <w:rFonts w:hint="eastAsia" w:ascii="仿宋_GB2312" w:eastAsia="仿宋_GB2312"/>
              <w:sz w:val="24"/>
            </w:rPr>
            <w:fldChar w:fldCharType="end"/>
          </w:r>
        </w:p>
        <w:p w14:paraId="48EABED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86</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2"/>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网站安全系统服务(2025)</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27</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CGXM-2024-005903</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网站安全系统服务(2025)</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980,000.00</w:t>
      </w:r>
      <w:r>
        <w:rPr>
          <w:rFonts w:hint="eastAsia" w:ascii="宋体" w:hAnsi="宋体" w:eastAsia="宋体"/>
          <w:snapToGrid w:val="0"/>
          <w:color w:val="auto"/>
          <w:sz w:val="21"/>
          <w:szCs w:val="21"/>
        </w:rPr>
        <w:t>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980,000.00</w:t>
      </w:r>
      <w:r>
        <w:rPr>
          <w:rFonts w:hint="eastAsia" w:ascii="宋体" w:hAnsi="宋体" w:eastAsia="宋体"/>
          <w:snapToGrid w:val="0"/>
          <w:color w:val="auto"/>
          <w:sz w:val="21"/>
          <w:szCs w:val="21"/>
        </w:rPr>
        <w:t>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网站安全系统服务(2025)</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4E882FD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760340FB">
      <w:pPr>
        <w:pStyle w:val="453"/>
        <w:adjustRightInd w:val="0"/>
        <w:snapToGrid w:val="0"/>
        <w:spacing w:before="0" w:beforeAutospacing="0" w:after="0" w:afterAutospacing="0" w:line="360" w:lineRule="auto"/>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CBE7B72">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7B78E852">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362BE90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hint="eastAsia"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 1 \* GB3 </w:instrText>
      </w:r>
      <w:r>
        <w:rPr>
          <w:rFonts w:hint="eastAsia"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hint="eastAsia"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hint="eastAsia"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 2 \* GB3 </w:instrText>
      </w:r>
      <w:r>
        <w:rPr>
          <w:rFonts w:hint="eastAsia"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hint="eastAsia"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65573A7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3）深圳职业技术大学采购中心网站（zhaobiao.szpu.edu.cn/）。</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4575AC8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地址：广东省深圳市南山区留仙大道7098号</w:t>
      </w:r>
    </w:p>
    <w:p w14:paraId="3D2102F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联系方式：陈老师，0755-26018377</w:t>
      </w:r>
    </w:p>
    <w:p w14:paraId="03A2844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5CBC9F3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581CC65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EC4D45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223381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15</w:t>
      </w:r>
      <w:r>
        <w:rPr>
          <w:rFonts w:hint="eastAsia" w:ascii="宋体" w:hAnsi="宋体"/>
          <w:snapToGrid w:val="0"/>
          <w:kern w:val="0"/>
          <w:sz w:val="24"/>
        </w:rPr>
        <w:t>日</w:t>
      </w:r>
      <w:bookmarkStart w:id="116" w:name="_GoBack"/>
      <w:bookmarkEnd w:id="116"/>
      <w:bookmarkStart w:id="3" w:name="_Toc135293160"/>
    </w:p>
    <w:p w14:paraId="0CDD493B">
      <w:pPr>
        <w:widowControl/>
        <w:jc w:val="left"/>
        <w:rPr>
          <w:rFonts w:eastAsiaTheme="minorEastAsia"/>
          <w:b/>
          <w:kern w:val="44"/>
          <w:sz w:val="44"/>
          <w:szCs w:val="28"/>
        </w:rPr>
      </w:pPr>
      <w:r>
        <w:br w:type="page"/>
      </w:r>
    </w:p>
    <w:p w14:paraId="512A5CFA">
      <w:pPr>
        <w:pStyle w:val="2"/>
      </w:pPr>
      <w:r>
        <w:rPr>
          <w:rFonts w:hint="eastAsia"/>
        </w:rPr>
        <w:t>第二章  项目需求</w:t>
      </w:r>
      <w:bookmarkEnd w:id="3"/>
    </w:p>
    <w:p w14:paraId="20197D0B">
      <w:pPr>
        <w:spacing w:after="156"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网站安全系统服务(2025)</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980,000.00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682877D6">
      <w:pPr>
        <w:pStyle w:val="506"/>
        <w:wordWrap/>
        <w:spacing w:afterLines="0" w:line="360" w:lineRule="auto"/>
        <w:ind w:firstLine="43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因网络安全需要，采购网站安全系统服务，对学校网络系统进行漏洞检测、实时监测、网站内容风险监测、内外链检查、网络病毒监测、网络安全运营咨询等安全服务。</w:t>
      </w:r>
    </w:p>
    <w:p w14:paraId="28C32890">
      <w:pPr>
        <w:pStyle w:val="506"/>
        <w:wordWrap/>
        <w:spacing w:afterLines="0" w:line="360" w:lineRule="auto"/>
        <w:ind w:firstLine="436"/>
        <w:rPr>
          <w:rFonts w:asciiTheme="minorEastAsia" w:hAnsiTheme="minorEastAsia" w:eastAsiaTheme="minorEastAsia" w:cstheme="minorEastAsia"/>
          <w:sz w:val="21"/>
          <w:szCs w:val="21"/>
        </w:rPr>
      </w:pPr>
    </w:p>
    <w:p w14:paraId="38867CA3">
      <w:pPr>
        <w:pStyle w:val="321"/>
        <w:ind w:firstLine="0" w:firstLineChars="0"/>
        <w:rPr>
          <w:rFonts w:hint="eastAsia"/>
          <w:b/>
          <w:szCs w:val="21"/>
        </w:rPr>
      </w:pPr>
      <w:r>
        <w:rPr>
          <w:rFonts w:hint="eastAsia"/>
          <w:b/>
        </w:rPr>
        <w:t>二、项目服务要求</w:t>
      </w:r>
    </w:p>
    <w:p w14:paraId="4247D48B">
      <w:pPr>
        <w:rPr>
          <w:rFonts w:hint="eastAsia"/>
          <w:b/>
          <w:szCs w:val="21"/>
        </w:rPr>
      </w:pPr>
    </w:p>
    <w:tbl>
      <w:tblPr>
        <w:tblStyle w:val="50"/>
        <w:tblW w:w="4998" w:type="pct"/>
        <w:jc w:val="center"/>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857"/>
        <w:gridCol w:w="782"/>
        <w:gridCol w:w="8211"/>
      </w:tblGrid>
      <w:tr w14:paraId="0D795C59">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435" w:type="pct"/>
            <w:shd w:val="clear" w:color="000000" w:fill="D9D9D9"/>
            <w:noWrap w:val="0"/>
            <w:vAlign w:val="center"/>
          </w:tcPr>
          <w:p w14:paraId="69AF14B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b/>
                <w:bCs/>
                <w:szCs w:val="21"/>
              </w:rPr>
            </w:pPr>
            <w:r>
              <w:rPr>
                <w:rFonts w:hint="eastAsia" w:ascii="宋体" w:hAnsi="宋体" w:cs="宋体"/>
                <w:b/>
                <w:bCs/>
                <w:szCs w:val="21"/>
              </w:rPr>
              <w:t>序号</w:t>
            </w:r>
          </w:p>
        </w:tc>
        <w:tc>
          <w:tcPr>
            <w:tcW w:w="397" w:type="pct"/>
            <w:shd w:val="clear" w:color="000000" w:fill="D9D9D9"/>
            <w:noWrap w:val="0"/>
            <w:vAlign w:val="center"/>
          </w:tcPr>
          <w:p w14:paraId="2BD7CBA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b/>
                <w:bCs/>
                <w:szCs w:val="21"/>
              </w:rPr>
            </w:pPr>
            <w:r>
              <w:rPr>
                <w:rFonts w:hint="eastAsia" w:ascii="宋体" w:hAnsi="宋体" w:cs="宋体"/>
                <w:b/>
                <w:bCs/>
                <w:szCs w:val="21"/>
              </w:rPr>
              <w:t>服务名称</w:t>
            </w:r>
          </w:p>
        </w:tc>
        <w:tc>
          <w:tcPr>
            <w:tcW w:w="4168" w:type="pct"/>
            <w:shd w:val="clear" w:color="000000" w:fill="D9D9D9"/>
            <w:noWrap w:val="0"/>
            <w:vAlign w:val="center"/>
          </w:tcPr>
          <w:p w14:paraId="2B1D715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b/>
                <w:bCs/>
                <w:szCs w:val="21"/>
              </w:rPr>
            </w:pPr>
            <w:r>
              <w:rPr>
                <w:rFonts w:hint="eastAsia" w:ascii="宋体" w:hAnsi="宋体" w:cs="宋体"/>
                <w:b/>
                <w:bCs/>
                <w:szCs w:val="21"/>
              </w:rPr>
              <w:t>指标要求</w:t>
            </w:r>
          </w:p>
        </w:tc>
      </w:tr>
      <w:tr w14:paraId="3B4B1664">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435" w:type="pct"/>
            <w:vMerge w:val="restart"/>
            <w:shd w:val="clear" w:color="auto" w:fill="auto"/>
            <w:noWrap w:val="0"/>
            <w:vAlign w:val="center"/>
          </w:tcPr>
          <w:p w14:paraId="339DBDA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szCs w:val="21"/>
              </w:rPr>
            </w:pPr>
            <w:r>
              <w:rPr>
                <w:rFonts w:hint="eastAsia" w:ascii="宋体" w:hAnsi="宋体" w:cs="宋体"/>
                <w:szCs w:val="21"/>
              </w:rPr>
              <w:t>1</w:t>
            </w:r>
          </w:p>
        </w:tc>
        <w:tc>
          <w:tcPr>
            <w:tcW w:w="397" w:type="pct"/>
            <w:vMerge w:val="restart"/>
            <w:shd w:val="clear" w:color="auto" w:fill="auto"/>
            <w:noWrap w:val="0"/>
            <w:vAlign w:val="center"/>
          </w:tcPr>
          <w:p w14:paraId="7D99471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szCs w:val="21"/>
              </w:rPr>
            </w:pPr>
            <w:r>
              <w:rPr>
                <w:rFonts w:hint="eastAsia" w:ascii="宋体" w:hAnsi="宋体" w:cs="宋体"/>
                <w:szCs w:val="21"/>
              </w:rPr>
              <w:t>网站系统漏洞扫描检测</w:t>
            </w:r>
          </w:p>
        </w:tc>
        <w:tc>
          <w:tcPr>
            <w:tcW w:w="4168" w:type="pct"/>
            <w:shd w:val="clear" w:color="000000" w:fill="FFFFFF"/>
            <w:noWrap w:val="0"/>
            <w:vAlign w:val="top"/>
          </w:tcPr>
          <w:p w14:paraId="6868D5DB">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r>
              <w:rPr>
                <w:rFonts w:hint="eastAsia" w:ascii="宋体" w:hAnsi="宋体" w:eastAsia="宋体" w:cs="宋体"/>
              </w:rPr>
              <w:t>1、对网站系统进行漏洞扫描和人工验证，包括漏洞扫描及复检，发现系统环境潜在风险隐患，提供专业安全测评报告和提出整改建议。</w:t>
            </w:r>
          </w:p>
        </w:tc>
      </w:tr>
      <w:tr w14:paraId="182B6E07">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435" w:type="pct"/>
            <w:vMerge w:val="continue"/>
            <w:shd w:val="clear" w:color="auto" w:fill="auto"/>
            <w:noWrap w:val="0"/>
            <w:vAlign w:val="center"/>
          </w:tcPr>
          <w:p w14:paraId="2EEB5B25">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620DC97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shd w:val="clear" w:color="000000" w:fill="FFFFFF"/>
            <w:noWrap w:val="0"/>
            <w:vAlign w:val="top"/>
          </w:tcPr>
          <w:p w14:paraId="5CDCED6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r>
              <w:rPr>
                <w:rFonts w:hint="eastAsia" w:ascii="宋体" w:hAnsi="宋体" w:eastAsia="宋体" w:cs="宋体"/>
              </w:rPr>
              <w:t>2、一次完整的漏洞扫描服务应包括系统检测、人工验证、漏洞跟踪、复检等。系统检测应包括应用系统本身、应用系统运行、维护所依赖的应用服务器、数据库服务器等所有服务器的操作系统、中间件、数据库等系统软件和系统服务的漏洞扫描；漏洞跟踪包括为每个网站系统分别形成报告，并发送给相应网站系统管理员、为漏洞消除提供技术支持，包括但不限于解释漏洞、重现漏洞等；待消除漏洞后，需再次复检，派出技术人员进行漏洞跟踪。</w:t>
            </w:r>
          </w:p>
        </w:tc>
      </w:tr>
      <w:tr w14:paraId="0EF99190">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435" w:type="pct"/>
            <w:vMerge w:val="continue"/>
            <w:shd w:val="clear" w:color="auto" w:fill="auto"/>
            <w:noWrap w:val="0"/>
            <w:vAlign w:val="center"/>
          </w:tcPr>
          <w:p w14:paraId="64224203">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51061535">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shd w:val="clear" w:color="000000" w:fill="FFFFFF"/>
            <w:noWrap w:val="0"/>
            <w:vAlign w:val="top"/>
          </w:tcPr>
          <w:p w14:paraId="3E5BC13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r>
              <w:rPr>
                <w:rFonts w:hint="eastAsia" w:ascii="宋体" w:hAnsi="宋体" w:eastAsia="宋体" w:cs="宋体"/>
              </w:rPr>
              <w:t>▲3、需支持在校外和在校内的扫描，协助整改消除漏洞。复检不限次数，直至漏洞消除为止，复检应在1-2个工作日内完成。投标人应派驻技术人员及时跟踪漏洞消除情况。Web漏洞扫描，形成各个网站系统的扫描报告，发邮件至相关人。支持临时性安排的对单个或多个网站系统的一次性漏洞扫描。</w:t>
            </w:r>
          </w:p>
        </w:tc>
      </w:tr>
      <w:tr w14:paraId="349A3F74">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435" w:type="pct"/>
            <w:vMerge w:val="continue"/>
            <w:shd w:val="clear" w:color="auto" w:fill="auto"/>
            <w:noWrap w:val="0"/>
            <w:vAlign w:val="center"/>
          </w:tcPr>
          <w:p w14:paraId="28CE7596">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327347AA">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shd w:val="clear" w:color="000000" w:fill="FFFFFF"/>
            <w:noWrap w:val="0"/>
            <w:vAlign w:val="top"/>
          </w:tcPr>
          <w:p w14:paraId="69F49953">
            <w:pPr>
              <w:keepNext w:val="0"/>
              <w:keepLines w:val="0"/>
              <w:pageBreakBefore w:val="0"/>
              <w:widowControl w:val="0"/>
              <w:kinsoku/>
              <w:wordWrap/>
              <w:overflowPunct/>
              <w:topLinePunct w:val="0"/>
              <w:bidi w:val="0"/>
              <w:snapToGrid/>
              <w:spacing w:line="360" w:lineRule="auto"/>
              <w:ind w:left="33"/>
              <w:jc w:val="left"/>
              <w:textAlignment w:val="auto"/>
              <w:rPr>
                <w:rFonts w:hint="eastAsia" w:ascii="宋体" w:hAnsi="宋体" w:cs="宋体"/>
                <w:szCs w:val="21"/>
              </w:rPr>
            </w:pPr>
            <w:r>
              <w:rPr>
                <w:rFonts w:hint="eastAsia" w:ascii="宋体" w:hAnsi="宋体" w:cs="宋体"/>
                <w:szCs w:val="21"/>
              </w:rPr>
              <w:t>▲4、提供1名技术人员在服务期内进行驻场支持。大专或以上学历,计算机类相关专业，3年或以上从事安全服务工作经验。驻场人员需经采购人面试同意，人员确定后，一年服务期内不得变更。如因人员变动等原因提出人员更换，需经采购人同意。</w:t>
            </w:r>
          </w:p>
        </w:tc>
      </w:tr>
      <w:tr w14:paraId="29757833">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435" w:type="pct"/>
            <w:vMerge w:val="continue"/>
            <w:shd w:val="clear" w:color="auto" w:fill="auto"/>
            <w:noWrap w:val="0"/>
            <w:vAlign w:val="center"/>
          </w:tcPr>
          <w:p w14:paraId="041C6C2A">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3AAF5C9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shd w:val="clear" w:color="000000" w:fill="FFFFFF"/>
            <w:noWrap w:val="0"/>
            <w:vAlign w:val="top"/>
          </w:tcPr>
          <w:p w14:paraId="0D47AA47">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▲5、对学校所有网站系统（以学校域名开通的网站不少于85个，不多于95个）进行系统检测，支持服务频次≥12次/年；需支持1020次≤漏洞扫描检测总次数≤1140次。</w:t>
            </w:r>
          </w:p>
        </w:tc>
      </w:tr>
      <w:tr w14:paraId="46CB629A">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435" w:type="pct"/>
            <w:vMerge w:val="continue"/>
            <w:shd w:val="clear" w:color="auto" w:fill="auto"/>
            <w:noWrap w:val="0"/>
            <w:vAlign w:val="center"/>
          </w:tcPr>
          <w:p w14:paraId="3909D9B5">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2E664436">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shd w:val="clear" w:color="000000" w:fill="FFFFFF"/>
            <w:noWrap w:val="0"/>
            <w:vAlign w:val="top"/>
          </w:tcPr>
          <w:p w14:paraId="6146DAF5">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6、网站系统为学校对外提供互联网访问的系统或者是只提供内网访问的系统。</w:t>
            </w:r>
          </w:p>
        </w:tc>
      </w:tr>
      <w:tr w14:paraId="110DD8F8">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435" w:type="pct"/>
            <w:vMerge w:val="continue"/>
            <w:noWrap w:val="0"/>
            <w:vAlign w:val="center"/>
          </w:tcPr>
          <w:p w14:paraId="296CAFD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noWrap w:val="0"/>
            <w:vAlign w:val="top"/>
          </w:tcPr>
          <w:p w14:paraId="05815F3A">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noWrap w:val="0"/>
            <w:vAlign w:val="center"/>
          </w:tcPr>
          <w:p w14:paraId="195B125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7、支持对被评估对象进行系统检测，利用漏洞特征，发现检查对象可能存在的主机漏洞及脆弱性。</w:t>
            </w:r>
          </w:p>
        </w:tc>
      </w:tr>
      <w:tr w14:paraId="534FC380">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435" w:type="pct"/>
            <w:vMerge w:val="continue"/>
            <w:shd w:val="clear" w:color="auto" w:fill="auto"/>
            <w:noWrap w:val="0"/>
            <w:vAlign w:val="center"/>
          </w:tcPr>
          <w:p w14:paraId="06936A78">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5E516DFE">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shd w:val="clear" w:color="000000" w:fill="FFFFFF"/>
            <w:noWrap w:val="0"/>
            <w:vAlign w:val="top"/>
          </w:tcPr>
          <w:p w14:paraId="159C7A8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8、支持主机操作系统扫描，</w:t>
            </w:r>
            <w:r>
              <w:rPr>
                <w:rFonts w:hint="eastAsia"/>
              </w:rPr>
              <w:t>至少包含</w:t>
            </w:r>
            <w:r>
              <w:rPr>
                <w:rFonts w:hint="eastAsia" w:ascii="宋体" w:hAnsi="宋体" w:cs="宋体"/>
                <w:szCs w:val="21"/>
              </w:rPr>
              <w:t>WINDOWS、SOLARIS、AIX、LINUX国产主流操作系统。</w:t>
            </w:r>
          </w:p>
        </w:tc>
      </w:tr>
      <w:tr w14:paraId="644ECDA2">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435" w:type="pct"/>
            <w:vMerge w:val="continue"/>
            <w:shd w:val="clear" w:color="auto" w:fill="auto"/>
            <w:noWrap w:val="0"/>
            <w:vAlign w:val="center"/>
          </w:tcPr>
          <w:p w14:paraId="5132A04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61972E70">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shd w:val="clear" w:color="000000" w:fill="FFFFFF"/>
            <w:noWrap w:val="0"/>
            <w:vAlign w:val="top"/>
          </w:tcPr>
          <w:p w14:paraId="2A54B5FA">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9、支持数据库系统扫描，</w:t>
            </w:r>
            <w:r>
              <w:rPr>
                <w:rFonts w:hint="eastAsia"/>
              </w:rPr>
              <w:t>至少包含</w:t>
            </w:r>
            <w:r>
              <w:rPr>
                <w:rFonts w:hint="eastAsia" w:ascii="宋体" w:hAnsi="宋体" w:cs="宋体"/>
                <w:szCs w:val="21"/>
              </w:rPr>
              <w:t>MS-SQL、ORACLE、MYSQL、INFORMIX、SYBASE、DB2国产主流数据库。</w:t>
            </w:r>
          </w:p>
        </w:tc>
      </w:tr>
      <w:tr w14:paraId="31DCF0DB">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435" w:type="pct"/>
            <w:vMerge w:val="continue"/>
            <w:shd w:val="clear" w:color="auto" w:fill="auto"/>
            <w:noWrap w:val="0"/>
            <w:vAlign w:val="center"/>
          </w:tcPr>
          <w:p w14:paraId="06569F10">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08467A2C">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bottom w:val="single" w:color="auto" w:sz="4" w:space="0"/>
            </w:tcBorders>
            <w:shd w:val="clear" w:color="000000" w:fill="FFFFFF"/>
            <w:noWrap w:val="0"/>
            <w:vAlign w:val="top"/>
          </w:tcPr>
          <w:p w14:paraId="697C8B73">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10、支持应用系统扫描，</w:t>
            </w:r>
            <w:r>
              <w:rPr>
                <w:rFonts w:hint="eastAsia"/>
              </w:rPr>
              <w:t>至少</w:t>
            </w:r>
            <w:r>
              <w:rPr>
                <w:rFonts w:hint="eastAsia" w:ascii="宋体" w:hAnsi="宋体" w:cs="宋体"/>
                <w:szCs w:val="21"/>
              </w:rPr>
              <w:t>包括WWW、E-mail、DNS、FTP的安全性进行漏洞扫描。</w:t>
            </w:r>
          </w:p>
        </w:tc>
      </w:tr>
      <w:tr w14:paraId="531057F7">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0FA099D8">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4C87FEE7">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0ADC9969">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11、支持网络设备扫描，</w:t>
            </w:r>
            <w:r>
              <w:rPr>
                <w:rFonts w:hint="eastAsia"/>
              </w:rPr>
              <w:t>至少</w:t>
            </w:r>
            <w:r>
              <w:rPr>
                <w:rFonts w:hint="eastAsia" w:ascii="宋体" w:hAnsi="宋体" w:cs="宋体"/>
                <w:szCs w:val="21"/>
              </w:rPr>
              <w:t>包括防火墙、路由器、交换机、IPS、IDS、堡垒机。</w:t>
            </w:r>
          </w:p>
        </w:tc>
      </w:tr>
      <w:tr w14:paraId="0BB8C3A7">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48AF792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3B57EBA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6C1282E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color w:val="FF0000"/>
                <w:szCs w:val="21"/>
              </w:rPr>
            </w:pPr>
            <w:r>
              <w:rPr>
                <w:rFonts w:hint="eastAsia" w:ascii="宋体" w:hAnsi="宋体" w:cs="宋体"/>
                <w:b/>
                <w:color w:val="FF0000"/>
                <w:szCs w:val="21"/>
                <w:highlight w:val="none"/>
              </w:rPr>
              <w:t>▲12、支持Web漏洞扫描功能，可扫描检测网站是否存在SQL注入、XSS、跨站脚本、目录遍历、文件包含、命令执行等脚本漏洞。</w:t>
            </w:r>
            <w:r>
              <w:rPr>
                <w:rFonts w:hint="eastAsia" w:ascii="宋体" w:hAnsi="宋体" w:cs="宋体"/>
                <w:b/>
                <w:color w:val="FF0000"/>
                <w:szCs w:val="21"/>
                <w:lang w:eastAsia="zh-CN"/>
              </w:rPr>
              <w:t>【</w:t>
            </w:r>
            <w:r>
              <w:rPr>
                <w:rFonts w:hint="eastAsia" w:ascii="宋体" w:hAnsi="宋体" w:cs="宋体"/>
                <w:b/>
                <w:color w:val="FF0000"/>
                <w:szCs w:val="21"/>
              </w:rPr>
              <w:t>需提供</w:t>
            </w:r>
            <w:r>
              <w:rPr>
                <w:rFonts w:hint="eastAsia" w:ascii="宋体" w:hAnsi="宋体" w:cs="宋体"/>
                <w:b/>
                <w:color w:val="FF0000"/>
                <w:szCs w:val="21"/>
                <w:lang w:val="en-US" w:eastAsia="zh-CN"/>
              </w:rPr>
              <w:t>满足要求的</w:t>
            </w:r>
            <w:r>
              <w:rPr>
                <w:rFonts w:hint="eastAsia" w:ascii="宋体" w:hAnsi="宋体" w:cs="宋体"/>
                <w:b/>
                <w:color w:val="FF0000"/>
                <w:szCs w:val="21"/>
              </w:rPr>
              <w:t>相关截图证明</w:t>
            </w:r>
            <w:r>
              <w:rPr>
                <w:rFonts w:hint="eastAsia" w:ascii="宋体" w:hAnsi="宋体" w:cs="宋体"/>
                <w:b/>
                <w:color w:val="FF0000"/>
                <w:szCs w:val="21"/>
                <w:lang w:eastAsia="zh-CN"/>
              </w:rPr>
              <w:t>】</w:t>
            </w:r>
          </w:p>
        </w:tc>
      </w:tr>
      <w:tr w14:paraId="3A985CA0">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3B061C8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1A6C1A4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4C4D9DCE">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cs="宋体"/>
                <w:szCs w:val="21"/>
              </w:rPr>
            </w:pPr>
            <w:r>
              <w:rPr>
                <w:rFonts w:hint="eastAsia" w:ascii="宋体" w:hAnsi="宋体" w:cs="宋体"/>
                <w:szCs w:val="21"/>
              </w:rPr>
              <w:t>13、支持WEB前端框架探测，</w:t>
            </w:r>
            <w:r>
              <w:rPr>
                <w:rFonts w:hint="eastAsia"/>
              </w:rPr>
              <w:t>至少包含</w:t>
            </w:r>
            <w:r>
              <w:rPr>
                <w:rFonts w:hint="eastAsia" w:ascii="宋体" w:hAnsi="宋体" w:cs="宋体"/>
                <w:szCs w:val="21"/>
              </w:rPr>
              <w:t>jQuery、Bootstrap、HTML5。</w:t>
            </w:r>
          </w:p>
        </w:tc>
      </w:tr>
      <w:tr w14:paraId="3368775B">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7701E22E">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0C63169C">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06C3234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14、支持WEB后端开发框架探测，</w:t>
            </w:r>
            <w:r>
              <w:rPr>
                <w:rFonts w:hint="eastAsia"/>
              </w:rPr>
              <w:t>至少包含</w:t>
            </w:r>
            <w:r>
              <w:rPr>
                <w:rFonts w:hint="eastAsia" w:ascii="宋体" w:hAnsi="宋体" w:cs="宋体"/>
                <w:szCs w:val="21"/>
              </w:rPr>
              <w:t>JDK、Django、Rails、ThinkPHP、Struts、Spring。</w:t>
            </w:r>
          </w:p>
        </w:tc>
      </w:tr>
      <w:tr w14:paraId="3B90E635">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43497E41">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79C26697">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567F83DA">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15、支持WEB业务应用探测，</w:t>
            </w:r>
            <w:r>
              <w:rPr>
                <w:rFonts w:hint="eastAsia"/>
              </w:rPr>
              <w:t>至少包含</w:t>
            </w:r>
            <w:r>
              <w:rPr>
                <w:rFonts w:hint="eastAsia" w:ascii="宋体" w:hAnsi="宋体" w:cs="宋体"/>
                <w:szCs w:val="21"/>
              </w:rPr>
              <w:t>BBS、CMS和BLOG。</w:t>
            </w:r>
          </w:p>
        </w:tc>
      </w:tr>
      <w:tr w14:paraId="4D60AB5E">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54975940">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top"/>
          </w:tcPr>
          <w:p w14:paraId="2F397AE3">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0EC2B90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16、支持扫描对象包括：B/S架构类应用漏洞，</w:t>
            </w:r>
            <w:r>
              <w:rPr>
                <w:rFonts w:hint="eastAsia"/>
              </w:rPr>
              <w:t>至少包含</w:t>
            </w:r>
            <w:r>
              <w:rPr>
                <w:rFonts w:hint="eastAsia" w:ascii="宋体" w:hAnsi="宋体" w:cs="宋体"/>
                <w:szCs w:val="21"/>
              </w:rPr>
              <w:t>SQL注入、XSS跨站脚本攻击、应用系统弱口令、敏感文件下载、后台用户枚举。</w:t>
            </w:r>
          </w:p>
        </w:tc>
      </w:tr>
      <w:tr w14:paraId="3BF68C06">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restart"/>
            <w:shd w:val="clear" w:color="auto" w:fill="auto"/>
            <w:noWrap w:val="0"/>
            <w:vAlign w:val="center"/>
          </w:tcPr>
          <w:p w14:paraId="4D9986B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szCs w:val="21"/>
              </w:rPr>
            </w:pPr>
            <w:r>
              <w:rPr>
                <w:rFonts w:hint="eastAsia" w:ascii="宋体" w:hAnsi="宋体" w:cs="宋体"/>
                <w:szCs w:val="21"/>
              </w:rPr>
              <w:t>2</w:t>
            </w:r>
          </w:p>
        </w:tc>
        <w:tc>
          <w:tcPr>
            <w:tcW w:w="397" w:type="pct"/>
            <w:vMerge w:val="restart"/>
            <w:shd w:val="clear" w:color="auto" w:fill="auto"/>
            <w:noWrap w:val="0"/>
            <w:vAlign w:val="center"/>
          </w:tcPr>
          <w:p w14:paraId="07B468A0">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网站系统7*24小时实时监测</w:t>
            </w:r>
          </w:p>
        </w:tc>
        <w:tc>
          <w:tcPr>
            <w:tcW w:w="4168" w:type="pct"/>
            <w:tcBorders>
              <w:top w:val="single" w:color="auto" w:sz="4" w:space="0"/>
              <w:bottom w:val="single" w:color="auto" w:sz="4" w:space="0"/>
            </w:tcBorders>
            <w:shd w:val="clear" w:color="000000" w:fill="FFFFFF"/>
            <w:noWrap w:val="0"/>
            <w:vAlign w:val="top"/>
          </w:tcPr>
          <w:p w14:paraId="755C5810">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1、对网站系统的连通性进行7*24小时实时监测，每月为每个网站系统出具一个监测报告，并分别发送邮件给网站系统管理员，生成网站安全事件台账。</w:t>
            </w:r>
          </w:p>
        </w:tc>
      </w:tr>
      <w:tr w14:paraId="65FC085E">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282847EA">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7D59D97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1B30BE37">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▲2、支持对学校所有网站系统（以学校域名开通的网站不少于85个，不多于95个）进行7*24小时实时监测。</w:t>
            </w:r>
          </w:p>
        </w:tc>
      </w:tr>
      <w:tr w14:paraId="3499A19A">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1521577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6BAB81A3">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6404E531">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▲3、对网站系统的页面进行实时比对，出现页面篡改时，应在15分钟内通知到相应网站系统管理员。</w:t>
            </w:r>
          </w:p>
        </w:tc>
      </w:tr>
      <w:tr w14:paraId="0A5D1200">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773EBBC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0BC33EEE">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06EA89E5">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▲4、支持整站内容进行篡改监测，梳理并在首页展示站点结构图，显示网站各节点是否存在被篡改事件。</w:t>
            </w:r>
          </w:p>
        </w:tc>
      </w:tr>
      <w:tr w14:paraId="591C1B41">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5DF23C0E">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79945F08">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02A13D49">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▲5、对目标站点的关键页面进行实时篡改监测，分钟级篡改发现，第一时间进行实时告警，并提供主动电话告警。</w:t>
            </w:r>
          </w:p>
        </w:tc>
      </w:tr>
      <w:tr w14:paraId="67B25E20">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72E65256">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4911CFC1">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42A4A97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、支持页面响应监测，通过固定的频率模拟用户请求访问被监控站点，实时获取站点的响应状态和请求详情，精准的探测出网站的各种异常，5分钟检测一次，当连续3次访问失败时判断为业务不可用。</w:t>
            </w:r>
          </w:p>
        </w:tc>
      </w:tr>
      <w:tr w14:paraId="44C4B54C">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08C0B0DC">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4048D06B">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6B6B2F39">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、支持网站存活监测，通过固定的频率探测被监控主机或站点存活状态，监控不同地域和运营商的连通性。</w:t>
            </w:r>
          </w:p>
        </w:tc>
      </w:tr>
      <w:tr w14:paraId="29069CBE">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5729F7CB">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4492927E">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199EC60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、通过检测网站的文件和代码，识别潜在的挂马行为。一旦发现挂马现象，立即向用户发送告警通知。</w:t>
            </w:r>
          </w:p>
        </w:tc>
      </w:tr>
      <w:tr w14:paraId="2FD3CF4F">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464D104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4A906AE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1B6987B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、支持每月定期进行网站安全评估，并生成安全评估报告，报告应至少包含扫描站点信息、风险分布情况、漏洞的风险描述、影响范围、解决方案和具体的攻击举证进行详细的展示。</w:t>
            </w:r>
          </w:p>
        </w:tc>
      </w:tr>
      <w:tr w14:paraId="55773ADA">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restart"/>
            <w:shd w:val="clear" w:color="auto" w:fill="auto"/>
            <w:noWrap w:val="0"/>
            <w:vAlign w:val="center"/>
          </w:tcPr>
          <w:p w14:paraId="4B037A4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szCs w:val="21"/>
              </w:rPr>
            </w:pPr>
            <w:r>
              <w:rPr>
                <w:rFonts w:hint="eastAsia" w:ascii="宋体" w:hAnsi="宋体" w:cs="宋体"/>
                <w:szCs w:val="21"/>
              </w:rPr>
              <w:t>3</w:t>
            </w:r>
          </w:p>
        </w:tc>
        <w:tc>
          <w:tcPr>
            <w:tcW w:w="397" w:type="pct"/>
            <w:vMerge w:val="restart"/>
            <w:shd w:val="clear" w:color="auto" w:fill="auto"/>
            <w:noWrap w:val="0"/>
            <w:vAlign w:val="center"/>
          </w:tcPr>
          <w:p w14:paraId="7DB2F7D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网站内容风险监测和评估</w:t>
            </w:r>
          </w:p>
        </w:tc>
        <w:tc>
          <w:tcPr>
            <w:tcW w:w="4168" w:type="pct"/>
            <w:tcBorders>
              <w:top w:val="single" w:color="auto" w:sz="4" w:space="0"/>
              <w:bottom w:val="single" w:color="auto" w:sz="4" w:space="0"/>
            </w:tcBorders>
            <w:shd w:val="clear" w:color="000000" w:fill="FFFFFF"/>
            <w:noWrap w:val="0"/>
            <w:vAlign w:val="top"/>
          </w:tcPr>
          <w:p w14:paraId="39C77F11">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▲1、对网站系统进行7*24小时实时监测，为网站系统出现的敏感言论、敏感关键字及“反共黑客”、“黑页”、“博彩”等问题内容进行重点监测。扫描互联网上，爬取有关深职大内容、网站代码的网页。</w:t>
            </w:r>
          </w:p>
        </w:tc>
      </w:tr>
      <w:tr w14:paraId="76498FFA">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5933C95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145D0ED1">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74BC236A">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▲2、支持对学校所有网站系统（以学校域名开通的网站不少于85个，不多于95个）进行7*24小时实时监测。各类监测要能通过即时信息推送到有关人员手机，且可直接打开了解详细情况。</w:t>
            </w:r>
          </w:p>
        </w:tc>
      </w:tr>
      <w:tr w14:paraId="39203CC9">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5790D63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41113E2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11911B43">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3、敏感词检测，支持以用户身份登录系统后进行检测。提供多个敏感词字典：内置字典、AI 智能检测引擎、自定义字典。</w:t>
            </w:r>
          </w:p>
        </w:tc>
      </w:tr>
      <w:tr w14:paraId="02CEA7B4">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27272396">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0482EB13">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6AC44635">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4、支持对目标站点提供7×24小时网页敏感词检测能力，发现目标站点存在“敏感字”、“黑页”等问题网页时，需在15分钟内通知到相关网站系统管理员。</w:t>
            </w:r>
          </w:p>
        </w:tc>
      </w:tr>
      <w:tr w14:paraId="24A29E88">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restart"/>
            <w:shd w:val="clear" w:color="auto" w:fill="auto"/>
            <w:noWrap w:val="0"/>
            <w:vAlign w:val="center"/>
          </w:tcPr>
          <w:p w14:paraId="05BE715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szCs w:val="21"/>
              </w:rPr>
            </w:pPr>
            <w:r>
              <w:rPr>
                <w:rFonts w:hint="eastAsia" w:ascii="宋体" w:hAnsi="宋体" w:cs="宋体"/>
                <w:szCs w:val="21"/>
              </w:rPr>
              <w:t>4</w:t>
            </w:r>
          </w:p>
        </w:tc>
        <w:tc>
          <w:tcPr>
            <w:tcW w:w="397" w:type="pct"/>
            <w:vMerge w:val="restart"/>
            <w:shd w:val="clear" w:color="auto" w:fill="auto"/>
            <w:noWrap w:val="0"/>
            <w:vAlign w:val="center"/>
          </w:tcPr>
          <w:p w14:paraId="3D8B46DC">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网站内链和外链检测</w:t>
            </w:r>
          </w:p>
        </w:tc>
        <w:tc>
          <w:tcPr>
            <w:tcW w:w="4168" w:type="pct"/>
            <w:tcBorders>
              <w:top w:val="single" w:color="auto" w:sz="4" w:space="0"/>
              <w:bottom w:val="single" w:color="auto" w:sz="4" w:space="0"/>
            </w:tcBorders>
            <w:shd w:val="clear" w:color="000000" w:fill="FFFFFF"/>
            <w:noWrap w:val="0"/>
            <w:vAlign w:val="top"/>
          </w:tcPr>
          <w:p w14:paraId="6F213E13">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1、通过技术手段，对学校所有网站系统（以学校域名开通的网站不少于85个，不多于95个）的所有内部链接和所有外链，进行是否是暗链、黄链、赌链、暴力链、枪支链、毒品链、游戏链、娱乐平台链等检测和分析，对检测出来的暗链、黄链、赌链、暴力链、枪支链、毒品链、游戏链、娱乐平台链等，应及时通知到相应网站系统管理员。</w:t>
            </w:r>
          </w:p>
        </w:tc>
      </w:tr>
      <w:tr w14:paraId="0C0690F7">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42F397D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09D553D8">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4075C2B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2、支持对目标站点提供7×24小时网页黑链监测能力。发现网页黑链事件第一时间通知用户。</w:t>
            </w:r>
          </w:p>
        </w:tc>
      </w:tr>
      <w:tr w14:paraId="570AA718">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restart"/>
            <w:shd w:val="clear" w:color="auto" w:fill="auto"/>
            <w:noWrap w:val="0"/>
            <w:vAlign w:val="center"/>
          </w:tcPr>
          <w:p w14:paraId="11804172">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szCs w:val="21"/>
              </w:rPr>
            </w:pPr>
            <w:r>
              <w:rPr>
                <w:rFonts w:hint="eastAsia" w:ascii="宋体" w:hAnsi="宋体" w:cs="宋体"/>
                <w:szCs w:val="21"/>
              </w:rPr>
              <w:t>5</w:t>
            </w:r>
          </w:p>
        </w:tc>
        <w:tc>
          <w:tcPr>
            <w:tcW w:w="397" w:type="pct"/>
            <w:vMerge w:val="restart"/>
            <w:shd w:val="clear" w:color="auto" w:fill="auto"/>
            <w:noWrap w:val="0"/>
            <w:vAlign w:val="center"/>
          </w:tcPr>
          <w:p w14:paraId="5F28C3C2">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“双非”网站系统检测</w:t>
            </w:r>
          </w:p>
        </w:tc>
        <w:tc>
          <w:tcPr>
            <w:tcW w:w="4168" w:type="pct"/>
            <w:tcBorders>
              <w:top w:val="single" w:color="auto" w:sz="4" w:space="0"/>
              <w:bottom w:val="single" w:color="auto" w:sz="4" w:space="0"/>
            </w:tcBorders>
            <w:shd w:val="clear" w:color="000000" w:fill="FFFFFF"/>
            <w:noWrap w:val="0"/>
            <w:vAlign w:val="top"/>
          </w:tcPr>
          <w:p w14:paraId="277210C6">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rPr>
              <w:t>1、检查学校暴露在互联网上的网站系统(小程序、微信公众号等)，提供资产安全和漏洞管理的持续监控服务，支持基于一键任务下发进行互联网资产的排查，排查范围需至少包含：组织机构、IP、域名、端口、公众号、小程序、APP、邮箱、供应链。</w:t>
            </w:r>
          </w:p>
        </w:tc>
      </w:tr>
      <w:tr w14:paraId="613575DA">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6C29D21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5AF2A855">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7513A40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szCs w:val="21"/>
              </w:rPr>
            </w:pPr>
            <w:r>
              <w:rPr>
                <w:rFonts w:hint="eastAsia" w:ascii="宋体" w:hAnsi="宋体" w:cs="宋体"/>
                <w:szCs w:val="21"/>
              </w:rPr>
              <w:t>2、支持基于AI大模型自动化生成高质量规则，利用检测工具做验证和优化。</w:t>
            </w:r>
          </w:p>
        </w:tc>
      </w:tr>
      <w:tr w14:paraId="07DB5DD1">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7BFDFF94">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0344DE13">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7DBA6E5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szCs w:val="21"/>
              </w:rPr>
            </w:pPr>
            <w:r>
              <w:rPr>
                <w:rFonts w:hint="eastAsia" w:ascii="宋体" w:hAnsi="宋体" w:cs="宋体"/>
                <w:szCs w:val="21"/>
              </w:rPr>
              <w:t>▲3、在互联网上，检测各类网站（信息系统），检测冠有“深圳职业技术大学”和“深圳职业技术学院”名称，但未使用学校域名（szpt.edu.cn和szpu.edu.cn）的网站和信息系统。至少支持发现学校暴露在GitHub上的代码。</w:t>
            </w:r>
          </w:p>
        </w:tc>
      </w:tr>
      <w:tr w14:paraId="770F73CF">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34A8573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36A09EE6">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63A01BA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szCs w:val="21"/>
              </w:rPr>
            </w:pPr>
            <w:r>
              <w:rPr>
                <w:rFonts w:hint="eastAsia" w:ascii="宋体" w:hAnsi="宋体" w:cs="宋体"/>
                <w:color w:val="FF0000"/>
                <w:szCs w:val="21"/>
              </w:rPr>
              <w:t>▲</w:t>
            </w:r>
            <w:r>
              <w:rPr>
                <w:rFonts w:hint="eastAsia" w:ascii="宋体" w:hAnsi="宋体" w:cs="宋体"/>
                <w:b/>
                <w:bCs/>
                <w:color w:val="FF0000"/>
                <w:szCs w:val="21"/>
              </w:rPr>
              <w:t>4、支持对开源代码仓库进行敏感信息泄露检测，并支持网盘泄露监控，支持对主流云盘的敏感数据进行检测，需支持对不少于10家国内主流网盘的数据泄露检测，包括百度、阿里、天翼、腾讯、飞猫、移动和彩云、UC、迅雷等。</w:t>
            </w:r>
            <w:r>
              <w:rPr>
                <w:rFonts w:hint="eastAsia" w:ascii="宋体" w:hAnsi="宋体" w:cs="宋体"/>
                <w:b/>
                <w:bCs/>
                <w:color w:val="FF0000"/>
                <w:szCs w:val="21"/>
                <w:lang w:eastAsia="zh-CN"/>
              </w:rPr>
              <w:t>【</w:t>
            </w:r>
            <w:r>
              <w:rPr>
                <w:rFonts w:hint="eastAsia" w:ascii="宋体" w:hAnsi="宋体" w:cs="宋体"/>
                <w:b/>
                <w:bCs/>
                <w:color w:val="FF0000"/>
                <w:szCs w:val="21"/>
              </w:rPr>
              <w:t>需提供</w:t>
            </w:r>
            <w:r>
              <w:rPr>
                <w:rFonts w:hint="eastAsia" w:hAnsi="宋体" w:cs="宋体"/>
                <w:b/>
                <w:bCs/>
                <w:color w:val="FF0000"/>
                <w:szCs w:val="21"/>
              </w:rPr>
              <w:t>支持对主流云盘的敏感数据进行检测的</w:t>
            </w:r>
            <w:r>
              <w:rPr>
                <w:rFonts w:hint="eastAsia" w:hAnsi="宋体" w:cs="宋体"/>
                <w:b/>
                <w:bCs/>
                <w:color w:val="FF0000"/>
                <w:szCs w:val="21"/>
                <w:lang w:val="en-US" w:eastAsia="zh-CN"/>
              </w:rPr>
              <w:t>相关</w:t>
            </w:r>
            <w:r>
              <w:rPr>
                <w:rFonts w:hint="eastAsia" w:hAnsi="宋体" w:cs="宋体"/>
                <w:b/>
                <w:bCs/>
                <w:color w:val="FF0000"/>
                <w:szCs w:val="21"/>
              </w:rPr>
              <w:t>截图</w:t>
            </w:r>
            <w:r>
              <w:rPr>
                <w:rFonts w:hint="eastAsia" w:ascii="宋体" w:hAnsi="宋体" w:cs="宋体"/>
                <w:b/>
                <w:bCs/>
                <w:color w:val="FF0000"/>
                <w:szCs w:val="21"/>
              </w:rPr>
              <w:t>证明</w:t>
            </w:r>
            <w:r>
              <w:rPr>
                <w:rFonts w:hint="eastAsia" w:ascii="宋体" w:hAnsi="宋体" w:cs="宋体"/>
                <w:b/>
                <w:bCs/>
                <w:color w:val="FF0000"/>
                <w:szCs w:val="21"/>
                <w:lang w:eastAsia="zh-CN"/>
              </w:rPr>
              <w:t>】</w:t>
            </w:r>
          </w:p>
        </w:tc>
      </w:tr>
      <w:tr w14:paraId="6AAE88F1">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544D5AF2">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4D1C4CF2">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2A7B9EF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b/>
                <w:szCs w:val="21"/>
              </w:rPr>
            </w:pPr>
            <w:r>
              <w:rPr>
                <w:rFonts w:hint="eastAsia" w:ascii="宋体" w:hAnsi="宋体" w:cs="宋体"/>
                <w:b/>
                <w:color w:val="FF0000"/>
                <w:szCs w:val="21"/>
              </w:rPr>
              <w:t>▲5、</w:t>
            </w:r>
            <w:r>
              <w:rPr>
                <w:rFonts w:hint="eastAsia" w:ascii="宋体" w:hAnsi="宋体" w:cs="宋体"/>
                <w:b/>
                <w:color w:val="FF0000"/>
                <w:kern w:val="0"/>
                <w:szCs w:val="21"/>
              </w:rPr>
              <w:t>支持发现含有深圳职业技术大学或深职大相关内容的企业微信公众号、小程序。</w:t>
            </w:r>
            <w:r>
              <w:rPr>
                <w:rFonts w:hint="eastAsia" w:ascii="宋体" w:hAnsi="宋体" w:cs="宋体"/>
                <w:b/>
                <w:color w:val="FF0000"/>
                <w:szCs w:val="21"/>
                <w:lang w:eastAsia="zh-CN"/>
              </w:rPr>
              <w:t>【</w:t>
            </w:r>
            <w:r>
              <w:rPr>
                <w:rFonts w:hint="eastAsia" w:ascii="宋体" w:hAnsi="宋体" w:cs="宋体"/>
                <w:b/>
                <w:color w:val="FF0000"/>
                <w:szCs w:val="21"/>
              </w:rPr>
              <w:t>需提供</w:t>
            </w:r>
            <w:r>
              <w:rPr>
                <w:rFonts w:hint="eastAsia" w:ascii="宋体" w:hAnsi="宋体" w:cs="宋体"/>
                <w:b/>
                <w:color w:val="FF0000"/>
                <w:szCs w:val="21"/>
                <w:lang w:val="en-US" w:eastAsia="zh-CN"/>
              </w:rPr>
              <w:t>满足要求的</w:t>
            </w:r>
            <w:r>
              <w:rPr>
                <w:rFonts w:hint="eastAsia" w:ascii="宋体" w:hAnsi="宋体" w:cs="宋体"/>
                <w:b/>
                <w:color w:val="FF0000"/>
                <w:szCs w:val="21"/>
              </w:rPr>
              <w:t>相关截图证明</w:t>
            </w:r>
            <w:r>
              <w:rPr>
                <w:rFonts w:hint="eastAsia" w:ascii="宋体" w:hAnsi="宋体" w:cs="宋体"/>
                <w:b/>
                <w:color w:val="FF0000"/>
                <w:szCs w:val="21"/>
                <w:lang w:eastAsia="zh-CN"/>
              </w:rPr>
              <w:t>】</w:t>
            </w:r>
          </w:p>
        </w:tc>
      </w:tr>
      <w:tr w14:paraId="4ACB70E0">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42129AA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1BFEB258">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435C3056">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cs="宋体"/>
                <w:szCs w:val="21"/>
              </w:rPr>
            </w:pPr>
            <w:r>
              <w:rPr>
                <w:rFonts w:hint="eastAsia" w:ascii="宋体" w:hAnsi="宋体" w:cs="宋体"/>
                <w:szCs w:val="21"/>
              </w:rPr>
              <w:t>6、支持进行暗网情报监控，对主流的中文暗网论坛进行监控，</w:t>
            </w:r>
            <w:r>
              <w:rPr>
                <w:rFonts w:hint="eastAsia"/>
              </w:rPr>
              <w:t>至少包含</w:t>
            </w:r>
            <w:r>
              <w:rPr>
                <w:rFonts w:hint="eastAsia" w:ascii="宋体" w:hAnsi="宋体" w:cs="宋体"/>
                <w:szCs w:val="21"/>
              </w:rPr>
              <w:t>长安不夜城、暗网中国、BreachedForumes、茶马古道。</w:t>
            </w:r>
          </w:p>
        </w:tc>
      </w:tr>
      <w:tr w14:paraId="5A86655E">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41B81D48">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22FAE901">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179982A6">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cs="宋体"/>
                <w:szCs w:val="21"/>
              </w:rPr>
            </w:pPr>
            <w:r>
              <w:rPr>
                <w:rFonts w:hint="eastAsia" w:ascii="宋体" w:hAnsi="宋体" w:cs="宋体"/>
                <w:szCs w:val="21"/>
              </w:rPr>
              <w:t>7、支持发现学校暴露在文库中的敏感信息，对国内主流文库的数据泄露检测，至少包括百度文库、CSDN、道客巴巴、360文库、豆丁网、博客园、IT168、金锄头文库、快搜文库、蚂蚁文库、淘豆网、天天文库、语雀、简书、开源众包、程序员客栈、原创力文档、猿急送、文档网、搜文库、文库吧。</w:t>
            </w:r>
          </w:p>
        </w:tc>
      </w:tr>
      <w:tr w14:paraId="6357244A">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restart"/>
            <w:shd w:val="clear" w:color="auto" w:fill="auto"/>
            <w:noWrap w:val="0"/>
            <w:vAlign w:val="center"/>
          </w:tcPr>
          <w:p w14:paraId="5F9551F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szCs w:val="21"/>
              </w:rPr>
            </w:pPr>
            <w:r>
              <w:rPr>
                <w:rFonts w:hint="eastAsia" w:ascii="宋体" w:hAnsi="宋体" w:cs="宋体"/>
                <w:szCs w:val="21"/>
              </w:rPr>
              <w:t>6</w:t>
            </w:r>
          </w:p>
        </w:tc>
        <w:tc>
          <w:tcPr>
            <w:tcW w:w="397" w:type="pct"/>
            <w:vMerge w:val="restart"/>
            <w:shd w:val="clear" w:color="auto" w:fill="auto"/>
            <w:noWrap w:val="0"/>
            <w:vAlign w:val="center"/>
          </w:tcPr>
          <w:p w14:paraId="260DBFD9">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r>
              <w:rPr>
                <w:rFonts w:hint="eastAsia" w:ascii="宋体" w:hAnsi="宋体" w:cs="宋体"/>
                <w:szCs w:val="21"/>
                <w:shd w:val="clear" w:color="auto" w:fill="FFFFFF"/>
              </w:rPr>
              <w:t>网络病毒监测</w:t>
            </w:r>
          </w:p>
        </w:tc>
        <w:tc>
          <w:tcPr>
            <w:tcW w:w="4168" w:type="pct"/>
            <w:tcBorders>
              <w:top w:val="single" w:color="auto" w:sz="4" w:space="0"/>
              <w:bottom w:val="single" w:color="auto" w:sz="4" w:space="0"/>
            </w:tcBorders>
            <w:shd w:val="clear" w:color="000000" w:fill="FFFFFF"/>
            <w:noWrap w:val="0"/>
            <w:vAlign w:val="top"/>
          </w:tcPr>
          <w:p w14:paraId="0DA2FB8C">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r>
              <w:rPr>
                <w:rFonts w:hint="eastAsia" w:ascii="宋体" w:hAnsi="宋体" w:cs="宋体"/>
                <w:szCs w:val="21"/>
                <w:shd w:val="clear" w:color="auto" w:fill="FFFFFF"/>
              </w:rPr>
              <w:t>1、实时监测校园网络出口流量的（包括服务器和个人终端）木马、病毒以及挖矿等情况，每月提供1次感染病毒IP列表和病毒确诊分析报告，协助校方进行病毒查杀。</w:t>
            </w:r>
          </w:p>
        </w:tc>
      </w:tr>
      <w:tr w14:paraId="3958AB19">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7D0D569B">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6643C046">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p>
        </w:tc>
        <w:tc>
          <w:tcPr>
            <w:tcW w:w="4168" w:type="pct"/>
            <w:tcBorders>
              <w:top w:val="single" w:color="auto" w:sz="4" w:space="0"/>
              <w:bottom w:val="single" w:color="auto" w:sz="4" w:space="0"/>
            </w:tcBorders>
            <w:shd w:val="clear" w:color="000000" w:fill="FFFFFF"/>
            <w:noWrap w:val="0"/>
            <w:vAlign w:val="top"/>
          </w:tcPr>
          <w:p w14:paraId="4EF042DC">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cs="宋体"/>
                <w:szCs w:val="21"/>
                <w:shd w:val="clear" w:color="auto" w:fill="FFFFFF"/>
              </w:rPr>
            </w:pPr>
            <w:r>
              <w:rPr>
                <w:rFonts w:hint="eastAsia" w:ascii="宋体" w:hAnsi="宋体" w:cs="宋体"/>
                <w:szCs w:val="21"/>
                <w:shd w:val="clear" w:color="auto" w:fill="FFFFFF"/>
              </w:rPr>
              <w:t xml:space="preserve">2、能够支持超过100种协议的解析, </w:t>
            </w:r>
            <w:r>
              <w:rPr>
                <w:rFonts w:hint="eastAsia"/>
              </w:rPr>
              <w:t>至少</w:t>
            </w:r>
            <w:r>
              <w:rPr>
                <w:rFonts w:hint="eastAsia" w:ascii="宋体" w:hAnsi="宋体" w:cs="宋体"/>
                <w:szCs w:val="21"/>
                <w:shd w:val="clear" w:color="auto" w:fill="FFFFFF"/>
              </w:rPr>
              <w:t>包括</w:t>
            </w:r>
          </w:p>
          <w:p w14:paraId="3688D0C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r>
              <w:rPr>
                <w:rFonts w:hint="eastAsia" w:ascii="宋体" w:hAnsi="宋体" w:cs="宋体"/>
                <w:szCs w:val="21"/>
                <w:shd w:val="clear" w:color="auto" w:fill="FFFFFF"/>
              </w:rPr>
              <w:t>HTTP/SMTP/POP3/FTP/SMB/TFTP/TCP/UDP/NFS/SNMP/ICMP/RTMP/DNS/IRC。</w:t>
            </w:r>
          </w:p>
        </w:tc>
      </w:tr>
      <w:tr w14:paraId="14584683">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5B96F327">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5E4884E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p>
        </w:tc>
        <w:tc>
          <w:tcPr>
            <w:tcW w:w="4168" w:type="pct"/>
            <w:tcBorders>
              <w:top w:val="single" w:color="auto" w:sz="4" w:space="0"/>
              <w:bottom w:val="single" w:color="auto" w:sz="4" w:space="0"/>
            </w:tcBorders>
            <w:shd w:val="clear" w:color="000000" w:fill="FFFFFF"/>
            <w:noWrap w:val="0"/>
            <w:vAlign w:val="top"/>
          </w:tcPr>
          <w:p w14:paraId="6341CC6E">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r>
              <w:rPr>
                <w:rFonts w:hint="eastAsia" w:ascii="宋体" w:hAnsi="宋体" w:cs="宋体"/>
                <w:szCs w:val="21"/>
                <w:shd w:val="clear" w:color="auto" w:fill="FFFFFF"/>
              </w:rPr>
              <w:t>3、能够支持SMBv1、SMBv2和SMBv3文件共享协议的病毒检测与查杀,且针对SMBv3协议，并能对256k以上的文件进行病毒检测和过滤。</w:t>
            </w:r>
          </w:p>
        </w:tc>
      </w:tr>
      <w:tr w14:paraId="3C16CF08">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206FB772">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00243C3C">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p>
        </w:tc>
        <w:tc>
          <w:tcPr>
            <w:tcW w:w="4168" w:type="pct"/>
            <w:tcBorders>
              <w:top w:val="single" w:color="auto" w:sz="4" w:space="0"/>
              <w:bottom w:val="single" w:color="auto" w:sz="4" w:space="0"/>
            </w:tcBorders>
            <w:shd w:val="clear" w:color="000000" w:fill="FFFFFF"/>
            <w:noWrap w:val="0"/>
            <w:vAlign w:val="top"/>
          </w:tcPr>
          <w:p w14:paraId="3D21C87B">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szCs w:val="21"/>
                <w:shd w:val="clear" w:color="auto" w:fill="FFFFFF"/>
              </w:rPr>
            </w:pPr>
            <w:r>
              <w:rPr>
                <w:rFonts w:hint="eastAsia" w:ascii="宋体" w:hAnsi="宋体" w:cs="宋体"/>
                <w:b/>
                <w:color w:val="FF0000"/>
                <w:szCs w:val="21"/>
              </w:rPr>
              <w:t>▲</w:t>
            </w:r>
            <w:r>
              <w:rPr>
                <w:rFonts w:hint="eastAsia" w:ascii="宋体" w:hAnsi="宋体" w:cs="宋体"/>
                <w:b/>
                <w:color w:val="FF0000"/>
                <w:szCs w:val="21"/>
                <w:shd w:val="clear" w:color="auto" w:fill="FFFFFF"/>
              </w:rPr>
              <w:t>4、能够支持快速扫描模式和深度扫描模式切换，支持对最多20层或以上的压缩文件进行解压查杀。</w:t>
            </w:r>
            <w:r>
              <w:rPr>
                <w:rFonts w:hint="eastAsia" w:ascii="宋体" w:hAnsi="宋体" w:cs="宋体"/>
                <w:b/>
                <w:color w:val="FF0000"/>
                <w:szCs w:val="21"/>
                <w:shd w:val="clear" w:color="auto" w:fill="FFFFFF"/>
                <w:lang w:eastAsia="zh-CN"/>
              </w:rPr>
              <w:t>【</w:t>
            </w:r>
            <w:r>
              <w:rPr>
                <w:rFonts w:hint="eastAsia" w:ascii="宋体" w:hAnsi="宋体" w:cs="宋体"/>
                <w:b/>
                <w:color w:val="FF0000"/>
                <w:szCs w:val="21"/>
                <w:shd w:val="clear" w:color="auto" w:fill="FFFFFF"/>
                <w:lang w:val="en-US" w:eastAsia="zh-CN"/>
              </w:rPr>
              <w:t>需提供</w:t>
            </w:r>
            <w:r>
              <w:rPr>
                <w:rFonts w:hint="eastAsia" w:hAnsi="宋体" w:cs="宋体"/>
                <w:b/>
                <w:color w:val="FF0000"/>
                <w:szCs w:val="21"/>
                <w:shd w:val="clear" w:color="auto" w:fill="FFFFFF"/>
              </w:rPr>
              <w:t>支持快速扫描模式和深度扫描模式的</w:t>
            </w:r>
            <w:r>
              <w:rPr>
                <w:rFonts w:hint="eastAsia" w:hAnsi="宋体" w:cs="宋体"/>
                <w:b/>
                <w:color w:val="FF0000"/>
                <w:szCs w:val="21"/>
                <w:shd w:val="clear" w:color="auto" w:fill="FFFFFF"/>
                <w:lang w:val="en-US" w:eastAsia="zh-CN"/>
              </w:rPr>
              <w:t>相关</w:t>
            </w:r>
            <w:r>
              <w:rPr>
                <w:rFonts w:hint="eastAsia" w:hAnsi="宋体" w:cs="宋体"/>
                <w:b/>
                <w:color w:val="FF0000"/>
                <w:szCs w:val="21"/>
                <w:shd w:val="clear" w:color="auto" w:fill="FFFFFF"/>
              </w:rPr>
              <w:t>截图</w:t>
            </w:r>
            <w:r>
              <w:rPr>
                <w:rFonts w:hint="eastAsia" w:hAnsi="宋体" w:cs="宋体"/>
                <w:b/>
                <w:color w:val="FF0000"/>
                <w:szCs w:val="21"/>
                <w:shd w:val="clear" w:color="auto" w:fill="FFFFFF"/>
                <w:lang w:val="en-US" w:eastAsia="zh-CN"/>
              </w:rPr>
              <w:t>证明</w:t>
            </w:r>
            <w:r>
              <w:rPr>
                <w:rFonts w:hint="eastAsia" w:ascii="宋体" w:hAnsi="宋体" w:cs="宋体"/>
                <w:b/>
                <w:color w:val="FF0000"/>
                <w:szCs w:val="21"/>
                <w:shd w:val="clear" w:color="auto" w:fill="FFFFFF"/>
                <w:lang w:eastAsia="zh-CN"/>
              </w:rPr>
              <w:t>】</w:t>
            </w:r>
          </w:p>
        </w:tc>
      </w:tr>
      <w:tr w14:paraId="37BF526D">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restart"/>
            <w:shd w:val="clear" w:color="auto" w:fill="auto"/>
            <w:noWrap w:val="0"/>
            <w:vAlign w:val="center"/>
          </w:tcPr>
          <w:p w14:paraId="6654468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szCs w:val="21"/>
              </w:rPr>
            </w:pPr>
            <w:r>
              <w:rPr>
                <w:rFonts w:hint="eastAsia" w:ascii="宋体" w:hAnsi="宋体" w:cs="宋体"/>
                <w:szCs w:val="21"/>
              </w:rPr>
              <w:t>7</w:t>
            </w:r>
          </w:p>
        </w:tc>
        <w:tc>
          <w:tcPr>
            <w:tcW w:w="397" w:type="pct"/>
            <w:vMerge w:val="restart"/>
            <w:shd w:val="clear" w:color="auto" w:fill="auto"/>
            <w:noWrap w:val="0"/>
            <w:vAlign w:val="center"/>
          </w:tcPr>
          <w:p w14:paraId="6F5DFD3A">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r>
              <w:rPr>
                <w:rFonts w:hint="eastAsia" w:ascii="宋体" w:hAnsi="宋体" w:cs="宋体"/>
                <w:szCs w:val="21"/>
                <w:shd w:val="clear" w:color="auto" w:fill="FFFFFF"/>
              </w:rPr>
              <w:t>网络安全运营咨询</w:t>
            </w:r>
          </w:p>
        </w:tc>
        <w:tc>
          <w:tcPr>
            <w:tcW w:w="4168" w:type="pct"/>
            <w:tcBorders>
              <w:top w:val="single" w:color="auto" w:sz="4" w:space="0"/>
              <w:bottom w:val="single" w:color="auto" w:sz="4" w:space="0"/>
            </w:tcBorders>
            <w:shd w:val="clear" w:color="000000" w:fill="FFFFFF"/>
            <w:noWrap w:val="0"/>
            <w:vAlign w:val="top"/>
          </w:tcPr>
          <w:p w14:paraId="39A10645">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szCs w:val="21"/>
              </w:rPr>
            </w:pPr>
            <w:r>
              <w:rPr>
                <w:rFonts w:hint="eastAsia" w:ascii="宋体" w:hAnsi="宋体" w:cs="宋体"/>
                <w:szCs w:val="21"/>
              </w:rPr>
              <w:t>▲</w:t>
            </w:r>
            <w:r>
              <w:rPr>
                <w:rFonts w:hint="eastAsia" w:ascii="宋体" w:hAnsi="宋体" w:cs="宋体"/>
                <w:szCs w:val="21"/>
                <w:shd w:val="clear" w:color="auto" w:fill="FFFFFF"/>
              </w:rPr>
              <w:t>1、提供1个专家团队，团队成员需具备网络工程、数据库管理、渗透测试、应急响应、安全运维等专业能力，协助学校评审和修订网络安全管理制度，制定《网络安全运营成熟度模型》、《年度网络安全运营工作计划表》等，建立网络安全运营知识库，规范各类网络安全关键任务工作流程。</w:t>
            </w:r>
          </w:p>
        </w:tc>
      </w:tr>
      <w:tr w14:paraId="2F4357D8">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3796F2F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0182AEF9">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63F89901">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r>
              <w:rPr>
                <w:rFonts w:hint="eastAsia" w:ascii="宋体" w:hAnsi="宋体" w:cs="宋体"/>
                <w:szCs w:val="21"/>
                <w:shd w:val="clear" w:color="auto" w:fill="FFFFFF"/>
              </w:rPr>
              <w:t>2、《网络安全运营成熟度模型》应结合学校在人员、机制、工具三个维度的网络安全建设情况进行评估，输出符合学校网络安全管理实际的评估标准，并确定当下建设阶段和未来的安全规划方向。</w:t>
            </w:r>
          </w:p>
        </w:tc>
      </w:tr>
      <w:tr w14:paraId="5098A60F">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5D419C33">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0E5FCF1D">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1AB0F6B0">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r>
              <w:rPr>
                <w:rFonts w:hint="eastAsia" w:ascii="宋体" w:hAnsi="宋体" w:cs="宋体"/>
                <w:szCs w:val="21"/>
                <w:shd w:val="clear" w:color="auto" w:fill="FFFFFF"/>
              </w:rPr>
              <w:t>3、《年度网络安全运营工作计划表》应充分考虑学校全年网络安全工作特点，结合资产-脆弱性-风险-事件四个维度的管理需求，合理规划网络安全运营工作任务，确保各项工作任务能高效开展，形成工作闭环。</w:t>
            </w:r>
          </w:p>
        </w:tc>
      </w:tr>
      <w:tr w14:paraId="00982CB2">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084AA9FA">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23D9367A">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4168" w:type="pct"/>
            <w:tcBorders>
              <w:top w:val="single" w:color="auto" w:sz="4" w:space="0"/>
              <w:bottom w:val="single" w:color="auto" w:sz="4" w:space="0"/>
            </w:tcBorders>
            <w:shd w:val="clear" w:color="000000" w:fill="FFFFFF"/>
            <w:noWrap w:val="0"/>
            <w:vAlign w:val="top"/>
          </w:tcPr>
          <w:p w14:paraId="4148EB8B">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r>
              <w:rPr>
                <w:rFonts w:hint="eastAsia" w:ascii="宋体" w:hAnsi="宋体" w:cs="宋体"/>
                <w:szCs w:val="21"/>
                <w:shd w:val="clear" w:color="auto" w:fill="FFFFFF"/>
              </w:rPr>
              <w:t>4、提供1名具备网络安全运维服务资质的专职运营服务工程师，采取远程结合现场的方式，跟进《年度网络安全运营工作计划表》，在年度网络安全运营工作结束后，配合学校整理安全运营过程资料，协助分析运营过程中出现的问题，提供工作总结报告。</w:t>
            </w:r>
          </w:p>
        </w:tc>
      </w:tr>
      <w:tr w14:paraId="45AF403B">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restart"/>
            <w:shd w:val="clear" w:color="auto" w:fill="auto"/>
            <w:noWrap w:val="0"/>
            <w:vAlign w:val="center"/>
          </w:tcPr>
          <w:p w14:paraId="0075D6F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szCs w:val="21"/>
              </w:rPr>
            </w:pPr>
            <w:r>
              <w:rPr>
                <w:rFonts w:hint="eastAsia" w:ascii="宋体" w:hAnsi="宋体" w:cs="宋体"/>
                <w:szCs w:val="21"/>
              </w:rPr>
              <w:t>8</w:t>
            </w:r>
          </w:p>
        </w:tc>
        <w:tc>
          <w:tcPr>
            <w:tcW w:w="397" w:type="pct"/>
            <w:vMerge w:val="restart"/>
            <w:shd w:val="clear" w:color="auto" w:fill="auto"/>
            <w:noWrap w:val="0"/>
            <w:vAlign w:val="center"/>
          </w:tcPr>
          <w:p w14:paraId="0EE2F9B0">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r>
              <w:rPr>
                <w:rFonts w:hint="eastAsia" w:ascii="宋体" w:hAnsi="宋体" w:cs="宋体"/>
                <w:szCs w:val="21"/>
                <w:shd w:val="clear" w:color="auto" w:fill="FFFFFF"/>
              </w:rPr>
              <w:t>网络安全合规管理</w:t>
            </w:r>
          </w:p>
        </w:tc>
        <w:tc>
          <w:tcPr>
            <w:tcW w:w="4168" w:type="pct"/>
            <w:tcBorders>
              <w:top w:val="single" w:color="auto" w:sz="4" w:space="0"/>
              <w:bottom w:val="single" w:color="auto" w:sz="4" w:space="0"/>
            </w:tcBorders>
            <w:shd w:val="clear" w:color="000000" w:fill="FFFFFF"/>
            <w:noWrap w:val="0"/>
            <w:vAlign w:val="top"/>
          </w:tcPr>
          <w:p w14:paraId="038EB61A">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r>
              <w:rPr>
                <w:rFonts w:hint="eastAsia" w:ascii="宋体" w:hAnsi="宋体" w:cs="宋体"/>
                <w:b/>
                <w:bCs w:val="0"/>
                <w:color w:val="FF0000"/>
                <w:szCs w:val="21"/>
              </w:rPr>
              <w:t>▲</w:t>
            </w:r>
            <w:r>
              <w:rPr>
                <w:rFonts w:hint="eastAsia" w:ascii="宋体" w:hAnsi="宋体" w:cs="宋体"/>
                <w:b/>
                <w:bCs w:val="0"/>
                <w:color w:val="FF0000"/>
                <w:szCs w:val="21"/>
                <w:shd w:val="clear" w:color="auto" w:fill="FFFFFF"/>
              </w:rPr>
              <w:t>1、提供一套网络安全合规管理系统软件，部署在学校本地机房，用以对学校开展的等保测评等合规工作进行统一管理，以保证对合规工作的全盘掌控。</w:t>
            </w:r>
            <w:r>
              <w:rPr>
                <w:rFonts w:hint="eastAsia" w:ascii="宋体" w:hAnsi="宋体" w:cs="宋体"/>
                <w:b/>
                <w:bCs w:val="0"/>
                <w:color w:val="FF0000"/>
                <w:szCs w:val="21"/>
                <w:shd w:val="clear" w:color="auto" w:fill="FFFFFF"/>
                <w:lang w:eastAsia="zh-CN"/>
              </w:rPr>
              <w:t>【</w:t>
            </w:r>
            <w:r>
              <w:rPr>
                <w:rFonts w:hint="eastAsia" w:ascii="宋体" w:hAnsi="宋体" w:cs="宋体"/>
                <w:b/>
                <w:bCs w:val="0"/>
                <w:color w:val="FF0000"/>
                <w:szCs w:val="21"/>
                <w:shd w:val="clear" w:color="auto" w:fill="FFFFFF"/>
              </w:rPr>
              <w:t>提供网络安全</w:t>
            </w:r>
            <w:r>
              <w:rPr>
                <w:rFonts w:hint="eastAsia"/>
                <w:b/>
                <w:bCs w:val="0"/>
                <w:color w:val="FF0000"/>
              </w:rPr>
              <w:t>合规管理系统软件的界面截图</w:t>
            </w:r>
            <w:r>
              <w:rPr>
                <w:rFonts w:hint="eastAsia" w:ascii="宋体" w:hAnsi="宋体" w:cs="宋体"/>
                <w:b/>
                <w:bCs w:val="0"/>
                <w:color w:val="FF0000"/>
                <w:szCs w:val="21"/>
                <w:shd w:val="clear" w:color="auto" w:fill="FFFFFF"/>
              </w:rPr>
              <w:t>证明</w:t>
            </w:r>
            <w:r>
              <w:rPr>
                <w:rFonts w:hint="eastAsia" w:ascii="宋体" w:hAnsi="宋体" w:cs="宋体"/>
                <w:b/>
                <w:bCs w:val="0"/>
                <w:color w:val="FF0000"/>
                <w:szCs w:val="21"/>
                <w:shd w:val="clear" w:color="auto" w:fill="FFFFFF"/>
                <w:lang w:eastAsia="zh-CN"/>
              </w:rPr>
              <w:t>】</w:t>
            </w:r>
          </w:p>
        </w:tc>
      </w:tr>
      <w:tr w14:paraId="05E4061B">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530EE19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2641F92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p>
        </w:tc>
        <w:tc>
          <w:tcPr>
            <w:tcW w:w="4168" w:type="pct"/>
            <w:tcBorders>
              <w:top w:val="single" w:color="auto" w:sz="4" w:space="0"/>
              <w:bottom w:val="single" w:color="auto" w:sz="4" w:space="0"/>
            </w:tcBorders>
            <w:shd w:val="clear" w:color="000000" w:fill="FFFFFF"/>
            <w:noWrap w:val="0"/>
            <w:vAlign w:val="top"/>
          </w:tcPr>
          <w:p w14:paraId="15785FF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r>
              <w:rPr>
                <w:rFonts w:hint="eastAsia" w:ascii="宋体" w:hAnsi="宋体" w:cs="宋体"/>
                <w:szCs w:val="21"/>
                <w:shd w:val="clear" w:color="auto" w:fill="FFFFFF"/>
              </w:rPr>
              <w:t>2、支持制度台账管理，能够展示政策法规、管理规范、记录表单等材料。列表内展示文档类型、文档名称等。内置提供常用安全检查指标要求，自行维护更新，后续基于系统进行离线更新。系统部署完成后，协助学校完成历史3年网络安全合规信息的录入。</w:t>
            </w:r>
          </w:p>
        </w:tc>
      </w:tr>
      <w:tr w14:paraId="6D100102">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435" w:type="pct"/>
            <w:vMerge w:val="continue"/>
            <w:shd w:val="clear" w:color="auto" w:fill="auto"/>
            <w:noWrap w:val="0"/>
            <w:vAlign w:val="center"/>
          </w:tcPr>
          <w:p w14:paraId="54479692">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rPr>
            </w:pPr>
          </w:p>
        </w:tc>
        <w:tc>
          <w:tcPr>
            <w:tcW w:w="397" w:type="pct"/>
            <w:vMerge w:val="continue"/>
            <w:shd w:val="clear" w:color="auto" w:fill="auto"/>
            <w:noWrap w:val="0"/>
            <w:vAlign w:val="center"/>
          </w:tcPr>
          <w:p w14:paraId="7B76291B">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p>
        </w:tc>
        <w:tc>
          <w:tcPr>
            <w:tcW w:w="4168" w:type="pct"/>
            <w:tcBorders>
              <w:top w:val="single" w:color="auto" w:sz="4" w:space="0"/>
              <w:bottom w:val="single" w:color="auto" w:sz="4" w:space="0"/>
            </w:tcBorders>
            <w:shd w:val="clear" w:color="000000" w:fill="FFFFFF"/>
            <w:noWrap w:val="0"/>
            <w:vAlign w:val="top"/>
          </w:tcPr>
          <w:p w14:paraId="4DC9368F">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szCs w:val="21"/>
                <w:shd w:val="clear" w:color="auto" w:fill="FFFFFF"/>
              </w:rPr>
            </w:pPr>
            <w:r>
              <w:rPr>
                <w:rFonts w:hint="eastAsia" w:ascii="宋体" w:hAnsi="宋体" w:cs="宋体"/>
                <w:szCs w:val="21"/>
              </w:rPr>
              <w:t>▲</w:t>
            </w:r>
            <w:r>
              <w:rPr>
                <w:rFonts w:hint="eastAsia" w:ascii="宋体" w:hAnsi="宋体" w:cs="宋体"/>
                <w:szCs w:val="21"/>
                <w:shd w:val="clear" w:color="auto" w:fill="FFFFFF"/>
              </w:rPr>
              <w:t>3、支持</w:t>
            </w:r>
            <w:r>
              <w:rPr>
                <w:rFonts w:hint="eastAsia" w:ascii="宋体" w:hAnsi="宋体" w:cs="宋体"/>
                <w:color w:val="000000"/>
              </w:rPr>
              <w:t>将合规管理情况通过系统进行汇总和呈现，以图形化的方式直观地展示系统定级情况、数量、得分情况等，同时保存系统备案证、测评材料等，避免遗漏与丢失，便于后续复用。</w:t>
            </w:r>
          </w:p>
        </w:tc>
      </w:tr>
    </w:tbl>
    <w:p w14:paraId="53064621">
      <w:pPr>
        <w:pStyle w:val="506"/>
        <w:wordWrap/>
        <w:spacing w:afterLines="0" w:line="360" w:lineRule="auto"/>
        <w:ind w:firstLine="420"/>
        <w:rPr>
          <w:rFonts w:cs="Times New Roman"/>
          <w:snapToGrid/>
          <w:spacing w:val="0"/>
          <w:sz w:val="21"/>
          <w:szCs w:val="21"/>
        </w:rPr>
      </w:pPr>
    </w:p>
    <w:p w14:paraId="4E96071C">
      <w:pPr>
        <w:pStyle w:val="321"/>
        <w:ind w:firstLine="0" w:firstLineChars="0"/>
        <w:rPr>
          <w:b/>
        </w:rPr>
      </w:pPr>
      <w:r>
        <w:rPr>
          <w:rFonts w:hint="eastAsia"/>
          <w:b/>
        </w:rPr>
        <w:t>三、项目商务要求</w:t>
      </w:r>
    </w:p>
    <w:p w14:paraId="1BDB4A3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yellow"/>
        </w:rPr>
      </w:pPr>
      <w:r>
        <w:rPr>
          <w:rFonts w:hint="eastAsia" w:ascii="宋体" w:hAnsi="宋体" w:eastAsia="宋体" w:cs="宋体"/>
          <w:sz w:val="21"/>
          <w:szCs w:val="21"/>
          <w:highlight w:val="yellow"/>
        </w:rPr>
        <w:t>★</w:t>
      </w:r>
      <w:r>
        <w:rPr>
          <w:rFonts w:hint="eastAsia" w:ascii="宋体" w:hAnsi="宋体" w:eastAsia="宋体" w:cs="宋体"/>
          <w:b/>
          <w:bCs/>
          <w:sz w:val="21"/>
          <w:szCs w:val="21"/>
          <w:highlight w:val="yellow"/>
        </w:rPr>
        <w:t xml:space="preserve">（一）服务期限： </w:t>
      </w:r>
    </w:p>
    <w:p w14:paraId="5275C988">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自合同签订之日起15个日历日内交付项目启动函。</w:t>
      </w:r>
    </w:p>
    <w:p w14:paraId="6699577D">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sz w:val="21"/>
          <w:szCs w:val="21"/>
          <w:highlight w:val="yellow"/>
        </w:rPr>
      </w:pPr>
      <w:r>
        <w:rPr>
          <w:rFonts w:hint="eastAsia" w:ascii="宋体" w:hAnsi="宋体" w:eastAsia="宋体" w:cs="宋体"/>
          <w:b/>
          <w:bCs/>
          <w:sz w:val="21"/>
          <w:szCs w:val="21"/>
          <w:highlight w:val="yellow"/>
        </w:rPr>
        <w:t>本项目为长期服务项目，此次项目服务期限为一年。如中标人在履行合同服务期间，无违约或违法相关法律法规的行为且经采购人组织的履约服务评价为优秀的，采购人可续签合同，每次续签不超过一年，最多可续签两次，总合同期限不得超过36个月。</w:t>
      </w:r>
    </w:p>
    <w:p w14:paraId="274D6D2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（二）质量考核验收标准</w:t>
      </w:r>
    </w:p>
    <w:p w14:paraId="11D7E6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质量考核验收标准：按照中标人承诺的服务内容、技术与商务响应条款及相关行业标准等逐项进行验收。</w:t>
      </w:r>
    </w:p>
    <w:p w14:paraId="4B74191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w:t>
      </w:r>
      <w:r>
        <w:rPr>
          <w:rFonts w:hint="eastAsia" w:ascii="宋体" w:hAnsi="宋体" w:cs="宋体"/>
          <w:sz w:val="21"/>
          <w:szCs w:val="21"/>
          <w:lang w:val="en-US" w:eastAsia="zh-CN"/>
        </w:rPr>
        <w:t>三</w:t>
      </w:r>
      <w:r>
        <w:rPr>
          <w:rFonts w:hint="eastAsia" w:ascii="宋体" w:hAnsi="宋体" w:eastAsia="宋体" w:cs="宋体"/>
          <w:sz w:val="21"/>
          <w:szCs w:val="21"/>
        </w:rPr>
        <w:t>）服务团队和签订保密协议</w:t>
      </w:r>
    </w:p>
    <w:p w14:paraId="0F783F87">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中标方应组成一支得到采购方认可的维护工程师团队，服务团队人员必须与采购人签订网站安全信息保密协议，加盖双方单位公章。通过服务团队与采购方协调服务的相关事宜，服务团队若有人员变动，应提前一个月以书面形式通知采购方，并签署保密协议。本项目运维期间产生的工作日志、服务报告全部归采购方所有，非经采购方许可中标方不得以任何形式向第三方展示和发布。</w:t>
      </w:r>
    </w:p>
    <w:p w14:paraId="526C08C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w:t>
      </w:r>
      <w:r>
        <w:rPr>
          <w:rFonts w:hint="eastAsia" w:ascii="宋体" w:hAnsi="宋体" w:cs="宋体"/>
          <w:sz w:val="21"/>
          <w:szCs w:val="21"/>
          <w:lang w:val="en-US" w:eastAsia="zh-CN"/>
        </w:rPr>
        <w:t>四</w:t>
      </w:r>
      <w:r>
        <w:rPr>
          <w:rFonts w:hint="eastAsia" w:ascii="宋体" w:hAnsi="宋体" w:eastAsia="宋体" w:cs="宋体"/>
          <w:sz w:val="21"/>
          <w:szCs w:val="21"/>
        </w:rPr>
        <w:t>）服务履约未尽职处罚条款</w:t>
      </w:r>
    </w:p>
    <w:p w14:paraId="643D640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合同生效后，中标方逾期执行项目实施，应向采购方每日支付合同总价千分之三的违约金。验收合格后，采购方逾期付款，应向中标方每日支付合同总价千分之三的违约金。</w:t>
      </w:r>
    </w:p>
    <w:p w14:paraId="703801C3">
      <w:pPr>
        <w:pStyle w:val="20"/>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1.在安全服务期间内，有以下6种情形之一2次以上的，对安全服务厂商不予续签合同。</w:t>
      </w:r>
    </w:p>
    <w:p w14:paraId="5DA40B4D">
      <w:pPr>
        <w:pStyle w:val="20"/>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安全服务期间内，如果有以下6种情形之一，学校被主管部门处以行政罚款，学校除对安全服务厂商处以50000元/次/个高危漏洞、30000元/次/个中危漏洞、其他20000元/次/个的罚款外，还将对安全服务厂商处以与行政罚款相同金额的罚款。</w:t>
      </w:r>
    </w:p>
    <w:p w14:paraId="19ECF85E">
      <w:pPr>
        <w:pStyle w:val="20"/>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3.在安全服务期间内，有以下六种情形之一3次或以上的，采购方有权终止合同，中标方应按服务时间和合同完成比例退回采购方已支付的合同款。</w:t>
      </w:r>
    </w:p>
    <w:p w14:paraId="0FCA088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六种情形：</w:t>
      </w:r>
    </w:p>
    <w:p w14:paraId="790BC78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(1)学校网站系统(安全服务保障范围内)存在高、中危漏洞未检测出、检出未告知校方或者检出未督促网站管理员整改，被主管部门通报的；</w:t>
      </w:r>
    </w:p>
    <w:p w14:paraId="3DE578CA">
      <w:pPr>
        <w:pStyle w:val="45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(2)学校网站系统(安全服务保障范围内)中</w:t>
      </w:r>
      <w:r>
        <w:rPr>
          <w:rFonts w:hint="eastAsia" w:ascii="宋体" w:hAnsi="宋体" w:eastAsia="宋体" w:cs="宋体"/>
          <w:color w:val="000000"/>
          <w:sz w:val="21"/>
          <w:szCs w:val="21"/>
        </w:rPr>
        <w:t>的内部链接和所有外链存在</w:t>
      </w:r>
      <w:r>
        <w:rPr>
          <w:rFonts w:hint="eastAsia" w:ascii="宋体" w:hAnsi="宋体" w:eastAsia="宋体" w:cs="宋体"/>
          <w:sz w:val="21"/>
          <w:szCs w:val="21"/>
        </w:rPr>
        <w:t>暗链、黄链、赌链、暴力链、枪支链、毒品链、游戏链、娱乐平台链未被检测出，被主管部门通报的；</w:t>
      </w:r>
    </w:p>
    <w:p w14:paraId="61E204D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(3)敏感词漏检未被发现，导致学校网站系统(服务保障范围内)页面被主管部门通报存在敏感词的；</w:t>
      </w:r>
    </w:p>
    <w:p w14:paraId="74F1E9DE">
      <w:pPr>
        <w:keepNext w:val="0"/>
        <w:keepLines w:val="0"/>
        <w:pageBreakBefore w:val="0"/>
        <w:widowControl w:val="0"/>
        <w:kinsoku/>
        <w:wordWrap/>
        <w:overflowPunct/>
        <w:topLinePunct w:val="0"/>
        <w:autoSpaceDE/>
        <w:autoSpaceDN/>
        <w:bidi w:val="0"/>
        <w:adjustRightInd/>
        <w:spacing w:line="36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(4)学校网站系统(安全服务保障范围内)被恶意攻破，通知到学校的；</w:t>
      </w:r>
    </w:p>
    <w:p w14:paraId="02ECCB4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(5)学校网站系统在重大安全保障时期(安全服务保障范围内)被攻击，未被中标服务方检测告知，受到主管部门通报的；</w:t>
      </w:r>
    </w:p>
    <w:p w14:paraId="3ACB7EA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(6)学校因存在“双非”网站，未被检测出，被主管部门通报的。</w:t>
      </w:r>
    </w:p>
    <w:p w14:paraId="3A801C1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以上所有赔款不得超过合同总额。</w:t>
      </w:r>
    </w:p>
    <w:p w14:paraId="63D9859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highlight w:val="yellow"/>
        </w:rPr>
        <w:t>★（</w:t>
      </w:r>
      <w:r>
        <w:rPr>
          <w:rFonts w:hint="eastAsia" w:ascii="宋体" w:hAnsi="宋体" w:cs="宋体"/>
          <w:b/>
          <w:bCs/>
          <w:sz w:val="21"/>
          <w:szCs w:val="21"/>
          <w:highlight w:val="yellow"/>
          <w:lang w:val="en-US" w:eastAsia="zh-CN"/>
        </w:rPr>
        <w:t>五</w:t>
      </w:r>
      <w:r>
        <w:rPr>
          <w:rFonts w:hint="eastAsia" w:ascii="宋体" w:hAnsi="宋体" w:eastAsia="宋体" w:cs="宋体"/>
          <w:b/>
          <w:bCs/>
          <w:sz w:val="21"/>
          <w:szCs w:val="21"/>
          <w:highlight w:val="yellow"/>
        </w:rPr>
        <w:t>）付款方式</w:t>
      </w:r>
      <w:r>
        <w:rPr>
          <w:rFonts w:hint="eastAsia" w:ascii="宋体" w:hAnsi="宋体" w:eastAsia="宋体" w:cs="宋体"/>
          <w:b/>
          <w:bCs/>
          <w:sz w:val="21"/>
          <w:szCs w:val="21"/>
        </w:rPr>
        <w:t xml:space="preserve">  </w:t>
      </w:r>
    </w:p>
    <w:p w14:paraId="4E73759E">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付款分二次支付，第一次支付，合同签订，收到中标方出具的项目启动函以及合同总价50%的含税发票后，采购方负责办理相关付款资料，经审批后支付合同总价的50%服务款；第二次支付，服务期满后且采购方验收服务合格，中标方提供合同总价50%的含税发票给采购方，经采购方审批后支付合同总价的50%服务款。</w:t>
      </w:r>
    </w:p>
    <w:p w14:paraId="1DDA24D5">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highlight w:val="yellow"/>
        </w:rPr>
        <w:t>因政府部门核批等非采购人原因导致付款延迟的，中标人不得因此要求采购人承担相关责任。采购人每次付款前，中标人应提供等额合法有效的发票。如中标人未提供、延迟提供发票或者提供的发票不合格，采购人有权中止付款，且不负延迟付款的违约责任。</w:t>
      </w:r>
    </w:p>
    <w:p w14:paraId="6BDB582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六</w:t>
      </w:r>
      <w:r>
        <w:rPr>
          <w:rFonts w:hint="eastAsia" w:ascii="宋体" w:hAnsi="宋体" w:eastAsia="宋体" w:cs="宋体"/>
          <w:sz w:val="21"/>
          <w:szCs w:val="21"/>
        </w:rPr>
        <w:t>）违约责任</w:t>
      </w:r>
    </w:p>
    <w:p w14:paraId="3D59B47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合同生效后，中标人逾期提供服务，采购人可向中标人主张每日支付合同总价千分之三的违约金。中标人所交付的服务不符合同约定标准的，采购人有权拒绝。中标人不能依约提供技术服务或单方终止合同，采购人可向中标人主张不超过合同总价百分之三十的违约金并承担相应的违约责任。</w:t>
      </w:r>
    </w:p>
    <w:p w14:paraId="23C958E9">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中标人交付的服务存在采购人验收人员在验收时无法肉眼现场发现的质量问题，可向中标人主张不超过合同总价百分之三十的违约金并承担相应的违约责任。</w:t>
      </w:r>
    </w:p>
    <w:p w14:paraId="1FAFE01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七</w:t>
      </w:r>
      <w:r>
        <w:rPr>
          <w:rFonts w:hint="eastAsia" w:ascii="宋体" w:hAnsi="宋体" w:eastAsia="宋体" w:cs="宋体"/>
          <w:sz w:val="21"/>
          <w:szCs w:val="21"/>
        </w:rPr>
        <w:t>）知识产权</w:t>
      </w:r>
    </w:p>
    <w:p w14:paraId="1EAB51F7">
      <w:pPr>
        <w:keepNext w:val="0"/>
        <w:keepLines w:val="0"/>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sz w:val="21"/>
          <w:szCs w:val="21"/>
        </w:rPr>
      </w:pPr>
      <w:r>
        <w:rPr>
          <w:rFonts w:hint="eastAsia" w:ascii="宋体" w:hAnsi="宋体" w:eastAsia="宋体" w:cs="宋体"/>
          <w:sz w:val="21"/>
          <w:szCs w:val="21"/>
        </w:rPr>
        <w:t>1.中标人在项目实施过程中不得侵犯第三人知识产权以及其他权益，</w:t>
      </w:r>
      <w:r>
        <w:rPr>
          <w:rFonts w:hint="eastAsia" w:ascii="宋体" w:hAnsi="宋体" w:eastAsia="宋体" w:cs="宋体"/>
          <w:color w:val="000000"/>
          <w:sz w:val="21"/>
          <w:szCs w:val="21"/>
        </w:rPr>
        <w:t>否则</w:t>
      </w:r>
      <w:r>
        <w:rPr>
          <w:rFonts w:hint="eastAsia" w:ascii="宋体" w:hAnsi="宋体" w:eastAsia="宋体" w:cs="宋体"/>
          <w:sz w:val="21"/>
          <w:szCs w:val="21"/>
        </w:rPr>
        <w:t>，中标人应赔偿采购人因此遭受的一切损失（包括但不限于赔偿金、违约金、律师费、调查取证费、差旅费等）。需要使用第三人知识产权的，中标人应取得权利人许可或授权并承担由此产生的全部费用。</w:t>
      </w:r>
    </w:p>
    <w:p w14:paraId="6B387D70">
      <w:pPr>
        <w:keepNext w:val="0"/>
        <w:keepLines w:val="0"/>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sz w:val="21"/>
          <w:szCs w:val="21"/>
        </w:rPr>
      </w:pPr>
      <w:r>
        <w:rPr>
          <w:rFonts w:hint="eastAsia" w:ascii="宋体" w:hAnsi="宋体" w:eastAsia="宋体" w:cs="宋体"/>
          <w:sz w:val="21"/>
          <w:szCs w:val="21"/>
        </w:rPr>
        <w:t>2.除第三人依法享有的知识产权外，中标人实施本项目所形成成果的知识产品归采购人所有，未经采购人许可，中标人不得随意使用。</w:t>
      </w:r>
    </w:p>
    <w:p w14:paraId="18B8861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八</w:t>
      </w:r>
      <w:r>
        <w:rPr>
          <w:rFonts w:hint="eastAsia" w:ascii="宋体" w:hAnsi="宋体" w:eastAsia="宋体" w:cs="宋体"/>
          <w:sz w:val="21"/>
          <w:szCs w:val="21"/>
        </w:rPr>
        <w:t>）合同解除</w:t>
      </w:r>
    </w:p>
    <w:p w14:paraId="3F3DDCE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有下列情形之一的，当事人可以解除合同：</w:t>
      </w:r>
    </w:p>
    <w:p w14:paraId="36AFC06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因不可抗力致使不能实现合同目的；</w:t>
      </w:r>
    </w:p>
    <w:p w14:paraId="1AB417F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由于中标人的原因未能在本合同约定的服务期开展服务，逾期超过 15个工作日仍不能启动服务的，或中标人所交付的服务不符合同规定标准的，并经过15个工作日整改仍不达标的，采购人有权单方解除合同并要求中标人承担相应的违约责任，同时赔偿由此给采购人造成的其他经济损失；</w:t>
      </w:r>
    </w:p>
    <w:p w14:paraId="1D57E54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3.法律规定的其他情形。</w:t>
      </w:r>
    </w:p>
    <w:p w14:paraId="2A5A6FB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九</w:t>
      </w:r>
      <w:r>
        <w:rPr>
          <w:rFonts w:hint="eastAsia" w:ascii="宋体" w:hAnsi="宋体" w:eastAsia="宋体" w:cs="宋体"/>
          <w:sz w:val="21"/>
          <w:szCs w:val="21"/>
        </w:rPr>
        <w:t>）争议的解决</w:t>
      </w:r>
    </w:p>
    <w:p w14:paraId="69D3B44D">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凡因本协议引起的或与本协议有关的任何争议，由双方友好协商解决。协商不成时，双方均有权向深圳市南山区人民法院提起</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"http://www.64365.com/baike/ss/" \o "诉讼"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诉讼</w:t>
      </w:r>
      <w:r>
        <w:rPr>
          <w:rFonts w:hint="eastAsia" w:ascii="宋体" w:hAnsi="宋体" w:eastAsia="宋体" w:cs="宋体"/>
          <w:sz w:val="21"/>
          <w:szCs w:val="21"/>
        </w:rPr>
        <w:fldChar w:fldCharType="end"/>
      </w:r>
      <w:r>
        <w:rPr>
          <w:rFonts w:hint="eastAsia" w:ascii="宋体" w:hAnsi="宋体" w:eastAsia="宋体" w:cs="宋体"/>
          <w:sz w:val="21"/>
          <w:szCs w:val="21"/>
        </w:rPr>
        <w:t>。</w:t>
      </w:r>
    </w:p>
    <w:p w14:paraId="107A1043">
      <w:pPr>
        <w:pStyle w:val="255"/>
        <w:spacing w:beforeLines="0" w:line="360" w:lineRule="auto"/>
        <w:ind w:firstLine="420"/>
        <w:rPr>
          <w:rFonts w:ascii="宋体" w:hAnsi="宋体" w:eastAsia="宋体" w:cs="宋体"/>
          <w:color w:val="000000"/>
          <w:szCs w:val="24"/>
        </w:rPr>
      </w:pPr>
    </w:p>
    <w:p w14:paraId="386BD1BA">
      <w:pPr>
        <w:pStyle w:val="2"/>
      </w:pPr>
      <w:bookmarkStart w:id="8" w:name="_Toc135293161"/>
    </w:p>
    <w:p w14:paraId="46BF93A4"/>
    <w:p w14:paraId="55FBC66A">
      <w:pPr>
        <w:pStyle w:val="20"/>
      </w:pPr>
    </w:p>
    <w:p w14:paraId="42315DF3"/>
    <w:p w14:paraId="7508F692">
      <w:pPr>
        <w:pStyle w:val="20"/>
      </w:pPr>
    </w:p>
    <w:p w14:paraId="463D7591"/>
    <w:p w14:paraId="4FD4578A">
      <w:pPr>
        <w:pStyle w:val="20"/>
      </w:pPr>
    </w:p>
    <w:p w14:paraId="255D0BA8"/>
    <w:p w14:paraId="065F59C5"/>
    <w:p w14:paraId="5429D7E0"/>
    <w:p w14:paraId="706B89BD"/>
    <w:p w14:paraId="7ED481D9"/>
    <w:p w14:paraId="4DDDDF3D"/>
    <w:p w14:paraId="5BC4A98F"/>
    <w:p w14:paraId="0C1F5EDC"/>
    <w:p w14:paraId="27D6C06B"/>
    <w:p w14:paraId="7DA321AC"/>
    <w:p w14:paraId="11D0DA10"/>
    <w:p w14:paraId="79DC0B95"/>
    <w:p w14:paraId="64EDBF13"/>
    <w:p w14:paraId="3AD86067"/>
    <w:p w14:paraId="03B5A2D5"/>
    <w:p w14:paraId="61CA622B"/>
    <w:p w14:paraId="260C741C">
      <w:pPr>
        <w:pStyle w:val="2"/>
      </w:pPr>
      <w:r>
        <w:rPr>
          <w:rFonts w:hint="eastAsia"/>
        </w:rPr>
        <w:t>第三章  投标文件初审</w:t>
      </w:r>
      <w:bookmarkEnd w:id="8"/>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6B99DD1A">
      <w:pPr>
        <w:pStyle w:val="2"/>
        <w:spacing w:after="0"/>
      </w:pPr>
    </w:p>
    <w:p w14:paraId="38F089C4"/>
    <w:p w14:paraId="2A2E924C"/>
    <w:p w14:paraId="6A034A6A"/>
    <w:p w14:paraId="1A9745C8">
      <w:pPr>
        <w:pStyle w:val="2"/>
        <w:spacing w:after="0"/>
      </w:pPr>
      <w:r>
        <w:rPr>
          <w:rFonts w:hint="eastAsia"/>
        </w:rPr>
        <w:t>第四章  评标方法和标准</w:t>
      </w:r>
      <w:bookmarkEnd w:id="9"/>
    </w:p>
    <w:p w14:paraId="4A994828"/>
    <w:p w14:paraId="2F2DF2E1">
      <w:pPr>
        <w:pStyle w:val="4"/>
        <w:spacing w:before="0" w:after="0"/>
      </w:pPr>
      <w:bookmarkStart w:id="10" w:name="_Toc44691161"/>
      <w:bookmarkStart w:id="11" w:name="_Toc135293163"/>
      <w:bookmarkStart w:id="12" w:name="_Toc44691393"/>
      <w:bookmarkStart w:id="13" w:name="_Toc44690702"/>
      <w:bookmarkStart w:id="14" w:name="_Toc44690429"/>
      <w:r>
        <w:rPr>
          <w:rFonts w:hint="eastAsia"/>
        </w:rPr>
        <w:t>一、</w:t>
      </w:r>
      <w:r>
        <w:t>评标方法</w:t>
      </w:r>
      <w:bookmarkEnd w:id="10"/>
      <w:bookmarkEnd w:id="11"/>
      <w:bookmarkEnd w:id="12"/>
      <w:bookmarkEnd w:id="13"/>
      <w:bookmarkEnd w:id="14"/>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4"/>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40</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Cs w:val="21"/>
              </w:rPr>
            </w:pPr>
            <w:r>
              <w:rPr>
                <w:rFonts w:hint="eastAsia" w:ascii="宋体" w:hAnsi="宋体" w:cs="宋体"/>
                <w:color w:val="000000"/>
                <w:szCs w:val="21"/>
              </w:rPr>
              <w:t>服务条款响应情况</w:t>
            </w:r>
          </w:p>
        </w:tc>
        <w:tc>
          <w:tcPr>
            <w:tcW w:w="709" w:type="dxa"/>
            <w:vAlign w:val="center"/>
          </w:tcPr>
          <w:p w14:paraId="490D20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Cs w:val="21"/>
              </w:rPr>
            </w:pPr>
            <w:r>
              <w:rPr>
                <w:rFonts w:hint="eastAsia" w:ascii="宋体" w:hAnsi="宋体" w:cs="宋体"/>
                <w:color w:val="000000"/>
                <w:szCs w:val="21"/>
              </w:rPr>
              <w:t>18</w:t>
            </w:r>
          </w:p>
        </w:tc>
        <w:tc>
          <w:tcPr>
            <w:tcW w:w="5953" w:type="dxa"/>
            <w:vAlign w:val="center"/>
          </w:tcPr>
          <w:p w14:paraId="4FC2CB7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color w:val="000000"/>
                <w:szCs w:val="21"/>
              </w:rPr>
            </w:pPr>
            <w:r>
              <w:rPr>
                <w:rFonts w:hint="eastAsia" w:ascii="宋体" w:hAnsi="宋体" w:cs="宋体"/>
                <w:b/>
                <w:bCs/>
                <w:color w:val="000000"/>
                <w:szCs w:val="21"/>
              </w:rPr>
              <w:t>（一）评分内容</w:t>
            </w:r>
          </w:p>
          <w:p w14:paraId="0836955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投标人应如实填写《服务要求偏离表》，各项非实质性服务参数指标及要求全部满足的得18分；其中“▲”参数为重要指标，每负偏离一项扣0.5分；其余指标每负偏离一项扣0.28分，最低0分。</w:t>
            </w:r>
          </w:p>
          <w:p w14:paraId="206DA2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color w:val="000000"/>
                <w:szCs w:val="21"/>
              </w:rPr>
            </w:pPr>
            <w:r>
              <w:rPr>
                <w:rFonts w:hint="eastAsia" w:ascii="宋体" w:hAnsi="宋体" w:cs="宋体"/>
                <w:b/>
                <w:bCs/>
                <w:color w:val="000000"/>
                <w:szCs w:val="21"/>
              </w:rPr>
              <w:t>（二）评分依据</w:t>
            </w:r>
          </w:p>
          <w:p w14:paraId="1C5737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kern w:val="0"/>
                <w:szCs w:val="21"/>
              </w:rPr>
            </w:pPr>
            <w:r>
              <w:rPr>
                <w:rFonts w:hint="eastAsia" w:ascii="宋体" w:hAnsi="宋体" w:cs="宋体"/>
                <w:color w:val="000000"/>
                <w:szCs w:val="21"/>
              </w:rPr>
              <w:t>以投标文件《服务要求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服务指标按负偏离处理。</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Cs w:val="21"/>
              </w:rPr>
            </w:pPr>
            <w:r>
              <w:rPr>
                <w:rFonts w:hint="eastAsia" w:ascii="宋体" w:hAnsi="宋体" w:cs="宋体"/>
                <w:szCs w:val="21"/>
              </w:rPr>
              <w:t>实施方案</w:t>
            </w:r>
          </w:p>
        </w:tc>
        <w:tc>
          <w:tcPr>
            <w:tcW w:w="709" w:type="dxa"/>
            <w:vAlign w:val="center"/>
          </w:tcPr>
          <w:p w14:paraId="74E131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Cs w:val="21"/>
              </w:rPr>
            </w:pPr>
            <w:r>
              <w:rPr>
                <w:rFonts w:hint="eastAsia" w:ascii="宋体" w:hAnsi="宋体" w:cs="宋体"/>
                <w:szCs w:val="21"/>
              </w:rPr>
              <w:t>8</w:t>
            </w:r>
          </w:p>
        </w:tc>
        <w:tc>
          <w:tcPr>
            <w:tcW w:w="5953" w:type="dxa"/>
            <w:vAlign w:val="top"/>
          </w:tcPr>
          <w:p w14:paraId="28D2ED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（一）评分内容</w:t>
            </w:r>
          </w:p>
          <w:p w14:paraId="156764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考察投标人提供的项目实施方案，包含以下内容：</w:t>
            </w:r>
          </w:p>
          <w:p w14:paraId="359EDB7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（1）项目现状分析；</w:t>
            </w:r>
          </w:p>
          <w:p w14:paraId="02AFCE5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（2）项目实施方案；</w:t>
            </w:r>
          </w:p>
          <w:p w14:paraId="5AACC2E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（3）实施计划时间表。</w:t>
            </w:r>
          </w:p>
          <w:p w14:paraId="0E009E6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（二）评分标准</w:t>
            </w:r>
          </w:p>
          <w:p w14:paraId="0395B5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包含上述任意一项得1分，本项最高得3分；</w:t>
            </w:r>
          </w:p>
          <w:p w14:paraId="23EA1C9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在此基础上，专家根据各供应商的具体响应内容按照量化的评审因素指标进一步评审：</w:t>
            </w:r>
          </w:p>
          <w:p w14:paraId="58593DD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1、投标文件响应内容全面；</w:t>
            </w:r>
          </w:p>
          <w:p w14:paraId="353ABF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2、投标文件响应内容具体；</w:t>
            </w:r>
          </w:p>
          <w:p w14:paraId="6F1890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3、投标文件响应内容针对性强；</w:t>
            </w:r>
          </w:p>
          <w:p w14:paraId="6BDE6A8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4、投标文件响应内容科学合理；</w:t>
            </w:r>
          </w:p>
          <w:p w14:paraId="0E3F4E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5、投标文件响应内容可操作性强。</w:t>
            </w:r>
          </w:p>
          <w:p w14:paraId="42E8F2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满足以上五项要求的加5分；</w:t>
            </w:r>
          </w:p>
          <w:p w14:paraId="4567E14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满足以上四项要求的加4分；</w:t>
            </w:r>
          </w:p>
          <w:p w14:paraId="4D7BEE0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满足以上三项要求的加3分；</w:t>
            </w:r>
          </w:p>
          <w:p w14:paraId="5CEB3FD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szCs w:val="21"/>
              </w:rPr>
            </w:pPr>
            <w:r>
              <w:rPr>
                <w:rFonts w:hint="eastAsia" w:ascii="宋体" w:hAnsi="宋体" w:cs="宋体"/>
                <w:szCs w:val="21"/>
              </w:rPr>
              <w:t>其它情况不加分。</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506E38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Cs w:val="21"/>
              </w:rPr>
            </w:pPr>
            <w:r>
              <w:rPr>
                <w:rFonts w:hint="eastAsia" w:ascii="宋体" w:hAnsi="宋体" w:cs="宋体"/>
                <w:szCs w:val="21"/>
              </w:rPr>
              <w:t>项目重点难点分析、应对措施及相关的合理化建议</w:t>
            </w:r>
          </w:p>
        </w:tc>
        <w:tc>
          <w:tcPr>
            <w:tcW w:w="709" w:type="dxa"/>
            <w:vAlign w:val="center"/>
          </w:tcPr>
          <w:p w14:paraId="364828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Cs w:val="21"/>
              </w:rPr>
            </w:pPr>
            <w:r>
              <w:rPr>
                <w:rFonts w:hint="eastAsia" w:ascii="宋体" w:hAnsi="宋体" w:cs="宋体"/>
                <w:szCs w:val="21"/>
              </w:rPr>
              <w:t>7</w:t>
            </w:r>
          </w:p>
        </w:tc>
        <w:tc>
          <w:tcPr>
            <w:tcW w:w="5953" w:type="dxa"/>
            <w:vAlign w:val="center"/>
          </w:tcPr>
          <w:p w14:paraId="13C599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Cs w:val="21"/>
              </w:rPr>
            </w:pPr>
            <w:r>
              <w:rPr>
                <w:rFonts w:hint="eastAsia" w:ascii="宋体" w:hAnsi="宋体" w:cs="宋体"/>
                <w:b/>
                <w:bCs/>
                <w:szCs w:val="21"/>
              </w:rPr>
              <w:t>（一）评分内容</w:t>
            </w:r>
          </w:p>
          <w:p w14:paraId="281531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在投标文件中详细说明项目重点难点分析、应对措施及相关的合理化建议，</w:t>
            </w:r>
            <w:r>
              <w:rPr>
                <w:rFonts w:hint="eastAsia"/>
              </w:rPr>
              <w:t>包含以下内容</w:t>
            </w:r>
            <w:r>
              <w:rPr>
                <w:rFonts w:hint="eastAsia" w:ascii="宋体" w:hAnsi="宋体" w:cs="宋体"/>
                <w:szCs w:val="21"/>
              </w:rPr>
              <w:t>：</w:t>
            </w:r>
          </w:p>
          <w:p w14:paraId="68E5E2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（1）针对本项目重点、难点分析；</w:t>
            </w:r>
          </w:p>
          <w:p w14:paraId="4FEC70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（2）针对本项目重点、难点提出应对措施；</w:t>
            </w:r>
          </w:p>
          <w:p w14:paraId="7A5762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（3）针对本项目提出合理化建议。</w:t>
            </w:r>
          </w:p>
          <w:p w14:paraId="3590AC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Cs w:val="21"/>
              </w:rPr>
            </w:pPr>
            <w:r>
              <w:rPr>
                <w:rFonts w:hint="eastAsia" w:ascii="宋体" w:hAnsi="宋体" w:cs="宋体"/>
                <w:b/>
                <w:bCs/>
                <w:szCs w:val="21"/>
              </w:rPr>
              <w:t>（二）评分标准</w:t>
            </w:r>
          </w:p>
          <w:p w14:paraId="709465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包含上述任意一项得1分，本项最高得3分；</w:t>
            </w:r>
          </w:p>
          <w:p w14:paraId="42FD3E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在此基础上，专家根据各供应商的具体响应内容按照量化的评审因素指标进一步评审：</w:t>
            </w:r>
          </w:p>
          <w:p w14:paraId="516829F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1、投标文件响应内容全面；</w:t>
            </w:r>
          </w:p>
          <w:p w14:paraId="711603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2、投标文件响应内容具体；</w:t>
            </w:r>
          </w:p>
          <w:p w14:paraId="30AD6F4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3、投标文件响应内容针对性强；</w:t>
            </w:r>
          </w:p>
          <w:p w14:paraId="77D501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4、投标文件响应内容科学合理；</w:t>
            </w:r>
          </w:p>
          <w:p w14:paraId="1F423F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5、投标文件响应内容可操作性强。</w:t>
            </w:r>
          </w:p>
          <w:p w14:paraId="44D5EC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满足以上五项要求的加4分；</w:t>
            </w:r>
          </w:p>
          <w:p w14:paraId="71469D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满足以上四项要求的加3分；</w:t>
            </w:r>
          </w:p>
          <w:p w14:paraId="24BE01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满足以上三项要求的加2分；</w:t>
            </w:r>
          </w:p>
          <w:p w14:paraId="0AE735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kern w:val="0"/>
                <w:szCs w:val="21"/>
              </w:rPr>
            </w:pPr>
            <w:r>
              <w:rPr>
                <w:rFonts w:hint="eastAsia" w:ascii="宋体" w:hAnsi="宋体" w:cs="宋体"/>
                <w:szCs w:val="21"/>
              </w:rPr>
              <w:t>其它情况不加分。</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5" w:hRule="atLeast"/>
          <w:jc w:val="center"/>
        </w:trPr>
        <w:tc>
          <w:tcPr>
            <w:tcW w:w="754" w:type="dxa"/>
            <w:vAlign w:val="center"/>
          </w:tcPr>
          <w:p w14:paraId="2682548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szCs w:val="21"/>
              </w:rPr>
            </w:pPr>
            <w:r>
              <w:rPr>
                <w:rFonts w:hint="eastAsia" w:ascii="宋体" w:hAnsi="宋体" w:cs="宋体"/>
                <w:szCs w:val="21"/>
              </w:rPr>
              <w:t>质量（完成时间、安全、环保）保障措施及方案</w:t>
            </w:r>
          </w:p>
        </w:tc>
        <w:tc>
          <w:tcPr>
            <w:tcW w:w="709" w:type="dxa"/>
            <w:vAlign w:val="center"/>
          </w:tcPr>
          <w:p w14:paraId="7274A6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kern w:val="0"/>
                <w:szCs w:val="21"/>
              </w:rPr>
            </w:pPr>
            <w:r>
              <w:rPr>
                <w:rFonts w:hint="eastAsia" w:ascii="宋体" w:hAnsi="宋体" w:cs="宋体"/>
                <w:szCs w:val="21"/>
              </w:rPr>
              <w:t>7</w:t>
            </w:r>
          </w:p>
        </w:tc>
        <w:tc>
          <w:tcPr>
            <w:tcW w:w="5953" w:type="dxa"/>
            <w:vAlign w:val="center"/>
          </w:tcPr>
          <w:p w14:paraId="59DD81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Cs w:val="21"/>
              </w:rPr>
            </w:pPr>
            <w:r>
              <w:rPr>
                <w:rFonts w:hint="eastAsia" w:ascii="宋体" w:hAnsi="宋体" w:cs="宋体"/>
                <w:b/>
                <w:bCs/>
                <w:szCs w:val="21"/>
              </w:rPr>
              <w:t>（一）评分内容</w:t>
            </w:r>
          </w:p>
          <w:p w14:paraId="718CC9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在投标文件中详细说明质量（完成时间、安全、环保）保障措施及方案，</w:t>
            </w:r>
            <w:r>
              <w:rPr>
                <w:rFonts w:hint="eastAsia"/>
              </w:rPr>
              <w:t>包含以下内容</w:t>
            </w:r>
            <w:r>
              <w:rPr>
                <w:rFonts w:hint="eastAsia" w:ascii="宋体" w:hAnsi="宋体" w:cs="宋体"/>
                <w:szCs w:val="21"/>
              </w:rPr>
              <w:t>：</w:t>
            </w:r>
          </w:p>
          <w:p w14:paraId="0D42AF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（1）针对本项目质量保证措施；</w:t>
            </w:r>
          </w:p>
          <w:p w14:paraId="6E01FEF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（2）质量管理制度。</w:t>
            </w:r>
          </w:p>
          <w:p w14:paraId="004657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Cs w:val="21"/>
              </w:rPr>
            </w:pPr>
            <w:r>
              <w:rPr>
                <w:rFonts w:hint="eastAsia" w:ascii="宋体" w:hAnsi="宋体" w:cs="宋体"/>
                <w:b/>
                <w:bCs/>
                <w:szCs w:val="21"/>
              </w:rPr>
              <w:t>（二）评分标准</w:t>
            </w:r>
          </w:p>
          <w:p w14:paraId="48FD2C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包含上述任意一项得1.5分，本项最高得3分；</w:t>
            </w:r>
          </w:p>
          <w:p w14:paraId="1B28CA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在此基础上，专家根据各供应商的具体响应内容按照量化的评审因素指标进一步评审：</w:t>
            </w:r>
          </w:p>
          <w:p w14:paraId="2B5255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1、投标文件响应内容全面；</w:t>
            </w:r>
          </w:p>
          <w:p w14:paraId="2A767B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2、投标文件响应内容具体；</w:t>
            </w:r>
          </w:p>
          <w:p w14:paraId="2C1A70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3、投标文件响应内容针对性强；</w:t>
            </w:r>
          </w:p>
          <w:p w14:paraId="2082EE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4、投标文件响应内容科学合理；</w:t>
            </w:r>
          </w:p>
          <w:p w14:paraId="448D13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5、投标文件响应内容可操作性强。</w:t>
            </w:r>
          </w:p>
          <w:p w14:paraId="1AD36E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满足以上五项要求的加4分；</w:t>
            </w:r>
          </w:p>
          <w:p w14:paraId="5607D9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满足以上四项要求的加3分；</w:t>
            </w:r>
          </w:p>
          <w:p w14:paraId="4465DF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满足以上三项要求的加2分；</w:t>
            </w:r>
          </w:p>
          <w:p w14:paraId="21D520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szCs w:val="21"/>
              </w:rPr>
            </w:pPr>
            <w:r>
              <w:rPr>
                <w:rFonts w:hint="eastAsia" w:ascii="宋体" w:hAnsi="宋体" w:cs="宋体"/>
                <w:szCs w:val="21"/>
              </w:rPr>
              <w:t>其它情况不加分。</w:t>
            </w:r>
          </w:p>
        </w:tc>
        <w:tc>
          <w:tcPr>
            <w:tcW w:w="1187" w:type="dxa"/>
            <w:vAlign w:val="center"/>
          </w:tcPr>
          <w:p w14:paraId="10ADEC3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50</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754" w:type="dxa"/>
            <w:vAlign w:val="center"/>
          </w:tcPr>
          <w:p w14:paraId="0C5E29A6">
            <w:pPr>
              <w:jc w:val="center"/>
              <w:rPr>
                <w:rFonts w:cs="仿宋" w:asciiTheme="minorEastAsia" w:hAnsiTheme="minorEastAsia" w:eastAsiaTheme="minorEastAsia"/>
                <w:szCs w:val="21"/>
                <w:lang w:val="zh-CN"/>
              </w:rPr>
            </w:pPr>
            <w:r>
              <w:rPr>
                <w:rFonts w:hint="eastAsia" w:ascii="宋体" w:hAnsi="宋体"/>
                <w:szCs w:val="21"/>
              </w:rPr>
              <w:t>1</w:t>
            </w:r>
          </w:p>
        </w:tc>
        <w:tc>
          <w:tcPr>
            <w:tcW w:w="1143" w:type="dxa"/>
            <w:vAlign w:val="center"/>
          </w:tcPr>
          <w:p w14:paraId="7560AD42">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kern w:val="0"/>
                <w:szCs w:val="21"/>
              </w:rPr>
            </w:pPr>
            <w:r>
              <w:rPr>
                <w:rFonts w:hint="eastAsia" w:ascii="宋体" w:hAnsi="宋体" w:cs="宋体"/>
                <w:szCs w:val="21"/>
              </w:rPr>
              <w:t>商务</w:t>
            </w:r>
            <w:r>
              <w:rPr>
                <w:rFonts w:hint="eastAsia" w:ascii="宋体" w:hAnsi="宋体" w:cs="宋体"/>
                <w:bCs/>
                <w:szCs w:val="21"/>
              </w:rPr>
              <w:t>条款</w:t>
            </w:r>
            <w:r>
              <w:rPr>
                <w:rFonts w:hint="eastAsia" w:ascii="宋体" w:hAnsi="宋体" w:cs="宋体"/>
                <w:szCs w:val="21"/>
              </w:rPr>
              <w:t>响应情况</w:t>
            </w:r>
          </w:p>
        </w:tc>
        <w:tc>
          <w:tcPr>
            <w:tcW w:w="709" w:type="dxa"/>
            <w:vAlign w:val="center"/>
          </w:tcPr>
          <w:p w14:paraId="57882E3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kern w:val="0"/>
                <w:szCs w:val="21"/>
              </w:rPr>
            </w:pPr>
            <w:r>
              <w:rPr>
                <w:rFonts w:hint="eastAsia" w:ascii="宋体" w:hAnsi="宋体" w:cs="宋体"/>
                <w:szCs w:val="21"/>
              </w:rPr>
              <w:t>3</w:t>
            </w:r>
          </w:p>
        </w:tc>
        <w:tc>
          <w:tcPr>
            <w:tcW w:w="5953" w:type="dxa"/>
            <w:vAlign w:val="center"/>
          </w:tcPr>
          <w:p w14:paraId="52533BC5">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仿宋"/>
                <w:szCs w:val="21"/>
              </w:rPr>
            </w:pPr>
            <w:r>
              <w:rPr>
                <w:rFonts w:hint="eastAsia" w:ascii="宋体" w:hAnsi="宋体" w:cs="仿宋"/>
                <w:szCs w:val="21"/>
              </w:rPr>
              <w:t>投标人应如实填写《商务条款偏离表》，评审委员会根据商务条款响应情况进行评审：</w:t>
            </w:r>
          </w:p>
          <w:p w14:paraId="0F2069BC">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仿宋"/>
                <w:szCs w:val="21"/>
              </w:rPr>
            </w:pPr>
            <w:r>
              <w:rPr>
                <w:rFonts w:hint="eastAsia" w:ascii="宋体" w:hAnsi="宋体" w:cs="宋体"/>
                <w:kern w:val="0"/>
                <w:szCs w:val="21"/>
              </w:rPr>
              <w:t>非实质性要求全部满足</w:t>
            </w:r>
            <w:r>
              <w:rPr>
                <w:rFonts w:hint="eastAsia" w:ascii="宋体" w:hAnsi="宋体" w:cs="仿宋"/>
                <w:szCs w:val="21"/>
              </w:rPr>
              <w:t>的得3分，其中“▲”参数为重要指标，每负偏离一项扣0.3分；其余指标每负偏离一项扣0.19分，</w:t>
            </w:r>
            <w:r>
              <w:rPr>
                <w:rFonts w:hint="eastAsia" w:ascii="宋体" w:hAnsi="宋体"/>
                <w:bCs/>
                <w:szCs w:val="21"/>
              </w:rPr>
              <w:t>最低0分</w:t>
            </w:r>
            <w:r>
              <w:rPr>
                <w:rFonts w:hint="eastAsia" w:ascii="宋体" w:hAnsi="宋体" w:cs="仿宋"/>
                <w:szCs w:val="21"/>
              </w:rPr>
              <w:t>。</w:t>
            </w:r>
          </w:p>
          <w:p w14:paraId="52380471">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kern w:val="0"/>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5" w:hRule="atLeast"/>
          <w:jc w:val="center"/>
        </w:trPr>
        <w:tc>
          <w:tcPr>
            <w:tcW w:w="754" w:type="dxa"/>
            <w:vAlign w:val="center"/>
          </w:tcPr>
          <w:p w14:paraId="6A173027">
            <w:pPr>
              <w:jc w:val="center"/>
              <w:rPr>
                <w:rFonts w:cs="宋体" w:asciiTheme="minorEastAsia" w:hAnsiTheme="minorEastAsia" w:eastAsiaTheme="minorEastAsia"/>
                <w:kern w:val="0"/>
                <w:szCs w:val="21"/>
              </w:rPr>
            </w:pPr>
            <w:r>
              <w:rPr>
                <w:rFonts w:ascii="宋体" w:hAnsi="宋体"/>
                <w:szCs w:val="21"/>
              </w:rPr>
              <w:t>2</w:t>
            </w:r>
          </w:p>
        </w:tc>
        <w:tc>
          <w:tcPr>
            <w:tcW w:w="1143" w:type="dxa"/>
            <w:vAlign w:val="center"/>
          </w:tcPr>
          <w:p w14:paraId="2AA588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投标人通过相关认证情况</w:t>
            </w:r>
          </w:p>
        </w:tc>
        <w:tc>
          <w:tcPr>
            <w:tcW w:w="709" w:type="dxa"/>
            <w:vAlign w:val="center"/>
          </w:tcPr>
          <w:p w14:paraId="03D227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3</w:t>
            </w:r>
          </w:p>
        </w:tc>
        <w:tc>
          <w:tcPr>
            <w:tcW w:w="5953" w:type="dxa"/>
            <w:vAlign w:val="top"/>
          </w:tcPr>
          <w:p w14:paraId="3FB63F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（一）评分内容</w:t>
            </w:r>
          </w:p>
          <w:p w14:paraId="79A49D2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具有质量管理体系认证证书 ISO 9001，且认证范围包括网络安全服务，得</w:t>
            </w:r>
            <w:r>
              <w:rPr>
                <w:rFonts w:hint="eastAsia" w:ascii="宋体" w:hAnsi="宋体" w:cs="宋体"/>
                <w:szCs w:val="21"/>
                <w:highlight w:val="none"/>
              </w:rPr>
              <w:t>3分</w:t>
            </w:r>
            <w:r>
              <w:rPr>
                <w:rFonts w:hint="eastAsia" w:ascii="宋体" w:hAnsi="宋体" w:cs="宋体"/>
                <w:szCs w:val="21"/>
              </w:rPr>
              <w:t>。</w:t>
            </w:r>
          </w:p>
          <w:p w14:paraId="789664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kern w:val="0"/>
                <w:szCs w:val="21"/>
                <w:lang w:bidi="ar"/>
              </w:rPr>
              <w:t>如存在与上述认证证书名称有所差异，但属于同类证书，符合同种证书要求的，也可得分。</w:t>
            </w:r>
          </w:p>
          <w:p w14:paraId="3665A6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（二）评分依据</w:t>
            </w:r>
          </w:p>
          <w:p w14:paraId="510BD24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1.提供有效认证证书（如认证证书注明年审要求的，必须按规定年审且证书在有效期内的方为有效；如未注明年审要求的，证书必须在有效期内的方为有效）；</w:t>
            </w:r>
          </w:p>
          <w:p w14:paraId="725695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lang w:val="zh-CN"/>
              </w:rPr>
            </w:pPr>
            <w:r>
              <w:rPr>
                <w:rFonts w:hint="eastAsia" w:ascii="宋体" w:hAnsi="宋体" w:cs="宋体"/>
                <w:szCs w:val="21"/>
              </w:rPr>
              <w:t>2.提供证书官网或权威机构【如：全国认证认可信息公共服务平台（cx.cnca.cn）】认证信息查询截图（截图需显示证书状态为有效）。</w:t>
            </w:r>
            <w:r>
              <w:rPr>
                <w:rFonts w:hint="eastAsia" w:ascii="宋体" w:hAnsi="宋体" w:cs="宋体"/>
                <w:szCs w:val="21"/>
                <w:lang w:val="zh-CN"/>
              </w:rPr>
              <w:t>相关证书在公开渠道无法查询的，投标人需提供颁发部门或者监管机构的证明材料，证明证书真实有效且为合法机构颁发；</w:t>
            </w:r>
          </w:p>
          <w:p w14:paraId="7000EE0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3.如证书由行业协会颁发，需提供该行业协会在“中国社会组织政务服务平台”（网址：https://chinanpo.mca.gov.cn/）查询的已合法登记且状态正常截图，否则不予认可，视为无效证书；</w:t>
            </w:r>
          </w:p>
          <w:p w14:paraId="4D702C5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lang w:val="zh-CN"/>
              </w:rPr>
            </w:pPr>
            <w:r>
              <w:rPr>
                <w:rFonts w:hint="eastAsia" w:ascii="宋体" w:hAnsi="宋体" w:cs="宋体"/>
                <w:szCs w:val="21"/>
              </w:rPr>
              <w:t>4.如</w:t>
            </w:r>
            <w:r>
              <w:rPr>
                <w:rFonts w:hint="eastAsia" w:ascii="宋体" w:hAnsi="宋体" w:cs="宋体"/>
                <w:szCs w:val="21"/>
                <w:lang w:val="zh-CN"/>
              </w:rPr>
              <w:t>投标人成立时间不足三个月，可提供情况说明作为佐证材料，无需提供证书和</w:t>
            </w:r>
            <w:r>
              <w:rPr>
                <w:rFonts w:hint="eastAsia" w:ascii="宋体" w:hAnsi="宋体" w:cs="宋体"/>
                <w:szCs w:val="21"/>
              </w:rPr>
              <w:t>认证信息查询截图</w:t>
            </w:r>
            <w:r>
              <w:rPr>
                <w:rFonts w:hint="eastAsia" w:ascii="宋体" w:hAnsi="宋体" w:cs="宋体"/>
                <w:szCs w:val="21"/>
                <w:lang w:val="zh-CN"/>
              </w:rPr>
              <w:t>亦视为满足评分要求；</w:t>
            </w:r>
          </w:p>
          <w:p w14:paraId="65C7CA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szCs w:val="21"/>
              </w:rPr>
            </w:pPr>
            <w:r>
              <w:rPr>
                <w:rFonts w:hint="eastAsia" w:ascii="宋体" w:hAnsi="宋体" w:cs="宋体"/>
                <w:szCs w:val="21"/>
              </w:rPr>
              <w:t>5.提供以上证明文件复印件或扫描件，如涉及网站截图或照片等证明材料,需提供清晰图片,均要求加盖投标人公章。未按要求提供有效证明材料或提供不清晰导致评委无法识别的不计得分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cs="宋体"/>
                <w:szCs w:val="21"/>
                <w:lang w:val="zh-CN"/>
              </w:rPr>
              <w:t>。</w:t>
            </w:r>
          </w:p>
        </w:tc>
        <w:tc>
          <w:tcPr>
            <w:tcW w:w="1187" w:type="dxa"/>
            <w:vAlign w:val="center"/>
          </w:tcPr>
          <w:p w14:paraId="00F3178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1" w:hRule="atLeast"/>
          <w:jc w:val="center"/>
        </w:trPr>
        <w:tc>
          <w:tcPr>
            <w:tcW w:w="754" w:type="dxa"/>
            <w:vAlign w:val="center"/>
          </w:tcPr>
          <w:p w14:paraId="34DBB31C">
            <w:pPr>
              <w:jc w:val="center"/>
              <w:rPr>
                <w:rFonts w:cs="仿宋" w:asciiTheme="minorEastAsia" w:hAnsiTheme="minorEastAsia" w:eastAsiaTheme="minorEastAsia"/>
                <w:szCs w:val="21"/>
                <w:lang w:val="zh-CN"/>
              </w:rPr>
            </w:pPr>
            <w:r>
              <w:rPr>
                <w:rFonts w:ascii="宋体" w:hAnsi="宋体"/>
                <w:szCs w:val="21"/>
              </w:rPr>
              <w:t>3</w:t>
            </w:r>
          </w:p>
        </w:tc>
        <w:tc>
          <w:tcPr>
            <w:tcW w:w="1143" w:type="dxa"/>
            <w:vAlign w:val="center"/>
          </w:tcPr>
          <w:p w14:paraId="42B13F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投标人同类项目业绩情况</w:t>
            </w:r>
          </w:p>
        </w:tc>
        <w:tc>
          <w:tcPr>
            <w:tcW w:w="709" w:type="dxa"/>
            <w:vAlign w:val="center"/>
          </w:tcPr>
          <w:p w14:paraId="6BAF4B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6</w:t>
            </w:r>
          </w:p>
        </w:tc>
        <w:tc>
          <w:tcPr>
            <w:tcW w:w="5953" w:type="dxa"/>
            <w:vAlign w:val="top"/>
          </w:tcPr>
          <w:p w14:paraId="0139F86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（一）评分内容</w:t>
            </w:r>
          </w:p>
          <w:p w14:paraId="760CC3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自2022年1月1日至本项目投标截止日（以合同签订日期为准），投标人具有同类项目业绩（网站安全或网络安全）且获得履约评价结果为“优”或“满意”或评价证明中最高等级的，或者验收结果为“合格”或“通过”或同等表述的，每提供一个项目得2分，最高得6分。</w:t>
            </w:r>
          </w:p>
          <w:p w14:paraId="21EE1FE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（二）评分依据</w:t>
            </w:r>
          </w:p>
          <w:p w14:paraId="7F6230A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Cs w:val="21"/>
              </w:rPr>
            </w:pPr>
            <w:r>
              <w:rPr>
                <w:rFonts w:hint="eastAsia" w:ascii="宋体" w:hAnsi="宋体" w:cs="宋体"/>
                <w:szCs w:val="21"/>
              </w:rPr>
              <w:t>1.提供合同关键页（关键信息包括但不仅限于合同的项目名称、服务内容、合同签订日期、甲乙双方签字盖章页）且提供的材料各项信息不得有任何遮挡；</w:t>
            </w:r>
          </w:p>
          <w:p w14:paraId="71B2A69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Cs w:val="21"/>
              </w:rPr>
            </w:pPr>
            <w:r>
              <w:rPr>
                <w:rFonts w:hint="eastAsia" w:ascii="宋体" w:hAnsi="宋体" w:cs="宋体"/>
                <w:szCs w:val="21"/>
              </w:rPr>
              <w:t>2.通过合同关键信息无法判断是否得分的，还需提供能证明得分的其它证明资料，如项目报告或合同甲方出具的证明文件；</w:t>
            </w:r>
          </w:p>
          <w:p w14:paraId="1062623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Cs w:val="21"/>
              </w:rPr>
            </w:pPr>
            <w:r>
              <w:rPr>
                <w:rFonts w:hint="eastAsia" w:ascii="宋体" w:hAnsi="宋体" w:cs="宋体"/>
                <w:szCs w:val="21"/>
              </w:rPr>
              <w:t>3.提供加盖合同甲方公章或甲方业务章的履约评价或验收结果证明材料；</w:t>
            </w:r>
          </w:p>
          <w:p w14:paraId="1C06C62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4.提供以上证明文件复印件或扫描件，如涉及网站截图或照片等证明材料,需提供清晰图片，均要求加盖投标人公章。未按要求提供有效证明材料或提供不清晰导致评委无法识别的不计得分。</w:t>
            </w:r>
          </w:p>
          <w:p w14:paraId="303293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szCs w:val="21"/>
              </w:rPr>
            </w:pPr>
            <w:r>
              <w:rPr>
                <w:rFonts w:hint="eastAsia" w:ascii="宋体" w:hAnsi="宋体" w:cs="宋体"/>
                <w:szCs w:val="21"/>
              </w:rPr>
              <w:t>注：为便于评委评审，履约评价或验收结果证明文件应附在同类项目业绩证明文件后，每个项目对应一份履约评价或验收结果证明。</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83D6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3" w:hRule="atLeast"/>
          <w:jc w:val="center"/>
        </w:trPr>
        <w:tc>
          <w:tcPr>
            <w:tcW w:w="754" w:type="dxa"/>
            <w:vAlign w:val="center"/>
          </w:tcPr>
          <w:p w14:paraId="754587B2">
            <w:pPr>
              <w:jc w:val="center"/>
              <w:rPr>
                <w:rFonts w:cs="仿宋" w:asciiTheme="minorEastAsia" w:hAnsiTheme="minorEastAsia" w:eastAsiaTheme="minorEastAsia"/>
                <w:szCs w:val="21"/>
              </w:rPr>
            </w:pPr>
            <w:bookmarkStart w:id="16" w:name="_Toc44690703"/>
            <w:bookmarkStart w:id="17" w:name="_Toc135293165"/>
            <w:bookmarkStart w:id="18" w:name="_Toc44690430"/>
            <w:bookmarkStart w:id="19" w:name="_Toc44691162"/>
            <w:bookmarkStart w:id="20" w:name="_Toc44691394"/>
            <w:r>
              <w:rPr>
                <w:rFonts w:hint="eastAsia" w:cs="仿宋" w:asciiTheme="minorEastAsia" w:hAnsiTheme="minorEastAsia" w:eastAsiaTheme="minorEastAsia"/>
                <w:szCs w:val="21"/>
              </w:rPr>
              <w:t>4</w:t>
            </w:r>
          </w:p>
        </w:tc>
        <w:tc>
          <w:tcPr>
            <w:tcW w:w="1143" w:type="dxa"/>
            <w:vAlign w:val="center"/>
          </w:tcPr>
          <w:p w14:paraId="21CDBC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拟安排的项目负责人情况（仅限一人）</w:t>
            </w:r>
          </w:p>
        </w:tc>
        <w:tc>
          <w:tcPr>
            <w:tcW w:w="709" w:type="dxa"/>
            <w:vAlign w:val="center"/>
          </w:tcPr>
          <w:p w14:paraId="28F450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10</w:t>
            </w:r>
          </w:p>
        </w:tc>
        <w:tc>
          <w:tcPr>
            <w:tcW w:w="5953" w:type="dxa"/>
            <w:vAlign w:val="top"/>
          </w:tcPr>
          <w:p w14:paraId="3C083CD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（一）评分内容</w:t>
            </w:r>
          </w:p>
          <w:p w14:paraId="28F529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拟安排的项目负责人</w:t>
            </w:r>
            <w:r>
              <w:rPr>
                <w:rFonts w:hint="eastAsia" w:ascii="宋体" w:hAnsi="宋体" w:cs="宋体"/>
                <w:color w:val="000000"/>
                <w:kern w:val="0"/>
                <w:szCs w:val="21"/>
              </w:rPr>
              <w:t>(仅限1人）</w:t>
            </w:r>
            <w:r>
              <w:rPr>
                <w:rFonts w:hint="eastAsia" w:ascii="宋体" w:hAnsi="宋体" w:cs="宋体"/>
                <w:szCs w:val="21"/>
              </w:rPr>
              <w:t>需为投标人</w:t>
            </w:r>
            <w:r>
              <w:rPr>
                <w:rFonts w:hint="eastAsia" w:ascii="宋体" w:hAnsi="宋体" w:cs="宋体"/>
                <w:color w:val="000000"/>
                <w:szCs w:val="21"/>
              </w:rPr>
              <w:t>正式聘任</w:t>
            </w:r>
            <w:r>
              <w:rPr>
                <w:rFonts w:hint="eastAsia" w:ascii="宋体" w:hAnsi="宋体" w:cs="宋体"/>
                <w:szCs w:val="21"/>
              </w:rPr>
              <w:t>员工，否则本项不得分。在此基础上，按以下标准评分：</w:t>
            </w:r>
          </w:p>
          <w:p w14:paraId="52A794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1.具有计算机类专业本科及以上学历的，得1分；</w:t>
            </w:r>
          </w:p>
          <w:p w14:paraId="16B373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2.具有高级计算机技术与软件专业技术资格(水平)证书的，得4分；</w:t>
            </w:r>
          </w:p>
          <w:p w14:paraId="3CE2996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3.具有PMI颁发的PMP项目管理专业人士资格认证证书的，得1分；</w:t>
            </w:r>
          </w:p>
          <w:p w14:paraId="1207A4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4.具有中国信息安全测评中心颁发的CISP注册信息安全专业人员认证证书的，得2分；</w:t>
            </w:r>
          </w:p>
          <w:p w14:paraId="2F25EC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5.具有中国网络安全审查认证和市场监管大数据中心或中国网络安全审查技术与认证中心颁发的CISAW国家注册信息安全保障人员认证证书的，得2分。</w:t>
            </w:r>
          </w:p>
          <w:p w14:paraId="021682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（二）评分依据</w:t>
            </w:r>
          </w:p>
          <w:p w14:paraId="131BC7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1.提供项目负责人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14C60C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2.提供项目负责人资格证书；</w:t>
            </w:r>
          </w:p>
          <w:p w14:paraId="58FEA3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3.涉及考察学历或学位的，提供毕业证书（或学位证书）以及学信网查询记录，对于学信网无法查询的，还需提供毕业院校或人社部门或教育部门等颁发机构或监管机构出具的证明，否则无效；</w:t>
            </w:r>
          </w:p>
          <w:p w14:paraId="5F623E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4.如证书由行业协会颁发的，需提供该行业协会在“中国社会组织政务服务平台”（网址：https://chinanpo.mca.gov.cn/）查询的已合法登记且状态正常截图，否则不予认可，视为无效证书；</w:t>
            </w:r>
          </w:p>
          <w:p w14:paraId="1536B6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color w:val="000000"/>
                <w:szCs w:val="21"/>
              </w:rPr>
            </w:pPr>
            <w:r>
              <w:rPr>
                <w:rFonts w:hint="eastAsia" w:ascii="宋体" w:hAnsi="宋体" w:cs="宋体"/>
                <w:szCs w:val="21"/>
              </w:rPr>
              <w:t>5.提供以上证明文件复印件或扫描件，如涉及网站截图或照片等证明材料，需提供清晰图片，均要求加盖投标人公章。未按要求提供有效证明材料或提供不清晰导致评委无法识别的不计得分。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45749185">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6468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754" w:type="dxa"/>
            <w:vAlign w:val="center"/>
          </w:tcPr>
          <w:p w14:paraId="28C5FBE7">
            <w:pPr>
              <w:jc w:val="center"/>
              <w:rPr>
                <w:rFonts w:cs="仿宋" w:asciiTheme="minorEastAsia" w:hAnsiTheme="minorEastAsia"/>
                <w:szCs w:val="21"/>
              </w:rPr>
            </w:pPr>
            <w:r>
              <w:rPr>
                <w:rFonts w:hint="eastAsia" w:ascii="宋体" w:hAnsi="宋体"/>
                <w:szCs w:val="21"/>
              </w:rPr>
              <w:t>5</w:t>
            </w:r>
          </w:p>
        </w:tc>
        <w:tc>
          <w:tcPr>
            <w:tcW w:w="1143" w:type="dxa"/>
            <w:vAlign w:val="center"/>
          </w:tcPr>
          <w:p w14:paraId="07C9E1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拟安排的项目主要团队成员情况（项目负责人除外）</w:t>
            </w:r>
          </w:p>
        </w:tc>
        <w:tc>
          <w:tcPr>
            <w:tcW w:w="709" w:type="dxa"/>
            <w:vAlign w:val="center"/>
          </w:tcPr>
          <w:p w14:paraId="15E33A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10</w:t>
            </w:r>
          </w:p>
        </w:tc>
        <w:tc>
          <w:tcPr>
            <w:tcW w:w="5953" w:type="dxa"/>
            <w:vAlign w:val="top"/>
          </w:tcPr>
          <w:p w14:paraId="67DC0E2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（一）评分内容</w:t>
            </w:r>
          </w:p>
          <w:p w14:paraId="3595D3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拟安排的项目团队成员(项目负责人除外)人数不少于6人，需为投标人</w:t>
            </w:r>
            <w:r>
              <w:rPr>
                <w:rFonts w:hint="eastAsia" w:ascii="宋体" w:hAnsi="宋体" w:cs="宋体"/>
                <w:color w:val="000000"/>
                <w:szCs w:val="21"/>
              </w:rPr>
              <w:t>正式聘任</w:t>
            </w:r>
            <w:r>
              <w:rPr>
                <w:rFonts w:hint="eastAsia" w:ascii="宋体" w:hAnsi="宋体" w:cs="宋体"/>
                <w:szCs w:val="21"/>
              </w:rPr>
              <w:t>员工，否则本项不得分。在此基础上，按以下标准评分：</w:t>
            </w:r>
          </w:p>
          <w:p w14:paraId="6CCFE9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1.项目团队成员具有计算机类专业本科及以上学历，每提供一名得1分，最高得2分；</w:t>
            </w:r>
          </w:p>
          <w:p w14:paraId="52B4B8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2.项目团队成员具有中国网络安全审查技术与认证中心颁发的CISAW国家注册信息安全保障人员认证证书的，每提供一名得1分，最高得2分；</w:t>
            </w:r>
          </w:p>
          <w:p w14:paraId="6B8CE3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3.项目团队成员具有中国信息安全测评中心颁发的注册信息安全专业人员渗透测试工程师（CISP-PTE）有效证书的，每提供一名得1分，最高得2分；</w:t>
            </w:r>
          </w:p>
          <w:p w14:paraId="652FAF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4.项目团队成员具有中国信息安全测评中心颁发的国家注册应急响应工程师（CISP-IRE）有效证书的，每提供一名得1分，最高得2分；</w:t>
            </w:r>
          </w:p>
          <w:p w14:paraId="5B5ADE0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5.项目团队成员具有中国信息安全测评中心颁发的注册信息安全管理人员（CISO）有效证书的，每提供一名得1分，最高得2分。</w:t>
            </w:r>
          </w:p>
          <w:p w14:paraId="0F8CED1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1名团队成员有多个证书的，可重复计分。</w:t>
            </w:r>
          </w:p>
          <w:p w14:paraId="7BD51F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（二）评分依据</w:t>
            </w:r>
          </w:p>
          <w:p w14:paraId="51B7B32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1.提供项目团队成员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61E7A9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2.提供项目团队成员资格证书；</w:t>
            </w:r>
          </w:p>
          <w:p w14:paraId="69D3F2F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3.涉及考察学历或学位的，提供毕业证书（或学位证书）以及学信网查询记录，对于学信网无法查询的，还需提供毕业院校或人社部门或教育部门等颁发机构或监管机构出具的证明，否则无效；</w:t>
            </w:r>
          </w:p>
          <w:p w14:paraId="33779A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4.如证书由行业协会颁发的，需提供该行业协会在“中国社会组织政务服务平台”（网址：https://chinanpo.mca.gov.cn/）查询的已合法登记且状态正常截图，否则不予认可，视为无效证书；</w:t>
            </w:r>
          </w:p>
          <w:p w14:paraId="25E21C3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szCs w:val="21"/>
              </w:rPr>
            </w:pPr>
            <w:r>
              <w:rPr>
                <w:rFonts w:hint="eastAsia" w:ascii="宋体" w:hAnsi="宋体" w:cs="宋体"/>
                <w:szCs w:val="21"/>
              </w:rPr>
              <w:t>5.提供以上证明文件复印件或扫描件，如涉及网站截图或照片等证明材料，需提供清晰图片，均要求加盖投标人公章。未按要求提供有效证明材料或提供不清晰导致评委无法识别的不计得分。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7291376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2912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0" w:hRule="atLeast"/>
          <w:jc w:val="center"/>
        </w:trPr>
        <w:tc>
          <w:tcPr>
            <w:tcW w:w="754" w:type="dxa"/>
            <w:vAlign w:val="center"/>
          </w:tcPr>
          <w:p w14:paraId="173948B4">
            <w:pPr>
              <w:jc w:val="center"/>
              <w:rPr>
                <w:rFonts w:cs="仿宋" w:asciiTheme="minorEastAsia" w:hAnsiTheme="minorEastAsia"/>
                <w:szCs w:val="21"/>
              </w:rPr>
            </w:pPr>
            <w:r>
              <w:rPr>
                <w:rFonts w:hint="eastAsia" w:ascii="宋体" w:hAnsi="宋体"/>
                <w:szCs w:val="21"/>
              </w:rPr>
              <w:t>6</w:t>
            </w:r>
          </w:p>
        </w:tc>
        <w:tc>
          <w:tcPr>
            <w:tcW w:w="1143" w:type="dxa"/>
            <w:vAlign w:val="center"/>
          </w:tcPr>
          <w:p w14:paraId="03069E27">
            <w:pPr>
              <w:jc w:val="center"/>
              <w:rPr>
                <w:rFonts w:ascii="宋体" w:hAnsi="宋体" w:cs="宋体"/>
                <w:szCs w:val="21"/>
              </w:rPr>
            </w:pPr>
            <w:r>
              <w:rPr>
                <w:rFonts w:hint="eastAsia" w:ascii="宋体" w:hAnsi="宋体" w:cs="宋体"/>
                <w:szCs w:val="21"/>
              </w:rPr>
              <w:t>投标人自主知识产权产品（创新、设计）情况</w:t>
            </w:r>
          </w:p>
        </w:tc>
        <w:tc>
          <w:tcPr>
            <w:tcW w:w="709" w:type="dxa"/>
            <w:vAlign w:val="center"/>
          </w:tcPr>
          <w:p w14:paraId="108AE922">
            <w:pPr>
              <w:jc w:val="center"/>
              <w:rPr>
                <w:rFonts w:ascii="宋体" w:hAnsi="宋体" w:cs="宋体"/>
                <w:szCs w:val="21"/>
              </w:rPr>
            </w:pPr>
            <w:r>
              <w:rPr>
                <w:rFonts w:hint="eastAsia" w:ascii="宋体" w:hAnsi="宋体" w:cs="宋体"/>
                <w:szCs w:val="21"/>
              </w:rPr>
              <w:t>10</w:t>
            </w:r>
          </w:p>
        </w:tc>
        <w:tc>
          <w:tcPr>
            <w:tcW w:w="5953" w:type="dxa"/>
            <w:vAlign w:val="top"/>
          </w:tcPr>
          <w:p w14:paraId="7209E12E">
            <w:pPr>
              <w:spacing w:line="360" w:lineRule="exact"/>
              <w:jc w:val="left"/>
              <w:rPr>
                <w:rFonts w:hint="eastAsia" w:ascii="宋体" w:hAnsi="宋体" w:cs="宋体"/>
                <w:b/>
                <w:bCs/>
                <w:szCs w:val="21"/>
              </w:rPr>
            </w:pPr>
            <w:r>
              <w:rPr>
                <w:rFonts w:hint="eastAsia" w:ascii="宋体" w:hAnsi="宋体" w:cs="宋体"/>
                <w:b/>
                <w:bCs/>
                <w:szCs w:val="21"/>
              </w:rPr>
              <w:t>（一）评分内容</w:t>
            </w:r>
          </w:p>
          <w:p w14:paraId="175D5E7E">
            <w:pPr>
              <w:spacing w:line="360" w:lineRule="exact"/>
              <w:jc w:val="both"/>
              <w:rPr>
                <w:rFonts w:hint="eastAsia" w:ascii="宋体" w:hAnsi="宋体" w:cs="宋体"/>
                <w:szCs w:val="21"/>
              </w:rPr>
            </w:pPr>
            <w:r>
              <w:rPr>
                <w:rFonts w:hint="eastAsia" w:ascii="宋体" w:hAnsi="宋体" w:cs="宋体"/>
                <w:szCs w:val="21"/>
              </w:rPr>
              <w:t>具有与网络安全相关的软件著作权登记证书或者专利证书的，每提供1个发明专利证书得2分，每提供1个软件著作权登记证书或者实用新型</w:t>
            </w:r>
            <w:r>
              <w:rPr>
                <w:rFonts w:hint="eastAsia" w:ascii="宋体" w:hAnsi="宋体" w:cs="宋体"/>
                <w:szCs w:val="21"/>
                <w:lang w:val="en-US" w:eastAsia="zh-CN"/>
              </w:rPr>
              <w:t>专利</w:t>
            </w:r>
            <w:r>
              <w:rPr>
                <w:rFonts w:hint="eastAsia" w:ascii="宋体" w:hAnsi="宋体" w:cs="宋体"/>
                <w:szCs w:val="21"/>
              </w:rPr>
              <w:t>证书得1分，最高得10分。</w:t>
            </w:r>
          </w:p>
          <w:p w14:paraId="59C3B7E7">
            <w:pPr>
              <w:spacing w:line="360" w:lineRule="exact"/>
              <w:jc w:val="left"/>
              <w:rPr>
                <w:rFonts w:hint="eastAsia" w:ascii="宋体" w:hAnsi="宋体" w:cs="宋体"/>
                <w:b/>
                <w:bCs/>
                <w:szCs w:val="21"/>
              </w:rPr>
            </w:pPr>
            <w:r>
              <w:rPr>
                <w:rFonts w:hint="eastAsia" w:ascii="宋体" w:hAnsi="宋体" w:cs="宋体"/>
                <w:b/>
                <w:bCs/>
                <w:szCs w:val="21"/>
              </w:rPr>
              <w:t>（二）评分依据</w:t>
            </w:r>
          </w:p>
          <w:p w14:paraId="3A2BA607">
            <w:pPr>
              <w:spacing w:line="360" w:lineRule="exact"/>
              <w:jc w:val="left"/>
              <w:rPr>
                <w:rFonts w:hint="eastAsia" w:ascii="宋体" w:hAnsi="宋体" w:cs="宋体"/>
                <w:szCs w:val="21"/>
              </w:rPr>
            </w:pPr>
            <w:r>
              <w:rPr>
                <w:rFonts w:hint="eastAsia" w:ascii="宋体" w:hAnsi="宋体" w:cs="宋体"/>
                <w:szCs w:val="21"/>
              </w:rPr>
              <w:t>1.提供计算机软件著作权登记证书或专利证书(已授权)；</w:t>
            </w:r>
          </w:p>
          <w:p w14:paraId="2999906A">
            <w:pPr>
              <w:spacing w:line="360" w:lineRule="exact"/>
              <w:jc w:val="left"/>
              <w:rPr>
                <w:rFonts w:hint="eastAsia" w:ascii="宋体" w:hAnsi="宋体" w:cs="宋体"/>
                <w:szCs w:val="21"/>
              </w:rPr>
            </w:pPr>
            <w:r>
              <w:rPr>
                <w:rFonts w:hint="eastAsia" w:ascii="宋体" w:hAnsi="宋体" w:cs="宋体"/>
                <w:szCs w:val="21"/>
              </w:rPr>
              <w:t>2.购买或租赁的计算机软件著作权登记证书或专利证书需同时提供计算机软件著作权登记证书或专利证书（著作权人或专利权人需为出售/出租方）、购买合同或租赁合同（体现内容页、签字盖章页、签订时间页）、购买发票或租赁发票；</w:t>
            </w:r>
          </w:p>
          <w:p w14:paraId="0232E147">
            <w:pPr>
              <w:spacing w:line="360" w:lineRule="exact"/>
              <w:jc w:val="left"/>
              <w:rPr>
                <w:rFonts w:hint="eastAsia" w:ascii="宋体" w:hAnsi="宋体" w:eastAsia="宋体" w:cs="宋体"/>
                <w:szCs w:val="21"/>
              </w:rPr>
            </w:pPr>
            <w:r>
              <w:rPr>
                <w:rFonts w:hint="eastAsia" w:ascii="宋体" w:hAnsi="宋体" w:cs="宋体"/>
                <w:szCs w:val="21"/>
              </w:rPr>
              <w:t>3.提供以上证明文件复印件或扫描件，如涉及网站截图或照片等证明材料，需提供清晰图片，均要求加盖投标人公章。未按要求提供有效证明材料或提供不清晰导致评委无法识别的不计得分。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2F2F1407">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0B9E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3" w:hRule="atLeast"/>
          <w:jc w:val="center"/>
        </w:trPr>
        <w:tc>
          <w:tcPr>
            <w:tcW w:w="754" w:type="dxa"/>
            <w:vAlign w:val="center"/>
          </w:tcPr>
          <w:p w14:paraId="182589E2">
            <w:pPr>
              <w:jc w:val="center"/>
              <w:rPr>
                <w:rFonts w:cs="仿宋" w:asciiTheme="minorEastAsia" w:hAnsiTheme="minorEastAsia"/>
                <w:szCs w:val="21"/>
              </w:rPr>
            </w:pPr>
            <w:r>
              <w:rPr>
                <w:rFonts w:hint="eastAsia" w:ascii="宋体" w:hAnsi="宋体"/>
                <w:szCs w:val="21"/>
              </w:rPr>
              <w:t>7</w:t>
            </w:r>
          </w:p>
        </w:tc>
        <w:tc>
          <w:tcPr>
            <w:tcW w:w="1143" w:type="dxa"/>
            <w:vAlign w:val="center"/>
          </w:tcPr>
          <w:p w14:paraId="32C974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服务网点</w:t>
            </w:r>
          </w:p>
        </w:tc>
        <w:tc>
          <w:tcPr>
            <w:tcW w:w="709" w:type="dxa"/>
            <w:vAlign w:val="center"/>
          </w:tcPr>
          <w:p w14:paraId="28846E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3</w:t>
            </w:r>
          </w:p>
        </w:tc>
        <w:tc>
          <w:tcPr>
            <w:tcW w:w="5953" w:type="dxa"/>
            <w:vAlign w:val="top"/>
          </w:tcPr>
          <w:p w14:paraId="36A7F94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（一）评分内容</w:t>
            </w:r>
          </w:p>
          <w:p w14:paraId="5AF6743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投标人承诺中标后提供本地经营（服务）网点的，得3分。</w:t>
            </w:r>
          </w:p>
          <w:p w14:paraId="2B3309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szCs w:val="21"/>
              </w:rPr>
            </w:pPr>
            <w:r>
              <w:rPr>
                <w:rFonts w:hint="eastAsia" w:ascii="宋体" w:hAnsi="宋体" w:cs="宋体"/>
                <w:b/>
                <w:bCs/>
                <w:szCs w:val="21"/>
              </w:rPr>
              <w:t>（二）评分依据</w:t>
            </w:r>
          </w:p>
          <w:p w14:paraId="6F4330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szCs w:val="21"/>
              </w:rPr>
            </w:pPr>
            <w:r>
              <w:rPr>
                <w:rFonts w:hint="eastAsia" w:ascii="宋体" w:hAnsi="宋体" w:cs="宋体"/>
                <w:szCs w:val="21"/>
              </w:rPr>
              <w:t>要求提供承诺函（格式自拟）作为得分依据，未提供承诺函或承诺内容不满足要求不得分。</w:t>
            </w:r>
          </w:p>
        </w:tc>
        <w:tc>
          <w:tcPr>
            <w:tcW w:w="1187" w:type="dxa"/>
            <w:vAlign w:val="center"/>
          </w:tcPr>
          <w:p w14:paraId="6CF69E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7691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3" w:hRule="atLeast"/>
          <w:jc w:val="center"/>
        </w:trPr>
        <w:tc>
          <w:tcPr>
            <w:tcW w:w="754" w:type="dxa"/>
            <w:vAlign w:val="center"/>
          </w:tcPr>
          <w:p w14:paraId="27F6A73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8</w:t>
            </w:r>
          </w:p>
        </w:tc>
        <w:tc>
          <w:tcPr>
            <w:tcW w:w="1143" w:type="dxa"/>
            <w:vAlign w:val="center"/>
          </w:tcPr>
          <w:p w14:paraId="28541FCD">
            <w:pPr>
              <w:jc w:val="center"/>
              <w:rPr>
                <w:rFonts w:ascii="宋体" w:hAnsi="宋体" w:cs="宋体"/>
                <w:szCs w:val="21"/>
              </w:rPr>
            </w:pPr>
            <w:r>
              <w:rPr>
                <w:rFonts w:hint="eastAsia" w:ascii="宋体" w:hAnsi="宋体"/>
                <w:szCs w:val="21"/>
              </w:rPr>
              <w:t>诚信情况</w:t>
            </w:r>
          </w:p>
        </w:tc>
        <w:tc>
          <w:tcPr>
            <w:tcW w:w="709" w:type="dxa"/>
            <w:vAlign w:val="center"/>
          </w:tcPr>
          <w:p w14:paraId="76B87F21">
            <w:pPr>
              <w:wordWrap w:val="0"/>
              <w:jc w:val="center"/>
              <w:rPr>
                <w:rFonts w:ascii="宋体" w:hAnsi="宋体" w:cs="宋体"/>
                <w:szCs w:val="21"/>
              </w:rPr>
            </w:pPr>
            <w:r>
              <w:rPr>
                <w:rFonts w:ascii="宋体" w:hAnsi="宋体"/>
                <w:szCs w:val="21"/>
              </w:rPr>
              <w:t>5</w:t>
            </w:r>
          </w:p>
        </w:tc>
        <w:tc>
          <w:tcPr>
            <w:tcW w:w="5953" w:type="dxa"/>
            <w:vAlign w:val="center"/>
          </w:tcPr>
          <w:p w14:paraId="43EBB6DE">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18E95981">
            <w:pPr>
              <w:pStyle w:val="18"/>
              <w:spacing w:line="36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B6E47C9">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6"/>
      <w:bookmarkEnd w:id="17"/>
      <w:bookmarkEnd w:id="18"/>
      <w:bookmarkEnd w:id="19"/>
      <w:bookmarkEnd w:id="20"/>
    </w:p>
    <w:p w14:paraId="66EDEC43">
      <w:pPr>
        <w:pStyle w:val="3"/>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3"/>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软件和信息技术服务业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40B31339">
      <w:pPr>
        <w:spacing w:line="360" w:lineRule="auto"/>
        <w:ind w:firstLine="420" w:firstLineChars="200"/>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4B789A5C">
      <w:pPr>
        <w:widowControl/>
        <w:jc w:val="left"/>
      </w:pPr>
    </w:p>
    <w:p w14:paraId="447A91B9">
      <w:pPr>
        <w:pStyle w:val="2"/>
        <w:spacing w:before="0" w:after="0" w:line="240" w:lineRule="auto"/>
        <w:rPr>
          <w:rFonts w:hint="eastAsia"/>
        </w:rPr>
      </w:pPr>
      <w:bookmarkStart w:id="23" w:name="_Toc135293168"/>
    </w:p>
    <w:p w14:paraId="40FF5529">
      <w:pPr>
        <w:pStyle w:val="2"/>
        <w:rPr>
          <w:rFonts w:hint="eastAsia"/>
        </w:rPr>
      </w:pPr>
    </w:p>
    <w:p w14:paraId="7C81E4D8">
      <w:pPr>
        <w:rPr>
          <w:rFonts w:hint="eastAsia"/>
        </w:rPr>
      </w:pPr>
    </w:p>
    <w:p w14:paraId="00643B93">
      <w:pPr>
        <w:rPr>
          <w:rFonts w:hint="eastAsia"/>
        </w:rPr>
      </w:pPr>
    </w:p>
    <w:p w14:paraId="07DD3E5F">
      <w:pPr>
        <w:rPr>
          <w:rFonts w:hint="eastAsia"/>
        </w:rPr>
      </w:pPr>
    </w:p>
    <w:p w14:paraId="151C0A46">
      <w:pPr>
        <w:rPr>
          <w:rFonts w:hint="eastAsia"/>
        </w:rPr>
      </w:pPr>
    </w:p>
    <w:p w14:paraId="0046550A">
      <w:pPr>
        <w:rPr>
          <w:rFonts w:hint="eastAsia"/>
        </w:rPr>
      </w:pPr>
    </w:p>
    <w:p w14:paraId="069E13E3">
      <w:pPr>
        <w:rPr>
          <w:rFonts w:hint="eastAsia"/>
        </w:rPr>
      </w:pPr>
    </w:p>
    <w:p w14:paraId="3F8B6B7D">
      <w:pPr>
        <w:rPr>
          <w:rFonts w:hint="eastAsia"/>
        </w:rPr>
      </w:pPr>
    </w:p>
    <w:p w14:paraId="45312882">
      <w:pPr>
        <w:rPr>
          <w:rFonts w:hint="eastAsia"/>
        </w:rPr>
      </w:pPr>
    </w:p>
    <w:p w14:paraId="615EF64B">
      <w:pPr>
        <w:rPr>
          <w:rFonts w:hint="eastAsia"/>
        </w:rPr>
      </w:pPr>
    </w:p>
    <w:p w14:paraId="79D5A35A">
      <w:pPr>
        <w:rPr>
          <w:rFonts w:hint="eastAsia"/>
        </w:rPr>
      </w:pPr>
    </w:p>
    <w:p w14:paraId="48D11CAA">
      <w:pPr>
        <w:rPr>
          <w:rFonts w:hint="eastAsia"/>
        </w:rPr>
      </w:pPr>
    </w:p>
    <w:p w14:paraId="67BD7AC6">
      <w:pPr>
        <w:rPr>
          <w:rFonts w:hint="eastAsia"/>
        </w:rPr>
      </w:pPr>
    </w:p>
    <w:p w14:paraId="1A296558">
      <w:pPr>
        <w:rPr>
          <w:rFonts w:hint="eastAsia"/>
        </w:rPr>
      </w:pPr>
    </w:p>
    <w:p w14:paraId="53E5DEA8">
      <w:pPr>
        <w:rPr>
          <w:rFonts w:hint="eastAsia"/>
        </w:rPr>
      </w:pPr>
    </w:p>
    <w:p w14:paraId="49A85A40">
      <w:pPr>
        <w:rPr>
          <w:rFonts w:hint="eastAsia"/>
        </w:rPr>
      </w:pPr>
    </w:p>
    <w:p w14:paraId="080C0FAC">
      <w:pPr>
        <w:rPr>
          <w:rFonts w:hint="eastAsia"/>
        </w:rPr>
      </w:pPr>
    </w:p>
    <w:p w14:paraId="2F5BD07D">
      <w:pPr>
        <w:rPr>
          <w:rFonts w:hint="eastAsia"/>
        </w:rPr>
      </w:pPr>
    </w:p>
    <w:p w14:paraId="50A614D3">
      <w:pPr>
        <w:rPr>
          <w:rFonts w:hint="eastAsia"/>
        </w:rPr>
      </w:pPr>
    </w:p>
    <w:p w14:paraId="22628428">
      <w:pPr>
        <w:rPr>
          <w:rFonts w:hint="eastAsia"/>
        </w:rPr>
      </w:pPr>
    </w:p>
    <w:p w14:paraId="141EC331">
      <w:pPr>
        <w:rPr>
          <w:rFonts w:hint="eastAsia"/>
        </w:rPr>
      </w:pPr>
    </w:p>
    <w:p w14:paraId="0AD75CD2">
      <w:pPr>
        <w:rPr>
          <w:rFonts w:hint="eastAsia"/>
        </w:rPr>
      </w:pPr>
    </w:p>
    <w:p w14:paraId="71E7C821">
      <w:pPr>
        <w:rPr>
          <w:rFonts w:hint="eastAsia"/>
        </w:rPr>
      </w:pPr>
    </w:p>
    <w:p w14:paraId="3ABA1244">
      <w:pPr>
        <w:pStyle w:val="2"/>
      </w:pPr>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网站安全系统服务(2025)</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Ansi="宋体"/>
                <w:szCs w:val="24"/>
              </w:rPr>
            </w:pPr>
            <w:r>
              <w:rPr>
                <w:rFonts w:hint="eastAsia" w:hAnsi="宋体"/>
                <w:snapToGrid w:val="0"/>
                <w:szCs w:val="21"/>
              </w:rPr>
              <w:t>深圳职业技术大学</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2909D1DA">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16842263">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40  </w:t>
            </w:r>
            <w:r>
              <w:rPr>
                <w:rFonts w:hint="eastAsia" w:asciiTheme="minorEastAsia" w:hAnsiTheme="minorEastAsia" w:eastAsiaTheme="minorEastAsia"/>
              </w:rPr>
              <w:t>%，最低收取人民币4500元。</w:t>
            </w:r>
          </w:p>
          <w:p w14:paraId="09D75C11">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2A13B36B">
      <w:pPr>
        <w:pStyle w:val="2"/>
      </w:pPr>
      <w:bookmarkStart w:id="24" w:name="_Toc135293330"/>
      <w:r>
        <w:rPr>
          <w:rFonts w:hint="eastAsia"/>
        </w:rPr>
        <w:t>第六章  投标人须知</w:t>
      </w:r>
      <w:bookmarkEnd w:id="24"/>
    </w:p>
    <w:p w14:paraId="1AD97274">
      <w:pPr>
        <w:pStyle w:val="4"/>
        <w:spacing w:before="0" w:after="0"/>
      </w:pPr>
      <w:bookmarkStart w:id="25" w:name="_Toc135293331"/>
      <w:r>
        <w:rPr>
          <w:rFonts w:hint="eastAsia"/>
        </w:rPr>
        <w:t>一、说</w:t>
      </w:r>
      <w:r>
        <w:t xml:space="preserve">  </w:t>
      </w:r>
      <w:r>
        <w:rPr>
          <w:rFonts w:hint="eastAsia"/>
        </w:rPr>
        <w:t>明</w:t>
      </w:r>
      <w:bookmarkEnd w:id="25"/>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《深圳职业技术大学采购办法》、《深圳职业技术大学采购办法实施细则》</w:t>
      </w:r>
      <w:r>
        <w:rPr>
          <w:rFonts w:hint="eastAsia" w:asciiTheme="minorEastAsia" w:hAnsiTheme="minorEastAsia" w:eastAsiaTheme="minorEastAsia"/>
          <w:szCs w:val="21"/>
        </w:rPr>
        <w:t>，参考</w:t>
      </w:r>
      <w:r>
        <w:rPr>
          <w:rFonts w:hint="eastAsia" w:asciiTheme="minorEastAsia" w:hAnsiTheme="minorEastAsia" w:eastAsiaTheme="minorEastAsia"/>
          <w:snapToGrid w:val="0"/>
          <w:kern w:val="0"/>
        </w:rPr>
        <w:t>政府采购相关法规、规章、规定，通过招标来择优选定供应商。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6" w:name="q5"/>
      <w:bookmarkEnd w:id="26"/>
    </w:p>
    <w:p w14:paraId="71A536FB">
      <w:pPr>
        <w:pStyle w:val="4"/>
        <w:spacing w:before="0" w:after="0"/>
      </w:pPr>
      <w:bookmarkStart w:id="27" w:name="_Toc135293332"/>
      <w:r>
        <w:rPr>
          <w:rFonts w:hint="eastAsia"/>
        </w:rPr>
        <w:t>二、招标文件说明</w:t>
      </w:r>
      <w:bookmarkEnd w:id="27"/>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3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在投标截止日2日前，采购代理机构可主动或依据投标人要求澄清的问题修改招标文件，并以书面形式通知所有购买招标文件的每一投标人，对方在收到该通知后应立即以书面的形式予以确认。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28" w:name="q6"/>
      <w:bookmarkEnd w:id="28"/>
      <w:bookmarkStart w:id="29" w:name="_Toc135293333"/>
      <w:r>
        <w:rPr>
          <w:rFonts w:hint="eastAsia"/>
        </w:rPr>
        <w:t>三、投标文件的编写</w:t>
      </w:r>
      <w:bookmarkEnd w:id="29"/>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30" w:name="q7"/>
      <w:bookmarkEnd w:id="30"/>
      <w:bookmarkStart w:id="31" w:name="_Toc135293334"/>
      <w:r>
        <w:rPr>
          <w:rFonts w:hint="eastAsia"/>
        </w:rPr>
        <w:t>四、投标文件的递交</w:t>
      </w:r>
      <w:bookmarkEnd w:id="31"/>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33" w:name="q8"/>
      <w:bookmarkEnd w:id="33"/>
      <w:bookmarkStart w:id="34" w:name="_Toc135293335"/>
      <w:r>
        <w:rPr>
          <w:rFonts w:hint="eastAsia"/>
        </w:rPr>
        <w:t>五、开标和评标</w:t>
      </w:r>
      <w:bookmarkEnd w:id="34"/>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对不同文字文本投标文件的解释发生异议的，以中文文本为准。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76E40154">
      <w:pPr>
        <w:pStyle w:val="4"/>
        <w:spacing w:before="0" w:after="0"/>
      </w:pPr>
      <w:bookmarkStart w:id="36" w:name="_Toc135293336"/>
      <w:r>
        <w:rPr>
          <w:rFonts w:hint="eastAsia"/>
        </w:rPr>
        <w:t>六、授予合同</w:t>
      </w:r>
      <w:bookmarkEnd w:id="36"/>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DaBEvr9AEAAPYDAAAOAAAAAAAAAAEAIAAAACABAABkcnMvZTJvRG9jLnhtbFBLBQYAAAAA&#10;BgAGAFkBAACG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Fwqs7DzAQAA9w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iVNAlniwNIff/z+4/HnL7bK&#10;5vQBa6q5c7s4Rhh2MSs9tdGy1ujwns7ygr5llHOki52KyeeLyeqUmKDN2Wo1Wy7oMkG55ermNWGi&#10;rgbGfDpETO+UtyyDhhvtsglQw/EDpqH0T0neNo71Db9ZzBfECTSRLU0CQRtIFbpDOYveaHmvjckn&#10;MB72dyayI+SpKN/Ywl9l+ZItYDfUlVQug7pTIN86ydI5kF2OngnPLVglOTOKXlVGpTKBNtdUknrj&#10;MrUqMzvqzOYPdme09/Jc/kKVI5qHYto4u3ngnsaEn77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XCqzsPMBAAD3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HG4PMNwBAADX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42CDA83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72A6005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474170F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1DAC04A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1D4C4B01">
      <w:pPr>
        <w:spacing w:line="360" w:lineRule="auto"/>
        <w:ind w:firstLine="1044" w:firstLineChars="200"/>
        <w:rPr>
          <w:b/>
          <w:sz w:val="52"/>
          <w:szCs w:val="52"/>
        </w:rPr>
      </w:pPr>
    </w:p>
    <w:p w14:paraId="3B74FDF7">
      <w:pPr>
        <w:pStyle w:val="4"/>
        <w:spacing w:before="0" w:after="0"/>
      </w:pPr>
      <w:bookmarkStart w:id="37" w:name="_Toc135293337"/>
      <w:r>
        <w:rPr>
          <w:rFonts w:hint="eastAsia"/>
        </w:rPr>
        <w:t>七、质疑处理</w:t>
      </w:r>
      <w:bookmarkEnd w:id="37"/>
    </w:p>
    <w:p w14:paraId="0C3E0C68">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加本项目采购活动的供应商认为采购文件使自己的权益受到损害的，应于投标截止3日前，以书面形式向采购代理机构提出质疑；认为采购过程、中标或者成交结果使自己的权益受到损害的，应当在知道或者应知其权益受到损害之日起5日内，以书面形式向采购代理机构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规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自收文之日起10日内。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对质疑答复不满意或者未在规定时间内答复的，提出质疑的供应商可以在答复期满后15个工作日内向采购单位纪委办公室(审计室)投诉。</w:t>
      </w:r>
      <w:bookmarkEnd w:id="38"/>
    </w:p>
    <w:p w14:paraId="4FCA22FE">
      <w:pPr>
        <w:spacing w:line="360" w:lineRule="auto"/>
        <w:rPr>
          <w:rFonts w:asciiTheme="majorEastAsia" w:hAnsiTheme="majorEastAsia" w:eastAsiaTheme="majorEastAsia"/>
          <w:szCs w:val="21"/>
        </w:rPr>
      </w:pPr>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2"/>
      </w:pPr>
      <w:bookmarkStart w:id="40" w:name="_Toc135293177"/>
      <w:r>
        <w:rPr>
          <w:rFonts w:hint="eastAsia"/>
        </w:rPr>
        <w:t>第七章  投标文件格式</w:t>
      </w:r>
      <w:bookmarkEnd w:id="40"/>
    </w:p>
    <w:p w14:paraId="6A7BFB52">
      <w:pPr>
        <w:jc w:val="center"/>
        <w:rPr>
          <w:b/>
          <w:sz w:val="52"/>
          <w:szCs w:val="52"/>
        </w:rPr>
      </w:pPr>
    </w:p>
    <w:p w14:paraId="73393E35">
      <w:pPr>
        <w:pStyle w:val="4"/>
        <w:spacing w:line="400" w:lineRule="exact"/>
        <w:rPr>
          <w:rFonts w:ascii="仿宋" w:hAnsi="仿宋" w:eastAsia="仿宋"/>
        </w:rPr>
      </w:pPr>
      <w:bookmarkStart w:id="41" w:name="_Toc44690431"/>
      <w:bookmarkStart w:id="42" w:name="_Toc31468"/>
      <w:bookmarkStart w:id="43" w:name="_Toc44691163"/>
      <w:bookmarkStart w:id="44" w:name="_Toc14934"/>
      <w:bookmarkStart w:id="45" w:name="_Toc135293178"/>
      <w:bookmarkStart w:id="46" w:name="_Toc44691395"/>
      <w:bookmarkStart w:id="47" w:name="_Toc44690704"/>
      <w:bookmarkStart w:id="48" w:name="_Toc11772"/>
      <w:bookmarkStart w:id="49" w:name="_Toc2519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4"/>
        <w:spacing w:line="400" w:lineRule="exact"/>
        <w:rPr>
          <w:rFonts w:ascii="仿宋" w:hAnsi="仿宋" w:eastAsia="仿宋"/>
        </w:rPr>
      </w:pPr>
      <w:bookmarkStart w:id="52" w:name="_Toc135293179"/>
    </w:p>
    <w:p w14:paraId="3EC095F1">
      <w:pPr>
        <w:pStyle w:val="4"/>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评标指引表、供应商自查表、供应商基本情况表</w:t>
      </w:r>
    </w:p>
    <w:p w14:paraId="1E6BF97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CB0B263">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E05CF02">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412DAAE6">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9A6D05A">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1265B94A">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D7CD15E">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797AA8E1">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5E679059">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5E67F49B">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75350211">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59B8C463">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2BB0603">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203DDD8C">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2FA0211A">
            <w:pPr>
              <w:spacing w:line="400" w:lineRule="exact"/>
              <w:jc w:val="center"/>
              <w:rPr>
                <w:rFonts w:ascii="宋体" w:hAnsi="宋体" w:cs="宋体"/>
                <w:szCs w:val="21"/>
              </w:rPr>
            </w:pPr>
            <w:r>
              <w:rPr>
                <w:rFonts w:hint="eastAsia" w:ascii="宋体" w:hAnsi="宋体" w:cs="宋体"/>
                <w:szCs w:val="21"/>
              </w:rPr>
              <w:t>6</w:t>
            </w:r>
          </w:p>
        </w:tc>
        <w:tc>
          <w:tcPr>
            <w:tcW w:w="8910" w:type="dxa"/>
            <w:vAlign w:val="center"/>
          </w:tcPr>
          <w:p w14:paraId="51191FB9">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30F8DDAD">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4D6AD928">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7CA43375">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75A96675">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44400D2C">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4E6A9C4A">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0CC03085">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4F483C4F">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3126EA3D">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FEA9995">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7E4E982B">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1742AF5D">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2F9BE30C">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11904061">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059708F3">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7BF08C7F">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0F036128">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6FE3F969">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1BDF88D0">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77042D68">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0E153D11">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597DA16">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54ADD62">
            <w:pPr>
              <w:autoSpaceDE w:val="0"/>
              <w:autoSpaceDN w:val="0"/>
              <w:spacing w:line="340" w:lineRule="exact"/>
              <w:ind w:firstLine="1866"/>
              <w:rPr>
                <w:rFonts w:ascii="宋体" w:hAnsi="宋体" w:cs="宋体"/>
                <w:spacing w:val="-4"/>
                <w:kern w:val="0"/>
                <w:szCs w:val="21"/>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7A19D97E">
            <w:pPr>
              <w:autoSpaceDE w:val="0"/>
              <w:autoSpaceDN w:val="0"/>
              <w:spacing w:line="340" w:lineRule="exact"/>
              <w:ind w:firstLine="1866"/>
              <w:rPr>
                <w:rFonts w:ascii="宋体" w:hAnsi="宋体" w:cs="宋体"/>
                <w:spacing w:val="-4"/>
                <w:kern w:val="0"/>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1CB465E">
            <w:pPr>
              <w:autoSpaceDE w:val="0"/>
              <w:autoSpaceDN w:val="0"/>
              <w:spacing w:line="340" w:lineRule="exact"/>
              <w:ind w:firstLine="1866"/>
              <w:rPr>
                <w:rFonts w:ascii="宋体" w:hAnsi="宋体" w:cs="宋体"/>
                <w:spacing w:val="-4"/>
                <w:kern w:val="0"/>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3F4F98A9">
            <w:pPr>
              <w:autoSpaceDE w:val="0"/>
              <w:autoSpaceDN w:val="0"/>
              <w:spacing w:line="340" w:lineRule="exact"/>
              <w:ind w:firstLine="1866"/>
              <w:rPr>
                <w:rFonts w:ascii="宋体" w:hAnsi="宋体" w:cs="宋体"/>
                <w:spacing w:val="-4"/>
                <w:kern w:val="0"/>
                <w:szCs w:val="21"/>
              </w:rPr>
            </w:pPr>
          </w:p>
        </w:tc>
      </w:tr>
    </w:tbl>
    <w:p w14:paraId="734B8372">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477D1362">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1A2CDB16">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7E7BB16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4"/>
      </w:pPr>
    </w:p>
    <w:p w14:paraId="3500744B">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3"/>
        <w:tabs>
          <w:tab w:val="left" w:pos="371"/>
        </w:tabs>
        <w:spacing w:before="120" w:after="120"/>
        <w:ind w:left="-1" w:leftChars="-1" w:hanging="1"/>
        <w:jc w:val="center"/>
        <w:rPr>
          <w:rFonts w:asciiTheme="minorEastAsia" w:hAnsiTheme="minorEastAsia" w:eastAsiaTheme="minorEastAsia"/>
        </w:rPr>
      </w:pPr>
      <w:bookmarkStart w:id="57" w:name="_Toc44691164"/>
      <w:bookmarkStart w:id="58" w:name="_Toc44691396"/>
      <w:bookmarkStart w:id="59" w:name="_Toc135293182"/>
      <w:bookmarkStart w:id="60" w:name="_Toc44690432"/>
      <w:bookmarkStart w:id="61" w:name="_Toc44690705"/>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4"/>
        <w:spacing w:line="400" w:lineRule="exact"/>
        <w:rPr>
          <w:rFonts w:ascii="仿宋" w:hAnsi="仿宋" w:eastAsia="仿宋"/>
        </w:rPr>
      </w:pPr>
    </w:p>
    <w:p w14:paraId="0DAC9DBC">
      <w:pPr>
        <w:pStyle w:val="4"/>
        <w:spacing w:line="400" w:lineRule="exact"/>
        <w:rPr>
          <w:rFonts w:ascii="仿宋" w:hAnsi="仿宋" w:eastAsia="仿宋"/>
        </w:rPr>
      </w:pPr>
      <w:r>
        <w:rPr>
          <w:rFonts w:hint="eastAsia" w:ascii="仿宋" w:hAnsi="仿宋" w:eastAsia="仿宋"/>
        </w:rPr>
        <w:t>供应商自查表</w:t>
      </w:r>
    </w:p>
    <w:p w14:paraId="7F47F2D5">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1703058D">
            <w:pPr>
              <w:spacing w:line="360" w:lineRule="exact"/>
              <w:jc w:val="center"/>
              <w:rPr>
                <w:rFonts w:ascii="宋体" w:hAnsi="宋体"/>
                <w:szCs w:val="21"/>
              </w:rPr>
            </w:pPr>
            <w:r>
              <w:rPr>
                <w:rFonts w:hint="eastAsia" w:ascii="宋体" w:hAnsi="宋体"/>
                <w:szCs w:val="21"/>
              </w:rPr>
              <w:t>序号</w:t>
            </w:r>
          </w:p>
        </w:tc>
        <w:tc>
          <w:tcPr>
            <w:tcW w:w="6023" w:type="dxa"/>
            <w:vAlign w:val="center"/>
          </w:tcPr>
          <w:p w14:paraId="50CFCB99">
            <w:pPr>
              <w:spacing w:line="360" w:lineRule="exact"/>
              <w:jc w:val="center"/>
              <w:rPr>
                <w:rFonts w:ascii="宋体" w:hAnsi="宋体"/>
                <w:szCs w:val="21"/>
              </w:rPr>
            </w:pPr>
            <w:r>
              <w:rPr>
                <w:rFonts w:hint="eastAsia" w:ascii="宋体" w:hAnsi="宋体"/>
                <w:szCs w:val="21"/>
              </w:rPr>
              <w:t>是否存在以下投标违规行为</w:t>
            </w:r>
          </w:p>
        </w:tc>
        <w:tc>
          <w:tcPr>
            <w:tcW w:w="2921" w:type="dxa"/>
            <w:vAlign w:val="center"/>
          </w:tcPr>
          <w:p w14:paraId="39AD401C">
            <w:pPr>
              <w:spacing w:line="360" w:lineRule="exact"/>
              <w:jc w:val="center"/>
              <w:rPr>
                <w:rFonts w:ascii="宋体" w:hAnsi="宋体"/>
                <w:szCs w:val="21"/>
              </w:rPr>
            </w:pPr>
            <w:r>
              <w:rPr>
                <w:rFonts w:hint="eastAsia" w:ascii="宋体" w:hAnsi="宋体"/>
                <w:szCs w:val="21"/>
              </w:rPr>
              <w:t>自查情况</w:t>
            </w:r>
          </w:p>
          <w:p w14:paraId="6FB44AED">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798CEC79">
            <w:pPr>
              <w:spacing w:line="360" w:lineRule="exact"/>
              <w:jc w:val="center"/>
              <w:rPr>
                <w:rFonts w:ascii="宋体" w:hAnsi="宋体"/>
                <w:szCs w:val="21"/>
              </w:rPr>
            </w:pPr>
            <w:r>
              <w:rPr>
                <w:rFonts w:hint="eastAsia" w:ascii="宋体" w:hAnsi="宋体"/>
                <w:szCs w:val="21"/>
              </w:rPr>
              <w:t>1</w:t>
            </w:r>
          </w:p>
        </w:tc>
        <w:tc>
          <w:tcPr>
            <w:tcW w:w="6023" w:type="dxa"/>
            <w:vAlign w:val="center"/>
          </w:tcPr>
          <w:p w14:paraId="19CBAE41">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685E5FF7">
            <w:pPr>
              <w:spacing w:line="360" w:lineRule="exact"/>
              <w:jc w:val="center"/>
              <w:rPr>
                <w:rFonts w:ascii="宋体" w:hAnsi="宋体"/>
                <w:b/>
                <w:szCs w:val="21"/>
              </w:rPr>
            </w:pPr>
          </w:p>
        </w:tc>
        <w:tc>
          <w:tcPr>
            <w:tcW w:w="924" w:type="dxa"/>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559F8032">
            <w:pPr>
              <w:spacing w:line="360" w:lineRule="exact"/>
              <w:jc w:val="center"/>
              <w:rPr>
                <w:rFonts w:ascii="宋体" w:hAnsi="宋体"/>
                <w:szCs w:val="21"/>
              </w:rPr>
            </w:pPr>
            <w:r>
              <w:rPr>
                <w:rFonts w:hint="eastAsia" w:ascii="宋体" w:hAnsi="宋体"/>
                <w:szCs w:val="21"/>
              </w:rPr>
              <w:t>2</w:t>
            </w:r>
          </w:p>
        </w:tc>
        <w:tc>
          <w:tcPr>
            <w:tcW w:w="6023" w:type="dxa"/>
            <w:vAlign w:val="center"/>
          </w:tcPr>
          <w:p w14:paraId="084F9E60">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2B0DC002">
            <w:pPr>
              <w:spacing w:line="360" w:lineRule="exact"/>
              <w:jc w:val="center"/>
              <w:rPr>
                <w:rFonts w:ascii="宋体" w:hAnsi="宋体"/>
                <w:b/>
                <w:szCs w:val="21"/>
              </w:rPr>
            </w:pPr>
          </w:p>
        </w:tc>
        <w:tc>
          <w:tcPr>
            <w:tcW w:w="924" w:type="dxa"/>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27DEE6A8">
            <w:pPr>
              <w:spacing w:line="360" w:lineRule="exact"/>
              <w:jc w:val="center"/>
              <w:rPr>
                <w:rFonts w:ascii="宋体" w:hAnsi="宋体"/>
                <w:szCs w:val="21"/>
              </w:rPr>
            </w:pPr>
            <w:r>
              <w:rPr>
                <w:rFonts w:hint="eastAsia" w:ascii="宋体" w:hAnsi="宋体"/>
                <w:szCs w:val="21"/>
              </w:rPr>
              <w:t>3</w:t>
            </w:r>
          </w:p>
        </w:tc>
        <w:tc>
          <w:tcPr>
            <w:tcW w:w="6023" w:type="dxa"/>
            <w:vAlign w:val="center"/>
          </w:tcPr>
          <w:p w14:paraId="25D02EB4">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30CE9E4C">
            <w:pPr>
              <w:spacing w:line="360" w:lineRule="exact"/>
              <w:jc w:val="center"/>
              <w:rPr>
                <w:rFonts w:ascii="宋体" w:hAnsi="宋体"/>
                <w:b/>
                <w:szCs w:val="21"/>
              </w:rPr>
            </w:pPr>
          </w:p>
        </w:tc>
        <w:tc>
          <w:tcPr>
            <w:tcW w:w="924" w:type="dxa"/>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313F1282">
            <w:pPr>
              <w:spacing w:line="360" w:lineRule="exact"/>
              <w:jc w:val="center"/>
              <w:rPr>
                <w:rFonts w:ascii="宋体" w:hAnsi="宋体"/>
                <w:szCs w:val="21"/>
              </w:rPr>
            </w:pPr>
            <w:r>
              <w:rPr>
                <w:rFonts w:hint="eastAsia" w:ascii="宋体" w:hAnsi="宋体"/>
                <w:szCs w:val="21"/>
              </w:rPr>
              <w:t>4</w:t>
            </w:r>
          </w:p>
        </w:tc>
        <w:tc>
          <w:tcPr>
            <w:tcW w:w="6023" w:type="dxa"/>
            <w:vAlign w:val="center"/>
          </w:tcPr>
          <w:p w14:paraId="6CACEB33">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57689211">
            <w:pPr>
              <w:spacing w:line="360" w:lineRule="exact"/>
              <w:jc w:val="center"/>
              <w:rPr>
                <w:rFonts w:ascii="宋体" w:hAnsi="宋体"/>
                <w:b/>
                <w:szCs w:val="21"/>
              </w:rPr>
            </w:pPr>
          </w:p>
        </w:tc>
        <w:tc>
          <w:tcPr>
            <w:tcW w:w="924" w:type="dxa"/>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706B194B">
            <w:pPr>
              <w:spacing w:line="360" w:lineRule="exact"/>
              <w:jc w:val="center"/>
              <w:rPr>
                <w:rFonts w:ascii="宋体" w:hAnsi="宋体"/>
                <w:szCs w:val="21"/>
              </w:rPr>
            </w:pPr>
            <w:r>
              <w:rPr>
                <w:rFonts w:hint="eastAsia" w:ascii="宋体" w:hAnsi="宋体"/>
                <w:szCs w:val="21"/>
              </w:rPr>
              <w:t>5</w:t>
            </w:r>
          </w:p>
        </w:tc>
        <w:tc>
          <w:tcPr>
            <w:tcW w:w="6023" w:type="dxa"/>
            <w:vAlign w:val="center"/>
          </w:tcPr>
          <w:p w14:paraId="52E0852B">
            <w:pPr>
              <w:jc w:val="left"/>
              <w:rPr>
                <w:rFonts w:ascii="宋体" w:hAnsi="宋体" w:cs="宋体"/>
                <w:snapToGrid w:val="0"/>
                <w:kern w:val="0"/>
                <w:szCs w:val="21"/>
              </w:rPr>
            </w:pPr>
            <w:r>
              <w:rPr>
                <w:szCs w:val="21"/>
              </w:rPr>
              <w:t>不同投标供应商的投标文件内容存在非正常一致。</w:t>
            </w:r>
          </w:p>
        </w:tc>
        <w:tc>
          <w:tcPr>
            <w:tcW w:w="2921" w:type="dxa"/>
            <w:vAlign w:val="center"/>
          </w:tcPr>
          <w:p w14:paraId="211BAFD8">
            <w:pPr>
              <w:spacing w:line="360" w:lineRule="exact"/>
              <w:jc w:val="center"/>
              <w:rPr>
                <w:rFonts w:ascii="宋体" w:hAnsi="宋体"/>
                <w:b/>
                <w:szCs w:val="21"/>
              </w:rPr>
            </w:pPr>
          </w:p>
        </w:tc>
        <w:tc>
          <w:tcPr>
            <w:tcW w:w="924" w:type="dxa"/>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263778EE">
            <w:pPr>
              <w:spacing w:line="360" w:lineRule="exact"/>
              <w:jc w:val="center"/>
              <w:rPr>
                <w:rFonts w:ascii="宋体" w:hAnsi="宋体"/>
                <w:szCs w:val="21"/>
              </w:rPr>
            </w:pPr>
            <w:r>
              <w:rPr>
                <w:rFonts w:hint="eastAsia" w:ascii="宋体" w:hAnsi="宋体"/>
                <w:szCs w:val="21"/>
              </w:rPr>
              <w:t>6</w:t>
            </w:r>
          </w:p>
        </w:tc>
        <w:tc>
          <w:tcPr>
            <w:tcW w:w="6023" w:type="dxa"/>
            <w:vAlign w:val="center"/>
          </w:tcPr>
          <w:p w14:paraId="400C169F">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294F5620">
            <w:pPr>
              <w:spacing w:line="360" w:lineRule="exact"/>
              <w:jc w:val="center"/>
              <w:rPr>
                <w:rFonts w:ascii="宋体" w:hAnsi="宋体"/>
                <w:b/>
                <w:szCs w:val="21"/>
              </w:rPr>
            </w:pPr>
          </w:p>
        </w:tc>
        <w:tc>
          <w:tcPr>
            <w:tcW w:w="924" w:type="dxa"/>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6EF755ED">
            <w:pPr>
              <w:spacing w:line="360" w:lineRule="exact"/>
              <w:jc w:val="center"/>
              <w:rPr>
                <w:rFonts w:ascii="宋体" w:hAnsi="宋体"/>
                <w:szCs w:val="21"/>
              </w:rPr>
            </w:pPr>
            <w:r>
              <w:rPr>
                <w:rFonts w:hint="eastAsia" w:ascii="宋体" w:hAnsi="宋体"/>
                <w:szCs w:val="21"/>
              </w:rPr>
              <w:t>7</w:t>
            </w:r>
          </w:p>
        </w:tc>
        <w:tc>
          <w:tcPr>
            <w:tcW w:w="6023" w:type="dxa"/>
            <w:vAlign w:val="center"/>
          </w:tcPr>
          <w:p w14:paraId="7FA69194">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1B18B763">
            <w:pPr>
              <w:spacing w:line="360" w:lineRule="exact"/>
              <w:jc w:val="center"/>
              <w:rPr>
                <w:rFonts w:ascii="宋体" w:hAnsi="宋体"/>
                <w:b/>
                <w:szCs w:val="21"/>
              </w:rPr>
            </w:pPr>
          </w:p>
        </w:tc>
        <w:tc>
          <w:tcPr>
            <w:tcW w:w="924" w:type="dxa"/>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0F8B63CB">
            <w:pPr>
              <w:spacing w:line="360" w:lineRule="exact"/>
              <w:jc w:val="center"/>
              <w:rPr>
                <w:rFonts w:ascii="宋体" w:hAnsi="宋体"/>
                <w:szCs w:val="21"/>
              </w:rPr>
            </w:pPr>
            <w:r>
              <w:rPr>
                <w:rFonts w:hint="eastAsia" w:ascii="宋体" w:hAnsi="宋体"/>
                <w:szCs w:val="21"/>
              </w:rPr>
              <w:t>8</w:t>
            </w:r>
          </w:p>
        </w:tc>
        <w:tc>
          <w:tcPr>
            <w:tcW w:w="6023" w:type="dxa"/>
            <w:vAlign w:val="center"/>
          </w:tcPr>
          <w:p w14:paraId="4788799C">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475013D8">
            <w:pPr>
              <w:spacing w:line="360" w:lineRule="exact"/>
              <w:jc w:val="center"/>
              <w:rPr>
                <w:rFonts w:ascii="宋体" w:hAnsi="宋体"/>
                <w:b/>
                <w:szCs w:val="21"/>
              </w:rPr>
            </w:pPr>
          </w:p>
        </w:tc>
        <w:tc>
          <w:tcPr>
            <w:tcW w:w="924" w:type="dxa"/>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2211E3C8">
            <w:pPr>
              <w:spacing w:line="360" w:lineRule="exact"/>
              <w:jc w:val="center"/>
              <w:rPr>
                <w:rFonts w:ascii="宋体" w:hAnsi="宋体"/>
                <w:szCs w:val="21"/>
              </w:rPr>
            </w:pPr>
            <w:r>
              <w:rPr>
                <w:rFonts w:hint="eastAsia" w:ascii="宋体" w:hAnsi="宋体"/>
                <w:szCs w:val="21"/>
              </w:rPr>
              <w:t>9</w:t>
            </w:r>
          </w:p>
        </w:tc>
        <w:tc>
          <w:tcPr>
            <w:tcW w:w="6023" w:type="dxa"/>
            <w:vAlign w:val="center"/>
          </w:tcPr>
          <w:p w14:paraId="6A9B132A">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45613EA5">
            <w:pPr>
              <w:spacing w:line="360" w:lineRule="exact"/>
              <w:jc w:val="center"/>
              <w:rPr>
                <w:rFonts w:ascii="宋体" w:hAnsi="宋体"/>
                <w:b/>
                <w:szCs w:val="21"/>
              </w:rPr>
            </w:pPr>
          </w:p>
        </w:tc>
        <w:tc>
          <w:tcPr>
            <w:tcW w:w="924" w:type="dxa"/>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C0EE7E6">
            <w:pPr>
              <w:spacing w:line="360" w:lineRule="exact"/>
              <w:jc w:val="center"/>
              <w:rPr>
                <w:rFonts w:ascii="宋体" w:hAnsi="宋体"/>
                <w:szCs w:val="21"/>
              </w:rPr>
            </w:pPr>
            <w:r>
              <w:rPr>
                <w:rFonts w:hint="eastAsia" w:ascii="宋体" w:hAnsi="宋体"/>
                <w:szCs w:val="21"/>
              </w:rPr>
              <w:t>10</w:t>
            </w:r>
          </w:p>
        </w:tc>
        <w:tc>
          <w:tcPr>
            <w:tcW w:w="6023" w:type="dxa"/>
            <w:vAlign w:val="center"/>
          </w:tcPr>
          <w:p w14:paraId="6C0398AD">
            <w:pPr>
              <w:jc w:val="left"/>
              <w:rPr>
                <w:rFonts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7AA4E48C">
            <w:pPr>
              <w:spacing w:line="360" w:lineRule="exact"/>
              <w:jc w:val="center"/>
              <w:rPr>
                <w:rFonts w:ascii="宋体" w:hAnsi="宋体"/>
                <w:b/>
                <w:szCs w:val="21"/>
              </w:rPr>
            </w:pPr>
          </w:p>
        </w:tc>
        <w:tc>
          <w:tcPr>
            <w:tcW w:w="924" w:type="dxa"/>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4210DC9B">
            <w:pPr>
              <w:spacing w:line="360" w:lineRule="exact"/>
              <w:jc w:val="center"/>
              <w:rPr>
                <w:rFonts w:ascii="宋体" w:hAnsi="宋体"/>
                <w:szCs w:val="21"/>
              </w:rPr>
            </w:pPr>
            <w:r>
              <w:rPr>
                <w:rFonts w:hint="eastAsia" w:ascii="宋体" w:hAnsi="宋体"/>
                <w:szCs w:val="21"/>
              </w:rPr>
              <w:t>11</w:t>
            </w:r>
          </w:p>
        </w:tc>
        <w:tc>
          <w:tcPr>
            <w:tcW w:w="6023" w:type="dxa"/>
            <w:vAlign w:val="center"/>
          </w:tcPr>
          <w:p w14:paraId="36005607">
            <w:pPr>
              <w:jc w:val="left"/>
              <w:rPr>
                <w:rFonts w:ascii="宋体" w:hAnsi="宋体" w:cs="宋体"/>
                <w:szCs w:val="21"/>
              </w:rPr>
            </w:pPr>
            <w:r>
              <w:rPr>
                <w:rFonts w:hint="eastAsia" w:ascii="宋体" w:hAnsi="宋体"/>
                <w:szCs w:val="21"/>
              </w:rPr>
              <w:t>投标人之间约定中标人。</w:t>
            </w:r>
          </w:p>
        </w:tc>
        <w:tc>
          <w:tcPr>
            <w:tcW w:w="2921" w:type="dxa"/>
            <w:vAlign w:val="center"/>
          </w:tcPr>
          <w:p w14:paraId="57E6C6CD">
            <w:pPr>
              <w:spacing w:line="360" w:lineRule="exact"/>
              <w:jc w:val="center"/>
              <w:rPr>
                <w:rFonts w:ascii="宋体" w:hAnsi="宋体"/>
                <w:b/>
                <w:szCs w:val="21"/>
              </w:rPr>
            </w:pPr>
          </w:p>
        </w:tc>
        <w:tc>
          <w:tcPr>
            <w:tcW w:w="924" w:type="dxa"/>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D6D5745">
            <w:pPr>
              <w:spacing w:line="360" w:lineRule="exact"/>
              <w:jc w:val="center"/>
              <w:rPr>
                <w:rFonts w:ascii="宋体" w:hAnsi="宋体"/>
                <w:szCs w:val="21"/>
              </w:rPr>
            </w:pPr>
            <w:r>
              <w:rPr>
                <w:rFonts w:hint="eastAsia" w:ascii="宋体" w:hAnsi="宋体"/>
                <w:szCs w:val="21"/>
              </w:rPr>
              <w:t>12</w:t>
            </w:r>
          </w:p>
        </w:tc>
        <w:tc>
          <w:tcPr>
            <w:tcW w:w="6023" w:type="dxa"/>
            <w:vAlign w:val="center"/>
          </w:tcPr>
          <w:p w14:paraId="176885B5">
            <w:pPr>
              <w:jc w:val="left"/>
              <w:rPr>
                <w:rFonts w:ascii="宋体" w:hAnsi="宋体" w:cs="宋体"/>
                <w:szCs w:val="21"/>
              </w:rPr>
            </w:pPr>
            <w:r>
              <w:rPr>
                <w:rFonts w:hint="eastAsia" w:ascii="宋体" w:hAnsi="宋体"/>
                <w:szCs w:val="21"/>
              </w:rPr>
              <w:t>投标人之间约定部分投标人放弃投标或者中标。</w:t>
            </w:r>
          </w:p>
        </w:tc>
        <w:tc>
          <w:tcPr>
            <w:tcW w:w="2921" w:type="dxa"/>
            <w:vAlign w:val="center"/>
          </w:tcPr>
          <w:p w14:paraId="42920990">
            <w:pPr>
              <w:spacing w:line="360" w:lineRule="exact"/>
              <w:jc w:val="center"/>
              <w:rPr>
                <w:rFonts w:ascii="宋体" w:hAnsi="宋体"/>
                <w:b/>
                <w:szCs w:val="21"/>
              </w:rPr>
            </w:pPr>
          </w:p>
        </w:tc>
        <w:tc>
          <w:tcPr>
            <w:tcW w:w="924" w:type="dxa"/>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BCC2570">
            <w:pPr>
              <w:spacing w:line="360" w:lineRule="exact"/>
              <w:jc w:val="center"/>
              <w:rPr>
                <w:rFonts w:ascii="宋体" w:hAnsi="宋体"/>
                <w:szCs w:val="21"/>
              </w:rPr>
            </w:pPr>
            <w:r>
              <w:rPr>
                <w:rFonts w:hint="eastAsia" w:ascii="宋体" w:hAnsi="宋体"/>
                <w:szCs w:val="21"/>
              </w:rPr>
              <w:t>13</w:t>
            </w:r>
          </w:p>
        </w:tc>
        <w:tc>
          <w:tcPr>
            <w:tcW w:w="6023" w:type="dxa"/>
            <w:vAlign w:val="center"/>
          </w:tcPr>
          <w:p w14:paraId="447EDCA3">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63769AAB">
            <w:pPr>
              <w:spacing w:line="360" w:lineRule="exact"/>
              <w:jc w:val="center"/>
              <w:rPr>
                <w:rFonts w:ascii="宋体" w:hAnsi="宋体"/>
                <w:b/>
                <w:szCs w:val="21"/>
              </w:rPr>
            </w:pPr>
          </w:p>
        </w:tc>
        <w:tc>
          <w:tcPr>
            <w:tcW w:w="924" w:type="dxa"/>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64044D9">
            <w:pPr>
              <w:spacing w:line="360" w:lineRule="exact"/>
              <w:jc w:val="center"/>
              <w:rPr>
                <w:rFonts w:ascii="宋体" w:hAnsi="宋体"/>
                <w:szCs w:val="21"/>
              </w:rPr>
            </w:pPr>
            <w:r>
              <w:rPr>
                <w:rFonts w:hint="eastAsia" w:ascii="宋体" w:hAnsi="宋体"/>
                <w:szCs w:val="21"/>
              </w:rPr>
              <w:t>14</w:t>
            </w:r>
          </w:p>
        </w:tc>
        <w:tc>
          <w:tcPr>
            <w:tcW w:w="6023" w:type="dxa"/>
            <w:vAlign w:val="center"/>
          </w:tcPr>
          <w:p w14:paraId="1B73D6D1">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7C57C23A">
            <w:pPr>
              <w:spacing w:line="360" w:lineRule="exact"/>
              <w:jc w:val="center"/>
              <w:rPr>
                <w:rFonts w:ascii="宋体" w:hAnsi="宋体"/>
                <w:b/>
                <w:szCs w:val="21"/>
              </w:rPr>
            </w:pPr>
          </w:p>
        </w:tc>
        <w:tc>
          <w:tcPr>
            <w:tcW w:w="924" w:type="dxa"/>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740A8ECF">
            <w:pPr>
              <w:spacing w:line="360" w:lineRule="exact"/>
              <w:jc w:val="center"/>
              <w:rPr>
                <w:rFonts w:ascii="宋体" w:hAnsi="宋体"/>
                <w:szCs w:val="21"/>
              </w:rPr>
            </w:pPr>
            <w:r>
              <w:rPr>
                <w:rFonts w:hint="eastAsia" w:ascii="宋体" w:hAnsi="宋体"/>
                <w:szCs w:val="21"/>
              </w:rPr>
              <w:t>15</w:t>
            </w:r>
          </w:p>
        </w:tc>
        <w:tc>
          <w:tcPr>
            <w:tcW w:w="6023" w:type="dxa"/>
            <w:vAlign w:val="center"/>
          </w:tcPr>
          <w:p w14:paraId="22EDA543">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1993F918">
            <w:pPr>
              <w:spacing w:line="360" w:lineRule="exact"/>
              <w:jc w:val="center"/>
              <w:rPr>
                <w:rFonts w:ascii="宋体" w:hAnsi="宋体"/>
                <w:b/>
                <w:szCs w:val="21"/>
              </w:rPr>
            </w:pPr>
          </w:p>
        </w:tc>
        <w:tc>
          <w:tcPr>
            <w:tcW w:w="924" w:type="dxa"/>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AABF1D9">
            <w:pPr>
              <w:spacing w:line="360" w:lineRule="exact"/>
              <w:jc w:val="center"/>
              <w:rPr>
                <w:rFonts w:ascii="宋体" w:hAnsi="宋体"/>
                <w:szCs w:val="21"/>
              </w:rPr>
            </w:pPr>
            <w:r>
              <w:rPr>
                <w:rFonts w:hint="eastAsia" w:ascii="宋体" w:hAnsi="宋体"/>
                <w:szCs w:val="21"/>
              </w:rPr>
              <w:t>16</w:t>
            </w:r>
          </w:p>
        </w:tc>
        <w:tc>
          <w:tcPr>
            <w:tcW w:w="6023" w:type="dxa"/>
            <w:vAlign w:val="center"/>
          </w:tcPr>
          <w:p w14:paraId="213375E7">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4EE9CDB5">
            <w:pPr>
              <w:spacing w:line="360" w:lineRule="exact"/>
              <w:jc w:val="center"/>
              <w:rPr>
                <w:rFonts w:ascii="宋体" w:hAnsi="宋体"/>
                <w:b/>
                <w:szCs w:val="21"/>
              </w:rPr>
            </w:pPr>
          </w:p>
        </w:tc>
        <w:tc>
          <w:tcPr>
            <w:tcW w:w="924" w:type="dxa"/>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4C3F5369">
            <w:pPr>
              <w:spacing w:line="360" w:lineRule="exact"/>
              <w:jc w:val="center"/>
              <w:rPr>
                <w:rFonts w:ascii="宋体" w:hAnsi="宋体"/>
                <w:szCs w:val="21"/>
              </w:rPr>
            </w:pPr>
            <w:r>
              <w:rPr>
                <w:rFonts w:hint="eastAsia" w:ascii="宋体" w:hAnsi="宋体"/>
                <w:szCs w:val="21"/>
              </w:rPr>
              <w:t>17</w:t>
            </w:r>
          </w:p>
        </w:tc>
        <w:tc>
          <w:tcPr>
            <w:tcW w:w="6023" w:type="dxa"/>
            <w:vAlign w:val="center"/>
          </w:tcPr>
          <w:p w14:paraId="0E0191DC">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6DCBF9F">
            <w:pPr>
              <w:spacing w:line="360" w:lineRule="exact"/>
              <w:jc w:val="center"/>
              <w:rPr>
                <w:rFonts w:ascii="宋体" w:hAnsi="宋体"/>
                <w:b/>
                <w:szCs w:val="21"/>
              </w:rPr>
            </w:pPr>
          </w:p>
        </w:tc>
        <w:tc>
          <w:tcPr>
            <w:tcW w:w="924" w:type="dxa"/>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40926A33">
            <w:pPr>
              <w:spacing w:line="360" w:lineRule="exact"/>
              <w:jc w:val="center"/>
              <w:rPr>
                <w:rFonts w:ascii="宋体" w:hAnsi="宋体"/>
                <w:szCs w:val="21"/>
              </w:rPr>
            </w:pPr>
            <w:r>
              <w:rPr>
                <w:rFonts w:hint="eastAsia" w:ascii="宋体" w:hAnsi="宋体"/>
                <w:szCs w:val="21"/>
              </w:rPr>
              <w:t>18</w:t>
            </w:r>
          </w:p>
        </w:tc>
        <w:tc>
          <w:tcPr>
            <w:tcW w:w="6023" w:type="dxa"/>
            <w:vAlign w:val="center"/>
          </w:tcPr>
          <w:p w14:paraId="33C2119D">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3072616C">
            <w:pPr>
              <w:spacing w:line="360" w:lineRule="exact"/>
              <w:jc w:val="center"/>
              <w:rPr>
                <w:rFonts w:ascii="宋体" w:hAnsi="宋体"/>
                <w:b/>
                <w:szCs w:val="21"/>
              </w:rPr>
            </w:pPr>
          </w:p>
        </w:tc>
        <w:tc>
          <w:tcPr>
            <w:tcW w:w="924" w:type="dxa"/>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411A986D">
            <w:pPr>
              <w:spacing w:line="360" w:lineRule="exact"/>
              <w:jc w:val="center"/>
              <w:rPr>
                <w:rFonts w:ascii="宋体" w:hAnsi="宋体"/>
                <w:szCs w:val="21"/>
              </w:rPr>
            </w:pPr>
            <w:r>
              <w:rPr>
                <w:rFonts w:hint="eastAsia" w:ascii="宋体" w:hAnsi="宋体"/>
                <w:szCs w:val="21"/>
              </w:rPr>
              <w:t>19</w:t>
            </w:r>
          </w:p>
        </w:tc>
        <w:tc>
          <w:tcPr>
            <w:tcW w:w="6023" w:type="dxa"/>
            <w:vAlign w:val="center"/>
          </w:tcPr>
          <w:p w14:paraId="4745A0D1">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1D6FDD0E">
            <w:pPr>
              <w:spacing w:line="360" w:lineRule="exact"/>
              <w:jc w:val="center"/>
              <w:rPr>
                <w:rFonts w:ascii="宋体" w:hAnsi="宋体"/>
                <w:b/>
                <w:szCs w:val="21"/>
              </w:rPr>
            </w:pPr>
          </w:p>
        </w:tc>
        <w:tc>
          <w:tcPr>
            <w:tcW w:w="924" w:type="dxa"/>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703208A2">
            <w:pPr>
              <w:spacing w:line="360" w:lineRule="exact"/>
              <w:jc w:val="center"/>
              <w:rPr>
                <w:rFonts w:ascii="宋体" w:hAnsi="宋体"/>
                <w:szCs w:val="21"/>
              </w:rPr>
            </w:pPr>
            <w:r>
              <w:rPr>
                <w:rFonts w:hint="eastAsia" w:ascii="宋体" w:hAnsi="宋体"/>
                <w:szCs w:val="21"/>
              </w:rPr>
              <w:t>20</w:t>
            </w:r>
          </w:p>
        </w:tc>
        <w:tc>
          <w:tcPr>
            <w:tcW w:w="6023" w:type="dxa"/>
            <w:vAlign w:val="center"/>
          </w:tcPr>
          <w:p w14:paraId="39003943">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01CA705D">
            <w:pPr>
              <w:spacing w:line="360" w:lineRule="exact"/>
              <w:jc w:val="center"/>
              <w:rPr>
                <w:rFonts w:ascii="宋体" w:hAnsi="宋体"/>
                <w:b/>
                <w:szCs w:val="21"/>
              </w:rPr>
            </w:pPr>
          </w:p>
        </w:tc>
        <w:tc>
          <w:tcPr>
            <w:tcW w:w="924" w:type="dxa"/>
            <w:vAlign w:val="center"/>
          </w:tcPr>
          <w:p w14:paraId="0474A63D">
            <w:pPr>
              <w:spacing w:line="360" w:lineRule="exact"/>
              <w:jc w:val="center"/>
              <w:rPr>
                <w:rFonts w:ascii="宋体" w:hAnsi="宋体"/>
                <w:b/>
                <w:szCs w:val="21"/>
              </w:rPr>
            </w:pPr>
          </w:p>
        </w:tc>
      </w:tr>
    </w:tbl>
    <w:p w14:paraId="2BB00BDC">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4EC9671">
      <w:pPr>
        <w:pStyle w:val="4"/>
        <w:spacing w:line="400" w:lineRule="exact"/>
        <w:rPr>
          <w:rFonts w:ascii="仿宋" w:hAnsi="仿宋" w:eastAsia="仿宋"/>
        </w:rPr>
      </w:pPr>
    </w:p>
    <w:p w14:paraId="720AED54">
      <w:pPr>
        <w:rPr>
          <w:rFonts w:ascii="仿宋" w:hAnsi="仿宋" w:eastAsia="仿宋"/>
        </w:rPr>
      </w:pPr>
      <w:r>
        <w:rPr>
          <w:rFonts w:hint="eastAsia" w:ascii="仿宋" w:hAnsi="仿宋" w:eastAsia="仿宋"/>
        </w:rPr>
        <w:br w:type="page"/>
      </w:r>
    </w:p>
    <w:p w14:paraId="4A4FCECC">
      <w:pPr>
        <w:pStyle w:val="4"/>
        <w:spacing w:line="400" w:lineRule="exact"/>
        <w:rPr>
          <w:rFonts w:ascii="仿宋" w:hAnsi="仿宋" w:eastAsia="仿宋"/>
        </w:rPr>
      </w:pPr>
    </w:p>
    <w:p w14:paraId="7D17DD37">
      <w:pPr>
        <w:pStyle w:val="4"/>
        <w:spacing w:line="400" w:lineRule="exact"/>
        <w:rPr>
          <w:rFonts w:ascii="仿宋" w:hAnsi="仿宋" w:eastAsia="仿宋"/>
        </w:rPr>
      </w:pPr>
      <w:r>
        <w:rPr>
          <w:rFonts w:hint="eastAsia" w:ascii="仿宋" w:hAnsi="仿宋" w:eastAsia="仿宋"/>
        </w:rPr>
        <w:t>供应商基本情况表</w:t>
      </w:r>
    </w:p>
    <w:p w14:paraId="7CFE18BD">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11E84207">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48C7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7A58F55D">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36C43291">
            <w:pPr>
              <w:jc w:val="center"/>
              <w:rPr>
                <w:rFonts w:ascii="宋体" w:hAnsi="宋体" w:cs="宋体"/>
                <w:szCs w:val="21"/>
              </w:rPr>
            </w:pPr>
          </w:p>
        </w:tc>
        <w:tc>
          <w:tcPr>
            <w:tcW w:w="1990" w:type="dxa"/>
            <w:gridSpan w:val="2"/>
          </w:tcPr>
          <w:p w14:paraId="4F8CB7C5">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295EBEE9">
            <w:pPr>
              <w:jc w:val="center"/>
              <w:rPr>
                <w:rFonts w:ascii="宋体" w:hAnsi="宋体" w:cs="宋体"/>
                <w:szCs w:val="21"/>
              </w:rPr>
            </w:pPr>
          </w:p>
        </w:tc>
      </w:tr>
      <w:tr w14:paraId="51DEF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6E80879C">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B3D8F2C">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7DD403B">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7B5EFD13">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18BEF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3F7FD91F">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033A1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287C175B">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58091FDC">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36570AE4">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61ED3994">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026F851B">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36B8C8F0">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5AA18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497A4BC7">
            <w:pPr>
              <w:spacing w:line="252" w:lineRule="auto"/>
              <w:rPr>
                <w:rFonts w:ascii="宋体" w:hAnsi="宋体" w:cs="宋体"/>
                <w:szCs w:val="21"/>
              </w:rPr>
            </w:pPr>
          </w:p>
          <w:p w14:paraId="6CD6A18E">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7042C74B">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21D62D81">
            <w:pPr>
              <w:jc w:val="center"/>
              <w:rPr>
                <w:rFonts w:ascii="宋体" w:hAnsi="宋体" w:cs="宋体"/>
                <w:szCs w:val="21"/>
              </w:rPr>
            </w:pPr>
          </w:p>
        </w:tc>
        <w:tc>
          <w:tcPr>
            <w:tcW w:w="1990" w:type="dxa"/>
            <w:gridSpan w:val="2"/>
            <w:vAlign w:val="center"/>
          </w:tcPr>
          <w:p w14:paraId="6AF57036">
            <w:pPr>
              <w:jc w:val="center"/>
              <w:rPr>
                <w:rFonts w:ascii="宋体" w:hAnsi="宋体" w:cs="宋体"/>
                <w:szCs w:val="21"/>
              </w:rPr>
            </w:pPr>
          </w:p>
        </w:tc>
        <w:tc>
          <w:tcPr>
            <w:tcW w:w="1499" w:type="dxa"/>
            <w:vAlign w:val="center"/>
          </w:tcPr>
          <w:p w14:paraId="06C06CFA">
            <w:pPr>
              <w:jc w:val="center"/>
              <w:rPr>
                <w:rFonts w:ascii="宋体" w:hAnsi="宋体" w:cs="宋体"/>
                <w:szCs w:val="21"/>
              </w:rPr>
            </w:pPr>
          </w:p>
        </w:tc>
        <w:tc>
          <w:tcPr>
            <w:tcW w:w="1489" w:type="dxa"/>
            <w:vAlign w:val="center"/>
          </w:tcPr>
          <w:p w14:paraId="50CD7C66">
            <w:pPr>
              <w:jc w:val="center"/>
              <w:rPr>
                <w:rFonts w:ascii="宋体" w:hAnsi="宋体" w:cs="宋体"/>
                <w:szCs w:val="21"/>
              </w:rPr>
            </w:pPr>
          </w:p>
        </w:tc>
      </w:tr>
      <w:tr w14:paraId="7FAC5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9F57786">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79AF0B99">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3E91EDAE">
            <w:pPr>
              <w:jc w:val="center"/>
              <w:rPr>
                <w:rFonts w:ascii="宋体" w:hAnsi="宋体" w:cs="宋体"/>
                <w:szCs w:val="21"/>
              </w:rPr>
            </w:pPr>
          </w:p>
        </w:tc>
        <w:tc>
          <w:tcPr>
            <w:tcW w:w="1990" w:type="dxa"/>
            <w:gridSpan w:val="2"/>
            <w:vAlign w:val="center"/>
          </w:tcPr>
          <w:p w14:paraId="2036BE49">
            <w:pPr>
              <w:jc w:val="center"/>
              <w:rPr>
                <w:rFonts w:ascii="宋体" w:hAnsi="宋体" w:cs="宋体"/>
                <w:szCs w:val="21"/>
              </w:rPr>
            </w:pPr>
          </w:p>
        </w:tc>
        <w:tc>
          <w:tcPr>
            <w:tcW w:w="1499" w:type="dxa"/>
            <w:vAlign w:val="center"/>
          </w:tcPr>
          <w:p w14:paraId="5CB233A1">
            <w:pPr>
              <w:jc w:val="center"/>
              <w:rPr>
                <w:rFonts w:ascii="宋体" w:hAnsi="宋体" w:cs="宋体"/>
                <w:szCs w:val="21"/>
              </w:rPr>
            </w:pPr>
          </w:p>
        </w:tc>
        <w:tc>
          <w:tcPr>
            <w:tcW w:w="1489" w:type="dxa"/>
            <w:vAlign w:val="center"/>
          </w:tcPr>
          <w:p w14:paraId="6ED66DB4">
            <w:pPr>
              <w:jc w:val="center"/>
              <w:rPr>
                <w:rFonts w:ascii="宋体" w:hAnsi="宋体" w:cs="宋体"/>
                <w:szCs w:val="21"/>
              </w:rPr>
            </w:pPr>
          </w:p>
        </w:tc>
      </w:tr>
      <w:tr w14:paraId="0A04C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F927639">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18A2928F">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410D2362">
            <w:pPr>
              <w:jc w:val="center"/>
              <w:rPr>
                <w:rFonts w:ascii="宋体" w:hAnsi="宋体" w:cs="宋体"/>
                <w:szCs w:val="21"/>
              </w:rPr>
            </w:pPr>
          </w:p>
        </w:tc>
        <w:tc>
          <w:tcPr>
            <w:tcW w:w="1990" w:type="dxa"/>
            <w:gridSpan w:val="2"/>
            <w:vAlign w:val="center"/>
          </w:tcPr>
          <w:p w14:paraId="123E1D0C">
            <w:pPr>
              <w:jc w:val="center"/>
              <w:rPr>
                <w:rFonts w:ascii="宋体" w:hAnsi="宋体" w:cs="宋体"/>
                <w:szCs w:val="21"/>
              </w:rPr>
            </w:pPr>
          </w:p>
        </w:tc>
        <w:tc>
          <w:tcPr>
            <w:tcW w:w="1499" w:type="dxa"/>
            <w:vAlign w:val="center"/>
          </w:tcPr>
          <w:p w14:paraId="091EE7A7">
            <w:pPr>
              <w:jc w:val="center"/>
              <w:rPr>
                <w:rFonts w:ascii="宋体" w:hAnsi="宋体" w:cs="宋体"/>
                <w:szCs w:val="21"/>
              </w:rPr>
            </w:pPr>
          </w:p>
        </w:tc>
        <w:tc>
          <w:tcPr>
            <w:tcW w:w="1489" w:type="dxa"/>
            <w:vAlign w:val="center"/>
          </w:tcPr>
          <w:p w14:paraId="44B8F1DA">
            <w:pPr>
              <w:jc w:val="center"/>
              <w:rPr>
                <w:rFonts w:ascii="宋体" w:hAnsi="宋体" w:cs="宋体"/>
                <w:szCs w:val="21"/>
              </w:rPr>
            </w:pPr>
          </w:p>
        </w:tc>
      </w:tr>
      <w:tr w14:paraId="11C6C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37997CB">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64EF55DE">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420EBC26">
            <w:pPr>
              <w:jc w:val="center"/>
              <w:rPr>
                <w:rFonts w:ascii="宋体" w:hAnsi="宋体" w:cs="宋体"/>
                <w:szCs w:val="21"/>
              </w:rPr>
            </w:pPr>
          </w:p>
        </w:tc>
        <w:tc>
          <w:tcPr>
            <w:tcW w:w="1990" w:type="dxa"/>
            <w:gridSpan w:val="2"/>
            <w:vAlign w:val="center"/>
          </w:tcPr>
          <w:p w14:paraId="7143538A">
            <w:pPr>
              <w:jc w:val="center"/>
              <w:rPr>
                <w:rFonts w:ascii="宋体" w:hAnsi="宋体" w:cs="宋体"/>
                <w:szCs w:val="21"/>
              </w:rPr>
            </w:pPr>
          </w:p>
        </w:tc>
        <w:tc>
          <w:tcPr>
            <w:tcW w:w="1499" w:type="dxa"/>
            <w:vAlign w:val="center"/>
          </w:tcPr>
          <w:p w14:paraId="4C6D4A8E">
            <w:pPr>
              <w:jc w:val="center"/>
              <w:rPr>
                <w:rFonts w:ascii="宋体" w:hAnsi="宋体" w:cs="宋体"/>
                <w:szCs w:val="21"/>
              </w:rPr>
            </w:pPr>
          </w:p>
        </w:tc>
        <w:tc>
          <w:tcPr>
            <w:tcW w:w="1489" w:type="dxa"/>
            <w:vAlign w:val="center"/>
          </w:tcPr>
          <w:p w14:paraId="05924941">
            <w:pPr>
              <w:jc w:val="center"/>
              <w:rPr>
                <w:rFonts w:ascii="宋体" w:hAnsi="宋体" w:cs="宋体"/>
                <w:szCs w:val="21"/>
              </w:rPr>
            </w:pPr>
          </w:p>
        </w:tc>
      </w:tr>
      <w:tr w14:paraId="4D956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CAFB4F9">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785DC1AF">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4A60682D">
            <w:pPr>
              <w:jc w:val="center"/>
              <w:rPr>
                <w:rFonts w:ascii="宋体" w:hAnsi="宋体" w:cs="宋体"/>
                <w:szCs w:val="21"/>
              </w:rPr>
            </w:pPr>
          </w:p>
        </w:tc>
        <w:tc>
          <w:tcPr>
            <w:tcW w:w="1990" w:type="dxa"/>
            <w:gridSpan w:val="2"/>
            <w:vAlign w:val="center"/>
          </w:tcPr>
          <w:p w14:paraId="4713FA30">
            <w:pPr>
              <w:jc w:val="center"/>
              <w:rPr>
                <w:rFonts w:ascii="宋体" w:hAnsi="宋体" w:cs="宋体"/>
                <w:szCs w:val="21"/>
              </w:rPr>
            </w:pPr>
          </w:p>
        </w:tc>
        <w:tc>
          <w:tcPr>
            <w:tcW w:w="1499" w:type="dxa"/>
            <w:vAlign w:val="center"/>
          </w:tcPr>
          <w:p w14:paraId="01199C45">
            <w:pPr>
              <w:jc w:val="center"/>
              <w:rPr>
                <w:rFonts w:ascii="宋体" w:hAnsi="宋体" w:cs="宋体"/>
                <w:szCs w:val="21"/>
              </w:rPr>
            </w:pPr>
          </w:p>
        </w:tc>
        <w:tc>
          <w:tcPr>
            <w:tcW w:w="1489" w:type="dxa"/>
            <w:vAlign w:val="center"/>
          </w:tcPr>
          <w:p w14:paraId="46971795">
            <w:pPr>
              <w:jc w:val="center"/>
              <w:rPr>
                <w:rFonts w:ascii="宋体" w:hAnsi="宋体" w:cs="宋体"/>
                <w:szCs w:val="21"/>
              </w:rPr>
            </w:pPr>
          </w:p>
        </w:tc>
      </w:tr>
      <w:tr w14:paraId="420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58C607CF">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1BA8E690">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同一人员可以担任多个职务。上述项目负责人、主要技术人员必须为供应商本单位人员人员，主要技术人员不等同于项目团队成员。</w:t>
            </w:r>
          </w:p>
          <w:p w14:paraId="5998D3B6">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36273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4952A04">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766F8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B2A0B07">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4FFCEBDD">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0FA2F459">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2762714A">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2AB4B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0AD95E46">
            <w:pPr>
              <w:spacing w:line="290" w:lineRule="auto"/>
              <w:rPr>
                <w:rFonts w:ascii="宋体" w:hAnsi="宋体" w:cs="宋体"/>
                <w:szCs w:val="21"/>
              </w:rPr>
            </w:pPr>
          </w:p>
          <w:p w14:paraId="7AB1C2BF">
            <w:pPr>
              <w:spacing w:line="290" w:lineRule="auto"/>
              <w:rPr>
                <w:rFonts w:ascii="宋体" w:hAnsi="宋体" w:cs="宋体"/>
                <w:szCs w:val="21"/>
              </w:rPr>
            </w:pPr>
          </w:p>
          <w:p w14:paraId="6CC6AA2E">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1C601F59">
            <w:pPr>
              <w:spacing w:line="274" w:lineRule="auto"/>
              <w:rPr>
                <w:rFonts w:ascii="宋体" w:hAnsi="宋体" w:cs="宋体"/>
                <w:szCs w:val="21"/>
              </w:rPr>
            </w:pPr>
          </w:p>
          <w:p w14:paraId="6E7659AF">
            <w:pPr>
              <w:spacing w:line="274" w:lineRule="auto"/>
              <w:rPr>
                <w:rFonts w:ascii="宋体" w:hAnsi="宋体" w:cs="宋体"/>
                <w:szCs w:val="21"/>
              </w:rPr>
            </w:pPr>
          </w:p>
          <w:p w14:paraId="0E0625AD">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3AE2974A">
            <w:pPr>
              <w:jc w:val="center"/>
              <w:rPr>
                <w:rFonts w:ascii="宋体" w:hAnsi="宋体" w:cs="宋体"/>
                <w:szCs w:val="21"/>
              </w:rPr>
            </w:pPr>
          </w:p>
        </w:tc>
        <w:tc>
          <w:tcPr>
            <w:tcW w:w="4187" w:type="dxa"/>
            <w:gridSpan w:val="3"/>
            <w:vAlign w:val="center"/>
          </w:tcPr>
          <w:p w14:paraId="73A9F4DF">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5045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6B25A30F">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2E64FFD8">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221E0364">
            <w:pPr>
              <w:jc w:val="center"/>
              <w:rPr>
                <w:rFonts w:ascii="宋体" w:hAnsi="宋体" w:cs="宋体"/>
                <w:szCs w:val="21"/>
              </w:rPr>
            </w:pPr>
          </w:p>
        </w:tc>
        <w:tc>
          <w:tcPr>
            <w:tcW w:w="4187" w:type="dxa"/>
            <w:gridSpan w:val="3"/>
          </w:tcPr>
          <w:p w14:paraId="7AA5A413">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7880B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763EFB3D">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32AD3ACA">
      <w:pPr>
        <w:spacing w:line="360" w:lineRule="auto"/>
        <w:rPr>
          <w:rFonts w:ascii="宋体" w:hAnsi="宋体" w:cs="宋体"/>
        </w:rPr>
      </w:pPr>
    </w:p>
    <w:p w14:paraId="72BA5428">
      <w:pPr>
        <w:spacing w:line="360" w:lineRule="auto"/>
        <w:rPr>
          <w:rFonts w:ascii="宋体" w:hAnsi="宋体" w:cs="宋体"/>
          <w:b/>
          <w:bCs/>
        </w:rPr>
      </w:pPr>
      <w:r>
        <w:rPr>
          <w:rFonts w:hint="eastAsia" w:ascii="宋体" w:hAnsi="宋体" w:cs="宋体"/>
          <w:b/>
          <w:bCs/>
        </w:rPr>
        <w:t>填报要求：</w:t>
      </w:r>
    </w:p>
    <w:p w14:paraId="1CC955DD">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150C20EF">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748517F6">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2151573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73ACD7D">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6B78E26C">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13CD0CCC">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46464EA0">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6C54B825">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6FE8EB4">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7B5B1BFB">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1D2D230">
      <w:pPr>
        <w:spacing w:line="360" w:lineRule="auto"/>
        <w:rPr>
          <w:rFonts w:ascii="宋体" w:hAnsi="宋体" w:cs="宋体"/>
          <w:b/>
          <w:bCs/>
          <w:highlight w:val="yellow"/>
        </w:rPr>
      </w:pPr>
    </w:p>
    <w:p w14:paraId="513BC7FC">
      <w:pPr>
        <w:pStyle w:val="4"/>
        <w:spacing w:line="400" w:lineRule="exact"/>
        <w:rPr>
          <w:rFonts w:ascii="仿宋" w:hAnsi="仿宋" w:eastAsia="仿宋"/>
        </w:rPr>
      </w:pPr>
      <w:r>
        <w:rPr>
          <w:rFonts w:hint="eastAsia" w:ascii="仿宋" w:hAnsi="仿宋" w:eastAsia="仿宋"/>
        </w:rPr>
        <w:t>个人社保缴纳明细截图</w:t>
      </w:r>
    </w:p>
    <w:p w14:paraId="471A321E">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72A863B3">
      <w:pPr>
        <w:spacing w:line="560" w:lineRule="exact"/>
        <w:rPr>
          <w:rFonts w:ascii="宋体" w:hAnsi="宋体" w:cs="宋体"/>
          <w:szCs w:val="21"/>
        </w:rPr>
      </w:pPr>
    </w:p>
    <w:p w14:paraId="3D0DC2CE">
      <w:pPr>
        <w:spacing w:line="560" w:lineRule="exact"/>
        <w:rPr>
          <w:rFonts w:ascii="宋体" w:hAnsi="宋体" w:cs="宋体"/>
          <w:szCs w:val="21"/>
        </w:rPr>
      </w:pPr>
    </w:p>
    <w:p w14:paraId="032DFD50">
      <w:pPr>
        <w:spacing w:line="560" w:lineRule="exact"/>
        <w:rPr>
          <w:rFonts w:ascii="宋体" w:hAnsi="宋体" w:cs="宋体"/>
          <w:szCs w:val="21"/>
        </w:rPr>
      </w:pPr>
      <w:r>
        <w:rPr>
          <w:rFonts w:hint="eastAsia" w:ascii="宋体" w:hAnsi="宋体" w:cs="宋体"/>
          <w:szCs w:val="21"/>
        </w:rPr>
        <w:t>2、项目投标授权代表人</w:t>
      </w:r>
    </w:p>
    <w:p w14:paraId="0671BB56">
      <w:pPr>
        <w:spacing w:line="560" w:lineRule="exact"/>
        <w:rPr>
          <w:rFonts w:ascii="宋体" w:hAnsi="宋体" w:cs="宋体"/>
          <w:szCs w:val="21"/>
        </w:rPr>
      </w:pPr>
    </w:p>
    <w:p w14:paraId="4D93A18E">
      <w:pPr>
        <w:spacing w:line="560" w:lineRule="exact"/>
        <w:rPr>
          <w:rFonts w:ascii="宋体" w:hAnsi="宋体" w:cs="宋体"/>
          <w:szCs w:val="21"/>
        </w:rPr>
      </w:pPr>
    </w:p>
    <w:p w14:paraId="7C141E3D">
      <w:pPr>
        <w:spacing w:line="560" w:lineRule="exact"/>
        <w:rPr>
          <w:rFonts w:ascii="宋体" w:hAnsi="宋体" w:cs="宋体"/>
          <w:szCs w:val="21"/>
        </w:rPr>
      </w:pPr>
      <w:r>
        <w:rPr>
          <w:rFonts w:hint="eastAsia" w:ascii="宋体" w:hAnsi="宋体" w:cs="宋体"/>
          <w:szCs w:val="21"/>
        </w:rPr>
        <w:t>3、项目负责人</w:t>
      </w:r>
    </w:p>
    <w:p w14:paraId="78AE1DB5">
      <w:pPr>
        <w:spacing w:line="560" w:lineRule="exact"/>
        <w:rPr>
          <w:rFonts w:ascii="宋体" w:hAnsi="宋体" w:cs="宋体"/>
          <w:szCs w:val="21"/>
        </w:rPr>
      </w:pPr>
    </w:p>
    <w:p w14:paraId="5ED17568">
      <w:pPr>
        <w:spacing w:line="560" w:lineRule="exact"/>
        <w:rPr>
          <w:rFonts w:ascii="宋体" w:hAnsi="宋体" w:cs="宋体"/>
          <w:szCs w:val="21"/>
        </w:rPr>
      </w:pPr>
    </w:p>
    <w:p w14:paraId="7882974D">
      <w:pPr>
        <w:spacing w:line="560" w:lineRule="exact"/>
        <w:rPr>
          <w:rFonts w:ascii="宋体" w:hAnsi="宋体" w:cs="宋体"/>
          <w:szCs w:val="21"/>
        </w:rPr>
      </w:pPr>
      <w:r>
        <w:rPr>
          <w:rFonts w:hint="eastAsia" w:ascii="宋体" w:hAnsi="宋体" w:cs="宋体"/>
          <w:szCs w:val="21"/>
        </w:rPr>
        <w:t>4、主要技术人员</w:t>
      </w:r>
    </w:p>
    <w:p w14:paraId="20AB67F4">
      <w:pPr>
        <w:spacing w:line="560" w:lineRule="exact"/>
        <w:rPr>
          <w:rFonts w:ascii="宋体" w:hAnsi="宋体" w:cs="宋体"/>
          <w:szCs w:val="21"/>
        </w:rPr>
      </w:pPr>
    </w:p>
    <w:p w14:paraId="1D94195C">
      <w:pPr>
        <w:spacing w:line="560" w:lineRule="exact"/>
        <w:rPr>
          <w:rFonts w:ascii="宋体" w:hAnsi="宋体" w:cs="宋体"/>
          <w:szCs w:val="21"/>
        </w:rPr>
      </w:pPr>
    </w:p>
    <w:p w14:paraId="03A4D346">
      <w:pPr>
        <w:numPr>
          <w:ilvl w:val="0"/>
          <w:numId w:val="6"/>
        </w:numPr>
        <w:spacing w:line="560" w:lineRule="exact"/>
        <w:rPr>
          <w:rFonts w:ascii="宋体" w:hAnsi="宋体" w:cs="宋体"/>
          <w:spacing w:val="-2"/>
          <w:szCs w:val="21"/>
        </w:rPr>
      </w:pPr>
      <w:r>
        <w:rPr>
          <w:rFonts w:hint="eastAsia" w:ascii="宋体" w:hAnsi="宋体" w:cs="宋体"/>
          <w:spacing w:val="-2"/>
          <w:szCs w:val="21"/>
        </w:rPr>
        <w:t>投标文件编制人员</w:t>
      </w:r>
    </w:p>
    <w:p w14:paraId="3DFBA3E4">
      <w:pPr>
        <w:spacing w:line="560" w:lineRule="exact"/>
        <w:rPr>
          <w:rFonts w:ascii="宋体" w:hAnsi="宋体" w:cs="宋体"/>
          <w:spacing w:val="-2"/>
          <w:szCs w:val="21"/>
        </w:rPr>
      </w:pPr>
    </w:p>
    <w:p w14:paraId="2D7F3E1D">
      <w:pPr>
        <w:spacing w:line="560" w:lineRule="exact"/>
        <w:rPr>
          <w:rFonts w:ascii="宋体" w:hAnsi="宋体" w:cs="宋体"/>
          <w:szCs w:val="21"/>
        </w:rPr>
      </w:pPr>
    </w:p>
    <w:p w14:paraId="158AB117">
      <w:pPr>
        <w:spacing w:line="560" w:lineRule="exact"/>
        <w:rPr>
          <w:rFonts w:ascii="宋体" w:hAnsi="宋体" w:cs="宋体"/>
          <w:szCs w:val="21"/>
        </w:rPr>
      </w:pPr>
      <w:r>
        <w:rPr>
          <w:rFonts w:hint="eastAsia" w:ascii="宋体" w:hAnsi="宋体" w:cs="宋体"/>
          <w:szCs w:val="21"/>
        </w:rPr>
        <w:t>其他说明材料：(可以根据项目情况增添附件)</w:t>
      </w:r>
    </w:p>
    <w:p w14:paraId="14BFF2CA">
      <w:pPr>
        <w:pStyle w:val="4"/>
      </w:pPr>
    </w:p>
    <w:p w14:paraId="32A5FFE7">
      <w:r>
        <w:rPr>
          <w:rFonts w:hint="eastAsia" w:ascii="宋体" w:hAnsi="宋体" w:cs="宋体"/>
          <w:szCs w:val="21"/>
        </w:rPr>
        <w:t>注：同一人员兼任不同职务的，可以合并提供社保等证明材料，本格式仅供参考。</w:t>
      </w:r>
    </w:p>
    <w:p w14:paraId="21BBEEA0">
      <w:pPr>
        <w:rPr>
          <w:rFonts w:asciiTheme="minorEastAsia" w:hAnsiTheme="minorEastAsia" w:eastAsiaTheme="minorEastAsia"/>
        </w:rPr>
      </w:pPr>
      <w:r>
        <w:rPr>
          <w:rFonts w:hint="eastAsia" w:asciiTheme="minorEastAsia" w:hAnsiTheme="minorEastAsia" w:eastAsiaTheme="minorEastAsia"/>
        </w:rPr>
        <w:br w:type="page"/>
      </w:r>
    </w:p>
    <w:bookmarkEnd w:id="57"/>
    <w:bookmarkEnd w:id="58"/>
    <w:bookmarkEnd w:id="59"/>
    <w:bookmarkEnd w:id="60"/>
    <w:bookmarkEnd w:id="61"/>
    <w:p w14:paraId="55D80A0C">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p>
    <w:p w14:paraId="314D6B2F">
      <w:pPr>
        <w:adjustRightInd w:val="0"/>
        <w:snapToGrid w:val="0"/>
        <w:spacing w:line="360" w:lineRule="auto"/>
        <w:ind w:firstLine="424" w:firstLineChars="202"/>
        <w:rPr>
          <w:rFonts w:ascii="宋体" w:hAnsi="宋体"/>
          <w:bCs/>
          <w:snapToGrid w:val="0"/>
          <w:kern w:val="0"/>
          <w:szCs w:val="21"/>
        </w:rPr>
      </w:pPr>
    </w:p>
    <w:p w14:paraId="58CE0F48">
      <w:pPr>
        <w:adjustRightInd w:val="0"/>
        <w:snapToGrid w:val="0"/>
        <w:spacing w:line="360" w:lineRule="auto"/>
        <w:ind w:firstLine="424" w:firstLineChars="202"/>
        <w:rPr>
          <w:szCs w:val="21"/>
        </w:rPr>
      </w:pPr>
      <w:r>
        <w:rPr>
          <w:rFonts w:hint="eastAsia"/>
          <w:szCs w:val="21"/>
        </w:rPr>
        <w:t>1、营业执照或法人证书等证明材料</w:t>
      </w:r>
    </w:p>
    <w:p w14:paraId="3CC6988B">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451538D1">
      <w:pPr>
        <w:spacing w:line="400" w:lineRule="exact"/>
        <w:ind w:firstLine="420" w:firstLineChars="200"/>
        <w:rPr>
          <w:rFonts w:ascii="宋体" w:hAnsi="宋体" w:cs="Courier New"/>
          <w:snapToGrid w:val="0"/>
          <w:szCs w:val="18"/>
        </w:rPr>
      </w:pPr>
    </w:p>
    <w:p w14:paraId="5CEB536D">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3A9C6A36"/>
    <w:p w14:paraId="70DCBBE3">
      <w:pPr>
        <w:adjustRightInd w:val="0"/>
        <w:snapToGrid w:val="0"/>
        <w:spacing w:line="360" w:lineRule="auto"/>
        <w:ind w:firstLine="424" w:firstLineChars="202"/>
        <w:rPr>
          <w:rFonts w:ascii="宋体" w:hAnsi="宋体"/>
          <w:bCs/>
          <w:snapToGrid w:val="0"/>
          <w:kern w:val="0"/>
          <w:szCs w:val="21"/>
        </w:rPr>
      </w:pPr>
    </w:p>
    <w:p w14:paraId="13C299D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0CC2FBC9"/>
    <w:p w14:paraId="5D64DB19">
      <w:pPr>
        <w:adjustRightInd w:val="0"/>
        <w:spacing w:line="300" w:lineRule="auto"/>
        <w:ind w:hanging="2"/>
        <w:jc w:val="center"/>
      </w:pPr>
      <w:r>
        <w:rPr>
          <w:rFonts w:hint="eastAsia"/>
          <w:b/>
          <w:snapToGrid w:val="0"/>
          <w:kern w:val="0"/>
          <w:sz w:val="28"/>
        </w:rPr>
        <w:t>政府采购投标及履约承诺函</w:t>
      </w:r>
    </w:p>
    <w:p w14:paraId="57326FA9">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08FE920A">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3C6896B9">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139E36AF">
      <w:pPr>
        <w:spacing w:line="400" w:lineRule="exact"/>
        <w:ind w:firstLine="420" w:firstLineChars="200"/>
        <w:rPr>
          <w:rFonts w:ascii="宋体" w:hAnsi="宋体"/>
          <w:szCs w:val="21"/>
        </w:rPr>
      </w:pPr>
      <w:r>
        <w:rPr>
          <w:rFonts w:hint="eastAsia" w:ascii="宋体" w:hAnsi="宋体"/>
          <w:szCs w:val="21"/>
        </w:rPr>
        <w:t>（一）具有独立承担民事责任的能力；</w:t>
      </w:r>
    </w:p>
    <w:p w14:paraId="0C1D128B">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3FF9EB83">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AF633BD">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0FD05EF">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B0ED980">
      <w:pPr>
        <w:spacing w:line="400" w:lineRule="exact"/>
        <w:ind w:firstLine="420" w:firstLineChars="200"/>
        <w:rPr>
          <w:rFonts w:ascii="宋体" w:hAnsi="宋体"/>
          <w:szCs w:val="21"/>
        </w:rPr>
      </w:pPr>
      <w:r>
        <w:rPr>
          <w:rFonts w:hint="eastAsia" w:ascii="宋体" w:hAnsi="宋体"/>
          <w:szCs w:val="21"/>
        </w:rPr>
        <w:t>（六）法律、行政法规规定的其他条件。</w:t>
      </w:r>
    </w:p>
    <w:p w14:paraId="09F8512F">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F1B7CE7">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572DFDBB">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7F817CA4">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D96C266">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35C903D8">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293574C6">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2A4BF783">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159C7BAE">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2AC21904">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04F135D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23CFF784">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6A6819E2">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B14916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A72A9F2">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BDBAC0B">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7762BF90">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305D50F4">
      <w:pPr>
        <w:spacing w:line="360" w:lineRule="auto"/>
        <w:ind w:firstLine="600"/>
        <w:rPr>
          <w:rFonts w:cs="Courier New"/>
          <w:snapToGrid w:val="0"/>
          <w:szCs w:val="18"/>
        </w:rPr>
      </w:pPr>
    </w:p>
    <w:p w14:paraId="7B5AE023">
      <w:pPr>
        <w:adjustRightInd w:val="0"/>
        <w:snapToGrid w:val="0"/>
        <w:spacing w:line="300" w:lineRule="auto"/>
        <w:rPr>
          <w:snapToGrid w:val="0"/>
          <w:kern w:val="0"/>
        </w:rPr>
      </w:pPr>
      <w:r>
        <w:rPr>
          <w:rFonts w:hint="eastAsia"/>
          <w:snapToGrid w:val="0"/>
          <w:kern w:val="0"/>
        </w:rPr>
        <w:t>投标单位：（加盖公章）</w:t>
      </w:r>
    </w:p>
    <w:p w14:paraId="3029576D">
      <w:pPr>
        <w:adjustRightInd w:val="0"/>
        <w:snapToGrid w:val="0"/>
        <w:spacing w:line="300" w:lineRule="auto"/>
        <w:rPr>
          <w:snapToGrid w:val="0"/>
          <w:kern w:val="0"/>
        </w:rPr>
      </w:pPr>
    </w:p>
    <w:p w14:paraId="3956A3F6">
      <w:pPr>
        <w:adjustRightInd w:val="0"/>
        <w:snapToGrid w:val="0"/>
        <w:spacing w:line="360" w:lineRule="auto"/>
        <w:ind w:firstLine="600"/>
        <w:jc w:val="right"/>
      </w:pPr>
      <w:r>
        <w:rPr>
          <w:rFonts w:hint="eastAsia"/>
        </w:rPr>
        <w:t>年     月    日</w:t>
      </w:r>
    </w:p>
    <w:p w14:paraId="020EF7B8">
      <w:pPr>
        <w:adjustRightInd w:val="0"/>
        <w:snapToGrid w:val="0"/>
        <w:spacing w:line="360" w:lineRule="auto"/>
        <w:ind w:firstLine="600"/>
        <w:jc w:val="right"/>
      </w:pPr>
    </w:p>
    <w:p w14:paraId="2DF77160">
      <w:pPr>
        <w:adjustRightInd w:val="0"/>
        <w:snapToGrid w:val="0"/>
        <w:spacing w:line="360" w:lineRule="auto"/>
        <w:ind w:firstLine="600"/>
        <w:jc w:val="right"/>
      </w:pPr>
    </w:p>
    <w:p w14:paraId="2B2BD7E6">
      <w:pPr>
        <w:adjustRightInd w:val="0"/>
        <w:snapToGrid w:val="0"/>
        <w:spacing w:line="360" w:lineRule="auto"/>
        <w:ind w:firstLine="424" w:firstLineChars="202"/>
        <w:rPr>
          <w:rFonts w:ascii="宋体" w:hAnsi="宋体"/>
        </w:rPr>
      </w:pPr>
      <w:r>
        <w:rPr>
          <w:rFonts w:hint="eastAsia" w:ascii="宋体" w:hAnsi="宋体"/>
        </w:rPr>
        <w:t>3、其它资格证明材料</w:t>
      </w:r>
    </w:p>
    <w:p w14:paraId="16492016">
      <w:pPr>
        <w:spacing w:line="400" w:lineRule="exact"/>
        <w:ind w:firstLine="420" w:firstLineChars="200"/>
        <w:rPr>
          <w:rFonts w:ascii="宋体" w:hAnsi="宋体"/>
          <w:szCs w:val="21"/>
        </w:rPr>
      </w:pPr>
      <w:r>
        <w:rPr>
          <w:rFonts w:hint="eastAsia" w:ascii="宋体" w:hAnsi="宋体"/>
          <w:szCs w:val="21"/>
        </w:rPr>
        <w:t>（如有，按第一章投标邀请“申请人的资格要求”提供）</w:t>
      </w:r>
    </w:p>
    <w:p w14:paraId="4F3C6C14">
      <w:pPr>
        <w:adjustRightInd w:val="0"/>
        <w:snapToGrid w:val="0"/>
        <w:spacing w:line="360" w:lineRule="auto"/>
        <w:ind w:firstLine="600"/>
        <w:jc w:val="right"/>
      </w:pPr>
    </w:p>
    <w:p w14:paraId="4DC4C8B6">
      <w:pPr>
        <w:adjustRightInd w:val="0"/>
        <w:snapToGrid w:val="0"/>
        <w:spacing w:line="360" w:lineRule="auto"/>
        <w:ind w:firstLine="600"/>
        <w:jc w:val="right"/>
      </w:pPr>
    </w:p>
    <w:p w14:paraId="5286059D">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5EFEDF1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5192C1D">
      <w:pPr>
        <w:widowControl/>
        <w:jc w:val="left"/>
        <w:rPr>
          <w:rFonts w:ascii="宋体" w:hAnsi="宋体"/>
          <w:b/>
          <w:sz w:val="28"/>
          <w:szCs w:val="28"/>
        </w:rPr>
      </w:pPr>
    </w:p>
    <w:p w14:paraId="2AD4041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4"/>
      </w:pPr>
    </w:p>
    <w:p w14:paraId="309A7EFB">
      <w:pPr>
        <w:rPr>
          <w:rFonts w:ascii="宋体" w:hAnsi="宋体"/>
          <w:b/>
          <w:sz w:val="28"/>
          <w:szCs w:val="28"/>
        </w:rPr>
      </w:pPr>
      <w:r>
        <w:rPr>
          <w:rFonts w:hint="eastAsia" w:ascii="宋体" w:hAnsi="宋体"/>
          <w:b/>
          <w:sz w:val="28"/>
          <w:szCs w:val="28"/>
        </w:rPr>
        <w:br w:type="page"/>
      </w:r>
    </w:p>
    <w:p w14:paraId="62FC7172">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highlight w:val="yellow"/>
        </w:rPr>
      </w:pPr>
      <w:r>
        <w:rPr>
          <w:rFonts w:hint="eastAsia"/>
          <w:highlight w:val="yellow"/>
        </w:rPr>
        <w:t>注：投标人必须提供有效的身份证件（有效期限未过期）。</w:t>
      </w:r>
    </w:p>
    <w:p w14:paraId="4B954082">
      <w:pPr>
        <w:spacing w:line="360" w:lineRule="auto"/>
        <w:ind w:firstLine="539" w:firstLineChars="257"/>
        <w:rPr>
          <w:highlight w:val="yellow"/>
        </w:rPr>
      </w:pPr>
    </w:p>
    <w:p w14:paraId="0800E14B">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b/>
          <w:bCs/>
          <w:sz w:val="28"/>
        </w:rPr>
      </w:pPr>
    </w:p>
    <w:p w14:paraId="3EF0D02B">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投标单位名称：（公章）</w:t>
      </w:r>
    </w:p>
    <w:p w14:paraId="7C2D8CF3">
      <w:pPr>
        <w:ind w:firstLine="630"/>
      </w:pPr>
    </w:p>
    <w:p w14:paraId="4902E904">
      <w:pPr>
        <w:ind w:firstLine="630"/>
      </w:pPr>
      <w:r>
        <w:rPr>
          <w:rFonts w:hint="eastAsia"/>
        </w:rPr>
        <w:t>法定代表人（单位负责人）：（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D7EC80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4D6C63D6">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6C490C6">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rPr>
        <w:t>；</w:t>
      </w:r>
    </w:p>
    <w:p w14:paraId="02245991">
      <w:pPr>
        <w:widowControl/>
        <w:snapToGrid w:val="0"/>
        <w:spacing w:line="360" w:lineRule="auto"/>
        <w:ind w:firstLine="420" w:firstLineChars="200"/>
        <w:jc w:val="left"/>
        <w:rPr>
          <w:rFonts w:asciiTheme="minorHAnsi" w:hAnsiTheme="minorHAnsi" w:eastAsiaTheme="minorEastAsia" w:cstheme="minorBidi"/>
          <w:szCs w:val="22"/>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9EA8B9B">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0706"/>
      <w:bookmarkStart w:id="68" w:name="_Toc44691165"/>
      <w:bookmarkStart w:id="69" w:name="_Toc44690433"/>
      <w:bookmarkStart w:id="70" w:name="_Toc44691397"/>
      <w:bookmarkStart w:id="71" w:name="_Toc135293186"/>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网站安全系统服务(2025)</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3"/>
        <w:tabs>
          <w:tab w:val="left" w:pos="371"/>
        </w:tabs>
        <w:spacing w:before="120" w:after="120"/>
        <w:ind w:left="-1" w:leftChars="-1" w:hanging="1"/>
        <w:jc w:val="center"/>
        <w:rPr>
          <w:rFonts w:asciiTheme="minorEastAsia" w:hAnsiTheme="minorEastAsia" w:eastAsiaTheme="minorEastAsia"/>
        </w:rPr>
      </w:pPr>
      <w:bookmarkStart w:id="72" w:name="_Toc135293187"/>
      <w:bookmarkStart w:id="73" w:name="_Toc44690434"/>
      <w:bookmarkStart w:id="74" w:name="_Toc44691166"/>
      <w:bookmarkStart w:id="75" w:name="_Toc44691398"/>
      <w:bookmarkStart w:id="76" w:name="_Toc44690707"/>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156" w:beforeLines="50" w:after="156"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投标单位：（加盖公章）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3"/>
        <w:tabs>
          <w:tab w:val="left" w:pos="371"/>
        </w:tabs>
        <w:spacing w:before="120" w:after="120"/>
        <w:ind w:left="-1" w:leftChars="-1" w:hanging="1"/>
        <w:jc w:val="center"/>
        <w:rPr>
          <w:rFonts w:asciiTheme="minorEastAsia" w:hAnsiTheme="minorEastAsia" w:eastAsiaTheme="minorEastAsia"/>
        </w:rPr>
      </w:pPr>
      <w:bookmarkStart w:id="77" w:name="_Toc44691167"/>
      <w:bookmarkStart w:id="78" w:name="_Toc135293188"/>
      <w:bookmarkStart w:id="79" w:name="_Toc44690708"/>
      <w:bookmarkStart w:id="80" w:name="_Toc44691399"/>
      <w:bookmarkStart w:id="81" w:name="_Toc44690435"/>
    </w:p>
    <w:p w14:paraId="2F27DAF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color w:val="000000"/>
          <w:szCs w:val="21"/>
        </w:rPr>
        <w:t>服务条款响应情况</w:t>
      </w:r>
    </w:p>
    <w:p w14:paraId="3F278BC1">
      <w:pPr>
        <w:spacing w:line="360" w:lineRule="auto"/>
        <w:ind w:firstLine="420" w:firstLineChars="200"/>
        <w:rPr>
          <w:rFonts w:ascii="宋体" w:hAnsi="宋体"/>
          <w:szCs w:val="21"/>
        </w:rPr>
      </w:pPr>
      <w:r>
        <w:rPr>
          <w:rFonts w:hint="eastAsia" w:ascii="宋体" w:hAnsi="宋体"/>
          <w:szCs w:val="21"/>
        </w:rPr>
        <w:t>2、</w:t>
      </w:r>
      <w:r>
        <w:rPr>
          <w:rFonts w:hint="eastAsia" w:ascii="Courier New" w:hAnsi="Courier New"/>
          <w:color w:val="000000"/>
          <w:szCs w:val="21"/>
        </w:rPr>
        <w:t>实施方案</w:t>
      </w:r>
    </w:p>
    <w:p w14:paraId="73FB428F">
      <w:pPr>
        <w:spacing w:line="360" w:lineRule="auto"/>
        <w:ind w:firstLine="420" w:firstLineChars="200"/>
        <w:rPr>
          <w:rFonts w:ascii="宋体" w:hAnsi="宋体" w:cs="宋体"/>
          <w:szCs w:val="21"/>
        </w:rPr>
      </w:pPr>
      <w:r>
        <w:rPr>
          <w:rFonts w:hint="eastAsia" w:ascii="宋体" w:hAnsi="宋体"/>
          <w:szCs w:val="21"/>
        </w:rPr>
        <w:t>3、项目重点难点分析、应对措施及相关的合理化建议</w:t>
      </w:r>
    </w:p>
    <w:p w14:paraId="7F640091">
      <w:pPr>
        <w:spacing w:line="360" w:lineRule="auto"/>
        <w:ind w:firstLine="420" w:firstLineChars="200"/>
        <w:rPr>
          <w:rFonts w:ascii="宋体" w:hAnsi="宋体" w:cs="宋体"/>
          <w:szCs w:val="21"/>
        </w:rPr>
      </w:pPr>
      <w:r>
        <w:rPr>
          <w:rFonts w:hint="eastAsia" w:ascii="宋体" w:hAnsi="宋体" w:cs="宋体"/>
          <w:szCs w:val="21"/>
        </w:rPr>
        <w:t>4、质量（完成时间、安全、环保）保障措施及方案</w:t>
      </w:r>
    </w:p>
    <w:p w14:paraId="1DD75486">
      <w:pPr>
        <w:spacing w:line="360" w:lineRule="auto"/>
        <w:ind w:firstLine="420" w:firstLineChars="200"/>
        <w:rPr>
          <w:rFonts w:ascii="Courier New" w:hAnsi="Courier New" w:cs="Courier New"/>
          <w:color w:val="000000"/>
          <w:szCs w:val="21"/>
        </w:rPr>
      </w:pPr>
      <w:r>
        <w:rPr>
          <w:rFonts w:hint="eastAsia" w:ascii="宋体" w:hAnsi="宋体"/>
          <w:szCs w:val="21"/>
        </w:rPr>
        <w:t>5、</w:t>
      </w:r>
      <w:r>
        <w:rPr>
          <w:rFonts w:hint="eastAsia" w:ascii="Courier New" w:hAnsi="Courier New" w:cs="Courier New"/>
          <w:color w:val="000000"/>
          <w:szCs w:val="21"/>
        </w:rPr>
        <w:t>商务</w:t>
      </w:r>
      <w:r>
        <w:rPr>
          <w:rFonts w:hint="eastAsia" w:ascii="Courier New" w:hAnsi="Courier New" w:cs="Courier New"/>
          <w:bCs/>
          <w:color w:val="000000"/>
          <w:szCs w:val="21"/>
        </w:rPr>
        <w:t>条款</w:t>
      </w:r>
      <w:r>
        <w:rPr>
          <w:rFonts w:hint="eastAsia" w:ascii="Courier New" w:hAnsi="Courier New" w:cs="Courier New"/>
          <w:color w:val="000000"/>
          <w:szCs w:val="21"/>
        </w:rPr>
        <w:t>响应情况</w:t>
      </w:r>
    </w:p>
    <w:p w14:paraId="7B7AB5DA">
      <w:pPr>
        <w:spacing w:line="360" w:lineRule="auto"/>
        <w:ind w:firstLine="420" w:firstLineChars="200"/>
        <w:rPr>
          <w:rFonts w:ascii="Courier New" w:hAnsi="Courier New" w:cs="Courier New"/>
          <w:color w:val="000000"/>
          <w:szCs w:val="21"/>
        </w:rPr>
      </w:pPr>
      <w:r>
        <w:rPr>
          <w:rFonts w:hint="eastAsia" w:asciiTheme="minorEastAsia" w:hAnsiTheme="minorEastAsia" w:eastAsiaTheme="minorEastAsia" w:cstheme="minorEastAsia"/>
          <w:color w:val="000000"/>
          <w:szCs w:val="21"/>
        </w:rPr>
        <w:t>6、</w:t>
      </w:r>
      <w:r>
        <w:rPr>
          <w:rFonts w:hint="eastAsia" w:asciiTheme="minorEastAsia" w:hAnsiTheme="minorEastAsia" w:eastAsiaTheme="minorEastAsia" w:cstheme="minorEastAsia"/>
          <w:szCs w:val="21"/>
        </w:rPr>
        <w:t>投标</w:t>
      </w:r>
      <w:r>
        <w:rPr>
          <w:rFonts w:hint="eastAsia" w:ascii="宋体" w:hAnsi="宋体"/>
          <w:szCs w:val="21"/>
        </w:rPr>
        <w:t>人通过相关认证情况</w:t>
      </w:r>
    </w:p>
    <w:p w14:paraId="42066D9D">
      <w:pPr>
        <w:spacing w:line="360" w:lineRule="auto"/>
        <w:ind w:firstLine="420" w:firstLineChars="200"/>
        <w:rPr>
          <w:rFonts w:ascii="宋体" w:hAnsi="宋体" w:cs="宋体"/>
          <w:szCs w:val="21"/>
        </w:rPr>
      </w:pPr>
      <w:r>
        <w:rPr>
          <w:rFonts w:hint="eastAsia" w:ascii="宋体" w:hAnsi="宋体" w:cs="宋体"/>
          <w:szCs w:val="21"/>
        </w:rPr>
        <w:t>7、</w:t>
      </w:r>
      <w:r>
        <w:rPr>
          <w:rFonts w:hint="eastAsia" w:ascii="Courier New" w:hAnsi="Courier New"/>
          <w:color w:val="000000"/>
          <w:szCs w:val="21"/>
        </w:rPr>
        <w:t>投标人同类项目业绩情况</w:t>
      </w:r>
    </w:p>
    <w:p w14:paraId="5D4F00B9">
      <w:pPr>
        <w:spacing w:line="360" w:lineRule="auto"/>
        <w:ind w:firstLine="420" w:firstLineChars="200"/>
        <w:rPr>
          <w:rFonts w:ascii="宋体" w:hAnsi="宋体"/>
          <w:szCs w:val="21"/>
        </w:rPr>
      </w:pPr>
      <w:r>
        <w:rPr>
          <w:rFonts w:hint="eastAsia" w:ascii="宋体" w:hAnsi="宋体"/>
          <w:szCs w:val="21"/>
        </w:rPr>
        <w:t>8、拟投入人员情况：包括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0F9E90B7">
      <w:pPr>
        <w:spacing w:line="360" w:lineRule="auto"/>
        <w:ind w:left="420"/>
        <w:rPr>
          <w:rFonts w:ascii="宋体" w:hAnsi="宋体"/>
          <w:szCs w:val="21"/>
        </w:rPr>
      </w:pPr>
      <w:r>
        <w:rPr>
          <w:rFonts w:hint="eastAsia" w:ascii="宋体" w:hAnsi="宋体"/>
          <w:bCs/>
        </w:rPr>
        <w:t>9、</w:t>
      </w:r>
      <w:r>
        <w:rPr>
          <w:rFonts w:hint="eastAsia" w:ascii="宋体" w:hAnsi="宋体"/>
          <w:szCs w:val="21"/>
        </w:rPr>
        <w:t>投标人自主知识产权产品（创新、设计）情况</w:t>
      </w:r>
    </w:p>
    <w:p w14:paraId="160BF48E">
      <w:pPr>
        <w:spacing w:line="360" w:lineRule="auto"/>
        <w:ind w:left="420"/>
        <w:rPr>
          <w:rFonts w:ascii="宋体" w:hAnsi="宋体"/>
          <w:szCs w:val="21"/>
        </w:rPr>
      </w:pPr>
      <w:r>
        <w:rPr>
          <w:rFonts w:hint="eastAsia" w:ascii="宋体" w:hAnsi="宋体"/>
          <w:szCs w:val="21"/>
        </w:rPr>
        <w:t>10、服务网点</w:t>
      </w:r>
    </w:p>
    <w:p w14:paraId="62D8E219">
      <w:pPr>
        <w:spacing w:line="360" w:lineRule="auto"/>
        <w:ind w:left="420"/>
        <w:rPr>
          <w:rFonts w:ascii="宋体" w:hAnsi="宋体"/>
          <w:bCs/>
        </w:rPr>
      </w:pPr>
      <w:r>
        <w:rPr>
          <w:rFonts w:hint="eastAsia" w:ascii="宋体" w:hAnsi="宋体"/>
          <w:bCs/>
        </w:rPr>
        <w:t>11、投标人认为必要的其他方案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11214BA1">
      <w:pPr>
        <w:tabs>
          <w:tab w:val="left" w:pos="8248"/>
          <w:tab w:val="left" w:pos="9368"/>
        </w:tabs>
        <w:spacing w:line="360" w:lineRule="auto"/>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投标单位：（加盖公章）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4"/>
      </w:pPr>
    </w:p>
    <w:p w14:paraId="241FDC79"/>
    <w:p w14:paraId="3CEF99C1">
      <w:pPr>
        <w:pStyle w:val="3"/>
        <w:tabs>
          <w:tab w:val="left" w:pos="371"/>
        </w:tabs>
        <w:spacing w:before="120" w:after="120"/>
        <w:ind w:left="-1" w:leftChars="-1" w:hanging="1"/>
        <w:jc w:val="center"/>
        <w:rPr>
          <w:rFonts w:asciiTheme="minorEastAsia" w:hAnsiTheme="minorEastAsia" w:eastAsiaTheme="minorEastAsia"/>
        </w:rPr>
      </w:pPr>
    </w:p>
    <w:p w14:paraId="3B5CA548">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3"/>
        <w:tabs>
          <w:tab w:val="left" w:pos="371"/>
        </w:tabs>
        <w:spacing w:before="120" w:after="120"/>
        <w:ind w:left="-1" w:leftChars="-1" w:hanging="1"/>
        <w:jc w:val="center"/>
        <w:rPr>
          <w:rFonts w:asciiTheme="minorEastAsia" w:hAnsiTheme="minorEastAsia" w:eastAsiaTheme="minorEastAsia"/>
        </w:rPr>
      </w:pPr>
      <w:bookmarkStart w:id="83" w:name="_Toc135293190"/>
      <w:bookmarkStart w:id="84" w:name="_Toc44690709"/>
      <w:bookmarkStart w:id="85" w:name="_Toc44690436"/>
      <w:bookmarkStart w:id="86" w:name="_Toc44691400"/>
      <w:bookmarkStart w:id="87" w:name="_Toc44691168"/>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546FFD48">
      <w:pPr>
        <w:spacing w:line="400" w:lineRule="exact"/>
        <w:rPr>
          <w:rFonts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投标人应在“说明”一栏中列出服务要求的证明资料名称，并注明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招标文件商务要求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snapToGrid w:val="0"/>
          <w:kern w:val="0"/>
        </w:rPr>
      </w:pPr>
    </w:p>
    <w:p w14:paraId="659C70D4">
      <w:pPr>
        <w:adjustRightInd w:val="0"/>
        <w:snapToGrid w:val="0"/>
        <w:spacing w:line="300" w:lineRule="auto"/>
        <w:rPr>
          <w:snapToGrid w:val="0"/>
          <w:kern w:val="0"/>
        </w:rPr>
      </w:pPr>
      <w:r>
        <w:rPr>
          <w:rFonts w:hint="eastAsia"/>
          <w:snapToGrid w:val="0"/>
          <w:kern w:val="0"/>
        </w:rPr>
        <w:t>投标单位：（加盖公章）</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3"/>
        <w:tabs>
          <w:tab w:val="left" w:pos="371"/>
        </w:tabs>
        <w:spacing w:before="120" w:after="120"/>
        <w:ind w:left="-1" w:leftChars="-1" w:hanging="1"/>
        <w:jc w:val="center"/>
        <w:rPr>
          <w:rFonts w:asciiTheme="minorEastAsia" w:hAnsiTheme="minorEastAsia" w:eastAsiaTheme="minorEastAsia"/>
        </w:rPr>
      </w:pPr>
      <w:bookmarkStart w:id="88" w:name="_格式3__"/>
      <w:bookmarkEnd w:id="88"/>
      <w:bookmarkStart w:id="89" w:name="_格式5__"/>
      <w:bookmarkEnd w:id="89"/>
      <w:bookmarkStart w:id="90" w:name="q16"/>
      <w:bookmarkEnd w:id="90"/>
      <w:bookmarkStart w:id="91" w:name="_格式4__"/>
      <w:bookmarkEnd w:id="91"/>
      <w:bookmarkStart w:id="92" w:name="q17"/>
      <w:bookmarkEnd w:id="92"/>
      <w:bookmarkStart w:id="93" w:name="q15"/>
      <w:bookmarkEnd w:id="93"/>
      <w:bookmarkStart w:id="94" w:name="_格式2__投标保证金凭证"/>
      <w:bookmarkEnd w:id="94"/>
      <w:r>
        <w:rPr>
          <w:rFonts w:asciiTheme="minorEastAsia" w:hAnsiTheme="minorEastAsia" w:eastAsiaTheme="minorEastAsia"/>
        </w:rPr>
        <w:tab/>
      </w:r>
      <w:bookmarkStart w:id="95" w:name="_Toc44691169"/>
      <w:bookmarkStart w:id="96" w:name="_Toc44690710"/>
      <w:bookmarkStart w:id="97" w:name="_Toc44690437"/>
      <w:bookmarkStart w:id="98" w:name="_Toc44691401"/>
      <w:bookmarkStart w:id="99"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2"/>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2"/>
      </w:pPr>
      <w:bookmarkStart w:id="101" w:name="_Toc135293193"/>
      <w:bookmarkStart w:id="102" w:name="_Toc73610161"/>
      <w:r>
        <w:rPr>
          <w:rFonts w:hint="eastAsia"/>
        </w:rPr>
        <w:t>第九章  附件</w:t>
      </w:r>
      <w:bookmarkEnd w:id="101"/>
      <w:bookmarkEnd w:id="102"/>
    </w:p>
    <w:p w14:paraId="3C84BC95">
      <w:pPr>
        <w:pStyle w:val="4"/>
        <w:spacing w:before="0" w:after="0"/>
      </w:pPr>
      <w:bookmarkStart w:id="103" w:name="_Toc73610162"/>
      <w:bookmarkStart w:id="104" w:name="_Toc73613644"/>
      <w:bookmarkStart w:id="105" w:name="_Toc135293194"/>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4"/>
        <w:spacing w:before="0" w:after="0"/>
      </w:pPr>
      <w:bookmarkStart w:id="106" w:name="_Toc135293195"/>
      <w:bookmarkStart w:id="107" w:name="_Toc73613645"/>
      <w:bookmarkStart w:id="108" w:name="_Toc73610163"/>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4"/>
        <w:spacing w:before="0" w:after="0"/>
      </w:pPr>
      <w:bookmarkStart w:id="109" w:name="_Toc135293196"/>
      <w:bookmarkStart w:id="110" w:name="_Toc73613646"/>
      <w:bookmarkStart w:id="111" w:name="_Toc73610164"/>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4"/>
        <w:spacing w:before="0" w:after="0"/>
      </w:pPr>
      <w:bookmarkStart w:id="112" w:name="_Toc73613647"/>
      <w:bookmarkStart w:id="113" w:name="_Toc135293197"/>
      <w:bookmarkStart w:id="114" w:name="_Toc73610165"/>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4"/>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23</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w:t>
    </w:r>
    <w:r>
      <w:rPr>
        <w:rFonts w:hint="eastAsia"/>
        <w:lang w:eastAsia="zh-CN"/>
      </w:rPr>
      <w:t>网站安全系统服务(2025)</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CGXM-2024-005903</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49D"/>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4FFB"/>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024"/>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0F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096"/>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A31"/>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3F9"/>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BF7D43"/>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2B17"/>
    <w:rsid w:val="00D43193"/>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2CC"/>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3FA"/>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279E7"/>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07DCC"/>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3226CF"/>
    <w:rsid w:val="016F56C0"/>
    <w:rsid w:val="019329D2"/>
    <w:rsid w:val="01E813FA"/>
    <w:rsid w:val="01F0299B"/>
    <w:rsid w:val="02181129"/>
    <w:rsid w:val="02323801"/>
    <w:rsid w:val="02352754"/>
    <w:rsid w:val="025B5C57"/>
    <w:rsid w:val="026E4F91"/>
    <w:rsid w:val="02C77214"/>
    <w:rsid w:val="02CB1CF7"/>
    <w:rsid w:val="02E226C9"/>
    <w:rsid w:val="030B2A3C"/>
    <w:rsid w:val="0317318F"/>
    <w:rsid w:val="03675DAC"/>
    <w:rsid w:val="03CF75C5"/>
    <w:rsid w:val="041D095D"/>
    <w:rsid w:val="04DD5D12"/>
    <w:rsid w:val="054247C4"/>
    <w:rsid w:val="05C87DB9"/>
    <w:rsid w:val="05D76C05"/>
    <w:rsid w:val="06471FDD"/>
    <w:rsid w:val="06A6250E"/>
    <w:rsid w:val="07C7298C"/>
    <w:rsid w:val="07ED6E65"/>
    <w:rsid w:val="08425EAC"/>
    <w:rsid w:val="08646E76"/>
    <w:rsid w:val="08DC4C5E"/>
    <w:rsid w:val="091636B0"/>
    <w:rsid w:val="0961739E"/>
    <w:rsid w:val="098E6083"/>
    <w:rsid w:val="09D354E6"/>
    <w:rsid w:val="09E35745"/>
    <w:rsid w:val="09EF276F"/>
    <w:rsid w:val="0AD6392F"/>
    <w:rsid w:val="0ADA4400"/>
    <w:rsid w:val="0B106CF7"/>
    <w:rsid w:val="0B205B2B"/>
    <w:rsid w:val="0B3D0378"/>
    <w:rsid w:val="0B782559"/>
    <w:rsid w:val="0BFD483A"/>
    <w:rsid w:val="0C5B67E0"/>
    <w:rsid w:val="0C670CE3"/>
    <w:rsid w:val="0CE57E5A"/>
    <w:rsid w:val="0D256CBB"/>
    <w:rsid w:val="0D2941EA"/>
    <w:rsid w:val="0D344BB7"/>
    <w:rsid w:val="0D49488C"/>
    <w:rsid w:val="0D566BC9"/>
    <w:rsid w:val="0D7C1890"/>
    <w:rsid w:val="0D8B597D"/>
    <w:rsid w:val="0DB241E0"/>
    <w:rsid w:val="0E060087"/>
    <w:rsid w:val="0E180322"/>
    <w:rsid w:val="0E5928AD"/>
    <w:rsid w:val="0E715E49"/>
    <w:rsid w:val="0E8C4995"/>
    <w:rsid w:val="0EF27BFB"/>
    <w:rsid w:val="0F0D2BA7"/>
    <w:rsid w:val="0F1E55F5"/>
    <w:rsid w:val="0F1F58A5"/>
    <w:rsid w:val="0F6A604F"/>
    <w:rsid w:val="0F9D2C6D"/>
    <w:rsid w:val="0FB104C7"/>
    <w:rsid w:val="0FBC50EF"/>
    <w:rsid w:val="10050C09"/>
    <w:rsid w:val="10571CE9"/>
    <w:rsid w:val="107E3805"/>
    <w:rsid w:val="10F24DDB"/>
    <w:rsid w:val="10F42D61"/>
    <w:rsid w:val="11080DB5"/>
    <w:rsid w:val="115F3FD7"/>
    <w:rsid w:val="11834124"/>
    <w:rsid w:val="11A259DD"/>
    <w:rsid w:val="11D90C91"/>
    <w:rsid w:val="11F9269A"/>
    <w:rsid w:val="120474A0"/>
    <w:rsid w:val="123F687E"/>
    <w:rsid w:val="1272218F"/>
    <w:rsid w:val="12AA1929"/>
    <w:rsid w:val="12C32C8D"/>
    <w:rsid w:val="12ED5EA4"/>
    <w:rsid w:val="13102ABE"/>
    <w:rsid w:val="13A46CB7"/>
    <w:rsid w:val="13BE6A0A"/>
    <w:rsid w:val="14CF5677"/>
    <w:rsid w:val="14DC1B42"/>
    <w:rsid w:val="14F03C41"/>
    <w:rsid w:val="154F67B8"/>
    <w:rsid w:val="15877D00"/>
    <w:rsid w:val="167D280D"/>
    <w:rsid w:val="16B92412"/>
    <w:rsid w:val="17047766"/>
    <w:rsid w:val="170A4C85"/>
    <w:rsid w:val="174A5413"/>
    <w:rsid w:val="17566A1E"/>
    <w:rsid w:val="17935895"/>
    <w:rsid w:val="17BC6D09"/>
    <w:rsid w:val="17EB6CC4"/>
    <w:rsid w:val="17F52C18"/>
    <w:rsid w:val="1807166C"/>
    <w:rsid w:val="184530EF"/>
    <w:rsid w:val="18544D1A"/>
    <w:rsid w:val="187842FE"/>
    <w:rsid w:val="18C32649"/>
    <w:rsid w:val="18C474BD"/>
    <w:rsid w:val="18D21BDA"/>
    <w:rsid w:val="19227A4B"/>
    <w:rsid w:val="195245FA"/>
    <w:rsid w:val="1981715C"/>
    <w:rsid w:val="19BA4B0D"/>
    <w:rsid w:val="19C71013"/>
    <w:rsid w:val="19C77265"/>
    <w:rsid w:val="19D92AF4"/>
    <w:rsid w:val="1A120E31"/>
    <w:rsid w:val="1A3B761A"/>
    <w:rsid w:val="1A4E7B88"/>
    <w:rsid w:val="1B3E182A"/>
    <w:rsid w:val="1B4B5195"/>
    <w:rsid w:val="1B8A679C"/>
    <w:rsid w:val="1C174C6F"/>
    <w:rsid w:val="1C592E11"/>
    <w:rsid w:val="1C7C020D"/>
    <w:rsid w:val="1C8F78BA"/>
    <w:rsid w:val="1C983248"/>
    <w:rsid w:val="1C9B0D84"/>
    <w:rsid w:val="1CA53701"/>
    <w:rsid w:val="1CDD3F3B"/>
    <w:rsid w:val="1CEF3CEA"/>
    <w:rsid w:val="1D4D6869"/>
    <w:rsid w:val="1D6B6159"/>
    <w:rsid w:val="1D7414B2"/>
    <w:rsid w:val="1DD01078"/>
    <w:rsid w:val="1DD45AAC"/>
    <w:rsid w:val="1DF42FCA"/>
    <w:rsid w:val="1E37603B"/>
    <w:rsid w:val="1E5170FD"/>
    <w:rsid w:val="1E876FC3"/>
    <w:rsid w:val="1E9F430C"/>
    <w:rsid w:val="1EFB7701"/>
    <w:rsid w:val="1EFC175F"/>
    <w:rsid w:val="1F3D18D5"/>
    <w:rsid w:val="20252FDD"/>
    <w:rsid w:val="20707345"/>
    <w:rsid w:val="20887022"/>
    <w:rsid w:val="20C22534"/>
    <w:rsid w:val="20FD7003"/>
    <w:rsid w:val="212F207F"/>
    <w:rsid w:val="21760101"/>
    <w:rsid w:val="219F72F5"/>
    <w:rsid w:val="221A1EFC"/>
    <w:rsid w:val="22342FBD"/>
    <w:rsid w:val="22B25284"/>
    <w:rsid w:val="22C07D9F"/>
    <w:rsid w:val="22E5075C"/>
    <w:rsid w:val="23056CBA"/>
    <w:rsid w:val="2309269C"/>
    <w:rsid w:val="232B2612"/>
    <w:rsid w:val="234C1E42"/>
    <w:rsid w:val="2369320B"/>
    <w:rsid w:val="23900222"/>
    <w:rsid w:val="23922FD4"/>
    <w:rsid w:val="239643B6"/>
    <w:rsid w:val="23B1286A"/>
    <w:rsid w:val="23C6059E"/>
    <w:rsid w:val="23C95079"/>
    <w:rsid w:val="23FE5D77"/>
    <w:rsid w:val="24031A53"/>
    <w:rsid w:val="24307C26"/>
    <w:rsid w:val="24322559"/>
    <w:rsid w:val="243C25FD"/>
    <w:rsid w:val="248E5D4C"/>
    <w:rsid w:val="24C47897"/>
    <w:rsid w:val="24CE594B"/>
    <w:rsid w:val="24D521C3"/>
    <w:rsid w:val="24E337F8"/>
    <w:rsid w:val="252C71BA"/>
    <w:rsid w:val="258D3B57"/>
    <w:rsid w:val="259E0197"/>
    <w:rsid w:val="2604539D"/>
    <w:rsid w:val="26094761"/>
    <w:rsid w:val="262336EE"/>
    <w:rsid w:val="269E4C0C"/>
    <w:rsid w:val="27024D1A"/>
    <w:rsid w:val="277B4E47"/>
    <w:rsid w:val="278F0C96"/>
    <w:rsid w:val="27AA0910"/>
    <w:rsid w:val="27AA4F6F"/>
    <w:rsid w:val="28604410"/>
    <w:rsid w:val="28823097"/>
    <w:rsid w:val="288E0F4E"/>
    <w:rsid w:val="289B3D96"/>
    <w:rsid w:val="28F7242D"/>
    <w:rsid w:val="29076E89"/>
    <w:rsid w:val="29086F52"/>
    <w:rsid w:val="297A7E50"/>
    <w:rsid w:val="29A30A29"/>
    <w:rsid w:val="29D84B76"/>
    <w:rsid w:val="29EB48A9"/>
    <w:rsid w:val="29F00112"/>
    <w:rsid w:val="2A161A99"/>
    <w:rsid w:val="2A7615AE"/>
    <w:rsid w:val="2AD85037"/>
    <w:rsid w:val="2B002AD1"/>
    <w:rsid w:val="2BC03B14"/>
    <w:rsid w:val="2BC2788C"/>
    <w:rsid w:val="2BD0253B"/>
    <w:rsid w:val="2BE75544"/>
    <w:rsid w:val="2C125A58"/>
    <w:rsid w:val="2C187060"/>
    <w:rsid w:val="2C444480"/>
    <w:rsid w:val="2C564DC3"/>
    <w:rsid w:val="2C7E7C57"/>
    <w:rsid w:val="2CA927FA"/>
    <w:rsid w:val="2CAB47C4"/>
    <w:rsid w:val="2CE90E48"/>
    <w:rsid w:val="2D0D4B37"/>
    <w:rsid w:val="2D0D6EBF"/>
    <w:rsid w:val="2D191D85"/>
    <w:rsid w:val="2D5531EF"/>
    <w:rsid w:val="2D621327"/>
    <w:rsid w:val="2D6C141D"/>
    <w:rsid w:val="2D940DB4"/>
    <w:rsid w:val="2DEA2B8B"/>
    <w:rsid w:val="2E063012"/>
    <w:rsid w:val="2E980D64"/>
    <w:rsid w:val="2EB64B4B"/>
    <w:rsid w:val="2EDB590A"/>
    <w:rsid w:val="2F0A29E3"/>
    <w:rsid w:val="2F8135BA"/>
    <w:rsid w:val="2FC02334"/>
    <w:rsid w:val="30601421"/>
    <w:rsid w:val="30817D6A"/>
    <w:rsid w:val="315030B5"/>
    <w:rsid w:val="3157114E"/>
    <w:rsid w:val="315D7CF4"/>
    <w:rsid w:val="31E367AE"/>
    <w:rsid w:val="31F2037F"/>
    <w:rsid w:val="32096215"/>
    <w:rsid w:val="324B19B3"/>
    <w:rsid w:val="326D44E9"/>
    <w:rsid w:val="329B11F6"/>
    <w:rsid w:val="32AC6BA0"/>
    <w:rsid w:val="33463EAF"/>
    <w:rsid w:val="336008AB"/>
    <w:rsid w:val="336E087E"/>
    <w:rsid w:val="337E22EA"/>
    <w:rsid w:val="3381627F"/>
    <w:rsid w:val="33A85DA6"/>
    <w:rsid w:val="33C3087D"/>
    <w:rsid w:val="33FB1B8D"/>
    <w:rsid w:val="344C0413"/>
    <w:rsid w:val="344F5E45"/>
    <w:rsid w:val="34842E9F"/>
    <w:rsid w:val="34B7742E"/>
    <w:rsid w:val="34D16D92"/>
    <w:rsid w:val="34FA7B3A"/>
    <w:rsid w:val="350F28AA"/>
    <w:rsid w:val="354B6B44"/>
    <w:rsid w:val="35883ABF"/>
    <w:rsid w:val="35961B12"/>
    <w:rsid w:val="35DB68E3"/>
    <w:rsid w:val="364523AD"/>
    <w:rsid w:val="36700D38"/>
    <w:rsid w:val="368636C2"/>
    <w:rsid w:val="36C24BE4"/>
    <w:rsid w:val="36C4673D"/>
    <w:rsid w:val="37612D37"/>
    <w:rsid w:val="377C6DA9"/>
    <w:rsid w:val="37A97B52"/>
    <w:rsid w:val="37B10B63"/>
    <w:rsid w:val="37C404E8"/>
    <w:rsid w:val="37D17C49"/>
    <w:rsid w:val="37DC0287"/>
    <w:rsid w:val="387624AA"/>
    <w:rsid w:val="388A1731"/>
    <w:rsid w:val="388C7258"/>
    <w:rsid w:val="38950836"/>
    <w:rsid w:val="38AA134A"/>
    <w:rsid w:val="38FF3ECD"/>
    <w:rsid w:val="3900628A"/>
    <w:rsid w:val="390721D7"/>
    <w:rsid w:val="393B510C"/>
    <w:rsid w:val="393E7417"/>
    <w:rsid w:val="393F4767"/>
    <w:rsid w:val="39A97E97"/>
    <w:rsid w:val="3A260C29"/>
    <w:rsid w:val="3A651F6E"/>
    <w:rsid w:val="3A980471"/>
    <w:rsid w:val="3AA53060"/>
    <w:rsid w:val="3AD26068"/>
    <w:rsid w:val="3AD32391"/>
    <w:rsid w:val="3B023801"/>
    <w:rsid w:val="3B57268D"/>
    <w:rsid w:val="3B6176CE"/>
    <w:rsid w:val="3B9823B7"/>
    <w:rsid w:val="3BB979E5"/>
    <w:rsid w:val="3BE850ED"/>
    <w:rsid w:val="3BF9504C"/>
    <w:rsid w:val="3C770175"/>
    <w:rsid w:val="3C872BFA"/>
    <w:rsid w:val="3C9D3F8B"/>
    <w:rsid w:val="3CA60B04"/>
    <w:rsid w:val="3CCF5E45"/>
    <w:rsid w:val="3CF11603"/>
    <w:rsid w:val="3D5129F3"/>
    <w:rsid w:val="3D515A8A"/>
    <w:rsid w:val="3D623CEE"/>
    <w:rsid w:val="3D7507FB"/>
    <w:rsid w:val="3DE56C57"/>
    <w:rsid w:val="3E432AAE"/>
    <w:rsid w:val="3EB5127A"/>
    <w:rsid w:val="3EF341BE"/>
    <w:rsid w:val="3F1735F3"/>
    <w:rsid w:val="3F2A1578"/>
    <w:rsid w:val="3F393ECB"/>
    <w:rsid w:val="3F4355C6"/>
    <w:rsid w:val="3F503E5E"/>
    <w:rsid w:val="3F7A2278"/>
    <w:rsid w:val="3F812CA8"/>
    <w:rsid w:val="3FB547D5"/>
    <w:rsid w:val="3FC16214"/>
    <w:rsid w:val="3FC76DC7"/>
    <w:rsid w:val="3FF81676"/>
    <w:rsid w:val="401C5365"/>
    <w:rsid w:val="401C6633"/>
    <w:rsid w:val="40A84E4B"/>
    <w:rsid w:val="41405083"/>
    <w:rsid w:val="41576FF8"/>
    <w:rsid w:val="418F600A"/>
    <w:rsid w:val="41D9164E"/>
    <w:rsid w:val="41DD521D"/>
    <w:rsid w:val="42064962"/>
    <w:rsid w:val="421870CD"/>
    <w:rsid w:val="423B7022"/>
    <w:rsid w:val="428E6A43"/>
    <w:rsid w:val="429A23DC"/>
    <w:rsid w:val="42A87124"/>
    <w:rsid w:val="42C972FA"/>
    <w:rsid w:val="42D633EC"/>
    <w:rsid w:val="430239C6"/>
    <w:rsid w:val="435E5C94"/>
    <w:rsid w:val="43607C5E"/>
    <w:rsid w:val="4389060E"/>
    <w:rsid w:val="438A79C3"/>
    <w:rsid w:val="43C8028A"/>
    <w:rsid w:val="43D51667"/>
    <w:rsid w:val="441D78FE"/>
    <w:rsid w:val="443B2C25"/>
    <w:rsid w:val="444A6219"/>
    <w:rsid w:val="447B63D2"/>
    <w:rsid w:val="448421F1"/>
    <w:rsid w:val="44B931B7"/>
    <w:rsid w:val="44DC50C3"/>
    <w:rsid w:val="452F651C"/>
    <w:rsid w:val="455235D7"/>
    <w:rsid w:val="45D37D9B"/>
    <w:rsid w:val="46113492"/>
    <w:rsid w:val="462C02CC"/>
    <w:rsid w:val="464053BE"/>
    <w:rsid w:val="464851B4"/>
    <w:rsid w:val="467C732F"/>
    <w:rsid w:val="474642BA"/>
    <w:rsid w:val="47637D1D"/>
    <w:rsid w:val="478D4D9A"/>
    <w:rsid w:val="48194FD5"/>
    <w:rsid w:val="4828061F"/>
    <w:rsid w:val="484514CB"/>
    <w:rsid w:val="487675DC"/>
    <w:rsid w:val="48C86EE1"/>
    <w:rsid w:val="4972249A"/>
    <w:rsid w:val="498272AD"/>
    <w:rsid w:val="49A34BDC"/>
    <w:rsid w:val="49BF4FB3"/>
    <w:rsid w:val="49FA6EF8"/>
    <w:rsid w:val="4A0701BA"/>
    <w:rsid w:val="4A17094B"/>
    <w:rsid w:val="4A5751EC"/>
    <w:rsid w:val="4A64512B"/>
    <w:rsid w:val="4A784961"/>
    <w:rsid w:val="4A7B35D0"/>
    <w:rsid w:val="4ACF3A3C"/>
    <w:rsid w:val="4B1700DF"/>
    <w:rsid w:val="4B4B11F4"/>
    <w:rsid w:val="4B754894"/>
    <w:rsid w:val="4B9C1A50"/>
    <w:rsid w:val="4BA95F1B"/>
    <w:rsid w:val="4BD96800"/>
    <w:rsid w:val="4C085898"/>
    <w:rsid w:val="4C3677AE"/>
    <w:rsid w:val="4C373527"/>
    <w:rsid w:val="4CD90E2A"/>
    <w:rsid w:val="4D1473C4"/>
    <w:rsid w:val="4D5C3245"/>
    <w:rsid w:val="4DA71FF5"/>
    <w:rsid w:val="4DBC3CE3"/>
    <w:rsid w:val="4E055E94"/>
    <w:rsid w:val="4E1910C7"/>
    <w:rsid w:val="4EAA3D64"/>
    <w:rsid w:val="4EB175C0"/>
    <w:rsid w:val="4EBB21ED"/>
    <w:rsid w:val="4F0F6A19"/>
    <w:rsid w:val="4FCC3F86"/>
    <w:rsid w:val="50504A55"/>
    <w:rsid w:val="50DB26D2"/>
    <w:rsid w:val="515D3A2F"/>
    <w:rsid w:val="51AF590D"/>
    <w:rsid w:val="51BC69A8"/>
    <w:rsid w:val="51C615D4"/>
    <w:rsid w:val="51D10A66"/>
    <w:rsid w:val="528A390F"/>
    <w:rsid w:val="528C6991"/>
    <w:rsid w:val="52C27FEE"/>
    <w:rsid w:val="52C3297B"/>
    <w:rsid w:val="53C02053"/>
    <w:rsid w:val="53CC09F8"/>
    <w:rsid w:val="54054633"/>
    <w:rsid w:val="540605E4"/>
    <w:rsid w:val="54136627"/>
    <w:rsid w:val="545A4256"/>
    <w:rsid w:val="547F0032"/>
    <w:rsid w:val="54A02A20"/>
    <w:rsid w:val="55B24F8F"/>
    <w:rsid w:val="55BD502A"/>
    <w:rsid w:val="55C87B3E"/>
    <w:rsid w:val="56017F1B"/>
    <w:rsid w:val="56A4413A"/>
    <w:rsid w:val="56C105BC"/>
    <w:rsid w:val="56EE3382"/>
    <w:rsid w:val="57142FA7"/>
    <w:rsid w:val="57286ECF"/>
    <w:rsid w:val="5797131D"/>
    <w:rsid w:val="57F33150"/>
    <w:rsid w:val="57FE558C"/>
    <w:rsid w:val="581B1F4E"/>
    <w:rsid w:val="58677DAE"/>
    <w:rsid w:val="586D1575"/>
    <w:rsid w:val="58D67D8C"/>
    <w:rsid w:val="58E10577"/>
    <w:rsid w:val="59165EF7"/>
    <w:rsid w:val="591A2206"/>
    <w:rsid w:val="592461EB"/>
    <w:rsid w:val="59702A12"/>
    <w:rsid w:val="59CF1242"/>
    <w:rsid w:val="59E44CEE"/>
    <w:rsid w:val="59EE5FB9"/>
    <w:rsid w:val="5AE46F75"/>
    <w:rsid w:val="5AED2A9C"/>
    <w:rsid w:val="5B1F1D55"/>
    <w:rsid w:val="5B597015"/>
    <w:rsid w:val="5B891CFC"/>
    <w:rsid w:val="5BC746C9"/>
    <w:rsid w:val="5C642116"/>
    <w:rsid w:val="5C844A63"/>
    <w:rsid w:val="5CC61F72"/>
    <w:rsid w:val="5CDA23D8"/>
    <w:rsid w:val="5CF206F7"/>
    <w:rsid w:val="5D440F45"/>
    <w:rsid w:val="5D6121B1"/>
    <w:rsid w:val="5DA764EE"/>
    <w:rsid w:val="5EA0340D"/>
    <w:rsid w:val="5ED66C3C"/>
    <w:rsid w:val="5EE017FC"/>
    <w:rsid w:val="5F7A468D"/>
    <w:rsid w:val="5F9E76ED"/>
    <w:rsid w:val="5FC66C44"/>
    <w:rsid w:val="5FDD643B"/>
    <w:rsid w:val="5FE61094"/>
    <w:rsid w:val="607249AE"/>
    <w:rsid w:val="60BA3E42"/>
    <w:rsid w:val="60E05AE3"/>
    <w:rsid w:val="6109503A"/>
    <w:rsid w:val="61181E1C"/>
    <w:rsid w:val="6155072E"/>
    <w:rsid w:val="61811074"/>
    <w:rsid w:val="6194383B"/>
    <w:rsid w:val="61A415C7"/>
    <w:rsid w:val="61C71D9F"/>
    <w:rsid w:val="61CB5375"/>
    <w:rsid w:val="61D4389A"/>
    <w:rsid w:val="61EA4E6B"/>
    <w:rsid w:val="61F21F72"/>
    <w:rsid w:val="623348CA"/>
    <w:rsid w:val="625421DB"/>
    <w:rsid w:val="62652744"/>
    <w:rsid w:val="62B40FD5"/>
    <w:rsid w:val="62EA2801"/>
    <w:rsid w:val="63462575"/>
    <w:rsid w:val="636D5D54"/>
    <w:rsid w:val="63A454EE"/>
    <w:rsid w:val="63D11B11"/>
    <w:rsid w:val="64124205"/>
    <w:rsid w:val="64395C36"/>
    <w:rsid w:val="646D768E"/>
    <w:rsid w:val="64966BE4"/>
    <w:rsid w:val="64B37F11"/>
    <w:rsid w:val="64C2650A"/>
    <w:rsid w:val="64E8140A"/>
    <w:rsid w:val="65492532"/>
    <w:rsid w:val="65687212"/>
    <w:rsid w:val="657D5FF6"/>
    <w:rsid w:val="658254E1"/>
    <w:rsid w:val="659A1AD6"/>
    <w:rsid w:val="65BF03BD"/>
    <w:rsid w:val="65C05392"/>
    <w:rsid w:val="65CA685B"/>
    <w:rsid w:val="65CF34A7"/>
    <w:rsid w:val="65DC0E29"/>
    <w:rsid w:val="65F660EF"/>
    <w:rsid w:val="6618187B"/>
    <w:rsid w:val="661E1452"/>
    <w:rsid w:val="663C7C5F"/>
    <w:rsid w:val="6673798C"/>
    <w:rsid w:val="66A03D4A"/>
    <w:rsid w:val="66F83B86"/>
    <w:rsid w:val="672901E4"/>
    <w:rsid w:val="673905B6"/>
    <w:rsid w:val="681C3942"/>
    <w:rsid w:val="68460AAC"/>
    <w:rsid w:val="68AC1CFE"/>
    <w:rsid w:val="68EC626C"/>
    <w:rsid w:val="68F650DE"/>
    <w:rsid w:val="69036813"/>
    <w:rsid w:val="6905484B"/>
    <w:rsid w:val="69227F4C"/>
    <w:rsid w:val="694D7A8E"/>
    <w:rsid w:val="696C085C"/>
    <w:rsid w:val="69DA0037"/>
    <w:rsid w:val="6AC65D4A"/>
    <w:rsid w:val="6B0A032C"/>
    <w:rsid w:val="6B405AFC"/>
    <w:rsid w:val="6BCD1DE6"/>
    <w:rsid w:val="6BEA3CBA"/>
    <w:rsid w:val="6BF07722"/>
    <w:rsid w:val="6C4258A4"/>
    <w:rsid w:val="6C4443B0"/>
    <w:rsid w:val="6C505023"/>
    <w:rsid w:val="6CCE7457"/>
    <w:rsid w:val="6CF41368"/>
    <w:rsid w:val="6CFE5C6F"/>
    <w:rsid w:val="6D14299F"/>
    <w:rsid w:val="6D4C69DA"/>
    <w:rsid w:val="6D5E2269"/>
    <w:rsid w:val="6D672A1E"/>
    <w:rsid w:val="6DC237D1"/>
    <w:rsid w:val="6E100405"/>
    <w:rsid w:val="6E2F4B86"/>
    <w:rsid w:val="6E681EA9"/>
    <w:rsid w:val="6E8421A4"/>
    <w:rsid w:val="6EB56801"/>
    <w:rsid w:val="6F286FD3"/>
    <w:rsid w:val="6F3C482C"/>
    <w:rsid w:val="6F40725E"/>
    <w:rsid w:val="6F4C2770"/>
    <w:rsid w:val="6F745D74"/>
    <w:rsid w:val="6F8F2BAE"/>
    <w:rsid w:val="6FC70A59"/>
    <w:rsid w:val="700C2451"/>
    <w:rsid w:val="704D7B76"/>
    <w:rsid w:val="705D0EFE"/>
    <w:rsid w:val="70AE175A"/>
    <w:rsid w:val="711172CF"/>
    <w:rsid w:val="71FD54DD"/>
    <w:rsid w:val="72035AD5"/>
    <w:rsid w:val="729A3A97"/>
    <w:rsid w:val="72A93942"/>
    <w:rsid w:val="72CA287C"/>
    <w:rsid w:val="730833A3"/>
    <w:rsid w:val="732267F0"/>
    <w:rsid w:val="7329331A"/>
    <w:rsid w:val="738E7E4C"/>
    <w:rsid w:val="739A7F5B"/>
    <w:rsid w:val="73C51294"/>
    <w:rsid w:val="73C66DBA"/>
    <w:rsid w:val="73DB2866"/>
    <w:rsid w:val="7400407A"/>
    <w:rsid w:val="7410294D"/>
    <w:rsid w:val="74275AAB"/>
    <w:rsid w:val="749E3893"/>
    <w:rsid w:val="74C62A79"/>
    <w:rsid w:val="74D177C5"/>
    <w:rsid w:val="750464B4"/>
    <w:rsid w:val="75096F5F"/>
    <w:rsid w:val="752B4572"/>
    <w:rsid w:val="75491385"/>
    <w:rsid w:val="754E7067"/>
    <w:rsid w:val="75815055"/>
    <w:rsid w:val="75B07D22"/>
    <w:rsid w:val="75B82733"/>
    <w:rsid w:val="75D27C98"/>
    <w:rsid w:val="761207A0"/>
    <w:rsid w:val="76373F9F"/>
    <w:rsid w:val="76611729"/>
    <w:rsid w:val="768B469F"/>
    <w:rsid w:val="76B31608"/>
    <w:rsid w:val="76D71644"/>
    <w:rsid w:val="76EE69B8"/>
    <w:rsid w:val="770135F9"/>
    <w:rsid w:val="77106CCA"/>
    <w:rsid w:val="772347AB"/>
    <w:rsid w:val="776C2FB6"/>
    <w:rsid w:val="77D90A2D"/>
    <w:rsid w:val="785A6A91"/>
    <w:rsid w:val="786372CE"/>
    <w:rsid w:val="78FD646B"/>
    <w:rsid w:val="790C34C1"/>
    <w:rsid w:val="796450AB"/>
    <w:rsid w:val="79982284"/>
    <w:rsid w:val="7998662D"/>
    <w:rsid w:val="79F820B0"/>
    <w:rsid w:val="7A2F2846"/>
    <w:rsid w:val="7A305A34"/>
    <w:rsid w:val="7A4035DE"/>
    <w:rsid w:val="7A8C5878"/>
    <w:rsid w:val="7A9E418F"/>
    <w:rsid w:val="7AE975DE"/>
    <w:rsid w:val="7AFB559C"/>
    <w:rsid w:val="7B1A02B2"/>
    <w:rsid w:val="7B364826"/>
    <w:rsid w:val="7B471854"/>
    <w:rsid w:val="7BB87930"/>
    <w:rsid w:val="7BDC1EC1"/>
    <w:rsid w:val="7BDF4EBD"/>
    <w:rsid w:val="7C552333"/>
    <w:rsid w:val="7CA86C55"/>
    <w:rsid w:val="7CB4634A"/>
    <w:rsid w:val="7CDA5B60"/>
    <w:rsid w:val="7CF019C1"/>
    <w:rsid w:val="7D0365C6"/>
    <w:rsid w:val="7D341239"/>
    <w:rsid w:val="7D34485C"/>
    <w:rsid w:val="7D461CAD"/>
    <w:rsid w:val="7D8E0949"/>
    <w:rsid w:val="7DB4261D"/>
    <w:rsid w:val="7DBA173E"/>
    <w:rsid w:val="7DCC76C3"/>
    <w:rsid w:val="7E28286A"/>
    <w:rsid w:val="7E290672"/>
    <w:rsid w:val="7E2E7A36"/>
    <w:rsid w:val="7E3E4D75"/>
    <w:rsid w:val="7E4515FE"/>
    <w:rsid w:val="7E7C115E"/>
    <w:rsid w:val="7EAD59B2"/>
    <w:rsid w:val="7EBF11BA"/>
    <w:rsid w:val="7F596B88"/>
    <w:rsid w:val="7F680E86"/>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2">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87</Pages>
  <Words>4746</Words>
  <Characters>5144</Characters>
  <Lines>2335</Lines>
  <Paragraphs>2269</Paragraphs>
  <TotalTime>11</TotalTime>
  <ScaleCrop>false</ScaleCrop>
  <LinksUpToDate>false</LinksUpToDate>
  <CharactersWithSpaces>5290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2025-04-15T03:11:00Z</dcterms:created>
  <dc:creator>微软用户</dc:creator>
  <cp:lastModifiedBy>中正招标-梁工</cp:lastModifiedBy>
  <cp:lastPrinted>2020-05-26T01:03:00Z</cp:lastPrinted>
  <dcterms:modified xsi:type="dcterms:W3CDTF">2025-05-15T03:16:21Z</dcterms:modified>
  <dc:title>招标编号：UHO2010-G0029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E4D8CD56887B4A28B6D914582FFEA875_13</vt:lpwstr>
  </property>
  <property fmtid="{D5CDD505-2E9C-101B-9397-08002B2CF9AE}" pid="4" name="KSOTemplateDocerSaveRecord">
    <vt:lpwstr>eyJoZGlkIjoiNzFmODkyYTJhYTc0NDU2NmYyMGFlOTA5ZWRiNzRhY2IiLCJ1c2VySWQiOiIxNTIxNDE1MzI1In0=</vt:lpwstr>
  </property>
</Properties>
</file>