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深圳市病媒生物控制效果评估</w:t>
      </w:r>
    </w:p>
    <w:p w14:paraId="504506B8">
      <w:pPr>
        <w:adjustRightInd w:val="0"/>
        <w:snapToGrid w:val="0"/>
        <w:spacing w:line="300" w:lineRule="auto"/>
        <w:jc w:val="center"/>
        <w:rPr>
          <w:rFonts w:ascii="经典标宋简" w:eastAsia="经典标宋简"/>
          <w:b/>
          <w:snapToGrid w:val="0"/>
          <w:kern w:val="0"/>
          <w:sz w:val="44"/>
          <w:szCs w:val="44"/>
        </w:rPr>
      </w:pPr>
    </w:p>
    <w:p w14:paraId="591FF662">
      <w:pPr>
        <w:adjustRightInd w:val="0"/>
        <w:snapToGrid w:val="0"/>
        <w:spacing w:line="300" w:lineRule="auto"/>
        <w:jc w:val="center"/>
        <w:rPr>
          <w:rFonts w:ascii="经典标宋简" w:eastAsia="经典标宋简"/>
          <w:b/>
          <w:snapToGrid w:val="0"/>
          <w:kern w:val="0"/>
          <w:sz w:val="44"/>
          <w:szCs w:val="44"/>
        </w:rPr>
      </w:pPr>
    </w:p>
    <w:p w14:paraId="7D07FE20">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SZZZ2025-QC0152</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四</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B90BB6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深圳市病媒生物控制效果评估</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13</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SZZZ2025-QC0152</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深圳市病媒生物控制效果评估</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4、预算金额：人民币40</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5、最高限价：人民币40</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深圳市病媒生物控制效果评估</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36130325">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lang w:eastAsia="zh-CN"/>
        </w:rPr>
        <w:t>）投标供应商须提供履行合同所必需的设备和专业技术能力的书面声明；（提供《书面声明函》加盖投标人公章，格式自拟）。</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bookmarkStart w:id="116" w:name="_GoBack"/>
      <w:r>
        <w:rPr>
          <w:rFonts w:hint="eastAsia" w:ascii="宋体" w:hAnsi="宋体" w:eastAsia="宋体"/>
          <w:snapToGrid w:val="0"/>
          <w:color w:val="auto"/>
          <w:sz w:val="21"/>
          <w:szCs w:val="21"/>
        </w:rPr>
        <w:t>4、售价：人民币600元，招标文件售后不退。购买招标文件账号信息如下：</w:t>
      </w:r>
    </w:p>
    <w:bookmarkEnd w:id="116"/>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日14点30分（北京时间）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深圳市疾病预防控制中心</w:t>
      </w:r>
    </w:p>
    <w:p w14:paraId="34025C26">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val="en-US" w:eastAsia="zh-CN"/>
        </w:rPr>
        <w:t>深圳市南山区龙苑路8号</w:t>
      </w:r>
    </w:p>
    <w:p w14:paraId="4C32D84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0755-88812320</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29</w:t>
      </w:r>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深圳市病媒生物控制效果评估</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400,000.00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6107FCEE">
      <w:pPr>
        <w:pStyle w:val="255"/>
        <w:spacing w:before="156" w:line="240" w:lineRule="exact"/>
        <w:ind w:firstLine="0" w:firstLineChars="0"/>
        <w:rPr>
          <w:rFonts w:hint="eastAsia" w:asciiTheme="minorEastAsia" w:hAnsiTheme="minorEastAsia" w:eastAsiaTheme="minorEastAsia"/>
          <w:b/>
        </w:rPr>
      </w:pPr>
    </w:p>
    <w:p w14:paraId="58C966F6">
      <w:pPr>
        <w:pStyle w:val="255"/>
        <w:spacing w:before="156"/>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二</w:t>
      </w:r>
      <w:r>
        <w:rPr>
          <w:rFonts w:hint="eastAsia" w:asciiTheme="minorEastAsia" w:hAnsiTheme="minorEastAsia" w:eastAsiaTheme="minorEastAsia"/>
          <w:b/>
        </w:rPr>
        <w:t>）</w:t>
      </w:r>
      <w:r>
        <w:rPr>
          <w:rFonts w:hint="eastAsia" w:asciiTheme="minorEastAsia" w:hAnsiTheme="minorEastAsia" w:eastAsiaTheme="minorEastAsia"/>
          <w:b/>
          <w:lang w:val="en-US" w:eastAsia="zh-CN"/>
        </w:rPr>
        <w:t>项目背景</w:t>
      </w:r>
    </w:p>
    <w:p w14:paraId="1DDB71B6">
      <w:pPr>
        <w:pStyle w:val="506"/>
        <w:wordWrap/>
        <w:spacing w:afterLines="0" w:line="360" w:lineRule="auto"/>
        <w:ind w:left="0" w:leftChars="0" w:firstLine="420" w:firstLineChars="0"/>
        <w:rPr>
          <w:rFonts w:hint="eastAsia" w:cs="Times New Roman"/>
          <w:snapToGrid/>
          <w:spacing w:val="0"/>
          <w:sz w:val="21"/>
          <w:szCs w:val="21"/>
        </w:rPr>
      </w:pPr>
      <w:r>
        <w:rPr>
          <w:rFonts w:hint="eastAsia" w:cs="Times New Roman"/>
          <w:snapToGrid/>
          <w:spacing w:val="0"/>
          <w:sz w:val="21"/>
          <w:szCs w:val="21"/>
        </w:rPr>
        <w:t>为完善病媒生物防制长效管理机制，客观、科学地评估全市病媒生物(鼠、蝇、蚊、蟑）防制工作效果，促进防制工作的规范化、常态化，确保防制质量，进一步巩固深圳市国家卫生城市创建成果，推进健康深圳建设和深圳市健康城市建设，根据《广东省人民政府关于深入开展爱国卫生运动的实施意见》（粤府〔2021〕57 号）、《广东省爱国卫生工作条例》、《市爱卫会关于印发深圳市深入开展爱国卫生运动实施方案（2022—2025 年）的通知》（深爱卫〔2022〕4 号）等文件要求，开展本项目采购。</w:t>
      </w:r>
    </w:p>
    <w:p w14:paraId="106AB1A3">
      <w:pPr>
        <w:pStyle w:val="506"/>
        <w:wordWrap/>
        <w:spacing w:afterLines="0" w:line="360" w:lineRule="auto"/>
        <w:ind w:left="0" w:leftChars="0" w:firstLine="420" w:firstLineChars="0"/>
        <w:rPr>
          <w:rFonts w:hint="eastAsia" w:cs="Times New Roman"/>
          <w:snapToGrid/>
          <w:spacing w:val="0"/>
          <w:sz w:val="21"/>
          <w:szCs w:val="21"/>
        </w:rPr>
      </w:pPr>
    </w:p>
    <w:p w14:paraId="105A0AED">
      <w:pPr>
        <w:pStyle w:val="321"/>
        <w:ind w:firstLine="0" w:firstLineChars="0"/>
        <w:rPr>
          <w:b/>
        </w:rPr>
      </w:pPr>
      <w:r>
        <w:rPr>
          <w:rFonts w:hint="eastAsia"/>
          <w:b/>
        </w:rPr>
        <w:t>二、技术要求</w:t>
      </w:r>
    </w:p>
    <w:p w14:paraId="6AB0BF1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（一）评估目的</w:t>
      </w:r>
    </w:p>
    <w:p w14:paraId="291936CB">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客观、公平、公正地评估全深圳市各区（</w:t>
      </w:r>
      <w:r>
        <w:rPr>
          <w:rFonts w:hint="eastAsia" w:cs="Times New Roman"/>
          <w:snapToGrid/>
          <w:spacing w:val="0"/>
          <w:sz w:val="21"/>
          <w:szCs w:val="21"/>
          <w:lang w:val="en-US" w:eastAsia="zh-CN"/>
        </w:rPr>
        <w:t>含</w:t>
      </w:r>
      <w:r>
        <w:rPr>
          <w:rFonts w:hint="eastAsia" w:cs="Times New Roman"/>
          <w:snapToGrid/>
          <w:spacing w:val="0"/>
          <w:sz w:val="21"/>
          <w:szCs w:val="21"/>
        </w:rPr>
        <w:t>新区）的病媒生物防制效果，强化防制质量监督，推进全市病媒生物防制工作的规范化、常态化，促进病媒生物防制管理水平和服务质量的持续提升，提高病媒生物防制项目资金使用效益，助力健康深圳建设和深圳市健康城市建设。</w:t>
      </w:r>
    </w:p>
    <w:p w14:paraId="4881FFF9">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（二）评估范围及对象</w:t>
      </w:r>
    </w:p>
    <w:p w14:paraId="322DB37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本项目实施范围为全深圳市10个区（</w:t>
      </w:r>
      <w:r>
        <w:rPr>
          <w:rFonts w:hint="eastAsia" w:cs="Times New Roman"/>
          <w:snapToGrid/>
          <w:spacing w:val="0"/>
          <w:sz w:val="21"/>
          <w:szCs w:val="21"/>
          <w:lang w:val="en-US" w:eastAsia="zh-CN"/>
        </w:rPr>
        <w:t>含</w:t>
      </w:r>
      <w:r>
        <w:rPr>
          <w:rFonts w:hint="eastAsia" w:cs="Times New Roman"/>
          <w:snapToGrid/>
          <w:spacing w:val="0"/>
          <w:sz w:val="21"/>
          <w:szCs w:val="21"/>
        </w:rPr>
        <w:t>新区）74个街道740个场所内的病媒生物防制工作。</w:t>
      </w:r>
    </w:p>
    <w:p w14:paraId="436CDCFC">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（三）工作原则</w:t>
      </w:r>
    </w:p>
    <w:p w14:paraId="429E135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1.坚持实事求是，客观公正原则。评估注重工作实绩，各项工作指标必须客观真实地统计和反映实际情况，不得弄虚作假。</w:t>
      </w:r>
    </w:p>
    <w:p w14:paraId="5242C7E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2.坚持科学监测，规范管理原则。评估要合理运用日常病媒生物监测数据，以实际工作数据说话，推进日常工作的规范管理。</w:t>
      </w:r>
    </w:p>
    <w:p w14:paraId="7EBBEC7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3.坚持定性指标和定量相结合原则。要将定量指标和定评指标结合起来，更加全面地评估实际情况，各有关部门要为评估工作顺利实施提供必要的支持。</w:t>
      </w:r>
    </w:p>
    <w:p w14:paraId="73D4BA7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（四）工作依据及标准</w:t>
      </w:r>
    </w:p>
    <w:p w14:paraId="3FA994B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1.评估依据。</w:t>
      </w:r>
    </w:p>
    <w:p w14:paraId="0B855C9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《广东省人民政府关于深入开展爱国卫生运动的实施意见》（粤府〔2021〕57 号）《广东省爱国卫生工作条例》、《市爱卫会关于印发深圳市深入开展爱国卫生运动实施方案（2022—2025 年）的通知》（深爱卫〔2022〕4 号）与《深圳爱国卫生运动委员会深圳卫生和计划生育委员会关于进一步加强病媒生物预防控制工作的通知》（深爱卫〔2017〕26 号）。</w:t>
      </w:r>
    </w:p>
    <w:p w14:paraId="51D04ED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2.评估方法和标准。</w:t>
      </w:r>
    </w:p>
    <w:p w14:paraId="0D425002">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(1)评估方法是采用国家标准《病媒生物密度监测方法》</w:t>
      </w:r>
      <w:r>
        <w:rPr>
          <w:rFonts w:hint="eastAsia" w:cs="Times New Roman"/>
          <w:snapToGrid/>
          <w:spacing w:val="0"/>
          <w:sz w:val="21"/>
          <w:szCs w:val="21"/>
          <w:lang w:val="en-US" w:eastAsia="zh-CN"/>
        </w:rPr>
        <w:t xml:space="preserve"> </w:t>
      </w:r>
      <w:r>
        <w:rPr>
          <w:rFonts w:hint="eastAsia" w:cs="Times New Roman"/>
          <w:snapToGrid/>
          <w:spacing w:val="0"/>
          <w:sz w:val="21"/>
          <w:szCs w:val="21"/>
        </w:rPr>
        <w:t>（蜚蠊GB/T23795-2009、蝇类 GB/T 23796-2009、蚊虫 GB/T 23797-2020、鼠类 GB/T 23798-2009）。</w:t>
      </w:r>
    </w:p>
    <w:p w14:paraId="192C8EE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(2)评估标准采取《国家卫生城市和国家卫生县标准（2021版）和国家标准《病媒生物密度控制水平》（鼠类 GB/T27770-2011、蚊虫GB/T27771-2011、蝇类GB/T27772-2011、蜚蠊 GB/T27773-2011）。</w:t>
      </w:r>
    </w:p>
    <w:p w14:paraId="2EC73123">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（五）评估程序</w:t>
      </w:r>
    </w:p>
    <w:p w14:paraId="29E42EF3">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现场评估按照现场检查、综合评审、撰写报告、反馈结果的程序进行。中标人在评估前需做好评估人员培训，统一评估方法和要求；在现场效果检查时要坚持原则，严格把关，确保评估质量；现场评估后及时汇总资料，对结果进行综合分析。</w:t>
      </w:r>
    </w:p>
    <w:p w14:paraId="02D582C3">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（六）评估内容</w:t>
      </w:r>
    </w:p>
    <w:p w14:paraId="6F671A5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1.区域评估。以74个街道为单位进行现场控制效果评价。</w:t>
      </w:r>
    </w:p>
    <w:p w14:paraId="249317D9">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(1)现场控制效果。按国家标准《病媒生物密度控制水平》现场抽样检查评估鼠、蚊、蝇、蟑密度。</w:t>
      </w:r>
    </w:p>
    <w:p w14:paraId="71FA39C4">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评估点选取及评估重点。评估点的选取由领导小组及评估组专家对被检辖区采取随机方法进行，评估点的数量不少于7个。其中要选择4-5个重点行业进行评估，包括学校，公园，农贸市场，物业小区（城中村），建筑工地等，并结合各行业的实际情况与季节特点，选择3-5个其他行业的单位进行评估。</w:t>
      </w:r>
    </w:p>
    <w:p w14:paraId="68233F99">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(1)农贸市场。重点检查农贸市场内摊点、熟食店等防鼠防蝇设施，室内苍蝇、蟑螂和老鼠密度情况；同时检查农贸市场周边灭鼠、灭蝇等情况。</w:t>
      </w:r>
    </w:p>
    <w:p w14:paraId="071EAC3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(2)餐饮单位。重点检查餐饮单位室内防鼠、防蝇设施，室内苍蝇、蟑螂和老鼠密度情况。</w:t>
      </w:r>
    </w:p>
    <w:p w14:paraId="5CF71041">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(3)物业小区。重点检查物业小区外环境、绿化带、地下停车场、雨污井等“四害”密度及孳生情况。</w:t>
      </w:r>
    </w:p>
    <w:p w14:paraId="363142D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(4)建筑工地。查看建筑工地室内外环境、工人生活区和食堂操作间“四害”密度及孳生情况。</w:t>
      </w:r>
    </w:p>
    <w:p w14:paraId="48E7E829">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(5)公园、绿地等。重点检查水体、花房、假山、游船码头轮胎内等积水处蚊虫孳生，以及灭鼠、灭蝇等情况。</w:t>
      </w:r>
    </w:p>
    <w:p w14:paraId="45C2795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(6)城中村。重点检查城中村外环境、绿化带、防蚊闸、雨污井等“四害”密度及孳生情况。</w:t>
      </w:r>
    </w:p>
    <w:p w14:paraId="166A924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(7)医疗机构。重点查看食堂操作间、病房、中草药房等防鼠、防蝇设施，室内苍蝇、蟑螂和老鼠密度情况；同时检查外环境“四害”密度及孳生情况。</w:t>
      </w:r>
    </w:p>
    <w:p w14:paraId="7F3B3BB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(8)机关、企事业单位。重点查看食堂操作间等防鼠、防蝇设施，室内苍蝇、蟑螂和老鼠密度情况；同时检查外环境灭鼠和灭蝇等情况。</w:t>
      </w:r>
    </w:p>
    <w:p w14:paraId="019E0CA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(9)学校。重点查看食堂操作间等防鼠、防蝇设施，室内外“四害”密度及孳生情况，特别是蚊密度及孳生情况。</w:t>
      </w:r>
    </w:p>
    <w:p w14:paraId="65B1641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(10)火车站、汽车站等窗口单位。重点检查室内防灭蝇设施设置情况，室内外“四害”密度及孳生情况。</w:t>
      </w:r>
    </w:p>
    <w:p w14:paraId="578690AB">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(11)垃圾中转站、公共厕所。重点检查防鼠、防蝇设施，苍蝇、蟑螂和老鼠等密度情况。</w:t>
      </w:r>
    </w:p>
    <w:p w14:paraId="3EAC88D9">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(12)商场、酒店、超市。重点检查室内防鼠、防蝇设施，苍蝇、蟑螂和老鼠密度等情况。</w:t>
      </w:r>
    </w:p>
    <w:p w14:paraId="3AD6850B">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（七）评估结果</w:t>
      </w:r>
    </w:p>
    <w:p w14:paraId="12E07969">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深圳市病媒生物防制质量评估以评估内容每项实际得分计算总得分，并进行排名情况通报。另外，对现场控制效果的评估同时按国家标准《病媒生物密度控制水平》进行等级评定。其中，蚊类的评定选用小型积水路径指数、蚊虫的停落指数，蝇类的评定选用室外蝇类孳生地阳性率、有蝇房间阳性率，鼠类的评定选用鼠外环境路径指数、室内鼠迹阳性率，蟑类的评定选用蟑螂成若虫侵害率（室外查沙井）、蟑迹查获率。情况通报并将现场控制效果等级评定结果予以公布。</w:t>
      </w:r>
    </w:p>
    <w:p w14:paraId="2B0B5A22">
      <w:pPr>
        <w:pStyle w:val="506"/>
        <w:wordWrap/>
        <w:spacing w:afterLines="0" w:line="360" w:lineRule="auto"/>
        <w:ind w:firstLine="420"/>
        <w:rPr>
          <w:rFonts w:cs="Times New Roman"/>
          <w:snapToGrid/>
          <w:spacing w:val="0"/>
          <w:sz w:val="21"/>
          <w:szCs w:val="21"/>
          <w:highlight w:val="yellow"/>
        </w:rPr>
      </w:pPr>
      <w:r>
        <w:rPr>
          <w:rFonts w:hint="eastAsia" w:cs="Times New Roman"/>
          <w:snapToGrid/>
          <w:spacing w:val="0"/>
          <w:sz w:val="21"/>
          <w:szCs w:val="21"/>
          <w:highlight w:val="yellow"/>
        </w:rPr>
        <w:t>（八）★投标人投标期间或者项目执行期间均不得参与深圳市病媒生物监测和市政消杀业务，否则视为无效投标或违约行为。</w:t>
      </w:r>
    </w:p>
    <w:p w14:paraId="00254149">
      <w:pPr>
        <w:pStyle w:val="506"/>
        <w:wordWrap/>
        <w:spacing w:afterLines="0" w:line="360" w:lineRule="auto"/>
        <w:ind w:firstLine="420"/>
        <w:rPr>
          <w:rFonts w:cs="Times New Roman"/>
          <w:snapToGrid/>
          <w:spacing w:val="0"/>
          <w:sz w:val="21"/>
          <w:szCs w:val="21"/>
        </w:rPr>
      </w:pPr>
    </w:p>
    <w:p w14:paraId="4E96071C">
      <w:pPr>
        <w:pStyle w:val="321"/>
        <w:ind w:firstLine="0" w:firstLineChars="0"/>
        <w:rPr>
          <w:rFonts w:hint="default" w:eastAsia="宋体"/>
          <w:b/>
          <w:lang w:val="en-US" w:eastAsia="zh-CN"/>
        </w:rPr>
      </w:pPr>
      <w:r>
        <w:rPr>
          <w:rFonts w:hint="eastAsia"/>
          <w:b/>
        </w:rPr>
        <w:t>三、</w:t>
      </w:r>
      <w:r>
        <w:rPr>
          <w:rFonts w:hint="eastAsia"/>
          <w:b/>
          <w:lang w:val="en-US" w:eastAsia="zh-CN"/>
        </w:rPr>
        <w:t>商务要求</w:t>
      </w:r>
    </w:p>
    <w:p w14:paraId="0FC5A102">
      <w:pPr>
        <w:spacing w:line="360" w:lineRule="auto"/>
        <w:ind w:firstLine="420" w:firstLineChars="200"/>
        <w:rPr>
          <w:rFonts w:hint="eastAsia" w:ascii="宋体" w:hAnsi="宋体" w:cs="楷体"/>
          <w:bCs/>
          <w:highlight w:val="yellow"/>
        </w:rPr>
      </w:pPr>
      <w:r>
        <w:rPr>
          <w:rFonts w:hint="eastAsia" w:ascii="宋体" w:hAnsi="宋体" w:cs="楷体"/>
          <w:bCs/>
          <w:highlight w:val="yellow"/>
        </w:rPr>
        <w:t>1.★履行期限：原则上评估1次（2025年5月-6月开展一次），具体评估时间由采购人安排</w:t>
      </w:r>
      <w:r>
        <w:rPr>
          <w:rFonts w:hint="eastAsia" w:ascii="宋体" w:hAnsi="宋体" w:cs="楷体"/>
          <w:bCs/>
          <w:highlight w:val="yellow"/>
          <w:lang w:eastAsia="zh-CN"/>
        </w:rPr>
        <w:t>。</w:t>
      </w:r>
      <w:r>
        <w:rPr>
          <w:rFonts w:hint="eastAsia" w:ascii="宋体" w:hAnsi="宋体" w:cs="楷体"/>
          <w:bCs/>
          <w:highlight w:val="yellow"/>
        </w:rPr>
        <w:t>特殊情况下要增加评估次数，采购人需与中标人共同商议达成。</w:t>
      </w:r>
    </w:p>
    <w:p w14:paraId="488BF354">
      <w:pPr>
        <w:spacing w:line="360" w:lineRule="auto"/>
        <w:ind w:firstLine="420" w:firstLineChars="200"/>
        <w:rPr>
          <w:rFonts w:hint="eastAsia" w:ascii="宋体" w:hAnsi="宋体" w:cs="楷体"/>
          <w:bCs/>
        </w:rPr>
      </w:pPr>
      <w:r>
        <w:rPr>
          <w:rFonts w:hint="eastAsia" w:ascii="宋体" w:hAnsi="宋体" w:cs="楷体"/>
          <w:bCs/>
        </w:rPr>
        <w:t>2.人员要求：中标人安排至少</w:t>
      </w:r>
      <w:r>
        <w:rPr>
          <w:rFonts w:hint="eastAsia" w:ascii="宋体" w:hAnsi="宋体" w:cs="楷体"/>
          <w:bCs/>
          <w:lang w:val="en-US" w:eastAsia="zh-CN"/>
        </w:rPr>
        <w:t>2</w:t>
      </w:r>
      <w:r>
        <w:rPr>
          <w:rFonts w:hint="eastAsia" w:ascii="宋体" w:hAnsi="宋体" w:cs="楷体"/>
          <w:bCs/>
        </w:rPr>
        <w:t>名具有专业技术人员</w:t>
      </w:r>
      <w:r>
        <w:rPr>
          <w:rFonts w:hint="eastAsia" w:ascii="宋体" w:hAnsi="宋体" w:cs="楷体"/>
          <w:bCs/>
          <w:lang w:val="en-US" w:eastAsia="zh-CN"/>
        </w:rPr>
        <w:t>担任</w:t>
      </w:r>
      <w:r>
        <w:rPr>
          <w:rFonts w:hint="eastAsia" w:ascii="宋体" w:hAnsi="宋体" w:cs="楷体"/>
          <w:bCs/>
        </w:rPr>
        <w:t>管理人员</w:t>
      </w:r>
      <w:r>
        <w:rPr>
          <w:rFonts w:hint="eastAsia" w:ascii="宋体" w:hAnsi="宋体" w:cs="楷体"/>
          <w:bCs/>
          <w:lang w:eastAsia="zh-CN"/>
        </w:rPr>
        <w:t>，</w:t>
      </w:r>
      <w:r>
        <w:rPr>
          <w:rFonts w:hint="eastAsia" w:ascii="宋体" w:hAnsi="宋体" w:cs="楷体"/>
          <w:bCs/>
        </w:rPr>
        <w:t>并安排一名</w:t>
      </w:r>
      <w:r>
        <w:rPr>
          <w:rFonts w:hint="eastAsia" w:ascii="宋体" w:hAnsi="宋体" w:eastAsia="宋体" w:cs="宋体"/>
          <w:sz w:val="21"/>
          <w:szCs w:val="21"/>
        </w:rPr>
        <w:t>具有有害生物或病媒生物相关专业</w:t>
      </w:r>
      <w:r>
        <w:rPr>
          <w:rFonts w:hint="eastAsia" w:ascii="宋体" w:hAnsi="宋体" w:cs="宋体"/>
          <w:sz w:val="21"/>
          <w:szCs w:val="21"/>
          <w:lang w:eastAsia="zh-CN"/>
        </w:rPr>
        <w:t>的</w:t>
      </w:r>
      <w:r>
        <w:rPr>
          <w:rFonts w:hint="eastAsia" w:ascii="宋体" w:hAnsi="宋体" w:cs="宋体"/>
          <w:sz w:val="21"/>
          <w:szCs w:val="21"/>
          <w:lang w:val="en-US" w:eastAsia="zh-CN"/>
        </w:rPr>
        <w:t>管理</w:t>
      </w:r>
      <w:r>
        <w:rPr>
          <w:rFonts w:hint="eastAsia" w:ascii="宋体" w:hAnsi="宋体" w:cs="楷体"/>
          <w:bCs/>
        </w:rPr>
        <w:t>人员担任组长</w:t>
      </w:r>
      <w:r>
        <w:rPr>
          <w:rFonts w:hint="eastAsia" w:ascii="宋体" w:hAnsi="宋体" w:cs="楷体"/>
          <w:bCs/>
          <w:lang w:eastAsia="zh-CN"/>
        </w:rPr>
        <w:t>。</w:t>
      </w:r>
      <w:r>
        <w:rPr>
          <w:rFonts w:hint="eastAsia" w:ascii="宋体" w:hAnsi="宋体" w:cs="楷体"/>
          <w:bCs/>
        </w:rPr>
        <w:t>安排专业人员配合现场检查的专家进行数据录入与资料整理工作。</w:t>
      </w:r>
    </w:p>
    <w:p w14:paraId="693E1041">
      <w:pPr>
        <w:spacing w:line="360" w:lineRule="auto"/>
        <w:ind w:firstLine="420" w:firstLineChars="200"/>
        <w:rPr>
          <w:rFonts w:hint="eastAsia" w:ascii="宋体" w:hAnsi="宋体" w:cs="楷体"/>
          <w:bCs/>
        </w:rPr>
      </w:pPr>
      <w:r>
        <w:rPr>
          <w:rFonts w:hint="eastAsia" w:ascii="宋体" w:hAnsi="宋体" w:cs="楷体"/>
          <w:bCs/>
        </w:rPr>
        <w:t>3.中标人需负责评估工作的业务指导、评估专家的组织与管理，制定实施方案，具体负责质量考评标准培训、评估专家组织、评估实施、质量控制、技术指导和咨询、资料验收、现场评估、评估报告撰写等工作。</w:t>
      </w:r>
    </w:p>
    <w:p w14:paraId="31FD4FF5">
      <w:pPr>
        <w:spacing w:line="360" w:lineRule="auto"/>
        <w:ind w:firstLine="420" w:firstLineChars="200"/>
        <w:rPr>
          <w:rFonts w:hint="eastAsia" w:ascii="宋体" w:hAnsi="宋体" w:cs="楷体"/>
          <w:bCs/>
        </w:rPr>
      </w:pPr>
      <w:r>
        <w:rPr>
          <w:rFonts w:hint="eastAsia" w:ascii="宋体" w:hAnsi="宋体" w:cs="楷体"/>
          <w:bCs/>
        </w:rPr>
        <w:t>4.工作要求：</w:t>
      </w:r>
    </w:p>
    <w:p w14:paraId="1F6C6DA8">
      <w:pPr>
        <w:spacing w:line="360" w:lineRule="auto"/>
        <w:ind w:firstLine="420" w:firstLineChars="200"/>
        <w:rPr>
          <w:rFonts w:hint="eastAsia" w:ascii="宋体" w:hAnsi="宋体" w:cs="楷体"/>
          <w:bCs/>
        </w:rPr>
      </w:pPr>
      <w:r>
        <w:rPr>
          <w:rFonts w:hint="eastAsia" w:ascii="宋体" w:hAnsi="宋体" w:cs="楷体"/>
          <w:bCs/>
        </w:rPr>
        <w:t>(1)高度重视，密切协作。病媒生物防制是全深圳市爱国卫生工作的重要组成部分和健康深圳行动计划的重要内容，各相关部门要坚持政府组织、分级负责、部门分工、全民动手、科学治理、社会监督的工作方针，加强协调，密切配合，形成齐抓共管的良好氛围，把病媒生物防制工作落实到位，不断提高全深圳市病媒生物控制水平。</w:t>
      </w:r>
    </w:p>
    <w:p w14:paraId="0741BE61">
      <w:pPr>
        <w:spacing w:line="360" w:lineRule="auto"/>
        <w:ind w:firstLine="420" w:firstLineChars="200"/>
        <w:rPr>
          <w:rFonts w:hint="eastAsia" w:ascii="宋体" w:hAnsi="宋体" w:cs="楷体"/>
          <w:bCs/>
        </w:rPr>
      </w:pPr>
      <w:r>
        <w:rPr>
          <w:rFonts w:hint="eastAsia" w:ascii="宋体" w:hAnsi="宋体" w:cs="楷体"/>
          <w:bCs/>
        </w:rPr>
        <w:t>(2)加强督办，强化监管。完善爱国卫生运动协同工作机制，持续推进环境卫生整治行动，实施以环境治理为主的病媒生物综合预防控制机制。对于长期未解决或解决后很快反弹的病媒生物防制问题将作为回头看的督导重点，限期整改到位，促进整体防制水平的提高。</w:t>
      </w:r>
    </w:p>
    <w:p w14:paraId="21C4D6F4">
      <w:pPr>
        <w:spacing w:line="360" w:lineRule="auto"/>
        <w:ind w:firstLine="420" w:firstLineChars="200"/>
        <w:rPr>
          <w:rFonts w:hint="eastAsia" w:ascii="宋体" w:hAnsi="宋体" w:cs="楷体"/>
          <w:bCs/>
        </w:rPr>
      </w:pPr>
      <w:r>
        <w:rPr>
          <w:rFonts w:hint="eastAsia" w:ascii="宋体" w:hAnsi="宋体" w:cs="楷体"/>
          <w:bCs/>
        </w:rPr>
        <w:t>(3)严格标准，确保质量。评估要坚持公平、公正、公开的原则，以认真负责的工作态度，周密组织开展评估工作，严格执行标准，保障评估工作有序、顺利、有效开展并确保评估质量。</w:t>
      </w:r>
    </w:p>
    <w:p w14:paraId="65264277">
      <w:pPr>
        <w:spacing w:line="360" w:lineRule="auto"/>
        <w:ind w:firstLine="420" w:firstLineChars="200"/>
        <w:rPr>
          <w:rFonts w:hint="eastAsia" w:ascii="宋体" w:hAnsi="宋体" w:cs="楷体"/>
          <w:bCs/>
        </w:rPr>
      </w:pPr>
      <w:r>
        <w:rPr>
          <w:rFonts w:hint="eastAsia" w:ascii="宋体" w:hAnsi="宋体" w:cs="楷体"/>
          <w:bCs/>
        </w:rPr>
        <w:t>（4）结果通报，促进防制。对评估的情况以街道为单位按标准规范进行汇总、分析，综合评估排名，形成书面材料通报全市。</w:t>
      </w:r>
    </w:p>
    <w:p w14:paraId="6CB58F84">
      <w:pPr>
        <w:spacing w:line="360" w:lineRule="auto"/>
        <w:ind w:firstLine="420" w:firstLineChars="200"/>
        <w:rPr>
          <w:rFonts w:hint="eastAsia" w:ascii="宋体" w:hAnsi="宋体" w:cs="楷体"/>
          <w:bCs/>
        </w:rPr>
      </w:pPr>
      <w:r>
        <w:rPr>
          <w:rFonts w:hint="eastAsia" w:ascii="宋体" w:hAnsi="宋体" w:cs="楷体"/>
          <w:bCs/>
        </w:rPr>
        <w:t>5.付款方式：合同签署后5个工作日预付合同金额的70%，整个项目完成并经采购人验收确认后支付合同金额的30%。</w:t>
      </w:r>
    </w:p>
    <w:p w14:paraId="584D0B6C">
      <w:pPr>
        <w:spacing w:line="360" w:lineRule="auto"/>
        <w:ind w:firstLine="420" w:firstLineChars="200"/>
        <w:rPr>
          <w:rFonts w:hint="eastAsia" w:ascii="宋体" w:hAnsi="宋体" w:cs="楷体"/>
          <w:bCs/>
        </w:rPr>
      </w:pPr>
      <w:r>
        <w:rPr>
          <w:rFonts w:hint="eastAsia" w:ascii="宋体" w:hAnsi="宋体" w:cs="楷体"/>
          <w:bCs/>
        </w:rPr>
        <w:t>6.验收方式：验收合格后，由采购人提供验收合格报告。</w:t>
      </w:r>
    </w:p>
    <w:p w14:paraId="741C3E21">
      <w:pPr>
        <w:spacing w:line="360" w:lineRule="auto"/>
        <w:ind w:firstLine="420" w:firstLineChars="200"/>
        <w:rPr>
          <w:rFonts w:hint="eastAsia" w:ascii="宋体" w:hAnsi="宋体" w:cs="楷体"/>
          <w:bCs/>
        </w:rPr>
      </w:pPr>
      <w:r>
        <w:rPr>
          <w:rFonts w:hint="eastAsia" w:ascii="宋体" w:hAnsi="宋体" w:cs="楷体"/>
          <w:bCs/>
        </w:rPr>
        <w:t>7.因项目服务响应速度服务质量要求较高，中标人需在中标通知书发出之日起3个工作日内提供本项目具体实施方案（包括但不限于时间安排、拟投入本项目人员清单及人员工作内容安排等）交由采购人审核，审核不通过导致本项目实施进度受阻碍的，其后果由中标人一力承担。</w:t>
      </w:r>
    </w:p>
    <w:p w14:paraId="37B50D50">
      <w:pPr>
        <w:spacing w:line="360" w:lineRule="auto"/>
        <w:ind w:firstLine="420" w:firstLineChars="200"/>
        <w:rPr>
          <w:rFonts w:hint="eastAsia" w:ascii="宋体" w:hAnsi="宋体" w:cs="楷体"/>
          <w:bCs/>
        </w:rPr>
      </w:pPr>
      <w:r>
        <w:rPr>
          <w:rFonts w:hint="eastAsia" w:ascii="宋体" w:hAnsi="宋体" w:cs="楷体"/>
          <w:bCs/>
        </w:rPr>
        <w:t>8.报价要求</w:t>
      </w:r>
    </w:p>
    <w:p w14:paraId="0FD63FB3">
      <w:pPr>
        <w:spacing w:line="360" w:lineRule="auto"/>
        <w:ind w:firstLine="420" w:firstLineChars="200"/>
        <w:rPr>
          <w:rFonts w:hint="eastAsia" w:ascii="宋体" w:hAnsi="宋体" w:cs="楷体"/>
          <w:bCs/>
        </w:rPr>
      </w:pPr>
      <w:r>
        <w:rPr>
          <w:rFonts w:hint="eastAsia" w:ascii="宋体" w:hAnsi="宋体" w:cs="楷体"/>
          <w:bCs/>
        </w:rPr>
        <w:t>(1)投标人的投标报价，应是本项目招标范围和招标文件及合同条款上所列的各项内容中所述的全部，不得以任何理由予以重复</w:t>
      </w:r>
      <w:r>
        <w:rPr>
          <w:rFonts w:hint="eastAsia"/>
        </w:rPr>
        <w:t>计算</w:t>
      </w:r>
      <w:r>
        <w:rPr>
          <w:rFonts w:hint="eastAsia" w:ascii="宋体" w:hAnsi="宋体" w:cs="楷体"/>
          <w:bCs/>
        </w:rPr>
        <w:t>，并以投标人在投标文件中提出的综合单价或总价为依据。</w:t>
      </w:r>
    </w:p>
    <w:p w14:paraId="0628CF28">
      <w:pPr>
        <w:spacing w:line="360" w:lineRule="auto"/>
        <w:ind w:firstLine="420" w:firstLineChars="200"/>
        <w:rPr>
          <w:rFonts w:hint="eastAsia" w:ascii="宋体" w:hAnsi="宋体" w:cs="楷体"/>
          <w:bCs/>
        </w:rPr>
      </w:pPr>
      <w:r>
        <w:rPr>
          <w:rFonts w:hint="eastAsia" w:ascii="宋体" w:hAnsi="宋体" w:cs="楷体"/>
          <w:bCs/>
        </w:rPr>
        <w:t>(2)投标人应充分了解项目的位置、情况、道路及任何其它足以影响投标报价的情况，任何因忽视或误解项目情况而导致的索赔或服务期限延长申请将不获批准。</w:t>
      </w:r>
    </w:p>
    <w:p w14:paraId="65F6B528">
      <w:pPr>
        <w:spacing w:line="360" w:lineRule="auto"/>
        <w:ind w:firstLine="420" w:firstLineChars="200"/>
        <w:rPr>
          <w:rFonts w:hint="eastAsia" w:ascii="宋体" w:hAnsi="宋体" w:cs="楷体"/>
          <w:bCs/>
        </w:rPr>
      </w:pPr>
      <w:r>
        <w:rPr>
          <w:rFonts w:hint="eastAsia" w:ascii="宋体" w:hAnsi="宋体" w:cs="楷体"/>
          <w:bCs/>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7D811A3B">
      <w:pPr>
        <w:spacing w:line="360" w:lineRule="auto"/>
        <w:ind w:firstLine="420" w:firstLineChars="200"/>
        <w:rPr>
          <w:rFonts w:hint="eastAsia" w:ascii="宋体" w:hAnsi="宋体" w:cs="楷体"/>
          <w:bCs/>
        </w:rPr>
      </w:pPr>
      <w:r>
        <w:rPr>
          <w:rFonts w:hint="eastAsia" w:ascii="宋体" w:hAnsi="宋体" w:cs="楷体"/>
          <w:bCs/>
        </w:rPr>
        <w:t>(4)投标人须考虑本项目在实施期间的一切可能产生的费用。在项目实施过程中，如项目工作范围发生变更，由中标人和采购人双方协商解决；其余情况下，投标总价均不予调整。</w:t>
      </w:r>
    </w:p>
    <w:p w14:paraId="5C51B56E">
      <w:pPr>
        <w:pStyle w:val="2"/>
      </w:pPr>
    </w:p>
    <w:p w14:paraId="502C3CAC">
      <w:pPr>
        <w:pStyle w:val="321"/>
        <w:ind w:firstLine="0" w:firstLineChars="0"/>
        <w:rPr>
          <w:rFonts w:hint="eastAsia"/>
          <w:b/>
        </w:rPr>
      </w:pPr>
      <w:r>
        <w:rPr>
          <w:rFonts w:hint="eastAsia"/>
          <w:b/>
          <w:lang w:val="en-US" w:eastAsia="zh-CN"/>
        </w:rPr>
        <w:t>四、</w:t>
      </w:r>
      <w:r>
        <w:rPr>
          <w:rFonts w:hint="eastAsia"/>
          <w:b/>
        </w:rPr>
        <w:t>其他商务要求</w:t>
      </w:r>
    </w:p>
    <w:p w14:paraId="63ED90C8">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1.保密义务</w:t>
      </w:r>
      <w:r>
        <w:rPr>
          <w:rFonts w:hint="eastAsia" w:ascii="宋体" w:hAnsi="宋体" w:cs="楷体"/>
          <w:bCs/>
          <w:lang w:val="en-US" w:eastAsia="zh-CN"/>
        </w:rPr>
        <w:tab/>
      </w:r>
    </w:p>
    <w:p w14:paraId="4CA9881C">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1.1.采购人、中标人双方在采购和履行合同过程中所获悉的所有信息都属于保密的内容，采购人与中标人双方均有保密义务。</w:t>
      </w:r>
    </w:p>
    <w:p w14:paraId="0CB74F61">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2.合同的变更</w:t>
      </w:r>
    </w:p>
    <w:p w14:paraId="3AA5B856">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2.1.在合同履行过程中，采购人、中标人双方可就合同履行的时间、地点和方式等协商进行变更。协商一致后，双方应签订书面的补充协议。</w:t>
      </w:r>
    </w:p>
    <w:p w14:paraId="6B284D71">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2.2.在不改变合同其他条款的前提下，采购人与中标人经协商一致，可就追加或减少与合同标的相同的货物或服务签订补充合同，但所有补充合同的采购金额不得超过原合同采购金额的百分之十。追加或减少货物或服务应基于实际需求，符合合同目的，并遵循相关法律法规及政府采购政策的规定。</w:t>
      </w:r>
    </w:p>
    <w:p w14:paraId="57533B99">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2.3.除了双方签署书面协议，并成为合同不可分割的一部分之外，合同条件不得有任何变更。</w:t>
      </w:r>
    </w:p>
    <w:p w14:paraId="00883695">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3.合同转让和分包</w:t>
      </w:r>
    </w:p>
    <w:p w14:paraId="2A20C1FB">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3.1.中标人不得以任何形式部分或全部转让其应履行的合同义务。</w:t>
      </w:r>
    </w:p>
    <w:p w14:paraId="5A4EF256">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3.2.除非在投标文件中提出的分包项目和建议的分包人，中标人不得采用分包方式履行合同。</w:t>
      </w:r>
    </w:p>
    <w:p w14:paraId="4F4E2CD2">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3.3.在合同实施过程中，除非中标人违约，采购人不得指定分包人。</w:t>
      </w:r>
    </w:p>
    <w:p w14:paraId="5057EE6F">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4.解决争议的方法</w:t>
      </w:r>
      <w:r>
        <w:rPr>
          <w:rFonts w:hint="eastAsia" w:ascii="宋体" w:hAnsi="宋体" w:cs="楷体"/>
          <w:bCs/>
          <w:lang w:val="en-US" w:eastAsia="zh-CN"/>
        </w:rPr>
        <w:tab/>
      </w:r>
    </w:p>
    <w:p w14:paraId="6509FC19">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4.1.合同各方应通过友好协商，解决在执行合同过程中所发生的或与合同有关的一切争端。</w:t>
      </w:r>
    </w:p>
    <w:p w14:paraId="57D2FBF2">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4.2.如协商不能解决，任一方可向采购人所在地的人民法院提起诉讼。</w:t>
      </w:r>
    </w:p>
    <w:p w14:paraId="12A9EE52">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4.3.在诉讼期间，除正在进行诉讼的部分外，合同的其他部分应继续执行。</w:t>
      </w:r>
    </w:p>
    <w:p w14:paraId="125531C7">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5.合同语言</w:t>
      </w:r>
      <w:r>
        <w:rPr>
          <w:rFonts w:hint="eastAsia" w:ascii="宋体" w:hAnsi="宋体" w:cs="楷体"/>
          <w:bCs/>
          <w:lang w:val="en-US" w:eastAsia="zh-CN"/>
        </w:rPr>
        <w:tab/>
      </w:r>
    </w:p>
    <w:p w14:paraId="35D81576">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5.1.合同以及双方来住的与合同有关的信件、传真和其它文件应用中文书写。</w:t>
      </w:r>
    </w:p>
    <w:p w14:paraId="21EE8A8A">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6.法律适用</w:t>
      </w:r>
      <w:r>
        <w:rPr>
          <w:rFonts w:hint="eastAsia" w:ascii="宋体" w:hAnsi="宋体" w:cs="楷体"/>
          <w:bCs/>
          <w:lang w:val="en-US" w:eastAsia="zh-CN"/>
        </w:rPr>
        <w:tab/>
      </w:r>
    </w:p>
    <w:p w14:paraId="7A61D71F">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6.1.合同适用中华人民共和国现行法律、行政法规和规章，如合同条款与法律、行政法规和规章不一致的，按照法律、行政法规和规章修改合同。</w:t>
      </w:r>
    </w:p>
    <w:p w14:paraId="2F1C6BA6">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7.通知</w:t>
      </w:r>
      <w:r>
        <w:rPr>
          <w:rFonts w:hint="eastAsia" w:ascii="宋体" w:hAnsi="宋体" w:cs="楷体"/>
          <w:bCs/>
          <w:lang w:val="en-US" w:eastAsia="zh-CN"/>
        </w:rPr>
        <w:tab/>
      </w:r>
    </w:p>
    <w:p w14:paraId="49B14B08">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7.1.合同一方给另一方的通知均应采用书面形式，传真或快递送到对方的地址和办理签收手续。</w:t>
      </w:r>
    </w:p>
    <w:p w14:paraId="72337EB9">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7.2.通知以送到之日或通知书中规定的生效之日起生效，两者中以较迟之日为准。</w:t>
      </w:r>
    </w:p>
    <w:p w14:paraId="5E20D73B">
      <w:pPr>
        <w:spacing w:line="360" w:lineRule="auto"/>
        <w:ind w:firstLine="420" w:firstLineChars="200"/>
        <w:rPr>
          <w:rFonts w:hint="eastAsia" w:ascii="宋体" w:hAnsi="宋体" w:cs="楷体"/>
          <w:bCs/>
          <w:highlight w:val="yellow"/>
          <w:lang w:val="en-US" w:eastAsia="zh-CN"/>
        </w:rPr>
      </w:pPr>
      <w:r>
        <w:rPr>
          <w:rFonts w:hint="eastAsia" w:ascii="宋体" w:hAnsi="宋体" w:cs="楷体"/>
          <w:bCs/>
          <w:highlight w:val="yellow"/>
          <w:lang w:val="en-US" w:eastAsia="zh-CN"/>
        </w:rPr>
        <w:t>8.★知识产权</w:t>
      </w:r>
      <w:r>
        <w:rPr>
          <w:rFonts w:hint="eastAsia" w:ascii="宋体" w:hAnsi="宋体" w:cs="楷体"/>
          <w:bCs/>
          <w:highlight w:val="yellow"/>
          <w:lang w:val="en-US" w:eastAsia="zh-CN"/>
        </w:rPr>
        <w:tab/>
      </w:r>
    </w:p>
    <w:p w14:paraId="6F767DC6">
      <w:pPr>
        <w:spacing w:line="360" w:lineRule="auto"/>
        <w:ind w:firstLine="420" w:firstLineChars="200"/>
        <w:rPr>
          <w:rFonts w:hint="eastAsia" w:ascii="宋体" w:hAnsi="宋体" w:cs="楷体"/>
          <w:bCs/>
          <w:highlight w:val="yellow"/>
          <w:lang w:val="en-US" w:eastAsia="zh-CN"/>
        </w:rPr>
      </w:pPr>
      <w:r>
        <w:rPr>
          <w:rFonts w:hint="eastAsia" w:ascii="宋体" w:hAnsi="宋体" w:cs="楷体"/>
          <w:bCs/>
          <w:highlight w:val="yellow"/>
          <w:lang w:val="en-US" w:eastAsia="zh-CN"/>
        </w:rPr>
        <w:t>8.1.★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74A889DB">
      <w:pPr>
        <w:spacing w:line="360" w:lineRule="auto"/>
        <w:ind w:firstLine="420" w:firstLineChars="200"/>
        <w:rPr>
          <w:rFonts w:hint="eastAsia" w:ascii="宋体" w:hAnsi="宋体" w:cs="楷体"/>
          <w:bCs/>
          <w:highlight w:val="yellow"/>
          <w:lang w:val="en-US" w:eastAsia="zh-CN"/>
        </w:rPr>
      </w:pPr>
      <w:r>
        <w:rPr>
          <w:rFonts w:hint="eastAsia" w:ascii="宋体" w:hAnsi="宋体" w:cs="楷体"/>
          <w:bCs/>
          <w:highlight w:val="yellow"/>
          <w:lang w:val="en-US" w:eastAsia="zh-CN"/>
        </w:rPr>
        <w:t>8.2.★除第三人依法享有知识产权的除外，中标人实施本项目所形成成果的知识产权归采购人所有，未经采购人许可，中标人不得随意使用。</w:t>
      </w:r>
    </w:p>
    <w:p w14:paraId="097368D7">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9.合同解除和终止</w:t>
      </w:r>
      <w:r>
        <w:rPr>
          <w:rFonts w:hint="eastAsia" w:ascii="宋体" w:hAnsi="宋体" w:cs="楷体"/>
          <w:bCs/>
          <w:lang w:val="en-US" w:eastAsia="zh-CN"/>
        </w:rPr>
        <w:tab/>
      </w:r>
    </w:p>
    <w:p w14:paraId="55157F94">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9.1.如果中标人未能在协议规定的限期或采购人同意延长的限期内提供部分或全部货物/服务，采购人可向中标人发出书面的违约通知书，提出终止部份或全部协议。采购人可在任何时候出于自身的便利向中标人发出书面通知终止部分合同，采购人在合同总价中扣除该终止部分货物/服务的价款，并不再对中标人作出额外赔偿。</w:t>
      </w:r>
    </w:p>
    <w:p w14:paraId="062997B1">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10.税费</w:t>
      </w:r>
      <w:r>
        <w:rPr>
          <w:rFonts w:hint="eastAsia" w:ascii="宋体" w:hAnsi="宋体" w:cs="楷体"/>
          <w:bCs/>
          <w:lang w:val="en-US" w:eastAsia="zh-CN"/>
        </w:rPr>
        <w:tab/>
      </w:r>
    </w:p>
    <w:p w14:paraId="7BC304D5">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中国政府根据现行税法向中标人征收的与合同有关的一切税费均由中标人负责。</w:t>
      </w:r>
    </w:p>
    <w:p w14:paraId="1B06AE9D">
      <w:pPr>
        <w:spacing w:line="360" w:lineRule="auto"/>
        <w:ind w:firstLine="420" w:firstLineChars="200"/>
        <w:rPr>
          <w:rFonts w:hint="eastAsia" w:ascii="宋体" w:hAnsi="宋体" w:cs="楷体"/>
          <w:bCs/>
        </w:rPr>
      </w:pPr>
      <w:bookmarkStart w:id="8" w:name="_Toc135293161"/>
    </w:p>
    <w:p w14:paraId="3301BB2A">
      <w:pPr>
        <w:rPr>
          <w:rFonts w:hint="eastAsia"/>
        </w:rPr>
      </w:pPr>
      <w:r>
        <w:rPr>
          <w:rFonts w:hint="eastAsia"/>
        </w:rPr>
        <w:br w:type="page"/>
      </w:r>
    </w:p>
    <w:p w14:paraId="4E9A8D12">
      <w:pPr>
        <w:pStyle w:val="5"/>
        <w:jc w:val="both"/>
        <w:rPr>
          <w:rFonts w:hint="eastAsia"/>
        </w:rPr>
      </w:pPr>
    </w:p>
    <w:p w14:paraId="260C741C">
      <w:pPr>
        <w:pStyle w:val="3"/>
      </w:pPr>
      <w:r>
        <w:rPr>
          <w:rFonts w:hint="eastAsia"/>
        </w:rPr>
        <w:t>第三章  投标文件初审</w:t>
      </w:r>
      <w:bookmarkEnd w:id="8"/>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B99DD1A">
      <w:pPr>
        <w:pStyle w:val="3"/>
        <w:spacing w:after="0"/>
        <w:rPr>
          <w:rFonts w:hint="eastAsia"/>
        </w:rPr>
      </w:pPr>
    </w:p>
    <w:p w14:paraId="1A9745C8">
      <w:pPr>
        <w:pStyle w:val="3"/>
        <w:spacing w:after="0"/>
      </w:pPr>
      <w:r>
        <w:rPr>
          <w:rFonts w:hint="eastAsia"/>
        </w:rPr>
        <w:t>第四章  评标方法和标准</w:t>
      </w:r>
      <w:bookmarkEnd w:id="9"/>
    </w:p>
    <w:p w14:paraId="4A994828"/>
    <w:p w14:paraId="2F2DF2E1">
      <w:pPr>
        <w:pStyle w:val="5"/>
        <w:spacing w:before="0" w:after="0"/>
      </w:pPr>
      <w:bookmarkStart w:id="10" w:name="_Toc44690429"/>
      <w:bookmarkStart w:id="11" w:name="_Toc44691161"/>
      <w:bookmarkStart w:id="12" w:name="_Toc44690702"/>
      <w:bookmarkStart w:id="13" w:name="_Toc44691393"/>
      <w:bookmarkStart w:id="14" w:name="_Toc135293163"/>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5"/>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Change w:id="0">
          <w:tblGrid>
            <w:gridCol w:w="754"/>
            <w:gridCol w:w="1143"/>
            <w:gridCol w:w="709"/>
            <w:gridCol w:w="5953"/>
            <w:gridCol w:w="1187"/>
          </w:tblGrid>
        </w:tblGridChange>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一、价格部分</w:t>
            </w:r>
          </w:p>
        </w:tc>
        <w:tc>
          <w:tcPr>
            <w:tcW w:w="1187" w:type="dxa"/>
            <w:vAlign w:val="center"/>
          </w:tcPr>
          <w:p w14:paraId="1DE27575">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hint="eastAsia" w:ascii="宋体" w:hAnsi="宋体" w:eastAsia="宋体" w:cs="宋体"/>
                <w:szCs w:val="21"/>
              </w:rPr>
            </w:pPr>
            <w:r>
              <w:rPr>
                <w:rFonts w:hint="eastAsia" w:ascii="宋体" w:hAnsi="宋体" w:eastAsia="宋体" w:cs="宋体"/>
                <w:szCs w:val="21"/>
              </w:rPr>
              <w:t>投标报价得分=(评标基准价／投标报价)×权重</w:t>
            </w:r>
          </w:p>
          <w:p w14:paraId="7B571D75">
            <w:pPr>
              <w:adjustRightInd w:val="0"/>
              <w:snapToGrid w:val="0"/>
              <w:spacing w:line="360" w:lineRule="exact"/>
              <w:rPr>
                <w:rFonts w:hint="eastAsia" w:ascii="宋体" w:hAnsi="宋体" w:eastAsia="宋体" w:cs="宋体"/>
                <w:snapToGrid w:val="0"/>
                <w:kern w:val="0"/>
                <w:szCs w:val="21"/>
              </w:rPr>
            </w:pPr>
            <w:r>
              <w:rPr>
                <w:rFonts w:hint="eastAsia" w:ascii="宋体" w:hAnsi="宋体" w:eastAsia="宋体" w:cs="宋体"/>
                <w:snapToGrid w:val="0"/>
                <w:kern w:val="0"/>
                <w:szCs w:val="21"/>
              </w:rPr>
              <w:t>备注：</w:t>
            </w:r>
          </w:p>
          <w:p w14:paraId="4FBF6DC5">
            <w:pPr>
              <w:adjustRightInd w:val="0"/>
              <w:snapToGrid w:val="0"/>
              <w:spacing w:line="360" w:lineRule="exact"/>
              <w:rPr>
                <w:rFonts w:hint="eastAsia" w:ascii="宋体" w:hAnsi="宋体" w:eastAsia="宋体" w:cs="宋体"/>
                <w:bCs/>
                <w:snapToGrid w:val="0"/>
                <w:kern w:val="0"/>
                <w:szCs w:val="21"/>
              </w:rPr>
            </w:pPr>
            <w:r>
              <w:rPr>
                <w:rFonts w:hint="eastAsia" w:ascii="宋体" w:hAnsi="宋体" w:eastAsia="宋体" w:cs="宋体"/>
                <w:snapToGrid w:val="0"/>
                <w:kern w:val="0"/>
                <w:szCs w:val="21"/>
              </w:rPr>
              <w:t>1、因落实政府采购政策进行价格调整的，以调整后的价格计算评标基准价和投标报价</w:t>
            </w:r>
            <w:r>
              <w:rPr>
                <w:rFonts w:hint="eastAsia" w:ascii="宋体" w:hAnsi="宋体" w:eastAsia="宋体" w:cs="宋体"/>
                <w:bCs/>
                <w:snapToGrid w:val="0"/>
                <w:kern w:val="0"/>
                <w:szCs w:val="21"/>
              </w:rPr>
              <w:t>；</w:t>
            </w:r>
          </w:p>
          <w:p w14:paraId="2A37719C">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napToGrid w:val="0"/>
                <w:kern w:val="0"/>
                <w:szCs w:val="21"/>
              </w:rPr>
              <w:t>2、投标报价得分四舍五入后，小数点后保留两位有效数</w:t>
            </w:r>
            <w:r>
              <w:rPr>
                <w:rFonts w:hint="eastAsia" w:ascii="宋体" w:hAnsi="宋体" w:eastAsia="宋体" w:cs="宋体"/>
                <w:szCs w:val="21"/>
              </w:rPr>
              <w:t>。</w:t>
            </w:r>
          </w:p>
        </w:tc>
        <w:tc>
          <w:tcPr>
            <w:tcW w:w="1187" w:type="dxa"/>
            <w:vAlign w:val="center"/>
          </w:tcPr>
          <w:p w14:paraId="7C813416">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二、技术部分</w:t>
            </w:r>
          </w:p>
        </w:tc>
        <w:tc>
          <w:tcPr>
            <w:tcW w:w="1187" w:type="dxa"/>
            <w:vAlign w:val="center"/>
          </w:tcPr>
          <w:p w14:paraId="59C79198">
            <w:pPr>
              <w:autoSpaceDE w:val="0"/>
              <w:autoSpaceDN w:val="0"/>
              <w:adjustRightInd w:val="0"/>
              <w:spacing w:line="360" w:lineRule="exact"/>
              <w:jc w:val="center"/>
              <w:rPr>
                <w:rFonts w:hint="eastAsia" w:ascii="宋体" w:hAnsi="宋体" w:eastAsia="宋体" w:cs="宋体"/>
                <w:b/>
                <w:szCs w:val="21"/>
                <w:lang w:val="en-US" w:eastAsia="zh-CN"/>
              </w:rPr>
            </w:pPr>
            <w:r>
              <w:rPr>
                <w:rFonts w:hint="eastAsia" w:ascii="宋体" w:hAnsi="宋体" w:eastAsia="宋体" w:cs="宋体"/>
                <w:b/>
                <w:szCs w:val="21"/>
                <w:highlight w:val="yellow"/>
                <w:lang w:val="en-US" w:eastAsia="zh-CN"/>
              </w:rPr>
              <w:t>53</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1143" w:type="dxa"/>
            <w:vAlign w:val="center"/>
          </w:tcPr>
          <w:p w14:paraId="0DF48DA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内容</w:t>
            </w:r>
          </w:p>
        </w:tc>
        <w:tc>
          <w:tcPr>
            <w:tcW w:w="709" w:type="dxa"/>
            <w:vAlign w:val="center"/>
          </w:tcPr>
          <w:p w14:paraId="0221EF29">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5953" w:type="dxa"/>
            <w:vAlign w:val="center"/>
          </w:tcPr>
          <w:p w14:paraId="4CB82A7D">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评分规则</w:t>
            </w:r>
          </w:p>
        </w:tc>
        <w:tc>
          <w:tcPr>
            <w:tcW w:w="1187" w:type="dxa"/>
            <w:vAlign w:val="center"/>
          </w:tcPr>
          <w:p w14:paraId="584AB56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adjustRightInd w:val="0"/>
              <w:snapToGrid w:val="0"/>
              <w:spacing w:line="360" w:lineRule="exact"/>
              <w:jc w:val="center"/>
              <w:rPr>
                <w:rFonts w:hint="eastAsia" w:ascii="宋体" w:hAnsi="宋体" w:eastAsia="宋体" w:cs="宋体"/>
                <w:szCs w:val="21"/>
              </w:rPr>
            </w:pPr>
            <w:r>
              <w:rPr>
                <w:rFonts w:hint="eastAsia" w:ascii="宋体" w:hAnsi="宋体" w:eastAsia="宋体" w:cs="宋体"/>
                <w:sz w:val="21"/>
                <w:szCs w:val="21"/>
              </w:rPr>
              <w:t>1</w:t>
            </w:r>
          </w:p>
        </w:tc>
        <w:tc>
          <w:tcPr>
            <w:tcW w:w="1143" w:type="dxa"/>
            <w:vAlign w:val="center"/>
          </w:tcPr>
          <w:p w14:paraId="2E5A057B">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项目总体概述及理解</w:t>
            </w:r>
          </w:p>
        </w:tc>
        <w:tc>
          <w:tcPr>
            <w:tcW w:w="709" w:type="dxa"/>
            <w:vAlign w:val="center"/>
          </w:tcPr>
          <w:p w14:paraId="490D2051">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15分</w:t>
            </w:r>
          </w:p>
        </w:tc>
        <w:tc>
          <w:tcPr>
            <w:tcW w:w="5953" w:type="dxa"/>
            <w:vAlign w:val="center"/>
          </w:tcPr>
          <w:p w14:paraId="7F348019">
            <w:pPr>
              <w:adjustRightInd w:val="0"/>
              <w:snapToGrid w:val="0"/>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评审内容：</w:t>
            </w:r>
          </w:p>
          <w:p w14:paraId="2DA38F2D">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投标人提供的项目总体概述及理解具体内容包括：</w:t>
            </w:r>
          </w:p>
          <w:p w14:paraId="351542F0">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（1）对项目的理解；</w:t>
            </w:r>
          </w:p>
          <w:p w14:paraId="5970302C">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（2）对项目发展现状及相关规划理解；</w:t>
            </w:r>
          </w:p>
          <w:p w14:paraId="0FAF0DA9">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（3）组织实施的总体思路和综合措施。</w:t>
            </w:r>
          </w:p>
          <w:p w14:paraId="7F6E24CB">
            <w:pPr>
              <w:adjustRightInd w:val="0"/>
              <w:snapToGrid w:val="0"/>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评分标准：</w:t>
            </w:r>
          </w:p>
          <w:p w14:paraId="798D1A4D">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包含以上三个内容的得</w:t>
            </w:r>
            <w:r>
              <w:rPr>
                <w:rFonts w:hint="eastAsia" w:ascii="宋体" w:hAnsi="宋体" w:eastAsia="宋体" w:cs="宋体"/>
                <w:sz w:val="21"/>
                <w:szCs w:val="21"/>
                <w:lang w:val="en-US" w:eastAsia="zh-CN"/>
              </w:rPr>
              <w:t>9</w:t>
            </w:r>
            <w:r>
              <w:rPr>
                <w:rFonts w:hint="eastAsia" w:ascii="宋体" w:hAnsi="宋体" w:eastAsia="宋体" w:cs="宋体"/>
                <w:sz w:val="21"/>
                <w:szCs w:val="21"/>
              </w:rPr>
              <w:t>分；包含以上两个内容的得</w:t>
            </w:r>
            <w:r>
              <w:rPr>
                <w:rFonts w:hint="eastAsia" w:ascii="宋体" w:hAnsi="宋体" w:eastAsia="宋体" w:cs="宋体"/>
                <w:sz w:val="21"/>
                <w:szCs w:val="21"/>
                <w:lang w:val="en-US" w:eastAsia="zh-CN"/>
              </w:rPr>
              <w:t>6</w:t>
            </w:r>
            <w:r>
              <w:rPr>
                <w:rFonts w:hint="eastAsia" w:ascii="宋体" w:hAnsi="宋体" w:eastAsia="宋体" w:cs="宋体"/>
                <w:sz w:val="21"/>
                <w:szCs w:val="21"/>
              </w:rPr>
              <w:t>分；包含以上一个内容的得</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分。 </w:t>
            </w:r>
          </w:p>
          <w:p w14:paraId="6E1B3AC7">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在此基础上，按照下列要求进行加分： </w:t>
            </w:r>
          </w:p>
          <w:p w14:paraId="5C2B41E5">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（1）有具体的发展规划及实施措施； </w:t>
            </w:r>
          </w:p>
          <w:p w14:paraId="622ACD06">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（2）从多角度分析项目背景及发展规划；</w:t>
            </w:r>
          </w:p>
          <w:p w14:paraId="7D5633EB">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（3）提出3条以上的合理化建议。 </w:t>
            </w:r>
          </w:p>
          <w:p w14:paraId="24FBC0FC">
            <w:pPr>
              <w:adjustRightInd w:val="0"/>
              <w:snapToGrid w:val="0"/>
              <w:spacing w:line="360" w:lineRule="exact"/>
              <w:jc w:val="left"/>
              <w:rPr>
                <w:rFonts w:hint="eastAsia" w:ascii="宋体" w:hAnsi="宋体" w:eastAsia="宋体" w:cs="宋体"/>
                <w:kern w:val="0"/>
                <w:szCs w:val="21"/>
              </w:rPr>
            </w:pPr>
            <w:r>
              <w:rPr>
                <w:rFonts w:hint="eastAsia" w:ascii="宋体" w:hAnsi="宋体" w:eastAsia="宋体" w:cs="宋体"/>
                <w:sz w:val="21"/>
                <w:szCs w:val="21"/>
              </w:rPr>
              <w:t>满足以上三项要求，加</w:t>
            </w:r>
            <w:r>
              <w:rPr>
                <w:rFonts w:hint="eastAsia" w:ascii="宋体" w:hAnsi="宋体" w:eastAsia="宋体" w:cs="宋体"/>
                <w:sz w:val="21"/>
                <w:szCs w:val="21"/>
                <w:lang w:val="en-US" w:eastAsia="zh-CN"/>
              </w:rPr>
              <w:t>6</w:t>
            </w:r>
            <w:r>
              <w:rPr>
                <w:rFonts w:hint="eastAsia" w:ascii="宋体" w:hAnsi="宋体" w:eastAsia="宋体" w:cs="宋体"/>
                <w:sz w:val="21"/>
                <w:szCs w:val="21"/>
              </w:rPr>
              <w:t>分，满足以上任意两项要求，加</w:t>
            </w:r>
            <w:r>
              <w:rPr>
                <w:rFonts w:hint="eastAsia" w:ascii="宋体" w:hAnsi="宋体" w:eastAsia="宋体" w:cs="宋体"/>
                <w:sz w:val="21"/>
                <w:szCs w:val="21"/>
                <w:lang w:val="en-US" w:eastAsia="zh-CN"/>
              </w:rPr>
              <w:t>4</w:t>
            </w:r>
            <w:r>
              <w:rPr>
                <w:rFonts w:hint="eastAsia" w:ascii="宋体" w:hAnsi="宋体" w:eastAsia="宋体" w:cs="宋体"/>
                <w:sz w:val="21"/>
                <w:szCs w:val="21"/>
              </w:rPr>
              <w:t>分，满足以上任意一项要求，加</w:t>
            </w:r>
            <w:r>
              <w:rPr>
                <w:rFonts w:hint="eastAsia" w:ascii="宋体" w:hAnsi="宋体" w:eastAsia="宋体" w:cs="宋体"/>
                <w:sz w:val="21"/>
                <w:szCs w:val="21"/>
                <w:lang w:val="en-US" w:eastAsia="zh-CN"/>
              </w:rPr>
              <w:t>2</w:t>
            </w:r>
            <w:r>
              <w:rPr>
                <w:rFonts w:hint="eastAsia" w:ascii="宋体" w:hAnsi="宋体" w:eastAsia="宋体" w:cs="宋体"/>
                <w:sz w:val="21"/>
                <w:szCs w:val="21"/>
              </w:rPr>
              <w:t>分，其他情况不得分。</w:t>
            </w:r>
          </w:p>
        </w:tc>
        <w:tc>
          <w:tcPr>
            <w:tcW w:w="1187" w:type="dxa"/>
            <w:vAlign w:val="center"/>
          </w:tcPr>
          <w:p w14:paraId="50F1958A">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djustRightInd w:val="0"/>
              <w:snapToGrid w:val="0"/>
              <w:spacing w:line="360" w:lineRule="exact"/>
              <w:jc w:val="center"/>
              <w:rPr>
                <w:rFonts w:hint="eastAsia" w:ascii="宋体" w:hAnsi="宋体" w:eastAsia="宋体" w:cs="宋体"/>
                <w:szCs w:val="21"/>
                <w:lang w:val="zh-CN"/>
              </w:rPr>
            </w:pPr>
            <w:r>
              <w:rPr>
                <w:rFonts w:hint="eastAsia" w:ascii="宋体" w:hAnsi="宋体" w:eastAsia="宋体" w:cs="宋体"/>
                <w:sz w:val="21"/>
                <w:szCs w:val="21"/>
              </w:rPr>
              <w:t>2</w:t>
            </w:r>
          </w:p>
        </w:tc>
        <w:tc>
          <w:tcPr>
            <w:tcW w:w="1143" w:type="dxa"/>
            <w:vAlign w:val="center"/>
          </w:tcPr>
          <w:p w14:paraId="0E417498">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实施方案</w:t>
            </w:r>
          </w:p>
        </w:tc>
        <w:tc>
          <w:tcPr>
            <w:tcW w:w="709" w:type="dxa"/>
            <w:vAlign w:val="center"/>
          </w:tcPr>
          <w:p w14:paraId="74E131CA">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15分</w:t>
            </w:r>
          </w:p>
        </w:tc>
        <w:tc>
          <w:tcPr>
            <w:tcW w:w="5953" w:type="dxa"/>
            <w:vAlign w:val="center"/>
          </w:tcPr>
          <w:p w14:paraId="7B91CFF5">
            <w:pPr>
              <w:adjustRightInd w:val="0"/>
              <w:snapToGrid w:val="0"/>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评审内容：</w:t>
            </w:r>
          </w:p>
          <w:p w14:paraId="200189CD">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投标人提供的实施方案具体内容包括：</w:t>
            </w:r>
          </w:p>
          <w:p w14:paraId="5665E0E1">
            <w:pPr>
              <w:numPr>
                <w:ilvl w:val="0"/>
                <w:numId w:val="4"/>
              </w:num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方案的总目标以及制定依据；</w:t>
            </w:r>
          </w:p>
          <w:p w14:paraId="65CFD6CB">
            <w:pPr>
              <w:numPr>
                <w:ilvl w:val="0"/>
                <w:numId w:val="4"/>
              </w:num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方案工作内容；</w:t>
            </w:r>
          </w:p>
          <w:p w14:paraId="638C4700">
            <w:pPr>
              <w:numPr>
                <w:ilvl w:val="0"/>
                <w:numId w:val="4"/>
              </w:num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方案进度计划；</w:t>
            </w:r>
          </w:p>
          <w:p w14:paraId="6346E33F">
            <w:pPr>
              <w:adjustRightInd w:val="0"/>
              <w:snapToGrid w:val="0"/>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评分标准：</w:t>
            </w:r>
          </w:p>
          <w:p w14:paraId="715FA2F4">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包含以上三个内容的得</w:t>
            </w:r>
            <w:r>
              <w:rPr>
                <w:rFonts w:hint="eastAsia" w:ascii="宋体" w:hAnsi="宋体" w:eastAsia="宋体" w:cs="宋体"/>
                <w:sz w:val="21"/>
                <w:szCs w:val="21"/>
                <w:lang w:val="en-US" w:eastAsia="zh-CN"/>
              </w:rPr>
              <w:t>9</w:t>
            </w:r>
            <w:r>
              <w:rPr>
                <w:rFonts w:hint="eastAsia" w:ascii="宋体" w:hAnsi="宋体" w:eastAsia="宋体" w:cs="宋体"/>
                <w:sz w:val="21"/>
                <w:szCs w:val="21"/>
              </w:rPr>
              <w:t>分；包含以上两个内容的得</w:t>
            </w:r>
            <w:r>
              <w:rPr>
                <w:rFonts w:hint="eastAsia" w:ascii="宋体" w:hAnsi="宋体" w:eastAsia="宋体" w:cs="宋体"/>
                <w:sz w:val="21"/>
                <w:szCs w:val="21"/>
                <w:lang w:val="en-US" w:eastAsia="zh-CN"/>
              </w:rPr>
              <w:t>6</w:t>
            </w:r>
            <w:r>
              <w:rPr>
                <w:rFonts w:hint="eastAsia" w:ascii="宋体" w:hAnsi="宋体" w:eastAsia="宋体" w:cs="宋体"/>
                <w:sz w:val="21"/>
                <w:szCs w:val="21"/>
              </w:rPr>
              <w:t>分；包含以上一个内容的得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679C9933">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在此基础上，按照下列要求进行加分：</w:t>
            </w:r>
          </w:p>
          <w:p w14:paraId="6E493532">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（1）从多角度、全面的提出对方案的总体思路表述清晰；</w:t>
            </w:r>
          </w:p>
          <w:p w14:paraId="48C9287C">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（2）对拟安排投入项目的各人员有详细的工作安排及详细的工作内容；</w:t>
            </w:r>
          </w:p>
          <w:p w14:paraId="1ECCE83E">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（3）方案中各项工作内容有详细的进度计划及完成方法。</w:t>
            </w:r>
          </w:p>
          <w:p w14:paraId="69ACC9F3">
            <w:pPr>
              <w:adjustRightInd w:val="0"/>
              <w:snapToGrid w:val="0"/>
              <w:spacing w:line="360" w:lineRule="exact"/>
              <w:jc w:val="left"/>
              <w:rPr>
                <w:rFonts w:hint="eastAsia" w:ascii="宋体" w:hAnsi="宋体" w:eastAsia="宋体" w:cs="宋体"/>
                <w:szCs w:val="21"/>
              </w:rPr>
            </w:pPr>
            <w:r>
              <w:rPr>
                <w:rFonts w:hint="eastAsia" w:ascii="宋体" w:hAnsi="宋体" w:eastAsia="宋体" w:cs="宋体"/>
                <w:sz w:val="21"/>
                <w:szCs w:val="21"/>
              </w:rPr>
              <w:t>满足以上三项要求，加</w:t>
            </w:r>
            <w:r>
              <w:rPr>
                <w:rFonts w:hint="eastAsia" w:ascii="宋体" w:hAnsi="宋体" w:eastAsia="宋体" w:cs="宋体"/>
                <w:sz w:val="21"/>
                <w:szCs w:val="21"/>
                <w:lang w:val="en-US" w:eastAsia="zh-CN"/>
              </w:rPr>
              <w:t>6</w:t>
            </w:r>
            <w:r>
              <w:rPr>
                <w:rFonts w:hint="eastAsia" w:ascii="宋体" w:hAnsi="宋体" w:eastAsia="宋体" w:cs="宋体"/>
                <w:sz w:val="21"/>
                <w:szCs w:val="21"/>
              </w:rPr>
              <w:t>分，满足以上任意两项要求，加</w:t>
            </w:r>
            <w:r>
              <w:rPr>
                <w:rFonts w:hint="eastAsia" w:ascii="宋体" w:hAnsi="宋体" w:eastAsia="宋体" w:cs="宋体"/>
                <w:sz w:val="21"/>
                <w:szCs w:val="21"/>
                <w:lang w:val="en-US" w:eastAsia="zh-CN"/>
              </w:rPr>
              <w:t>4</w:t>
            </w:r>
            <w:r>
              <w:rPr>
                <w:rFonts w:hint="eastAsia" w:ascii="宋体" w:hAnsi="宋体" w:eastAsia="宋体" w:cs="宋体"/>
                <w:sz w:val="21"/>
                <w:szCs w:val="21"/>
              </w:rPr>
              <w:t>分，满足以上任意一项要求，加</w:t>
            </w:r>
            <w:r>
              <w:rPr>
                <w:rFonts w:hint="eastAsia" w:ascii="宋体" w:hAnsi="宋体" w:eastAsia="宋体" w:cs="宋体"/>
                <w:sz w:val="21"/>
                <w:szCs w:val="21"/>
                <w:lang w:val="en-US" w:eastAsia="zh-CN"/>
              </w:rPr>
              <w:t>2</w:t>
            </w:r>
            <w:r>
              <w:rPr>
                <w:rFonts w:hint="eastAsia" w:ascii="宋体" w:hAnsi="宋体" w:eastAsia="宋体" w:cs="宋体"/>
                <w:sz w:val="21"/>
                <w:szCs w:val="21"/>
              </w:rPr>
              <w:t>分，其他情况不得分。</w:t>
            </w:r>
          </w:p>
        </w:tc>
        <w:tc>
          <w:tcPr>
            <w:tcW w:w="1187" w:type="dxa"/>
            <w:vAlign w:val="center"/>
          </w:tcPr>
          <w:p w14:paraId="05A8D7C2">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1" w:author="中正-杨先生" w:date="2025-04-17T09:32:02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90" w:hRule="atLeast"/>
          <w:jc w:val="center"/>
          <w:trPrChange w:id="1" w:author="中正-杨先生" w:date="2025-04-17T09:32:02Z">
            <w:trPr>
              <w:trHeight w:val="5543" w:hRule="atLeast"/>
              <w:jc w:val="center"/>
            </w:trPr>
          </w:trPrChange>
        </w:trPr>
        <w:tc>
          <w:tcPr>
            <w:tcW w:w="754" w:type="dxa"/>
            <w:vAlign w:val="center"/>
            <w:tcPrChange w:id="2" w:author="中正-杨先生" w:date="2025-04-17T09:32:02Z">
              <w:tcPr>
                <w:tcW w:w="754" w:type="dxa"/>
                <w:vAlign w:val="center"/>
              </w:tcPr>
            </w:tcPrChange>
          </w:tcPr>
          <w:p w14:paraId="506E387D">
            <w:pPr>
              <w:adjustRightInd w:val="0"/>
              <w:snapToGrid w:val="0"/>
              <w:spacing w:line="360" w:lineRule="exact"/>
              <w:jc w:val="center"/>
              <w:rPr>
                <w:rFonts w:hint="eastAsia" w:ascii="宋体" w:hAnsi="宋体" w:eastAsia="宋体" w:cs="宋体"/>
                <w:szCs w:val="21"/>
              </w:rPr>
            </w:pPr>
            <w:r>
              <w:rPr>
                <w:rFonts w:hint="eastAsia" w:ascii="宋体" w:hAnsi="宋体" w:eastAsia="宋体" w:cs="宋体"/>
                <w:sz w:val="21"/>
                <w:szCs w:val="21"/>
              </w:rPr>
              <w:t>3</w:t>
            </w:r>
          </w:p>
        </w:tc>
        <w:tc>
          <w:tcPr>
            <w:tcW w:w="1143" w:type="dxa"/>
            <w:vAlign w:val="center"/>
            <w:tcPrChange w:id="3" w:author="中正-杨先生" w:date="2025-04-17T09:32:02Z">
              <w:tcPr>
                <w:tcW w:w="1143" w:type="dxa"/>
                <w:vAlign w:val="center"/>
              </w:tcPr>
            </w:tcPrChange>
          </w:tcPr>
          <w:p w14:paraId="7D70D69D">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质量保障措施及方案</w:t>
            </w:r>
          </w:p>
        </w:tc>
        <w:tc>
          <w:tcPr>
            <w:tcW w:w="709" w:type="dxa"/>
            <w:vAlign w:val="center"/>
            <w:tcPrChange w:id="4" w:author="中正-杨先生" w:date="2025-04-17T09:32:02Z">
              <w:tcPr>
                <w:tcW w:w="709" w:type="dxa"/>
                <w:vAlign w:val="center"/>
              </w:tcPr>
            </w:tcPrChange>
          </w:tcPr>
          <w:p w14:paraId="364828A2">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15分</w:t>
            </w:r>
          </w:p>
        </w:tc>
        <w:tc>
          <w:tcPr>
            <w:tcW w:w="5953" w:type="dxa"/>
            <w:vAlign w:val="center"/>
            <w:tcPrChange w:id="5" w:author="中正-杨先生" w:date="2025-04-17T09:32:02Z">
              <w:tcPr>
                <w:tcW w:w="5953" w:type="dxa"/>
                <w:vAlign w:val="center"/>
              </w:tcPr>
            </w:tcPrChange>
          </w:tcPr>
          <w:p w14:paraId="2728F009">
            <w:pPr>
              <w:adjustRightInd w:val="0"/>
              <w:snapToGrid w:val="0"/>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评审内容：</w:t>
            </w:r>
          </w:p>
          <w:p w14:paraId="513479E5">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投标人提供的质量保障措施及方案具体内容包括： </w:t>
            </w:r>
          </w:p>
          <w:p w14:paraId="29FCEF10">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（1）完成时间保障措施；</w:t>
            </w:r>
          </w:p>
          <w:p w14:paraId="7D745833">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（2）安全环保保证措施；</w:t>
            </w:r>
          </w:p>
          <w:p w14:paraId="469B14A2">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项目</w:t>
            </w:r>
            <w:r>
              <w:rPr>
                <w:rFonts w:hint="eastAsia" w:ascii="宋体" w:hAnsi="宋体" w:eastAsia="宋体" w:cs="宋体"/>
                <w:sz w:val="21"/>
                <w:szCs w:val="21"/>
              </w:rPr>
              <w:t>质量保证措施；</w:t>
            </w:r>
          </w:p>
          <w:p w14:paraId="7BF0BC02">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b/>
                <w:bCs/>
                <w:sz w:val="21"/>
                <w:szCs w:val="21"/>
              </w:rPr>
              <w:t>评分标准：</w:t>
            </w:r>
            <w:r>
              <w:rPr>
                <w:rFonts w:hint="eastAsia" w:ascii="宋体" w:hAnsi="宋体" w:eastAsia="宋体" w:cs="宋体"/>
                <w:sz w:val="21"/>
                <w:szCs w:val="21"/>
              </w:rPr>
              <w:t xml:space="preserve"> </w:t>
            </w:r>
          </w:p>
          <w:p w14:paraId="0A01AEC6">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包含以上三个内容的得</w:t>
            </w:r>
            <w:r>
              <w:rPr>
                <w:rFonts w:hint="eastAsia" w:ascii="宋体" w:hAnsi="宋体" w:eastAsia="宋体" w:cs="宋体"/>
                <w:sz w:val="21"/>
                <w:szCs w:val="21"/>
                <w:lang w:val="en-US" w:eastAsia="zh-CN"/>
              </w:rPr>
              <w:t>9</w:t>
            </w:r>
            <w:r>
              <w:rPr>
                <w:rFonts w:hint="eastAsia" w:ascii="宋体" w:hAnsi="宋体" w:eastAsia="宋体" w:cs="宋体"/>
                <w:sz w:val="21"/>
                <w:szCs w:val="21"/>
              </w:rPr>
              <w:t>分；包含以上两个内容的得</w:t>
            </w:r>
            <w:r>
              <w:rPr>
                <w:rFonts w:hint="eastAsia" w:ascii="宋体" w:hAnsi="宋体" w:eastAsia="宋体" w:cs="宋体"/>
                <w:sz w:val="21"/>
                <w:szCs w:val="21"/>
                <w:lang w:val="en-US" w:eastAsia="zh-CN"/>
              </w:rPr>
              <w:t>6</w:t>
            </w:r>
            <w:r>
              <w:rPr>
                <w:rFonts w:hint="eastAsia" w:ascii="宋体" w:hAnsi="宋体" w:eastAsia="宋体" w:cs="宋体"/>
                <w:sz w:val="21"/>
                <w:szCs w:val="21"/>
              </w:rPr>
              <w:t>分；包含以上一个内容的得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02B10C43">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在此基础上，按照下列要求进行加分：</w:t>
            </w:r>
          </w:p>
          <w:p w14:paraId="33FEB98E">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（1）对质量保证有承诺，且有合理可行的相应经济处罚措施；</w:t>
            </w:r>
          </w:p>
          <w:p w14:paraId="60EF7FE7">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（2）安全环保措施提供详细措施清单；</w:t>
            </w:r>
          </w:p>
          <w:p w14:paraId="58CACE78">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（3）对完成时间保证有承诺，且有合理可行的相应经济处罚措施；</w:t>
            </w:r>
          </w:p>
          <w:p w14:paraId="5F3440F8">
            <w:pPr>
              <w:adjustRightInd w:val="0"/>
              <w:snapToGrid w:val="0"/>
              <w:spacing w:line="360" w:lineRule="exact"/>
              <w:jc w:val="left"/>
              <w:rPr>
                <w:rFonts w:hint="eastAsia" w:ascii="宋体" w:hAnsi="宋体" w:eastAsia="宋体" w:cs="宋体"/>
                <w:kern w:val="0"/>
                <w:szCs w:val="21"/>
              </w:rPr>
            </w:pPr>
            <w:r>
              <w:rPr>
                <w:rFonts w:hint="eastAsia" w:ascii="宋体" w:hAnsi="宋体" w:eastAsia="宋体" w:cs="宋体"/>
                <w:sz w:val="21"/>
                <w:szCs w:val="21"/>
              </w:rPr>
              <w:t>满足以上三项要求，加</w:t>
            </w:r>
            <w:r>
              <w:rPr>
                <w:rFonts w:hint="eastAsia" w:ascii="宋体" w:hAnsi="宋体" w:eastAsia="宋体" w:cs="宋体"/>
                <w:sz w:val="21"/>
                <w:szCs w:val="21"/>
                <w:lang w:val="en-US" w:eastAsia="zh-CN"/>
              </w:rPr>
              <w:t>6</w:t>
            </w:r>
            <w:r>
              <w:rPr>
                <w:rFonts w:hint="eastAsia" w:ascii="宋体" w:hAnsi="宋体" w:eastAsia="宋体" w:cs="宋体"/>
                <w:sz w:val="21"/>
                <w:szCs w:val="21"/>
              </w:rPr>
              <w:t>分，满足以上任意两项要求，加</w:t>
            </w:r>
            <w:r>
              <w:rPr>
                <w:rFonts w:hint="eastAsia" w:ascii="宋体" w:hAnsi="宋体" w:eastAsia="宋体" w:cs="宋体"/>
                <w:sz w:val="21"/>
                <w:szCs w:val="21"/>
                <w:lang w:val="en-US" w:eastAsia="zh-CN"/>
              </w:rPr>
              <w:t>4</w:t>
            </w:r>
            <w:r>
              <w:rPr>
                <w:rFonts w:hint="eastAsia" w:ascii="宋体" w:hAnsi="宋体" w:eastAsia="宋体" w:cs="宋体"/>
                <w:sz w:val="21"/>
                <w:szCs w:val="21"/>
              </w:rPr>
              <w:t>分，满足以上任意一项要求，加</w:t>
            </w:r>
            <w:r>
              <w:rPr>
                <w:rFonts w:hint="eastAsia" w:ascii="宋体" w:hAnsi="宋体" w:eastAsia="宋体" w:cs="宋体"/>
                <w:sz w:val="21"/>
                <w:szCs w:val="21"/>
                <w:lang w:val="en-US" w:eastAsia="zh-CN"/>
              </w:rPr>
              <w:t>2</w:t>
            </w:r>
            <w:r>
              <w:rPr>
                <w:rFonts w:hint="eastAsia" w:ascii="宋体" w:hAnsi="宋体" w:eastAsia="宋体" w:cs="宋体"/>
                <w:sz w:val="21"/>
                <w:szCs w:val="21"/>
              </w:rPr>
              <w:t>分，其他情况不得分。</w:t>
            </w:r>
          </w:p>
        </w:tc>
        <w:tc>
          <w:tcPr>
            <w:tcW w:w="1187" w:type="dxa"/>
            <w:vAlign w:val="center"/>
            <w:tcPrChange w:id="6" w:author="中正-杨先生" w:date="2025-04-17T09:32:02Z">
              <w:tcPr>
                <w:tcW w:w="1187" w:type="dxa"/>
                <w:vAlign w:val="center"/>
              </w:tcPr>
            </w:tcPrChange>
          </w:tcPr>
          <w:p w14:paraId="7B7D9FBE">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6825486">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4</w:t>
            </w:r>
          </w:p>
        </w:tc>
        <w:tc>
          <w:tcPr>
            <w:tcW w:w="1143" w:type="dxa"/>
            <w:vAlign w:val="center"/>
          </w:tcPr>
          <w:p w14:paraId="0E029A92">
            <w:pPr>
              <w:adjustRightInd w:val="0"/>
              <w:snapToGrid w:val="0"/>
              <w:spacing w:line="360" w:lineRule="exact"/>
              <w:jc w:val="center"/>
              <w:rPr>
                <w:rFonts w:hint="eastAsia" w:ascii="宋体" w:hAnsi="宋体" w:eastAsia="宋体" w:cs="宋体"/>
                <w:szCs w:val="21"/>
              </w:rPr>
            </w:pPr>
            <w:r>
              <w:rPr>
                <w:rFonts w:hint="eastAsia" w:ascii="宋体" w:hAnsi="宋体" w:eastAsia="宋体" w:cs="宋体"/>
                <w:sz w:val="21"/>
                <w:szCs w:val="21"/>
              </w:rPr>
              <w:t>项目重点难点分析、应对措施</w:t>
            </w:r>
          </w:p>
        </w:tc>
        <w:tc>
          <w:tcPr>
            <w:tcW w:w="709" w:type="dxa"/>
            <w:vAlign w:val="center"/>
          </w:tcPr>
          <w:p w14:paraId="7274A6F1">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5953" w:type="dxa"/>
            <w:vAlign w:val="center"/>
          </w:tcPr>
          <w:p w14:paraId="3916DDE2">
            <w:pPr>
              <w:adjustRightInd w:val="0"/>
              <w:snapToGrid w:val="0"/>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评审内容：</w:t>
            </w:r>
          </w:p>
          <w:p w14:paraId="579FFCFA">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对项目的重点难点进行分析，提出合理、可操作的应对措施建议。本项目的重点难点至少应包括:</w:t>
            </w:r>
          </w:p>
          <w:p w14:paraId="7B2F869F">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（1）项目重点分析：考察投标人对病媒生物防治等方面的分析理解；</w:t>
            </w:r>
          </w:p>
          <w:p w14:paraId="00DD1116">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（2）项目难点分析：考察投标人对项目在团队、项目执行等问题的理解分析；</w:t>
            </w:r>
          </w:p>
          <w:p w14:paraId="5FB39F34">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（3）对项目重点难点提出的应对措施的可行性，以及合理化建议的可操作性；</w:t>
            </w:r>
          </w:p>
          <w:p w14:paraId="35BCAA4B">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（4）对项目执行过程中潜在问题的分析预判，并提出对策建议。 </w:t>
            </w:r>
          </w:p>
          <w:p w14:paraId="70E1323B">
            <w:pPr>
              <w:adjustRightInd w:val="0"/>
              <w:snapToGrid w:val="0"/>
              <w:spacing w:line="360" w:lineRule="exact"/>
              <w:jc w:val="left"/>
              <w:rPr>
                <w:rFonts w:hint="eastAsia" w:ascii="宋体" w:hAnsi="宋体" w:eastAsia="宋体" w:cs="宋体"/>
                <w:b/>
                <w:bCs/>
                <w:sz w:val="21"/>
                <w:szCs w:val="21"/>
              </w:rPr>
            </w:pPr>
            <w:r>
              <w:rPr>
                <w:rFonts w:hint="eastAsia" w:ascii="宋体" w:hAnsi="宋体" w:eastAsia="宋体" w:cs="宋体"/>
                <w:b/>
                <w:bCs/>
                <w:sz w:val="21"/>
                <w:szCs w:val="21"/>
              </w:rPr>
              <w:t>评分标准：</w:t>
            </w:r>
          </w:p>
          <w:p w14:paraId="53D9C104">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满足上述4项内容的，得</w:t>
            </w:r>
            <w:r>
              <w:rPr>
                <w:rFonts w:hint="eastAsia" w:ascii="宋体" w:hAnsi="宋体" w:eastAsia="宋体" w:cs="宋体"/>
                <w:sz w:val="21"/>
                <w:szCs w:val="21"/>
                <w:lang w:val="en-US" w:eastAsia="zh-CN"/>
              </w:rPr>
              <w:t>4</w:t>
            </w:r>
            <w:r>
              <w:rPr>
                <w:rFonts w:hint="eastAsia" w:ascii="宋体" w:hAnsi="宋体" w:eastAsia="宋体" w:cs="宋体"/>
                <w:sz w:val="21"/>
                <w:szCs w:val="21"/>
              </w:rPr>
              <w:t>分，满足上述任意3项的，得</w:t>
            </w:r>
            <w:r>
              <w:rPr>
                <w:rFonts w:hint="eastAsia" w:ascii="宋体" w:hAnsi="宋体" w:eastAsia="宋体" w:cs="宋体"/>
                <w:sz w:val="21"/>
                <w:szCs w:val="21"/>
                <w:lang w:val="en-US" w:eastAsia="zh-CN"/>
              </w:rPr>
              <w:t>3</w:t>
            </w:r>
            <w:r>
              <w:rPr>
                <w:rFonts w:hint="eastAsia" w:ascii="宋体" w:hAnsi="宋体" w:eastAsia="宋体" w:cs="宋体"/>
                <w:sz w:val="21"/>
                <w:szCs w:val="21"/>
              </w:rPr>
              <w:t>分；满足上述任意2项的，得</w:t>
            </w:r>
            <w:r>
              <w:rPr>
                <w:rFonts w:hint="eastAsia" w:ascii="宋体" w:hAnsi="宋体" w:eastAsia="宋体" w:cs="宋体"/>
                <w:sz w:val="21"/>
                <w:szCs w:val="21"/>
                <w:lang w:val="en-US" w:eastAsia="zh-CN"/>
              </w:rPr>
              <w:t>2</w:t>
            </w:r>
            <w:r>
              <w:rPr>
                <w:rFonts w:hint="eastAsia" w:ascii="宋体" w:hAnsi="宋体" w:eastAsia="宋体" w:cs="宋体"/>
                <w:sz w:val="21"/>
                <w:szCs w:val="21"/>
              </w:rPr>
              <w:t>分；满足上述任意1项的，得</w:t>
            </w:r>
            <w:r>
              <w:rPr>
                <w:rFonts w:hint="eastAsia" w:ascii="宋体" w:hAnsi="宋体" w:eastAsia="宋体" w:cs="宋体"/>
                <w:sz w:val="21"/>
                <w:szCs w:val="21"/>
                <w:lang w:val="en-US" w:eastAsia="zh-CN"/>
              </w:rPr>
              <w:t>1</w:t>
            </w:r>
            <w:r>
              <w:rPr>
                <w:rFonts w:hint="eastAsia" w:ascii="宋体" w:hAnsi="宋体" w:eastAsia="宋体" w:cs="宋体"/>
                <w:sz w:val="21"/>
                <w:szCs w:val="21"/>
              </w:rPr>
              <w:t>分；不满足上述任意1项的，不得分。</w:t>
            </w:r>
          </w:p>
          <w:p w14:paraId="34E19B56">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在此基础上，按照下列要求进行加分：</w:t>
            </w:r>
          </w:p>
          <w:p w14:paraId="54162C82">
            <w:pPr>
              <w:adjustRightInd w:val="0"/>
              <w:snapToGri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（1）从前瞻性、系统性等角度研判重难点；</w:t>
            </w:r>
          </w:p>
          <w:p w14:paraId="6248274E">
            <w:pPr>
              <w:adjustRightInd w:val="0"/>
              <w:snapToGri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（2）从可实施、可操作的角度提出应对措施；</w:t>
            </w:r>
          </w:p>
          <w:p w14:paraId="687D8F22">
            <w:pPr>
              <w:adjustRightInd w:val="0"/>
              <w:snapToGrid w:val="0"/>
              <w:spacing w:line="360" w:lineRule="exact"/>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（3）多角度、有针对性的提出相关合理化建议；</w:t>
            </w:r>
            <w:r>
              <w:rPr>
                <w:rFonts w:hint="eastAsia" w:ascii="宋体" w:hAnsi="宋体" w:eastAsia="宋体" w:cs="宋体"/>
                <w:sz w:val="21"/>
                <w:szCs w:val="21"/>
                <w:highlight w:val="none"/>
              </w:rPr>
              <w:br w:type="textWrapping"/>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提出四条及以上潜在问题，并给出对应的对策与建议</w:t>
            </w:r>
          </w:p>
          <w:p w14:paraId="3A5A2BA6">
            <w:pPr>
              <w:adjustRightInd w:val="0"/>
              <w:snapToGrid w:val="0"/>
              <w:spacing w:line="360" w:lineRule="exact"/>
              <w:jc w:val="left"/>
              <w:rPr>
                <w:rFonts w:hint="eastAsia" w:ascii="宋体" w:hAnsi="宋体" w:eastAsia="宋体" w:cs="宋体"/>
                <w:szCs w:val="21"/>
              </w:rPr>
            </w:pPr>
            <w:r>
              <w:rPr>
                <w:rFonts w:hint="eastAsia" w:ascii="宋体" w:hAnsi="宋体" w:eastAsia="宋体" w:cs="宋体"/>
                <w:sz w:val="21"/>
                <w:szCs w:val="21"/>
                <w:highlight w:val="none"/>
              </w:rPr>
              <w:t>每体现一点内容加</w:t>
            </w:r>
            <w:r>
              <w:rPr>
                <w:rFonts w:hint="default" w:ascii="宋体" w:hAnsi="宋体" w:eastAsia="宋体" w:cs="宋体"/>
                <w:sz w:val="21"/>
                <w:szCs w:val="21"/>
                <w:highlight w:val="none"/>
                <w:lang w:val="en-US"/>
              </w:rPr>
              <w:t>1</w:t>
            </w:r>
            <w:r>
              <w:rPr>
                <w:rFonts w:hint="eastAsia" w:ascii="宋体" w:hAnsi="宋体" w:eastAsia="宋体" w:cs="宋体"/>
                <w:sz w:val="21"/>
                <w:szCs w:val="21"/>
                <w:highlight w:val="none"/>
              </w:rPr>
              <w:t>分，最多加</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c>
          <w:tcPr>
            <w:tcW w:w="1187" w:type="dxa"/>
            <w:vAlign w:val="center"/>
          </w:tcPr>
          <w:p w14:paraId="10ADEC3D">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lang w:val="zh-CN"/>
              </w:rPr>
              <w:t>三、商务部分</w:t>
            </w:r>
          </w:p>
        </w:tc>
        <w:tc>
          <w:tcPr>
            <w:tcW w:w="1187" w:type="dxa"/>
            <w:vAlign w:val="center"/>
          </w:tcPr>
          <w:p w14:paraId="14D3C0E5">
            <w:pPr>
              <w:autoSpaceDE w:val="0"/>
              <w:autoSpaceDN w:val="0"/>
              <w:adjustRightInd w:val="0"/>
              <w:spacing w:line="360" w:lineRule="exact"/>
              <w:jc w:val="center"/>
              <w:rPr>
                <w:rFonts w:hint="eastAsia" w:ascii="宋体" w:hAnsi="宋体" w:eastAsia="宋体" w:cs="宋体"/>
                <w:b/>
                <w:szCs w:val="21"/>
                <w:lang w:val="en-US" w:eastAsia="zh-CN"/>
              </w:rPr>
            </w:pPr>
            <w:r>
              <w:rPr>
                <w:rFonts w:hint="eastAsia" w:ascii="宋体" w:hAnsi="宋体" w:eastAsia="宋体" w:cs="宋体"/>
                <w:b/>
                <w:szCs w:val="21"/>
                <w:highlight w:val="yellow"/>
                <w:lang w:val="en-US" w:eastAsia="zh-CN"/>
              </w:rPr>
              <w:t>37</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序号</w:t>
            </w:r>
          </w:p>
        </w:tc>
        <w:tc>
          <w:tcPr>
            <w:tcW w:w="1143" w:type="dxa"/>
            <w:vAlign w:val="center"/>
          </w:tcPr>
          <w:p w14:paraId="7B9DB229">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内容</w:t>
            </w:r>
          </w:p>
        </w:tc>
        <w:tc>
          <w:tcPr>
            <w:tcW w:w="709" w:type="dxa"/>
            <w:vAlign w:val="center"/>
          </w:tcPr>
          <w:p w14:paraId="33881CED">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权重</w:t>
            </w:r>
          </w:p>
        </w:tc>
        <w:tc>
          <w:tcPr>
            <w:tcW w:w="5953" w:type="dxa"/>
            <w:vAlign w:val="center"/>
          </w:tcPr>
          <w:p w14:paraId="502F5952">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评分规则</w:t>
            </w:r>
          </w:p>
        </w:tc>
        <w:tc>
          <w:tcPr>
            <w:tcW w:w="1187" w:type="dxa"/>
            <w:vAlign w:val="center"/>
          </w:tcPr>
          <w:p w14:paraId="7E70A954">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djustRightInd w:val="0"/>
              <w:snapToGrid w:val="0"/>
              <w:spacing w:line="360" w:lineRule="exact"/>
              <w:jc w:val="center"/>
              <w:rPr>
                <w:rFonts w:hint="eastAsia" w:ascii="宋体" w:hAnsi="宋体" w:eastAsia="宋体" w:cs="宋体"/>
                <w:szCs w:val="21"/>
                <w:lang w:val="zh-CN"/>
              </w:rPr>
            </w:pPr>
            <w:r>
              <w:rPr>
                <w:rFonts w:hint="eastAsia" w:ascii="宋体" w:hAnsi="宋体" w:eastAsia="宋体" w:cs="宋体"/>
                <w:sz w:val="21"/>
                <w:szCs w:val="21"/>
              </w:rPr>
              <w:t>1</w:t>
            </w:r>
          </w:p>
        </w:tc>
        <w:tc>
          <w:tcPr>
            <w:tcW w:w="1143" w:type="dxa"/>
            <w:vAlign w:val="center"/>
          </w:tcPr>
          <w:p w14:paraId="7560AD42">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拟投入项目人员配置情况</w:t>
            </w:r>
          </w:p>
        </w:tc>
        <w:tc>
          <w:tcPr>
            <w:tcW w:w="709" w:type="dxa"/>
            <w:vAlign w:val="center"/>
          </w:tcPr>
          <w:p w14:paraId="57882E34">
            <w:pPr>
              <w:widowControl/>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8分</w:t>
            </w:r>
          </w:p>
        </w:tc>
        <w:tc>
          <w:tcPr>
            <w:tcW w:w="5953" w:type="dxa"/>
            <w:vAlign w:val="top"/>
          </w:tcPr>
          <w:p w14:paraId="65043422">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评审内容：</w:t>
            </w:r>
          </w:p>
          <w:p w14:paraId="5992F758">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对投标人拟投入的人员情况（项目组长除外）进行评审：</w:t>
            </w:r>
          </w:p>
          <w:p w14:paraId="518B4C62">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（1）具有本科或以上学历的，</w:t>
            </w:r>
            <w:r>
              <w:rPr>
                <w:rFonts w:hint="eastAsia" w:ascii="宋体" w:hAnsi="宋体" w:cs="宋体"/>
                <w:sz w:val="21"/>
                <w:szCs w:val="21"/>
                <w:lang w:val="en-US" w:eastAsia="zh-CN"/>
              </w:rPr>
              <w:t>每</w:t>
            </w:r>
            <w:r>
              <w:rPr>
                <w:rFonts w:hint="eastAsia" w:ascii="宋体" w:hAnsi="宋体" w:eastAsia="宋体" w:cs="宋体"/>
                <w:sz w:val="21"/>
                <w:szCs w:val="21"/>
              </w:rPr>
              <w:t>提供1人得</w:t>
            </w:r>
            <w:r>
              <w:rPr>
                <w:rFonts w:hint="eastAsia" w:ascii="宋体" w:hAnsi="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7D448DAB">
            <w:pPr>
              <w:adjustRightInd w:val="0"/>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（2）具有有害生物防制员职业技能等级证书，</w:t>
            </w:r>
            <w:r>
              <w:rPr>
                <w:rFonts w:hint="eastAsia" w:ascii="宋体" w:hAnsi="宋体" w:cs="宋体"/>
                <w:sz w:val="21"/>
                <w:szCs w:val="21"/>
                <w:lang w:val="en-US" w:eastAsia="zh-CN"/>
              </w:rPr>
              <w:t>每</w:t>
            </w:r>
            <w:r>
              <w:rPr>
                <w:rFonts w:hint="eastAsia" w:ascii="宋体" w:hAnsi="宋体" w:eastAsia="宋体" w:cs="宋体"/>
                <w:sz w:val="21"/>
                <w:szCs w:val="21"/>
              </w:rPr>
              <w:t>提供一个证书的得</w:t>
            </w:r>
            <w:r>
              <w:rPr>
                <w:rFonts w:hint="eastAsia" w:ascii="宋体" w:hAnsi="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750BF9EC">
            <w:pPr>
              <w:adjustRightInd w:val="0"/>
              <w:snapToGrid w:val="0"/>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Theme="minorEastAsia" w:hAnsiTheme="minorEastAsia" w:eastAsiaTheme="minorEastAsia"/>
                <w:kern w:val="0"/>
                <w:szCs w:val="21"/>
              </w:rPr>
              <w:t>评分依据：</w:t>
            </w:r>
          </w:p>
          <w:p w14:paraId="4730A84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 提供项目</w:t>
            </w:r>
            <w:r>
              <w:rPr>
                <w:rFonts w:hint="eastAsia" w:asciiTheme="minorEastAsia" w:hAnsiTheme="minorEastAsia" w:eastAsiaTheme="minorEastAsia"/>
                <w:szCs w:val="21"/>
                <w:lang w:val="en-US" w:eastAsia="zh-CN"/>
              </w:rPr>
              <w:t>人员</w:t>
            </w:r>
            <w:r>
              <w:rPr>
                <w:rFonts w:hint="eastAsia" w:ascii="宋体" w:hAnsi="宋体" w:eastAsia="宋体" w:cs="宋体"/>
                <w:sz w:val="21"/>
                <w:szCs w:val="21"/>
              </w:rPr>
              <w:t>（项目组长除外）</w:t>
            </w:r>
            <w:r>
              <w:rPr>
                <w:rFonts w:hint="eastAsia" w:asciiTheme="minorEastAsia" w:hAnsiTheme="minorEastAsia" w:eastAsiaTheme="minorEastAsia"/>
                <w:szCs w:val="21"/>
              </w:rPr>
              <w:t>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w:t>
            </w:r>
            <w:r>
              <w:rPr>
                <w:rFonts w:hint="eastAsia" w:asciiTheme="minorEastAsia" w:hAnsiTheme="minorEastAsia" w:eastAsiaTheme="minorEastAsia"/>
                <w:szCs w:val="21"/>
                <w:lang w:eastAsia="zh-CN"/>
              </w:rPr>
              <w:t>投</w:t>
            </w:r>
            <w:r>
              <w:rPr>
                <w:rFonts w:hint="eastAsia" w:asciiTheme="minorEastAsia" w:hAnsiTheme="minorEastAsia" w:eastAsiaTheme="minorEastAsia"/>
                <w:szCs w:val="21"/>
              </w:rPr>
              <w:t>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79478489">
            <w:pPr>
              <w:pStyle w:val="94"/>
              <w:spacing w:line="360" w:lineRule="exact"/>
              <w:ind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rPr>
              <w:t>2. 提供项目</w:t>
            </w:r>
            <w:r>
              <w:rPr>
                <w:rFonts w:hint="eastAsia" w:asciiTheme="minorEastAsia" w:hAnsiTheme="minorEastAsia" w:eastAsiaTheme="minorEastAsia"/>
                <w:szCs w:val="21"/>
                <w:lang w:val="en-US" w:eastAsia="zh-CN"/>
              </w:rPr>
              <w:t>人员</w:t>
            </w:r>
            <w:r>
              <w:rPr>
                <w:rFonts w:hint="eastAsia" w:ascii="宋体" w:hAnsi="宋体" w:eastAsia="宋体" w:cs="宋体"/>
                <w:sz w:val="21"/>
                <w:szCs w:val="21"/>
              </w:rPr>
              <w:t>（项目组长除外）</w:t>
            </w:r>
            <w:r>
              <w:rPr>
                <w:rFonts w:hint="eastAsia" w:asciiTheme="minorEastAsia" w:hAnsiTheme="minorEastAsia" w:eastAsiaTheme="minorEastAsia"/>
                <w:szCs w:val="21"/>
              </w:rPr>
              <w:t>资格证书</w:t>
            </w:r>
            <w:r>
              <w:rPr>
                <w:rFonts w:hint="eastAsia" w:asciiTheme="minorEastAsia" w:hAnsiTheme="minorEastAsia" w:eastAsiaTheme="minorEastAsia"/>
                <w:szCs w:val="21"/>
                <w:lang w:eastAsia="zh-CN"/>
              </w:rPr>
              <w:t>、职称证书；</w:t>
            </w:r>
          </w:p>
          <w:p w14:paraId="341C180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3. 涉及考察学历或学位的，提供</w:t>
            </w:r>
            <w:r>
              <w:rPr>
                <w:rFonts w:hint="eastAsia" w:asciiTheme="minorEastAsia" w:hAnsiTheme="minorEastAsia" w:eastAsiaTheme="minorEastAsia"/>
                <w:szCs w:val="21"/>
              </w:rPr>
              <w:t>毕业证书（或学位证书）以及学信网查询记录，对于学信网无法查询的，还需提供毕业院校或人社部门或教育部门等颁发机构或监管机构出具的证明，否则无效；</w:t>
            </w:r>
          </w:p>
          <w:p w14:paraId="274C189B">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 xml:space="preserve">4. </w:t>
            </w:r>
            <w:r>
              <w:rPr>
                <w:rFonts w:hint="eastAsia" w:asciiTheme="minorEastAsia" w:hAnsiTheme="minorEastAsia" w:eastAsiaTheme="minorEastAsia"/>
                <w:szCs w:val="21"/>
              </w:rPr>
              <w:t>如证书由行业协会颁发的，需提供该行业协会在“中国社会组织政务服务平台”（网址：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5D562B3A">
            <w:pPr>
              <w:wordWrap w:val="0"/>
              <w:adjustRightInd w:val="0"/>
              <w:snapToGrid w:val="0"/>
              <w:spacing w:line="360" w:lineRule="exact"/>
              <w:rPr>
                <w:rFonts w:hint="eastAsia" w:ascii="宋体" w:hAnsi="宋体" w:eastAsia="宋体" w:cs="宋体"/>
                <w:kern w:val="0"/>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 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69239F1C">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djustRightInd w:val="0"/>
              <w:snapToGrid w:val="0"/>
              <w:spacing w:line="360" w:lineRule="exact"/>
              <w:jc w:val="center"/>
              <w:rPr>
                <w:rFonts w:hint="eastAsia" w:ascii="宋体" w:hAnsi="宋体" w:eastAsia="宋体" w:cs="宋体"/>
                <w:szCs w:val="21"/>
                <w:lang w:val="zh-CN"/>
              </w:rPr>
            </w:pPr>
            <w:r>
              <w:rPr>
                <w:rFonts w:hint="eastAsia" w:ascii="宋体" w:hAnsi="宋体" w:eastAsia="宋体" w:cs="宋体"/>
                <w:sz w:val="21"/>
                <w:szCs w:val="21"/>
              </w:rPr>
              <w:t>2</w:t>
            </w:r>
          </w:p>
        </w:tc>
        <w:tc>
          <w:tcPr>
            <w:tcW w:w="1143" w:type="dxa"/>
            <w:vAlign w:val="center"/>
          </w:tcPr>
          <w:p w14:paraId="7EC82DDA">
            <w:pPr>
              <w:adjustRightInd w:val="0"/>
              <w:snapToGrid w:val="0"/>
              <w:spacing w:line="360" w:lineRule="exact"/>
              <w:jc w:val="center"/>
              <w:rPr>
                <w:rFonts w:hint="eastAsia" w:ascii="宋体" w:hAnsi="宋体" w:eastAsia="宋体" w:cs="宋体"/>
                <w:snapToGrid w:val="0"/>
                <w:kern w:val="0"/>
                <w:szCs w:val="21"/>
              </w:rPr>
            </w:pPr>
            <w:r>
              <w:rPr>
                <w:rFonts w:hint="eastAsia" w:ascii="宋体" w:hAnsi="宋体" w:eastAsia="宋体" w:cs="宋体"/>
                <w:sz w:val="21"/>
                <w:szCs w:val="21"/>
              </w:rPr>
              <w:t>拟安排的项目组长情况（仅限1人）</w:t>
            </w:r>
          </w:p>
        </w:tc>
        <w:tc>
          <w:tcPr>
            <w:tcW w:w="709" w:type="dxa"/>
            <w:vAlign w:val="center"/>
          </w:tcPr>
          <w:p w14:paraId="49BF8994">
            <w:pPr>
              <w:widowControl/>
              <w:adjustRightInd w:val="0"/>
              <w:snapToGrid w:val="0"/>
              <w:spacing w:line="360" w:lineRule="exact"/>
              <w:jc w:val="center"/>
              <w:rPr>
                <w:rFonts w:hint="eastAsia" w:ascii="宋体" w:hAnsi="宋体" w:eastAsia="宋体" w:cs="宋体"/>
                <w:snapToGrid w:val="0"/>
                <w:kern w:val="0"/>
                <w:szCs w:val="21"/>
              </w:rPr>
            </w:pPr>
            <w:r>
              <w:rPr>
                <w:rFonts w:hint="eastAsia" w:ascii="宋体" w:hAnsi="宋体" w:eastAsia="宋体" w:cs="宋体"/>
                <w:sz w:val="21"/>
                <w:szCs w:val="21"/>
              </w:rPr>
              <w:t>10分</w:t>
            </w:r>
          </w:p>
        </w:tc>
        <w:tc>
          <w:tcPr>
            <w:tcW w:w="5953" w:type="dxa"/>
            <w:vAlign w:val="top"/>
          </w:tcPr>
          <w:p w14:paraId="5A335D37">
            <w:pPr>
              <w:wordWrap w:val="0"/>
              <w:adjustRightInd w:val="0"/>
              <w:snapToGrid w:val="0"/>
              <w:spacing w:line="360" w:lineRule="exact"/>
              <w:rPr>
                <w:rFonts w:hint="eastAsia" w:ascii="宋体" w:hAnsi="宋体" w:eastAsia="宋体" w:cs="宋体"/>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评审内容：</w:t>
            </w:r>
            <w:r>
              <w:rPr>
                <w:rFonts w:hint="eastAsia" w:ascii="宋体" w:hAnsi="宋体" w:eastAsia="宋体" w:cs="宋体"/>
                <w:sz w:val="21"/>
                <w:szCs w:val="21"/>
              </w:rPr>
              <w:t>对投标人拟安排的项目组长情况进行评审：</w:t>
            </w:r>
          </w:p>
          <w:p w14:paraId="19819E17">
            <w:pPr>
              <w:wordWrap w:val="0"/>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1）具有有害生物或病媒生物相关专业大专或以上学历的得1分；</w:t>
            </w:r>
          </w:p>
          <w:p w14:paraId="3A1F8E2B">
            <w:pPr>
              <w:wordWrap w:val="0"/>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（2）具有有害生物防制员职业技能等级高级证书得1分。</w:t>
            </w:r>
          </w:p>
          <w:p w14:paraId="1DDDED09">
            <w:pPr>
              <w:wordWrap w:val="0"/>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（3）参与或起草病媒生物预防控制（蚊类、蝇类、鼠类、蜚蠊）相关技术规范</w:t>
            </w:r>
            <w:r>
              <w:rPr>
                <w:rFonts w:hint="eastAsia" w:ascii="宋体" w:hAnsi="宋体" w:cs="宋体"/>
                <w:sz w:val="21"/>
                <w:szCs w:val="21"/>
                <w:lang w:eastAsia="zh-CN"/>
              </w:rPr>
              <w:t>的</w:t>
            </w:r>
            <w:r>
              <w:rPr>
                <w:rFonts w:hint="eastAsia" w:ascii="宋体" w:hAnsi="宋体" w:cs="宋体"/>
                <w:sz w:val="21"/>
                <w:szCs w:val="21"/>
                <w:lang w:val="en-US" w:eastAsia="zh-CN"/>
              </w:rPr>
              <w:t>地方标准及以上（含地方标准）编写的。</w:t>
            </w:r>
            <w:r>
              <w:rPr>
                <w:rFonts w:hint="eastAsia" w:ascii="宋体" w:hAnsi="宋体" w:eastAsia="宋体" w:cs="宋体"/>
                <w:sz w:val="21"/>
                <w:szCs w:val="21"/>
              </w:rPr>
              <w:t>每提供一项参与或起草的病媒生物预防控制标准可得</w:t>
            </w:r>
            <w:r>
              <w:rPr>
                <w:rFonts w:hint="eastAsia" w:ascii="宋体" w:hAnsi="宋体" w:cs="宋体"/>
                <w:sz w:val="21"/>
                <w:szCs w:val="21"/>
                <w:lang w:val="en-US" w:eastAsia="zh-CN"/>
              </w:rPr>
              <w:t>2分</w:t>
            </w:r>
            <w:r>
              <w:rPr>
                <w:rFonts w:hint="eastAsia" w:ascii="宋体" w:hAnsi="宋体" w:eastAsia="宋体" w:cs="宋体"/>
                <w:sz w:val="21"/>
                <w:szCs w:val="21"/>
              </w:rPr>
              <w:t>，最高</w:t>
            </w:r>
            <w:r>
              <w:rPr>
                <w:rFonts w:hint="eastAsia" w:ascii="宋体" w:hAnsi="宋体" w:cs="宋体"/>
                <w:sz w:val="21"/>
                <w:szCs w:val="21"/>
                <w:lang w:val="en-US" w:eastAsia="zh-CN"/>
              </w:rPr>
              <w:t>8</w:t>
            </w:r>
            <w:r>
              <w:rPr>
                <w:rFonts w:hint="eastAsia" w:ascii="宋体" w:hAnsi="宋体" w:eastAsia="宋体" w:cs="宋体"/>
                <w:sz w:val="21"/>
                <w:szCs w:val="21"/>
              </w:rPr>
              <w:t>分，不提供不得分。</w:t>
            </w:r>
          </w:p>
          <w:p w14:paraId="2851CF03">
            <w:pPr>
              <w:adjustRightInd w:val="0"/>
              <w:snapToGrid w:val="0"/>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Theme="minorEastAsia" w:hAnsiTheme="minorEastAsia" w:eastAsiaTheme="minorEastAsia"/>
                <w:kern w:val="0"/>
                <w:szCs w:val="21"/>
              </w:rPr>
              <w:t>评分依据：</w:t>
            </w:r>
          </w:p>
          <w:p w14:paraId="24F1934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 提供项目负责人通过投标单位缴纳的载有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w:t>
            </w:r>
            <w:r>
              <w:rPr>
                <w:rFonts w:hint="eastAsia" w:asciiTheme="minorEastAsia" w:hAnsiTheme="minorEastAsia" w:eastAsiaTheme="minorEastAsia"/>
                <w:szCs w:val="21"/>
                <w:lang w:eastAsia="zh-CN"/>
              </w:rPr>
              <w:t>投</w:t>
            </w:r>
            <w:r>
              <w:rPr>
                <w:rFonts w:hint="eastAsia" w:asciiTheme="minorEastAsia" w:hAnsiTheme="minorEastAsia" w:eastAsiaTheme="minorEastAsia"/>
                <w:szCs w:val="21"/>
              </w:rPr>
              <w:t>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2CF32F08">
            <w:pPr>
              <w:pStyle w:val="94"/>
              <w:spacing w:line="360" w:lineRule="exact"/>
              <w:ind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rPr>
              <w:t>2. 提供项目负责人资格证书</w:t>
            </w:r>
            <w:r>
              <w:rPr>
                <w:rFonts w:hint="eastAsia" w:asciiTheme="minorEastAsia" w:hAnsiTheme="minorEastAsia" w:eastAsiaTheme="minorEastAsia"/>
                <w:szCs w:val="21"/>
                <w:lang w:eastAsia="zh-CN"/>
              </w:rPr>
              <w:t>、职称证书</w:t>
            </w:r>
            <w:r>
              <w:rPr>
                <w:rFonts w:hint="eastAsia" w:asciiTheme="minorEastAsia" w:hAnsiTheme="minorEastAsia" w:eastAsiaTheme="minorEastAsia"/>
                <w:szCs w:val="21"/>
                <w:lang w:val="en-US" w:eastAsia="zh-CN"/>
              </w:rPr>
              <w:t>和</w:t>
            </w:r>
            <w:r>
              <w:rPr>
                <w:rFonts w:hint="eastAsia" w:ascii="宋体" w:hAnsi="宋体" w:eastAsia="宋体" w:cs="宋体"/>
                <w:sz w:val="21"/>
                <w:szCs w:val="21"/>
              </w:rPr>
              <w:t>涉及</w:t>
            </w:r>
            <w:r>
              <w:rPr>
                <w:rFonts w:hint="eastAsia" w:ascii="宋体" w:hAnsi="宋体" w:cs="宋体"/>
                <w:sz w:val="21"/>
                <w:szCs w:val="21"/>
                <w:lang w:val="en-US" w:eastAsia="zh-CN"/>
              </w:rPr>
              <w:t>地方标准及以上（含地方标准）</w:t>
            </w:r>
            <w:r>
              <w:rPr>
                <w:rFonts w:hint="eastAsia" w:ascii="宋体" w:hAnsi="宋体" w:eastAsia="宋体" w:cs="宋体"/>
                <w:sz w:val="21"/>
                <w:szCs w:val="21"/>
              </w:rPr>
              <w:t>起草人的关键页（关健页含：标准文件号，标准名称、前言等）</w:t>
            </w:r>
            <w:r>
              <w:rPr>
                <w:rFonts w:hint="eastAsia" w:asciiTheme="minorEastAsia" w:hAnsiTheme="minorEastAsia" w:eastAsiaTheme="minorEastAsia"/>
                <w:szCs w:val="21"/>
                <w:lang w:eastAsia="zh-CN"/>
              </w:rPr>
              <w:t>；</w:t>
            </w:r>
          </w:p>
          <w:p w14:paraId="2C8DB8F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3. 涉及考察学历或学位的，提供</w:t>
            </w:r>
            <w:r>
              <w:rPr>
                <w:rFonts w:hint="eastAsia" w:asciiTheme="minorEastAsia" w:hAnsiTheme="minorEastAsia" w:eastAsiaTheme="minorEastAsia"/>
                <w:szCs w:val="21"/>
              </w:rPr>
              <w:t>毕业证书（或学位证书）以及学信网查询记录，对于学信网无法查询的，还需提供毕业院校或人社部门或教育部门等颁发机构或监管机构出具的证明，否则无效；</w:t>
            </w:r>
          </w:p>
          <w:p w14:paraId="450ECE6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 涉及</w:t>
            </w:r>
            <w:r>
              <w:rPr>
                <w:rFonts w:hint="eastAsia" w:asciiTheme="minorEastAsia" w:hAnsiTheme="minorEastAsia" w:eastAsiaTheme="minorEastAsia"/>
              </w:rPr>
              <w:t>考察</w:t>
            </w:r>
            <w:r>
              <w:rPr>
                <w:rFonts w:hint="eastAsia" w:ascii="宋体" w:hAnsi="宋体" w:cs="宋体"/>
                <w:szCs w:val="21"/>
              </w:rPr>
              <w:t>职业资格证书或</w:t>
            </w:r>
            <w:r>
              <w:rPr>
                <w:rFonts w:hint="eastAsia" w:asciiTheme="minorEastAsia" w:hAnsiTheme="minorEastAsia" w:eastAsiaTheme="minorEastAsia"/>
                <w:szCs w:val="21"/>
              </w:rPr>
              <w:t>职业技能等级证书的，要求同时提供证书和技能人才评价证书全国联网（网址http://zscx.osta.org.cn/）查询截图</w:t>
            </w:r>
            <w:r>
              <w:rPr>
                <w:rFonts w:hint="eastAsia" w:asciiTheme="minorEastAsia" w:hAnsiTheme="minorEastAsia" w:eastAsiaTheme="minorEastAsia"/>
              </w:rPr>
              <w:t>；</w:t>
            </w:r>
          </w:p>
          <w:p w14:paraId="43ADBEF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 如证书由行业协会颁发的，需提供该行业协会在“中国社会组织政务服务平台”（网址：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3AE74DBE">
            <w:pPr>
              <w:pStyle w:val="19"/>
              <w:rPr>
                <w:rFonts w:hint="default" w:eastAsia="宋体"/>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 提供以上证明文件复印件或扫描件，如涉及网站截图或照片等证明材料，需提供清晰图片，均要求加盖投标人公章。未按要求提供有效证明材料或提供不清晰导致评委无法识别的不计得分。</w:t>
            </w:r>
          </w:p>
          <w:p w14:paraId="4B1DC800">
            <w:pPr>
              <w:spacing w:line="360" w:lineRule="exact"/>
              <w:rPr>
                <w:rFonts w:hint="eastAsia" w:ascii="宋体" w:hAnsi="宋体" w:eastAsia="宋体" w:cs="宋体"/>
                <w:b/>
                <w:bCs/>
                <w:kern w:val="0"/>
                <w:szCs w:val="21"/>
              </w:rPr>
            </w:pPr>
          </w:p>
        </w:tc>
        <w:tc>
          <w:tcPr>
            <w:tcW w:w="1187" w:type="dxa"/>
            <w:vAlign w:val="center"/>
          </w:tcPr>
          <w:p w14:paraId="40CB9D4A">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754" w:type="dxa"/>
            <w:vAlign w:val="center"/>
          </w:tcPr>
          <w:p w14:paraId="6A173027">
            <w:pPr>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sz w:val="21"/>
                <w:szCs w:val="21"/>
              </w:rPr>
              <w:t>3</w:t>
            </w:r>
          </w:p>
        </w:tc>
        <w:tc>
          <w:tcPr>
            <w:tcW w:w="1143" w:type="dxa"/>
            <w:vAlign w:val="center"/>
          </w:tcPr>
          <w:p w14:paraId="2AA58873">
            <w:pPr>
              <w:adjustRightInd w:val="0"/>
              <w:snapToGrid w:val="0"/>
              <w:spacing w:line="360" w:lineRule="exact"/>
              <w:jc w:val="center"/>
              <w:rPr>
                <w:rFonts w:hint="eastAsia" w:ascii="宋体" w:hAnsi="宋体" w:eastAsia="宋体" w:cs="宋体"/>
                <w:szCs w:val="21"/>
              </w:rPr>
            </w:pPr>
            <w:r>
              <w:rPr>
                <w:rFonts w:hint="eastAsia" w:ascii="宋体" w:hAnsi="宋体" w:eastAsia="宋体" w:cs="宋体"/>
                <w:sz w:val="21"/>
                <w:szCs w:val="21"/>
              </w:rPr>
              <w:t>同类项目业绩情况</w:t>
            </w:r>
          </w:p>
        </w:tc>
        <w:tc>
          <w:tcPr>
            <w:tcW w:w="709" w:type="dxa"/>
            <w:vAlign w:val="center"/>
          </w:tcPr>
          <w:p w14:paraId="03D227DE">
            <w:pPr>
              <w:adjustRightInd w:val="0"/>
              <w:snapToGrid w:val="0"/>
              <w:spacing w:line="360" w:lineRule="exact"/>
              <w:jc w:val="center"/>
              <w:rPr>
                <w:rFonts w:hint="eastAsia" w:ascii="宋体" w:hAnsi="宋体" w:eastAsia="宋体" w:cs="宋体"/>
                <w:szCs w:val="21"/>
              </w:rPr>
            </w:pPr>
            <w:r>
              <w:rPr>
                <w:rFonts w:hint="eastAsia" w:ascii="宋体" w:hAnsi="宋体" w:eastAsia="宋体" w:cs="宋体"/>
                <w:color w:val="000000"/>
                <w:sz w:val="21"/>
                <w:szCs w:val="21"/>
              </w:rPr>
              <w:t>12分</w:t>
            </w:r>
          </w:p>
        </w:tc>
        <w:tc>
          <w:tcPr>
            <w:tcW w:w="5953" w:type="dxa"/>
            <w:vAlign w:val="center"/>
          </w:tcPr>
          <w:p w14:paraId="25ADB205">
            <w:pPr>
              <w:widowControl/>
              <w:shd w:val="clea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评审内容：</w:t>
            </w:r>
          </w:p>
          <w:p w14:paraId="471E8F77">
            <w:pPr>
              <w:widowControl/>
              <w:shd w:val="clear"/>
              <w:adjustRightInd w:val="0"/>
              <w:snapToGrid w:val="0"/>
              <w:spacing w:line="360" w:lineRule="exact"/>
              <w:rPr>
                <w:rFonts w:hint="eastAsia" w:ascii="宋体" w:hAnsi="宋体" w:eastAsia="宋体" w:cs="宋体"/>
                <w:sz w:val="21"/>
                <w:szCs w:val="21"/>
              </w:rPr>
            </w:pPr>
            <w:r>
              <w:rPr>
                <w:rFonts w:hint="eastAsia" w:cs="宋体" w:asciiTheme="minorEastAsia" w:hAnsiTheme="minorEastAsia" w:eastAsiaTheme="minorEastAsia"/>
                <w:szCs w:val="21"/>
              </w:rPr>
              <w:t>2021年1月1日至本项目投标截止日（以合同签订日期为准）</w:t>
            </w:r>
            <w:r>
              <w:rPr>
                <w:rFonts w:hint="eastAsia" w:ascii="宋体" w:hAnsi="宋体" w:eastAsia="宋体" w:cs="宋体"/>
                <w:sz w:val="21"/>
                <w:szCs w:val="21"/>
              </w:rPr>
              <w:t>，投标人具有病媒生物控制效果评估、</w:t>
            </w:r>
            <w:r>
              <w:rPr>
                <w:rFonts w:hint="eastAsia"/>
                <w:lang w:val="en-US" w:eastAsia="zh-CN"/>
              </w:rPr>
              <w:t>病媒生物</w:t>
            </w:r>
            <w:r>
              <w:rPr>
                <w:rFonts w:hint="eastAsia" w:ascii="宋体" w:hAnsi="宋体" w:eastAsia="宋体" w:cs="宋体"/>
                <w:sz w:val="21"/>
                <w:szCs w:val="21"/>
              </w:rPr>
              <w:t>质量控制等同类项目业绩，每提供一个得</w:t>
            </w:r>
            <w:r>
              <w:rPr>
                <w:rFonts w:hint="eastAsia" w:ascii="宋体" w:hAnsi="宋体" w:eastAsia="宋体" w:cs="宋体"/>
                <w:sz w:val="21"/>
                <w:szCs w:val="21"/>
                <w:lang w:val="en-US" w:eastAsia="zh-CN"/>
              </w:rPr>
              <w:t>6</w:t>
            </w:r>
            <w:r>
              <w:rPr>
                <w:rFonts w:hint="eastAsia" w:ascii="宋体" w:hAnsi="宋体" w:eastAsia="宋体" w:cs="宋体"/>
                <w:sz w:val="21"/>
                <w:szCs w:val="21"/>
              </w:rPr>
              <w:t>分，最高</w:t>
            </w:r>
            <w:r>
              <w:rPr>
                <w:rFonts w:hint="eastAsia" w:ascii="宋体" w:hAnsi="宋体" w:eastAsia="宋体" w:cs="宋体"/>
                <w:sz w:val="21"/>
                <w:szCs w:val="21"/>
                <w:lang w:val="en-US" w:eastAsia="zh-CN"/>
              </w:rPr>
              <w:t>12</w:t>
            </w:r>
            <w:r>
              <w:rPr>
                <w:rFonts w:hint="eastAsia" w:ascii="宋体" w:hAnsi="宋体" w:eastAsia="宋体" w:cs="宋体"/>
                <w:sz w:val="21"/>
                <w:szCs w:val="21"/>
              </w:rPr>
              <w:t>分，不提供不得分</w:t>
            </w:r>
            <w:r>
              <w:rPr>
                <w:rFonts w:hint="eastAsia"/>
                <w:lang w:eastAsia="zh-CN"/>
              </w:rPr>
              <w:t>，同一项目续签合同的不可重复得分</w:t>
            </w:r>
            <w:r>
              <w:rPr>
                <w:rFonts w:hint="eastAsia" w:ascii="宋体" w:hAnsi="宋体" w:eastAsia="宋体" w:cs="宋体"/>
                <w:sz w:val="21"/>
                <w:szCs w:val="21"/>
              </w:rPr>
              <w:t>。</w:t>
            </w:r>
          </w:p>
          <w:p w14:paraId="41F539BC">
            <w:pPr>
              <w:widowControl/>
              <w:shd w:val="clear"/>
              <w:wordWrap/>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证明文件：</w:t>
            </w:r>
          </w:p>
          <w:p w14:paraId="1D275511">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 提供</w:t>
            </w:r>
            <w:r>
              <w:rPr>
                <w:rFonts w:hint="eastAsia" w:cs="仿宋" w:asciiTheme="minorEastAsia" w:hAnsiTheme="minorEastAsia" w:eastAsiaTheme="minorEastAsia"/>
                <w:szCs w:val="21"/>
                <w:lang w:val="en-US" w:eastAsia="zh-CN"/>
              </w:rPr>
              <w:t>中标通知书和</w:t>
            </w:r>
            <w:r>
              <w:rPr>
                <w:rFonts w:hint="eastAsia" w:cs="仿宋" w:asciiTheme="minorEastAsia" w:hAnsiTheme="minorEastAsia" w:eastAsiaTheme="minorEastAsia"/>
                <w:szCs w:val="21"/>
              </w:rPr>
              <w:t>合同关键页</w:t>
            </w:r>
            <w:r>
              <w:rPr>
                <w:rFonts w:cs="宋体" w:asciiTheme="minorEastAsia" w:hAnsiTheme="minorEastAsia" w:eastAsiaTheme="minorEastAsia"/>
                <w:szCs w:val="21"/>
              </w:rPr>
              <w:t>（关键信息包括但不仅限于合同的项目名称、服务内容、合同</w:t>
            </w:r>
            <w:r>
              <w:rPr>
                <w:rFonts w:hint="eastAsia" w:cs="宋体" w:asciiTheme="minorEastAsia" w:hAnsiTheme="minorEastAsia" w:eastAsiaTheme="minorEastAsia"/>
                <w:szCs w:val="21"/>
                <w:lang w:eastAsia="zh-CN"/>
              </w:rPr>
              <w:t>签订日期</w:t>
            </w:r>
            <w:r>
              <w:rPr>
                <w:rFonts w:cs="宋体" w:asciiTheme="minorEastAsia" w:hAnsiTheme="minorEastAsia" w:eastAsiaTheme="minorEastAsia"/>
                <w:szCs w:val="21"/>
              </w:rPr>
              <w:t>、甲乙双方签字盖章页）</w:t>
            </w:r>
            <w:r>
              <w:rPr>
                <w:rFonts w:hint="eastAsia" w:asciiTheme="minorEastAsia" w:hAnsiTheme="minorEastAsia" w:eastAsiaTheme="minorEastAsia"/>
                <w:bCs/>
                <w:szCs w:val="21"/>
              </w:rPr>
              <w:t>且提供的材料各项信息不得有任何遮挡</w:t>
            </w:r>
            <w:r>
              <w:rPr>
                <w:rFonts w:hint="eastAsia" w:asciiTheme="minorEastAsia" w:hAnsiTheme="minorEastAsia" w:eastAsiaTheme="minorEastAsia"/>
                <w:szCs w:val="21"/>
              </w:rPr>
              <w:t>；</w:t>
            </w:r>
          </w:p>
          <w:p w14:paraId="171F69CB">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 通过合同关键信息无法判断是否得分的，还需提供能证明得分的其它证明资料，如项目报告或合同甲方出具的证明文件；</w:t>
            </w:r>
          </w:p>
          <w:p w14:paraId="383A7EC3">
            <w:pPr>
              <w:widowControl/>
              <w:shd w:val="clear"/>
              <w:adjustRightInd w:val="0"/>
              <w:snapToGrid w:val="0"/>
              <w:spacing w:line="360" w:lineRule="exact"/>
              <w:rPr>
                <w:rFonts w:hint="eastAsia" w:ascii="宋体" w:hAnsi="宋体" w:eastAsia="宋体" w:cs="宋体"/>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00F3178E">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adjustRightInd w:val="0"/>
              <w:snapToGrid w:val="0"/>
              <w:spacing w:line="360" w:lineRule="exact"/>
              <w:jc w:val="center"/>
              <w:rPr>
                <w:rFonts w:hint="eastAsia" w:ascii="宋体" w:hAnsi="宋体" w:eastAsia="宋体" w:cs="宋体"/>
                <w:szCs w:val="21"/>
                <w:lang w:val="zh-CN"/>
              </w:rPr>
            </w:pPr>
            <w:r>
              <w:rPr>
                <w:rFonts w:hint="eastAsia" w:ascii="宋体" w:hAnsi="宋体" w:eastAsia="宋体" w:cs="宋体"/>
                <w:sz w:val="21"/>
                <w:szCs w:val="21"/>
              </w:rPr>
              <w:t>4</w:t>
            </w:r>
          </w:p>
        </w:tc>
        <w:tc>
          <w:tcPr>
            <w:tcW w:w="1143" w:type="dxa"/>
            <w:vAlign w:val="center"/>
          </w:tcPr>
          <w:p w14:paraId="42B13F9C">
            <w:pPr>
              <w:adjustRightInd w:val="0"/>
              <w:snapToGrid w:val="0"/>
              <w:spacing w:line="360" w:lineRule="exact"/>
              <w:jc w:val="center"/>
              <w:rPr>
                <w:rFonts w:hint="eastAsia" w:ascii="宋体" w:hAnsi="宋体" w:eastAsia="宋体" w:cs="宋体"/>
                <w:szCs w:val="21"/>
              </w:rPr>
            </w:pPr>
            <w:r>
              <w:rPr>
                <w:rFonts w:hint="eastAsia" w:ascii="宋体" w:hAnsi="宋体" w:eastAsia="宋体" w:cs="宋体"/>
                <w:sz w:val="21"/>
                <w:szCs w:val="21"/>
              </w:rPr>
              <w:t>服务响应时间</w:t>
            </w:r>
          </w:p>
        </w:tc>
        <w:tc>
          <w:tcPr>
            <w:tcW w:w="709" w:type="dxa"/>
            <w:vAlign w:val="center"/>
          </w:tcPr>
          <w:p w14:paraId="6BAF4B7F">
            <w:pPr>
              <w:adjustRightInd w:val="0"/>
              <w:snapToGrid w:val="0"/>
              <w:spacing w:line="360" w:lineRule="exact"/>
              <w:jc w:val="center"/>
              <w:rPr>
                <w:rFonts w:hint="eastAsia" w:ascii="宋体" w:hAnsi="宋体" w:eastAsia="宋体" w:cs="宋体"/>
                <w:szCs w:val="21"/>
              </w:rPr>
            </w:pPr>
            <w:r>
              <w:rPr>
                <w:rFonts w:hint="eastAsia" w:ascii="宋体" w:hAnsi="宋体" w:eastAsia="宋体" w:cs="宋体"/>
                <w:sz w:val="21"/>
                <w:szCs w:val="21"/>
              </w:rPr>
              <w:t>2分</w:t>
            </w:r>
          </w:p>
        </w:tc>
        <w:tc>
          <w:tcPr>
            <w:tcW w:w="5953" w:type="dxa"/>
            <w:vAlign w:val="center"/>
          </w:tcPr>
          <w:p w14:paraId="54D1E221">
            <w:pPr>
              <w:widowControl/>
              <w:autoSpaceDE w:val="0"/>
              <w:autoSpaceDN w:val="0"/>
              <w:adjustRightInd w:val="0"/>
              <w:snapToGrid/>
              <w:spacing w:line="360" w:lineRule="exact"/>
              <w:jc w:val="left"/>
              <w:rPr>
                <w:rFonts w:hint="eastAsia" w:ascii="宋体" w:hAnsi="宋体" w:eastAsia="宋体" w:cs="宋体"/>
                <w:color w:val="000000"/>
                <w:sz w:val="21"/>
                <w:szCs w:val="21"/>
              </w:rPr>
            </w:pPr>
            <w:r>
              <w:rPr>
                <w:rFonts w:hint="eastAsia" w:asciiTheme="minorEastAsia" w:hAnsiTheme="minorEastAsia" w:eastAsiaTheme="minorEastAsia"/>
                <w:szCs w:val="21"/>
              </w:rPr>
              <w:t>（一）评分内容：</w:t>
            </w:r>
          </w:p>
          <w:p w14:paraId="1E453495">
            <w:pPr>
              <w:widowControl/>
              <w:adjustRightInd w:val="0"/>
              <w:snapToGrid w:val="0"/>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1.接到采购人需求，承诺在4小时（含）内响应并抵达现场的，得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p w14:paraId="0F34A0CB">
            <w:pPr>
              <w:widowControl/>
              <w:adjustRightInd w:val="0"/>
              <w:snapToGrid w:val="0"/>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2.接到采购人需求，承诺在4小时以上，8小时（含）内响应并抵达现场的，得</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p w14:paraId="6081742A">
            <w:pPr>
              <w:widowControl/>
              <w:adjustRightInd w:val="0"/>
              <w:snapToGrid w:val="0"/>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3.接到采购人需求，承诺在8小时以上，12小时（含）内响应并抵达现场的，得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p w14:paraId="796FD7FC">
            <w:pPr>
              <w:widowControl/>
              <w:adjustRightInd w:val="0"/>
              <w:snapToGrid w:val="0"/>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4.接到采购人需求，承诺在12小时以上响应并抵达现场的，不得分。</w:t>
            </w:r>
          </w:p>
          <w:p w14:paraId="4A74272F">
            <w:pPr>
              <w:pStyle w:val="2"/>
              <w:rPr>
                <w:rFonts w:hint="eastAsia" w:eastAsia="宋体"/>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评审依据</w:t>
            </w:r>
            <w:r>
              <w:rPr>
                <w:rFonts w:hint="eastAsia" w:ascii="宋体" w:hAnsi="宋体" w:cs="宋体"/>
                <w:color w:val="000000"/>
                <w:sz w:val="21"/>
                <w:szCs w:val="21"/>
                <w:lang w:val="en-US" w:eastAsia="zh-CN"/>
              </w:rPr>
              <w:t>：</w:t>
            </w:r>
          </w:p>
          <w:p w14:paraId="58DCFA3B">
            <w:pPr>
              <w:widowControl/>
              <w:adjustRightInd w:val="0"/>
              <w:snapToGrid w:val="0"/>
              <w:spacing w:line="360" w:lineRule="exact"/>
              <w:jc w:val="left"/>
              <w:rPr>
                <w:rFonts w:hint="eastAsia" w:ascii="宋体" w:hAnsi="宋体" w:eastAsia="宋体" w:cs="宋体"/>
                <w:szCs w:val="21"/>
              </w:rPr>
            </w:pPr>
            <w:r>
              <w:rPr>
                <w:rFonts w:hint="eastAsia" w:ascii="宋体" w:hAnsi="宋体" w:eastAsia="宋体" w:cs="宋体"/>
                <w:color w:val="000000"/>
                <w:sz w:val="21"/>
                <w:szCs w:val="21"/>
              </w:rPr>
              <w:t>投标人提供承诺函（格式自拟）</w:t>
            </w:r>
            <w:r>
              <w:rPr>
                <w:rFonts w:hint="eastAsia" w:ascii="宋体" w:hAnsi="宋体" w:eastAsia="宋体" w:cs="宋体"/>
                <w:color w:val="000000"/>
                <w:sz w:val="21"/>
                <w:szCs w:val="21"/>
                <w:lang w:val="en-US" w:eastAsia="zh-CN"/>
              </w:rPr>
              <w:t>作为得分依据，未提供承诺或承诺内容不满足要求不得分</w:t>
            </w:r>
            <w:r>
              <w:rPr>
                <w:rFonts w:hint="eastAsia" w:ascii="宋体" w:hAnsi="宋体" w:eastAsia="宋体" w:cs="宋体"/>
                <w:color w:val="000000"/>
                <w:sz w:val="21"/>
                <w:szCs w:val="21"/>
              </w:rPr>
              <w:t>。</w:t>
            </w:r>
          </w:p>
        </w:tc>
        <w:tc>
          <w:tcPr>
            <w:tcW w:w="1187" w:type="dxa"/>
            <w:vAlign w:val="center"/>
          </w:tcPr>
          <w:p w14:paraId="1CF8E18B">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2E0B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7" w:author="中正-杨先生" w:date="2025-04-25T11:45:29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1125" w:hRule="atLeast"/>
          <w:jc w:val="center"/>
          <w:trPrChange w:id="7" w:author="中正-杨先生" w:date="2025-04-25T11:45:29Z">
            <w:trPr>
              <w:trHeight w:val="1738" w:hRule="atLeast"/>
              <w:jc w:val="center"/>
            </w:trPr>
          </w:trPrChange>
        </w:trPr>
        <w:tc>
          <w:tcPr>
            <w:tcW w:w="754" w:type="dxa"/>
            <w:vAlign w:val="center"/>
            <w:tcPrChange w:id="8" w:author="中正-杨先生" w:date="2025-04-25T11:45:29Z">
              <w:tcPr>
                <w:tcW w:w="754" w:type="dxa"/>
                <w:vAlign w:val="center"/>
              </w:tcPr>
            </w:tcPrChange>
          </w:tcPr>
          <w:p w14:paraId="0DEEFA0D">
            <w:pPr>
              <w:adjustRightInd w:val="0"/>
              <w:snapToGrid w:val="0"/>
              <w:spacing w:line="360" w:lineRule="exact"/>
              <w:jc w:val="center"/>
              <w:rPr>
                <w:rFonts w:hint="eastAsia" w:ascii="宋体" w:hAnsi="宋体" w:eastAsia="宋体" w:cs="宋体"/>
                <w:szCs w:val="21"/>
              </w:rPr>
            </w:pPr>
            <w:bookmarkStart w:id="16" w:name="_Toc44690430"/>
            <w:bookmarkStart w:id="17" w:name="_Toc44691394"/>
            <w:bookmarkStart w:id="18" w:name="_Toc44690703"/>
            <w:bookmarkStart w:id="19" w:name="_Toc135293165"/>
            <w:bookmarkStart w:id="20" w:name="_Toc44691162"/>
            <w:r>
              <w:rPr>
                <w:rFonts w:hint="eastAsia" w:ascii="宋体" w:hAnsi="宋体" w:eastAsia="宋体" w:cs="宋体"/>
                <w:sz w:val="21"/>
                <w:szCs w:val="21"/>
              </w:rPr>
              <w:t>5</w:t>
            </w:r>
          </w:p>
        </w:tc>
        <w:tc>
          <w:tcPr>
            <w:tcW w:w="1143" w:type="dxa"/>
            <w:vAlign w:val="center"/>
            <w:tcPrChange w:id="9" w:author="中正-杨先生" w:date="2025-04-25T11:45:29Z">
              <w:tcPr>
                <w:tcW w:w="1143" w:type="dxa"/>
                <w:vAlign w:val="center"/>
              </w:tcPr>
            </w:tcPrChange>
          </w:tcPr>
          <w:p w14:paraId="0DACD60A">
            <w:pPr>
              <w:adjustRightInd w:val="0"/>
              <w:snapToGrid w:val="0"/>
              <w:spacing w:line="360" w:lineRule="exact"/>
              <w:jc w:val="center"/>
              <w:rPr>
                <w:rFonts w:hint="eastAsia" w:ascii="宋体" w:hAnsi="宋体" w:eastAsia="宋体" w:cs="宋体"/>
                <w:szCs w:val="21"/>
              </w:rPr>
            </w:pPr>
            <w:r>
              <w:rPr>
                <w:rFonts w:hint="eastAsia" w:ascii="宋体" w:hAnsi="宋体" w:eastAsia="宋体" w:cs="宋体"/>
                <w:sz w:val="21"/>
                <w:szCs w:val="21"/>
              </w:rPr>
              <w:t>诚信</w:t>
            </w:r>
          </w:p>
        </w:tc>
        <w:tc>
          <w:tcPr>
            <w:tcW w:w="709" w:type="dxa"/>
            <w:vAlign w:val="center"/>
            <w:tcPrChange w:id="10" w:author="中正-杨先生" w:date="2025-04-25T11:45:29Z">
              <w:tcPr>
                <w:tcW w:w="709" w:type="dxa"/>
                <w:vAlign w:val="center"/>
              </w:tcPr>
            </w:tcPrChange>
          </w:tcPr>
          <w:p w14:paraId="5E6DB239">
            <w:pPr>
              <w:adjustRightInd w:val="0"/>
              <w:snapToGrid w:val="0"/>
              <w:spacing w:line="360" w:lineRule="exact"/>
              <w:jc w:val="center"/>
              <w:rPr>
                <w:rFonts w:hint="eastAsia" w:ascii="宋体" w:hAnsi="宋体" w:eastAsia="宋体" w:cs="宋体"/>
                <w:szCs w:val="21"/>
              </w:rPr>
            </w:pPr>
            <w:r>
              <w:rPr>
                <w:rFonts w:hint="eastAsia" w:ascii="宋体" w:hAnsi="宋体" w:eastAsia="宋体" w:cs="宋体"/>
                <w:color w:val="000000"/>
                <w:sz w:val="21"/>
                <w:szCs w:val="21"/>
              </w:rPr>
              <w:t>5分</w:t>
            </w:r>
          </w:p>
        </w:tc>
        <w:tc>
          <w:tcPr>
            <w:tcW w:w="5953" w:type="dxa"/>
            <w:vAlign w:val="center"/>
            <w:tcPrChange w:id="11" w:author="中正-杨先生" w:date="2025-04-25T11:45:29Z">
              <w:tcPr>
                <w:tcW w:w="5953" w:type="dxa"/>
                <w:vAlign w:val="center"/>
              </w:tcPr>
            </w:tcPrChange>
          </w:tcPr>
          <w:p w14:paraId="1F36E2D3">
            <w:pPr>
              <w:pStyle w:val="19"/>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2C6EBDF0">
            <w:pPr>
              <w:adjustRightInd w:val="0"/>
              <w:snapToGrid w:val="0"/>
              <w:spacing w:line="360" w:lineRule="exact"/>
              <w:jc w:val="left"/>
              <w:rPr>
                <w:rFonts w:hint="eastAsia" w:ascii="宋体" w:hAnsi="宋体" w:eastAsia="宋体" w:cs="宋体"/>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Change w:id="12" w:author="中正-杨先生" w:date="2025-04-25T11:45:29Z">
              <w:tcPr>
                <w:tcW w:w="1187" w:type="dxa"/>
                <w:vAlign w:val="center"/>
              </w:tcPr>
            </w:tcPrChange>
          </w:tcPr>
          <w:p w14:paraId="0FA935D5">
            <w:pPr>
              <w:spacing w:line="360" w:lineRule="exact"/>
              <w:jc w:val="center"/>
              <w:rPr>
                <w:rFonts w:hint="eastAsia" w:ascii="宋体" w:hAnsi="宋体" w:eastAsia="宋体" w:cs="宋体"/>
                <w:szCs w:val="21"/>
              </w:rPr>
            </w:pPr>
            <w:r>
              <w:rPr>
                <w:rFonts w:hint="eastAsia" w:ascii="宋体" w:hAnsi="宋体" w:eastAsia="宋体" w:cs="宋体"/>
                <w:szCs w:val="21"/>
              </w:rPr>
              <w:t>评委</w:t>
            </w:r>
            <w:r>
              <w:rPr>
                <w:rFonts w:hint="eastAsia" w:ascii="宋体" w:hAnsi="宋体" w:eastAsia="宋体" w:cs="宋体"/>
                <w:szCs w:val="21"/>
                <w:lang w:val="zh-CN"/>
              </w:rPr>
              <w:t>打分</w:t>
            </w:r>
          </w:p>
        </w:tc>
      </w:tr>
    </w:tbl>
    <w:p w14:paraId="1A939292">
      <w:pPr>
        <w:pStyle w:val="5"/>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6"/>
      <w:bookmarkEnd w:id="17"/>
      <w:bookmarkEnd w:id="18"/>
      <w:bookmarkEnd w:id="19"/>
      <w:bookmarkEnd w:id="20"/>
    </w:p>
    <w:p w14:paraId="66EDEC43">
      <w:pPr>
        <w:pStyle w:val="4"/>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深圳市病媒生物控制效果评估</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int="eastAsia" w:hAnsi="宋体" w:eastAsia="宋体"/>
                <w:szCs w:val="24"/>
                <w:lang w:eastAsia="zh-CN"/>
              </w:rPr>
            </w:pPr>
            <w:r>
              <w:rPr>
                <w:rFonts w:hint="eastAsia" w:hAnsi="宋体"/>
                <w:snapToGrid w:val="0"/>
                <w:szCs w:val="21"/>
                <w:lang w:eastAsia="zh-CN"/>
              </w:rPr>
              <w:t>深圳市疾病预防控制中心</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4500</w:t>
            </w:r>
            <w:r>
              <w:rPr>
                <w:rFonts w:hint="eastAsia" w:asciiTheme="minorEastAsia" w:hAnsiTheme="minorEastAsia" w:eastAsiaTheme="minorEastAsia"/>
              </w:rPr>
              <w:t>元。</w:t>
            </w:r>
          </w:p>
          <w:p w14:paraId="687E342D">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4" w:name="_Toc135293169"/>
      <w:r>
        <w:rPr>
          <w:rFonts w:hint="eastAsia"/>
        </w:rPr>
        <w:t>第六章  投标人须知</w:t>
      </w:r>
      <w:bookmarkEnd w:id="24"/>
    </w:p>
    <w:p w14:paraId="2E5D3F6A">
      <w:pPr>
        <w:pStyle w:val="5"/>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5"/>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5"/>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5"/>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5"/>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5"/>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5"/>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0" w:name="_Toc135293177"/>
      <w:r>
        <w:rPr>
          <w:rFonts w:hint="eastAsia"/>
        </w:rPr>
        <w:t>第七章  投标文件格式</w:t>
      </w:r>
      <w:bookmarkEnd w:id="40"/>
    </w:p>
    <w:p w14:paraId="6A7BFB52">
      <w:pPr>
        <w:jc w:val="center"/>
        <w:rPr>
          <w:b/>
          <w:sz w:val="52"/>
          <w:szCs w:val="52"/>
        </w:rPr>
      </w:pPr>
    </w:p>
    <w:p w14:paraId="73393E35">
      <w:pPr>
        <w:pStyle w:val="5"/>
        <w:spacing w:line="400" w:lineRule="exact"/>
        <w:rPr>
          <w:rFonts w:ascii="仿宋" w:hAnsi="仿宋" w:eastAsia="仿宋"/>
        </w:rPr>
      </w:pPr>
      <w:bookmarkStart w:id="41" w:name="_Toc44690704"/>
      <w:bookmarkStart w:id="42" w:name="_Toc11772"/>
      <w:bookmarkStart w:id="43" w:name="_Toc14934"/>
      <w:bookmarkStart w:id="44" w:name="_Toc135293178"/>
      <w:bookmarkStart w:id="45" w:name="_Toc31468"/>
      <w:bookmarkStart w:id="46" w:name="_Toc25194"/>
      <w:bookmarkStart w:id="47" w:name="_Toc44691163"/>
      <w:bookmarkStart w:id="48" w:name="_Toc44690431"/>
      <w:bookmarkStart w:id="49" w:name="_Toc44691395"/>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5"/>
        <w:spacing w:line="400" w:lineRule="exact"/>
        <w:rPr>
          <w:rFonts w:ascii="仿宋" w:hAnsi="仿宋" w:eastAsia="仿宋"/>
        </w:rPr>
      </w:pPr>
      <w:bookmarkStart w:id="52" w:name="_Toc135293179"/>
    </w:p>
    <w:p w14:paraId="3EC095F1">
      <w:pPr>
        <w:pStyle w:val="5"/>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5"/>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5"/>
      </w:pPr>
    </w:p>
    <w:p w14:paraId="3500744B">
      <w:pPr>
        <w:pStyle w:val="5"/>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7" w:name="_Toc44690432"/>
      <w:bookmarkStart w:id="58" w:name="_Toc44691164"/>
      <w:bookmarkStart w:id="59" w:name="_Toc135293182"/>
      <w:bookmarkStart w:id="60" w:name="_Toc44691396"/>
      <w:bookmarkStart w:id="61" w:name="_Toc44690705"/>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5"/>
        <w:spacing w:line="400" w:lineRule="exact"/>
        <w:rPr>
          <w:rFonts w:hint="eastAsia" w:ascii="仿宋" w:hAnsi="仿宋" w:eastAsia="仿宋"/>
        </w:rPr>
      </w:pPr>
    </w:p>
    <w:p w14:paraId="0DAC9DBC">
      <w:pPr>
        <w:pStyle w:val="5"/>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5"/>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5"/>
        <w:spacing w:line="400" w:lineRule="exact"/>
        <w:jc w:val="center"/>
        <w:rPr>
          <w:rFonts w:hint="eastAsia" w:ascii="仿宋" w:hAnsi="仿宋" w:eastAsia="仿宋"/>
          <w:lang w:eastAsia="zh-CN"/>
        </w:rPr>
      </w:pPr>
    </w:p>
    <w:p w14:paraId="6CA4D675">
      <w:pPr>
        <w:pStyle w:val="5"/>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9"/>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9"/>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7AEB8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7C5CD1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5"/>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7"/>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5"/>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CC6988B">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451538D1">
      <w:pPr>
        <w:spacing w:line="400" w:lineRule="exact"/>
        <w:ind w:firstLine="420" w:firstLineChars="200"/>
        <w:rPr>
          <w:rFonts w:hint="eastAsia" w:ascii="宋体" w:hAnsi="宋体" w:eastAsia="宋体" w:cs="Courier New"/>
          <w:snapToGrid w:val="0"/>
          <w:szCs w:val="18"/>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DC4C8B6">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5192C1D">
      <w:pPr>
        <w:widowControl/>
        <w:jc w:val="left"/>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5"/>
      </w:pPr>
    </w:p>
    <w:p w14:paraId="309A7EFB">
      <w:pPr>
        <w:rPr>
          <w:rFonts w:hint="eastAsia" w:ascii="宋体" w:hAnsi="宋体"/>
          <w:b/>
          <w:sz w:val="28"/>
          <w:szCs w:val="28"/>
        </w:rPr>
      </w:pPr>
      <w:r>
        <w:rPr>
          <w:rFonts w:hint="eastAsia" w:ascii="宋体" w:hAnsi="宋体"/>
          <w:b/>
          <w:sz w:val="28"/>
          <w:szCs w:val="28"/>
        </w:rPr>
        <w:br w:type="page"/>
      </w:r>
    </w:p>
    <w:p w14:paraId="62FC7172">
      <w:pPr>
        <w:widowControl/>
        <w:jc w:val="center"/>
        <w:rPr>
          <w:rFonts w:hint="eastAsia"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rFonts w:hint="eastAsia"/>
          <w:b/>
          <w:bCs/>
          <w:sz w:val="28"/>
        </w:rPr>
      </w:pPr>
    </w:p>
    <w:p w14:paraId="3EF0D02B">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02245991">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6"/>
        <w:tabs>
          <w:tab w:val="left" w:pos="0"/>
        </w:tabs>
        <w:jc w:val="center"/>
        <w:rPr>
          <w:rFonts w:ascii="宋体" w:hAnsi="宋体" w:eastAsia="宋体"/>
        </w:rPr>
      </w:pPr>
      <w:r>
        <w:rPr>
          <w:rFonts w:hint="eastAsia" w:ascii="宋体" w:hAnsi="宋体" w:eastAsia="宋体"/>
        </w:rPr>
        <w:t>中小企业声明函</w:t>
      </w:r>
    </w:p>
    <w:p w14:paraId="26132446">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6"/>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6"/>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0706"/>
      <w:bookmarkStart w:id="68" w:name="_Toc44691397"/>
      <w:bookmarkStart w:id="69" w:name="_Toc135293186"/>
      <w:bookmarkStart w:id="70" w:name="_Toc44691165"/>
      <w:bookmarkStart w:id="71" w:name="_Toc44690433"/>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深圳市病媒生物控制效果评估</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2" w:name="_Toc44691398"/>
      <w:bookmarkStart w:id="73" w:name="_Toc44690707"/>
      <w:bookmarkStart w:id="74" w:name="_Toc44691166"/>
      <w:bookmarkStart w:id="75" w:name="_Toc44690434"/>
      <w:bookmarkStart w:id="76" w:name="_Toc135293187"/>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7" w:name="_Toc135293188"/>
      <w:bookmarkStart w:id="78" w:name="_Toc44690708"/>
      <w:bookmarkStart w:id="79" w:name="_Toc44690435"/>
      <w:bookmarkStart w:id="80" w:name="_Toc44691399"/>
      <w:bookmarkStart w:id="81" w:name="_Toc44691167"/>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8"/>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14:paraId="73FB428F">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42066D9D">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违约承诺</w:t>
      </w:r>
    </w:p>
    <w:p w14:paraId="5D4F00B9">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rPr>
        <w:t>6、投标人认为必要的其他方案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5"/>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02EF4F14">
      <w:pPr>
        <w:tabs>
          <w:tab w:val="left" w:pos="8248"/>
          <w:tab w:val="left" w:pos="9368"/>
        </w:tabs>
        <w:spacing w:line="360" w:lineRule="auto"/>
        <w:rPr>
          <w:rFonts w:hint="eastAsia"/>
        </w:rPr>
      </w:pPr>
    </w:p>
    <w:p w14:paraId="4828A698">
      <w:pPr>
        <w:tabs>
          <w:tab w:val="left" w:pos="8248"/>
          <w:tab w:val="left" w:pos="9368"/>
        </w:tabs>
        <w:spacing w:line="360" w:lineRule="auto"/>
        <w:rPr>
          <w:rFonts w:hint="eastAsia"/>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5"/>
      </w:pPr>
    </w:p>
    <w:p w14:paraId="241FDC79"/>
    <w:p w14:paraId="3CEF99C1">
      <w:pPr>
        <w:pStyle w:val="4"/>
        <w:tabs>
          <w:tab w:val="left" w:pos="371"/>
        </w:tabs>
        <w:spacing w:before="120" w:after="120"/>
        <w:ind w:left="-1" w:leftChars="-1" w:hanging="1"/>
        <w:jc w:val="center"/>
        <w:rPr>
          <w:rFonts w:asciiTheme="minorEastAsia" w:hAnsiTheme="minorEastAsia" w:eastAsiaTheme="minorEastAsia"/>
        </w:rPr>
      </w:pPr>
    </w:p>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3" w:name="_Toc44691168"/>
      <w:bookmarkStart w:id="84" w:name="_Toc44690709"/>
      <w:bookmarkStart w:id="85" w:name="_Toc44690436"/>
      <w:bookmarkStart w:id="86" w:name="_Toc44691400"/>
      <w:bookmarkStart w:id="87" w:name="_Toc135293190"/>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4"/>
        <w:tabs>
          <w:tab w:val="left" w:pos="371"/>
        </w:tabs>
        <w:spacing w:before="120" w:after="120"/>
        <w:ind w:left="-1" w:leftChars="-1" w:hanging="1"/>
        <w:jc w:val="center"/>
        <w:rPr>
          <w:rFonts w:asciiTheme="minorEastAsia" w:hAnsiTheme="minorEastAsia" w:eastAsiaTheme="minorEastAsia"/>
        </w:rPr>
      </w:pPr>
      <w:bookmarkStart w:id="88" w:name="q17"/>
      <w:bookmarkEnd w:id="88"/>
      <w:bookmarkStart w:id="89" w:name="_格式2__投标保证金凭证"/>
      <w:bookmarkEnd w:id="89"/>
      <w:bookmarkStart w:id="90" w:name="q16"/>
      <w:bookmarkEnd w:id="90"/>
      <w:bookmarkStart w:id="91" w:name="_格式3__"/>
      <w:bookmarkEnd w:id="91"/>
      <w:bookmarkStart w:id="92" w:name="_格式5__"/>
      <w:bookmarkEnd w:id="92"/>
      <w:bookmarkStart w:id="93" w:name="_格式4__"/>
      <w:bookmarkEnd w:id="93"/>
      <w:bookmarkStart w:id="94" w:name="q15"/>
      <w:bookmarkEnd w:id="94"/>
      <w:r>
        <w:rPr>
          <w:rFonts w:asciiTheme="minorEastAsia" w:hAnsiTheme="minorEastAsia" w:eastAsiaTheme="minorEastAsia"/>
        </w:rPr>
        <w:tab/>
      </w:r>
      <w:bookmarkStart w:id="95" w:name="_Toc44690710"/>
      <w:bookmarkStart w:id="96" w:name="_Toc44691401"/>
      <w:bookmarkStart w:id="97" w:name="_Toc44690437"/>
      <w:bookmarkStart w:id="98" w:name="_Toc44691169"/>
      <w:bookmarkStart w:id="99"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1" w:name="_Toc135293193"/>
      <w:bookmarkStart w:id="102" w:name="_Toc73610161"/>
      <w:r>
        <w:rPr>
          <w:rFonts w:hint="eastAsia"/>
        </w:rPr>
        <w:t>第九章  附件</w:t>
      </w:r>
      <w:bookmarkEnd w:id="101"/>
      <w:bookmarkEnd w:id="102"/>
    </w:p>
    <w:p w14:paraId="3C84BC95">
      <w:pPr>
        <w:pStyle w:val="5"/>
        <w:spacing w:before="0" w:after="0"/>
      </w:pPr>
      <w:bookmarkStart w:id="103" w:name="_Toc73613644"/>
      <w:bookmarkStart w:id="104" w:name="_Toc135293194"/>
      <w:bookmarkStart w:id="105" w:name="_Toc73610162"/>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5"/>
        <w:spacing w:before="0" w:after="0"/>
      </w:pPr>
      <w:bookmarkStart w:id="106" w:name="_Toc73610163"/>
      <w:bookmarkStart w:id="107" w:name="_Toc135293195"/>
      <w:bookmarkStart w:id="108" w:name="_Toc7361364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5"/>
        <w:spacing w:before="0" w:after="0"/>
      </w:pPr>
      <w:bookmarkStart w:id="109" w:name="_Toc73613646"/>
      <w:bookmarkStart w:id="110" w:name="_Toc135293196"/>
      <w:bookmarkStart w:id="111" w:name="_Toc73610164"/>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5"/>
        <w:spacing w:before="0" w:after="0"/>
      </w:pPr>
      <w:bookmarkStart w:id="112" w:name="_Toc135293197"/>
      <w:bookmarkStart w:id="113" w:name="_Toc7361364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5"/>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深圳市病媒生物控制效果评估</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SZZZ2025-QC0152</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5B4E0B24"/>
    <w:multiLevelType w:val="singleLevel"/>
    <w:tmpl w:val="5B4E0B24"/>
    <w:lvl w:ilvl="0" w:tentative="0">
      <w:start w:val="1"/>
      <w:numFmt w:val="decimal"/>
      <w:suff w:val="nothing"/>
      <w:lvlText w:val="（%1）"/>
      <w:lvlJc w:val="left"/>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杨先生">
    <w15:presenceInfo w15:providerId="WPS Office" w15:userId="4179546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5F1"/>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B2E67"/>
    <w:rsid w:val="026E4F91"/>
    <w:rsid w:val="02C77214"/>
    <w:rsid w:val="02CB1CF7"/>
    <w:rsid w:val="03675DAC"/>
    <w:rsid w:val="039C57C0"/>
    <w:rsid w:val="041D095D"/>
    <w:rsid w:val="054247C4"/>
    <w:rsid w:val="05C87DB9"/>
    <w:rsid w:val="08425EAC"/>
    <w:rsid w:val="08B72B6E"/>
    <w:rsid w:val="0961739E"/>
    <w:rsid w:val="098E6083"/>
    <w:rsid w:val="09D354E6"/>
    <w:rsid w:val="0AA65944"/>
    <w:rsid w:val="0ADA4400"/>
    <w:rsid w:val="0B205B2B"/>
    <w:rsid w:val="0B3D0378"/>
    <w:rsid w:val="0B782559"/>
    <w:rsid w:val="0BF6367B"/>
    <w:rsid w:val="0BFD483A"/>
    <w:rsid w:val="0C5B67E0"/>
    <w:rsid w:val="0CE57E5A"/>
    <w:rsid w:val="0D256CBB"/>
    <w:rsid w:val="0D49488C"/>
    <w:rsid w:val="0D566BC9"/>
    <w:rsid w:val="0D7C1890"/>
    <w:rsid w:val="0D8B597D"/>
    <w:rsid w:val="0D9B11D4"/>
    <w:rsid w:val="0E180322"/>
    <w:rsid w:val="0E5928AD"/>
    <w:rsid w:val="0E8C4995"/>
    <w:rsid w:val="0EF27BFB"/>
    <w:rsid w:val="0F0D2BA7"/>
    <w:rsid w:val="0F1E55F5"/>
    <w:rsid w:val="0F6A604F"/>
    <w:rsid w:val="0FBC50EF"/>
    <w:rsid w:val="10050C09"/>
    <w:rsid w:val="11075563"/>
    <w:rsid w:val="11080DB5"/>
    <w:rsid w:val="115F3FD7"/>
    <w:rsid w:val="11834124"/>
    <w:rsid w:val="11A259DD"/>
    <w:rsid w:val="11D90C91"/>
    <w:rsid w:val="11F9269A"/>
    <w:rsid w:val="120474A0"/>
    <w:rsid w:val="12C32C8D"/>
    <w:rsid w:val="12ED5EA4"/>
    <w:rsid w:val="13102ABE"/>
    <w:rsid w:val="13A46CB7"/>
    <w:rsid w:val="14CF5677"/>
    <w:rsid w:val="15C767D9"/>
    <w:rsid w:val="167D280D"/>
    <w:rsid w:val="17047766"/>
    <w:rsid w:val="170A4C85"/>
    <w:rsid w:val="174A5413"/>
    <w:rsid w:val="17935895"/>
    <w:rsid w:val="17EB6CC4"/>
    <w:rsid w:val="17F52C18"/>
    <w:rsid w:val="1807166C"/>
    <w:rsid w:val="184530EF"/>
    <w:rsid w:val="187842FE"/>
    <w:rsid w:val="19227A4B"/>
    <w:rsid w:val="19722A75"/>
    <w:rsid w:val="1A182B91"/>
    <w:rsid w:val="1A3B761A"/>
    <w:rsid w:val="1A4E7B88"/>
    <w:rsid w:val="1A703454"/>
    <w:rsid w:val="1A7A7E33"/>
    <w:rsid w:val="1B3E182A"/>
    <w:rsid w:val="1B4B5195"/>
    <w:rsid w:val="1B9320F1"/>
    <w:rsid w:val="1C174C6F"/>
    <w:rsid w:val="1C7C020D"/>
    <w:rsid w:val="1C8F78BA"/>
    <w:rsid w:val="1C9B0D84"/>
    <w:rsid w:val="1CDD3F3B"/>
    <w:rsid w:val="1D4D6869"/>
    <w:rsid w:val="1DD01078"/>
    <w:rsid w:val="1DF42FCA"/>
    <w:rsid w:val="20252FDD"/>
    <w:rsid w:val="20707345"/>
    <w:rsid w:val="20FD7003"/>
    <w:rsid w:val="211F29BC"/>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301176"/>
    <w:rsid w:val="278C78CF"/>
    <w:rsid w:val="278F0C96"/>
    <w:rsid w:val="27AA4F6F"/>
    <w:rsid w:val="283437D1"/>
    <w:rsid w:val="28823097"/>
    <w:rsid w:val="28E15521"/>
    <w:rsid w:val="28F7242D"/>
    <w:rsid w:val="29076E89"/>
    <w:rsid w:val="29A30A29"/>
    <w:rsid w:val="29F00112"/>
    <w:rsid w:val="2A161A99"/>
    <w:rsid w:val="2A7615AE"/>
    <w:rsid w:val="2A866380"/>
    <w:rsid w:val="2AD85037"/>
    <w:rsid w:val="2B002AD1"/>
    <w:rsid w:val="2BC03B14"/>
    <w:rsid w:val="2BD0253B"/>
    <w:rsid w:val="2C187060"/>
    <w:rsid w:val="2C3B7C8F"/>
    <w:rsid w:val="2C444480"/>
    <w:rsid w:val="2C564DC3"/>
    <w:rsid w:val="2C994A91"/>
    <w:rsid w:val="2CE90E48"/>
    <w:rsid w:val="2D0D4B37"/>
    <w:rsid w:val="2D6C141D"/>
    <w:rsid w:val="2DEA2B8B"/>
    <w:rsid w:val="2E980D64"/>
    <w:rsid w:val="2EB64B4B"/>
    <w:rsid w:val="2EDB590A"/>
    <w:rsid w:val="2F0A29E3"/>
    <w:rsid w:val="30601421"/>
    <w:rsid w:val="30817D6A"/>
    <w:rsid w:val="3157114E"/>
    <w:rsid w:val="315D7CF4"/>
    <w:rsid w:val="31F2037F"/>
    <w:rsid w:val="329B11F6"/>
    <w:rsid w:val="336E087E"/>
    <w:rsid w:val="33A85DA6"/>
    <w:rsid w:val="33C3087D"/>
    <w:rsid w:val="33D06F63"/>
    <w:rsid w:val="344C0413"/>
    <w:rsid w:val="344F5E45"/>
    <w:rsid w:val="34842E9F"/>
    <w:rsid w:val="34FA7B3A"/>
    <w:rsid w:val="350F28AA"/>
    <w:rsid w:val="35352B75"/>
    <w:rsid w:val="35961B12"/>
    <w:rsid w:val="364523AD"/>
    <w:rsid w:val="36700D38"/>
    <w:rsid w:val="368636C2"/>
    <w:rsid w:val="36B41BB7"/>
    <w:rsid w:val="36C4673D"/>
    <w:rsid w:val="37695060"/>
    <w:rsid w:val="377C6DA9"/>
    <w:rsid w:val="37B10B63"/>
    <w:rsid w:val="37D17C49"/>
    <w:rsid w:val="37DC0287"/>
    <w:rsid w:val="387624AA"/>
    <w:rsid w:val="388C7258"/>
    <w:rsid w:val="38950836"/>
    <w:rsid w:val="3900628A"/>
    <w:rsid w:val="390721D7"/>
    <w:rsid w:val="392C4597"/>
    <w:rsid w:val="393B510C"/>
    <w:rsid w:val="393E7417"/>
    <w:rsid w:val="393F4767"/>
    <w:rsid w:val="39A97E97"/>
    <w:rsid w:val="3A260C29"/>
    <w:rsid w:val="3A651F6E"/>
    <w:rsid w:val="3AA53060"/>
    <w:rsid w:val="3AD26068"/>
    <w:rsid w:val="3B493EAC"/>
    <w:rsid w:val="3B57268D"/>
    <w:rsid w:val="3B6176CE"/>
    <w:rsid w:val="3BF9504C"/>
    <w:rsid w:val="3C101F4E"/>
    <w:rsid w:val="3C872BFA"/>
    <w:rsid w:val="3C9D3F8B"/>
    <w:rsid w:val="3CA60B04"/>
    <w:rsid w:val="3CCF5E45"/>
    <w:rsid w:val="3CF11603"/>
    <w:rsid w:val="3D5129F3"/>
    <w:rsid w:val="3D515A8A"/>
    <w:rsid w:val="3D596A19"/>
    <w:rsid w:val="3D623CEE"/>
    <w:rsid w:val="3D7507FB"/>
    <w:rsid w:val="3EB5127A"/>
    <w:rsid w:val="3EF341BE"/>
    <w:rsid w:val="3F2A1578"/>
    <w:rsid w:val="3F503E5E"/>
    <w:rsid w:val="3F812CA8"/>
    <w:rsid w:val="3FB547D5"/>
    <w:rsid w:val="3FC16214"/>
    <w:rsid w:val="41576FF8"/>
    <w:rsid w:val="418F600A"/>
    <w:rsid w:val="41B7602B"/>
    <w:rsid w:val="41D9164E"/>
    <w:rsid w:val="41DD521D"/>
    <w:rsid w:val="421870CD"/>
    <w:rsid w:val="423B7022"/>
    <w:rsid w:val="429A23DC"/>
    <w:rsid w:val="42A11B51"/>
    <w:rsid w:val="42A87124"/>
    <w:rsid w:val="42D633EC"/>
    <w:rsid w:val="430239C6"/>
    <w:rsid w:val="4389060E"/>
    <w:rsid w:val="43C8028A"/>
    <w:rsid w:val="43D51667"/>
    <w:rsid w:val="443B2C25"/>
    <w:rsid w:val="444A6219"/>
    <w:rsid w:val="448421F1"/>
    <w:rsid w:val="448A4681"/>
    <w:rsid w:val="44B931B7"/>
    <w:rsid w:val="44DC50C3"/>
    <w:rsid w:val="45D37D9B"/>
    <w:rsid w:val="474642BA"/>
    <w:rsid w:val="47C817CD"/>
    <w:rsid w:val="48194FD5"/>
    <w:rsid w:val="484514CB"/>
    <w:rsid w:val="48532FB4"/>
    <w:rsid w:val="48C86EE1"/>
    <w:rsid w:val="498272AD"/>
    <w:rsid w:val="49A34BDC"/>
    <w:rsid w:val="49BF4FB3"/>
    <w:rsid w:val="49FA6EF8"/>
    <w:rsid w:val="4A0701BA"/>
    <w:rsid w:val="4A784961"/>
    <w:rsid w:val="4ACF3A3C"/>
    <w:rsid w:val="4B1700DF"/>
    <w:rsid w:val="4C085898"/>
    <w:rsid w:val="4C373527"/>
    <w:rsid w:val="4CC805CD"/>
    <w:rsid w:val="4CD90E2A"/>
    <w:rsid w:val="4D251CFD"/>
    <w:rsid w:val="4E055E94"/>
    <w:rsid w:val="4E1910C7"/>
    <w:rsid w:val="4EA222F3"/>
    <w:rsid w:val="4EB175C0"/>
    <w:rsid w:val="4ED12031"/>
    <w:rsid w:val="4ED137BE"/>
    <w:rsid w:val="4F0F6A19"/>
    <w:rsid w:val="4F8904CA"/>
    <w:rsid w:val="4FAE1D52"/>
    <w:rsid w:val="506B6C47"/>
    <w:rsid w:val="51D10A66"/>
    <w:rsid w:val="52263E21"/>
    <w:rsid w:val="528A390F"/>
    <w:rsid w:val="528C6991"/>
    <w:rsid w:val="52C3297B"/>
    <w:rsid w:val="54054633"/>
    <w:rsid w:val="540605E4"/>
    <w:rsid w:val="547F0032"/>
    <w:rsid w:val="54A02A20"/>
    <w:rsid w:val="55A35789"/>
    <w:rsid w:val="55B24F8F"/>
    <w:rsid w:val="55C87B3E"/>
    <w:rsid w:val="56D429B4"/>
    <w:rsid w:val="56ED315F"/>
    <w:rsid w:val="57142FA7"/>
    <w:rsid w:val="57F33150"/>
    <w:rsid w:val="580A0579"/>
    <w:rsid w:val="58677DAE"/>
    <w:rsid w:val="58D67D8C"/>
    <w:rsid w:val="58E10577"/>
    <w:rsid w:val="59165EF7"/>
    <w:rsid w:val="59702A12"/>
    <w:rsid w:val="59CF1242"/>
    <w:rsid w:val="5AE46F75"/>
    <w:rsid w:val="5AED2A9C"/>
    <w:rsid w:val="5BC746C9"/>
    <w:rsid w:val="5BDE63C8"/>
    <w:rsid w:val="5C013209"/>
    <w:rsid w:val="5CC61F72"/>
    <w:rsid w:val="5CF206F7"/>
    <w:rsid w:val="5D440F45"/>
    <w:rsid w:val="5D6121B1"/>
    <w:rsid w:val="5D8D2FA6"/>
    <w:rsid w:val="5DA764EE"/>
    <w:rsid w:val="5E7466D9"/>
    <w:rsid w:val="5EA0340D"/>
    <w:rsid w:val="5ED66C3C"/>
    <w:rsid w:val="5EE017FC"/>
    <w:rsid w:val="5F2E2567"/>
    <w:rsid w:val="5F7A468D"/>
    <w:rsid w:val="5F9E76ED"/>
    <w:rsid w:val="5FDD643B"/>
    <w:rsid w:val="60200102"/>
    <w:rsid w:val="607249AE"/>
    <w:rsid w:val="60BA3E42"/>
    <w:rsid w:val="61181E1C"/>
    <w:rsid w:val="6155072E"/>
    <w:rsid w:val="617A7A66"/>
    <w:rsid w:val="6194383B"/>
    <w:rsid w:val="61A415C7"/>
    <w:rsid w:val="61C71D9F"/>
    <w:rsid w:val="61CB5375"/>
    <w:rsid w:val="61F21F72"/>
    <w:rsid w:val="623348CA"/>
    <w:rsid w:val="625421DB"/>
    <w:rsid w:val="63750765"/>
    <w:rsid w:val="63D11B11"/>
    <w:rsid w:val="64B37F11"/>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92D0ABF"/>
    <w:rsid w:val="69715655"/>
    <w:rsid w:val="6A531FEA"/>
    <w:rsid w:val="6A8D3F8A"/>
    <w:rsid w:val="6BCD1DE6"/>
    <w:rsid w:val="6C272818"/>
    <w:rsid w:val="6C4443B0"/>
    <w:rsid w:val="6C505023"/>
    <w:rsid w:val="6CCE7457"/>
    <w:rsid w:val="6CF41368"/>
    <w:rsid w:val="6D14299F"/>
    <w:rsid w:val="6D672A1E"/>
    <w:rsid w:val="6DC237D1"/>
    <w:rsid w:val="6E2F4B86"/>
    <w:rsid w:val="6E6242AF"/>
    <w:rsid w:val="6E681EA9"/>
    <w:rsid w:val="6E8421A4"/>
    <w:rsid w:val="6EB56801"/>
    <w:rsid w:val="6EEC2463"/>
    <w:rsid w:val="6F40725E"/>
    <w:rsid w:val="6F4C2770"/>
    <w:rsid w:val="6F745D74"/>
    <w:rsid w:val="6F8F2BAE"/>
    <w:rsid w:val="704D7B76"/>
    <w:rsid w:val="705C4C75"/>
    <w:rsid w:val="70AE175A"/>
    <w:rsid w:val="711172CF"/>
    <w:rsid w:val="71FD54DD"/>
    <w:rsid w:val="729A3A97"/>
    <w:rsid w:val="72CA287C"/>
    <w:rsid w:val="738E7E4C"/>
    <w:rsid w:val="739A7F5B"/>
    <w:rsid w:val="73C66DBA"/>
    <w:rsid w:val="7410294D"/>
    <w:rsid w:val="74275AAB"/>
    <w:rsid w:val="749E3893"/>
    <w:rsid w:val="74C973EA"/>
    <w:rsid w:val="750464B4"/>
    <w:rsid w:val="752B4572"/>
    <w:rsid w:val="76373F9F"/>
    <w:rsid w:val="76D310CC"/>
    <w:rsid w:val="76D71644"/>
    <w:rsid w:val="76EA69F2"/>
    <w:rsid w:val="76EE69B8"/>
    <w:rsid w:val="776C2FB6"/>
    <w:rsid w:val="78E711F4"/>
    <w:rsid w:val="790C34C1"/>
    <w:rsid w:val="79982284"/>
    <w:rsid w:val="7998662D"/>
    <w:rsid w:val="79F820B0"/>
    <w:rsid w:val="7A2F2846"/>
    <w:rsid w:val="7A8C5878"/>
    <w:rsid w:val="7AFB559C"/>
    <w:rsid w:val="7B471854"/>
    <w:rsid w:val="7C552333"/>
    <w:rsid w:val="7CA86C55"/>
    <w:rsid w:val="7CDA5B60"/>
    <w:rsid w:val="7CF019C1"/>
    <w:rsid w:val="7D087430"/>
    <w:rsid w:val="7D1B3CD3"/>
    <w:rsid w:val="7D461CAD"/>
    <w:rsid w:val="7E28286A"/>
    <w:rsid w:val="7E4515FE"/>
    <w:rsid w:val="7EAD59B2"/>
    <w:rsid w:val="7EBF11BA"/>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autoRedefine/>
    <w:qFormat/>
    <w:uiPriority w:val="0"/>
    <w:pPr>
      <w:ind w:firstLine="420" w:firstLineChars="200"/>
    </w:pPr>
  </w:style>
  <w:style w:type="paragraph" w:styleId="13">
    <w:name w:val="toc 7"/>
    <w:basedOn w:val="1"/>
    <w:next w:val="1"/>
    <w:autoRedefine/>
    <w:qFormat/>
    <w:uiPriority w:val="0"/>
    <w:pPr>
      <w:ind w:left="1260"/>
      <w:jc w:val="left"/>
    </w:pPr>
    <w:rPr>
      <w:szCs w:val="21"/>
    </w:rPr>
  </w:style>
  <w:style w:type="paragraph" w:styleId="14">
    <w:name w:val="List Number 2"/>
    <w:basedOn w:val="1"/>
    <w:autoRedefine/>
    <w:qFormat/>
    <w:uiPriority w:val="0"/>
    <w:pPr>
      <w:tabs>
        <w:tab w:val="left" w:pos="780"/>
      </w:tabs>
      <w:ind w:left="780" w:hanging="360"/>
    </w:pPr>
    <w:rPr>
      <w:szCs w:val="20"/>
    </w:rPr>
  </w:style>
  <w:style w:type="paragraph" w:styleId="15">
    <w:name w:val="List Bullet 4"/>
    <w:basedOn w:val="1"/>
    <w:autoRedefine/>
    <w:qFormat/>
    <w:uiPriority w:val="0"/>
    <w:pPr>
      <w:tabs>
        <w:tab w:val="left" w:pos="425"/>
        <w:tab w:val="left" w:pos="1620"/>
      </w:tabs>
      <w:ind w:left="425" w:hanging="425"/>
    </w:pPr>
    <w:rPr>
      <w:szCs w:val="20"/>
    </w:rPr>
  </w:style>
  <w:style w:type="paragraph" w:styleId="16">
    <w:name w:val="caption"/>
    <w:basedOn w:val="1"/>
    <w:next w:val="1"/>
    <w:link w:val="297"/>
    <w:autoRedefine/>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autoRedefine/>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autoRedefine/>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autoRedefine/>
    <w:qFormat/>
    <w:uiPriority w:val="0"/>
    <w:rPr>
      <w:b/>
      <w:kern w:val="2"/>
      <w:sz w:val="28"/>
      <w:szCs w:val="24"/>
    </w:rPr>
  </w:style>
  <w:style w:type="character" w:customStyle="1" w:styleId="65">
    <w:name w:val="标题 6 Char1"/>
    <w:basedOn w:val="52"/>
    <w:link w:val="9"/>
    <w:autoRedefine/>
    <w:qFormat/>
    <w:uiPriority w:val="9"/>
    <w:rPr>
      <w:rFonts w:ascii="Arial" w:hAnsi="Arial" w:eastAsia="黑体"/>
      <w:b/>
      <w:kern w:val="2"/>
      <w:sz w:val="24"/>
      <w:szCs w:val="24"/>
    </w:rPr>
  </w:style>
  <w:style w:type="character" w:customStyle="1" w:styleId="66">
    <w:name w:val="标题 7 Char1"/>
    <w:basedOn w:val="52"/>
    <w:link w:val="10"/>
    <w:autoRedefine/>
    <w:qFormat/>
    <w:uiPriority w:val="9"/>
    <w:rPr>
      <w:b/>
      <w:kern w:val="2"/>
      <w:sz w:val="24"/>
      <w:szCs w:val="24"/>
    </w:rPr>
  </w:style>
  <w:style w:type="character" w:customStyle="1" w:styleId="67">
    <w:name w:val="标题 8 Char1"/>
    <w:basedOn w:val="52"/>
    <w:link w:val="11"/>
    <w:autoRedefine/>
    <w:qFormat/>
    <w:uiPriority w:val="9"/>
    <w:rPr>
      <w:rFonts w:ascii="Arial" w:hAnsi="Arial" w:eastAsia="黑体"/>
      <w:kern w:val="2"/>
      <w:sz w:val="24"/>
      <w:szCs w:val="24"/>
    </w:rPr>
  </w:style>
  <w:style w:type="character" w:customStyle="1" w:styleId="68">
    <w:name w:val="标题 9 Char1"/>
    <w:basedOn w:val="52"/>
    <w:link w:val="12"/>
    <w:autoRedefine/>
    <w:qFormat/>
    <w:uiPriority w:val="0"/>
    <w:rPr>
      <w:rFonts w:ascii="Arial" w:hAnsi="Arial" w:eastAsia="黑体"/>
      <w:kern w:val="2"/>
      <w:sz w:val="21"/>
      <w:szCs w:val="24"/>
    </w:rPr>
  </w:style>
  <w:style w:type="character" w:customStyle="1" w:styleId="69">
    <w:name w:val="批注文字 Char"/>
    <w:link w:val="19"/>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8"/>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6"/>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6"/>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5"/>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7"/>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20"/>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83</Pages>
  <Words>18167</Words>
  <Characters>19111</Characters>
  <Lines>398</Lines>
  <Paragraphs>112</Paragraphs>
  <TotalTime>10</TotalTime>
  <ScaleCrop>false</ScaleCrop>
  <LinksUpToDate>false</LinksUpToDate>
  <CharactersWithSpaces>19380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中正-杨先生</cp:lastModifiedBy>
  <cp:lastPrinted>2020-05-26T01:03:00Z</cp:lastPrinted>
  <dcterms:modified xsi:type="dcterms:W3CDTF">2025-05-13T03:52:45Z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3683A3EA5F2F46B5951D7EF26B568538_13</vt:lpwstr>
  </property>
  <property fmtid="{D5CDD505-2E9C-101B-9397-08002B2CF9AE}" pid="4" name="KSOTemplateDocerSaveRecord">
    <vt:lpwstr>eyJoZGlkIjoiYmQ1ZTAxM2IyZDFmZDQ0YzVkMjFmYjUzMzk2ZWZiNWUiLCJ1c2VySWQiOiIxMjAzMDAzMzMwIn0=</vt:lpwstr>
  </property>
</Properties>
</file>