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深圳市第七高级中学虚拟化软件采购</w:t>
      </w:r>
    </w:p>
    <w:p w14:paraId="54139447">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w:t>
      </w:r>
      <w:r>
        <w:rPr>
          <w:rFonts w:hint="eastAsia" w:asciiTheme="minorEastAsia" w:hAnsiTheme="minorEastAsia" w:eastAsiaTheme="minorEastAsia"/>
          <w:b/>
          <w:bCs/>
          <w:snapToGrid w:val="0"/>
          <w:kern w:val="0"/>
          <w:sz w:val="70"/>
          <w:szCs w:val="70"/>
          <w:lang w:val="en-US" w:eastAsia="zh-CN"/>
        </w:rPr>
        <w:t>第二次招标</w:t>
      </w:r>
      <w:r>
        <w:rPr>
          <w:rFonts w:hint="eastAsia" w:asciiTheme="minorEastAsia" w:hAnsiTheme="minorEastAsia" w:eastAsiaTheme="minorEastAsia"/>
          <w:b/>
          <w:bCs/>
          <w:snapToGrid w:val="0"/>
          <w:kern w:val="0"/>
          <w:sz w:val="70"/>
          <w:szCs w:val="70"/>
          <w:lang w:eastAsia="zh-CN"/>
        </w:rPr>
        <w:t>）</w:t>
      </w: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项目编号：SZZZ2025-QA0051</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二〇二五年</w:t>
      </w:r>
      <w:r>
        <w:rPr>
          <w:rFonts w:hint="eastAsia"/>
          <w:b/>
          <w:snapToGrid w:val="0"/>
          <w:sz w:val="30"/>
          <w:lang w:val="en-US" w:eastAsia="zh-CN"/>
        </w:rPr>
        <w:t>五</w:t>
      </w:r>
      <w:r>
        <w:rPr>
          <w:rFonts w:hint="eastAsia"/>
          <w:b/>
          <w:snapToGrid w:val="0"/>
          <w:sz w:val="30"/>
        </w:rPr>
        <w:t>月</w:t>
      </w:r>
    </w:p>
    <w:p w14:paraId="0E9B1833"/>
    <w:p w14:paraId="3EE5AD1B"/>
    <w:p w14:paraId="3737A5AC"/>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1A6AC220"/>
    <w:p w14:paraId="5CCD2F37">
      <w:pPr>
        <w:pStyle w:val="2"/>
      </w:pPr>
      <w:bookmarkStart w:id="0" w:name="_Toc135293320"/>
      <w:bookmarkStart w:id="117" w:name="_GoBack"/>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深圳市第七高级中学虚拟化软件采购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SZZZ2025-QA0051</w:t>
      </w:r>
    </w:p>
    <w:p w14:paraId="649AF3F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2、项目名称：深圳市第七高级中学虚拟化软件采购</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4、预算金额：人民币170,000.00元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5、最高限价：人民币170,000.00元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套</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名称：深圳市第七高级中学</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 xml:space="preserve"> </w:t>
      </w:r>
      <w:r>
        <w:rPr>
          <w:rFonts w:hint="eastAsia" w:ascii="宋体" w:hAnsi="宋体" w:eastAsia="宋体"/>
          <w:snapToGrid w:val="0"/>
          <w:color w:val="auto"/>
          <w:sz w:val="21"/>
          <w:szCs w:val="21"/>
        </w:rPr>
        <w:t>深圳市宝安区沙井街道民主路33号</w:t>
      </w:r>
    </w:p>
    <w:p w14:paraId="092F01EE">
      <w:pPr>
        <w:pStyle w:val="453"/>
        <w:adjustRightInd w:val="0"/>
        <w:snapToGrid w:val="0"/>
        <w:spacing w:before="0" w:beforeAutospacing="0" w:after="0" w:afterAutospacing="0" w:line="360" w:lineRule="auto"/>
        <w:ind w:left="359" w:leftChars="171" w:firstLine="65" w:firstLineChars="31"/>
        <w:rPr>
          <w:rFonts w:ascii="宋体" w:hAnsi="宋体"/>
          <w:snapToGrid w:val="0"/>
          <w:color w:val="auto"/>
          <w:sz w:val="21"/>
          <w:szCs w:val="21"/>
        </w:rPr>
      </w:pPr>
      <w:r>
        <w:rPr>
          <w:rFonts w:hint="eastAsia" w:ascii="宋体" w:hAnsi="宋体" w:eastAsia="宋体"/>
          <w:snapToGrid w:val="0"/>
          <w:color w:val="auto"/>
          <w:sz w:val="21"/>
          <w:szCs w:val="21"/>
        </w:rPr>
        <w:t>联系方式：叶老师，0755-85292207</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19</w:t>
      </w:r>
      <w:r>
        <w:rPr>
          <w:rFonts w:hint="eastAsia" w:ascii="宋体" w:hAnsi="宋体"/>
          <w:snapToGrid w:val="0"/>
          <w:kern w:val="0"/>
          <w:sz w:val="24"/>
        </w:rPr>
        <w:t>日</w:t>
      </w:r>
      <w:bookmarkEnd w:id="117"/>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ascii="宋体" w:hAnsi="宋体" w:cs="宋体"/>
                <w:kern w:val="0"/>
                <w:szCs w:val="21"/>
              </w:rPr>
            </w:pPr>
            <w:r>
              <w:rPr>
                <w:rFonts w:hint="eastAsia" w:ascii="宋体" w:hAnsi="宋体" w:cs="宋体"/>
                <w:kern w:val="0"/>
                <w:szCs w:val="21"/>
              </w:rPr>
              <w:t>深圳市第七高级中学虚拟化软件采购</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14:paraId="7C1C0756">
            <w:pPr>
              <w:jc w:val="center"/>
              <w:rPr>
                <w:rFonts w:ascii="宋体" w:hAnsi="宋体" w:cs="宋体"/>
                <w:bCs/>
                <w:kern w:val="0"/>
                <w:szCs w:val="21"/>
              </w:rPr>
            </w:pPr>
            <w:r>
              <w:rPr>
                <w:rFonts w:hint="eastAsia" w:ascii="宋体" w:hAnsi="宋体"/>
                <w:snapToGrid w:val="0"/>
                <w:szCs w:val="21"/>
              </w:rPr>
              <w:t>170,000.00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14:paraId="2FFF3169">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620" w:type="dxa"/>
            <w:vAlign w:val="center"/>
          </w:tcPr>
          <w:p w14:paraId="651C585C">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14:paraId="4DF1A81E">
            <w:pPr>
              <w:widowControl/>
              <w:spacing w:line="360" w:lineRule="auto"/>
              <w:jc w:val="center"/>
              <w:rPr>
                <w:rFonts w:ascii="宋体" w:hAnsi="宋体" w:cs="宋体"/>
                <w:kern w:val="0"/>
                <w:szCs w:val="21"/>
              </w:rPr>
            </w:pPr>
            <w:r>
              <w:rPr>
                <w:rFonts w:hint="eastAsia" w:ascii="宋体" w:hAnsi="宋体" w:cs="宋体"/>
                <w:kern w:val="0"/>
                <w:szCs w:val="21"/>
              </w:rPr>
              <w:t>虚拟化软件</w:t>
            </w:r>
          </w:p>
        </w:tc>
        <w:tc>
          <w:tcPr>
            <w:tcW w:w="798" w:type="dxa"/>
            <w:vAlign w:val="center"/>
          </w:tcPr>
          <w:p w14:paraId="15B19941">
            <w:pPr>
              <w:widowControl/>
              <w:jc w:val="center"/>
              <w:rPr>
                <w:rFonts w:ascii="宋体" w:hAnsi="宋体" w:cs="宋体"/>
                <w:kern w:val="0"/>
                <w:szCs w:val="21"/>
              </w:rPr>
            </w:pPr>
            <w:r>
              <w:rPr>
                <w:rFonts w:hint="eastAsia" w:ascii="宋体" w:hAnsi="宋体" w:cs="宋体"/>
                <w:kern w:val="0"/>
                <w:szCs w:val="21"/>
              </w:rPr>
              <w:t>1</w:t>
            </w:r>
          </w:p>
        </w:tc>
        <w:tc>
          <w:tcPr>
            <w:tcW w:w="850" w:type="dxa"/>
            <w:vAlign w:val="center"/>
          </w:tcPr>
          <w:p w14:paraId="1E5DCF09">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843" w:type="dxa"/>
            <w:vAlign w:val="center"/>
          </w:tcPr>
          <w:p w14:paraId="590DA45D">
            <w:pPr>
              <w:spacing w:line="360" w:lineRule="auto"/>
              <w:jc w:val="center"/>
              <w:rPr>
                <w:rFonts w:ascii="宋体" w:hAnsi="宋体" w:cs="宋体"/>
                <w:kern w:val="0"/>
                <w:szCs w:val="21"/>
              </w:rPr>
            </w:pPr>
            <w:r>
              <w:rPr>
                <w:rFonts w:hint="eastAsia" w:ascii="宋体" w:hAnsi="宋体" w:cs="宋体"/>
                <w:kern w:val="0"/>
                <w:szCs w:val="21"/>
              </w:rPr>
              <w:t>170,000.00</w:t>
            </w:r>
          </w:p>
        </w:tc>
        <w:tc>
          <w:tcPr>
            <w:tcW w:w="620" w:type="dxa"/>
            <w:vAlign w:val="center"/>
          </w:tcPr>
          <w:p w14:paraId="5F9CF9AE">
            <w:pPr>
              <w:spacing w:line="360" w:lineRule="auto"/>
              <w:jc w:val="left"/>
              <w:rPr>
                <w:rFonts w:ascii="宋体" w:hAnsi="宋体" w:cs="宋体"/>
                <w:kern w:val="0"/>
                <w:szCs w:val="21"/>
              </w:rPr>
            </w:pPr>
          </w:p>
        </w:tc>
      </w:tr>
    </w:tbl>
    <w:p w14:paraId="5C7EACA1">
      <w:pPr>
        <w:widowControl/>
        <w:snapToGrid w:val="0"/>
        <w:spacing w:line="360" w:lineRule="auto"/>
        <w:ind w:left="2"/>
        <w:jc w:val="left"/>
        <w:rPr>
          <w:rFonts w:ascii="宋体" w:hAnsi="宋体"/>
          <w:bCs/>
          <w:snapToGrid w:val="0"/>
          <w:kern w:val="0"/>
          <w:szCs w:val="21"/>
        </w:rPr>
      </w:pPr>
    </w:p>
    <w:p w14:paraId="1FA8320C">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4"/>
        </w:numPr>
        <w:spacing w:line="360" w:lineRule="auto"/>
        <w:rPr>
          <w:rFonts w:ascii="宋体" w:hAnsi="宋体"/>
          <w:b/>
          <w:bCs/>
          <w:snapToGrid w:val="0"/>
          <w:kern w:val="0"/>
          <w:sz w:val="24"/>
        </w:rPr>
      </w:pPr>
      <w:r>
        <w:rPr>
          <w:rFonts w:hint="eastAsia" w:ascii="宋体" w:hAnsi="宋体"/>
          <w:b/>
          <w:bCs/>
          <w:snapToGrid w:val="0"/>
          <w:kern w:val="0"/>
          <w:sz w:val="24"/>
        </w:rPr>
        <w:t>技术要求</w:t>
      </w:r>
    </w:p>
    <w:p w14:paraId="18E6DB38">
      <w:pPr>
        <w:spacing w:line="360" w:lineRule="auto"/>
        <w:rPr>
          <w:rFonts w:ascii="宋体" w:hAnsi="宋体" w:cs="宋体"/>
          <w:szCs w:val="21"/>
        </w:rPr>
      </w:pPr>
      <w:r>
        <w:rPr>
          <w:rFonts w:hint="eastAsia" w:ascii="宋体" w:hAnsi="宋体" w:cs="宋体"/>
          <w:szCs w:val="21"/>
        </w:rPr>
        <w:t>说明：1、技术参数中涉及固定数值的，投标响应内容与该参数中的数值不等同者，均视为负偏离（例如：变焦：1.5倍，投标响应为：变焦：1.2倍或1.6倍或1.2倍-1.5倍等情形，与招标要求不等同的，均视为负偏离）。</w:t>
      </w:r>
    </w:p>
    <w:p w14:paraId="406A3802">
      <w:pPr>
        <w:numPr>
          <w:ilvl w:val="0"/>
          <w:numId w:val="5"/>
        </w:numPr>
        <w:spacing w:line="360" w:lineRule="auto"/>
        <w:rPr>
          <w:rFonts w:ascii="宋体" w:hAnsi="宋体" w:cs="宋体"/>
          <w:szCs w:val="21"/>
        </w:rPr>
      </w:pPr>
      <w:r>
        <w:rPr>
          <w:rFonts w:hint="eastAsia" w:ascii="宋体" w:hAnsi="宋体" w:cs="宋体"/>
          <w:szCs w:val="21"/>
        </w:rPr>
        <w:t>技术参数中涉及的数值仅设置下限值或上限值要求的，投标响应内容存在不满足数值要求可能情形的均视为负偏离（例如：变焦：</w:t>
      </w:r>
      <w:r>
        <w:rPr>
          <w:rFonts w:hint="eastAsia" w:ascii="宋体" w:hAnsi="宋体" w:cs="宋体"/>
          <w:bCs/>
          <w:szCs w:val="21"/>
        </w:rPr>
        <w:t>≥</w:t>
      </w:r>
      <w:r>
        <w:rPr>
          <w:rFonts w:hint="eastAsia" w:ascii="宋体" w:hAnsi="宋体" w:cs="宋体"/>
          <w:szCs w:val="21"/>
        </w:rPr>
        <w:t>1.5倍，投标响应为：变焦：</w:t>
      </w:r>
      <w:r>
        <w:rPr>
          <w:rFonts w:hint="eastAsia" w:ascii="宋体" w:hAnsi="宋体" w:cs="宋体"/>
          <w:bCs/>
          <w:szCs w:val="21"/>
        </w:rPr>
        <w:t>≥</w:t>
      </w:r>
      <w:r>
        <w:rPr>
          <w:rFonts w:hint="eastAsia" w:ascii="宋体" w:hAnsi="宋体" w:cs="宋体"/>
          <w:szCs w:val="21"/>
        </w:rPr>
        <w:t>1.2倍或1.2倍-1.5倍等情形，存在低于1.5倍的可能的，均视为负偏离；如投标响应为变焦</w:t>
      </w:r>
      <w:r>
        <w:rPr>
          <w:rFonts w:hint="eastAsia" w:ascii="宋体" w:hAnsi="宋体" w:cs="宋体"/>
          <w:bCs/>
          <w:szCs w:val="21"/>
        </w:rPr>
        <w:t>≥</w:t>
      </w:r>
      <w:r>
        <w:rPr>
          <w:rFonts w:hint="eastAsia" w:ascii="宋体" w:hAnsi="宋体" w:cs="宋体"/>
          <w:szCs w:val="21"/>
        </w:rPr>
        <w:t>1.6倍，视为正偏离）。</w:t>
      </w:r>
    </w:p>
    <w:p w14:paraId="456B7DB5">
      <w:pPr>
        <w:numPr>
          <w:ilvl w:val="0"/>
          <w:numId w:val="5"/>
        </w:numPr>
        <w:spacing w:line="360" w:lineRule="auto"/>
        <w:rPr>
          <w:rFonts w:ascii="宋体" w:hAnsi="宋体" w:cs="宋体"/>
          <w:szCs w:val="21"/>
        </w:rPr>
      </w:pPr>
      <w:r>
        <w:rPr>
          <w:rFonts w:hint="eastAsia" w:ascii="宋体" w:hAnsi="宋体" w:cs="宋体"/>
          <w:szCs w:val="21"/>
        </w:rPr>
        <w:t>技术参数中涉及的数值为区间值的，投标响应内容不等同于区间要求的均视为负偏离（例如：变焦：1.2倍-1.5倍，投标响应为：变焦：1.2倍-1.6倍或1倍-1.5倍或1.3倍-1.5倍等情形，与招标要求不等同的，均视为负偏离）。</w:t>
      </w:r>
    </w:p>
    <w:p w14:paraId="6F94CE80">
      <w:pPr>
        <w:spacing w:line="360" w:lineRule="auto"/>
        <w:rPr>
          <w:b/>
          <w:bCs/>
        </w:rPr>
      </w:pPr>
      <w:r>
        <w:rPr>
          <w:rFonts w:hint="eastAsia" w:ascii="宋体" w:hAnsi="宋体" w:cs="宋体"/>
          <w:b/>
          <w:bCs/>
          <w:szCs w:val="21"/>
        </w:rPr>
        <w:t>注：如技术参数中关于数值未作说明的，按上述规定认定负偏离情形；如技术参数中关于数值作出说明且与上述规定存在冲突或不一致的，以技术参数中的具体要求为准。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6082BF2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35F846C1">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72EEFE5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Merge w:val="restart"/>
            <w:vAlign w:val="center"/>
          </w:tcPr>
          <w:p w14:paraId="7D34EF17">
            <w:pPr>
              <w:spacing w:after="60" w:line="360" w:lineRule="auto"/>
              <w:jc w:val="center"/>
              <w:rPr>
                <w:rFonts w:asciiTheme="minorEastAsia" w:hAnsiTheme="minorEastAsia" w:eastAsiaTheme="minorEastAsia"/>
                <w:b/>
                <w:szCs w:val="21"/>
              </w:rPr>
            </w:pPr>
            <w:r>
              <w:rPr>
                <w:rFonts w:hint="eastAsia"/>
                <w:bCs/>
                <w:szCs w:val="21"/>
              </w:rPr>
              <w:t>虚拟化软件</w:t>
            </w:r>
          </w:p>
        </w:tc>
        <w:tc>
          <w:tcPr>
            <w:tcW w:w="6737" w:type="dxa"/>
          </w:tcPr>
          <w:p w14:paraId="3132828E">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1、▲物理硬件容易发生内存故障，为避免内存问题带来的宕机问题影响业务，要求虚拟化软件层面支持内存ECC自动纠错机制，当扫描到物理主机的内存条出现ECC CE、UE错误时，能够将对应内存空间进行隔离并告警故障内存条的槽位，减少内存问题对业务的影响</w:t>
            </w:r>
            <w:r>
              <w:rPr>
                <w:rFonts w:hint="eastAsia" w:asciiTheme="minorEastAsia" w:hAnsiTheme="minorEastAsia" w:eastAsiaTheme="minorEastAsia"/>
                <w:color w:val="FF0000"/>
                <w:szCs w:val="21"/>
              </w:rPr>
              <w:t>（需提供具有CMA和CNAS标识的检测（或检验）报告，</w:t>
            </w:r>
            <w:r>
              <w:rPr>
                <w:rFonts w:hint="eastAsia"/>
                <w:color w:val="FF0000"/>
              </w:rPr>
              <w:t>相关参数在证明材料中进行标注</w:t>
            </w:r>
            <w:r>
              <w:rPr>
                <w:rFonts w:hint="eastAsia" w:asciiTheme="minorEastAsia" w:hAnsiTheme="minorEastAsia" w:eastAsiaTheme="minorEastAsia"/>
                <w:color w:val="FF0000"/>
                <w:szCs w:val="21"/>
              </w:rPr>
              <w:t>）</w:t>
            </w:r>
          </w:p>
        </w:tc>
      </w:tr>
      <w:tr w14:paraId="7A3C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4F72FB7">
            <w:pPr>
              <w:spacing w:after="60" w:line="360" w:lineRule="auto"/>
              <w:jc w:val="center"/>
              <w:rPr>
                <w:rFonts w:asciiTheme="minorEastAsia" w:hAnsiTheme="minorEastAsia" w:eastAsiaTheme="minorEastAsia"/>
                <w:szCs w:val="21"/>
              </w:rPr>
            </w:pPr>
          </w:p>
        </w:tc>
        <w:tc>
          <w:tcPr>
            <w:tcW w:w="1980" w:type="dxa"/>
            <w:vMerge w:val="continue"/>
          </w:tcPr>
          <w:p w14:paraId="789B70FF">
            <w:pPr>
              <w:spacing w:after="60" w:line="360" w:lineRule="auto"/>
              <w:rPr>
                <w:rFonts w:asciiTheme="minorEastAsia" w:hAnsiTheme="minorEastAsia" w:eastAsiaTheme="minorEastAsia"/>
                <w:b/>
                <w:szCs w:val="21"/>
              </w:rPr>
            </w:pPr>
          </w:p>
        </w:tc>
        <w:tc>
          <w:tcPr>
            <w:tcW w:w="6737" w:type="dxa"/>
          </w:tcPr>
          <w:p w14:paraId="7C9A0A50">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2、▲支持对资源池中CPU、网络、磁盘使用率等指标进行实时的数据统计功能，可以查看租户账单明细信息，包括产品、名称、描述、租户、资源池、单价、使用时长和消费金额的等信息，并支持导出租户账单明细。</w:t>
            </w:r>
            <w:r>
              <w:rPr>
                <w:rFonts w:hint="eastAsia" w:asciiTheme="minorEastAsia" w:hAnsiTheme="minorEastAsia" w:eastAsiaTheme="minorEastAsia"/>
                <w:color w:val="FF0000"/>
                <w:szCs w:val="21"/>
              </w:rPr>
              <w:t>（需提供具有CMA和CNAS标识的检测（或检验）报告，相关参数在证明材料中进行标注）</w:t>
            </w:r>
          </w:p>
        </w:tc>
      </w:tr>
      <w:tr w14:paraId="7433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203B503">
            <w:pPr>
              <w:spacing w:after="60" w:line="360" w:lineRule="auto"/>
              <w:jc w:val="center"/>
              <w:rPr>
                <w:rFonts w:asciiTheme="minorEastAsia" w:hAnsiTheme="minorEastAsia" w:eastAsiaTheme="minorEastAsia"/>
                <w:szCs w:val="21"/>
              </w:rPr>
            </w:pPr>
          </w:p>
        </w:tc>
        <w:tc>
          <w:tcPr>
            <w:tcW w:w="1980" w:type="dxa"/>
            <w:vMerge w:val="continue"/>
          </w:tcPr>
          <w:p w14:paraId="25F29E3D">
            <w:pPr>
              <w:spacing w:after="60" w:line="360" w:lineRule="auto"/>
              <w:rPr>
                <w:rFonts w:asciiTheme="minorEastAsia" w:hAnsiTheme="minorEastAsia" w:eastAsiaTheme="minorEastAsia"/>
                <w:b/>
                <w:szCs w:val="21"/>
              </w:rPr>
            </w:pPr>
          </w:p>
        </w:tc>
        <w:tc>
          <w:tcPr>
            <w:tcW w:w="6737" w:type="dxa"/>
          </w:tcPr>
          <w:p w14:paraId="5C57B2C9">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3、▲通过派生或克隆方式创建虚拟机的时候批量指定IP地址和虚拟机的hostname，支持编辑已经创建的虚拟机的IP地址和hostname</w:t>
            </w:r>
            <w:r>
              <w:rPr>
                <w:rFonts w:hint="eastAsia" w:asciiTheme="minorEastAsia" w:hAnsiTheme="minorEastAsia" w:eastAsiaTheme="minorEastAsia"/>
                <w:color w:val="FF0000"/>
                <w:szCs w:val="21"/>
              </w:rPr>
              <w:t>（需提供产品功能截图）</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0663EC8">
            <w:pPr>
              <w:spacing w:after="60" w:line="360" w:lineRule="auto"/>
              <w:jc w:val="center"/>
              <w:rPr>
                <w:rFonts w:asciiTheme="minorEastAsia" w:hAnsiTheme="minorEastAsia" w:eastAsiaTheme="minorEastAsia"/>
                <w:szCs w:val="21"/>
              </w:rPr>
            </w:pPr>
          </w:p>
        </w:tc>
        <w:tc>
          <w:tcPr>
            <w:tcW w:w="1980" w:type="dxa"/>
            <w:vMerge w:val="continue"/>
          </w:tcPr>
          <w:p w14:paraId="471FE830">
            <w:pPr>
              <w:spacing w:after="60" w:line="360" w:lineRule="auto"/>
              <w:rPr>
                <w:rFonts w:asciiTheme="minorEastAsia" w:hAnsiTheme="minorEastAsia" w:eastAsiaTheme="minorEastAsia"/>
                <w:b/>
                <w:szCs w:val="21"/>
              </w:rPr>
            </w:pPr>
          </w:p>
        </w:tc>
        <w:tc>
          <w:tcPr>
            <w:tcW w:w="6737" w:type="dxa"/>
          </w:tcPr>
          <w:p w14:paraId="23AE06DC">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4、此项目核心业务计划部署在虚拟化平台，平台需定期升级保障平台稳定性，核心业务不能长时间停机，虚拟化平台需支持在线升级不影响业务；为保证升级时间与步骤可控，升级过程中支持对升级节点进行升级顺序编排、升级暂停。</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2E606AC">
            <w:pPr>
              <w:spacing w:after="60" w:line="360" w:lineRule="auto"/>
              <w:jc w:val="center"/>
              <w:rPr>
                <w:rFonts w:asciiTheme="minorEastAsia" w:hAnsiTheme="minorEastAsia" w:eastAsiaTheme="minorEastAsia"/>
                <w:szCs w:val="21"/>
              </w:rPr>
            </w:pPr>
          </w:p>
        </w:tc>
        <w:tc>
          <w:tcPr>
            <w:tcW w:w="1980" w:type="dxa"/>
            <w:vMerge w:val="continue"/>
          </w:tcPr>
          <w:p w14:paraId="32F79466">
            <w:pPr>
              <w:spacing w:after="60" w:line="360" w:lineRule="auto"/>
              <w:rPr>
                <w:rFonts w:asciiTheme="minorEastAsia" w:hAnsiTheme="minorEastAsia" w:eastAsiaTheme="minorEastAsia"/>
                <w:b/>
                <w:szCs w:val="21"/>
              </w:rPr>
            </w:pPr>
          </w:p>
        </w:tc>
        <w:tc>
          <w:tcPr>
            <w:tcW w:w="6737" w:type="dxa"/>
          </w:tcPr>
          <w:p w14:paraId="353C298D">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5、支持设置告警类型（紧急和普通）、告警内容（集群、主机、虚拟机、CPU、内存、存储），针对告警信息平台可自动给出告警处理建议，同时支持将告警信息以短信和邮件方式发送给管理员。</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F171955">
            <w:pPr>
              <w:spacing w:after="60" w:line="360" w:lineRule="auto"/>
              <w:jc w:val="center"/>
              <w:rPr>
                <w:rFonts w:asciiTheme="minorEastAsia" w:hAnsiTheme="minorEastAsia" w:eastAsiaTheme="minorEastAsia"/>
                <w:szCs w:val="21"/>
              </w:rPr>
            </w:pPr>
          </w:p>
        </w:tc>
        <w:tc>
          <w:tcPr>
            <w:tcW w:w="1980" w:type="dxa"/>
            <w:vMerge w:val="continue"/>
          </w:tcPr>
          <w:p w14:paraId="47D7D2C6">
            <w:pPr>
              <w:spacing w:after="60" w:line="360" w:lineRule="auto"/>
              <w:rPr>
                <w:rFonts w:asciiTheme="minorEastAsia" w:hAnsiTheme="minorEastAsia" w:eastAsiaTheme="minorEastAsia"/>
                <w:b/>
                <w:szCs w:val="21"/>
              </w:rPr>
            </w:pPr>
          </w:p>
        </w:tc>
        <w:tc>
          <w:tcPr>
            <w:tcW w:w="6737" w:type="dxa"/>
          </w:tcPr>
          <w:p w14:paraId="76883300">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6、为简化运维和方便使用，需提供基于PowerShell的CLI命令行功能，通过命令行可以管理计算、存储、网络等相关资源，简化运维操作。</w:t>
            </w:r>
          </w:p>
        </w:tc>
      </w:tr>
      <w:tr w14:paraId="0EE0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6478A1B">
            <w:pPr>
              <w:spacing w:after="60" w:line="360" w:lineRule="auto"/>
              <w:jc w:val="center"/>
              <w:rPr>
                <w:rFonts w:asciiTheme="minorEastAsia" w:hAnsiTheme="minorEastAsia" w:eastAsiaTheme="minorEastAsia"/>
                <w:szCs w:val="21"/>
              </w:rPr>
            </w:pPr>
          </w:p>
        </w:tc>
        <w:tc>
          <w:tcPr>
            <w:tcW w:w="1980" w:type="dxa"/>
            <w:vMerge w:val="continue"/>
          </w:tcPr>
          <w:p w14:paraId="62EE76BD">
            <w:pPr>
              <w:spacing w:after="60" w:line="360" w:lineRule="auto"/>
              <w:rPr>
                <w:rFonts w:asciiTheme="minorEastAsia" w:hAnsiTheme="minorEastAsia" w:eastAsiaTheme="minorEastAsia"/>
                <w:b/>
                <w:szCs w:val="21"/>
              </w:rPr>
            </w:pPr>
          </w:p>
        </w:tc>
        <w:tc>
          <w:tcPr>
            <w:tcW w:w="6737" w:type="dxa"/>
          </w:tcPr>
          <w:p w14:paraId="62C6FAE4">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7、▲提供VPC网络功能，支持租户在同一网络域下创建多个VPC网络，租户可自定义网络拓扑，并在VPC内创建子网、自定义私网IP地址、网关、静态路由、ACL访问控制策略、端口映射、内网DNS等；支持租户以所见即所得的拓扑图形式展示VPC网络，通过拖拽的方式创建防火墙、应用交付、SSL VPN等组件并进行网络配置；支持为VPC配置多个出口，实现流量隔离。</w:t>
            </w:r>
            <w:r>
              <w:rPr>
                <w:rFonts w:hint="eastAsia" w:asciiTheme="minorEastAsia" w:hAnsiTheme="minorEastAsia" w:eastAsiaTheme="minorEastAsia"/>
                <w:color w:val="FF0000"/>
                <w:szCs w:val="21"/>
              </w:rPr>
              <w:t>（需提供产品功能截图）</w:t>
            </w:r>
          </w:p>
        </w:tc>
      </w:tr>
      <w:tr w14:paraId="61B0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B29B716">
            <w:pPr>
              <w:spacing w:after="60" w:line="360" w:lineRule="auto"/>
              <w:jc w:val="center"/>
              <w:rPr>
                <w:rFonts w:asciiTheme="minorEastAsia" w:hAnsiTheme="minorEastAsia" w:eastAsiaTheme="minorEastAsia"/>
                <w:szCs w:val="21"/>
              </w:rPr>
            </w:pPr>
          </w:p>
        </w:tc>
        <w:tc>
          <w:tcPr>
            <w:tcW w:w="1980" w:type="dxa"/>
            <w:vMerge w:val="continue"/>
          </w:tcPr>
          <w:p w14:paraId="7DE5A3C4">
            <w:pPr>
              <w:spacing w:after="60" w:line="360" w:lineRule="auto"/>
              <w:rPr>
                <w:rFonts w:asciiTheme="minorEastAsia" w:hAnsiTheme="minorEastAsia" w:eastAsiaTheme="minorEastAsia"/>
                <w:b/>
                <w:szCs w:val="21"/>
              </w:rPr>
            </w:pPr>
          </w:p>
        </w:tc>
        <w:tc>
          <w:tcPr>
            <w:tcW w:w="6737" w:type="dxa"/>
          </w:tcPr>
          <w:p w14:paraId="2792715B">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8、▲支持创建子网配置IPv6，支持VPC网络下云主机使用IPv6地址，支持路由器（网口、子网口、静态路由、策略路由v6，DHCPv6、DNS）使用IPV6；可以配置弹性IP池IPV6。</w:t>
            </w:r>
            <w:r>
              <w:rPr>
                <w:rFonts w:hint="eastAsia" w:asciiTheme="minorEastAsia" w:hAnsiTheme="minorEastAsia" w:eastAsiaTheme="minorEastAsia"/>
                <w:color w:val="FF0000"/>
                <w:szCs w:val="21"/>
              </w:rPr>
              <w:t>（需提供产品功能截图）</w:t>
            </w:r>
          </w:p>
        </w:tc>
      </w:tr>
      <w:tr w14:paraId="3328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4E28552">
            <w:pPr>
              <w:spacing w:after="60" w:line="360" w:lineRule="auto"/>
              <w:jc w:val="center"/>
              <w:rPr>
                <w:rFonts w:asciiTheme="minorEastAsia" w:hAnsiTheme="minorEastAsia" w:eastAsiaTheme="minorEastAsia"/>
                <w:szCs w:val="21"/>
              </w:rPr>
            </w:pPr>
          </w:p>
        </w:tc>
        <w:tc>
          <w:tcPr>
            <w:tcW w:w="1980" w:type="dxa"/>
            <w:vMerge w:val="continue"/>
          </w:tcPr>
          <w:p w14:paraId="1C26423A">
            <w:pPr>
              <w:spacing w:after="60" w:line="360" w:lineRule="auto"/>
              <w:rPr>
                <w:rFonts w:asciiTheme="minorEastAsia" w:hAnsiTheme="minorEastAsia" w:eastAsiaTheme="minorEastAsia"/>
                <w:b/>
                <w:szCs w:val="21"/>
              </w:rPr>
            </w:pPr>
          </w:p>
        </w:tc>
        <w:tc>
          <w:tcPr>
            <w:tcW w:w="6737" w:type="dxa"/>
          </w:tcPr>
          <w:p w14:paraId="4495BC0B">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9、虚拟化接入分布式存储。</w:t>
            </w:r>
          </w:p>
        </w:tc>
      </w:tr>
    </w:tbl>
    <w:p w14:paraId="061C4FA6">
      <w:pPr>
        <w:spacing w:line="360" w:lineRule="auto"/>
        <w:rPr>
          <w:rFonts w:ascii="宋体" w:hAnsi="宋体"/>
          <w:b/>
          <w:bCs/>
          <w:snapToGrid w:val="0"/>
          <w:kern w:val="0"/>
          <w:sz w:val="24"/>
        </w:rPr>
      </w:pPr>
    </w:p>
    <w:p w14:paraId="13C47003">
      <w:pPr>
        <w:numPr>
          <w:ilvl w:val="0"/>
          <w:numId w:val="4"/>
        </w:numPr>
        <w:spacing w:line="240" w:lineRule="auto"/>
        <w:rPr>
          <w:rFonts w:ascii="宋体" w:hAnsi="宋体"/>
          <w:b/>
          <w:bCs/>
          <w:snapToGrid w:val="0"/>
          <w:kern w:val="0"/>
          <w:sz w:val="24"/>
        </w:rPr>
      </w:pPr>
      <w:r>
        <w:rPr>
          <w:rFonts w:hint="eastAsia" w:ascii="宋体" w:hAnsi="宋体"/>
          <w:b/>
          <w:bCs/>
          <w:snapToGrid w:val="0"/>
          <w:kern w:val="0"/>
          <w:sz w:val="24"/>
          <w:lang w:val="en-US" w:eastAsia="zh-CN"/>
        </w:rPr>
        <w:t>商务</w:t>
      </w:r>
      <w:r>
        <w:rPr>
          <w:rFonts w:hint="eastAsia" w:ascii="宋体" w:hAnsi="宋体"/>
          <w:b/>
          <w:bCs/>
          <w:snapToGrid w:val="0"/>
          <w:kern w:val="0"/>
          <w:sz w:val="24"/>
        </w:rPr>
        <w:t>要求</w:t>
      </w:r>
    </w:p>
    <w:tbl>
      <w:tblPr>
        <w:tblStyle w:val="50"/>
        <w:tblpPr w:leftFromText="180" w:rightFromText="180" w:vertAnchor="text" w:horzAnchor="page" w:tblpX="1041" w:tblpY="444"/>
        <w:tblOverlap w:val="never"/>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57F1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14:paraId="7DD6046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3B57770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02B74F5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bl>
    <w:tbl>
      <w:tblPr>
        <w:tblStyle w:val="50"/>
        <w:tblW w:w="1002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95"/>
        <w:gridCol w:w="7596"/>
      </w:tblGrid>
      <w:tr w14:paraId="2DB4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3" w:type="dxa"/>
            <w:gridSpan w:val="3"/>
            <w:vAlign w:val="center"/>
          </w:tcPr>
          <w:p w14:paraId="5D7E161B">
            <w:pPr>
              <w:jc w:val="center"/>
              <w:rPr>
                <w:rFonts w:ascii="宋体" w:hAnsi="宋体" w:cs="宋体"/>
                <w:b/>
                <w:color w:val="000000"/>
                <w:szCs w:val="21"/>
              </w:rPr>
            </w:pPr>
            <w:r>
              <w:rPr>
                <w:rFonts w:hint="eastAsia" w:ascii="宋体" w:hAnsi="宋体" w:cs="宋体"/>
                <w:b/>
                <w:color w:val="000000"/>
                <w:szCs w:val="21"/>
              </w:rPr>
              <w:t>（一）免费保修期内售后服务要求</w:t>
            </w:r>
          </w:p>
        </w:tc>
      </w:tr>
      <w:tr w14:paraId="55D9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Align w:val="center"/>
          </w:tcPr>
          <w:p w14:paraId="40C4689E">
            <w:pPr>
              <w:jc w:val="center"/>
              <w:rPr>
                <w:rFonts w:ascii="宋体" w:hAnsi="宋体" w:cs="宋体"/>
                <w:bCs/>
                <w:color w:val="000000"/>
                <w:szCs w:val="21"/>
              </w:rPr>
            </w:pPr>
            <w:r>
              <w:rPr>
                <w:rFonts w:hint="eastAsia" w:ascii="宋体" w:hAnsi="宋体" w:cs="宋体"/>
                <w:bCs/>
                <w:color w:val="000000"/>
                <w:szCs w:val="21"/>
              </w:rPr>
              <w:t>1</w:t>
            </w:r>
          </w:p>
        </w:tc>
        <w:tc>
          <w:tcPr>
            <w:tcW w:w="1595" w:type="dxa"/>
            <w:vAlign w:val="center"/>
          </w:tcPr>
          <w:p w14:paraId="0C76BAB0">
            <w:pPr>
              <w:jc w:val="center"/>
              <w:rPr>
                <w:rFonts w:ascii="宋体" w:hAnsi="宋体" w:cs="宋体"/>
                <w:bCs/>
                <w:color w:val="000000"/>
                <w:szCs w:val="21"/>
              </w:rPr>
            </w:pPr>
            <w:r>
              <w:rPr>
                <w:rFonts w:hint="eastAsia" w:ascii="宋体" w:hAnsi="宋体" w:cs="宋体"/>
                <w:bCs/>
                <w:color w:val="000000"/>
                <w:szCs w:val="21"/>
              </w:rPr>
              <w:t>维修响应及故障解决时间</w:t>
            </w:r>
          </w:p>
        </w:tc>
        <w:tc>
          <w:tcPr>
            <w:tcW w:w="7596" w:type="dxa"/>
            <w:vAlign w:val="center"/>
          </w:tcPr>
          <w:p w14:paraId="002775BC">
            <w:pPr>
              <w:rPr>
                <w:rFonts w:ascii="宋体" w:hAnsi="宋体" w:cs="宋体"/>
                <w:bCs/>
                <w:color w:val="000000"/>
                <w:szCs w:val="21"/>
              </w:rPr>
            </w:pPr>
            <w:r>
              <w:rPr>
                <w:rFonts w:hint="eastAsia" w:ascii="宋体" w:hAnsi="宋体" w:cs="宋体"/>
                <w:bCs/>
                <w:color w:val="000000"/>
                <w:szCs w:val="21"/>
              </w:rPr>
              <w:t>在保修期内，一旦发生质量问题，投标人保证在接到通知24小时内赶到现场进行修理或更换。</w:t>
            </w:r>
          </w:p>
        </w:tc>
      </w:tr>
      <w:tr w14:paraId="63DF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Align w:val="center"/>
          </w:tcPr>
          <w:p w14:paraId="569CB646">
            <w:pPr>
              <w:jc w:val="center"/>
              <w:rPr>
                <w:rFonts w:ascii="宋体" w:hAnsi="宋体" w:cs="宋体"/>
                <w:color w:val="000000"/>
                <w:szCs w:val="21"/>
                <w:highlight w:val="yellow"/>
              </w:rPr>
            </w:pPr>
            <w:r>
              <w:rPr>
                <w:rFonts w:hint="eastAsia" w:ascii="宋体" w:hAnsi="宋体" w:cs="宋体"/>
                <w:color w:val="000000"/>
                <w:szCs w:val="21"/>
                <w:highlight w:val="yellow"/>
              </w:rPr>
              <w:t>2</w:t>
            </w:r>
          </w:p>
        </w:tc>
        <w:tc>
          <w:tcPr>
            <w:tcW w:w="1595" w:type="dxa"/>
            <w:vAlign w:val="center"/>
          </w:tcPr>
          <w:p w14:paraId="37140A32">
            <w:pPr>
              <w:jc w:val="center"/>
              <w:rPr>
                <w:rFonts w:ascii="宋体" w:hAnsi="宋体" w:cs="宋体"/>
                <w:bCs/>
                <w:color w:val="000000"/>
                <w:szCs w:val="21"/>
                <w:highlight w:val="yellow"/>
              </w:rPr>
            </w:pPr>
            <w:r>
              <w:rPr>
                <w:rFonts w:hint="eastAsia" w:ascii="宋体" w:hAnsi="宋体" w:cs="宋体"/>
                <w:b/>
                <w:color w:val="000000"/>
                <w:szCs w:val="21"/>
                <w:highlight w:val="yellow"/>
                <w:lang w:val="zh-CN"/>
              </w:rPr>
              <w:t>★</w:t>
            </w:r>
            <w:r>
              <w:rPr>
                <w:rFonts w:hint="eastAsia" w:ascii="宋体" w:hAnsi="宋体" w:cs="宋体"/>
                <w:bCs/>
                <w:color w:val="000000"/>
                <w:szCs w:val="21"/>
                <w:highlight w:val="yellow"/>
              </w:rPr>
              <w:t>关于免费保修期</w:t>
            </w:r>
          </w:p>
        </w:tc>
        <w:tc>
          <w:tcPr>
            <w:tcW w:w="7596" w:type="dxa"/>
            <w:vAlign w:val="center"/>
          </w:tcPr>
          <w:p w14:paraId="1975F7D5">
            <w:pPr>
              <w:rPr>
                <w:rFonts w:ascii="宋体" w:hAnsi="宋体" w:cs="宋体"/>
                <w:bCs/>
                <w:color w:val="000000"/>
                <w:szCs w:val="21"/>
                <w:highlight w:val="yellow"/>
              </w:rPr>
            </w:pPr>
            <w:bookmarkStart w:id="3" w:name="OLE_LINK4"/>
            <w:bookmarkStart w:id="4" w:name="OLE_LINK3"/>
            <w:r>
              <w:rPr>
                <w:rFonts w:hint="eastAsia" w:ascii="宋体" w:hAnsi="宋体" w:cs="宋体"/>
                <w:color w:val="000000"/>
                <w:szCs w:val="21"/>
                <w:highlight w:val="yellow"/>
              </w:rPr>
              <w:t>软件免费维护期</w:t>
            </w:r>
            <w:r>
              <w:rPr>
                <w:rFonts w:hint="eastAsia" w:ascii="宋体" w:hAnsi="宋体" w:cs="宋体"/>
                <w:color w:val="000000"/>
                <w:szCs w:val="21"/>
                <w:highlight w:val="yellow"/>
                <w:u w:val="single"/>
              </w:rPr>
              <w:t xml:space="preserve"> 3 </w:t>
            </w:r>
            <w:r>
              <w:rPr>
                <w:rFonts w:hint="eastAsia" w:ascii="宋体" w:hAnsi="宋体" w:cs="宋体"/>
                <w:color w:val="000000"/>
                <w:szCs w:val="21"/>
                <w:highlight w:val="yellow"/>
              </w:rPr>
              <w:t>年</w:t>
            </w:r>
            <w:r>
              <w:rPr>
                <w:rFonts w:hint="eastAsia" w:ascii="宋体" w:hAnsi="宋体" w:cs="宋体"/>
                <w:bCs/>
                <w:color w:val="000000"/>
                <w:szCs w:val="21"/>
                <w:highlight w:val="yellow"/>
              </w:rPr>
              <w:t>，时间自最终验收合格并交付使用之日起计算</w:t>
            </w:r>
            <w:bookmarkEnd w:id="3"/>
            <w:bookmarkEnd w:id="4"/>
            <w:r>
              <w:rPr>
                <w:rFonts w:hint="eastAsia" w:ascii="宋体" w:hAnsi="宋体" w:cs="宋体"/>
                <w:bCs/>
                <w:color w:val="000000"/>
                <w:szCs w:val="21"/>
                <w:highlight w:val="yellow"/>
              </w:rPr>
              <w:t>。</w:t>
            </w:r>
          </w:p>
        </w:tc>
      </w:tr>
      <w:tr w14:paraId="71E9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Align w:val="center"/>
          </w:tcPr>
          <w:p w14:paraId="18170D33">
            <w:pPr>
              <w:jc w:val="center"/>
              <w:rPr>
                <w:rFonts w:ascii="宋体" w:hAnsi="宋体" w:cs="宋体"/>
                <w:color w:val="000000"/>
                <w:szCs w:val="21"/>
              </w:rPr>
            </w:pPr>
            <w:r>
              <w:rPr>
                <w:rFonts w:hint="eastAsia" w:ascii="宋体" w:hAnsi="宋体" w:cs="宋体"/>
                <w:color w:val="000000"/>
                <w:szCs w:val="21"/>
              </w:rPr>
              <w:t>3</w:t>
            </w:r>
          </w:p>
        </w:tc>
        <w:tc>
          <w:tcPr>
            <w:tcW w:w="1595" w:type="dxa"/>
            <w:vAlign w:val="center"/>
          </w:tcPr>
          <w:p w14:paraId="42C963E0">
            <w:pPr>
              <w:jc w:val="center"/>
              <w:rPr>
                <w:rFonts w:ascii="宋体" w:hAnsi="宋体" w:cs="宋体"/>
                <w:b/>
                <w:color w:val="000000"/>
                <w:szCs w:val="21"/>
              </w:rPr>
            </w:pPr>
            <w:r>
              <w:rPr>
                <w:rFonts w:hint="eastAsia" w:ascii="宋体" w:hAnsi="宋体" w:cs="宋体"/>
                <w:color w:val="000000"/>
                <w:szCs w:val="21"/>
              </w:rPr>
              <w:t>其他</w:t>
            </w:r>
          </w:p>
        </w:tc>
        <w:tc>
          <w:tcPr>
            <w:tcW w:w="7596" w:type="dxa"/>
            <w:vAlign w:val="center"/>
          </w:tcPr>
          <w:p w14:paraId="1E12E98B">
            <w:pPr>
              <w:rPr>
                <w:rFonts w:ascii="宋体" w:hAnsi="宋体" w:cs="宋体"/>
                <w:b/>
                <w:color w:val="000000"/>
                <w:szCs w:val="21"/>
              </w:rPr>
            </w:pPr>
            <w:r>
              <w:rPr>
                <w:rFonts w:hint="eastAsia" w:ascii="宋体" w:hAnsi="宋体" w:cs="宋体"/>
                <w:bCs/>
                <w:color w:val="000000"/>
                <w:szCs w:val="21"/>
              </w:rPr>
              <w:t>投标人应按其投标文件中的承诺，进行其他售后服务工作。</w:t>
            </w:r>
          </w:p>
        </w:tc>
      </w:tr>
      <w:tr w14:paraId="5223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3" w:type="dxa"/>
            <w:gridSpan w:val="3"/>
            <w:vAlign w:val="center"/>
          </w:tcPr>
          <w:p w14:paraId="44D590DA">
            <w:pPr>
              <w:jc w:val="center"/>
              <w:rPr>
                <w:rFonts w:ascii="宋体" w:hAnsi="宋体" w:cs="宋体"/>
                <w:b/>
                <w:color w:val="000000"/>
                <w:szCs w:val="21"/>
              </w:rPr>
            </w:pPr>
            <w:r>
              <w:rPr>
                <w:rFonts w:hint="eastAsia" w:ascii="宋体" w:hAnsi="宋体" w:cs="宋体"/>
                <w:b/>
                <w:color w:val="000000"/>
                <w:szCs w:val="21"/>
              </w:rPr>
              <w:t>（二）其他商务要求</w:t>
            </w:r>
          </w:p>
        </w:tc>
      </w:tr>
      <w:tr w14:paraId="7918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restart"/>
            <w:vAlign w:val="center"/>
          </w:tcPr>
          <w:p w14:paraId="3C1BC52E">
            <w:pPr>
              <w:jc w:val="center"/>
              <w:rPr>
                <w:rFonts w:ascii="宋体" w:hAnsi="宋体" w:cs="宋体"/>
                <w:bCs/>
                <w:color w:val="000000"/>
                <w:szCs w:val="21"/>
              </w:rPr>
            </w:pPr>
            <w:r>
              <w:rPr>
                <w:rFonts w:hint="eastAsia" w:ascii="宋体" w:hAnsi="宋体" w:cs="宋体"/>
                <w:bCs/>
                <w:color w:val="000000"/>
                <w:szCs w:val="21"/>
              </w:rPr>
              <w:t>1</w:t>
            </w:r>
          </w:p>
        </w:tc>
        <w:tc>
          <w:tcPr>
            <w:tcW w:w="1595" w:type="dxa"/>
            <w:vMerge w:val="restart"/>
            <w:vAlign w:val="center"/>
          </w:tcPr>
          <w:p w14:paraId="5A54C93A">
            <w:pPr>
              <w:jc w:val="center"/>
              <w:rPr>
                <w:rFonts w:ascii="宋体" w:hAnsi="宋体" w:cs="宋体"/>
                <w:color w:val="000000"/>
                <w:szCs w:val="21"/>
              </w:rPr>
            </w:pPr>
            <w:r>
              <w:rPr>
                <w:rFonts w:hint="eastAsia" w:ascii="宋体" w:hAnsi="宋体" w:cs="宋体"/>
                <w:color w:val="000000"/>
                <w:szCs w:val="21"/>
              </w:rPr>
              <w:t>关于交货</w:t>
            </w:r>
          </w:p>
        </w:tc>
        <w:tc>
          <w:tcPr>
            <w:tcW w:w="7596" w:type="dxa"/>
            <w:vAlign w:val="center"/>
          </w:tcPr>
          <w:p w14:paraId="3FD32023">
            <w:pPr>
              <w:rPr>
                <w:rFonts w:ascii="宋体" w:hAnsi="宋体" w:cs="宋体"/>
                <w:bCs/>
                <w:color w:val="000000"/>
                <w:szCs w:val="21"/>
              </w:rPr>
            </w:pPr>
            <w:r>
              <w:rPr>
                <w:rFonts w:hint="eastAsia" w:ascii="宋体" w:hAnsi="宋体" w:cs="宋体"/>
                <w:bCs/>
                <w:color w:val="000000"/>
                <w:szCs w:val="21"/>
              </w:rPr>
              <w:t>1.1交货地点：采购方指定地点。</w:t>
            </w:r>
          </w:p>
        </w:tc>
      </w:tr>
      <w:tr w14:paraId="4D2B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33804CC6">
            <w:pPr>
              <w:jc w:val="center"/>
              <w:rPr>
                <w:rFonts w:ascii="宋体" w:hAnsi="宋体" w:cs="宋体"/>
                <w:bCs/>
                <w:color w:val="000000"/>
                <w:szCs w:val="21"/>
              </w:rPr>
            </w:pPr>
          </w:p>
        </w:tc>
        <w:tc>
          <w:tcPr>
            <w:tcW w:w="1595" w:type="dxa"/>
            <w:vMerge w:val="continue"/>
            <w:vAlign w:val="center"/>
          </w:tcPr>
          <w:p w14:paraId="291AB258">
            <w:pPr>
              <w:jc w:val="center"/>
              <w:rPr>
                <w:rFonts w:ascii="宋体" w:hAnsi="宋体" w:cs="宋体"/>
                <w:color w:val="000000"/>
                <w:szCs w:val="21"/>
              </w:rPr>
            </w:pPr>
          </w:p>
        </w:tc>
        <w:tc>
          <w:tcPr>
            <w:tcW w:w="7596" w:type="dxa"/>
            <w:vAlign w:val="center"/>
          </w:tcPr>
          <w:p w14:paraId="4B82ACFC">
            <w:pPr>
              <w:rPr>
                <w:rFonts w:ascii="宋体" w:hAnsi="宋体" w:cs="宋体"/>
                <w:bCs/>
                <w:color w:val="000000"/>
                <w:szCs w:val="21"/>
              </w:rPr>
            </w:pPr>
            <w:r>
              <w:rPr>
                <w:rFonts w:hint="eastAsia" w:ascii="宋体" w:hAnsi="宋体" w:cs="宋体"/>
                <w:bCs/>
                <w:color w:val="000000"/>
                <w:szCs w:val="21"/>
              </w:rPr>
              <w:t>1.2投标人必须承担的设备运输、安装调试、验收检测和提供设备操作说明书、图纸等其他类似的义务。</w:t>
            </w:r>
          </w:p>
        </w:tc>
      </w:tr>
      <w:tr w14:paraId="0645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6DC70797">
            <w:pPr>
              <w:jc w:val="center"/>
              <w:rPr>
                <w:rFonts w:ascii="宋体" w:hAnsi="宋体" w:cs="宋体"/>
                <w:bCs/>
                <w:color w:val="000000"/>
                <w:szCs w:val="21"/>
              </w:rPr>
            </w:pPr>
          </w:p>
        </w:tc>
        <w:tc>
          <w:tcPr>
            <w:tcW w:w="1595" w:type="dxa"/>
            <w:vMerge w:val="continue"/>
            <w:vAlign w:val="center"/>
          </w:tcPr>
          <w:p w14:paraId="3B25FBE6">
            <w:pPr>
              <w:jc w:val="center"/>
              <w:rPr>
                <w:rFonts w:ascii="宋体" w:hAnsi="宋体" w:cs="宋体"/>
                <w:color w:val="000000"/>
                <w:szCs w:val="21"/>
              </w:rPr>
            </w:pPr>
          </w:p>
        </w:tc>
        <w:tc>
          <w:tcPr>
            <w:tcW w:w="7596" w:type="dxa"/>
            <w:vAlign w:val="center"/>
          </w:tcPr>
          <w:p w14:paraId="4AC7B893">
            <w:pPr>
              <w:rPr>
                <w:rFonts w:ascii="宋体" w:hAnsi="宋体" w:cs="宋体"/>
                <w:bCs/>
                <w:color w:val="000000"/>
                <w:szCs w:val="21"/>
              </w:rPr>
            </w:pPr>
            <w:r>
              <w:rPr>
                <w:rFonts w:hint="eastAsia" w:ascii="宋体" w:hAnsi="宋体" w:cs="宋体"/>
                <w:bCs/>
                <w:color w:val="000000"/>
                <w:szCs w:val="21"/>
                <w:highlight w:val="yellow"/>
              </w:rPr>
              <w:t>★1.3</w:t>
            </w:r>
            <w:bookmarkStart w:id="5" w:name="OLE_LINK2"/>
            <w:r>
              <w:rPr>
                <w:rFonts w:hint="eastAsia" w:ascii="宋体" w:hAnsi="宋体" w:cs="宋体"/>
                <w:bCs/>
                <w:color w:val="000000"/>
                <w:szCs w:val="21"/>
                <w:highlight w:val="yellow"/>
              </w:rPr>
              <w:t>签订合同后</w:t>
            </w:r>
            <w:r>
              <w:rPr>
                <w:rFonts w:hint="eastAsia" w:ascii="宋体" w:hAnsi="宋体" w:cs="宋体"/>
                <w:bCs/>
                <w:color w:val="000000"/>
                <w:szCs w:val="21"/>
                <w:highlight w:val="yellow"/>
                <w:u w:val="single"/>
              </w:rPr>
              <w:t xml:space="preserve"> 15 </w:t>
            </w:r>
            <w:r>
              <w:rPr>
                <w:rFonts w:hint="eastAsia" w:ascii="宋体" w:hAnsi="宋体" w:cs="宋体"/>
                <w:bCs/>
                <w:color w:val="000000"/>
                <w:szCs w:val="21"/>
                <w:highlight w:val="yellow"/>
              </w:rPr>
              <w:t>天（日历日）内交货</w:t>
            </w:r>
            <w:bookmarkEnd w:id="5"/>
            <w:r>
              <w:rPr>
                <w:rFonts w:hint="eastAsia" w:ascii="宋体" w:hAnsi="宋体" w:cs="宋体"/>
                <w:bCs/>
                <w:color w:val="000000"/>
                <w:szCs w:val="21"/>
                <w:highlight w:val="yellow"/>
              </w:rPr>
              <w:t>。</w:t>
            </w:r>
          </w:p>
        </w:tc>
      </w:tr>
      <w:tr w14:paraId="2D71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restart"/>
            <w:vAlign w:val="center"/>
          </w:tcPr>
          <w:p w14:paraId="1852E4CE">
            <w:pPr>
              <w:jc w:val="center"/>
              <w:rPr>
                <w:rFonts w:ascii="宋体" w:hAnsi="宋体" w:cs="宋体"/>
                <w:bCs/>
                <w:color w:val="000000"/>
                <w:szCs w:val="21"/>
              </w:rPr>
            </w:pPr>
            <w:r>
              <w:rPr>
                <w:rFonts w:hint="eastAsia" w:ascii="宋体" w:hAnsi="宋体" w:cs="宋体"/>
                <w:bCs/>
                <w:color w:val="000000"/>
                <w:szCs w:val="21"/>
              </w:rPr>
              <w:t>2</w:t>
            </w:r>
          </w:p>
        </w:tc>
        <w:tc>
          <w:tcPr>
            <w:tcW w:w="1595" w:type="dxa"/>
            <w:vMerge w:val="restart"/>
            <w:vAlign w:val="center"/>
          </w:tcPr>
          <w:p w14:paraId="18780FA4">
            <w:pPr>
              <w:jc w:val="center"/>
              <w:rPr>
                <w:rFonts w:ascii="宋体" w:hAnsi="宋体" w:cs="宋体"/>
                <w:color w:val="000000"/>
                <w:szCs w:val="21"/>
              </w:rPr>
            </w:pPr>
            <w:r>
              <w:rPr>
                <w:rFonts w:hint="eastAsia" w:ascii="宋体" w:hAnsi="宋体" w:cs="宋体"/>
                <w:color w:val="000000"/>
                <w:szCs w:val="21"/>
              </w:rPr>
              <w:t>安装调试及验收</w:t>
            </w:r>
          </w:p>
        </w:tc>
        <w:tc>
          <w:tcPr>
            <w:tcW w:w="7596" w:type="dxa"/>
            <w:vAlign w:val="center"/>
          </w:tcPr>
          <w:p w14:paraId="73F1379F">
            <w:pPr>
              <w:spacing w:line="340" w:lineRule="exact"/>
              <w:rPr>
                <w:rFonts w:ascii="宋体" w:hAnsi="宋体" w:cs="宋体"/>
                <w:bCs/>
                <w:color w:val="000000"/>
                <w:szCs w:val="21"/>
              </w:rPr>
            </w:pPr>
            <w:r>
              <w:rPr>
                <w:rFonts w:hint="eastAsia" w:ascii="宋体" w:hAnsi="宋体" w:cs="宋体"/>
                <w:bCs/>
                <w:color w:val="000000"/>
                <w:szCs w:val="21"/>
              </w:rPr>
              <w:t>2.1投标人应派有经验的技术人员到现场进行安装、调试，直到设备正常使用。</w:t>
            </w:r>
          </w:p>
        </w:tc>
      </w:tr>
      <w:tr w14:paraId="0F6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7812E7EC">
            <w:pPr>
              <w:jc w:val="center"/>
              <w:rPr>
                <w:rFonts w:ascii="宋体" w:hAnsi="宋体" w:cs="宋体"/>
                <w:b/>
                <w:color w:val="000000"/>
                <w:szCs w:val="21"/>
              </w:rPr>
            </w:pPr>
          </w:p>
        </w:tc>
        <w:tc>
          <w:tcPr>
            <w:tcW w:w="1595" w:type="dxa"/>
            <w:vMerge w:val="continue"/>
            <w:vAlign w:val="center"/>
          </w:tcPr>
          <w:p w14:paraId="411547A1">
            <w:pPr>
              <w:jc w:val="center"/>
              <w:rPr>
                <w:rFonts w:ascii="宋体" w:hAnsi="宋体" w:cs="宋体"/>
                <w:b/>
                <w:color w:val="000000"/>
                <w:szCs w:val="21"/>
              </w:rPr>
            </w:pPr>
          </w:p>
        </w:tc>
        <w:tc>
          <w:tcPr>
            <w:tcW w:w="7596" w:type="dxa"/>
            <w:vAlign w:val="center"/>
          </w:tcPr>
          <w:p w14:paraId="26C4C4E2">
            <w:pPr>
              <w:spacing w:line="340" w:lineRule="exact"/>
              <w:rPr>
                <w:rFonts w:ascii="宋体" w:hAnsi="宋体" w:cs="宋体"/>
                <w:bCs/>
                <w:color w:val="000000"/>
                <w:szCs w:val="21"/>
              </w:rPr>
            </w:pPr>
            <w:r>
              <w:rPr>
                <w:rFonts w:hint="eastAsia" w:ascii="宋体" w:hAnsi="宋体" w:cs="宋体"/>
                <w:bCs/>
                <w:color w:val="000000"/>
                <w:szCs w:val="21"/>
              </w:rPr>
              <w:t>2.2由采购人按合同和招标、投标文件约定的要求和标准及中华人民共和国现行的验收规范和评定标准进行交货验收。</w:t>
            </w:r>
          </w:p>
        </w:tc>
      </w:tr>
      <w:tr w14:paraId="6A2B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1C3635A1">
            <w:pPr>
              <w:jc w:val="center"/>
              <w:rPr>
                <w:rFonts w:ascii="宋体" w:hAnsi="宋体" w:cs="宋体"/>
                <w:b/>
                <w:color w:val="000000"/>
                <w:szCs w:val="21"/>
              </w:rPr>
            </w:pPr>
          </w:p>
        </w:tc>
        <w:tc>
          <w:tcPr>
            <w:tcW w:w="1595" w:type="dxa"/>
            <w:vMerge w:val="continue"/>
            <w:vAlign w:val="center"/>
          </w:tcPr>
          <w:p w14:paraId="5E90EF91">
            <w:pPr>
              <w:jc w:val="center"/>
              <w:rPr>
                <w:rFonts w:ascii="宋体" w:hAnsi="宋体" w:cs="宋体"/>
                <w:b/>
                <w:color w:val="000000"/>
                <w:szCs w:val="21"/>
              </w:rPr>
            </w:pPr>
          </w:p>
        </w:tc>
        <w:tc>
          <w:tcPr>
            <w:tcW w:w="7596" w:type="dxa"/>
            <w:vAlign w:val="center"/>
          </w:tcPr>
          <w:p w14:paraId="72911CC2">
            <w:pPr>
              <w:spacing w:line="340" w:lineRule="exact"/>
              <w:rPr>
                <w:rFonts w:ascii="宋体" w:hAnsi="宋体" w:cs="宋体"/>
                <w:bCs/>
                <w:color w:val="000000"/>
                <w:szCs w:val="21"/>
              </w:rPr>
            </w:pPr>
            <w:r>
              <w:rPr>
                <w:rFonts w:hint="eastAsia" w:ascii="宋体" w:hAnsi="宋体" w:cs="宋体"/>
                <w:bCs/>
                <w:color w:val="000000"/>
                <w:szCs w:val="21"/>
              </w:rPr>
              <w:t>2.3 投标人货物经过双方检验认可后，签署验收报告，软件免费维护期自最终验收合格并交付使用之日起计算，由投标人提供产品保修文件。</w:t>
            </w:r>
          </w:p>
        </w:tc>
      </w:tr>
      <w:tr w14:paraId="512F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544C3CF5">
            <w:pPr>
              <w:jc w:val="center"/>
              <w:rPr>
                <w:rFonts w:ascii="宋体" w:hAnsi="宋体" w:cs="宋体"/>
                <w:b/>
                <w:color w:val="000000"/>
                <w:szCs w:val="21"/>
              </w:rPr>
            </w:pPr>
          </w:p>
        </w:tc>
        <w:tc>
          <w:tcPr>
            <w:tcW w:w="1595" w:type="dxa"/>
            <w:vMerge w:val="continue"/>
            <w:vAlign w:val="center"/>
          </w:tcPr>
          <w:p w14:paraId="5C1B5E2C">
            <w:pPr>
              <w:jc w:val="center"/>
              <w:rPr>
                <w:rFonts w:ascii="宋体" w:hAnsi="宋体" w:cs="宋体"/>
                <w:b/>
                <w:color w:val="000000"/>
                <w:szCs w:val="21"/>
              </w:rPr>
            </w:pPr>
          </w:p>
        </w:tc>
        <w:tc>
          <w:tcPr>
            <w:tcW w:w="7596" w:type="dxa"/>
            <w:vAlign w:val="center"/>
          </w:tcPr>
          <w:p w14:paraId="7868CE64">
            <w:pPr>
              <w:spacing w:line="340" w:lineRule="exact"/>
              <w:rPr>
                <w:rFonts w:ascii="宋体" w:hAnsi="宋体" w:cs="宋体"/>
                <w:bCs/>
                <w:color w:val="000000"/>
                <w:szCs w:val="21"/>
              </w:rPr>
            </w:pPr>
            <w:r>
              <w:rPr>
                <w:rFonts w:hint="eastAsia" w:ascii="宋体" w:hAnsi="宋体" w:cs="宋体"/>
                <w:bCs/>
                <w:color w:val="000000"/>
                <w:szCs w:val="21"/>
              </w:rPr>
              <w:t>2.4当满足以下条件时，采购人才向中标人签发货物验收报告：</w:t>
            </w:r>
          </w:p>
          <w:p w14:paraId="58E5811E">
            <w:pPr>
              <w:rPr>
                <w:rFonts w:ascii="宋体" w:hAnsi="宋体" w:cs="宋体"/>
                <w:bCs/>
                <w:color w:val="000000"/>
                <w:szCs w:val="21"/>
              </w:rPr>
            </w:pPr>
            <w:r>
              <w:rPr>
                <w:rFonts w:hint="eastAsia" w:ascii="宋体" w:hAnsi="宋体" w:cs="宋体"/>
                <w:bCs/>
                <w:color w:val="000000"/>
                <w:szCs w:val="21"/>
              </w:rPr>
              <w:t>（1）设备全新，外观无伤痕变形或明显修饰痕迹。</w:t>
            </w:r>
          </w:p>
          <w:p w14:paraId="51D42C0D">
            <w:pPr>
              <w:rPr>
                <w:rFonts w:ascii="宋体" w:hAnsi="宋体" w:cs="宋体"/>
                <w:bCs/>
                <w:color w:val="000000"/>
                <w:szCs w:val="21"/>
              </w:rPr>
            </w:pPr>
            <w:r>
              <w:rPr>
                <w:rFonts w:hint="eastAsia" w:ascii="宋体" w:hAnsi="宋体" w:cs="宋体"/>
                <w:bCs/>
                <w:color w:val="000000"/>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56514AF">
            <w:pPr>
              <w:rPr>
                <w:rFonts w:ascii="宋体" w:hAnsi="宋体" w:cs="宋体"/>
                <w:bCs/>
                <w:color w:val="000000"/>
                <w:szCs w:val="21"/>
              </w:rPr>
            </w:pPr>
            <w:r>
              <w:rPr>
                <w:rFonts w:hint="eastAsia" w:ascii="宋体" w:hAnsi="宋体" w:cs="宋体"/>
                <w:bCs/>
                <w:color w:val="000000"/>
                <w:szCs w:val="21"/>
              </w:rPr>
              <w:t>（3）技术文件资料、备件等已按规定数量移交完毕。</w:t>
            </w:r>
          </w:p>
          <w:p w14:paraId="590C2BBA">
            <w:pPr>
              <w:rPr>
                <w:rFonts w:ascii="宋体" w:hAnsi="宋体" w:cs="宋体"/>
                <w:bCs/>
                <w:color w:val="000000"/>
                <w:szCs w:val="21"/>
              </w:rPr>
            </w:pPr>
            <w:r>
              <w:rPr>
                <w:rFonts w:hint="eastAsia" w:ascii="宋体" w:hAnsi="宋体" w:cs="宋体"/>
                <w:bCs/>
                <w:color w:val="000000"/>
                <w:szCs w:val="21"/>
              </w:rPr>
              <w:t>（4）按照招标书要求及投标文件提供的技术要求验收必须合格。</w:t>
            </w:r>
          </w:p>
          <w:p w14:paraId="08D6D228">
            <w:pPr>
              <w:spacing w:line="340" w:lineRule="exact"/>
              <w:rPr>
                <w:rFonts w:ascii="宋体" w:hAnsi="宋体" w:cs="宋体"/>
                <w:bCs/>
                <w:color w:val="000000"/>
                <w:szCs w:val="21"/>
              </w:rPr>
            </w:pPr>
            <w:r>
              <w:rPr>
                <w:rFonts w:hint="eastAsia" w:ascii="宋体" w:hAnsi="宋体" w:cs="宋体"/>
                <w:bCs/>
                <w:color w:val="000000"/>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34941F5F">
            <w:pPr>
              <w:spacing w:line="340" w:lineRule="exact"/>
              <w:rPr>
                <w:rFonts w:ascii="宋体" w:hAnsi="宋体" w:cs="宋体"/>
                <w:bCs/>
                <w:color w:val="000000"/>
                <w:szCs w:val="21"/>
              </w:rPr>
            </w:pPr>
            <w:r>
              <w:rPr>
                <w:rFonts w:hint="eastAsia" w:ascii="宋体" w:hAnsi="宋体" w:cs="宋体"/>
                <w:bCs/>
                <w:color w:val="000000"/>
                <w:szCs w:val="21"/>
              </w:rPr>
              <w:t>（6）货物具备产品合格证。</w:t>
            </w:r>
          </w:p>
          <w:p w14:paraId="1D52458D">
            <w:pPr>
              <w:spacing w:line="340" w:lineRule="exact"/>
              <w:rPr>
                <w:rFonts w:ascii="宋体" w:hAnsi="宋体" w:cs="宋体"/>
                <w:bCs/>
                <w:color w:val="000000"/>
                <w:szCs w:val="21"/>
              </w:rPr>
            </w:pPr>
            <w:r>
              <w:rPr>
                <w:rFonts w:hint="eastAsia" w:ascii="宋体" w:hAnsi="宋体" w:cs="宋体"/>
                <w:bCs/>
                <w:color w:val="000000"/>
                <w:szCs w:val="21"/>
              </w:rPr>
              <w:t>（7）在货物安装调试合格后，所有技术指标达到技术规范书要求，经验收合格后，双方共同签署验收报告。</w:t>
            </w:r>
          </w:p>
        </w:tc>
      </w:tr>
      <w:tr w14:paraId="7078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restart"/>
            <w:vAlign w:val="center"/>
          </w:tcPr>
          <w:p w14:paraId="0B4FEBD8">
            <w:pPr>
              <w:jc w:val="center"/>
              <w:rPr>
                <w:rFonts w:ascii="宋体" w:hAnsi="宋体" w:cs="宋体"/>
                <w:bCs/>
                <w:color w:val="000000"/>
                <w:szCs w:val="21"/>
              </w:rPr>
            </w:pPr>
            <w:r>
              <w:rPr>
                <w:rFonts w:hint="eastAsia" w:ascii="宋体" w:hAnsi="宋体" w:cs="宋体"/>
                <w:bCs/>
                <w:color w:val="000000"/>
                <w:szCs w:val="21"/>
              </w:rPr>
              <w:t>3</w:t>
            </w:r>
          </w:p>
        </w:tc>
        <w:tc>
          <w:tcPr>
            <w:tcW w:w="1595" w:type="dxa"/>
            <w:vMerge w:val="restart"/>
            <w:vAlign w:val="center"/>
          </w:tcPr>
          <w:p w14:paraId="56BC17F0">
            <w:pPr>
              <w:jc w:val="center"/>
              <w:rPr>
                <w:rFonts w:ascii="宋体" w:hAnsi="宋体" w:cs="宋体"/>
                <w:color w:val="000000"/>
                <w:szCs w:val="21"/>
              </w:rPr>
            </w:pPr>
            <w:r>
              <w:rPr>
                <w:rFonts w:hint="eastAsia" w:ascii="宋体" w:hAnsi="宋体" w:cs="宋体"/>
                <w:color w:val="000000"/>
                <w:szCs w:val="21"/>
              </w:rPr>
              <w:t>关于违约</w:t>
            </w:r>
          </w:p>
        </w:tc>
        <w:tc>
          <w:tcPr>
            <w:tcW w:w="7596" w:type="dxa"/>
          </w:tcPr>
          <w:p w14:paraId="11A338F0">
            <w:pPr>
              <w:widowControl/>
              <w:spacing w:line="340" w:lineRule="exact"/>
              <w:rPr>
                <w:rFonts w:ascii="宋体" w:hAnsi="宋体" w:cs="宋体"/>
                <w:bCs/>
                <w:color w:val="000000"/>
                <w:szCs w:val="21"/>
              </w:rPr>
            </w:pPr>
            <w:r>
              <w:rPr>
                <w:rFonts w:hint="eastAsia" w:ascii="宋体" w:hAnsi="宋体" w:cs="宋体"/>
                <w:bCs/>
                <w:color w:val="000000"/>
                <w:szCs w:val="21"/>
              </w:rPr>
              <w:t>3.1中标人不能交货的，需偿付不能交货部分货款的</w:t>
            </w:r>
            <w:r>
              <w:rPr>
                <w:rFonts w:hint="eastAsia" w:ascii="宋体" w:hAnsi="宋体" w:cs="宋体"/>
                <w:bCs/>
                <w:color w:val="000000"/>
                <w:szCs w:val="21"/>
                <w:u w:val="single"/>
              </w:rPr>
              <w:t xml:space="preserve">  2  %</w:t>
            </w:r>
            <w:r>
              <w:rPr>
                <w:rFonts w:hint="eastAsia" w:ascii="宋体" w:hAnsi="宋体" w:cs="宋体"/>
                <w:bCs/>
                <w:color w:val="000000"/>
                <w:szCs w:val="21"/>
              </w:rPr>
              <w:t>的违约金并按主管部门相关规定处理。</w:t>
            </w:r>
          </w:p>
        </w:tc>
      </w:tr>
      <w:tr w14:paraId="4DAF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51A54CCF">
            <w:pPr>
              <w:jc w:val="center"/>
              <w:rPr>
                <w:rFonts w:ascii="宋体" w:hAnsi="宋体" w:cs="宋体"/>
                <w:bCs/>
                <w:color w:val="000000"/>
                <w:szCs w:val="21"/>
              </w:rPr>
            </w:pPr>
          </w:p>
        </w:tc>
        <w:tc>
          <w:tcPr>
            <w:tcW w:w="1595" w:type="dxa"/>
            <w:vMerge w:val="continue"/>
            <w:vAlign w:val="center"/>
          </w:tcPr>
          <w:p w14:paraId="28FBB0E1">
            <w:pPr>
              <w:jc w:val="center"/>
              <w:rPr>
                <w:rFonts w:ascii="宋体" w:hAnsi="宋体" w:cs="宋体"/>
                <w:color w:val="000000"/>
                <w:szCs w:val="21"/>
              </w:rPr>
            </w:pPr>
          </w:p>
        </w:tc>
        <w:tc>
          <w:tcPr>
            <w:tcW w:w="7596" w:type="dxa"/>
          </w:tcPr>
          <w:p w14:paraId="18871169">
            <w:pPr>
              <w:widowControl/>
              <w:spacing w:line="340" w:lineRule="exact"/>
              <w:rPr>
                <w:rFonts w:ascii="宋体" w:hAnsi="宋体" w:cs="宋体"/>
                <w:bCs/>
                <w:color w:val="000000"/>
                <w:szCs w:val="21"/>
              </w:rPr>
            </w:pPr>
            <w:r>
              <w:rPr>
                <w:rFonts w:hint="eastAsia" w:ascii="宋体" w:hAnsi="宋体" w:cs="宋体"/>
                <w:bCs/>
                <w:color w:val="000000"/>
                <w:szCs w:val="21"/>
              </w:rPr>
              <w:t>3.2中标人逾期交货的，按主管部门相关规定处理。</w:t>
            </w:r>
          </w:p>
        </w:tc>
      </w:tr>
      <w:tr w14:paraId="46B0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Merge w:val="continue"/>
            <w:vAlign w:val="center"/>
          </w:tcPr>
          <w:p w14:paraId="064C3D27">
            <w:pPr>
              <w:jc w:val="center"/>
              <w:rPr>
                <w:rFonts w:ascii="宋体" w:hAnsi="宋体" w:cs="宋体"/>
                <w:bCs/>
                <w:color w:val="000000"/>
                <w:szCs w:val="21"/>
              </w:rPr>
            </w:pPr>
          </w:p>
        </w:tc>
        <w:tc>
          <w:tcPr>
            <w:tcW w:w="1595" w:type="dxa"/>
            <w:vMerge w:val="continue"/>
            <w:vAlign w:val="center"/>
          </w:tcPr>
          <w:p w14:paraId="1534CA17">
            <w:pPr>
              <w:jc w:val="center"/>
              <w:rPr>
                <w:rFonts w:ascii="宋体" w:hAnsi="宋体" w:cs="宋体"/>
                <w:color w:val="000000"/>
                <w:szCs w:val="21"/>
              </w:rPr>
            </w:pPr>
          </w:p>
        </w:tc>
        <w:tc>
          <w:tcPr>
            <w:tcW w:w="7596" w:type="dxa"/>
          </w:tcPr>
          <w:p w14:paraId="0C53BC48">
            <w:pPr>
              <w:widowControl/>
              <w:spacing w:line="340" w:lineRule="exact"/>
              <w:rPr>
                <w:rFonts w:ascii="宋体" w:hAnsi="宋体" w:cs="宋体"/>
                <w:bCs/>
                <w:color w:val="000000"/>
                <w:szCs w:val="21"/>
              </w:rPr>
            </w:pPr>
            <w:r>
              <w:rPr>
                <w:rFonts w:hint="eastAsia" w:ascii="宋体" w:hAnsi="宋体" w:cs="宋体"/>
                <w:bCs/>
                <w:color w:val="000000"/>
                <w:szCs w:val="21"/>
              </w:rPr>
              <w:t>3.3中标人所交付产品、工程或服务不符合其投标承诺的，或在投标阶段为了中标而盲目虚假承诺、低价恶性竞争，在履约阶段则通过偷工减料、以次充好而获取利润的，将按主管部门相关规定处理。</w:t>
            </w:r>
          </w:p>
        </w:tc>
      </w:tr>
      <w:tr w14:paraId="4808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Align w:val="center"/>
          </w:tcPr>
          <w:p w14:paraId="28BB011C">
            <w:pPr>
              <w:jc w:val="center"/>
              <w:rPr>
                <w:rFonts w:ascii="宋体" w:hAnsi="宋体" w:cs="宋体"/>
                <w:bCs/>
                <w:color w:val="000000"/>
                <w:szCs w:val="21"/>
              </w:rPr>
            </w:pPr>
            <w:r>
              <w:rPr>
                <w:rFonts w:hint="eastAsia" w:ascii="宋体" w:hAnsi="宋体" w:cs="宋体"/>
                <w:bCs/>
                <w:color w:val="000000"/>
                <w:szCs w:val="21"/>
              </w:rPr>
              <w:t>4</w:t>
            </w:r>
          </w:p>
        </w:tc>
        <w:tc>
          <w:tcPr>
            <w:tcW w:w="1595" w:type="dxa"/>
            <w:vAlign w:val="center"/>
          </w:tcPr>
          <w:p w14:paraId="74A09F42">
            <w:pPr>
              <w:jc w:val="center"/>
              <w:rPr>
                <w:rFonts w:ascii="宋体" w:hAnsi="宋体" w:cs="宋体"/>
                <w:color w:val="000000"/>
                <w:szCs w:val="21"/>
              </w:rPr>
            </w:pPr>
            <w:r>
              <w:rPr>
                <w:rFonts w:hint="eastAsia" w:ascii="宋体" w:hAnsi="宋体" w:cs="宋体"/>
                <w:color w:val="000000"/>
                <w:szCs w:val="21"/>
              </w:rPr>
              <w:t>★关于付款</w:t>
            </w:r>
          </w:p>
        </w:tc>
        <w:tc>
          <w:tcPr>
            <w:tcW w:w="7596" w:type="dxa"/>
            <w:vAlign w:val="center"/>
          </w:tcPr>
          <w:p w14:paraId="02D765B1">
            <w:pPr>
              <w:rPr>
                <w:rFonts w:ascii="宋体" w:hAnsi="宋体" w:cs="宋体"/>
                <w:b/>
                <w:color w:val="000000"/>
                <w:szCs w:val="21"/>
              </w:rPr>
            </w:pPr>
            <w:r>
              <w:rPr>
                <w:rFonts w:hint="eastAsia" w:ascii="宋体" w:hAnsi="宋体" w:cs="宋体"/>
                <w:color w:val="000000"/>
                <w:szCs w:val="21"/>
              </w:rPr>
              <w:t>货物运送到指定地点安装并调试完毕、验收合格后，凭正式发票按合同全款在10工作日内转帐支付至指定银行账户。双方协商一致的除外。</w:t>
            </w:r>
          </w:p>
        </w:tc>
      </w:tr>
      <w:tr w14:paraId="399A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vAlign w:val="center"/>
          </w:tcPr>
          <w:p w14:paraId="25C62655">
            <w:pPr>
              <w:jc w:val="center"/>
              <w:rPr>
                <w:rFonts w:ascii="宋体" w:hAnsi="宋体" w:cs="宋体"/>
                <w:bCs/>
                <w:color w:val="000000"/>
                <w:szCs w:val="21"/>
              </w:rPr>
            </w:pPr>
            <w:r>
              <w:rPr>
                <w:rFonts w:hint="eastAsia" w:ascii="宋体" w:hAnsi="宋体" w:cs="宋体"/>
                <w:bCs/>
                <w:color w:val="000000"/>
                <w:szCs w:val="21"/>
              </w:rPr>
              <w:t>5</w:t>
            </w:r>
          </w:p>
        </w:tc>
        <w:tc>
          <w:tcPr>
            <w:tcW w:w="1595" w:type="dxa"/>
            <w:vAlign w:val="center"/>
          </w:tcPr>
          <w:p w14:paraId="5111A989">
            <w:pPr>
              <w:jc w:val="center"/>
              <w:rPr>
                <w:rFonts w:ascii="宋体" w:hAnsi="宋体" w:cs="宋体"/>
                <w:color w:val="000000"/>
                <w:szCs w:val="21"/>
              </w:rPr>
            </w:pPr>
            <w:r>
              <w:rPr>
                <w:rFonts w:hint="eastAsia" w:ascii="宋体" w:hAnsi="宋体" w:cs="宋体"/>
                <w:color w:val="000000"/>
                <w:szCs w:val="21"/>
              </w:rPr>
              <w:t>★报价要求</w:t>
            </w:r>
          </w:p>
        </w:tc>
        <w:tc>
          <w:tcPr>
            <w:tcW w:w="7596" w:type="dxa"/>
            <w:vAlign w:val="center"/>
          </w:tcPr>
          <w:p w14:paraId="7C7BD9AE">
            <w:pPr>
              <w:rPr>
                <w:rFonts w:ascii="宋体" w:hAnsi="宋体" w:cs="宋体"/>
                <w:bCs/>
                <w:color w:val="000000"/>
                <w:szCs w:val="21"/>
              </w:rPr>
            </w:pPr>
            <w:r>
              <w:rPr>
                <w:rFonts w:hint="eastAsia" w:ascii="宋体" w:hAnsi="宋体" w:cs="宋体"/>
                <w:bCs/>
                <w:color w:val="000000"/>
                <w:szCs w:val="21"/>
              </w:rPr>
              <w:t>投标总价必须是完成该项目的一切费用总和，包括设备费、运输费、装卸费、保险费、技术培训费、设备安装费、调试费、售后服务费、国家规定的各项税费等全部费用。</w:t>
            </w:r>
          </w:p>
        </w:tc>
      </w:tr>
    </w:tbl>
    <w:p w14:paraId="2747A55C">
      <w:pPr>
        <w:spacing w:line="360" w:lineRule="auto"/>
        <w:rPr>
          <w:rFonts w:ascii="宋体" w:hAnsi="宋体"/>
          <w:b/>
          <w:bCs/>
          <w:snapToGrid w:val="0"/>
          <w:kern w:val="0"/>
          <w:sz w:val="24"/>
        </w:rPr>
      </w:pPr>
    </w:p>
    <w:p w14:paraId="5EABBC4B">
      <w:pPr>
        <w:widowControl/>
        <w:jc w:val="left"/>
      </w:pPr>
    </w:p>
    <w:p w14:paraId="08F94F37">
      <w:r>
        <w:br w:type="page"/>
      </w:r>
    </w:p>
    <w:p w14:paraId="60EF30AA">
      <w:pPr>
        <w:pStyle w:val="4"/>
      </w:pPr>
    </w:p>
    <w:p w14:paraId="1FB01B7F">
      <w:pPr>
        <w:pStyle w:val="2"/>
      </w:pPr>
      <w:bookmarkStart w:id="6" w:name="_Toc135293322"/>
      <w:r>
        <w:rPr>
          <w:rFonts w:hint="eastAsia"/>
        </w:rPr>
        <w:t>第三章  投标文件初审</w:t>
      </w:r>
      <w:bookmarkEnd w:id="6"/>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7" w:name="_Toc135293323"/>
      <w:r>
        <w:rPr>
          <w:rFonts w:hint="eastAsia"/>
        </w:rPr>
        <w:t>第四章  评标方法和标准</w:t>
      </w:r>
      <w:bookmarkEnd w:id="7"/>
    </w:p>
    <w:p w14:paraId="1F09864D">
      <w:pPr>
        <w:pStyle w:val="4"/>
        <w:spacing w:before="0" w:after="0"/>
      </w:pPr>
      <w:bookmarkStart w:id="8" w:name="_Toc44691161"/>
      <w:bookmarkStart w:id="9" w:name="_Toc135293324"/>
      <w:bookmarkStart w:id="10" w:name="_Toc44691393"/>
      <w:bookmarkStart w:id="11" w:name="_Toc44690702"/>
      <w:bookmarkStart w:id="12" w:name="_Toc44690429"/>
      <w:r>
        <w:rPr>
          <w:rFonts w:hint="eastAsia"/>
        </w:rPr>
        <w:t>一、</w:t>
      </w:r>
      <w:r>
        <w:t>评标方法</w:t>
      </w:r>
      <w:bookmarkEnd w:id="8"/>
      <w:bookmarkEnd w:id="9"/>
      <w:bookmarkEnd w:id="10"/>
      <w:bookmarkEnd w:id="11"/>
      <w:bookmarkEnd w:id="12"/>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3" w:name="_Toc135293325"/>
      <w:r>
        <w:rPr>
          <w:rFonts w:hint="eastAsia"/>
        </w:rPr>
        <w:t>二、评标标准</w:t>
      </w:r>
      <w:bookmarkEnd w:id="13"/>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pPr w:leftFromText="180" w:rightFromText="180" w:vertAnchor="text" w:horzAnchor="page" w:tblpX="1193" w:tblpY="450"/>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E40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8559" w:type="dxa"/>
            <w:gridSpan w:val="4"/>
            <w:vAlign w:val="center"/>
          </w:tcPr>
          <w:p w14:paraId="7886A646">
            <w:pPr>
              <w:autoSpaceDE w:val="0"/>
              <w:autoSpaceDN w:val="0"/>
              <w:adjustRightInd w:val="0"/>
              <w:spacing w:line="360" w:lineRule="exact"/>
              <w:jc w:val="center"/>
              <w:rPr>
                <w:rFonts w:hint="eastAsia" w:ascii="宋体" w:hAnsi="宋体" w:eastAsia="宋体" w:cs="宋体"/>
                <w:b/>
                <w:szCs w:val="21"/>
                <w:lang w:val="zh-CN"/>
              </w:rPr>
            </w:pPr>
            <w:bookmarkStart w:id="14" w:name="_Toc44690430"/>
            <w:bookmarkStart w:id="15" w:name="_Toc44690703"/>
            <w:bookmarkStart w:id="16" w:name="_Toc44691162"/>
            <w:bookmarkStart w:id="17" w:name="_Toc44691394"/>
            <w:bookmarkStart w:id="18" w:name="_Toc135293326"/>
            <w:r>
              <w:rPr>
                <w:rFonts w:hint="eastAsia" w:ascii="宋体" w:hAnsi="宋体" w:eastAsia="宋体" w:cs="宋体"/>
                <w:b/>
                <w:szCs w:val="21"/>
                <w:lang w:val="zh-CN"/>
              </w:rPr>
              <w:t>评分项及评分规则</w:t>
            </w:r>
          </w:p>
        </w:tc>
        <w:tc>
          <w:tcPr>
            <w:tcW w:w="1187" w:type="dxa"/>
            <w:vAlign w:val="center"/>
          </w:tcPr>
          <w:p w14:paraId="5A0EC857">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权重</w:t>
            </w:r>
          </w:p>
        </w:tc>
      </w:tr>
      <w:tr w14:paraId="386F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8559" w:type="dxa"/>
            <w:gridSpan w:val="4"/>
            <w:vAlign w:val="center"/>
          </w:tcPr>
          <w:p w14:paraId="39762486">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一、价格部分</w:t>
            </w:r>
          </w:p>
        </w:tc>
        <w:tc>
          <w:tcPr>
            <w:tcW w:w="1187" w:type="dxa"/>
            <w:vAlign w:val="center"/>
          </w:tcPr>
          <w:p w14:paraId="5078A044">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30</w:t>
            </w:r>
          </w:p>
        </w:tc>
      </w:tr>
      <w:tr w14:paraId="3B1A1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559" w:type="dxa"/>
            <w:gridSpan w:val="4"/>
            <w:vAlign w:val="center"/>
          </w:tcPr>
          <w:p w14:paraId="074D071C">
            <w:pPr>
              <w:widowControl/>
              <w:spacing w:line="360" w:lineRule="exact"/>
              <w:jc w:val="left"/>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价格分采用低价优先法计算，即满足招标文件要求且投标价格最低的投标报价为评标基准价，其价格分为满分。其他投标人的价格分统一按照下列公式计算：</w:t>
            </w:r>
          </w:p>
          <w:p w14:paraId="118C4781">
            <w:pPr>
              <w:widowControl/>
              <w:spacing w:line="360" w:lineRule="exact"/>
              <w:jc w:val="left"/>
              <w:rPr>
                <w:rFonts w:hint="eastAsia" w:ascii="宋体" w:hAnsi="宋体" w:eastAsia="宋体" w:cs="宋体"/>
                <w:szCs w:val="21"/>
              </w:rPr>
            </w:pPr>
            <w:r>
              <w:rPr>
                <w:rFonts w:hint="eastAsia" w:ascii="宋体" w:hAnsi="宋体" w:eastAsia="宋体" w:cs="宋体"/>
                <w:szCs w:val="21"/>
              </w:rPr>
              <w:t>投标报价得分=(评标基准价／投标报价)×权重</w:t>
            </w:r>
          </w:p>
          <w:p w14:paraId="18312B56">
            <w:pPr>
              <w:adjustRightInd w:val="0"/>
              <w:snapToGrid w:val="0"/>
              <w:spacing w:line="36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备注：</w:t>
            </w:r>
          </w:p>
          <w:p w14:paraId="663AC2D9">
            <w:pPr>
              <w:adjustRightInd w:val="0"/>
              <w:snapToGrid w:val="0"/>
              <w:spacing w:line="360" w:lineRule="exact"/>
              <w:rPr>
                <w:rFonts w:hint="eastAsia" w:ascii="宋体" w:hAnsi="宋体" w:eastAsia="宋体" w:cs="宋体"/>
                <w:bCs/>
                <w:snapToGrid w:val="0"/>
                <w:kern w:val="0"/>
                <w:szCs w:val="21"/>
              </w:rPr>
            </w:pPr>
            <w:r>
              <w:rPr>
                <w:rFonts w:hint="eastAsia" w:ascii="宋体" w:hAnsi="宋体" w:eastAsia="宋体" w:cs="宋体"/>
                <w:snapToGrid w:val="0"/>
                <w:kern w:val="0"/>
                <w:szCs w:val="21"/>
              </w:rPr>
              <w:t>1、因落实政府采购政策进行价格调整的，以调整后的价格计算评标基准价和投标报价</w:t>
            </w:r>
            <w:r>
              <w:rPr>
                <w:rFonts w:hint="eastAsia" w:ascii="宋体" w:hAnsi="宋体" w:eastAsia="宋体" w:cs="宋体"/>
                <w:bCs/>
                <w:snapToGrid w:val="0"/>
                <w:kern w:val="0"/>
                <w:szCs w:val="21"/>
              </w:rPr>
              <w:t>；</w:t>
            </w:r>
          </w:p>
          <w:p w14:paraId="78E9F3CB">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napToGrid w:val="0"/>
                <w:kern w:val="0"/>
                <w:szCs w:val="21"/>
              </w:rPr>
              <w:t>2、投标报价得分四舍五入后，小数点后保留两位有效数</w:t>
            </w:r>
            <w:r>
              <w:rPr>
                <w:rFonts w:hint="eastAsia" w:ascii="宋体" w:hAnsi="宋体" w:eastAsia="宋体" w:cs="宋体"/>
                <w:szCs w:val="21"/>
              </w:rPr>
              <w:t>。</w:t>
            </w:r>
          </w:p>
        </w:tc>
        <w:tc>
          <w:tcPr>
            <w:tcW w:w="1187" w:type="dxa"/>
            <w:vAlign w:val="center"/>
          </w:tcPr>
          <w:p w14:paraId="1E31CD00">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按公式计算评分</w:t>
            </w:r>
          </w:p>
        </w:tc>
      </w:tr>
      <w:tr w14:paraId="5F09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559" w:type="dxa"/>
            <w:gridSpan w:val="4"/>
            <w:vAlign w:val="center"/>
          </w:tcPr>
          <w:p w14:paraId="4D164AA0">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二、技术部分</w:t>
            </w:r>
          </w:p>
        </w:tc>
        <w:tc>
          <w:tcPr>
            <w:tcW w:w="1187" w:type="dxa"/>
            <w:vAlign w:val="center"/>
          </w:tcPr>
          <w:p w14:paraId="7884CB8B">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50</w:t>
            </w:r>
          </w:p>
        </w:tc>
      </w:tr>
      <w:tr w14:paraId="3D0F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754" w:type="dxa"/>
            <w:vAlign w:val="center"/>
          </w:tcPr>
          <w:p w14:paraId="34E296D7">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1143" w:type="dxa"/>
            <w:vAlign w:val="center"/>
          </w:tcPr>
          <w:p w14:paraId="39F40997">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内容</w:t>
            </w:r>
          </w:p>
        </w:tc>
        <w:tc>
          <w:tcPr>
            <w:tcW w:w="709" w:type="dxa"/>
            <w:vAlign w:val="center"/>
          </w:tcPr>
          <w:p w14:paraId="359D1EAF">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5953" w:type="dxa"/>
            <w:vAlign w:val="center"/>
          </w:tcPr>
          <w:p w14:paraId="1C2237D1">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评分规则</w:t>
            </w:r>
          </w:p>
        </w:tc>
        <w:tc>
          <w:tcPr>
            <w:tcW w:w="1187" w:type="dxa"/>
            <w:vAlign w:val="center"/>
          </w:tcPr>
          <w:p w14:paraId="7593F63A">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评分方式</w:t>
            </w:r>
          </w:p>
        </w:tc>
      </w:tr>
      <w:tr w14:paraId="2E90E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2" w:hRule="atLeast"/>
        </w:trPr>
        <w:tc>
          <w:tcPr>
            <w:tcW w:w="754" w:type="dxa"/>
            <w:vAlign w:val="center"/>
          </w:tcPr>
          <w:p w14:paraId="641C2B04">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1143" w:type="dxa"/>
            <w:vAlign w:val="center"/>
          </w:tcPr>
          <w:p w14:paraId="188B20FA">
            <w:pPr>
              <w:spacing w:line="360" w:lineRule="exact"/>
              <w:jc w:val="center"/>
              <w:rPr>
                <w:rFonts w:hint="eastAsia" w:ascii="宋体" w:hAnsi="宋体" w:eastAsia="宋体" w:cs="宋体"/>
                <w:kern w:val="0"/>
                <w:szCs w:val="21"/>
              </w:rPr>
            </w:pPr>
            <w:r>
              <w:rPr>
                <w:rFonts w:hint="eastAsia" w:ascii="宋体" w:hAnsi="宋体" w:eastAsia="宋体" w:cs="宋体"/>
                <w:szCs w:val="21"/>
              </w:rPr>
              <w:t>实施方案</w:t>
            </w:r>
          </w:p>
        </w:tc>
        <w:tc>
          <w:tcPr>
            <w:tcW w:w="709" w:type="dxa"/>
            <w:vAlign w:val="center"/>
          </w:tcPr>
          <w:p w14:paraId="185005AF">
            <w:pPr>
              <w:spacing w:line="360" w:lineRule="exact"/>
              <w:jc w:val="center"/>
              <w:rPr>
                <w:rFonts w:hint="eastAsia" w:ascii="宋体" w:hAnsi="宋体" w:eastAsia="宋体" w:cs="宋体"/>
                <w:kern w:val="0"/>
                <w:szCs w:val="21"/>
              </w:rPr>
            </w:pPr>
            <w:r>
              <w:rPr>
                <w:rFonts w:hint="eastAsia" w:ascii="宋体" w:hAnsi="宋体" w:eastAsia="宋体" w:cs="宋体"/>
                <w:szCs w:val="21"/>
              </w:rPr>
              <w:t>6</w:t>
            </w:r>
          </w:p>
        </w:tc>
        <w:tc>
          <w:tcPr>
            <w:tcW w:w="5953" w:type="dxa"/>
            <w:vAlign w:val="center"/>
          </w:tcPr>
          <w:p w14:paraId="39A72E7C">
            <w:pPr>
              <w:spacing w:line="360" w:lineRule="exact"/>
              <w:jc w:val="left"/>
              <w:rPr>
                <w:rFonts w:hint="eastAsia" w:ascii="宋体" w:hAnsi="宋体" w:eastAsia="宋体" w:cs="宋体"/>
                <w:szCs w:val="21"/>
              </w:rPr>
            </w:pPr>
            <w:r>
              <w:rPr>
                <w:rFonts w:hint="eastAsia" w:ascii="宋体" w:hAnsi="宋体" w:eastAsia="宋体" w:cs="宋体"/>
                <w:szCs w:val="21"/>
              </w:rPr>
              <w:t>（一）评分内容：</w:t>
            </w:r>
          </w:p>
          <w:p w14:paraId="656FBFF2">
            <w:pPr>
              <w:spacing w:line="360" w:lineRule="exact"/>
              <w:jc w:val="left"/>
              <w:rPr>
                <w:rFonts w:hint="eastAsia" w:ascii="宋体" w:hAnsi="宋体" w:eastAsia="宋体" w:cs="宋体"/>
                <w:szCs w:val="21"/>
              </w:rPr>
            </w:pPr>
            <w:r>
              <w:rPr>
                <w:rFonts w:hint="eastAsia" w:ascii="宋体" w:hAnsi="宋体" w:eastAsia="宋体" w:cs="宋体"/>
                <w:szCs w:val="21"/>
              </w:rPr>
              <w:t>投标人需按本项目要求提供实施方案，包含以下内容：</w:t>
            </w:r>
          </w:p>
          <w:p w14:paraId="5DE93C2A">
            <w:pPr>
              <w:numPr>
                <w:ilvl w:val="0"/>
                <w:numId w:val="6"/>
              </w:numPr>
              <w:spacing w:line="360" w:lineRule="exact"/>
              <w:jc w:val="left"/>
              <w:rPr>
                <w:rFonts w:hint="eastAsia" w:ascii="宋体" w:hAnsi="宋体" w:eastAsia="宋体" w:cs="宋体"/>
                <w:szCs w:val="21"/>
              </w:rPr>
            </w:pPr>
            <w:r>
              <w:rPr>
                <w:rFonts w:hint="eastAsia" w:ascii="宋体" w:hAnsi="宋体" w:eastAsia="宋体" w:cs="宋体"/>
                <w:szCs w:val="21"/>
              </w:rPr>
              <w:t>工作措施；</w:t>
            </w:r>
          </w:p>
          <w:p w14:paraId="7E8F3ED0">
            <w:pPr>
              <w:numPr>
                <w:ilvl w:val="0"/>
                <w:numId w:val="6"/>
              </w:numPr>
              <w:spacing w:line="360" w:lineRule="exact"/>
              <w:jc w:val="left"/>
              <w:rPr>
                <w:rFonts w:hint="eastAsia" w:ascii="宋体" w:hAnsi="宋体" w:eastAsia="宋体" w:cs="宋体"/>
                <w:szCs w:val="21"/>
              </w:rPr>
            </w:pPr>
            <w:r>
              <w:rPr>
                <w:rFonts w:hint="eastAsia" w:ascii="宋体" w:hAnsi="宋体" w:eastAsia="宋体" w:cs="宋体"/>
                <w:szCs w:val="21"/>
              </w:rPr>
              <w:t>工作方法；</w:t>
            </w:r>
          </w:p>
          <w:p w14:paraId="4CF44797">
            <w:pPr>
              <w:numPr>
                <w:ilvl w:val="0"/>
                <w:numId w:val="6"/>
              </w:numPr>
              <w:spacing w:line="360" w:lineRule="exact"/>
              <w:jc w:val="left"/>
              <w:rPr>
                <w:rFonts w:hint="eastAsia" w:ascii="宋体" w:hAnsi="宋体" w:eastAsia="宋体" w:cs="宋体"/>
                <w:szCs w:val="21"/>
              </w:rPr>
            </w:pPr>
            <w:r>
              <w:rPr>
                <w:rFonts w:hint="eastAsia" w:ascii="宋体" w:hAnsi="宋体" w:eastAsia="宋体" w:cs="宋体"/>
                <w:szCs w:val="21"/>
              </w:rPr>
              <w:t>工作流程。</w:t>
            </w:r>
          </w:p>
          <w:p w14:paraId="25453ED5">
            <w:pPr>
              <w:spacing w:line="360" w:lineRule="exact"/>
              <w:jc w:val="left"/>
              <w:rPr>
                <w:rFonts w:hint="eastAsia" w:ascii="宋体" w:hAnsi="宋体" w:eastAsia="宋体" w:cs="宋体"/>
                <w:szCs w:val="21"/>
              </w:rPr>
            </w:pPr>
            <w:r>
              <w:rPr>
                <w:rFonts w:hint="eastAsia" w:ascii="宋体" w:hAnsi="宋体" w:eastAsia="宋体" w:cs="宋体"/>
                <w:szCs w:val="21"/>
              </w:rPr>
              <w:t>（二）评分依据：</w:t>
            </w:r>
          </w:p>
          <w:p w14:paraId="78FB0C8D">
            <w:pPr>
              <w:spacing w:line="360" w:lineRule="exact"/>
              <w:rPr>
                <w:rFonts w:hint="eastAsia" w:ascii="宋体" w:hAnsi="宋体" w:eastAsia="宋体" w:cs="宋体"/>
                <w:szCs w:val="21"/>
              </w:rPr>
            </w:pPr>
            <w:r>
              <w:rPr>
                <w:rFonts w:hint="eastAsia" w:ascii="宋体" w:hAnsi="宋体" w:eastAsia="宋体" w:cs="宋体"/>
                <w:szCs w:val="21"/>
              </w:rPr>
              <w:t>考察以上评审内容的1-3三点。以上三点内容均满足得3分，满足任意二点得2分，满足任意一点得1分，未满足不得分。</w:t>
            </w:r>
          </w:p>
          <w:p w14:paraId="346B46B9">
            <w:pPr>
              <w:spacing w:line="360" w:lineRule="exact"/>
              <w:rPr>
                <w:rFonts w:hint="eastAsia" w:ascii="宋体" w:hAnsi="宋体" w:eastAsia="宋体" w:cs="宋体"/>
                <w:szCs w:val="21"/>
              </w:rPr>
            </w:pPr>
            <w:r>
              <w:rPr>
                <w:rFonts w:hint="eastAsia" w:ascii="宋体" w:hAnsi="宋体" w:eastAsia="宋体" w:cs="宋体"/>
                <w:szCs w:val="21"/>
              </w:rPr>
              <w:t>在此基础上，专家根据各供应商的具体响应内容按照量化的评审因素指标进一步评审：</w:t>
            </w:r>
          </w:p>
          <w:p w14:paraId="4A3CA427">
            <w:pPr>
              <w:spacing w:line="360" w:lineRule="exact"/>
              <w:rPr>
                <w:rFonts w:hint="eastAsia" w:ascii="宋体" w:hAnsi="宋体" w:eastAsia="宋体" w:cs="宋体"/>
                <w:szCs w:val="21"/>
              </w:rPr>
            </w:pPr>
            <w:r>
              <w:rPr>
                <w:rFonts w:hint="eastAsia" w:ascii="宋体" w:hAnsi="宋体" w:eastAsia="宋体" w:cs="宋体"/>
                <w:szCs w:val="21"/>
              </w:rPr>
              <w:t>优：方案符合实际现状，内容完整、规范、思路清晰，内容合理性强，加3分；</w:t>
            </w:r>
          </w:p>
          <w:p w14:paraId="7BEF5D4A">
            <w:pPr>
              <w:spacing w:line="360" w:lineRule="exact"/>
              <w:rPr>
                <w:rFonts w:hint="eastAsia" w:ascii="宋体" w:hAnsi="宋体" w:eastAsia="宋体" w:cs="宋体"/>
                <w:szCs w:val="21"/>
              </w:rPr>
            </w:pPr>
            <w:r>
              <w:rPr>
                <w:rFonts w:hint="eastAsia" w:ascii="宋体" w:hAnsi="宋体" w:eastAsia="宋体" w:cs="宋体"/>
                <w:szCs w:val="21"/>
              </w:rPr>
              <w:t>良：方案较符合实际现状，较完整规范、思路较清晰，内容合理性较强，加2分；</w:t>
            </w:r>
          </w:p>
          <w:p w14:paraId="5646CE20">
            <w:pPr>
              <w:spacing w:line="360" w:lineRule="exact"/>
              <w:rPr>
                <w:rFonts w:hint="eastAsia" w:ascii="宋体" w:hAnsi="宋体" w:eastAsia="宋体" w:cs="宋体"/>
                <w:szCs w:val="21"/>
              </w:rPr>
            </w:pPr>
            <w:r>
              <w:rPr>
                <w:rFonts w:hint="eastAsia" w:ascii="宋体" w:hAnsi="宋体" w:eastAsia="宋体" w:cs="宋体"/>
                <w:szCs w:val="21"/>
              </w:rPr>
              <w:t>中：方案较普通、完整性、规范性一般，思路不够清晰，内容合理性一般，加1分；</w:t>
            </w:r>
          </w:p>
          <w:p w14:paraId="1BE71C75">
            <w:pPr>
              <w:pStyle w:val="18"/>
              <w:spacing w:line="360" w:lineRule="exact"/>
              <w:rPr>
                <w:rFonts w:hint="eastAsia" w:ascii="宋体" w:hAnsi="宋体" w:eastAsia="宋体" w:cs="宋体"/>
                <w:b/>
                <w:szCs w:val="21"/>
              </w:rPr>
            </w:pPr>
            <w:r>
              <w:rPr>
                <w:rFonts w:hint="eastAsia" w:ascii="宋体" w:hAnsi="宋体" w:eastAsia="宋体" w:cs="宋体"/>
                <w:szCs w:val="21"/>
              </w:rPr>
              <w:t>差：方案不完整，可行性低，加0分；如果评审为差，请书面说明理由，并记录存档。</w:t>
            </w:r>
          </w:p>
        </w:tc>
        <w:tc>
          <w:tcPr>
            <w:tcW w:w="1187" w:type="dxa"/>
            <w:vAlign w:val="center"/>
          </w:tcPr>
          <w:p w14:paraId="6161C42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2A5E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61" w:hRule="atLeast"/>
        </w:trPr>
        <w:tc>
          <w:tcPr>
            <w:tcW w:w="754" w:type="dxa"/>
            <w:vAlign w:val="center"/>
          </w:tcPr>
          <w:p w14:paraId="5DCB1A92">
            <w:pPr>
              <w:spacing w:line="360" w:lineRule="exact"/>
              <w:jc w:val="center"/>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31B98970">
            <w:pPr>
              <w:spacing w:line="360" w:lineRule="exact"/>
              <w:jc w:val="center"/>
              <w:rPr>
                <w:rFonts w:hint="eastAsia" w:ascii="宋体" w:hAnsi="宋体" w:eastAsia="宋体" w:cs="宋体"/>
                <w:szCs w:val="21"/>
              </w:rPr>
            </w:pPr>
            <w:r>
              <w:rPr>
                <w:rFonts w:hint="eastAsia" w:ascii="宋体" w:hAnsi="宋体" w:eastAsia="宋体" w:cs="宋体"/>
                <w:szCs w:val="21"/>
              </w:rPr>
              <w:t>技术规格</w:t>
            </w:r>
          </w:p>
          <w:p w14:paraId="21B87975">
            <w:pPr>
              <w:spacing w:line="360" w:lineRule="exact"/>
              <w:jc w:val="center"/>
              <w:rPr>
                <w:rFonts w:hint="eastAsia" w:ascii="宋体" w:hAnsi="宋体" w:eastAsia="宋体" w:cs="宋体"/>
                <w:szCs w:val="21"/>
              </w:rPr>
            </w:pPr>
            <w:r>
              <w:rPr>
                <w:rFonts w:hint="eastAsia" w:ascii="宋体" w:hAnsi="宋体" w:eastAsia="宋体" w:cs="宋体"/>
                <w:szCs w:val="21"/>
              </w:rPr>
              <w:t>响应情况</w:t>
            </w:r>
          </w:p>
        </w:tc>
        <w:tc>
          <w:tcPr>
            <w:tcW w:w="709" w:type="dxa"/>
            <w:vAlign w:val="center"/>
          </w:tcPr>
          <w:p w14:paraId="3C3222E3">
            <w:pPr>
              <w:spacing w:line="360" w:lineRule="exact"/>
              <w:jc w:val="center"/>
              <w:rPr>
                <w:rFonts w:hint="eastAsia" w:ascii="宋体" w:hAnsi="宋体" w:eastAsia="宋体" w:cs="宋体"/>
                <w:szCs w:val="21"/>
              </w:rPr>
            </w:pPr>
            <w:r>
              <w:rPr>
                <w:rFonts w:hint="eastAsia" w:ascii="宋体" w:hAnsi="宋体" w:eastAsia="宋体" w:cs="宋体"/>
                <w:szCs w:val="21"/>
              </w:rPr>
              <w:t>38</w:t>
            </w:r>
          </w:p>
        </w:tc>
        <w:tc>
          <w:tcPr>
            <w:tcW w:w="5953" w:type="dxa"/>
            <w:vAlign w:val="center"/>
          </w:tcPr>
          <w:p w14:paraId="47880D37">
            <w:pPr>
              <w:pStyle w:val="18"/>
              <w:spacing w:line="36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一</w:t>
            </w:r>
            <w:r>
              <w:rPr>
                <w:rFonts w:hint="eastAsia" w:ascii="宋体" w:hAnsi="宋体" w:eastAsia="宋体" w:cs="宋体"/>
                <w:szCs w:val="21"/>
                <w:lang w:eastAsia="zh-CN"/>
              </w:rPr>
              <w:t>）</w:t>
            </w:r>
            <w:r>
              <w:rPr>
                <w:rFonts w:hint="eastAsia" w:ascii="宋体" w:hAnsi="宋体" w:eastAsia="宋体" w:cs="宋体"/>
                <w:szCs w:val="21"/>
              </w:rPr>
              <w:t>评分内容：投标人应如实填写《技术规格偏离表》，评审委员会根据技术需求参数响应情况进行打分，各项技术参数指标及要求全部满足的得38分，所有标注“▲”的重要参数每项负偏离一扣6分，一般参数每负偏离一条扣2分，扣完为止。</w:t>
            </w:r>
          </w:p>
          <w:p w14:paraId="1222943C">
            <w:pPr>
              <w:spacing w:line="360" w:lineRule="exact"/>
              <w:jc w:val="left"/>
              <w:rPr>
                <w:rFonts w:hint="eastAsia" w:ascii="宋体" w:hAnsi="宋体" w:eastAsia="宋体" w:cs="宋体"/>
                <w:szCs w:val="21"/>
              </w:rPr>
            </w:pPr>
            <w:r>
              <w:rPr>
                <w:rFonts w:hint="eastAsia" w:ascii="宋体" w:hAnsi="宋体" w:eastAsia="宋体" w:cs="宋体"/>
                <w:szCs w:val="21"/>
              </w:rPr>
              <w:t>（二）评分依据：</w:t>
            </w:r>
          </w:p>
          <w:p w14:paraId="2EABA01F">
            <w:pPr>
              <w:spacing w:line="360" w:lineRule="exact"/>
              <w:jc w:val="left"/>
              <w:rPr>
                <w:rFonts w:hint="eastAsia" w:ascii="宋体" w:hAnsi="宋体" w:eastAsia="宋体" w:cs="宋体"/>
                <w:szCs w:val="21"/>
              </w:rPr>
            </w:pPr>
            <w:r>
              <w:rPr>
                <w:rFonts w:hint="eastAsia" w:ascii="宋体" w:hAnsi="宋体" w:eastAsia="宋体" w:cs="宋体"/>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51617C10">
            <w:pPr>
              <w:spacing w:line="360" w:lineRule="exact"/>
              <w:jc w:val="left"/>
              <w:rPr>
                <w:rFonts w:hint="eastAsia" w:ascii="宋体" w:hAnsi="宋体" w:eastAsia="宋体" w:cs="宋体"/>
                <w:szCs w:val="21"/>
              </w:rPr>
            </w:pPr>
            <w:r>
              <w:rPr>
                <w:rFonts w:hint="eastAsia" w:ascii="宋体" w:hAnsi="宋体" w:eastAsia="宋体" w:cs="宋体"/>
                <w:szCs w:val="21"/>
              </w:rPr>
              <w:t>证明材料涉及检测（或检验）报告的，如检测机构出具的检测（或检验）报告载明的检测事项超出该机构的检测范围，则该项技术指标按负偏离处理。</w:t>
            </w:r>
          </w:p>
          <w:p w14:paraId="78E7602D">
            <w:pPr>
              <w:pStyle w:val="18"/>
              <w:spacing w:line="360" w:lineRule="exact"/>
              <w:rPr>
                <w:rFonts w:hint="eastAsia" w:ascii="宋体" w:hAnsi="宋体" w:eastAsia="宋体" w:cs="宋体"/>
                <w:szCs w:val="21"/>
              </w:rPr>
            </w:pPr>
            <w:r>
              <w:rPr>
                <w:rFonts w:hint="eastAsia" w:ascii="宋体" w:hAnsi="宋体" w:eastAsia="宋体" w:cs="宋体"/>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33CB4DF9">
            <w:pPr>
              <w:spacing w:line="360" w:lineRule="exact"/>
              <w:jc w:val="center"/>
              <w:rPr>
                <w:rFonts w:hint="eastAsia" w:ascii="宋体" w:hAnsi="宋体" w:eastAsia="宋体" w:cs="宋体"/>
                <w:szCs w:val="21"/>
                <w:lang w:val="zh-CN"/>
              </w:rPr>
            </w:pPr>
            <w:r>
              <w:rPr>
                <w:rFonts w:hint="eastAsia" w:ascii="宋体" w:hAnsi="宋体" w:eastAsia="宋体" w:cs="宋体"/>
                <w:szCs w:val="21"/>
              </w:rPr>
              <w:t>评委打分</w:t>
            </w:r>
          </w:p>
        </w:tc>
      </w:tr>
      <w:tr w14:paraId="658E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trPr>
        <w:tc>
          <w:tcPr>
            <w:tcW w:w="754" w:type="dxa"/>
            <w:vAlign w:val="center"/>
          </w:tcPr>
          <w:p w14:paraId="78CDDC11">
            <w:pPr>
              <w:spacing w:line="360" w:lineRule="exact"/>
              <w:jc w:val="center"/>
              <w:rPr>
                <w:rFonts w:hint="eastAsia" w:ascii="宋体" w:hAnsi="宋体" w:eastAsia="宋体" w:cs="宋体"/>
                <w:kern w:val="0"/>
                <w:szCs w:val="21"/>
              </w:rPr>
            </w:pPr>
            <w:r>
              <w:rPr>
                <w:rFonts w:hint="eastAsia" w:ascii="宋体" w:hAnsi="宋体" w:eastAsia="宋体" w:cs="宋体"/>
                <w:szCs w:val="21"/>
              </w:rPr>
              <w:t>3</w:t>
            </w:r>
          </w:p>
        </w:tc>
        <w:tc>
          <w:tcPr>
            <w:tcW w:w="1143" w:type="dxa"/>
            <w:vAlign w:val="center"/>
          </w:tcPr>
          <w:p w14:paraId="73CB336F">
            <w:pPr>
              <w:spacing w:line="360" w:lineRule="exact"/>
              <w:jc w:val="center"/>
              <w:rPr>
                <w:rFonts w:hint="eastAsia" w:ascii="宋体" w:hAnsi="宋体" w:eastAsia="宋体" w:cs="宋体"/>
                <w:szCs w:val="21"/>
              </w:rPr>
            </w:pPr>
            <w:r>
              <w:rPr>
                <w:rFonts w:hint="eastAsia" w:ascii="宋体" w:hAnsi="宋体" w:eastAsia="宋体" w:cs="宋体"/>
                <w:szCs w:val="21"/>
              </w:rPr>
              <w:t>项目重点难点分析、应对措施及相关的合理化建议</w:t>
            </w:r>
          </w:p>
        </w:tc>
        <w:tc>
          <w:tcPr>
            <w:tcW w:w="709" w:type="dxa"/>
            <w:vAlign w:val="center"/>
          </w:tcPr>
          <w:p w14:paraId="0A439759">
            <w:pPr>
              <w:spacing w:line="360" w:lineRule="exact"/>
              <w:jc w:val="center"/>
              <w:rPr>
                <w:rFonts w:hint="eastAsia" w:ascii="宋体" w:hAnsi="宋体" w:eastAsia="宋体" w:cs="宋体"/>
                <w:kern w:val="0"/>
                <w:szCs w:val="21"/>
              </w:rPr>
            </w:pPr>
            <w:r>
              <w:rPr>
                <w:rFonts w:hint="eastAsia" w:ascii="宋体" w:hAnsi="宋体" w:eastAsia="宋体" w:cs="宋体"/>
                <w:szCs w:val="21"/>
              </w:rPr>
              <w:t>6</w:t>
            </w:r>
          </w:p>
        </w:tc>
        <w:tc>
          <w:tcPr>
            <w:tcW w:w="5953" w:type="dxa"/>
            <w:vAlign w:val="center"/>
          </w:tcPr>
          <w:p w14:paraId="7CA036C8">
            <w:pPr>
              <w:spacing w:line="360" w:lineRule="exact"/>
              <w:rPr>
                <w:rFonts w:hint="eastAsia" w:ascii="宋体" w:hAnsi="宋体" w:eastAsia="宋体" w:cs="宋体"/>
                <w:szCs w:val="21"/>
              </w:rPr>
            </w:pPr>
            <w:r>
              <w:rPr>
                <w:rFonts w:hint="eastAsia" w:ascii="宋体" w:hAnsi="宋体" w:eastAsia="宋体" w:cs="宋体"/>
                <w:szCs w:val="21"/>
              </w:rPr>
              <w:t>（一）评分内容：</w:t>
            </w:r>
          </w:p>
          <w:p w14:paraId="102C4BF7">
            <w:pPr>
              <w:spacing w:line="360" w:lineRule="exact"/>
              <w:rPr>
                <w:rFonts w:hint="eastAsia" w:ascii="宋体" w:hAnsi="宋体" w:eastAsia="宋体" w:cs="宋体"/>
                <w:szCs w:val="21"/>
              </w:rPr>
            </w:pPr>
            <w:r>
              <w:rPr>
                <w:rFonts w:hint="eastAsia" w:ascii="宋体" w:hAnsi="宋体" w:eastAsia="宋体" w:cs="宋体"/>
                <w:szCs w:val="21"/>
              </w:rPr>
              <w:t>投标人需按本项目要求提供重点难点分析、应对措施及相关的合理化建议，内容包括：</w:t>
            </w:r>
          </w:p>
          <w:p w14:paraId="02D57624">
            <w:pPr>
              <w:numPr>
                <w:ilvl w:val="0"/>
                <w:numId w:val="7"/>
              </w:numPr>
              <w:spacing w:line="360" w:lineRule="exact"/>
              <w:rPr>
                <w:rFonts w:hint="eastAsia" w:ascii="宋体" w:hAnsi="宋体" w:eastAsia="宋体" w:cs="宋体"/>
                <w:szCs w:val="21"/>
              </w:rPr>
            </w:pPr>
            <w:r>
              <w:rPr>
                <w:rFonts w:hint="eastAsia" w:ascii="宋体" w:hAnsi="宋体" w:eastAsia="宋体" w:cs="宋体"/>
                <w:szCs w:val="21"/>
              </w:rPr>
              <w:t>项目重点难点分析；</w:t>
            </w:r>
          </w:p>
          <w:p w14:paraId="1FBE21BF">
            <w:pPr>
              <w:numPr>
                <w:ilvl w:val="0"/>
                <w:numId w:val="7"/>
              </w:numPr>
              <w:spacing w:line="360" w:lineRule="exact"/>
              <w:rPr>
                <w:rFonts w:hint="eastAsia" w:ascii="宋体" w:hAnsi="宋体" w:eastAsia="宋体" w:cs="宋体"/>
                <w:szCs w:val="21"/>
              </w:rPr>
            </w:pPr>
            <w:r>
              <w:rPr>
                <w:rFonts w:hint="eastAsia" w:ascii="宋体" w:hAnsi="宋体" w:eastAsia="宋体" w:cs="宋体"/>
                <w:szCs w:val="21"/>
              </w:rPr>
              <w:t>应对措施；</w:t>
            </w:r>
          </w:p>
          <w:p w14:paraId="353C1FD3">
            <w:pPr>
              <w:numPr>
                <w:ilvl w:val="0"/>
                <w:numId w:val="7"/>
              </w:numPr>
              <w:spacing w:line="360" w:lineRule="exact"/>
              <w:rPr>
                <w:rFonts w:hint="eastAsia" w:ascii="宋体" w:hAnsi="宋体" w:eastAsia="宋体" w:cs="宋体"/>
                <w:szCs w:val="21"/>
              </w:rPr>
            </w:pPr>
            <w:r>
              <w:rPr>
                <w:rFonts w:hint="eastAsia" w:ascii="宋体" w:hAnsi="宋体" w:eastAsia="宋体" w:cs="宋体"/>
                <w:szCs w:val="21"/>
              </w:rPr>
              <w:t>合理化建议；</w:t>
            </w:r>
          </w:p>
          <w:p w14:paraId="4A82CD02">
            <w:pPr>
              <w:spacing w:line="360" w:lineRule="exact"/>
              <w:rPr>
                <w:rFonts w:hint="eastAsia" w:ascii="宋体" w:hAnsi="宋体" w:eastAsia="宋体" w:cs="宋体"/>
                <w:szCs w:val="21"/>
              </w:rPr>
            </w:pPr>
            <w:r>
              <w:rPr>
                <w:rFonts w:hint="eastAsia" w:ascii="宋体" w:hAnsi="宋体" w:eastAsia="宋体" w:cs="宋体"/>
                <w:szCs w:val="21"/>
              </w:rPr>
              <w:t>（二）评分依据：</w:t>
            </w:r>
          </w:p>
          <w:p w14:paraId="11E2588C">
            <w:pPr>
              <w:spacing w:line="360" w:lineRule="exact"/>
              <w:rPr>
                <w:rFonts w:hint="eastAsia" w:ascii="宋体" w:hAnsi="宋体" w:eastAsia="宋体" w:cs="宋体"/>
                <w:szCs w:val="21"/>
              </w:rPr>
            </w:pPr>
            <w:r>
              <w:rPr>
                <w:rFonts w:hint="eastAsia" w:ascii="宋体" w:hAnsi="宋体" w:eastAsia="宋体" w:cs="宋体"/>
                <w:szCs w:val="21"/>
              </w:rPr>
              <w:t>考察以上评审内容的1-3三点。以上三点内容均满足得3分，满足任意二点得2分，满足任意一点得1分，未满足不得分。</w:t>
            </w:r>
          </w:p>
          <w:p w14:paraId="0C16C235">
            <w:pPr>
              <w:spacing w:line="360" w:lineRule="exact"/>
              <w:rPr>
                <w:rFonts w:hint="eastAsia" w:ascii="宋体" w:hAnsi="宋体" w:eastAsia="宋体" w:cs="宋体"/>
                <w:szCs w:val="21"/>
              </w:rPr>
            </w:pPr>
            <w:r>
              <w:rPr>
                <w:rFonts w:hint="eastAsia" w:ascii="宋体" w:hAnsi="宋体" w:eastAsia="宋体" w:cs="宋体"/>
                <w:szCs w:val="21"/>
              </w:rPr>
              <w:t>在此基础上，专家根据各供应商的具体响应内容按照量化的评审因素指标进一步评审：</w:t>
            </w:r>
          </w:p>
          <w:p w14:paraId="66848D86">
            <w:pPr>
              <w:spacing w:line="360" w:lineRule="exact"/>
              <w:rPr>
                <w:rFonts w:hint="eastAsia" w:ascii="宋体" w:hAnsi="宋体" w:eastAsia="宋体" w:cs="宋体"/>
                <w:szCs w:val="21"/>
              </w:rPr>
            </w:pPr>
            <w:r>
              <w:rPr>
                <w:rFonts w:hint="eastAsia" w:ascii="宋体" w:hAnsi="宋体" w:eastAsia="宋体" w:cs="宋体"/>
                <w:szCs w:val="21"/>
              </w:rPr>
              <w:t>优：对项目重点难点问题分析准确、拟采用应对措施和解决方案可操作性强、提出的建议合理先进，评为优加3分；</w:t>
            </w:r>
          </w:p>
          <w:p w14:paraId="4A49D180">
            <w:pPr>
              <w:spacing w:line="360" w:lineRule="exact"/>
              <w:rPr>
                <w:rFonts w:hint="eastAsia" w:ascii="宋体" w:hAnsi="宋体" w:eastAsia="宋体" w:cs="宋体"/>
                <w:szCs w:val="21"/>
              </w:rPr>
            </w:pPr>
            <w:r>
              <w:rPr>
                <w:rFonts w:hint="eastAsia" w:ascii="宋体" w:hAnsi="宋体" w:eastAsia="宋体" w:cs="宋体"/>
                <w:szCs w:val="21"/>
              </w:rPr>
              <w:t>良：项目重点难点问题分析合理、拟采用应对措施和解决方案可操作性一般、提出的建议一般，评为良加2分；</w:t>
            </w:r>
          </w:p>
          <w:p w14:paraId="23E7A4E5">
            <w:pPr>
              <w:spacing w:line="360" w:lineRule="exact"/>
              <w:rPr>
                <w:rFonts w:hint="eastAsia" w:ascii="宋体" w:hAnsi="宋体" w:eastAsia="宋体" w:cs="宋体"/>
                <w:szCs w:val="21"/>
              </w:rPr>
            </w:pPr>
            <w:r>
              <w:rPr>
                <w:rFonts w:hint="eastAsia" w:ascii="宋体" w:hAnsi="宋体" w:eastAsia="宋体" w:cs="宋体"/>
                <w:szCs w:val="21"/>
              </w:rPr>
              <w:t>中：项目重点难点问题分析合格、拟采用应对措施和解决方案可操作性合格、提出的建议合格，评价中加1分；</w:t>
            </w:r>
          </w:p>
          <w:p w14:paraId="04F15955">
            <w:pPr>
              <w:pStyle w:val="18"/>
              <w:widowControl/>
              <w:spacing w:line="360" w:lineRule="exact"/>
              <w:rPr>
                <w:rFonts w:hint="eastAsia" w:ascii="宋体" w:hAnsi="宋体" w:eastAsia="宋体" w:cs="宋体"/>
                <w:szCs w:val="21"/>
              </w:rPr>
            </w:pPr>
            <w:r>
              <w:rPr>
                <w:rFonts w:hint="eastAsia" w:ascii="宋体" w:hAnsi="宋体" w:eastAsia="宋体" w:cs="宋体"/>
                <w:szCs w:val="21"/>
              </w:rPr>
              <w:t>差：项目重点难点问题分析合理性差、解决方案操作性差，评审为差或未提供不得分。如果评审为差，请书面说明理由，并记录存档。</w:t>
            </w:r>
          </w:p>
        </w:tc>
        <w:tc>
          <w:tcPr>
            <w:tcW w:w="1187" w:type="dxa"/>
            <w:vAlign w:val="center"/>
          </w:tcPr>
          <w:p w14:paraId="7395C902">
            <w:pPr>
              <w:spacing w:line="360" w:lineRule="exact"/>
              <w:jc w:val="center"/>
              <w:rPr>
                <w:rFonts w:hint="eastAsia" w:ascii="宋体" w:hAnsi="宋体" w:eastAsia="宋体" w:cs="宋体"/>
                <w:szCs w:val="21"/>
                <w:lang w:val="zh-CN"/>
              </w:rPr>
            </w:pPr>
            <w:r>
              <w:rPr>
                <w:rFonts w:hint="eastAsia" w:ascii="宋体" w:hAnsi="宋体" w:eastAsia="宋体" w:cs="宋体"/>
                <w:szCs w:val="21"/>
              </w:rPr>
              <w:t>评委打分</w:t>
            </w:r>
          </w:p>
        </w:tc>
      </w:tr>
      <w:tr w14:paraId="3BC55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8559" w:type="dxa"/>
            <w:gridSpan w:val="4"/>
            <w:vAlign w:val="center"/>
          </w:tcPr>
          <w:p w14:paraId="0E76E5A4">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lang w:val="zh-CN"/>
              </w:rPr>
              <w:t>三、商务部分</w:t>
            </w:r>
          </w:p>
        </w:tc>
        <w:tc>
          <w:tcPr>
            <w:tcW w:w="1187" w:type="dxa"/>
            <w:vAlign w:val="center"/>
          </w:tcPr>
          <w:p w14:paraId="709C7042">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20</w:t>
            </w:r>
          </w:p>
        </w:tc>
      </w:tr>
      <w:tr w14:paraId="3A93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54" w:type="dxa"/>
            <w:vAlign w:val="center"/>
          </w:tcPr>
          <w:p w14:paraId="0229F446">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序号</w:t>
            </w:r>
          </w:p>
        </w:tc>
        <w:tc>
          <w:tcPr>
            <w:tcW w:w="1143" w:type="dxa"/>
            <w:vAlign w:val="center"/>
          </w:tcPr>
          <w:p w14:paraId="02263290">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内容</w:t>
            </w:r>
          </w:p>
        </w:tc>
        <w:tc>
          <w:tcPr>
            <w:tcW w:w="709" w:type="dxa"/>
            <w:vAlign w:val="center"/>
          </w:tcPr>
          <w:p w14:paraId="64707EC6">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权重</w:t>
            </w:r>
          </w:p>
        </w:tc>
        <w:tc>
          <w:tcPr>
            <w:tcW w:w="5953" w:type="dxa"/>
            <w:vAlign w:val="center"/>
          </w:tcPr>
          <w:p w14:paraId="56279F6B">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评分规则</w:t>
            </w:r>
          </w:p>
        </w:tc>
        <w:tc>
          <w:tcPr>
            <w:tcW w:w="1187" w:type="dxa"/>
            <w:vAlign w:val="center"/>
          </w:tcPr>
          <w:p w14:paraId="01EA943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评分方式</w:t>
            </w:r>
          </w:p>
        </w:tc>
      </w:tr>
      <w:tr w14:paraId="2DC6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4" w:type="dxa"/>
            <w:vAlign w:val="center"/>
          </w:tcPr>
          <w:p w14:paraId="0DB6FA61">
            <w:pPr>
              <w:spacing w:line="360" w:lineRule="exact"/>
              <w:jc w:val="center"/>
              <w:rPr>
                <w:rFonts w:hint="eastAsia" w:ascii="宋体" w:hAnsi="宋体" w:eastAsia="宋体" w:cs="宋体"/>
                <w:szCs w:val="21"/>
                <w:lang w:val="zh-CN"/>
              </w:rPr>
            </w:pPr>
            <w:r>
              <w:rPr>
                <w:rFonts w:hint="eastAsia" w:ascii="宋体" w:hAnsi="宋体" w:eastAsia="宋体" w:cs="宋体"/>
                <w:szCs w:val="21"/>
              </w:rPr>
              <w:t>1</w:t>
            </w:r>
          </w:p>
        </w:tc>
        <w:tc>
          <w:tcPr>
            <w:tcW w:w="1143" w:type="dxa"/>
            <w:vAlign w:val="center"/>
          </w:tcPr>
          <w:p w14:paraId="1F6C8CAF">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响应供应商认证情况</w:t>
            </w:r>
          </w:p>
        </w:tc>
        <w:tc>
          <w:tcPr>
            <w:tcW w:w="709" w:type="dxa"/>
            <w:vAlign w:val="center"/>
          </w:tcPr>
          <w:p w14:paraId="24C9AEAD">
            <w:pPr>
              <w:spacing w:line="360" w:lineRule="exact"/>
              <w:jc w:val="center"/>
              <w:rPr>
                <w:rFonts w:hint="eastAsia" w:ascii="宋体" w:hAnsi="宋体" w:eastAsia="宋体" w:cs="宋体"/>
                <w:kern w:val="0"/>
                <w:szCs w:val="21"/>
              </w:rPr>
            </w:pPr>
            <w:r>
              <w:rPr>
                <w:rFonts w:hint="eastAsia" w:ascii="宋体" w:hAnsi="宋体" w:eastAsia="宋体" w:cs="宋体"/>
                <w:szCs w:val="21"/>
              </w:rPr>
              <w:t>5</w:t>
            </w:r>
          </w:p>
        </w:tc>
        <w:tc>
          <w:tcPr>
            <w:tcW w:w="5953" w:type="dxa"/>
          </w:tcPr>
          <w:p w14:paraId="369BBD8E">
            <w:pPr>
              <w:pStyle w:val="18"/>
              <w:spacing w:line="360" w:lineRule="exact"/>
              <w:rPr>
                <w:rFonts w:hint="eastAsia" w:ascii="宋体" w:hAnsi="宋体" w:eastAsia="宋体" w:cs="宋体"/>
                <w:szCs w:val="21"/>
              </w:rPr>
            </w:pPr>
            <w:r>
              <w:rPr>
                <w:rFonts w:hint="eastAsia" w:ascii="宋体" w:hAnsi="宋体" w:eastAsia="宋体" w:cs="宋体"/>
                <w:szCs w:val="21"/>
              </w:rPr>
              <w:t xml:space="preserve">（一）评分内容： </w:t>
            </w:r>
          </w:p>
          <w:p w14:paraId="184D85BF">
            <w:pPr>
              <w:pStyle w:val="18"/>
              <w:spacing w:line="360" w:lineRule="exact"/>
              <w:rPr>
                <w:rFonts w:hint="eastAsia" w:ascii="宋体" w:hAnsi="宋体" w:eastAsia="宋体" w:cs="宋体"/>
                <w:szCs w:val="21"/>
              </w:rPr>
            </w:pPr>
            <w:r>
              <w:rPr>
                <w:rFonts w:hint="eastAsia" w:ascii="宋体" w:hAnsi="宋体" w:eastAsia="宋体" w:cs="宋体"/>
                <w:szCs w:val="21"/>
              </w:rPr>
              <w:t>1.报价人具有质量管理体系认证证书的得5分，其它情况不得分；</w:t>
            </w:r>
          </w:p>
          <w:p w14:paraId="410ADBB9">
            <w:pPr>
              <w:pStyle w:val="18"/>
              <w:spacing w:line="360" w:lineRule="exact"/>
              <w:rPr>
                <w:rFonts w:hint="eastAsia" w:ascii="宋体" w:hAnsi="宋体" w:eastAsia="宋体" w:cs="宋体"/>
                <w:szCs w:val="21"/>
              </w:rPr>
            </w:pPr>
            <w:r>
              <w:rPr>
                <w:rFonts w:hint="eastAsia" w:ascii="宋体" w:hAnsi="宋体" w:eastAsia="宋体" w:cs="宋体"/>
                <w:szCs w:val="21"/>
              </w:rPr>
              <w:t>以上累计最高5分，不提供不得分。</w:t>
            </w:r>
          </w:p>
          <w:p w14:paraId="577A47AD">
            <w:pPr>
              <w:pStyle w:val="18"/>
              <w:spacing w:line="360" w:lineRule="exact"/>
              <w:rPr>
                <w:rFonts w:hint="eastAsia" w:ascii="宋体" w:hAnsi="宋体" w:eastAsia="宋体" w:cs="宋体"/>
                <w:szCs w:val="21"/>
              </w:rPr>
            </w:pPr>
            <w:r>
              <w:rPr>
                <w:rFonts w:hint="eastAsia" w:ascii="宋体" w:hAnsi="宋体" w:eastAsia="宋体" w:cs="宋体"/>
                <w:szCs w:val="21"/>
              </w:rPr>
              <w:t xml:space="preserve">（二）评分依据： </w:t>
            </w:r>
          </w:p>
          <w:p w14:paraId="00738488">
            <w:pPr>
              <w:pStyle w:val="18"/>
              <w:spacing w:line="360" w:lineRule="exact"/>
              <w:rPr>
                <w:rFonts w:hint="eastAsia" w:ascii="宋体" w:hAnsi="宋体" w:eastAsia="宋体" w:cs="宋体"/>
                <w:kern w:val="0"/>
                <w:szCs w:val="21"/>
              </w:rPr>
            </w:pPr>
            <w:r>
              <w:rPr>
                <w:rFonts w:hint="eastAsia" w:ascii="宋体" w:hAnsi="宋体" w:eastAsia="宋体" w:cs="宋体"/>
                <w:kern w:val="0"/>
                <w:szCs w:val="21"/>
              </w:rPr>
              <w:t>1. 提供有效认证证书（如认证证书注明年审要求的，必须按规定年审且证书在有效期内的方为有效；如未注明年审要求的，证书必须在有效期内的方为有效）；</w:t>
            </w:r>
          </w:p>
          <w:p w14:paraId="3F633C2C">
            <w:pPr>
              <w:pStyle w:val="18"/>
              <w:spacing w:line="360" w:lineRule="exact"/>
              <w:rPr>
                <w:rFonts w:hint="eastAsia" w:ascii="宋体" w:hAnsi="宋体" w:eastAsia="宋体" w:cs="宋体"/>
                <w:szCs w:val="21"/>
                <w:lang w:val="zh-CN"/>
              </w:rPr>
            </w:pPr>
            <w:r>
              <w:rPr>
                <w:rFonts w:hint="eastAsia" w:ascii="宋体" w:hAnsi="宋体" w:eastAsia="宋体" w:cs="宋体"/>
                <w:kern w:val="0"/>
                <w:szCs w:val="21"/>
              </w:rPr>
              <w:t>2. 提供证书官网或权威机构【如：全国认证认可信息公共服务平台（cx.cnca.cn）】认证信息查询截图（截图需显示证书状态为有效）。</w:t>
            </w:r>
            <w:r>
              <w:rPr>
                <w:rFonts w:hint="eastAsia" w:ascii="宋体" w:hAnsi="宋体" w:eastAsia="宋体" w:cs="宋体"/>
                <w:szCs w:val="21"/>
                <w:lang w:val="zh-CN"/>
              </w:rPr>
              <w:t>相关证书在公开渠道无法查询的，投标人需提供颁发部门或者监管机构的证明材料，证明证书真实有效且为合法机构颁发；</w:t>
            </w:r>
          </w:p>
          <w:p w14:paraId="7EE0C8D9">
            <w:pPr>
              <w:pStyle w:val="18"/>
              <w:spacing w:line="360" w:lineRule="exact"/>
              <w:rPr>
                <w:rFonts w:hint="eastAsia" w:ascii="宋体" w:hAnsi="宋体" w:eastAsia="宋体" w:cs="宋体"/>
                <w:kern w:val="0"/>
                <w:szCs w:val="21"/>
              </w:rPr>
            </w:pPr>
            <w:r>
              <w:rPr>
                <w:rFonts w:hint="eastAsia" w:ascii="宋体" w:hAnsi="宋体" w:eastAsia="宋体" w:cs="宋体"/>
                <w:szCs w:val="21"/>
              </w:rPr>
              <w:t>3. 如证书由行业协会颁发，需提供该行业协会在“中国社会组织政务服务平台”（网址：https://chinanpo.mca.gov.cn/）查询的已合法登记且状态正常截图，否则不予认可，视为无效证书；</w:t>
            </w:r>
          </w:p>
          <w:p w14:paraId="284373E4">
            <w:pPr>
              <w:pStyle w:val="18"/>
              <w:spacing w:line="360" w:lineRule="exact"/>
              <w:rPr>
                <w:rFonts w:hint="eastAsia" w:ascii="宋体" w:hAnsi="宋体" w:eastAsia="宋体" w:cs="宋体"/>
                <w:szCs w:val="21"/>
                <w:lang w:val="zh-CN"/>
              </w:rPr>
            </w:pPr>
            <w:r>
              <w:rPr>
                <w:rFonts w:hint="eastAsia" w:ascii="宋体" w:hAnsi="宋体" w:eastAsia="宋体" w:cs="宋体"/>
                <w:kern w:val="0"/>
                <w:szCs w:val="21"/>
              </w:rPr>
              <w:t>4.</w:t>
            </w:r>
            <w:r>
              <w:rPr>
                <w:rFonts w:hint="eastAsia" w:ascii="宋体" w:hAnsi="宋体" w:eastAsia="宋体" w:cs="宋体"/>
                <w:szCs w:val="21"/>
              </w:rPr>
              <w:t xml:space="preserve"> </w:t>
            </w:r>
            <w:r>
              <w:rPr>
                <w:rFonts w:hint="eastAsia" w:ascii="宋体" w:hAnsi="宋体" w:eastAsia="宋体" w:cs="宋体"/>
                <w:kern w:val="0"/>
                <w:szCs w:val="21"/>
              </w:rPr>
              <w:t>如</w:t>
            </w:r>
            <w:r>
              <w:rPr>
                <w:rFonts w:hint="eastAsia" w:ascii="宋体" w:hAnsi="宋体" w:eastAsia="宋体" w:cs="宋体"/>
                <w:szCs w:val="21"/>
                <w:lang w:val="zh-CN"/>
              </w:rPr>
              <w:t>投标人成立时间不足三个月，可提供情况说明作为佐证材料，无需提供证书和</w:t>
            </w:r>
            <w:r>
              <w:rPr>
                <w:rFonts w:hint="eastAsia" w:ascii="宋体" w:hAnsi="宋体" w:eastAsia="宋体" w:cs="宋体"/>
                <w:kern w:val="0"/>
                <w:szCs w:val="21"/>
              </w:rPr>
              <w:t>认证信息查询截图</w:t>
            </w:r>
            <w:r>
              <w:rPr>
                <w:rFonts w:hint="eastAsia" w:ascii="宋体" w:hAnsi="宋体" w:eastAsia="宋体" w:cs="宋体"/>
                <w:szCs w:val="21"/>
                <w:lang w:val="zh-CN"/>
              </w:rPr>
              <w:t>亦视为满足评分要求；</w:t>
            </w:r>
          </w:p>
          <w:p w14:paraId="61CC290C">
            <w:pPr>
              <w:pStyle w:val="18"/>
              <w:spacing w:line="360" w:lineRule="exact"/>
              <w:rPr>
                <w:rFonts w:hint="eastAsia" w:ascii="宋体" w:hAnsi="宋体" w:eastAsia="宋体" w:cs="宋体"/>
                <w:szCs w:val="21"/>
              </w:rPr>
            </w:pPr>
            <w:r>
              <w:rPr>
                <w:rFonts w:hint="eastAsia" w:ascii="宋体" w:hAnsi="宋体" w:eastAsia="宋体" w:cs="宋体"/>
                <w:szCs w:val="21"/>
              </w:rPr>
              <w:t>5. 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Cs w:val="21"/>
                <w:lang w:val="zh-CN"/>
              </w:rPr>
              <w:t>。</w:t>
            </w:r>
          </w:p>
        </w:tc>
        <w:tc>
          <w:tcPr>
            <w:tcW w:w="1187" w:type="dxa"/>
            <w:vAlign w:val="center"/>
          </w:tcPr>
          <w:p w14:paraId="337E428B">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评委打分</w:t>
            </w:r>
          </w:p>
        </w:tc>
      </w:tr>
      <w:tr w14:paraId="3625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754" w:type="dxa"/>
            <w:vAlign w:val="center"/>
          </w:tcPr>
          <w:p w14:paraId="6EB1B9F3">
            <w:pPr>
              <w:pStyle w:val="455"/>
              <w:spacing w:line="360" w:lineRule="exact"/>
              <w:ind w:firstLine="0" w:firstLineChars="0"/>
              <w:jc w:val="center"/>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669FC26C">
            <w:pPr>
              <w:spacing w:line="360" w:lineRule="exact"/>
              <w:jc w:val="center"/>
              <w:rPr>
                <w:rFonts w:hint="eastAsia" w:ascii="宋体" w:hAnsi="宋体" w:eastAsia="宋体" w:cs="宋体"/>
                <w:szCs w:val="21"/>
              </w:rPr>
            </w:pPr>
            <w:r>
              <w:rPr>
                <w:rFonts w:hint="eastAsia" w:ascii="宋体" w:hAnsi="宋体" w:eastAsia="宋体" w:cs="宋体"/>
                <w:szCs w:val="21"/>
              </w:rPr>
              <w:t>售后承诺</w:t>
            </w:r>
          </w:p>
        </w:tc>
        <w:tc>
          <w:tcPr>
            <w:tcW w:w="709" w:type="dxa"/>
            <w:vAlign w:val="center"/>
          </w:tcPr>
          <w:p w14:paraId="54BD9171">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5953" w:type="dxa"/>
            <w:vAlign w:val="center"/>
          </w:tcPr>
          <w:p w14:paraId="3C1285D1">
            <w:pPr>
              <w:pStyle w:val="43"/>
              <w:spacing w:line="360" w:lineRule="exact"/>
              <w:rPr>
                <w:rFonts w:hint="eastAsia" w:ascii="宋体" w:hAnsi="宋体" w:eastAsia="宋体" w:cs="宋体"/>
                <w:sz w:val="21"/>
                <w:szCs w:val="21"/>
              </w:rPr>
            </w:pPr>
            <w:r>
              <w:rPr>
                <w:rFonts w:hint="eastAsia" w:ascii="宋体" w:hAnsi="宋体" w:eastAsia="宋体" w:cs="宋体"/>
                <w:sz w:val="21"/>
                <w:szCs w:val="21"/>
              </w:rPr>
              <w:t>投标人提供所投产品制造商出具的原厂售后服务承诺函（加盖制造商公章）。提供得10分，未提供不得分。</w:t>
            </w:r>
          </w:p>
        </w:tc>
        <w:tc>
          <w:tcPr>
            <w:tcW w:w="1187" w:type="dxa"/>
            <w:vAlign w:val="center"/>
          </w:tcPr>
          <w:p w14:paraId="5A8F7E07">
            <w:pPr>
              <w:spacing w:line="360" w:lineRule="exact"/>
              <w:jc w:val="center"/>
              <w:rPr>
                <w:rFonts w:hint="eastAsia" w:ascii="宋体" w:hAnsi="宋体" w:eastAsia="宋体" w:cs="宋体"/>
                <w:szCs w:val="21"/>
                <w:lang w:val="zh-CN"/>
              </w:rPr>
            </w:pPr>
            <w:r>
              <w:rPr>
                <w:rFonts w:hint="eastAsia" w:ascii="宋体" w:hAnsi="宋体" w:eastAsia="宋体" w:cs="宋体"/>
                <w:szCs w:val="21"/>
              </w:rPr>
              <w:t>评委打分</w:t>
            </w:r>
          </w:p>
        </w:tc>
      </w:tr>
      <w:tr w14:paraId="14BEA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4" w:type="dxa"/>
            <w:vAlign w:val="center"/>
          </w:tcPr>
          <w:p w14:paraId="71213713">
            <w:pPr>
              <w:spacing w:line="360" w:lineRule="exact"/>
              <w:jc w:val="center"/>
              <w:rPr>
                <w:rFonts w:hint="eastAsia" w:ascii="宋体" w:hAnsi="宋体" w:eastAsia="宋体" w:cs="宋体"/>
                <w:szCs w:val="21"/>
                <w:lang w:val="zh-CN"/>
              </w:rPr>
            </w:pPr>
            <w:r>
              <w:rPr>
                <w:rFonts w:hint="eastAsia" w:ascii="宋体" w:hAnsi="宋体" w:eastAsia="宋体" w:cs="宋体"/>
                <w:szCs w:val="21"/>
              </w:rPr>
              <w:t>3</w:t>
            </w:r>
          </w:p>
        </w:tc>
        <w:tc>
          <w:tcPr>
            <w:tcW w:w="1143" w:type="dxa"/>
            <w:vAlign w:val="center"/>
          </w:tcPr>
          <w:p w14:paraId="43D2E3EA">
            <w:pPr>
              <w:spacing w:line="360" w:lineRule="exact"/>
              <w:jc w:val="center"/>
              <w:rPr>
                <w:rFonts w:hint="eastAsia" w:ascii="宋体" w:hAnsi="宋体" w:eastAsia="宋体" w:cs="宋体"/>
                <w:szCs w:val="21"/>
              </w:rPr>
            </w:pPr>
            <w:r>
              <w:rPr>
                <w:rFonts w:hint="eastAsia" w:ascii="宋体" w:hAnsi="宋体" w:eastAsia="宋体" w:cs="宋体"/>
                <w:szCs w:val="21"/>
              </w:rPr>
              <w:t>诚信</w:t>
            </w:r>
          </w:p>
        </w:tc>
        <w:tc>
          <w:tcPr>
            <w:tcW w:w="709" w:type="dxa"/>
            <w:vAlign w:val="center"/>
          </w:tcPr>
          <w:p w14:paraId="3C72CC16">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5953" w:type="dxa"/>
            <w:vAlign w:val="center"/>
          </w:tcPr>
          <w:p w14:paraId="1F36E2D3">
            <w:pPr>
              <w:pStyle w:val="18"/>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636D285C">
            <w:pPr>
              <w:pStyle w:val="18"/>
              <w:rPr>
                <w:rFonts w:hint="eastAsia" w:ascii="宋体" w:hAnsi="宋体" w:eastAsia="宋体" w:cs="宋体"/>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5D510FE">
            <w:pPr>
              <w:spacing w:line="360" w:lineRule="exact"/>
              <w:jc w:val="center"/>
              <w:rPr>
                <w:rFonts w:hint="eastAsia" w:ascii="宋体" w:hAnsi="宋体" w:eastAsia="宋体" w:cs="宋体"/>
                <w:szCs w:val="21"/>
                <w:lang w:val="zh-CN"/>
              </w:rPr>
            </w:pPr>
            <w:r>
              <w:rPr>
                <w:rFonts w:hint="eastAsia" w:ascii="宋体" w:hAnsi="宋体" w:eastAsia="宋体" w:cs="宋体"/>
                <w:szCs w:val="21"/>
              </w:rPr>
              <w:t>评委打分</w:t>
            </w:r>
          </w:p>
        </w:tc>
      </w:tr>
    </w:tbl>
    <w:p w14:paraId="2A29F2C8">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4"/>
      <w:bookmarkEnd w:id="15"/>
      <w:bookmarkEnd w:id="16"/>
      <w:bookmarkEnd w:id="17"/>
      <w:bookmarkEnd w:id="18"/>
    </w:p>
    <w:p w14:paraId="1A31C0A1">
      <w:pPr>
        <w:pStyle w:val="3"/>
        <w:spacing w:before="0" w:after="0"/>
      </w:pPr>
      <w:bookmarkStart w:id="19" w:name="_Toc135293327"/>
      <w:r>
        <w:rPr>
          <w:rFonts w:hint="eastAsia"/>
        </w:rPr>
        <w:t>1、资质证书有效期</w:t>
      </w:r>
      <w:bookmarkEnd w:id="19"/>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20" w:name="_Toc135293328"/>
      <w:r>
        <w:rPr>
          <w:rFonts w:hint="eastAsia" w:asciiTheme="minorEastAsia" w:hAnsiTheme="minorEastAsia" w:eastAsiaTheme="minorEastAsia"/>
        </w:rPr>
        <w:t>2、政府采购扶持政策</w:t>
      </w:r>
      <w:bookmarkEnd w:id="20"/>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21" w:name="_Toc135293329"/>
      <w:r>
        <w:rPr>
          <w:rFonts w:hint="eastAsia"/>
        </w:rPr>
        <w:t>第五章  投标人须知前附表</w:t>
      </w:r>
      <w:bookmarkEnd w:id="21"/>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pPr>
            <w:r>
              <w:rPr>
                <w:rFonts w:hint="eastAsia" w:asciiTheme="minorEastAsia" w:hAnsiTheme="minorEastAsia" w:eastAsiaTheme="minorEastAsia"/>
              </w:rPr>
              <w:t>深圳市第七高级中学虚拟化软件采购</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深圳市第七高级中学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%，最低收取人民币6000元。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22" w:name="_Toc135293330"/>
      <w:r>
        <w:rPr>
          <w:rFonts w:hint="eastAsia"/>
        </w:rPr>
        <w:t>第六章  投标人须知</w:t>
      </w:r>
      <w:bookmarkEnd w:id="22"/>
    </w:p>
    <w:p w14:paraId="1AD97274">
      <w:pPr>
        <w:pStyle w:val="4"/>
        <w:spacing w:before="0" w:after="0"/>
      </w:pPr>
      <w:bookmarkStart w:id="23" w:name="_Toc135293331"/>
      <w:r>
        <w:rPr>
          <w:rFonts w:hint="eastAsia"/>
        </w:rPr>
        <w:t>一、说</w:t>
      </w:r>
      <w:r>
        <w:t xml:space="preserve">  </w:t>
      </w:r>
      <w:r>
        <w:rPr>
          <w:rFonts w:hint="eastAsia"/>
        </w:rPr>
        <w:t>明</w:t>
      </w:r>
      <w:bookmarkEnd w:id="23"/>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4" w:name="q5"/>
      <w:bookmarkEnd w:id="24"/>
    </w:p>
    <w:p w14:paraId="71A536FB">
      <w:pPr>
        <w:pStyle w:val="4"/>
        <w:spacing w:before="0" w:after="0"/>
      </w:pPr>
      <w:bookmarkStart w:id="25" w:name="_Toc135293332"/>
      <w:r>
        <w:rPr>
          <w:rFonts w:hint="eastAsia"/>
        </w:rPr>
        <w:t>二、招标文件说明</w:t>
      </w:r>
      <w:bookmarkEnd w:id="25"/>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6" w:name="q6"/>
      <w:bookmarkEnd w:id="26"/>
      <w:bookmarkStart w:id="27" w:name="_Toc135293333"/>
      <w:r>
        <w:rPr>
          <w:rFonts w:hint="eastAsia"/>
        </w:rPr>
        <w:t>三、投标文件的编写</w:t>
      </w:r>
      <w:bookmarkEnd w:id="27"/>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8" w:name="q7"/>
      <w:bookmarkEnd w:id="28"/>
      <w:bookmarkStart w:id="29" w:name="_Toc135293334"/>
      <w:r>
        <w:rPr>
          <w:rFonts w:hint="eastAsia"/>
        </w:rPr>
        <w:t>四、投标文件的递交</w:t>
      </w:r>
      <w:bookmarkEnd w:id="29"/>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0" w:name="_Hlt35050056"/>
      <w:bookmarkEnd w:id="30"/>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1" w:name="q8"/>
      <w:bookmarkEnd w:id="31"/>
      <w:bookmarkStart w:id="32" w:name="_Toc135293335"/>
      <w:r>
        <w:rPr>
          <w:rFonts w:hint="eastAsia"/>
        </w:rPr>
        <w:t>五、开标和评标</w:t>
      </w:r>
      <w:bookmarkEnd w:id="32"/>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3" w:name="q9"/>
      <w:bookmarkEnd w:id="33"/>
    </w:p>
    <w:p w14:paraId="76E40154">
      <w:pPr>
        <w:pStyle w:val="4"/>
        <w:spacing w:before="0" w:after="0"/>
      </w:pPr>
      <w:bookmarkStart w:id="34" w:name="_Toc135293336"/>
      <w:r>
        <w:rPr>
          <w:rFonts w:hint="eastAsia"/>
        </w:rPr>
        <w:t>六、授予合同</w:t>
      </w:r>
      <w:bookmarkEnd w:id="34"/>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5" w:name="_Toc135293337"/>
      <w:r>
        <w:rPr>
          <w:rFonts w:hint="eastAsia"/>
        </w:rPr>
        <w:t>七、质疑处理</w:t>
      </w:r>
      <w:bookmarkEnd w:id="35"/>
    </w:p>
    <w:p w14:paraId="0C3E0C68">
      <w:pPr>
        <w:spacing w:line="360" w:lineRule="auto"/>
        <w:rPr>
          <w:rFonts w:asciiTheme="majorEastAsia" w:hAnsiTheme="majorEastAsia" w:eastAsiaTheme="majorEastAsia"/>
          <w:b/>
          <w:bCs/>
          <w:szCs w:val="21"/>
        </w:rPr>
      </w:pPr>
      <w:bookmarkStart w:id="36"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7" w:name="_Hlk75374941"/>
      <w:r>
        <w:rPr>
          <w:rFonts w:hint="eastAsia" w:asciiTheme="majorEastAsia" w:hAnsiTheme="majorEastAsia" w:eastAsiaTheme="majorEastAsia"/>
          <w:szCs w:val="21"/>
        </w:rPr>
        <w:t>以联合体形式参与的，质疑应当由组成联合体的所有成员共同提出</w:t>
      </w:r>
      <w:bookmarkEnd w:id="37"/>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6"/>
    </w:p>
    <w:p w14:paraId="0CD402E3"/>
    <w:p w14:paraId="245C4D3A"/>
    <w:p w14:paraId="3BC8E9AA"/>
    <w:p w14:paraId="514B9B54"/>
    <w:p w14:paraId="0DDDF9B5"/>
    <w:p w14:paraId="79E12185"/>
    <w:p w14:paraId="4D52942B"/>
    <w:p w14:paraId="17F27D34">
      <w:pPr>
        <w:pStyle w:val="2"/>
      </w:pPr>
      <w:bookmarkStart w:id="38" w:name="_Toc135293338"/>
      <w:r>
        <w:rPr>
          <w:rFonts w:hint="eastAsia"/>
        </w:rPr>
        <w:t>第七章  投标文件格式</w:t>
      </w:r>
      <w:bookmarkEnd w:id="38"/>
    </w:p>
    <w:p w14:paraId="3482363A">
      <w:pPr>
        <w:jc w:val="center"/>
        <w:rPr>
          <w:b/>
          <w:sz w:val="52"/>
          <w:szCs w:val="52"/>
        </w:rPr>
      </w:pPr>
    </w:p>
    <w:p w14:paraId="56A966C3">
      <w:pPr>
        <w:pStyle w:val="4"/>
        <w:spacing w:line="400" w:lineRule="exact"/>
        <w:rPr>
          <w:rFonts w:ascii="仿宋" w:hAnsi="仿宋" w:eastAsia="仿宋"/>
        </w:rPr>
      </w:pPr>
      <w:bookmarkStart w:id="39" w:name="_Toc44691395"/>
      <w:bookmarkStart w:id="40" w:name="_Toc44690704"/>
      <w:bookmarkStart w:id="41" w:name="_Toc11772"/>
      <w:bookmarkStart w:id="42" w:name="_Toc44690431"/>
      <w:bookmarkStart w:id="43" w:name="_Toc14934"/>
      <w:bookmarkStart w:id="44" w:name="_Toc25194"/>
      <w:bookmarkStart w:id="45" w:name="_Toc135293339"/>
      <w:bookmarkStart w:id="46" w:name="_Toc44691163"/>
      <w:bookmarkStart w:id="47" w:name="_Toc31468"/>
      <w:r>
        <w:rPr>
          <w:rFonts w:hint="eastAsia" w:ascii="仿宋" w:hAnsi="仿宋" w:eastAsia="仿宋"/>
        </w:rPr>
        <w:t>投标文件编制说明</w:t>
      </w:r>
      <w:bookmarkEnd w:id="39"/>
      <w:bookmarkEnd w:id="40"/>
      <w:bookmarkEnd w:id="41"/>
      <w:bookmarkEnd w:id="42"/>
      <w:bookmarkEnd w:id="43"/>
      <w:bookmarkEnd w:id="44"/>
      <w:bookmarkEnd w:id="45"/>
      <w:bookmarkEnd w:id="46"/>
      <w:bookmarkEnd w:id="47"/>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8" w:name="_投标文件格式（第一册）"/>
      <w:bookmarkEnd w:id="48"/>
      <w:bookmarkStart w:id="49"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50" w:name="_Toc135293340"/>
      <w:r>
        <w:rPr>
          <w:rFonts w:hint="eastAsia" w:ascii="仿宋" w:hAnsi="仿宋" w:eastAsia="仿宋"/>
        </w:rPr>
        <w:t>投标文件格式</w:t>
      </w:r>
      <w:bookmarkEnd w:id="50"/>
    </w:p>
    <w:bookmarkEnd w:id="49"/>
    <w:p w14:paraId="22EAC92A">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8"/>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8"/>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8"/>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8"/>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8"/>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51" w:name="_格式1__投标人资格证明文件"/>
      <w:bookmarkEnd w:id="51"/>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52" w:name="_Toc135293341"/>
      <w:bookmarkStart w:id="53" w:name="_Toc73610158"/>
      <w:r>
        <w:rPr>
          <w:rFonts w:hint="eastAsia" w:ascii="仿宋" w:hAnsi="仿宋" w:eastAsia="仿宋"/>
        </w:rPr>
        <w:t>政府采购违法行为风险知悉确认书</w:t>
      </w:r>
      <w:bookmarkEnd w:id="52"/>
    </w:p>
    <w:p w14:paraId="5CB0B26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ascii="仿宋" w:hAnsi="仿宋" w:eastAsia="仿宋"/>
        </w:rPr>
      </w:pPr>
      <w:bookmarkStart w:id="54" w:name="_Toc135293342"/>
      <w:r>
        <w:rPr>
          <w:rFonts w:hint="eastAsia" w:ascii="仿宋" w:hAnsi="仿宋" w:eastAsia="仿宋"/>
        </w:rPr>
        <w:br w:type="page"/>
      </w:r>
    </w:p>
    <w:p w14:paraId="68808685"/>
    <w:p w14:paraId="199B2533">
      <w:pPr>
        <w:pStyle w:val="4"/>
        <w:spacing w:line="400" w:lineRule="exact"/>
        <w:rPr>
          <w:rFonts w:ascii="仿宋" w:hAnsi="仿宋" w:eastAsia="仿宋"/>
        </w:rPr>
      </w:pPr>
      <w:r>
        <w:rPr>
          <w:rFonts w:hint="eastAsia" w:ascii="仿宋" w:hAnsi="仿宋" w:eastAsia="仿宋"/>
        </w:rPr>
        <w:t>评标指引表</w:t>
      </w:r>
      <w:bookmarkEnd w:id="53"/>
      <w:bookmarkEnd w:id="54"/>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ascii="仿宋" w:hAnsi="仿宋" w:eastAsia="仿宋"/>
        </w:rPr>
      </w:pPr>
    </w:p>
    <w:p w14:paraId="76DD2DBC">
      <w:pPr>
        <w:pStyle w:val="4"/>
        <w:spacing w:line="400" w:lineRule="exact"/>
        <w:rPr>
          <w:rFonts w:ascii="仿宋" w:hAnsi="仿宋" w:eastAsia="仿宋"/>
        </w:rPr>
      </w:pPr>
    </w:p>
    <w:p w14:paraId="00FC759D">
      <w:pPr>
        <w:pStyle w:val="4"/>
        <w:spacing w:line="400" w:lineRule="exact"/>
        <w:rPr>
          <w:rFonts w:ascii="仿宋" w:hAnsi="仿宋" w:eastAsia="仿宋"/>
        </w:rPr>
      </w:pPr>
    </w:p>
    <w:p w14:paraId="0C99DDD7">
      <w:pPr>
        <w:rPr>
          <w:rFonts w:ascii="仿宋" w:hAnsi="仿宋" w:eastAsia="仿宋"/>
        </w:rPr>
      </w:pPr>
      <w:r>
        <w:rPr>
          <w:rFonts w:hint="eastAsia" w:ascii="仿宋" w:hAnsi="仿宋" w:eastAsia="仿宋"/>
        </w:rPr>
        <w:br w:type="page"/>
      </w:r>
    </w:p>
    <w:p w14:paraId="36479E5D"/>
    <w:p w14:paraId="0DAC9DBC">
      <w:pPr>
        <w:pStyle w:val="4"/>
        <w:spacing w:line="400" w:lineRule="exact"/>
        <w:rPr>
          <w:rFonts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ascii="宋体" w:hAnsi="宋体"/>
                <w:szCs w:val="21"/>
              </w:rPr>
            </w:pPr>
            <w:r>
              <w:rPr>
                <w:rFonts w:hint="eastAsia" w:ascii="宋体" w:hAnsi="宋体"/>
                <w:szCs w:val="21"/>
              </w:rPr>
              <w:t>自查情况</w:t>
            </w:r>
          </w:p>
          <w:p w14:paraId="23024764">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ascii="宋体" w:hAnsi="宋体"/>
                <w:szCs w:val="21"/>
              </w:rPr>
            </w:pPr>
            <w:r>
              <w:rPr>
                <w:rFonts w:hint="eastAsia" w:ascii="宋体" w:hAnsi="宋体"/>
                <w:szCs w:val="21"/>
              </w:rPr>
              <w:t>1</w:t>
            </w:r>
          </w:p>
        </w:tc>
        <w:tc>
          <w:tcPr>
            <w:tcW w:w="6023" w:type="dxa"/>
            <w:vAlign w:val="center"/>
          </w:tcPr>
          <w:p w14:paraId="5667A88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ascii="宋体" w:hAnsi="宋体"/>
                <w:b/>
                <w:szCs w:val="21"/>
              </w:rPr>
            </w:pPr>
          </w:p>
        </w:tc>
        <w:tc>
          <w:tcPr>
            <w:tcW w:w="924" w:type="dxa"/>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ascii="宋体" w:hAnsi="宋体"/>
                <w:szCs w:val="21"/>
              </w:rPr>
            </w:pPr>
            <w:r>
              <w:rPr>
                <w:rFonts w:hint="eastAsia" w:ascii="宋体" w:hAnsi="宋体"/>
                <w:szCs w:val="21"/>
              </w:rPr>
              <w:t>2</w:t>
            </w:r>
          </w:p>
        </w:tc>
        <w:tc>
          <w:tcPr>
            <w:tcW w:w="6023" w:type="dxa"/>
            <w:vAlign w:val="center"/>
          </w:tcPr>
          <w:p w14:paraId="6D67B99F">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ascii="宋体" w:hAnsi="宋体"/>
                <w:b/>
                <w:szCs w:val="21"/>
              </w:rPr>
            </w:pPr>
          </w:p>
        </w:tc>
        <w:tc>
          <w:tcPr>
            <w:tcW w:w="924" w:type="dxa"/>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ascii="宋体" w:hAnsi="宋体"/>
                <w:szCs w:val="21"/>
              </w:rPr>
            </w:pPr>
            <w:r>
              <w:rPr>
                <w:rFonts w:hint="eastAsia" w:ascii="宋体" w:hAnsi="宋体"/>
                <w:szCs w:val="21"/>
              </w:rPr>
              <w:t>3</w:t>
            </w:r>
          </w:p>
        </w:tc>
        <w:tc>
          <w:tcPr>
            <w:tcW w:w="6023" w:type="dxa"/>
            <w:vAlign w:val="center"/>
          </w:tcPr>
          <w:p w14:paraId="3105874F">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ascii="宋体" w:hAnsi="宋体"/>
                <w:b/>
                <w:szCs w:val="21"/>
              </w:rPr>
            </w:pPr>
          </w:p>
        </w:tc>
        <w:tc>
          <w:tcPr>
            <w:tcW w:w="924" w:type="dxa"/>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ascii="宋体" w:hAnsi="宋体"/>
                <w:szCs w:val="21"/>
              </w:rPr>
            </w:pPr>
            <w:r>
              <w:rPr>
                <w:rFonts w:hint="eastAsia" w:ascii="宋体" w:hAnsi="宋体"/>
                <w:szCs w:val="21"/>
              </w:rPr>
              <w:t>4</w:t>
            </w:r>
          </w:p>
        </w:tc>
        <w:tc>
          <w:tcPr>
            <w:tcW w:w="6023" w:type="dxa"/>
            <w:vAlign w:val="center"/>
          </w:tcPr>
          <w:p w14:paraId="624920A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ascii="宋体" w:hAnsi="宋体"/>
                <w:b/>
                <w:szCs w:val="21"/>
              </w:rPr>
            </w:pPr>
          </w:p>
        </w:tc>
        <w:tc>
          <w:tcPr>
            <w:tcW w:w="924" w:type="dxa"/>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ascii="宋体" w:hAnsi="宋体"/>
                <w:szCs w:val="21"/>
              </w:rPr>
            </w:pPr>
            <w:r>
              <w:rPr>
                <w:rFonts w:hint="eastAsia" w:ascii="宋体" w:hAnsi="宋体"/>
                <w:szCs w:val="21"/>
              </w:rPr>
              <w:t>5</w:t>
            </w:r>
          </w:p>
        </w:tc>
        <w:tc>
          <w:tcPr>
            <w:tcW w:w="6023" w:type="dxa"/>
            <w:vAlign w:val="center"/>
          </w:tcPr>
          <w:p w14:paraId="3AC4C571">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ascii="宋体" w:hAnsi="宋体"/>
                <w:b/>
                <w:szCs w:val="21"/>
              </w:rPr>
            </w:pPr>
          </w:p>
        </w:tc>
        <w:tc>
          <w:tcPr>
            <w:tcW w:w="924" w:type="dxa"/>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ascii="宋体" w:hAnsi="宋体"/>
                <w:szCs w:val="21"/>
              </w:rPr>
            </w:pPr>
            <w:r>
              <w:rPr>
                <w:rFonts w:hint="eastAsia" w:ascii="宋体" w:hAnsi="宋体"/>
                <w:szCs w:val="21"/>
              </w:rPr>
              <w:t>6</w:t>
            </w:r>
          </w:p>
        </w:tc>
        <w:tc>
          <w:tcPr>
            <w:tcW w:w="6023" w:type="dxa"/>
            <w:vAlign w:val="center"/>
          </w:tcPr>
          <w:p w14:paraId="5E57210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ascii="宋体" w:hAnsi="宋体"/>
                <w:b/>
                <w:szCs w:val="21"/>
              </w:rPr>
            </w:pPr>
          </w:p>
        </w:tc>
        <w:tc>
          <w:tcPr>
            <w:tcW w:w="924" w:type="dxa"/>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ascii="宋体" w:hAnsi="宋体"/>
                <w:szCs w:val="21"/>
              </w:rPr>
            </w:pPr>
            <w:r>
              <w:rPr>
                <w:rFonts w:hint="eastAsia" w:ascii="宋体" w:hAnsi="宋体"/>
                <w:szCs w:val="21"/>
              </w:rPr>
              <w:t>7</w:t>
            </w:r>
          </w:p>
        </w:tc>
        <w:tc>
          <w:tcPr>
            <w:tcW w:w="6023" w:type="dxa"/>
            <w:vAlign w:val="center"/>
          </w:tcPr>
          <w:p w14:paraId="6C15577A">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ascii="宋体" w:hAnsi="宋体"/>
                <w:b/>
                <w:szCs w:val="21"/>
              </w:rPr>
            </w:pPr>
          </w:p>
        </w:tc>
        <w:tc>
          <w:tcPr>
            <w:tcW w:w="924" w:type="dxa"/>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ascii="宋体" w:hAnsi="宋体"/>
                <w:szCs w:val="21"/>
              </w:rPr>
            </w:pPr>
            <w:r>
              <w:rPr>
                <w:rFonts w:hint="eastAsia" w:ascii="宋体" w:hAnsi="宋体"/>
                <w:szCs w:val="21"/>
              </w:rPr>
              <w:t>8</w:t>
            </w:r>
          </w:p>
        </w:tc>
        <w:tc>
          <w:tcPr>
            <w:tcW w:w="6023" w:type="dxa"/>
            <w:vAlign w:val="center"/>
          </w:tcPr>
          <w:p w14:paraId="281B8479">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ascii="宋体" w:hAnsi="宋体"/>
                <w:b/>
                <w:szCs w:val="21"/>
              </w:rPr>
            </w:pPr>
          </w:p>
        </w:tc>
        <w:tc>
          <w:tcPr>
            <w:tcW w:w="924" w:type="dxa"/>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ascii="宋体" w:hAnsi="宋体"/>
                <w:szCs w:val="21"/>
              </w:rPr>
            </w:pPr>
            <w:r>
              <w:rPr>
                <w:rFonts w:hint="eastAsia" w:ascii="宋体" w:hAnsi="宋体"/>
                <w:szCs w:val="21"/>
              </w:rPr>
              <w:t>9</w:t>
            </w:r>
          </w:p>
        </w:tc>
        <w:tc>
          <w:tcPr>
            <w:tcW w:w="6023" w:type="dxa"/>
            <w:vAlign w:val="center"/>
          </w:tcPr>
          <w:p w14:paraId="0377283E">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ascii="宋体" w:hAnsi="宋体"/>
                <w:b/>
                <w:szCs w:val="21"/>
              </w:rPr>
            </w:pPr>
          </w:p>
        </w:tc>
        <w:tc>
          <w:tcPr>
            <w:tcW w:w="924" w:type="dxa"/>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ascii="宋体" w:hAnsi="宋体"/>
                <w:szCs w:val="21"/>
              </w:rPr>
            </w:pPr>
            <w:r>
              <w:rPr>
                <w:rFonts w:hint="eastAsia" w:ascii="宋体" w:hAnsi="宋体"/>
                <w:szCs w:val="21"/>
              </w:rPr>
              <w:t>10</w:t>
            </w:r>
          </w:p>
        </w:tc>
        <w:tc>
          <w:tcPr>
            <w:tcW w:w="6023" w:type="dxa"/>
            <w:vAlign w:val="center"/>
          </w:tcPr>
          <w:p w14:paraId="23AF15D6">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ascii="宋体" w:hAnsi="宋体"/>
                <w:b/>
                <w:szCs w:val="21"/>
              </w:rPr>
            </w:pPr>
          </w:p>
        </w:tc>
        <w:tc>
          <w:tcPr>
            <w:tcW w:w="924" w:type="dxa"/>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ascii="宋体" w:hAnsi="宋体"/>
                <w:szCs w:val="21"/>
              </w:rPr>
            </w:pPr>
            <w:r>
              <w:rPr>
                <w:rFonts w:hint="eastAsia" w:ascii="宋体" w:hAnsi="宋体"/>
                <w:szCs w:val="21"/>
              </w:rPr>
              <w:t>11</w:t>
            </w:r>
          </w:p>
        </w:tc>
        <w:tc>
          <w:tcPr>
            <w:tcW w:w="6023" w:type="dxa"/>
            <w:vAlign w:val="center"/>
          </w:tcPr>
          <w:p w14:paraId="4AB95301">
            <w:pPr>
              <w:jc w:val="left"/>
              <w:rPr>
                <w:rFonts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ascii="宋体" w:hAnsi="宋体"/>
                <w:b/>
                <w:szCs w:val="21"/>
              </w:rPr>
            </w:pPr>
          </w:p>
        </w:tc>
        <w:tc>
          <w:tcPr>
            <w:tcW w:w="924" w:type="dxa"/>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ascii="宋体" w:hAnsi="宋体"/>
                <w:szCs w:val="21"/>
              </w:rPr>
            </w:pPr>
            <w:r>
              <w:rPr>
                <w:rFonts w:hint="eastAsia" w:ascii="宋体" w:hAnsi="宋体"/>
                <w:szCs w:val="21"/>
              </w:rPr>
              <w:t>12</w:t>
            </w:r>
          </w:p>
        </w:tc>
        <w:tc>
          <w:tcPr>
            <w:tcW w:w="6023" w:type="dxa"/>
            <w:vAlign w:val="center"/>
          </w:tcPr>
          <w:p w14:paraId="5814DD9F">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ascii="宋体" w:hAnsi="宋体"/>
                <w:b/>
                <w:szCs w:val="21"/>
              </w:rPr>
            </w:pPr>
          </w:p>
        </w:tc>
        <w:tc>
          <w:tcPr>
            <w:tcW w:w="924" w:type="dxa"/>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ascii="宋体" w:hAnsi="宋体"/>
                <w:szCs w:val="21"/>
              </w:rPr>
            </w:pPr>
            <w:r>
              <w:rPr>
                <w:rFonts w:hint="eastAsia" w:ascii="宋体" w:hAnsi="宋体"/>
                <w:szCs w:val="21"/>
              </w:rPr>
              <w:t>13</w:t>
            </w:r>
          </w:p>
        </w:tc>
        <w:tc>
          <w:tcPr>
            <w:tcW w:w="6023" w:type="dxa"/>
            <w:vAlign w:val="center"/>
          </w:tcPr>
          <w:p w14:paraId="4B58001E">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ascii="宋体" w:hAnsi="宋体"/>
                <w:b/>
                <w:szCs w:val="21"/>
              </w:rPr>
            </w:pPr>
          </w:p>
        </w:tc>
        <w:tc>
          <w:tcPr>
            <w:tcW w:w="924" w:type="dxa"/>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ascii="宋体" w:hAnsi="宋体"/>
                <w:szCs w:val="21"/>
              </w:rPr>
            </w:pPr>
            <w:r>
              <w:rPr>
                <w:rFonts w:hint="eastAsia" w:ascii="宋体" w:hAnsi="宋体"/>
                <w:szCs w:val="21"/>
              </w:rPr>
              <w:t>14</w:t>
            </w:r>
          </w:p>
        </w:tc>
        <w:tc>
          <w:tcPr>
            <w:tcW w:w="6023" w:type="dxa"/>
            <w:vAlign w:val="center"/>
          </w:tcPr>
          <w:p w14:paraId="697AF84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ascii="宋体" w:hAnsi="宋体"/>
                <w:b/>
                <w:szCs w:val="21"/>
              </w:rPr>
            </w:pPr>
          </w:p>
        </w:tc>
        <w:tc>
          <w:tcPr>
            <w:tcW w:w="924" w:type="dxa"/>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ascii="宋体" w:hAnsi="宋体"/>
                <w:szCs w:val="21"/>
              </w:rPr>
            </w:pPr>
            <w:r>
              <w:rPr>
                <w:rFonts w:hint="eastAsia" w:ascii="宋体" w:hAnsi="宋体"/>
                <w:szCs w:val="21"/>
              </w:rPr>
              <w:t>15</w:t>
            </w:r>
          </w:p>
        </w:tc>
        <w:tc>
          <w:tcPr>
            <w:tcW w:w="6023" w:type="dxa"/>
            <w:vAlign w:val="center"/>
          </w:tcPr>
          <w:p w14:paraId="6BD5E4D2">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ascii="宋体" w:hAnsi="宋体"/>
                <w:b/>
                <w:szCs w:val="21"/>
              </w:rPr>
            </w:pPr>
          </w:p>
        </w:tc>
        <w:tc>
          <w:tcPr>
            <w:tcW w:w="924" w:type="dxa"/>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ascii="宋体" w:hAnsi="宋体"/>
                <w:szCs w:val="21"/>
              </w:rPr>
            </w:pPr>
            <w:r>
              <w:rPr>
                <w:rFonts w:hint="eastAsia" w:ascii="宋体" w:hAnsi="宋体"/>
                <w:szCs w:val="21"/>
              </w:rPr>
              <w:t>16</w:t>
            </w:r>
          </w:p>
        </w:tc>
        <w:tc>
          <w:tcPr>
            <w:tcW w:w="6023" w:type="dxa"/>
            <w:vAlign w:val="center"/>
          </w:tcPr>
          <w:p w14:paraId="1B981B90">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ascii="宋体" w:hAnsi="宋体"/>
                <w:b/>
                <w:szCs w:val="21"/>
              </w:rPr>
            </w:pPr>
          </w:p>
        </w:tc>
        <w:tc>
          <w:tcPr>
            <w:tcW w:w="924" w:type="dxa"/>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ascii="宋体" w:hAnsi="宋体"/>
                <w:szCs w:val="21"/>
              </w:rPr>
            </w:pPr>
            <w:r>
              <w:rPr>
                <w:rFonts w:hint="eastAsia" w:ascii="宋体" w:hAnsi="宋体"/>
                <w:szCs w:val="21"/>
              </w:rPr>
              <w:t>17</w:t>
            </w:r>
          </w:p>
        </w:tc>
        <w:tc>
          <w:tcPr>
            <w:tcW w:w="6023" w:type="dxa"/>
            <w:vAlign w:val="center"/>
          </w:tcPr>
          <w:p w14:paraId="66E38D6A">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ascii="宋体" w:hAnsi="宋体"/>
                <w:b/>
                <w:szCs w:val="21"/>
              </w:rPr>
            </w:pPr>
          </w:p>
        </w:tc>
        <w:tc>
          <w:tcPr>
            <w:tcW w:w="924" w:type="dxa"/>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ascii="宋体" w:hAnsi="宋体"/>
                <w:szCs w:val="21"/>
              </w:rPr>
            </w:pPr>
            <w:r>
              <w:rPr>
                <w:rFonts w:hint="eastAsia" w:ascii="宋体" w:hAnsi="宋体"/>
                <w:szCs w:val="21"/>
              </w:rPr>
              <w:t>18</w:t>
            </w:r>
          </w:p>
        </w:tc>
        <w:tc>
          <w:tcPr>
            <w:tcW w:w="6023" w:type="dxa"/>
            <w:vAlign w:val="center"/>
          </w:tcPr>
          <w:p w14:paraId="3D834E9C">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ascii="宋体" w:hAnsi="宋体"/>
                <w:b/>
                <w:szCs w:val="21"/>
              </w:rPr>
            </w:pPr>
          </w:p>
        </w:tc>
        <w:tc>
          <w:tcPr>
            <w:tcW w:w="924" w:type="dxa"/>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ascii="宋体" w:hAnsi="宋体"/>
                <w:szCs w:val="21"/>
              </w:rPr>
            </w:pPr>
            <w:r>
              <w:rPr>
                <w:rFonts w:hint="eastAsia" w:ascii="宋体" w:hAnsi="宋体"/>
                <w:szCs w:val="21"/>
              </w:rPr>
              <w:t>19</w:t>
            </w:r>
          </w:p>
        </w:tc>
        <w:tc>
          <w:tcPr>
            <w:tcW w:w="6023" w:type="dxa"/>
            <w:vAlign w:val="center"/>
          </w:tcPr>
          <w:p w14:paraId="61765FC8">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ascii="宋体" w:hAnsi="宋体"/>
                <w:b/>
                <w:szCs w:val="21"/>
              </w:rPr>
            </w:pPr>
          </w:p>
        </w:tc>
        <w:tc>
          <w:tcPr>
            <w:tcW w:w="924" w:type="dxa"/>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ascii="宋体" w:hAnsi="宋体"/>
                <w:szCs w:val="21"/>
              </w:rPr>
            </w:pPr>
            <w:r>
              <w:rPr>
                <w:rFonts w:hint="eastAsia" w:ascii="宋体" w:hAnsi="宋体"/>
                <w:szCs w:val="21"/>
              </w:rPr>
              <w:t>20</w:t>
            </w:r>
          </w:p>
        </w:tc>
        <w:tc>
          <w:tcPr>
            <w:tcW w:w="6023" w:type="dxa"/>
            <w:vAlign w:val="center"/>
          </w:tcPr>
          <w:p w14:paraId="7A7230BC">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ascii="宋体" w:hAnsi="宋体"/>
                <w:b/>
                <w:szCs w:val="21"/>
              </w:rPr>
            </w:pPr>
          </w:p>
        </w:tc>
        <w:tc>
          <w:tcPr>
            <w:tcW w:w="924" w:type="dxa"/>
            <w:vAlign w:val="center"/>
          </w:tcPr>
          <w:p w14:paraId="77891AE9">
            <w:pPr>
              <w:spacing w:line="360" w:lineRule="exact"/>
              <w:jc w:val="center"/>
              <w:rPr>
                <w:rFonts w:ascii="宋体" w:hAnsi="宋体"/>
                <w:b/>
                <w:szCs w:val="21"/>
              </w:rPr>
            </w:pPr>
          </w:p>
        </w:tc>
      </w:tr>
    </w:tbl>
    <w:p w14:paraId="174AD53D">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1A9EE9B5">
      <w:pPr>
        <w:pStyle w:val="4"/>
        <w:spacing w:line="400" w:lineRule="exact"/>
        <w:rPr>
          <w:rFonts w:ascii="仿宋" w:hAnsi="仿宋" w:eastAsia="仿宋"/>
        </w:rPr>
      </w:pPr>
    </w:p>
    <w:p w14:paraId="3481F4F8">
      <w:pPr>
        <w:pStyle w:val="4"/>
        <w:spacing w:line="400" w:lineRule="exact"/>
        <w:rPr>
          <w:rFonts w:ascii="仿宋" w:hAnsi="仿宋" w:eastAsia="仿宋"/>
        </w:rPr>
      </w:pPr>
      <w:r>
        <w:rPr>
          <w:rFonts w:hint="eastAsia" w:ascii="仿宋" w:hAnsi="仿宋" w:eastAsia="仿宋"/>
        </w:rPr>
        <w:t>供应商基本情况表</w:t>
      </w:r>
    </w:p>
    <w:p w14:paraId="51688322">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26353182">
      <w:pPr>
        <w:spacing w:line="75" w:lineRule="exact"/>
        <w:rPr>
          <w:rFonts w:ascii="宋体" w:hAnsi="宋体" w:cs="宋体"/>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34E3222">
            <w:pPr>
              <w:pStyle w:val="506"/>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ascii="宋体" w:hAnsi="宋体" w:cs="宋体"/>
                <w:szCs w:val="21"/>
              </w:rPr>
            </w:pPr>
          </w:p>
        </w:tc>
        <w:tc>
          <w:tcPr>
            <w:tcW w:w="1990" w:type="dxa"/>
            <w:gridSpan w:val="2"/>
          </w:tcPr>
          <w:p w14:paraId="7C2BA4AE">
            <w:pPr>
              <w:pStyle w:val="506"/>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ascii="宋体" w:hAnsi="宋体" w:cs="宋体"/>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652FCD2">
            <w:pPr>
              <w:pStyle w:val="506"/>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2FF61D8">
            <w:pPr>
              <w:pStyle w:val="506"/>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727AAE9">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3DE786D">
            <w:pPr>
              <w:pStyle w:val="506"/>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7B03BD2">
            <w:pPr>
              <w:pStyle w:val="506"/>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E9DC7C5">
            <w:pPr>
              <w:pStyle w:val="506"/>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D25E221">
            <w:pPr>
              <w:pStyle w:val="506"/>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9BBEFF">
            <w:pPr>
              <w:pStyle w:val="506"/>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33840047">
            <w:pPr>
              <w:pStyle w:val="506"/>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B8CA7B5">
            <w:pPr>
              <w:pStyle w:val="506"/>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E37B42">
            <w:pPr>
              <w:spacing w:line="252" w:lineRule="auto"/>
              <w:rPr>
                <w:rFonts w:ascii="宋体" w:hAnsi="宋体" w:cs="宋体"/>
                <w:szCs w:val="21"/>
              </w:rPr>
            </w:pPr>
          </w:p>
          <w:p w14:paraId="22ED0D1A">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ED44A5B">
            <w:pPr>
              <w:pStyle w:val="506"/>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79D4A00">
            <w:pPr>
              <w:jc w:val="center"/>
              <w:rPr>
                <w:rFonts w:ascii="宋体" w:hAnsi="宋体" w:cs="宋体"/>
                <w:szCs w:val="21"/>
              </w:rPr>
            </w:pPr>
          </w:p>
        </w:tc>
        <w:tc>
          <w:tcPr>
            <w:tcW w:w="1990" w:type="dxa"/>
            <w:gridSpan w:val="2"/>
            <w:vAlign w:val="center"/>
          </w:tcPr>
          <w:p w14:paraId="0D68E6F5">
            <w:pPr>
              <w:jc w:val="center"/>
              <w:rPr>
                <w:rFonts w:ascii="宋体" w:hAnsi="宋体" w:cs="宋体"/>
                <w:szCs w:val="21"/>
              </w:rPr>
            </w:pPr>
          </w:p>
        </w:tc>
        <w:tc>
          <w:tcPr>
            <w:tcW w:w="1499" w:type="dxa"/>
            <w:vAlign w:val="center"/>
          </w:tcPr>
          <w:p w14:paraId="6699827A">
            <w:pPr>
              <w:jc w:val="center"/>
              <w:rPr>
                <w:rFonts w:ascii="宋体" w:hAnsi="宋体" w:cs="宋体"/>
                <w:szCs w:val="21"/>
              </w:rPr>
            </w:pPr>
          </w:p>
        </w:tc>
        <w:tc>
          <w:tcPr>
            <w:tcW w:w="1489" w:type="dxa"/>
            <w:vAlign w:val="center"/>
          </w:tcPr>
          <w:p w14:paraId="4B82E900">
            <w:pPr>
              <w:jc w:val="center"/>
              <w:rPr>
                <w:rFonts w:ascii="宋体" w:hAnsi="宋体" w:cs="宋体"/>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BD23A3">
            <w:pPr>
              <w:pStyle w:val="506"/>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E48DEB1">
            <w:pPr>
              <w:pStyle w:val="506"/>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ascii="宋体" w:hAnsi="宋体" w:cs="宋体"/>
                <w:szCs w:val="21"/>
              </w:rPr>
            </w:pPr>
          </w:p>
        </w:tc>
        <w:tc>
          <w:tcPr>
            <w:tcW w:w="1990" w:type="dxa"/>
            <w:gridSpan w:val="2"/>
            <w:vAlign w:val="center"/>
          </w:tcPr>
          <w:p w14:paraId="68E1D0CB">
            <w:pPr>
              <w:jc w:val="center"/>
              <w:rPr>
                <w:rFonts w:ascii="宋体" w:hAnsi="宋体" w:cs="宋体"/>
                <w:szCs w:val="21"/>
              </w:rPr>
            </w:pPr>
          </w:p>
        </w:tc>
        <w:tc>
          <w:tcPr>
            <w:tcW w:w="1499" w:type="dxa"/>
            <w:vAlign w:val="center"/>
          </w:tcPr>
          <w:p w14:paraId="3503A941">
            <w:pPr>
              <w:jc w:val="center"/>
              <w:rPr>
                <w:rFonts w:ascii="宋体" w:hAnsi="宋体" w:cs="宋体"/>
                <w:szCs w:val="21"/>
              </w:rPr>
            </w:pPr>
          </w:p>
        </w:tc>
        <w:tc>
          <w:tcPr>
            <w:tcW w:w="1489" w:type="dxa"/>
            <w:vAlign w:val="center"/>
          </w:tcPr>
          <w:p w14:paraId="7386524E">
            <w:pPr>
              <w:jc w:val="center"/>
              <w:rPr>
                <w:rFonts w:ascii="宋体" w:hAnsi="宋体" w:cs="宋体"/>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443EEF">
            <w:pPr>
              <w:pStyle w:val="506"/>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FA12FE0">
            <w:pPr>
              <w:pStyle w:val="506"/>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ascii="宋体" w:hAnsi="宋体" w:cs="宋体"/>
                <w:szCs w:val="21"/>
              </w:rPr>
            </w:pPr>
          </w:p>
        </w:tc>
        <w:tc>
          <w:tcPr>
            <w:tcW w:w="1990" w:type="dxa"/>
            <w:gridSpan w:val="2"/>
            <w:vAlign w:val="center"/>
          </w:tcPr>
          <w:p w14:paraId="0C4092B4">
            <w:pPr>
              <w:jc w:val="center"/>
              <w:rPr>
                <w:rFonts w:ascii="宋体" w:hAnsi="宋体" w:cs="宋体"/>
                <w:szCs w:val="21"/>
              </w:rPr>
            </w:pPr>
          </w:p>
        </w:tc>
        <w:tc>
          <w:tcPr>
            <w:tcW w:w="1499" w:type="dxa"/>
            <w:vAlign w:val="center"/>
          </w:tcPr>
          <w:p w14:paraId="57254C43">
            <w:pPr>
              <w:jc w:val="center"/>
              <w:rPr>
                <w:rFonts w:ascii="宋体" w:hAnsi="宋体" w:cs="宋体"/>
                <w:szCs w:val="21"/>
              </w:rPr>
            </w:pPr>
          </w:p>
        </w:tc>
        <w:tc>
          <w:tcPr>
            <w:tcW w:w="1489" w:type="dxa"/>
            <w:vAlign w:val="center"/>
          </w:tcPr>
          <w:p w14:paraId="634926F0">
            <w:pPr>
              <w:jc w:val="center"/>
              <w:rPr>
                <w:rFonts w:ascii="宋体" w:hAnsi="宋体" w:cs="宋体"/>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F9E035">
            <w:pPr>
              <w:pStyle w:val="506"/>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6BEAF2D">
            <w:pPr>
              <w:pStyle w:val="506"/>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ascii="宋体" w:hAnsi="宋体" w:cs="宋体"/>
                <w:szCs w:val="21"/>
              </w:rPr>
            </w:pPr>
          </w:p>
        </w:tc>
        <w:tc>
          <w:tcPr>
            <w:tcW w:w="1990" w:type="dxa"/>
            <w:gridSpan w:val="2"/>
            <w:vAlign w:val="center"/>
          </w:tcPr>
          <w:p w14:paraId="2F225A45">
            <w:pPr>
              <w:jc w:val="center"/>
              <w:rPr>
                <w:rFonts w:ascii="宋体" w:hAnsi="宋体" w:cs="宋体"/>
                <w:szCs w:val="21"/>
              </w:rPr>
            </w:pPr>
          </w:p>
        </w:tc>
        <w:tc>
          <w:tcPr>
            <w:tcW w:w="1499" w:type="dxa"/>
            <w:vAlign w:val="center"/>
          </w:tcPr>
          <w:p w14:paraId="5CDC1632">
            <w:pPr>
              <w:jc w:val="center"/>
              <w:rPr>
                <w:rFonts w:ascii="宋体" w:hAnsi="宋体" w:cs="宋体"/>
                <w:szCs w:val="21"/>
              </w:rPr>
            </w:pPr>
          </w:p>
        </w:tc>
        <w:tc>
          <w:tcPr>
            <w:tcW w:w="1489" w:type="dxa"/>
            <w:vAlign w:val="center"/>
          </w:tcPr>
          <w:p w14:paraId="6C1DAEF4">
            <w:pPr>
              <w:jc w:val="center"/>
              <w:rPr>
                <w:rFonts w:ascii="宋体" w:hAnsi="宋体" w:cs="宋体"/>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2EE0E2">
            <w:pPr>
              <w:pStyle w:val="506"/>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FB327F7">
            <w:pPr>
              <w:pStyle w:val="506"/>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ascii="宋体" w:hAnsi="宋体" w:cs="宋体"/>
                <w:szCs w:val="21"/>
              </w:rPr>
            </w:pPr>
          </w:p>
        </w:tc>
        <w:tc>
          <w:tcPr>
            <w:tcW w:w="1990" w:type="dxa"/>
            <w:gridSpan w:val="2"/>
            <w:vAlign w:val="center"/>
          </w:tcPr>
          <w:p w14:paraId="1769ED68">
            <w:pPr>
              <w:jc w:val="center"/>
              <w:rPr>
                <w:rFonts w:ascii="宋体" w:hAnsi="宋体" w:cs="宋体"/>
                <w:szCs w:val="21"/>
              </w:rPr>
            </w:pPr>
          </w:p>
        </w:tc>
        <w:tc>
          <w:tcPr>
            <w:tcW w:w="1499" w:type="dxa"/>
            <w:vAlign w:val="center"/>
          </w:tcPr>
          <w:p w14:paraId="5235ADE0">
            <w:pPr>
              <w:jc w:val="center"/>
              <w:rPr>
                <w:rFonts w:ascii="宋体" w:hAnsi="宋体" w:cs="宋体"/>
                <w:szCs w:val="21"/>
              </w:rPr>
            </w:pPr>
          </w:p>
        </w:tc>
        <w:tc>
          <w:tcPr>
            <w:tcW w:w="1489" w:type="dxa"/>
            <w:vAlign w:val="center"/>
          </w:tcPr>
          <w:p w14:paraId="7200EB7B">
            <w:pPr>
              <w:jc w:val="center"/>
              <w:rPr>
                <w:rFonts w:ascii="宋体" w:hAnsi="宋体" w:cs="宋体"/>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6"/>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6"/>
              <w:numPr>
                <w:ilvl w:val="0"/>
                <w:numId w:val="9"/>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9"/>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BC3A07">
            <w:pPr>
              <w:pStyle w:val="506"/>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5CF3AB">
            <w:pPr>
              <w:pStyle w:val="506"/>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33A2A25">
            <w:pPr>
              <w:pStyle w:val="506"/>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B95A4FD">
            <w:pPr>
              <w:pStyle w:val="506"/>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0D93487E">
            <w:pPr>
              <w:pStyle w:val="506"/>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41F29A10">
            <w:pPr>
              <w:spacing w:line="290" w:lineRule="auto"/>
              <w:rPr>
                <w:rFonts w:ascii="宋体" w:hAnsi="宋体" w:cs="宋体"/>
                <w:szCs w:val="21"/>
              </w:rPr>
            </w:pPr>
          </w:p>
          <w:p w14:paraId="43686953">
            <w:pPr>
              <w:spacing w:line="290" w:lineRule="auto"/>
              <w:rPr>
                <w:rFonts w:ascii="宋体" w:hAnsi="宋体" w:cs="宋体"/>
                <w:szCs w:val="21"/>
              </w:rPr>
            </w:pPr>
          </w:p>
          <w:p w14:paraId="49442C45">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1DBB48A">
            <w:pPr>
              <w:spacing w:line="274" w:lineRule="auto"/>
              <w:rPr>
                <w:rFonts w:ascii="宋体" w:hAnsi="宋体" w:cs="宋体"/>
                <w:szCs w:val="21"/>
              </w:rPr>
            </w:pPr>
          </w:p>
          <w:p w14:paraId="19CEED89">
            <w:pPr>
              <w:spacing w:line="274" w:lineRule="auto"/>
              <w:rPr>
                <w:rFonts w:ascii="宋体" w:hAnsi="宋体" w:cs="宋体"/>
                <w:szCs w:val="21"/>
              </w:rPr>
            </w:pPr>
          </w:p>
          <w:p w14:paraId="2DFB45DB">
            <w:pPr>
              <w:pStyle w:val="506"/>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ascii="宋体" w:hAnsi="宋体" w:cs="宋体"/>
                <w:szCs w:val="21"/>
              </w:rPr>
            </w:pPr>
          </w:p>
        </w:tc>
        <w:tc>
          <w:tcPr>
            <w:tcW w:w="4187" w:type="dxa"/>
            <w:gridSpan w:val="3"/>
            <w:vAlign w:val="center"/>
          </w:tcPr>
          <w:p w14:paraId="48A63E46">
            <w:pPr>
              <w:pStyle w:val="506"/>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536D4E5">
            <w:pPr>
              <w:pStyle w:val="506"/>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79753B0">
            <w:pPr>
              <w:pStyle w:val="506"/>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ascii="宋体" w:hAnsi="宋体" w:cs="宋体"/>
                <w:szCs w:val="21"/>
              </w:rPr>
            </w:pPr>
          </w:p>
        </w:tc>
        <w:tc>
          <w:tcPr>
            <w:tcW w:w="4187" w:type="dxa"/>
            <w:gridSpan w:val="3"/>
          </w:tcPr>
          <w:p w14:paraId="6FB92B34">
            <w:pPr>
              <w:pStyle w:val="506"/>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FE0455">
            <w:pPr>
              <w:pStyle w:val="506"/>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120ACC84">
      <w:pPr>
        <w:spacing w:line="360" w:lineRule="auto"/>
        <w:rPr>
          <w:rFonts w:ascii="宋体" w:hAnsi="宋体" w:cs="宋体"/>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ascii="宋体" w:hAnsi="宋体" w:cs="宋体"/>
          <w:b/>
          <w:bCs/>
          <w:highlight w:val="yellow"/>
        </w:rPr>
      </w:pPr>
    </w:p>
    <w:p w14:paraId="2AB94773">
      <w:pPr>
        <w:pStyle w:val="4"/>
        <w:spacing w:line="400" w:lineRule="exact"/>
        <w:rPr>
          <w:rFonts w:ascii="仿宋" w:hAnsi="仿宋" w:eastAsia="仿宋"/>
        </w:rPr>
      </w:pPr>
      <w:r>
        <w:rPr>
          <w:rFonts w:hint="eastAsia" w:ascii="仿宋" w:hAnsi="仿宋" w:eastAsia="仿宋"/>
        </w:rPr>
        <w:t>个人社保缴纳明细截图</w:t>
      </w:r>
    </w:p>
    <w:p w14:paraId="0EEA6739">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2007BB5D">
      <w:pPr>
        <w:spacing w:line="560" w:lineRule="exact"/>
        <w:rPr>
          <w:rFonts w:ascii="宋体" w:hAnsi="宋体" w:cs="宋体"/>
          <w:szCs w:val="21"/>
        </w:rPr>
      </w:pPr>
    </w:p>
    <w:p w14:paraId="0BB444EC">
      <w:pPr>
        <w:spacing w:line="560" w:lineRule="exact"/>
        <w:rPr>
          <w:rFonts w:ascii="宋体" w:hAnsi="宋体" w:cs="宋体"/>
          <w:szCs w:val="21"/>
        </w:rPr>
      </w:pPr>
    </w:p>
    <w:p w14:paraId="3DE9C3AE">
      <w:pPr>
        <w:spacing w:line="560" w:lineRule="exact"/>
        <w:rPr>
          <w:rFonts w:ascii="宋体" w:hAnsi="宋体" w:cs="宋体"/>
          <w:szCs w:val="21"/>
        </w:rPr>
      </w:pPr>
      <w:r>
        <w:rPr>
          <w:rFonts w:hint="eastAsia" w:ascii="宋体" w:hAnsi="宋体" w:cs="宋体"/>
          <w:szCs w:val="21"/>
        </w:rPr>
        <w:t>2、项目投标授权代表人</w:t>
      </w:r>
    </w:p>
    <w:p w14:paraId="3C34B76E">
      <w:pPr>
        <w:spacing w:line="560" w:lineRule="exact"/>
        <w:rPr>
          <w:rFonts w:ascii="宋体" w:hAnsi="宋体" w:cs="宋体"/>
          <w:szCs w:val="21"/>
        </w:rPr>
      </w:pPr>
    </w:p>
    <w:p w14:paraId="2A7737DE">
      <w:pPr>
        <w:spacing w:line="560" w:lineRule="exact"/>
        <w:rPr>
          <w:rFonts w:ascii="宋体" w:hAnsi="宋体" w:cs="宋体"/>
          <w:szCs w:val="21"/>
        </w:rPr>
      </w:pPr>
    </w:p>
    <w:p w14:paraId="0CB76236">
      <w:pPr>
        <w:spacing w:line="560" w:lineRule="exact"/>
        <w:rPr>
          <w:rFonts w:ascii="宋体" w:hAnsi="宋体" w:cs="宋体"/>
          <w:szCs w:val="21"/>
        </w:rPr>
      </w:pPr>
      <w:r>
        <w:rPr>
          <w:rFonts w:hint="eastAsia" w:ascii="宋体" w:hAnsi="宋体" w:cs="宋体"/>
          <w:szCs w:val="21"/>
        </w:rPr>
        <w:t>3、项目负责人</w:t>
      </w:r>
    </w:p>
    <w:p w14:paraId="6AC77FF1">
      <w:pPr>
        <w:spacing w:line="560" w:lineRule="exact"/>
        <w:rPr>
          <w:rFonts w:ascii="宋体" w:hAnsi="宋体" w:cs="宋体"/>
          <w:szCs w:val="21"/>
        </w:rPr>
      </w:pPr>
    </w:p>
    <w:p w14:paraId="18676606">
      <w:pPr>
        <w:spacing w:line="560" w:lineRule="exact"/>
        <w:rPr>
          <w:rFonts w:ascii="宋体" w:hAnsi="宋体" w:cs="宋体"/>
          <w:szCs w:val="21"/>
        </w:rPr>
      </w:pPr>
    </w:p>
    <w:p w14:paraId="2517DF59">
      <w:pPr>
        <w:spacing w:line="560" w:lineRule="exact"/>
        <w:rPr>
          <w:rFonts w:ascii="宋体" w:hAnsi="宋体" w:cs="宋体"/>
          <w:szCs w:val="21"/>
        </w:rPr>
      </w:pPr>
      <w:r>
        <w:rPr>
          <w:rFonts w:hint="eastAsia" w:ascii="宋体" w:hAnsi="宋体" w:cs="宋体"/>
          <w:szCs w:val="21"/>
        </w:rPr>
        <w:t>4、主要技术人员</w:t>
      </w:r>
    </w:p>
    <w:p w14:paraId="391F3EE0">
      <w:pPr>
        <w:spacing w:line="560" w:lineRule="exact"/>
        <w:rPr>
          <w:rFonts w:ascii="宋体" w:hAnsi="宋体" w:cs="宋体"/>
          <w:szCs w:val="21"/>
        </w:rPr>
      </w:pPr>
    </w:p>
    <w:p w14:paraId="194A8535">
      <w:pPr>
        <w:spacing w:line="560" w:lineRule="exact"/>
        <w:rPr>
          <w:rFonts w:ascii="宋体" w:hAnsi="宋体" w:cs="宋体"/>
          <w:szCs w:val="21"/>
        </w:rPr>
      </w:pPr>
    </w:p>
    <w:p w14:paraId="04D4EA3C">
      <w:pPr>
        <w:numPr>
          <w:ilvl w:val="0"/>
          <w:numId w:val="10"/>
        </w:numPr>
        <w:spacing w:line="560" w:lineRule="exact"/>
        <w:rPr>
          <w:rFonts w:ascii="宋体" w:hAnsi="宋体" w:cs="宋体"/>
          <w:spacing w:val="-2"/>
          <w:szCs w:val="21"/>
        </w:rPr>
      </w:pPr>
      <w:r>
        <w:rPr>
          <w:rFonts w:hint="eastAsia" w:ascii="宋体" w:hAnsi="宋体" w:cs="宋体"/>
          <w:spacing w:val="-2"/>
          <w:szCs w:val="21"/>
        </w:rPr>
        <w:t>投标文件编制人员</w:t>
      </w:r>
    </w:p>
    <w:p w14:paraId="2446F72E">
      <w:pPr>
        <w:spacing w:line="560" w:lineRule="exact"/>
        <w:rPr>
          <w:rFonts w:ascii="宋体" w:hAnsi="宋体" w:cs="宋体"/>
          <w:spacing w:val="-2"/>
          <w:szCs w:val="21"/>
        </w:rPr>
      </w:pPr>
    </w:p>
    <w:p w14:paraId="6E305D79">
      <w:pPr>
        <w:spacing w:line="560" w:lineRule="exact"/>
        <w:rPr>
          <w:rFonts w:ascii="宋体" w:hAnsi="宋体" w:cs="宋体"/>
          <w:szCs w:val="21"/>
        </w:rPr>
      </w:pPr>
    </w:p>
    <w:p w14:paraId="19BD2160">
      <w:pPr>
        <w:spacing w:line="560" w:lineRule="exact"/>
        <w:rPr>
          <w:rFonts w:ascii="宋体" w:hAnsi="宋体" w:cs="宋体"/>
          <w:szCs w:val="21"/>
        </w:rPr>
      </w:pPr>
      <w:r>
        <w:rPr>
          <w:rFonts w:hint="eastAsia" w:ascii="宋体" w:hAnsi="宋体" w:cs="宋体"/>
          <w:szCs w:val="21"/>
        </w:rPr>
        <w:t>其他说明材料：(可以根据项目情况增添附件)</w:t>
      </w:r>
    </w:p>
    <w:p w14:paraId="10877909">
      <w:pPr>
        <w:pStyle w:val="4"/>
      </w:pPr>
    </w:p>
    <w:p w14:paraId="7A8041D1">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5665F87D">
      <w:pPr>
        <w:spacing w:line="560" w:lineRule="exact"/>
        <w:ind w:firstLine="420" w:firstLineChars="200"/>
        <w:rPr>
          <w:rFonts w:ascii="宋体" w:hAnsi="宋体" w:cs="宋体"/>
          <w:szCs w:val="21"/>
        </w:rPr>
      </w:pPr>
    </w:p>
    <w:p w14:paraId="56163C9A"/>
    <w:p w14:paraId="563DB24F">
      <w:pPr>
        <w:rPr>
          <w:rFonts w:asciiTheme="minorEastAsia" w:hAnsiTheme="minorEastAsia" w:eastAsiaTheme="minorEastAsia"/>
        </w:rPr>
      </w:pPr>
      <w:bookmarkStart w:id="55" w:name="_Toc135293343"/>
      <w:bookmarkStart w:id="56" w:name="_Toc44690705"/>
      <w:bookmarkStart w:id="57" w:name="_Toc44691396"/>
      <w:bookmarkStart w:id="58" w:name="_Toc44690432"/>
      <w:bookmarkStart w:id="59" w:name="_Toc44691164"/>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5"/>
      <w:bookmarkEnd w:id="56"/>
      <w:bookmarkEnd w:id="57"/>
      <w:bookmarkEnd w:id="58"/>
      <w:bookmarkEnd w:id="59"/>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asciiTheme="minorEastAsia" w:hAnsiTheme="minorEastAsia" w:eastAsiaTheme="minorEastAsia"/>
          <w:snapToGrid w:val="0"/>
        </w:rPr>
      </w:pPr>
    </w:p>
    <w:p w14:paraId="248FAC0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412EB852"/>
    <w:p w14:paraId="0411840B">
      <w:pPr>
        <w:adjustRightInd w:val="0"/>
        <w:snapToGrid w:val="0"/>
        <w:spacing w:line="360" w:lineRule="auto"/>
        <w:ind w:firstLine="424" w:firstLineChars="202"/>
        <w:rPr>
          <w:rFonts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投标单位：（加盖公章）</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pPr>
      <w:r>
        <w:rPr>
          <w:rFonts w:hint="eastAsia" w:ascii="宋体" w:hAnsi="宋体"/>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ascii="楷体_GB2312" w:eastAsia="楷体_GB2312"/>
          <w:b/>
          <w:bCs/>
          <w:snapToGrid w:val="0"/>
          <w:kern w:val="0"/>
          <w:sz w:val="24"/>
        </w:rPr>
      </w:pPr>
    </w:p>
    <w:p w14:paraId="0AA2BED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0" w:name="_Toc135293344"/>
      <w:r>
        <w:rPr>
          <w:rFonts w:hint="eastAsia" w:asciiTheme="minorEastAsia" w:hAnsiTheme="minorEastAsia" w:eastAsiaTheme="minorEastAsia"/>
        </w:rPr>
        <w:t>格式2  法定代表人（负责人）证明书及授权委托书</w:t>
      </w:r>
      <w:bookmarkEnd w:id="60"/>
    </w:p>
    <w:p w14:paraId="70922648">
      <w:pPr>
        <w:adjustRightInd w:val="0"/>
        <w:snapToGrid w:val="0"/>
        <w:spacing w:line="300" w:lineRule="auto"/>
        <w:jc w:val="center"/>
        <w:rPr>
          <w:b/>
          <w:snapToGrid w:val="0"/>
          <w:sz w:val="32"/>
          <w:szCs w:val="32"/>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b/>
          <w:bCs/>
          <w:sz w:val="28"/>
        </w:rPr>
      </w:pPr>
    </w:p>
    <w:p w14:paraId="595965DC">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61"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61"/>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62"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2"/>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3" w:name="_Toc135293346"/>
      <w:r>
        <w:rPr>
          <w:rFonts w:hint="eastAsia" w:asciiTheme="minorEastAsia" w:hAnsiTheme="minorEastAsia" w:eastAsiaTheme="minorEastAsia"/>
        </w:rPr>
        <w:t>格式4  评分中涉及的承诺及声明函</w:t>
      </w:r>
      <w:bookmarkEnd w:id="63"/>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4" w:name="_Hlk71925120"/>
      <w:r>
        <w:rPr>
          <w:rFonts w:hint="eastAsia" w:asciiTheme="minorEastAsia" w:hAnsiTheme="minorEastAsia" w:eastAsiaTheme="minorEastAsia"/>
          <w:kern w:val="0"/>
          <w:szCs w:val="21"/>
        </w:rPr>
        <w:t>《关于印发中小企业划型标准规定的通知》（工信部联企业〔2011〕300 号</w:t>
      </w:r>
      <w:bookmarkEnd w:id="64"/>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F3B82F">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3"/>
        <w:tabs>
          <w:tab w:val="left" w:pos="371"/>
        </w:tabs>
        <w:spacing w:before="120" w:after="120"/>
        <w:ind w:left="-1" w:leftChars="-1" w:hanging="1"/>
        <w:jc w:val="center"/>
        <w:rPr>
          <w:rFonts w:asciiTheme="minorEastAsia" w:hAnsiTheme="minorEastAsia" w:eastAsiaTheme="minorEastAsia"/>
        </w:rPr>
      </w:pPr>
      <w:bookmarkStart w:id="65" w:name="_Toc44691397"/>
      <w:bookmarkStart w:id="66" w:name="_Toc44691165"/>
      <w:bookmarkStart w:id="67" w:name="_Toc135293347"/>
      <w:bookmarkStart w:id="68" w:name="_Toc44690433"/>
      <w:bookmarkStart w:id="69" w:name="_Toc44690706"/>
      <w:r>
        <w:rPr>
          <w:rFonts w:hint="eastAsia" w:asciiTheme="minorEastAsia" w:hAnsiTheme="minorEastAsia" w:eastAsiaTheme="minorEastAsia"/>
        </w:rPr>
        <w:t>格式5  开标一览表</w:t>
      </w:r>
      <w:bookmarkEnd w:id="65"/>
      <w:bookmarkEnd w:id="66"/>
      <w:bookmarkEnd w:id="67"/>
      <w:bookmarkEnd w:id="68"/>
      <w:bookmarkEnd w:id="69"/>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pPr>
            <w:r>
              <w:rPr>
                <w:rFonts w:hint="eastAsia"/>
              </w:rPr>
              <w:t>深圳市第七高级中学虚拟化软件采购</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70" w:name="_Toc44691398"/>
      <w:bookmarkStart w:id="71" w:name="_Toc135293348"/>
      <w:bookmarkStart w:id="72" w:name="_Toc44690707"/>
      <w:bookmarkStart w:id="73" w:name="_Toc44691166"/>
      <w:bookmarkStart w:id="74" w:name="_Toc44690434"/>
      <w:r>
        <w:rPr>
          <w:rFonts w:hint="eastAsia" w:asciiTheme="minorEastAsia" w:hAnsiTheme="minorEastAsia" w:eastAsiaTheme="minorEastAsia"/>
        </w:rPr>
        <w:t>格式6  报价表</w:t>
      </w:r>
      <w:bookmarkEnd w:id="70"/>
      <w:bookmarkEnd w:id="71"/>
      <w:bookmarkEnd w:id="72"/>
      <w:bookmarkEnd w:id="73"/>
      <w:bookmarkEnd w:id="74"/>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投标单位：（加盖公章）</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5" w:name="_Toc44690435"/>
      <w:bookmarkStart w:id="76" w:name="_Toc44691399"/>
      <w:bookmarkStart w:id="77" w:name="_Toc44690708"/>
      <w:bookmarkStart w:id="78" w:name="_Toc44691167"/>
    </w:p>
    <w:p w14:paraId="6766738A">
      <w:pPr>
        <w:rPr>
          <w:rFonts w:asciiTheme="minorEastAsia" w:hAnsiTheme="minorEastAsia" w:eastAsiaTheme="minorEastAsia"/>
        </w:rPr>
      </w:pPr>
      <w:bookmarkStart w:id="79"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5"/>
      <w:bookmarkEnd w:id="76"/>
      <w:bookmarkEnd w:id="77"/>
      <w:bookmarkEnd w:id="78"/>
      <w:bookmarkEnd w:id="79"/>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80"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80"/>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81" w:name="_Toc44690436"/>
      <w:bookmarkStart w:id="82" w:name="_Toc44691400"/>
      <w:bookmarkStart w:id="83" w:name="_Toc44690709"/>
      <w:bookmarkStart w:id="84" w:name="_Toc44691168"/>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5" w:name="_Toc135293351"/>
      <w:r>
        <w:rPr>
          <w:rFonts w:hint="eastAsia" w:asciiTheme="minorEastAsia" w:hAnsiTheme="minorEastAsia" w:eastAsiaTheme="minorEastAsia"/>
        </w:rPr>
        <w:t>格式9  售后服务和质量承诺</w:t>
      </w:r>
      <w:bookmarkEnd w:id="81"/>
      <w:bookmarkEnd w:id="82"/>
      <w:bookmarkEnd w:id="83"/>
      <w:bookmarkEnd w:id="84"/>
      <w:bookmarkEnd w:id="85"/>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6" w:name="_格式3__"/>
      <w:bookmarkEnd w:id="86"/>
      <w:bookmarkStart w:id="87" w:name="_格式4__"/>
      <w:bookmarkEnd w:id="87"/>
      <w:bookmarkStart w:id="88" w:name="q15"/>
      <w:bookmarkEnd w:id="88"/>
      <w:bookmarkStart w:id="89" w:name="q16"/>
      <w:bookmarkEnd w:id="89"/>
      <w:bookmarkStart w:id="90" w:name="_格式5__"/>
      <w:bookmarkEnd w:id="90"/>
      <w:bookmarkStart w:id="91" w:name="q17"/>
      <w:bookmarkEnd w:id="91"/>
      <w:bookmarkStart w:id="92" w:name="_格式2__投标保证金凭证"/>
      <w:bookmarkEnd w:id="92"/>
      <w:r>
        <w:rPr>
          <w:rFonts w:asciiTheme="minorEastAsia" w:hAnsiTheme="minorEastAsia" w:eastAsiaTheme="minorEastAsia"/>
        </w:rPr>
        <w:tab/>
      </w:r>
      <w:bookmarkStart w:id="93" w:name="_Toc44691401"/>
      <w:bookmarkStart w:id="94" w:name="_Toc44690437"/>
      <w:bookmarkStart w:id="95" w:name="_Toc44691169"/>
      <w:bookmarkStart w:id="96" w:name="_Toc44690710"/>
      <w:bookmarkStart w:id="97" w:name="_Toc135293352"/>
      <w:r>
        <w:rPr>
          <w:rFonts w:hint="eastAsia" w:asciiTheme="minorEastAsia" w:hAnsiTheme="minorEastAsia" w:eastAsiaTheme="minorEastAsia"/>
        </w:rPr>
        <w:t>格式10  投标人情况介绍</w:t>
      </w:r>
      <w:bookmarkEnd w:id="93"/>
      <w:bookmarkEnd w:id="94"/>
      <w:bookmarkEnd w:id="95"/>
      <w:bookmarkEnd w:id="96"/>
      <w:bookmarkEnd w:id="97"/>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33F92D1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8" w:name="_格式7__投标人资格声明"/>
      <w:bookmarkEnd w:id="98"/>
      <w:bookmarkStart w:id="99"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100" w:name="_Toc135293353"/>
      <w:r>
        <w:rPr>
          <w:rFonts w:hint="eastAsia" w:asciiTheme="minorEastAsia" w:hAnsiTheme="minorEastAsia" w:eastAsiaTheme="minorEastAsia"/>
        </w:rPr>
        <w:t>格式11  偏离表</w:t>
      </w:r>
      <w:bookmarkEnd w:id="100"/>
    </w:p>
    <w:bookmarkEnd w:id="99"/>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101"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01"/>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102" w:name="_Toc135293355"/>
      <w:r>
        <w:rPr>
          <w:rFonts w:hint="eastAsia"/>
        </w:rPr>
        <w:t>第八章  合同条款</w:t>
      </w:r>
      <w:bookmarkEnd w:id="102"/>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3" w:name="_Toc135293356"/>
      <w:r>
        <w:rPr>
          <w:rFonts w:hint="eastAsia"/>
        </w:rPr>
        <w:t>第九章  附件</w:t>
      </w:r>
      <w:bookmarkEnd w:id="103"/>
    </w:p>
    <w:p w14:paraId="0FD850FA">
      <w:pPr>
        <w:pStyle w:val="4"/>
        <w:spacing w:before="0" w:after="0"/>
      </w:pPr>
      <w:bookmarkStart w:id="104" w:name="_Toc73613644"/>
      <w:bookmarkStart w:id="105" w:name="_Toc73610162"/>
      <w:bookmarkStart w:id="106" w:name="_Toc135293357"/>
      <w:r>
        <w:rPr>
          <w:rFonts w:hint="eastAsia"/>
        </w:rPr>
        <w:t>一、财政部 工业和信息化部关于印发《政府采购促进中小企业发展管理办法》的通知</w:t>
      </w:r>
      <w:bookmarkEnd w:id="104"/>
      <w:bookmarkEnd w:id="105"/>
      <w:bookmarkEnd w:id="106"/>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7" w:name="_Toc73610163"/>
      <w:bookmarkStart w:id="108" w:name="_Toc73613645"/>
      <w:bookmarkStart w:id="109" w:name="_Toc135293358"/>
      <w:r>
        <w:rPr>
          <w:rFonts w:hint="eastAsia"/>
        </w:rPr>
        <w:t>二、关于印发中小企业划型标准规定的通知</w:t>
      </w:r>
      <w:bookmarkEnd w:id="107"/>
      <w:bookmarkEnd w:id="108"/>
      <w:bookmarkEnd w:id="109"/>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10" w:name="_Toc135293359"/>
      <w:bookmarkStart w:id="111" w:name="_Toc73613646"/>
      <w:bookmarkStart w:id="112" w:name="_Toc73610164"/>
      <w:r>
        <w:rPr>
          <w:rFonts w:hint="eastAsia"/>
        </w:rPr>
        <w:t>三、</w:t>
      </w:r>
      <w:r>
        <w:t>国家统计局关于印发《统计上大中小微型企业划分办法 （2017）》的通知</w:t>
      </w:r>
      <w:bookmarkEnd w:id="110"/>
      <w:bookmarkEnd w:id="111"/>
      <w:bookmarkEnd w:id="112"/>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3" w:name="_Toc135293360"/>
      <w:bookmarkStart w:id="114" w:name="_Toc73613647"/>
      <w:bookmarkStart w:id="115" w:name="_Toc73610165"/>
      <w:r>
        <w:rPr>
          <w:rFonts w:hint="eastAsia"/>
        </w:rPr>
        <w:t>四、</w:t>
      </w:r>
      <w:r>
        <w:t>财政部 民政部 中国残疾人联合会关于促进残疾人就业 政府采购政策的通知</w:t>
      </w:r>
      <w:bookmarkEnd w:id="113"/>
      <w:bookmarkEnd w:id="114"/>
      <w:bookmarkEnd w:id="115"/>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6" w:name="_Toc135293361"/>
      <w:r>
        <w:rPr>
          <w:rFonts w:hint="eastAsia"/>
        </w:rPr>
        <w:t>五、财政部 司法部关于政府采购支持监狱企业发展有关问题的通知</w:t>
      </w:r>
      <w:bookmarkEnd w:id="116"/>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96</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项目名称：深圳市第七高级中学虚拟化软件采购                                      项目编号：SZZZ2025-QA0051</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DE08B50"/>
    <w:multiLevelType w:val="singleLevel"/>
    <w:tmpl w:val="4DE08B50"/>
    <w:lvl w:ilvl="0" w:tentative="0">
      <w:start w:val="1"/>
      <w:numFmt w:val="decimal"/>
      <w:suff w:val="nothing"/>
      <w:lvlText w:val="（%1）"/>
      <w:lvlJc w:val="left"/>
    </w:lvl>
  </w:abstractNum>
  <w:abstractNum w:abstractNumId="8">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9">
    <w:nsid w:val="719B6B26"/>
    <w:multiLevelType w:val="singleLevel"/>
    <w:tmpl w:val="719B6B26"/>
    <w:lvl w:ilvl="0" w:tentative="0">
      <w:start w:val="1"/>
      <w:numFmt w:val="decimal"/>
      <w:suff w:val="nothing"/>
      <w:lvlText w:val="（%1）"/>
      <w:lvlJc w:val="left"/>
    </w:lvl>
  </w:abstractNum>
  <w:num w:numId="1">
    <w:abstractNumId w:val="3"/>
  </w:num>
  <w:num w:numId="2">
    <w:abstractNumId w:val="5"/>
  </w:num>
  <w:num w:numId="3">
    <w:abstractNumId w:val="4"/>
  </w:num>
  <w:num w:numId="4">
    <w:abstractNumId w:val="6"/>
  </w:num>
  <w:num w:numId="5">
    <w:abstractNumId w:val="1"/>
  </w:num>
  <w:num w:numId="6">
    <w:abstractNumId w:val="9"/>
  </w:num>
  <w:num w:numId="7">
    <w:abstractNumId w:val="7"/>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1780"/>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1733"/>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5B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28F1C43"/>
    <w:rsid w:val="037773D0"/>
    <w:rsid w:val="041D095D"/>
    <w:rsid w:val="059A3767"/>
    <w:rsid w:val="05C87DB9"/>
    <w:rsid w:val="065754CA"/>
    <w:rsid w:val="08013603"/>
    <w:rsid w:val="0961739E"/>
    <w:rsid w:val="0964409E"/>
    <w:rsid w:val="098E6083"/>
    <w:rsid w:val="0AB84641"/>
    <w:rsid w:val="0B205B2B"/>
    <w:rsid w:val="0B5B3A6A"/>
    <w:rsid w:val="0B782559"/>
    <w:rsid w:val="0B8A1F62"/>
    <w:rsid w:val="0BF820F3"/>
    <w:rsid w:val="0C000225"/>
    <w:rsid w:val="0D566BC9"/>
    <w:rsid w:val="0E180322"/>
    <w:rsid w:val="0E8C4995"/>
    <w:rsid w:val="0EF27BFB"/>
    <w:rsid w:val="0F676546"/>
    <w:rsid w:val="0FBC50EF"/>
    <w:rsid w:val="115F3FD7"/>
    <w:rsid w:val="11A259DD"/>
    <w:rsid w:val="11F936CD"/>
    <w:rsid w:val="120027E5"/>
    <w:rsid w:val="120474A0"/>
    <w:rsid w:val="12693A35"/>
    <w:rsid w:val="13102ABE"/>
    <w:rsid w:val="14C0017C"/>
    <w:rsid w:val="162063B0"/>
    <w:rsid w:val="164B4845"/>
    <w:rsid w:val="167D280D"/>
    <w:rsid w:val="17047766"/>
    <w:rsid w:val="17935895"/>
    <w:rsid w:val="17F52C18"/>
    <w:rsid w:val="184530EF"/>
    <w:rsid w:val="19227A4B"/>
    <w:rsid w:val="19673D38"/>
    <w:rsid w:val="1B3E182A"/>
    <w:rsid w:val="1B4B5195"/>
    <w:rsid w:val="1C0826B8"/>
    <w:rsid w:val="1C174C6F"/>
    <w:rsid w:val="1C7C020D"/>
    <w:rsid w:val="1C8F78BA"/>
    <w:rsid w:val="1C9B0D84"/>
    <w:rsid w:val="1CDD3F3B"/>
    <w:rsid w:val="1D4D6869"/>
    <w:rsid w:val="1E3F2E81"/>
    <w:rsid w:val="21760101"/>
    <w:rsid w:val="218D76F1"/>
    <w:rsid w:val="225F335D"/>
    <w:rsid w:val="22B25284"/>
    <w:rsid w:val="22C07D9F"/>
    <w:rsid w:val="23056CBA"/>
    <w:rsid w:val="234C1E42"/>
    <w:rsid w:val="23636EA1"/>
    <w:rsid w:val="23C6059E"/>
    <w:rsid w:val="23C95079"/>
    <w:rsid w:val="24031A53"/>
    <w:rsid w:val="24307C26"/>
    <w:rsid w:val="248E5D4C"/>
    <w:rsid w:val="24C47897"/>
    <w:rsid w:val="24CF6320"/>
    <w:rsid w:val="24E337F8"/>
    <w:rsid w:val="258D3B57"/>
    <w:rsid w:val="261E01AA"/>
    <w:rsid w:val="262336EE"/>
    <w:rsid w:val="268233C4"/>
    <w:rsid w:val="269E4C0C"/>
    <w:rsid w:val="27024D1A"/>
    <w:rsid w:val="27463B6A"/>
    <w:rsid w:val="29A41135"/>
    <w:rsid w:val="2AD85037"/>
    <w:rsid w:val="2BD0253B"/>
    <w:rsid w:val="2C444480"/>
    <w:rsid w:val="2C564DC3"/>
    <w:rsid w:val="2CA9220C"/>
    <w:rsid w:val="2D142E8B"/>
    <w:rsid w:val="2D6C141D"/>
    <w:rsid w:val="2DA973AD"/>
    <w:rsid w:val="2E4470AA"/>
    <w:rsid w:val="2EB64B4B"/>
    <w:rsid w:val="2EDB590A"/>
    <w:rsid w:val="2F0A29E3"/>
    <w:rsid w:val="2FD62B8E"/>
    <w:rsid w:val="306B5DA3"/>
    <w:rsid w:val="30817D6A"/>
    <w:rsid w:val="31367970"/>
    <w:rsid w:val="3157114E"/>
    <w:rsid w:val="31F2037F"/>
    <w:rsid w:val="320A0AF5"/>
    <w:rsid w:val="329B11F6"/>
    <w:rsid w:val="336E087E"/>
    <w:rsid w:val="33C3087D"/>
    <w:rsid w:val="35961B12"/>
    <w:rsid w:val="359C5D0B"/>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8D362E"/>
    <w:rsid w:val="3CF11603"/>
    <w:rsid w:val="3D6F4D41"/>
    <w:rsid w:val="3D7507FB"/>
    <w:rsid w:val="3D9E3617"/>
    <w:rsid w:val="3EB5127A"/>
    <w:rsid w:val="3F503E5E"/>
    <w:rsid w:val="3FC16214"/>
    <w:rsid w:val="41576FF8"/>
    <w:rsid w:val="41D9164E"/>
    <w:rsid w:val="41DD521D"/>
    <w:rsid w:val="423B7022"/>
    <w:rsid w:val="42BA0E65"/>
    <w:rsid w:val="42F101EE"/>
    <w:rsid w:val="4389060E"/>
    <w:rsid w:val="43C8028A"/>
    <w:rsid w:val="43D51667"/>
    <w:rsid w:val="43DA2D47"/>
    <w:rsid w:val="443B2C25"/>
    <w:rsid w:val="44811914"/>
    <w:rsid w:val="448421F1"/>
    <w:rsid w:val="45D37D9B"/>
    <w:rsid w:val="47ED4EB5"/>
    <w:rsid w:val="48194FD5"/>
    <w:rsid w:val="484514CB"/>
    <w:rsid w:val="48516103"/>
    <w:rsid w:val="48C86EE1"/>
    <w:rsid w:val="49FA6EF8"/>
    <w:rsid w:val="4A784961"/>
    <w:rsid w:val="4ABD2E7A"/>
    <w:rsid w:val="4ACF3A3C"/>
    <w:rsid w:val="4B1700DF"/>
    <w:rsid w:val="4B3C4946"/>
    <w:rsid w:val="4C4030C5"/>
    <w:rsid w:val="4F0F6A19"/>
    <w:rsid w:val="503126A7"/>
    <w:rsid w:val="51D10A66"/>
    <w:rsid w:val="528A390F"/>
    <w:rsid w:val="528C6991"/>
    <w:rsid w:val="53340EEA"/>
    <w:rsid w:val="536743D0"/>
    <w:rsid w:val="539656D1"/>
    <w:rsid w:val="54054633"/>
    <w:rsid w:val="540605E4"/>
    <w:rsid w:val="547F0032"/>
    <w:rsid w:val="54A02A20"/>
    <w:rsid w:val="55C87B3E"/>
    <w:rsid w:val="56804F1E"/>
    <w:rsid w:val="58D67D8C"/>
    <w:rsid w:val="58E10577"/>
    <w:rsid w:val="59165EF7"/>
    <w:rsid w:val="59702A12"/>
    <w:rsid w:val="5AC11BEA"/>
    <w:rsid w:val="5AED2A9C"/>
    <w:rsid w:val="5BC746C9"/>
    <w:rsid w:val="5CC61F72"/>
    <w:rsid w:val="5CDA17A4"/>
    <w:rsid w:val="5CF206F7"/>
    <w:rsid w:val="5E0B3D5F"/>
    <w:rsid w:val="5E6415B9"/>
    <w:rsid w:val="5EA0340D"/>
    <w:rsid w:val="5ED66C3C"/>
    <w:rsid w:val="5F8F25F5"/>
    <w:rsid w:val="5FDD643B"/>
    <w:rsid w:val="607532DC"/>
    <w:rsid w:val="60BA3E42"/>
    <w:rsid w:val="60F20982"/>
    <w:rsid w:val="6194383B"/>
    <w:rsid w:val="619A3159"/>
    <w:rsid w:val="61A14A39"/>
    <w:rsid w:val="61CB5375"/>
    <w:rsid w:val="623348CA"/>
    <w:rsid w:val="62511574"/>
    <w:rsid w:val="65CA685B"/>
    <w:rsid w:val="65CF34A7"/>
    <w:rsid w:val="65F660EF"/>
    <w:rsid w:val="6673798C"/>
    <w:rsid w:val="673905B6"/>
    <w:rsid w:val="681C3942"/>
    <w:rsid w:val="68460AAC"/>
    <w:rsid w:val="68AC1CFE"/>
    <w:rsid w:val="68E4579B"/>
    <w:rsid w:val="69C754B6"/>
    <w:rsid w:val="69F04077"/>
    <w:rsid w:val="6A7F580E"/>
    <w:rsid w:val="6A8070C5"/>
    <w:rsid w:val="6BCD1DE6"/>
    <w:rsid w:val="6C505023"/>
    <w:rsid w:val="6D14299F"/>
    <w:rsid w:val="6D672A1E"/>
    <w:rsid w:val="6DC237D1"/>
    <w:rsid w:val="6F3B3713"/>
    <w:rsid w:val="6F40725E"/>
    <w:rsid w:val="71031C56"/>
    <w:rsid w:val="711172CF"/>
    <w:rsid w:val="71166CCD"/>
    <w:rsid w:val="715816BB"/>
    <w:rsid w:val="71FD54DD"/>
    <w:rsid w:val="72025180"/>
    <w:rsid w:val="72D64389"/>
    <w:rsid w:val="73855BD1"/>
    <w:rsid w:val="7410294D"/>
    <w:rsid w:val="757B0F93"/>
    <w:rsid w:val="7589009F"/>
    <w:rsid w:val="75CC648C"/>
    <w:rsid w:val="75E25B0A"/>
    <w:rsid w:val="76D71644"/>
    <w:rsid w:val="76F45B53"/>
    <w:rsid w:val="771B43E0"/>
    <w:rsid w:val="776C2FB6"/>
    <w:rsid w:val="77741C69"/>
    <w:rsid w:val="780D6D66"/>
    <w:rsid w:val="78395EFD"/>
    <w:rsid w:val="78E85415"/>
    <w:rsid w:val="79982284"/>
    <w:rsid w:val="7998662D"/>
    <w:rsid w:val="79D15C97"/>
    <w:rsid w:val="7A0467A9"/>
    <w:rsid w:val="7A8C5878"/>
    <w:rsid w:val="7B471854"/>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3"/>
    <w:qFormat/>
    <w:uiPriority w:val="0"/>
    <w:rPr>
      <w:b/>
      <w:bCs/>
      <w:kern w:val="2"/>
      <w:sz w:val="24"/>
      <w:szCs w:val="32"/>
    </w:rPr>
  </w:style>
  <w:style w:type="character" w:customStyle="1" w:styleId="60">
    <w:name w:val="标题 1 字符"/>
    <w:basedOn w:val="52"/>
    <w:link w:val="2"/>
    <w:qFormat/>
    <w:uiPriority w:val="0"/>
    <w:rPr>
      <w:rFonts w:eastAsiaTheme="minorEastAsia"/>
      <w:b/>
      <w:kern w:val="44"/>
      <w:sz w:val="44"/>
      <w:szCs w:val="28"/>
    </w:rPr>
  </w:style>
  <w:style w:type="character" w:customStyle="1" w:styleId="61">
    <w:name w:val="标题 2 字符"/>
    <w:basedOn w:val="52"/>
    <w:link w:val="4"/>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qFormat/>
    <w:uiPriority w:val="0"/>
    <w:rPr>
      <w:b/>
      <w:kern w:val="2"/>
      <w:sz w:val="28"/>
      <w:szCs w:val="24"/>
    </w:rPr>
  </w:style>
  <w:style w:type="character" w:customStyle="1" w:styleId="65">
    <w:name w:val="标题 6 字符"/>
    <w:basedOn w:val="52"/>
    <w:link w:val="8"/>
    <w:qFormat/>
    <w:uiPriority w:val="9"/>
    <w:rPr>
      <w:rFonts w:ascii="Arial" w:hAnsi="Arial" w:eastAsia="黑体"/>
      <w:b/>
      <w:kern w:val="2"/>
      <w:sz w:val="24"/>
      <w:szCs w:val="24"/>
    </w:rPr>
  </w:style>
  <w:style w:type="character" w:customStyle="1" w:styleId="66">
    <w:name w:val="标题 7 字符"/>
    <w:basedOn w:val="52"/>
    <w:link w:val="9"/>
    <w:qFormat/>
    <w:uiPriority w:val="9"/>
    <w:rPr>
      <w:b/>
      <w:kern w:val="2"/>
      <w:sz w:val="24"/>
      <w:szCs w:val="24"/>
    </w:rPr>
  </w:style>
  <w:style w:type="character" w:customStyle="1" w:styleId="67">
    <w:name w:val="标题 8 字符"/>
    <w:basedOn w:val="52"/>
    <w:link w:val="10"/>
    <w:qFormat/>
    <w:uiPriority w:val="9"/>
    <w:rPr>
      <w:rFonts w:ascii="Arial" w:hAnsi="Arial" w:eastAsia="黑体"/>
      <w:kern w:val="2"/>
      <w:sz w:val="24"/>
      <w:szCs w:val="24"/>
    </w:rPr>
  </w:style>
  <w:style w:type="character" w:customStyle="1" w:styleId="68">
    <w:name w:val="标题 9 字符"/>
    <w:basedOn w:val="52"/>
    <w:link w:val="11"/>
    <w:qFormat/>
    <w:uiPriority w:val="0"/>
    <w:rPr>
      <w:rFonts w:ascii="Arial" w:hAnsi="Arial" w:eastAsia="黑体"/>
      <w:kern w:val="2"/>
      <w:sz w:val="21"/>
      <w:szCs w:val="24"/>
    </w:rPr>
  </w:style>
  <w:style w:type="character" w:customStyle="1" w:styleId="69">
    <w:name w:val="批注文字 字符1"/>
    <w:link w:val="18"/>
    <w:qFormat/>
    <w:uiPriority w:val="0"/>
    <w:rPr>
      <w:kern w:val="2"/>
      <w:sz w:val="21"/>
      <w:szCs w:val="24"/>
    </w:rPr>
  </w:style>
  <w:style w:type="character" w:customStyle="1" w:styleId="70">
    <w:name w:val="批注主题 字符"/>
    <w:basedOn w:val="69"/>
    <w:link w:val="47"/>
    <w:qFormat/>
    <w:uiPriority w:val="0"/>
    <w:rPr>
      <w:b/>
      <w:bCs/>
      <w:kern w:val="2"/>
      <w:sz w:val="21"/>
      <w:szCs w:val="24"/>
    </w:rPr>
  </w:style>
  <w:style w:type="character" w:customStyle="1" w:styleId="71">
    <w:name w:val="正文文本 字符1"/>
    <w:basedOn w:val="52"/>
    <w:link w:val="20"/>
    <w:qFormat/>
    <w:uiPriority w:val="0"/>
    <w:rPr>
      <w:kern w:val="2"/>
      <w:sz w:val="21"/>
      <w:szCs w:val="24"/>
    </w:rPr>
  </w:style>
  <w:style w:type="character" w:customStyle="1" w:styleId="72">
    <w:name w:val="正文首行缩进 字符"/>
    <w:link w:val="48"/>
    <w:qFormat/>
    <w:uiPriority w:val="0"/>
    <w:rPr>
      <w:rFonts w:eastAsia="宋体"/>
      <w:kern w:val="2"/>
      <w:sz w:val="21"/>
      <w:szCs w:val="24"/>
      <w:lang w:val="en-US" w:eastAsia="zh-CN" w:bidi="ar-SA"/>
    </w:rPr>
  </w:style>
  <w:style w:type="character" w:customStyle="1" w:styleId="73">
    <w:name w:val="文档结构图 字符"/>
    <w:basedOn w:val="52"/>
    <w:link w:val="17"/>
    <w:qFormat/>
    <w:uiPriority w:val="0"/>
    <w:rPr>
      <w:kern w:val="2"/>
      <w:sz w:val="21"/>
      <w:szCs w:val="24"/>
      <w:shd w:val="clear" w:color="auto" w:fill="000080"/>
    </w:rPr>
  </w:style>
  <w:style w:type="character" w:customStyle="1" w:styleId="74">
    <w:name w:val="正文文本缩进 字符1"/>
    <w:basedOn w:val="52"/>
    <w:link w:val="21"/>
    <w:qFormat/>
    <w:uiPriority w:val="0"/>
    <w:rPr>
      <w:kern w:val="2"/>
      <w:sz w:val="21"/>
      <w:szCs w:val="24"/>
    </w:rPr>
  </w:style>
  <w:style w:type="character" w:customStyle="1" w:styleId="75">
    <w:name w:val="纯文本 字符"/>
    <w:link w:val="26"/>
    <w:qFormat/>
    <w:uiPriority w:val="0"/>
    <w:rPr>
      <w:rFonts w:ascii="宋体" w:hAnsi="Courier New" w:eastAsia="宋体"/>
      <w:kern w:val="2"/>
      <w:sz w:val="21"/>
      <w:lang w:val="en-US" w:eastAsia="zh-CN" w:bidi="ar-SA"/>
    </w:rPr>
  </w:style>
  <w:style w:type="character" w:customStyle="1" w:styleId="76">
    <w:name w:val="正文文本缩进 2 字符"/>
    <w:link w:val="29"/>
    <w:qFormat/>
    <w:uiPriority w:val="0"/>
    <w:rPr>
      <w:kern w:val="2"/>
      <w:sz w:val="21"/>
      <w:szCs w:val="24"/>
    </w:rPr>
  </w:style>
  <w:style w:type="character" w:customStyle="1" w:styleId="77">
    <w:name w:val="批注框文本 字符"/>
    <w:basedOn w:val="52"/>
    <w:link w:val="30"/>
    <w:qFormat/>
    <w:uiPriority w:val="99"/>
    <w:rPr>
      <w:kern w:val="2"/>
      <w:sz w:val="18"/>
      <w:szCs w:val="18"/>
    </w:rPr>
  </w:style>
  <w:style w:type="character" w:customStyle="1" w:styleId="78">
    <w:name w:val="页脚 字符"/>
    <w:basedOn w:val="52"/>
    <w:link w:val="31"/>
    <w:qFormat/>
    <w:uiPriority w:val="99"/>
    <w:rPr>
      <w:kern w:val="2"/>
      <w:sz w:val="18"/>
      <w:szCs w:val="18"/>
    </w:rPr>
  </w:style>
  <w:style w:type="character" w:customStyle="1" w:styleId="79">
    <w:name w:val="页眉 字符"/>
    <w:link w:val="32"/>
    <w:qFormat/>
    <w:uiPriority w:val="99"/>
    <w:rPr>
      <w:kern w:val="2"/>
      <w:sz w:val="18"/>
      <w:szCs w:val="18"/>
    </w:rPr>
  </w:style>
  <w:style w:type="character" w:customStyle="1" w:styleId="80">
    <w:name w:val="HTML 预设格式 字符"/>
    <w:link w:val="44"/>
    <w:qFormat/>
    <w:uiPriority w:val="0"/>
    <w:rPr>
      <w:rFonts w:ascii="宋体" w:hAnsi="宋体" w:cs="宋体"/>
      <w:sz w:val="24"/>
      <w:szCs w:val="24"/>
    </w:rPr>
  </w:style>
  <w:style w:type="character" w:customStyle="1" w:styleId="81">
    <w:name w:val="标题 字符"/>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字符"/>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字符"/>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字符"/>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字符"/>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字符"/>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字符"/>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字符"/>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字符"/>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字符"/>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lang w:eastAsia="en-US"/>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22798</Words>
  <Characters>24305</Characters>
  <Lines>498</Lines>
  <Paragraphs>140</Paragraphs>
  <TotalTime>5</TotalTime>
  <ScaleCrop>false</ScaleCrop>
  <LinksUpToDate>false</LinksUpToDate>
  <CharactersWithSpaces>24922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2025-04-16T03:00:00Z</dcterms:created>
  <dc:creator>admindg2020</dc:creator>
  <cp:lastModifiedBy>中正-杨先生</cp:lastModifiedBy>
  <cp:lastPrinted>2020-05-26T01:03:00Z</cp:lastPrinted>
  <dcterms:modified xsi:type="dcterms:W3CDTF">2025-05-19T06:00:27Z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49646E34A100499E8E8040CCC1B9DFD7_13</vt:lpwstr>
  </property>
  <property fmtid="{D5CDD505-2E9C-101B-9397-08002B2CF9AE}" pid="4" name="KSOTemplateDocerSaveRecord">
    <vt:lpwstr>eyJoZGlkIjoiYmQ1ZTAxM2IyZDFmZDQ0YzVkMjFmYjUzMzk2ZWZiNWUiLCJ1c2VySWQiOiIxMjAzMDAzMzMwIn0=</vt:lpwstr>
  </property>
</Properties>
</file>