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A3AA8">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29CC117">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1D006835">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t8zXHXAAAACAEAAA8AAAAAAAAAAQAgAAAA&#10;IgAAAGRycy9kb3ducmV2LnhtbFBLAQIUABQAAAAIAIdO4kA87DHxDAIAAEYEAAAOAAAAAAAAAAEA&#10;IAAAACYBAABkcnMvZTJvRG9jLnhtbFBLBQYAAAAABgAGAFkBAACkBQAAAAA=&#10;">
                <v:fill on="t" focussize="0,0"/>
                <v:stroke color="#FFFFFF" joinstyle="miter"/>
                <v:imagedata o:title=""/>
                <o:lock v:ext="edit" aspectratio="f"/>
                <v:textbox>
                  <w:txbxContent>
                    <w:p w14:paraId="629CC117">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1D006835">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36E89BD1">
      <w:pPr>
        <w:adjustRightInd w:val="0"/>
        <w:snapToGrid w:val="0"/>
        <w:spacing w:line="300" w:lineRule="auto"/>
        <w:jc w:val="left"/>
        <w:rPr>
          <w:b/>
          <w:bCs/>
          <w:snapToGrid w:val="0"/>
          <w:kern w:val="0"/>
          <w:sz w:val="28"/>
          <w:szCs w:val="28"/>
        </w:rPr>
      </w:pPr>
    </w:p>
    <w:p w14:paraId="0E225B7B">
      <w:pPr>
        <w:adjustRightInd w:val="0"/>
        <w:snapToGrid w:val="0"/>
        <w:spacing w:line="300" w:lineRule="auto"/>
        <w:jc w:val="left"/>
        <w:rPr>
          <w:b/>
          <w:bCs/>
          <w:snapToGrid w:val="0"/>
          <w:kern w:val="0"/>
          <w:sz w:val="28"/>
          <w:szCs w:val="28"/>
        </w:rPr>
      </w:pPr>
    </w:p>
    <w:p w14:paraId="07B2C11F">
      <w:pPr>
        <w:adjustRightInd w:val="0"/>
        <w:snapToGrid w:val="0"/>
        <w:spacing w:line="300" w:lineRule="auto"/>
        <w:jc w:val="left"/>
        <w:rPr>
          <w:b/>
          <w:bCs/>
          <w:snapToGrid w:val="0"/>
          <w:kern w:val="0"/>
          <w:sz w:val="28"/>
          <w:szCs w:val="28"/>
        </w:rPr>
      </w:pPr>
    </w:p>
    <w:p w14:paraId="43394A18">
      <w:pPr>
        <w:pStyle w:val="20"/>
        <w:rPr>
          <w:sz w:val="52"/>
          <w:szCs w:val="52"/>
        </w:rPr>
      </w:pPr>
      <w:r>
        <w:rPr>
          <w:rFonts w:hint="eastAsia"/>
          <w:sz w:val="52"/>
          <w:szCs w:val="52"/>
        </w:rPr>
        <w:t>“深圳国际旅行卫生保健中心（深圳海关口岸门诊部）2024年实验室仪器设备更新”项目全身彩色多普勒超声诊断仪一批采购项目</w:t>
      </w:r>
    </w:p>
    <w:p w14:paraId="36A42854">
      <w:pPr>
        <w:pStyle w:val="20"/>
      </w:pPr>
    </w:p>
    <w:p w14:paraId="1A3EA060"/>
    <w:p w14:paraId="5AF1D337">
      <w:pPr>
        <w:adjustRightInd w:val="0"/>
        <w:snapToGrid w:val="0"/>
        <w:spacing w:line="300" w:lineRule="auto"/>
        <w:jc w:val="center"/>
        <w:rPr>
          <w:rFonts w:hint="eastAsia"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598CE8CA">
      <w:pPr>
        <w:adjustRightInd w:val="0"/>
        <w:snapToGrid w:val="0"/>
        <w:spacing w:line="300" w:lineRule="auto"/>
        <w:jc w:val="center"/>
        <w:rPr>
          <w:rFonts w:ascii="经典等线简" w:eastAsia="经典等线简"/>
          <w:b/>
          <w:snapToGrid w:val="0"/>
          <w:kern w:val="0"/>
          <w:sz w:val="32"/>
        </w:rPr>
      </w:pPr>
    </w:p>
    <w:p w14:paraId="45075FB2">
      <w:pPr>
        <w:adjustRightInd w:val="0"/>
        <w:snapToGrid w:val="0"/>
        <w:spacing w:line="300" w:lineRule="auto"/>
        <w:jc w:val="center"/>
        <w:rPr>
          <w:rFonts w:ascii="经典等线简" w:eastAsia="经典等线简"/>
          <w:b/>
          <w:snapToGrid w:val="0"/>
          <w:kern w:val="0"/>
          <w:sz w:val="32"/>
        </w:rPr>
      </w:pPr>
    </w:p>
    <w:p w14:paraId="0E9857D7">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项目编号：SZZZ2024-QA0226</w:t>
      </w:r>
    </w:p>
    <w:p w14:paraId="3C3F26C3">
      <w:pPr>
        <w:adjustRightInd w:val="0"/>
        <w:snapToGrid w:val="0"/>
        <w:spacing w:line="300" w:lineRule="auto"/>
        <w:jc w:val="center"/>
        <w:rPr>
          <w:rFonts w:ascii="经典等线简" w:eastAsia="经典等线简"/>
          <w:b/>
          <w:snapToGrid w:val="0"/>
          <w:kern w:val="0"/>
          <w:sz w:val="18"/>
          <w:szCs w:val="18"/>
        </w:rPr>
      </w:pPr>
    </w:p>
    <w:p w14:paraId="15ED46DA">
      <w:pPr>
        <w:adjustRightInd w:val="0"/>
        <w:snapToGrid w:val="0"/>
        <w:spacing w:line="300" w:lineRule="auto"/>
        <w:jc w:val="center"/>
        <w:rPr>
          <w:rFonts w:eastAsia="经典标宋简"/>
          <w:b/>
          <w:snapToGrid w:val="0"/>
          <w:kern w:val="0"/>
          <w:sz w:val="44"/>
        </w:rPr>
      </w:pPr>
    </w:p>
    <w:p w14:paraId="7270FAC6">
      <w:pPr>
        <w:pStyle w:val="30"/>
        <w:adjustRightInd w:val="0"/>
        <w:snapToGrid w:val="0"/>
        <w:spacing w:line="300" w:lineRule="auto"/>
        <w:jc w:val="center"/>
        <w:rPr>
          <w:rFonts w:ascii="Times New Roman" w:hAnsi="Times New Roman" w:eastAsia="经典等线简"/>
          <w:b/>
          <w:snapToGrid w:val="0"/>
          <w:sz w:val="30"/>
        </w:rPr>
      </w:pPr>
    </w:p>
    <w:p w14:paraId="59571CAA"/>
    <w:p w14:paraId="0156538C"/>
    <w:p w14:paraId="0FDEE7B5">
      <w:pPr>
        <w:pStyle w:val="30"/>
        <w:adjustRightInd w:val="0"/>
        <w:snapToGrid w:val="0"/>
        <w:spacing w:line="300" w:lineRule="auto"/>
        <w:ind w:hanging="835"/>
        <w:jc w:val="center"/>
        <w:rPr>
          <w:b/>
          <w:snapToGrid w:val="0"/>
          <w:sz w:val="30"/>
        </w:rPr>
      </w:pPr>
      <w:r>
        <w:rPr>
          <w:rFonts w:hint="eastAsia"/>
          <w:b/>
          <w:snapToGrid w:val="0"/>
          <w:sz w:val="30"/>
        </w:rPr>
        <w:t>二〇二四年十月</w:t>
      </w:r>
    </w:p>
    <w:p w14:paraId="67451E20">
      <w:pPr>
        <w:rPr>
          <w:b/>
          <w:snapToGrid w:val="0"/>
          <w:sz w:val="30"/>
        </w:rPr>
      </w:pPr>
      <w:r>
        <w:rPr>
          <w:rFonts w:hint="eastAsia"/>
          <w:b/>
          <w:snapToGrid w:val="0"/>
          <w:sz w:val="30"/>
        </w:rPr>
        <w:br w:type="page"/>
      </w:r>
      <w:bookmarkStart w:id="125" w:name="_GoBack"/>
      <w:bookmarkEnd w:id="125"/>
    </w:p>
    <w:sdt>
      <w:sdtPr>
        <w:rPr>
          <w:rFonts w:ascii="Times New Roman" w:hAnsi="Times New Roman" w:eastAsia="宋体" w:cs="Times New Roman"/>
          <w:bCs w:val="0"/>
          <w:smallCaps/>
          <w:kern w:val="2"/>
          <w:sz w:val="21"/>
          <w:szCs w:val="24"/>
          <w:lang w:val="en-US"/>
        </w:rPr>
        <w:id w:val="11733101"/>
        <w:docPartObj>
          <w:docPartGallery w:val="Table of Contents"/>
          <w:docPartUnique/>
        </w:docPartObj>
      </w:sdtPr>
      <w:sdtEndPr>
        <w:rPr>
          <w:rFonts w:hint="eastAsia" w:ascii="仿宋" w:hAnsi="仿宋" w:eastAsia="仿宋" w:cs="仿宋"/>
          <w:bCs w:val="0"/>
          <w:smallCaps/>
          <w:kern w:val="2"/>
          <w:sz w:val="24"/>
          <w:szCs w:val="24"/>
          <w:lang w:val="en-US"/>
        </w:rPr>
      </w:sdtEndPr>
      <w:sdtContent>
        <w:p w14:paraId="1E5F106E">
          <w:pPr>
            <w:pStyle w:val="506"/>
          </w:pPr>
          <w:r>
            <w:t>目</w:t>
          </w:r>
          <w:r>
            <w:rPr>
              <w:rFonts w:hint="eastAsia"/>
            </w:rPr>
            <w:t xml:space="preserve">  </w:t>
          </w:r>
          <w:r>
            <w:t>录</w:t>
          </w:r>
        </w:p>
        <w:p w14:paraId="44F667C7">
          <w:pPr>
            <w:pStyle w:val="36"/>
            <w:tabs>
              <w:tab w:val="right" w:leader="dot" w:pos="9638"/>
            </w:tabs>
            <w:rPr>
              <w:rFonts w:ascii="仿宋" w:hAnsi="仿宋" w:eastAsia="仿宋" w:cs="仿宋"/>
            </w:rPr>
          </w:pPr>
          <w:r>
            <w:rPr>
              <w:rFonts w:hint="eastAsia" w:ascii="仿宋" w:hAnsi="仿宋" w:eastAsia="仿宋" w:cs="仿宋"/>
              <w:sz w:val="24"/>
            </w:rPr>
            <w:fldChar w:fldCharType="begin"/>
          </w:r>
          <w:r>
            <w:rPr>
              <w:rFonts w:hint="eastAsia" w:ascii="仿宋" w:hAnsi="仿宋" w:eastAsia="仿宋" w:cs="仿宋"/>
              <w:sz w:val="24"/>
            </w:rPr>
            <w:instrText xml:space="preserve"> TOC \o "1-3" \h \z \u </w:instrText>
          </w:r>
          <w:r>
            <w:rPr>
              <w:rFonts w:hint="eastAsia" w:ascii="仿宋" w:hAnsi="仿宋" w:eastAsia="仿宋" w:cs="仿宋"/>
              <w:sz w:val="24"/>
            </w:rPr>
            <w:fldChar w:fldCharType="separate"/>
          </w:r>
          <w:r>
            <w:fldChar w:fldCharType="begin"/>
          </w:r>
          <w:r>
            <w:instrText xml:space="preserve"> HYPERLINK \l "_Toc21569" </w:instrText>
          </w:r>
          <w:r>
            <w:fldChar w:fldCharType="separate"/>
          </w:r>
          <w:r>
            <w:rPr>
              <w:rFonts w:hint="eastAsia" w:ascii="仿宋" w:hAnsi="仿宋" w:eastAsia="仿宋" w:cs="仿宋"/>
            </w:rPr>
            <w:t>招标文件第一册（专用部分）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_Toc21569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14:paraId="491563EC">
          <w:pPr>
            <w:pStyle w:val="36"/>
            <w:tabs>
              <w:tab w:val="right" w:leader="dot" w:pos="9638"/>
            </w:tabs>
            <w:rPr>
              <w:rFonts w:ascii="仿宋" w:hAnsi="仿宋" w:eastAsia="仿宋" w:cs="仿宋"/>
            </w:rPr>
          </w:pPr>
          <w:r>
            <w:fldChar w:fldCharType="begin"/>
          </w:r>
          <w:r>
            <w:instrText xml:space="preserve"> HYPERLINK \l "_Toc19908" </w:instrText>
          </w:r>
          <w:r>
            <w:fldChar w:fldCharType="separate"/>
          </w:r>
          <w:r>
            <w:rPr>
              <w:rFonts w:hint="eastAsia" w:ascii="仿宋" w:hAnsi="仿宋" w:eastAsia="仿宋" w:cs="仿宋"/>
            </w:rPr>
            <w:t>第一章  投标邀请</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_Toc19908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14:paraId="5E26EE6F">
          <w:pPr>
            <w:pStyle w:val="36"/>
            <w:tabs>
              <w:tab w:val="right" w:leader="dot" w:pos="9638"/>
            </w:tabs>
            <w:rPr>
              <w:rFonts w:ascii="仿宋" w:hAnsi="仿宋" w:eastAsia="仿宋" w:cs="仿宋"/>
            </w:rPr>
          </w:pPr>
          <w:r>
            <w:fldChar w:fldCharType="begin"/>
          </w:r>
          <w:r>
            <w:instrText xml:space="preserve"> HYPERLINK \l "_Toc7385" </w:instrText>
          </w:r>
          <w:r>
            <w:fldChar w:fldCharType="separate"/>
          </w:r>
          <w:r>
            <w:rPr>
              <w:rFonts w:hint="eastAsia" w:ascii="仿宋" w:hAnsi="仿宋" w:eastAsia="仿宋" w:cs="仿宋"/>
            </w:rPr>
            <w:t>第二章  项目需求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_Toc7385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14:paraId="2B9027A6">
          <w:pPr>
            <w:pStyle w:val="36"/>
            <w:tabs>
              <w:tab w:val="right" w:leader="dot" w:pos="9638"/>
            </w:tabs>
            <w:rPr>
              <w:rFonts w:ascii="仿宋" w:hAnsi="仿宋" w:eastAsia="仿宋" w:cs="仿宋"/>
            </w:rPr>
          </w:pPr>
          <w:r>
            <w:fldChar w:fldCharType="begin"/>
          </w:r>
          <w:r>
            <w:instrText xml:space="preserve"> HYPERLINK \l "_Toc3122" </w:instrText>
          </w:r>
          <w:r>
            <w:fldChar w:fldCharType="separate"/>
          </w:r>
          <w:r>
            <w:rPr>
              <w:rFonts w:hint="eastAsia" w:ascii="仿宋" w:hAnsi="仿宋" w:eastAsia="仿宋" w:cs="仿宋"/>
            </w:rPr>
            <w:t>第三章  定价方式、合同类型和风险管理措施</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_Toc3122 \h </w:instrText>
          </w:r>
          <w:r>
            <w:rPr>
              <w:rFonts w:hint="eastAsia" w:ascii="仿宋" w:hAnsi="仿宋" w:eastAsia="仿宋" w:cs="仿宋"/>
            </w:rPr>
            <w:fldChar w:fldCharType="separate"/>
          </w:r>
          <w:r>
            <w:rPr>
              <w:rFonts w:hint="eastAsia" w:ascii="仿宋" w:hAnsi="仿宋" w:eastAsia="仿宋" w:cs="仿宋"/>
            </w:rPr>
            <w:t>26</w:t>
          </w:r>
          <w:r>
            <w:rPr>
              <w:rFonts w:hint="eastAsia" w:ascii="仿宋" w:hAnsi="仿宋" w:eastAsia="仿宋" w:cs="仿宋"/>
            </w:rPr>
            <w:fldChar w:fldCharType="end"/>
          </w:r>
          <w:r>
            <w:rPr>
              <w:rFonts w:hint="eastAsia" w:ascii="仿宋" w:hAnsi="仿宋" w:eastAsia="仿宋" w:cs="仿宋"/>
            </w:rPr>
            <w:fldChar w:fldCharType="end"/>
          </w:r>
        </w:p>
        <w:p w14:paraId="619F43AF">
          <w:pPr>
            <w:pStyle w:val="36"/>
            <w:tabs>
              <w:tab w:val="right" w:leader="dot" w:pos="9638"/>
            </w:tabs>
            <w:rPr>
              <w:rFonts w:ascii="仿宋" w:hAnsi="仿宋" w:eastAsia="仿宋" w:cs="仿宋"/>
            </w:rPr>
          </w:pPr>
          <w:r>
            <w:fldChar w:fldCharType="begin"/>
          </w:r>
          <w:r>
            <w:instrText xml:space="preserve"> HYPERLINK \l "_Toc14860" </w:instrText>
          </w:r>
          <w:r>
            <w:fldChar w:fldCharType="separate"/>
          </w:r>
          <w:r>
            <w:rPr>
              <w:rFonts w:hint="eastAsia" w:ascii="仿宋" w:hAnsi="仿宋" w:eastAsia="仿宋" w:cs="仿宋"/>
            </w:rPr>
            <w:t>第四章  资格审查和评标方法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_Toc14860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14:paraId="486DA587">
          <w:pPr>
            <w:pStyle w:val="43"/>
            <w:tabs>
              <w:tab w:val="right" w:leader="dot" w:pos="9638"/>
            </w:tabs>
            <w:rPr>
              <w:rFonts w:ascii="仿宋" w:hAnsi="仿宋" w:eastAsia="仿宋" w:cs="仿宋"/>
            </w:rPr>
          </w:pPr>
          <w:r>
            <w:fldChar w:fldCharType="begin"/>
          </w:r>
          <w:r>
            <w:instrText xml:space="preserve"> HYPERLINK \l "_Toc18365" </w:instrText>
          </w:r>
          <w:r>
            <w:fldChar w:fldCharType="separate"/>
          </w:r>
          <w:r>
            <w:rPr>
              <w:rFonts w:hint="eastAsia" w:ascii="仿宋" w:hAnsi="仿宋" w:eastAsia="仿宋" w:cs="仿宋"/>
            </w:rPr>
            <w:t>一、资格性审查和符合性审查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_Toc18365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14:paraId="254D521E">
          <w:pPr>
            <w:pStyle w:val="43"/>
            <w:tabs>
              <w:tab w:val="right" w:leader="dot" w:pos="9638"/>
            </w:tabs>
            <w:rPr>
              <w:rFonts w:ascii="仿宋" w:hAnsi="仿宋" w:eastAsia="仿宋" w:cs="仿宋"/>
            </w:rPr>
          </w:pPr>
          <w:r>
            <w:fldChar w:fldCharType="begin"/>
          </w:r>
          <w:r>
            <w:instrText xml:space="preserve"> HYPERLINK \l "_Toc30752" </w:instrText>
          </w:r>
          <w:r>
            <w:fldChar w:fldCharType="separate"/>
          </w:r>
          <w:r>
            <w:rPr>
              <w:rFonts w:hint="eastAsia" w:ascii="仿宋" w:hAnsi="仿宋" w:eastAsia="仿宋" w:cs="仿宋"/>
            </w:rPr>
            <w:t>二、评标方法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_Toc30752 \h </w:instrText>
          </w:r>
          <w:r>
            <w:rPr>
              <w:rFonts w:hint="eastAsia" w:ascii="仿宋" w:hAnsi="仿宋" w:eastAsia="仿宋" w:cs="仿宋"/>
            </w:rPr>
            <w:fldChar w:fldCharType="separate"/>
          </w:r>
          <w:r>
            <w:rPr>
              <w:rFonts w:hint="eastAsia" w:ascii="仿宋" w:hAnsi="仿宋" w:eastAsia="仿宋" w:cs="仿宋"/>
            </w:rPr>
            <w:t>28</w:t>
          </w:r>
          <w:r>
            <w:rPr>
              <w:rFonts w:hint="eastAsia" w:ascii="仿宋" w:hAnsi="仿宋" w:eastAsia="仿宋" w:cs="仿宋"/>
            </w:rPr>
            <w:fldChar w:fldCharType="end"/>
          </w:r>
          <w:r>
            <w:rPr>
              <w:rFonts w:hint="eastAsia" w:ascii="仿宋" w:hAnsi="仿宋" w:eastAsia="仿宋" w:cs="仿宋"/>
            </w:rPr>
            <w:fldChar w:fldCharType="end"/>
          </w:r>
        </w:p>
        <w:p w14:paraId="7BC272D8">
          <w:pPr>
            <w:pStyle w:val="43"/>
            <w:tabs>
              <w:tab w:val="right" w:leader="dot" w:pos="9638"/>
            </w:tabs>
            <w:rPr>
              <w:rFonts w:ascii="仿宋" w:hAnsi="仿宋" w:eastAsia="仿宋" w:cs="仿宋"/>
            </w:rPr>
          </w:pPr>
          <w:r>
            <w:fldChar w:fldCharType="begin"/>
          </w:r>
          <w:r>
            <w:instrText xml:space="preserve"> HYPERLINK \l "_Toc15620" </w:instrText>
          </w:r>
          <w:r>
            <w:fldChar w:fldCharType="separate"/>
          </w:r>
          <w:r>
            <w:rPr>
              <w:rFonts w:hint="eastAsia" w:ascii="仿宋" w:hAnsi="仿宋" w:eastAsia="仿宋" w:cs="仿宋"/>
            </w:rPr>
            <w:t>三、评标标准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_Toc15620 \h </w:instrText>
          </w:r>
          <w:r>
            <w:rPr>
              <w:rFonts w:hint="eastAsia" w:ascii="仿宋" w:hAnsi="仿宋" w:eastAsia="仿宋" w:cs="仿宋"/>
            </w:rPr>
            <w:fldChar w:fldCharType="separate"/>
          </w:r>
          <w:r>
            <w:rPr>
              <w:rFonts w:hint="eastAsia" w:ascii="仿宋" w:hAnsi="仿宋" w:eastAsia="仿宋" w:cs="仿宋"/>
            </w:rPr>
            <w:t>28</w:t>
          </w:r>
          <w:r>
            <w:rPr>
              <w:rFonts w:hint="eastAsia" w:ascii="仿宋" w:hAnsi="仿宋" w:eastAsia="仿宋" w:cs="仿宋"/>
            </w:rPr>
            <w:fldChar w:fldCharType="end"/>
          </w:r>
          <w:r>
            <w:rPr>
              <w:rFonts w:hint="eastAsia" w:ascii="仿宋" w:hAnsi="仿宋" w:eastAsia="仿宋" w:cs="仿宋"/>
            </w:rPr>
            <w:fldChar w:fldCharType="end"/>
          </w:r>
        </w:p>
        <w:p w14:paraId="02705EEC">
          <w:pPr>
            <w:pStyle w:val="43"/>
            <w:tabs>
              <w:tab w:val="right" w:leader="dot" w:pos="9638"/>
            </w:tabs>
            <w:rPr>
              <w:rFonts w:ascii="仿宋" w:hAnsi="仿宋" w:eastAsia="仿宋" w:cs="仿宋"/>
            </w:rPr>
          </w:pPr>
          <w:r>
            <w:fldChar w:fldCharType="begin"/>
          </w:r>
          <w:r>
            <w:instrText xml:space="preserve"> HYPERLINK \l "_Toc1245" </w:instrText>
          </w:r>
          <w:r>
            <w:fldChar w:fldCharType="separate"/>
          </w:r>
          <w:r>
            <w:rPr>
              <w:rFonts w:hint="eastAsia" w:ascii="仿宋" w:hAnsi="仿宋" w:eastAsia="仿宋" w:cs="仿宋"/>
              <w:szCs w:val="21"/>
            </w:rPr>
            <w:t>备注：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_Toc1245 \h </w:instrText>
          </w:r>
          <w:r>
            <w:rPr>
              <w:rFonts w:hint="eastAsia" w:ascii="仿宋" w:hAnsi="仿宋" w:eastAsia="仿宋" w:cs="仿宋"/>
            </w:rPr>
            <w:fldChar w:fldCharType="separate"/>
          </w:r>
          <w:r>
            <w:rPr>
              <w:rFonts w:hint="eastAsia" w:ascii="仿宋" w:hAnsi="仿宋" w:eastAsia="仿宋" w:cs="仿宋"/>
            </w:rPr>
            <w:t>28</w:t>
          </w:r>
          <w:r>
            <w:rPr>
              <w:rFonts w:hint="eastAsia" w:ascii="仿宋" w:hAnsi="仿宋" w:eastAsia="仿宋" w:cs="仿宋"/>
            </w:rPr>
            <w:fldChar w:fldCharType="end"/>
          </w:r>
          <w:r>
            <w:rPr>
              <w:rFonts w:hint="eastAsia" w:ascii="仿宋" w:hAnsi="仿宋" w:eastAsia="仿宋" w:cs="仿宋"/>
            </w:rPr>
            <w:fldChar w:fldCharType="end"/>
          </w:r>
        </w:p>
        <w:p w14:paraId="717FAFCF">
          <w:pPr>
            <w:pStyle w:val="27"/>
            <w:tabs>
              <w:tab w:val="right" w:leader="dot" w:pos="9638"/>
            </w:tabs>
            <w:rPr>
              <w:rFonts w:ascii="仿宋" w:hAnsi="仿宋" w:eastAsia="仿宋" w:cs="仿宋"/>
            </w:rPr>
          </w:pPr>
          <w:r>
            <w:fldChar w:fldCharType="begin"/>
          </w:r>
          <w:r>
            <w:instrText xml:space="preserve"> HYPERLINK \l "_Toc24501" </w:instrText>
          </w:r>
          <w:r>
            <w:fldChar w:fldCharType="separate"/>
          </w:r>
          <w:r>
            <w:rPr>
              <w:rFonts w:hint="eastAsia" w:ascii="仿宋" w:hAnsi="仿宋" w:eastAsia="仿宋" w:cs="仿宋"/>
            </w:rPr>
            <w:t>1、资质证书有效期</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_Toc24501 \h </w:instrText>
          </w:r>
          <w:r>
            <w:rPr>
              <w:rFonts w:hint="eastAsia" w:ascii="仿宋" w:hAnsi="仿宋" w:eastAsia="仿宋" w:cs="仿宋"/>
            </w:rPr>
            <w:fldChar w:fldCharType="separate"/>
          </w:r>
          <w:r>
            <w:rPr>
              <w:rFonts w:hint="eastAsia" w:ascii="仿宋" w:hAnsi="仿宋" w:eastAsia="仿宋" w:cs="仿宋"/>
            </w:rPr>
            <w:t>32</w:t>
          </w:r>
          <w:r>
            <w:rPr>
              <w:rFonts w:hint="eastAsia" w:ascii="仿宋" w:hAnsi="仿宋" w:eastAsia="仿宋" w:cs="仿宋"/>
            </w:rPr>
            <w:fldChar w:fldCharType="end"/>
          </w:r>
          <w:r>
            <w:rPr>
              <w:rFonts w:hint="eastAsia" w:ascii="仿宋" w:hAnsi="仿宋" w:eastAsia="仿宋" w:cs="仿宋"/>
            </w:rPr>
            <w:fldChar w:fldCharType="end"/>
          </w:r>
        </w:p>
        <w:p w14:paraId="27D3F99C">
          <w:pPr>
            <w:pStyle w:val="27"/>
            <w:tabs>
              <w:tab w:val="right" w:leader="dot" w:pos="9638"/>
            </w:tabs>
            <w:rPr>
              <w:rFonts w:ascii="仿宋" w:hAnsi="仿宋" w:eastAsia="仿宋" w:cs="仿宋"/>
            </w:rPr>
          </w:pPr>
          <w:r>
            <w:fldChar w:fldCharType="begin"/>
          </w:r>
          <w:r>
            <w:instrText xml:space="preserve"> HYPERLINK \l "_Toc5688" </w:instrText>
          </w:r>
          <w:r>
            <w:fldChar w:fldCharType="separate"/>
          </w:r>
          <w:r>
            <w:rPr>
              <w:rFonts w:hint="eastAsia" w:ascii="仿宋" w:hAnsi="仿宋" w:eastAsia="仿宋" w:cs="仿宋"/>
            </w:rPr>
            <w:t>2、政府采购扶持政策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_Toc5688 \h </w:instrText>
          </w:r>
          <w:r>
            <w:rPr>
              <w:rFonts w:hint="eastAsia" w:ascii="仿宋" w:hAnsi="仿宋" w:eastAsia="仿宋" w:cs="仿宋"/>
            </w:rPr>
            <w:fldChar w:fldCharType="separate"/>
          </w:r>
          <w:r>
            <w:rPr>
              <w:rFonts w:hint="eastAsia" w:ascii="仿宋" w:hAnsi="仿宋" w:eastAsia="仿宋" w:cs="仿宋"/>
            </w:rPr>
            <w:t>32</w:t>
          </w:r>
          <w:r>
            <w:rPr>
              <w:rFonts w:hint="eastAsia" w:ascii="仿宋" w:hAnsi="仿宋" w:eastAsia="仿宋" w:cs="仿宋"/>
            </w:rPr>
            <w:fldChar w:fldCharType="end"/>
          </w:r>
          <w:r>
            <w:rPr>
              <w:rFonts w:hint="eastAsia" w:ascii="仿宋" w:hAnsi="仿宋" w:eastAsia="仿宋" w:cs="仿宋"/>
            </w:rPr>
            <w:fldChar w:fldCharType="end"/>
          </w:r>
        </w:p>
        <w:p w14:paraId="349D464A">
          <w:pPr>
            <w:pStyle w:val="36"/>
            <w:tabs>
              <w:tab w:val="right" w:leader="dot" w:pos="9638"/>
            </w:tabs>
            <w:rPr>
              <w:rFonts w:ascii="仿宋" w:hAnsi="仿宋" w:eastAsia="仿宋" w:cs="仿宋"/>
            </w:rPr>
          </w:pPr>
          <w:r>
            <w:fldChar w:fldCharType="begin"/>
          </w:r>
          <w:r>
            <w:instrText xml:space="preserve"> HYPERLINK \l "_Toc17149" </w:instrText>
          </w:r>
          <w:r>
            <w:fldChar w:fldCharType="separate"/>
          </w:r>
          <w:r>
            <w:rPr>
              <w:rFonts w:hint="eastAsia" w:ascii="仿宋" w:hAnsi="仿宋" w:eastAsia="仿宋" w:cs="仿宋"/>
            </w:rPr>
            <w:t>第五章 合同文本</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_Toc17149 \h </w:instrText>
          </w:r>
          <w:r>
            <w:rPr>
              <w:rFonts w:hint="eastAsia" w:ascii="仿宋" w:hAnsi="仿宋" w:eastAsia="仿宋" w:cs="仿宋"/>
            </w:rPr>
            <w:fldChar w:fldCharType="separate"/>
          </w:r>
          <w:r>
            <w:rPr>
              <w:rFonts w:hint="eastAsia" w:ascii="仿宋" w:hAnsi="仿宋" w:eastAsia="仿宋" w:cs="仿宋"/>
            </w:rPr>
            <w:t>34</w:t>
          </w:r>
          <w:r>
            <w:rPr>
              <w:rFonts w:hint="eastAsia" w:ascii="仿宋" w:hAnsi="仿宋" w:eastAsia="仿宋" w:cs="仿宋"/>
            </w:rPr>
            <w:fldChar w:fldCharType="end"/>
          </w:r>
          <w:r>
            <w:rPr>
              <w:rFonts w:hint="eastAsia" w:ascii="仿宋" w:hAnsi="仿宋" w:eastAsia="仿宋" w:cs="仿宋"/>
            </w:rPr>
            <w:fldChar w:fldCharType="end"/>
          </w:r>
        </w:p>
        <w:p w14:paraId="3E3BC1BF">
          <w:pPr>
            <w:pStyle w:val="36"/>
            <w:tabs>
              <w:tab w:val="right" w:leader="dot" w:pos="9638"/>
            </w:tabs>
            <w:rPr>
              <w:rFonts w:ascii="仿宋" w:hAnsi="仿宋" w:eastAsia="仿宋" w:cs="仿宋"/>
            </w:rPr>
          </w:pPr>
          <w:r>
            <w:fldChar w:fldCharType="begin"/>
          </w:r>
          <w:r>
            <w:instrText xml:space="preserve"> HYPERLINK \l "_Toc7021" </w:instrText>
          </w:r>
          <w:r>
            <w:fldChar w:fldCharType="separate"/>
          </w:r>
          <w:r>
            <w:rPr>
              <w:rFonts w:hint="eastAsia" w:ascii="仿宋" w:hAnsi="仿宋" w:eastAsia="仿宋" w:cs="仿宋"/>
            </w:rPr>
            <w:t>第六章  投标资料表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_Toc7021 \h </w:instrText>
          </w:r>
          <w:r>
            <w:rPr>
              <w:rFonts w:hint="eastAsia" w:ascii="仿宋" w:hAnsi="仿宋" w:eastAsia="仿宋" w:cs="仿宋"/>
            </w:rPr>
            <w:fldChar w:fldCharType="separate"/>
          </w:r>
          <w:r>
            <w:rPr>
              <w:rFonts w:hint="eastAsia" w:ascii="仿宋" w:hAnsi="仿宋" w:eastAsia="仿宋" w:cs="仿宋"/>
            </w:rPr>
            <w:t>45</w:t>
          </w:r>
          <w:r>
            <w:rPr>
              <w:rFonts w:hint="eastAsia" w:ascii="仿宋" w:hAnsi="仿宋" w:eastAsia="仿宋" w:cs="仿宋"/>
            </w:rPr>
            <w:fldChar w:fldCharType="end"/>
          </w:r>
          <w:r>
            <w:rPr>
              <w:rFonts w:hint="eastAsia" w:ascii="仿宋" w:hAnsi="仿宋" w:eastAsia="仿宋" w:cs="仿宋"/>
            </w:rPr>
            <w:fldChar w:fldCharType="end"/>
          </w:r>
        </w:p>
        <w:p w14:paraId="3838A967">
          <w:pPr>
            <w:pStyle w:val="36"/>
            <w:tabs>
              <w:tab w:val="right" w:leader="dot" w:pos="9638"/>
            </w:tabs>
            <w:rPr>
              <w:rFonts w:ascii="仿宋" w:hAnsi="仿宋" w:eastAsia="仿宋" w:cs="仿宋"/>
            </w:rPr>
          </w:pPr>
          <w:r>
            <w:fldChar w:fldCharType="begin"/>
          </w:r>
          <w:r>
            <w:instrText xml:space="preserve"> HYPERLINK \l "_Toc18128" </w:instrText>
          </w:r>
          <w:r>
            <w:fldChar w:fldCharType="separate"/>
          </w:r>
          <w:r>
            <w:rPr>
              <w:rFonts w:hint="eastAsia" w:ascii="仿宋" w:hAnsi="仿宋" w:eastAsia="仿宋" w:cs="仿宋"/>
            </w:rPr>
            <w:t>第七章  投标文件格式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_Toc18128 \h </w:instrText>
          </w:r>
          <w:r>
            <w:rPr>
              <w:rFonts w:hint="eastAsia" w:ascii="仿宋" w:hAnsi="仿宋" w:eastAsia="仿宋" w:cs="仿宋"/>
            </w:rPr>
            <w:fldChar w:fldCharType="separate"/>
          </w:r>
          <w:r>
            <w:rPr>
              <w:rFonts w:hint="eastAsia" w:ascii="仿宋" w:hAnsi="仿宋" w:eastAsia="仿宋" w:cs="仿宋"/>
            </w:rPr>
            <w:t>47</w:t>
          </w:r>
          <w:r>
            <w:rPr>
              <w:rFonts w:hint="eastAsia" w:ascii="仿宋" w:hAnsi="仿宋" w:eastAsia="仿宋" w:cs="仿宋"/>
            </w:rPr>
            <w:fldChar w:fldCharType="end"/>
          </w:r>
          <w:r>
            <w:rPr>
              <w:rFonts w:hint="eastAsia" w:ascii="仿宋" w:hAnsi="仿宋" w:eastAsia="仿宋" w:cs="仿宋"/>
            </w:rPr>
            <w:fldChar w:fldCharType="end"/>
          </w:r>
        </w:p>
        <w:p w14:paraId="4E01B778">
          <w:pPr>
            <w:pStyle w:val="43"/>
            <w:tabs>
              <w:tab w:val="right" w:leader="dot" w:pos="9638"/>
            </w:tabs>
            <w:rPr>
              <w:rFonts w:ascii="仿宋" w:hAnsi="仿宋" w:eastAsia="仿宋" w:cs="仿宋"/>
            </w:rPr>
          </w:pPr>
          <w:r>
            <w:fldChar w:fldCharType="begin"/>
          </w:r>
          <w:r>
            <w:instrText xml:space="preserve"> HYPERLINK \l "_Toc29634" </w:instrText>
          </w:r>
          <w:r>
            <w:fldChar w:fldCharType="separate"/>
          </w:r>
          <w:r>
            <w:rPr>
              <w:rFonts w:hint="eastAsia" w:ascii="仿宋" w:hAnsi="仿宋" w:eastAsia="仿宋" w:cs="仿宋"/>
            </w:rPr>
            <w:t>投标文件编制说明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_Toc29634 \h </w:instrText>
          </w:r>
          <w:r>
            <w:rPr>
              <w:rFonts w:hint="eastAsia" w:ascii="仿宋" w:hAnsi="仿宋" w:eastAsia="仿宋" w:cs="仿宋"/>
            </w:rPr>
            <w:fldChar w:fldCharType="separate"/>
          </w:r>
          <w:r>
            <w:rPr>
              <w:rFonts w:hint="eastAsia" w:ascii="仿宋" w:hAnsi="仿宋" w:eastAsia="仿宋" w:cs="仿宋"/>
            </w:rPr>
            <w:t>47</w:t>
          </w:r>
          <w:r>
            <w:rPr>
              <w:rFonts w:hint="eastAsia" w:ascii="仿宋" w:hAnsi="仿宋" w:eastAsia="仿宋" w:cs="仿宋"/>
            </w:rPr>
            <w:fldChar w:fldCharType="end"/>
          </w:r>
          <w:r>
            <w:rPr>
              <w:rFonts w:hint="eastAsia" w:ascii="仿宋" w:hAnsi="仿宋" w:eastAsia="仿宋" w:cs="仿宋"/>
            </w:rPr>
            <w:fldChar w:fldCharType="end"/>
          </w:r>
        </w:p>
        <w:p w14:paraId="1ED41159">
          <w:pPr>
            <w:pStyle w:val="43"/>
            <w:tabs>
              <w:tab w:val="right" w:leader="dot" w:pos="9638"/>
            </w:tabs>
            <w:rPr>
              <w:rFonts w:ascii="仿宋" w:hAnsi="仿宋" w:eastAsia="仿宋" w:cs="仿宋"/>
            </w:rPr>
          </w:pPr>
          <w:r>
            <w:fldChar w:fldCharType="begin"/>
          </w:r>
          <w:r>
            <w:instrText xml:space="preserve"> HYPERLINK \l "_Toc14345" </w:instrText>
          </w:r>
          <w:r>
            <w:fldChar w:fldCharType="separate"/>
          </w:r>
          <w:r>
            <w:rPr>
              <w:rFonts w:hint="eastAsia" w:ascii="仿宋" w:hAnsi="仿宋" w:eastAsia="仿宋" w:cs="仿宋"/>
            </w:rPr>
            <w:t>投标文件格式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_Toc14345 \h </w:instrText>
          </w:r>
          <w:r>
            <w:rPr>
              <w:rFonts w:hint="eastAsia" w:ascii="仿宋" w:hAnsi="仿宋" w:eastAsia="仿宋" w:cs="仿宋"/>
            </w:rPr>
            <w:fldChar w:fldCharType="separate"/>
          </w:r>
          <w:r>
            <w:rPr>
              <w:rFonts w:hint="eastAsia" w:ascii="仿宋" w:hAnsi="仿宋" w:eastAsia="仿宋" w:cs="仿宋"/>
            </w:rPr>
            <w:t>48</w:t>
          </w:r>
          <w:r>
            <w:rPr>
              <w:rFonts w:hint="eastAsia" w:ascii="仿宋" w:hAnsi="仿宋" w:eastAsia="仿宋" w:cs="仿宋"/>
            </w:rPr>
            <w:fldChar w:fldCharType="end"/>
          </w:r>
          <w:r>
            <w:rPr>
              <w:rFonts w:hint="eastAsia" w:ascii="仿宋" w:hAnsi="仿宋" w:eastAsia="仿宋" w:cs="仿宋"/>
            </w:rPr>
            <w:fldChar w:fldCharType="end"/>
          </w:r>
        </w:p>
        <w:p w14:paraId="2D52C26F">
          <w:pPr>
            <w:pStyle w:val="43"/>
            <w:tabs>
              <w:tab w:val="right" w:leader="dot" w:pos="9638"/>
            </w:tabs>
            <w:rPr>
              <w:rFonts w:ascii="仿宋" w:hAnsi="仿宋" w:eastAsia="仿宋" w:cs="仿宋"/>
            </w:rPr>
          </w:pPr>
          <w:r>
            <w:fldChar w:fldCharType="begin"/>
          </w:r>
          <w:r>
            <w:instrText xml:space="preserve"> HYPERLINK \l "_Toc16524" </w:instrText>
          </w:r>
          <w:r>
            <w:fldChar w:fldCharType="separate"/>
          </w:r>
          <w:r>
            <w:rPr>
              <w:rFonts w:hint="eastAsia" w:ascii="仿宋" w:hAnsi="仿宋" w:eastAsia="仿宋" w:cs="仿宋"/>
            </w:rPr>
            <w:t>评标指引表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_Toc16524 \h </w:instrText>
          </w:r>
          <w:r>
            <w:rPr>
              <w:rFonts w:hint="eastAsia" w:ascii="仿宋" w:hAnsi="仿宋" w:eastAsia="仿宋" w:cs="仿宋"/>
            </w:rPr>
            <w:fldChar w:fldCharType="separate"/>
          </w:r>
          <w:r>
            <w:rPr>
              <w:rFonts w:hint="eastAsia" w:ascii="仿宋" w:hAnsi="仿宋" w:eastAsia="仿宋" w:cs="仿宋"/>
            </w:rPr>
            <w:t>50</w:t>
          </w:r>
          <w:r>
            <w:rPr>
              <w:rFonts w:hint="eastAsia" w:ascii="仿宋" w:hAnsi="仿宋" w:eastAsia="仿宋" w:cs="仿宋"/>
            </w:rPr>
            <w:fldChar w:fldCharType="end"/>
          </w:r>
          <w:r>
            <w:rPr>
              <w:rFonts w:hint="eastAsia" w:ascii="仿宋" w:hAnsi="仿宋" w:eastAsia="仿宋" w:cs="仿宋"/>
            </w:rPr>
            <w:fldChar w:fldCharType="end"/>
          </w:r>
        </w:p>
        <w:p w14:paraId="47CA5E1F">
          <w:pPr>
            <w:pStyle w:val="27"/>
            <w:tabs>
              <w:tab w:val="right" w:leader="dot" w:pos="9638"/>
            </w:tabs>
            <w:rPr>
              <w:rFonts w:ascii="仿宋" w:hAnsi="仿宋" w:eastAsia="仿宋" w:cs="仿宋"/>
            </w:rPr>
          </w:pPr>
          <w:r>
            <w:fldChar w:fldCharType="begin"/>
          </w:r>
          <w:r>
            <w:instrText xml:space="preserve"> HYPERLINK \l "_Toc17137" </w:instrText>
          </w:r>
          <w:r>
            <w:fldChar w:fldCharType="separate"/>
          </w:r>
          <w:r>
            <w:rPr>
              <w:rFonts w:hint="eastAsia" w:ascii="仿宋" w:hAnsi="仿宋" w:eastAsia="仿宋" w:cs="仿宋"/>
            </w:rPr>
            <w:t>格式1  投标人资格证明文件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_Toc17137 \h </w:instrText>
          </w:r>
          <w:r>
            <w:rPr>
              <w:rFonts w:hint="eastAsia" w:ascii="仿宋" w:hAnsi="仿宋" w:eastAsia="仿宋" w:cs="仿宋"/>
            </w:rPr>
            <w:fldChar w:fldCharType="separate"/>
          </w:r>
          <w:r>
            <w:rPr>
              <w:rFonts w:hint="eastAsia" w:ascii="仿宋" w:hAnsi="仿宋" w:eastAsia="仿宋" w:cs="仿宋"/>
            </w:rPr>
            <w:t>51</w:t>
          </w:r>
          <w:r>
            <w:rPr>
              <w:rFonts w:hint="eastAsia" w:ascii="仿宋" w:hAnsi="仿宋" w:eastAsia="仿宋" w:cs="仿宋"/>
            </w:rPr>
            <w:fldChar w:fldCharType="end"/>
          </w:r>
          <w:r>
            <w:rPr>
              <w:rFonts w:hint="eastAsia" w:ascii="仿宋" w:hAnsi="仿宋" w:eastAsia="仿宋" w:cs="仿宋"/>
            </w:rPr>
            <w:fldChar w:fldCharType="end"/>
          </w:r>
        </w:p>
        <w:p w14:paraId="61FF8CCF">
          <w:pPr>
            <w:pStyle w:val="27"/>
            <w:tabs>
              <w:tab w:val="right" w:leader="dot" w:pos="9638"/>
            </w:tabs>
            <w:rPr>
              <w:rFonts w:ascii="仿宋" w:hAnsi="仿宋" w:eastAsia="仿宋" w:cs="仿宋"/>
            </w:rPr>
          </w:pPr>
          <w:r>
            <w:fldChar w:fldCharType="begin"/>
          </w:r>
          <w:r>
            <w:instrText xml:space="preserve"> HYPERLINK \l "_Toc21545" </w:instrText>
          </w:r>
          <w:r>
            <w:fldChar w:fldCharType="separate"/>
          </w:r>
          <w:r>
            <w:rPr>
              <w:rFonts w:hint="eastAsia" w:ascii="仿宋" w:hAnsi="仿宋" w:eastAsia="仿宋" w:cs="仿宋"/>
            </w:rPr>
            <w:t>格式2  法定代表人（负责人）证明书及授权委托书</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_Toc21545 \h </w:instrText>
          </w:r>
          <w:r>
            <w:rPr>
              <w:rFonts w:hint="eastAsia" w:ascii="仿宋" w:hAnsi="仿宋" w:eastAsia="仿宋" w:cs="仿宋"/>
            </w:rPr>
            <w:fldChar w:fldCharType="separate"/>
          </w:r>
          <w:r>
            <w:rPr>
              <w:rFonts w:hint="eastAsia" w:ascii="仿宋" w:hAnsi="仿宋" w:eastAsia="仿宋" w:cs="仿宋"/>
            </w:rPr>
            <w:t>52</w:t>
          </w:r>
          <w:r>
            <w:rPr>
              <w:rFonts w:hint="eastAsia" w:ascii="仿宋" w:hAnsi="仿宋" w:eastAsia="仿宋" w:cs="仿宋"/>
            </w:rPr>
            <w:fldChar w:fldCharType="end"/>
          </w:r>
          <w:r>
            <w:rPr>
              <w:rFonts w:hint="eastAsia" w:ascii="仿宋" w:hAnsi="仿宋" w:eastAsia="仿宋" w:cs="仿宋"/>
            </w:rPr>
            <w:fldChar w:fldCharType="end"/>
          </w:r>
        </w:p>
        <w:p w14:paraId="32AC879D">
          <w:pPr>
            <w:pStyle w:val="27"/>
            <w:tabs>
              <w:tab w:val="right" w:leader="dot" w:pos="9638"/>
            </w:tabs>
            <w:rPr>
              <w:rFonts w:ascii="仿宋" w:hAnsi="仿宋" w:eastAsia="仿宋" w:cs="仿宋"/>
            </w:rPr>
          </w:pPr>
          <w:r>
            <w:fldChar w:fldCharType="begin"/>
          </w:r>
          <w:r>
            <w:instrText xml:space="preserve"> HYPERLINK \l "_Toc21177" </w:instrText>
          </w:r>
          <w:r>
            <w:fldChar w:fldCharType="separate"/>
          </w:r>
          <w:r>
            <w:rPr>
              <w:rFonts w:hint="eastAsia" w:ascii="仿宋" w:hAnsi="仿宋" w:eastAsia="仿宋" w:cs="仿宋"/>
            </w:rPr>
            <w:t>格式3  投 标 函</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_Toc21177 \h </w:instrText>
          </w:r>
          <w:r>
            <w:rPr>
              <w:rFonts w:hint="eastAsia" w:ascii="仿宋" w:hAnsi="仿宋" w:eastAsia="仿宋" w:cs="仿宋"/>
            </w:rPr>
            <w:fldChar w:fldCharType="separate"/>
          </w:r>
          <w:r>
            <w:rPr>
              <w:rFonts w:hint="eastAsia" w:ascii="仿宋" w:hAnsi="仿宋" w:eastAsia="仿宋" w:cs="仿宋"/>
            </w:rPr>
            <w:t>54</w:t>
          </w:r>
          <w:r>
            <w:rPr>
              <w:rFonts w:hint="eastAsia" w:ascii="仿宋" w:hAnsi="仿宋" w:eastAsia="仿宋" w:cs="仿宋"/>
            </w:rPr>
            <w:fldChar w:fldCharType="end"/>
          </w:r>
          <w:r>
            <w:rPr>
              <w:rFonts w:hint="eastAsia" w:ascii="仿宋" w:hAnsi="仿宋" w:eastAsia="仿宋" w:cs="仿宋"/>
            </w:rPr>
            <w:fldChar w:fldCharType="end"/>
          </w:r>
        </w:p>
        <w:p w14:paraId="18486CB6">
          <w:pPr>
            <w:pStyle w:val="27"/>
            <w:tabs>
              <w:tab w:val="right" w:leader="dot" w:pos="9638"/>
            </w:tabs>
            <w:rPr>
              <w:rFonts w:ascii="仿宋" w:hAnsi="仿宋" w:eastAsia="仿宋" w:cs="仿宋"/>
            </w:rPr>
          </w:pPr>
          <w:r>
            <w:fldChar w:fldCharType="begin"/>
          </w:r>
          <w:r>
            <w:instrText xml:space="preserve"> HYPERLINK \l "_Toc3602" </w:instrText>
          </w:r>
          <w:r>
            <w:fldChar w:fldCharType="separate"/>
          </w:r>
          <w:r>
            <w:rPr>
              <w:rFonts w:hint="eastAsia" w:ascii="仿宋" w:hAnsi="仿宋" w:eastAsia="仿宋" w:cs="仿宋"/>
            </w:rPr>
            <w:t>格式4  评分中涉及的承诺及声明函</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_Toc3602 \h </w:instrText>
          </w:r>
          <w:r>
            <w:rPr>
              <w:rFonts w:hint="eastAsia" w:ascii="仿宋" w:hAnsi="仿宋" w:eastAsia="仿宋" w:cs="仿宋"/>
            </w:rPr>
            <w:fldChar w:fldCharType="separate"/>
          </w:r>
          <w:r>
            <w:rPr>
              <w:rFonts w:hint="eastAsia" w:ascii="仿宋" w:hAnsi="仿宋" w:eastAsia="仿宋" w:cs="仿宋"/>
            </w:rPr>
            <w:t>55</w:t>
          </w:r>
          <w:r>
            <w:rPr>
              <w:rFonts w:hint="eastAsia" w:ascii="仿宋" w:hAnsi="仿宋" w:eastAsia="仿宋" w:cs="仿宋"/>
            </w:rPr>
            <w:fldChar w:fldCharType="end"/>
          </w:r>
          <w:r>
            <w:rPr>
              <w:rFonts w:hint="eastAsia" w:ascii="仿宋" w:hAnsi="仿宋" w:eastAsia="仿宋" w:cs="仿宋"/>
            </w:rPr>
            <w:fldChar w:fldCharType="end"/>
          </w:r>
        </w:p>
        <w:p w14:paraId="2CD93638">
          <w:pPr>
            <w:pStyle w:val="27"/>
            <w:tabs>
              <w:tab w:val="right" w:leader="dot" w:pos="9638"/>
            </w:tabs>
            <w:rPr>
              <w:rFonts w:ascii="仿宋" w:hAnsi="仿宋" w:eastAsia="仿宋" w:cs="仿宋"/>
            </w:rPr>
          </w:pPr>
          <w:r>
            <w:fldChar w:fldCharType="begin"/>
          </w:r>
          <w:r>
            <w:instrText xml:space="preserve"> HYPERLINK \l "_Toc3547" </w:instrText>
          </w:r>
          <w:r>
            <w:fldChar w:fldCharType="separate"/>
          </w:r>
          <w:r>
            <w:rPr>
              <w:rFonts w:hint="eastAsia" w:ascii="仿宋" w:hAnsi="仿宋" w:eastAsia="仿宋" w:cs="仿宋"/>
            </w:rPr>
            <w:t>格式5  开标一览表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_Toc3547 \h </w:instrText>
          </w:r>
          <w:r>
            <w:rPr>
              <w:rFonts w:hint="eastAsia" w:ascii="仿宋" w:hAnsi="仿宋" w:eastAsia="仿宋" w:cs="仿宋"/>
            </w:rPr>
            <w:fldChar w:fldCharType="separate"/>
          </w:r>
          <w:r>
            <w:rPr>
              <w:rFonts w:hint="eastAsia" w:ascii="仿宋" w:hAnsi="仿宋" w:eastAsia="仿宋" w:cs="仿宋"/>
            </w:rPr>
            <w:t>58</w:t>
          </w:r>
          <w:r>
            <w:rPr>
              <w:rFonts w:hint="eastAsia" w:ascii="仿宋" w:hAnsi="仿宋" w:eastAsia="仿宋" w:cs="仿宋"/>
            </w:rPr>
            <w:fldChar w:fldCharType="end"/>
          </w:r>
          <w:r>
            <w:rPr>
              <w:rFonts w:hint="eastAsia" w:ascii="仿宋" w:hAnsi="仿宋" w:eastAsia="仿宋" w:cs="仿宋"/>
            </w:rPr>
            <w:fldChar w:fldCharType="end"/>
          </w:r>
        </w:p>
        <w:p w14:paraId="759C7FFA">
          <w:pPr>
            <w:pStyle w:val="27"/>
            <w:tabs>
              <w:tab w:val="right" w:leader="dot" w:pos="9638"/>
            </w:tabs>
            <w:rPr>
              <w:rFonts w:ascii="仿宋" w:hAnsi="仿宋" w:eastAsia="仿宋" w:cs="仿宋"/>
            </w:rPr>
          </w:pPr>
          <w:r>
            <w:fldChar w:fldCharType="begin"/>
          </w:r>
          <w:r>
            <w:instrText xml:space="preserve"> HYPERLINK \l "_Toc13362" </w:instrText>
          </w:r>
          <w:r>
            <w:fldChar w:fldCharType="separate"/>
          </w:r>
          <w:r>
            <w:rPr>
              <w:rFonts w:hint="eastAsia" w:ascii="仿宋" w:hAnsi="仿宋" w:eastAsia="仿宋" w:cs="仿宋"/>
            </w:rPr>
            <w:t>格式6  报价表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_Toc13362 \h </w:instrText>
          </w:r>
          <w:r>
            <w:rPr>
              <w:rFonts w:hint="eastAsia" w:ascii="仿宋" w:hAnsi="仿宋" w:eastAsia="仿宋" w:cs="仿宋"/>
            </w:rPr>
            <w:fldChar w:fldCharType="separate"/>
          </w:r>
          <w:r>
            <w:rPr>
              <w:rFonts w:hint="eastAsia" w:ascii="仿宋" w:hAnsi="仿宋" w:eastAsia="仿宋" w:cs="仿宋"/>
            </w:rPr>
            <w:t>59</w:t>
          </w:r>
          <w:r>
            <w:rPr>
              <w:rFonts w:hint="eastAsia" w:ascii="仿宋" w:hAnsi="仿宋" w:eastAsia="仿宋" w:cs="仿宋"/>
            </w:rPr>
            <w:fldChar w:fldCharType="end"/>
          </w:r>
          <w:r>
            <w:rPr>
              <w:rFonts w:hint="eastAsia" w:ascii="仿宋" w:hAnsi="仿宋" w:eastAsia="仿宋" w:cs="仿宋"/>
            </w:rPr>
            <w:fldChar w:fldCharType="end"/>
          </w:r>
        </w:p>
        <w:p w14:paraId="26ECB0C3">
          <w:pPr>
            <w:pStyle w:val="27"/>
            <w:tabs>
              <w:tab w:val="right" w:leader="dot" w:pos="9638"/>
            </w:tabs>
            <w:rPr>
              <w:rFonts w:ascii="仿宋" w:hAnsi="仿宋" w:eastAsia="仿宋" w:cs="仿宋"/>
            </w:rPr>
          </w:pPr>
          <w:r>
            <w:fldChar w:fldCharType="begin"/>
          </w:r>
          <w:r>
            <w:instrText xml:space="preserve"> HYPERLINK \l "_Toc24202" </w:instrText>
          </w:r>
          <w:r>
            <w:fldChar w:fldCharType="separate"/>
          </w:r>
          <w:r>
            <w:rPr>
              <w:rFonts w:hint="eastAsia" w:ascii="仿宋" w:hAnsi="仿宋" w:eastAsia="仿宋" w:cs="仿宋"/>
            </w:rPr>
            <w:t>格式7  技术规格</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_Toc24202 \h </w:instrText>
          </w:r>
          <w:r>
            <w:rPr>
              <w:rFonts w:hint="eastAsia" w:ascii="仿宋" w:hAnsi="仿宋" w:eastAsia="仿宋" w:cs="仿宋"/>
            </w:rPr>
            <w:fldChar w:fldCharType="separate"/>
          </w:r>
          <w:r>
            <w:rPr>
              <w:rFonts w:hint="eastAsia" w:ascii="仿宋" w:hAnsi="仿宋" w:eastAsia="仿宋" w:cs="仿宋"/>
            </w:rPr>
            <w:t>61</w:t>
          </w:r>
          <w:r>
            <w:rPr>
              <w:rFonts w:hint="eastAsia" w:ascii="仿宋" w:hAnsi="仿宋" w:eastAsia="仿宋" w:cs="仿宋"/>
            </w:rPr>
            <w:fldChar w:fldCharType="end"/>
          </w:r>
          <w:r>
            <w:rPr>
              <w:rFonts w:hint="eastAsia" w:ascii="仿宋" w:hAnsi="仿宋" w:eastAsia="仿宋" w:cs="仿宋"/>
            </w:rPr>
            <w:fldChar w:fldCharType="end"/>
          </w:r>
        </w:p>
        <w:p w14:paraId="70B07481">
          <w:pPr>
            <w:pStyle w:val="27"/>
            <w:tabs>
              <w:tab w:val="right" w:leader="dot" w:pos="9638"/>
            </w:tabs>
            <w:rPr>
              <w:rFonts w:ascii="仿宋" w:hAnsi="仿宋" w:eastAsia="仿宋" w:cs="仿宋"/>
            </w:rPr>
          </w:pPr>
          <w:r>
            <w:fldChar w:fldCharType="begin"/>
          </w:r>
          <w:r>
            <w:instrText xml:space="preserve"> HYPERLINK \l "_Toc7193" </w:instrText>
          </w:r>
          <w:r>
            <w:fldChar w:fldCharType="separate"/>
          </w:r>
          <w:r>
            <w:rPr>
              <w:rFonts w:hint="eastAsia" w:ascii="仿宋" w:hAnsi="仿宋" w:eastAsia="仿宋" w:cs="仿宋"/>
            </w:rPr>
            <w:t>格式8  交付进度</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_Toc7193 \h </w:instrText>
          </w:r>
          <w:r>
            <w:rPr>
              <w:rFonts w:hint="eastAsia" w:ascii="仿宋" w:hAnsi="仿宋" w:eastAsia="仿宋" w:cs="仿宋"/>
            </w:rPr>
            <w:fldChar w:fldCharType="separate"/>
          </w:r>
          <w:r>
            <w:rPr>
              <w:rFonts w:hint="eastAsia" w:ascii="仿宋" w:hAnsi="仿宋" w:eastAsia="仿宋" w:cs="仿宋"/>
            </w:rPr>
            <w:t>62</w:t>
          </w:r>
          <w:r>
            <w:rPr>
              <w:rFonts w:hint="eastAsia" w:ascii="仿宋" w:hAnsi="仿宋" w:eastAsia="仿宋" w:cs="仿宋"/>
            </w:rPr>
            <w:fldChar w:fldCharType="end"/>
          </w:r>
          <w:r>
            <w:rPr>
              <w:rFonts w:hint="eastAsia" w:ascii="仿宋" w:hAnsi="仿宋" w:eastAsia="仿宋" w:cs="仿宋"/>
            </w:rPr>
            <w:fldChar w:fldCharType="end"/>
          </w:r>
        </w:p>
        <w:p w14:paraId="728CC11E">
          <w:pPr>
            <w:pStyle w:val="27"/>
            <w:tabs>
              <w:tab w:val="right" w:leader="dot" w:pos="9638"/>
            </w:tabs>
            <w:rPr>
              <w:rFonts w:ascii="仿宋" w:hAnsi="仿宋" w:eastAsia="仿宋" w:cs="仿宋"/>
            </w:rPr>
          </w:pPr>
          <w:r>
            <w:fldChar w:fldCharType="begin"/>
          </w:r>
          <w:r>
            <w:instrText xml:space="preserve"> HYPERLINK \l "_Toc12182" </w:instrText>
          </w:r>
          <w:r>
            <w:fldChar w:fldCharType="separate"/>
          </w:r>
          <w:r>
            <w:rPr>
              <w:rFonts w:hint="eastAsia" w:ascii="仿宋" w:hAnsi="仿宋" w:eastAsia="仿宋" w:cs="仿宋"/>
            </w:rPr>
            <w:t>格式9  售后服务和质量承诺</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_Toc12182 \h </w:instrText>
          </w:r>
          <w:r>
            <w:rPr>
              <w:rFonts w:hint="eastAsia" w:ascii="仿宋" w:hAnsi="仿宋" w:eastAsia="仿宋" w:cs="仿宋"/>
            </w:rPr>
            <w:fldChar w:fldCharType="separate"/>
          </w:r>
          <w:r>
            <w:rPr>
              <w:rFonts w:hint="eastAsia" w:ascii="仿宋" w:hAnsi="仿宋" w:eastAsia="仿宋" w:cs="仿宋"/>
            </w:rPr>
            <w:t>63</w:t>
          </w:r>
          <w:r>
            <w:rPr>
              <w:rFonts w:hint="eastAsia" w:ascii="仿宋" w:hAnsi="仿宋" w:eastAsia="仿宋" w:cs="仿宋"/>
            </w:rPr>
            <w:fldChar w:fldCharType="end"/>
          </w:r>
          <w:r>
            <w:rPr>
              <w:rFonts w:hint="eastAsia" w:ascii="仿宋" w:hAnsi="仿宋" w:eastAsia="仿宋" w:cs="仿宋"/>
            </w:rPr>
            <w:fldChar w:fldCharType="end"/>
          </w:r>
        </w:p>
        <w:p w14:paraId="1265DA74">
          <w:pPr>
            <w:pStyle w:val="27"/>
            <w:tabs>
              <w:tab w:val="right" w:leader="dot" w:pos="9638"/>
            </w:tabs>
            <w:rPr>
              <w:rFonts w:ascii="仿宋" w:hAnsi="仿宋" w:eastAsia="仿宋" w:cs="仿宋"/>
            </w:rPr>
          </w:pPr>
          <w:r>
            <w:fldChar w:fldCharType="begin"/>
          </w:r>
          <w:r>
            <w:instrText xml:space="preserve"> HYPERLINK \l "_Toc19156" </w:instrText>
          </w:r>
          <w:r>
            <w:fldChar w:fldCharType="separate"/>
          </w:r>
          <w:r>
            <w:rPr>
              <w:rFonts w:hint="eastAsia" w:ascii="仿宋" w:hAnsi="仿宋" w:eastAsia="仿宋" w:cs="仿宋"/>
            </w:rPr>
            <w:t>格式10  投标人情况介绍</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_Toc19156 \h </w:instrText>
          </w:r>
          <w:r>
            <w:rPr>
              <w:rFonts w:hint="eastAsia" w:ascii="仿宋" w:hAnsi="仿宋" w:eastAsia="仿宋" w:cs="仿宋"/>
            </w:rPr>
            <w:fldChar w:fldCharType="separate"/>
          </w:r>
          <w:r>
            <w:rPr>
              <w:rFonts w:hint="eastAsia" w:ascii="仿宋" w:hAnsi="仿宋" w:eastAsia="仿宋" w:cs="仿宋"/>
            </w:rPr>
            <w:t>64</w:t>
          </w:r>
          <w:r>
            <w:rPr>
              <w:rFonts w:hint="eastAsia" w:ascii="仿宋" w:hAnsi="仿宋" w:eastAsia="仿宋" w:cs="仿宋"/>
            </w:rPr>
            <w:fldChar w:fldCharType="end"/>
          </w:r>
          <w:r>
            <w:rPr>
              <w:rFonts w:hint="eastAsia" w:ascii="仿宋" w:hAnsi="仿宋" w:eastAsia="仿宋" w:cs="仿宋"/>
            </w:rPr>
            <w:fldChar w:fldCharType="end"/>
          </w:r>
        </w:p>
        <w:p w14:paraId="792FFC2F">
          <w:pPr>
            <w:pStyle w:val="27"/>
            <w:tabs>
              <w:tab w:val="right" w:leader="dot" w:pos="9638"/>
            </w:tabs>
            <w:rPr>
              <w:rFonts w:ascii="仿宋" w:hAnsi="仿宋" w:eastAsia="仿宋" w:cs="仿宋"/>
            </w:rPr>
          </w:pPr>
          <w:r>
            <w:fldChar w:fldCharType="begin"/>
          </w:r>
          <w:r>
            <w:instrText xml:space="preserve"> HYPERLINK \l "_Toc2410" </w:instrText>
          </w:r>
          <w:r>
            <w:fldChar w:fldCharType="separate"/>
          </w:r>
          <w:r>
            <w:rPr>
              <w:rFonts w:hint="eastAsia" w:ascii="仿宋" w:hAnsi="仿宋" w:eastAsia="仿宋" w:cs="仿宋"/>
            </w:rPr>
            <w:t>格式11  偏离表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_Toc2410 \h </w:instrText>
          </w:r>
          <w:r>
            <w:rPr>
              <w:rFonts w:hint="eastAsia" w:ascii="仿宋" w:hAnsi="仿宋" w:eastAsia="仿宋" w:cs="仿宋"/>
            </w:rPr>
            <w:fldChar w:fldCharType="separate"/>
          </w:r>
          <w:r>
            <w:rPr>
              <w:rFonts w:hint="eastAsia" w:ascii="仿宋" w:hAnsi="仿宋" w:eastAsia="仿宋" w:cs="仿宋"/>
            </w:rPr>
            <w:t>65</w:t>
          </w:r>
          <w:r>
            <w:rPr>
              <w:rFonts w:hint="eastAsia" w:ascii="仿宋" w:hAnsi="仿宋" w:eastAsia="仿宋" w:cs="仿宋"/>
            </w:rPr>
            <w:fldChar w:fldCharType="end"/>
          </w:r>
          <w:r>
            <w:rPr>
              <w:rFonts w:hint="eastAsia" w:ascii="仿宋" w:hAnsi="仿宋" w:eastAsia="仿宋" w:cs="仿宋"/>
            </w:rPr>
            <w:fldChar w:fldCharType="end"/>
          </w:r>
        </w:p>
        <w:p w14:paraId="38F9D2B4">
          <w:pPr>
            <w:pStyle w:val="27"/>
            <w:tabs>
              <w:tab w:val="right" w:leader="dot" w:pos="9638"/>
            </w:tabs>
            <w:rPr>
              <w:rFonts w:ascii="仿宋" w:hAnsi="仿宋" w:eastAsia="仿宋" w:cs="仿宋"/>
            </w:rPr>
          </w:pPr>
          <w:r>
            <w:fldChar w:fldCharType="begin"/>
          </w:r>
          <w:r>
            <w:instrText xml:space="preserve"> HYPERLINK \l "_Toc10345" </w:instrText>
          </w:r>
          <w:r>
            <w:fldChar w:fldCharType="separate"/>
          </w:r>
          <w:r>
            <w:rPr>
              <w:rFonts w:hint="eastAsia" w:ascii="仿宋" w:hAnsi="仿宋" w:eastAsia="仿宋" w:cs="仿宋"/>
            </w:rPr>
            <w:t>格式12  招标文件要求的其他资料或投标人认为需要补充的资料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_Toc10345 \h </w:instrText>
          </w:r>
          <w:r>
            <w:rPr>
              <w:rFonts w:hint="eastAsia" w:ascii="仿宋" w:hAnsi="仿宋" w:eastAsia="仿宋" w:cs="仿宋"/>
            </w:rPr>
            <w:fldChar w:fldCharType="separate"/>
          </w:r>
          <w:r>
            <w:rPr>
              <w:rFonts w:hint="eastAsia" w:ascii="仿宋" w:hAnsi="仿宋" w:eastAsia="仿宋" w:cs="仿宋"/>
            </w:rPr>
            <w:t>67</w:t>
          </w:r>
          <w:r>
            <w:rPr>
              <w:rFonts w:hint="eastAsia" w:ascii="仿宋" w:hAnsi="仿宋" w:eastAsia="仿宋" w:cs="仿宋"/>
            </w:rPr>
            <w:fldChar w:fldCharType="end"/>
          </w:r>
          <w:r>
            <w:rPr>
              <w:rFonts w:hint="eastAsia" w:ascii="仿宋" w:hAnsi="仿宋" w:eastAsia="仿宋" w:cs="仿宋"/>
            </w:rPr>
            <w:fldChar w:fldCharType="end"/>
          </w:r>
        </w:p>
        <w:p w14:paraId="0FC6CD03">
          <w:pPr>
            <w:pStyle w:val="36"/>
            <w:tabs>
              <w:tab w:val="right" w:leader="dot" w:pos="9638"/>
            </w:tabs>
            <w:rPr>
              <w:rFonts w:ascii="仿宋" w:hAnsi="仿宋" w:eastAsia="仿宋" w:cs="仿宋"/>
            </w:rPr>
          </w:pPr>
          <w:r>
            <w:fldChar w:fldCharType="begin"/>
          </w:r>
          <w:r>
            <w:instrText xml:space="preserve"> HYPERLINK \l "_Toc22549" </w:instrText>
          </w:r>
          <w:r>
            <w:fldChar w:fldCharType="separate"/>
          </w:r>
          <w:r>
            <w:rPr>
              <w:rFonts w:hint="eastAsia" w:ascii="仿宋" w:hAnsi="仿宋" w:eastAsia="仿宋" w:cs="仿宋"/>
            </w:rPr>
            <w:t>招标文件第二册（通用部分）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_Toc22549 \h </w:instrText>
          </w:r>
          <w:r>
            <w:rPr>
              <w:rFonts w:hint="eastAsia" w:ascii="仿宋" w:hAnsi="仿宋" w:eastAsia="仿宋" w:cs="仿宋"/>
            </w:rPr>
            <w:fldChar w:fldCharType="separate"/>
          </w:r>
          <w:r>
            <w:rPr>
              <w:rFonts w:hint="eastAsia" w:ascii="仿宋" w:hAnsi="仿宋" w:eastAsia="仿宋" w:cs="仿宋"/>
            </w:rPr>
            <w:t>68</w:t>
          </w:r>
          <w:r>
            <w:rPr>
              <w:rFonts w:hint="eastAsia" w:ascii="仿宋" w:hAnsi="仿宋" w:eastAsia="仿宋" w:cs="仿宋"/>
            </w:rPr>
            <w:fldChar w:fldCharType="end"/>
          </w:r>
          <w:r>
            <w:rPr>
              <w:rFonts w:hint="eastAsia" w:ascii="仿宋" w:hAnsi="仿宋" w:eastAsia="仿宋" w:cs="仿宋"/>
            </w:rPr>
            <w:fldChar w:fldCharType="end"/>
          </w:r>
        </w:p>
        <w:p w14:paraId="4A2D4BAB">
          <w:pPr>
            <w:pStyle w:val="43"/>
            <w:tabs>
              <w:tab w:val="right" w:leader="dot" w:pos="9638"/>
            </w:tabs>
            <w:rPr>
              <w:rFonts w:ascii="仿宋" w:hAnsi="仿宋" w:eastAsia="仿宋" w:cs="仿宋"/>
            </w:rPr>
          </w:pPr>
          <w:r>
            <w:fldChar w:fldCharType="begin"/>
          </w:r>
          <w:r>
            <w:instrText xml:space="preserve"> HYPERLINK \l "_Toc3145" </w:instrText>
          </w:r>
          <w:r>
            <w:fldChar w:fldCharType="separate"/>
          </w:r>
          <w:r>
            <w:rPr>
              <w:rFonts w:hint="eastAsia" w:ascii="仿宋" w:hAnsi="仿宋" w:eastAsia="仿宋" w:cs="仿宋"/>
            </w:rPr>
            <w:t>一、说  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_Toc3145 \h </w:instrText>
          </w:r>
          <w:r>
            <w:rPr>
              <w:rFonts w:hint="eastAsia" w:ascii="仿宋" w:hAnsi="仿宋" w:eastAsia="仿宋" w:cs="仿宋"/>
            </w:rPr>
            <w:fldChar w:fldCharType="separate"/>
          </w:r>
          <w:r>
            <w:rPr>
              <w:rFonts w:hint="eastAsia" w:ascii="仿宋" w:hAnsi="仿宋" w:eastAsia="仿宋" w:cs="仿宋"/>
            </w:rPr>
            <w:t>68</w:t>
          </w:r>
          <w:r>
            <w:rPr>
              <w:rFonts w:hint="eastAsia" w:ascii="仿宋" w:hAnsi="仿宋" w:eastAsia="仿宋" w:cs="仿宋"/>
            </w:rPr>
            <w:fldChar w:fldCharType="end"/>
          </w:r>
          <w:r>
            <w:rPr>
              <w:rFonts w:hint="eastAsia" w:ascii="仿宋" w:hAnsi="仿宋" w:eastAsia="仿宋" w:cs="仿宋"/>
            </w:rPr>
            <w:fldChar w:fldCharType="end"/>
          </w:r>
        </w:p>
        <w:p w14:paraId="66B78C66">
          <w:pPr>
            <w:pStyle w:val="43"/>
            <w:tabs>
              <w:tab w:val="right" w:leader="dot" w:pos="9638"/>
            </w:tabs>
            <w:rPr>
              <w:rFonts w:ascii="仿宋" w:hAnsi="仿宋" w:eastAsia="仿宋" w:cs="仿宋"/>
            </w:rPr>
          </w:pPr>
          <w:r>
            <w:fldChar w:fldCharType="begin"/>
          </w:r>
          <w:r>
            <w:instrText xml:space="preserve"> HYPERLINK \l "_Toc10872" </w:instrText>
          </w:r>
          <w:r>
            <w:fldChar w:fldCharType="separate"/>
          </w:r>
          <w:r>
            <w:rPr>
              <w:rFonts w:hint="eastAsia" w:ascii="仿宋" w:hAnsi="仿宋" w:eastAsia="仿宋" w:cs="仿宋"/>
            </w:rPr>
            <w:t>二、招标文件说明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_Toc10872 \h </w:instrText>
          </w:r>
          <w:r>
            <w:rPr>
              <w:rFonts w:hint="eastAsia" w:ascii="仿宋" w:hAnsi="仿宋" w:eastAsia="仿宋" w:cs="仿宋"/>
            </w:rPr>
            <w:fldChar w:fldCharType="separate"/>
          </w:r>
          <w:r>
            <w:rPr>
              <w:rFonts w:hint="eastAsia" w:ascii="仿宋" w:hAnsi="仿宋" w:eastAsia="仿宋" w:cs="仿宋"/>
            </w:rPr>
            <w:t>70</w:t>
          </w:r>
          <w:r>
            <w:rPr>
              <w:rFonts w:hint="eastAsia" w:ascii="仿宋" w:hAnsi="仿宋" w:eastAsia="仿宋" w:cs="仿宋"/>
            </w:rPr>
            <w:fldChar w:fldCharType="end"/>
          </w:r>
          <w:r>
            <w:rPr>
              <w:rFonts w:hint="eastAsia" w:ascii="仿宋" w:hAnsi="仿宋" w:eastAsia="仿宋" w:cs="仿宋"/>
            </w:rPr>
            <w:fldChar w:fldCharType="end"/>
          </w:r>
        </w:p>
        <w:p w14:paraId="4185EC9E">
          <w:pPr>
            <w:pStyle w:val="43"/>
            <w:tabs>
              <w:tab w:val="right" w:leader="dot" w:pos="9638"/>
            </w:tabs>
            <w:rPr>
              <w:rFonts w:ascii="仿宋" w:hAnsi="仿宋" w:eastAsia="仿宋" w:cs="仿宋"/>
            </w:rPr>
          </w:pPr>
          <w:r>
            <w:fldChar w:fldCharType="begin"/>
          </w:r>
          <w:r>
            <w:instrText xml:space="preserve"> HYPERLINK \l "_Toc21044" </w:instrText>
          </w:r>
          <w:r>
            <w:fldChar w:fldCharType="separate"/>
          </w:r>
          <w:r>
            <w:rPr>
              <w:rFonts w:hint="eastAsia" w:ascii="仿宋" w:hAnsi="仿宋" w:eastAsia="仿宋" w:cs="仿宋"/>
            </w:rPr>
            <w:t>三、投标文件的编写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_Toc21044 \h </w:instrText>
          </w:r>
          <w:r>
            <w:rPr>
              <w:rFonts w:hint="eastAsia" w:ascii="仿宋" w:hAnsi="仿宋" w:eastAsia="仿宋" w:cs="仿宋"/>
            </w:rPr>
            <w:fldChar w:fldCharType="separate"/>
          </w:r>
          <w:r>
            <w:rPr>
              <w:rFonts w:hint="eastAsia" w:ascii="仿宋" w:hAnsi="仿宋" w:eastAsia="仿宋" w:cs="仿宋"/>
            </w:rPr>
            <w:t>71</w:t>
          </w:r>
          <w:r>
            <w:rPr>
              <w:rFonts w:hint="eastAsia" w:ascii="仿宋" w:hAnsi="仿宋" w:eastAsia="仿宋" w:cs="仿宋"/>
            </w:rPr>
            <w:fldChar w:fldCharType="end"/>
          </w:r>
          <w:r>
            <w:rPr>
              <w:rFonts w:hint="eastAsia" w:ascii="仿宋" w:hAnsi="仿宋" w:eastAsia="仿宋" w:cs="仿宋"/>
            </w:rPr>
            <w:fldChar w:fldCharType="end"/>
          </w:r>
        </w:p>
        <w:p w14:paraId="5CCE6E8D">
          <w:pPr>
            <w:pStyle w:val="43"/>
            <w:tabs>
              <w:tab w:val="right" w:leader="dot" w:pos="9638"/>
            </w:tabs>
            <w:rPr>
              <w:rFonts w:ascii="仿宋" w:hAnsi="仿宋" w:eastAsia="仿宋" w:cs="仿宋"/>
            </w:rPr>
          </w:pPr>
          <w:r>
            <w:fldChar w:fldCharType="begin"/>
          </w:r>
          <w:r>
            <w:instrText xml:space="preserve"> HYPERLINK \l "_Toc31765" </w:instrText>
          </w:r>
          <w:r>
            <w:fldChar w:fldCharType="separate"/>
          </w:r>
          <w:r>
            <w:rPr>
              <w:rFonts w:hint="eastAsia" w:ascii="仿宋" w:hAnsi="仿宋" w:eastAsia="仿宋" w:cs="仿宋"/>
            </w:rPr>
            <w:t>四、投标文件的递交</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_Toc31765 \h </w:instrText>
          </w:r>
          <w:r>
            <w:rPr>
              <w:rFonts w:hint="eastAsia" w:ascii="仿宋" w:hAnsi="仿宋" w:eastAsia="仿宋" w:cs="仿宋"/>
            </w:rPr>
            <w:fldChar w:fldCharType="separate"/>
          </w:r>
          <w:r>
            <w:rPr>
              <w:rFonts w:hint="eastAsia" w:ascii="仿宋" w:hAnsi="仿宋" w:eastAsia="仿宋" w:cs="仿宋"/>
            </w:rPr>
            <w:t>73</w:t>
          </w:r>
          <w:r>
            <w:rPr>
              <w:rFonts w:hint="eastAsia" w:ascii="仿宋" w:hAnsi="仿宋" w:eastAsia="仿宋" w:cs="仿宋"/>
            </w:rPr>
            <w:fldChar w:fldCharType="end"/>
          </w:r>
          <w:r>
            <w:rPr>
              <w:rFonts w:hint="eastAsia" w:ascii="仿宋" w:hAnsi="仿宋" w:eastAsia="仿宋" w:cs="仿宋"/>
            </w:rPr>
            <w:fldChar w:fldCharType="end"/>
          </w:r>
        </w:p>
        <w:p w14:paraId="025B1411">
          <w:pPr>
            <w:pStyle w:val="43"/>
            <w:tabs>
              <w:tab w:val="right" w:leader="dot" w:pos="9638"/>
            </w:tabs>
            <w:rPr>
              <w:rFonts w:ascii="仿宋" w:hAnsi="仿宋" w:eastAsia="仿宋" w:cs="仿宋"/>
            </w:rPr>
          </w:pPr>
          <w:r>
            <w:fldChar w:fldCharType="begin"/>
          </w:r>
          <w:r>
            <w:instrText xml:space="preserve"> HYPERLINK \l "_Toc25445" </w:instrText>
          </w:r>
          <w:r>
            <w:fldChar w:fldCharType="separate"/>
          </w:r>
          <w:r>
            <w:rPr>
              <w:rFonts w:hint="eastAsia" w:ascii="仿宋" w:hAnsi="仿宋" w:eastAsia="仿宋" w:cs="仿宋"/>
            </w:rPr>
            <w:t>五、开标和评标</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_Toc25445 \h </w:instrText>
          </w:r>
          <w:r>
            <w:rPr>
              <w:rFonts w:hint="eastAsia" w:ascii="仿宋" w:hAnsi="仿宋" w:eastAsia="仿宋" w:cs="仿宋"/>
            </w:rPr>
            <w:fldChar w:fldCharType="separate"/>
          </w:r>
          <w:r>
            <w:rPr>
              <w:rFonts w:hint="eastAsia" w:ascii="仿宋" w:hAnsi="仿宋" w:eastAsia="仿宋" w:cs="仿宋"/>
            </w:rPr>
            <w:t>74</w:t>
          </w:r>
          <w:r>
            <w:rPr>
              <w:rFonts w:hint="eastAsia" w:ascii="仿宋" w:hAnsi="仿宋" w:eastAsia="仿宋" w:cs="仿宋"/>
            </w:rPr>
            <w:fldChar w:fldCharType="end"/>
          </w:r>
          <w:r>
            <w:rPr>
              <w:rFonts w:hint="eastAsia" w:ascii="仿宋" w:hAnsi="仿宋" w:eastAsia="仿宋" w:cs="仿宋"/>
            </w:rPr>
            <w:fldChar w:fldCharType="end"/>
          </w:r>
        </w:p>
        <w:p w14:paraId="13AB1CD0">
          <w:pPr>
            <w:pStyle w:val="43"/>
            <w:tabs>
              <w:tab w:val="right" w:leader="dot" w:pos="9638"/>
            </w:tabs>
            <w:rPr>
              <w:rFonts w:ascii="仿宋" w:hAnsi="仿宋" w:eastAsia="仿宋" w:cs="仿宋"/>
            </w:rPr>
          </w:pPr>
          <w:r>
            <w:fldChar w:fldCharType="begin"/>
          </w:r>
          <w:r>
            <w:instrText xml:space="preserve"> HYPERLINK \l "_Toc26124" </w:instrText>
          </w:r>
          <w:r>
            <w:fldChar w:fldCharType="separate"/>
          </w:r>
          <w:r>
            <w:rPr>
              <w:rFonts w:hint="eastAsia" w:ascii="仿宋" w:hAnsi="仿宋" w:eastAsia="仿宋" w:cs="仿宋"/>
            </w:rPr>
            <w:t>六、授予合同</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_Toc26124 \h </w:instrText>
          </w:r>
          <w:r>
            <w:rPr>
              <w:rFonts w:hint="eastAsia" w:ascii="仿宋" w:hAnsi="仿宋" w:eastAsia="仿宋" w:cs="仿宋"/>
            </w:rPr>
            <w:fldChar w:fldCharType="separate"/>
          </w:r>
          <w:r>
            <w:rPr>
              <w:rFonts w:hint="eastAsia" w:ascii="仿宋" w:hAnsi="仿宋" w:eastAsia="仿宋" w:cs="仿宋"/>
            </w:rPr>
            <w:t>77</w:t>
          </w:r>
          <w:r>
            <w:rPr>
              <w:rFonts w:hint="eastAsia" w:ascii="仿宋" w:hAnsi="仿宋" w:eastAsia="仿宋" w:cs="仿宋"/>
            </w:rPr>
            <w:fldChar w:fldCharType="end"/>
          </w:r>
          <w:r>
            <w:rPr>
              <w:rFonts w:hint="eastAsia" w:ascii="仿宋" w:hAnsi="仿宋" w:eastAsia="仿宋" w:cs="仿宋"/>
            </w:rPr>
            <w:fldChar w:fldCharType="end"/>
          </w:r>
        </w:p>
        <w:p w14:paraId="511963E2">
          <w:pPr>
            <w:pStyle w:val="43"/>
            <w:tabs>
              <w:tab w:val="right" w:leader="dot" w:pos="9638"/>
            </w:tabs>
            <w:rPr>
              <w:rFonts w:ascii="仿宋" w:hAnsi="仿宋" w:eastAsia="仿宋" w:cs="仿宋"/>
              <w:sz w:val="24"/>
            </w:rPr>
          </w:pPr>
          <w:r>
            <w:fldChar w:fldCharType="begin"/>
          </w:r>
          <w:r>
            <w:instrText xml:space="preserve"> HYPERLINK \l "_Toc15876" </w:instrText>
          </w:r>
          <w:r>
            <w:fldChar w:fldCharType="separate"/>
          </w:r>
          <w:r>
            <w:rPr>
              <w:rFonts w:hint="eastAsia" w:ascii="仿宋" w:hAnsi="仿宋" w:eastAsia="仿宋" w:cs="仿宋"/>
            </w:rPr>
            <w:t>七、质疑处理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_Toc15876 \h </w:instrText>
          </w:r>
          <w:r>
            <w:rPr>
              <w:rFonts w:hint="eastAsia" w:ascii="仿宋" w:hAnsi="仿宋" w:eastAsia="仿宋" w:cs="仿宋"/>
            </w:rPr>
            <w:fldChar w:fldCharType="separate"/>
          </w:r>
          <w:r>
            <w:rPr>
              <w:rFonts w:hint="eastAsia" w:ascii="仿宋" w:hAnsi="仿宋" w:eastAsia="仿宋" w:cs="仿宋"/>
            </w:rPr>
            <w:t>78</w: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sdtContent>
    </w:sdt>
    <w:p w14:paraId="517F358C">
      <w:pPr>
        <w:pStyle w:val="2"/>
      </w:pPr>
      <w:bookmarkStart w:id="0" w:name="_Toc21569"/>
      <w:r>
        <w:rPr>
          <w:rFonts w:hint="eastAsia"/>
        </w:rPr>
        <w:t>招标文件第一册（专用部分）</w:t>
      </w:r>
      <w:bookmarkEnd w:id="0"/>
    </w:p>
    <w:p w14:paraId="3B379E31">
      <w:pPr>
        <w:pStyle w:val="2"/>
      </w:pPr>
      <w:bookmarkStart w:id="1" w:name="_Toc19908"/>
      <w:r>
        <w:rPr>
          <w:rFonts w:hint="eastAsia"/>
        </w:rPr>
        <w:t>第一章  投标邀请</w:t>
      </w:r>
      <w:bookmarkEnd w:id="1"/>
    </w:p>
    <w:p w14:paraId="660C7172">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eastAsia="宋体" w:cs="宋体"/>
          <w:snapToGrid w:val="0"/>
          <w:kern w:val="0"/>
          <w:szCs w:val="21"/>
        </w:rPr>
      </w:pPr>
      <w:r>
        <w:rPr>
          <w:rFonts w:hint="eastAsia" w:ascii="宋体" w:hAnsi="宋体" w:eastAsia="宋体" w:cs="宋体"/>
          <w:snapToGrid w:val="0"/>
          <w:kern w:val="0"/>
          <w:szCs w:val="21"/>
        </w:rPr>
        <w:t>项目概况</w:t>
      </w:r>
    </w:p>
    <w:p w14:paraId="606A3517">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eastAsia="宋体" w:cs="宋体"/>
          <w:snapToGrid w:val="0"/>
          <w:szCs w:val="21"/>
          <w:u w:val="single"/>
        </w:rPr>
      </w:pPr>
      <w:r>
        <w:rPr>
          <w:rFonts w:hint="eastAsia" w:ascii="宋体" w:hAnsi="宋体" w:eastAsia="宋体" w:cs="宋体"/>
          <w:snapToGrid w:val="0"/>
          <w:kern w:val="0"/>
          <w:szCs w:val="21"/>
          <w:u w:val="single"/>
        </w:rPr>
        <w:t>“深圳国际旅行卫生保健中心（深圳海关口岸门诊部）2024年实验室仪器设备更新”项目全身彩色多普勒超声诊断仪一批采购项目</w:t>
      </w:r>
      <w:r>
        <w:rPr>
          <w:rFonts w:hint="eastAsia" w:ascii="宋体" w:hAnsi="宋体" w:eastAsia="宋体" w:cs="宋体"/>
          <w:snapToGrid w:val="0"/>
          <w:kern w:val="0"/>
          <w:szCs w:val="21"/>
        </w:rPr>
        <w:t>的潜在投标人应在</w:t>
      </w:r>
      <w:r>
        <w:rPr>
          <w:rFonts w:hint="eastAsia" w:ascii="宋体" w:hAnsi="宋体" w:eastAsia="宋体" w:cs="宋体"/>
          <w:snapToGrid w:val="0"/>
          <w:szCs w:val="21"/>
          <w:u w:val="single"/>
        </w:rPr>
        <w:t>深圳市福田区民田路171号新华保险大厦903</w:t>
      </w:r>
      <w:r>
        <w:rPr>
          <w:rFonts w:hint="eastAsia" w:ascii="宋体" w:hAnsi="宋体" w:eastAsia="宋体" w:cs="宋体"/>
          <w:snapToGrid w:val="0"/>
          <w:kern w:val="0"/>
          <w:szCs w:val="21"/>
        </w:rPr>
        <w:t>获取招标文件，并于</w:t>
      </w:r>
      <w:r>
        <w:rPr>
          <w:rFonts w:hint="eastAsia" w:ascii="宋体" w:hAnsi="宋体" w:cs="宋体"/>
          <w:snapToGrid w:val="0"/>
          <w:kern w:val="0"/>
          <w:szCs w:val="21"/>
          <w:u w:val="single"/>
          <w:lang w:eastAsia="zh-CN"/>
        </w:rPr>
        <w:t>2024年11月22日14点30分</w:t>
      </w:r>
      <w:r>
        <w:rPr>
          <w:rFonts w:hint="eastAsia" w:ascii="宋体" w:hAnsi="宋体" w:eastAsia="宋体" w:cs="宋体"/>
          <w:snapToGrid w:val="0"/>
          <w:kern w:val="0"/>
          <w:szCs w:val="21"/>
        </w:rPr>
        <w:t>（北京时间）前递交投标文件。</w:t>
      </w:r>
    </w:p>
    <w:p w14:paraId="477EBB95">
      <w:pPr>
        <w:adjustRightInd w:val="0"/>
        <w:snapToGrid w:val="0"/>
        <w:spacing w:line="360" w:lineRule="auto"/>
        <w:ind w:firstLine="420" w:firstLineChars="200"/>
        <w:jc w:val="left"/>
        <w:rPr>
          <w:rFonts w:ascii="宋体" w:hAnsi="宋体" w:eastAsia="宋体" w:cs="宋体"/>
          <w:snapToGrid w:val="0"/>
          <w:kern w:val="0"/>
          <w:szCs w:val="21"/>
        </w:rPr>
      </w:pPr>
    </w:p>
    <w:p w14:paraId="7E912ED5">
      <w:pPr>
        <w:adjustRightInd w:val="0"/>
        <w:snapToGrid w:val="0"/>
        <w:spacing w:line="360" w:lineRule="auto"/>
        <w:ind w:left="360" w:leftChars="1" w:hanging="358" w:hangingChars="170"/>
        <w:jc w:val="left"/>
        <w:rPr>
          <w:rFonts w:ascii="宋体" w:hAnsi="宋体" w:eastAsia="宋体" w:cs="宋体"/>
          <w:b/>
          <w:snapToGrid w:val="0"/>
          <w:kern w:val="0"/>
          <w:szCs w:val="21"/>
        </w:rPr>
      </w:pPr>
      <w:r>
        <w:rPr>
          <w:rFonts w:hint="eastAsia" w:ascii="宋体" w:hAnsi="宋体" w:eastAsia="宋体" w:cs="宋体"/>
          <w:b/>
          <w:snapToGrid w:val="0"/>
          <w:kern w:val="0"/>
          <w:szCs w:val="21"/>
        </w:rPr>
        <w:t>一、项目基本情况</w:t>
      </w:r>
    </w:p>
    <w:p w14:paraId="031947D8">
      <w:pPr>
        <w:pStyle w:val="455"/>
        <w:widowControl w:val="0"/>
        <w:adjustRightInd w:val="0"/>
        <w:snapToGrid w:val="0"/>
        <w:spacing w:before="0" w:beforeAutospacing="0" w:after="0" w:afterAutospacing="0" w:line="360" w:lineRule="auto"/>
        <w:ind w:left="1413" w:leftChars="202" w:hanging="989" w:hangingChars="471"/>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项目编号：SZZZ2024-QA0226</w:t>
      </w:r>
    </w:p>
    <w:p w14:paraId="10D56390">
      <w:pPr>
        <w:pStyle w:val="455"/>
        <w:widowControl w:val="0"/>
        <w:adjustRightInd w:val="0"/>
        <w:snapToGrid w:val="0"/>
        <w:spacing w:before="0" w:beforeAutospacing="0" w:after="0" w:afterAutospacing="0" w:line="360" w:lineRule="auto"/>
        <w:ind w:left="1474" w:leftChars="200" w:hanging="1054" w:hangingChars="5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项目名称：“深圳国际旅行卫生保健中心（深圳海关口岸门诊部）2024年实验室仪器设备更新”项目全身彩色多普勒超声诊断仪一批采购项目</w:t>
      </w:r>
    </w:p>
    <w:p w14:paraId="28C14B9B">
      <w:pPr>
        <w:pStyle w:val="455"/>
        <w:widowControl w:val="0"/>
        <w:adjustRightInd w:val="0"/>
        <w:snapToGrid w:val="0"/>
        <w:spacing w:before="0" w:beforeAutospacing="0" w:after="0" w:afterAutospacing="0" w:line="360" w:lineRule="auto"/>
        <w:ind w:left="1831" w:leftChars="202" w:hanging="1407" w:hangingChars="670"/>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采购方式：公开招标</w:t>
      </w:r>
    </w:p>
    <w:p w14:paraId="1FD7B4CF">
      <w:pPr>
        <w:pStyle w:val="455"/>
        <w:widowControl w:val="0"/>
        <w:adjustRightInd w:val="0"/>
        <w:snapToGrid w:val="0"/>
        <w:spacing w:before="0" w:beforeAutospacing="0" w:after="0" w:afterAutospacing="0" w:line="360" w:lineRule="auto"/>
        <w:ind w:left="424" w:left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预算金额：人民币12,000,000.00元（其中：A包预算金额6,000,000.00元；B包预算金额6,000,000.00元）</w:t>
      </w:r>
    </w:p>
    <w:p w14:paraId="70CCEF4E">
      <w:pPr>
        <w:pStyle w:val="455"/>
        <w:widowControl w:val="0"/>
        <w:adjustRightInd w:val="0"/>
        <w:snapToGrid w:val="0"/>
        <w:spacing w:before="0" w:beforeAutospacing="0" w:after="0" w:afterAutospacing="0" w:line="360" w:lineRule="auto"/>
        <w:ind w:left="1413" w:leftChars="202" w:hanging="989" w:hangingChars="471"/>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采购需求：</w:t>
      </w:r>
    </w:p>
    <w:tbl>
      <w:tblPr>
        <w:tblStyle w:val="51"/>
        <w:tblW w:w="8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48"/>
        <w:gridCol w:w="674"/>
        <w:gridCol w:w="686"/>
        <w:gridCol w:w="4250"/>
        <w:gridCol w:w="1115"/>
      </w:tblGrid>
      <w:tr w14:paraId="4AC84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noWrap w:val="0"/>
            <w:vAlign w:val="center"/>
          </w:tcPr>
          <w:p w14:paraId="6F729D16">
            <w:pPr>
              <w:spacing w:line="360" w:lineRule="auto"/>
              <w:jc w:val="center"/>
              <w:rPr>
                <w:rFonts w:ascii="宋体" w:hAnsi="宋体" w:eastAsia="宋体" w:cs="宋体"/>
                <w:b/>
                <w:bCs/>
                <w:szCs w:val="21"/>
              </w:rPr>
            </w:pPr>
            <w:r>
              <w:rPr>
                <w:rFonts w:hint="eastAsia" w:ascii="宋体" w:hAnsi="宋体" w:eastAsia="宋体" w:cs="宋体"/>
                <w:b/>
                <w:bCs/>
                <w:szCs w:val="21"/>
              </w:rPr>
              <w:t>序号</w:t>
            </w:r>
          </w:p>
        </w:tc>
        <w:tc>
          <w:tcPr>
            <w:tcW w:w="1348" w:type="dxa"/>
            <w:noWrap w:val="0"/>
            <w:vAlign w:val="center"/>
          </w:tcPr>
          <w:p w14:paraId="6DEBEA20">
            <w:pPr>
              <w:spacing w:line="360" w:lineRule="auto"/>
              <w:jc w:val="center"/>
              <w:rPr>
                <w:rFonts w:ascii="宋体" w:hAnsi="宋体" w:eastAsia="宋体" w:cs="宋体"/>
                <w:b/>
                <w:bCs/>
                <w:szCs w:val="21"/>
              </w:rPr>
            </w:pPr>
            <w:r>
              <w:rPr>
                <w:rFonts w:hint="eastAsia" w:ascii="宋体" w:hAnsi="宋体" w:eastAsia="宋体" w:cs="宋体"/>
                <w:b/>
                <w:bCs/>
                <w:szCs w:val="21"/>
              </w:rPr>
              <w:t>标的名称</w:t>
            </w:r>
          </w:p>
        </w:tc>
        <w:tc>
          <w:tcPr>
            <w:tcW w:w="674" w:type="dxa"/>
            <w:noWrap w:val="0"/>
            <w:vAlign w:val="center"/>
          </w:tcPr>
          <w:p w14:paraId="68A65725">
            <w:pPr>
              <w:spacing w:line="360" w:lineRule="auto"/>
              <w:jc w:val="center"/>
              <w:rPr>
                <w:rFonts w:ascii="宋体" w:hAnsi="宋体" w:eastAsia="宋体" w:cs="宋体"/>
                <w:b/>
                <w:bCs/>
                <w:szCs w:val="21"/>
              </w:rPr>
            </w:pPr>
            <w:r>
              <w:rPr>
                <w:rFonts w:hint="eastAsia" w:ascii="宋体" w:hAnsi="宋体" w:eastAsia="宋体" w:cs="宋体"/>
                <w:b/>
                <w:bCs/>
                <w:szCs w:val="21"/>
              </w:rPr>
              <w:t>单位</w:t>
            </w:r>
          </w:p>
        </w:tc>
        <w:tc>
          <w:tcPr>
            <w:tcW w:w="686" w:type="dxa"/>
            <w:noWrap w:val="0"/>
            <w:vAlign w:val="top"/>
          </w:tcPr>
          <w:p w14:paraId="3497DB13">
            <w:pPr>
              <w:spacing w:line="360" w:lineRule="auto"/>
              <w:jc w:val="center"/>
              <w:rPr>
                <w:rFonts w:ascii="宋体" w:hAnsi="宋体" w:eastAsia="宋体" w:cs="宋体"/>
                <w:b/>
                <w:bCs/>
                <w:szCs w:val="21"/>
              </w:rPr>
            </w:pPr>
            <w:r>
              <w:rPr>
                <w:rFonts w:hint="eastAsia" w:ascii="宋体" w:hAnsi="宋体" w:eastAsia="宋体" w:cs="宋体"/>
                <w:b/>
                <w:bCs/>
                <w:szCs w:val="21"/>
              </w:rPr>
              <w:t>数量</w:t>
            </w:r>
          </w:p>
        </w:tc>
        <w:tc>
          <w:tcPr>
            <w:tcW w:w="4250" w:type="dxa"/>
            <w:noWrap w:val="0"/>
            <w:vAlign w:val="top"/>
          </w:tcPr>
          <w:p w14:paraId="592BAD4C">
            <w:pPr>
              <w:spacing w:line="360" w:lineRule="auto"/>
              <w:jc w:val="center"/>
              <w:rPr>
                <w:rFonts w:ascii="宋体" w:hAnsi="宋体" w:eastAsia="宋体" w:cs="宋体"/>
                <w:b/>
                <w:bCs/>
                <w:szCs w:val="21"/>
              </w:rPr>
            </w:pPr>
            <w:r>
              <w:rPr>
                <w:rFonts w:hint="eastAsia" w:ascii="宋体" w:hAnsi="宋体" w:eastAsia="宋体" w:cs="宋体"/>
                <w:b/>
                <w:bCs/>
                <w:szCs w:val="21"/>
              </w:rPr>
              <w:t>简要技术需求或服务要求</w:t>
            </w:r>
          </w:p>
        </w:tc>
        <w:tc>
          <w:tcPr>
            <w:tcW w:w="1115" w:type="dxa"/>
            <w:noWrap w:val="0"/>
            <w:vAlign w:val="top"/>
          </w:tcPr>
          <w:p w14:paraId="313EA937">
            <w:pPr>
              <w:spacing w:line="360" w:lineRule="auto"/>
              <w:jc w:val="center"/>
              <w:rPr>
                <w:rFonts w:ascii="宋体" w:hAnsi="宋体" w:eastAsia="宋体" w:cs="宋体"/>
                <w:b/>
                <w:bCs/>
                <w:szCs w:val="21"/>
              </w:rPr>
            </w:pPr>
            <w:r>
              <w:rPr>
                <w:rFonts w:hint="eastAsia" w:ascii="宋体" w:hAnsi="宋体" w:eastAsia="宋体" w:cs="宋体"/>
                <w:b/>
                <w:bCs/>
                <w:szCs w:val="21"/>
              </w:rPr>
              <w:t>备注</w:t>
            </w:r>
          </w:p>
        </w:tc>
      </w:tr>
      <w:tr w14:paraId="6BC9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726" w:type="dxa"/>
            <w:noWrap w:val="0"/>
            <w:vAlign w:val="center"/>
          </w:tcPr>
          <w:p w14:paraId="7C590E5E">
            <w:pPr>
              <w:adjustRightInd w:val="0"/>
              <w:snapToGrid w:val="0"/>
              <w:spacing w:line="360" w:lineRule="auto"/>
              <w:jc w:val="center"/>
              <w:rPr>
                <w:rFonts w:ascii="宋体" w:hAnsi="宋体" w:eastAsia="宋体" w:cs="宋体"/>
                <w:snapToGrid w:val="0"/>
                <w:kern w:val="0"/>
                <w:szCs w:val="21"/>
              </w:rPr>
            </w:pPr>
            <w:r>
              <w:rPr>
                <w:rFonts w:hint="eastAsia" w:ascii="宋体" w:hAnsi="宋体" w:eastAsia="宋体" w:cs="宋体"/>
                <w:snapToGrid w:val="0"/>
                <w:kern w:val="0"/>
                <w:szCs w:val="21"/>
              </w:rPr>
              <w:t>1</w:t>
            </w:r>
          </w:p>
        </w:tc>
        <w:tc>
          <w:tcPr>
            <w:tcW w:w="1348" w:type="dxa"/>
            <w:noWrap w:val="0"/>
            <w:vAlign w:val="center"/>
          </w:tcPr>
          <w:p w14:paraId="233E9ADE">
            <w:pPr>
              <w:adjustRightInd w:val="0"/>
              <w:snapToGrid w:val="0"/>
              <w:spacing w:line="360" w:lineRule="auto"/>
              <w:jc w:val="center"/>
              <w:rPr>
                <w:rFonts w:ascii="宋体" w:hAnsi="宋体" w:eastAsia="宋体" w:cs="宋体"/>
                <w:snapToGrid w:val="0"/>
                <w:kern w:val="0"/>
                <w:szCs w:val="21"/>
              </w:rPr>
            </w:pPr>
            <w:r>
              <w:rPr>
                <w:rFonts w:hint="eastAsia" w:ascii="宋体" w:hAnsi="宋体" w:eastAsia="宋体" w:cs="宋体"/>
                <w:snapToGrid w:val="0"/>
                <w:kern w:val="0"/>
                <w:szCs w:val="21"/>
              </w:rPr>
              <w:t>全身多普勒超声诊断仪</w:t>
            </w:r>
          </w:p>
        </w:tc>
        <w:tc>
          <w:tcPr>
            <w:tcW w:w="674" w:type="dxa"/>
            <w:noWrap w:val="0"/>
            <w:vAlign w:val="center"/>
          </w:tcPr>
          <w:p w14:paraId="2CC45D6B">
            <w:pPr>
              <w:spacing w:line="360" w:lineRule="auto"/>
              <w:jc w:val="center"/>
              <w:rPr>
                <w:rFonts w:ascii="宋体" w:hAnsi="宋体" w:eastAsia="宋体" w:cs="宋体"/>
                <w:snapToGrid w:val="0"/>
                <w:kern w:val="0"/>
                <w:szCs w:val="21"/>
              </w:rPr>
            </w:pPr>
            <w:r>
              <w:rPr>
                <w:rFonts w:hint="eastAsia" w:ascii="宋体" w:hAnsi="宋体" w:eastAsia="宋体" w:cs="宋体"/>
                <w:snapToGrid w:val="0"/>
                <w:kern w:val="0"/>
                <w:szCs w:val="21"/>
              </w:rPr>
              <w:t>台</w:t>
            </w:r>
          </w:p>
        </w:tc>
        <w:tc>
          <w:tcPr>
            <w:tcW w:w="686" w:type="dxa"/>
            <w:noWrap w:val="0"/>
            <w:vAlign w:val="center"/>
          </w:tcPr>
          <w:p w14:paraId="4A29997A">
            <w:pPr>
              <w:spacing w:line="360" w:lineRule="auto"/>
              <w:jc w:val="center"/>
              <w:rPr>
                <w:rFonts w:ascii="宋体" w:hAnsi="宋体" w:eastAsia="宋体" w:cs="宋体"/>
                <w:snapToGrid w:val="0"/>
                <w:kern w:val="0"/>
                <w:szCs w:val="21"/>
              </w:rPr>
            </w:pPr>
            <w:r>
              <w:rPr>
                <w:rFonts w:hint="eastAsia" w:ascii="宋体" w:hAnsi="宋体" w:eastAsia="宋体" w:cs="宋体"/>
                <w:szCs w:val="21"/>
              </w:rPr>
              <w:t>3</w:t>
            </w:r>
          </w:p>
        </w:tc>
        <w:tc>
          <w:tcPr>
            <w:tcW w:w="4250" w:type="dxa"/>
            <w:vMerge w:val="restart"/>
            <w:noWrap w:val="0"/>
            <w:vAlign w:val="center"/>
          </w:tcPr>
          <w:p w14:paraId="328E71ED">
            <w:pPr>
              <w:spacing w:line="360" w:lineRule="auto"/>
              <w:jc w:val="left"/>
              <w:rPr>
                <w:rFonts w:ascii="宋体" w:hAnsi="宋体" w:eastAsia="宋体" w:cs="宋体"/>
                <w:snapToGrid w:val="0"/>
                <w:kern w:val="0"/>
                <w:szCs w:val="21"/>
              </w:rPr>
            </w:pPr>
            <w:r>
              <w:rPr>
                <w:rFonts w:hint="eastAsia" w:ascii="宋体" w:hAnsi="宋体" w:eastAsia="宋体" w:cs="宋体"/>
                <w:snapToGrid w:val="0"/>
                <w:kern w:val="0"/>
                <w:szCs w:val="21"/>
              </w:rPr>
              <w:t>全身多普勒超声诊断仪：</w:t>
            </w:r>
            <w:r>
              <w:rPr>
                <w:rFonts w:hint="eastAsia" w:ascii="宋体" w:hAnsi="宋体" w:eastAsia="宋体" w:cs="宋体"/>
                <w:szCs w:val="21"/>
              </w:rPr>
              <w:t>用于腹部、心脏、妇产科检查、血管、小器官、肌肉骨骼、术中、弹性、造影及介入、高端体检等方面的临床诊断工作，主要侧重于心脏血管超声检查，可开展一定科研教学工作。具有弹性成像功能，造影成像及定量功能。具备持续升级能力，可满足临床开展新技术应用的需求。</w:t>
            </w:r>
          </w:p>
          <w:p w14:paraId="3C8FFF07">
            <w:pPr>
              <w:spacing w:line="360" w:lineRule="auto"/>
              <w:jc w:val="left"/>
              <w:rPr>
                <w:rFonts w:ascii="宋体" w:hAnsi="宋体" w:eastAsia="宋体" w:cs="宋体"/>
                <w:snapToGrid w:val="0"/>
                <w:kern w:val="0"/>
                <w:szCs w:val="21"/>
              </w:rPr>
            </w:pPr>
            <w:r>
              <w:rPr>
                <w:rFonts w:hint="eastAsia" w:ascii="宋体" w:hAnsi="宋体" w:eastAsia="宋体" w:cs="宋体"/>
                <w:snapToGrid w:val="0"/>
                <w:kern w:val="0"/>
                <w:szCs w:val="21"/>
              </w:rPr>
              <w:t>多普勒超声诊断仪：</w:t>
            </w:r>
            <w:r>
              <w:rPr>
                <w:rFonts w:hint="eastAsia" w:ascii="宋体" w:hAnsi="宋体" w:cs="宋体"/>
                <w:szCs w:val="21"/>
              </w:rPr>
              <w:t>用于腹部、心脏、妇产、泌尿、浅表小器官与血管、肌骨神经、高端体检及临床学术研究</w:t>
            </w:r>
            <w:r>
              <w:rPr>
                <w:rFonts w:hint="eastAsia" w:ascii="宋体" w:hAnsi="宋体" w:eastAsia="宋体" w:cs="宋体"/>
                <w:snapToGrid w:val="0"/>
                <w:kern w:val="0"/>
                <w:szCs w:val="21"/>
              </w:rPr>
              <w:t>。</w:t>
            </w:r>
          </w:p>
          <w:p w14:paraId="49863BCE">
            <w:pPr>
              <w:spacing w:line="360" w:lineRule="auto"/>
              <w:jc w:val="left"/>
              <w:rPr>
                <w:rFonts w:ascii="宋体" w:hAnsi="宋体" w:eastAsia="宋体" w:cs="宋体"/>
                <w:snapToGrid w:val="0"/>
                <w:kern w:val="0"/>
                <w:szCs w:val="21"/>
              </w:rPr>
            </w:pPr>
            <w:r>
              <w:rPr>
                <w:rFonts w:hint="eastAsia" w:ascii="宋体" w:hAnsi="宋体" w:eastAsia="宋体" w:cs="宋体"/>
                <w:snapToGrid w:val="0"/>
                <w:kern w:val="0"/>
                <w:szCs w:val="21"/>
              </w:rPr>
              <w:t>具体技术参数详见招标文件</w:t>
            </w:r>
          </w:p>
        </w:tc>
        <w:tc>
          <w:tcPr>
            <w:tcW w:w="1115" w:type="dxa"/>
            <w:noWrap w:val="0"/>
            <w:vAlign w:val="center"/>
          </w:tcPr>
          <w:p w14:paraId="0DAF2CA7">
            <w:pPr>
              <w:spacing w:line="360" w:lineRule="auto"/>
              <w:jc w:val="center"/>
              <w:rPr>
                <w:rFonts w:ascii="宋体" w:hAnsi="宋体" w:eastAsia="宋体" w:cs="宋体"/>
                <w:snapToGrid w:val="0"/>
                <w:kern w:val="0"/>
                <w:szCs w:val="21"/>
              </w:rPr>
            </w:pPr>
            <w:r>
              <w:rPr>
                <w:rFonts w:hint="eastAsia" w:ascii="宋体" w:hAnsi="宋体" w:eastAsia="宋体" w:cs="宋体"/>
                <w:snapToGrid w:val="0"/>
                <w:kern w:val="0"/>
                <w:szCs w:val="21"/>
              </w:rPr>
              <w:t>A包</w:t>
            </w:r>
          </w:p>
        </w:tc>
      </w:tr>
      <w:tr w14:paraId="2A94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726" w:type="dxa"/>
            <w:noWrap w:val="0"/>
            <w:vAlign w:val="center"/>
          </w:tcPr>
          <w:p w14:paraId="7887EFDB">
            <w:pPr>
              <w:adjustRightInd w:val="0"/>
              <w:snapToGrid w:val="0"/>
              <w:spacing w:line="360" w:lineRule="auto"/>
              <w:jc w:val="center"/>
              <w:rPr>
                <w:rFonts w:ascii="宋体" w:hAnsi="宋体" w:eastAsia="宋体" w:cs="宋体"/>
                <w:snapToGrid w:val="0"/>
                <w:kern w:val="0"/>
                <w:szCs w:val="21"/>
              </w:rPr>
            </w:pPr>
            <w:r>
              <w:rPr>
                <w:rFonts w:hint="eastAsia" w:ascii="宋体" w:hAnsi="宋体" w:eastAsia="宋体" w:cs="宋体"/>
                <w:snapToGrid w:val="0"/>
                <w:kern w:val="0"/>
                <w:szCs w:val="21"/>
              </w:rPr>
              <w:t>2</w:t>
            </w:r>
          </w:p>
        </w:tc>
        <w:tc>
          <w:tcPr>
            <w:tcW w:w="1348" w:type="dxa"/>
            <w:noWrap w:val="0"/>
            <w:vAlign w:val="center"/>
          </w:tcPr>
          <w:p w14:paraId="2E6651DE">
            <w:pPr>
              <w:adjustRightInd w:val="0"/>
              <w:snapToGrid w:val="0"/>
              <w:spacing w:line="360" w:lineRule="auto"/>
              <w:jc w:val="center"/>
              <w:rPr>
                <w:rFonts w:ascii="宋体" w:hAnsi="宋体" w:eastAsia="宋体" w:cs="宋体"/>
                <w:snapToGrid w:val="0"/>
                <w:kern w:val="0"/>
                <w:szCs w:val="21"/>
              </w:rPr>
            </w:pPr>
            <w:r>
              <w:rPr>
                <w:rFonts w:hint="eastAsia" w:ascii="宋体" w:hAnsi="宋体" w:eastAsia="宋体" w:cs="宋体"/>
                <w:snapToGrid w:val="0"/>
                <w:kern w:val="0"/>
                <w:szCs w:val="21"/>
              </w:rPr>
              <w:t>多普勒超声诊断仪</w:t>
            </w:r>
          </w:p>
        </w:tc>
        <w:tc>
          <w:tcPr>
            <w:tcW w:w="674" w:type="dxa"/>
            <w:noWrap w:val="0"/>
            <w:vAlign w:val="center"/>
          </w:tcPr>
          <w:p w14:paraId="30A18585">
            <w:pPr>
              <w:spacing w:line="360" w:lineRule="auto"/>
              <w:jc w:val="center"/>
              <w:rPr>
                <w:rFonts w:ascii="宋体" w:hAnsi="宋体" w:eastAsia="宋体" w:cs="宋体"/>
                <w:snapToGrid w:val="0"/>
                <w:kern w:val="0"/>
                <w:szCs w:val="21"/>
              </w:rPr>
            </w:pPr>
            <w:r>
              <w:rPr>
                <w:rFonts w:hint="eastAsia" w:ascii="宋体" w:hAnsi="宋体" w:eastAsia="宋体" w:cs="宋体"/>
                <w:snapToGrid w:val="0"/>
                <w:kern w:val="0"/>
                <w:szCs w:val="21"/>
              </w:rPr>
              <w:t>台</w:t>
            </w:r>
          </w:p>
        </w:tc>
        <w:tc>
          <w:tcPr>
            <w:tcW w:w="686" w:type="dxa"/>
            <w:noWrap w:val="0"/>
            <w:vAlign w:val="center"/>
          </w:tcPr>
          <w:p w14:paraId="21A8541E">
            <w:pPr>
              <w:spacing w:line="360" w:lineRule="auto"/>
              <w:jc w:val="center"/>
              <w:rPr>
                <w:rFonts w:ascii="宋体" w:hAnsi="宋体" w:eastAsia="宋体" w:cs="宋体"/>
                <w:szCs w:val="21"/>
              </w:rPr>
            </w:pPr>
            <w:r>
              <w:rPr>
                <w:rFonts w:hint="eastAsia" w:ascii="宋体" w:hAnsi="宋体" w:eastAsia="宋体" w:cs="宋体"/>
                <w:szCs w:val="21"/>
              </w:rPr>
              <w:t>4</w:t>
            </w:r>
          </w:p>
        </w:tc>
        <w:tc>
          <w:tcPr>
            <w:tcW w:w="4250" w:type="dxa"/>
            <w:vMerge w:val="continue"/>
            <w:noWrap w:val="0"/>
            <w:vAlign w:val="center"/>
          </w:tcPr>
          <w:p w14:paraId="06219CEE">
            <w:pPr>
              <w:spacing w:line="360" w:lineRule="auto"/>
              <w:jc w:val="center"/>
              <w:rPr>
                <w:rFonts w:ascii="宋体" w:hAnsi="宋体" w:eastAsia="宋体" w:cs="宋体"/>
                <w:snapToGrid w:val="0"/>
                <w:kern w:val="0"/>
                <w:szCs w:val="21"/>
              </w:rPr>
            </w:pPr>
          </w:p>
        </w:tc>
        <w:tc>
          <w:tcPr>
            <w:tcW w:w="1115" w:type="dxa"/>
            <w:noWrap w:val="0"/>
            <w:vAlign w:val="center"/>
          </w:tcPr>
          <w:p w14:paraId="6C5B767F">
            <w:pPr>
              <w:spacing w:line="360"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B包</w:t>
            </w:r>
          </w:p>
        </w:tc>
      </w:tr>
    </w:tbl>
    <w:p w14:paraId="777E7B9D">
      <w:pPr>
        <w:pStyle w:val="455"/>
        <w:widowControl w:val="0"/>
        <w:adjustRightInd w:val="0"/>
        <w:snapToGrid w:val="0"/>
        <w:spacing w:before="0" w:beforeAutospacing="0" w:after="0" w:afterAutospacing="0" w:line="360" w:lineRule="auto"/>
        <w:ind w:left="1413" w:leftChars="202" w:hanging="989" w:hangingChars="471"/>
        <w:rPr>
          <w:rFonts w:ascii="宋体" w:hAnsi="宋体" w:eastAsia="宋体" w:cs="宋体"/>
          <w:snapToGrid w:val="0"/>
          <w:color w:val="auto"/>
          <w:sz w:val="21"/>
          <w:szCs w:val="21"/>
        </w:rPr>
      </w:pPr>
      <w:r>
        <w:rPr>
          <w:rFonts w:hint="eastAsia" w:ascii="宋体" w:hAnsi="宋体" w:eastAsia="宋体" w:cs="宋体"/>
          <w:color w:val="333333"/>
          <w:sz w:val="21"/>
          <w:szCs w:val="21"/>
          <w:shd w:val="clear" w:color="auto" w:fill="FFFFFF"/>
        </w:rPr>
        <w:t>合同履行期限：中标人在合同生效之日起60天（日历天）内将货物全部安装、调试完毕并交付使用</w:t>
      </w:r>
      <w:r>
        <w:rPr>
          <w:rFonts w:hint="eastAsia" w:ascii="宋体" w:hAnsi="宋体" w:eastAsia="宋体" w:cs="宋体"/>
          <w:sz w:val="21"/>
          <w:szCs w:val="21"/>
        </w:rPr>
        <w:t>。</w:t>
      </w:r>
    </w:p>
    <w:p w14:paraId="4214BCDB">
      <w:pPr>
        <w:pStyle w:val="455"/>
        <w:widowControl w:val="0"/>
        <w:adjustRightInd w:val="0"/>
        <w:snapToGrid w:val="0"/>
        <w:spacing w:before="0" w:beforeAutospacing="0" w:after="0" w:afterAutospacing="0" w:line="360" w:lineRule="auto"/>
        <w:ind w:left="1413" w:leftChars="202" w:hanging="989" w:hangingChars="471"/>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本项目不接受联合体投标，不允许转包。</w:t>
      </w:r>
    </w:p>
    <w:p w14:paraId="3B4200DD">
      <w:pPr>
        <w:pStyle w:val="411"/>
        <w:ind w:firstLine="420"/>
        <w:rPr>
          <w:rFonts w:ascii="宋体" w:hAnsi="宋体" w:eastAsia="宋体" w:cs="宋体"/>
          <w:snapToGrid w:val="0"/>
          <w:szCs w:val="21"/>
        </w:rPr>
      </w:pPr>
    </w:p>
    <w:p w14:paraId="6F1C9B41">
      <w:pPr>
        <w:adjustRightInd w:val="0"/>
        <w:snapToGrid w:val="0"/>
        <w:spacing w:line="360" w:lineRule="auto"/>
        <w:ind w:firstLine="105" w:firstLineChars="50"/>
        <w:jc w:val="left"/>
        <w:rPr>
          <w:rFonts w:ascii="宋体" w:hAnsi="宋体" w:eastAsia="宋体" w:cs="宋体"/>
          <w:b/>
          <w:snapToGrid w:val="0"/>
          <w:kern w:val="0"/>
          <w:szCs w:val="21"/>
        </w:rPr>
      </w:pPr>
      <w:r>
        <w:rPr>
          <w:rFonts w:hint="eastAsia" w:ascii="宋体" w:hAnsi="宋体" w:eastAsia="宋体" w:cs="宋体"/>
          <w:b/>
          <w:snapToGrid w:val="0"/>
          <w:kern w:val="0"/>
          <w:szCs w:val="21"/>
        </w:rPr>
        <w:t>二、申请人的资格要求：</w:t>
      </w:r>
    </w:p>
    <w:p w14:paraId="1F702292">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1.符合《中华人民共和国政府采购法》第二十二条规定（提供书面声明函加盖投标人公章</w:t>
      </w:r>
      <w:r>
        <w:rPr>
          <w:rStyle w:val="59"/>
          <w:rFonts w:hint="eastAsia" w:ascii="宋体" w:hAnsi="宋体" w:cs="宋体"/>
        </w:rPr>
        <w:t>，格式自拟</w:t>
      </w:r>
      <w:r>
        <w:rPr>
          <w:rFonts w:hint="eastAsia" w:ascii="宋体" w:hAnsi="宋体" w:cs="宋体"/>
          <w:snapToGrid w:val="0"/>
          <w:kern w:val="0"/>
          <w:szCs w:val="21"/>
        </w:rPr>
        <w:t>），即：</w:t>
      </w:r>
    </w:p>
    <w:p w14:paraId="7BAC136B">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（1）具有独立承担民事责任的能力；</w:t>
      </w:r>
    </w:p>
    <w:p w14:paraId="23902178">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（2）具有良好的商业信誉和健全的财务会计制度；</w:t>
      </w:r>
    </w:p>
    <w:p w14:paraId="14F7014B">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（3）具有履行合同所需的设备和专业技术能力；</w:t>
      </w:r>
    </w:p>
    <w:p w14:paraId="4E16EFAA">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（4）有依法缴纳税收和社会保障资金的良好记录；</w:t>
      </w:r>
    </w:p>
    <w:p w14:paraId="601E1A9D">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（5）参加政府采购活动前三年内，在经营活动中没有重大违法记录；</w:t>
      </w:r>
    </w:p>
    <w:p w14:paraId="75D0A69D">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 xml:space="preserve"> （6）法律、行政法规规定的其他条件。</w:t>
      </w:r>
    </w:p>
    <w:p w14:paraId="6DD3AB91">
      <w:pPr>
        <w:adjustRightInd w:val="0"/>
        <w:snapToGrid w:val="0"/>
        <w:spacing w:line="360" w:lineRule="auto"/>
        <w:ind w:firstLine="424" w:firstLineChars="202"/>
        <w:jc w:val="left"/>
        <w:rPr>
          <w:rFonts w:ascii="宋体" w:hAnsi="宋体" w:eastAsia="宋体" w:cs="宋体"/>
          <w:snapToGrid w:val="0"/>
          <w:kern w:val="0"/>
          <w:szCs w:val="21"/>
        </w:rPr>
      </w:pPr>
      <w:r>
        <w:rPr>
          <w:rFonts w:hint="eastAsia" w:ascii="宋体" w:hAnsi="宋体" w:cs="宋体"/>
          <w:snapToGrid w:val="0"/>
          <w:kern w:val="0"/>
          <w:szCs w:val="21"/>
        </w:rPr>
        <w:t>2.中华人民共和国境内（不含港、澳、台地区）合法注册的独立法人</w:t>
      </w:r>
      <w:r>
        <w:rPr>
          <w:rStyle w:val="59"/>
          <w:rFonts w:hint="eastAsia" w:ascii="宋体" w:hAnsi="宋体" w:cs="宋体"/>
        </w:rPr>
        <w:t>或其他组织</w:t>
      </w:r>
      <w:r>
        <w:rPr>
          <w:rFonts w:hint="eastAsia" w:ascii="宋体" w:hAnsi="宋体" w:cs="宋体"/>
          <w:snapToGrid w:val="0"/>
          <w:kern w:val="0"/>
          <w:szCs w:val="21"/>
        </w:rPr>
        <w:t>（提供营业执照、税务登记证、组织机构代码证等复印件并加盖供应商公章，如为三证合一的新版营业执照，仅需提供营业执照复印件并加盖供应商公章）。如果是分支机构参与投标，还须同时提供其具有独立法人资格的上级主体出具的有效授权书及上级主体的营业执照或法人证书等证明材料复印件或扫描件加盖投标人公章；本项目不接受总公司与分支机构同时参与投标，也不接受同一总公司有两个或以上分支机构参与投标，如出现以上情形，该两家或以上投标人均按无效投标处理。</w:t>
      </w:r>
    </w:p>
    <w:p w14:paraId="543AF2AA">
      <w:pPr>
        <w:adjustRightInd w:val="0"/>
        <w:snapToGrid w:val="0"/>
        <w:spacing w:line="360" w:lineRule="auto"/>
        <w:ind w:firstLine="424" w:firstLineChars="202"/>
        <w:jc w:val="left"/>
        <w:rPr>
          <w:rFonts w:ascii="宋体" w:hAnsi="宋体" w:cs="宋体"/>
          <w:snapToGrid w:val="0"/>
          <w:color w:val="auto"/>
          <w:kern w:val="0"/>
          <w:szCs w:val="21"/>
        </w:rPr>
      </w:pPr>
      <w:r>
        <w:rPr>
          <w:rFonts w:hint="eastAsia" w:ascii="宋体" w:hAnsi="宋体" w:eastAsia="宋体" w:cs="宋体"/>
          <w:snapToGrid w:val="0"/>
          <w:kern w:val="0"/>
          <w:szCs w:val="21"/>
        </w:rPr>
        <w:t>3.</w:t>
      </w:r>
      <w:r>
        <w:rPr>
          <w:rFonts w:hint="eastAsia" w:ascii="宋体" w:hAnsi="宋体" w:eastAsia="宋体" w:cs="宋体"/>
          <w:snapToGrid w:val="0"/>
          <w:color w:val="auto"/>
          <w:kern w:val="0"/>
          <w:szCs w:val="21"/>
        </w:rPr>
        <w:t>落实政府采购政策需满足的资格要求：无。</w:t>
      </w:r>
    </w:p>
    <w:p w14:paraId="3EC5543B">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4.本项目的特定资格要求：</w:t>
      </w:r>
    </w:p>
    <w:p w14:paraId="31786DE5">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（1）参与本项目采购活动前三年内，在经营活动中没有重大违法记录（由投标人提供声明函加盖投标人公章，格式自拟）；</w:t>
      </w:r>
    </w:p>
    <w:p w14:paraId="16D44D1D">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（2）参与本项目政府采购活动时不存在被有关部门禁止参与政府采购活动且在有效期内的情况（由投标人提供声明函加盖投标人公章，格式自拟）；</w:t>
      </w:r>
    </w:p>
    <w:p w14:paraId="289AB69F">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（3）除单一来源采购项目外，为采购项目提供整体设计、规范编制或者项目管理、监理、检测等服务的供应商，不得再参加该采购项目的其他采购活动（由投标人提供声明函加盖投标人公章，格式自拟）；</w:t>
      </w:r>
    </w:p>
    <w:p w14:paraId="72D6BC28">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（4）参与本项目政府采购活动不存在与其他采购参加人串通投标，隐瞒真实情况，提供虚假资料等违法违规情形（由投标人提供声明函加盖投标人公章，格式自拟）；</w:t>
      </w:r>
    </w:p>
    <w:p w14:paraId="1F859892">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5）单位负责人为同一人或者存在直接控股、管理关系的不同供应商，不得参加同一合同项下的政府采购活动，招标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3C562A5D">
      <w:pPr>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为投标人信用信息查询渠道，相关信息以开标当日的查询结果为准。由招标代理机构查询，投标人无需提供证明材料）；</w:t>
      </w:r>
    </w:p>
    <w:p w14:paraId="58DA34D1">
      <w:pPr>
        <w:pStyle w:val="455"/>
        <w:widowControl w:val="0"/>
        <w:adjustRightInd w:val="0"/>
        <w:snapToGrid w:val="0"/>
        <w:spacing w:before="0" w:beforeAutospacing="0" w:after="0" w:afterAutospacing="0" w:line="360" w:lineRule="auto"/>
        <w:ind w:firstLine="424" w:firstLineChars="202"/>
        <w:rPr>
          <w:rFonts w:ascii="宋体" w:hAnsi="宋体" w:eastAsia="宋体" w:cs="宋体"/>
          <w:snapToGrid w:val="0"/>
          <w:sz w:val="21"/>
          <w:szCs w:val="21"/>
        </w:rPr>
      </w:pPr>
      <w:r>
        <w:rPr>
          <w:rFonts w:hint="eastAsia" w:ascii="宋体" w:hAnsi="宋体" w:eastAsia="宋体" w:cs="宋体"/>
          <w:snapToGrid w:val="0"/>
          <w:sz w:val="21"/>
          <w:szCs w:val="21"/>
        </w:rPr>
        <w:t>（7）本项目不接受联合体形式投标，不允许转包</w:t>
      </w:r>
      <w:r>
        <w:rPr>
          <w:rFonts w:hint="eastAsia" w:ascii="宋体" w:hAnsi="宋体" w:eastAsia="宋体" w:cs="宋体"/>
          <w:snapToGrid w:val="0"/>
          <w:color w:val="auto"/>
          <w:sz w:val="21"/>
          <w:szCs w:val="21"/>
        </w:rPr>
        <w:t>（由投标人提供</w:t>
      </w:r>
      <w:r>
        <w:rPr>
          <w:rFonts w:hint="eastAsia" w:ascii="宋体" w:hAnsi="宋体" w:eastAsia="宋体" w:cs="宋体"/>
          <w:snapToGrid w:val="0"/>
          <w:sz w:val="21"/>
          <w:szCs w:val="21"/>
        </w:rPr>
        <w:t>声明函加盖投标人公章</w:t>
      </w:r>
      <w:r>
        <w:rPr>
          <w:rFonts w:hint="eastAsia" w:ascii="宋体" w:hAnsi="宋体" w:eastAsia="宋体" w:cs="宋体"/>
          <w:snapToGrid w:val="0"/>
          <w:color w:val="auto"/>
          <w:sz w:val="21"/>
          <w:szCs w:val="21"/>
        </w:rPr>
        <w:t>，格式自拟）；</w:t>
      </w:r>
    </w:p>
    <w:p w14:paraId="6A54A203">
      <w:pPr>
        <w:pStyle w:val="455"/>
        <w:widowControl w:val="0"/>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rPr>
      </w:pPr>
      <w:r>
        <w:rPr>
          <w:rFonts w:hint="eastAsia" w:ascii="宋体" w:hAnsi="宋体" w:eastAsia="宋体" w:cs="宋体"/>
          <w:snapToGrid w:val="0"/>
          <w:color w:val="auto"/>
          <w:sz w:val="21"/>
          <w:szCs w:val="21"/>
        </w:rPr>
        <w:t>（8）</w:t>
      </w:r>
      <w:r>
        <w:rPr>
          <w:rFonts w:hint="eastAsia" w:ascii="宋体" w:hAnsi="宋体" w:eastAsia="宋体"/>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14FB57E9">
      <w:pPr>
        <w:pStyle w:val="455"/>
        <w:widowControl w:val="0"/>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rPr>
      </w:pPr>
      <w:r>
        <w:rPr>
          <w:rFonts w:hint="eastAsia" w:ascii="宋体" w:hAnsi="宋体" w:eastAsia="宋体"/>
          <w:snapToGrid w:val="0"/>
          <w:color w:val="auto"/>
          <w:sz w:val="21"/>
          <w:lang w:eastAsia="zh-CN"/>
        </w:rPr>
        <w:t>（</w:t>
      </w:r>
      <w:r>
        <w:rPr>
          <w:rFonts w:hint="eastAsia" w:ascii="宋体" w:hAnsi="宋体" w:eastAsia="宋体"/>
          <w:snapToGrid w:val="0"/>
          <w:color w:val="auto"/>
          <w:sz w:val="21"/>
          <w:lang w:val="en-US" w:eastAsia="zh-CN"/>
        </w:rPr>
        <w:t>9）</w:t>
      </w:r>
      <w:r>
        <w:rPr>
          <w:rFonts w:hint="eastAsia" w:ascii="宋体" w:hAnsi="宋体" w:eastAsia="宋体"/>
          <w:snapToGrid w:val="0"/>
          <w:color w:val="auto"/>
          <w:sz w:val="21"/>
        </w:rPr>
        <w:t>若投标人为所投产品</w:t>
      </w:r>
      <w:r>
        <w:rPr>
          <w:rFonts w:hint="eastAsia" w:ascii="宋体" w:hAnsi="宋体" w:eastAsia="宋体"/>
          <w:snapToGrid w:val="0"/>
          <w:color w:val="auto"/>
          <w:sz w:val="21"/>
          <w:lang w:eastAsia="zh-CN"/>
        </w:rPr>
        <w:t>（全身多普勒超声诊断仪、多普勒超声诊断仪）</w:t>
      </w:r>
      <w:r>
        <w:rPr>
          <w:rFonts w:hint="eastAsia" w:ascii="宋体" w:hAnsi="宋体" w:eastAsia="宋体"/>
          <w:snapToGrid w:val="0"/>
          <w:color w:val="auto"/>
          <w:sz w:val="21"/>
        </w:rPr>
        <w:t>的生产企业，须提供《医疗器械生产许可证（或备案凭证）》，并有相应生产范围；若投标人为所投产品</w:t>
      </w:r>
      <w:r>
        <w:rPr>
          <w:rFonts w:hint="eastAsia" w:ascii="宋体" w:hAnsi="宋体" w:eastAsia="宋体"/>
          <w:snapToGrid w:val="0"/>
          <w:color w:val="auto"/>
          <w:sz w:val="21"/>
          <w:lang w:eastAsia="zh-CN"/>
        </w:rPr>
        <w:t>（全身多普勒超声诊断仪、多普勒超声诊断仪）</w:t>
      </w:r>
      <w:r>
        <w:rPr>
          <w:rFonts w:hint="eastAsia" w:ascii="宋体" w:hAnsi="宋体" w:eastAsia="宋体"/>
          <w:snapToGrid w:val="0"/>
          <w:color w:val="auto"/>
          <w:sz w:val="21"/>
        </w:rPr>
        <w:t>的代理商或授权供应商，须提供《医疗器械经营许可证（或备案凭证）》，并有相应经营范围；当所投产品</w:t>
      </w:r>
      <w:r>
        <w:rPr>
          <w:rFonts w:hint="eastAsia" w:ascii="宋体" w:hAnsi="宋体" w:eastAsia="宋体"/>
          <w:snapToGrid w:val="0"/>
          <w:color w:val="auto"/>
          <w:sz w:val="21"/>
          <w:lang w:eastAsia="zh-CN"/>
        </w:rPr>
        <w:t>（全身多普勒超声诊断仪、多普勒超声诊断仪）</w:t>
      </w:r>
      <w:r>
        <w:rPr>
          <w:rFonts w:hint="eastAsia" w:ascii="宋体" w:hAnsi="宋体" w:eastAsia="宋体"/>
          <w:snapToGrid w:val="0"/>
          <w:color w:val="auto"/>
          <w:sz w:val="21"/>
        </w:rPr>
        <w:t>属于第一类医疗器械时无须提供《医疗器械经营许可证（或备案凭证）》，但投标人应在投标文件中对其所属类别进行书面说明。以上资料均提供复印件或扫描件加盖投标人公章；</w:t>
      </w:r>
    </w:p>
    <w:p w14:paraId="7A7ED6F9">
      <w:pPr>
        <w:pStyle w:val="455"/>
        <w:widowControl w:val="0"/>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lang w:eastAsia="zh-CN"/>
        </w:rPr>
      </w:pPr>
      <w:r>
        <w:rPr>
          <w:rFonts w:hint="eastAsia" w:ascii="宋体" w:hAnsi="宋体" w:eastAsia="宋体"/>
          <w:snapToGrid w:val="0"/>
          <w:color w:val="auto"/>
          <w:sz w:val="21"/>
          <w:lang w:eastAsia="zh-CN"/>
        </w:rPr>
        <w:t>（</w:t>
      </w:r>
      <w:r>
        <w:rPr>
          <w:rFonts w:hint="eastAsia" w:ascii="宋体" w:hAnsi="宋体" w:eastAsia="宋体"/>
          <w:snapToGrid w:val="0"/>
          <w:color w:val="auto"/>
          <w:sz w:val="21"/>
          <w:lang w:val="en-US" w:eastAsia="zh-CN"/>
        </w:rPr>
        <w:t>10）</w:t>
      </w:r>
      <w:r>
        <w:rPr>
          <w:rFonts w:hint="eastAsia" w:ascii="宋体" w:hAnsi="宋体" w:eastAsia="宋体"/>
          <w:snapToGrid w:val="0"/>
          <w:color w:val="auto"/>
          <w:sz w:val="21"/>
        </w:rPr>
        <w:t>投标人必须具备所投产品</w:t>
      </w:r>
      <w:r>
        <w:rPr>
          <w:rFonts w:hint="eastAsia" w:ascii="宋体" w:hAnsi="宋体" w:eastAsia="宋体"/>
          <w:snapToGrid w:val="0"/>
          <w:color w:val="auto"/>
          <w:sz w:val="21"/>
          <w:lang w:eastAsia="zh-CN"/>
        </w:rPr>
        <w:t>（全身多普勒超声诊断仪、多普勒超声诊断仪）</w:t>
      </w:r>
      <w:r>
        <w:rPr>
          <w:rFonts w:hint="eastAsia" w:ascii="宋体" w:hAnsi="宋体" w:eastAsia="宋体"/>
          <w:snapToGrid w:val="0"/>
          <w:color w:val="auto"/>
          <w:sz w:val="21"/>
        </w:rPr>
        <w:t>的《医疗器械注册证（或备案凭证）》（证明文件：须提供《医疗器械注册证（或备案凭证）》证书），开标时，该证应在有效期内；若不在有效期内，则需提供该证和所投产品</w:t>
      </w:r>
      <w:r>
        <w:rPr>
          <w:rFonts w:hint="eastAsia" w:ascii="宋体" w:hAnsi="宋体" w:eastAsia="宋体"/>
          <w:snapToGrid w:val="0"/>
          <w:color w:val="auto"/>
          <w:sz w:val="21"/>
          <w:lang w:eastAsia="zh-CN"/>
        </w:rPr>
        <w:t>（全身多普勒超声诊断仪、多普勒超声诊断仪）</w:t>
      </w:r>
      <w:r>
        <w:rPr>
          <w:rFonts w:hint="eastAsia" w:ascii="宋体" w:hAnsi="宋体" w:eastAsia="宋体"/>
          <w:snapToGrid w:val="0"/>
          <w:color w:val="auto"/>
          <w:sz w:val="21"/>
        </w:rPr>
        <w:t>在该证有效期内生产的药监局出具的证明文件，或在该证有效期内出厂的证明文件。以上资料均提供复印件或扫描件加盖投标人公章</w:t>
      </w:r>
      <w:r>
        <w:rPr>
          <w:rFonts w:hint="eastAsia" w:ascii="宋体" w:hAnsi="宋体" w:eastAsia="宋体"/>
          <w:snapToGrid w:val="0"/>
          <w:color w:val="auto"/>
          <w:sz w:val="21"/>
          <w:lang w:val="en-US" w:eastAsia="zh-CN"/>
        </w:rPr>
        <w:t>；</w:t>
      </w:r>
    </w:p>
    <w:p w14:paraId="2190AFF8">
      <w:pPr>
        <w:pStyle w:val="455"/>
        <w:widowControl w:val="0"/>
        <w:adjustRightInd w:val="0"/>
        <w:snapToGrid w:val="0"/>
        <w:spacing w:before="0" w:beforeAutospacing="0" w:after="0" w:afterAutospacing="0" w:line="360" w:lineRule="auto"/>
        <w:ind w:firstLine="422" w:firstLineChars="201"/>
        <w:rPr>
          <w:rFonts w:ascii="宋体" w:hAnsi="宋体" w:eastAsia="宋体"/>
          <w:snapToGrid w:val="0"/>
          <w:color w:val="auto"/>
          <w:sz w:val="21"/>
        </w:rPr>
      </w:pPr>
      <w:r>
        <w:rPr>
          <w:rFonts w:hint="eastAsia" w:ascii="宋体" w:hAnsi="宋体" w:eastAsia="宋体"/>
          <w:snapToGrid w:val="0"/>
          <w:color w:val="auto"/>
          <w:sz w:val="21"/>
        </w:rPr>
        <w:t>（</w:t>
      </w:r>
      <w:r>
        <w:rPr>
          <w:rFonts w:hint="eastAsia" w:ascii="宋体" w:hAnsi="宋体" w:eastAsia="宋体"/>
          <w:snapToGrid w:val="0"/>
          <w:color w:val="auto"/>
          <w:sz w:val="21"/>
          <w:lang w:val="en-US" w:eastAsia="zh-CN"/>
        </w:rPr>
        <w:t>11</w:t>
      </w:r>
      <w:r>
        <w:rPr>
          <w:rFonts w:hint="eastAsia" w:ascii="宋体" w:hAnsi="宋体" w:eastAsia="宋体"/>
          <w:snapToGrid w:val="0"/>
          <w:color w:val="auto"/>
          <w:sz w:val="21"/>
        </w:rPr>
        <w:t>）本项目分为A、B两个包，投标人可参与任意一个包或多个包投标，可兼投兼中。</w:t>
      </w:r>
    </w:p>
    <w:p w14:paraId="3F97F8CE">
      <w:pPr>
        <w:adjustRightInd w:val="0"/>
        <w:snapToGrid w:val="0"/>
        <w:spacing w:line="360" w:lineRule="auto"/>
        <w:ind w:firstLine="424" w:firstLineChars="202"/>
        <w:jc w:val="left"/>
        <w:rPr>
          <w:rFonts w:ascii="宋体" w:hAnsi="宋体" w:eastAsia="宋体" w:cs="宋体"/>
          <w:snapToGrid w:val="0"/>
          <w:kern w:val="0"/>
          <w:szCs w:val="21"/>
        </w:rPr>
      </w:pPr>
    </w:p>
    <w:p w14:paraId="62FC7599">
      <w:pPr>
        <w:adjustRightInd w:val="0"/>
        <w:snapToGrid w:val="0"/>
        <w:spacing w:line="360" w:lineRule="auto"/>
        <w:ind w:left="360" w:leftChars="1" w:hanging="358" w:hangingChars="170"/>
        <w:jc w:val="left"/>
        <w:rPr>
          <w:rFonts w:ascii="宋体" w:hAnsi="宋体" w:eastAsia="宋体" w:cs="宋体"/>
          <w:b/>
          <w:snapToGrid w:val="0"/>
          <w:kern w:val="0"/>
          <w:szCs w:val="21"/>
        </w:rPr>
      </w:pPr>
      <w:r>
        <w:rPr>
          <w:rFonts w:hint="eastAsia" w:ascii="宋体" w:hAnsi="宋体" w:eastAsia="宋体" w:cs="宋体"/>
          <w:b/>
          <w:snapToGrid w:val="0"/>
          <w:kern w:val="0"/>
          <w:szCs w:val="21"/>
        </w:rPr>
        <w:t xml:space="preserve">三、获取招标文件 </w:t>
      </w:r>
    </w:p>
    <w:p w14:paraId="428B20D8">
      <w:pPr>
        <w:adjustRightInd w:val="0"/>
        <w:snapToGrid w:val="0"/>
        <w:spacing w:line="360" w:lineRule="auto"/>
        <w:ind w:firstLine="426"/>
        <w:jc w:val="left"/>
        <w:rPr>
          <w:rFonts w:ascii="宋体" w:hAnsi="宋体" w:eastAsia="宋体" w:cs="宋体"/>
          <w:snapToGrid w:val="0"/>
          <w:kern w:val="0"/>
          <w:szCs w:val="21"/>
        </w:rPr>
      </w:pPr>
      <w:r>
        <w:rPr>
          <w:rFonts w:hint="eastAsia" w:ascii="宋体" w:hAnsi="宋体" w:eastAsia="宋体" w:cs="宋体"/>
          <w:snapToGrid w:val="0"/>
          <w:kern w:val="0"/>
          <w:szCs w:val="21"/>
        </w:rPr>
        <w:t>1.时间：</w:t>
      </w:r>
      <w:r>
        <w:rPr>
          <w:rFonts w:hint="eastAsia" w:ascii="宋体" w:hAnsi="宋体" w:eastAsia="宋体" w:cs="宋体"/>
          <w:snapToGrid w:val="0"/>
          <w:kern w:val="0"/>
          <w:szCs w:val="21"/>
          <w:u w:val="single"/>
        </w:rPr>
        <w:t>2024年</w:t>
      </w:r>
      <w:r>
        <w:rPr>
          <w:rFonts w:hint="eastAsia" w:ascii="宋体" w:hAnsi="宋体" w:eastAsia="宋体" w:cs="宋体"/>
          <w:snapToGrid w:val="0"/>
          <w:kern w:val="0"/>
          <w:szCs w:val="21"/>
          <w:u w:val="single"/>
          <w:lang w:val="en-US" w:eastAsia="zh-CN"/>
        </w:rPr>
        <w:t>10</w:t>
      </w:r>
      <w:r>
        <w:rPr>
          <w:rFonts w:hint="eastAsia" w:ascii="宋体" w:hAnsi="宋体" w:eastAsia="宋体" w:cs="宋体"/>
          <w:snapToGrid w:val="0"/>
          <w:kern w:val="0"/>
          <w:szCs w:val="21"/>
          <w:u w:val="single"/>
        </w:rPr>
        <w:t>月</w:t>
      </w:r>
      <w:r>
        <w:rPr>
          <w:rFonts w:hint="eastAsia" w:ascii="宋体" w:hAnsi="宋体" w:eastAsia="宋体" w:cs="宋体"/>
          <w:snapToGrid w:val="0"/>
          <w:kern w:val="0"/>
          <w:szCs w:val="21"/>
          <w:u w:val="single"/>
          <w:lang w:val="en-US" w:eastAsia="zh-CN"/>
        </w:rPr>
        <w:t>26</w:t>
      </w:r>
      <w:r>
        <w:rPr>
          <w:rFonts w:hint="eastAsia" w:ascii="宋体" w:hAnsi="宋体" w:eastAsia="宋体" w:cs="宋体"/>
          <w:snapToGrid w:val="0"/>
          <w:kern w:val="0"/>
          <w:szCs w:val="21"/>
          <w:u w:val="single"/>
        </w:rPr>
        <w:t>日至2024年</w:t>
      </w:r>
      <w:r>
        <w:rPr>
          <w:rFonts w:hint="eastAsia" w:ascii="宋体" w:hAnsi="宋体" w:eastAsia="宋体" w:cs="宋体"/>
          <w:snapToGrid w:val="0"/>
          <w:kern w:val="0"/>
          <w:szCs w:val="21"/>
          <w:u w:val="single"/>
          <w:lang w:val="en-US" w:eastAsia="zh-CN"/>
        </w:rPr>
        <w:t>11</w:t>
      </w:r>
      <w:r>
        <w:rPr>
          <w:rFonts w:hint="eastAsia" w:ascii="宋体" w:hAnsi="宋体" w:eastAsia="宋体" w:cs="宋体"/>
          <w:snapToGrid w:val="0"/>
          <w:kern w:val="0"/>
          <w:szCs w:val="21"/>
          <w:u w:val="single"/>
        </w:rPr>
        <w:t>月</w:t>
      </w:r>
      <w:r>
        <w:rPr>
          <w:rFonts w:hint="eastAsia" w:ascii="宋体" w:hAnsi="宋体" w:eastAsia="宋体" w:cs="宋体"/>
          <w:snapToGrid w:val="0"/>
          <w:kern w:val="0"/>
          <w:szCs w:val="21"/>
          <w:u w:val="single"/>
          <w:lang w:val="en-US" w:eastAsia="zh-CN"/>
        </w:rPr>
        <w:t>08</w:t>
      </w:r>
      <w:r>
        <w:rPr>
          <w:rFonts w:hint="eastAsia" w:ascii="宋体" w:hAnsi="宋体" w:eastAsia="宋体" w:cs="宋体"/>
          <w:snapToGrid w:val="0"/>
          <w:kern w:val="0"/>
          <w:szCs w:val="21"/>
          <w:u w:val="single"/>
        </w:rPr>
        <w:t>日，每天上午9：00至11:30，下午14：30至17:30（北京时间，法定节假日除外）</w:t>
      </w:r>
      <w:r>
        <w:rPr>
          <w:rFonts w:hint="eastAsia" w:ascii="宋体" w:hAnsi="宋体" w:eastAsia="宋体" w:cs="宋体"/>
          <w:snapToGrid w:val="0"/>
          <w:kern w:val="0"/>
          <w:szCs w:val="21"/>
        </w:rPr>
        <w:t>。</w:t>
      </w:r>
    </w:p>
    <w:p w14:paraId="192BD8B4">
      <w:pPr>
        <w:adjustRightInd w:val="0"/>
        <w:snapToGrid w:val="0"/>
        <w:spacing w:line="360" w:lineRule="auto"/>
        <w:ind w:firstLine="426"/>
        <w:jc w:val="left"/>
        <w:rPr>
          <w:rFonts w:ascii="宋体" w:hAnsi="宋体" w:eastAsia="宋体" w:cs="宋体"/>
          <w:snapToGrid w:val="0"/>
          <w:kern w:val="0"/>
          <w:szCs w:val="21"/>
        </w:rPr>
      </w:pPr>
      <w:r>
        <w:rPr>
          <w:rFonts w:hint="eastAsia" w:ascii="宋体" w:hAnsi="宋体" w:eastAsia="宋体" w:cs="宋体"/>
          <w:snapToGrid w:val="0"/>
          <w:kern w:val="0"/>
          <w:szCs w:val="21"/>
        </w:rPr>
        <w:t xml:space="preserve">2.地点：深圳市福田区民田路171号新华保险大厦903。 </w:t>
      </w:r>
    </w:p>
    <w:p w14:paraId="067868DA">
      <w:pPr>
        <w:adjustRightInd w:val="0"/>
        <w:snapToGrid w:val="0"/>
        <w:spacing w:line="360" w:lineRule="auto"/>
        <w:ind w:firstLine="426"/>
        <w:jc w:val="left"/>
        <w:rPr>
          <w:rFonts w:ascii="宋体" w:hAnsi="宋体" w:eastAsia="宋体" w:cs="宋体"/>
          <w:snapToGrid w:val="0"/>
          <w:kern w:val="0"/>
          <w:szCs w:val="21"/>
        </w:rPr>
      </w:pPr>
      <w:r>
        <w:rPr>
          <w:rFonts w:hint="eastAsia" w:ascii="宋体" w:hAnsi="宋体" w:eastAsia="宋体" w:cs="宋体"/>
          <w:snapToGrid w:val="0"/>
          <w:kern w:val="0"/>
          <w:szCs w:val="21"/>
        </w:rPr>
        <w:t>3.方式：现场获取或线上获取</w:t>
      </w:r>
    </w:p>
    <w:p w14:paraId="6F32E404">
      <w:pPr>
        <w:pStyle w:val="455"/>
        <w:widowControl w:val="0"/>
        <w:adjustRightInd w:val="0"/>
        <w:snapToGrid w:val="0"/>
        <w:spacing w:before="0" w:beforeAutospacing="0" w:after="0" w:afterAutospacing="0" w:line="360" w:lineRule="auto"/>
        <w:ind w:firstLine="426"/>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（1）现场获取：投标人按以上时间和地点现场报名和获取招标文件（提供加盖公章的《购买标书登记表》），逾期不予受理。</w:t>
      </w:r>
    </w:p>
    <w:p w14:paraId="21021CE7">
      <w:pPr>
        <w:pStyle w:val="455"/>
        <w:widowControl w:val="0"/>
        <w:adjustRightInd w:val="0"/>
        <w:snapToGrid w:val="0"/>
        <w:spacing w:before="0" w:beforeAutospacing="0" w:after="0" w:afterAutospacing="0" w:line="360" w:lineRule="auto"/>
        <w:ind w:firstLine="426"/>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（2）线上获取：投标人通过邮件报名及获取招标文件，报名时间以我司邮箱收件时间为准（我司邮箱：qtszzzzb@163.com），逾期不予受理。需提供以下资料: ①加盖公章的《购买标书登记表》（下载地址：www.szzzt.com 首页“下载中心”）；②购买招标文件费用的银行转账凭证。</w:t>
      </w:r>
    </w:p>
    <w:p w14:paraId="1C44F22C">
      <w:pPr>
        <w:pStyle w:val="455"/>
        <w:widowControl w:val="0"/>
        <w:adjustRightInd w:val="0"/>
        <w:snapToGrid w:val="0"/>
        <w:spacing w:before="0" w:beforeAutospacing="0" w:after="0" w:afterAutospacing="0" w:line="360" w:lineRule="auto"/>
        <w:ind w:firstLine="426"/>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4.售价：人民币600元，采购文件售后不退。购买采购文件账号信息如下：</w:t>
      </w:r>
    </w:p>
    <w:p w14:paraId="15ADCECB">
      <w:pPr>
        <w:pStyle w:val="455"/>
        <w:widowControl w:val="0"/>
        <w:adjustRightInd w:val="0"/>
        <w:snapToGrid w:val="0"/>
        <w:spacing w:before="0" w:beforeAutospacing="0" w:after="0" w:afterAutospacing="0" w:line="360" w:lineRule="auto"/>
        <w:ind w:firstLine="426"/>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银行账号：03003729353</w:t>
      </w:r>
    </w:p>
    <w:p w14:paraId="641522F6">
      <w:pPr>
        <w:pStyle w:val="455"/>
        <w:widowControl w:val="0"/>
        <w:adjustRightInd w:val="0"/>
        <w:snapToGrid w:val="0"/>
        <w:spacing w:before="0" w:beforeAutospacing="0" w:after="0" w:afterAutospacing="0" w:line="360" w:lineRule="auto"/>
        <w:ind w:firstLine="426"/>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开户名称：深圳市中正招标有限公司</w:t>
      </w:r>
    </w:p>
    <w:p w14:paraId="4F09AD38">
      <w:pPr>
        <w:pStyle w:val="455"/>
        <w:widowControl w:val="0"/>
        <w:adjustRightInd w:val="0"/>
        <w:snapToGrid w:val="0"/>
        <w:spacing w:before="0" w:beforeAutospacing="0" w:after="0" w:afterAutospacing="0" w:line="360" w:lineRule="auto"/>
        <w:ind w:firstLine="426"/>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开户银行：上海银行深圳天安支行</w:t>
      </w:r>
    </w:p>
    <w:p w14:paraId="674C2532">
      <w:pPr>
        <w:adjustRightInd w:val="0"/>
        <w:snapToGrid w:val="0"/>
        <w:spacing w:line="360" w:lineRule="auto"/>
        <w:ind w:left="360" w:leftChars="1" w:hanging="358" w:hangingChars="170"/>
        <w:jc w:val="left"/>
        <w:rPr>
          <w:rFonts w:ascii="宋体" w:hAnsi="宋体" w:eastAsia="宋体" w:cs="宋体"/>
          <w:b/>
          <w:snapToGrid w:val="0"/>
          <w:kern w:val="0"/>
          <w:szCs w:val="21"/>
        </w:rPr>
      </w:pPr>
    </w:p>
    <w:p w14:paraId="519F9531">
      <w:pPr>
        <w:adjustRightInd w:val="0"/>
        <w:snapToGrid w:val="0"/>
        <w:spacing w:line="360" w:lineRule="auto"/>
        <w:ind w:left="360" w:leftChars="1" w:hanging="358" w:hangingChars="170"/>
        <w:jc w:val="left"/>
        <w:rPr>
          <w:rFonts w:ascii="宋体" w:hAnsi="宋体" w:eastAsia="宋体" w:cs="宋体"/>
          <w:b/>
          <w:snapToGrid w:val="0"/>
          <w:kern w:val="0"/>
          <w:szCs w:val="21"/>
        </w:rPr>
      </w:pPr>
      <w:r>
        <w:rPr>
          <w:rFonts w:hint="eastAsia" w:ascii="宋体" w:hAnsi="宋体" w:eastAsia="宋体" w:cs="宋体"/>
          <w:b/>
          <w:snapToGrid w:val="0"/>
          <w:kern w:val="0"/>
          <w:szCs w:val="21"/>
        </w:rPr>
        <w:t>四、提交投标文件截止时间、开标时间和地点</w:t>
      </w:r>
    </w:p>
    <w:p w14:paraId="5BF262A6">
      <w:pPr>
        <w:adjustRightInd w:val="0"/>
        <w:snapToGrid w:val="0"/>
        <w:spacing w:line="360" w:lineRule="auto"/>
        <w:ind w:firstLine="422" w:firstLineChars="201"/>
        <w:jc w:val="left"/>
        <w:rPr>
          <w:rFonts w:ascii="宋体" w:hAnsi="宋体" w:eastAsia="宋体" w:cs="宋体"/>
          <w:snapToGrid w:val="0"/>
          <w:kern w:val="0"/>
          <w:szCs w:val="21"/>
        </w:rPr>
      </w:pPr>
      <w:r>
        <w:rPr>
          <w:rFonts w:hint="eastAsia" w:ascii="宋体" w:hAnsi="宋体" w:eastAsia="宋体" w:cs="宋体"/>
          <w:snapToGrid w:val="0"/>
          <w:kern w:val="0"/>
          <w:szCs w:val="21"/>
        </w:rPr>
        <w:t>1.时间：</w:t>
      </w:r>
      <w:r>
        <w:rPr>
          <w:rFonts w:hint="eastAsia" w:ascii="宋体" w:hAnsi="宋体" w:cs="宋体"/>
          <w:snapToGrid w:val="0"/>
          <w:kern w:val="0"/>
          <w:szCs w:val="21"/>
          <w:u w:val="single"/>
          <w:lang w:eastAsia="zh-CN"/>
        </w:rPr>
        <w:t>2024年11月22日14点30分</w:t>
      </w:r>
      <w:r>
        <w:rPr>
          <w:rFonts w:hint="eastAsia" w:ascii="宋体" w:hAnsi="宋体" w:eastAsia="宋体" w:cs="宋体"/>
          <w:snapToGrid w:val="0"/>
          <w:kern w:val="0"/>
          <w:szCs w:val="21"/>
          <w:u w:val="single"/>
        </w:rPr>
        <w:t>（北京时间）。</w:t>
      </w:r>
    </w:p>
    <w:p w14:paraId="3E64D61F">
      <w:pPr>
        <w:adjustRightInd w:val="0"/>
        <w:snapToGrid w:val="0"/>
        <w:spacing w:line="360" w:lineRule="auto"/>
        <w:ind w:firstLine="424" w:firstLineChars="202"/>
        <w:jc w:val="left"/>
        <w:rPr>
          <w:rFonts w:ascii="宋体" w:hAnsi="宋体" w:eastAsia="宋体" w:cs="宋体"/>
          <w:snapToGrid w:val="0"/>
          <w:kern w:val="0"/>
          <w:szCs w:val="21"/>
        </w:rPr>
      </w:pPr>
      <w:r>
        <w:rPr>
          <w:rFonts w:hint="eastAsia" w:ascii="宋体" w:hAnsi="宋体" w:eastAsia="宋体" w:cs="宋体"/>
          <w:snapToGrid w:val="0"/>
          <w:kern w:val="0"/>
          <w:szCs w:val="21"/>
        </w:rPr>
        <w:t>2.地点：</w:t>
      </w:r>
      <w:r>
        <w:rPr>
          <w:rFonts w:hint="eastAsia" w:ascii="宋体" w:hAnsi="宋体" w:eastAsia="宋体" w:cs="宋体"/>
          <w:snapToGrid w:val="0"/>
          <w:kern w:val="0"/>
          <w:szCs w:val="21"/>
          <w:u w:val="single"/>
        </w:rPr>
        <w:t>深圳市福田区民田路171号新华保险大厦903中正招标有限公司会议室。</w:t>
      </w:r>
    </w:p>
    <w:p w14:paraId="1B95A1C0">
      <w:pPr>
        <w:adjustRightInd w:val="0"/>
        <w:snapToGrid w:val="0"/>
        <w:spacing w:line="360" w:lineRule="auto"/>
        <w:ind w:left="360" w:leftChars="1" w:hanging="358" w:hangingChars="170"/>
        <w:jc w:val="left"/>
        <w:rPr>
          <w:rFonts w:ascii="宋体" w:hAnsi="宋体" w:eastAsia="宋体" w:cs="宋体"/>
          <w:b/>
          <w:snapToGrid w:val="0"/>
          <w:kern w:val="0"/>
          <w:szCs w:val="21"/>
        </w:rPr>
      </w:pPr>
    </w:p>
    <w:p w14:paraId="447ACB43">
      <w:pPr>
        <w:adjustRightInd w:val="0"/>
        <w:snapToGrid w:val="0"/>
        <w:spacing w:line="360" w:lineRule="auto"/>
        <w:ind w:left="360" w:leftChars="1" w:hanging="358" w:hangingChars="170"/>
        <w:jc w:val="left"/>
        <w:rPr>
          <w:rFonts w:ascii="宋体" w:hAnsi="宋体" w:eastAsia="宋体" w:cs="宋体"/>
          <w:b/>
          <w:snapToGrid w:val="0"/>
          <w:kern w:val="0"/>
          <w:szCs w:val="21"/>
        </w:rPr>
      </w:pPr>
      <w:r>
        <w:rPr>
          <w:rFonts w:hint="eastAsia" w:ascii="宋体" w:hAnsi="宋体" w:eastAsia="宋体" w:cs="宋体"/>
          <w:b/>
          <w:snapToGrid w:val="0"/>
          <w:kern w:val="0"/>
          <w:szCs w:val="21"/>
        </w:rPr>
        <w:t>五、公告期限</w:t>
      </w:r>
    </w:p>
    <w:p w14:paraId="312AD61A">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自本公告发布之日起5个工作日。</w:t>
      </w:r>
    </w:p>
    <w:p w14:paraId="55328CD5">
      <w:pPr>
        <w:adjustRightInd w:val="0"/>
        <w:snapToGrid w:val="0"/>
        <w:spacing w:line="360" w:lineRule="auto"/>
        <w:ind w:left="360" w:leftChars="1" w:hanging="358" w:hangingChars="170"/>
        <w:jc w:val="left"/>
        <w:rPr>
          <w:rFonts w:ascii="宋体" w:hAnsi="宋体" w:eastAsia="宋体" w:cs="宋体"/>
          <w:b/>
          <w:snapToGrid w:val="0"/>
          <w:kern w:val="0"/>
          <w:szCs w:val="21"/>
        </w:rPr>
      </w:pPr>
    </w:p>
    <w:p w14:paraId="21E2F476">
      <w:pPr>
        <w:adjustRightInd w:val="0"/>
        <w:snapToGrid w:val="0"/>
        <w:spacing w:line="360" w:lineRule="auto"/>
        <w:ind w:left="360" w:leftChars="1" w:hanging="358" w:hangingChars="170"/>
        <w:jc w:val="left"/>
        <w:rPr>
          <w:rFonts w:ascii="宋体" w:hAnsi="宋体" w:eastAsia="宋体" w:cs="宋体"/>
          <w:b/>
          <w:snapToGrid w:val="0"/>
          <w:kern w:val="0"/>
          <w:szCs w:val="21"/>
        </w:rPr>
      </w:pPr>
      <w:r>
        <w:rPr>
          <w:rFonts w:hint="eastAsia" w:ascii="宋体" w:hAnsi="宋体" w:eastAsia="宋体" w:cs="宋体"/>
          <w:b/>
          <w:snapToGrid w:val="0"/>
          <w:kern w:val="0"/>
          <w:szCs w:val="21"/>
        </w:rPr>
        <w:t>六、其他补充事宜</w:t>
      </w:r>
    </w:p>
    <w:p w14:paraId="1F7BEEFE">
      <w:pPr>
        <w:pStyle w:val="18"/>
        <w:spacing w:line="360" w:lineRule="auto"/>
        <w:ind w:firstLine="420" w:firstLineChars="200"/>
        <w:rPr>
          <w:rFonts w:ascii="宋体" w:hAnsi="宋体" w:eastAsia="宋体" w:cs="宋体"/>
          <w:bCs/>
          <w:snapToGrid w:val="0"/>
          <w:szCs w:val="21"/>
          <w:u w:val="single"/>
        </w:rPr>
      </w:pPr>
      <w:r>
        <w:rPr>
          <w:rFonts w:hint="eastAsia" w:ascii="宋体" w:hAnsi="宋体" w:eastAsia="宋体" w:cs="宋体"/>
          <w:bCs/>
          <w:snapToGrid w:val="0"/>
          <w:szCs w:val="21"/>
        </w:rPr>
        <w:t>1．本项目所属行业为</w:t>
      </w:r>
      <w:r>
        <w:rPr>
          <w:rFonts w:hint="eastAsia" w:ascii="宋体" w:hAnsi="宋体" w:eastAsia="宋体" w:cs="宋体"/>
          <w:bCs/>
          <w:snapToGrid w:val="0"/>
          <w:szCs w:val="21"/>
          <w:u w:val="single"/>
        </w:rPr>
        <w:t xml:space="preserve">  </w:t>
      </w:r>
      <w:r>
        <w:rPr>
          <w:rFonts w:hint="eastAsia"/>
          <w:u w:val="single"/>
        </w:rPr>
        <w:t xml:space="preserve">  工业  </w:t>
      </w:r>
      <w:r>
        <w:rPr>
          <w:rFonts w:hint="eastAsia" w:ascii="宋体" w:hAnsi="宋体" w:eastAsia="宋体" w:cs="宋体"/>
          <w:bCs/>
          <w:snapToGrid w:val="0"/>
          <w:szCs w:val="21"/>
          <w:u w:val="single"/>
        </w:rPr>
        <w:t xml:space="preserve">  。</w:t>
      </w:r>
    </w:p>
    <w:p w14:paraId="14D831C6">
      <w:pPr>
        <w:adjustRightInd w:val="0"/>
        <w:snapToGrid w:val="0"/>
        <w:spacing w:line="360" w:lineRule="auto"/>
        <w:ind w:firstLine="424" w:firstLineChars="202"/>
        <w:jc w:val="left"/>
        <w:rPr>
          <w:rFonts w:ascii="宋体" w:hAnsi="宋体" w:eastAsia="宋体" w:cs="宋体"/>
          <w:bCs/>
          <w:snapToGrid w:val="0"/>
          <w:szCs w:val="21"/>
        </w:rPr>
      </w:pPr>
      <w:r>
        <w:rPr>
          <w:rFonts w:hint="eastAsia" w:ascii="宋体" w:hAnsi="宋体" w:eastAsia="宋体" w:cs="宋体"/>
          <w:bCs/>
          <w:snapToGrid w:val="0"/>
          <w:szCs w:val="21"/>
        </w:rPr>
        <w:t>2.本项目需要落实的政府采购政策：《财政部工业和信息化部关于印发《政府采购促进中小企业发展管理办法》的通知》(财库〔2020〕46号)、《关于政府采购支持监狱企业发展有关问题的通知》(财库〔2014〕68号)、《关于促进残疾人就业政府采购政策的通知》（财库〔2017〕141号)。</w:t>
      </w:r>
    </w:p>
    <w:p w14:paraId="78F34CC7">
      <w:pPr>
        <w:adjustRightInd w:val="0"/>
        <w:snapToGrid w:val="0"/>
        <w:spacing w:line="360" w:lineRule="auto"/>
        <w:ind w:firstLine="424" w:firstLineChars="202"/>
        <w:jc w:val="left"/>
        <w:rPr>
          <w:rFonts w:ascii="宋体" w:hAnsi="宋体" w:eastAsia="宋体" w:cs="宋体"/>
          <w:bCs/>
          <w:snapToGrid w:val="0"/>
          <w:szCs w:val="21"/>
        </w:rPr>
      </w:pPr>
      <w:r>
        <w:rPr>
          <w:rFonts w:hint="eastAsia" w:ascii="宋体" w:hAnsi="宋体" w:eastAsia="宋体" w:cs="宋体"/>
          <w:bCs/>
          <w:snapToGrid w:val="0"/>
          <w:szCs w:val="21"/>
        </w:rPr>
        <w:t>3．本项目相关公告在以下媒体发布：</w:t>
      </w:r>
    </w:p>
    <w:p w14:paraId="4816F654">
      <w:pPr>
        <w:adjustRightInd w:val="0"/>
        <w:snapToGrid w:val="0"/>
        <w:spacing w:line="360" w:lineRule="auto"/>
        <w:ind w:firstLine="424" w:firstLineChars="202"/>
        <w:jc w:val="left"/>
        <w:rPr>
          <w:rFonts w:ascii="宋体" w:hAnsi="宋体" w:cs="宋体"/>
          <w:bCs/>
          <w:snapToGrid w:val="0"/>
          <w:szCs w:val="21"/>
        </w:rPr>
      </w:pPr>
      <w:r>
        <w:rPr>
          <w:rFonts w:hint="eastAsia" w:ascii="宋体" w:hAnsi="宋体" w:eastAsia="宋体" w:cs="宋体"/>
          <w:bCs/>
          <w:snapToGrid w:val="0"/>
          <w:szCs w:val="21"/>
        </w:rPr>
        <w:t>（1）</w:t>
      </w:r>
      <w:r>
        <w:rPr>
          <w:rFonts w:hint="eastAsia" w:ascii="宋体" w:hAnsi="宋体"/>
          <w:snapToGrid w:val="0"/>
          <w:szCs w:val="21"/>
        </w:rPr>
        <w:t>中国政府采购网（www.ccgp.gov.cn）；</w:t>
      </w:r>
    </w:p>
    <w:p w14:paraId="0566177B">
      <w:pPr>
        <w:adjustRightInd w:val="0"/>
        <w:snapToGrid w:val="0"/>
        <w:spacing w:line="360" w:lineRule="auto"/>
        <w:ind w:firstLine="424" w:firstLineChars="202"/>
        <w:jc w:val="left"/>
        <w:rPr>
          <w:rFonts w:ascii="宋体" w:hAnsi="宋体" w:eastAsia="宋体" w:cs="宋体"/>
          <w:bCs/>
          <w:snapToGrid w:val="0"/>
          <w:szCs w:val="21"/>
        </w:rPr>
      </w:pPr>
      <w:r>
        <w:rPr>
          <w:rFonts w:hint="eastAsia" w:ascii="宋体" w:hAnsi="宋体" w:eastAsia="宋体" w:cs="宋体"/>
          <w:bCs/>
          <w:snapToGrid w:val="0"/>
          <w:szCs w:val="21"/>
        </w:rPr>
        <w:t>（2）深圳海关门户网（http://shenzhen.customs.gov.cn）；</w:t>
      </w:r>
    </w:p>
    <w:p w14:paraId="06809EF2">
      <w:pPr>
        <w:adjustRightInd w:val="0"/>
        <w:snapToGrid w:val="0"/>
        <w:spacing w:line="360" w:lineRule="auto"/>
        <w:ind w:firstLine="424" w:firstLineChars="202"/>
        <w:jc w:val="left"/>
        <w:rPr>
          <w:rFonts w:ascii="宋体" w:hAnsi="宋体" w:eastAsia="宋体" w:cs="宋体"/>
          <w:bCs/>
          <w:snapToGrid w:val="0"/>
          <w:szCs w:val="21"/>
        </w:rPr>
      </w:pPr>
      <w:r>
        <w:rPr>
          <w:rFonts w:hint="eastAsia" w:ascii="宋体" w:hAnsi="宋体" w:eastAsia="宋体" w:cs="宋体"/>
          <w:bCs/>
          <w:snapToGrid w:val="0"/>
          <w:szCs w:val="21"/>
        </w:rPr>
        <w:t>（3）深圳市中正招标网（www.szzzt.com）；</w:t>
      </w:r>
    </w:p>
    <w:p w14:paraId="15040E87">
      <w:pPr>
        <w:adjustRightInd w:val="0"/>
        <w:snapToGrid w:val="0"/>
        <w:spacing w:line="360" w:lineRule="auto"/>
        <w:ind w:firstLine="420" w:firstLineChars="200"/>
        <w:jc w:val="left"/>
        <w:rPr>
          <w:rFonts w:ascii="宋体" w:hAnsi="宋体" w:eastAsia="宋体" w:cs="宋体"/>
          <w:szCs w:val="21"/>
        </w:rPr>
      </w:pPr>
      <w:r>
        <w:rPr>
          <w:rFonts w:hint="eastAsia" w:ascii="宋体" w:hAnsi="宋体" w:eastAsia="宋体" w:cs="宋体"/>
          <w:snapToGrid w:val="0"/>
          <w:kern w:val="0"/>
          <w:szCs w:val="21"/>
        </w:rPr>
        <w:t>相关公告在以上媒体上公布之日即视为有效送达，不再另行通知。</w:t>
      </w:r>
    </w:p>
    <w:p w14:paraId="66FF1D2F">
      <w:pPr>
        <w:adjustRightInd w:val="0"/>
        <w:snapToGrid w:val="0"/>
        <w:spacing w:line="360" w:lineRule="auto"/>
        <w:ind w:firstLine="424" w:firstLineChars="202"/>
        <w:jc w:val="left"/>
        <w:rPr>
          <w:rFonts w:ascii="宋体" w:hAnsi="宋体" w:eastAsia="宋体" w:cs="宋体"/>
          <w:snapToGrid w:val="0"/>
          <w:kern w:val="0"/>
          <w:szCs w:val="21"/>
        </w:rPr>
      </w:pPr>
      <w:r>
        <w:rPr>
          <w:rFonts w:hint="eastAsia" w:ascii="宋体" w:hAnsi="宋体" w:eastAsia="宋体" w:cs="宋体"/>
          <w:snapToGrid w:val="0"/>
          <w:kern w:val="0"/>
          <w:szCs w:val="21"/>
        </w:rPr>
        <w:t>4.</w:t>
      </w:r>
      <w:r>
        <w:rPr>
          <w:rFonts w:hint="eastAsia" w:ascii="宋体" w:hAnsi="宋体" w:eastAsia="宋体" w:cs="宋体"/>
          <w:bCs/>
          <w:snapToGrid w:val="0"/>
          <w:szCs w:val="21"/>
        </w:rPr>
        <w:t>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r>
        <w:rPr>
          <w:rFonts w:hint="eastAsia" w:ascii="宋体" w:hAnsi="宋体" w:eastAsia="宋体" w:cs="宋体"/>
          <w:bCs/>
          <w:snapToGrid w:val="0"/>
          <w:kern w:val="0"/>
          <w:szCs w:val="21"/>
        </w:rPr>
        <w:t>。</w:t>
      </w:r>
    </w:p>
    <w:p w14:paraId="0751DC0E">
      <w:pPr>
        <w:adjustRightInd w:val="0"/>
        <w:snapToGrid w:val="0"/>
        <w:spacing w:line="360" w:lineRule="auto"/>
        <w:ind w:left="360" w:leftChars="1" w:hanging="358" w:hangingChars="170"/>
        <w:jc w:val="left"/>
        <w:rPr>
          <w:rFonts w:ascii="宋体" w:hAnsi="宋体" w:eastAsia="宋体" w:cs="宋体"/>
          <w:b/>
          <w:snapToGrid w:val="0"/>
          <w:kern w:val="0"/>
          <w:szCs w:val="21"/>
        </w:rPr>
      </w:pPr>
    </w:p>
    <w:p w14:paraId="7DDFA1F3">
      <w:pPr>
        <w:adjustRightInd w:val="0"/>
        <w:snapToGrid w:val="0"/>
        <w:spacing w:line="360" w:lineRule="auto"/>
        <w:ind w:left="360" w:leftChars="1" w:hanging="358" w:hangingChars="170"/>
        <w:jc w:val="left"/>
        <w:rPr>
          <w:rFonts w:ascii="宋体" w:hAnsi="宋体" w:eastAsia="宋体" w:cs="宋体"/>
          <w:b/>
          <w:snapToGrid w:val="0"/>
          <w:kern w:val="0"/>
          <w:szCs w:val="21"/>
        </w:rPr>
      </w:pPr>
      <w:r>
        <w:rPr>
          <w:rFonts w:hint="eastAsia" w:ascii="宋体" w:hAnsi="宋体" w:eastAsia="宋体" w:cs="宋体"/>
          <w:b/>
          <w:snapToGrid w:val="0"/>
          <w:kern w:val="0"/>
          <w:szCs w:val="21"/>
        </w:rPr>
        <w:t>七、凡对本次招标提出询问，请按以下方式联系。</w:t>
      </w:r>
    </w:p>
    <w:p w14:paraId="748533DB">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1．采购人信息</w:t>
      </w:r>
    </w:p>
    <w:p w14:paraId="420C7A97">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名称：深圳国际旅行卫生保健中心（深圳海关口岸门诊部）</w:t>
      </w:r>
    </w:p>
    <w:p w14:paraId="726733C6">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地址：深圳市福田区皇岗口岸生活区1号综合楼</w:t>
      </w:r>
    </w:p>
    <w:p w14:paraId="4F5633F0">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联系方式：</w:t>
      </w:r>
      <w:r>
        <w:rPr>
          <w:rFonts w:hint="eastAsia" w:ascii="宋体" w:hAnsi="宋体" w:cs="宋体"/>
          <w:szCs w:val="21"/>
        </w:rPr>
        <w:t>刘先生，0755-84394179</w:t>
      </w:r>
    </w:p>
    <w:p w14:paraId="61FC5254">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采购人监督投诉电话：0755-84398457</w:t>
      </w:r>
    </w:p>
    <w:p w14:paraId="1B4EF229">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2．招标代理机构信息</w:t>
      </w:r>
    </w:p>
    <w:p w14:paraId="6F5B93B5">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名称：深圳市中正招标有限公司</w:t>
      </w:r>
    </w:p>
    <w:p w14:paraId="17C7FF13">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地址：深圳市福田区民田路171号新华保险大厦903</w:t>
      </w:r>
    </w:p>
    <w:p w14:paraId="5A4DF476">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联系方式：姚工，0755-83026699</w:t>
      </w:r>
    </w:p>
    <w:p w14:paraId="2BC52DF6">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3．项目联系方式</w:t>
      </w:r>
    </w:p>
    <w:p w14:paraId="1858C949">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项目联系人：姚工</w:t>
      </w:r>
    </w:p>
    <w:p w14:paraId="0E5F8410">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联系电话：0755-83026699</w:t>
      </w:r>
    </w:p>
    <w:p w14:paraId="36FB0F1E">
      <w:pPr>
        <w:pStyle w:val="60"/>
      </w:pPr>
    </w:p>
    <w:p w14:paraId="583D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29" w:leftChars="2628" w:hanging="210" w:hangingChars="100"/>
        <w:jc w:val="right"/>
        <w:rPr>
          <w:rFonts w:ascii="宋体" w:hAnsi="宋体" w:eastAsia="宋体" w:cs="宋体"/>
          <w:snapToGrid w:val="0"/>
          <w:kern w:val="0"/>
          <w:szCs w:val="21"/>
        </w:rPr>
      </w:pPr>
      <w:r>
        <w:rPr>
          <w:rFonts w:hint="eastAsia" w:ascii="宋体" w:hAnsi="宋体" w:eastAsia="宋体" w:cs="宋体"/>
          <w:snapToGrid w:val="0"/>
          <w:kern w:val="0"/>
          <w:szCs w:val="21"/>
        </w:rPr>
        <w:t>深圳市中正招标有限公司</w:t>
      </w:r>
    </w:p>
    <w:p w14:paraId="6D81A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29" w:leftChars="2628" w:hanging="210" w:hangingChars="100"/>
        <w:jc w:val="right"/>
        <w:rPr>
          <w:rFonts w:ascii="宋体" w:hAnsi="宋体" w:eastAsia="宋体" w:cs="宋体"/>
          <w:snapToGrid w:val="0"/>
          <w:kern w:val="0"/>
          <w:szCs w:val="21"/>
        </w:rPr>
      </w:pPr>
      <w:r>
        <w:rPr>
          <w:rFonts w:hint="eastAsia" w:ascii="宋体" w:hAnsi="宋体" w:eastAsia="宋体" w:cs="宋体"/>
          <w:snapToGrid w:val="0"/>
          <w:kern w:val="0"/>
          <w:szCs w:val="21"/>
        </w:rPr>
        <w:t>2024年</w:t>
      </w:r>
      <w:r>
        <w:rPr>
          <w:rFonts w:hint="eastAsia" w:ascii="宋体" w:hAnsi="宋体" w:eastAsia="宋体" w:cs="宋体"/>
          <w:snapToGrid w:val="0"/>
          <w:kern w:val="0"/>
          <w:szCs w:val="21"/>
          <w:lang w:val="en-US" w:eastAsia="zh-CN"/>
        </w:rPr>
        <w:t>10</w:t>
      </w:r>
      <w:r>
        <w:rPr>
          <w:rFonts w:hint="eastAsia" w:ascii="宋体" w:hAnsi="宋体" w:eastAsia="宋体" w:cs="宋体"/>
          <w:snapToGrid w:val="0"/>
          <w:kern w:val="0"/>
          <w:szCs w:val="21"/>
        </w:rPr>
        <w:t>月</w:t>
      </w:r>
      <w:r>
        <w:rPr>
          <w:rFonts w:hint="eastAsia" w:ascii="宋体" w:hAnsi="宋体" w:cs="宋体"/>
          <w:snapToGrid w:val="0"/>
          <w:kern w:val="0"/>
          <w:szCs w:val="21"/>
          <w:lang w:val="en-US" w:eastAsia="zh-CN"/>
        </w:rPr>
        <w:t>25</w:t>
      </w:r>
      <w:r>
        <w:rPr>
          <w:rFonts w:hint="eastAsia" w:ascii="宋体" w:hAnsi="宋体" w:eastAsia="宋体" w:cs="宋体"/>
          <w:snapToGrid w:val="0"/>
          <w:kern w:val="0"/>
          <w:szCs w:val="21"/>
        </w:rPr>
        <w:t>日</w:t>
      </w:r>
    </w:p>
    <w:p w14:paraId="19562BA5">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49403093">
      <w:pPr>
        <w:pStyle w:val="2"/>
      </w:pPr>
      <w:bookmarkStart w:id="2" w:name="_Toc7385"/>
      <w:r>
        <w:rPr>
          <w:rFonts w:hint="eastAsia"/>
        </w:rPr>
        <w:t>第二章  项目需求</w:t>
      </w:r>
      <w:bookmarkEnd w:id="2"/>
    </w:p>
    <w:p w14:paraId="2CAAD490">
      <w:pPr>
        <w:spacing w:afterLines="50" w:line="360" w:lineRule="auto"/>
        <w:ind w:left="2"/>
        <w:jc w:val="center"/>
        <w:rPr>
          <w:rFonts w:ascii="宋体" w:hAnsi="宋体"/>
          <w:b/>
          <w:sz w:val="28"/>
          <w:szCs w:val="28"/>
        </w:rPr>
      </w:pPr>
      <w:r>
        <w:rPr>
          <w:rFonts w:hint="eastAsia" w:ascii="宋体" w:hAnsi="宋体"/>
          <w:b/>
          <w:sz w:val="28"/>
          <w:szCs w:val="28"/>
        </w:rPr>
        <w:t>特别说明</w:t>
      </w:r>
    </w:p>
    <w:p w14:paraId="731E8AD2">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6DCDC130">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1802C0CB">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699F8B32">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36A752F4">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1137B7A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rPr>
        <w:t>6、加注★的条款为不可负偏离条款，任一项未响应或不满足要求的，将导致投标无效。</w:t>
      </w:r>
    </w:p>
    <w:p w14:paraId="7113F21D">
      <w:pPr>
        <w:spacing w:line="360" w:lineRule="auto"/>
        <w:ind w:left="510"/>
        <w:rPr>
          <w:rFonts w:eastAsia="黑体"/>
          <w:bCs/>
          <w:snapToGrid w:val="0"/>
          <w:kern w:val="0"/>
          <w:sz w:val="24"/>
        </w:rPr>
      </w:pPr>
    </w:p>
    <w:p w14:paraId="0E547657">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46D9989A">
      <w:pPr>
        <w:rPr>
          <w:rFonts w:ascii="宋体" w:hAnsi="宋体"/>
          <w:b/>
          <w:szCs w:val="21"/>
        </w:rPr>
      </w:pPr>
      <w:r>
        <w:rPr>
          <w:rFonts w:hint="eastAsia" w:ascii="宋体" w:hAnsi="宋体"/>
          <w:b/>
          <w:szCs w:val="21"/>
        </w:rPr>
        <w:t>（一）货物总清单</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921"/>
        <w:gridCol w:w="922"/>
        <w:gridCol w:w="1701"/>
        <w:gridCol w:w="1417"/>
      </w:tblGrid>
      <w:tr w14:paraId="49D1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786D991">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4A8F0C19">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921" w:type="dxa"/>
            <w:tcMar>
              <w:top w:w="0" w:type="dxa"/>
              <w:left w:w="108" w:type="dxa"/>
              <w:bottom w:w="0" w:type="dxa"/>
              <w:right w:w="108" w:type="dxa"/>
            </w:tcMar>
            <w:vAlign w:val="center"/>
          </w:tcPr>
          <w:p w14:paraId="50CF7A93">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22" w:type="dxa"/>
            <w:vAlign w:val="center"/>
          </w:tcPr>
          <w:p w14:paraId="01BBE889">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7D0C05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4E6233C0">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79A9642C">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5F6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456C35A4">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04E905D9">
            <w:pPr>
              <w:widowControl/>
              <w:spacing w:line="360" w:lineRule="auto"/>
              <w:jc w:val="center"/>
              <w:rPr>
                <w:rFonts w:ascii="宋体" w:hAnsi="宋体" w:cs="宋体"/>
                <w:kern w:val="0"/>
                <w:szCs w:val="21"/>
              </w:rPr>
            </w:pPr>
            <w:r>
              <w:rPr>
                <w:rFonts w:hint="eastAsia" w:ascii="宋体" w:hAnsi="宋体" w:cs="宋体"/>
                <w:kern w:val="0"/>
                <w:szCs w:val="21"/>
              </w:rPr>
              <w:t>“深圳国际旅行卫生保健中心（深圳海关口岸门诊部）2024年实验室仪器设备更新”项目全身彩色多普勒超声诊断仪一批采购项目</w:t>
            </w:r>
          </w:p>
        </w:tc>
        <w:tc>
          <w:tcPr>
            <w:tcW w:w="921" w:type="dxa"/>
            <w:tcMar>
              <w:top w:w="0" w:type="dxa"/>
              <w:left w:w="108" w:type="dxa"/>
              <w:bottom w:w="0" w:type="dxa"/>
              <w:right w:w="108" w:type="dxa"/>
            </w:tcMar>
            <w:vAlign w:val="center"/>
          </w:tcPr>
          <w:p w14:paraId="4DF11F74">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22" w:type="dxa"/>
            <w:vAlign w:val="center"/>
          </w:tcPr>
          <w:p w14:paraId="22B9BCEE">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45CF61FD">
            <w:pPr>
              <w:jc w:val="center"/>
              <w:rPr>
                <w:rFonts w:ascii="宋体" w:hAnsi="宋体" w:cs="宋体"/>
                <w:bCs/>
                <w:kern w:val="0"/>
                <w:szCs w:val="21"/>
              </w:rPr>
            </w:pPr>
            <w:r>
              <w:rPr>
                <w:rFonts w:hint="eastAsia" w:ascii="宋体" w:hAnsi="宋体" w:cs="宋体"/>
                <w:bCs/>
                <w:kern w:val="0"/>
                <w:szCs w:val="21"/>
              </w:rPr>
              <w:t xml:space="preserve">12,000,000.00  </w:t>
            </w:r>
          </w:p>
        </w:tc>
        <w:tc>
          <w:tcPr>
            <w:tcW w:w="1417" w:type="dxa"/>
            <w:vAlign w:val="center"/>
          </w:tcPr>
          <w:p w14:paraId="4A7F46C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3781F767">
      <w:pPr>
        <w:ind w:firstLine="211" w:firstLineChars="100"/>
        <w:rPr>
          <w:rFonts w:ascii="宋体" w:hAnsi="宋体"/>
          <w:b/>
          <w:szCs w:val="21"/>
        </w:rPr>
      </w:pPr>
    </w:p>
    <w:p w14:paraId="4D3C5209">
      <w:pPr>
        <w:ind w:firstLine="211" w:firstLineChars="100"/>
        <w:rPr>
          <w:rFonts w:ascii="宋体" w:hAnsi="宋体"/>
          <w:b/>
          <w:szCs w:val="21"/>
        </w:rPr>
      </w:pPr>
      <w:r>
        <w:rPr>
          <w:rFonts w:hint="eastAsia" w:ascii="宋体" w:hAnsi="宋体"/>
          <w:b/>
          <w:szCs w:val="21"/>
        </w:rPr>
        <w:t>（二）货物清单明细</w:t>
      </w:r>
    </w:p>
    <w:tbl>
      <w:tblPr>
        <w:tblStyle w:val="51"/>
        <w:tblW w:w="925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8"/>
        <w:gridCol w:w="3081"/>
        <w:gridCol w:w="915"/>
        <w:gridCol w:w="915"/>
        <w:gridCol w:w="1710"/>
        <w:gridCol w:w="735"/>
        <w:gridCol w:w="1065"/>
      </w:tblGrid>
      <w:tr w14:paraId="5E41F9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blHeader/>
          <w:jc w:val="center"/>
        </w:trPr>
        <w:tc>
          <w:tcPr>
            <w:tcW w:w="838" w:type="dxa"/>
            <w:tcBorders>
              <w:top w:val="single" w:color="auto" w:sz="4" w:space="0"/>
              <w:left w:val="single" w:color="auto" w:sz="4" w:space="0"/>
              <w:bottom w:val="single" w:color="auto" w:sz="4" w:space="0"/>
              <w:right w:val="single" w:color="auto" w:sz="4" w:space="0"/>
            </w:tcBorders>
            <w:noWrap/>
            <w:vAlign w:val="center"/>
          </w:tcPr>
          <w:p w14:paraId="4DD0ABBB">
            <w:pPr>
              <w:pStyle w:val="508"/>
              <w:spacing w:line="360" w:lineRule="exact"/>
              <w:jc w:val="center"/>
              <w:rPr>
                <w:rFonts w:ascii="宋体" w:hAnsi="宋体" w:cs="宋体"/>
                <w:b/>
                <w:bCs/>
                <w:szCs w:val="21"/>
              </w:rPr>
            </w:pPr>
            <w:r>
              <w:rPr>
                <w:rFonts w:hint="eastAsia" w:ascii="宋体" w:hAnsi="宋体" w:cs="宋体"/>
                <w:b/>
                <w:bCs/>
                <w:szCs w:val="21"/>
              </w:rPr>
              <w:t>序号</w:t>
            </w:r>
          </w:p>
        </w:tc>
        <w:tc>
          <w:tcPr>
            <w:tcW w:w="3081" w:type="dxa"/>
            <w:tcBorders>
              <w:top w:val="single" w:color="auto" w:sz="4" w:space="0"/>
              <w:left w:val="single" w:color="auto" w:sz="4" w:space="0"/>
              <w:bottom w:val="single" w:color="auto" w:sz="4" w:space="0"/>
              <w:right w:val="single" w:color="auto" w:sz="4" w:space="0"/>
            </w:tcBorders>
            <w:noWrap/>
            <w:vAlign w:val="center"/>
          </w:tcPr>
          <w:p w14:paraId="6A23C453">
            <w:pPr>
              <w:pStyle w:val="508"/>
              <w:spacing w:line="360" w:lineRule="exact"/>
              <w:jc w:val="center"/>
              <w:rPr>
                <w:rFonts w:ascii="宋体" w:hAnsi="宋体" w:cs="宋体"/>
                <w:b/>
                <w:bCs/>
                <w:szCs w:val="21"/>
              </w:rPr>
            </w:pPr>
            <w:r>
              <w:rPr>
                <w:rFonts w:hint="eastAsia" w:ascii="宋体" w:hAnsi="宋体" w:cs="宋体"/>
                <w:b/>
                <w:bCs/>
                <w:color w:val="FF0000"/>
                <w:szCs w:val="21"/>
              </w:rPr>
              <w:t>标的名称</w:t>
            </w:r>
          </w:p>
        </w:tc>
        <w:tc>
          <w:tcPr>
            <w:tcW w:w="915" w:type="dxa"/>
            <w:tcBorders>
              <w:top w:val="single" w:color="auto" w:sz="4" w:space="0"/>
              <w:left w:val="single" w:color="auto" w:sz="4" w:space="0"/>
              <w:bottom w:val="single" w:color="auto" w:sz="4" w:space="0"/>
              <w:right w:val="single" w:color="auto" w:sz="4" w:space="0"/>
            </w:tcBorders>
            <w:noWrap/>
            <w:vAlign w:val="center"/>
          </w:tcPr>
          <w:p w14:paraId="1473BFAA">
            <w:pPr>
              <w:pStyle w:val="508"/>
              <w:spacing w:line="360" w:lineRule="exact"/>
              <w:jc w:val="center"/>
              <w:rPr>
                <w:rFonts w:ascii="宋体" w:hAnsi="宋体" w:cs="宋体"/>
                <w:b/>
                <w:bCs/>
                <w:szCs w:val="21"/>
              </w:rPr>
            </w:pPr>
            <w:r>
              <w:rPr>
                <w:rFonts w:hint="eastAsia" w:ascii="宋体" w:hAnsi="宋体" w:cs="宋体"/>
                <w:b/>
                <w:bCs/>
                <w:szCs w:val="21"/>
              </w:rPr>
              <w:t>数量</w:t>
            </w:r>
          </w:p>
        </w:tc>
        <w:tc>
          <w:tcPr>
            <w:tcW w:w="915" w:type="dxa"/>
            <w:tcBorders>
              <w:top w:val="single" w:color="auto" w:sz="4" w:space="0"/>
              <w:left w:val="single" w:color="auto" w:sz="4" w:space="0"/>
              <w:bottom w:val="single" w:color="auto" w:sz="4" w:space="0"/>
              <w:right w:val="single" w:color="auto" w:sz="4" w:space="0"/>
            </w:tcBorders>
            <w:noWrap/>
            <w:vAlign w:val="center"/>
          </w:tcPr>
          <w:p w14:paraId="2B59893F">
            <w:pPr>
              <w:pStyle w:val="508"/>
              <w:spacing w:line="360" w:lineRule="exact"/>
              <w:jc w:val="center"/>
              <w:rPr>
                <w:rFonts w:ascii="宋体" w:hAnsi="宋体" w:cs="宋体"/>
                <w:b/>
                <w:bCs/>
                <w:szCs w:val="21"/>
              </w:rPr>
            </w:pPr>
            <w:r>
              <w:rPr>
                <w:rFonts w:hint="eastAsia" w:ascii="宋体" w:hAnsi="宋体" w:cs="宋体"/>
                <w:b/>
                <w:bCs/>
                <w:szCs w:val="21"/>
              </w:rPr>
              <w:t>单位</w:t>
            </w:r>
          </w:p>
        </w:tc>
        <w:tc>
          <w:tcPr>
            <w:tcW w:w="1710" w:type="dxa"/>
            <w:tcBorders>
              <w:top w:val="single" w:color="auto" w:sz="4" w:space="0"/>
              <w:left w:val="single" w:color="auto" w:sz="4" w:space="0"/>
              <w:bottom w:val="single" w:color="auto" w:sz="4" w:space="0"/>
              <w:right w:val="single" w:color="auto" w:sz="4" w:space="0"/>
            </w:tcBorders>
            <w:noWrap/>
            <w:vAlign w:val="center"/>
          </w:tcPr>
          <w:p w14:paraId="551EFD11">
            <w:pPr>
              <w:widowControl/>
              <w:spacing w:line="360" w:lineRule="auto"/>
              <w:jc w:val="center"/>
              <w:rPr>
                <w:rFonts w:ascii="宋体" w:hAnsi="宋体" w:cs="宋体"/>
                <w:b/>
                <w:kern w:val="0"/>
                <w:szCs w:val="21"/>
              </w:rPr>
            </w:pPr>
            <w:r>
              <w:rPr>
                <w:rFonts w:hint="eastAsia" w:ascii="宋体" w:hAnsi="宋体" w:cs="宋体"/>
                <w:b/>
                <w:kern w:val="0"/>
                <w:szCs w:val="21"/>
              </w:rPr>
              <w:t>预算金额</w:t>
            </w:r>
          </w:p>
          <w:p w14:paraId="2FB7BF3D">
            <w:pPr>
              <w:pStyle w:val="508"/>
              <w:spacing w:line="360" w:lineRule="exact"/>
              <w:jc w:val="center"/>
              <w:rPr>
                <w:rFonts w:ascii="宋体" w:hAnsi="宋体" w:cs="宋体"/>
                <w:b/>
                <w:bCs/>
                <w:szCs w:val="21"/>
              </w:rPr>
            </w:pPr>
            <w:r>
              <w:rPr>
                <w:rFonts w:hint="eastAsia" w:ascii="宋体" w:hAnsi="宋体" w:cs="宋体"/>
                <w:b/>
                <w:szCs w:val="21"/>
              </w:rPr>
              <w:t>（人民币元）</w:t>
            </w:r>
          </w:p>
        </w:tc>
        <w:tc>
          <w:tcPr>
            <w:tcW w:w="735" w:type="dxa"/>
            <w:tcBorders>
              <w:top w:val="single" w:color="auto" w:sz="4" w:space="0"/>
              <w:left w:val="single" w:color="auto" w:sz="4" w:space="0"/>
              <w:bottom w:val="single" w:color="auto" w:sz="4" w:space="0"/>
              <w:right w:val="single" w:color="auto" w:sz="4" w:space="0"/>
            </w:tcBorders>
            <w:noWrap/>
            <w:vAlign w:val="center"/>
          </w:tcPr>
          <w:p w14:paraId="6710B0A1">
            <w:pPr>
              <w:pStyle w:val="508"/>
              <w:spacing w:line="360" w:lineRule="exact"/>
              <w:jc w:val="center"/>
              <w:rPr>
                <w:rFonts w:ascii="宋体" w:hAnsi="宋体" w:cs="宋体"/>
                <w:b/>
                <w:bCs/>
                <w:szCs w:val="21"/>
              </w:rPr>
            </w:pPr>
            <w:r>
              <w:rPr>
                <w:rFonts w:hint="eastAsia" w:ascii="宋体" w:hAnsi="宋体" w:cs="宋体"/>
                <w:b/>
                <w:bCs/>
                <w:szCs w:val="21"/>
              </w:rPr>
              <w:t>包组</w:t>
            </w:r>
          </w:p>
        </w:tc>
        <w:tc>
          <w:tcPr>
            <w:tcW w:w="1065" w:type="dxa"/>
            <w:tcBorders>
              <w:top w:val="single" w:color="auto" w:sz="4" w:space="0"/>
              <w:left w:val="single" w:color="auto" w:sz="4" w:space="0"/>
              <w:bottom w:val="single" w:color="auto" w:sz="4" w:space="0"/>
              <w:right w:val="single" w:color="auto" w:sz="4" w:space="0"/>
            </w:tcBorders>
            <w:noWrap/>
            <w:vAlign w:val="center"/>
          </w:tcPr>
          <w:p w14:paraId="13CCC818">
            <w:pPr>
              <w:pStyle w:val="508"/>
              <w:spacing w:line="360" w:lineRule="exact"/>
              <w:jc w:val="center"/>
              <w:rPr>
                <w:rFonts w:ascii="宋体" w:hAnsi="宋体" w:cs="宋体"/>
                <w:b/>
                <w:bCs/>
                <w:szCs w:val="21"/>
              </w:rPr>
            </w:pPr>
            <w:r>
              <w:rPr>
                <w:rFonts w:hint="eastAsia" w:ascii="宋体" w:hAnsi="宋体" w:cs="宋体"/>
                <w:b/>
                <w:bCs/>
                <w:szCs w:val="21"/>
              </w:rPr>
              <w:t>备注</w:t>
            </w:r>
          </w:p>
        </w:tc>
      </w:tr>
      <w:tr w14:paraId="3A106F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838" w:type="dxa"/>
            <w:tcBorders>
              <w:top w:val="single" w:color="auto" w:sz="4" w:space="0"/>
              <w:left w:val="single" w:color="auto" w:sz="4" w:space="0"/>
              <w:bottom w:val="single" w:color="auto" w:sz="4" w:space="0"/>
              <w:right w:val="single" w:color="auto" w:sz="4" w:space="0"/>
            </w:tcBorders>
            <w:noWrap/>
            <w:vAlign w:val="center"/>
          </w:tcPr>
          <w:p w14:paraId="52047931">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081" w:type="dxa"/>
            <w:tcBorders>
              <w:top w:val="single" w:color="auto" w:sz="4" w:space="0"/>
              <w:left w:val="single" w:color="auto" w:sz="4" w:space="0"/>
              <w:bottom w:val="single" w:color="auto" w:sz="4" w:space="0"/>
              <w:right w:val="single" w:color="auto" w:sz="4" w:space="0"/>
            </w:tcBorders>
            <w:noWrap/>
            <w:vAlign w:val="center"/>
          </w:tcPr>
          <w:p w14:paraId="2578DFA2">
            <w:pPr>
              <w:adjustRightInd w:val="0"/>
              <w:snapToGrid w:val="0"/>
              <w:spacing w:line="360" w:lineRule="auto"/>
              <w:jc w:val="center"/>
              <w:rPr>
                <w:rFonts w:ascii="宋体" w:hAnsi="宋体" w:cs="宋体"/>
                <w:kern w:val="0"/>
                <w:szCs w:val="21"/>
              </w:rPr>
            </w:pPr>
            <w:r>
              <w:rPr>
                <w:rFonts w:hint="eastAsia" w:asciiTheme="minorEastAsia" w:hAnsiTheme="minorEastAsia" w:eastAsiaTheme="minorEastAsia" w:cstheme="minorEastAsia"/>
                <w:snapToGrid w:val="0"/>
                <w:kern w:val="0"/>
                <w:szCs w:val="21"/>
              </w:rPr>
              <w:t>全身多普勒超声诊断仪</w:t>
            </w:r>
          </w:p>
        </w:tc>
        <w:tc>
          <w:tcPr>
            <w:tcW w:w="915" w:type="dxa"/>
            <w:tcBorders>
              <w:top w:val="single" w:color="auto" w:sz="4" w:space="0"/>
              <w:left w:val="single" w:color="auto" w:sz="4" w:space="0"/>
              <w:bottom w:val="single" w:color="auto" w:sz="4" w:space="0"/>
              <w:right w:val="single" w:color="auto" w:sz="4" w:space="0"/>
            </w:tcBorders>
            <w:noWrap/>
            <w:vAlign w:val="center"/>
          </w:tcPr>
          <w:p w14:paraId="25A52209">
            <w:pPr>
              <w:spacing w:line="360" w:lineRule="auto"/>
              <w:jc w:val="center"/>
              <w:rPr>
                <w:rFonts w:ascii="宋体" w:hAnsi="宋体" w:cs="宋体"/>
                <w:kern w:val="0"/>
                <w:szCs w:val="21"/>
              </w:rPr>
            </w:pPr>
            <w:r>
              <w:rPr>
                <w:rFonts w:hint="eastAsia" w:asciiTheme="minorEastAsia" w:hAnsiTheme="minorEastAsia" w:eastAsiaTheme="minorEastAsia" w:cstheme="minorEastAsia"/>
                <w:szCs w:val="21"/>
              </w:rPr>
              <w:t>3</w:t>
            </w:r>
          </w:p>
        </w:tc>
        <w:tc>
          <w:tcPr>
            <w:tcW w:w="915" w:type="dxa"/>
            <w:tcBorders>
              <w:top w:val="single" w:color="auto" w:sz="4" w:space="0"/>
              <w:left w:val="single" w:color="auto" w:sz="4" w:space="0"/>
              <w:bottom w:val="single" w:color="auto" w:sz="4" w:space="0"/>
              <w:right w:val="single" w:color="auto" w:sz="4" w:space="0"/>
            </w:tcBorders>
            <w:noWrap/>
            <w:vAlign w:val="center"/>
          </w:tcPr>
          <w:p w14:paraId="7783F085">
            <w:pPr>
              <w:widowControl/>
              <w:spacing w:line="360" w:lineRule="auto"/>
              <w:jc w:val="center"/>
              <w:rPr>
                <w:rFonts w:ascii="宋体" w:hAnsi="宋体" w:cs="宋体"/>
                <w:kern w:val="0"/>
                <w:szCs w:val="21"/>
              </w:rPr>
            </w:pPr>
            <w:r>
              <w:rPr>
                <w:rFonts w:hint="eastAsia" w:ascii="宋体" w:hAnsi="宋体" w:cs="宋体"/>
                <w:kern w:val="0"/>
                <w:szCs w:val="21"/>
              </w:rPr>
              <w:t>台</w:t>
            </w:r>
          </w:p>
        </w:tc>
        <w:tc>
          <w:tcPr>
            <w:tcW w:w="1710" w:type="dxa"/>
            <w:tcBorders>
              <w:top w:val="single" w:color="auto" w:sz="4" w:space="0"/>
              <w:left w:val="single" w:color="auto" w:sz="4" w:space="0"/>
              <w:bottom w:val="single" w:color="auto" w:sz="4" w:space="0"/>
              <w:right w:val="single" w:color="auto" w:sz="4" w:space="0"/>
            </w:tcBorders>
            <w:noWrap/>
            <w:vAlign w:val="center"/>
          </w:tcPr>
          <w:p w14:paraId="16A92501">
            <w:pPr>
              <w:pStyle w:val="508"/>
              <w:spacing w:line="360" w:lineRule="exact"/>
              <w:jc w:val="center"/>
              <w:rPr>
                <w:rFonts w:ascii="宋体" w:hAnsi="宋体" w:cs="宋体"/>
                <w:color w:val="000000"/>
                <w:kern w:val="0"/>
                <w:szCs w:val="21"/>
              </w:rPr>
            </w:pPr>
            <w:r>
              <w:rPr>
                <w:rFonts w:hint="eastAsia" w:ascii="宋体" w:hAnsi="宋体" w:cs="宋体"/>
                <w:color w:val="000000"/>
                <w:kern w:val="0"/>
                <w:szCs w:val="21"/>
              </w:rPr>
              <w:t>6,000,000.00</w:t>
            </w:r>
          </w:p>
        </w:tc>
        <w:tc>
          <w:tcPr>
            <w:tcW w:w="735" w:type="dxa"/>
            <w:tcBorders>
              <w:top w:val="single" w:color="auto" w:sz="4" w:space="0"/>
              <w:left w:val="single" w:color="auto" w:sz="4" w:space="0"/>
              <w:bottom w:val="single" w:color="auto" w:sz="4" w:space="0"/>
              <w:right w:val="single" w:color="auto" w:sz="4" w:space="0"/>
            </w:tcBorders>
            <w:noWrap/>
            <w:vAlign w:val="center"/>
          </w:tcPr>
          <w:p w14:paraId="6FFCE250">
            <w:pPr>
              <w:spacing w:line="360" w:lineRule="auto"/>
              <w:jc w:val="center"/>
              <w:rPr>
                <w:rFonts w:ascii="宋体" w:hAnsi="宋体" w:cs="宋体"/>
                <w:kern w:val="0"/>
                <w:szCs w:val="21"/>
              </w:rPr>
            </w:pPr>
            <w:r>
              <w:rPr>
                <w:rFonts w:hint="eastAsia" w:asciiTheme="minorEastAsia" w:hAnsiTheme="minorEastAsia" w:eastAsiaTheme="minorEastAsia" w:cstheme="minorEastAsia"/>
                <w:snapToGrid w:val="0"/>
                <w:kern w:val="0"/>
                <w:szCs w:val="21"/>
              </w:rPr>
              <w:t>A包</w:t>
            </w:r>
          </w:p>
        </w:tc>
        <w:tc>
          <w:tcPr>
            <w:tcW w:w="1065" w:type="dxa"/>
            <w:tcBorders>
              <w:top w:val="single" w:color="auto" w:sz="4" w:space="0"/>
              <w:left w:val="single" w:color="auto" w:sz="4" w:space="0"/>
              <w:bottom w:val="single" w:color="auto" w:sz="4" w:space="0"/>
              <w:right w:val="single" w:color="auto" w:sz="4" w:space="0"/>
            </w:tcBorders>
            <w:noWrap/>
            <w:vAlign w:val="center"/>
          </w:tcPr>
          <w:p w14:paraId="3C6BCD99">
            <w:pPr>
              <w:pStyle w:val="508"/>
              <w:spacing w:line="360" w:lineRule="exact"/>
              <w:jc w:val="center"/>
              <w:rPr>
                <w:rFonts w:ascii="宋体" w:hAnsi="宋体" w:cs="宋体"/>
                <w:kern w:val="0"/>
                <w:szCs w:val="21"/>
              </w:rPr>
            </w:pPr>
            <w:r>
              <w:rPr>
                <w:rFonts w:hint="eastAsia" w:ascii="宋体" w:hAnsi="宋体" w:cs="宋体"/>
                <w:kern w:val="0"/>
                <w:szCs w:val="21"/>
              </w:rPr>
              <w:t>拒绝进口</w:t>
            </w:r>
          </w:p>
        </w:tc>
      </w:tr>
      <w:tr w14:paraId="00114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838" w:type="dxa"/>
            <w:tcBorders>
              <w:top w:val="single" w:color="auto" w:sz="4" w:space="0"/>
              <w:left w:val="single" w:color="auto" w:sz="4" w:space="0"/>
              <w:bottom w:val="single" w:color="auto" w:sz="4" w:space="0"/>
              <w:right w:val="single" w:color="auto" w:sz="4" w:space="0"/>
            </w:tcBorders>
            <w:noWrap/>
            <w:vAlign w:val="center"/>
          </w:tcPr>
          <w:p w14:paraId="4F877719">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3081" w:type="dxa"/>
            <w:tcBorders>
              <w:top w:val="single" w:color="auto" w:sz="4" w:space="0"/>
              <w:left w:val="single" w:color="auto" w:sz="4" w:space="0"/>
              <w:bottom w:val="single" w:color="auto" w:sz="4" w:space="0"/>
              <w:right w:val="single" w:color="auto" w:sz="4" w:space="0"/>
            </w:tcBorders>
            <w:noWrap/>
            <w:vAlign w:val="center"/>
          </w:tcPr>
          <w:p w14:paraId="4AE87B2F">
            <w:pPr>
              <w:adjustRightInd w:val="0"/>
              <w:snapToGrid w:val="0"/>
              <w:spacing w:line="360" w:lineRule="auto"/>
              <w:jc w:val="center"/>
              <w:rPr>
                <w:rFonts w:ascii="宋体" w:hAnsi="宋体" w:cs="宋体"/>
                <w:szCs w:val="21"/>
              </w:rPr>
            </w:pPr>
            <w:r>
              <w:rPr>
                <w:rFonts w:hint="eastAsia" w:asciiTheme="minorEastAsia" w:hAnsiTheme="minorEastAsia" w:eastAsiaTheme="minorEastAsia" w:cstheme="minorEastAsia"/>
                <w:snapToGrid w:val="0"/>
                <w:kern w:val="0"/>
                <w:szCs w:val="21"/>
              </w:rPr>
              <w:t>多普勒超声诊断仪</w:t>
            </w:r>
          </w:p>
        </w:tc>
        <w:tc>
          <w:tcPr>
            <w:tcW w:w="915" w:type="dxa"/>
            <w:tcBorders>
              <w:top w:val="single" w:color="auto" w:sz="4" w:space="0"/>
              <w:left w:val="single" w:color="auto" w:sz="4" w:space="0"/>
              <w:bottom w:val="single" w:color="auto" w:sz="4" w:space="0"/>
              <w:right w:val="single" w:color="auto" w:sz="4" w:space="0"/>
            </w:tcBorders>
            <w:noWrap/>
            <w:vAlign w:val="center"/>
          </w:tcPr>
          <w:p w14:paraId="1DD5A5F5">
            <w:pPr>
              <w:spacing w:line="360" w:lineRule="auto"/>
              <w:jc w:val="center"/>
              <w:rPr>
                <w:rFonts w:ascii="宋体" w:hAnsi="宋体" w:cs="宋体"/>
                <w:kern w:val="0"/>
                <w:szCs w:val="21"/>
              </w:rPr>
            </w:pPr>
            <w:r>
              <w:rPr>
                <w:rFonts w:hint="eastAsia" w:asciiTheme="minorEastAsia" w:hAnsiTheme="minorEastAsia" w:eastAsiaTheme="minorEastAsia" w:cstheme="minorEastAsia"/>
                <w:szCs w:val="21"/>
              </w:rPr>
              <w:t>4</w:t>
            </w:r>
          </w:p>
        </w:tc>
        <w:tc>
          <w:tcPr>
            <w:tcW w:w="915" w:type="dxa"/>
            <w:tcBorders>
              <w:top w:val="single" w:color="auto" w:sz="4" w:space="0"/>
              <w:left w:val="single" w:color="auto" w:sz="4" w:space="0"/>
              <w:bottom w:val="single" w:color="auto" w:sz="4" w:space="0"/>
              <w:right w:val="single" w:color="auto" w:sz="4" w:space="0"/>
            </w:tcBorders>
            <w:noWrap/>
            <w:vAlign w:val="center"/>
          </w:tcPr>
          <w:p w14:paraId="596F4AF0">
            <w:pPr>
              <w:widowControl/>
              <w:spacing w:line="360" w:lineRule="auto"/>
              <w:jc w:val="center"/>
              <w:rPr>
                <w:rFonts w:ascii="宋体" w:hAnsi="宋体" w:cs="宋体"/>
                <w:kern w:val="0"/>
                <w:szCs w:val="21"/>
              </w:rPr>
            </w:pPr>
            <w:r>
              <w:rPr>
                <w:rFonts w:hint="eastAsia" w:ascii="宋体" w:hAnsi="宋体" w:cs="宋体"/>
                <w:kern w:val="0"/>
                <w:szCs w:val="21"/>
              </w:rPr>
              <w:t>台</w:t>
            </w:r>
          </w:p>
        </w:tc>
        <w:tc>
          <w:tcPr>
            <w:tcW w:w="1710" w:type="dxa"/>
            <w:tcBorders>
              <w:top w:val="single" w:color="auto" w:sz="4" w:space="0"/>
              <w:left w:val="single" w:color="auto" w:sz="4" w:space="0"/>
              <w:bottom w:val="single" w:color="auto" w:sz="4" w:space="0"/>
              <w:right w:val="single" w:color="auto" w:sz="4" w:space="0"/>
            </w:tcBorders>
            <w:noWrap/>
            <w:vAlign w:val="center"/>
          </w:tcPr>
          <w:p w14:paraId="63378427">
            <w:pPr>
              <w:pStyle w:val="508"/>
              <w:spacing w:line="360" w:lineRule="exact"/>
              <w:jc w:val="center"/>
              <w:rPr>
                <w:rFonts w:ascii="宋体" w:hAnsi="宋体" w:cs="宋体"/>
                <w:kern w:val="0"/>
                <w:szCs w:val="21"/>
              </w:rPr>
            </w:pPr>
            <w:r>
              <w:rPr>
                <w:rFonts w:hint="eastAsia" w:ascii="宋体" w:hAnsi="宋体" w:cs="宋体"/>
                <w:color w:val="000000"/>
                <w:kern w:val="0"/>
                <w:szCs w:val="21"/>
              </w:rPr>
              <w:t>6,000,000.00</w:t>
            </w:r>
          </w:p>
        </w:tc>
        <w:tc>
          <w:tcPr>
            <w:tcW w:w="735" w:type="dxa"/>
            <w:tcBorders>
              <w:top w:val="single" w:color="auto" w:sz="4" w:space="0"/>
              <w:left w:val="single" w:color="auto" w:sz="4" w:space="0"/>
              <w:bottom w:val="single" w:color="auto" w:sz="4" w:space="0"/>
              <w:right w:val="single" w:color="auto" w:sz="4" w:space="0"/>
            </w:tcBorders>
            <w:noWrap/>
            <w:vAlign w:val="center"/>
          </w:tcPr>
          <w:p w14:paraId="00B79F0B">
            <w:pPr>
              <w:spacing w:line="360" w:lineRule="auto"/>
              <w:jc w:val="center"/>
              <w:rPr>
                <w:rFonts w:ascii="宋体" w:hAnsi="宋体" w:cs="宋体"/>
                <w:kern w:val="0"/>
                <w:szCs w:val="21"/>
              </w:rPr>
            </w:pPr>
            <w:r>
              <w:rPr>
                <w:rFonts w:hint="eastAsia" w:asciiTheme="minorEastAsia" w:hAnsiTheme="minorEastAsia" w:eastAsiaTheme="minorEastAsia" w:cstheme="minorEastAsia"/>
                <w:color w:val="000000"/>
                <w:kern w:val="0"/>
                <w:szCs w:val="21"/>
              </w:rPr>
              <w:t>B包</w:t>
            </w:r>
          </w:p>
        </w:tc>
        <w:tc>
          <w:tcPr>
            <w:tcW w:w="1065" w:type="dxa"/>
            <w:tcBorders>
              <w:top w:val="single" w:color="auto" w:sz="4" w:space="0"/>
              <w:left w:val="single" w:color="auto" w:sz="4" w:space="0"/>
              <w:bottom w:val="single" w:color="auto" w:sz="4" w:space="0"/>
              <w:right w:val="single" w:color="auto" w:sz="4" w:space="0"/>
            </w:tcBorders>
            <w:noWrap/>
            <w:vAlign w:val="center"/>
          </w:tcPr>
          <w:p w14:paraId="2C31DE43">
            <w:pPr>
              <w:pStyle w:val="508"/>
              <w:spacing w:line="360" w:lineRule="exact"/>
              <w:jc w:val="center"/>
              <w:rPr>
                <w:rFonts w:ascii="宋体" w:hAnsi="宋体" w:cs="宋体"/>
                <w:kern w:val="0"/>
                <w:szCs w:val="21"/>
              </w:rPr>
            </w:pPr>
            <w:r>
              <w:rPr>
                <w:rFonts w:hint="eastAsia" w:ascii="宋体" w:hAnsi="宋体" w:cs="宋体"/>
                <w:kern w:val="0"/>
                <w:szCs w:val="21"/>
              </w:rPr>
              <w:t>拒绝进口</w:t>
            </w:r>
          </w:p>
        </w:tc>
      </w:tr>
    </w:tbl>
    <w:p w14:paraId="357A0221">
      <w:pPr>
        <w:pStyle w:val="455"/>
        <w:adjustRightInd w:val="0"/>
        <w:snapToGrid w:val="0"/>
        <w:spacing w:before="0" w:beforeAutospacing="0" w:after="0" w:afterAutospacing="0" w:line="360" w:lineRule="auto"/>
        <w:ind w:firstLine="630" w:firstLineChars="300"/>
        <w:rPr>
          <w:rFonts w:ascii="宋体" w:hAnsi="宋体" w:eastAsia="宋体"/>
          <w:b/>
          <w:snapToGrid w:val="0"/>
          <w:color w:val="auto"/>
          <w:sz w:val="21"/>
          <w:szCs w:val="21"/>
        </w:rPr>
      </w:pPr>
      <w:r>
        <w:rPr>
          <w:rFonts w:hint="eastAsia" w:ascii="宋体" w:hAnsi="宋体" w:eastAsia="宋体" w:cs="Times New Roman"/>
          <w:color w:val="auto"/>
          <w:kern w:val="2"/>
          <w:sz w:val="21"/>
          <w:szCs w:val="21"/>
        </w:rPr>
        <w:t>注：★</w:t>
      </w:r>
      <w:r>
        <w:rPr>
          <w:rFonts w:hint="eastAsia" w:ascii="宋体" w:hAnsi="宋体" w:eastAsia="宋体" w:cs="Times New Roman"/>
          <w:b/>
          <w:color w:val="auto"/>
          <w:kern w:val="2"/>
          <w:sz w:val="21"/>
          <w:szCs w:val="21"/>
        </w:rPr>
        <w:t>任一项货物投标报价超过其预算金额或最高限价的，将导致投标无效。</w:t>
      </w:r>
    </w:p>
    <w:p w14:paraId="565B9E54">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rPr>
        <w:t>（1）如同时有两家或两家以上（均为制造商的合法代理商）通过资格审查及符合性审查的合格投标人所投产品为相同品牌的，按一家投标人计算。在此种情况下，评审后得分最高的同品牌投标人获得中标人推荐资格；评审得分相同的由报价相对最低的获得中标人推荐资格；评审得分及报价均相同的由技术部分评分相对最高的获得中标人推荐资格；以上均相同的由评标委员会采取随机抽取方式确定，其他同品牌投标人不作为中标候选人。</w:t>
      </w:r>
    </w:p>
    <w:p w14:paraId="28D2B75C">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0F02B9DC">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0006B09D">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764FA915">
      <w:pPr>
        <w:adjustRightInd w:val="0"/>
        <w:snapToGrid w:val="0"/>
        <w:spacing w:line="360" w:lineRule="auto"/>
        <w:ind w:firstLine="422" w:firstLineChars="201"/>
        <w:rPr>
          <w:rFonts w:ascii="宋体" w:hAnsi="宋体"/>
          <w:bCs/>
          <w:snapToGrid w:val="0"/>
          <w:kern w:val="0"/>
          <w:szCs w:val="21"/>
        </w:rPr>
      </w:pPr>
    </w:p>
    <w:p w14:paraId="04DCD1EB">
      <w:pPr>
        <w:spacing w:line="360" w:lineRule="auto"/>
        <w:rPr>
          <w:rFonts w:ascii="宋体" w:hAnsi="宋体"/>
          <w:b/>
          <w:bCs/>
          <w:snapToGrid w:val="0"/>
          <w:kern w:val="0"/>
          <w:sz w:val="24"/>
        </w:rPr>
      </w:pPr>
      <w:r>
        <w:rPr>
          <w:rFonts w:hint="eastAsia" w:ascii="宋体" w:hAnsi="宋体"/>
          <w:b/>
          <w:bCs/>
          <w:snapToGrid w:val="0"/>
          <w:kern w:val="0"/>
          <w:sz w:val="24"/>
        </w:rPr>
        <w:t>二、技术要求</w:t>
      </w:r>
    </w:p>
    <w:p w14:paraId="08B236B9">
      <w:pPr>
        <w:numPr>
          <w:ilvl w:val="255"/>
          <w:numId w:val="0"/>
        </w:numPr>
        <w:spacing w:line="360" w:lineRule="auto"/>
        <w:rPr>
          <w:rFonts w:ascii="宋体" w:hAnsi="宋体"/>
          <w:b/>
          <w:bCs/>
          <w:snapToGrid w:val="0"/>
          <w:kern w:val="0"/>
          <w:sz w:val="24"/>
        </w:rPr>
      </w:pPr>
      <w:r>
        <w:rPr>
          <w:rFonts w:hint="eastAsia" w:ascii="宋体" w:hAnsi="宋体"/>
          <w:b/>
          <w:bCs/>
          <w:snapToGrid w:val="0"/>
          <w:kern w:val="0"/>
          <w:sz w:val="24"/>
        </w:rPr>
        <w:t>1、技术参数要求（A包）</w:t>
      </w:r>
    </w:p>
    <w:p w14:paraId="4FEF9338">
      <w:pPr>
        <w:numPr>
          <w:ilvl w:val="255"/>
          <w:numId w:val="0"/>
        </w:numPr>
        <w:spacing w:line="360" w:lineRule="auto"/>
        <w:ind w:firstLine="482" w:firstLineChars="200"/>
        <w:rPr>
          <w:rFonts w:asciiTheme="minorEastAsia" w:hAnsiTheme="minorEastAsia" w:eastAsiaTheme="minorEastAsia" w:cstheme="minorEastAsia"/>
          <w:b/>
          <w:bCs/>
          <w:szCs w:val="21"/>
        </w:rPr>
      </w:pPr>
      <w:r>
        <w:rPr>
          <w:rFonts w:hint="eastAsia" w:ascii="宋体" w:hAnsi="宋体" w:eastAsiaTheme="minorEastAsia"/>
          <w:b/>
          <w:bCs/>
          <w:snapToGrid w:val="0"/>
          <w:kern w:val="0"/>
          <w:sz w:val="24"/>
        </w:rPr>
        <w:t>说明：</w:t>
      </w:r>
      <w:r>
        <w:rPr>
          <w:rFonts w:hint="eastAsia" w:asciiTheme="minorEastAsia" w:hAnsiTheme="minorEastAsia" w:eastAsiaTheme="minorEastAsia" w:cstheme="minorEastAsia"/>
          <w:b/>
          <w:bCs/>
          <w:szCs w:val="21"/>
        </w:rPr>
        <w:t>涉及区间的参数，产品参数区间包含招标要求视为正偏离，不能全部包含视为负偏离。例：宽度 1.0mm至20mm多级可调（宽度≤1.0mm并≥20mm才为无偏离）。如投标文件响应为0.5</w:t>
      </w:r>
      <w:r>
        <w:rPr>
          <w:rFonts w:hint="eastAsia" w:ascii="宋体" w:hAnsi="宋体" w:cs="宋体"/>
          <w:b/>
          <w:bCs/>
          <w:szCs w:val="21"/>
        </w:rPr>
        <w:t>-21mm</w:t>
      </w:r>
      <w:r>
        <w:rPr>
          <w:rFonts w:hint="eastAsia" w:asciiTheme="minorEastAsia" w:hAnsiTheme="minorEastAsia" w:eastAsiaTheme="minorEastAsia" w:cstheme="minorEastAsia"/>
          <w:b/>
          <w:bCs/>
          <w:szCs w:val="21"/>
        </w:rPr>
        <w:t xml:space="preserve"> 、</w:t>
      </w:r>
      <w:r>
        <w:rPr>
          <w:rFonts w:hint="eastAsia" w:ascii="宋体" w:hAnsi="宋体" w:cs="宋体"/>
          <w:b/>
          <w:bCs/>
          <w:szCs w:val="21"/>
        </w:rPr>
        <w:t>1.0-22mm</w:t>
      </w:r>
      <w:r>
        <w:rPr>
          <w:rFonts w:hint="eastAsia" w:asciiTheme="minorEastAsia" w:hAnsiTheme="minorEastAsia" w:eastAsiaTheme="minorEastAsia" w:cstheme="minorEastAsia"/>
          <w:b/>
          <w:bCs/>
          <w:szCs w:val="21"/>
        </w:rPr>
        <w:t>等情形均视正偏离。如投标文件响应为0.5-18mm等情形均视为负偏离。</w:t>
      </w:r>
    </w:p>
    <w:p w14:paraId="5BB508F6">
      <w:pPr>
        <w:numPr>
          <w:ilvl w:val="255"/>
          <w:numId w:val="0"/>
        </w:numPr>
        <w:spacing w:line="360" w:lineRule="auto"/>
        <w:ind w:firstLine="422" w:firstLineChars="200"/>
        <w:rPr>
          <w:rFonts w:ascii="宋体" w:hAnsi="宋体" w:eastAsiaTheme="minorEastAsia"/>
          <w:b/>
          <w:bCs/>
          <w:snapToGrid w:val="0"/>
          <w:kern w:val="0"/>
          <w:sz w:val="24"/>
        </w:rPr>
      </w:pPr>
      <w:r>
        <w:rPr>
          <w:rFonts w:hint="eastAsia" w:asciiTheme="minorEastAsia" w:hAnsiTheme="minorEastAsia" w:eastAsiaTheme="minorEastAsia" w:cstheme="minorEastAsia"/>
          <w:b/>
          <w:bCs/>
          <w:szCs w:val="21"/>
        </w:rPr>
        <w:t>技术参数为固定值（未带有≤、≥等符号）的，投标人需根据招标文件规定数值进行响应，有不一致的均视为负偏离。</w:t>
      </w:r>
    </w:p>
    <w:tbl>
      <w:tblPr>
        <w:tblStyle w:val="51"/>
        <w:tblW w:w="945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6"/>
        <w:gridCol w:w="1481"/>
        <w:gridCol w:w="7271"/>
      </w:tblGrid>
      <w:tr w14:paraId="5B38B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 w:hRule="atLeast"/>
          <w:tblHeader/>
        </w:trPr>
        <w:tc>
          <w:tcPr>
            <w:tcW w:w="706" w:type="dxa"/>
            <w:tcBorders>
              <w:top w:val="single" w:color="auto" w:sz="4" w:space="0"/>
              <w:left w:val="single" w:color="auto" w:sz="4" w:space="0"/>
              <w:bottom w:val="single" w:color="auto" w:sz="4" w:space="0"/>
              <w:right w:val="single" w:color="auto" w:sz="4" w:space="0"/>
            </w:tcBorders>
            <w:noWrap/>
            <w:vAlign w:val="center"/>
          </w:tcPr>
          <w:p w14:paraId="6E01E38E">
            <w:pPr>
              <w:pStyle w:val="508"/>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481" w:type="dxa"/>
            <w:tcBorders>
              <w:top w:val="single" w:color="auto" w:sz="4" w:space="0"/>
              <w:left w:val="single" w:color="auto" w:sz="4" w:space="0"/>
              <w:bottom w:val="single" w:color="auto" w:sz="4" w:space="0"/>
              <w:right w:val="single" w:color="auto" w:sz="4" w:space="0"/>
            </w:tcBorders>
            <w:noWrap/>
            <w:vAlign w:val="center"/>
          </w:tcPr>
          <w:p w14:paraId="6BEC4F8D">
            <w:pPr>
              <w:pStyle w:val="508"/>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货物名称</w:t>
            </w:r>
          </w:p>
        </w:tc>
        <w:tc>
          <w:tcPr>
            <w:tcW w:w="7271" w:type="dxa"/>
            <w:tcBorders>
              <w:top w:val="single" w:color="auto" w:sz="4" w:space="0"/>
              <w:left w:val="single" w:color="auto" w:sz="4" w:space="0"/>
              <w:bottom w:val="single" w:color="auto" w:sz="4" w:space="0"/>
              <w:right w:val="single" w:color="auto" w:sz="4" w:space="0"/>
            </w:tcBorders>
            <w:noWrap/>
            <w:vAlign w:val="center"/>
          </w:tcPr>
          <w:p w14:paraId="1C023C27">
            <w:pPr>
              <w:pStyle w:val="508"/>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技术参数要求</w:t>
            </w:r>
          </w:p>
        </w:tc>
      </w:tr>
      <w:tr w14:paraId="3EE043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14" w:hRule="atLeast"/>
        </w:trPr>
        <w:tc>
          <w:tcPr>
            <w:tcW w:w="706" w:type="dxa"/>
            <w:tcBorders>
              <w:top w:val="single" w:color="auto" w:sz="4" w:space="0"/>
              <w:left w:val="single" w:color="auto" w:sz="4" w:space="0"/>
              <w:right w:val="single" w:color="auto" w:sz="4" w:space="0"/>
            </w:tcBorders>
            <w:noWrap/>
            <w:vAlign w:val="center"/>
          </w:tcPr>
          <w:p w14:paraId="182E10DD">
            <w:pPr>
              <w:pStyle w:val="508"/>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481" w:type="dxa"/>
            <w:tcBorders>
              <w:top w:val="single" w:color="auto" w:sz="4" w:space="0"/>
              <w:left w:val="single" w:color="auto" w:sz="4" w:space="0"/>
              <w:right w:val="single" w:color="auto" w:sz="4" w:space="0"/>
            </w:tcBorders>
            <w:noWrap/>
            <w:vAlign w:val="center"/>
          </w:tcPr>
          <w:p w14:paraId="6B7FBF8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napToGrid w:val="0"/>
                <w:kern w:val="0"/>
                <w:sz w:val="21"/>
                <w:szCs w:val="21"/>
              </w:rPr>
              <w:t>全身多普勒超声诊断仪</w:t>
            </w:r>
          </w:p>
        </w:tc>
        <w:tc>
          <w:tcPr>
            <w:tcW w:w="7271" w:type="dxa"/>
            <w:tcBorders>
              <w:top w:val="single" w:color="auto" w:sz="4" w:space="0"/>
              <w:left w:val="single" w:color="auto" w:sz="4" w:space="0"/>
              <w:bottom w:val="single" w:color="auto" w:sz="4" w:space="0"/>
              <w:right w:val="single" w:color="auto" w:sz="4" w:space="0"/>
            </w:tcBorders>
            <w:noWrap/>
          </w:tcPr>
          <w:p w14:paraId="5B318D1B">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主要用途：</w:t>
            </w:r>
          </w:p>
          <w:p w14:paraId="20472FA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全身多普勒超声诊断仪器用于腹部、心脏、妇产科检查、血管、小器官、肌肉骨骼、术中、弹性、造影及介入、高端体检等方面的临床诊断工作，主要侧重于心脏血管超声检查，可开展一定科研教学工作。具有弹性成像功能，造影成像及定量功能。具备持续升级能力，可满足临床开展新技术应用的需求。    </w:t>
            </w:r>
          </w:p>
          <w:p w14:paraId="6C6F96DC">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主要技术参数：</w:t>
            </w:r>
          </w:p>
          <w:p w14:paraId="78FA009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主机成像系统性能概括</w:t>
            </w:r>
          </w:p>
          <w:p w14:paraId="39764D6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.1.1 高分辨率液晶显示器≥20英寸</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，可上下左右任意旋转。</w:t>
            </w:r>
          </w:p>
          <w:p w14:paraId="34616D5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bookmarkStart w:id="3" w:name="OLE_LINK1"/>
            <w:r>
              <w:rPr>
                <w:rFonts w:hint="eastAsia" w:asciiTheme="minorEastAsia" w:hAnsiTheme="minorEastAsia" w:eastAsiaTheme="minorEastAsia" w:cstheme="minorEastAsia"/>
                <w:sz w:val="21"/>
                <w:szCs w:val="21"/>
              </w:rPr>
              <w:t>▲</w:t>
            </w:r>
            <w:bookmarkEnd w:id="3"/>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操作面板具备液晶触摸屏：≥12英寸，可备有抽拉式键盘。触摸屏可以与主显示器实时同步显示动态图像</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w:t>
            </w:r>
          </w:p>
          <w:p w14:paraId="10930E5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.1.3触摸屏可支持数字TGC功能，滑动调节时间增益曲线，并可保存为常用预设置。</w:t>
            </w:r>
          </w:p>
          <w:p w14:paraId="2A3D31A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▲2.1.4 操作面板支持电动调节高度、前后左右位置及旋转，最大旋转角度&gt;540度，可满足不同体位检查的需要</w:t>
            </w:r>
            <w:r>
              <w:rPr>
                <w:rFonts w:hint="eastAsia" w:asciiTheme="minorEastAsia" w:hAnsiTheme="minorEastAsia" w:eastAsiaTheme="minorEastAsia" w:cstheme="minorEastAsia"/>
                <w:b/>
                <w:bCs/>
                <w:sz w:val="21"/>
                <w:szCs w:val="21"/>
              </w:rPr>
              <w:t>（提供《医疗器械产品注册证》附件《产品技术要求》关键页或产品彩页或技术白皮书作为证明材料并加盖厂家公章）。</w:t>
            </w:r>
          </w:p>
          <w:p w14:paraId="410C4AE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.1.5原始数据储存，可对回放的常规图像进行多种参数调节。</w:t>
            </w:r>
          </w:p>
          <w:p w14:paraId="1C3F842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.1.6具有智能全域聚焦技术，图像区域无聚焦点或聚焦带。</w:t>
            </w:r>
          </w:p>
          <w:p w14:paraId="0D76184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.1.7具有智能像素优化技术：提高图像整体空间分辨率、对比分辨率和信噪比。</w:t>
            </w:r>
          </w:p>
          <w:p w14:paraId="0915BD5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.1.8具有数字化二维灰阶成像及 M 型显像单元；具有M 型及解剖 M 型技术。</w:t>
            </w:r>
          </w:p>
          <w:p w14:paraId="1DFD1D2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.1.9具有脉冲反向谐波成像技术。</w:t>
            </w:r>
          </w:p>
          <w:p w14:paraId="36AFE2C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.1.10具有彩色多普勒成像技术。</w:t>
            </w:r>
          </w:p>
          <w:p w14:paraId="722DE51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.1.11具有彩色多普勒能量图、方向性能量图技术。</w:t>
            </w:r>
          </w:p>
          <w:p w14:paraId="59F78D9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.1.12具有实时动态频谱多普勒显示及多参数分析系统。</w:t>
            </w:r>
          </w:p>
          <w:p w14:paraId="572DBEC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.1.13具有组织多普勒成像技术。</w:t>
            </w:r>
          </w:p>
          <w:p w14:paraId="0088C47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.1.14具有实时双同步/三同步功能。</w:t>
            </w:r>
          </w:p>
          <w:p w14:paraId="142653E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.1.15具有预设条件：针对不同的检查脏器，预置最佳化图像的检查条件，减少操作时的调节，及常用所需的外部调节及组合调节。每个探头可提供预设置≥20 个。</w:t>
            </w:r>
          </w:p>
          <w:p w14:paraId="1CB4F80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二维灰阶成像单元</w:t>
            </w:r>
          </w:p>
          <w:p w14:paraId="122B889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.2.1所有探头均为宽频、变频探头，基波频率、基波的具体数值可在屏幕上显示。</w:t>
            </w:r>
          </w:p>
          <w:p w14:paraId="656F0F4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.2.2具有斑点噪声抑制技术：支持所有二维探头，多级可调。</w:t>
            </w:r>
          </w:p>
          <w:p w14:paraId="3DBA12B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.2.3具有实时空间复合成像技术；支持所有凸阵、线阵探头。</w:t>
            </w:r>
          </w:p>
          <w:p w14:paraId="239C3E3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.2.4组织声束矫正技术适用于所有凸阵及线阵探头。</w:t>
            </w:r>
          </w:p>
          <w:p w14:paraId="0797B3C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.2.5扫描速率: 相控阵，帧速率≥100 帧/秒；线阵，帧速率≥63 帧/秒。</w:t>
            </w:r>
          </w:p>
          <w:p w14:paraId="25D7948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.2.6具有高级心肌增强功能，使用自适应算法抑制组织杂波，减少噪声及超声伪像；增加心肌和其他心脏结构信号。</w:t>
            </w:r>
          </w:p>
          <w:p w14:paraId="4A363DD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.2.7具备专业心超工作者定制界面，支持 2D、3D 功能选件位置个性化选择，提高心超医生易用性。</w:t>
            </w:r>
          </w:p>
          <w:p w14:paraId="46306DE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.2.8分辨率和帧频可视可调，且支持凸阵、线阵、相控阵、矩阵实时三维探头。</w:t>
            </w:r>
          </w:p>
          <w:p w14:paraId="24CC630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.2.9自动实时持续增益补偿。</w:t>
            </w:r>
          </w:p>
          <w:p w14:paraId="65A4C8F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.2.10具备双幅对比显示，可自动识别收缩期及舒张期，便捷Simpson测量。</w:t>
            </w:r>
          </w:p>
          <w:p w14:paraId="43A905C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先进成像技术</w:t>
            </w:r>
          </w:p>
          <w:p w14:paraId="5811CE6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▲2.3.1 具有单晶体探头技术，支持成人经胸电子矩阵实时三维探头、腹部凸阵探头、腹部微凸阵探头、腔内微凸阵探头、线阵探头、成人相控阵探头等</w:t>
            </w:r>
            <w:r>
              <w:rPr>
                <w:rFonts w:hint="eastAsia" w:asciiTheme="minorEastAsia" w:hAnsiTheme="minorEastAsia" w:eastAsiaTheme="minorEastAsia" w:cstheme="minorEastAsia"/>
                <w:b/>
                <w:bCs/>
                <w:sz w:val="21"/>
                <w:szCs w:val="21"/>
              </w:rPr>
              <w:t>（提供《医疗器械产品注册证》附件《产品技术要求》关键页或产品彩页或技术白皮书作为证明材料并加盖厂家公章）。</w:t>
            </w:r>
          </w:p>
          <w:p w14:paraId="388F6B3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.3.2具有二维彩色模式、实时三维彩色模式、能量图模式、微视血流成像模式、彩色 M 型模式、组织多普勒模式等多种成像模式。</w:t>
            </w:r>
          </w:p>
          <w:p w14:paraId="549BB49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.3.3具备脉冲反相谐波技术；可显示谐波频率和基波频率。</w:t>
            </w:r>
          </w:p>
          <w:p w14:paraId="246BD50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.3.4提供 PW、CW、High PRF 模式，高性能三同步成像。</w:t>
            </w:r>
          </w:p>
          <w:p w14:paraId="7EFE45D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.3.5扩展成像技术：凸阵、线阵探头具备扩展成像技术，可与空间复合成像，斑点噪声抑制技术联合使用。</w:t>
            </w:r>
          </w:p>
          <w:p w14:paraId="59275D2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.3.6具备自适应核磁像素优化技术。</w:t>
            </w:r>
          </w:p>
          <w:p w14:paraId="4151A32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.3.7智能多普勒技术：具有频谱自动分析系统，包括实时自动包络、手动包络等；自动计算各血流动力学参数，参数可根据客户需要进行选择。</w:t>
            </w:r>
          </w:p>
          <w:p w14:paraId="0844AF4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lang w:val="en-US" w:eastAsia="zh-CN"/>
              </w:rPr>
              <w:t>▲2.3.8提供基于组织多普勒的定量分析，可同时显示 32个亚节段的心肌速度曲线、位移曲线、应变及应变率曲线，可用于整体及节段功能评价</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p>
          <w:p w14:paraId="6FB4314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剪切波弹性成像技术</w:t>
            </w:r>
          </w:p>
          <w:p w14:paraId="75DAA5A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.4.1应变式弹性成像，指导医生操作。</w:t>
            </w:r>
          </w:p>
          <w:p w14:paraId="0146046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.4.2可支持凸阵、线阵、腔内探头等，拓展临床应用。</w:t>
            </w:r>
          </w:p>
          <w:p w14:paraId="6623966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.4.3实时软组织弹性成像技术，无需人工加压，具有灰阶，反转及彩色多普勒多种显像方式。</w:t>
            </w:r>
          </w:p>
          <w:p w14:paraId="4C9BF26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.4.4具备囊实性结构鉴别弹性成像技术。</w:t>
            </w:r>
          </w:p>
          <w:p w14:paraId="1FABD46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.4.5</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具有在机实时弹性定量分析技术，可对弹性图像进行直径面积对比分析、动态弹性应变分析、动态弹性参数成像</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w:t>
            </w:r>
          </w:p>
          <w:p w14:paraId="5BB375D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.4.6针对困难病人可有技术提高困难病人检查成功机率。</w:t>
            </w:r>
          </w:p>
          <w:p w14:paraId="269F5B9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造影成像技术</w:t>
            </w:r>
          </w:p>
          <w:p w14:paraId="19CE25C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.5.1造影技术支持凸阵、线阵、腔内探头、相控阵,可满足临床对腹部、妇产、浅表、乳腺、血管、心室腔、腔内的前列腺、经阴道妇科的需求。</w:t>
            </w:r>
          </w:p>
          <w:p w14:paraId="6D49EC2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.5.2 可与复合成像技术、像素优化技术结合使用。</w:t>
            </w:r>
          </w:p>
          <w:p w14:paraId="29B0D44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.5.3造影剂二次谐波成像单元,包含低MI实时灌注成像和高MI造影成像，采用脉冲反相谐波技术、能量调制技术以及多脉冲序列谐波造影技术。</w:t>
            </w:r>
          </w:p>
          <w:p w14:paraId="75FA724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.5.4在机造影时间强度曲线定量分析。</w:t>
            </w:r>
          </w:p>
          <w:p w14:paraId="101D079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定量分析技术。</w:t>
            </w:r>
          </w:p>
          <w:p w14:paraId="6514C82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.6.1专业心脏功能测量与分析，可支持 Simpson 三点法快速描记心内膜，加快工作流程。</w:t>
            </w:r>
          </w:p>
          <w:p w14:paraId="68E80A1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.6.2具有自动、实时多普勒频谱波形分析，在实时或者冻结模式下都可以使用的功能。</w:t>
            </w:r>
          </w:p>
          <w:p w14:paraId="4378287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.6.3≥10个用户自定义的感兴趣定量区域。</w:t>
            </w:r>
          </w:p>
          <w:p w14:paraId="09E079E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.6.4自动标记 ECG 触发，以实现特定心动周期时相的定量分析。</w:t>
            </w:r>
          </w:p>
          <w:p w14:paraId="716810A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.6.5生成时间－密度曲线，支持多种曲线拟合模式。</w:t>
            </w:r>
          </w:p>
          <w:p w14:paraId="4899081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.6.6分析结果包括每一帧图像的dB数值、密度或速度/频率、达峰时间、“A”值，曲线下面积和峰值密度。</w:t>
            </w:r>
          </w:p>
          <w:p w14:paraId="5D7E50C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.6.7可显示组织速度、位移、应变、应变率等多种参数曲线，并支持曲线测量对比分析。</w:t>
            </w:r>
          </w:p>
          <w:p w14:paraId="0F1D068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.6.8自动二维左心功能定量依据选择的心脏切面自动描记感兴趣区，自动计算 EF，ESV，EDV，最大体积，最小体积以及 LVEF、PER、PRFR、AFF。</w:t>
            </w:r>
          </w:p>
          <w:p w14:paraId="01970AC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.6.9心脏自动应变定量技术：智能化自动应变分析模块。</w:t>
            </w:r>
          </w:p>
          <w:p w14:paraId="085FDFE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.6.10连接ECG和未连接ECG信号的超声图像均可在机分析。</w:t>
            </w:r>
          </w:p>
          <w:p w14:paraId="33C360C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.6.11全自动识别左心室切面并追踪，快速获得左心室整体应变值、左心室长径值、左心室 18 节段应变牛眼图和达峰时间牛眼图。</w:t>
            </w:r>
          </w:p>
          <w:p w14:paraId="19E47A4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.6.12全自动识别追踪左心房切面，快速获取左心房储备功能、管道功能、收缩功能应变值及曲线，并同时提供 ED、PreA 两种参考时间点左心房应变值</w:t>
            </w:r>
          </w:p>
          <w:p w14:paraId="576F9B3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.6.13全自动识别追踪右心室切面，快速获取右心室四腔和游离壁整体应变值，同时得到右心室游离壁三个节段应变曲线。</w:t>
            </w:r>
          </w:p>
          <w:p w14:paraId="55DBE81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.6.14支持心肌组织多普勒定量分析：能显示组织速度曲线就组织运动的同步性、舒张功能、收缩功能等进行多参数研究。</w:t>
            </w:r>
          </w:p>
          <w:p w14:paraId="2D47587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测量和分析（B型、M型、频谱多普勒、彩色模式）</w:t>
            </w:r>
          </w:p>
          <w:p w14:paraId="3750E99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.7.1一般测量：包括距离、面积、周长等。</w:t>
            </w:r>
          </w:p>
          <w:p w14:paraId="0A8A853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.7.2妇产科测量：包括全面的产科径线测量、NT测量、胎儿孕龄及生长曲线、羊水指数等。</w:t>
            </w:r>
          </w:p>
          <w:p w14:paraId="6BEFBF7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.7.3心脏功能测量：包括EF值，心脏各腔室大小，心肌内壁厚度等指标。</w:t>
            </w:r>
          </w:p>
          <w:p w14:paraId="0B76797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.7.4多普勒血流测量与分析：包括血管收缩峰值流速、舒张末期流速、平均流速以及阻力指数。</w:t>
            </w:r>
          </w:p>
          <w:p w14:paraId="6FE4386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.7.5外周血管测量与分析：包括颈部血管、四肢动脉与四肢静脉的检查、血管解剖结构切面图像测量。</w:t>
            </w:r>
          </w:p>
          <w:p w14:paraId="324CE71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.7.6血管中内膜厚度自动测量：对感兴趣区域内自动测量，无需手动描计，计算结果为一段距离内（≥8mm）的平均值，可根据血管内中膜厚度不同进行优化设置。</w:t>
            </w:r>
          </w:p>
          <w:p w14:paraId="36EAEFC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.7.7多普勒血流测量与分析：包括实时自动包络、手动包络等；自动计算各血流动力学参数，参数可根据客户需要进行选择。</w:t>
            </w:r>
          </w:p>
          <w:p w14:paraId="461DCC9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图像存储与（电影）回放重现单元</w:t>
            </w:r>
          </w:p>
          <w:p w14:paraId="29F06CC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.8.1输入/输出信号：包括HDMI、USB等。</w:t>
            </w:r>
          </w:p>
          <w:p w14:paraId="0644EA0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.8.2连通性：医学数字图像和通信DICOM3.0接口。并承担与医院系统的对接费用。</w:t>
            </w:r>
          </w:p>
          <w:p w14:paraId="2C1D537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.8.3超声图像存档与病案管理系统</w:t>
            </w:r>
            <w:bookmarkStart w:id="4" w:name="OLE_LINK2"/>
            <w:r>
              <w:rPr>
                <w:rFonts w:hint="eastAsia" w:asciiTheme="minorEastAsia" w:hAnsiTheme="minorEastAsia" w:eastAsiaTheme="minorEastAsia" w:cstheme="minorEastAsia"/>
                <w:sz w:val="21"/>
                <w:szCs w:val="21"/>
              </w:rPr>
              <w:t>。</w:t>
            </w:r>
            <w:bookmarkEnd w:id="4"/>
          </w:p>
          <w:p w14:paraId="1E54632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.8.4主机存储容量≥1000GB。</w:t>
            </w:r>
          </w:p>
          <w:p w14:paraId="0EB1E59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.8.5可根据检查要求对工作站参数（存储、压缩、回放）进行编程调节。</w:t>
            </w:r>
          </w:p>
          <w:p w14:paraId="0B5CF3F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.8.6超声图像静态、动态存储，原始数据回放重现。</w:t>
            </w:r>
          </w:p>
          <w:p w14:paraId="2A97A24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.8.7内置一体化超声工作站：数字化储存静态及动态图像，动态图像及静态图像以AVI、BMP或JPEG等PC通用格式直接储存。</w:t>
            </w:r>
          </w:p>
          <w:p w14:paraId="6BE1BD8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.8.8回放重现：灰阶图像回放≥3000幅、回放时间≥100秒。</w:t>
            </w:r>
          </w:p>
          <w:p w14:paraId="689D6D7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系统通用功能要求</w:t>
            </w:r>
          </w:p>
          <w:p w14:paraId="5F52BAB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.9.1显示器≥20英寸。</w:t>
            </w:r>
          </w:p>
          <w:p w14:paraId="2BBD1FA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.9.2扫描方式：逐行扫描，高分辨率，全方位关节臂旋转。</w:t>
            </w:r>
          </w:p>
          <w:p w14:paraId="02E254D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.9.3动态范围≥</w:t>
            </w: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20DB。</w:t>
            </w:r>
          </w:p>
          <w:p w14:paraId="35002DF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.9.4具有超高数字化通道，支持集束精准发射及海量并行处理同步进行多个声束的形成、采集和处理。</w:t>
            </w:r>
          </w:p>
          <w:p w14:paraId="461AED9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.9.5二维灰阶成像≥256 灰阶。</w:t>
            </w:r>
          </w:p>
          <w:p w14:paraId="37E4A95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.9.6</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增益调节：TGC增益补偿≥8 段；LGC增益补偿≥2段</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w:t>
            </w:r>
          </w:p>
          <w:p w14:paraId="200EBF9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.9.7取样宽度及位置范围：宽度 1.0mm至20mm多级可调（宽度≤1.0mm并≥20mm才为无偏离）。</w:t>
            </w:r>
          </w:p>
          <w:p w14:paraId="7289C9A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.9.8显示位置调整: 感兴趣的图像范围至少包含:-20°-+20°。</w:t>
            </w:r>
          </w:p>
          <w:p w14:paraId="3AE301D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.9.9相控阵探头扇扫角度≥100 度。</w:t>
            </w:r>
          </w:p>
          <w:p w14:paraId="5B7C2E7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.9.10显示控制:零位移动分+15 级,黑/白与彩色比较,彩色对比。</w:t>
            </w:r>
          </w:p>
          <w:p w14:paraId="224FB70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.9.11电影回放:≥2000 帧。</w:t>
            </w:r>
          </w:p>
          <w:p w14:paraId="1DDA4D9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.9.12零位移动:≥6 级。</w:t>
            </w:r>
          </w:p>
          <w:p w14:paraId="64B960B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.9.13穿刺引导功能：支持相控阵、凸阵、线阵探头穿刺引导功能。</w:t>
            </w:r>
          </w:p>
          <w:p w14:paraId="59AEA57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.9.14超声功率输出调节：B/M、PWD、Color Doppler输出功率分级可调。</w:t>
            </w:r>
          </w:p>
          <w:p w14:paraId="77E6409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.9.15频谱多普勒：包括脉冲多普勒 (PWD)、 高脉冲重复频率 (HPRF)、连续波多普勒（CW）。</w:t>
            </w:r>
          </w:p>
          <w:p w14:paraId="38C7325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3.9.16最大测量速度：</w:t>
            </w:r>
          </w:p>
          <w:p w14:paraId="76C8822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PW, 血流速度≥8.0m/s；</w:t>
            </w:r>
          </w:p>
          <w:p w14:paraId="68AF2BF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 血流速度≥20.0m/s。</w:t>
            </w:r>
          </w:p>
          <w:p w14:paraId="4B1DE6E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.9.17最低平均血流显示速度≤1mm/s（非噪声信号）。</w:t>
            </w:r>
          </w:p>
          <w:p w14:paraId="1EDCB59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.9.18具备高帧频彩色和脉冲波组织多普勒成像。</w:t>
            </w:r>
          </w:p>
          <w:p w14:paraId="61361F5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.9.19一键自动优化多普勒频谱，自动调整基线及量程等参数。</w:t>
            </w:r>
          </w:p>
          <w:p w14:paraId="71DB564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.9.20解剖M型技术,可360度任意旋转M型取样线角度方便准确的进行测量。</w:t>
            </w:r>
          </w:p>
          <w:p w14:paraId="54AAC73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.9.21通用成像探头接口≥4个，均为微型无针式接口，≥4个接口通用，可同时支持矩阵实时三维探头并可任意互换。</w:t>
            </w:r>
          </w:p>
          <w:p w14:paraId="77EEC1B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.9.22探头频率:超宽频变频探头，探头频率至少包含 1 MHz到 22 MHz</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w:t>
            </w:r>
          </w:p>
          <w:p w14:paraId="0014C9C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.9.23</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所配探头具备单晶体探头技术≥3</w:t>
            </w:r>
            <w:r>
              <w:rPr>
                <w:rFonts w:hint="eastAsia" w:asciiTheme="minorEastAsia" w:hAnsiTheme="minorEastAsia" w:eastAsiaTheme="minorEastAsia" w:cstheme="minorEastAsia"/>
                <w:b w:val="0"/>
                <w:bCs w:val="0"/>
                <w:sz w:val="21"/>
                <w:szCs w:val="21"/>
              </w:rPr>
              <w:t>把。</w:t>
            </w:r>
          </w:p>
          <w:p w14:paraId="68A7E8C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val="0"/>
                <w:bCs w:val="0"/>
                <w:sz w:val="21"/>
                <w:szCs w:val="21"/>
                <w:lang w:eastAsia="zh-CN"/>
              </w:rPr>
              <w:t>2.9.24 电子矩阵实时三维探头技术：支持单晶体探头技术，支持成人经食道</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b/>
                <w:bCs/>
                <w:sz w:val="21"/>
                <w:szCs w:val="21"/>
                <w:lang w:eastAsia="zh-CN"/>
              </w:rPr>
              <w:t>。</w:t>
            </w:r>
          </w:p>
          <w:p w14:paraId="7561D2B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.9.25矩阵探头均采用单晶体材质，支持单晶体矩阵实时三维探头≥1 支。</w:t>
            </w:r>
          </w:p>
          <w:p w14:paraId="2BCB9DB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.9.26腹部凸阵探头频率范围：1.0-</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.0MHz。</w:t>
            </w:r>
          </w:p>
          <w:p w14:paraId="63F5FE3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.9.27高频血管线阵探头频率范围：3.0-12.0MHz。</w:t>
            </w:r>
          </w:p>
          <w:p w14:paraId="241A301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.9.28高频小器官线阵探头频率范围：5.0-12.0MHz。</w:t>
            </w:r>
          </w:p>
          <w:p w14:paraId="7698E61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.9.29心脏相控阵探头频率范围：1.0-5.0MHz</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w:t>
            </w:r>
          </w:p>
          <w:p w14:paraId="295C306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.9.30腔内（阴道）探头频率范围：4.0-10.0MHz。</w:t>
            </w:r>
          </w:p>
          <w:p w14:paraId="7CDC262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▲2.9.31电子矩阵腹部实时三维探头频率范围：1.0-6.0MHz</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w:t>
            </w:r>
          </w:p>
          <w:p w14:paraId="3C96C5E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▲2.9.32电子矩阵心脏实时三维探头频率范围：1.0-5.0MHz</w:t>
            </w:r>
            <w:r>
              <w:rPr>
                <w:rFonts w:hint="eastAsia" w:asciiTheme="minorEastAsia" w:hAnsiTheme="minorEastAsia" w:eastAsiaTheme="minorEastAsia" w:cstheme="minorEastAsia"/>
                <w:b/>
                <w:bCs/>
                <w:sz w:val="21"/>
                <w:szCs w:val="21"/>
                <w:lang w:val="en-US" w:eastAsia="zh-CN"/>
              </w:rPr>
              <w:t>提供《医疗器械产品注册证》附件《产品技术要求》关键页或产品彩页或技术白皮书作为证明材料并加盖厂家公章）</w:t>
            </w:r>
            <w:r>
              <w:rPr>
                <w:rFonts w:hint="eastAsia" w:asciiTheme="minorEastAsia" w:hAnsiTheme="minorEastAsia" w:eastAsiaTheme="minorEastAsia" w:cstheme="minorEastAsia"/>
                <w:sz w:val="21"/>
                <w:szCs w:val="21"/>
              </w:rPr>
              <w:t>。</w:t>
            </w:r>
          </w:p>
          <w:p w14:paraId="197D5DE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eastAsiaTheme="minorEastAsia" w:cstheme="minorEastAsia"/>
                <w:sz w:val="21"/>
                <w:szCs w:val="21"/>
              </w:rPr>
              <w:t>.9.3</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要求配备最齐全最新软件版本，质保期内升级至该机型的最新版本（不额外收费）。</w:t>
            </w:r>
          </w:p>
          <w:p w14:paraId="56ADB03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b/>
                <w:bCs/>
                <w:sz w:val="21"/>
                <w:szCs w:val="21"/>
                <w:highlight w:val="yellow"/>
              </w:rPr>
              <w:t>★</w:t>
            </w:r>
            <w:r>
              <w:rPr>
                <w:rFonts w:hint="eastAsia" w:asciiTheme="minorEastAsia" w:hAnsiTheme="minorEastAsia" w:eastAsiaTheme="minorEastAsia" w:cstheme="minorEastAsia"/>
                <w:sz w:val="21"/>
                <w:szCs w:val="21"/>
                <w:highlight w:val="yellow"/>
                <w:lang w:val="en-US" w:eastAsia="zh-CN"/>
              </w:rPr>
              <w:t>3</w:t>
            </w:r>
            <w:r>
              <w:rPr>
                <w:rFonts w:hint="eastAsia" w:asciiTheme="minorEastAsia" w:hAnsiTheme="minorEastAsia" w:eastAsiaTheme="minorEastAsia" w:cstheme="minorEastAsia"/>
                <w:sz w:val="21"/>
                <w:szCs w:val="21"/>
                <w:highlight w:val="yellow"/>
              </w:rPr>
              <w:t>、总配置清单</w:t>
            </w:r>
          </w:p>
          <w:p w14:paraId="6E2B4AF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.1</w:t>
            </w:r>
            <w:r>
              <w:rPr>
                <w:rFonts w:hint="eastAsia" w:asciiTheme="minorEastAsia" w:hAnsiTheme="minorEastAsia" w:eastAsiaTheme="minorEastAsia" w:cstheme="minorEastAsia"/>
                <w:sz w:val="21"/>
                <w:szCs w:val="21"/>
                <w:highlight w:val="yellow"/>
              </w:rPr>
              <w:tab/>
            </w:r>
            <w:r>
              <w:rPr>
                <w:rFonts w:hint="eastAsia" w:asciiTheme="minorEastAsia" w:hAnsiTheme="minorEastAsia" w:eastAsiaTheme="minorEastAsia" w:cstheme="minorEastAsia"/>
                <w:sz w:val="21"/>
                <w:szCs w:val="21"/>
                <w:highlight w:val="yellow"/>
              </w:rPr>
              <w:t>全身彩色多普勒超声波诊断仪主机3台</w:t>
            </w:r>
          </w:p>
          <w:p w14:paraId="3E22F43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.2</w:t>
            </w:r>
            <w:r>
              <w:rPr>
                <w:rFonts w:hint="eastAsia" w:asciiTheme="minorEastAsia" w:hAnsiTheme="minorEastAsia" w:eastAsiaTheme="minorEastAsia" w:cstheme="minorEastAsia"/>
                <w:sz w:val="21"/>
                <w:szCs w:val="21"/>
                <w:highlight w:val="yellow"/>
              </w:rPr>
              <w:tab/>
            </w:r>
            <w:r>
              <w:rPr>
                <w:rFonts w:hint="eastAsia" w:asciiTheme="minorEastAsia" w:hAnsiTheme="minorEastAsia" w:eastAsiaTheme="minorEastAsia" w:cstheme="minorEastAsia"/>
                <w:sz w:val="21"/>
                <w:szCs w:val="21"/>
                <w:highlight w:val="yellow"/>
              </w:rPr>
              <w:t>适配探头18把</w:t>
            </w:r>
          </w:p>
          <w:p w14:paraId="65851CB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.2.1腹部凸阵探头3把</w:t>
            </w:r>
          </w:p>
          <w:p w14:paraId="430B9BE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 xml:space="preserve">.2.2高频血管线阵探头3把    </w:t>
            </w:r>
          </w:p>
          <w:p w14:paraId="1EFF777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.2.3 高频小器官线阵探头3把</w:t>
            </w:r>
          </w:p>
          <w:p w14:paraId="63731B2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.2.4 心脏相控阵探头3把</w:t>
            </w:r>
          </w:p>
          <w:p w14:paraId="26300F7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.2.5 腔内探头3把</w:t>
            </w:r>
          </w:p>
          <w:p w14:paraId="63EA3DA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.2.6 腹部容积探头1把</w:t>
            </w:r>
          </w:p>
          <w:p w14:paraId="75165B3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.2.7心脏容积探头2把</w:t>
            </w:r>
          </w:p>
          <w:p w14:paraId="1B25E32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.3 超声诊断工作站3套</w:t>
            </w:r>
          </w:p>
          <w:p w14:paraId="6330807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yellow"/>
                <w:lang w:eastAsia="zh-CN"/>
              </w:rPr>
              <w:t>3</w:t>
            </w:r>
            <w:r>
              <w:rPr>
                <w:rFonts w:hint="eastAsia" w:asciiTheme="minorEastAsia" w:hAnsiTheme="minorEastAsia" w:eastAsiaTheme="minorEastAsia" w:cstheme="minorEastAsia"/>
                <w:sz w:val="21"/>
                <w:szCs w:val="21"/>
                <w:highlight w:val="yellow"/>
              </w:rPr>
              <w:t>.4</w:t>
            </w:r>
            <w:r>
              <w:rPr>
                <w:rFonts w:hint="eastAsia" w:asciiTheme="minorEastAsia" w:hAnsiTheme="minorEastAsia" w:eastAsiaTheme="minorEastAsia" w:cstheme="minorEastAsia"/>
                <w:sz w:val="21"/>
                <w:szCs w:val="21"/>
                <w:highlight w:val="yellow"/>
              </w:rPr>
              <w:tab/>
            </w:r>
            <w:r>
              <w:rPr>
                <w:rFonts w:hint="eastAsia" w:asciiTheme="minorEastAsia" w:hAnsiTheme="minorEastAsia" w:eastAsiaTheme="minorEastAsia" w:cstheme="minorEastAsia"/>
                <w:sz w:val="21"/>
                <w:szCs w:val="21"/>
                <w:highlight w:val="yellow"/>
              </w:rPr>
              <w:t>配套超声检查椅及超声检查床3套</w:t>
            </w:r>
          </w:p>
        </w:tc>
      </w:tr>
    </w:tbl>
    <w:p w14:paraId="74712B5F">
      <w:pPr>
        <w:spacing w:line="360" w:lineRule="auto"/>
        <w:rPr>
          <w:rFonts w:ascii="宋体" w:hAnsi="宋体"/>
          <w:b/>
          <w:bCs/>
          <w:snapToGrid w:val="0"/>
          <w:kern w:val="0"/>
          <w:sz w:val="24"/>
        </w:rPr>
      </w:pPr>
    </w:p>
    <w:p w14:paraId="31E13779">
      <w:pPr>
        <w:numPr>
          <w:ilvl w:val="255"/>
          <w:numId w:val="0"/>
        </w:numPr>
        <w:spacing w:line="360" w:lineRule="auto"/>
        <w:ind w:firstLine="482" w:firstLineChars="200"/>
        <w:rPr>
          <w:rFonts w:ascii="宋体" w:hAnsi="宋体"/>
          <w:b/>
          <w:bCs/>
          <w:snapToGrid w:val="0"/>
          <w:kern w:val="0"/>
          <w:sz w:val="24"/>
        </w:rPr>
      </w:pPr>
      <w:r>
        <w:rPr>
          <w:rFonts w:hint="eastAsia" w:ascii="宋体" w:hAnsi="宋体"/>
          <w:b/>
          <w:bCs/>
          <w:snapToGrid w:val="0"/>
          <w:kern w:val="0"/>
          <w:sz w:val="24"/>
        </w:rPr>
        <w:t>2、技术参数要求（B包）</w:t>
      </w:r>
    </w:p>
    <w:p w14:paraId="59618135">
      <w:pPr>
        <w:numPr>
          <w:ilvl w:val="255"/>
          <w:numId w:val="0"/>
        </w:numPr>
        <w:spacing w:line="360" w:lineRule="auto"/>
        <w:ind w:firstLine="482" w:firstLineChars="200"/>
        <w:rPr>
          <w:rFonts w:asciiTheme="minorEastAsia" w:hAnsiTheme="minorEastAsia" w:eastAsiaTheme="minorEastAsia" w:cstheme="minorEastAsia"/>
          <w:b/>
          <w:bCs/>
          <w:szCs w:val="21"/>
        </w:rPr>
      </w:pPr>
      <w:r>
        <w:rPr>
          <w:rFonts w:hint="eastAsia" w:ascii="宋体" w:hAnsi="宋体" w:eastAsiaTheme="minorEastAsia"/>
          <w:b/>
          <w:bCs/>
          <w:snapToGrid w:val="0"/>
          <w:kern w:val="0"/>
          <w:sz w:val="24"/>
        </w:rPr>
        <w:t>说明：</w:t>
      </w:r>
      <w:r>
        <w:rPr>
          <w:rFonts w:hint="eastAsia" w:asciiTheme="minorEastAsia" w:hAnsiTheme="minorEastAsia" w:eastAsiaTheme="minorEastAsia" w:cstheme="minorEastAsia"/>
          <w:b/>
          <w:bCs/>
          <w:szCs w:val="21"/>
        </w:rPr>
        <w:t>涉及区间的参数，产品参数区间包含招标要求视为正偏离，不能全部包含视为负偏离。例：宽度 1.0mm至20mm多级可调（宽度≤1.0mm并≥20mm才为无偏离）。如投标文件响应为0.5</w:t>
      </w:r>
      <w:r>
        <w:rPr>
          <w:rFonts w:hint="eastAsia" w:ascii="宋体" w:hAnsi="宋体" w:cs="宋体"/>
          <w:b/>
          <w:bCs/>
          <w:szCs w:val="21"/>
        </w:rPr>
        <w:t>-21mm</w:t>
      </w:r>
      <w:r>
        <w:rPr>
          <w:rFonts w:hint="eastAsia" w:asciiTheme="minorEastAsia" w:hAnsiTheme="minorEastAsia" w:eastAsiaTheme="minorEastAsia" w:cstheme="minorEastAsia"/>
          <w:b/>
          <w:bCs/>
          <w:szCs w:val="21"/>
        </w:rPr>
        <w:t xml:space="preserve"> 、</w:t>
      </w:r>
      <w:r>
        <w:rPr>
          <w:rFonts w:hint="eastAsia" w:ascii="宋体" w:hAnsi="宋体" w:cs="宋体"/>
          <w:b/>
          <w:bCs/>
          <w:szCs w:val="21"/>
        </w:rPr>
        <w:t>1.0-22mm</w:t>
      </w:r>
      <w:r>
        <w:rPr>
          <w:rFonts w:hint="eastAsia" w:asciiTheme="minorEastAsia" w:hAnsiTheme="minorEastAsia" w:eastAsiaTheme="minorEastAsia" w:cstheme="minorEastAsia"/>
          <w:b/>
          <w:bCs/>
          <w:szCs w:val="21"/>
        </w:rPr>
        <w:t>等情形均视正偏离。如投标文件响应为0.5-18mm等情形均视负偏离。</w:t>
      </w:r>
    </w:p>
    <w:p w14:paraId="23E57188">
      <w:pPr>
        <w:numPr>
          <w:ilvl w:val="255"/>
          <w:numId w:val="0"/>
        </w:numPr>
        <w:spacing w:line="360" w:lineRule="auto"/>
        <w:ind w:firstLine="422" w:firstLineChars="200"/>
        <w:rPr>
          <w:rFonts w:ascii="宋体" w:hAnsi="宋体" w:eastAsiaTheme="minorEastAsia"/>
          <w:b/>
          <w:bCs/>
          <w:snapToGrid w:val="0"/>
          <w:kern w:val="0"/>
          <w:sz w:val="24"/>
        </w:rPr>
      </w:pPr>
      <w:r>
        <w:rPr>
          <w:rFonts w:hint="eastAsia" w:asciiTheme="minorEastAsia" w:hAnsiTheme="minorEastAsia" w:eastAsiaTheme="minorEastAsia" w:cstheme="minorEastAsia"/>
          <w:b/>
          <w:bCs/>
          <w:szCs w:val="21"/>
        </w:rPr>
        <w:t>技术参数为固定值（未带有≤、≥等符号）的，投标人需根据招标文件规定数值进行响应，有不一致的均视为负偏离。</w:t>
      </w:r>
    </w:p>
    <w:tbl>
      <w:tblPr>
        <w:tblStyle w:val="51"/>
        <w:tblW w:w="9635"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509"/>
        <w:gridCol w:w="7406"/>
      </w:tblGrid>
      <w:tr w14:paraId="78E6F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blHeader/>
        </w:trPr>
        <w:tc>
          <w:tcPr>
            <w:tcW w:w="720" w:type="dxa"/>
            <w:tcBorders>
              <w:top w:val="single" w:color="auto" w:sz="4" w:space="0"/>
              <w:left w:val="single" w:color="auto" w:sz="4" w:space="0"/>
              <w:bottom w:val="single" w:color="auto" w:sz="4" w:space="0"/>
              <w:right w:val="single" w:color="auto" w:sz="4" w:space="0"/>
            </w:tcBorders>
            <w:noWrap/>
            <w:vAlign w:val="center"/>
          </w:tcPr>
          <w:p w14:paraId="5A629A6F">
            <w:pPr>
              <w:pStyle w:val="508"/>
              <w:spacing w:line="360" w:lineRule="auto"/>
              <w:jc w:val="center"/>
              <w:rPr>
                <w:rFonts w:ascii="宋体" w:hAnsi="宋体" w:cs="宋体"/>
                <w:szCs w:val="21"/>
              </w:rPr>
            </w:pPr>
            <w:r>
              <w:rPr>
                <w:rFonts w:hint="eastAsia" w:ascii="宋体" w:hAnsi="宋体" w:cs="宋体"/>
                <w:szCs w:val="21"/>
              </w:rPr>
              <w:t>序号</w:t>
            </w:r>
          </w:p>
        </w:tc>
        <w:tc>
          <w:tcPr>
            <w:tcW w:w="1509" w:type="dxa"/>
            <w:tcBorders>
              <w:top w:val="single" w:color="auto" w:sz="4" w:space="0"/>
              <w:left w:val="single" w:color="auto" w:sz="4" w:space="0"/>
              <w:bottom w:val="single" w:color="auto" w:sz="4" w:space="0"/>
              <w:right w:val="single" w:color="auto" w:sz="4" w:space="0"/>
            </w:tcBorders>
            <w:noWrap/>
            <w:vAlign w:val="center"/>
          </w:tcPr>
          <w:p w14:paraId="61893DE5">
            <w:pPr>
              <w:widowControl/>
              <w:spacing w:line="360" w:lineRule="auto"/>
              <w:jc w:val="center"/>
              <w:rPr>
                <w:rFonts w:ascii="宋体" w:hAnsi="宋体" w:cs="宋体"/>
                <w:kern w:val="0"/>
                <w:szCs w:val="21"/>
              </w:rPr>
            </w:pPr>
            <w:r>
              <w:rPr>
                <w:rFonts w:hint="eastAsia" w:ascii="宋体" w:hAnsi="宋体" w:cs="宋体"/>
                <w:kern w:val="0"/>
                <w:szCs w:val="21"/>
              </w:rPr>
              <w:t>货物名称</w:t>
            </w:r>
          </w:p>
        </w:tc>
        <w:tc>
          <w:tcPr>
            <w:tcW w:w="7406" w:type="dxa"/>
            <w:tcBorders>
              <w:top w:val="single" w:color="auto" w:sz="4" w:space="0"/>
              <w:left w:val="single" w:color="auto" w:sz="4" w:space="0"/>
              <w:bottom w:val="single" w:color="auto" w:sz="4" w:space="0"/>
              <w:right w:val="single" w:color="auto" w:sz="4" w:space="0"/>
            </w:tcBorders>
            <w:noWrap/>
            <w:vAlign w:val="center"/>
          </w:tcPr>
          <w:p w14:paraId="1E04E282">
            <w:pPr>
              <w:widowControl/>
              <w:spacing w:line="360" w:lineRule="auto"/>
              <w:jc w:val="center"/>
              <w:rPr>
                <w:rFonts w:ascii="宋体" w:hAnsi="宋体" w:cs="宋体"/>
                <w:szCs w:val="21"/>
              </w:rPr>
            </w:pPr>
            <w:r>
              <w:rPr>
                <w:rFonts w:hint="eastAsia" w:ascii="宋体" w:hAnsi="宋体" w:cs="宋体"/>
                <w:szCs w:val="21"/>
              </w:rPr>
              <w:t>技术参数要求</w:t>
            </w:r>
          </w:p>
        </w:tc>
      </w:tr>
      <w:tr w14:paraId="2ECD47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4" w:hRule="atLeast"/>
        </w:trPr>
        <w:tc>
          <w:tcPr>
            <w:tcW w:w="720" w:type="dxa"/>
            <w:tcBorders>
              <w:top w:val="single" w:color="auto" w:sz="4" w:space="0"/>
              <w:left w:val="single" w:color="auto" w:sz="4" w:space="0"/>
              <w:right w:val="single" w:color="auto" w:sz="4" w:space="0"/>
            </w:tcBorders>
            <w:noWrap/>
            <w:vAlign w:val="center"/>
          </w:tcPr>
          <w:p w14:paraId="2FC54762">
            <w:pPr>
              <w:pStyle w:val="508"/>
              <w:spacing w:line="360" w:lineRule="auto"/>
              <w:jc w:val="center"/>
              <w:rPr>
                <w:rFonts w:ascii="宋体" w:hAnsi="宋体" w:cs="宋体"/>
                <w:szCs w:val="21"/>
              </w:rPr>
            </w:pPr>
            <w:r>
              <w:rPr>
                <w:rFonts w:hint="eastAsia" w:ascii="宋体" w:hAnsi="宋体" w:cs="宋体"/>
                <w:szCs w:val="21"/>
              </w:rPr>
              <w:t>1</w:t>
            </w:r>
          </w:p>
        </w:tc>
        <w:tc>
          <w:tcPr>
            <w:tcW w:w="1509" w:type="dxa"/>
            <w:tcBorders>
              <w:top w:val="single" w:color="auto" w:sz="4" w:space="0"/>
              <w:left w:val="single" w:color="auto" w:sz="4" w:space="0"/>
              <w:right w:val="single" w:color="auto" w:sz="4" w:space="0"/>
            </w:tcBorders>
            <w:noWrap/>
            <w:vAlign w:val="center"/>
          </w:tcPr>
          <w:p w14:paraId="38E090C3">
            <w:pPr>
              <w:widowControl/>
              <w:spacing w:line="360" w:lineRule="auto"/>
              <w:jc w:val="center"/>
              <w:rPr>
                <w:rFonts w:ascii="宋体" w:hAnsi="宋体" w:cs="宋体"/>
                <w:szCs w:val="21"/>
              </w:rPr>
            </w:pPr>
            <w:r>
              <w:rPr>
                <w:rFonts w:hint="eastAsia" w:ascii="宋体" w:hAnsi="宋体" w:cs="宋体"/>
                <w:szCs w:val="21"/>
              </w:rPr>
              <w:t>多普勒超声诊断仪</w:t>
            </w:r>
          </w:p>
        </w:tc>
        <w:tc>
          <w:tcPr>
            <w:tcW w:w="7406" w:type="dxa"/>
            <w:tcBorders>
              <w:top w:val="single" w:color="auto" w:sz="4" w:space="0"/>
              <w:left w:val="single" w:color="auto" w:sz="4" w:space="0"/>
              <w:bottom w:val="single" w:color="auto" w:sz="4" w:space="0"/>
              <w:right w:val="single" w:color="auto" w:sz="4" w:space="0"/>
            </w:tcBorders>
            <w:noWrap/>
          </w:tcPr>
          <w:p w14:paraId="4F0D6D9B">
            <w:pPr>
              <w:widowControl/>
              <w:numPr>
                <w:ilvl w:val="0"/>
                <w:numId w:val="5"/>
              </w:numPr>
              <w:spacing w:line="360" w:lineRule="auto"/>
              <w:rPr>
                <w:rFonts w:ascii="宋体" w:hAnsi="宋体" w:cs="宋体"/>
                <w:b/>
                <w:bCs/>
                <w:szCs w:val="21"/>
              </w:rPr>
            </w:pPr>
            <w:r>
              <w:rPr>
                <w:rFonts w:hint="eastAsia" w:ascii="宋体" w:hAnsi="宋体" w:cs="宋体"/>
                <w:b/>
                <w:bCs/>
                <w:szCs w:val="21"/>
              </w:rPr>
              <w:t>主要用途：</w:t>
            </w:r>
          </w:p>
          <w:p w14:paraId="34060C1C">
            <w:pPr>
              <w:widowControl/>
              <w:spacing w:line="360" w:lineRule="auto"/>
              <w:rPr>
                <w:rFonts w:ascii="宋体" w:hAnsi="宋体" w:cs="宋体"/>
                <w:szCs w:val="21"/>
              </w:rPr>
            </w:pPr>
            <w:r>
              <w:rPr>
                <w:rFonts w:hint="eastAsia" w:ascii="宋体" w:hAnsi="宋体" w:cs="宋体"/>
                <w:szCs w:val="21"/>
              </w:rPr>
              <w:t xml:space="preserve">多普勒超声诊断仪器主要用于腹部、心脏、妇产、泌尿、浅表小器官与血管、肌骨神经、高端体检及临床学术研究。 </w:t>
            </w:r>
          </w:p>
          <w:p w14:paraId="000525EE">
            <w:pPr>
              <w:widowControl/>
              <w:numPr>
                <w:ilvl w:val="0"/>
                <w:numId w:val="5"/>
              </w:numPr>
              <w:spacing w:line="360" w:lineRule="auto"/>
              <w:rPr>
                <w:rFonts w:ascii="宋体" w:hAnsi="宋体" w:cs="宋体"/>
                <w:b/>
                <w:bCs/>
                <w:szCs w:val="21"/>
              </w:rPr>
            </w:pPr>
            <w:r>
              <w:rPr>
                <w:rFonts w:hint="eastAsia" w:ascii="宋体" w:hAnsi="宋体" w:cs="宋体"/>
                <w:b/>
                <w:bCs/>
                <w:szCs w:val="21"/>
              </w:rPr>
              <w:t>主要技术参数：</w:t>
            </w:r>
          </w:p>
          <w:p w14:paraId="06695C4A">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w:t>
            </w:r>
            <w:r>
              <w:rPr>
                <w:rFonts w:hint="eastAsia" w:ascii="宋体" w:hAnsi="宋体" w:cs="宋体"/>
                <w:szCs w:val="21"/>
              </w:rPr>
              <w:tab/>
            </w:r>
            <w:r>
              <w:rPr>
                <w:rFonts w:hint="eastAsia" w:ascii="宋体" w:hAnsi="宋体" w:cs="宋体"/>
                <w:szCs w:val="21"/>
              </w:rPr>
              <w:t>主机系统性能概括：</w:t>
            </w:r>
          </w:p>
          <w:p w14:paraId="2CFD4B8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.1.1</w:t>
            </w:r>
            <w:r>
              <w:rPr>
                <w:rFonts w:hint="eastAsia" w:ascii="宋体" w:hAnsi="宋体" w:cs="宋体"/>
                <w:szCs w:val="21"/>
              </w:rPr>
              <w:tab/>
            </w:r>
            <w:r>
              <w:rPr>
                <w:rFonts w:hint="eastAsia" w:ascii="宋体" w:hAnsi="宋体" w:cs="宋体"/>
                <w:szCs w:val="21"/>
              </w:rPr>
              <w:t>≥23.5英寸宽屏高分辨率监视器，具备万向关节臂设计，可实现上下左右前后任意方位调节，可前后折叠。</w:t>
            </w:r>
          </w:p>
          <w:p w14:paraId="6C961C9D">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.1.2液晶触摸屏≥12.1英寸，支持界面编辑及滑动翻页功能。</w:t>
            </w:r>
          </w:p>
          <w:p w14:paraId="1BBC69A0">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.1.3操作面板支持调节高度、前后左右位置及旋转，支持抽拉式键盘。</w:t>
            </w:r>
          </w:p>
          <w:p w14:paraId="19AB5226">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.1.4原始数据储存，可对回放图像进行多种参数调节。</w:t>
            </w:r>
          </w:p>
          <w:p w14:paraId="48C3645D">
            <w:pPr>
              <w:widowControl/>
              <w:spacing w:line="360" w:lineRule="auto"/>
              <w:rPr>
                <w:rFonts w:ascii="宋体" w:hAnsi="宋体" w:cs="宋体"/>
                <w:szCs w:val="21"/>
              </w:rPr>
            </w:pPr>
            <w:r>
              <w:rPr>
                <w:rFonts w:hint="eastAsia" w:ascii="宋体" w:hAnsi="宋体" w:cs="宋体"/>
                <w:szCs w:val="21"/>
              </w:rPr>
              <w:t>▲</w:t>
            </w:r>
            <w:r>
              <w:rPr>
                <w:rFonts w:hint="eastAsia" w:ascii="宋体" w:hAnsi="宋体" w:cs="宋体"/>
                <w:szCs w:val="21"/>
                <w:lang w:eastAsia="zh-CN"/>
              </w:rPr>
              <w:t>2</w:t>
            </w:r>
            <w:r>
              <w:rPr>
                <w:rFonts w:hint="eastAsia" w:ascii="宋体" w:hAnsi="宋体" w:cs="宋体"/>
                <w:szCs w:val="21"/>
              </w:rPr>
              <w:t>.1.5</w:t>
            </w:r>
            <w:r>
              <w:rPr>
                <w:rFonts w:hint="eastAsia" w:ascii="宋体" w:hAnsi="宋体" w:cs="宋体"/>
                <w:szCs w:val="21"/>
              </w:rPr>
              <w:tab/>
            </w:r>
            <w:r>
              <w:rPr>
                <w:rFonts w:hint="eastAsia" w:ascii="宋体" w:hAnsi="宋体" w:cs="宋体"/>
                <w:szCs w:val="21"/>
              </w:rPr>
              <w:t>采用全域聚焦成像技术，图像无聚焦点或聚焦带</w:t>
            </w: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lang w:val="en-US" w:eastAsia="zh-CN"/>
              </w:rPr>
              <w:t>提供《医疗器械产品注册证》附件《产品技术要求》关键页或产品彩页或技术白皮书作为证明材料并加盖厂家公章）</w:t>
            </w:r>
            <w:r>
              <w:rPr>
                <w:rFonts w:hint="eastAsia" w:ascii="宋体" w:hAnsi="宋体" w:cs="宋体"/>
                <w:szCs w:val="21"/>
              </w:rPr>
              <w:t>。</w:t>
            </w:r>
          </w:p>
          <w:p w14:paraId="301D0787">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.1.6智能像素优化技术：提高图像整体空间分辨率、对比分辨率和信噪比，可调节开关。</w:t>
            </w:r>
          </w:p>
          <w:p w14:paraId="3E363891">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.1.7耦合剂加热装置，温度可调。</w:t>
            </w:r>
          </w:p>
          <w:p w14:paraId="79D4DE49">
            <w:pPr>
              <w:widowControl/>
              <w:spacing w:line="360" w:lineRule="auto"/>
              <w:rPr>
                <w:rFonts w:ascii="宋体" w:hAnsi="宋体" w:cs="宋体"/>
                <w:szCs w:val="21"/>
              </w:rPr>
            </w:pPr>
            <w:r>
              <w:rPr>
                <w:rFonts w:hint="eastAsia" w:ascii="宋体" w:hAnsi="宋体" w:cs="宋体"/>
                <w:szCs w:val="21"/>
              </w:rPr>
              <w:t>▲</w:t>
            </w:r>
            <w:r>
              <w:rPr>
                <w:rFonts w:hint="eastAsia" w:ascii="宋体" w:hAnsi="宋体" w:cs="宋体"/>
                <w:szCs w:val="21"/>
                <w:lang w:eastAsia="zh-CN"/>
              </w:rPr>
              <w:t>2</w:t>
            </w:r>
            <w:r>
              <w:rPr>
                <w:rFonts w:hint="eastAsia" w:ascii="宋体" w:hAnsi="宋体" w:cs="宋体"/>
                <w:szCs w:val="21"/>
              </w:rPr>
              <w:t>.1.8</w:t>
            </w:r>
            <w:r>
              <w:rPr>
                <w:rFonts w:hint="eastAsia" w:ascii="宋体" w:hAnsi="宋体" w:cs="宋体"/>
                <w:szCs w:val="21"/>
              </w:rPr>
              <w:tab/>
            </w:r>
            <w:r>
              <w:rPr>
                <w:rFonts w:hint="eastAsia" w:ascii="宋体" w:hAnsi="宋体" w:cs="宋体"/>
                <w:szCs w:val="21"/>
              </w:rPr>
              <w:t>智能互联功能：超声主机可与手机或平板电脑等移动终端相连接，使用移动设备代替面板及触摸屏按键完成冻结、检查模式切换、测量、拍照片等操作</w:t>
            </w: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lang w:val="en-US" w:eastAsia="zh-CN"/>
              </w:rPr>
              <w:t>提供《医疗器械产品注册证》附件《产品技术要求》关键页或产品彩页或技术白皮书作为证明材料并加盖厂家公章）</w:t>
            </w:r>
            <w:r>
              <w:rPr>
                <w:rFonts w:hint="eastAsia" w:ascii="宋体" w:hAnsi="宋体" w:cs="宋体"/>
                <w:szCs w:val="21"/>
              </w:rPr>
              <w:t>。</w:t>
            </w:r>
          </w:p>
          <w:p w14:paraId="14313D3E">
            <w:pPr>
              <w:widowControl/>
              <w:spacing w:line="360" w:lineRule="auto"/>
              <w:rPr>
                <w:rFonts w:ascii="宋体" w:hAnsi="宋体" w:cs="宋体"/>
                <w:szCs w:val="21"/>
              </w:rPr>
            </w:pPr>
            <w:r>
              <w:rPr>
                <w:rFonts w:hint="eastAsia" w:ascii="宋体" w:hAnsi="宋体" w:cs="宋体"/>
                <w:szCs w:val="21"/>
              </w:rPr>
              <w:t>▲</w:t>
            </w:r>
            <w:r>
              <w:rPr>
                <w:rFonts w:hint="eastAsia" w:ascii="宋体" w:hAnsi="宋体" w:cs="宋体"/>
                <w:szCs w:val="21"/>
                <w:lang w:eastAsia="zh-CN"/>
              </w:rPr>
              <w:t>2</w:t>
            </w:r>
            <w:r>
              <w:rPr>
                <w:rFonts w:hint="eastAsia" w:ascii="宋体" w:hAnsi="宋体" w:cs="宋体"/>
                <w:szCs w:val="21"/>
              </w:rPr>
              <w:t>.1.9</w:t>
            </w:r>
            <w:r>
              <w:rPr>
                <w:rFonts w:hint="eastAsia" w:ascii="宋体" w:hAnsi="宋体" w:cs="宋体"/>
                <w:szCs w:val="21"/>
              </w:rPr>
              <w:tab/>
            </w:r>
            <w:r>
              <w:rPr>
                <w:rFonts w:hint="eastAsia" w:ascii="宋体" w:hAnsi="宋体" w:cs="宋体"/>
                <w:szCs w:val="21"/>
              </w:rPr>
              <w:t>影像互联功能：超声主机可与手机或平板电脑等移动终端相连接，由移动端所拍摄的图片可瞬时上传至超声设备，单幅显示或与超声、超声动态图像同屏对照显示</w:t>
            </w: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lang w:val="en-US" w:eastAsia="zh-CN"/>
              </w:rPr>
              <w:t>提供《医疗器械产品注册证》附件《产品技术要求》关键页或产品彩页或技术白皮书作为证明材料并加盖厂家公章）</w:t>
            </w:r>
            <w:r>
              <w:rPr>
                <w:rFonts w:hint="eastAsia" w:ascii="宋体" w:hAnsi="宋体" w:cs="宋体"/>
                <w:szCs w:val="21"/>
              </w:rPr>
              <w:t>。</w:t>
            </w:r>
          </w:p>
          <w:p w14:paraId="3A84DC97">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.2</w:t>
            </w:r>
            <w:r>
              <w:rPr>
                <w:rFonts w:hint="eastAsia" w:ascii="宋体" w:hAnsi="宋体" w:cs="宋体"/>
                <w:szCs w:val="21"/>
              </w:rPr>
              <w:tab/>
            </w:r>
            <w:r>
              <w:rPr>
                <w:rFonts w:hint="eastAsia" w:ascii="宋体" w:hAnsi="宋体" w:cs="宋体"/>
                <w:szCs w:val="21"/>
              </w:rPr>
              <w:t>二维灰阶成像单元</w:t>
            </w:r>
          </w:p>
          <w:p w14:paraId="637849DE">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.2.1宽频可变频成像技术：灰阶、谐波、彩色、频谱支持独立变频，具体中心频率数值可视可调。</w:t>
            </w:r>
          </w:p>
          <w:p w14:paraId="15B4B0D4">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.2.2斑点噪声抑制技术：支持所有探头，多级可调，支持3D/4D、CFM/PDI、宽景成像</w:t>
            </w:r>
            <w:r>
              <w:rPr>
                <w:rFonts w:asciiTheme="minorEastAsia" w:hAnsiTheme="minorEastAsia" w:eastAsiaTheme="minorEastAsia" w:cstheme="minorEastAsia"/>
                <w:szCs w:val="21"/>
              </w:rPr>
              <w:t>、</w:t>
            </w:r>
            <w:r>
              <w:rPr>
                <w:rFonts w:hint="eastAsia" w:ascii="宋体" w:hAnsi="宋体" w:cs="宋体"/>
                <w:szCs w:val="21"/>
              </w:rPr>
              <w:t>造影成像等技术。</w:t>
            </w:r>
          </w:p>
          <w:p w14:paraId="059AF92D">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.2.3空间复合成像：支持所有凸阵、线阵及容积探头，具有帧平均、帧速率等多种可调节参数；具有最大、平均、混合、运动校正四种复合模式，模式中具有三档开角可调节。</w:t>
            </w:r>
          </w:p>
          <w:p w14:paraId="5FEACCAD">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.2.4组织谐波成像：可用于全部成像探头，频率可视可调，中心频率数值可显示。</w:t>
            </w:r>
          </w:p>
          <w:p w14:paraId="0541EE55">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.2.5组织声束矫正技术：适用于所有凸阵及线阵探头，≥7级可调，可显示具体数值。</w:t>
            </w:r>
          </w:p>
          <w:p w14:paraId="210E847F">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.2.6宽景成像：扫描长度≥91cm，支持所有成像探头，可与空间复合成像功能联合使用，自动检测扫描方向，支持旋转及测量。</w:t>
            </w:r>
          </w:p>
          <w:p w14:paraId="453BD634">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.3</w:t>
            </w:r>
            <w:r>
              <w:rPr>
                <w:rFonts w:hint="eastAsia" w:ascii="宋体" w:hAnsi="宋体" w:cs="宋体"/>
                <w:szCs w:val="21"/>
              </w:rPr>
              <w:tab/>
            </w:r>
            <w:r>
              <w:rPr>
                <w:rFonts w:hint="eastAsia" w:ascii="宋体" w:hAnsi="宋体" w:cs="宋体"/>
                <w:szCs w:val="21"/>
              </w:rPr>
              <w:t>先进成像技术</w:t>
            </w:r>
          </w:p>
          <w:p w14:paraId="04CDE33A">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.3.1灰阶血流成像技术，非多普勒成像原理，真实反应血管内血流状态。</w:t>
            </w:r>
          </w:p>
          <w:p w14:paraId="7E2C55D9">
            <w:pPr>
              <w:widowControl/>
              <w:spacing w:line="360" w:lineRule="auto"/>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2</w:t>
            </w:r>
            <w:r>
              <w:rPr>
                <w:rFonts w:hint="eastAsia" w:ascii="宋体" w:hAnsi="宋体" w:cs="宋体"/>
                <w:szCs w:val="21"/>
              </w:rPr>
              <w:t>.3.2</w:t>
            </w:r>
            <w:r>
              <w:rPr>
                <w:rFonts w:hint="eastAsia" w:ascii="宋体" w:hAnsi="宋体" w:cs="宋体"/>
                <w:szCs w:val="21"/>
              </w:rPr>
              <w:tab/>
            </w:r>
            <w:r>
              <w:rPr>
                <w:rFonts w:hint="eastAsia" w:ascii="宋体" w:hAnsi="宋体" w:cs="宋体"/>
                <w:szCs w:val="21"/>
              </w:rPr>
              <w:t>灰阶血流成像技术，无取样框</w:t>
            </w: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lang w:val="en-US" w:eastAsia="zh-CN"/>
              </w:rPr>
              <w:t>提供《医疗器械产品注册证》附件《产品技术要求》关键页或产品彩页或技术白皮书作为证明材料并加盖厂家公章）</w:t>
            </w:r>
            <w:r>
              <w:rPr>
                <w:rFonts w:hint="eastAsia" w:ascii="宋体" w:hAnsi="宋体" w:cs="宋体"/>
                <w:szCs w:val="21"/>
              </w:rPr>
              <w:t>、无角度依赖，清晰显示血流动力学状态。</w:t>
            </w:r>
          </w:p>
          <w:p w14:paraId="7DA08CFB">
            <w:pPr>
              <w:widowControl/>
              <w:spacing w:line="360" w:lineRule="auto"/>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.3.3超微细血流成像技术，显示超微细血流及低速血流信号。</w:t>
            </w:r>
          </w:p>
          <w:p w14:paraId="0E00EE5E">
            <w:pPr>
              <w:widowControl/>
              <w:spacing w:line="360" w:lineRule="auto"/>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.3.4二维立体血流显示技术；二维血流显示达到三维显示效果，为临床更加直观及敏感的图像。立体程度可调节，可联合超低速血流技术和高穿透技术成像，并可支持测速。</w:t>
            </w:r>
          </w:p>
          <w:p w14:paraId="20B3248E">
            <w:pPr>
              <w:widowControl/>
              <w:spacing w:line="360" w:lineRule="auto"/>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.3.5穿刺针增强显示功能，可独立调整穿刺针的显示增益，不影响背景图像质量，多角度可调，帮助清晰显示穿刺路径，提高穿刺活检及介入治疗操作成功率。</w:t>
            </w:r>
          </w:p>
          <w:p w14:paraId="49E0AC96">
            <w:pPr>
              <w:widowControl/>
              <w:spacing w:line="360" w:lineRule="auto"/>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.3.6智能多普勒技术：能够快速识别血管结构，自动调整彩色取样框位置、角度，调整频谱取样容积和取样角度。</w:t>
            </w:r>
          </w:p>
          <w:p w14:paraId="5C75D433">
            <w:pPr>
              <w:widowControl/>
              <w:spacing w:line="360" w:lineRule="auto"/>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.4</w:t>
            </w:r>
            <w:r>
              <w:rPr>
                <w:rFonts w:hint="eastAsia" w:ascii="宋体" w:hAnsi="宋体" w:cs="宋体"/>
                <w:szCs w:val="21"/>
              </w:rPr>
              <w:tab/>
            </w:r>
            <w:r>
              <w:rPr>
                <w:rFonts w:hint="eastAsia" w:ascii="宋体" w:hAnsi="宋体" w:cs="宋体"/>
                <w:szCs w:val="21"/>
              </w:rPr>
              <w:t>高级成像技术</w:t>
            </w:r>
          </w:p>
          <w:p w14:paraId="55BB38BB">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.4.1应变式弹性成像，具备成像质量监控色棒和操作动作曲线，指导医生操作，可支持凸阵、线阵/超高频线阵、腔内</w:t>
            </w:r>
            <w:r>
              <w:rPr>
                <w:rFonts w:asciiTheme="minorEastAsia" w:hAnsiTheme="minorEastAsia" w:eastAsiaTheme="minorEastAsia" w:cstheme="minorEastAsia"/>
                <w:szCs w:val="21"/>
              </w:rPr>
              <w:t>、</w:t>
            </w:r>
            <w:r>
              <w:rPr>
                <w:rFonts w:hint="eastAsia" w:ascii="宋体" w:hAnsi="宋体" w:cs="宋体"/>
                <w:szCs w:val="21"/>
              </w:rPr>
              <w:t>面阵等探头，具备弹性量化分析：动态弹性图定量分析，可同屏提供≥8个感兴趣区的硬度值和≥7个感兴趣区与参照区的硬度比。</w:t>
            </w:r>
          </w:p>
          <w:p w14:paraId="459F8AD4">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.4.2乳腺自动测量工具包：根据回声信号的识别，自动勾勒病灶的边界，提高乳腺检查工作效率及对乳腺病灶的管理和咨询，数据可通过 DICOM SR发送。</w:t>
            </w:r>
          </w:p>
          <w:p w14:paraId="3949566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4.3剪切波弹性成像，该技术可支持凸阵、线阵、腔内探头，拓展临床应用，剪切波弹性成像具备质控模式，剪切波弹性成像时，屏幕可显示剪切波频率范围，确保测量的准确性，剪切波取样框深度范围：0.25-33cm，定量测量参数可提供：最大值、最小值、平均值、标准差、中位数、深度、 面积、比值、质控参数、四分位数等测量参数，为临床提供全面的剪切波定量测量解决方案，剪切波弹性成像定量分析，在冻结和存储的图像上均可以进行，得到直接反映组织硬度的杨氏模量值（或剪切波速度），剪切波弹性成像定量测量工具支持大小可调、任意形态描记，针对不同大小、不同形态病灶可以进行定量测量，剪切波弹性成像针对困难病人可提供“穿透模式”，提高困难病人检查成功机率，成像过程中无冷却时间，无须等待即可快速成像测量。</w:t>
            </w:r>
          </w:p>
          <w:p w14:paraId="751557C6">
            <w:pPr>
              <w:widowControl/>
              <w:spacing w:line="360" w:lineRule="auto"/>
              <w:rPr>
                <w:rFonts w:ascii="宋体" w:hAnsi="宋体" w:cs="宋体"/>
                <w:szCs w:val="21"/>
              </w:rPr>
            </w:pPr>
            <w:r>
              <w:rPr>
                <w:rFonts w:hint="eastAsia" w:ascii="宋体" w:hAnsi="宋体" w:cs="宋体"/>
                <w:szCs w:val="21"/>
              </w:rPr>
              <w:t>▲2.4.4</w:t>
            </w:r>
            <w:r>
              <w:rPr>
                <w:rFonts w:hint="eastAsia" w:ascii="宋体" w:hAnsi="宋体" w:cs="宋体"/>
                <w:szCs w:val="21"/>
              </w:rPr>
              <w:tab/>
            </w:r>
            <w:r>
              <w:rPr>
                <w:rFonts w:hint="eastAsia" w:ascii="宋体" w:hAnsi="宋体" w:cs="宋体"/>
                <w:szCs w:val="21"/>
              </w:rPr>
              <w:t>标配成人心脏相控阵探头扫描角度≥120°，真实全角度视野显示超声图像。</w:t>
            </w:r>
            <w:r>
              <w:rPr>
                <w:rFonts w:hint="eastAsia" w:ascii="宋体" w:hAnsi="宋体" w:cs="宋体"/>
                <w:b/>
                <w:bCs/>
                <w:szCs w:val="21"/>
              </w:rPr>
              <w:t>(提供《医疗器械产品注册证》附件《产品技术要求》关键页或产品彩页或技术白皮书作为证明材料并加盖厂家公章)</w:t>
            </w:r>
            <w:r>
              <w:rPr>
                <w:rFonts w:hint="eastAsia" w:ascii="宋体" w:hAnsi="宋体" w:cs="宋体"/>
                <w:szCs w:val="21"/>
              </w:rPr>
              <w:t>。</w:t>
            </w:r>
          </w:p>
          <w:p w14:paraId="13F2C58F">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.4.5支持心肌组织多普勒速度成像，并且在组织多普勒的同时支持解剖 M型和曲线解剖M型。</w:t>
            </w:r>
          </w:p>
          <w:p w14:paraId="2247C537">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.4.6心功能自动计算功能：在心肌的动态运动下自动追踪描记心内膜并计算出心功能参数，同屏分三部分图像显示动态包络曲线、舒张末期以及收缩末期包络曲线，自动得到EF、CO等心功能数据。</w:t>
            </w:r>
          </w:p>
          <w:p w14:paraId="6912452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4.7智能辅助功能，具有胎儿生长指标和软指标的半自动测量功能，包括胎儿双顶径、头围、腹围、股骨长、肱骨长，智能血管检查技术：一键自动识别血管位置、自动启动彩色多普勒功能、自动调整彩色取样框位置、角度，自动启动频谱多普勒、调整频谱取样容积及角度、自动优化频谱并自动测量。</w:t>
            </w:r>
          </w:p>
          <w:p w14:paraId="25C8F1FC">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.4.8甲状腺自动测量工具包：根据回声信号的识别，自动勾勒病灶的边界，提高甲状腺检查超声扫查的工作效率，数据可通过DICOM SR发送。</w:t>
            </w:r>
          </w:p>
          <w:p w14:paraId="2EBF145D">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w:t>
            </w:r>
            <w:r>
              <w:rPr>
                <w:rFonts w:hint="eastAsia" w:ascii="宋体" w:hAnsi="宋体" w:cs="宋体"/>
                <w:szCs w:val="21"/>
              </w:rPr>
              <w:tab/>
            </w:r>
            <w:r>
              <w:rPr>
                <w:rFonts w:hint="eastAsia" w:ascii="宋体" w:hAnsi="宋体" w:cs="宋体"/>
                <w:szCs w:val="21"/>
              </w:rPr>
              <w:t>测量和分析（包括B型、M型、频谱多普勒、彩色模式）</w:t>
            </w:r>
          </w:p>
          <w:p w14:paraId="1F860D87">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.5.1一般测量。</w:t>
            </w:r>
          </w:p>
          <w:p w14:paraId="75AAADC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.5.2妇产科测量，具有产科自动测量技术。</w:t>
            </w:r>
          </w:p>
          <w:p w14:paraId="61FBCF0F">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.5.3心脏功能测量。</w:t>
            </w:r>
          </w:p>
          <w:p w14:paraId="7AD7CB87">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.5.4多普勒血流测量与分析。</w:t>
            </w:r>
          </w:p>
          <w:p w14:paraId="54F03EE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.5.5外周血管测量与分析。</w:t>
            </w:r>
          </w:p>
          <w:p w14:paraId="0AC10F36">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.5.6泌尿科测量与分析。</w:t>
            </w:r>
          </w:p>
          <w:p w14:paraId="06F86C62">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.5.7多普勒频谱自动包络、测量与计算，参数由客户自由选择。</w:t>
            </w:r>
          </w:p>
          <w:p w14:paraId="6A846E5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.6</w:t>
            </w:r>
            <w:r>
              <w:rPr>
                <w:rFonts w:hint="eastAsia" w:ascii="宋体" w:hAnsi="宋体" w:cs="宋体"/>
                <w:szCs w:val="21"/>
              </w:rPr>
              <w:tab/>
            </w:r>
            <w:r>
              <w:rPr>
                <w:rFonts w:hint="eastAsia" w:ascii="宋体" w:hAnsi="宋体" w:cs="宋体"/>
                <w:szCs w:val="21"/>
              </w:rPr>
              <w:t>图像存储与(电影)回放重现单元。</w:t>
            </w:r>
          </w:p>
          <w:p w14:paraId="1DD9CB42">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.7</w:t>
            </w:r>
            <w:r>
              <w:rPr>
                <w:rFonts w:hint="eastAsia" w:ascii="宋体" w:hAnsi="宋体" w:cs="宋体"/>
                <w:szCs w:val="21"/>
              </w:rPr>
              <w:tab/>
            </w:r>
            <w:r>
              <w:rPr>
                <w:rFonts w:hint="eastAsia" w:ascii="宋体" w:hAnsi="宋体" w:cs="宋体"/>
                <w:szCs w:val="21"/>
              </w:rPr>
              <w:t>输入/输出信号：包括HDMI、USB等。</w:t>
            </w:r>
          </w:p>
          <w:p w14:paraId="095FE063">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.8</w:t>
            </w:r>
            <w:r>
              <w:rPr>
                <w:rFonts w:hint="eastAsia" w:ascii="宋体" w:hAnsi="宋体" w:cs="宋体"/>
                <w:szCs w:val="21"/>
              </w:rPr>
              <w:tab/>
            </w:r>
            <w:r>
              <w:rPr>
                <w:rFonts w:hint="eastAsia" w:ascii="宋体" w:hAnsi="宋体" w:cs="宋体"/>
                <w:szCs w:val="21"/>
              </w:rPr>
              <w:t>连通性：医学数字图像和通信DICOM 3.0版接口部件(且可以作为中央服务器远程读取、调入、存储其他彩超图像)，支持压缩和高清DICOM图像传输。</w:t>
            </w:r>
          </w:p>
          <w:p w14:paraId="15828BEF">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.9</w:t>
            </w:r>
            <w:r>
              <w:rPr>
                <w:rFonts w:hint="eastAsia" w:ascii="宋体" w:hAnsi="宋体" w:cs="宋体"/>
                <w:szCs w:val="21"/>
              </w:rPr>
              <w:tab/>
            </w:r>
            <w:r>
              <w:rPr>
                <w:rFonts w:hint="eastAsia" w:ascii="宋体" w:hAnsi="宋体" w:cs="宋体"/>
                <w:szCs w:val="21"/>
              </w:rPr>
              <w:t>超声图像存档与病案管理系统</w:t>
            </w:r>
          </w:p>
          <w:p w14:paraId="05CB0BD6">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.9.1主机存储容量≥1TB</w:t>
            </w:r>
          </w:p>
          <w:p w14:paraId="0F06F22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.9.2一体化剪帖板：(在屏幕上)可以存储和回放动态及静态图像，图像大小有3种或以上可调；在剪贴板上可以直接进行图像删除、转存或进入病案系统。</w:t>
            </w:r>
          </w:p>
          <w:p w14:paraId="06A70186">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.9.3 USB一键快速存储功能，只需一个按键一步操作即可把屏幕上的图像存至U盘、移动硬盘或者其它USB装置。USB接口支持U盘或移动硬盘快速存储屏幕上的图像。</w:t>
            </w:r>
          </w:p>
          <w:p w14:paraId="76208525">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.9.4超声图像静态、动态存储，原始数据回放重现。</w:t>
            </w:r>
          </w:p>
          <w:p w14:paraId="0F30B649">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.9.5动态图像、静态图像以JPEG或WMV（MPEGVue）格式直接存储于可移动媒介。</w:t>
            </w:r>
          </w:p>
          <w:p w14:paraId="5DEED9F6">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.9.6在屏剪帖板和多画面同屏回放功能，不同检查日期所存的图像可以回放至同一屏幕比较分析。</w:t>
            </w:r>
          </w:p>
          <w:p w14:paraId="56078C02">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.10其他通用参数要求</w:t>
            </w:r>
          </w:p>
          <w:p w14:paraId="2FB82178">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.10.1系统通用功能：高分辨率监视器，扫描方式：逐行扫描，高分辨率，全方位关节臂旋转，探头接口≥4，均为无针触点式大接口。</w:t>
            </w:r>
          </w:p>
          <w:p w14:paraId="716544AF">
            <w:pPr>
              <w:widowControl/>
              <w:spacing w:line="360" w:lineRule="auto"/>
              <w:rPr>
                <w:rFonts w:hint="eastAsia" w:ascii="宋体" w:hAnsi="宋体" w:cs="宋体"/>
                <w:szCs w:val="21"/>
                <w:lang w:val="en-US" w:eastAsia="zh-CN"/>
              </w:rPr>
            </w:pPr>
            <w:r>
              <w:rPr>
                <w:rFonts w:hint="eastAsia" w:ascii="宋体" w:hAnsi="宋体" w:cs="宋体"/>
                <w:szCs w:val="21"/>
                <w:lang w:eastAsia="zh-CN"/>
              </w:rPr>
              <w:t>2</w:t>
            </w:r>
            <w:r>
              <w:rPr>
                <w:rFonts w:hint="eastAsia" w:ascii="宋体" w:hAnsi="宋体" w:cs="宋体"/>
                <w:szCs w:val="21"/>
              </w:rPr>
              <w:t>.10.2探头规格：</w:t>
            </w:r>
            <w:r>
              <w:rPr>
                <w:rFonts w:hint="eastAsia" w:ascii="宋体" w:hAnsi="宋体" w:cs="宋体"/>
                <w:szCs w:val="21"/>
                <w:lang w:val="en-US" w:eastAsia="zh-CN"/>
              </w:rPr>
              <w:t>频率：</w:t>
            </w:r>
            <w:r>
              <w:rPr>
                <w:rFonts w:hint="eastAsia" w:ascii="宋体" w:hAnsi="宋体" w:cs="宋体"/>
                <w:szCs w:val="21"/>
              </w:rPr>
              <w:t xml:space="preserve">无针触点式宽频变频探头，实现二维、谐波、彩色、多普勒频率独立可调，穿刺导向：探头可配穿刺导向装置，具备≥3个穿刺角度 </w:t>
            </w:r>
            <w:r>
              <w:rPr>
                <w:rFonts w:hint="eastAsia" w:ascii="宋体" w:hAnsi="宋体" w:cs="宋体"/>
                <w:szCs w:val="21"/>
                <w:lang w:eastAsia="zh-CN"/>
              </w:rPr>
              <w:t>。</w:t>
            </w:r>
            <w:r>
              <w:rPr>
                <w:rFonts w:hint="eastAsia" w:ascii="宋体" w:hAnsi="宋体" w:cs="宋体"/>
                <w:szCs w:val="21"/>
                <w:lang w:val="en-US" w:eastAsia="zh-CN"/>
              </w:rPr>
              <w:t>探头频率范围要求：</w:t>
            </w:r>
          </w:p>
          <w:p w14:paraId="2EE1C657">
            <w:pPr>
              <w:widowControl/>
              <w:spacing w:line="360" w:lineRule="auto"/>
              <w:rPr>
                <w:rFonts w:hint="eastAsia" w:ascii="宋体" w:hAnsi="宋体" w:eastAsia="宋体" w:cs="宋体"/>
                <w:szCs w:val="21"/>
                <w:lang w:eastAsia="zh-CN"/>
              </w:rPr>
            </w:pPr>
            <w:r>
              <w:rPr>
                <w:rFonts w:hint="eastAsia" w:asciiTheme="minorEastAsia" w:hAnsiTheme="minorEastAsia" w:eastAsiaTheme="minorEastAsia" w:cstheme="minorEastAsia"/>
                <w:szCs w:val="21"/>
                <w:lang w:val="en-US" w:eastAsia="zh-CN"/>
              </w:rPr>
              <w:t>1）</w:t>
            </w:r>
            <w:r>
              <w:rPr>
                <w:rFonts w:hint="eastAsia" w:ascii="宋体" w:hAnsi="宋体" w:cs="宋体"/>
                <w:szCs w:val="21"/>
              </w:rPr>
              <w:t>单晶体腹部凸阵探头：超声频率1.5-6.0MHz</w:t>
            </w:r>
            <w:r>
              <w:rPr>
                <w:rFonts w:hint="eastAsia" w:ascii="宋体" w:hAnsi="宋体" w:cs="宋体"/>
                <w:szCs w:val="21"/>
                <w:lang w:eastAsia="zh-CN"/>
              </w:rPr>
              <w:t>。</w:t>
            </w:r>
          </w:p>
          <w:p w14:paraId="03911137">
            <w:pPr>
              <w:widowControl/>
              <w:spacing w:line="360" w:lineRule="auto"/>
              <w:rPr>
                <w:rFonts w:hint="eastAsia" w:eastAsia="宋体" w:asciiTheme="minorEastAsia" w:hAnsiTheme="minorEastAsia" w:cstheme="minorEastAsia"/>
                <w:szCs w:val="21"/>
                <w:lang w:eastAsia="zh-CN"/>
              </w:rPr>
            </w:pPr>
            <w:r>
              <w:rPr>
                <w:rFonts w:hint="eastAsia" w:asciiTheme="minorEastAsia" w:hAnsiTheme="minorEastAsia" w:eastAsiaTheme="minorEastAsia" w:cstheme="minorEastAsia"/>
                <w:szCs w:val="21"/>
                <w:lang w:val="en-US" w:eastAsia="zh-CN"/>
              </w:rPr>
              <w:t>2）</w:t>
            </w:r>
            <w:r>
              <w:rPr>
                <w:rFonts w:hint="eastAsia" w:ascii="宋体" w:hAnsi="宋体" w:cs="宋体"/>
                <w:szCs w:val="21"/>
              </w:rPr>
              <w:t>宽频变频血管线阵探头</w:t>
            </w:r>
            <w:r>
              <w:rPr>
                <w:rFonts w:asciiTheme="minorEastAsia" w:hAnsiTheme="minorEastAsia" w:eastAsiaTheme="minorEastAsia" w:cstheme="minorEastAsia"/>
                <w:szCs w:val="21"/>
              </w:rPr>
              <w:t>：</w:t>
            </w:r>
            <w:r>
              <w:rPr>
                <w:rFonts w:hint="eastAsia" w:ascii="宋体" w:hAnsi="宋体" w:cs="宋体"/>
                <w:szCs w:val="21"/>
              </w:rPr>
              <w:t>超声频率4.0-11.0MHz</w:t>
            </w:r>
            <w:r>
              <w:rPr>
                <w:rFonts w:hint="eastAsia" w:ascii="宋体" w:hAnsi="宋体" w:cs="宋体"/>
                <w:szCs w:val="21"/>
                <w:lang w:eastAsia="zh-CN"/>
              </w:rPr>
              <w:t>。</w:t>
            </w:r>
          </w:p>
          <w:p w14:paraId="3EFF52D9">
            <w:pPr>
              <w:widowControl/>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宋体" w:hAnsi="宋体" w:cs="宋体"/>
                <w:szCs w:val="21"/>
              </w:rPr>
              <w:t>宽频</w:t>
            </w:r>
            <w:r>
              <w:rPr>
                <w:rFonts w:hint="eastAsia" w:ascii="宋体" w:hAnsi="宋体" w:cs="宋体"/>
                <w:szCs w:val="21"/>
                <w:lang w:val="en-US" w:eastAsia="zh-CN"/>
              </w:rPr>
              <w:t>小器官</w:t>
            </w:r>
            <w:r>
              <w:rPr>
                <w:rFonts w:asciiTheme="minorEastAsia" w:hAnsiTheme="minorEastAsia" w:eastAsiaTheme="minorEastAsia" w:cstheme="minorEastAsia"/>
                <w:szCs w:val="21"/>
              </w:rPr>
              <w:t>线阵探头：</w:t>
            </w:r>
            <w:r>
              <w:rPr>
                <w:rFonts w:hint="eastAsia" w:ascii="宋体" w:hAnsi="宋体" w:cs="宋体"/>
                <w:szCs w:val="21"/>
              </w:rPr>
              <w:t>超声频率</w:t>
            </w:r>
            <w:r>
              <w:rPr>
                <w:rFonts w:hint="eastAsia" w:asciiTheme="minorEastAsia" w:hAnsiTheme="minorEastAsia" w:eastAsiaTheme="minorEastAsia" w:cstheme="minorEastAsia"/>
                <w:szCs w:val="21"/>
                <w:lang w:val="en-US" w:eastAsia="zh-CN"/>
              </w:rPr>
              <w:t>4</w:t>
            </w:r>
            <w:r>
              <w:rPr>
                <w:rFonts w:asciiTheme="minorEastAsia" w:hAnsiTheme="minorEastAsia" w:eastAsiaTheme="minorEastAsia" w:cstheme="minorEastAsia"/>
                <w:szCs w:val="21"/>
              </w:rPr>
              <w:t>.0-1</w:t>
            </w:r>
            <w:r>
              <w:rPr>
                <w:rFonts w:hint="eastAsia" w:asciiTheme="minorEastAsia" w:hAnsiTheme="minorEastAsia" w:eastAsiaTheme="minorEastAsia" w:cstheme="minorEastAsia"/>
                <w:szCs w:val="21"/>
                <w:lang w:val="en-US" w:eastAsia="zh-CN"/>
              </w:rPr>
              <w:t>5</w:t>
            </w:r>
            <w:r>
              <w:rPr>
                <w:rFonts w:asciiTheme="minorEastAsia" w:hAnsiTheme="minorEastAsia" w:eastAsiaTheme="minorEastAsia" w:cstheme="minorEastAsia"/>
                <w:szCs w:val="21"/>
              </w:rPr>
              <w:t>.0MHz。</w:t>
            </w:r>
          </w:p>
          <w:p w14:paraId="22DB54E0">
            <w:pPr>
              <w:widowControl/>
              <w:spacing w:line="360" w:lineRule="auto"/>
              <w:rPr>
                <w:rFonts w:hint="eastAsia" w:ascii="宋体" w:hAnsi="宋体" w:cs="宋体"/>
                <w:szCs w:val="21"/>
                <w:lang w:eastAsia="zh-CN"/>
              </w:rPr>
            </w:pPr>
            <w:r>
              <w:rPr>
                <w:rFonts w:hint="eastAsia" w:asciiTheme="minorEastAsia" w:hAnsiTheme="minorEastAsia" w:eastAsiaTheme="minorEastAsia" w:cstheme="minorEastAsia"/>
                <w:szCs w:val="21"/>
                <w:lang w:val="en-US" w:eastAsia="zh-CN"/>
              </w:rPr>
              <w:t>4）</w:t>
            </w:r>
            <w:r>
              <w:rPr>
                <w:rFonts w:hint="eastAsia" w:ascii="宋体" w:hAnsi="宋体" w:cs="宋体"/>
                <w:szCs w:val="21"/>
              </w:rPr>
              <w:t>单晶体相控阵心脏探头</w:t>
            </w:r>
            <w:r>
              <w:rPr>
                <w:rFonts w:asciiTheme="minorEastAsia" w:hAnsiTheme="minorEastAsia" w:eastAsiaTheme="minorEastAsia" w:cstheme="minorEastAsia"/>
                <w:szCs w:val="21"/>
              </w:rPr>
              <w:t>：</w:t>
            </w:r>
            <w:r>
              <w:rPr>
                <w:rFonts w:hint="eastAsia" w:ascii="宋体" w:hAnsi="宋体" w:cs="宋体"/>
                <w:szCs w:val="21"/>
              </w:rPr>
              <w:t>超声频率1.5-4.5MHz</w:t>
            </w:r>
            <w:r>
              <w:rPr>
                <w:rFonts w:hint="eastAsia" w:ascii="宋体" w:hAnsi="宋体" w:cs="宋体"/>
                <w:szCs w:val="21"/>
                <w:lang w:eastAsia="zh-CN"/>
              </w:rPr>
              <w:t>。</w:t>
            </w:r>
          </w:p>
          <w:p w14:paraId="40566D72">
            <w:pPr>
              <w:widowControl/>
              <w:spacing w:line="360" w:lineRule="auto"/>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腔内微凸探头：超声频率4.0-9.0MH。</w:t>
            </w:r>
          </w:p>
          <w:p w14:paraId="03414079">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.10.3二维灰阶显示主要参数：凸阵探头，18cm深度，全视野，最高线密度下，二维帧频≥58，凸阵探头，18cm深度，全视野，最高线密度下，彩色帧频≥16，</w:t>
            </w:r>
          </w:p>
          <w:p w14:paraId="7E296265">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.10.4回放重现：灰阶图像回放≥1000幅、回放时间≥30秒。</w:t>
            </w:r>
          </w:p>
          <w:p w14:paraId="69746EC1">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.10.5预设条件针对不同的检查脏器，预置最佳化图像的检查条件，减少操作时的调节，及常用所需的外部调节及组合调节。</w:t>
            </w:r>
          </w:p>
          <w:p w14:paraId="09126A81">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.10.6</w:t>
            </w:r>
            <w:r>
              <w:rPr>
                <w:rFonts w:hint="eastAsia" w:ascii="宋体" w:hAnsi="宋体" w:cs="宋体"/>
                <w:szCs w:val="21"/>
              </w:rPr>
              <w:tab/>
            </w:r>
            <w:r>
              <w:rPr>
                <w:rFonts w:hint="eastAsia" w:ascii="宋体" w:hAnsi="宋体" w:cs="宋体"/>
                <w:szCs w:val="21"/>
              </w:rPr>
              <w:t>增益调节：B/M可独立调节，STC分段≥8。</w:t>
            </w:r>
          </w:p>
          <w:p w14:paraId="2AB03A60">
            <w:pPr>
              <w:widowControl/>
              <w:spacing w:line="360" w:lineRule="auto"/>
              <w:rPr>
                <w:rFonts w:ascii="宋体" w:hAnsi="宋体" w:cs="宋体"/>
                <w:szCs w:val="21"/>
              </w:rPr>
            </w:pPr>
            <w:r>
              <w:rPr>
                <w:rFonts w:hint="eastAsia" w:ascii="宋体" w:hAnsi="宋体" w:cs="宋体"/>
                <w:szCs w:val="21"/>
              </w:rPr>
              <w:t>▲2.10.7扫描深度≥55cm。</w:t>
            </w:r>
            <w:r>
              <w:rPr>
                <w:rFonts w:hint="eastAsia" w:ascii="宋体" w:hAnsi="宋体" w:cs="宋体"/>
                <w:b/>
                <w:bCs/>
                <w:szCs w:val="21"/>
              </w:rPr>
              <w:t>(提供《医疗器械产品注册证》附件《产品技术要求》关键页或产品彩页或技术白皮书作为证明材料并加盖厂家公章)</w:t>
            </w:r>
          </w:p>
          <w:p w14:paraId="38A668FB">
            <w:pPr>
              <w:widowControl/>
              <w:spacing w:line="360" w:lineRule="auto"/>
              <w:rPr>
                <w:rFonts w:ascii="宋体" w:hAnsi="宋体" w:cs="宋体"/>
                <w:szCs w:val="21"/>
              </w:rPr>
            </w:pPr>
            <w:r>
              <w:rPr>
                <w:rFonts w:hint="eastAsia" w:ascii="宋体" w:hAnsi="宋体" w:cs="宋体"/>
                <w:szCs w:val="21"/>
                <w:lang w:eastAsia="zh-CN"/>
              </w:rPr>
              <w:t>2</w:t>
            </w:r>
            <w:r>
              <w:rPr>
                <w:rFonts w:hint="eastAsia" w:ascii="宋体" w:hAnsi="宋体" w:cs="宋体"/>
                <w:szCs w:val="21"/>
              </w:rPr>
              <w:t>.10.8频谱多普勒：方式：PW，CW，HPRF，多普勒发射频率可视可调，中心频率明确显示，PWD：血流速度≥15m/s；CWD：血流速度≥20m/s，最低测量速度：≤1mm/s （非噪声信号），PW取样容积范围：0.1cm-2cm。</w:t>
            </w:r>
          </w:p>
          <w:p w14:paraId="6E035B82">
            <w:pPr>
              <w:widowControl/>
              <w:spacing w:line="360" w:lineRule="auto"/>
              <w:rPr>
                <w:rFonts w:hint="eastAsia" w:ascii="宋体" w:hAnsi="宋体" w:cs="宋体"/>
                <w:szCs w:val="21"/>
              </w:rPr>
            </w:pPr>
            <w:r>
              <w:rPr>
                <w:rFonts w:hint="eastAsia" w:ascii="宋体" w:hAnsi="宋体" w:cs="宋体"/>
                <w:szCs w:val="21"/>
                <w:lang w:eastAsia="zh-CN"/>
              </w:rPr>
              <w:t>2</w:t>
            </w:r>
            <w:r>
              <w:rPr>
                <w:rFonts w:hint="eastAsia" w:ascii="宋体" w:hAnsi="宋体" w:cs="宋体"/>
                <w:szCs w:val="21"/>
              </w:rPr>
              <w:t>.10.9</w:t>
            </w:r>
            <w:r>
              <w:rPr>
                <w:rFonts w:hint="eastAsia" w:ascii="宋体" w:hAnsi="宋体" w:cs="宋体"/>
                <w:szCs w:val="21"/>
              </w:rPr>
              <w:tab/>
            </w:r>
            <w:r>
              <w:rPr>
                <w:rFonts w:hint="eastAsia" w:ascii="宋体" w:hAnsi="宋体" w:cs="宋体"/>
                <w:szCs w:val="21"/>
              </w:rPr>
              <w:t>彩色多普勒：显示方式：速度方差显示、能量显示、速度显示、方差显示，具有双同步/三同步显示（B/D/CFM），显示位置调整：线阵扫描感兴趣的图像范围：-20°~ +20°，彩色多普勒能量图 (PDI)，彩色方向性能量图（DPDI），超声功率输出调节：B/M、PWD、Color Doppler输出功率可调。</w:t>
            </w:r>
          </w:p>
          <w:p w14:paraId="45525BC1">
            <w:pPr>
              <w:widowControl/>
              <w:spacing w:line="360" w:lineRule="auto"/>
              <w:rPr>
                <w:rFonts w:hint="eastAsia" w:ascii="宋体" w:hAnsi="宋体" w:cs="宋体"/>
                <w:szCs w:val="21"/>
              </w:rPr>
            </w:pPr>
            <w:r>
              <w:rPr>
                <w:rFonts w:hint="eastAsia" w:ascii="宋体" w:hAnsi="宋体" w:cs="宋体"/>
                <w:szCs w:val="21"/>
              </w:rPr>
              <w:t>▲2.10.10支持高频浅表矩阵线阵探头，阵元数≥1000阵元</w:t>
            </w:r>
            <w:r>
              <w:rPr>
                <w:rFonts w:hint="eastAsia" w:ascii="宋体" w:hAnsi="宋体" w:cs="宋体"/>
                <w:szCs w:val="21"/>
                <w:lang w:eastAsia="zh-CN"/>
              </w:rPr>
              <w:t>。</w:t>
            </w:r>
            <w:r>
              <w:rPr>
                <w:rFonts w:hint="eastAsia" w:ascii="宋体" w:hAnsi="宋体" w:cs="宋体"/>
                <w:b/>
                <w:bCs/>
                <w:szCs w:val="21"/>
              </w:rPr>
              <w:t>(提供《医疗器械产品注册证》附件《产品技术要求》关键页或产品彩页或技术白皮书作为证明材料并加盖厂家公章)</w:t>
            </w:r>
          </w:p>
          <w:p w14:paraId="04DE6C1D">
            <w:pPr>
              <w:pStyle w:val="18"/>
              <w:rPr>
                <w:rFonts w:ascii="宋体" w:hAnsi="宋体" w:cs="宋体"/>
                <w:szCs w:val="21"/>
              </w:rPr>
            </w:pPr>
            <w:r>
              <w:rPr>
                <w:rFonts w:hint="eastAsia" w:ascii="宋体" w:hAnsi="宋体" w:cs="宋体"/>
                <w:szCs w:val="21"/>
                <w:lang w:eastAsia="zh-CN"/>
              </w:rPr>
              <w:t>2</w:t>
            </w:r>
            <w:r>
              <w:rPr>
                <w:rFonts w:hint="eastAsia" w:ascii="宋体" w:hAnsi="宋体" w:cs="宋体"/>
                <w:szCs w:val="21"/>
              </w:rPr>
              <w:t>.10.1</w:t>
            </w:r>
            <w:r>
              <w:rPr>
                <w:rFonts w:hint="eastAsia" w:ascii="宋体" w:hAnsi="宋体" w:cs="宋体"/>
                <w:szCs w:val="21"/>
                <w:lang w:val="en-US" w:eastAsia="zh-CN"/>
              </w:rPr>
              <w:t>1</w:t>
            </w:r>
            <w:r>
              <w:rPr>
                <w:rFonts w:hint="eastAsia" w:ascii="宋体" w:hAnsi="宋体" w:cs="宋体"/>
                <w:szCs w:val="21"/>
              </w:rPr>
              <w:tab/>
            </w:r>
            <w:r>
              <w:rPr>
                <w:rFonts w:hint="eastAsia" w:ascii="宋体" w:hAnsi="宋体" w:cs="宋体"/>
                <w:szCs w:val="21"/>
              </w:rPr>
              <w:t>要求配备齐全的最新软件版本，质保期内升级至该机型的最新版本。</w:t>
            </w:r>
            <w:r>
              <w:rPr>
                <w:rFonts w:hint="eastAsia"/>
              </w:rPr>
              <w:t>（不额外收费）</w:t>
            </w:r>
          </w:p>
          <w:p w14:paraId="55066D77">
            <w:pPr>
              <w:widowControl/>
              <w:spacing w:line="360" w:lineRule="auto"/>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b/>
                <w:bCs/>
                <w:szCs w:val="21"/>
                <w:highlight w:val="yellow"/>
              </w:rPr>
              <w:t>★</w:t>
            </w:r>
            <w:r>
              <w:rPr>
                <w:rFonts w:hint="eastAsia" w:eastAsiaTheme="minorEastAsia"/>
                <w:highlight w:val="yellow"/>
                <w:lang w:val="en-US" w:eastAsia="zh-CN"/>
              </w:rPr>
              <w:t>3</w:t>
            </w:r>
            <w:r>
              <w:rPr>
                <w:rFonts w:hint="eastAsia"/>
                <w:highlight w:val="yellow"/>
              </w:rPr>
              <w:t>、总配置清单</w:t>
            </w:r>
          </w:p>
          <w:p w14:paraId="281DEAF2">
            <w:pPr>
              <w:widowControl/>
              <w:spacing w:line="360" w:lineRule="auto"/>
              <w:rPr>
                <w:rFonts w:ascii="宋体" w:hAnsi="宋体" w:cs="宋体"/>
                <w:szCs w:val="21"/>
                <w:highlight w:val="yellow"/>
              </w:rPr>
            </w:pPr>
            <w:r>
              <w:rPr>
                <w:rFonts w:hint="eastAsia" w:ascii="宋体" w:hAnsi="宋体" w:cs="宋体"/>
                <w:szCs w:val="21"/>
                <w:highlight w:val="yellow"/>
                <w:lang w:eastAsia="zh-CN"/>
              </w:rPr>
              <w:t>3</w:t>
            </w:r>
            <w:r>
              <w:rPr>
                <w:rFonts w:hint="eastAsia" w:ascii="宋体" w:hAnsi="宋体" w:cs="宋体"/>
                <w:szCs w:val="21"/>
                <w:highlight w:val="yellow"/>
              </w:rPr>
              <w:t>.1</w:t>
            </w:r>
            <w:r>
              <w:rPr>
                <w:rFonts w:hint="eastAsia" w:ascii="宋体" w:hAnsi="宋体" w:cs="宋体"/>
                <w:szCs w:val="21"/>
                <w:highlight w:val="yellow"/>
              </w:rPr>
              <w:tab/>
            </w:r>
            <w:r>
              <w:rPr>
                <w:rFonts w:hint="eastAsia" w:ascii="宋体" w:hAnsi="宋体" w:cs="宋体"/>
                <w:szCs w:val="21"/>
                <w:highlight w:val="yellow"/>
              </w:rPr>
              <w:t>全身彩色多普勒超声波诊断仪主机4台</w:t>
            </w:r>
          </w:p>
          <w:p w14:paraId="2C9991DB">
            <w:pPr>
              <w:widowControl/>
              <w:spacing w:line="360" w:lineRule="auto"/>
              <w:rPr>
                <w:rFonts w:ascii="宋体" w:hAnsi="宋体" w:cs="宋体"/>
                <w:szCs w:val="21"/>
                <w:highlight w:val="yellow"/>
              </w:rPr>
            </w:pPr>
            <w:r>
              <w:rPr>
                <w:rFonts w:hint="eastAsia" w:ascii="宋体" w:hAnsi="宋体" w:cs="宋体"/>
                <w:szCs w:val="21"/>
                <w:highlight w:val="yellow"/>
                <w:lang w:eastAsia="zh-CN"/>
              </w:rPr>
              <w:t>3</w:t>
            </w:r>
            <w:r>
              <w:rPr>
                <w:rFonts w:hint="eastAsia" w:ascii="宋体" w:hAnsi="宋体" w:cs="宋体"/>
                <w:szCs w:val="21"/>
                <w:highlight w:val="yellow"/>
              </w:rPr>
              <w:t>.2</w:t>
            </w:r>
            <w:r>
              <w:rPr>
                <w:rFonts w:hint="eastAsia" w:ascii="宋体" w:hAnsi="宋体" w:cs="宋体"/>
                <w:szCs w:val="21"/>
                <w:highlight w:val="yellow"/>
              </w:rPr>
              <w:tab/>
            </w:r>
            <w:r>
              <w:rPr>
                <w:rFonts w:hint="eastAsia" w:ascii="宋体" w:hAnsi="宋体" w:cs="宋体"/>
                <w:szCs w:val="21"/>
                <w:highlight w:val="yellow"/>
              </w:rPr>
              <w:t>适配探头18把</w:t>
            </w:r>
          </w:p>
          <w:p w14:paraId="610C4F00">
            <w:pPr>
              <w:widowControl/>
              <w:spacing w:line="360" w:lineRule="auto"/>
              <w:rPr>
                <w:rFonts w:ascii="宋体" w:hAnsi="宋体" w:cs="宋体"/>
                <w:szCs w:val="21"/>
                <w:highlight w:val="yellow"/>
              </w:rPr>
            </w:pPr>
            <w:r>
              <w:rPr>
                <w:rFonts w:hint="eastAsia" w:ascii="宋体" w:hAnsi="宋体" w:cs="宋体"/>
                <w:szCs w:val="21"/>
                <w:highlight w:val="yellow"/>
                <w:lang w:eastAsia="zh-CN"/>
              </w:rPr>
              <w:t>3</w:t>
            </w:r>
            <w:r>
              <w:rPr>
                <w:rFonts w:hint="eastAsia" w:ascii="宋体" w:hAnsi="宋体" w:cs="宋体"/>
                <w:szCs w:val="21"/>
                <w:highlight w:val="yellow"/>
              </w:rPr>
              <w:t>.2.1腹部凸阵探头4把</w:t>
            </w:r>
          </w:p>
          <w:p w14:paraId="2D4FD9B9">
            <w:pPr>
              <w:widowControl/>
              <w:spacing w:line="360" w:lineRule="auto"/>
              <w:rPr>
                <w:rFonts w:ascii="宋体" w:hAnsi="宋体" w:cs="宋体"/>
                <w:szCs w:val="21"/>
                <w:highlight w:val="yellow"/>
              </w:rPr>
            </w:pPr>
            <w:r>
              <w:rPr>
                <w:rFonts w:hint="eastAsia" w:ascii="宋体" w:hAnsi="宋体" w:cs="宋体"/>
                <w:szCs w:val="21"/>
                <w:highlight w:val="yellow"/>
                <w:lang w:eastAsia="zh-CN"/>
              </w:rPr>
              <w:t>3</w:t>
            </w:r>
            <w:r>
              <w:rPr>
                <w:rFonts w:hint="eastAsia" w:ascii="宋体" w:hAnsi="宋体" w:cs="宋体"/>
                <w:szCs w:val="21"/>
                <w:highlight w:val="yellow"/>
              </w:rPr>
              <w:t xml:space="preserve">.2.2高频血管线阵探头4把    </w:t>
            </w:r>
          </w:p>
          <w:p w14:paraId="08BC26ED">
            <w:pPr>
              <w:widowControl/>
              <w:spacing w:line="360" w:lineRule="auto"/>
              <w:rPr>
                <w:rFonts w:ascii="宋体" w:hAnsi="宋体" w:cs="宋体"/>
                <w:szCs w:val="21"/>
                <w:highlight w:val="yellow"/>
              </w:rPr>
            </w:pPr>
            <w:r>
              <w:rPr>
                <w:rFonts w:hint="eastAsia" w:ascii="宋体" w:hAnsi="宋体" w:cs="宋体"/>
                <w:szCs w:val="21"/>
                <w:highlight w:val="yellow"/>
                <w:lang w:eastAsia="zh-CN"/>
              </w:rPr>
              <w:t>3</w:t>
            </w:r>
            <w:r>
              <w:rPr>
                <w:rFonts w:hint="eastAsia" w:ascii="宋体" w:hAnsi="宋体" w:cs="宋体"/>
                <w:szCs w:val="21"/>
                <w:highlight w:val="yellow"/>
              </w:rPr>
              <w:t>.2.3 高频小器官线阵探头4把</w:t>
            </w:r>
          </w:p>
          <w:p w14:paraId="7C65C32D">
            <w:pPr>
              <w:widowControl/>
              <w:spacing w:line="360" w:lineRule="auto"/>
              <w:rPr>
                <w:rFonts w:ascii="宋体" w:hAnsi="宋体" w:cs="宋体"/>
                <w:szCs w:val="21"/>
                <w:highlight w:val="yellow"/>
              </w:rPr>
            </w:pPr>
            <w:r>
              <w:rPr>
                <w:rFonts w:hint="eastAsia" w:ascii="宋体" w:hAnsi="宋体" w:cs="宋体"/>
                <w:szCs w:val="21"/>
                <w:highlight w:val="yellow"/>
                <w:lang w:val="en-US" w:eastAsia="zh-CN"/>
              </w:rPr>
              <w:t>3</w:t>
            </w:r>
            <w:r>
              <w:rPr>
                <w:rFonts w:hint="eastAsia" w:ascii="宋体" w:hAnsi="宋体" w:cs="宋体"/>
                <w:szCs w:val="21"/>
                <w:highlight w:val="yellow"/>
              </w:rPr>
              <w:t>.2.4 心脏相控阵探头2把</w:t>
            </w:r>
          </w:p>
          <w:p w14:paraId="69A1BD30">
            <w:pPr>
              <w:widowControl/>
              <w:spacing w:line="360" w:lineRule="auto"/>
              <w:rPr>
                <w:rFonts w:ascii="宋体" w:hAnsi="宋体" w:cs="宋体"/>
                <w:szCs w:val="21"/>
                <w:highlight w:val="yellow"/>
              </w:rPr>
            </w:pPr>
            <w:r>
              <w:rPr>
                <w:rFonts w:hint="eastAsia" w:ascii="宋体" w:hAnsi="宋体" w:cs="宋体"/>
                <w:szCs w:val="21"/>
                <w:highlight w:val="yellow"/>
                <w:lang w:val="en-US" w:eastAsia="zh-CN"/>
              </w:rPr>
              <w:t>3</w:t>
            </w:r>
            <w:r>
              <w:rPr>
                <w:rFonts w:hint="eastAsia" w:ascii="宋体" w:hAnsi="宋体" w:cs="宋体"/>
                <w:szCs w:val="21"/>
                <w:highlight w:val="yellow"/>
              </w:rPr>
              <w:t>.2.5腔内探头2把</w:t>
            </w:r>
          </w:p>
          <w:p w14:paraId="20F3B792">
            <w:pPr>
              <w:widowControl/>
              <w:spacing w:line="360" w:lineRule="auto"/>
              <w:rPr>
                <w:rFonts w:ascii="宋体" w:hAnsi="宋体" w:cs="宋体"/>
                <w:szCs w:val="21"/>
                <w:highlight w:val="yellow"/>
              </w:rPr>
            </w:pPr>
            <w:r>
              <w:rPr>
                <w:rFonts w:hint="eastAsia" w:ascii="宋体" w:hAnsi="宋体" w:cs="宋体"/>
                <w:szCs w:val="21"/>
                <w:highlight w:val="yellow"/>
                <w:lang w:val="en-US" w:eastAsia="zh-CN"/>
              </w:rPr>
              <w:t>3</w:t>
            </w:r>
            <w:r>
              <w:rPr>
                <w:rFonts w:hint="eastAsia" w:ascii="宋体" w:hAnsi="宋体" w:cs="宋体"/>
                <w:szCs w:val="21"/>
                <w:highlight w:val="yellow"/>
              </w:rPr>
              <w:t>.2.6腔内（阴超）容积探头2把</w:t>
            </w:r>
          </w:p>
          <w:p w14:paraId="2CFE9F9C">
            <w:pPr>
              <w:widowControl/>
              <w:spacing w:line="360" w:lineRule="auto"/>
              <w:rPr>
                <w:rFonts w:ascii="宋体" w:hAnsi="宋体" w:cs="宋体"/>
                <w:szCs w:val="21"/>
                <w:highlight w:val="yellow"/>
              </w:rPr>
            </w:pPr>
            <w:r>
              <w:rPr>
                <w:rFonts w:hint="eastAsia" w:ascii="宋体" w:hAnsi="宋体" w:cs="宋体"/>
                <w:szCs w:val="21"/>
                <w:highlight w:val="yellow"/>
                <w:lang w:val="en-US" w:eastAsia="zh-CN"/>
              </w:rPr>
              <w:t>3</w:t>
            </w:r>
            <w:r>
              <w:rPr>
                <w:rFonts w:hint="eastAsia" w:ascii="宋体" w:hAnsi="宋体" w:cs="宋体"/>
                <w:szCs w:val="21"/>
                <w:highlight w:val="yellow"/>
              </w:rPr>
              <w:t>.3 超声诊断工作站4套</w:t>
            </w:r>
          </w:p>
          <w:p w14:paraId="5260EE12">
            <w:pPr>
              <w:widowControl/>
              <w:spacing w:line="360" w:lineRule="auto"/>
              <w:rPr>
                <w:rFonts w:ascii="宋体" w:hAnsi="宋体" w:cs="宋体"/>
                <w:szCs w:val="21"/>
              </w:rPr>
            </w:pPr>
            <w:r>
              <w:rPr>
                <w:rFonts w:hint="eastAsia" w:ascii="宋体" w:hAnsi="宋体" w:cs="宋体"/>
                <w:szCs w:val="21"/>
                <w:highlight w:val="yellow"/>
                <w:lang w:val="en-US" w:eastAsia="zh-CN"/>
              </w:rPr>
              <w:t>3</w:t>
            </w:r>
            <w:r>
              <w:rPr>
                <w:rFonts w:hint="eastAsia" w:ascii="宋体" w:hAnsi="宋体" w:cs="宋体"/>
                <w:szCs w:val="21"/>
                <w:highlight w:val="yellow"/>
              </w:rPr>
              <w:t>.4</w:t>
            </w:r>
            <w:r>
              <w:rPr>
                <w:rFonts w:hint="eastAsia" w:ascii="宋体" w:hAnsi="宋体" w:cs="宋体"/>
                <w:szCs w:val="21"/>
                <w:highlight w:val="yellow"/>
              </w:rPr>
              <w:tab/>
            </w:r>
            <w:r>
              <w:rPr>
                <w:rFonts w:hint="eastAsia" w:ascii="宋体" w:hAnsi="宋体" w:cs="宋体"/>
                <w:szCs w:val="21"/>
                <w:highlight w:val="yellow"/>
              </w:rPr>
              <w:t>配套超声检查椅及超声检查床4套</w:t>
            </w:r>
          </w:p>
        </w:tc>
      </w:tr>
    </w:tbl>
    <w:p w14:paraId="4A9CD48C">
      <w:pPr>
        <w:spacing w:line="360" w:lineRule="auto"/>
        <w:rPr>
          <w:rFonts w:asciiTheme="minorEastAsia" w:hAnsiTheme="minorEastAsia" w:eastAsiaTheme="minorEastAsia"/>
          <w:b/>
          <w:bCs/>
          <w:snapToGrid w:val="0"/>
          <w:kern w:val="0"/>
          <w:sz w:val="24"/>
        </w:rPr>
      </w:pPr>
    </w:p>
    <w:p w14:paraId="440BFE39">
      <w:pPr>
        <w:numPr>
          <w:ilvl w:val="255"/>
          <w:numId w:val="0"/>
        </w:numPr>
        <w:spacing w:line="360" w:lineRule="auto"/>
        <w:rPr>
          <w:rFonts w:ascii="宋体" w:hAnsi="宋体" w:cs="宋体"/>
          <w:b/>
          <w:bCs/>
          <w:snapToGrid w:val="0"/>
          <w:kern w:val="0"/>
          <w:sz w:val="24"/>
        </w:rPr>
      </w:pPr>
      <w:r>
        <w:rPr>
          <w:rFonts w:hint="eastAsia" w:ascii="宋体" w:hAnsi="宋体" w:cs="宋体"/>
          <w:b/>
          <w:bCs/>
          <w:snapToGrid w:val="0"/>
          <w:kern w:val="0"/>
          <w:sz w:val="24"/>
        </w:rPr>
        <w:t>2、</w:t>
      </w:r>
      <w:r>
        <w:rPr>
          <w:rFonts w:hint="eastAsia" w:ascii="宋体" w:hAnsi="宋体" w:cs="宋体"/>
          <w:b/>
          <w:bCs/>
          <w:sz w:val="24"/>
        </w:rPr>
        <w:t>匹配所投设备相关配件清单</w:t>
      </w:r>
      <w:r>
        <w:rPr>
          <w:rFonts w:hint="eastAsia" w:ascii="宋体" w:hAnsi="宋体" w:cs="宋体"/>
          <w:b/>
          <w:bCs/>
          <w:snapToGrid w:val="0"/>
          <w:kern w:val="0"/>
          <w:sz w:val="24"/>
        </w:rPr>
        <w:t>（适用于A、B包）</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7236"/>
      </w:tblGrid>
      <w:tr w14:paraId="5D6B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703" w:type="dxa"/>
            <w:vAlign w:val="center"/>
          </w:tcPr>
          <w:p w14:paraId="7F475F00">
            <w:pPr>
              <w:jc w:val="center"/>
              <w:rPr>
                <w:rFonts w:ascii="宋体" w:hAnsi="宋体" w:cs="宋体"/>
                <w:b/>
                <w:bCs/>
                <w:sz w:val="24"/>
              </w:rPr>
            </w:pPr>
            <w:r>
              <w:rPr>
                <w:rFonts w:hint="eastAsia" w:ascii="宋体" w:hAnsi="宋体" w:cs="宋体"/>
                <w:b/>
                <w:bCs/>
                <w:sz w:val="24"/>
              </w:rPr>
              <w:t>序号</w:t>
            </w:r>
          </w:p>
        </w:tc>
        <w:tc>
          <w:tcPr>
            <w:tcW w:w="7236" w:type="dxa"/>
            <w:vAlign w:val="center"/>
          </w:tcPr>
          <w:p w14:paraId="7E1D92F5">
            <w:pPr>
              <w:jc w:val="center"/>
              <w:rPr>
                <w:rFonts w:ascii="宋体" w:hAnsi="宋体" w:cs="宋体"/>
                <w:b/>
                <w:bCs/>
                <w:sz w:val="24"/>
              </w:rPr>
            </w:pPr>
            <w:r>
              <w:rPr>
                <w:rFonts w:hint="eastAsia" w:ascii="宋体" w:hAnsi="宋体" w:cs="宋体"/>
                <w:b/>
                <w:bCs/>
                <w:sz w:val="24"/>
              </w:rPr>
              <w:t>货物名称</w:t>
            </w:r>
          </w:p>
        </w:tc>
      </w:tr>
      <w:tr w14:paraId="01F4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703" w:type="dxa"/>
            <w:vAlign w:val="center"/>
          </w:tcPr>
          <w:p w14:paraId="29A40803">
            <w:pPr>
              <w:widowControl/>
              <w:spacing w:line="360" w:lineRule="auto"/>
              <w:jc w:val="center"/>
              <w:rPr>
                <w:rFonts w:ascii="宋体" w:hAnsi="宋体" w:cs="宋体"/>
                <w:szCs w:val="21"/>
              </w:rPr>
            </w:pPr>
            <w:r>
              <w:rPr>
                <w:rFonts w:hint="eastAsia" w:ascii="宋体" w:hAnsi="宋体" w:cs="宋体"/>
                <w:szCs w:val="21"/>
              </w:rPr>
              <w:t>1</w:t>
            </w:r>
          </w:p>
        </w:tc>
        <w:tc>
          <w:tcPr>
            <w:tcW w:w="7236" w:type="dxa"/>
            <w:vAlign w:val="center"/>
          </w:tcPr>
          <w:p w14:paraId="7721771F">
            <w:pPr>
              <w:widowControl/>
              <w:spacing w:line="360" w:lineRule="auto"/>
              <w:jc w:val="center"/>
              <w:rPr>
                <w:rFonts w:ascii="宋体" w:hAnsi="宋体" w:cs="宋体"/>
                <w:szCs w:val="21"/>
              </w:rPr>
            </w:pPr>
            <w:r>
              <w:rPr>
                <w:rFonts w:hint="eastAsia" w:ascii="宋体" w:hAnsi="宋体" w:cs="宋体"/>
                <w:szCs w:val="21"/>
              </w:rPr>
              <w:t>实时三维探头</w:t>
            </w:r>
          </w:p>
        </w:tc>
      </w:tr>
      <w:tr w14:paraId="662C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703" w:type="dxa"/>
            <w:vAlign w:val="center"/>
          </w:tcPr>
          <w:p w14:paraId="7FC36D45">
            <w:pPr>
              <w:widowControl/>
              <w:spacing w:line="360" w:lineRule="auto"/>
              <w:jc w:val="center"/>
              <w:rPr>
                <w:rFonts w:ascii="宋体" w:hAnsi="宋体" w:cs="宋体"/>
                <w:szCs w:val="21"/>
              </w:rPr>
            </w:pPr>
            <w:r>
              <w:rPr>
                <w:rFonts w:hint="eastAsia" w:ascii="宋体" w:hAnsi="宋体" w:cs="宋体"/>
                <w:szCs w:val="21"/>
              </w:rPr>
              <w:t>2</w:t>
            </w:r>
          </w:p>
        </w:tc>
        <w:tc>
          <w:tcPr>
            <w:tcW w:w="7236" w:type="dxa"/>
            <w:vAlign w:val="center"/>
          </w:tcPr>
          <w:p w14:paraId="406017A9">
            <w:pPr>
              <w:widowControl/>
              <w:spacing w:line="360" w:lineRule="auto"/>
              <w:jc w:val="center"/>
              <w:rPr>
                <w:rFonts w:ascii="宋体" w:hAnsi="宋体" w:cs="宋体"/>
                <w:szCs w:val="21"/>
              </w:rPr>
            </w:pPr>
            <w:r>
              <w:rPr>
                <w:rFonts w:hint="eastAsia" w:ascii="宋体" w:hAnsi="宋体" w:cs="宋体"/>
                <w:szCs w:val="21"/>
              </w:rPr>
              <w:t>腹部凸阵探头</w:t>
            </w:r>
          </w:p>
        </w:tc>
      </w:tr>
      <w:tr w14:paraId="5A1D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703" w:type="dxa"/>
            <w:vAlign w:val="center"/>
          </w:tcPr>
          <w:p w14:paraId="1980AF5C">
            <w:pPr>
              <w:widowControl/>
              <w:spacing w:line="360" w:lineRule="auto"/>
              <w:jc w:val="center"/>
              <w:rPr>
                <w:rFonts w:ascii="宋体" w:hAnsi="宋体" w:cs="宋体"/>
                <w:szCs w:val="21"/>
              </w:rPr>
            </w:pPr>
            <w:r>
              <w:rPr>
                <w:rFonts w:hint="eastAsia" w:ascii="宋体" w:hAnsi="宋体" w:cs="宋体"/>
                <w:szCs w:val="21"/>
              </w:rPr>
              <w:t>3</w:t>
            </w:r>
          </w:p>
        </w:tc>
        <w:tc>
          <w:tcPr>
            <w:tcW w:w="7236" w:type="dxa"/>
            <w:vAlign w:val="center"/>
          </w:tcPr>
          <w:p w14:paraId="59E5AFA9">
            <w:pPr>
              <w:widowControl/>
              <w:spacing w:line="360" w:lineRule="auto"/>
              <w:jc w:val="center"/>
              <w:rPr>
                <w:rFonts w:ascii="宋体" w:hAnsi="宋体" w:cs="宋体"/>
                <w:szCs w:val="21"/>
              </w:rPr>
            </w:pPr>
            <w:r>
              <w:rPr>
                <w:rFonts w:hint="eastAsia" w:ascii="宋体" w:hAnsi="宋体" w:cs="宋体"/>
                <w:szCs w:val="21"/>
              </w:rPr>
              <w:t>心脏相控阵探头</w:t>
            </w:r>
          </w:p>
        </w:tc>
      </w:tr>
      <w:tr w14:paraId="5AA8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703" w:type="dxa"/>
            <w:vAlign w:val="center"/>
          </w:tcPr>
          <w:p w14:paraId="08FE862B">
            <w:pPr>
              <w:widowControl/>
              <w:spacing w:line="360" w:lineRule="auto"/>
              <w:jc w:val="center"/>
              <w:rPr>
                <w:rFonts w:ascii="宋体" w:hAnsi="宋体" w:cs="宋体"/>
                <w:szCs w:val="21"/>
              </w:rPr>
            </w:pPr>
            <w:r>
              <w:rPr>
                <w:rFonts w:hint="eastAsia" w:ascii="宋体" w:hAnsi="宋体" w:cs="宋体"/>
                <w:szCs w:val="21"/>
              </w:rPr>
              <w:t>4</w:t>
            </w:r>
          </w:p>
        </w:tc>
        <w:tc>
          <w:tcPr>
            <w:tcW w:w="7236" w:type="dxa"/>
            <w:vAlign w:val="center"/>
          </w:tcPr>
          <w:p w14:paraId="29D75097">
            <w:pPr>
              <w:widowControl/>
              <w:spacing w:line="360" w:lineRule="auto"/>
              <w:jc w:val="center"/>
              <w:rPr>
                <w:rFonts w:ascii="宋体" w:hAnsi="宋体" w:cs="宋体"/>
                <w:szCs w:val="21"/>
              </w:rPr>
            </w:pPr>
            <w:r>
              <w:rPr>
                <w:rFonts w:hint="eastAsia" w:ascii="宋体" w:hAnsi="宋体" w:cs="宋体"/>
                <w:szCs w:val="21"/>
              </w:rPr>
              <w:t>腔内探头</w:t>
            </w:r>
          </w:p>
        </w:tc>
      </w:tr>
      <w:tr w14:paraId="6CD2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703" w:type="dxa"/>
            <w:vAlign w:val="center"/>
          </w:tcPr>
          <w:p w14:paraId="430EC971">
            <w:pPr>
              <w:widowControl/>
              <w:spacing w:line="360" w:lineRule="auto"/>
              <w:jc w:val="center"/>
              <w:rPr>
                <w:rFonts w:ascii="宋体" w:hAnsi="宋体" w:cs="宋体"/>
                <w:szCs w:val="21"/>
              </w:rPr>
            </w:pPr>
            <w:r>
              <w:rPr>
                <w:rFonts w:hint="eastAsia" w:ascii="宋体" w:hAnsi="宋体" w:cs="宋体"/>
                <w:szCs w:val="21"/>
              </w:rPr>
              <w:t>5</w:t>
            </w:r>
          </w:p>
        </w:tc>
        <w:tc>
          <w:tcPr>
            <w:tcW w:w="7236" w:type="dxa"/>
            <w:vAlign w:val="center"/>
          </w:tcPr>
          <w:p w14:paraId="4BD45195">
            <w:pPr>
              <w:widowControl/>
              <w:spacing w:line="360" w:lineRule="auto"/>
              <w:jc w:val="center"/>
              <w:rPr>
                <w:rFonts w:ascii="宋体" w:hAnsi="宋体" w:cs="宋体"/>
                <w:szCs w:val="21"/>
              </w:rPr>
            </w:pPr>
            <w:r>
              <w:rPr>
                <w:rFonts w:hint="eastAsia" w:ascii="宋体" w:hAnsi="宋体" w:cs="宋体"/>
                <w:szCs w:val="21"/>
              </w:rPr>
              <w:t>高频血管线阵探头</w:t>
            </w:r>
          </w:p>
        </w:tc>
      </w:tr>
      <w:tr w14:paraId="7CBC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03" w:type="dxa"/>
            <w:vAlign w:val="center"/>
          </w:tcPr>
          <w:p w14:paraId="5F6CF5C9">
            <w:pPr>
              <w:widowControl/>
              <w:spacing w:line="360" w:lineRule="auto"/>
              <w:jc w:val="center"/>
              <w:rPr>
                <w:rFonts w:ascii="宋体" w:hAnsi="宋体" w:cs="宋体"/>
                <w:szCs w:val="21"/>
              </w:rPr>
            </w:pPr>
            <w:r>
              <w:rPr>
                <w:rFonts w:hint="eastAsia" w:ascii="宋体" w:hAnsi="宋体" w:cs="宋体"/>
                <w:szCs w:val="21"/>
              </w:rPr>
              <w:t>6</w:t>
            </w:r>
          </w:p>
        </w:tc>
        <w:tc>
          <w:tcPr>
            <w:tcW w:w="7236" w:type="dxa"/>
            <w:vAlign w:val="center"/>
          </w:tcPr>
          <w:p w14:paraId="36004B84">
            <w:pPr>
              <w:widowControl/>
              <w:spacing w:line="360" w:lineRule="auto"/>
              <w:jc w:val="center"/>
              <w:rPr>
                <w:rFonts w:ascii="宋体" w:hAnsi="宋体" w:cs="宋体"/>
                <w:szCs w:val="21"/>
              </w:rPr>
            </w:pPr>
            <w:r>
              <w:rPr>
                <w:rFonts w:hint="eastAsia" w:ascii="宋体" w:hAnsi="宋体" w:cs="宋体"/>
                <w:szCs w:val="21"/>
              </w:rPr>
              <w:t>高频小器官线阵探头</w:t>
            </w:r>
          </w:p>
        </w:tc>
      </w:tr>
    </w:tbl>
    <w:p w14:paraId="6225F436">
      <w:pPr>
        <w:spacing w:line="360" w:lineRule="auto"/>
        <w:rPr>
          <w:rFonts w:asciiTheme="minorEastAsia" w:hAnsiTheme="minorEastAsia" w:eastAsiaTheme="minorEastAsia"/>
          <w:b/>
          <w:bCs/>
          <w:snapToGrid w:val="0"/>
          <w:kern w:val="0"/>
          <w:sz w:val="24"/>
        </w:rPr>
      </w:pPr>
    </w:p>
    <w:p w14:paraId="5EB45280">
      <w:pPr>
        <w:spacing w:line="360" w:lineRule="auto"/>
      </w:pPr>
      <w:r>
        <w:rPr>
          <w:rFonts w:hint="eastAsia" w:asciiTheme="minorEastAsia" w:hAnsiTheme="minorEastAsia" w:eastAsiaTheme="minorEastAsia"/>
          <w:b/>
          <w:bCs/>
          <w:snapToGrid w:val="0"/>
          <w:kern w:val="0"/>
          <w:sz w:val="24"/>
        </w:rPr>
        <w:t>三、商务要求</w:t>
      </w:r>
    </w:p>
    <w:p w14:paraId="01E61C1A">
      <w:pPr>
        <w:pStyle w:val="42"/>
        <w:spacing w:line="360" w:lineRule="auto"/>
        <w:ind w:firstLine="0"/>
        <w:jc w:val="left"/>
        <w:rPr>
          <w:rFonts w:ascii="宋体" w:hAnsi="宋体" w:cs="宋体"/>
          <w:b/>
          <w:bCs/>
          <w:sz w:val="24"/>
          <w:szCs w:val="24"/>
          <w:lang w:eastAsia="zh-TW"/>
        </w:rPr>
      </w:pPr>
      <w:r>
        <w:rPr>
          <w:rFonts w:hint="eastAsia" w:ascii="宋体" w:hAnsi="宋体" w:cs="宋体"/>
          <w:b/>
          <w:bCs/>
          <w:sz w:val="24"/>
          <w:szCs w:val="24"/>
        </w:rPr>
        <w:t>（A包）</w:t>
      </w:r>
    </w:p>
    <w:p w14:paraId="4F1AC4ED">
      <w:pPr>
        <w:pStyle w:val="42"/>
        <w:spacing w:line="360" w:lineRule="auto"/>
        <w:ind w:firstLine="0"/>
        <w:jc w:val="left"/>
        <w:rPr>
          <w:rFonts w:ascii="宋体" w:hAnsi="宋体" w:cs="宋体"/>
          <w:b/>
          <w:bCs/>
          <w:szCs w:val="21"/>
          <w:lang w:eastAsia="zh-TW"/>
        </w:rPr>
      </w:pPr>
      <w:r>
        <w:rPr>
          <w:rFonts w:hint="eastAsia" w:ascii="宋体" w:hAnsi="宋体" w:cs="宋体"/>
          <w:b/>
          <w:bCs/>
          <w:szCs w:val="21"/>
          <w:lang w:eastAsia="zh-TW"/>
        </w:rPr>
        <w:t>（一）全身多普勒超声诊断仪：</w:t>
      </w:r>
    </w:p>
    <w:p w14:paraId="3C98D79E">
      <w:pPr>
        <w:pStyle w:val="42"/>
        <w:numPr>
          <w:ilvl w:val="255"/>
          <w:numId w:val="0"/>
        </w:numPr>
        <w:spacing w:line="360" w:lineRule="auto"/>
        <w:ind w:firstLine="420" w:firstLineChars="200"/>
        <w:jc w:val="left"/>
        <w:rPr>
          <w:rFonts w:ascii="宋体" w:hAnsi="宋体" w:cs="宋体"/>
          <w:highlight w:val="yellow"/>
        </w:rPr>
      </w:pPr>
      <w:r>
        <w:rPr>
          <w:rFonts w:hint="eastAsia" w:ascii="宋体" w:hAnsi="宋体" w:cs="宋体"/>
          <w:highlight w:val="yellow"/>
        </w:rPr>
        <w:t>★1、签定合同日期：</w:t>
      </w:r>
    </w:p>
    <w:p w14:paraId="25DBD14B">
      <w:pPr>
        <w:pStyle w:val="42"/>
        <w:numPr>
          <w:ilvl w:val="255"/>
          <w:numId w:val="0"/>
        </w:numPr>
        <w:spacing w:line="360" w:lineRule="auto"/>
        <w:ind w:firstLine="420" w:firstLineChars="200"/>
        <w:jc w:val="left"/>
        <w:rPr>
          <w:rFonts w:ascii="宋体" w:hAnsi="宋体" w:cs="宋体"/>
          <w:highlight w:val="yellow"/>
        </w:rPr>
      </w:pPr>
      <w:r>
        <w:rPr>
          <w:rFonts w:hint="eastAsia" w:ascii="宋体" w:hAnsi="宋体" w:cs="宋体"/>
          <w:highlight w:val="yellow"/>
        </w:rPr>
        <w:t>自中标通知书发出之日起30日内（日历日）。</w:t>
      </w:r>
    </w:p>
    <w:p w14:paraId="06497463">
      <w:pPr>
        <w:pStyle w:val="42"/>
        <w:spacing w:line="360" w:lineRule="auto"/>
        <w:ind w:firstLine="420" w:firstLineChars="200"/>
        <w:jc w:val="left"/>
        <w:rPr>
          <w:rFonts w:ascii="宋体" w:hAnsi="宋体" w:cs="宋体"/>
          <w:szCs w:val="21"/>
          <w:highlight w:val="yellow"/>
        </w:rPr>
      </w:pPr>
      <w:r>
        <w:rPr>
          <w:rFonts w:hint="eastAsia" w:ascii="宋体" w:hAnsi="宋体" w:cs="宋体"/>
          <w:highlight w:val="yellow"/>
        </w:rPr>
        <w:t>★</w:t>
      </w:r>
      <w:r>
        <w:rPr>
          <w:rFonts w:hint="eastAsia" w:ascii="宋体" w:hAnsi="宋体" w:cs="宋体"/>
          <w:szCs w:val="21"/>
          <w:highlight w:val="yellow"/>
        </w:rPr>
        <w:t>2、交货期：</w:t>
      </w:r>
    </w:p>
    <w:p w14:paraId="58DE1401">
      <w:pPr>
        <w:pStyle w:val="42"/>
        <w:spacing w:line="360" w:lineRule="auto"/>
        <w:ind w:firstLine="420" w:firstLineChars="200"/>
        <w:jc w:val="left"/>
        <w:rPr>
          <w:rFonts w:ascii="宋体" w:hAnsi="宋体" w:cs="宋体"/>
          <w:szCs w:val="21"/>
          <w:highlight w:val="yellow"/>
        </w:rPr>
      </w:pPr>
      <w:bookmarkStart w:id="5" w:name="OLE_LINK5"/>
      <w:r>
        <w:rPr>
          <w:rFonts w:hint="eastAsia" w:ascii="宋体" w:hAnsi="宋体" w:cs="宋体"/>
          <w:szCs w:val="21"/>
          <w:highlight w:val="yellow"/>
        </w:rPr>
        <w:t>（1）</w:t>
      </w:r>
      <w:bookmarkEnd w:id="5"/>
      <w:r>
        <w:rPr>
          <w:rFonts w:hint="eastAsia" w:ascii="宋体" w:hAnsi="宋体" w:cs="宋体"/>
          <w:szCs w:val="21"/>
          <w:highlight w:val="yellow"/>
        </w:rPr>
        <w:t>中标人在合同签订之日起60天内（日历天）将所有货物全部安装、调试完毕并交付使用。如出现未能到期供货的情况，采购人有权单方终止合同的执行，所有的经济损失由中标人承担。</w:t>
      </w:r>
    </w:p>
    <w:p w14:paraId="0D9AB457">
      <w:pPr>
        <w:pStyle w:val="42"/>
        <w:spacing w:line="360" w:lineRule="auto"/>
        <w:ind w:firstLine="420" w:firstLineChars="200"/>
        <w:jc w:val="left"/>
        <w:rPr>
          <w:rFonts w:ascii="宋体" w:hAnsi="宋体" w:cs="宋体"/>
          <w:szCs w:val="21"/>
          <w:highlight w:val="yellow"/>
          <w:lang w:eastAsia="zh-TW"/>
        </w:rPr>
      </w:pPr>
      <w:r>
        <w:rPr>
          <w:rFonts w:hint="eastAsia" w:ascii="宋体" w:hAnsi="宋体" w:cs="宋体"/>
          <w:szCs w:val="21"/>
          <w:highlight w:val="yellow"/>
        </w:rPr>
        <w:t>（2）</w:t>
      </w:r>
      <w:r>
        <w:rPr>
          <w:rFonts w:hint="eastAsia" w:ascii="宋体" w:hAnsi="宋体" w:cs="宋体"/>
          <w:szCs w:val="21"/>
          <w:highlight w:val="yellow"/>
          <w:lang w:eastAsia="zh-TW"/>
        </w:rPr>
        <w:t>交货地点为：</w:t>
      </w:r>
      <w:r>
        <w:rPr>
          <w:rFonts w:hint="eastAsia" w:ascii="宋体" w:hAnsi="宋体" w:cs="宋体"/>
          <w:szCs w:val="21"/>
          <w:highlight w:val="yellow"/>
        </w:rPr>
        <w:t>采购人</w:t>
      </w:r>
      <w:r>
        <w:rPr>
          <w:rFonts w:hint="eastAsia" w:ascii="宋体" w:hAnsi="宋体" w:cs="宋体"/>
          <w:szCs w:val="21"/>
          <w:highlight w:val="yellow"/>
          <w:lang w:eastAsia="zh-TW"/>
        </w:rPr>
        <w:t>指定地点。</w:t>
      </w:r>
    </w:p>
    <w:p w14:paraId="2CD1E10D">
      <w:pPr>
        <w:pStyle w:val="42"/>
        <w:spacing w:line="360" w:lineRule="auto"/>
        <w:ind w:firstLine="420" w:firstLineChars="200"/>
        <w:jc w:val="left"/>
        <w:rPr>
          <w:rFonts w:ascii="宋体" w:hAnsi="宋体" w:cs="宋体"/>
          <w:szCs w:val="21"/>
          <w:highlight w:val="yellow"/>
          <w:lang w:eastAsia="zh-TW"/>
        </w:rPr>
      </w:pPr>
      <w:r>
        <w:rPr>
          <w:rFonts w:hint="eastAsia" w:ascii="宋体" w:hAnsi="宋体" w:cs="宋体"/>
          <w:szCs w:val="21"/>
          <w:highlight w:val="yellow"/>
        </w:rPr>
        <w:t>（3）</w:t>
      </w:r>
      <w:r>
        <w:rPr>
          <w:rFonts w:hint="eastAsia" w:ascii="宋体" w:hAnsi="宋体" w:cs="宋体"/>
          <w:szCs w:val="21"/>
          <w:highlight w:val="yellow"/>
          <w:lang w:eastAsia="zh-TW"/>
        </w:rPr>
        <w:t>交货验收前的一切费用（包括包装、运输、保险、入关事宜、安装调试等）</w:t>
      </w:r>
      <w:r>
        <w:rPr>
          <w:rFonts w:hint="eastAsia" w:ascii="宋体" w:hAnsi="宋体" w:cs="宋体"/>
          <w:szCs w:val="21"/>
          <w:highlight w:val="yellow"/>
        </w:rPr>
        <w:t>及</w:t>
      </w:r>
      <w:r>
        <w:rPr>
          <w:rFonts w:hint="eastAsia" w:ascii="宋体" w:hAnsi="宋体" w:cs="宋体"/>
          <w:szCs w:val="21"/>
          <w:highlight w:val="yellow"/>
          <w:lang w:eastAsia="zh-TW"/>
        </w:rPr>
        <w:t>风险（包括损坏、灭失等）均由</w:t>
      </w:r>
      <w:r>
        <w:rPr>
          <w:rFonts w:hint="eastAsia" w:ascii="宋体" w:hAnsi="宋体" w:cs="宋体"/>
          <w:szCs w:val="21"/>
          <w:highlight w:val="yellow"/>
        </w:rPr>
        <w:t>中标人</w:t>
      </w:r>
      <w:r>
        <w:rPr>
          <w:rFonts w:hint="eastAsia" w:ascii="宋体" w:hAnsi="宋体" w:cs="宋体"/>
          <w:szCs w:val="21"/>
          <w:highlight w:val="yellow"/>
          <w:lang w:eastAsia="zh-TW"/>
        </w:rPr>
        <w:t>承担。</w:t>
      </w:r>
    </w:p>
    <w:p w14:paraId="43F7B201">
      <w:pPr>
        <w:pStyle w:val="42"/>
        <w:spacing w:line="360" w:lineRule="auto"/>
        <w:ind w:firstLine="420" w:firstLineChars="200"/>
        <w:jc w:val="left"/>
        <w:rPr>
          <w:rFonts w:ascii="宋体" w:hAnsi="宋体" w:cs="宋体"/>
          <w:szCs w:val="21"/>
        </w:rPr>
      </w:pPr>
      <w:r>
        <w:rPr>
          <w:rFonts w:hint="eastAsia" w:ascii="宋体" w:hAnsi="宋体" w:cs="宋体"/>
          <w:szCs w:val="21"/>
        </w:rPr>
        <w:t>3、</w:t>
      </w:r>
      <w:r>
        <w:rPr>
          <w:rFonts w:hint="eastAsia" w:ascii="宋体" w:hAnsi="宋体" w:cs="宋体"/>
          <w:szCs w:val="21"/>
          <w:lang w:eastAsia="zh-TW"/>
        </w:rPr>
        <w:t>付款方式</w:t>
      </w:r>
      <w:r>
        <w:rPr>
          <w:rFonts w:hint="eastAsia" w:ascii="宋体" w:hAnsi="宋体" w:cs="宋体"/>
          <w:szCs w:val="21"/>
        </w:rPr>
        <w:t>：</w:t>
      </w:r>
    </w:p>
    <w:p w14:paraId="3F17C1E4">
      <w:pPr>
        <w:spacing w:line="360" w:lineRule="auto"/>
        <w:ind w:firstLine="420" w:firstLineChars="200"/>
        <w:rPr>
          <w:rFonts w:ascii="宋体" w:hAnsi="宋体" w:cs="宋体"/>
        </w:rPr>
      </w:pPr>
      <w:r>
        <w:rPr>
          <w:rFonts w:hint="eastAsia" w:ascii="宋体" w:hAnsi="宋体" w:cs="宋体"/>
          <w:szCs w:val="21"/>
        </w:rPr>
        <w:t>（1）</w:t>
      </w:r>
      <w:r>
        <w:rPr>
          <w:rFonts w:hint="eastAsia" w:ascii="宋体" w:hAnsi="宋体" w:cs="宋体"/>
        </w:rPr>
        <w:t>合同签订后，中标人向采购人交付履约保函或保证金，比例等于合同金额的10%，并提交下列单据之日起10个工作日内，采购人向中标人支付合同总价 50%合同款。</w:t>
      </w:r>
    </w:p>
    <w:p w14:paraId="3BA038E8">
      <w:pPr>
        <w:spacing w:line="360" w:lineRule="auto"/>
        <w:ind w:firstLine="420" w:firstLineChars="200"/>
        <w:rPr>
          <w:rFonts w:ascii="宋体" w:hAnsi="宋体" w:cs="宋体"/>
        </w:rPr>
      </w:pPr>
      <w:r>
        <w:rPr>
          <w:rFonts w:hint="eastAsia" w:ascii="宋体" w:hAnsi="宋体" w:cs="宋体"/>
        </w:rPr>
        <w:t>中标人提交单据：合同（正文部分复印件）、中标通知书（或成交通知书复印件）、发票（原件）、履约保函或保证金单据复印件。</w:t>
      </w:r>
    </w:p>
    <w:p w14:paraId="621ACADF">
      <w:pPr>
        <w:spacing w:line="360" w:lineRule="auto"/>
        <w:ind w:firstLine="420" w:firstLineChars="200"/>
        <w:rPr>
          <w:rFonts w:ascii="宋体" w:hAnsi="宋体" w:cs="宋体"/>
        </w:rPr>
      </w:pPr>
      <w:r>
        <w:rPr>
          <w:rFonts w:hint="eastAsia" w:ascii="宋体" w:hAnsi="宋体" w:cs="宋体"/>
          <w:szCs w:val="21"/>
        </w:rPr>
        <w:t>（2）</w:t>
      </w:r>
      <w:r>
        <w:rPr>
          <w:rFonts w:hint="eastAsia" w:ascii="宋体" w:hAnsi="宋体" w:cs="宋体"/>
        </w:rPr>
        <w:t>设备全部到货并经采购人（用户）签收后，中标人向采购人提交下列单据之日起10个工作日内，采购人向中标人支付合同总价50%合同款。</w:t>
      </w:r>
    </w:p>
    <w:p w14:paraId="3F928630">
      <w:pPr>
        <w:spacing w:line="360" w:lineRule="auto"/>
        <w:ind w:firstLine="420" w:firstLineChars="200"/>
        <w:rPr>
          <w:rFonts w:ascii="宋体" w:hAnsi="宋体" w:cs="宋体"/>
        </w:rPr>
      </w:pPr>
      <w:r>
        <w:rPr>
          <w:rFonts w:hint="eastAsia" w:ascii="宋体" w:hAnsi="宋体" w:cs="宋体"/>
        </w:rPr>
        <w:t>中标人提交单据：合同(正文部分复印件）、中标通知书（或成交通知书复印件）、发票（原件）、设备到签收单（复印件）。</w:t>
      </w:r>
    </w:p>
    <w:p w14:paraId="2581DEF9">
      <w:pPr>
        <w:spacing w:line="360" w:lineRule="auto"/>
        <w:ind w:firstLine="420" w:firstLineChars="200"/>
        <w:rPr>
          <w:rFonts w:ascii="宋体" w:hAnsi="宋体" w:cs="宋体"/>
        </w:rPr>
      </w:pPr>
      <w:r>
        <w:rPr>
          <w:rFonts w:hint="eastAsia" w:ascii="宋体" w:hAnsi="宋体" w:cs="宋体"/>
          <w:szCs w:val="21"/>
        </w:rPr>
        <w:t>（3）</w:t>
      </w:r>
      <w:r>
        <w:rPr>
          <w:rFonts w:hint="eastAsia" w:ascii="宋体" w:hAnsi="宋体" w:cs="宋体"/>
        </w:rPr>
        <w:t>设备全部安装调试，并经采购人（用户）验收合格后，中标人向采购人提交下列单据之日起30日内，采购人向中标人无息退还履约保函或保证金。</w:t>
      </w:r>
    </w:p>
    <w:p w14:paraId="7194A444">
      <w:pPr>
        <w:spacing w:line="360" w:lineRule="auto"/>
        <w:ind w:firstLine="420" w:firstLineChars="200"/>
        <w:rPr>
          <w:rFonts w:ascii="宋体" w:hAnsi="宋体" w:cs="宋体"/>
        </w:rPr>
      </w:pPr>
      <w:r>
        <w:rPr>
          <w:rFonts w:hint="eastAsia" w:ascii="宋体" w:hAnsi="宋体" w:cs="宋体"/>
        </w:rPr>
        <w:t>中标人提交单据：退还申请（原件）、安装调试验收合格报告（复印件）。</w:t>
      </w:r>
    </w:p>
    <w:p w14:paraId="566CA2C5">
      <w:pPr>
        <w:spacing w:line="360" w:lineRule="auto"/>
        <w:ind w:firstLine="420" w:firstLineChars="200"/>
        <w:rPr>
          <w:rFonts w:ascii="宋体" w:hAnsi="宋体" w:cs="宋体"/>
        </w:rPr>
      </w:pPr>
      <w:r>
        <w:rPr>
          <w:rFonts w:hint="eastAsia" w:ascii="宋体" w:hAnsi="宋体" w:cs="宋体"/>
          <w:szCs w:val="21"/>
        </w:rPr>
        <w:t>（4）</w:t>
      </w:r>
      <w:r>
        <w:rPr>
          <w:rFonts w:hint="eastAsia" w:ascii="宋体" w:hAnsi="宋体" w:cs="宋体"/>
        </w:rPr>
        <w:t>因财政集中支付延误时间不计算在内。中标人提交付款单据延迟、缺失及账户信息错误的，采购人有权相应顺延付款期限，且采购人不承担延误付款责任。</w:t>
      </w:r>
    </w:p>
    <w:p w14:paraId="5874B68C">
      <w:pPr>
        <w:spacing w:line="360" w:lineRule="auto"/>
        <w:ind w:firstLine="420" w:firstLineChars="200"/>
        <w:rPr>
          <w:rFonts w:ascii="宋体" w:hAnsi="宋体" w:cs="宋体"/>
        </w:rPr>
      </w:pPr>
      <w:r>
        <w:rPr>
          <w:rFonts w:hint="eastAsia" w:ascii="宋体" w:hAnsi="宋体" w:cs="宋体"/>
        </w:rPr>
        <w:t>4、履约保证金：</w:t>
      </w:r>
    </w:p>
    <w:p w14:paraId="673E87A6">
      <w:pPr>
        <w:spacing w:line="360" w:lineRule="auto"/>
        <w:ind w:firstLine="420" w:firstLineChars="200"/>
        <w:rPr>
          <w:rFonts w:ascii="宋体" w:hAnsi="宋体" w:cs="宋体"/>
        </w:rPr>
      </w:pPr>
      <w:r>
        <w:rPr>
          <w:rFonts w:hint="eastAsia" w:ascii="宋体" w:hAnsi="宋体" w:cs="宋体"/>
        </w:rPr>
        <w:t>（1）</w:t>
      </w:r>
      <w:r>
        <w:rPr>
          <w:rFonts w:ascii="宋体" w:hAnsi="宋体" w:cs="宋体"/>
        </w:rPr>
        <w:t>合同签订之日起</w:t>
      </w:r>
      <w:r>
        <w:rPr>
          <w:rFonts w:hint="eastAsia" w:ascii="宋体" w:hAnsi="宋体" w:cs="宋体"/>
          <w:u w:val="single"/>
        </w:rPr>
        <w:t xml:space="preserve">  10  </w:t>
      </w:r>
      <w:r>
        <w:rPr>
          <w:rFonts w:ascii="宋体" w:hAnsi="宋体" w:cs="宋体"/>
        </w:rPr>
        <w:t>个工作日内，</w:t>
      </w:r>
      <w:r>
        <w:rPr>
          <w:rFonts w:hint="eastAsia" w:ascii="宋体" w:hAnsi="宋体" w:cs="宋体"/>
        </w:rPr>
        <w:t>中标人</w:t>
      </w:r>
      <w:r>
        <w:rPr>
          <w:rFonts w:ascii="宋体" w:hAnsi="宋体" w:cs="宋体"/>
        </w:rPr>
        <w:t>须按合同金额的__</w:t>
      </w:r>
      <w:r>
        <w:rPr>
          <w:rFonts w:hint="eastAsia" w:ascii="宋体" w:hAnsi="宋体" w:cs="宋体"/>
        </w:rPr>
        <w:t>10</w:t>
      </w:r>
      <w:r>
        <w:rPr>
          <w:rFonts w:ascii="宋体" w:hAnsi="宋体" w:cs="宋体"/>
        </w:rPr>
        <w:t>__%向</w:t>
      </w:r>
      <w:r>
        <w:rPr>
          <w:rFonts w:hint="eastAsia" w:ascii="宋体" w:hAnsi="宋体" w:cs="宋体"/>
        </w:rPr>
        <w:t>采购人</w:t>
      </w:r>
      <w:r>
        <w:rPr>
          <w:rFonts w:ascii="宋体" w:hAnsi="宋体" w:cs="宋体"/>
        </w:rPr>
        <w:t>交纳履约保证金</w:t>
      </w:r>
      <w:r>
        <w:rPr>
          <w:rFonts w:hint="eastAsia" w:ascii="宋体" w:hAnsi="宋体" w:cs="宋体"/>
        </w:rPr>
        <w:t>或保函</w:t>
      </w:r>
      <w:r>
        <w:rPr>
          <w:rFonts w:ascii="宋体" w:hAnsi="宋体" w:cs="宋体"/>
        </w:rPr>
        <w:t>。如果</w:t>
      </w:r>
      <w:r>
        <w:rPr>
          <w:rFonts w:hint="eastAsia" w:ascii="宋体" w:hAnsi="宋体" w:cs="宋体"/>
        </w:rPr>
        <w:t>中标人</w:t>
      </w:r>
      <w:r>
        <w:rPr>
          <w:rFonts w:ascii="宋体" w:hAnsi="宋体" w:cs="宋体"/>
        </w:rPr>
        <w:t>未按照约定时间交付履约保证金的，</w:t>
      </w:r>
      <w:r>
        <w:rPr>
          <w:rFonts w:hint="eastAsia" w:ascii="宋体" w:hAnsi="宋体" w:cs="宋体"/>
        </w:rPr>
        <w:t>采购人</w:t>
      </w:r>
      <w:r>
        <w:rPr>
          <w:rFonts w:ascii="宋体" w:hAnsi="宋体" w:cs="宋体"/>
        </w:rPr>
        <w:t>有权单方面解除合同。</w:t>
      </w:r>
    </w:p>
    <w:p w14:paraId="11493FD9">
      <w:pPr>
        <w:spacing w:line="360" w:lineRule="auto"/>
        <w:ind w:firstLine="420" w:firstLineChars="200"/>
        <w:rPr>
          <w:rFonts w:ascii="宋体" w:hAnsi="宋体" w:cs="宋体"/>
        </w:rPr>
      </w:pPr>
      <w:r>
        <w:rPr>
          <w:rFonts w:hint="eastAsia" w:ascii="宋体" w:hAnsi="宋体" w:cs="宋体"/>
        </w:rPr>
        <w:t>（2）</w:t>
      </w:r>
      <w:r>
        <w:rPr>
          <w:rFonts w:ascii="宋体" w:hAnsi="宋体" w:cs="宋体"/>
        </w:rPr>
        <w:t>履约保证金以银行保函、银行电汇向</w:t>
      </w:r>
      <w:r>
        <w:rPr>
          <w:rFonts w:hint="eastAsia" w:ascii="宋体" w:hAnsi="宋体" w:cs="宋体"/>
        </w:rPr>
        <w:t>采购人</w:t>
      </w:r>
      <w:r>
        <w:rPr>
          <w:rFonts w:ascii="宋体" w:hAnsi="宋体" w:cs="宋体"/>
        </w:rPr>
        <w:t>提供。</w:t>
      </w:r>
    </w:p>
    <w:p w14:paraId="50FA2840">
      <w:pPr>
        <w:spacing w:line="360" w:lineRule="auto"/>
        <w:ind w:firstLine="420" w:firstLineChars="200"/>
        <w:rPr>
          <w:rFonts w:ascii="宋体" w:hAnsi="宋体" w:cs="宋体"/>
        </w:rPr>
      </w:pPr>
      <w:r>
        <w:rPr>
          <w:rFonts w:hint="eastAsia" w:ascii="宋体" w:hAnsi="宋体" w:cs="宋体"/>
        </w:rPr>
        <w:t>（3）</w:t>
      </w:r>
      <w:r>
        <w:rPr>
          <w:rFonts w:ascii="宋体" w:hAnsi="宋体" w:cs="宋体"/>
        </w:rPr>
        <w:t>如</w:t>
      </w:r>
      <w:r>
        <w:rPr>
          <w:rFonts w:hint="eastAsia" w:ascii="宋体" w:hAnsi="宋体" w:cs="宋体"/>
        </w:rPr>
        <w:t>中标人</w:t>
      </w:r>
      <w:r>
        <w:rPr>
          <w:rFonts w:ascii="宋体" w:hAnsi="宋体" w:cs="宋体"/>
        </w:rPr>
        <w:t>未能履行合同规定的义务，</w:t>
      </w:r>
      <w:r>
        <w:rPr>
          <w:rFonts w:hint="eastAsia" w:ascii="宋体" w:hAnsi="宋体" w:cs="宋体"/>
        </w:rPr>
        <w:t>采购人</w:t>
      </w:r>
      <w:r>
        <w:rPr>
          <w:rFonts w:ascii="宋体" w:hAnsi="宋体" w:cs="宋体"/>
        </w:rPr>
        <w:t>有权按照本合同的约定从履约保证金中进行相应扣除。</w:t>
      </w:r>
      <w:r>
        <w:rPr>
          <w:rFonts w:hint="eastAsia" w:ascii="宋体" w:hAnsi="宋体" w:cs="宋体"/>
        </w:rPr>
        <w:t>中标人</w:t>
      </w:r>
      <w:r>
        <w:rPr>
          <w:rFonts w:ascii="宋体" w:hAnsi="宋体" w:cs="宋体"/>
        </w:rPr>
        <w:t>应在</w:t>
      </w:r>
      <w:r>
        <w:rPr>
          <w:rFonts w:hint="eastAsia" w:ascii="宋体" w:hAnsi="宋体" w:cs="宋体"/>
        </w:rPr>
        <w:t>采购人</w:t>
      </w:r>
      <w:r>
        <w:rPr>
          <w:rFonts w:ascii="宋体" w:hAnsi="宋体" w:cs="宋体"/>
        </w:rPr>
        <w:t>扣除履约保证金之日起10个工作日内，及时补充扣除部分金额。</w:t>
      </w:r>
    </w:p>
    <w:p w14:paraId="4804FC72">
      <w:pPr>
        <w:spacing w:line="360" w:lineRule="auto"/>
        <w:ind w:firstLine="420" w:firstLineChars="200"/>
        <w:rPr>
          <w:rFonts w:ascii="宋体" w:hAnsi="宋体" w:cs="宋体"/>
        </w:rPr>
      </w:pPr>
      <w:r>
        <w:rPr>
          <w:rFonts w:hint="eastAsia" w:ascii="宋体" w:hAnsi="宋体" w:cs="宋体"/>
        </w:rPr>
        <w:t>（4）</w:t>
      </w:r>
      <w:r>
        <w:rPr>
          <w:rFonts w:ascii="宋体" w:hAnsi="宋体" w:cs="宋体"/>
        </w:rPr>
        <w:t>如</w:t>
      </w:r>
      <w:r>
        <w:rPr>
          <w:rFonts w:hint="eastAsia" w:ascii="宋体" w:hAnsi="宋体" w:cs="宋体"/>
        </w:rPr>
        <w:t>中标人</w:t>
      </w:r>
      <w:r>
        <w:rPr>
          <w:rFonts w:ascii="宋体" w:hAnsi="宋体" w:cs="宋体"/>
        </w:rPr>
        <w:t>不履行合同，或履行合同义务不符合约定使得合同目的不能实现，履约保证金不予退还。</w:t>
      </w:r>
    </w:p>
    <w:p w14:paraId="40FD4A6D">
      <w:pPr>
        <w:pStyle w:val="42"/>
        <w:spacing w:line="360" w:lineRule="auto"/>
        <w:ind w:firstLine="420" w:firstLineChars="200"/>
        <w:jc w:val="left"/>
        <w:rPr>
          <w:rFonts w:ascii="宋体" w:hAnsi="宋体" w:cs="宋体"/>
          <w:szCs w:val="21"/>
        </w:rPr>
      </w:pPr>
      <w:r>
        <w:rPr>
          <w:rFonts w:hint="eastAsia" w:ascii="宋体" w:hAnsi="宋体" w:cs="宋体"/>
          <w:szCs w:val="21"/>
        </w:rPr>
        <w:t>5、售后服务要求</w:t>
      </w:r>
    </w:p>
    <w:p w14:paraId="58795CBF">
      <w:pPr>
        <w:pStyle w:val="42"/>
        <w:spacing w:line="360" w:lineRule="auto"/>
        <w:ind w:firstLine="420" w:firstLineChars="200"/>
        <w:jc w:val="left"/>
        <w:rPr>
          <w:rFonts w:ascii="宋体" w:hAnsi="宋体" w:cs="宋体"/>
        </w:rPr>
      </w:pPr>
      <w:r>
        <w:rPr>
          <w:rFonts w:hint="eastAsia" w:ascii="宋体" w:hAnsi="宋体" w:cs="宋体"/>
        </w:rPr>
        <w:t>（1）质保期：验收合格后提供不少于6年原厂整机质保。质保期内，提供仪器质保服务，整机零部件、备品备件及消耗件等维修或更换，提供每年两次全面的整机保养服务（投标报价应包括该项费用，采购人不再额外支出）</w:t>
      </w:r>
      <w:r>
        <w:rPr>
          <w:rFonts w:hint="eastAsia" w:ascii="宋体" w:hAnsi="宋体" w:cs="宋体"/>
          <w:szCs w:val="21"/>
        </w:rPr>
        <w:t>。</w:t>
      </w:r>
    </w:p>
    <w:p w14:paraId="0E75FEEA">
      <w:pPr>
        <w:pStyle w:val="42"/>
        <w:spacing w:line="360" w:lineRule="auto"/>
        <w:ind w:firstLine="420" w:firstLineChars="200"/>
        <w:rPr>
          <w:rFonts w:ascii="宋体" w:hAnsi="宋体" w:cs="宋体"/>
          <w:szCs w:val="21"/>
        </w:rPr>
      </w:pPr>
      <w:r>
        <w:rPr>
          <w:rFonts w:hint="eastAsia" w:ascii="宋体" w:hAnsi="宋体" w:cs="宋体"/>
          <w:szCs w:val="21"/>
        </w:rPr>
        <w:t>（2）中标人应提供原产商质量保证和售后服务承诺书。负责设备的终身维修并应继续提供优质的服务，储备足够的零配件备库并保证十年及以上维修配件。终身年内提供软件升级服务（不额外收费），保修期满后，以市场最优的优惠价供应维修零配件，以市场最优的优惠价供应消耗品。需维修设备经采购人使用部门验收合格且厂家提供维修专用发票后，采购人支付维修费用。中标人及维修厂家不得以任何理由不按时进行设备维修。</w:t>
      </w:r>
    </w:p>
    <w:p w14:paraId="036A3FFF">
      <w:pPr>
        <w:pStyle w:val="42"/>
        <w:spacing w:line="360" w:lineRule="auto"/>
        <w:ind w:firstLine="420" w:firstLineChars="200"/>
        <w:rPr>
          <w:rFonts w:ascii="宋体" w:hAnsi="宋体" w:cs="宋体"/>
          <w:szCs w:val="21"/>
        </w:rPr>
      </w:pPr>
      <w:r>
        <w:rPr>
          <w:rFonts w:hint="eastAsia" w:ascii="宋体" w:hAnsi="宋体" w:cs="宋体"/>
          <w:szCs w:val="21"/>
        </w:rPr>
        <w:t>（3）中标人负责将设备运至采购人指定的地点，负责安装，现场培训及技术应用培训（不额外收费）。中标价应包含产品的制造、材料费（主材及辅材）、运输、安装、验收、保修、税收、所有手续费等直至验收合格交付采购人使用的所有相关费用。中标价格在中标后的合同实施期间应保持不变，即不因市场价格或政策性价格的调整而增减（若因中标人责任而导致的需方依据合同条款对中标人的扣款处罚除外）。</w:t>
      </w:r>
    </w:p>
    <w:p w14:paraId="5394598A">
      <w:pPr>
        <w:pStyle w:val="42"/>
        <w:spacing w:line="360" w:lineRule="auto"/>
        <w:ind w:firstLine="420" w:firstLineChars="200"/>
        <w:jc w:val="left"/>
        <w:rPr>
          <w:rFonts w:ascii="宋体" w:hAnsi="宋体" w:cs="宋体"/>
          <w:szCs w:val="21"/>
        </w:rPr>
      </w:pPr>
      <w:r>
        <w:rPr>
          <w:rFonts w:hint="eastAsia" w:ascii="宋体" w:hAnsi="宋体" w:cs="宋体"/>
          <w:szCs w:val="21"/>
        </w:rPr>
        <w:t>（4）货到后，中标人负责派技术人员到现场进行安装、调试，直至验收合格。</w:t>
      </w:r>
    </w:p>
    <w:p w14:paraId="357E515A">
      <w:pPr>
        <w:pStyle w:val="42"/>
        <w:spacing w:line="360" w:lineRule="auto"/>
        <w:ind w:firstLine="420" w:firstLineChars="200"/>
        <w:jc w:val="left"/>
        <w:rPr>
          <w:rFonts w:ascii="宋体" w:hAnsi="宋体" w:cs="宋体"/>
          <w:szCs w:val="21"/>
        </w:rPr>
      </w:pPr>
      <w:r>
        <w:rPr>
          <w:rFonts w:hint="eastAsia" w:ascii="宋体" w:hAnsi="宋体" w:cs="宋体"/>
          <w:szCs w:val="21"/>
        </w:rPr>
        <w:t>（5）中标人能响应故障处理请求和电话咨询，提供7x24小时技术支持，2小时内响应和24小时内派人到现场维修的售后服务。中标人应提供维保人员名单、联系电话等。</w:t>
      </w:r>
    </w:p>
    <w:p w14:paraId="11412C00">
      <w:pPr>
        <w:pStyle w:val="42"/>
        <w:spacing w:line="360" w:lineRule="auto"/>
        <w:ind w:firstLine="420" w:firstLineChars="200"/>
        <w:jc w:val="left"/>
        <w:rPr>
          <w:rFonts w:ascii="宋体" w:hAnsi="宋体" w:cs="宋体"/>
          <w:szCs w:val="21"/>
        </w:rPr>
      </w:pPr>
      <w:r>
        <w:rPr>
          <w:rFonts w:hint="eastAsia" w:ascii="宋体" w:hAnsi="宋体" w:cs="宋体"/>
          <w:szCs w:val="21"/>
        </w:rPr>
        <w:t xml:space="preserve">6、培训要求 </w:t>
      </w:r>
    </w:p>
    <w:p w14:paraId="1D13274C">
      <w:pPr>
        <w:pStyle w:val="42"/>
        <w:spacing w:line="360" w:lineRule="auto"/>
        <w:ind w:firstLine="420" w:firstLineChars="200"/>
        <w:jc w:val="left"/>
        <w:rPr>
          <w:rFonts w:ascii="宋体" w:hAnsi="宋体" w:cs="宋体"/>
          <w:szCs w:val="21"/>
        </w:rPr>
      </w:pPr>
      <w:r>
        <w:rPr>
          <w:rFonts w:hint="eastAsia" w:ascii="宋体" w:hAnsi="宋体" w:cs="宋体"/>
          <w:szCs w:val="21"/>
        </w:rPr>
        <w:t>现场培训：仪器在安装调试同时，中标人负责派工程师对采购人用户就仪器原理和基本操作进行现场培训，保证采购人至少2名工作人员能够正常使用设备的各种功能，培训时间视采购人需要，原则上不少于2天，确保采购人用户能正常操作（投标报价中应包含该费用，采购人不再额外支出）。</w:t>
      </w:r>
    </w:p>
    <w:p w14:paraId="3E280A7F">
      <w:pPr>
        <w:pStyle w:val="42"/>
        <w:spacing w:line="360" w:lineRule="auto"/>
        <w:ind w:firstLine="420" w:firstLineChars="200"/>
        <w:jc w:val="left"/>
        <w:rPr>
          <w:rFonts w:ascii="宋体" w:hAnsi="宋体" w:cs="宋体"/>
          <w:szCs w:val="21"/>
        </w:rPr>
      </w:pPr>
    </w:p>
    <w:p w14:paraId="280A5874">
      <w:pPr>
        <w:pStyle w:val="42"/>
        <w:spacing w:line="360" w:lineRule="auto"/>
        <w:ind w:firstLine="0"/>
        <w:jc w:val="left"/>
        <w:rPr>
          <w:rFonts w:ascii="宋体" w:hAnsi="宋体" w:cs="宋体"/>
          <w:b/>
          <w:bCs/>
          <w:snapToGrid w:val="0"/>
          <w:kern w:val="0"/>
          <w:sz w:val="24"/>
        </w:rPr>
      </w:pPr>
      <w:r>
        <w:rPr>
          <w:rFonts w:hint="eastAsia" w:ascii="宋体" w:hAnsi="宋体" w:cs="宋体"/>
          <w:b/>
          <w:bCs/>
          <w:snapToGrid w:val="0"/>
          <w:kern w:val="0"/>
          <w:sz w:val="24"/>
        </w:rPr>
        <w:t>（B包）</w:t>
      </w:r>
    </w:p>
    <w:p w14:paraId="582278A1">
      <w:pPr>
        <w:pStyle w:val="42"/>
        <w:spacing w:line="360" w:lineRule="auto"/>
        <w:ind w:firstLine="0"/>
        <w:jc w:val="left"/>
        <w:rPr>
          <w:rFonts w:ascii="宋体" w:hAnsi="宋体" w:cs="宋体"/>
          <w:b/>
          <w:bCs/>
          <w:szCs w:val="21"/>
        </w:rPr>
      </w:pPr>
      <w:r>
        <w:rPr>
          <w:rFonts w:hint="eastAsia" w:ascii="宋体" w:hAnsi="宋体" w:cs="宋体"/>
          <w:b/>
          <w:bCs/>
          <w:szCs w:val="21"/>
        </w:rPr>
        <w:t>（二）</w:t>
      </w:r>
      <w:r>
        <w:rPr>
          <w:rFonts w:hint="eastAsia" w:ascii="宋体" w:hAnsi="宋体" w:cs="宋体"/>
          <w:b/>
          <w:bCs/>
          <w:szCs w:val="21"/>
          <w:lang w:eastAsia="zh-TW"/>
        </w:rPr>
        <w:t>多普勒超声诊断仪</w:t>
      </w:r>
    </w:p>
    <w:p w14:paraId="17AA5DA2">
      <w:pPr>
        <w:pStyle w:val="42"/>
        <w:numPr>
          <w:ilvl w:val="255"/>
          <w:numId w:val="0"/>
        </w:numPr>
        <w:spacing w:line="360" w:lineRule="auto"/>
        <w:ind w:firstLine="420" w:firstLineChars="200"/>
        <w:jc w:val="left"/>
        <w:rPr>
          <w:rFonts w:ascii="宋体" w:hAnsi="宋体" w:cs="宋体"/>
          <w:b w:val="0"/>
          <w:bCs w:val="0"/>
          <w:highlight w:val="yellow"/>
        </w:rPr>
      </w:pPr>
      <w:r>
        <w:rPr>
          <w:rFonts w:hint="eastAsia" w:ascii="宋体" w:hAnsi="宋体" w:cs="宋体"/>
          <w:b w:val="0"/>
          <w:bCs w:val="0"/>
          <w:highlight w:val="yellow"/>
        </w:rPr>
        <w:t>★1、签定合同日期：</w:t>
      </w:r>
    </w:p>
    <w:p w14:paraId="51FDC4C1">
      <w:pPr>
        <w:pStyle w:val="42"/>
        <w:numPr>
          <w:ilvl w:val="255"/>
          <w:numId w:val="0"/>
        </w:numPr>
        <w:spacing w:line="360" w:lineRule="auto"/>
        <w:ind w:firstLine="420" w:firstLineChars="200"/>
        <w:jc w:val="left"/>
        <w:rPr>
          <w:rFonts w:ascii="宋体" w:hAnsi="宋体" w:cs="宋体"/>
          <w:highlight w:val="yellow"/>
        </w:rPr>
      </w:pPr>
      <w:r>
        <w:rPr>
          <w:rFonts w:hint="eastAsia" w:ascii="宋体" w:hAnsi="宋体" w:cs="宋体"/>
          <w:highlight w:val="yellow"/>
        </w:rPr>
        <w:t>自中标通知书发出之日起30日</w:t>
      </w:r>
      <w:r>
        <w:rPr>
          <w:rFonts w:hint="eastAsia" w:ascii="宋体" w:hAnsi="宋体" w:cs="宋体"/>
          <w:szCs w:val="21"/>
          <w:highlight w:val="yellow"/>
        </w:rPr>
        <w:t>内</w:t>
      </w:r>
      <w:r>
        <w:rPr>
          <w:rFonts w:hint="eastAsia" w:ascii="宋体" w:hAnsi="宋体" w:cs="宋体"/>
          <w:highlight w:val="yellow"/>
        </w:rPr>
        <w:t>（日历日）。</w:t>
      </w:r>
    </w:p>
    <w:p w14:paraId="73029CC6">
      <w:pPr>
        <w:pStyle w:val="42"/>
        <w:spacing w:line="360" w:lineRule="auto"/>
        <w:ind w:firstLine="420" w:firstLineChars="200"/>
        <w:jc w:val="left"/>
        <w:rPr>
          <w:rFonts w:ascii="宋体" w:hAnsi="宋体" w:cs="宋体"/>
          <w:szCs w:val="21"/>
          <w:highlight w:val="yellow"/>
        </w:rPr>
      </w:pPr>
      <w:r>
        <w:rPr>
          <w:rFonts w:hint="eastAsia" w:ascii="宋体" w:hAnsi="宋体" w:cs="宋体"/>
          <w:highlight w:val="yellow"/>
        </w:rPr>
        <w:t>★</w:t>
      </w:r>
      <w:r>
        <w:rPr>
          <w:rFonts w:hint="eastAsia" w:ascii="宋体" w:hAnsi="宋体" w:cs="宋体"/>
          <w:szCs w:val="21"/>
          <w:highlight w:val="yellow"/>
        </w:rPr>
        <w:t>2、交货期：</w:t>
      </w:r>
    </w:p>
    <w:p w14:paraId="40E20E8F">
      <w:pPr>
        <w:pStyle w:val="42"/>
        <w:spacing w:line="360" w:lineRule="auto"/>
        <w:ind w:firstLine="420" w:firstLineChars="200"/>
        <w:jc w:val="left"/>
        <w:rPr>
          <w:rFonts w:ascii="宋体" w:hAnsi="宋体" w:cs="宋体"/>
          <w:szCs w:val="21"/>
          <w:highlight w:val="yellow"/>
        </w:rPr>
      </w:pPr>
      <w:r>
        <w:rPr>
          <w:rFonts w:hint="eastAsia" w:ascii="宋体" w:hAnsi="宋体" w:cs="宋体"/>
          <w:szCs w:val="21"/>
          <w:highlight w:val="yellow"/>
        </w:rPr>
        <w:t>（1）中标人在合同签订之日起60天内（日历天）将所有货物全部安装、调试完毕并交付使用。如出现未能到期供货的情况，采购人有权单方终止合同的执行，所有的经济损失由中标人承担。</w:t>
      </w:r>
    </w:p>
    <w:p w14:paraId="6C442856">
      <w:pPr>
        <w:pStyle w:val="42"/>
        <w:spacing w:line="360" w:lineRule="auto"/>
        <w:ind w:firstLine="420" w:firstLineChars="200"/>
        <w:jc w:val="left"/>
        <w:rPr>
          <w:rFonts w:ascii="宋体" w:hAnsi="宋体" w:cs="宋体"/>
          <w:szCs w:val="21"/>
          <w:highlight w:val="yellow"/>
          <w:lang w:eastAsia="zh-TW"/>
        </w:rPr>
      </w:pPr>
      <w:r>
        <w:rPr>
          <w:rFonts w:hint="eastAsia" w:ascii="宋体" w:hAnsi="宋体" w:cs="宋体"/>
          <w:szCs w:val="21"/>
          <w:highlight w:val="yellow"/>
        </w:rPr>
        <w:t>（2）</w:t>
      </w:r>
      <w:r>
        <w:rPr>
          <w:rFonts w:hint="eastAsia" w:ascii="宋体" w:hAnsi="宋体" w:cs="宋体"/>
          <w:szCs w:val="21"/>
          <w:highlight w:val="yellow"/>
          <w:lang w:eastAsia="zh-TW"/>
        </w:rPr>
        <w:t>交货地点为：</w:t>
      </w:r>
      <w:r>
        <w:rPr>
          <w:rFonts w:hint="eastAsia" w:ascii="宋体" w:hAnsi="宋体" w:cs="宋体"/>
          <w:szCs w:val="21"/>
          <w:highlight w:val="yellow"/>
        </w:rPr>
        <w:t>采购人</w:t>
      </w:r>
      <w:r>
        <w:rPr>
          <w:rFonts w:hint="eastAsia" w:ascii="宋体" w:hAnsi="宋体" w:cs="宋体"/>
          <w:szCs w:val="21"/>
          <w:highlight w:val="yellow"/>
          <w:lang w:eastAsia="zh-TW"/>
        </w:rPr>
        <w:t>指定地点。</w:t>
      </w:r>
    </w:p>
    <w:p w14:paraId="505C4E6A">
      <w:pPr>
        <w:pStyle w:val="42"/>
        <w:spacing w:line="360" w:lineRule="auto"/>
        <w:ind w:firstLine="420" w:firstLineChars="200"/>
        <w:jc w:val="left"/>
        <w:rPr>
          <w:rFonts w:ascii="宋体" w:hAnsi="宋体" w:cs="宋体"/>
          <w:szCs w:val="21"/>
          <w:highlight w:val="yellow"/>
          <w:lang w:eastAsia="zh-TW"/>
        </w:rPr>
      </w:pPr>
      <w:r>
        <w:rPr>
          <w:rFonts w:hint="eastAsia" w:ascii="宋体" w:hAnsi="宋体" w:cs="宋体"/>
          <w:szCs w:val="21"/>
          <w:highlight w:val="yellow"/>
        </w:rPr>
        <w:t>（3）</w:t>
      </w:r>
      <w:r>
        <w:rPr>
          <w:rFonts w:hint="eastAsia" w:ascii="宋体" w:hAnsi="宋体" w:cs="宋体"/>
          <w:szCs w:val="21"/>
          <w:highlight w:val="yellow"/>
          <w:lang w:eastAsia="zh-TW"/>
        </w:rPr>
        <w:t>交货验收前的一切费用（包括包装、运输、保险、入关事宜、安装调试等）</w:t>
      </w:r>
      <w:r>
        <w:rPr>
          <w:rFonts w:hint="eastAsia" w:ascii="宋体" w:hAnsi="宋体" w:cs="宋体"/>
          <w:szCs w:val="21"/>
          <w:highlight w:val="yellow"/>
        </w:rPr>
        <w:t>及</w:t>
      </w:r>
      <w:r>
        <w:rPr>
          <w:rFonts w:hint="eastAsia" w:ascii="宋体" w:hAnsi="宋体" w:cs="宋体"/>
          <w:szCs w:val="21"/>
          <w:highlight w:val="yellow"/>
          <w:lang w:eastAsia="zh-TW"/>
        </w:rPr>
        <w:t>风险（包括损坏、灭失等）均由</w:t>
      </w:r>
      <w:r>
        <w:rPr>
          <w:rFonts w:hint="eastAsia" w:ascii="宋体" w:hAnsi="宋体" w:cs="宋体"/>
          <w:szCs w:val="21"/>
          <w:highlight w:val="yellow"/>
        </w:rPr>
        <w:t>中标人</w:t>
      </w:r>
      <w:r>
        <w:rPr>
          <w:rFonts w:hint="eastAsia" w:ascii="宋体" w:hAnsi="宋体" w:cs="宋体"/>
          <w:szCs w:val="21"/>
          <w:highlight w:val="yellow"/>
          <w:lang w:eastAsia="zh-TW"/>
        </w:rPr>
        <w:t>承担。</w:t>
      </w:r>
    </w:p>
    <w:p w14:paraId="52F5ADA6">
      <w:pPr>
        <w:pStyle w:val="42"/>
        <w:spacing w:line="360" w:lineRule="auto"/>
        <w:ind w:firstLine="420" w:firstLineChars="200"/>
        <w:jc w:val="left"/>
        <w:rPr>
          <w:rFonts w:ascii="宋体" w:hAnsi="宋体" w:cs="宋体"/>
          <w:szCs w:val="21"/>
        </w:rPr>
      </w:pPr>
      <w:r>
        <w:rPr>
          <w:rFonts w:hint="eastAsia" w:ascii="宋体" w:hAnsi="宋体" w:cs="宋体"/>
          <w:szCs w:val="21"/>
        </w:rPr>
        <w:t>3、</w:t>
      </w:r>
      <w:r>
        <w:rPr>
          <w:rFonts w:hint="eastAsia" w:ascii="宋体" w:hAnsi="宋体" w:cs="宋体"/>
          <w:szCs w:val="21"/>
          <w:lang w:eastAsia="zh-TW"/>
        </w:rPr>
        <w:t>付款方式</w:t>
      </w:r>
      <w:r>
        <w:rPr>
          <w:rStyle w:val="59"/>
          <w:rFonts w:hint="eastAsia"/>
        </w:rPr>
        <w:t>：</w:t>
      </w:r>
    </w:p>
    <w:p w14:paraId="6F8EE834">
      <w:pPr>
        <w:spacing w:line="360" w:lineRule="auto"/>
        <w:ind w:firstLine="420" w:firstLineChars="200"/>
        <w:rPr>
          <w:rFonts w:ascii="宋体" w:hAnsi="宋体" w:cs="宋体"/>
        </w:rPr>
      </w:pPr>
      <w:r>
        <w:rPr>
          <w:rFonts w:hint="eastAsia" w:ascii="宋体" w:hAnsi="宋体" w:cs="宋体"/>
          <w:szCs w:val="21"/>
        </w:rPr>
        <w:t>（1）</w:t>
      </w:r>
      <w:r>
        <w:rPr>
          <w:rFonts w:hint="eastAsia" w:ascii="宋体" w:hAnsi="宋体" w:cs="宋体"/>
        </w:rPr>
        <w:t>合同签订后，中标人向采购人交付履约保函或保证金，比例等于合同金额的10%，并提交下列单据之日起10个工作日内，采购人向中标人支付合同总价 50%合同款。</w:t>
      </w:r>
    </w:p>
    <w:p w14:paraId="6B084E87">
      <w:pPr>
        <w:spacing w:line="360" w:lineRule="auto"/>
        <w:ind w:firstLine="420" w:firstLineChars="200"/>
        <w:rPr>
          <w:rFonts w:ascii="宋体" w:hAnsi="宋体" w:cs="宋体"/>
        </w:rPr>
      </w:pPr>
      <w:r>
        <w:rPr>
          <w:rFonts w:hint="eastAsia" w:ascii="宋体" w:hAnsi="宋体" w:cs="宋体"/>
        </w:rPr>
        <w:t>中标人提交单据：合同（正文部分复印件）、中标通知书（或成交通知书复印件）、发票（原件）、履约保函或保证金单据复印件。</w:t>
      </w:r>
    </w:p>
    <w:p w14:paraId="5BB9720E">
      <w:pPr>
        <w:spacing w:line="360" w:lineRule="auto"/>
        <w:ind w:firstLine="420" w:firstLineChars="200"/>
        <w:rPr>
          <w:rFonts w:ascii="宋体" w:hAnsi="宋体" w:cs="宋体"/>
        </w:rPr>
      </w:pPr>
      <w:r>
        <w:rPr>
          <w:rFonts w:hint="eastAsia" w:ascii="宋体" w:hAnsi="宋体" w:cs="宋体"/>
          <w:szCs w:val="21"/>
        </w:rPr>
        <w:t>（2）</w:t>
      </w:r>
      <w:r>
        <w:rPr>
          <w:rFonts w:hint="eastAsia" w:ascii="宋体" w:hAnsi="宋体" w:cs="宋体"/>
        </w:rPr>
        <w:t>设备全部到货并经采购人（用户）签收后，中标人向采购人提交下列单据之日起10个工作日内，采购人向中标人支付合同总价50%合同款。</w:t>
      </w:r>
    </w:p>
    <w:p w14:paraId="1DB38B68">
      <w:pPr>
        <w:spacing w:line="360" w:lineRule="auto"/>
        <w:ind w:firstLine="420" w:firstLineChars="200"/>
        <w:rPr>
          <w:rFonts w:ascii="宋体" w:hAnsi="宋体" w:cs="宋体"/>
        </w:rPr>
      </w:pPr>
      <w:r>
        <w:rPr>
          <w:rFonts w:hint="eastAsia" w:ascii="宋体" w:hAnsi="宋体" w:cs="宋体"/>
        </w:rPr>
        <w:t>中标人提交单据：合同(正文部分复印件）、中标通知书（或成交通知书复印件）、发票（原件）、设备到签收单（复印件）。</w:t>
      </w:r>
    </w:p>
    <w:p w14:paraId="0BE54D16">
      <w:pPr>
        <w:spacing w:line="360" w:lineRule="auto"/>
        <w:ind w:firstLine="420" w:firstLineChars="200"/>
        <w:rPr>
          <w:rFonts w:ascii="宋体" w:hAnsi="宋体" w:cs="宋体"/>
        </w:rPr>
      </w:pPr>
      <w:r>
        <w:rPr>
          <w:rFonts w:hint="eastAsia" w:ascii="宋体" w:hAnsi="宋体" w:cs="宋体"/>
          <w:szCs w:val="21"/>
        </w:rPr>
        <w:t>（3）</w:t>
      </w:r>
      <w:r>
        <w:rPr>
          <w:rFonts w:hint="eastAsia" w:ascii="宋体" w:hAnsi="宋体" w:cs="宋体"/>
        </w:rPr>
        <w:t>设备全部安装调试，并经采购人（用户）验收合格后，中标人向采购人提交下列单据之日起30日内，采购人向中标人无息退还履约保函或保证金。</w:t>
      </w:r>
    </w:p>
    <w:p w14:paraId="5F0B278F">
      <w:pPr>
        <w:spacing w:line="360" w:lineRule="auto"/>
        <w:ind w:firstLine="420" w:firstLineChars="200"/>
        <w:rPr>
          <w:rFonts w:ascii="宋体" w:hAnsi="宋体" w:cs="宋体"/>
        </w:rPr>
      </w:pPr>
      <w:r>
        <w:rPr>
          <w:rFonts w:hint="eastAsia" w:ascii="宋体" w:hAnsi="宋体" w:cs="宋体"/>
        </w:rPr>
        <w:t>中标人提交单据：退还申请（原件）、安装调试验收合格报告（复印件）。</w:t>
      </w:r>
    </w:p>
    <w:p w14:paraId="330D4798">
      <w:pPr>
        <w:spacing w:line="360" w:lineRule="auto"/>
        <w:ind w:firstLine="420" w:firstLineChars="200"/>
        <w:rPr>
          <w:rFonts w:ascii="宋体" w:hAnsi="宋体" w:cs="宋体"/>
        </w:rPr>
      </w:pPr>
      <w:r>
        <w:rPr>
          <w:rFonts w:hint="eastAsia" w:ascii="宋体" w:hAnsi="宋体" w:cs="宋体"/>
          <w:szCs w:val="21"/>
        </w:rPr>
        <w:t>（4）</w:t>
      </w:r>
      <w:r>
        <w:rPr>
          <w:rFonts w:hint="eastAsia" w:ascii="宋体" w:hAnsi="宋体" w:cs="宋体"/>
        </w:rPr>
        <w:t>因财政集中支付延误时间不计算在内。中标人提交付款单据延迟、缺失及账户信息错误的，采购人有权相应顺延付款期限，且采购人不承担延误付款责任。</w:t>
      </w:r>
    </w:p>
    <w:p w14:paraId="45FBD4F1">
      <w:pPr>
        <w:spacing w:line="360" w:lineRule="auto"/>
        <w:ind w:firstLine="422" w:firstLineChars="200"/>
        <w:rPr>
          <w:rFonts w:ascii="宋体" w:hAnsi="宋体" w:cs="宋体"/>
          <w:b/>
          <w:bCs/>
        </w:rPr>
      </w:pPr>
      <w:r>
        <w:rPr>
          <w:rFonts w:hint="eastAsia" w:ascii="宋体" w:hAnsi="宋体" w:cs="宋体"/>
          <w:b/>
          <w:bCs/>
        </w:rPr>
        <w:t>4、履约保证金：</w:t>
      </w:r>
    </w:p>
    <w:p w14:paraId="5319C603">
      <w:pPr>
        <w:spacing w:line="360" w:lineRule="auto"/>
        <w:ind w:firstLine="420" w:firstLineChars="200"/>
        <w:rPr>
          <w:rFonts w:ascii="宋体" w:hAnsi="宋体" w:cs="宋体"/>
        </w:rPr>
      </w:pPr>
      <w:r>
        <w:rPr>
          <w:rFonts w:hint="eastAsia" w:ascii="宋体" w:hAnsi="宋体" w:cs="宋体"/>
        </w:rPr>
        <w:t>（1）</w:t>
      </w:r>
      <w:r>
        <w:rPr>
          <w:rFonts w:ascii="宋体" w:hAnsi="宋体" w:cs="宋体"/>
        </w:rPr>
        <w:t>合同签订之日起</w:t>
      </w:r>
      <w:r>
        <w:rPr>
          <w:rFonts w:hint="eastAsia" w:ascii="宋体" w:hAnsi="宋体" w:cs="宋体"/>
          <w:u w:val="single"/>
        </w:rPr>
        <w:t xml:space="preserve">  10  </w:t>
      </w:r>
      <w:r>
        <w:rPr>
          <w:rFonts w:ascii="宋体" w:hAnsi="宋体" w:cs="宋体"/>
        </w:rPr>
        <w:t>个工作日内，</w:t>
      </w:r>
      <w:r>
        <w:rPr>
          <w:rFonts w:hint="eastAsia" w:ascii="宋体" w:hAnsi="宋体" w:cs="宋体"/>
        </w:rPr>
        <w:t>中标人</w:t>
      </w:r>
      <w:r>
        <w:rPr>
          <w:rFonts w:ascii="宋体" w:hAnsi="宋体" w:cs="宋体"/>
        </w:rPr>
        <w:t>须按合同金额的__</w:t>
      </w:r>
      <w:r>
        <w:rPr>
          <w:rFonts w:hint="eastAsia" w:ascii="宋体" w:hAnsi="宋体" w:cs="宋体"/>
        </w:rPr>
        <w:t>10</w:t>
      </w:r>
      <w:r>
        <w:rPr>
          <w:rFonts w:ascii="宋体" w:hAnsi="宋体" w:cs="宋体"/>
        </w:rPr>
        <w:t>__%向</w:t>
      </w:r>
      <w:r>
        <w:rPr>
          <w:rFonts w:hint="eastAsia" w:ascii="宋体" w:hAnsi="宋体" w:cs="宋体"/>
        </w:rPr>
        <w:t>采购人</w:t>
      </w:r>
      <w:r>
        <w:rPr>
          <w:rFonts w:ascii="宋体" w:hAnsi="宋体" w:cs="宋体"/>
        </w:rPr>
        <w:t>交纳履约保证金</w:t>
      </w:r>
      <w:r>
        <w:rPr>
          <w:rFonts w:hint="eastAsia" w:ascii="宋体" w:hAnsi="宋体" w:cs="宋体"/>
        </w:rPr>
        <w:t>或保函</w:t>
      </w:r>
      <w:r>
        <w:rPr>
          <w:rFonts w:ascii="宋体" w:hAnsi="宋体" w:cs="宋体"/>
        </w:rPr>
        <w:t>。如果</w:t>
      </w:r>
      <w:r>
        <w:rPr>
          <w:rFonts w:hint="eastAsia" w:ascii="宋体" w:hAnsi="宋体" w:cs="宋体"/>
        </w:rPr>
        <w:t>中标人</w:t>
      </w:r>
      <w:r>
        <w:rPr>
          <w:rFonts w:ascii="宋体" w:hAnsi="宋体" w:cs="宋体"/>
        </w:rPr>
        <w:t>未按照约定时间交付履约保证金的，</w:t>
      </w:r>
      <w:r>
        <w:rPr>
          <w:rFonts w:hint="eastAsia" w:ascii="宋体" w:hAnsi="宋体" w:cs="宋体"/>
        </w:rPr>
        <w:t>采购人</w:t>
      </w:r>
      <w:r>
        <w:rPr>
          <w:rFonts w:ascii="宋体" w:hAnsi="宋体" w:cs="宋体"/>
        </w:rPr>
        <w:t>有权单方面解除合同。</w:t>
      </w:r>
    </w:p>
    <w:p w14:paraId="5742665D">
      <w:pPr>
        <w:spacing w:line="360" w:lineRule="auto"/>
        <w:ind w:firstLine="420" w:firstLineChars="200"/>
        <w:rPr>
          <w:rFonts w:ascii="宋体" w:hAnsi="宋体" w:cs="宋体"/>
        </w:rPr>
      </w:pPr>
      <w:r>
        <w:rPr>
          <w:rFonts w:hint="eastAsia" w:ascii="宋体" w:hAnsi="宋体" w:cs="宋体"/>
        </w:rPr>
        <w:t>（2）</w:t>
      </w:r>
      <w:r>
        <w:rPr>
          <w:rFonts w:ascii="宋体" w:hAnsi="宋体" w:cs="宋体"/>
        </w:rPr>
        <w:t>履约保证金以银行保函、银行电汇向</w:t>
      </w:r>
      <w:r>
        <w:rPr>
          <w:rFonts w:hint="eastAsia" w:ascii="宋体" w:hAnsi="宋体" w:cs="宋体"/>
        </w:rPr>
        <w:t>采购人</w:t>
      </w:r>
      <w:r>
        <w:rPr>
          <w:rFonts w:ascii="宋体" w:hAnsi="宋体" w:cs="宋体"/>
        </w:rPr>
        <w:t>提供。</w:t>
      </w:r>
    </w:p>
    <w:p w14:paraId="52739A56">
      <w:pPr>
        <w:spacing w:line="360" w:lineRule="auto"/>
        <w:ind w:firstLine="420" w:firstLineChars="200"/>
        <w:rPr>
          <w:rFonts w:ascii="宋体" w:hAnsi="宋体" w:cs="宋体"/>
        </w:rPr>
      </w:pPr>
      <w:r>
        <w:rPr>
          <w:rFonts w:hint="eastAsia" w:ascii="宋体" w:hAnsi="宋体" w:cs="宋体"/>
        </w:rPr>
        <w:t>（3）</w:t>
      </w:r>
      <w:r>
        <w:rPr>
          <w:rFonts w:ascii="宋体" w:hAnsi="宋体" w:cs="宋体"/>
        </w:rPr>
        <w:t>如</w:t>
      </w:r>
      <w:r>
        <w:rPr>
          <w:rFonts w:hint="eastAsia" w:ascii="宋体" w:hAnsi="宋体" w:cs="宋体"/>
        </w:rPr>
        <w:t>中标人</w:t>
      </w:r>
      <w:r>
        <w:rPr>
          <w:rFonts w:ascii="宋体" w:hAnsi="宋体" w:cs="宋体"/>
        </w:rPr>
        <w:t>未能履行合同规定的义务，</w:t>
      </w:r>
      <w:r>
        <w:rPr>
          <w:rFonts w:hint="eastAsia" w:ascii="宋体" w:hAnsi="宋体" w:cs="宋体"/>
        </w:rPr>
        <w:t>采购人</w:t>
      </w:r>
      <w:r>
        <w:rPr>
          <w:rFonts w:ascii="宋体" w:hAnsi="宋体" w:cs="宋体"/>
        </w:rPr>
        <w:t>有权按照本合同的约定从履约保证金中进行相应扣除。</w:t>
      </w:r>
      <w:r>
        <w:rPr>
          <w:rFonts w:hint="eastAsia" w:ascii="宋体" w:hAnsi="宋体" w:cs="宋体"/>
        </w:rPr>
        <w:t>中标人</w:t>
      </w:r>
      <w:r>
        <w:rPr>
          <w:rFonts w:ascii="宋体" w:hAnsi="宋体" w:cs="宋体"/>
        </w:rPr>
        <w:t>应在</w:t>
      </w:r>
      <w:r>
        <w:rPr>
          <w:rFonts w:hint="eastAsia" w:ascii="宋体" w:hAnsi="宋体" w:cs="宋体"/>
        </w:rPr>
        <w:t>采购人</w:t>
      </w:r>
      <w:r>
        <w:rPr>
          <w:rFonts w:ascii="宋体" w:hAnsi="宋体" w:cs="宋体"/>
        </w:rPr>
        <w:t>扣除履约保证金之日起10个工作日内</w:t>
      </w:r>
      <w:r>
        <w:rPr>
          <w:rFonts w:hint="eastAsia" w:ascii="宋体" w:hAnsi="宋体" w:cs="宋体"/>
        </w:rPr>
        <w:t>（可自行约定）</w:t>
      </w:r>
      <w:r>
        <w:rPr>
          <w:rFonts w:ascii="宋体" w:hAnsi="宋体" w:cs="宋体"/>
        </w:rPr>
        <w:t>，及时补充扣除部分金额。</w:t>
      </w:r>
    </w:p>
    <w:p w14:paraId="763D6024">
      <w:pPr>
        <w:spacing w:line="360" w:lineRule="auto"/>
        <w:ind w:firstLine="420" w:firstLineChars="200"/>
        <w:rPr>
          <w:rFonts w:ascii="宋体" w:hAnsi="宋体" w:cs="宋体"/>
        </w:rPr>
      </w:pPr>
      <w:r>
        <w:rPr>
          <w:rFonts w:hint="eastAsia" w:ascii="宋体" w:hAnsi="宋体" w:cs="宋体"/>
        </w:rPr>
        <w:t>（4）</w:t>
      </w:r>
      <w:r>
        <w:rPr>
          <w:rFonts w:ascii="宋体" w:hAnsi="宋体" w:cs="宋体"/>
        </w:rPr>
        <w:t>如</w:t>
      </w:r>
      <w:r>
        <w:rPr>
          <w:rFonts w:hint="eastAsia" w:ascii="宋体" w:hAnsi="宋体" w:cs="宋体"/>
        </w:rPr>
        <w:t>中标人</w:t>
      </w:r>
      <w:r>
        <w:rPr>
          <w:rFonts w:ascii="宋体" w:hAnsi="宋体" w:cs="宋体"/>
        </w:rPr>
        <w:t>不履行合同，或履行合同义务不符合约定使得合同目的不能实现，履约保证金不予退还。</w:t>
      </w:r>
    </w:p>
    <w:p w14:paraId="459ECF93">
      <w:pPr>
        <w:pStyle w:val="42"/>
        <w:spacing w:line="360" w:lineRule="auto"/>
        <w:ind w:firstLine="420" w:firstLineChars="200"/>
        <w:jc w:val="left"/>
        <w:rPr>
          <w:rFonts w:ascii="宋体" w:hAnsi="宋体" w:cs="宋体"/>
          <w:szCs w:val="21"/>
        </w:rPr>
      </w:pPr>
      <w:r>
        <w:rPr>
          <w:rFonts w:hint="eastAsia" w:ascii="宋体" w:hAnsi="宋体" w:cs="宋体"/>
          <w:szCs w:val="21"/>
        </w:rPr>
        <w:t>7、售后服务要求</w:t>
      </w:r>
    </w:p>
    <w:p w14:paraId="1CA831DA">
      <w:pPr>
        <w:pStyle w:val="42"/>
        <w:spacing w:line="360" w:lineRule="auto"/>
        <w:ind w:firstLine="420" w:firstLineChars="200"/>
        <w:jc w:val="left"/>
        <w:rPr>
          <w:rFonts w:ascii="宋体" w:hAnsi="宋体" w:cs="宋体"/>
          <w:szCs w:val="21"/>
        </w:rPr>
      </w:pPr>
      <w:r>
        <w:rPr>
          <w:rFonts w:hint="eastAsia" w:ascii="宋体" w:hAnsi="宋体" w:cs="宋体"/>
          <w:szCs w:val="21"/>
        </w:rPr>
        <w:t>（</w:t>
      </w:r>
      <w:r>
        <w:rPr>
          <w:rFonts w:ascii="宋体" w:hAnsi="宋体" w:cs="宋体"/>
          <w:szCs w:val="21"/>
        </w:rPr>
        <w:t>1）质保期：验收合格后提供不少于6年原厂整机质保。质保期内，提供仪器质保服务，整机零部件、备品备件及消耗件等维修或更换，提供每年两次全面的整机保养服务（投标报价应包括该项费用，采购人不再额外支出）</w:t>
      </w:r>
      <w:r>
        <w:rPr>
          <w:rFonts w:hint="eastAsia" w:ascii="宋体" w:hAnsi="宋体" w:cs="宋体"/>
          <w:szCs w:val="21"/>
        </w:rPr>
        <w:t>。</w:t>
      </w:r>
    </w:p>
    <w:p w14:paraId="14895B62">
      <w:pPr>
        <w:pStyle w:val="42"/>
        <w:spacing w:line="360" w:lineRule="auto"/>
        <w:ind w:firstLine="420" w:firstLineChars="200"/>
        <w:rPr>
          <w:rFonts w:ascii="宋体" w:hAnsi="宋体" w:cs="宋体"/>
          <w:szCs w:val="21"/>
        </w:rPr>
      </w:pPr>
      <w:r>
        <w:rPr>
          <w:rFonts w:hint="eastAsia" w:ascii="宋体" w:hAnsi="宋体" w:cs="宋体"/>
          <w:szCs w:val="21"/>
        </w:rPr>
        <w:t>（2）中标人应提供原产商质量保证和售后服务承诺书。负责设备的终身维修并应继续提供优质的服务，储备足够的零配件备库并保证十年及以上维修配件。终身年内提供软件升级服务（不额外收费），保修期满后，以市场最优的优惠价供应维修零配件，以市场最优的优惠价供应消耗品。需维修设备经采购人使用部门验收合格且厂家提供维修专用发票后，采购人支付维修费用。中标人及维修厂家不得以任何理由不按时进行设备维修。</w:t>
      </w:r>
    </w:p>
    <w:p w14:paraId="4771A0FD">
      <w:pPr>
        <w:pStyle w:val="42"/>
        <w:spacing w:line="360" w:lineRule="auto"/>
        <w:ind w:firstLine="420" w:firstLineChars="200"/>
        <w:rPr>
          <w:rFonts w:ascii="宋体" w:hAnsi="宋体" w:cs="宋体"/>
          <w:szCs w:val="21"/>
        </w:rPr>
      </w:pPr>
      <w:r>
        <w:rPr>
          <w:rFonts w:hint="eastAsia" w:ascii="宋体" w:hAnsi="宋体" w:cs="宋体"/>
          <w:szCs w:val="21"/>
        </w:rPr>
        <w:t>（3）中标人负责将设备运至采购人指定的地点，负责安装，现场培训及技术应用培训（不额外收费）。中标价应包含产品的制造、材料费（主材及辅材）、运输、安装、验收、保修、税收、所有手续费等直至验收合格交付采购人使用的所有相关费用。中标价格在中标后的合同实施期间应保持不变，即不因市场价格或政策性价格的调整而增减（若因中标人责任而导致的需方依据合同条款对中标人的扣款处罚除外）。</w:t>
      </w:r>
    </w:p>
    <w:p w14:paraId="728D3DB2">
      <w:pPr>
        <w:pStyle w:val="42"/>
        <w:spacing w:line="360" w:lineRule="auto"/>
        <w:ind w:firstLine="420" w:firstLineChars="200"/>
        <w:jc w:val="left"/>
        <w:rPr>
          <w:rFonts w:ascii="宋体" w:hAnsi="宋体" w:cs="宋体"/>
          <w:szCs w:val="21"/>
        </w:rPr>
      </w:pPr>
      <w:r>
        <w:rPr>
          <w:rFonts w:hint="eastAsia" w:ascii="宋体" w:hAnsi="宋体" w:cs="宋体"/>
          <w:szCs w:val="21"/>
        </w:rPr>
        <w:t>（4）货到后，中标人负责派技术人员到现场进行安装、调试，直至验收合格。</w:t>
      </w:r>
    </w:p>
    <w:p w14:paraId="4235A397">
      <w:pPr>
        <w:pStyle w:val="42"/>
        <w:spacing w:line="360" w:lineRule="auto"/>
        <w:ind w:firstLine="420" w:firstLineChars="200"/>
        <w:jc w:val="left"/>
        <w:rPr>
          <w:rFonts w:ascii="宋体" w:hAnsi="宋体" w:cs="宋体"/>
          <w:szCs w:val="21"/>
        </w:rPr>
      </w:pPr>
      <w:r>
        <w:rPr>
          <w:rFonts w:hint="eastAsia" w:ascii="宋体" w:hAnsi="宋体" w:cs="宋体"/>
          <w:szCs w:val="21"/>
        </w:rPr>
        <w:t>（5）中标人能响应故障处理请求和电话咨询，提供7x24小时技术支持，2小时内响应和24小时内派人到现场维修的售后服务。中标人应提供维保人员名单、联系电话等。</w:t>
      </w:r>
    </w:p>
    <w:p w14:paraId="4BFDC320">
      <w:pPr>
        <w:pStyle w:val="42"/>
        <w:spacing w:line="360" w:lineRule="auto"/>
        <w:ind w:firstLine="420" w:firstLineChars="200"/>
        <w:jc w:val="left"/>
        <w:rPr>
          <w:rFonts w:ascii="宋体" w:hAnsi="宋体" w:cs="宋体"/>
          <w:szCs w:val="21"/>
        </w:rPr>
      </w:pPr>
      <w:r>
        <w:rPr>
          <w:rFonts w:hint="eastAsia" w:ascii="宋体" w:hAnsi="宋体" w:cs="宋体"/>
          <w:szCs w:val="21"/>
        </w:rPr>
        <w:t xml:space="preserve">8、培训要求 </w:t>
      </w:r>
    </w:p>
    <w:p w14:paraId="6C7CD794">
      <w:pPr>
        <w:pStyle w:val="42"/>
        <w:spacing w:line="360" w:lineRule="auto"/>
        <w:ind w:firstLine="420" w:firstLineChars="200"/>
        <w:jc w:val="left"/>
        <w:rPr>
          <w:rFonts w:ascii="宋体" w:hAnsi="宋体" w:cs="宋体"/>
          <w:szCs w:val="21"/>
        </w:rPr>
      </w:pPr>
      <w:r>
        <w:rPr>
          <w:rFonts w:hint="eastAsia" w:ascii="宋体" w:hAnsi="宋体" w:cs="宋体"/>
          <w:szCs w:val="21"/>
        </w:rPr>
        <w:t>现场培训：仪器在安装调试同时，中标人负责派工程师对采购人用户就仪器原理和基本操作进行现场培训，保证采购人至少2名工作人员能够正常使用设备的各种功能，培训时间视采购人需要，原则上不少于2天，确保采购人用户能正常操作（投标报价中应包含该费用，采购人不再额外支出）。</w:t>
      </w:r>
    </w:p>
    <w:p w14:paraId="3A989CE8">
      <w:pPr>
        <w:pStyle w:val="42"/>
        <w:spacing w:line="360" w:lineRule="auto"/>
        <w:ind w:firstLine="210" w:firstLineChars="100"/>
        <w:jc w:val="left"/>
        <w:rPr>
          <w:rFonts w:ascii="宋体" w:hAnsi="宋体" w:cs="宋体"/>
        </w:rPr>
      </w:pPr>
      <w:r>
        <w:rPr>
          <w:rFonts w:hint="eastAsia" w:ascii="宋体" w:hAnsi="宋体" w:cs="宋体"/>
        </w:rPr>
        <w:br w:type="page"/>
      </w:r>
    </w:p>
    <w:p w14:paraId="5C9C6F0F"/>
    <w:p w14:paraId="2811D669">
      <w:pPr>
        <w:pStyle w:val="2"/>
      </w:pPr>
      <w:bookmarkStart w:id="6" w:name="_Toc3122"/>
      <w:r>
        <w:rPr>
          <w:rFonts w:hint="eastAsia"/>
        </w:rPr>
        <w:t>第三章  定价方式、合同类型和风险管理措施</w:t>
      </w:r>
      <w:bookmarkEnd w:id="6"/>
    </w:p>
    <w:p w14:paraId="542F0A52">
      <w:pPr>
        <w:pStyle w:val="42"/>
        <w:spacing w:line="360" w:lineRule="auto"/>
        <w:ind w:firstLine="0"/>
        <w:jc w:val="left"/>
        <w:rPr>
          <w:rFonts w:ascii="宋体" w:hAnsi="宋体" w:cs="宋体"/>
          <w:szCs w:val="21"/>
        </w:rPr>
      </w:pPr>
      <w:r>
        <w:rPr>
          <w:rFonts w:hint="eastAsia" w:ascii="宋体" w:hAnsi="宋体" w:cs="宋体"/>
          <w:szCs w:val="21"/>
        </w:rPr>
        <w:t>（1）定价方式:</w:t>
      </w:r>
      <w:r>
        <w:rPr>
          <w:rFonts w:hint="eastAsia"/>
        </w:rPr>
        <w:t>固定总价</w:t>
      </w:r>
      <w:r>
        <w:rPr>
          <w:rFonts w:hint="eastAsia" w:ascii="宋体" w:hAnsi="宋体" w:cs="宋体"/>
          <w:szCs w:val="21"/>
        </w:rPr>
        <w:t>。</w:t>
      </w:r>
    </w:p>
    <w:p w14:paraId="3663D4F0">
      <w:pPr>
        <w:pStyle w:val="42"/>
        <w:spacing w:line="360" w:lineRule="auto"/>
        <w:ind w:firstLine="0"/>
        <w:jc w:val="left"/>
        <w:rPr>
          <w:rFonts w:ascii="宋体" w:hAnsi="宋体" w:cs="宋体"/>
          <w:szCs w:val="21"/>
        </w:rPr>
      </w:pPr>
      <w:r>
        <w:rPr>
          <w:rFonts w:hint="eastAsia" w:ascii="宋体" w:hAnsi="宋体" w:cs="宋体"/>
          <w:szCs w:val="21"/>
        </w:rPr>
        <w:t>（2）合同类型:买卖合同。</w:t>
      </w:r>
    </w:p>
    <w:p w14:paraId="2BC4756E">
      <w:pPr>
        <w:pStyle w:val="42"/>
        <w:spacing w:line="360" w:lineRule="auto"/>
        <w:ind w:firstLine="0"/>
        <w:jc w:val="left"/>
        <w:rPr>
          <w:rFonts w:ascii="宋体" w:hAnsi="宋体" w:cs="宋体"/>
          <w:szCs w:val="21"/>
        </w:rPr>
      </w:pPr>
      <w:r>
        <w:rPr>
          <w:rFonts w:hint="eastAsia" w:ascii="宋体" w:hAnsi="宋体" w:cs="宋体"/>
          <w:szCs w:val="21"/>
        </w:rPr>
        <w:t>（3）风险管理措施：</w:t>
      </w:r>
    </w:p>
    <w:tbl>
      <w:tblPr>
        <w:tblStyle w:val="51"/>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372"/>
        <w:gridCol w:w="1372"/>
        <w:gridCol w:w="1372"/>
        <w:gridCol w:w="1372"/>
        <w:gridCol w:w="1372"/>
        <w:gridCol w:w="1375"/>
      </w:tblGrid>
      <w:tr w14:paraId="50646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2" w:type="dxa"/>
            <w:vAlign w:val="center"/>
          </w:tcPr>
          <w:p w14:paraId="5E3FF2AC">
            <w:pPr>
              <w:jc w:val="center"/>
              <w:rPr>
                <w:rFonts w:ascii="宋体" w:hAnsi="宋体" w:cs="宋体"/>
                <w:szCs w:val="21"/>
              </w:rPr>
            </w:pPr>
            <w:r>
              <w:rPr>
                <w:rFonts w:hint="eastAsia" w:ascii="宋体" w:hAnsi="宋体" w:cs="宋体"/>
                <w:szCs w:val="21"/>
              </w:rPr>
              <w:t>阶段</w:t>
            </w:r>
          </w:p>
        </w:tc>
        <w:tc>
          <w:tcPr>
            <w:tcW w:w="1372" w:type="dxa"/>
            <w:vAlign w:val="center"/>
          </w:tcPr>
          <w:p w14:paraId="0FB2C5CC">
            <w:pPr>
              <w:jc w:val="center"/>
              <w:rPr>
                <w:rFonts w:ascii="宋体" w:hAnsi="宋体" w:cs="宋体"/>
                <w:szCs w:val="21"/>
              </w:rPr>
            </w:pPr>
            <w:r>
              <w:rPr>
                <w:rFonts w:hint="eastAsia" w:ascii="宋体" w:hAnsi="宋体" w:cs="宋体"/>
                <w:szCs w:val="21"/>
              </w:rPr>
              <w:t>风险事项</w:t>
            </w:r>
          </w:p>
        </w:tc>
        <w:tc>
          <w:tcPr>
            <w:tcW w:w="1372" w:type="dxa"/>
            <w:vAlign w:val="center"/>
          </w:tcPr>
          <w:p w14:paraId="39E9A557">
            <w:pPr>
              <w:jc w:val="center"/>
              <w:rPr>
                <w:rFonts w:ascii="宋体" w:hAnsi="宋体" w:cs="宋体"/>
                <w:szCs w:val="21"/>
              </w:rPr>
            </w:pPr>
            <w:r>
              <w:rPr>
                <w:rFonts w:hint="eastAsia" w:ascii="宋体" w:hAnsi="宋体" w:cs="宋体"/>
                <w:szCs w:val="21"/>
              </w:rPr>
              <w:t>风险描述</w:t>
            </w:r>
          </w:p>
        </w:tc>
        <w:tc>
          <w:tcPr>
            <w:tcW w:w="1372" w:type="dxa"/>
            <w:vAlign w:val="center"/>
          </w:tcPr>
          <w:p w14:paraId="26838B62">
            <w:pPr>
              <w:jc w:val="center"/>
              <w:rPr>
                <w:rFonts w:ascii="宋体" w:hAnsi="宋体" w:cs="宋体"/>
                <w:szCs w:val="21"/>
              </w:rPr>
            </w:pPr>
            <w:r>
              <w:rPr>
                <w:rFonts w:hint="eastAsia" w:ascii="宋体" w:hAnsi="宋体" w:cs="宋体"/>
                <w:szCs w:val="21"/>
              </w:rPr>
              <w:t>风险等级</w:t>
            </w:r>
          </w:p>
        </w:tc>
        <w:tc>
          <w:tcPr>
            <w:tcW w:w="1372" w:type="dxa"/>
            <w:vAlign w:val="center"/>
          </w:tcPr>
          <w:p w14:paraId="5FEBF266">
            <w:pPr>
              <w:jc w:val="center"/>
              <w:rPr>
                <w:rFonts w:ascii="宋体" w:hAnsi="宋体" w:cs="宋体"/>
                <w:szCs w:val="21"/>
              </w:rPr>
            </w:pPr>
            <w:r>
              <w:rPr>
                <w:rFonts w:hint="eastAsia" w:ascii="宋体" w:hAnsi="宋体" w:cs="宋体"/>
                <w:szCs w:val="21"/>
              </w:rPr>
              <w:t>防控措施</w:t>
            </w:r>
          </w:p>
        </w:tc>
        <w:tc>
          <w:tcPr>
            <w:tcW w:w="1372" w:type="dxa"/>
            <w:vAlign w:val="center"/>
          </w:tcPr>
          <w:p w14:paraId="5A301E37">
            <w:pPr>
              <w:jc w:val="center"/>
              <w:rPr>
                <w:rFonts w:ascii="宋体" w:hAnsi="宋体" w:cs="宋体"/>
                <w:szCs w:val="21"/>
              </w:rPr>
            </w:pPr>
            <w:r>
              <w:rPr>
                <w:rFonts w:hint="eastAsia" w:ascii="宋体" w:hAnsi="宋体" w:cs="宋体"/>
                <w:szCs w:val="21"/>
              </w:rPr>
              <w:t>责任人</w:t>
            </w:r>
          </w:p>
        </w:tc>
        <w:tc>
          <w:tcPr>
            <w:tcW w:w="1375" w:type="dxa"/>
            <w:vAlign w:val="center"/>
          </w:tcPr>
          <w:p w14:paraId="4A568B71">
            <w:pPr>
              <w:jc w:val="center"/>
              <w:rPr>
                <w:rFonts w:ascii="宋体" w:hAnsi="宋体" w:cs="宋体"/>
                <w:szCs w:val="21"/>
              </w:rPr>
            </w:pPr>
            <w:r>
              <w:rPr>
                <w:rFonts w:hint="eastAsia" w:ascii="宋体" w:hAnsi="宋体" w:cs="宋体"/>
                <w:szCs w:val="21"/>
              </w:rPr>
              <w:t>采购环节</w:t>
            </w:r>
          </w:p>
        </w:tc>
      </w:tr>
      <w:tr w14:paraId="50BE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Pr>
          <w:p w14:paraId="3DE9B70E">
            <w:pPr>
              <w:tabs>
                <w:tab w:val="left" w:pos="1330"/>
              </w:tabs>
              <w:rPr>
                <w:rFonts w:ascii="宋体" w:hAnsi="宋体" w:cs="宋体"/>
                <w:szCs w:val="21"/>
              </w:rPr>
            </w:pPr>
            <w:r>
              <w:rPr>
                <w:rFonts w:hint="eastAsia" w:ascii="宋体" w:hAnsi="宋体" w:cs="宋体"/>
                <w:szCs w:val="21"/>
              </w:rPr>
              <w:t>（填写采购和履约的各个阶段）</w:t>
            </w:r>
          </w:p>
        </w:tc>
        <w:tc>
          <w:tcPr>
            <w:tcW w:w="1372" w:type="dxa"/>
          </w:tcPr>
          <w:p w14:paraId="324E5B28">
            <w:pPr>
              <w:tabs>
                <w:tab w:val="left" w:pos="1330"/>
              </w:tabs>
              <w:rPr>
                <w:rFonts w:ascii="宋体" w:hAnsi="宋体" w:cs="宋体"/>
                <w:szCs w:val="21"/>
              </w:rPr>
            </w:pPr>
            <w:r>
              <w:rPr>
                <w:rFonts w:hint="eastAsia" w:ascii="宋体" w:hAnsi="宋体" w:cs="宋体"/>
                <w:szCs w:val="21"/>
              </w:rPr>
              <w:t>（包括在需求编制、确认、采购活动和合同履行过程中可能出现的各类内部和外部风险）</w:t>
            </w:r>
          </w:p>
        </w:tc>
        <w:tc>
          <w:tcPr>
            <w:tcW w:w="1372" w:type="dxa"/>
          </w:tcPr>
          <w:p w14:paraId="378C3E46">
            <w:pPr>
              <w:tabs>
                <w:tab w:val="left" w:pos="1330"/>
              </w:tabs>
              <w:rPr>
                <w:rFonts w:ascii="宋体" w:hAnsi="宋体" w:cs="宋体"/>
                <w:szCs w:val="21"/>
              </w:rPr>
            </w:pPr>
            <w:r>
              <w:rPr>
                <w:rFonts w:hint="eastAsia" w:ascii="宋体" w:hAnsi="宋体" w:cs="宋体"/>
                <w:szCs w:val="21"/>
              </w:rPr>
              <w:t>（请描述可能产生风险的原因、表现和影响）</w:t>
            </w:r>
          </w:p>
        </w:tc>
        <w:tc>
          <w:tcPr>
            <w:tcW w:w="1372" w:type="dxa"/>
          </w:tcPr>
          <w:p w14:paraId="33BD00AD">
            <w:pPr>
              <w:tabs>
                <w:tab w:val="left" w:pos="1330"/>
              </w:tabs>
              <w:rPr>
                <w:rFonts w:ascii="宋体" w:hAnsi="宋体" w:cs="宋体"/>
                <w:szCs w:val="21"/>
              </w:rPr>
            </w:pPr>
            <w:r>
              <w:rPr>
                <w:rFonts w:hint="eastAsia" w:ascii="宋体" w:hAnsi="宋体" w:cs="宋体"/>
                <w:szCs w:val="21"/>
              </w:rPr>
              <w:t>（请填写高、中、低）</w:t>
            </w:r>
          </w:p>
        </w:tc>
        <w:tc>
          <w:tcPr>
            <w:tcW w:w="1372" w:type="dxa"/>
          </w:tcPr>
          <w:p w14:paraId="4224F5AF">
            <w:pPr>
              <w:tabs>
                <w:tab w:val="left" w:pos="1330"/>
              </w:tabs>
              <w:rPr>
                <w:rFonts w:ascii="宋体" w:hAnsi="宋体" w:cs="宋体"/>
                <w:szCs w:val="21"/>
              </w:rPr>
            </w:pPr>
            <w:r>
              <w:rPr>
                <w:rFonts w:hint="eastAsia" w:ascii="宋体" w:hAnsi="宋体" w:cs="宋体"/>
                <w:szCs w:val="21"/>
              </w:rPr>
              <w:t>（请填写风险回避、损失控制、风险转移的具体措施）</w:t>
            </w:r>
          </w:p>
        </w:tc>
        <w:tc>
          <w:tcPr>
            <w:tcW w:w="1372" w:type="dxa"/>
          </w:tcPr>
          <w:p w14:paraId="4A4395D2">
            <w:pPr>
              <w:tabs>
                <w:tab w:val="left" w:pos="1330"/>
              </w:tabs>
              <w:rPr>
                <w:rFonts w:ascii="宋体" w:hAnsi="宋体" w:cs="宋体"/>
                <w:szCs w:val="21"/>
              </w:rPr>
            </w:pPr>
            <w:r>
              <w:rPr>
                <w:rFonts w:hint="eastAsia" w:ascii="宋体" w:hAnsi="宋体" w:cs="宋体"/>
                <w:szCs w:val="21"/>
              </w:rPr>
              <w:t>（请填写采购人、采购代理机构、供应商、其中，涉及采购人的风险事项，应当细化至单位内部的相关部门）</w:t>
            </w:r>
          </w:p>
        </w:tc>
        <w:tc>
          <w:tcPr>
            <w:tcW w:w="1375" w:type="dxa"/>
          </w:tcPr>
          <w:p w14:paraId="5A613AC7">
            <w:pPr>
              <w:tabs>
                <w:tab w:val="left" w:pos="1330"/>
              </w:tabs>
              <w:rPr>
                <w:rFonts w:ascii="宋体" w:hAnsi="宋体" w:cs="宋体"/>
                <w:szCs w:val="21"/>
              </w:rPr>
            </w:pPr>
            <w:r>
              <w:rPr>
                <w:rFonts w:hint="eastAsia" w:ascii="宋体" w:hAnsi="宋体" w:cs="宋体"/>
                <w:szCs w:val="21"/>
              </w:rPr>
              <w:t>（请填写在采购活动和合同履行过程中，可能发生风险的环节）</w:t>
            </w:r>
          </w:p>
        </w:tc>
      </w:tr>
      <w:tr w14:paraId="15E3E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Pr>
          <w:p w14:paraId="51CF2A66">
            <w:pPr>
              <w:tabs>
                <w:tab w:val="left" w:pos="1330"/>
              </w:tabs>
              <w:rPr>
                <w:rFonts w:ascii="宋体" w:hAnsi="宋体" w:cs="宋体"/>
                <w:szCs w:val="21"/>
              </w:rPr>
            </w:pPr>
            <w:r>
              <w:rPr>
                <w:rFonts w:hint="eastAsia" w:ascii="宋体" w:hAnsi="宋体" w:cs="宋体"/>
                <w:szCs w:val="21"/>
              </w:rPr>
              <w:t>采购阶段</w:t>
            </w:r>
          </w:p>
        </w:tc>
        <w:tc>
          <w:tcPr>
            <w:tcW w:w="1372" w:type="dxa"/>
          </w:tcPr>
          <w:p w14:paraId="0732FAB3">
            <w:pPr>
              <w:tabs>
                <w:tab w:val="left" w:pos="1330"/>
              </w:tabs>
              <w:rPr>
                <w:rFonts w:ascii="宋体" w:hAnsi="宋体" w:cs="宋体"/>
                <w:szCs w:val="21"/>
              </w:rPr>
            </w:pPr>
            <w:r>
              <w:rPr>
                <w:rFonts w:hint="eastAsia" w:ascii="宋体" w:hAnsi="宋体" w:cs="宋体"/>
                <w:szCs w:val="21"/>
              </w:rPr>
              <w:t>需求编制</w:t>
            </w:r>
          </w:p>
        </w:tc>
        <w:tc>
          <w:tcPr>
            <w:tcW w:w="1372" w:type="dxa"/>
          </w:tcPr>
          <w:p w14:paraId="7256CD6D">
            <w:pPr>
              <w:tabs>
                <w:tab w:val="left" w:pos="1330"/>
              </w:tabs>
              <w:rPr>
                <w:rFonts w:ascii="宋体" w:hAnsi="宋体" w:cs="宋体"/>
                <w:szCs w:val="21"/>
              </w:rPr>
            </w:pPr>
            <w:r>
              <w:rPr>
                <w:rFonts w:hint="eastAsia" w:ascii="宋体" w:hAnsi="宋体" w:cs="宋体"/>
                <w:szCs w:val="21"/>
              </w:rPr>
              <w:t>需求编制与实际不符</w:t>
            </w:r>
          </w:p>
        </w:tc>
        <w:tc>
          <w:tcPr>
            <w:tcW w:w="1372" w:type="dxa"/>
          </w:tcPr>
          <w:p w14:paraId="217C6F37">
            <w:pPr>
              <w:tabs>
                <w:tab w:val="left" w:pos="1330"/>
              </w:tabs>
              <w:rPr>
                <w:rFonts w:ascii="宋体" w:hAnsi="宋体" w:cs="宋体"/>
                <w:szCs w:val="21"/>
              </w:rPr>
            </w:pPr>
            <w:r>
              <w:rPr>
                <w:rFonts w:hint="eastAsia" w:ascii="宋体" w:hAnsi="宋体" w:cs="宋体"/>
                <w:szCs w:val="21"/>
              </w:rPr>
              <w:t>中</w:t>
            </w:r>
          </w:p>
        </w:tc>
        <w:tc>
          <w:tcPr>
            <w:tcW w:w="1372" w:type="dxa"/>
          </w:tcPr>
          <w:p w14:paraId="1B7EB765">
            <w:pPr>
              <w:tabs>
                <w:tab w:val="left" w:pos="1330"/>
              </w:tabs>
              <w:rPr>
                <w:rFonts w:ascii="宋体" w:hAnsi="宋体" w:cs="宋体"/>
                <w:szCs w:val="21"/>
              </w:rPr>
            </w:pPr>
            <w:r>
              <w:rPr>
                <w:rFonts w:hint="eastAsia" w:ascii="宋体" w:hAnsi="宋体" w:cs="宋体"/>
                <w:szCs w:val="21"/>
              </w:rPr>
              <w:t>仔细与需求部门确认需求表填写是否与实际需求一致</w:t>
            </w:r>
          </w:p>
        </w:tc>
        <w:tc>
          <w:tcPr>
            <w:tcW w:w="1372" w:type="dxa"/>
          </w:tcPr>
          <w:p w14:paraId="59D22DC4">
            <w:pPr>
              <w:tabs>
                <w:tab w:val="left" w:pos="1330"/>
              </w:tabs>
              <w:rPr>
                <w:rFonts w:ascii="宋体" w:hAnsi="宋体" w:cs="宋体"/>
                <w:szCs w:val="21"/>
              </w:rPr>
            </w:pPr>
            <w:r>
              <w:rPr>
                <w:rFonts w:hint="eastAsia" w:ascii="宋体" w:hAnsi="宋体" w:cs="宋体"/>
                <w:szCs w:val="21"/>
              </w:rPr>
              <w:t>采购人</w:t>
            </w:r>
          </w:p>
        </w:tc>
        <w:tc>
          <w:tcPr>
            <w:tcW w:w="1375" w:type="dxa"/>
          </w:tcPr>
          <w:p w14:paraId="3AB1D5E9">
            <w:pPr>
              <w:tabs>
                <w:tab w:val="left" w:pos="1330"/>
              </w:tabs>
              <w:rPr>
                <w:rFonts w:ascii="宋体" w:hAnsi="宋体" w:cs="宋体"/>
                <w:szCs w:val="21"/>
              </w:rPr>
            </w:pPr>
            <w:r>
              <w:rPr>
                <w:rFonts w:hint="eastAsia" w:ascii="宋体" w:hAnsi="宋体" w:cs="宋体"/>
                <w:szCs w:val="21"/>
              </w:rPr>
              <w:t>采购环节</w:t>
            </w:r>
          </w:p>
        </w:tc>
      </w:tr>
      <w:tr w14:paraId="5279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Pr>
          <w:p w14:paraId="13E0DF7A">
            <w:pPr>
              <w:tabs>
                <w:tab w:val="left" w:pos="1330"/>
              </w:tabs>
              <w:rPr>
                <w:rFonts w:ascii="宋体" w:hAnsi="宋体" w:cs="宋体"/>
                <w:szCs w:val="21"/>
              </w:rPr>
            </w:pPr>
            <w:r>
              <w:rPr>
                <w:rFonts w:hint="eastAsia" w:ascii="宋体" w:hAnsi="宋体" w:cs="宋体"/>
                <w:szCs w:val="21"/>
              </w:rPr>
              <w:t>采购阶段</w:t>
            </w:r>
          </w:p>
        </w:tc>
        <w:tc>
          <w:tcPr>
            <w:tcW w:w="1372" w:type="dxa"/>
          </w:tcPr>
          <w:p w14:paraId="68905F92">
            <w:pPr>
              <w:tabs>
                <w:tab w:val="left" w:pos="1330"/>
              </w:tabs>
              <w:rPr>
                <w:rFonts w:ascii="宋体" w:hAnsi="宋体" w:cs="宋体"/>
                <w:szCs w:val="21"/>
              </w:rPr>
            </w:pPr>
            <w:r>
              <w:rPr>
                <w:rFonts w:hint="eastAsia" w:ascii="宋体" w:hAnsi="宋体" w:cs="宋体"/>
                <w:szCs w:val="21"/>
              </w:rPr>
              <w:t>采购活动</w:t>
            </w:r>
          </w:p>
        </w:tc>
        <w:tc>
          <w:tcPr>
            <w:tcW w:w="1372" w:type="dxa"/>
          </w:tcPr>
          <w:p w14:paraId="3D7604B5">
            <w:pPr>
              <w:tabs>
                <w:tab w:val="left" w:pos="1330"/>
              </w:tabs>
              <w:rPr>
                <w:rFonts w:ascii="宋体" w:hAnsi="宋体" w:cs="宋体"/>
                <w:szCs w:val="21"/>
              </w:rPr>
            </w:pPr>
            <w:r>
              <w:rPr>
                <w:rFonts w:hint="eastAsia" w:ascii="宋体" w:hAnsi="宋体" w:cs="宋体"/>
                <w:szCs w:val="21"/>
              </w:rPr>
              <w:t>标书的填写符合性及与需求的符合性</w:t>
            </w:r>
          </w:p>
        </w:tc>
        <w:tc>
          <w:tcPr>
            <w:tcW w:w="1372" w:type="dxa"/>
          </w:tcPr>
          <w:p w14:paraId="5A42EDB1">
            <w:pPr>
              <w:tabs>
                <w:tab w:val="left" w:pos="1330"/>
              </w:tabs>
              <w:rPr>
                <w:rFonts w:ascii="宋体" w:hAnsi="宋体" w:cs="宋体"/>
                <w:szCs w:val="21"/>
              </w:rPr>
            </w:pPr>
            <w:r>
              <w:rPr>
                <w:rFonts w:hint="eastAsia" w:ascii="宋体" w:hAnsi="宋体" w:cs="宋体"/>
                <w:szCs w:val="21"/>
              </w:rPr>
              <w:t>中</w:t>
            </w:r>
          </w:p>
        </w:tc>
        <w:tc>
          <w:tcPr>
            <w:tcW w:w="1372" w:type="dxa"/>
          </w:tcPr>
          <w:p w14:paraId="556B3584">
            <w:pPr>
              <w:tabs>
                <w:tab w:val="left" w:pos="1330"/>
              </w:tabs>
              <w:rPr>
                <w:rFonts w:ascii="宋体" w:hAnsi="宋体" w:cs="宋体"/>
                <w:szCs w:val="21"/>
              </w:rPr>
            </w:pPr>
            <w:r>
              <w:rPr>
                <w:rFonts w:hint="eastAsia" w:ascii="宋体" w:hAnsi="宋体" w:cs="宋体"/>
                <w:szCs w:val="21"/>
              </w:rPr>
              <w:t>仔细与采购人员确认填写是否与实际需求一致</w:t>
            </w:r>
          </w:p>
        </w:tc>
        <w:tc>
          <w:tcPr>
            <w:tcW w:w="1372" w:type="dxa"/>
          </w:tcPr>
          <w:p w14:paraId="663BB7DF">
            <w:pPr>
              <w:tabs>
                <w:tab w:val="left" w:pos="1330"/>
              </w:tabs>
              <w:rPr>
                <w:rFonts w:ascii="宋体" w:hAnsi="宋体" w:cs="宋体"/>
                <w:szCs w:val="21"/>
              </w:rPr>
            </w:pPr>
            <w:r>
              <w:rPr>
                <w:rFonts w:hint="eastAsia" w:ascii="宋体" w:hAnsi="宋体" w:cs="宋体"/>
                <w:szCs w:val="21"/>
              </w:rPr>
              <w:t>代理机构</w:t>
            </w:r>
          </w:p>
        </w:tc>
        <w:tc>
          <w:tcPr>
            <w:tcW w:w="1375" w:type="dxa"/>
          </w:tcPr>
          <w:p w14:paraId="0A2CDC6E">
            <w:pPr>
              <w:tabs>
                <w:tab w:val="left" w:pos="1330"/>
              </w:tabs>
              <w:rPr>
                <w:rFonts w:ascii="宋体" w:hAnsi="宋体" w:cs="宋体"/>
                <w:szCs w:val="21"/>
              </w:rPr>
            </w:pPr>
            <w:r>
              <w:rPr>
                <w:rFonts w:hint="eastAsia" w:ascii="宋体" w:hAnsi="宋体" w:cs="宋体"/>
                <w:szCs w:val="21"/>
              </w:rPr>
              <w:t>采购环节</w:t>
            </w:r>
          </w:p>
        </w:tc>
      </w:tr>
      <w:tr w14:paraId="02D6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Pr>
          <w:p w14:paraId="23285D6F">
            <w:pPr>
              <w:tabs>
                <w:tab w:val="left" w:pos="1330"/>
              </w:tabs>
              <w:rPr>
                <w:rFonts w:ascii="宋体" w:hAnsi="宋体" w:cs="宋体"/>
                <w:szCs w:val="21"/>
              </w:rPr>
            </w:pPr>
            <w:r>
              <w:rPr>
                <w:rFonts w:hint="eastAsia" w:ascii="宋体" w:hAnsi="宋体" w:cs="宋体"/>
                <w:szCs w:val="21"/>
              </w:rPr>
              <w:t>合同履约阶段</w:t>
            </w:r>
          </w:p>
        </w:tc>
        <w:tc>
          <w:tcPr>
            <w:tcW w:w="1372" w:type="dxa"/>
          </w:tcPr>
          <w:p w14:paraId="1569BC23">
            <w:pPr>
              <w:tabs>
                <w:tab w:val="left" w:pos="1330"/>
              </w:tabs>
              <w:rPr>
                <w:rFonts w:ascii="宋体" w:hAnsi="宋体" w:cs="宋体"/>
                <w:szCs w:val="21"/>
              </w:rPr>
            </w:pPr>
            <w:r>
              <w:rPr>
                <w:rFonts w:hint="eastAsia" w:ascii="宋体" w:hAnsi="宋体" w:cs="宋体"/>
                <w:szCs w:val="21"/>
              </w:rPr>
              <w:t>合同履约</w:t>
            </w:r>
          </w:p>
        </w:tc>
        <w:tc>
          <w:tcPr>
            <w:tcW w:w="1372" w:type="dxa"/>
          </w:tcPr>
          <w:p w14:paraId="7D4030C2">
            <w:pPr>
              <w:tabs>
                <w:tab w:val="left" w:pos="1330"/>
              </w:tabs>
              <w:rPr>
                <w:rFonts w:ascii="宋体" w:hAnsi="宋体" w:cs="宋体"/>
                <w:szCs w:val="21"/>
              </w:rPr>
            </w:pPr>
            <w:r>
              <w:rPr>
                <w:rFonts w:hint="eastAsia" w:ascii="宋体" w:hAnsi="宋体" w:cs="宋体"/>
                <w:szCs w:val="21"/>
              </w:rPr>
              <w:t>供应商不能按照合同准时履约</w:t>
            </w:r>
          </w:p>
        </w:tc>
        <w:tc>
          <w:tcPr>
            <w:tcW w:w="1372" w:type="dxa"/>
          </w:tcPr>
          <w:p w14:paraId="03FB5EF9">
            <w:pPr>
              <w:tabs>
                <w:tab w:val="left" w:pos="1330"/>
              </w:tabs>
              <w:rPr>
                <w:rFonts w:ascii="宋体" w:hAnsi="宋体" w:cs="宋体"/>
                <w:szCs w:val="21"/>
              </w:rPr>
            </w:pPr>
            <w:r>
              <w:rPr>
                <w:rFonts w:hint="eastAsia" w:ascii="宋体" w:hAnsi="宋体" w:cs="宋体"/>
                <w:szCs w:val="21"/>
              </w:rPr>
              <w:t>中</w:t>
            </w:r>
          </w:p>
        </w:tc>
        <w:tc>
          <w:tcPr>
            <w:tcW w:w="1372" w:type="dxa"/>
          </w:tcPr>
          <w:p w14:paraId="576C2C6D">
            <w:pPr>
              <w:tabs>
                <w:tab w:val="left" w:pos="1330"/>
              </w:tabs>
              <w:rPr>
                <w:rFonts w:ascii="宋体" w:hAnsi="宋体" w:cs="宋体"/>
                <w:szCs w:val="21"/>
              </w:rPr>
            </w:pPr>
            <w:r>
              <w:rPr>
                <w:rFonts w:hint="eastAsia" w:ascii="宋体" w:hAnsi="宋体" w:cs="宋体"/>
                <w:szCs w:val="21"/>
              </w:rPr>
              <w:t>在合同中详细写明无法按时履约应该承担的法律责任</w:t>
            </w:r>
          </w:p>
        </w:tc>
        <w:tc>
          <w:tcPr>
            <w:tcW w:w="1372" w:type="dxa"/>
          </w:tcPr>
          <w:p w14:paraId="343128E7">
            <w:pPr>
              <w:tabs>
                <w:tab w:val="left" w:pos="1330"/>
              </w:tabs>
              <w:rPr>
                <w:rFonts w:ascii="宋体" w:hAnsi="宋体" w:cs="宋体"/>
                <w:szCs w:val="21"/>
              </w:rPr>
            </w:pPr>
            <w:r>
              <w:rPr>
                <w:rFonts w:hint="eastAsia" w:ascii="宋体" w:hAnsi="宋体" w:cs="宋体"/>
                <w:szCs w:val="21"/>
              </w:rPr>
              <w:t>供应商</w:t>
            </w:r>
          </w:p>
        </w:tc>
        <w:tc>
          <w:tcPr>
            <w:tcW w:w="1375" w:type="dxa"/>
          </w:tcPr>
          <w:p w14:paraId="7CBAB27F">
            <w:pPr>
              <w:tabs>
                <w:tab w:val="left" w:pos="1330"/>
              </w:tabs>
              <w:rPr>
                <w:rFonts w:ascii="宋体" w:hAnsi="宋体" w:cs="宋体"/>
                <w:szCs w:val="21"/>
              </w:rPr>
            </w:pPr>
            <w:r>
              <w:rPr>
                <w:rFonts w:hint="eastAsia" w:ascii="宋体" w:hAnsi="宋体" w:cs="宋体"/>
                <w:szCs w:val="21"/>
              </w:rPr>
              <w:t>合同履约环节</w:t>
            </w:r>
          </w:p>
        </w:tc>
      </w:tr>
    </w:tbl>
    <w:p w14:paraId="7630C669">
      <w:pPr>
        <w:adjustRightInd w:val="0"/>
        <w:spacing w:line="360" w:lineRule="auto"/>
        <w:ind w:firstLine="420" w:firstLineChars="200"/>
        <w:jc w:val="left"/>
        <w:rPr>
          <w:rFonts w:ascii="宋体" w:hAnsi="宋体" w:cs="宋体"/>
        </w:rPr>
      </w:pPr>
    </w:p>
    <w:p w14:paraId="640939AD">
      <w:r>
        <w:rPr>
          <w:rFonts w:hint="eastAsia"/>
        </w:rPr>
        <w:br w:type="page"/>
      </w:r>
    </w:p>
    <w:p w14:paraId="47477CD2">
      <w:pPr>
        <w:pStyle w:val="2"/>
      </w:pPr>
      <w:bookmarkStart w:id="7" w:name="_Toc14860"/>
      <w:r>
        <w:rPr>
          <w:rFonts w:hint="eastAsia"/>
        </w:rPr>
        <w:t>第四章  资格审查和评标方法</w:t>
      </w:r>
      <w:bookmarkEnd w:id="7"/>
    </w:p>
    <w:p w14:paraId="337FDEC0">
      <w:pPr>
        <w:pStyle w:val="3"/>
        <w:rPr>
          <w:rFonts w:ascii="宋体" w:hAnsi="宋体"/>
          <w:b/>
          <w:snapToGrid w:val="0"/>
          <w:kern w:val="0"/>
        </w:rPr>
      </w:pPr>
      <w:bookmarkStart w:id="8" w:name="_Toc18365"/>
      <w:r>
        <w:rPr>
          <w:rFonts w:hint="eastAsia"/>
        </w:rPr>
        <w:t>一、资格性审查和符合性审查</w:t>
      </w:r>
      <w:bookmarkEnd w:id="8"/>
    </w:p>
    <w:p w14:paraId="4EC419BB">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本章节是本招标文件中涉及的所有无效标和废标情形的摘要，除法律法规另有规定外，投标文件的其他任何情形均不得作无效标和废标处理。招标文件中有关无效标和废标与本章节不一致的，以本章节内容为准。</w:t>
      </w:r>
    </w:p>
    <w:p w14:paraId="232DF87B">
      <w:pPr>
        <w:adjustRightInd w:val="0"/>
        <w:spacing w:line="360" w:lineRule="auto"/>
        <w:rPr>
          <w:snapToGrid w:val="0"/>
          <w:kern w:val="0"/>
        </w:rPr>
      </w:pPr>
    </w:p>
    <w:p w14:paraId="3966E0D1">
      <w:pPr>
        <w:adjustRightInd w:val="0"/>
        <w:spacing w:line="360" w:lineRule="auto"/>
        <w:ind w:firstLine="424" w:firstLineChars="202"/>
        <w:rPr>
          <w:snapToGrid w:val="0"/>
          <w:kern w:val="0"/>
        </w:rPr>
      </w:pPr>
      <w:r>
        <w:rPr>
          <w:rFonts w:hint="eastAsia"/>
          <w:snapToGrid w:val="0"/>
          <w:kern w:val="0"/>
        </w:rPr>
        <w:t>一、资格性</w:t>
      </w:r>
      <w:r>
        <w:rPr>
          <w:rFonts w:hint="eastAsia" w:ascii="宋体" w:hAnsi="宋体"/>
          <w:snapToGrid w:val="0"/>
          <w:kern w:val="0"/>
        </w:rPr>
        <w:t>审查</w:t>
      </w:r>
    </w:p>
    <w:p w14:paraId="7CB806F7">
      <w:pPr>
        <w:adjustRightInd w:val="0"/>
        <w:spacing w:line="360" w:lineRule="auto"/>
        <w:ind w:firstLine="424" w:firstLineChars="202"/>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426F4A2">
      <w:pPr>
        <w:adjustRightInd w:val="0"/>
        <w:spacing w:line="360" w:lineRule="auto"/>
        <w:ind w:firstLine="424" w:firstLineChars="202"/>
        <w:rPr>
          <w:rFonts w:ascii="宋体" w:hAnsi="宋体"/>
          <w:snapToGrid w:val="0"/>
          <w:kern w:val="0"/>
        </w:rPr>
      </w:pPr>
      <w:r>
        <w:rPr>
          <w:rFonts w:hint="eastAsia" w:ascii="宋体" w:hAnsi="宋体"/>
          <w:snapToGrid w:val="0"/>
          <w:kern w:val="0"/>
        </w:rPr>
        <w:t>二、符合性审查</w:t>
      </w:r>
    </w:p>
    <w:p w14:paraId="4E0CC120">
      <w:pPr>
        <w:adjustRightInd w:val="0"/>
        <w:spacing w:line="360" w:lineRule="auto"/>
        <w:ind w:firstLine="424" w:firstLineChars="202"/>
        <w:rPr>
          <w:rFonts w:ascii="宋体" w:hAnsi="宋体"/>
          <w:snapToGrid w:val="0"/>
          <w:kern w:val="0"/>
        </w:rPr>
      </w:pPr>
      <w:r>
        <w:rPr>
          <w:rFonts w:hint="eastAsia" w:ascii="宋体" w:hAnsi="宋体"/>
          <w:snapToGrid w:val="0"/>
          <w:kern w:val="0"/>
        </w:rPr>
        <w:t>1、投标人提供的投标文件数量不符合招标文件要求。</w:t>
      </w:r>
    </w:p>
    <w:p w14:paraId="1B1D4A2F">
      <w:pPr>
        <w:adjustRightInd w:val="0"/>
        <w:spacing w:line="360" w:lineRule="auto"/>
        <w:ind w:firstLine="424" w:firstLineChars="202"/>
        <w:rPr>
          <w:rFonts w:ascii="宋体" w:hAnsi="宋体"/>
          <w:snapToGrid w:val="0"/>
          <w:kern w:val="0"/>
        </w:rPr>
      </w:pPr>
      <w:r>
        <w:rPr>
          <w:rFonts w:hint="eastAsia" w:ascii="宋体" w:hAnsi="宋体"/>
          <w:snapToGrid w:val="0"/>
          <w:kern w:val="0"/>
        </w:rPr>
        <w:t>2、投标文件未按照招标文件要求制作、密封和标记。</w:t>
      </w:r>
    </w:p>
    <w:p w14:paraId="6817378F">
      <w:pPr>
        <w:adjustRightInd w:val="0"/>
        <w:spacing w:line="360" w:lineRule="auto"/>
        <w:ind w:firstLine="424" w:firstLineChars="202"/>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252E2FD6">
      <w:pPr>
        <w:adjustRightInd w:val="0"/>
        <w:spacing w:line="360" w:lineRule="auto"/>
        <w:ind w:firstLine="424" w:firstLineChars="202"/>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3A7645D3">
      <w:pPr>
        <w:adjustRightInd w:val="0"/>
        <w:spacing w:line="360" w:lineRule="auto"/>
        <w:ind w:firstLine="424" w:firstLineChars="202"/>
        <w:rPr>
          <w:rFonts w:ascii="宋体" w:hAnsi="宋体"/>
          <w:snapToGrid w:val="0"/>
          <w:kern w:val="0"/>
        </w:rPr>
      </w:pPr>
      <w:r>
        <w:rPr>
          <w:rFonts w:hint="eastAsia" w:ascii="宋体" w:hAnsi="宋体"/>
          <w:snapToGrid w:val="0"/>
          <w:kern w:val="0"/>
        </w:rPr>
        <w:t>5、投标文件的关键内容字迹模糊、无法辨认的。</w:t>
      </w:r>
    </w:p>
    <w:p w14:paraId="306BDB16">
      <w:pPr>
        <w:adjustRightInd w:val="0"/>
        <w:spacing w:line="360" w:lineRule="auto"/>
        <w:ind w:firstLine="424" w:firstLineChars="202"/>
        <w:rPr>
          <w:rFonts w:ascii="宋体" w:hAnsi="宋体"/>
          <w:snapToGrid w:val="0"/>
          <w:kern w:val="0"/>
        </w:rPr>
      </w:pPr>
      <w:r>
        <w:rPr>
          <w:rFonts w:hint="eastAsia" w:ascii="宋体" w:hAnsi="宋体"/>
          <w:snapToGrid w:val="0"/>
          <w:kern w:val="0"/>
        </w:rPr>
        <w:t>6、投标报价有严重缺漏项的。</w:t>
      </w:r>
    </w:p>
    <w:p w14:paraId="6059DEE0">
      <w:pPr>
        <w:adjustRightInd w:val="0"/>
        <w:spacing w:line="360" w:lineRule="auto"/>
        <w:ind w:firstLine="424" w:firstLineChars="202"/>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664E53CD">
      <w:pPr>
        <w:adjustRightInd w:val="0"/>
        <w:spacing w:line="360" w:lineRule="auto"/>
        <w:ind w:firstLine="424" w:firstLineChars="202"/>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7ED64086">
      <w:pPr>
        <w:adjustRightInd w:val="0"/>
        <w:spacing w:line="360" w:lineRule="auto"/>
        <w:ind w:firstLine="424" w:firstLineChars="202"/>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453094D5">
      <w:pPr>
        <w:adjustRightInd w:val="0"/>
        <w:spacing w:line="360" w:lineRule="auto"/>
        <w:ind w:firstLine="424" w:firstLineChars="202"/>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424AAB03">
      <w:pPr>
        <w:adjustRightInd w:val="0"/>
        <w:spacing w:line="360" w:lineRule="auto"/>
        <w:ind w:firstLine="424" w:firstLineChars="202"/>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14:paraId="791F2C37">
      <w:pPr>
        <w:adjustRightInd w:val="0"/>
        <w:spacing w:line="360" w:lineRule="auto"/>
        <w:ind w:firstLine="424" w:firstLineChars="202"/>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14:paraId="2EC58430">
      <w:pPr>
        <w:adjustRightInd w:val="0"/>
        <w:spacing w:line="360" w:lineRule="auto"/>
        <w:ind w:firstLine="424" w:firstLineChars="202"/>
        <w:rPr>
          <w:rFonts w:ascii="宋体" w:hAnsi="宋体"/>
          <w:snapToGrid w:val="0"/>
          <w:kern w:val="0"/>
        </w:rPr>
      </w:pPr>
      <w:r>
        <w:rPr>
          <w:rFonts w:hint="eastAsia" w:ascii="宋体" w:hAnsi="宋体"/>
          <w:snapToGrid w:val="0"/>
          <w:kern w:val="0"/>
        </w:rPr>
        <w:t>13、法律法规规定的其它情形。</w:t>
      </w:r>
    </w:p>
    <w:p w14:paraId="0BE60033"/>
    <w:p w14:paraId="15EC460E"/>
    <w:p w14:paraId="7CBE85DB"/>
    <w:p w14:paraId="14B8AD09"/>
    <w:p w14:paraId="59974E73"/>
    <w:p w14:paraId="762EA92B">
      <w:pPr>
        <w:pStyle w:val="3"/>
      </w:pPr>
      <w:bookmarkStart w:id="9" w:name="_Toc44690702"/>
      <w:bookmarkStart w:id="10" w:name="_Toc44691161"/>
      <w:bookmarkStart w:id="11" w:name="_Toc44690429"/>
      <w:bookmarkStart w:id="12" w:name="_Toc44691393"/>
    </w:p>
    <w:p w14:paraId="531EAB3C">
      <w:bookmarkStart w:id="13" w:name="_Toc30752"/>
      <w:r>
        <w:rPr>
          <w:rFonts w:hint="eastAsia"/>
        </w:rPr>
        <w:br w:type="page"/>
      </w:r>
    </w:p>
    <w:p w14:paraId="6579A564">
      <w:pPr>
        <w:pStyle w:val="3"/>
      </w:pPr>
      <w:r>
        <w:rPr>
          <w:rFonts w:hint="eastAsia"/>
        </w:rPr>
        <w:t>二、评标方法</w:t>
      </w:r>
      <w:bookmarkEnd w:id="9"/>
      <w:bookmarkEnd w:id="10"/>
      <w:bookmarkEnd w:id="11"/>
      <w:bookmarkEnd w:id="12"/>
      <w:bookmarkEnd w:id="13"/>
      <w:r>
        <w:rPr>
          <w:rFonts w:hint="eastAsia"/>
        </w:rPr>
        <w:t>（适用于A、B包）</w:t>
      </w:r>
    </w:p>
    <w:p w14:paraId="7231828E">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0185E764">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353F2512">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2、中标供应商及候选中标供应商数量：</w:t>
      </w:r>
      <w:r>
        <w:rPr>
          <w:rFonts w:hint="eastAsia" w:cs="仿宋" w:asciiTheme="minorEastAsia" w:hAnsiTheme="minorEastAsia" w:eastAsiaTheme="minorEastAsia"/>
          <w:kern w:val="2"/>
          <w:sz w:val="21"/>
          <w:szCs w:val="21"/>
        </w:rPr>
        <w:t>中标供应商数量：每个包组各1名，候选中标供应商数量：每个包组各3名。</w:t>
      </w:r>
    </w:p>
    <w:p w14:paraId="725D42FD">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3、评标规则：</w:t>
      </w:r>
    </w:p>
    <w:p w14:paraId="4275018F">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9423DC7">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6EBE7EA1">
      <w:pPr>
        <w:spacing w:line="360" w:lineRule="auto"/>
        <w:ind w:firstLine="424" w:firstLineChars="202"/>
        <w:rPr>
          <w:rFonts w:asciiTheme="minorEastAsia" w:hAnsiTheme="minorEastAsia" w:eastAsiaTheme="minorEastAsia"/>
        </w:rPr>
      </w:pPr>
    </w:p>
    <w:p w14:paraId="678C6D56">
      <w:pPr>
        <w:pStyle w:val="3"/>
      </w:pPr>
      <w:bookmarkStart w:id="14" w:name="_Toc15620"/>
      <w:r>
        <w:rPr>
          <w:rFonts w:hint="eastAsia"/>
        </w:rPr>
        <w:t>三、评标标准</w:t>
      </w:r>
      <w:bookmarkEnd w:id="14"/>
      <w:r>
        <w:rPr>
          <w:rFonts w:hint="eastAsia"/>
        </w:rPr>
        <w:t>（适用于</w:t>
      </w:r>
      <w:r>
        <w:rPr>
          <w:rFonts w:hint="eastAsia" w:ascii="宋体" w:hAnsi="宋体" w:eastAsia="宋体" w:cs="宋体"/>
        </w:rPr>
        <w:t>A包</w:t>
      </w:r>
      <w:r>
        <w:rPr>
          <w:rFonts w:hint="eastAsia"/>
        </w:rPr>
        <w:t>）</w:t>
      </w:r>
    </w:p>
    <w:p w14:paraId="63EE2FB4">
      <w:pPr>
        <w:spacing w:line="360" w:lineRule="auto"/>
        <w:ind w:firstLine="424" w:firstLineChars="202"/>
        <w:rPr>
          <w:snapToGrid w:val="0"/>
          <w:kern w:val="0"/>
        </w:rPr>
      </w:pPr>
      <w:r>
        <w:rPr>
          <w:rFonts w:hint="eastAsia"/>
          <w:snapToGrid w:val="0"/>
          <w:kern w:val="0"/>
        </w:rPr>
        <w:t>评标委员会按照以下量化的评审因素，对各投标文件进行综合评审：</w:t>
      </w:r>
    </w:p>
    <w:tbl>
      <w:tblPr>
        <w:tblStyle w:val="51"/>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53FE23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765659CB">
            <w:pPr>
              <w:tabs>
                <w:tab w:val="left" w:pos="426"/>
              </w:tabs>
              <w:autoSpaceDE w:val="0"/>
              <w:autoSpaceDN w:val="0"/>
              <w:adjustRightInd w:val="0"/>
              <w:spacing w:line="360" w:lineRule="exact"/>
              <w:jc w:val="center"/>
              <w:rPr>
                <w:rFonts w:ascii="宋体" w:hAnsi="宋体" w:cs="宋体"/>
                <w:b/>
                <w:szCs w:val="21"/>
                <w:lang w:val="zh-CN"/>
              </w:rPr>
            </w:pPr>
            <w:bookmarkStart w:id="15" w:name="_Toc1245"/>
            <w:bookmarkStart w:id="16" w:name="_Toc44691394"/>
            <w:bookmarkStart w:id="17" w:name="_Toc44690430"/>
            <w:bookmarkStart w:id="18" w:name="_Toc44690703"/>
            <w:bookmarkStart w:id="19" w:name="_Toc44691162"/>
            <w:r>
              <w:rPr>
                <w:rFonts w:hint="eastAsia" w:ascii="宋体" w:hAnsi="宋体" w:cs="宋体"/>
                <w:b/>
                <w:szCs w:val="21"/>
                <w:lang w:val="zh-CN"/>
              </w:rPr>
              <w:t>评分项及评分规则</w:t>
            </w:r>
          </w:p>
        </w:tc>
        <w:tc>
          <w:tcPr>
            <w:tcW w:w="1187" w:type="dxa"/>
            <w:vAlign w:val="center"/>
          </w:tcPr>
          <w:p w14:paraId="7178CDFA">
            <w:pPr>
              <w:tabs>
                <w:tab w:val="left" w:pos="426"/>
              </w:tabs>
              <w:autoSpaceDE w:val="0"/>
              <w:autoSpaceDN w:val="0"/>
              <w:adjustRightInd w:val="0"/>
              <w:spacing w:line="360" w:lineRule="exact"/>
              <w:jc w:val="center"/>
              <w:rPr>
                <w:rFonts w:ascii="宋体" w:hAnsi="宋体" w:cs="宋体"/>
                <w:b/>
                <w:szCs w:val="21"/>
                <w:lang w:val="zh-CN"/>
              </w:rPr>
            </w:pPr>
            <w:r>
              <w:rPr>
                <w:rFonts w:hint="eastAsia" w:ascii="宋体" w:hAnsi="宋体" w:cs="宋体"/>
                <w:b/>
                <w:szCs w:val="21"/>
                <w:lang w:val="zh-CN"/>
              </w:rPr>
              <w:t>权重</w:t>
            </w:r>
          </w:p>
        </w:tc>
      </w:tr>
      <w:tr w14:paraId="72E269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3B8226B0">
            <w:pPr>
              <w:tabs>
                <w:tab w:val="left" w:pos="426"/>
              </w:tabs>
              <w:autoSpaceDE w:val="0"/>
              <w:autoSpaceDN w:val="0"/>
              <w:adjustRightInd w:val="0"/>
              <w:spacing w:line="360" w:lineRule="exact"/>
              <w:jc w:val="center"/>
              <w:rPr>
                <w:rFonts w:ascii="宋体" w:hAnsi="宋体" w:cs="宋体"/>
                <w:b/>
                <w:szCs w:val="21"/>
                <w:lang w:val="zh-CN"/>
              </w:rPr>
            </w:pPr>
            <w:r>
              <w:rPr>
                <w:rFonts w:hint="eastAsia" w:ascii="宋体" w:hAnsi="宋体" w:cs="宋体"/>
                <w:b/>
                <w:szCs w:val="21"/>
                <w:lang w:val="zh-CN"/>
              </w:rPr>
              <w:t>一、价格部分</w:t>
            </w:r>
          </w:p>
        </w:tc>
        <w:tc>
          <w:tcPr>
            <w:tcW w:w="1187" w:type="dxa"/>
            <w:vAlign w:val="center"/>
          </w:tcPr>
          <w:p w14:paraId="080FBD4E">
            <w:pPr>
              <w:tabs>
                <w:tab w:val="left" w:pos="426"/>
              </w:tabs>
              <w:autoSpaceDE w:val="0"/>
              <w:autoSpaceDN w:val="0"/>
              <w:adjustRightInd w:val="0"/>
              <w:spacing w:line="360" w:lineRule="exact"/>
              <w:jc w:val="center"/>
              <w:rPr>
                <w:rFonts w:ascii="宋体" w:hAnsi="宋体" w:cs="宋体"/>
                <w:b/>
                <w:szCs w:val="21"/>
              </w:rPr>
            </w:pPr>
            <w:r>
              <w:rPr>
                <w:rFonts w:hint="eastAsia" w:ascii="宋体" w:hAnsi="宋体" w:cs="宋体"/>
                <w:b/>
                <w:szCs w:val="21"/>
              </w:rPr>
              <w:t>30</w:t>
            </w:r>
          </w:p>
        </w:tc>
      </w:tr>
      <w:tr w14:paraId="74B227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05" w:hRule="atLeast"/>
          <w:jc w:val="center"/>
        </w:trPr>
        <w:tc>
          <w:tcPr>
            <w:tcW w:w="8559" w:type="dxa"/>
            <w:gridSpan w:val="4"/>
            <w:vAlign w:val="center"/>
          </w:tcPr>
          <w:p w14:paraId="1E298475">
            <w:pPr>
              <w:widowControl/>
              <w:tabs>
                <w:tab w:val="left" w:pos="426"/>
              </w:tabs>
              <w:spacing w:line="360" w:lineRule="exact"/>
              <w:jc w:val="left"/>
              <w:rPr>
                <w:rFonts w:ascii="宋体" w:hAnsi="宋体" w:cs="宋体"/>
                <w:szCs w:val="21"/>
              </w:rPr>
            </w:pPr>
            <w:r>
              <w:rPr>
                <w:rFonts w:hint="eastAsia" w:ascii="宋体" w:hAnsi="宋体" w:cs="宋体"/>
                <w:szCs w:val="21"/>
              </w:rPr>
              <w:t>价格分采用低价优先法计算，即满足招标文件要求且投标价格最低的投标报价为评标基准价，其价格分为满分。其他投标人的价格分统一按照下列公式计算：</w:t>
            </w:r>
          </w:p>
          <w:p w14:paraId="4E6D413D">
            <w:pPr>
              <w:widowControl/>
              <w:tabs>
                <w:tab w:val="left" w:pos="426"/>
              </w:tabs>
              <w:spacing w:line="360" w:lineRule="exact"/>
              <w:jc w:val="left"/>
              <w:rPr>
                <w:rFonts w:ascii="宋体" w:hAnsi="宋体" w:cs="宋体"/>
                <w:szCs w:val="21"/>
              </w:rPr>
            </w:pPr>
            <w:r>
              <w:rPr>
                <w:rFonts w:hint="eastAsia" w:ascii="宋体" w:hAnsi="宋体" w:cs="宋体"/>
                <w:szCs w:val="21"/>
              </w:rPr>
              <w:t>投标报价得分=(评标基准价／投标报价)×30</w:t>
            </w:r>
          </w:p>
          <w:p w14:paraId="585DE023">
            <w:pPr>
              <w:tabs>
                <w:tab w:val="left" w:pos="426"/>
              </w:tabs>
              <w:adjustRightInd w:val="0"/>
              <w:snapToGrid w:val="0"/>
              <w:spacing w:line="360" w:lineRule="exact"/>
              <w:rPr>
                <w:rFonts w:ascii="宋体" w:hAnsi="宋体" w:cs="宋体"/>
                <w:szCs w:val="21"/>
              </w:rPr>
            </w:pPr>
            <w:r>
              <w:rPr>
                <w:rFonts w:hint="eastAsia" w:ascii="宋体" w:hAnsi="宋体" w:cs="宋体"/>
                <w:snapToGrid w:val="0"/>
                <w:kern w:val="0"/>
                <w:szCs w:val="21"/>
              </w:rPr>
              <w:t>备注：1、因落实政府采购政策进行价格调整的，以调整后的价格计算评标基准价和投标报价</w:t>
            </w:r>
            <w:r>
              <w:rPr>
                <w:rFonts w:hint="eastAsia" w:ascii="宋体" w:hAnsi="宋体" w:cs="宋体"/>
                <w:bCs/>
                <w:snapToGrid w:val="0"/>
                <w:kern w:val="0"/>
                <w:szCs w:val="21"/>
              </w:rPr>
              <w:t>；</w:t>
            </w:r>
            <w:r>
              <w:rPr>
                <w:rFonts w:hint="eastAsia" w:ascii="宋体" w:hAnsi="宋体" w:cs="宋体"/>
                <w:snapToGrid w:val="0"/>
                <w:kern w:val="0"/>
                <w:szCs w:val="21"/>
              </w:rPr>
              <w:t>2、投标报价得分四舍五入后，小数点后保留两位有效数</w:t>
            </w:r>
            <w:r>
              <w:rPr>
                <w:rFonts w:hint="eastAsia" w:ascii="宋体" w:hAnsi="宋体" w:cs="宋体"/>
                <w:szCs w:val="21"/>
              </w:rPr>
              <w:t>。</w:t>
            </w:r>
          </w:p>
        </w:tc>
        <w:tc>
          <w:tcPr>
            <w:tcW w:w="1187" w:type="dxa"/>
            <w:vAlign w:val="center"/>
          </w:tcPr>
          <w:p w14:paraId="7A17B3FA">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lang w:val="zh-CN"/>
              </w:rPr>
              <w:t>按公式计算评分</w:t>
            </w:r>
          </w:p>
        </w:tc>
      </w:tr>
      <w:tr w14:paraId="0C4484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21322D60">
            <w:pPr>
              <w:tabs>
                <w:tab w:val="left" w:pos="426"/>
              </w:tabs>
              <w:autoSpaceDE w:val="0"/>
              <w:autoSpaceDN w:val="0"/>
              <w:adjustRightInd w:val="0"/>
              <w:spacing w:line="360" w:lineRule="exact"/>
              <w:jc w:val="center"/>
              <w:rPr>
                <w:rFonts w:ascii="宋体" w:hAnsi="宋体" w:cs="宋体"/>
                <w:b/>
                <w:szCs w:val="21"/>
              </w:rPr>
            </w:pPr>
            <w:r>
              <w:rPr>
                <w:rFonts w:hint="eastAsia" w:ascii="宋体" w:hAnsi="宋体" w:cs="宋体"/>
                <w:b/>
                <w:szCs w:val="21"/>
              </w:rPr>
              <w:t>二、技术部分</w:t>
            </w:r>
          </w:p>
        </w:tc>
        <w:tc>
          <w:tcPr>
            <w:tcW w:w="1187" w:type="dxa"/>
            <w:vAlign w:val="center"/>
          </w:tcPr>
          <w:p w14:paraId="19921EE9">
            <w:pPr>
              <w:tabs>
                <w:tab w:val="left" w:pos="426"/>
              </w:tabs>
              <w:autoSpaceDE w:val="0"/>
              <w:autoSpaceDN w:val="0"/>
              <w:adjustRightInd w:val="0"/>
              <w:spacing w:line="360" w:lineRule="exact"/>
              <w:jc w:val="center"/>
              <w:rPr>
                <w:rFonts w:hint="default" w:ascii="宋体" w:hAnsi="宋体" w:eastAsia="宋体" w:cs="宋体"/>
                <w:b/>
                <w:szCs w:val="21"/>
                <w:lang w:val="en-US" w:eastAsia="zh-CN"/>
              </w:rPr>
            </w:pPr>
            <w:r>
              <w:rPr>
                <w:rFonts w:hint="eastAsia" w:ascii="宋体" w:hAnsi="宋体" w:cs="宋体"/>
                <w:b/>
                <w:szCs w:val="21"/>
                <w:lang w:val="en-US" w:eastAsia="zh-CN"/>
              </w:rPr>
              <w:t>58</w:t>
            </w:r>
          </w:p>
        </w:tc>
      </w:tr>
      <w:tr w14:paraId="5138F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5E58397">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序号</w:t>
            </w:r>
          </w:p>
        </w:tc>
        <w:tc>
          <w:tcPr>
            <w:tcW w:w="1143" w:type="dxa"/>
            <w:vAlign w:val="center"/>
          </w:tcPr>
          <w:p w14:paraId="57B013F3">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内容</w:t>
            </w:r>
          </w:p>
        </w:tc>
        <w:tc>
          <w:tcPr>
            <w:tcW w:w="709" w:type="dxa"/>
            <w:vAlign w:val="center"/>
          </w:tcPr>
          <w:p w14:paraId="561B4D47">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权重</w:t>
            </w:r>
          </w:p>
        </w:tc>
        <w:tc>
          <w:tcPr>
            <w:tcW w:w="5953" w:type="dxa"/>
            <w:vAlign w:val="center"/>
          </w:tcPr>
          <w:p w14:paraId="3C0729DA">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评分规则</w:t>
            </w:r>
          </w:p>
        </w:tc>
        <w:tc>
          <w:tcPr>
            <w:tcW w:w="1187" w:type="dxa"/>
            <w:vAlign w:val="center"/>
          </w:tcPr>
          <w:p w14:paraId="6AEF9F63">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评分方式</w:t>
            </w:r>
          </w:p>
        </w:tc>
      </w:tr>
      <w:tr w14:paraId="6182A0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385DA345">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3D59B4F8">
            <w:pPr>
              <w:widowControl/>
              <w:tabs>
                <w:tab w:val="left" w:pos="426"/>
              </w:tabs>
              <w:spacing w:line="360" w:lineRule="exact"/>
              <w:jc w:val="center"/>
              <w:rPr>
                <w:rFonts w:ascii="宋体" w:hAnsi="宋体" w:cs="宋体"/>
                <w:szCs w:val="21"/>
              </w:rPr>
            </w:pPr>
            <w:r>
              <w:rPr>
                <w:rFonts w:hint="eastAsia" w:ascii="宋体" w:hAnsi="宋体" w:cs="宋体"/>
                <w:szCs w:val="21"/>
              </w:rPr>
              <w:t>技术规格偏离情况</w:t>
            </w:r>
          </w:p>
        </w:tc>
        <w:tc>
          <w:tcPr>
            <w:tcW w:w="709" w:type="dxa"/>
            <w:vAlign w:val="center"/>
          </w:tcPr>
          <w:p w14:paraId="011DEC2B">
            <w:pPr>
              <w:widowControl/>
              <w:tabs>
                <w:tab w:val="left" w:pos="426"/>
              </w:tabs>
              <w:spacing w:line="360" w:lineRule="exact"/>
              <w:jc w:val="center"/>
              <w:rPr>
                <w:rFonts w:hint="default" w:ascii="宋体" w:hAnsi="宋体" w:eastAsia="宋体" w:cs="宋体"/>
                <w:szCs w:val="21"/>
                <w:lang w:val="en-US" w:eastAsia="zh-CN"/>
              </w:rPr>
            </w:pPr>
            <w:r>
              <w:rPr>
                <w:rFonts w:hint="eastAsia" w:ascii="宋体" w:hAnsi="宋体" w:cs="宋体"/>
                <w:szCs w:val="21"/>
                <w:lang w:val="en-US" w:eastAsia="zh-CN"/>
              </w:rPr>
              <w:t>48</w:t>
            </w:r>
          </w:p>
        </w:tc>
        <w:tc>
          <w:tcPr>
            <w:tcW w:w="5953" w:type="dxa"/>
            <w:vAlign w:val="center"/>
          </w:tcPr>
          <w:p w14:paraId="2BBC37A3">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（一）评分内容：</w:t>
            </w:r>
          </w:p>
          <w:p w14:paraId="5F2E4D1C">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完全满足招标文件技术指标、参数要求，应答完整的得</w:t>
            </w:r>
            <w:r>
              <w:rPr>
                <w:rFonts w:hint="eastAsia" w:ascii="宋体" w:hAnsi="宋体" w:cs="宋体"/>
                <w:szCs w:val="21"/>
                <w:lang w:val="en-US" w:eastAsia="zh-CN"/>
              </w:rPr>
              <w:t>48</w:t>
            </w:r>
            <w:r>
              <w:rPr>
                <w:rFonts w:hint="eastAsia" w:ascii="宋体" w:hAnsi="宋体" w:cs="宋体"/>
                <w:szCs w:val="21"/>
              </w:rPr>
              <w:t>分；“</w:t>
            </w:r>
            <w:r>
              <w:rPr>
                <w:rFonts w:hint="eastAsia" w:ascii="宋体" w:hAnsi="宋体" w:cs="宋体"/>
                <w:kern w:val="0"/>
                <w:szCs w:val="21"/>
              </w:rPr>
              <w:t>★</w:t>
            </w:r>
            <w:r>
              <w:rPr>
                <w:rFonts w:hint="eastAsia" w:ascii="宋体" w:hAnsi="宋体" w:cs="宋体"/>
                <w:szCs w:val="21"/>
              </w:rPr>
              <w:t>”为不可偏离参数；以此为基础，投标人的技术响应低于招标文件中规定的“▲”技术要求每有一项减3分；投标人一般技术响应低于招标文件规定的，每有一项减0.</w:t>
            </w:r>
            <w:r>
              <w:rPr>
                <w:rFonts w:hint="eastAsia" w:ascii="宋体" w:hAnsi="宋体" w:cs="宋体"/>
                <w:szCs w:val="21"/>
                <w:lang w:val="en-US" w:eastAsia="zh-CN"/>
              </w:rPr>
              <w:t>2</w:t>
            </w:r>
            <w:r>
              <w:rPr>
                <w:rFonts w:hint="eastAsia" w:ascii="宋体" w:hAnsi="宋体" w:cs="宋体"/>
                <w:szCs w:val="21"/>
              </w:rPr>
              <w:t>分。本项最低得0分。</w:t>
            </w:r>
          </w:p>
          <w:p w14:paraId="69536F0D">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（二）评分依据：</w:t>
            </w:r>
          </w:p>
          <w:p w14:paraId="2FD5DC1F">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技术要求中包含子项参数的，按子项参数响应情况逐项评分。</w:t>
            </w:r>
          </w:p>
        </w:tc>
        <w:tc>
          <w:tcPr>
            <w:tcW w:w="1187" w:type="dxa"/>
            <w:vAlign w:val="center"/>
          </w:tcPr>
          <w:p w14:paraId="471046B3">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评委打分</w:t>
            </w:r>
          </w:p>
        </w:tc>
      </w:tr>
      <w:tr w14:paraId="525B8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48" w:hRule="atLeast"/>
          <w:jc w:val="center"/>
        </w:trPr>
        <w:tc>
          <w:tcPr>
            <w:tcW w:w="754" w:type="dxa"/>
            <w:vAlign w:val="center"/>
          </w:tcPr>
          <w:p w14:paraId="10AAAA9F">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2</w:t>
            </w:r>
          </w:p>
        </w:tc>
        <w:tc>
          <w:tcPr>
            <w:tcW w:w="1143" w:type="dxa"/>
            <w:vAlign w:val="center"/>
          </w:tcPr>
          <w:p w14:paraId="5F6BA072">
            <w:pPr>
              <w:tabs>
                <w:tab w:val="left" w:pos="426"/>
              </w:tabs>
              <w:spacing w:line="360" w:lineRule="exact"/>
              <w:jc w:val="center"/>
              <w:rPr>
                <w:rFonts w:ascii="宋体" w:hAnsi="宋体" w:cs="宋体"/>
                <w:szCs w:val="21"/>
              </w:rPr>
            </w:pPr>
            <w:r>
              <w:rPr>
                <w:rFonts w:hint="eastAsia" w:ascii="宋体" w:hAnsi="宋体" w:cs="宋体"/>
                <w:szCs w:val="21"/>
              </w:rPr>
              <w:t>技术保障措施</w:t>
            </w:r>
          </w:p>
        </w:tc>
        <w:tc>
          <w:tcPr>
            <w:tcW w:w="709" w:type="dxa"/>
            <w:vAlign w:val="center"/>
          </w:tcPr>
          <w:p w14:paraId="5AEA5628">
            <w:pPr>
              <w:tabs>
                <w:tab w:val="left" w:pos="426"/>
              </w:tabs>
              <w:spacing w:line="360" w:lineRule="exact"/>
              <w:jc w:val="center"/>
              <w:rPr>
                <w:rFonts w:ascii="宋体" w:hAnsi="宋体" w:cs="宋体"/>
                <w:szCs w:val="21"/>
              </w:rPr>
            </w:pPr>
            <w:r>
              <w:rPr>
                <w:rFonts w:hint="eastAsia" w:ascii="宋体" w:hAnsi="宋体" w:cs="宋体"/>
                <w:szCs w:val="21"/>
              </w:rPr>
              <w:t>4</w:t>
            </w:r>
          </w:p>
        </w:tc>
        <w:tc>
          <w:tcPr>
            <w:tcW w:w="5953" w:type="dxa"/>
            <w:vAlign w:val="center"/>
          </w:tcPr>
          <w:p w14:paraId="4F5685FC">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（一）评分内容：</w:t>
            </w:r>
          </w:p>
          <w:p w14:paraId="5FA41FB7">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投标人在投标文件中详细说明技术保障措施，包含以下内容：</w:t>
            </w:r>
          </w:p>
          <w:p w14:paraId="049FA2C9">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（1）供货方案；</w:t>
            </w:r>
          </w:p>
          <w:p w14:paraId="29AC5682">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（2）安装调试方案；</w:t>
            </w:r>
          </w:p>
          <w:p w14:paraId="50ABC2C7">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（3）质量管理措施。</w:t>
            </w:r>
          </w:p>
          <w:p w14:paraId="00AE28DC">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（二）评分标准：</w:t>
            </w:r>
          </w:p>
          <w:p w14:paraId="3451BB6A">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1.供货方案全面、有针对性的得1.5分；方案内容简单、笼统，存在较多的不足的得0.5分；未提供的0分。</w:t>
            </w:r>
          </w:p>
          <w:p w14:paraId="781B0D6A">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2.安装调试方案全面、有针对性的得1.5分；方案内容简单、笼统，存在较多的不足的得0.5分；未提供的0分。</w:t>
            </w:r>
          </w:p>
          <w:p w14:paraId="6A971D33">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3.质量管理措施切实、有效的得1分；质量管理措施简单、笼统，存在较多的不足的得0.5分；未提供的0分。</w:t>
            </w:r>
          </w:p>
          <w:p w14:paraId="3CA967E5">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以上3项合计最高4分。</w:t>
            </w:r>
          </w:p>
        </w:tc>
        <w:tc>
          <w:tcPr>
            <w:tcW w:w="1187" w:type="dxa"/>
            <w:vAlign w:val="center"/>
          </w:tcPr>
          <w:p w14:paraId="436C4B36">
            <w:pPr>
              <w:tabs>
                <w:tab w:val="left" w:pos="426"/>
              </w:tabs>
              <w:spacing w:line="360" w:lineRule="exact"/>
              <w:jc w:val="center"/>
              <w:rPr>
                <w:rFonts w:ascii="宋体" w:hAnsi="宋体" w:cs="宋体"/>
                <w:szCs w:val="21"/>
              </w:rPr>
            </w:pPr>
            <w:r>
              <w:rPr>
                <w:rFonts w:hint="eastAsia" w:ascii="宋体" w:hAnsi="宋体" w:cs="宋体"/>
                <w:szCs w:val="21"/>
              </w:rPr>
              <w:t>评委打分</w:t>
            </w:r>
          </w:p>
        </w:tc>
      </w:tr>
      <w:tr w14:paraId="4BB8C0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21157FF">
            <w:pPr>
              <w:widowControl/>
              <w:tabs>
                <w:tab w:val="left" w:pos="426"/>
              </w:tabs>
              <w:snapToGrid w:val="0"/>
              <w:spacing w:line="360" w:lineRule="exact"/>
              <w:jc w:val="center"/>
              <w:rPr>
                <w:rFonts w:ascii="宋体" w:hAnsi="宋体" w:cs="宋体"/>
                <w:szCs w:val="21"/>
              </w:rPr>
            </w:pPr>
            <w:r>
              <w:rPr>
                <w:rFonts w:hint="eastAsia" w:ascii="宋体" w:hAnsi="宋体" w:cs="宋体"/>
                <w:szCs w:val="21"/>
              </w:rPr>
              <w:t>3</w:t>
            </w:r>
          </w:p>
        </w:tc>
        <w:tc>
          <w:tcPr>
            <w:tcW w:w="1143" w:type="dxa"/>
            <w:vAlign w:val="center"/>
          </w:tcPr>
          <w:p w14:paraId="3808407D">
            <w:pPr>
              <w:widowControl/>
              <w:tabs>
                <w:tab w:val="left" w:pos="426"/>
              </w:tabs>
              <w:spacing w:line="360" w:lineRule="exact"/>
              <w:jc w:val="center"/>
              <w:rPr>
                <w:rFonts w:ascii="宋体" w:hAnsi="宋体" w:cs="宋体"/>
                <w:szCs w:val="21"/>
              </w:rPr>
            </w:pPr>
            <w:r>
              <w:rPr>
                <w:rFonts w:hint="eastAsia" w:ascii="宋体" w:hAnsi="宋体" w:cs="宋体"/>
                <w:szCs w:val="21"/>
              </w:rPr>
              <w:t>售后服务方案</w:t>
            </w:r>
          </w:p>
        </w:tc>
        <w:tc>
          <w:tcPr>
            <w:tcW w:w="709" w:type="dxa"/>
            <w:vAlign w:val="center"/>
          </w:tcPr>
          <w:p w14:paraId="43DCAFAD">
            <w:pPr>
              <w:widowControl/>
              <w:tabs>
                <w:tab w:val="left" w:pos="426"/>
              </w:tabs>
              <w:spacing w:line="360" w:lineRule="exact"/>
              <w:jc w:val="center"/>
              <w:rPr>
                <w:rFonts w:ascii="宋体" w:hAnsi="宋体" w:cs="宋体"/>
                <w:szCs w:val="21"/>
              </w:rPr>
            </w:pPr>
            <w:r>
              <w:rPr>
                <w:rFonts w:hint="eastAsia" w:ascii="宋体" w:hAnsi="宋体" w:cs="宋体"/>
                <w:szCs w:val="21"/>
              </w:rPr>
              <w:t>6</w:t>
            </w:r>
          </w:p>
        </w:tc>
        <w:tc>
          <w:tcPr>
            <w:tcW w:w="5953" w:type="dxa"/>
            <w:vAlign w:val="center"/>
          </w:tcPr>
          <w:p w14:paraId="39890210">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（一）评分内容：</w:t>
            </w:r>
          </w:p>
          <w:p w14:paraId="1A86FC5E">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投标人提供售后服务方案，包含以下内容：</w:t>
            </w:r>
          </w:p>
          <w:p w14:paraId="5F89CBEF">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（1）售后服务机构及维护人员配置；</w:t>
            </w:r>
          </w:p>
          <w:p w14:paraId="0E9A97D5">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（2）维修维护方案；</w:t>
            </w:r>
          </w:p>
          <w:p w14:paraId="14875B0D">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（3）技术培训方案；</w:t>
            </w:r>
          </w:p>
          <w:p w14:paraId="0A71CD3F">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（4）备品备件支持计划。</w:t>
            </w:r>
          </w:p>
          <w:p w14:paraId="6FC9E982">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（二）评分标准：</w:t>
            </w:r>
          </w:p>
          <w:p w14:paraId="20F0AD01">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售后服务机构便捷，售后维护人员配置完整、经验丰富的得1.5分；售后服务机构较便捷，售后维护人员配置较完整、经验较丰富的得1分；售后服务机构不便捷，售后维护人员配置不完整、经验欠缺的得0.5分；未提供的0分；</w:t>
            </w:r>
          </w:p>
          <w:p w14:paraId="66859FA9">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 xml:space="preserve">2.维修维护方案完善、操作性强、符合项目实际的得1.5分；维修维护方案较完善、操作性较强、较符合项目实际的得1分；维修维护方案笼统、存在不足的得0.5分；未提供维修保养方案的得0分； </w:t>
            </w:r>
          </w:p>
          <w:p w14:paraId="364201C7">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3.培训内容完善、培训计划周全、安排合理的得1.5分；培训内容较完善、培训计划笼统的得1分：培训方案笼统、与本项目内容有偏差的得0.5分；未提供培训计划的得0分；</w:t>
            </w:r>
          </w:p>
          <w:p w14:paraId="6924EAE9">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4.响应速度快、备品备件齐全的得1.5分；响应速度较快、备品备件较齐全的得1分；响应速度慢、备品备件不够齐全的得 0.5分：未提供的不得分。</w:t>
            </w:r>
          </w:p>
          <w:p w14:paraId="0C9B1614">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以上4项合计最高6分。</w:t>
            </w:r>
          </w:p>
        </w:tc>
        <w:tc>
          <w:tcPr>
            <w:tcW w:w="1187" w:type="dxa"/>
            <w:vAlign w:val="center"/>
          </w:tcPr>
          <w:p w14:paraId="71F7A917">
            <w:pPr>
              <w:tabs>
                <w:tab w:val="left" w:pos="426"/>
              </w:tabs>
              <w:spacing w:line="360" w:lineRule="exact"/>
              <w:jc w:val="center"/>
              <w:rPr>
                <w:rFonts w:ascii="宋体" w:hAnsi="宋体" w:cs="宋体"/>
                <w:szCs w:val="21"/>
              </w:rPr>
            </w:pPr>
            <w:r>
              <w:rPr>
                <w:rFonts w:hint="eastAsia" w:ascii="宋体" w:hAnsi="宋体" w:cs="宋体"/>
                <w:szCs w:val="21"/>
              </w:rPr>
              <w:t>评委打分</w:t>
            </w:r>
          </w:p>
        </w:tc>
      </w:tr>
      <w:tr w14:paraId="59602E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7A37E545">
            <w:pPr>
              <w:tabs>
                <w:tab w:val="left" w:pos="426"/>
              </w:tabs>
              <w:autoSpaceDE w:val="0"/>
              <w:autoSpaceDN w:val="0"/>
              <w:adjustRightInd w:val="0"/>
              <w:spacing w:line="360" w:lineRule="exact"/>
              <w:jc w:val="center"/>
              <w:rPr>
                <w:rFonts w:ascii="宋体" w:hAnsi="宋体" w:cs="宋体"/>
                <w:b/>
                <w:bCs/>
                <w:szCs w:val="21"/>
              </w:rPr>
            </w:pPr>
            <w:r>
              <w:rPr>
                <w:rFonts w:hint="eastAsia" w:ascii="宋体" w:hAnsi="宋体" w:cs="宋体"/>
                <w:b/>
                <w:bCs/>
                <w:szCs w:val="21"/>
              </w:rPr>
              <w:t>三、商务部分</w:t>
            </w:r>
          </w:p>
        </w:tc>
        <w:tc>
          <w:tcPr>
            <w:tcW w:w="1187" w:type="dxa"/>
            <w:vAlign w:val="center"/>
          </w:tcPr>
          <w:p w14:paraId="72AB7B46">
            <w:pPr>
              <w:tabs>
                <w:tab w:val="left" w:pos="426"/>
              </w:tabs>
              <w:autoSpaceDE w:val="0"/>
              <w:autoSpaceDN w:val="0"/>
              <w:adjustRightInd w:val="0"/>
              <w:spacing w:line="360" w:lineRule="exact"/>
              <w:jc w:val="center"/>
              <w:rPr>
                <w:rFonts w:hint="default" w:ascii="宋体" w:hAnsi="宋体" w:eastAsia="宋体" w:cs="宋体"/>
                <w:b/>
                <w:bCs/>
                <w:szCs w:val="21"/>
                <w:lang w:val="en-US" w:eastAsia="zh-CN"/>
              </w:rPr>
            </w:pPr>
            <w:r>
              <w:rPr>
                <w:rFonts w:hint="eastAsia" w:ascii="宋体" w:hAnsi="宋体" w:cs="宋体"/>
                <w:b/>
                <w:bCs/>
                <w:szCs w:val="21"/>
                <w:lang w:val="en-US" w:eastAsia="zh-CN"/>
              </w:rPr>
              <w:t>12</w:t>
            </w:r>
          </w:p>
        </w:tc>
      </w:tr>
      <w:tr w14:paraId="66ED79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577AB51">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序号</w:t>
            </w:r>
          </w:p>
        </w:tc>
        <w:tc>
          <w:tcPr>
            <w:tcW w:w="1143" w:type="dxa"/>
            <w:vAlign w:val="center"/>
          </w:tcPr>
          <w:p w14:paraId="49AB88F0">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内容</w:t>
            </w:r>
          </w:p>
        </w:tc>
        <w:tc>
          <w:tcPr>
            <w:tcW w:w="709" w:type="dxa"/>
            <w:vAlign w:val="center"/>
          </w:tcPr>
          <w:p w14:paraId="634AA646">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权重</w:t>
            </w:r>
          </w:p>
        </w:tc>
        <w:tc>
          <w:tcPr>
            <w:tcW w:w="5953" w:type="dxa"/>
            <w:vAlign w:val="center"/>
          </w:tcPr>
          <w:p w14:paraId="7B96186C">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评分规则</w:t>
            </w:r>
          </w:p>
        </w:tc>
        <w:tc>
          <w:tcPr>
            <w:tcW w:w="1187" w:type="dxa"/>
            <w:vAlign w:val="center"/>
          </w:tcPr>
          <w:p w14:paraId="3B28DF93">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评分方式</w:t>
            </w:r>
          </w:p>
        </w:tc>
      </w:tr>
      <w:tr w14:paraId="0EECB5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4" w:hRule="atLeast"/>
          <w:jc w:val="center"/>
        </w:trPr>
        <w:tc>
          <w:tcPr>
            <w:tcW w:w="754" w:type="dxa"/>
            <w:vAlign w:val="center"/>
          </w:tcPr>
          <w:p w14:paraId="2D35DF21">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6ABCD899">
            <w:pPr>
              <w:widowControl/>
              <w:tabs>
                <w:tab w:val="left" w:pos="426"/>
              </w:tabs>
              <w:spacing w:line="360" w:lineRule="exact"/>
              <w:jc w:val="center"/>
              <w:rPr>
                <w:rFonts w:ascii="宋体" w:hAnsi="宋体" w:cs="宋体"/>
                <w:szCs w:val="21"/>
              </w:rPr>
            </w:pPr>
            <w:r>
              <w:rPr>
                <w:rFonts w:hint="eastAsia" w:ascii="宋体" w:hAnsi="宋体" w:cs="宋体"/>
                <w:szCs w:val="21"/>
              </w:rPr>
              <w:t>商务需求条款偏离情况</w:t>
            </w:r>
          </w:p>
        </w:tc>
        <w:tc>
          <w:tcPr>
            <w:tcW w:w="709" w:type="dxa"/>
            <w:vAlign w:val="center"/>
          </w:tcPr>
          <w:p w14:paraId="1EF16835">
            <w:pPr>
              <w:widowControl/>
              <w:tabs>
                <w:tab w:val="left" w:pos="426"/>
              </w:tabs>
              <w:spacing w:line="360" w:lineRule="exact"/>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5953" w:type="dxa"/>
            <w:vAlign w:val="center"/>
          </w:tcPr>
          <w:p w14:paraId="738F15BB">
            <w:p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投标人应如实填写《商务条款偏离表》，评审委员会根据服务条款响应情况进行评审：完全满足招标文件商务条款要求，应答完整的得7分；“</w:t>
            </w:r>
            <w:r>
              <w:rPr>
                <w:rFonts w:hint="eastAsia" w:ascii="宋体" w:hAnsi="宋体" w:cs="宋体"/>
                <w:kern w:val="0"/>
                <w:szCs w:val="21"/>
              </w:rPr>
              <w:t>★</w:t>
            </w:r>
            <w:r>
              <w:rPr>
                <w:rFonts w:hint="eastAsia" w:ascii="宋体" w:hAnsi="宋体" w:cs="宋体"/>
                <w:szCs w:val="21"/>
              </w:rPr>
              <w:t>”为不可偏离参数；以此为基础，投标人一般商务条款响应低于招标文件规定的，每有一项减0.45分。本项最低得0分。</w:t>
            </w:r>
          </w:p>
          <w:p w14:paraId="5505F434">
            <w:pPr>
              <w:numPr>
                <w:ilvl w:val="-1"/>
                <w:numId w:val="0"/>
              </w:num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商务要求中包含子项条款的，按子项条款响应情况逐项评分。</w:t>
            </w:r>
          </w:p>
        </w:tc>
        <w:tc>
          <w:tcPr>
            <w:tcW w:w="1187" w:type="dxa"/>
            <w:vAlign w:val="center"/>
          </w:tcPr>
          <w:p w14:paraId="699B4E00">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评委打分</w:t>
            </w:r>
          </w:p>
        </w:tc>
      </w:tr>
      <w:tr w14:paraId="5D1CE7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118B3315">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2</w:t>
            </w:r>
          </w:p>
        </w:tc>
        <w:tc>
          <w:tcPr>
            <w:tcW w:w="1143" w:type="dxa"/>
            <w:vAlign w:val="center"/>
          </w:tcPr>
          <w:p w14:paraId="1E170AEF">
            <w:pPr>
              <w:tabs>
                <w:tab w:val="left" w:pos="426"/>
              </w:tabs>
              <w:spacing w:line="360" w:lineRule="exact"/>
              <w:jc w:val="center"/>
              <w:rPr>
                <w:rFonts w:ascii="宋体" w:hAnsi="宋体" w:cs="宋体"/>
                <w:szCs w:val="21"/>
              </w:rPr>
            </w:pPr>
            <w:r>
              <w:rPr>
                <w:rFonts w:hint="eastAsia" w:ascii="宋体" w:hAnsi="宋体" w:cs="宋体"/>
                <w:szCs w:val="21"/>
              </w:rPr>
              <w:t>同类项目业绩情况</w:t>
            </w:r>
          </w:p>
        </w:tc>
        <w:tc>
          <w:tcPr>
            <w:tcW w:w="709" w:type="dxa"/>
            <w:vAlign w:val="center"/>
          </w:tcPr>
          <w:p w14:paraId="153BBD3F">
            <w:pPr>
              <w:tabs>
                <w:tab w:val="left" w:pos="426"/>
              </w:tabs>
              <w:spacing w:line="360" w:lineRule="exact"/>
              <w:jc w:val="center"/>
              <w:rPr>
                <w:rFonts w:ascii="宋体" w:hAnsi="宋体" w:cs="宋体"/>
                <w:szCs w:val="21"/>
              </w:rPr>
            </w:pPr>
            <w:r>
              <w:rPr>
                <w:rFonts w:hint="eastAsia" w:ascii="宋体" w:hAnsi="宋体" w:cs="宋体"/>
                <w:szCs w:val="21"/>
              </w:rPr>
              <w:t>5</w:t>
            </w:r>
          </w:p>
        </w:tc>
        <w:tc>
          <w:tcPr>
            <w:tcW w:w="5953" w:type="dxa"/>
            <w:vAlign w:val="center"/>
          </w:tcPr>
          <w:p w14:paraId="24EBED28">
            <w:pPr>
              <w:pStyle w:val="96"/>
              <w:tabs>
                <w:tab w:val="left" w:pos="426"/>
              </w:tabs>
              <w:rPr>
                <w:rFonts w:ascii="宋体" w:hAnsi="宋体" w:eastAsia="宋体"/>
              </w:rPr>
            </w:pPr>
            <w:r>
              <w:rPr>
                <w:rFonts w:hint="eastAsia" w:ascii="宋体" w:hAnsi="宋体" w:eastAsia="宋体"/>
              </w:rPr>
              <w:t>（一）评分内容：</w:t>
            </w:r>
          </w:p>
          <w:p w14:paraId="1E141A41">
            <w:pPr>
              <w:widowControl/>
              <w:tabs>
                <w:tab w:val="left" w:pos="426"/>
              </w:tabs>
              <w:spacing w:line="360" w:lineRule="exact"/>
              <w:rPr>
                <w:rFonts w:ascii="宋体" w:hAnsi="宋体" w:cs="宋体"/>
                <w:szCs w:val="21"/>
              </w:rPr>
            </w:pPr>
            <w:r>
              <w:rPr>
                <w:rFonts w:hint="eastAsia" w:ascii="宋体" w:hAnsi="宋体" w:cs="宋体"/>
                <w:szCs w:val="21"/>
              </w:rPr>
              <w:t>2021年10月1日至本项目投标截止日（以合同签订日期为准）投标人具有</w:t>
            </w:r>
            <w:r>
              <w:rPr>
                <w:rFonts w:hint="eastAsia" w:asciiTheme="minorEastAsia" w:hAnsiTheme="minorEastAsia" w:eastAsiaTheme="minorEastAsia" w:cstheme="minorEastAsia"/>
                <w:snapToGrid w:val="0"/>
                <w:kern w:val="0"/>
                <w:szCs w:val="21"/>
              </w:rPr>
              <w:t>全身多普勒超声诊断仪（偏心脏）</w:t>
            </w:r>
            <w:r>
              <w:rPr>
                <w:rFonts w:hint="eastAsia" w:ascii="宋体" w:hAnsi="宋体" w:cs="宋体"/>
                <w:szCs w:val="21"/>
              </w:rPr>
              <w:t>销售业绩的，每提供1个项目得1分，最高得5分。</w:t>
            </w:r>
          </w:p>
          <w:p w14:paraId="1E9E0AE2">
            <w:p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（二）评分依据：</w:t>
            </w:r>
          </w:p>
          <w:p w14:paraId="504CAACE">
            <w:pPr>
              <w:tabs>
                <w:tab w:val="left" w:pos="426"/>
              </w:tabs>
              <w:adjustRightInd w:val="0"/>
              <w:snapToGrid w:val="0"/>
              <w:spacing w:line="360" w:lineRule="exact"/>
              <w:rPr>
                <w:rFonts w:ascii="宋体" w:hAnsi="宋体" w:cs="宋体"/>
                <w:szCs w:val="21"/>
              </w:rPr>
            </w:pPr>
            <w:r>
              <w:rPr>
                <w:rFonts w:hint="eastAsia" w:ascii="宋体" w:hAnsi="宋体" w:cs="宋体"/>
                <w:szCs w:val="21"/>
              </w:rPr>
              <w:t>1. 提供合同关键页且各项信息不得有任何遮挡；</w:t>
            </w:r>
          </w:p>
          <w:p w14:paraId="1766E742">
            <w:pPr>
              <w:widowControl/>
              <w:tabs>
                <w:tab w:val="left" w:pos="426"/>
              </w:tabs>
              <w:spacing w:line="360" w:lineRule="exact"/>
              <w:rPr>
                <w:rFonts w:ascii="宋体" w:hAnsi="宋体" w:cs="宋体"/>
                <w:szCs w:val="21"/>
              </w:rPr>
            </w:pPr>
            <w:r>
              <w:rPr>
                <w:rFonts w:hint="eastAsia" w:ascii="宋体" w:hAnsi="宋体" w:cs="宋体"/>
                <w:szCs w:val="21"/>
              </w:rPr>
              <w:t>2. 以上证明文件均提供复印件或扫描件加盖投标人公章，原件备查。未按要求提供有效证明材料或提供不清晰导致评委无法识别的不计得分。</w:t>
            </w:r>
          </w:p>
        </w:tc>
        <w:tc>
          <w:tcPr>
            <w:tcW w:w="1187" w:type="dxa"/>
            <w:vAlign w:val="center"/>
          </w:tcPr>
          <w:p w14:paraId="1A0B9130">
            <w:pPr>
              <w:tabs>
                <w:tab w:val="left" w:pos="426"/>
              </w:tabs>
              <w:spacing w:line="360" w:lineRule="exact"/>
              <w:jc w:val="center"/>
              <w:rPr>
                <w:rFonts w:ascii="宋体" w:hAnsi="宋体" w:cs="宋体"/>
                <w:szCs w:val="21"/>
              </w:rPr>
            </w:pPr>
            <w:r>
              <w:rPr>
                <w:rFonts w:hint="eastAsia" w:ascii="宋体" w:hAnsi="宋体" w:cs="宋体"/>
                <w:szCs w:val="21"/>
              </w:rPr>
              <w:t>评委打分</w:t>
            </w:r>
          </w:p>
        </w:tc>
      </w:tr>
    </w:tbl>
    <w:p w14:paraId="5DAD9A78">
      <w:pPr>
        <w:rPr>
          <w:snapToGrid w:val="0"/>
          <w:kern w:val="0"/>
        </w:rPr>
      </w:pPr>
    </w:p>
    <w:p w14:paraId="58B44279">
      <w:pPr>
        <w:pStyle w:val="3"/>
      </w:pPr>
      <w:r>
        <w:rPr>
          <w:rFonts w:hint="eastAsia"/>
        </w:rPr>
        <w:t>四、评标标准（适用于</w:t>
      </w:r>
      <w:r>
        <w:rPr>
          <w:rFonts w:hint="eastAsia" w:ascii="宋体" w:hAnsi="宋体" w:eastAsia="宋体" w:cs="宋体"/>
        </w:rPr>
        <w:t>B包</w:t>
      </w:r>
      <w:r>
        <w:rPr>
          <w:rFonts w:hint="eastAsia"/>
        </w:rPr>
        <w:t>）</w:t>
      </w:r>
    </w:p>
    <w:p w14:paraId="61C8B778">
      <w:pPr>
        <w:rPr>
          <w:snapToGrid w:val="0"/>
          <w:kern w:val="0"/>
        </w:rPr>
      </w:pPr>
    </w:p>
    <w:p w14:paraId="412B5EFC">
      <w:r>
        <w:rPr>
          <w:rFonts w:hint="eastAsia"/>
          <w:snapToGrid w:val="0"/>
          <w:kern w:val="0"/>
        </w:rPr>
        <w:t>评标委员会按照以下量化的评审因素，对各投标文件进行综合评审：</w:t>
      </w:r>
    </w:p>
    <w:tbl>
      <w:tblPr>
        <w:tblStyle w:val="51"/>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36224F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41E17C38">
            <w:pPr>
              <w:tabs>
                <w:tab w:val="left" w:pos="426"/>
              </w:tabs>
              <w:autoSpaceDE w:val="0"/>
              <w:autoSpaceDN w:val="0"/>
              <w:adjustRightInd w:val="0"/>
              <w:spacing w:line="360" w:lineRule="exact"/>
              <w:jc w:val="center"/>
              <w:rPr>
                <w:rFonts w:ascii="宋体" w:hAnsi="宋体" w:cs="宋体"/>
                <w:b/>
                <w:szCs w:val="21"/>
                <w:lang w:val="zh-CN"/>
              </w:rPr>
            </w:pPr>
            <w:r>
              <w:rPr>
                <w:rFonts w:hint="eastAsia" w:ascii="宋体" w:hAnsi="宋体" w:cs="宋体"/>
                <w:b/>
                <w:szCs w:val="21"/>
                <w:lang w:val="zh-CN"/>
              </w:rPr>
              <w:t>评分项及评分规则</w:t>
            </w:r>
          </w:p>
        </w:tc>
        <w:tc>
          <w:tcPr>
            <w:tcW w:w="1187" w:type="dxa"/>
            <w:vAlign w:val="center"/>
          </w:tcPr>
          <w:p w14:paraId="3D863F27">
            <w:pPr>
              <w:tabs>
                <w:tab w:val="left" w:pos="426"/>
              </w:tabs>
              <w:autoSpaceDE w:val="0"/>
              <w:autoSpaceDN w:val="0"/>
              <w:adjustRightInd w:val="0"/>
              <w:spacing w:line="360" w:lineRule="exact"/>
              <w:jc w:val="center"/>
              <w:rPr>
                <w:rFonts w:ascii="宋体" w:hAnsi="宋体" w:cs="宋体"/>
                <w:b/>
                <w:szCs w:val="21"/>
                <w:lang w:val="zh-CN"/>
              </w:rPr>
            </w:pPr>
            <w:r>
              <w:rPr>
                <w:rFonts w:hint="eastAsia" w:ascii="宋体" w:hAnsi="宋体" w:cs="宋体"/>
                <w:b/>
                <w:szCs w:val="21"/>
                <w:lang w:val="zh-CN"/>
              </w:rPr>
              <w:t>权重</w:t>
            </w:r>
          </w:p>
        </w:tc>
      </w:tr>
      <w:tr w14:paraId="0505D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70A44203">
            <w:pPr>
              <w:tabs>
                <w:tab w:val="left" w:pos="426"/>
              </w:tabs>
              <w:autoSpaceDE w:val="0"/>
              <w:autoSpaceDN w:val="0"/>
              <w:adjustRightInd w:val="0"/>
              <w:spacing w:line="360" w:lineRule="exact"/>
              <w:jc w:val="center"/>
              <w:rPr>
                <w:rFonts w:ascii="宋体" w:hAnsi="宋体" w:cs="宋体"/>
                <w:b/>
                <w:szCs w:val="21"/>
                <w:lang w:val="zh-CN"/>
              </w:rPr>
            </w:pPr>
            <w:r>
              <w:rPr>
                <w:rFonts w:hint="eastAsia" w:ascii="宋体" w:hAnsi="宋体" w:cs="宋体"/>
                <w:b/>
                <w:szCs w:val="21"/>
                <w:lang w:val="zh-CN"/>
              </w:rPr>
              <w:t>一、价格部分</w:t>
            </w:r>
          </w:p>
        </w:tc>
        <w:tc>
          <w:tcPr>
            <w:tcW w:w="1187" w:type="dxa"/>
            <w:vAlign w:val="center"/>
          </w:tcPr>
          <w:p w14:paraId="5B734FC9">
            <w:pPr>
              <w:tabs>
                <w:tab w:val="left" w:pos="426"/>
              </w:tabs>
              <w:autoSpaceDE w:val="0"/>
              <w:autoSpaceDN w:val="0"/>
              <w:adjustRightInd w:val="0"/>
              <w:spacing w:line="360" w:lineRule="exact"/>
              <w:jc w:val="center"/>
              <w:rPr>
                <w:rFonts w:ascii="宋体" w:hAnsi="宋体" w:cs="宋体"/>
                <w:b/>
                <w:szCs w:val="21"/>
              </w:rPr>
            </w:pPr>
            <w:r>
              <w:rPr>
                <w:rFonts w:hint="eastAsia" w:ascii="宋体" w:hAnsi="宋体" w:cs="宋体"/>
                <w:b/>
                <w:szCs w:val="21"/>
              </w:rPr>
              <w:t>30</w:t>
            </w:r>
          </w:p>
        </w:tc>
      </w:tr>
      <w:tr w14:paraId="1BF3A4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05" w:hRule="atLeast"/>
          <w:jc w:val="center"/>
        </w:trPr>
        <w:tc>
          <w:tcPr>
            <w:tcW w:w="8559" w:type="dxa"/>
            <w:gridSpan w:val="4"/>
            <w:vAlign w:val="center"/>
          </w:tcPr>
          <w:p w14:paraId="503E4902">
            <w:pPr>
              <w:widowControl/>
              <w:tabs>
                <w:tab w:val="left" w:pos="426"/>
              </w:tabs>
              <w:spacing w:line="360" w:lineRule="exact"/>
              <w:jc w:val="left"/>
              <w:rPr>
                <w:rFonts w:ascii="宋体" w:hAnsi="宋体" w:cs="宋体"/>
                <w:szCs w:val="21"/>
              </w:rPr>
            </w:pPr>
            <w:r>
              <w:rPr>
                <w:rFonts w:hint="eastAsia" w:ascii="宋体" w:hAnsi="宋体" w:cs="宋体"/>
                <w:szCs w:val="21"/>
              </w:rPr>
              <w:t>价格分采用低价优先法计算，即满足招标文件要求且投标价格最低的投标报价为评标基准价，其价格分为满分。其他投标人的价格分统一按照下列公式计算：</w:t>
            </w:r>
          </w:p>
          <w:p w14:paraId="20314605">
            <w:pPr>
              <w:widowControl/>
              <w:tabs>
                <w:tab w:val="left" w:pos="426"/>
              </w:tabs>
              <w:spacing w:line="360" w:lineRule="exact"/>
              <w:jc w:val="left"/>
              <w:rPr>
                <w:rFonts w:ascii="宋体" w:hAnsi="宋体" w:cs="宋体"/>
                <w:szCs w:val="21"/>
              </w:rPr>
            </w:pPr>
            <w:r>
              <w:rPr>
                <w:rFonts w:hint="eastAsia" w:ascii="宋体" w:hAnsi="宋体" w:cs="宋体"/>
                <w:szCs w:val="21"/>
              </w:rPr>
              <w:t>投标报价得分=(评标基准价／投标报价)×30</w:t>
            </w:r>
          </w:p>
          <w:p w14:paraId="15364BC9">
            <w:pPr>
              <w:tabs>
                <w:tab w:val="left" w:pos="426"/>
              </w:tabs>
              <w:adjustRightInd w:val="0"/>
              <w:snapToGrid w:val="0"/>
              <w:spacing w:line="360" w:lineRule="exact"/>
              <w:rPr>
                <w:rFonts w:ascii="宋体" w:hAnsi="宋体" w:cs="宋体"/>
                <w:szCs w:val="21"/>
              </w:rPr>
            </w:pPr>
            <w:r>
              <w:rPr>
                <w:rFonts w:hint="eastAsia" w:ascii="宋体" w:hAnsi="宋体" w:cs="宋体"/>
                <w:snapToGrid w:val="0"/>
                <w:kern w:val="0"/>
                <w:szCs w:val="21"/>
              </w:rPr>
              <w:t>备注：1、因落实政府采购政策进行价格调整的，以调整后的价格计算评标基准价和投标报价</w:t>
            </w:r>
            <w:r>
              <w:rPr>
                <w:rFonts w:hint="eastAsia" w:ascii="宋体" w:hAnsi="宋体" w:cs="宋体"/>
                <w:bCs/>
                <w:snapToGrid w:val="0"/>
                <w:kern w:val="0"/>
                <w:szCs w:val="21"/>
              </w:rPr>
              <w:t>；</w:t>
            </w:r>
            <w:r>
              <w:rPr>
                <w:rFonts w:hint="eastAsia" w:ascii="宋体" w:hAnsi="宋体" w:cs="宋体"/>
                <w:snapToGrid w:val="0"/>
                <w:kern w:val="0"/>
                <w:szCs w:val="21"/>
              </w:rPr>
              <w:t>2、投标报价得分四舍五入后，小数点后保留两位有效数</w:t>
            </w:r>
            <w:r>
              <w:rPr>
                <w:rFonts w:hint="eastAsia" w:ascii="宋体" w:hAnsi="宋体" w:cs="宋体"/>
                <w:szCs w:val="21"/>
              </w:rPr>
              <w:t>。</w:t>
            </w:r>
          </w:p>
        </w:tc>
        <w:tc>
          <w:tcPr>
            <w:tcW w:w="1187" w:type="dxa"/>
            <w:vAlign w:val="center"/>
          </w:tcPr>
          <w:p w14:paraId="3653F7D0">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lang w:val="zh-CN"/>
              </w:rPr>
              <w:t>按公式计算评分</w:t>
            </w:r>
          </w:p>
        </w:tc>
      </w:tr>
      <w:tr w14:paraId="62CCA5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C8029B9">
            <w:pPr>
              <w:tabs>
                <w:tab w:val="left" w:pos="426"/>
              </w:tabs>
              <w:autoSpaceDE w:val="0"/>
              <w:autoSpaceDN w:val="0"/>
              <w:adjustRightInd w:val="0"/>
              <w:spacing w:line="360" w:lineRule="exact"/>
              <w:jc w:val="center"/>
              <w:rPr>
                <w:rFonts w:ascii="宋体" w:hAnsi="宋体" w:cs="宋体"/>
                <w:b/>
                <w:szCs w:val="21"/>
              </w:rPr>
            </w:pPr>
            <w:r>
              <w:rPr>
                <w:rFonts w:hint="eastAsia" w:ascii="宋体" w:hAnsi="宋体" w:cs="宋体"/>
                <w:b/>
                <w:szCs w:val="21"/>
              </w:rPr>
              <w:t>二、技术部分</w:t>
            </w:r>
          </w:p>
        </w:tc>
        <w:tc>
          <w:tcPr>
            <w:tcW w:w="1187" w:type="dxa"/>
            <w:vAlign w:val="center"/>
          </w:tcPr>
          <w:p w14:paraId="50A67625">
            <w:pPr>
              <w:tabs>
                <w:tab w:val="left" w:pos="426"/>
              </w:tabs>
              <w:autoSpaceDE w:val="0"/>
              <w:autoSpaceDN w:val="0"/>
              <w:adjustRightInd w:val="0"/>
              <w:spacing w:line="360" w:lineRule="exact"/>
              <w:jc w:val="center"/>
              <w:rPr>
                <w:rFonts w:hint="default" w:ascii="宋体" w:hAnsi="宋体" w:eastAsia="宋体" w:cs="宋体"/>
                <w:b/>
                <w:szCs w:val="21"/>
                <w:lang w:val="en-US" w:eastAsia="zh-CN"/>
              </w:rPr>
            </w:pPr>
            <w:r>
              <w:rPr>
                <w:rFonts w:hint="eastAsia" w:ascii="宋体" w:hAnsi="宋体" w:cs="宋体"/>
                <w:b/>
                <w:szCs w:val="21"/>
                <w:lang w:val="en-US" w:eastAsia="zh-CN"/>
              </w:rPr>
              <w:t>58</w:t>
            </w:r>
          </w:p>
        </w:tc>
      </w:tr>
      <w:tr w14:paraId="7CB10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A64F209">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序号</w:t>
            </w:r>
          </w:p>
        </w:tc>
        <w:tc>
          <w:tcPr>
            <w:tcW w:w="1143" w:type="dxa"/>
            <w:vAlign w:val="center"/>
          </w:tcPr>
          <w:p w14:paraId="4D592557">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内容</w:t>
            </w:r>
          </w:p>
        </w:tc>
        <w:tc>
          <w:tcPr>
            <w:tcW w:w="709" w:type="dxa"/>
            <w:vAlign w:val="center"/>
          </w:tcPr>
          <w:p w14:paraId="0DFFE47D">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权重</w:t>
            </w:r>
          </w:p>
        </w:tc>
        <w:tc>
          <w:tcPr>
            <w:tcW w:w="5953" w:type="dxa"/>
            <w:vAlign w:val="center"/>
          </w:tcPr>
          <w:p w14:paraId="76870172">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评分规则</w:t>
            </w:r>
          </w:p>
        </w:tc>
        <w:tc>
          <w:tcPr>
            <w:tcW w:w="1187" w:type="dxa"/>
            <w:vAlign w:val="center"/>
          </w:tcPr>
          <w:p w14:paraId="095E3D6D">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评分方式</w:t>
            </w:r>
          </w:p>
        </w:tc>
      </w:tr>
      <w:tr w14:paraId="3672CC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E9DCFC4">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59B6BCF7">
            <w:pPr>
              <w:widowControl/>
              <w:tabs>
                <w:tab w:val="left" w:pos="426"/>
              </w:tabs>
              <w:spacing w:line="360" w:lineRule="exact"/>
              <w:jc w:val="center"/>
              <w:rPr>
                <w:rFonts w:ascii="宋体" w:hAnsi="宋体" w:cs="宋体"/>
                <w:szCs w:val="21"/>
              </w:rPr>
            </w:pPr>
            <w:r>
              <w:rPr>
                <w:rFonts w:hint="eastAsia" w:ascii="宋体" w:hAnsi="宋体" w:cs="宋体"/>
                <w:szCs w:val="21"/>
              </w:rPr>
              <w:t>技术规格偏离情况</w:t>
            </w:r>
          </w:p>
        </w:tc>
        <w:tc>
          <w:tcPr>
            <w:tcW w:w="709" w:type="dxa"/>
            <w:vAlign w:val="center"/>
          </w:tcPr>
          <w:p w14:paraId="61B15877">
            <w:pPr>
              <w:widowControl/>
              <w:tabs>
                <w:tab w:val="left" w:pos="426"/>
              </w:tabs>
              <w:spacing w:line="360" w:lineRule="exact"/>
              <w:jc w:val="center"/>
              <w:rPr>
                <w:rFonts w:hint="default" w:ascii="宋体" w:hAnsi="宋体" w:eastAsia="宋体" w:cs="宋体"/>
                <w:szCs w:val="21"/>
                <w:lang w:val="en-US" w:eastAsia="zh-CN"/>
              </w:rPr>
            </w:pPr>
            <w:r>
              <w:rPr>
                <w:rFonts w:hint="eastAsia" w:ascii="宋体" w:hAnsi="宋体" w:cs="宋体"/>
                <w:szCs w:val="21"/>
                <w:lang w:val="en-US" w:eastAsia="zh-CN"/>
              </w:rPr>
              <w:t>48</w:t>
            </w:r>
          </w:p>
        </w:tc>
        <w:tc>
          <w:tcPr>
            <w:tcW w:w="5953" w:type="dxa"/>
            <w:vAlign w:val="center"/>
          </w:tcPr>
          <w:p w14:paraId="4655F311">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（一）评分内容：</w:t>
            </w:r>
          </w:p>
          <w:p w14:paraId="2CEAB723">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完全满足招标文件技术指标、参数要求，应答完整的得</w:t>
            </w:r>
            <w:r>
              <w:rPr>
                <w:rFonts w:hint="eastAsia" w:ascii="宋体" w:hAnsi="宋体" w:cs="宋体"/>
                <w:szCs w:val="21"/>
                <w:lang w:val="en-US" w:eastAsia="zh-CN"/>
              </w:rPr>
              <w:t>48</w:t>
            </w:r>
            <w:r>
              <w:rPr>
                <w:rFonts w:hint="eastAsia" w:ascii="宋体" w:hAnsi="宋体" w:cs="宋体"/>
                <w:szCs w:val="21"/>
              </w:rPr>
              <w:t>分；“</w:t>
            </w:r>
            <w:r>
              <w:rPr>
                <w:rFonts w:hint="eastAsia" w:ascii="宋体" w:hAnsi="宋体" w:cs="宋体"/>
                <w:kern w:val="0"/>
                <w:szCs w:val="21"/>
              </w:rPr>
              <w:t>★</w:t>
            </w:r>
            <w:r>
              <w:rPr>
                <w:rFonts w:hint="eastAsia" w:ascii="宋体" w:hAnsi="宋体" w:cs="宋体"/>
                <w:szCs w:val="21"/>
              </w:rPr>
              <w:t>”为不可偏离参数；以此为基础，投标人的技术响应低于招标文件中规定的“▲”技术要求每有一项减4</w:t>
            </w:r>
            <w:r>
              <w:rPr>
                <w:rFonts w:hint="eastAsia" w:ascii="宋体" w:hAnsi="宋体" w:cs="宋体"/>
                <w:szCs w:val="21"/>
                <w:lang w:val="en-US" w:eastAsia="zh-CN"/>
              </w:rPr>
              <w:t>.5</w:t>
            </w:r>
            <w:r>
              <w:rPr>
                <w:rFonts w:hint="eastAsia" w:ascii="宋体" w:hAnsi="宋体" w:cs="宋体"/>
                <w:szCs w:val="21"/>
              </w:rPr>
              <w:t>分；投标人一般技术响应低于招标文件规定的，每有一项减0.</w:t>
            </w:r>
            <w:r>
              <w:rPr>
                <w:rFonts w:hint="eastAsia" w:ascii="宋体" w:hAnsi="宋体" w:cs="宋体"/>
                <w:szCs w:val="21"/>
                <w:lang w:val="en-US" w:eastAsia="zh-CN"/>
              </w:rPr>
              <w:t>4</w:t>
            </w:r>
            <w:r>
              <w:rPr>
                <w:rFonts w:hint="eastAsia" w:ascii="宋体" w:hAnsi="宋体" w:cs="宋体"/>
                <w:szCs w:val="21"/>
              </w:rPr>
              <w:t>分。本项最低得0分。</w:t>
            </w:r>
          </w:p>
          <w:p w14:paraId="60DDF2D6">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（二）评分依据：</w:t>
            </w:r>
          </w:p>
          <w:p w14:paraId="69B9D25B">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技术要求中包含子项参数的，按子项参数响应情况逐项评分。</w:t>
            </w:r>
          </w:p>
        </w:tc>
        <w:tc>
          <w:tcPr>
            <w:tcW w:w="1187" w:type="dxa"/>
            <w:vAlign w:val="center"/>
          </w:tcPr>
          <w:p w14:paraId="6E4C8E0E">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评委打分</w:t>
            </w:r>
          </w:p>
        </w:tc>
      </w:tr>
      <w:tr w14:paraId="47901B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48" w:hRule="atLeast"/>
          <w:jc w:val="center"/>
        </w:trPr>
        <w:tc>
          <w:tcPr>
            <w:tcW w:w="754" w:type="dxa"/>
            <w:vAlign w:val="center"/>
          </w:tcPr>
          <w:p w14:paraId="3C5D43C2">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2</w:t>
            </w:r>
          </w:p>
        </w:tc>
        <w:tc>
          <w:tcPr>
            <w:tcW w:w="1143" w:type="dxa"/>
            <w:vAlign w:val="center"/>
          </w:tcPr>
          <w:p w14:paraId="7E82D40F">
            <w:pPr>
              <w:tabs>
                <w:tab w:val="left" w:pos="426"/>
              </w:tabs>
              <w:spacing w:line="360" w:lineRule="exact"/>
              <w:jc w:val="center"/>
              <w:rPr>
                <w:rFonts w:ascii="宋体" w:hAnsi="宋体" w:cs="宋体"/>
                <w:szCs w:val="21"/>
              </w:rPr>
            </w:pPr>
            <w:r>
              <w:rPr>
                <w:rFonts w:hint="eastAsia" w:ascii="宋体" w:hAnsi="宋体" w:cs="宋体"/>
                <w:szCs w:val="21"/>
              </w:rPr>
              <w:t>技术保障措施</w:t>
            </w:r>
          </w:p>
        </w:tc>
        <w:tc>
          <w:tcPr>
            <w:tcW w:w="709" w:type="dxa"/>
            <w:vAlign w:val="center"/>
          </w:tcPr>
          <w:p w14:paraId="5D55BEF8">
            <w:pPr>
              <w:tabs>
                <w:tab w:val="left" w:pos="426"/>
              </w:tabs>
              <w:spacing w:line="360" w:lineRule="exact"/>
              <w:jc w:val="center"/>
              <w:rPr>
                <w:rFonts w:ascii="宋体" w:hAnsi="宋体" w:cs="宋体"/>
                <w:szCs w:val="21"/>
              </w:rPr>
            </w:pPr>
            <w:r>
              <w:rPr>
                <w:rFonts w:hint="eastAsia" w:ascii="宋体" w:hAnsi="宋体" w:cs="宋体"/>
                <w:szCs w:val="21"/>
              </w:rPr>
              <w:t>4</w:t>
            </w:r>
          </w:p>
        </w:tc>
        <w:tc>
          <w:tcPr>
            <w:tcW w:w="5953" w:type="dxa"/>
            <w:vAlign w:val="center"/>
          </w:tcPr>
          <w:p w14:paraId="6B6A0C6A">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（一）评分内容：</w:t>
            </w:r>
          </w:p>
          <w:p w14:paraId="34361403">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投标人在投标文件中详细说明技术保障措施，包含以下内容：</w:t>
            </w:r>
          </w:p>
          <w:p w14:paraId="08FC6315">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（1）供货方案；</w:t>
            </w:r>
          </w:p>
          <w:p w14:paraId="62AB406F">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（2）安装调试方案；</w:t>
            </w:r>
          </w:p>
          <w:p w14:paraId="637D0A39">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（3）质量管理措施。</w:t>
            </w:r>
          </w:p>
          <w:p w14:paraId="790EC944">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（二）评分标准：</w:t>
            </w:r>
          </w:p>
          <w:p w14:paraId="7B260BFC">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1.供货方案全面、有针对性的得1.5分；方案内容简单、笼统，存在较多的不足的得0.5分；未提供的0分。</w:t>
            </w:r>
          </w:p>
          <w:p w14:paraId="51F63D20">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2.安装调试方案全面、有针对性的得1.5分；方案内容简单、笼统，存在较多的不足的得0.5分；未提供的0分。</w:t>
            </w:r>
          </w:p>
          <w:p w14:paraId="373D7301">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3.质量管理措施切实、有效的得1分；质量管理措施简单、笼统，存在较多的不足的得0.5分；未提供的0分。</w:t>
            </w:r>
          </w:p>
          <w:p w14:paraId="29296558">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以上3项合计最高4分。</w:t>
            </w:r>
          </w:p>
        </w:tc>
        <w:tc>
          <w:tcPr>
            <w:tcW w:w="1187" w:type="dxa"/>
            <w:vAlign w:val="center"/>
          </w:tcPr>
          <w:p w14:paraId="695D81E6">
            <w:pPr>
              <w:tabs>
                <w:tab w:val="left" w:pos="426"/>
              </w:tabs>
              <w:spacing w:line="360" w:lineRule="exact"/>
              <w:jc w:val="center"/>
              <w:rPr>
                <w:rFonts w:ascii="宋体" w:hAnsi="宋体" w:cs="宋体"/>
                <w:szCs w:val="21"/>
              </w:rPr>
            </w:pPr>
            <w:r>
              <w:rPr>
                <w:rFonts w:hint="eastAsia" w:ascii="宋体" w:hAnsi="宋体" w:cs="宋体"/>
                <w:szCs w:val="21"/>
              </w:rPr>
              <w:t>评委打分</w:t>
            </w:r>
          </w:p>
        </w:tc>
      </w:tr>
      <w:tr w14:paraId="01D03C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30E0E8DE">
            <w:pPr>
              <w:widowControl/>
              <w:tabs>
                <w:tab w:val="left" w:pos="426"/>
              </w:tabs>
              <w:snapToGrid w:val="0"/>
              <w:spacing w:line="360" w:lineRule="exact"/>
              <w:jc w:val="center"/>
              <w:rPr>
                <w:rFonts w:ascii="宋体" w:hAnsi="宋体" w:cs="宋体"/>
                <w:szCs w:val="21"/>
              </w:rPr>
            </w:pPr>
            <w:r>
              <w:rPr>
                <w:rFonts w:hint="eastAsia" w:ascii="宋体" w:hAnsi="宋体" w:cs="宋体"/>
                <w:szCs w:val="21"/>
              </w:rPr>
              <w:t>3</w:t>
            </w:r>
          </w:p>
        </w:tc>
        <w:tc>
          <w:tcPr>
            <w:tcW w:w="1143" w:type="dxa"/>
            <w:vAlign w:val="center"/>
          </w:tcPr>
          <w:p w14:paraId="578160F0">
            <w:pPr>
              <w:widowControl/>
              <w:tabs>
                <w:tab w:val="left" w:pos="426"/>
              </w:tabs>
              <w:spacing w:line="360" w:lineRule="exact"/>
              <w:jc w:val="center"/>
              <w:rPr>
                <w:rFonts w:ascii="宋体" w:hAnsi="宋体" w:cs="宋体"/>
                <w:szCs w:val="21"/>
              </w:rPr>
            </w:pPr>
            <w:r>
              <w:rPr>
                <w:rFonts w:hint="eastAsia" w:ascii="宋体" w:hAnsi="宋体" w:cs="宋体"/>
                <w:szCs w:val="21"/>
              </w:rPr>
              <w:t>售后服务方案</w:t>
            </w:r>
          </w:p>
        </w:tc>
        <w:tc>
          <w:tcPr>
            <w:tcW w:w="709" w:type="dxa"/>
            <w:vAlign w:val="center"/>
          </w:tcPr>
          <w:p w14:paraId="14255046">
            <w:pPr>
              <w:widowControl/>
              <w:tabs>
                <w:tab w:val="left" w:pos="426"/>
              </w:tabs>
              <w:spacing w:line="360" w:lineRule="exact"/>
              <w:jc w:val="center"/>
              <w:rPr>
                <w:rFonts w:ascii="宋体" w:hAnsi="宋体" w:cs="宋体"/>
                <w:szCs w:val="21"/>
              </w:rPr>
            </w:pPr>
            <w:r>
              <w:rPr>
                <w:rFonts w:hint="eastAsia" w:ascii="宋体" w:hAnsi="宋体" w:cs="宋体"/>
                <w:szCs w:val="21"/>
              </w:rPr>
              <w:t>6</w:t>
            </w:r>
          </w:p>
        </w:tc>
        <w:tc>
          <w:tcPr>
            <w:tcW w:w="5953" w:type="dxa"/>
            <w:vAlign w:val="center"/>
          </w:tcPr>
          <w:p w14:paraId="251C7607">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（一）评分内容：</w:t>
            </w:r>
          </w:p>
          <w:p w14:paraId="1750EB1B">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投标人提供售后服务方案，包含以下内容：</w:t>
            </w:r>
          </w:p>
          <w:p w14:paraId="79C22983">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（1）售后服务机构及维护人员配置；</w:t>
            </w:r>
          </w:p>
          <w:p w14:paraId="2FFECD90">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（2）维修维护方案；</w:t>
            </w:r>
          </w:p>
          <w:p w14:paraId="1D66584E">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（3）技术培训方案；</w:t>
            </w:r>
          </w:p>
          <w:p w14:paraId="1CE05F09">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（4）备品备件支持计划。</w:t>
            </w:r>
          </w:p>
          <w:p w14:paraId="2810B3ED">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（二）评分标准：</w:t>
            </w:r>
          </w:p>
          <w:p w14:paraId="524E842A">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1.售后服务机构便捷，售后维护人员配置完整、经验丰富的得1.5分；售后服务机构较便捷，售后维护人员配置较完整、经验较丰富的得1分；售后服务机构不便捷，售后维护人员配置不完整、经验欠缺的得0.5分；未提供的0分；</w:t>
            </w:r>
          </w:p>
          <w:p w14:paraId="16C50C46">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 xml:space="preserve">2.维修维护方案完善、操作性强、符合项目实际的得1.5分；维修维护方案较完善、操作性较强、较符合项目实际的得1分；维修维护方案笼统、存在不足的得0.5分；未提供维修保养方案的得0分； </w:t>
            </w:r>
          </w:p>
          <w:p w14:paraId="4EA56865">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3.培训内容完善、培训计划周全、安排合理的得1.5分；培训内容较完善、培训计划笼统的得1分：培训方案笼统、与本项目内容有偏差的得0.5分；未提供培训计划的得0分；</w:t>
            </w:r>
          </w:p>
          <w:p w14:paraId="427968DD">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4.响应速度快、备品备件齐全的得1.5分；响应速度较快、备品备件较齐全的得1分；响应速度慢、备品备件不够齐全的得 0.5分：未提供的不得分。</w:t>
            </w:r>
          </w:p>
          <w:p w14:paraId="2C6B19F5">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以上4项合计最高6分。</w:t>
            </w:r>
          </w:p>
        </w:tc>
        <w:tc>
          <w:tcPr>
            <w:tcW w:w="1187" w:type="dxa"/>
            <w:vAlign w:val="center"/>
          </w:tcPr>
          <w:p w14:paraId="62A655D6">
            <w:pPr>
              <w:tabs>
                <w:tab w:val="left" w:pos="426"/>
              </w:tabs>
              <w:spacing w:line="360" w:lineRule="exact"/>
              <w:jc w:val="center"/>
              <w:rPr>
                <w:rFonts w:ascii="宋体" w:hAnsi="宋体" w:cs="宋体"/>
                <w:szCs w:val="21"/>
              </w:rPr>
            </w:pPr>
            <w:r>
              <w:rPr>
                <w:rFonts w:hint="eastAsia" w:ascii="宋体" w:hAnsi="宋体" w:cs="宋体"/>
                <w:szCs w:val="21"/>
              </w:rPr>
              <w:t>评委打分</w:t>
            </w:r>
          </w:p>
        </w:tc>
      </w:tr>
      <w:tr w14:paraId="6D533F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79F98566">
            <w:pPr>
              <w:tabs>
                <w:tab w:val="left" w:pos="426"/>
              </w:tabs>
              <w:autoSpaceDE w:val="0"/>
              <w:autoSpaceDN w:val="0"/>
              <w:adjustRightInd w:val="0"/>
              <w:spacing w:line="360" w:lineRule="exact"/>
              <w:jc w:val="center"/>
              <w:rPr>
                <w:rFonts w:ascii="宋体" w:hAnsi="宋体" w:cs="宋体"/>
                <w:b/>
                <w:bCs/>
                <w:szCs w:val="21"/>
              </w:rPr>
            </w:pPr>
            <w:r>
              <w:rPr>
                <w:rFonts w:hint="eastAsia" w:ascii="宋体" w:hAnsi="宋体" w:cs="宋体"/>
                <w:b/>
                <w:bCs/>
                <w:szCs w:val="21"/>
              </w:rPr>
              <w:t>三、商务部分</w:t>
            </w:r>
          </w:p>
        </w:tc>
        <w:tc>
          <w:tcPr>
            <w:tcW w:w="1187" w:type="dxa"/>
            <w:vAlign w:val="center"/>
          </w:tcPr>
          <w:p w14:paraId="0CB0AAB4">
            <w:pPr>
              <w:tabs>
                <w:tab w:val="left" w:pos="426"/>
              </w:tabs>
              <w:autoSpaceDE w:val="0"/>
              <w:autoSpaceDN w:val="0"/>
              <w:adjustRightInd w:val="0"/>
              <w:spacing w:line="360" w:lineRule="exact"/>
              <w:jc w:val="center"/>
              <w:rPr>
                <w:rFonts w:hint="default" w:ascii="宋体" w:hAnsi="宋体" w:eastAsia="宋体" w:cs="宋体"/>
                <w:b/>
                <w:bCs/>
                <w:szCs w:val="21"/>
                <w:lang w:val="en-US" w:eastAsia="zh-CN"/>
              </w:rPr>
            </w:pPr>
            <w:r>
              <w:rPr>
                <w:rFonts w:hint="eastAsia" w:ascii="宋体" w:hAnsi="宋体" w:cs="宋体"/>
                <w:b/>
                <w:bCs/>
                <w:szCs w:val="21"/>
                <w:lang w:val="en-US" w:eastAsia="zh-CN"/>
              </w:rPr>
              <w:t>12</w:t>
            </w:r>
          </w:p>
        </w:tc>
      </w:tr>
      <w:tr w14:paraId="0641FC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3FED61E2">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序号</w:t>
            </w:r>
          </w:p>
        </w:tc>
        <w:tc>
          <w:tcPr>
            <w:tcW w:w="1143" w:type="dxa"/>
            <w:vAlign w:val="center"/>
          </w:tcPr>
          <w:p w14:paraId="3A1CD0C3">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内容</w:t>
            </w:r>
          </w:p>
        </w:tc>
        <w:tc>
          <w:tcPr>
            <w:tcW w:w="709" w:type="dxa"/>
            <w:vAlign w:val="center"/>
          </w:tcPr>
          <w:p w14:paraId="440C34A9">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权重</w:t>
            </w:r>
          </w:p>
        </w:tc>
        <w:tc>
          <w:tcPr>
            <w:tcW w:w="5953" w:type="dxa"/>
            <w:vAlign w:val="center"/>
          </w:tcPr>
          <w:p w14:paraId="33AF126C">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评分规则</w:t>
            </w:r>
          </w:p>
        </w:tc>
        <w:tc>
          <w:tcPr>
            <w:tcW w:w="1187" w:type="dxa"/>
            <w:vAlign w:val="center"/>
          </w:tcPr>
          <w:p w14:paraId="2932407E">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评分方式</w:t>
            </w:r>
          </w:p>
        </w:tc>
      </w:tr>
      <w:tr w14:paraId="7A00B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4" w:hRule="atLeast"/>
          <w:jc w:val="center"/>
        </w:trPr>
        <w:tc>
          <w:tcPr>
            <w:tcW w:w="754" w:type="dxa"/>
            <w:vAlign w:val="center"/>
          </w:tcPr>
          <w:p w14:paraId="1D08262B">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27509B42">
            <w:pPr>
              <w:widowControl/>
              <w:tabs>
                <w:tab w:val="left" w:pos="426"/>
              </w:tabs>
              <w:spacing w:line="360" w:lineRule="exact"/>
              <w:jc w:val="center"/>
              <w:rPr>
                <w:rFonts w:ascii="宋体" w:hAnsi="宋体" w:cs="宋体"/>
                <w:szCs w:val="21"/>
              </w:rPr>
            </w:pPr>
            <w:r>
              <w:rPr>
                <w:rFonts w:hint="eastAsia" w:ascii="宋体" w:hAnsi="宋体" w:cs="宋体"/>
                <w:szCs w:val="21"/>
              </w:rPr>
              <w:t>商务需求条款偏离情况</w:t>
            </w:r>
          </w:p>
        </w:tc>
        <w:tc>
          <w:tcPr>
            <w:tcW w:w="709" w:type="dxa"/>
            <w:vAlign w:val="center"/>
          </w:tcPr>
          <w:p w14:paraId="2669B5D5">
            <w:pPr>
              <w:widowControl/>
              <w:tabs>
                <w:tab w:val="left" w:pos="426"/>
              </w:tabs>
              <w:spacing w:line="360" w:lineRule="exact"/>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5953" w:type="dxa"/>
            <w:vAlign w:val="center"/>
          </w:tcPr>
          <w:p w14:paraId="4611E319">
            <w:p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投标人应如实填写《商务条款偏离表》，评审委员会根据服务条款响应情况进行评审：完全满足招标文件商务条款要求，应答完整的得7分；“</w:t>
            </w:r>
            <w:r>
              <w:rPr>
                <w:rFonts w:hint="eastAsia" w:ascii="宋体" w:hAnsi="宋体" w:cs="宋体"/>
                <w:kern w:val="0"/>
                <w:szCs w:val="21"/>
              </w:rPr>
              <w:t>★</w:t>
            </w:r>
            <w:r>
              <w:rPr>
                <w:rFonts w:hint="eastAsia" w:ascii="宋体" w:hAnsi="宋体" w:cs="宋体"/>
                <w:szCs w:val="21"/>
              </w:rPr>
              <w:t>”为不可偏离参数；以此为基础，投标人一般商务条款响应低于招标文件规定的，每有一项减0.45分。本项最低得0分。</w:t>
            </w:r>
          </w:p>
          <w:p w14:paraId="7D345643">
            <w:p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商务要求中包含子项条款的，按子项条款响应情况逐项评分。</w:t>
            </w:r>
          </w:p>
        </w:tc>
        <w:tc>
          <w:tcPr>
            <w:tcW w:w="1187" w:type="dxa"/>
            <w:vAlign w:val="center"/>
          </w:tcPr>
          <w:p w14:paraId="1E140F75">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评委打分</w:t>
            </w:r>
          </w:p>
        </w:tc>
      </w:tr>
      <w:tr w14:paraId="2A4779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B0DF895">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2</w:t>
            </w:r>
          </w:p>
        </w:tc>
        <w:tc>
          <w:tcPr>
            <w:tcW w:w="1143" w:type="dxa"/>
            <w:vAlign w:val="center"/>
          </w:tcPr>
          <w:p w14:paraId="2EED23DF">
            <w:pPr>
              <w:tabs>
                <w:tab w:val="left" w:pos="426"/>
              </w:tabs>
              <w:spacing w:line="360" w:lineRule="exact"/>
              <w:jc w:val="center"/>
              <w:rPr>
                <w:rFonts w:ascii="宋体" w:hAnsi="宋体" w:cs="宋体"/>
                <w:szCs w:val="21"/>
              </w:rPr>
            </w:pPr>
            <w:r>
              <w:rPr>
                <w:rFonts w:hint="eastAsia" w:ascii="宋体" w:hAnsi="宋体" w:cs="宋体"/>
                <w:szCs w:val="21"/>
              </w:rPr>
              <w:t>同类项目业绩情况</w:t>
            </w:r>
          </w:p>
        </w:tc>
        <w:tc>
          <w:tcPr>
            <w:tcW w:w="709" w:type="dxa"/>
            <w:vAlign w:val="center"/>
          </w:tcPr>
          <w:p w14:paraId="3514BEFC">
            <w:pPr>
              <w:tabs>
                <w:tab w:val="left" w:pos="426"/>
              </w:tabs>
              <w:spacing w:line="360" w:lineRule="exact"/>
              <w:jc w:val="center"/>
              <w:rPr>
                <w:rFonts w:ascii="宋体" w:hAnsi="宋体" w:cs="宋体"/>
                <w:szCs w:val="21"/>
              </w:rPr>
            </w:pPr>
            <w:r>
              <w:rPr>
                <w:rFonts w:hint="eastAsia" w:ascii="宋体" w:hAnsi="宋体" w:cs="宋体"/>
                <w:szCs w:val="21"/>
              </w:rPr>
              <w:t>5</w:t>
            </w:r>
          </w:p>
        </w:tc>
        <w:tc>
          <w:tcPr>
            <w:tcW w:w="5953" w:type="dxa"/>
            <w:vAlign w:val="center"/>
          </w:tcPr>
          <w:p w14:paraId="080165E9">
            <w:pPr>
              <w:pStyle w:val="96"/>
              <w:tabs>
                <w:tab w:val="left" w:pos="426"/>
              </w:tabs>
              <w:rPr>
                <w:rFonts w:ascii="宋体" w:hAnsi="宋体" w:eastAsia="宋体"/>
              </w:rPr>
            </w:pPr>
            <w:r>
              <w:rPr>
                <w:rFonts w:hint="eastAsia" w:ascii="宋体" w:hAnsi="宋体" w:eastAsia="宋体"/>
              </w:rPr>
              <w:t>（一）评分内容：</w:t>
            </w:r>
          </w:p>
          <w:p w14:paraId="0D8F8B7A">
            <w:pPr>
              <w:widowControl/>
              <w:tabs>
                <w:tab w:val="left" w:pos="426"/>
              </w:tabs>
              <w:spacing w:line="360" w:lineRule="exact"/>
              <w:rPr>
                <w:rFonts w:ascii="宋体" w:hAnsi="宋体" w:cs="宋体"/>
                <w:szCs w:val="21"/>
              </w:rPr>
            </w:pPr>
            <w:r>
              <w:rPr>
                <w:rFonts w:hint="eastAsia" w:ascii="宋体" w:hAnsi="宋体" w:cs="宋体"/>
                <w:szCs w:val="21"/>
              </w:rPr>
              <w:t>2021年10月1日至本项目投标截止日（以合同签订日期为准）投标人具有</w:t>
            </w:r>
            <w:r>
              <w:rPr>
                <w:rFonts w:hint="eastAsia" w:asciiTheme="minorEastAsia" w:hAnsiTheme="minorEastAsia" w:eastAsiaTheme="minorEastAsia" w:cstheme="minorEastAsia"/>
                <w:snapToGrid w:val="0"/>
                <w:kern w:val="0"/>
                <w:szCs w:val="21"/>
              </w:rPr>
              <w:t>多普勒超声诊断仪</w:t>
            </w:r>
            <w:r>
              <w:rPr>
                <w:rFonts w:hint="eastAsia" w:ascii="宋体" w:hAnsi="宋体" w:cs="宋体"/>
                <w:szCs w:val="21"/>
              </w:rPr>
              <w:t>销售业绩的，每提供1个项目得1分，最高得5分。</w:t>
            </w:r>
          </w:p>
          <w:p w14:paraId="54418896">
            <w:p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（二）评分依据：</w:t>
            </w:r>
          </w:p>
          <w:p w14:paraId="7E4A494C">
            <w:pPr>
              <w:tabs>
                <w:tab w:val="left" w:pos="426"/>
              </w:tabs>
              <w:adjustRightInd w:val="0"/>
              <w:snapToGrid w:val="0"/>
              <w:spacing w:line="360" w:lineRule="exact"/>
              <w:rPr>
                <w:rFonts w:ascii="宋体" w:hAnsi="宋体" w:cs="宋体"/>
                <w:szCs w:val="21"/>
              </w:rPr>
            </w:pPr>
            <w:r>
              <w:rPr>
                <w:rFonts w:hint="eastAsia" w:ascii="宋体" w:hAnsi="宋体" w:cs="宋体"/>
                <w:szCs w:val="21"/>
              </w:rPr>
              <w:t>1. 提供合同关键页且各项信息不得有任何遮挡；</w:t>
            </w:r>
          </w:p>
          <w:p w14:paraId="07042CA3">
            <w:pPr>
              <w:widowControl/>
              <w:tabs>
                <w:tab w:val="left" w:pos="426"/>
              </w:tabs>
              <w:spacing w:line="360" w:lineRule="exact"/>
              <w:rPr>
                <w:rFonts w:ascii="宋体" w:hAnsi="宋体" w:cs="宋体"/>
                <w:szCs w:val="21"/>
              </w:rPr>
            </w:pPr>
            <w:r>
              <w:rPr>
                <w:rFonts w:hint="eastAsia" w:ascii="宋体" w:hAnsi="宋体" w:cs="宋体"/>
                <w:szCs w:val="21"/>
              </w:rPr>
              <w:t>2. 以上证明文件均提供复印件或扫描件加盖投标人公章，原件备查。未按要求提供有效证明材料或提供不清晰导致评委无法识别的不计得分。</w:t>
            </w:r>
          </w:p>
        </w:tc>
        <w:tc>
          <w:tcPr>
            <w:tcW w:w="1187" w:type="dxa"/>
            <w:vAlign w:val="center"/>
          </w:tcPr>
          <w:p w14:paraId="37261D3C">
            <w:pPr>
              <w:tabs>
                <w:tab w:val="left" w:pos="426"/>
              </w:tabs>
              <w:spacing w:line="360" w:lineRule="exact"/>
              <w:jc w:val="center"/>
              <w:rPr>
                <w:rFonts w:ascii="宋体" w:hAnsi="宋体" w:cs="宋体"/>
                <w:szCs w:val="21"/>
              </w:rPr>
            </w:pPr>
            <w:r>
              <w:rPr>
                <w:rFonts w:hint="eastAsia" w:ascii="宋体" w:hAnsi="宋体" w:cs="宋体"/>
                <w:szCs w:val="21"/>
              </w:rPr>
              <w:t>评委打分</w:t>
            </w:r>
          </w:p>
        </w:tc>
      </w:tr>
    </w:tbl>
    <w:p w14:paraId="277233AF">
      <w:pPr>
        <w:pStyle w:val="3"/>
        <w:jc w:val="left"/>
        <w:rPr>
          <w:rFonts w:asciiTheme="minorEastAsia" w:hAnsiTheme="minorEastAsia"/>
          <w:sz w:val="21"/>
          <w:szCs w:val="21"/>
        </w:rPr>
      </w:pPr>
      <w:r>
        <w:rPr>
          <w:rFonts w:hint="eastAsia" w:asciiTheme="minorEastAsia" w:hAnsiTheme="minorEastAsia"/>
          <w:sz w:val="21"/>
          <w:szCs w:val="21"/>
        </w:rPr>
        <w:t>备注：</w:t>
      </w:r>
      <w:bookmarkEnd w:id="15"/>
      <w:bookmarkEnd w:id="16"/>
      <w:bookmarkEnd w:id="17"/>
      <w:bookmarkEnd w:id="18"/>
      <w:bookmarkEnd w:id="19"/>
    </w:p>
    <w:p w14:paraId="2C9A331F">
      <w:pPr>
        <w:pStyle w:val="4"/>
        <w:spacing w:before="0" w:after="0"/>
      </w:pPr>
      <w:bookmarkStart w:id="20" w:name="_Toc24501"/>
      <w:r>
        <w:rPr>
          <w:rFonts w:hint="eastAsia"/>
        </w:rPr>
        <w:t>1、资质证书有效期</w:t>
      </w:r>
      <w:bookmarkEnd w:id="20"/>
    </w:p>
    <w:p w14:paraId="2DB17EFC">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EE0B396">
      <w:pPr>
        <w:adjustRightInd w:val="0"/>
        <w:spacing w:line="360" w:lineRule="exact"/>
        <w:rPr>
          <w:rFonts w:asciiTheme="minorEastAsia" w:hAnsiTheme="minorEastAsia" w:eastAsiaTheme="minorEastAsia"/>
          <w:b/>
        </w:rPr>
      </w:pPr>
    </w:p>
    <w:p w14:paraId="75479DF8">
      <w:pPr>
        <w:pStyle w:val="4"/>
        <w:spacing w:before="0" w:after="0"/>
        <w:rPr>
          <w:rFonts w:asciiTheme="minorEastAsia" w:hAnsiTheme="minorEastAsia" w:eastAsiaTheme="minorEastAsia"/>
        </w:rPr>
      </w:pPr>
      <w:bookmarkStart w:id="21" w:name="_Toc5688"/>
      <w:r>
        <w:rPr>
          <w:rFonts w:hint="eastAsia" w:asciiTheme="minorEastAsia" w:hAnsiTheme="minorEastAsia" w:eastAsiaTheme="minorEastAsia"/>
        </w:rPr>
        <w:t>2、政府采购扶持政策</w:t>
      </w:r>
      <w:bookmarkEnd w:id="21"/>
    </w:p>
    <w:p w14:paraId="32B92976">
      <w:pPr>
        <w:spacing w:after="60" w:line="360" w:lineRule="auto"/>
        <w:ind w:firstLine="424" w:firstLineChars="202"/>
        <w:rPr>
          <w:rFonts w:ascii="Calibri" w:hAnsi="宋体"/>
        </w:rPr>
      </w:pPr>
      <w:r>
        <w:rPr>
          <w:rFonts w:hint="eastAsia" w:ascii="Calibri" w:hAnsi="宋体"/>
        </w:rPr>
        <w:t>（一）本项目所属行业为</w:t>
      </w:r>
      <w:r>
        <w:rPr>
          <w:rFonts w:hint="eastAsia" w:ascii="Calibri" w:hAnsi="宋体"/>
          <w:highlight w:val="yellow"/>
          <w:u w:val="single"/>
        </w:rPr>
        <w:t xml:space="preserve"> </w:t>
      </w:r>
      <w:r>
        <w:rPr>
          <w:rFonts w:hint="eastAsia" w:ascii="Calibri" w:hAnsi="宋体"/>
          <w:b/>
          <w:bCs/>
          <w:highlight w:val="yellow"/>
          <w:u w:val="single"/>
        </w:rPr>
        <w:t xml:space="preserve">工业 </w:t>
      </w:r>
      <w:r>
        <w:rPr>
          <w:rFonts w:hint="eastAsia" w:ascii="Calibri" w:hAnsi="宋体"/>
          <w:highlight w:val="yellow"/>
          <w:u w:val="single"/>
        </w:rPr>
        <w:t xml:space="preserve"> </w:t>
      </w:r>
      <w:r>
        <w:rPr>
          <w:rFonts w:hint="eastAsia" w:ascii="Calibri" w:hAnsi="宋体"/>
        </w:rPr>
        <w:t>，投标人应根据《工业和信息化部、国家统计局、国家发展和改革委员会、财政部关于印发中小企业划型标准规定的通知》(工信部联企业〔2011〕300号)规定的中小企业划型标准填写《中小企业声明函》。</w:t>
      </w:r>
    </w:p>
    <w:p w14:paraId="167765F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0C619E61">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151E3D">
      <w:pPr>
        <w:widowControl/>
        <w:spacing w:line="360" w:lineRule="auto"/>
        <w:ind w:firstLine="371" w:firstLineChars="177"/>
        <w:jc w:val="left"/>
        <w:rPr>
          <w:rFonts w:cs="仿宋" w:asciiTheme="minorEastAsia" w:hAnsiTheme="minorEastAsia" w:eastAsiaTheme="minorEastAsia"/>
          <w:szCs w:val="21"/>
        </w:rPr>
      </w:pPr>
      <w:r>
        <w:rPr>
          <w:rFonts w:hint="eastAsia" w:ascii="宋体"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0C60BD00">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7DCCF3DC">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22F8519E">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00C2FA07">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5A22264A">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DEA3349">
      <w:pPr>
        <w:spacing w:after="60" w:line="360" w:lineRule="auto"/>
        <w:ind w:firstLine="424" w:firstLineChars="202"/>
        <w:rPr>
          <w:rFonts w:ascii="宋体" w:hAnsi="宋体"/>
          <w:szCs w:val="22"/>
        </w:rPr>
      </w:pPr>
    </w:p>
    <w:p w14:paraId="7B6146EB">
      <w:r>
        <w:rPr>
          <w:rFonts w:hint="eastAsia"/>
        </w:rPr>
        <w:br w:type="page"/>
      </w:r>
    </w:p>
    <w:p w14:paraId="0C214B8A">
      <w:pPr>
        <w:pStyle w:val="2"/>
        <w:numPr>
          <w:ilvl w:val="0"/>
          <w:numId w:val="6"/>
        </w:numPr>
      </w:pPr>
      <w:r>
        <w:rPr>
          <w:rFonts w:hint="eastAsia"/>
        </w:rPr>
        <w:t xml:space="preserve">  </w:t>
      </w:r>
      <w:bookmarkStart w:id="22" w:name="_Toc17149"/>
      <w:r>
        <w:rPr>
          <w:rFonts w:hint="eastAsia"/>
        </w:rPr>
        <w:t>合同文本</w:t>
      </w:r>
      <w:bookmarkEnd w:id="22"/>
    </w:p>
    <w:p w14:paraId="281368CD">
      <w:pPr>
        <w:pStyle w:val="28"/>
        <w:ind w:firstLine="482" w:firstLineChars="200"/>
        <w:rPr>
          <w:rFonts w:asciiTheme="minorEastAsia" w:hAnsiTheme="minorEastAsia" w:cstheme="minorEastAsia"/>
          <w:color w:val="000000" w:themeColor="text1"/>
          <w:szCs w:val="21"/>
          <w14:textFill>
            <w14:solidFill>
              <w14:schemeClr w14:val="tx1"/>
            </w14:solidFill>
          </w14:textFill>
        </w:rPr>
      </w:pPr>
      <w:r>
        <w:rPr>
          <w:rFonts w:hint="eastAsia" w:ascii="Times New Roman" w:hAnsi="Times New Roman"/>
          <w:b/>
          <w:sz w:val="24"/>
        </w:rPr>
        <w:t>重要说明：采购人在签订合同前有权依据招标文件要求和项目实际情况对以下合同内容进行删改或补充。</w:t>
      </w:r>
      <w:r>
        <w:rPr>
          <w:rFonts w:hint="eastAsia" w:asciiTheme="minorEastAsia" w:hAnsiTheme="minorEastAsia" w:cstheme="minorEastAsia"/>
          <w:bCs/>
          <w:color w:val="000000" w:themeColor="text1"/>
          <w:szCs w:val="21"/>
          <w14:textFill>
            <w14:solidFill>
              <w14:schemeClr w14:val="tx1"/>
            </w14:solidFill>
          </w14:textFill>
        </w:rPr>
        <w:t xml:space="preserve">                                           </w:t>
      </w:r>
    </w:p>
    <w:p w14:paraId="7CFE70CE">
      <w:pPr>
        <w:jc w:val="center"/>
        <w:rPr>
          <w:rFonts w:asciiTheme="majorEastAsia" w:hAnsiTheme="majorEastAsia" w:eastAsiaTheme="majorEastAsia"/>
          <w:b/>
          <w:sz w:val="36"/>
          <w:szCs w:val="36"/>
        </w:rPr>
      </w:pPr>
      <w:bookmarkStart w:id="23" w:name="OLE_LINK3"/>
      <w:bookmarkStart w:id="24" w:name="OLE_LINK4"/>
    </w:p>
    <w:p w14:paraId="517914EE">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“深圳国际旅行卫生保健中心（深圳海关口岸门诊部）2024年实验室仪器设备更新”项目全身彩色多普勒超声诊断仪一批采购项目合同</w:t>
      </w:r>
      <w:bookmarkEnd w:id="23"/>
      <w:bookmarkEnd w:id="24"/>
    </w:p>
    <w:p w14:paraId="356008DA">
      <w:pPr>
        <w:jc w:val="center"/>
      </w:pPr>
      <w:r>
        <w:rPr>
          <w:rFonts w:hint="eastAsia" w:asciiTheme="majorEastAsia" w:hAnsiTheme="majorEastAsia" w:eastAsiaTheme="majorEastAsia"/>
          <w:b/>
          <w:sz w:val="36"/>
          <w:szCs w:val="36"/>
        </w:rPr>
        <w:t>（包号：**）</w:t>
      </w:r>
    </w:p>
    <w:p w14:paraId="61637D45">
      <w:pPr>
        <w:spacing w:line="360" w:lineRule="auto"/>
        <w:rPr>
          <w:color w:val="000000"/>
          <w:sz w:val="24"/>
        </w:rPr>
      </w:pPr>
    </w:p>
    <w:p w14:paraId="260E5D43">
      <w:pPr>
        <w:spacing w:line="360" w:lineRule="auto"/>
        <w:rPr>
          <w:color w:val="000000"/>
          <w:sz w:val="24"/>
        </w:rPr>
      </w:pPr>
      <w:r>
        <w:rPr>
          <w:color w:val="000000"/>
          <w:sz w:val="24"/>
        </w:rPr>
        <w:t>甲方（采购人）:</w:t>
      </w:r>
    </w:p>
    <w:p w14:paraId="67E915E9">
      <w:pPr>
        <w:spacing w:line="360" w:lineRule="auto"/>
        <w:rPr>
          <w:color w:val="000000"/>
          <w:sz w:val="24"/>
        </w:rPr>
      </w:pPr>
      <w:r>
        <w:rPr>
          <w:color w:val="000000"/>
          <w:sz w:val="24"/>
        </w:rPr>
        <w:t xml:space="preserve">乙方（供应商）:                                  </w:t>
      </w:r>
    </w:p>
    <w:p w14:paraId="3F32C60D">
      <w:pPr>
        <w:spacing w:line="360" w:lineRule="auto"/>
        <w:ind w:firstLine="480" w:firstLineChars="200"/>
        <w:rPr>
          <w:color w:val="000000"/>
          <w:sz w:val="24"/>
        </w:rPr>
      </w:pPr>
      <w:r>
        <w:rPr>
          <w:color w:val="000000"/>
          <w:sz w:val="24"/>
        </w:rPr>
        <w:t>根据</w:t>
      </w:r>
      <w:r>
        <w:rPr>
          <w:snapToGrid w:val="0"/>
          <w:color w:val="000000"/>
          <w:kern w:val="0"/>
          <w:sz w:val="24"/>
        </w:rPr>
        <w:t>《中华人民共和国民法典（合同编）》、</w:t>
      </w:r>
      <w:r>
        <w:rPr>
          <w:color w:val="000000"/>
          <w:sz w:val="24"/>
        </w:rPr>
        <w:t>《中华人民共和国政府采购法》等相关法律规定，甲方对____________采购项目以_____方式进行采购</w:t>
      </w:r>
      <w:r>
        <w:rPr>
          <w:rFonts w:hint="eastAsia"/>
          <w:color w:val="000000"/>
          <w:sz w:val="24"/>
        </w:rPr>
        <w:t>，</w:t>
      </w:r>
      <w:r>
        <w:rPr>
          <w:color w:val="000000"/>
          <w:sz w:val="24"/>
        </w:rPr>
        <w:t>确定乙方为中标人（成交商），现依照招标文件、投标文件等相关文件的内容，双方达成如下协议：</w:t>
      </w:r>
    </w:p>
    <w:p w14:paraId="5CD8D36F">
      <w:pPr>
        <w:spacing w:line="360" w:lineRule="auto"/>
        <w:ind w:firstLine="482" w:firstLineChars="200"/>
        <w:rPr>
          <w:b/>
          <w:bCs/>
          <w:color w:val="000000"/>
          <w:sz w:val="24"/>
        </w:rPr>
      </w:pPr>
      <w:r>
        <w:rPr>
          <w:b/>
          <w:bCs/>
          <w:color w:val="000000"/>
          <w:sz w:val="24"/>
        </w:rPr>
        <w:t>第一条 采购货物清单</w:t>
      </w:r>
    </w:p>
    <w:tbl>
      <w:tblPr>
        <w:tblStyle w:val="51"/>
        <w:tblW w:w="905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93"/>
        <w:gridCol w:w="1144"/>
        <w:gridCol w:w="1219"/>
        <w:gridCol w:w="1013"/>
        <w:gridCol w:w="900"/>
        <w:gridCol w:w="1481"/>
        <w:gridCol w:w="1509"/>
      </w:tblGrid>
      <w:tr w14:paraId="2C7F22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93" w:type="dxa"/>
            <w:tcBorders>
              <w:top w:val="single" w:color="auto" w:sz="4" w:space="0"/>
              <w:left w:val="single" w:color="auto" w:sz="4" w:space="0"/>
              <w:bottom w:val="single" w:color="auto" w:sz="4" w:space="0"/>
              <w:right w:val="single" w:color="auto" w:sz="4" w:space="0"/>
            </w:tcBorders>
            <w:vAlign w:val="center"/>
          </w:tcPr>
          <w:p w14:paraId="1293CA97">
            <w:pPr>
              <w:pStyle w:val="513"/>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货物名称</w:t>
            </w:r>
          </w:p>
        </w:tc>
        <w:tc>
          <w:tcPr>
            <w:tcW w:w="1144" w:type="dxa"/>
            <w:tcBorders>
              <w:top w:val="single" w:color="auto" w:sz="4" w:space="0"/>
              <w:left w:val="single" w:color="auto" w:sz="4" w:space="0"/>
              <w:bottom w:val="single" w:color="auto" w:sz="4" w:space="0"/>
              <w:right w:val="single" w:color="auto" w:sz="4" w:space="0"/>
            </w:tcBorders>
            <w:vAlign w:val="center"/>
          </w:tcPr>
          <w:p w14:paraId="49DEC962">
            <w:pPr>
              <w:pStyle w:val="514"/>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品牌</w:t>
            </w:r>
          </w:p>
        </w:tc>
        <w:tc>
          <w:tcPr>
            <w:tcW w:w="1219" w:type="dxa"/>
            <w:tcBorders>
              <w:top w:val="single" w:color="auto" w:sz="4" w:space="0"/>
              <w:left w:val="single" w:color="auto" w:sz="4" w:space="0"/>
              <w:bottom w:val="single" w:color="auto" w:sz="4" w:space="0"/>
              <w:right w:val="single" w:color="auto" w:sz="4" w:space="0"/>
            </w:tcBorders>
            <w:vAlign w:val="center"/>
          </w:tcPr>
          <w:p w14:paraId="43B19BAE">
            <w:pPr>
              <w:pStyle w:val="515"/>
              <w:autoSpaceDN w:val="0"/>
              <w:adjustRightInd w:val="0"/>
              <w:snapToGrid w:val="0"/>
              <w:spacing w:line="360" w:lineRule="auto"/>
              <w:jc w:val="center"/>
              <w:rPr>
                <w:rFonts w:ascii="Times New Roman" w:hAnsi="Times New Roman"/>
                <w:b/>
                <w:bCs/>
                <w:color w:val="000000"/>
                <w:sz w:val="24"/>
                <w:szCs w:val="24"/>
              </w:rPr>
            </w:pPr>
            <w:r>
              <w:rPr>
                <w:rFonts w:ascii="Times New Roman" w:hAnsi="Times New Roman"/>
                <w:b/>
                <w:bCs/>
                <w:color w:val="000000"/>
                <w:sz w:val="24"/>
                <w:szCs w:val="24"/>
              </w:rPr>
              <w:t>规格型号</w:t>
            </w:r>
          </w:p>
        </w:tc>
        <w:tc>
          <w:tcPr>
            <w:tcW w:w="1013" w:type="dxa"/>
            <w:tcBorders>
              <w:top w:val="single" w:color="auto" w:sz="4" w:space="0"/>
              <w:left w:val="single" w:color="auto" w:sz="4" w:space="0"/>
              <w:bottom w:val="single" w:color="auto" w:sz="4" w:space="0"/>
              <w:right w:val="single" w:color="auto" w:sz="4" w:space="0"/>
            </w:tcBorders>
            <w:vAlign w:val="center"/>
          </w:tcPr>
          <w:p w14:paraId="5A8B599A">
            <w:pPr>
              <w:pStyle w:val="516"/>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产地</w:t>
            </w:r>
          </w:p>
        </w:tc>
        <w:tc>
          <w:tcPr>
            <w:tcW w:w="900" w:type="dxa"/>
            <w:tcBorders>
              <w:top w:val="single" w:color="auto" w:sz="4" w:space="0"/>
              <w:left w:val="single" w:color="auto" w:sz="4" w:space="0"/>
              <w:bottom w:val="single" w:color="auto" w:sz="4" w:space="0"/>
              <w:right w:val="single" w:color="auto" w:sz="4" w:space="0"/>
            </w:tcBorders>
            <w:vAlign w:val="center"/>
          </w:tcPr>
          <w:p w14:paraId="73A0AE9D">
            <w:pPr>
              <w:pStyle w:val="516"/>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数量</w:t>
            </w:r>
          </w:p>
        </w:tc>
        <w:tc>
          <w:tcPr>
            <w:tcW w:w="1481" w:type="dxa"/>
            <w:tcBorders>
              <w:top w:val="single" w:color="auto" w:sz="4" w:space="0"/>
              <w:left w:val="single" w:color="auto" w:sz="4" w:space="0"/>
              <w:bottom w:val="single" w:color="auto" w:sz="4" w:space="0"/>
              <w:right w:val="single" w:color="auto" w:sz="4" w:space="0"/>
            </w:tcBorders>
            <w:vAlign w:val="center"/>
          </w:tcPr>
          <w:p w14:paraId="76E93E44">
            <w:pPr>
              <w:pStyle w:val="517"/>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单价（元）</w:t>
            </w:r>
          </w:p>
        </w:tc>
        <w:tc>
          <w:tcPr>
            <w:tcW w:w="1509" w:type="dxa"/>
            <w:tcBorders>
              <w:top w:val="single" w:color="auto" w:sz="4" w:space="0"/>
              <w:left w:val="single" w:color="auto" w:sz="4" w:space="0"/>
              <w:bottom w:val="single" w:color="auto" w:sz="4" w:space="0"/>
              <w:right w:val="single" w:color="auto" w:sz="4" w:space="0"/>
            </w:tcBorders>
            <w:vAlign w:val="center"/>
          </w:tcPr>
          <w:p w14:paraId="61793F77">
            <w:pPr>
              <w:pStyle w:val="518"/>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合计（元）</w:t>
            </w:r>
          </w:p>
        </w:tc>
      </w:tr>
      <w:tr w14:paraId="4C97E5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1793" w:type="dxa"/>
            <w:tcBorders>
              <w:top w:val="single" w:color="auto" w:sz="4" w:space="0"/>
              <w:left w:val="single" w:color="auto" w:sz="4" w:space="0"/>
              <w:bottom w:val="single" w:color="auto" w:sz="4" w:space="0"/>
              <w:right w:val="single" w:color="auto" w:sz="4" w:space="0"/>
            </w:tcBorders>
            <w:vAlign w:val="center"/>
          </w:tcPr>
          <w:p w14:paraId="61A22D18">
            <w:pPr>
              <w:pStyle w:val="519"/>
              <w:autoSpaceDN w:val="0"/>
              <w:adjustRightInd w:val="0"/>
              <w:snapToGrid w:val="0"/>
              <w:spacing w:line="360" w:lineRule="auto"/>
              <w:jc w:val="center"/>
              <w:rPr>
                <w:rFonts w:ascii="Times New Roman"/>
                <w:b/>
                <w:bCs/>
                <w:color w:val="000000"/>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14:paraId="4CECC44F">
            <w:pPr>
              <w:pStyle w:val="520"/>
              <w:autoSpaceDN w:val="0"/>
              <w:adjustRightInd w:val="0"/>
              <w:snapToGrid w:val="0"/>
              <w:spacing w:line="360" w:lineRule="auto"/>
              <w:jc w:val="center"/>
              <w:rPr>
                <w:rFonts w:ascii="Times New Roman"/>
                <w:b/>
                <w:bCs/>
                <w:color w:val="000000"/>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29591ACC">
            <w:pPr>
              <w:pStyle w:val="521"/>
              <w:autoSpaceDN w:val="0"/>
              <w:adjustRightInd w:val="0"/>
              <w:snapToGrid w:val="0"/>
              <w:spacing w:line="360" w:lineRule="auto"/>
              <w:jc w:val="center"/>
              <w:rPr>
                <w:rFonts w:ascii="Times New Roman"/>
                <w:b/>
                <w:bCs/>
                <w:color w:val="000000"/>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14:paraId="4338103F">
            <w:pPr>
              <w:pStyle w:val="522"/>
              <w:autoSpaceDN w:val="0"/>
              <w:adjustRightInd w:val="0"/>
              <w:snapToGrid w:val="0"/>
              <w:spacing w:line="360" w:lineRule="auto"/>
              <w:jc w:val="center"/>
              <w:rPr>
                <w:rFonts w:ascii="Times New Roman"/>
                <w:b/>
                <w:bCs/>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1EFF089E">
            <w:pPr>
              <w:pStyle w:val="522"/>
              <w:autoSpaceDN w:val="0"/>
              <w:adjustRightInd w:val="0"/>
              <w:snapToGrid w:val="0"/>
              <w:spacing w:line="360" w:lineRule="auto"/>
              <w:jc w:val="center"/>
              <w:rPr>
                <w:rFonts w:ascii="Times New Roman"/>
                <w:b/>
                <w:bCs/>
                <w:color w:val="000000"/>
                <w:sz w:val="24"/>
                <w:szCs w:val="24"/>
              </w:rPr>
            </w:pPr>
          </w:p>
        </w:tc>
        <w:tc>
          <w:tcPr>
            <w:tcW w:w="1481" w:type="dxa"/>
            <w:tcBorders>
              <w:top w:val="single" w:color="auto" w:sz="4" w:space="0"/>
              <w:left w:val="single" w:color="auto" w:sz="4" w:space="0"/>
              <w:bottom w:val="single" w:color="auto" w:sz="4" w:space="0"/>
              <w:right w:val="single" w:color="auto" w:sz="4" w:space="0"/>
            </w:tcBorders>
            <w:vAlign w:val="center"/>
          </w:tcPr>
          <w:p w14:paraId="570602ED">
            <w:pPr>
              <w:pStyle w:val="523"/>
              <w:autoSpaceDN w:val="0"/>
              <w:adjustRightInd w:val="0"/>
              <w:snapToGrid w:val="0"/>
              <w:spacing w:line="360" w:lineRule="auto"/>
              <w:jc w:val="center"/>
              <w:rPr>
                <w:rFonts w:ascii="Times New Roman"/>
                <w:b/>
                <w:bCs/>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vAlign w:val="center"/>
          </w:tcPr>
          <w:p w14:paraId="21D85AE4">
            <w:pPr>
              <w:pStyle w:val="524"/>
              <w:autoSpaceDN w:val="0"/>
              <w:adjustRightInd w:val="0"/>
              <w:snapToGrid w:val="0"/>
              <w:spacing w:line="360" w:lineRule="auto"/>
              <w:jc w:val="center"/>
              <w:rPr>
                <w:rFonts w:ascii="Times New Roman"/>
                <w:b/>
                <w:bCs/>
                <w:color w:val="000000"/>
                <w:sz w:val="24"/>
                <w:szCs w:val="24"/>
              </w:rPr>
            </w:pPr>
          </w:p>
        </w:tc>
      </w:tr>
      <w:tr w14:paraId="1293E0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1793" w:type="dxa"/>
            <w:tcBorders>
              <w:top w:val="single" w:color="auto" w:sz="4" w:space="0"/>
              <w:left w:val="single" w:color="auto" w:sz="4" w:space="0"/>
              <w:bottom w:val="single" w:color="auto" w:sz="4" w:space="0"/>
              <w:right w:val="single" w:color="auto" w:sz="4" w:space="0"/>
            </w:tcBorders>
            <w:vAlign w:val="center"/>
          </w:tcPr>
          <w:p w14:paraId="18E49D6C">
            <w:pPr>
              <w:pStyle w:val="525"/>
              <w:autoSpaceDN w:val="0"/>
              <w:adjustRightInd w:val="0"/>
              <w:snapToGrid w:val="0"/>
              <w:spacing w:line="360" w:lineRule="auto"/>
              <w:jc w:val="center"/>
              <w:rPr>
                <w:rFonts w:ascii="Times New Roman"/>
                <w:b/>
                <w:bCs/>
                <w:color w:val="000000"/>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14:paraId="2B612F9B">
            <w:pPr>
              <w:pStyle w:val="526"/>
              <w:autoSpaceDN w:val="0"/>
              <w:adjustRightInd w:val="0"/>
              <w:snapToGrid w:val="0"/>
              <w:spacing w:line="360" w:lineRule="auto"/>
              <w:jc w:val="center"/>
              <w:rPr>
                <w:rFonts w:ascii="Times New Roman"/>
                <w:b/>
                <w:bCs/>
                <w:color w:val="000000"/>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970DAB6">
            <w:pPr>
              <w:pStyle w:val="527"/>
              <w:autoSpaceDN w:val="0"/>
              <w:adjustRightInd w:val="0"/>
              <w:snapToGrid w:val="0"/>
              <w:spacing w:line="360" w:lineRule="auto"/>
              <w:jc w:val="center"/>
              <w:rPr>
                <w:rFonts w:ascii="Times New Roman"/>
                <w:b/>
                <w:bCs/>
                <w:color w:val="000000"/>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14:paraId="199590BC">
            <w:pPr>
              <w:pStyle w:val="528"/>
              <w:autoSpaceDN w:val="0"/>
              <w:adjustRightInd w:val="0"/>
              <w:snapToGrid w:val="0"/>
              <w:spacing w:line="360" w:lineRule="auto"/>
              <w:jc w:val="center"/>
              <w:rPr>
                <w:rFonts w:ascii="Times New Roman"/>
                <w:b/>
                <w:bCs/>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A8EE868">
            <w:pPr>
              <w:pStyle w:val="528"/>
              <w:autoSpaceDN w:val="0"/>
              <w:adjustRightInd w:val="0"/>
              <w:snapToGrid w:val="0"/>
              <w:spacing w:line="360" w:lineRule="auto"/>
              <w:jc w:val="center"/>
              <w:rPr>
                <w:rFonts w:ascii="Times New Roman"/>
                <w:b/>
                <w:bCs/>
                <w:color w:val="000000"/>
                <w:sz w:val="24"/>
                <w:szCs w:val="24"/>
              </w:rPr>
            </w:pPr>
          </w:p>
        </w:tc>
        <w:tc>
          <w:tcPr>
            <w:tcW w:w="1481" w:type="dxa"/>
            <w:tcBorders>
              <w:top w:val="single" w:color="auto" w:sz="4" w:space="0"/>
              <w:left w:val="single" w:color="auto" w:sz="4" w:space="0"/>
              <w:bottom w:val="single" w:color="auto" w:sz="4" w:space="0"/>
              <w:right w:val="single" w:color="auto" w:sz="4" w:space="0"/>
            </w:tcBorders>
            <w:vAlign w:val="center"/>
          </w:tcPr>
          <w:p w14:paraId="6BAFE3AC">
            <w:pPr>
              <w:pStyle w:val="529"/>
              <w:autoSpaceDN w:val="0"/>
              <w:adjustRightInd w:val="0"/>
              <w:snapToGrid w:val="0"/>
              <w:spacing w:line="360" w:lineRule="auto"/>
              <w:jc w:val="center"/>
              <w:rPr>
                <w:rFonts w:ascii="Times New Roman"/>
                <w:b/>
                <w:bCs/>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vAlign w:val="center"/>
          </w:tcPr>
          <w:p w14:paraId="3E3EF40C">
            <w:pPr>
              <w:pStyle w:val="530"/>
              <w:autoSpaceDN w:val="0"/>
              <w:adjustRightInd w:val="0"/>
              <w:snapToGrid w:val="0"/>
              <w:spacing w:line="360" w:lineRule="auto"/>
              <w:jc w:val="center"/>
              <w:rPr>
                <w:rFonts w:ascii="Times New Roman"/>
                <w:b/>
                <w:bCs/>
                <w:color w:val="000000"/>
                <w:sz w:val="24"/>
                <w:szCs w:val="24"/>
              </w:rPr>
            </w:pPr>
          </w:p>
        </w:tc>
      </w:tr>
      <w:tr w14:paraId="4377D6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0" w:hRule="atLeast"/>
        </w:trPr>
        <w:tc>
          <w:tcPr>
            <w:tcW w:w="7550" w:type="dxa"/>
            <w:gridSpan w:val="6"/>
            <w:tcBorders>
              <w:top w:val="single" w:color="auto" w:sz="4" w:space="0"/>
              <w:left w:val="single" w:color="auto" w:sz="4" w:space="0"/>
              <w:bottom w:val="single" w:color="auto" w:sz="4" w:space="0"/>
              <w:right w:val="single" w:color="auto" w:sz="4" w:space="0"/>
            </w:tcBorders>
            <w:vAlign w:val="center"/>
          </w:tcPr>
          <w:p w14:paraId="630489BE">
            <w:pPr>
              <w:pStyle w:val="531"/>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 xml:space="preserve">                                                    合同总价                                                    </w:t>
            </w:r>
          </w:p>
        </w:tc>
        <w:tc>
          <w:tcPr>
            <w:tcW w:w="1509" w:type="dxa"/>
            <w:tcBorders>
              <w:top w:val="single" w:color="auto" w:sz="4" w:space="0"/>
              <w:left w:val="single" w:color="auto" w:sz="4" w:space="0"/>
              <w:bottom w:val="single" w:color="auto" w:sz="4" w:space="0"/>
              <w:right w:val="single" w:color="auto" w:sz="4" w:space="0"/>
            </w:tcBorders>
            <w:vAlign w:val="center"/>
          </w:tcPr>
          <w:p w14:paraId="21B1F0CD">
            <w:pPr>
              <w:pStyle w:val="532"/>
              <w:autoSpaceDN w:val="0"/>
              <w:adjustRightInd w:val="0"/>
              <w:snapToGrid w:val="0"/>
              <w:spacing w:line="360" w:lineRule="auto"/>
              <w:jc w:val="center"/>
              <w:rPr>
                <w:rFonts w:ascii="Times New Roman"/>
                <w:b/>
                <w:bCs/>
                <w:color w:val="000000"/>
                <w:sz w:val="24"/>
                <w:szCs w:val="24"/>
              </w:rPr>
            </w:pPr>
          </w:p>
        </w:tc>
      </w:tr>
    </w:tbl>
    <w:p w14:paraId="0B09E57F">
      <w:pPr>
        <w:spacing w:line="360" w:lineRule="auto"/>
        <w:ind w:firstLine="482" w:firstLineChars="200"/>
        <w:rPr>
          <w:b/>
          <w:bCs/>
          <w:color w:val="000000"/>
          <w:sz w:val="24"/>
        </w:rPr>
      </w:pPr>
      <w:r>
        <w:rPr>
          <w:b/>
          <w:bCs/>
          <w:color w:val="000000"/>
          <w:sz w:val="24"/>
        </w:rPr>
        <w:t>第二条 合同总价款</w:t>
      </w:r>
    </w:p>
    <w:p w14:paraId="79A527E2">
      <w:pPr>
        <w:pStyle w:val="539"/>
        <w:spacing w:line="360" w:lineRule="auto"/>
        <w:ind w:firstLine="480" w:firstLineChars="200"/>
        <w:rPr>
          <w:rFonts w:eastAsia="宋体"/>
          <w:color w:val="000000"/>
          <w:sz w:val="24"/>
          <w:szCs w:val="24"/>
        </w:rPr>
      </w:pPr>
      <w:r>
        <w:rPr>
          <w:rFonts w:eastAsia="宋体"/>
          <w:color w:val="000000"/>
          <w:sz w:val="24"/>
          <w:szCs w:val="24"/>
        </w:rPr>
        <w:t>甲方以支付总价款__________元，（人民币大写</w:t>
      </w:r>
      <w:r>
        <w:rPr>
          <w:rFonts w:hint="eastAsia" w:eastAsia="宋体"/>
          <w:color w:val="000000"/>
          <w:sz w:val="24"/>
          <w:szCs w:val="24"/>
        </w:rPr>
        <w:t xml:space="preserve">：         </w:t>
      </w:r>
      <w:r>
        <w:rPr>
          <w:rFonts w:eastAsia="宋体"/>
          <w:color w:val="000000"/>
          <w:sz w:val="24"/>
          <w:szCs w:val="24"/>
        </w:rPr>
        <w:t>）接受乙方对上述货物的供货和</w:t>
      </w:r>
      <w:r>
        <w:rPr>
          <w:rFonts w:hint="eastAsia" w:eastAsia="宋体"/>
          <w:color w:val="000000"/>
          <w:sz w:val="24"/>
          <w:szCs w:val="24"/>
        </w:rPr>
        <w:t>伴随</w:t>
      </w:r>
      <w:r>
        <w:rPr>
          <w:rFonts w:eastAsia="宋体"/>
          <w:color w:val="000000"/>
          <w:sz w:val="24"/>
          <w:szCs w:val="24"/>
        </w:rPr>
        <w:t>服务。包括乙方提供货物、包装、运输、货物的保险和储存、检测、验收、安装调试、保修服务、培训、资料及提供的伴随服务等所有成本、费用及税费，甲方（用户）无需再向乙方支付其他任何费用。详见附件分项报价表、设备配置清单和技术偏离表。</w:t>
      </w:r>
    </w:p>
    <w:p w14:paraId="2F431DF8">
      <w:pPr>
        <w:pStyle w:val="540"/>
        <w:spacing w:line="360" w:lineRule="auto"/>
        <w:ind w:firstLine="482" w:firstLineChars="200"/>
        <w:rPr>
          <w:rFonts w:ascii="Times New Roman" w:eastAsia="宋体"/>
          <w:color w:val="000000"/>
          <w:sz w:val="24"/>
          <w:szCs w:val="24"/>
        </w:rPr>
      </w:pPr>
      <w:r>
        <w:rPr>
          <w:rFonts w:ascii="Times New Roman" w:eastAsia="宋体"/>
          <w:b/>
          <w:bCs/>
          <w:color w:val="000000"/>
          <w:sz w:val="24"/>
          <w:szCs w:val="24"/>
        </w:rPr>
        <w:t>第三条 付款条件</w:t>
      </w:r>
    </w:p>
    <w:p w14:paraId="37447E29">
      <w:pPr>
        <w:spacing w:line="360" w:lineRule="auto"/>
        <w:ind w:firstLine="480" w:firstLineChars="200"/>
        <w:rPr>
          <w:color w:val="000000"/>
          <w:sz w:val="24"/>
        </w:rPr>
      </w:pPr>
      <w:r>
        <w:rPr>
          <w:color w:val="000000"/>
          <w:sz w:val="24"/>
        </w:rPr>
        <w:t>（一）本合同以人民币付款。</w:t>
      </w:r>
    </w:p>
    <w:p w14:paraId="1154FBA6">
      <w:pPr>
        <w:spacing w:line="360" w:lineRule="auto"/>
        <w:ind w:firstLine="480" w:firstLineChars="200"/>
        <w:rPr>
          <w:color w:val="000000"/>
          <w:sz w:val="24"/>
        </w:rPr>
      </w:pPr>
      <w:r>
        <w:rPr>
          <w:color w:val="000000"/>
          <w:sz w:val="24"/>
        </w:rPr>
        <w:t>（二）付款办法：</w:t>
      </w:r>
    </w:p>
    <w:p w14:paraId="6D787196">
      <w:pPr>
        <w:spacing w:line="360" w:lineRule="auto"/>
        <w:ind w:firstLine="480" w:firstLineChars="200"/>
        <w:rPr>
          <w:color w:val="000000"/>
          <w:sz w:val="24"/>
        </w:rPr>
      </w:pPr>
      <w:r>
        <w:rPr>
          <w:color w:val="000000"/>
          <w:sz w:val="24"/>
        </w:rPr>
        <w:t>1.</w:t>
      </w:r>
      <w:r>
        <w:rPr>
          <w:rFonts w:hint="eastAsia"/>
          <w:color w:val="000000"/>
          <w:sz w:val="24"/>
        </w:rPr>
        <w:t>合同签订后，</w:t>
      </w:r>
      <w:r>
        <w:rPr>
          <w:color w:val="000000"/>
          <w:sz w:val="24"/>
        </w:rPr>
        <w:t>乙方向甲方交付履约保</w:t>
      </w:r>
      <w:r>
        <w:rPr>
          <w:rFonts w:hint="eastAsia"/>
          <w:color w:val="000000"/>
          <w:sz w:val="24"/>
        </w:rPr>
        <w:t>函或保证金，比例等于合同金额的10%</w:t>
      </w:r>
      <w:r>
        <w:rPr>
          <w:color w:val="000000"/>
          <w:sz w:val="24"/>
        </w:rPr>
        <w:t>，并提交下列单据之日起10个工作日内，甲方向乙方支付合同总价</w:t>
      </w:r>
      <w:r>
        <w:rPr>
          <w:rFonts w:hint="eastAsia"/>
          <w:color w:val="000000"/>
          <w:sz w:val="24"/>
        </w:rPr>
        <w:t xml:space="preserve"> 50</w:t>
      </w:r>
      <w:r>
        <w:rPr>
          <w:color w:val="000000"/>
          <w:sz w:val="24"/>
        </w:rPr>
        <w:t>%合同款（金额</w:t>
      </w:r>
      <w:r>
        <w:rPr>
          <w:rFonts w:hint="eastAsia"/>
          <w:color w:val="000000"/>
          <w:sz w:val="24"/>
        </w:rPr>
        <w:t xml:space="preserve">大写：         </w:t>
      </w:r>
      <w:r>
        <w:rPr>
          <w:color w:val="000000"/>
          <w:sz w:val="24"/>
        </w:rPr>
        <w:t>）。</w:t>
      </w:r>
    </w:p>
    <w:p w14:paraId="643EBE32">
      <w:pPr>
        <w:spacing w:line="360" w:lineRule="auto"/>
        <w:ind w:firstLine="480" w:firstLineChars="200"/>
        <w:rPr>
          <w:color w:val="000000"/>
          <w:sz w:val="24"/>
        </w:rPr>
      </w:pPr>
      <w:r>
        <w:rPr>
          <w:color w:val="000000"/>
          <w:sz w:val="24"/>
        </w:rPr>
        <w:t>乙方提交单据：合同（正文部分复印件）、中标通知书（或成交通知书复印件）、发票（原件）、履约保</w:t>
      </w:r>
      <w:r>
        <w:rPr>
          <w:rFonts w:hint="eastAsia"/>
          <w:color w:val="000000"/>
          <w:sz w:val="24"/>
        </w:rPr>
        <w:t>函或保证金</w:t>
      </w:r>
      <w:r>
        <w:rPr>
          <w:color w:val="000000"/>
          <w:sz w:val="24"/>
        </w:rPr>
        <w:t>单据复印件。</w:t>
      </w:r>
    </w:p>
    <w:p w14:paraId="78B5C7FE">
      <w:pPr>
        <w:spacing w:line="360" w:lineRule="auto"/>
        <w:ind w:firstLine="480" w:firstLineChars="200"/>
        <w:rPr>
          <w:color w:val="000000"/>
          <w:sz w:val="24"/>
        </w:rPr>
      </w:pPr>
      <w:r>
        <w:rPr>
          <w:color w:val="000000"/>
          <w:sz w:val="24"/>
        </w:rPr>
        <w:t>2.设备全部到货并经甲方（用户）签收后，乙方向甲方提交下列单据之日起10个工作日内，甲方向乙方支付合同总价</w:t>
      </w:r>
      <w:r>
        <w:rPr>
          <w:rFonts w:hint="eastAsia"/>
          <w:color w:val="000000"/>
          <w:sz w:val="24"/>
        </w:rPr>
        <w:t>50</w:t>
      </w:r>
      <w:r>
        <w:rPr>
          <w:color w:val="000000"/>
          <w:sz w:val="24"/>
        </w:rPr>
        <w:t>%合同款（金额</w:t>
      </w:r>
      <w:r>
        <w:rPr>
          <w:rFonts w:hint="eastAsia"/>
          <w:color w:val="000000"/>
          <w:sz w:val="24"/>
        </w:rPr>
        <w:t xml:space="preserve">大写：            </w:t>
      </w:r>
      <w:r>
        <w:rPr>
          <w:color w:val="000000"/>
          <w:sz w:val="24"/>
        </w:rPr>
        <w:t>）。</w:t>
      </w:r>
    </w:p>
    <w:p w14:paraId="068CF47D">
      <w:pPr>
        <w:spacing w:line="360" w:lineRule="auto"/>
        <w:ind w:firstLine="480" w:firstLineChars="200"/>
        <w:rPr>
          <w:color w:val="000000"/>
          <w:sz w:val="24"/>
        </w:rPr>
      </w:pPr>
      <w:r>
        <w:rPr>
          <w:color w:val="000000"/>
          <w:sz w:val="24"/>
        </w:rPr>
        <w:t>乙方提交单据：合同(正文部分复印件）、中标通知书（或成交通知书复印件）、发票（原件）、设备到签收单（复印件）。</w:t>
      </w:r>
    </w:p>
    <w:p w14:paraId="7180C401">
      <w:pPr>
        <w:spacing w:line="360" w:lineRule="auto"/>
        <w:ind w:firstLine="480" w:firstLineChars="200"/>
        <w:rPr>
          <w:color w:val="000000"/>
          <w:sz w:val="24"/>
        </w:rPr>
      </w:pPr>
      <w:r>
        <w:rPr>
          <w:color w:val="000000"/>
          <w:sz w:val="24"/>
        </w:rPr>
        <w:t>3.设备全部安装调试，并经甲方（用户）验收合格后，乙方向甲方提交下列单据之日起</w:t>
      </w:r>
      <w:r>
        <w:rPr>
          <w:rFonts w:hint="eastAsia"/>
          <w:color w:val="000000"/>
          <w:sz w:val="24"/>
        </w:rPr>
        <w:t>30</w:t>
      </w:r>
      <w:r>
        <w:rPr>
          <w:color w:val="000000"/>
          <w:sz w:val="24"/>
        </w:rPr>
        <w:t>日内，甲方向乙方</w:t>
      </w:r>
      <w:r>
        <w:rPr>
          <w:rFonts w:hint="eastAsia"/>
          <w:color w:val="000000"/>
          <w:sz w:val="24"/>
        </w:rPr>
        <w:t>无息退还履约保函或保证金</w:t>
      </w:r>
      <w:r>
        <w:rPr>
          <w:color w:val="000000"/>
          <w:sz w:val="24"/>
        </w:rPr>
        <w:t>。</w:t>
      </w:r>
    </w:p>
    <w:p w14:paraId="3DC2B0DE">
      <w:pPr>
        <w:spacing w:line="360" w:lineRule="auto"/>
        <w:ind w:firstLine="480" w:firstLineChars="200"/>
        <w:rPr>
          <w:color w:val="000000"/>
          <w:sz w:val="24"/>
        </w:rPr>
      </w:pPr>
      <w:r>
        <w:rPr>
          <w:color w:val="000000"/>
          <w:sz w:val="24"/>
        </w:rPr>
        <w:t>乙方提交单据：</w:t>
      </w:r>
      <w:r>
        <w:rPr>
          <w:rFonts w:hint="eastAsia"/>
          <w:color w:val="000000"/>
          <w:sz w:val="24"/>
        </w:rPr>
        <w:t>退还申请（原件）、</w:t>
      </w:r>
      <w:r>
        <w:rPr>
          <w:color w:val="000000"/>
          <w:sz w:val="24"/>
        </w:rPr>
        <w:t>安装调试验收合格报告（复印件）。</w:t>
      </w:r>
    </w:p>
    <w:p w14:paraId="67D561E0">
      <w:pPr>
        <w:spacing w:line="360" w:lineRule="auto"/>
        <w:ind w:firstLine="480" w:firstLineChars="200"/>
        <w:rPr>
          <w:color w:val="000000"/>
          <w:sz w:val="24"/>
        </w:rPr>
      </w:pPr>
      <w:r>
        <w:rPr>
          <w:rFonts w:hint="eastAsia"/>
          <w:color w:val="000000"/>
          <w:sz w:val="24"/>
        </w:rPr>
        <w:t>4</w:t>
      </w:r>
      <w:r>
        <w:rPr>
          <w:color w:val="000000"/>
          <w:sz w:val="24"/>
        </w:rPr>
        <w:t>.因财政集中支付延误时间不计算在内</w:t>
      </w:r>
      <w:r>
        <w:rPr>
          <w:rFonts w:hint="eastAsia"/>
          <w:color w:val="000000"/>
          <w:sz w:val="24"/>
        </w:rPr>
        <w:t>。</w:t>
      </w:r>
      <w:r>
        <w:rPr>
          <w:color w:val="000000"/>
          <w:sz w:val="24"/>
        </w:rPr>
        <w:t>乙方提交付款单据延迟、缺失及账户信息错误的，甲方有权相应顺延付款期限，且甲方不承担延误付款责任。</w:t>
      </w:r>
    </w:p>
    <w:p w14:paraId="0EE41FA7">
      <w:pPr>
        <w:pStyle w:val="533"/>
        <w:autoSpaceDN w:val="0"/>
        <w:spacing w:line="360" w:lineRule="auto"/>
        <w:ind w:firstLine="480" w:firstLineChars="200"/>
        <w:jc w:val="left"/>
        <w:rPr>
          <w:snapToGrid w:val="0"/>
          <w:kern w:val="0"/>
          <w:sz w:val="24"/>
          <w:szCs w:val="24"/>
        </w:rPr>
      </w:pPr>
      <w:r>
        <w:rPr>
          <w:snapToGrid w:val="0"/>
          <w:kern w:val="0"/>
          <w:sz w:val="24"/>
          <w:szCs w:val="24"/>
        </w:rPr>
        <w:t>乙方收取货款账户为：</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6051"/>
      </w:tblGrid>
      <w:tr w14:paraId="2CCF7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04" w:type="dxa"/>
            <w:vAlign w:val="center"/>
          </w:tcPr>
          <w:p w14:paraId="0400C689">
            <w:pPr>
              <w:pStyle w:val="533"/>
              <w:autoSpaceDN w:val="0"/>
              <w:spacing w:line="360" w:lineRule="auto"/>
              <w:jc w:val="left"/>
              <w:rPr>
                <w:snapToGrid w:val="0"/>
                <w:kern w:val="0"/>
                <w:sz w:val="24"/>
                <w:szCs w:val="24"/>
              </w:rPr>
            </w:pPr>
            <w:r>
              <w:rPr>
                <w:snapToGrid w:val="0"/>
                <w:kern w:val="0"/>
                <w:sz w:val="24"/>
                <w:szCs w:val="24"/>
              </w:rPr>
              <w:t>乙方全称</w:t>
            </w:r>
          </w:p>
        </w:tc>
        <w:tc>
          <w:tcPr>
            <w:tcW w:w="6051" w:type="dxa"/>
            <w:vAlign w:val="center"/>
          </w:tcPr>
          <w:p w14:paraId="05BFE511">
            <w:pPr>
              <w:pStyle w:val="533"/>
              <w:autoSpaceDN w:val="0"/>
              <w:spacing w:line="360" w:lineRule="auto"/>
              <w:ind w:firstLine="480" w:firstLineChars="200"/>
              <w:jc w:val="left"/>
              <w:rPr>
                <w:snapToGrid w:val="0"/>
                <w:kern w:val="0"/>
                <w:sz w:val="24"/>
                <w:szCs w:val="24"/>
              </w:rPr>
            </w:pPr>
          </w:p>
        </w:tc>
      </w:tr>
      <w:tr w14:paraId="132C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804" w:type="dxa"/>
            <w:vAlign w:val="center"/>
          </w:tcPr>
          <w:p w14:paraId="71A99F12">
            <w:pPr>
              <w:pStyle w:val="533"/>
              <w:autoSpaceDN w:val="0"/>
              <w:spacing w:line="360" w:lineRule="auto"/>
              <w:jc w:val="left"/>
              <w:rPr>
                <w:snapToGrid w:val="0"/>
                <w:kern w:val="0"/>
                <w:sz w:val="24"/>
                <w:szCs w:val="24"/>
              </w:rPr>
            </w:pPr>
            <w:r>
              <w:rPr>
                <w:snapToGrid w:val="0"/>
                <w:kern w:val="0"/>
                <w:sz w:val="24"/>
                <w:szCs w:val="24"/>
              </w:rPr>
              <w:t>开户银行</w:t>
            </w:r>
          </w:p>
        </w:tc>
        <w:tc>
          <w:tcPr>
            <w:tcW w:w="6051" w:type="dxa"/>
            <w:vAlign w:val="center"/>
          </w:tcPr>
          <w:p w14:paraId="780E6FE8">
            <w:pPr>
              <w:pStyle w:val="533"/>
              <w:autoSpaceDN w:val="0"/>
              <w:spacing w:line="360" w:lineRule="auto"/>
              <w:ind w:firstLine="480" w:firstLineChars="200"/>
              <w:jc w:val="left"/>
              <w:rPr>
                <w:snapToGrid w:val="0"/>
                <w:kern w:val="0"/>
                <w:sz w:val="24"/>
                <w:szCs w:val="24"/>
              </w:rPr>
            </w:pPr>
          </w:p>
        </w:tc>
      </w:tr>
      <w:tr w14:paraId="3A4B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804" w:type="dxa"/>
            <w:vAlign w:val="center"/>
          </w:tcPr>
          <w:p w14:paraId="213DC045">
            <w:pPr>
              <w:pStyle w:val="533"/>
              <w:autoSpaceDN w:val="0"/>
              <w:spacing w:line="360" w:lineRule="auto"/>
              <w:jc w:val="left"/>
              <w:rPr>
                <w:snapToGrid w:val="0"/>
                <w:kern w:val="0"/>
                <w:sz w:val="24"/>
                <w:szCs w:val="24"/>
              </w:rPr>
            </w:pPr>
            <w:r>
              <w:rPr>
                <w:snapToGrid w:val="0"/>
                <w:kern w:val="0"/>
                <w:sz w:val="24"/>
                <w:szCs w:val="24"/>
              </w:rPr>
              <w:t>账号</w:t>
            </w:r>
          </w:p>
        </w:tc>
        <w:tc>
          <w:tcPr>
            <w:tcW w:w="6051" w:type="dxa"/>
            <w:vAlign w:val="center"/>
          </w:tcPr>
          <w:p w14:paraId="2C97C4C7">
            <w:pPr>
              <w:pStyle w:val="533"/>
              <w:autoSpaceDN w:val="0"/>
              <w:spacing w:line="360" w:lineRule="auto"/>
              <w:ind w:firstLine="480" w:firstLineChars="200"/>
              <w:jc w:val="left"/>
              <w:rPr>
                <w:snapToGrid w:val="0"/>
                <w:kern w:val="0"/>
                <w:sz w:val="24"/>
                <w:szCs w:val="24"/>
              </w:rPr>
            </w:pPr>
          </w:p>
        </w:tc>
      </w:tr>
    </w:tbl>
    <w:p w14:paraId="2565F7C3">
      <w:pPr>
        <w:spacing w:line="360" w:lineRule="auto"/>
        <w:ind w:firstLine="482" w:firstLineChars="200"/>
        <w:rPr>
          <w:b/>
          <w:bCs/>
          <w:color w:val="000000"/>
          <w:sz w:val="24"/>
        </w:rPr>
      </w:pPr>
      <w:r>
        <w:rPr>
          <w:b/>
          <w:bCs/>
          <w:color w:val="000000"/>
          <w:sz w:val="24"/>
        </w:rPr>
        <w:t>第四条 履约保证金</w:t>
      </w:r>
    </w:p>
    <w:p w14:paraId="3A7B7FA9">
      <w:pPr>
        <w:pStyle w:val="541"/>
        <w:spacing w:line="360" w:lineRule="auto"/>
        <w:ind w:firstLine="480" w:firstLineChars="200"/>
        <w:rPr>
          <w:rFonts w:eastAsia="宋体"/>
          <w:color w:val="000000"/>
          <w:sz w:val="24"/>
          <w:szCs w:val="24"/>
        </w:rPr>
      </w:pPr>
      <w:r>
        <w:rPr>
          <w:rFonts w:eastAsia="宋体"/>
          <w:color w:val="000000"/>
          <w:sz w:val="24"/>
          <w:szCs w:val="24"/>
        </w:rPr>
        <w:t>（一）合同签订之日起</w:t>
      </w:r>
      <w:r>
        <w:rPr>
          <w:rFonts w:hint="eastAsia" w:eastAsia="宋体"/>
          <w:color w:val="000000"/>
          <w:sz w:val="24"/>
          <w:szCs w:val="24"/>
          <w:u w:val="single"/>
        </w:rPr>
        <w:t xml:space="preserve">  10  </w:t>
      </w:r>
      <w:r>
        <w:rPr>
          <w:rFonts w:eastAsia="宋体"/>
          <w:color w:val="000000"/>
          <w:sz w:val="24"/>
          <w:szCs w:val="24"/>
        </w:rPr>
        <w:t>个工作日内，乙方须按合同金额的</w:t>
      </w:r>
      <w:r>
        <w:rPr>
          <w:rFonts w:hint="eastAsia" w:eastAsia="宋体"/>
          <w:color w:val="000000"/>
          <w:sz w:val="24"/>
          <w:szCs w:val="24"/>
        </w:rPr>
        <w:t>10</w:t>
      </w:r>
      <w:r>
        <w:rPr>
          <w:rFonts w:eastAsia="宋体"/>
          <w:color w:val="000000"/>
          <w:sz w:val="24"/>
          <w:szCs w:val="24"/>
        </w:rPr>
        <w:t>%向甲方交纳履约保证金</w:t>
      </w:r>
      <w:r>
        <w:rPr>
          <w:rFonts w:hint="eastAsia" w:eastAsia="宋体"/>
          <w:color w:val="000000"/>
          <w:sz w:val="24"/>
          <w:szCs w:val="24"/>
        </w:rPr>
        <w:t>或保函</w:t>
      </w:r>
      <w:r>
        <w:rPr>
          <w:rFonts w:eastAsia="宋体"/>
          <w:color w:val="000000"/>
          <w:sz w:val="24"/>
          <w:szCs w:val="24"/>
        </w:rPr>
        <w:t>。如果乙方未按照约定时间交付履约保证金的，甲方有权单方面解除合同。</w:t>
      </w:r>
    </w:p>
    <w:p w14:paraId="310BA99C">
      <w:pPr>
        <w:pStyle w:val="542"/>
        <w:autoSpaceDN w:val="0"/>
        <w:spacing w:line="360" w:lineRule="auto"/>
        <w:ind w:firstLine="480" w:firstLineChars="200"/>
        <w:jc w:val="left"/>
        <w:rPr>
          <w:snapToGrid w:val="0"/>
          <w:kern w:val="0"/>
          <w:sz w:val="24"/>
          <w:szCs w:val="24"/>
        </w:rPr>
      </w:pPr>
      <w:r>
        <w:rPr>
          <w:snapToGrid w:val="0"/>
          <w:kern w:val="0"/>
          <w:sz w:val="24"/>
          <w:szCs w:val="24"/>
        </w:rPr>
        <w:t>甲方指定履约保证金收款账户为：</w:t>
      </w:r>
      <w:r>
        <w:rPr>
          <w:rFonts w:hint="eastAsia"/>
          <w:snapToGrid w:val="0"/>
          <w:kern w:val="0"/>
          <w:sz w:val="24"/>
          <w:szCs w:val="24"/>
        </w:rPr>
        <w:t>（如为保函，则无需填甲方收款账户）</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6"/>
        <w:gridCol w:w="5469"/>
      </w:tblGrid>
      <w:tr w14:paraId="2249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6" w:type="dxa"/>
            <w:vAlign w:val="center"/>
          </w:tcPr>
          <w:p w14:paraId="7BC5DF33">
            <w:pPr>
              <w:pStyle w:val="542"/>
              <w:autoSpaceDN w:val="0"/>
              <w:spacing w:line="360" w:lineRule="auto"/>
              <w:jc w:val="left"/>
              <w:rPr>
                <w:snapToGrid w:val="0"/>
                <w:kern w:val="0"/>
                <w:sz w:val="24"/>
                <w:szCs w:val="24"/>
              </w:rPr>
            </w:pPr>
            <w:r>
              <w:rPr>
                <w:snapToGrid w:val="0"/>
                <w:kern w:val="0"/>
                <w:sz w:val="24"/>
                <w:szCs w:val="24"/>
              </w:rPr>
              <w:t>收款单位全称</w:t>
            </w:r>
          </w:p>
        </w:tc>
        <w:tc>
          <w:tcPr>
            <w:tcW w:w="5469" w:type="dxa"/>
            <w:vAlign w:val="center"/>
          </w:tcPr>
          <w:p w14:paraId="1CE87137">
            <w:pPr>
              <w:pStyle w:val="542"/>
              <w:autoSpaceDN w:val="0"/>
              <w:spacing w:line="360" w:lineRule="auto"/>
              <w:ind w:firstLine="480" w:firstLineChars="200"/>
              <w:jc w:val="left"/>
              <w:rPr>
                <w:snapToGrid w:val="0"/>
                <w:kern w:val="0"/>
                <w:sz w:val="24"/>
                <w:szCs w:val="24"/>
              </w:rPr>
            </w:pPr>
          </w:p>
        </w:tc>
      </w:tr>
      <w:tr w14:paraId="089F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386" w:type="dxa"/>
            <w:vAlign w:val="center"/>
          </w:tcPr>
          <w:p w14:paraId="1F5BA9F6">
            <w:pPr>
              <w:pStyle w:val="542"/>
              <w:autoSpaceDN w:val="0"/>
              <w:spacing w:line="360" w:lineRule="auto"/>
              <w:jc w:val="left"/>
              <w:rPr>
                <w:snapToGrid w:val="0"/>
                <w:kern w:val="0"/>
                <w:sz w:val="24"/>
                <w:szCs w:val="24"/>
              </w:rPr>
            </w:pPr>
            <w:r>
              <w:rPr>
                <w:snapToGrid w:val="0"/>
                <w:kern w:val="0"/>
                <w:sz w:val="24"/>
                <w:szCs w:val="24"/>
              </w:rPr>
              <w:t>开户银行</w:t>
            </w:r>
          </w:p>
        </w:tc>
        <w:tc>
          <w:tcPr>
            <w:tcW w:w="5469" w:type="dxa"/>
            <w:vAlign w:val="center"/>
          </w:tcPr>
          <w:p w14:paraId="1DD776AA">
            <w:pPr>
              <w:pStyle w:val="542"/>
              <w:autoSpaceDN w:val="0"/>
              <w:spacing w:line="360" w:lineRule="auto"/>
              <w:ind w:firstLine="480" w:firstLineChars="200"/>
              <w:jc w:val="left"/>
              <w:rPr>
                <w:snapToGrid w:val="0"/>
                <w:kern w:val="0"/>
                <w:sz w:val="24"/>
                <w:szCs w:val="24"/>
              </w:rPr>
            </w:pPr>
          </w:p>
        </w:tc>
      </w:tr>
      <w:tr w14:paraId="47685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2386" w:type="dxa"/>
            <w:vAlign w:val="center"/>
          </w:tcPr>
          <w:p w14:paraId="7E5EDE21">
            <w:pPr>
              <w:pStyle w:val="542"/>
              <w:autoSpaceDN w:val="0"/>
              <w:spacing w:line="360" w:lineRule="auto"/>
              <w:jc w:val="left"/>
              <w:rPr>
                <w:snapToGrid w:val="0"/>
                <w:kern w:val="0"/>
                <w:sz w:val="24"/>
                <w:szCs w:val="24"/>
              </w:rPr>
            </w:pPr>
            <w:r>
              <w:rPr>
                <w:snapToGrid w:val="0"/>
                <w:kern w:val="0"/>
                <w:sz w:val="24"/>
                <w:szCs w:val="24"/>
              </w:rPr>
              <w:t>账号</w:t>
            </w:r>
          </w:p>
        </w:tc>
        <w:tc>
          <w:tcPr>
            <w:tcW w:w="5469" w:type="dxa"/>
            <w:vAlign w:val="center"/>
          </w:tcPr>
          <w:p w14:paraId="26572460">
            <w:pPr>
              <w:pStyle w:val="542"/>
              <w:autoSpaceDN w:val="0"/>
              <w:spacing w:line="360" w:lineRule="auto"/>
              <w:ind w:firstLine="480" w:firstLineChars="200"/>
              <w:jc w:val="left"/>
              <w:rPr>
                <w:snapToGrid w:val="0"/>
                <w:kern w:val="0"/>
                <w:sz w:val="24"/>
                <w:szCs w:val="24"/>
              </w:rPr>
            </w:pPr>
          </w:p>
        </w:tc>
      </w:tr>
    </w:tbl>
    <w:p w14:paraId="7E650F22">
      <w:pPr>
        <w:pStyle w:val="541"/>
        <w:spacing w:line="360" w:lineRule="auto"/>
        <w:ind w:firstLine="480" w:firstLineChars="200"/>
        <w:rPr>
          <w:rFonts w:eastAsia="宋体"/>
          <w:color w:val="000000"/>
          <w:sz w:val="24"/>
          <w:szCs w:val="24"/>
        </w:rPr>
      </w:pPr>
      <w:r>
        <w:rPr>
          <w:rFonts w:eastAsia="宋体"/>
          <w:color w:val="000000"/>
          <w:sz w:val="24"/>
          <w:szCs w:val="24"/>
        </w:rPr>
        <w:t>（二）履约保证金以银行保函、银行电汇向甲方提供。</w:t>
      </w:r>
    </w:p>
    <w:p w14:paraId="0E35DF8E">
      <w:pPr>
        <w:spacing w:line="360" w:lineRule="auto"/>
        <w:ind w:firstLine="480" w:firstLineChars="200"/>
        <w:rPr>
          <w:color w:val="000000"/>
          <w:sz w:val="24"/>
        </w:rPr>
      </w:pPr>
      <w:r>
        <w:rPr>
          <w:color w:val="000000"/>
          <w:sz w:val="24"/>
        </w:rPr>
        <w:t>（</w:t>
      </w:r>
      <w:r>
        <w:rPr>
          <w:rFonts w:hint="eastAsia"/>
          <w:color w:val="000000"/>
          <w:sz w:val="24"/>
        </w:rPr>
        <w:t>三</w:t>
      </w:r>
      <w:r>
        <w:rPr>
          <w:color w:val="000000"/>
          <w:sz w:val="24"/>
        </w:rPr>
        <w:t>）如乙方未能履行合同规定的义务，甲方有权按照本合同的约定从履约保证金中进行相应扣除。乙方应在甲方扣除履约保证金之日起10个工作日内，及时补充扣除部分金额。</w:t>
      </w:r>
    </w:p>
    <w:p w14:paraId="3BD6E71C">
      <w:pPr>
        <w:spacing w:line="360" w:lineRule="auto"/>
        <w:ind w:firstLine="480" w:firstLineChars="200"/>
        <w:rPr>
          <w:color w:val="000000"/>
          <w:sz w:val="24"/>
        </w:rPr>
      </w:pPr>
      <w:r>
        <w:rPr>
          <w:color w:val="000000"/>
          <w:sz w:val="24"/>
        </w:rPr>
        <w:t>（</w:t>
      </w:r>
      <w:r>
        <w:rPr>
          <w:rFonts w:hint="eastAsia"/>
          <w:color w:val="000000"/>
          <w:sz w:val="24"/>
        </w:rPr>
        <w:t>四</w:t>
      </w:r>
      <w:r>
        <w:rPr>
          <w:color w:val="000000"/>
          <w:sz w:val="24"/>
        </w:rPr>
        <w:t>）如乙方不履行合同，或履行合同义务不符合约定使得合同目的不能实现，履约保证金不予退还。</w:t>
      </w:r>
    </w:p>
    <w:p w14:paraId="6E549FE6">
      <w:pPr>
        <w:spacing w:line="360" w:lineRule="auto"/>
        <w:ind w:firstLine="482" w:firstLineChars="200"/>
        <w:rPr>
          <w:b/>
          <w:bCs/>
          <w:color w:val="000000"/>
          <w:sz w:val="24"/>
        </w:rPr>
      </w:pPr>
      <w:r>
        <w:rPr>
          <w:b/>
          <w:bCs/>
          <w:color w:val="000000"/>
          <w:sz w:val="24"/>
        </w:rPr>
        <w:t>第五条 包装</w:t>
      </w:r>
    </w:p>
    <w:p w14:paraId="0BD76A3D">
      <w:pPr>
        <w:pStyle w:val="543"/>
        <w:spacing w:line="360" w:lineRule="auto"/>
        <w:ind w:firstLine="480" w:firstLineChars="200"/>
        <w:rPr>
          <w:rFonts w:eastAsia="宋体"/>
          <w:color w:val="000000"/>
          <w:sz w:val="24"/>
          <w:szCs w:val="24"/>
        </w:rPr>
      </w:pPr>
      <w:r>
        <w:rPr>
          <w:rFonts w:eastAsia="宋体"/>
          <w:color w:val="000000"/>
          <w:sz w:val="24"/>
          <w:szCs w:val="24"/>
        </w:rPr>
        <w:t>（一）除合同另有规定外，乙方提供的全部货物均应按标准</w:t>
      </w:r>
      <w:r>
        <w:rPr>
          <w:rFonts w:eastAsia="宋体"/>
          <w:snapToGrid w:val="0"/>
          <w:color w:val="000000"/>
          <w:kern w:val="0"/>
          <w:sz w:val="24"/>
          <w:szCs w:val="24"/>
        </w:rPr>
        <w:t>保护措施进行包装，这类包装应适应于远距离运输、防潮、防震、</w:t>
      </w:r>
      <w:r>
        <w:rPr>
          <w:rFonts w:eastAsia="宋体"/>
          <w:color w:val="000000"/>
          <w:sz w:val="24"/>
          <w:szCs w:val="24"/>
        </w:rPr>
        <w:t>防锈和防野蛮装卸，以确保货物安全无损运抵指定交货地点。</w:t>
      </w:r>
    </w:p>
    <w:p w14:paraId="01082EC2">
      <w:pPr>
        <w:pStyle w:val="543"/>
        <w:spacing w:line="360" w:lineRule="auto"/>
        <w:ind w:firstLine="480" w:firstLineChars="200"/>
        <w:rPr>
          <w:rFonts w:eastAsia="宋体"/>
          <w:color w:val="000000"/>
          <w:sz w:val="24"/>
          <w:szCs w:val="24"/>
        </w:rPr>
      </w:pPr>
      <w:r>
        <w:rPr>
          <w:rFonts w:eastAsia="宋体"/>
          <w:color w:val="000000"/>
          <w:sz w:val="24"/>
          <w:szCs w:val="24"/>
        </w:rPr>
        <w:t>（二）乙方应在包装箱外标明产品名称、型号，包装箱内随附一份详细装箱单和质量证书。</w:t>
      </w:r>
    </w:p>
    <w:p w14:paraId="43811146">
      <w:pPr>
        <w:spacing w:line="360" w:lineRule="auto"/>
        <w:ind w:firstLine="480" w:firstLineChars="200"/>
        <w:rPr>
          <w:color w:val="000000"/>
          <w:sz w:val="24"/>
        </w:rPr>
      </w:pPr>
      <w:r>
        <w:rPr>
          <w:color w:val="000000"/>
          <w:sz w:val="24"/>
        </w:rPr>
        <w:t>（三）乙方应承担由于其包装或防护措施不当而引起的货物损坏和丢失的任何损失责任和费用。</w:t>
      </w:r>
    </w:p>
    <w:p w14:paraId="3BA087C5">
      <w:pPr>
        <w:spacing w:line="360" w:lineRule="auto"/>
        <w:ind w:firstLine="482" w:firstLineChars="200"/>
        <w:rPr>
          <w:b/>
          <w:bCs/>
          <w:color w:val="000000"/>
          <w:sz w:val="24"/>
        </w:rPr>
      </w:pPr>
      <w:r>
        <w:rPr>
          <w:b/>
          <w:bCs/>
          <w:color w:val="000000"/>
          <w:sz w:val="24"/>
        </w:rPr>
        <w:t>第六条 交货时间、地点、交货方法（运输方式）</w:t>
      </w:r>
    </w:p>
    <w:p w14:paraId="7FF8DA44">
      <w:pPr>
        <w:pStyle w:val="544"/>
        <w:spacing w:line="360" w:lineRule="auto"/>
        <w:ind w:firstLine="480" w:firstLineChars="200"/>
        <w:rPr>
          <w:rFonts w:eastAsia="宋体"/>
          <w:color w:val="000000"/>
          <w:sz w:val="24"/>
          <w:szCs w:val="24"/>
        </w:rPr>
      </w:pPr>
      <w:r>
        <w:rPr>
          <w:rFonts w:eastAsia="宋体"/>
          <w:color w:val="000000"/>
          <w:sz w:val="24"/>
          <w:szCs w:val="24"/>
        </w:rPr>
        <w:t>（一</w:t>
      </w:r>
      <w:r>
        <w:rPr>
          <w:rFonts w:eastAsia="宋体"/>
          <w:snapToGrid w:val="0"/>
          <w:color w:val="000000"/>
          <w:kern w:val="0"/>
          <w:sz w:val="24"/>
          <w:szCs w:val="24"/>
        </w:rPr>
        <w:t>）交</w:t>
      </w:r>
      <w:r>
        <w:rPr>
          <w:rFonts w:eastAsia="宋体"/>
          <w:color w:val="000000"/>
          <w:sz w:val="24"/>
          <w:szCs w:val="24"/>
        </w:rPr>
        <w:t>货时间：合同签订后</w:t>
      </w:r>
      <w:r>
        <w:rPr>
          <w:rFonts w:hint="eastAsia" w:eastAsia="宋体"/>
          <w:color w:val="000000"/>
          <w:sz w:val="24"/>
          <w:szCs w:val="24"/>
          <w:u w:val="single"/>
        </w:rPr>
        <w:t>60</w:t>
      </w:r>
      <w:r>
        <w:rPr>
          <w:rFonts w:eastAsia="宋体"/>
          <w:color w:val="000000"/>
          <w:sz w:val="24"/>
          <w:szCs w:val="24"/>
        </w:rPr>
        <w:t>日内完成交货。</w:t>
      </w:r>
    </w:p>
    <w:p w14:paraId="7532E26E">
      <w:pPr>
        <w:pStyle w:val="545"/>
        <w:spacing w:line="360" w:lineRule="auto"/>
        <w:ind w:firstLine="480" w:firstLineChars="200"/>
        <w:rPr>
          <w:rFonts w:eastAsia="宋体"/>
          <w:color w:val="000000"/>
          <w:sz w:val="24"/>
          <w:szCs w:val="24"/>
        </w:rPr>
      </w:pPr>
      <w:r>
        <w:rPr>
          <w:rFonts w:eastAsia="宋体"/>
          <w:color w:val="000000"/>
          <w:sz w:val="24"/>
          <w:szCs w:val="24"/>
        </w:rPr>
        <w:t>（二）交货地点：</w:t>
      </w:r>
      <w:r>
        <w:rPr>
          <w:rFonts w:hint="eastAsia" w:eastAsia="宋体"/>
          <w:color w:val="000000"/>
          <w:sz w:val="24"/>
          <w:szCs w:val="24"/>
        </w:rPr>
        <w:t>甲方指定地点</w:t>
      </w:r>
      <w:r>
        <w:rPr>
          <w:rFonts w:eastAsia="宋体"/>
          <w:color w:val="000000"/>
          <w:sz w:val="24"/>
          <w:szCs w:val="24"/>
        </w:rPr>
        <w:t>。</w:t>
      </w:r>
    </w:p>
    <w:p w14:paraId="3246A6E6">
      <w:pPr>
        <w:pStyle w:val="546"/>
        <w:spacing w:line="360" w:lineRule="auto"/>
        <w:ind w:firstLine="480" w:firstLineChars="200"/>
        <w:rPr>
          <w:rFonts w:eastAsia="宋体"/>
          <w:color w:val="000000"/>
          <w:sz w:val="24"/>
          <w:szCs w:val="24"/>
        </w:rPr>
      </w:pPr>
      <w:r>
        <w:rPr>
          <w:rFonts w:eastAsia="宋体"/>
          <w:color w:val="000000"/>
          <w:sz w:val="24"/>
          <w:szCs w:val="24"/>
        </w:rPr>
        <w:t>（三）交货方法：由乙方负责采用适合的交通工具将采购货物及其附件运至交货现场并按甲方要求完成卸货，以双方签署设备到货验收签收单为准，交货时应一并交付货物的有关单证。货物从生产厂运至海关指定地点的运输、劳务及相关保险的办理由乙方负责并承担相应费用。</w:t>
      </w:r>
    </w:p>
    <w:p w14:paraId="229E563C">
      <w:pPr>
        <w:pStyle w:val="547"/>
        <w:spacing w:line="360" w:lineRule="auto"/>
        <w:ind w:firstLine="480" w:firstLineChars="200"/>
        <w:rPr>
          <w:rFonts w:eastAsia="宋体"/>
          <w:color w:val="000000"/>
          <w:sz w:val="24"/>
          <w:szCs w:val="24"/>
        </w:rPr>
      </w:pPr>
      <w:r>
        <w:rPr>
          <w:rFonts w:eastAsia="宋体"/>
          <w:color w:val="000000"/>
          <w:sz w:val="24"/>
          <w:szCs w:val="24"/>
        </w:rPr>
        <w:t>（四）风险责任承担：货物的风险责任和所有权在双方签署设备到货验收签收单/安装调试验收合格报告后由甲方承担和享有，此前的风险责任由乙方承担。</w:t>
      </w:r>
    </w:p>
    <w:p w14:paraId="6BDE1E70">
      <w:pPr>
        <w:pStyle w:val="548"/>
        <w:spacing w:line="360" w:lineRule="auto"/>
        <w:ind w:firstLine="482" w:firstLineChars="200"/>
        <w:rPr>
          <w:color w:val="000000"/>
          <w:sz w:val="24"/>
          <w:szCs w:val="24"/>
        </w:rPr>
      </w:pPr>
      <w:r>
        <w:rPr>
          <w:b/>
          <w:bCs/>
          <w:color w:val="000000"/>
          <w:sz w:val="24"/>
          <w:szCs w:val="24"/>
        </w:rPr>
        <w:t>第七条 货物验收</w:t>
      </w:r>
    </w:p>
    <w:p w14:paraId="32577072">
      <w:pPr>
        <w:pStyle w:val="549"/>
        <w:ind w:firstLine="480" w:firstLineChars="200"/>
        <w:rPr>
          <w:color w:val="000000"/>
          <w:sz w:val="24"/>
          <w:szCs w:val="24"/>
        </w:rPr>
      </w:pPr>
      <w:r>
        <w:rPr>
          <w:color w:val="000000"/>
          <w:sz w:val="24"/>
          <w:szCs w:val="24"/>
        </w:rPr>
        <w:t>（一）货物运至甲方（用户）指定地点后，由甲乙双方指派人员按照本合同规定对货物进行验收，乙方应提供交货清单等文件供甲方（用户）审查，甲方（用户）将按合同清单进行规格、数量、外观的检查。</w:t>
      </w:r>
    </w:p>
    <w:p w14:paraId="1E033E02">
      <w:pPr>
        <w:pStyle w:val="550"/>
        <w:spacing w:line="360" w:lineRule="auto"/>
        <w:ind w:firstLine="480" w:firstLineChars="200"/>
        <w:rPr>
          <w:rFonts w:eastAsia="宋体"/>
          <w:color w:val="000000"/>
          <w:sz w:val="24"/>
          <w:szCs w:val="24"/>
        </w:rPr>
      </w:pPr>
      <w:r>
        <w:rPr>
          <w:rFonts w:eastAsia="宋体"/>
          <w:color w:val="000000"/>
          <w:sz w:val="24"/>
          <w:szCs w:val="24"/>
        </w:rPr>
        <w:t>（二）收货后</w:t>
      </w:r>
      <w:r>
        <w:rPr>
          <w:rFonts w:hint="eastAsia" w:eastAsia="宋体"/>
          <w:color w:val="000000"/>
          <w:sz w:val="24"/>
          <w:szCs w:val="24"/>
          <w:u w:val="single"/>
        </w:rPr>
        <w:t xml:space="preserve">  </w:t>
      </w:r>
      <w:r>
        <w:rPr>
          <w:rFonts w:eastAsia="宋体"/>
          <w:color w:val="000000"/>
          <w:sz w:val="24"/>
          <w:szCs w:val="24"/>
          <w:u w:val="single"/>
        </w:rPr>
        <w:t>10</w:t>
      </w:r>
      <w:r>
        <w:rPr>
          <w:rFonts w:hint="eastAsia" w:eastAsia="宋体"/>
          <w:color w:val="000000"/>
          <w:sz w:val="24"/>
          <w:szCs w:val="24"/>
          <w:u w:val="single"/>
        </w:rPr>
        <w:t xml:space="preserve"> </w:t>
      </w:r>
      <w:r>
        <w:rPr>
          <w:rFonts w:eastAsia="宋体"/>
          <w:color w:val="000000"/>
          <w:sz w:val="24"/>
          <w:szCs w:val="24"/>
        </w:rPr>
        <w:t>个工作日内甲乙双方进行到货验收工作。如验收合格，甲方（用户）应及时履行验收手续，双方签署设备到货验收签收单；如验收不合格，甲方（用户）应以书面形式通知乙方原因，乙方收到通知后</w:t>
      </w:r>
      <w:r>
        <w:rPr>
          <w:rFonts w:hint="eastAsia" w:eastAsia="宋体"/>
          <w:color w:val="000000"/>
          <w:sz w:val="24"/>
          <w:szCs w:val="24"/>
          <w:u w:val="single"/>
        </w:rPr>
        <w:t xml:space="preserve">  10 </w:t>
      </w:r>
      <w:r>
        <w:rPr>
          <w:rFonts w:eastAsia="宋体"/>
          <w:color w:val="000000"/>
          <w:sz w:val="24"/>
          <w:szCs w:val="24"/>
        </w:rPr>
        <w:t>个工作日内提供解决方案。</w:t>
      </w:r>
    </w:p>
    <w:p w14:paraId="1AC3C294">
      <w:pPr>
        <w:pStyle w:val="549"/>
        <w:ind w:firstLine="480" w:firstLineChars="200"/>
        <w:rPr>
          <w:color w:val="000000"/>
          <w:sz w:val="24"/>
          <w:szCs w:val="24"/>
        </w:rPr>
      </w:pPr>
      <w:r>
        <w:rPr>
          <w:color w:val="000000"/>
          <w:sz w:val="24"/>
          <w:szCs w:val="24"/>
        </w:rPr>
        <w:t>（三）在验收工作中，发现数量不足或有质量、技术等问题，乙方应按照合同要求采取补足、更换或退货等处理措施，并承担由此发生的一切费用和损失。</w:t>
      </w:r>
    </w:p>
    <w:p w14:paraId="424D228E">
      <w:pPr>
        <w:pStyle w:val="549"/>
        <w:ind w:firstLine="480" w:firstLineChars="200"/>
        <w:rPr>
          <w:color w:val="000000"/>
          <w:sz w:val="24"/>
          <w:szCs w:val="24"/>
        </w:rPr>
      </w:pPr>
      <w:r>
        <w:rPr>
          <w:color w:val="000000"/>
          <w:sz w:val="24"/>
          <w:szCs w:val="24"/>
        </w:rPr>
        <w:t>（四）涉及设备安装调试的，乙方负责在甲方（用户）配合下完成所供设备安装调试并保证与用户原有设备互联互通，有关技术问题由乙方和制造商协同解决。安装调试后，双方签署设备安装调试验收报告。</w:t>
      </w:r>
    </w:p>
    <w:p w14:paraId="2EDCAE11">
      <w:pPr>
        <w:pStyle w:val="549"/>
        <w:ind w:firstLine="480" w:firstLineChars="200"/>
        <w:rPr>
          <w:color w:val="000000"/>
          <w:sz w:val="24"/>
          <w:szCs w:val="24"/>
        </w:rPr>
      </w:pPr>
      <w:r>
        <w:rPr>
          <w:color w:val="000000"/>
          <w:sz w:val="24"/>
          <w:szCs w:val="24"/>
        </w:rPr>
        <w:t>（五）合同项下货物生产期间，甲方（用户）有权派工作人员到生产厂进行监造、现场抽样和出厂前验核。此次验核不代表甲方（用户）对货物的最终验收。期间相关费用，包括技术交流和技术材料费等由乙方负担。</w:t>
      </w:r>
    </w:p>
    <w:p w14:paraId="72BCBF55">
      <w:pPr>
        <w:pStyle w:val="549"/>
        <w:ind w:firstLine="480" w:firstLineChars="200"/>
        <w:rPr>
          <w:color w:val="000000"/>
          <w:sz w:val="24"/>
          <w:szCs w:val="24"/>
        </w:rPr>
      </w:pPr>
      <w:r>
        <w:rPr>
          <w:color w:val="000000"/>
          <w:sz w:val="24"/>
          <w:szCs w:val="24"/>
        </w:rPr>
        <w:t>（六）为验核货物内在功能是否完备，甲方（用户）有权组织对货物进行随机抽样，并委托有关检测单位进行检测，该检测结果将作为货物质量的评判依据，相关送检和检测费用由乙方承担。如检测指标不符合招标文件（谈判文件、询价通知书、磋商文件、单一来源）、投标（响应）文件要求的，甲方有权拒收全部此类货物，乙方应按照甲方要求无条件对拒收货物进行更换，并承担由此给甲方造成的工期延误等损失。对乙方可能涉嫌提供虚假材料或虚假响应的行为，甲方有权依法向监管部门反映并追究乙方法律责任。</w:t>
      </w:r>
    </w:p>
    <w:p w14:paraId="1213D6A5">
      <w:pPr>
        <w:pStyle w:val="551"/>
        <w:spacing w:line="360" w:lineRule="auto"/>
        <w:ind w:firstLine="480" w:firstLineChars="200"/>
        <w:rPr>
          <w:rFonts w:eastAsia="宋体"/>
          <w:color w:val="000000"/>
          <w:sz w:val="24"/>
          <w:szCs w:val="24"/>
        </w:rPr>
      </w:pPr>
      <w:r>
        <w:rPr>
          <w:rFonts w:eastAsia="宋体"/>
          <w:color w:val="000000"/>
          <w:sz w:val="24"/>
          <w:szCs w:val="24"/>
        </w:rPr>
        <w:t>（七）甲方（用户）认为必要时，对大型或者复杂的货物采购项目，可以邀请国家认可的质量检测机构参加验收工作，相关验收意见作为验收报告的参考资料，相关费用由乙方承担。</w:t>
      </w:r>
    </w:p>
    <w:p w14:paraId="5ACF7B4C">
      <w:pPr>
        <w:pStyle w:val="551"/>
        <w:spacing w:line="360" w:lineRule="auto"/>
        <w:ind w:firstLine="480" w:firstLineChars="200"/>
        <w:rPr>
          <w:rFonts w:eastAsia="宋体"/>
          <w:color w:val="000000"/>
          <w:sz w:val="24"/>
          <w:szCs w:val="24"/>
        </w:rPr>
      </w:pPr>
      <w:r>
        <w:rPr>
          <w:rFonts w:eastAsia="宋体"/>
          <w:color w:val="000000"/>
          <w:sz w:val="24"/>
          <w:szCs w:val="24"/>
        </w:rPr>
        <w:t>（八）验收标准以双方达成的对质量和技术标准的约定、乙方承诺的质量和技术标准、国家或行业规定的相关质量和技术标准中最高者为准，且应充分满足甲方使用要求。</w:t>
      </w:r>
    </w:p>
    <w:p w14:paraId="65B43E5F">
      <w:pPr>
        <w:pStyle w:val="549"/>
        <w:ind w:firstLine="482" w:firstLineChars="200"/>
        <w:rPr>
          <w:color w:val="000000"/>
          <w:sz w:val="24"/>
          <w:szCs w:val="24"/>
        </w:rPr>
      </w:pPr>
      <w:r>
        <w:rPr>
          <w:b/>
          <w:bCs/>
          <w:color w:val="000000"/>
          <w:sz w:val="24"/>
          <w:szCs w:val="24"/>
        </w:rPr>
        <w:t>第八条 质量保证</w:t>
      </w:r>
    </w:p>
    <w:p w14:paraId="77A17B34">
      <w:pPr>
        <w:spacing w:line="360" w:lineRule="auto"/>
        <w:ind w:firstLine="480" w:firstLineChars="200"/>
        <w:rPr>
          <w:color w:val="000000"/>
          <w:sz w:val="24"/>
        </w:rPr>
      </w:pPr>
      <w:r>
        <w:rPr>
          <w:color w:val="000000"/>
          <w:sz w:val="24"/>
        </w:rPr>
        <w:t>（一）乙方应保证所供货物为</w:t>
      </w:r>
      <w:r>
        <w:rPr>
          <w:rFonts w:hint="eastAsia"/>
          <w:color w:val="000000"/>
          <w:sz w:val="24"/>
          <w:u w:val="single"/>
        </w:rPr>
        <w:t xml:space="preserve">              </w:t>
      </w:r>
      <w:r>
        <w:rPr>
          <w:color w:val="000000"/>
          <w:sz w:val="24"/>
        </w:rPr>
        <w:t>公司制造生产、原包装、全新未使用过的产品，与投标文件/应答文件承诺一致，并完全符合或高于合同要求的质量、规格和技术性能。</w:t>
      </w:r>
    </w:p>
    <w:p w14:paraId="75BC7B71">
      <w:pPr>
        <w:spacing w:line="360" w:lineRule="auto"/>
        <w:ind w:firstLine="480" w:firstLineChars="200"/>
        <w:rPr>
          <w:color w:val="000000"/>
          <w:sz w:val="24"/>
        </w:rPr>
      </w:pPr>
      <w:r>
        <w:rPr>
          <w:color w:val="000000"/>
          <w:sz w:val="24"/>
        </w:rPr>
        <w:t>（二）乙方应保证所供货物没有因乙方的行为或疏忽而产生材料或工艺上的缺陷，并保证其货物在正确安装、正常使用和保养条件下，在其使用寿命期内具有满意的性能。在货物最终交付验收后不少于合同规定或乙方承诺（两者以较长的为准）的质量保证期内，本保证保持有效。</w:t>
      </w:r>
    </w:p>
    <w:p w14:paraId="2761BA35">
      <w:pPr>
        <w:spacing w:line="360" w:lineRule="auto"/>
        <w:ind w:firstLine="480" w:firstLineChars="200"/>
        <w:rPr>
          <w:color w:val="000000"/>
          <w:sz w:val="24"/>
        </w:rPr>
      </w:pPr>
      <w:r>
        <w:rPr>
          <w:color w:val="000000"/>
          <w:sz w:val="24"/>
        </w:rPr>
        <w:t>（三）如果乙方所供货物质量与合同不符，或证实所供货物是有缺陷的，包括潜在的缺陷或使用不符合要求的材料等，由此引起的全部损失及费用由乙方承担。若以上原因导致或引起甲方（用户）损失及导致或引起第三方受到损害的，全部赔偿责任均应由乙方承担。</w:t>
      </w:r>
    </w:p>
    <w:p w14:paraId="0C4281F9">
      <w:pPr>
        <w:spacing w:line="360" w:lineRule="auto"/>
        <w:ind w:firstLine="480" w:firstLineChars="200"/>
        <w:rPr>
          <w:color w:val="000000"/>
          <w:sz w:val="24"/>
        </w:rPr>
      </w:pPr>
      <w:r>
        <w:rPr>
          <w:color w:val="000000"/>
          <w:sz w:val="24"/>
        </w:rPr>
        <w:t>（四）在质量保证期内所发现的缺陷，甲方（用户）应尽快以书面形式通知乙方。乙方收到通知后应10日内维修或更换有缺陷的货物或部件（不额外收费）。</w:t>
      </w:r>
    </w:p>
    <w:p w14:paraId="3F9868C6">
      <w:pPr>
        <w:spacing w:line="360" w:lineRule="auto"/>
        <w:ind w:firstLine="480" w:firstLineChars="200"/>
        <w:rPr>
          <w:color w:val="000000"/>
          <w:sz w:val="24"/>
        </w:rPr>
      </w:pPr>
      <w:r>
        <w:rPr>
          <w:color w:val="000000"/>
          <w:sz w:val="24"/>
        </w:rPr>
        <w:t>（五）乙方在约定的时间内未能弥补缺陷，甲方（用户）可采取必要的补救措施，但其风险和费用将由乙方承担，甲方（用户）根据合同规定对乙方行使的其他权利不受影响。</w:t>
      </w:r>
    </w:p>
    <w:p w14:paraId="0715070D">
      <w:pPr>
        <w:spacing w:line="360" w:lineRule="auto"/>
        <w:ind w:firstLine="480" w:firstLineChars="200"/>
        <w:rPr>
          <w:color w:val="000000"/>
          <w:sz w:val="24"/>
        </w:rPr>
      </w:pPr>
      <w:r>
        <w:rPr>
          <w:color w:val="000000"/>
          <w:sz w:val="24"/>
        </w:rPr>
        <w:t>（六）本合同项目所有货物质量保证期为：自双方签署设备到货验收签收单/安装调试验收合格报告之日起计算</w:t>
      </w:r>
      <w:r>
        <w:rPr>
          <w:color w:val="000000"/>
          <w:sz w:val="24"/>
          <w:u w:val="single"/>
        </w:rPr>
        <w:t xml:space="preserve">    </w:t>
      </w:r>
      <w:r>
        <w:rPr>
          <w:color w:val="000000"/>
          <w:sz w:val="24"/>
        </w:rPr>
        <w:t>年。</w:t>
      </w:r>
    </w:p>
    <w:p w14:paraId="6A084CD1">
      <w:pPr>
        <w:spacing w:line="360" w:lineRule="auto"/>
        <w:ind w:firstLine="482" w:firstLineChars="200"/>
        <w:rPr>
          <w:b/>
          <w:bCs/>
          <w:color w:val="000000"/>
          <w:sz w:val="24"/>
        </w:rPr>
      </w:pPr>
      <w:r>
        <w:rPr>
          <w:b/>
          <w:bCs/>
          <w:color w:val="000000"/>
          <w:sz w:val="24"/>
        </w:rPr>
        <w:t>第九条 培训</w:t>
      </w:r>
    </w:p>
    <w:p w14:paraId="33DBF571">
      <w:pPr>
        <w:spacing w:line="360" w:lineRule="auto"/>
        <w:ind w:firstLine="480" w:firstLineChars="200"/>
        <w:rPr>
          <w:b/>
          <w:bCs/>
          <w:color w:val="000000"/>
          <w:sz w:val="24"/>
        </w:rPr>
      </w:pPr>
      <w:r>
        <w:rPr>
          <w:bCs/>
          <w:color w:val="000000"/>
          <w:sz w:val="24"/>
        </w:rPr>
        <w:t>本合同所包括的培训详见附件培训方案。</w:t>
      </w:r>
    </w:p>
    <w:p w14:paraId="07024E97">
      <w:pPr>
        <w:spacing w:line="360" w:lineRule="auto"/>
        <w:ind w:firstLine="482" w:firstLineChars="200"/>
        <w:rPr>
          <w:b/>
          <w:bCs/>
          <w:color w:val="000000"/>
          <w:sz w:val="24"/>
        </w:rPr>
      </w:pPr>
      <w:r>
        <w:rPr>
          <w:b/>
          <w:bCs/>
          <w:color w:val="000000"/>
          <w:sz w:val="24"/>
        </w:rPr>
        <w:t>第十条 售后服务</w:t>
      </w:r>
    </w:p>
    <w:p w14:paraId="67C5F23C">
      <w:pPr>
        <w:spacing w:line="360" w:lineRule="auto"/>
        <w:ind w:firstLine="480" w:firstLineChars="200"/>
        <w:rPr>
          <w:color w:val="000000"/>
          <w:sz w:val="24"/>
        </w:rPr>
      </w:pPr>
      <w:r>
        <w:rPr>
          <w:rFonts w:hint="eastAsia"/>
          <w:color w:val="000000"/>
          <w:sz w:val="24"/>
        </w:rPr>
        <w:t>（1）质保期内，提供仪器质保服务，整机零部件、备品备件及消耗件等维修或更换，提供每年两次全面的整机保养服务（投标报价应包括该项费用，甲方不再额外支出）。</w:t>
      </w:r>
    </w:p>
    <w:p w14:paraId="41DEC370">
      <w:pPr>
        <w:spacing w:line="360" w:lineRule="auto"/>
        <w:ind w:firstLine="480" w:firstLineChars="200"/>
        <w:rPr>
          <w:color w:val="000000"/>
          <w:sz w:val="24"/>
        </w:rPr>
      </w:pPr>
      <w:r>
        <w:rPr>
          <w:rFonts w:hint="eastAsia"/>
          <w:color w:val="000000"/>
          <w:sz w:val="24"/>
        </w:rPr>
        <w:t>（2）乙方应提供原产商质量保证和售后服务承诺书。负责设备的终身维修并应继续提供优质的服务，储备足够的零配件备库并保证十年及以上维修配件。终身年内提供软件升级服务（不额外收费），保修期满后，以市场最优的优惠价供应维修零配件，以市场最优的优惠价供应消耗品。需维修设备经甲方使用部门验收合格且厂家提供维修专用发票后，甲方支付维修费用。乙方及维修厂家不得以任何理由不按时进行设备维修。</w:t>
      </w:r>
    </w:p>
    <w:p w14:paraId="3923EF78">
      <w:pPr>
        <w:spacing w:line="360" w:lineRule="auto"/>
        <w:ind w:firstLine="480" w:firstLineChars="200"/>
        <w:rPr>
          <w:color w:val="000000"/>
          <w:sz w:val="24"/>
        </w:rPr>
      </w:pPr>
      <w:r>
        <w:rPr>
          <w:rFonts w:hint="eastAsia"/>
          <w:color w:val="000000"/>
          <w:sz w:val="24"/>
        </w:rPr>
        <w:t>（3）乙方负责将设备运至甲方指定的地点，负责安装，现场培训及技术应用培训（不额外收费）。中标价应包含产品的制造、材料费（主材及辅材）、运输、安装、验收、保修、税收、所有手续费等直至验收合格交付甲方使用的所有相关费用。中标价格在中标后的合同实施期间应保持不变，即不因市场价格或政策性价格的调整而增减（若因中标人责任而导致的需方依据合同条款对中标人的扣款处罚除外）。</w:t>
      </w:r>
    </w:p>
    <w:p w14:paraId="2978FD71">
      <w:pPr>
        <w:spacing w:line="360" w:lineRule="auto"/>
        <w:ind w:firstLine="480" w:firstLineChars="200"/>
        <w:rPr>
          <w:color w:val="000000"/>
          <w:sz w:val="24"/>
        </w:rPr>
      </w:pPr>
      <w:r>
        <w:rPr>
          <w:rFonts w:hint="eastAsia"/>
          <w:color w:val="000000"/>
          <w:sz w:val="24"/>
        </w:rPr>
        <w:t>（4）货到后，乙方负责派技术人员到现场进行安装、调试，直至验收合格。</w:t>
      </w:r>
    </w:p>
    <w:p w14:paraId="528CB2F7">
      <w:pPr>
        <w:spacing w:line="360" w:lineRule="auto"/>
        <w:ind w:firstLine="480" w:firstLineChars="200"/>
        <w:rPr>
          <w:color w:val="000000"/>
          <w:sz w:val="24"/>
        </w:rPr>
      </w:pPr>
      <w:r>
        <w:rPr>
          <w:rFonts w:hint="eastAsia"/>
          <w:color w:val="000000"/>
          <w:sz w:val="24"/>
        </w:rPr>
        <w:t>（5）乙方能响应故障处理请求和电话咨询，提供7x24小时技术支持，2小时内响应和24小时内派人到现场维修的售后服务。乙方应提供维保人员名单、联系电话等</w:t>
      </w:r>
      <w:r>
        <w:rPr>
          <w:color w:val="000000"/>
          <w:sz w:val="24"/>
        </w:rPr>
        <w:t>。</w:t>
      </w:r>
    </w:p>
    <w:p w14:paraId="6CF4D2EE">
      <w:pPr>
        <w:spacing w:line="360" w:lineRule="auto"/>
        <w:ind w:firstLine="482" w:firstLineChars="200"/>
        <w:rPr>
          <w:b/>
          <w:bCs/>
          <w:color w:val="000000"/>
          <w:sz w:val="24"/>
        </w:rPr>
      </w:pPr>
      <w:r>
        <w:rPr>
          <w:b/>
          <w:bCs/>
          <w:color w:val="000000"/>
          <w:sz w:val="24"/>
        </w:rPr>
        <w:t>第十一条 违约责任</w:t>
      </w:r>
    </w:p>
    <w:p w14:paraId="0E322445">
      <w:pPr>
        <w:spacing w:line="360" w:lineRule="auto"/>
        <w:ind w:firstLine="480" w:firstLineChars="200"/>
        <w:rPr>
          <w:color w:val="000000"/>
          <w:sz w:val="24"/>
        </w:rPr>
      </w:pPr>
      <w:r>
        <w:rPr>
          <w:color w:val="000000"/>
          <w:sz w:val="24"/>
        </w:rPr>
        <w:t>（一）因乙方原因未能按照本合同要求交付合格的货物或提供相关服务的违约责任。</w:t>
      </w:r>
    </w:p>
    <w:p w14:paraId="5F991A95">
      <w:pPr>
        <w:spacing w:line="360" w:lineRule="auto"/>
        <w:ind w:firstLine="480" w:firstLineChars="200"/>
        <w:rPr>
          <w:color w:val="000000"/>
          <w:sz w:val="24"/>
        </w:rPr>
      </w:pPr>
      <w:r>
        <w:rPr>
          <w:color w:val="000000"/>
          <w:sz w:val="24"/>
        </w:rPr>
        <w:t>1.对于货物被证实存在缺陷（包括潜在的缺陷）或者不符合合同要求的，或原材料、技术标准、尺寸、颜色等存在质量问题，在合同条款规定的检验、安装、调试、验收和质量保证期内，甲方有权要求退货、退货重新制作、新货替换。乙方应按照甲方意见，用以下一种或几种方式结合解决：</w:t>
      </w:r>
    </w:p>
    <w:p w14:paraId="75D72454">
      <w:pPr>
        <w:spacing w:line="360" w:lineRule="auto"/>
        <w:ind w:firstLine="480" w:firstLineChars="200"/>
        <w:rPr>
          <w:color w:val="000000"/>
          <w:sz w:val="24"/>
        </w:rPr>
      </w:pPr>
      <w:r>
        <w:rPr>
          <w:color w:val="000000"/>
          <w:sz w:val="24"/>
        </w:rPr>
        <w:t>（1）退货：甲方将货物退回乙方，乙方将合同货款退还给甲方，并承担由此发生的一切损失和费用。</w:t>
      </w:r>
    </w:p>
    <w:p w14:paraId="69FC0B9A">
      <w:pPr>
        <w:spacing w:line="360" w:lineRule="auto"/>
        <w:ind w:firstLine="480" w:firstLineChars="200"/>
        <w:rPr>
          <w:color w:val="000000"/>
          <w:sz w:val="24"/>
        </w:rPr>
      </w:pPr>
      <w:r>
        <w:rPr>
          <w:color w:val="000000"/>
          <w:sz w:val="24"/>
        </w:rPr>
        <w:t>（2）退货重新制作：甲方将货物退回乙方，乙方按照技术标准要求重新制作，并承担由此发生的一切损失和费用。</w:t>
      </w:r>
    </w:p>
    <w:p w14:paraId="73908B81">
      <w:pPr>
        <w:spacing w:line="360" w:lineRule="auto"/>
        <w:ind w:firstLine="480" w:firstLineChars="200"/>
        <w:rPr>
          <w:color w:val="000000"/>
          <w:sz w:val="24"/>
        </w:rPr>
      </w:pPr>
      <w:r>
        <w:rPr>
          <w:color w:val="000000"/>
          <w:sz w:val="24"/>
        </w:rPr>
        <w:t>（3）新货替换：乙方用满足技术标准要求的货物替换存在缺陷的产品，承担甲方蒙受的全部损失和费用，并承担由此引发的一切风险，且相应延长所换货物的质量保证期。</w:t>
      </w:r>
    </w:p>
    <w:p w14:paraId="18BE84F2">
      <w:pPr>
        <w:spacing w:line="360" w:lineRule="auto"/>
        <w:ind w:firstLine="480" w:firstLineChars="200"/>
        <w:rPr>
          <w:color w:val="000000"/>
          <w:sz w:val="24"/>
        </w:rPr>
      </w:pPr>
      <w:r>
        <w:rPr>
          <w:color w:val="000000"/>
          <w:sz w:val="24"/>
        </w:rPr>
        <w:t>2.</w:t>
      </w:r>
      <w:r>
        <w:rPr>
          <w:bCs/>
          <w:color w:val="000000"/>
          <w:sz w:val="24"/>
        </w:rPr>
        <w:t>如果乙方</w:t>
      </w:r>
      <w:r>
        <w:rPr>
          <w:color w:val="000000"/>
          <w:sz w:val="24"/>
        </w:rPr>
        <w:t>未在甲方要求的10日内或甲方同意的期限内，按照上述任何一种方式采取补救措施，甲方有权解除合同，扣除全部履约保证金并要求乙方退回甲方已支付的货款，并视损失情况根据《中华人民共和国民法典（合同编）》有关规定追究其相关责任，赔偿甲方（用户）的全部损失。</w:t>
      </w:r>
    </w:p>
    <w:p w14:paraId="42E74A13">
      <w:pPr>
        <w:pStyle w:val="552"/>
        <w:spacing w:line="360" w:lineRule="auto"/>
        <w:ind w:firstLine="480" w:firstLineChars="200"/>
        <w:rPr>
          <w:rFonts w:eastAsia="宋体"/>
          <w:color w:val="000000"/>
          <w:sz w:val="24"/>
          <w:szCs w:val="24"/>
        </w:rPr>
      </w:pPr>
      <w:r>
        <w:rPr>
          <w:rFonts w:eastAsia="宋体"/>
          <w:color w:val="000000"/>
          <w:sz w:val="24"/>
          <w:szCs w:val="24"/>
        </w:rPr>
        <w:t>3.对于未能按合同要求提供服务或被证实未提供应当承担的服务的，甲方有权要求限期整改。无合理理由不进行整改的视为根本违约。</w:t>
      </w:r>
    </w:p>
    <w:p w14:paraId="75C34284">
      <w:pPr>
        <w:spacing w:line="360" w:lineRule="auto"/>
        <w:ind w:firstLine="480" w:firstLineChars="200"/>
        <w:rPr>
          <w:color w:val="000000"/>
          <w:sz w:val="24"/>
        </w:rPr>
      </w:pPr>
      <w:r>
        <w:rPr>
          <w:color w:val="000000"/>
          <w:sz w:val="24"/>
        </w:rPr>
        <w:t>（二）乙方未按照本合同规定的时间交货和提供服务的违约责任。</w:t>
      </w:r>
    </w:p>
    <w:p w14:paraId="6314CF16">
      <w:pPr>
        <w:pStyle w:val="553"/>
        <w:spacing w:line="360" w:lineRule="auto"/>
        <w:ind w:firstLine="480" w:firstLineChars="200"/>
        <w:rPr>
          <w:rFonts w:eastAsia="宋体"/>
          <w:color w:val="000000"/>
          <w:sz w:val="24"/>
          <w:szCs w:val="24"/>
        </w:rPr>
      </w:pPr>
      <w:r>
        <w:rPr>
          <w:rFonts w:eastAsia="宋体"/>
          <w:color w:val="000000"/>
          <w:sz w:val="24"/>
          <w:szCs w:val="24"/>
        </w:rPr>
        <w:t>1.在履行合同过程中，如果乙方遇到可能妨碍按时交货和提供服务的情形时，应及时以书面形式将延迟的事实、可能延迟的期限和理由通知甲方（用户）。甲方（用户）在收到乙方通知后，应尽快对情况进行评价，并确定是否同意延迟交货时间或延期提供服务，如甲方（用户）不同意延期，乙方仍应当按照约定的时间完成交货义务，如甲方（用户）同意延期，必须以双方签订的补充协议为准。</w:t>
      </w:r>
    </w:p>
    <w:p w14:paraId="5A5BE12B">
      <w:pPr>
        <w:pStyle w:val="553"/>
        <w:spacing w:line="360" w:lineRule="auto"/>
        <w:ind w:firstLine="480" w:firstLineChars="200"/>
        <w:rPr>
          <w:rFonts w:eastAsia="宋体"/>
          <w:color w:val="000000"/>
          <w:sz w:val="24"/>
          <w:szCs w:val="24"/>
        </w:rPr>
      </w:pPr>
      <w:r>
        <w:rPr>
          <w:rFonts w:eastAsia="宋体"/>
          <w:color w:val="000000"/>
          <w:sz w:val="24"/>
          <w:szCs w:val="24"/>
        </w:rPr>
        <w:t>2.除甲乙双方另有约定外，如果乙方没有按照合同规定的时间交货和提供服务，甲方有权在不影响合同项下其他补救措施的情况下，要求乙方支付误期赔偿费，或从合同货款、履约保证金中扣除误期赔偿费。赔偿费按每周迟交货物价格或未提供服务费用的百分之零点五（0.5%）计收，直到交货或提供服务为止。但误期赔偿费的最高限额不超过误期货物或服务合同价格的百分之十（10%）。一周按七（7）天计算，不足七（7）天按一周计算。</w:t>
      </w:r>
    </w:p>
    <w:p w14:paraId="04105E0C">
      <w:pPr>
        <w:pStyle w:val="553"/>
        <w:spacing w:line="360" w:lineRule="auto"/>
        <w:ind w:firstLine="480" w:firstLineChars="200"/>
        <w:rPr>
          <w:rFonts w:eastAsia="宋体"/>
          <w:color w:val="000000"/>
          <w:sz w:val="24"/>
          <w:szCs w:val="24"/>
        </w:rPr>
      </w:pPr>
      <w:r>
        <w:rPr>
          <w:rFonts w:eastAsia="宋体"/>
          <w:color w:val="000000"/>
          <w:sz w:val="24"/>
          <w:szCs w:val="24"/>
        </w:rPr>
        <w:t>3.出现上述没有按照合同规定的时间交货和提供服务的情形时，甲方也可以选择解除合同，要求乙方退回甲方已支付货款、扣除履约保证金并追究乙方相应违约责任、赔偿甲方（用户）的全部损失。</w:t>
      </w:r>
    </w:p>
    <w:p w14:paraId="2EEDBC22">
      <w:pPr>
        <w:pStyle w:val="553"/>
        <w:spacing w:line="360" w:lineRule="auto"/>
        <w:ind w:firstLine="480" w:firstLineChars="200"/>
        <w:rPr>
          <w:rFonts w:eastAsia="宋体"/>
          <w:color w:val="000000"/>
          <w:sz w:val="24"/>
          <w:szCs w:val="24"/>
        </w:rPr>
      </w:pPr>
      <w:r>
        <w:rPr>
          <w:rFonts w:eastAsia="宋体"/>
          <w:color w:val="000000"/>
          <w:sz w:val="24"/>
          <w:szCs w:val="24"/>
        </w:rPr>
        <w:t>4.如合同被全部或部分解除，甲方可依其认为适当的条款和方法购买与未交货类似的货物，乙方应对购买类似货物所超出的那部分费用负责。同时，乙方应继续执行合同中未解除的部分。如乙方违约并经同意延期仍不能履行合同时，甲方有权解除合同，扣除履约保证金，且乙方应赔偿由此给甲方造成的损失。</w:t>
      </w:r>
    </w:p>
    <w:p w14:paraId="5DF79A0D">
      <w:pPr>
        <w:pStyle w:val="553"/>
        <w:spacing w:line="360" w:lineRule="auto"/>
        <w:ind w:firstLine="480" w:firstLineChars="200"/>
        <w:rPr>
          <w:rFonts w:eastAsia="宋体"/>
          <w:color w:val="000000"/>
          <w:sz w:val="24"/>
          <w:szCs w:val="24"/>
        </w:rPr>
      </w:pPr>
      <w:r>
        <w:rPr>
          <w:rFonts w:eastAsia="宋体"/>
          <w:color w:val="000000"/>
          <w:sz w:val="24"/>
          <w:szCs w:val="24"/>
        </w:rPr>
        <w:t>（三）因乙方或乙方工作人员或乙方相关方的作为或不作为行为致使甲方或第三方遭受人员人身伤害或财产损失的，乙方应承担全部赔偿责任，赔偿全部损失，且甲方有权以全部履约保证金作为违约金，解除本合同。</w:t>
      </w:r>
    </w:p>
    <w:p w14:paraId="3CF76388">
      <w:pPr>
        <w:pStyle w:val="554"/>
        <w:spacing w:line="360" w:lineRule="auto"/>
        <w:ind w:firstLine="480" w:firstLineChars="200"/>
        <w:rPr>
          <w:rFonts w:eastAsia="宋体"/>
          <w:color w:val="000000"/>
          <w:sz w:val="24"/>
          <w:szCs w:val="24"/>
        </w:rPr>
      </w:pPr>
      <w:r>
        <w:rPr>
          <w:rFonts w:eastAsia="宋体"/>
          <w:color w:val="000000"/>
          <w:sz w:val="24"/>
          <w:szCs w:val="24"/>
        </w:rPr>
        <w:t>（四）在本合同履行过程中，如果有证据证明乙方根本无法履行合同的，甲方可以行使不安抗辩权，有权解除合同，并扣除履约保证金，如因乙方不能履行给甲方造成其他损失的，乙方应继续承担赔偿责任。</w:t>
      </w:r>
    </w:p>
    <w:p w14:paraId="2D15BCE6">
      <w:pPr>
        <w:pStyle w:val="555"/>
        <w:spacing w:line="360" w:lineRule="auto"/>
        <w:ind w:firstLine="482" w:firstLineChars="200"/>
        <w:rPr>
          <w:rFonts w:eastAsia="宋体"/>
          <w:b/>
          <w:bCs/>
          <w:color w:val="000000"/>
          <w:sz w:val="24"/>
          <w:szCs w:val="24"/>
        </w:rPr>
      </w:pPr>
      <w:r>
        <w:rPr>
          <w:rFonts w:eastAsia="宋体"/>
          <w:b/>
          <w:bCs/>
          <w:color w:val="000000"/>
          <w:sz w:val="24"/>
          <w:szCs w:val="24"/>
        </w:rPr>
        <w:t>第十二条 异议的期限和方法</w:t>
      </w:r>
    </w:p>
    <w:p w14:paraId="6D2C10FD">
      <w:pPr>
        <w:pStyle w:val="555"/>
        <w:spacing w:line="360" w:lineRule="auto"/>
        <w:ind w:firstLine="480" w:firstLineChars="200"/>
        <w:rPr>
          <w:rFonts w:eastAsia="宋体"/>
          <w:color w:val="000000"/>
          <w:sz w:val="24"/>
          <w:szCs w:val="24"/>
        </w:rPr>
      </w:pPr>
      <w:r>
        <w:rPr>
          <w:rFonts w:eastAsia="宋体"/>
          <w:color w:val="000000"/>
          <w:sz w:val="24"/>
          <w:szCs w:val="24"/>
        </w:rPr>
        <w:t>（一）异议期限自质量保证期开始之日起3个月内。如果属于产品设计、材料、工艺或其他潜在的质量缺陷，甲方（用户）以书面形式提出异议及其处理意见。</w:t>
      </w:r>
    </w:p>
    <w:p w14:paraId="68159E40">
      <w:pPr>
        <w:pStyle w:val="555"/>
        <w:spacing w:line="360" w:lineRule="auto"/>
        <w:ind w:firstLine="480" w:firstLineChars="200"/>
        <w:rPr>
          <w:rFonts w:eastAsia="宋体"/>
          <w:color w:val="000000"/>
          <w:sz w:val="24"/>
          <w:szCs w:val="24"/>
        </w:rPr>
      </w:pPr>
      <w:r>
        <w:rPr>
          <w:rFonts w:eastAsia="宋体"/>
          <w:color w:val="000000"/>
          <w:sz w:val="24"/>
          <w:szCs w:val="24"/>
        </w:rPr>
        <w:t>（二）乙方接到甲方（用户）书面异议及其处理意见后，应在10日内到甲方（用户）项目现场处理，否则即视为默认甲方（用户）提出的异议和处理意见。</w:t>
      </w:r>
    </w:p>
    <w:p w14:paraId="0B2249B0">
      <w:pPr>
        <w:pStyle w:val="555"/>
        <w:spacing w:line="360" w:lineRule="auto"/>
        <w:ind w:firstLine="482" w:firstLineChars="200"/>
        <w:rPr>
          <w:rFonts w:eastAsia="宋体"/>
          <w:b/>
          <w:bCs/>
          <w:color w:val="000000"/>
          <w:sz w:val="24"/>
          <w:szCs w:val="24"/>
        </w:rPr>
      </w:pPr>
      <w:r>
        <w:rPr>
          <w:rFonts w:eastAsia="宋体"/>
          <w:b/>
          <w:bCs/>
          <w:color w:val="000000"/>
          <w:sz w:val="24"/>
          <w:szCs w:val="24"/>
        </w:rPr>
        <w:t>第十三条 使用合同文件和资料</w:t>
      </w:r>
    </w:p>
    <w:p w14:paraId="4904C919">
      <w:pPr>
        <w:pStyle w:val="555"/>
        <w:spacing w:line="360" w:lineRule="auto"/>
        <w:ind w:firstLine="480" w:firstLineChars="200"/>
        <w:rPr>
          <w:rFonts w:eastAsia="宋体"/>
          <w:color w:val="000000"/>
          <w:sz w:val="24"/>
          <w:szCs w:val="24"/>
        </w:rPr>
      </w:pPr>
      <w:r>
        <w:rPr>
          <w:rFonts w:eastAsia="宋体"/>
          <w:color w:val="000000"/>
          <w:sz w:val="24"/>
          <w:szCs w:val="24"/>
        </w:rPr>
        <w:t>（一）没有甲方（用户）事先书面同意，乙方不得将由甲方或代表甲方提供的有关合同或任何合同条文、规格或资料等提供给乙方雇佣于履行本合同以外的任何其他人。即使向本合同的雇员提供，也应注意保密并限于履行本合同必须的范围。</w:t>
      </w:r>
    </w:p>
    <w:p w14:paraId="7821A440">
      <w:pPr>
        <w:pStyle w:val="555"/>
        <w:spacing w:line="360" w:lineRule="auto"/>
        <w:ind w:firstLine="480" w:firstLineChars="200"/>
        <w:rPr>
          <w:rFonts w:eastAsia="宋体"/>
          <w:color w:val="000000"/>
          <w:sz w:val="24"/>
          <w:szCs w:val="24"/>
        </w:rPr>
      </w:pPr>
      <w:r>
        <w:rPr>
          <w:rFonts w:eastAsia="宋体"/>
          <w:color w:val="000000"/>
          <w:sz w:val="24"/>
          <w:szCs w:val="24"/>
        </w:rPr>
        <w:t>（二）没有甲方（用户）事先书面同意，除了履行本合同之外，乙方不应使用、传播与本合同相关的任何文件、资料。</w:t>
      </w:r>
    </w:p>
    <w:p w14:paraId="515366CE">
      <w:pPr>
        <w:spacing w:line="360" w:lineRule="auto"/>
        <w:ind w:firstLine="482" w:firstLineChars="200"/>
        <w:rPr>
          <w:b/>
          <w:bCs/>
          <w:color w:val="000000"/>
          <w:sz w:val="24"/>
        </w:rPr>
      </w:pPr>
      <w:r>
        <w:rPr>
          <w:b/>
          <w:bCs/>
          <w:color w:val="000000"/>
          <w:sz w:val="24"/>
        </w:rPr>
        <w:t>第十四条 知识产权</w:t>
      </w:r>
    </w:p>
    <w:p w14:paraId="616298C1">
      <w:pPr>
        <w:spacing w:line="360" w:lineRule="auto"/>
        <w:ind w:firstLine="480" w:firstLineChars="200"/>
        <w:rPr>
          <w:color w:val="000000"/>
          <w:sz w:val="24"/>
        </w:rPr>
      </w:pPr>
      <w:r>
        <w:rPr>
          <w:color w:val="000000"/>
          <w:sz w:val="24"/>
        </w:rPr>
        <w:t>（一）乙方应保证所提供的货物及服务不侵犯任何第三方的知识产权(专利权、商标权、版权等)及其他任何合法权益。如果甲方（用户）在使用乙方货物或服务的任何一部分过程中，遭致第三方索赔或主张权利的，乙方应当修正以避免侵权。</w:t>
      </w:r>
    </w:p>
    <w:p w14:paraId="5776A919">
      <w:pPr>
        <w:spacing w:line="360" w:lineRule="auto"/>
        <w:ind w:firstLine="480" w:firstLineChars="200"/>
        <w:rPr>
          <w:color w:val="000000"/>
          <w:sz w:val="24"/>
        </w:rPr>
      </w:pPr>
      <w:r>
        <w:rPr>
          <w:color w:val="000000"/>
          <w:sz w:val="24"/>
        </w:rPr>
        <w:t>（二）如果甲方（用户）在使用乙方货物或货物的任何一部分过程中，因侵犯第三方合法权益（包括但不限于知识产权）而遭致第三方索赔或主张权利的，乙方将自费为甲方（用户）应诉，并支付法院最终判决的甲方（用户）应支付第三方的一切费用、并赔偿甲方（用户）由此遭受的全部损失及支出的合理费用。</w:t>
      </w:r>
    </w:p>
    <w:p w14:paraId="7FB0EBDA">
      <w:pPr>
        <w:spacing w:line="360" w:lineRule="auto"/>
        <w:ind w:firstLine="480" w:firstLineChars="200"/>
        <w:rPr>
          <w:color w:val="000000"/>
          <w:sz w:val="24"/>
        </w:rPr>
      </w:pPr>
      <w:r>
        <w:rPr>
          <w:color w:val="000000"/>
          <w:sz w:val="24"/>
        </w:rPr>
        <w:t>（三）如乙方提供的货物或服务确实侵犯了第三方合法权益（包括但不限于知识产权）的，甲方有权解除合同，没收履约保证金，要求乙方退回已支付的全部货款，并赔偿甲方的全部损失及支出的合理费用。</w:t>
      </w:r>
    </w:p>
    <w:p w14:paraId="7731DDA0">
      <w:pPr>
        <w:spacing w:line="360" w:lineRule="auto"/>
        <w:ind w:firstLine="482" w:firstLineChars="200"/>
        <w:rPr>
          <w:b/>
          <w:bCs/>
          <w:color w:val="000000"/>
          <w:sz w:val="24"/>
        </w:rPr>
      </w:pPr>
      <w:r>
        <w:rPr>
          <w:b/>
          <w:bCs/>
          <w:color w:val="000000"/>
          <w:sz w:val="24"/>
        </w:rPr>
        <w:t>第十五条 权利瑕疵担保</w:t>
      </w:r>
    </w:p>
    <w:p w14:paraId="0D77763C">
      <w:pPr>
        <w:spacing w:line="360" w:lineRule="auto"/>
        <w:ind w:firstLine="480" w:firstLineChars="200"/>
        <w:rPr>
          <w:color w:val="000000"/>
          <w:sz w:val="24"/>
        </w:rPr>
      </w:pPr>
      <w:r>
        <w:rPr>
          <w:color w:val="000000"/>
          <w:sz w:val="24"/>
        </w:rPr>
        <w:t>（一）乙方保证对其所提供的货物享有完全的所有权等合法权利，不存在任何未曾向甲方（用户）透露的担保物权（如抵押权、质押权、留置权等）或其他任何权利负担或争议。</w:t>
      </w:r>
    </w:p>
    <w:p w14:paraId="1C158447">
      <w:pPr>
        <w:pStyle w:val="556"/>
        <w:spacing w:line="360" w:lineRule="auto"/>
        <w:ind w:firstLine="480" w:firstLineChars="200"/>
        <w:rPr>
          <w:rFonts w:eastAsia="宋体"/>
          <w:color w:val="000000"/>
          <w:sz w:val="24"/>
          <w:szCs w:val="24"/>
        </w:rPr>
      </w:pPr>
      <w:r>
        <w:rPr>
          <w:rFonts w:eastAsia="宋体"/>
          <w:color w:val="000000"/>
          <w:sz w:val="24"/>
          <w:szCs w:val="24"/>
        </w:rPr>
        <w:t>（二）乙方应保证所提供的货物免受第三方提出的任何权利主张，如因第三方提出权利主张给甲方（用户）造成损失的，乙方应予以赔偿。</w:t>
      </w:r>
    </w:p>
    <w:p w14:paraId="6B9094F5">
      <w:pPr>
        <w:spacing w:line="360" w:lineRule="auto"/>
        <w:ind w:firstLine="480" w:firstLineChars="200"/>
        <w:rPr>
          <w:color w:val="000000"/>
          <w:sz w:val="24"/>
        </w:rPr>
      </w:pPr>
      <w:r>
        <w:rPr>
          <w:color w:val="000000"/>
          <w:sz w:val="24"/>
        </w:rPr>
        <w:t>（三）如乙方所提供的货物存在前述担保货物或权利负担，甲方（用户）有权解除合同、没收履约保证金，并要求乙方退还已支付的全部货款，赔偿甲方（用户）的全部损失及支出的合理费用。</w:t>
      </w:r>
    </w:p>
    <w:p w14:paraId="73BDC72D">
      <w:pPr>
        <w:spacing w:line="360" w:lineRule="auto"/>
        <w:ind w:firstLine="482" w:firstLineChars="200"/>
        <w:rPr>
          <w:b/>
          <w:bCs/>
          <w:color w:val="000000"/>
          <w:sz w:val="24"/>
        </w:rPr>
      </w:pPr>
      <w:r>
        <w:rPr>
          <w:b/>
          <w:bCs/>
          <w:color w:val="000000"/>
          <w:sz w:val="24"/>
        </w:rPr>
        <w:t>第十六条 不可抗力及其免责</w:t>
      </w:r>
    </w:p>
    <w:p w14:paraId="575DA878">
      <w:pPr>
        <w:spacing w:line="360" w:lineRule="auto"/>
        <w:ind w:firstLine="480" w:firstLineChars="200"/>
        <w:rPr>
          <w:color w:val="000000"/>
          <w:sz w:val="24"/>
        </w:rPr>
      </w:pPr>
      <w:r>
        <w:rPr>
          <w:color w:val="000000"/>
          <w:sz w:val="24"/>
        </w:rPr>
        <w:t>（一）如果乙方因不可抗力而导致合同实施延误或不能履行合同义务时，在不可抗力影响的范围内不应该被没收履约保证金，也不承担误期赔偿或终止合同的责任。</w:t>
      </w:r>
    </w:p>
    <w:p w14:paraId="70D72C6F">
      <w:pPr>
        <w:spacing w:line="360" w:lineRule="auto"/>
        <w:ind w:firstLine="480" w:firstLineChars="200"/>
        <w:rPr>
          <w:color w:val="000000"/>
          <w:sz w:val="24"/>
        </w:rPr>
      </w:pPr>
      <w:r>
        <w:rPr>
          <w:color w:val="000000"/>
          <w:sz w:val="24"/>
        </w:rPr>
        <w:t>（二）在不可抗力事件发生后，乙方应尽快以书面形式将不可抗力的情况和原因通知甲方，除甲方（用户）书面另行要求外，乙方应尽实际可能继续履行合同义务，以及寻求采取合理的方案履行不受不可抗力影响的其他事项。如果不可抗力事件影响延续超过一百二十天，双方应通过友好协商在合理的时间内就进一步实施合同达成协议。</w:t>
      </w:r>
    </w:p>
    <w:p w14:paraId="1773F071">
      <w:pPr>
        <w:spacing w:line="360" w:lineRule="auto"/>
        <w:ind w:firstLine="480" w:firstLineChars="200"/>
        <w:rPr>
          <w:color w:val="000000"/>
          <w:sz w:val="24"/>
        </w:rPr>
      </w:pPr>
      <w:r>
        <w:rPr>
          <w:color w:val="000000"/>
          <w:sz w:val="24"/>
        </w:rPr>
        <w:t>（三）乙方在延迟履行合同期间由于不可抗力而不能履行合同的，不能被免除责任。</w:t>
      </w:r>
    </w:p>
    <w:p w14:paraId="259904BF">
      <w:pPr>
        <w:spacing w:line="360" w:lineRule="auto"/>
        <w:ind w:firstLine="480" w:firstLineChars="200"/>
        <w:rPr>
          <w:color w:val="000000"/>
          <w:sz w:val="24"/>
        </w:rPr>
      </w:pPr>
      <w:r>
        <w:rPr>
          <w:color w:val="000000"/>
          <w:sz w:val="24"/>
        </w:rPr>
        <w:t>（四）甲方（用户）如遇不可抗力，应尽快以书面形式通知乙方，并尽实际可能履行不受不可抗力影响的其他事项。甲方（用户）不承担因不可抗力不能履行合同所造成的损失。</w:t>
      </w:r>
    </w:p>
    <w:p w14:paraId="28799C9C">
      <w:pPr>
        <w:spacing w:line="360" w:lineRule="auto"/>
        <w:ind w:firstLine="480" w:firstLineChars="200"/>
        <w:rPr>
          <w:color w:val="000000"/>
          <w:sz w:val="24"/>
        </w:rPr>
      </w:pPr>
      <w:r>
        <w:rPr>
          <w:color w:val="000000"/>
          <w:sz w:val="24"/>
        </w:rPr>
        <w:t>（五）本条所述的“不可抗力”指那些不能预见、不能避免并不能克服的客观情况，包括但不限于战争、动乱、严重火灾、洪水、台风、地震等及其他双方同意的情况，但不包括违约或疏忽。</w:t>
      </w:r>
    </w:p>
    <w:p w14:paraId="4C11B463">
      <w:pPr>
        <w:spacing w:line="360" w:lineRule="auto"/>
        <w:ind w:firstLine="482" w:firstLineChars="200"/>
        <w:rPr>
          <w:b/>
          <w:bCs/>
          <w:color w:val="000000"/>
          <w:sz w:val="24"/>
        </w:rPr>
      </w:pPr>
      <w:r>
        <w:rPr>
          <w:b/>
          <w:bCs/>
          <w:color w:val="000000"/>
          <w:sz w:val="24"/>
        </w:rPr>
        <w:t>第十七条 争议的解决</w:t>
      </w:r>
    </w:p>
    <w:p w14:paraId="79BAE69D">
      <w:pPr>
        <w:spacing w:line="360" w:lineRule="auto"/>
        <w:ind w:firstLine="480" w:firstLineChars="200"/>
        <w:rPr>
          <w:color w:val="000000"/>
          <w:sz w:val="24"/>
        </w:rPr>
      </w:pPr>
      <w:r>
        <w:rPr>
          <w:color w:val="000000"/>
          <w:sz w:val="24"/>
        </w:rPr>
        <w:t>合同实施或与合同有关的一切争议应通过双方友好协商解决。如果友好协商还不能解决，</w:t>
      </w:r>
      <w:r>
        <w:rPr>
          <w:rFonts w:hint="eastAsia"/>
          <w:color w:val="000000"/>
          <w:sz w:val="24"/>
        </w:rPr>
        <w:t>合同双方均可向甲方所在地人民法院提起诉讼。</w:t>
      </w:r>
      <w:r>
        <w:rPr>
          <w:color w:val="000000"/>
          <w:sz w:val="24"/>
        </w:rPr>
        <w:t>在</w:t>
      </w:r>
      <w:r>
        <w:rPr>
          <w:rFonts w:hint="eastAsia"/>
          <w:color w:val="000000"/>
          <w:sz w:val="24"/>
        </w:rPr>
        <w:t>诉讼</w:t>
      </w:r>
      <w:r>
        <w:rPr>
          <w:color w:val="000000"/>
          <w:sz w:val="24"/>
        </w:rPr>
        <w:t>期间，除正在进行</w:t>
      </w:r>
      <w:r>
        <w:rPr>
          <w:rFonts w:hint="eastAsia"/>
          <w:color w:val="000000"/>
          <w:sz w:val="24"/>
        </w:rPr>
        <w:t>诉讼</w:t>
      </w:r>
      <w:r>
        <w:rPr>
          <w:color w:val="000000"/>
          <w:sz w:val="24"/>
        </w:rPr>
        <w:t>的部分外，本合同其他部分应继续履行。</w:t>
      </w:r>
    </w:p>
    <w:p w14:paraId="64F47CF8">
      <w:pPr>
        <w:spacing w:line="360" w:lineRule="auto"/>
        <w:ind w:firstLine="482" w:firstLineChars="200"/>
        <w:rPr>
          <w:b/>
          <w:bCs/>
          <w:color w:val="000000"/>
          <w:sz w:val="24"/>
        </w:rPr>
      </w:pPr>
      <w:r>
        <w:rPr>
          <w:b/>
          <w:bCs/>
          <w:color w:val="000000"/>
          <w:sz w:val="24"/>
        </w:rPr>
        <w:t>第十八条 合同修改或变更</w:t>
      </w:r>
    </w:p>
    <w:p w14:paraId="24BE3F8E">
      <w:pPr>
        <w:spacing w:line="360" w:lineRule="auto"/>
        <w:ind w:firstLine="480" w:firstLineChars="200"/>
        <w:rPr>
          <w:color w:val="000000"/>
          <w:sz w:val="24"/>
        </w:rPr>
      </w:pPr>
      <w:r>
        <w:rPr>
          <w:color w:val="000000"/>
          <w:sz w:val="24"/>
        </w:rPr>
        <w:t>（一）如无重大变故，甲乙双方不得擅自变更合同。</w:t>
      </w:r>
    </w:p>
    <w:p w14:paraId="4E150C0A">
      <w:pPr>
        <w:spacing w:line="360" w:lineRule="auto"/>
        <w:ind w:firstLine="480" w:firstLineChars="200"/>
        <w:rPr>
          <w:color w:val="000000"/>
          <w:sz w:val="24"/>
        </w:rPr>
      </w:pPr>
      <w:r>
        <w:rPr>
          <w:color w:val="000000"/>
          <w:sz w:val="24"/>
        </w:rPr>
        <w:t>（二）如确需变更合同，甲乙双方应签署书面变更协议。变更协议为本合同不可分割的一部分。</w:t>
      </w:r>
    </w:p>
    <w:p w14:paraId="1466068C">
      <w:pPr>
        <w:spacing w:line="360" w:lineRule="auto"/>
        <w:ind w:firstLine="480" w:firstLineChars="200"/>
        <w:rPr>
          <w:color w:val="000000"/>
          <w:sz w:val="24"/>
        </w:rPr>
      </w:pPr>
      <w:r>
        <w:rPr>
          <w:color w:val="000000"/>
          <w:sz w:val="24"/>
        </w:rPr>
        <w:t>（三）在不改变合同其他条款的前提下，甲方（用户）有权在合同价款10%的范围内追加与合同标的相同的货物或服务，并就此与乙方签订补充合同，乙方不得拒绝。</w:t>
      </w:r>
    </w:p>
    <w:p w14:paraId="4446A00E">
      <w:pPr>
        <w:spacing w:line="360" w:lineRule="auto"/>
        <w:ind w:firstLine="482" w:firstLineChars="200"/>
        <w:rPr>
          <w:b/>
          <w:bCs/>
          <w:color w:val="000000"/>
          <w:sz w:val="24"/>
        </w:rPr>
      </w:pPr>
      <w:r>
        <w:rPr>
          <w:b/>
          <w:bCs/>
          <w:color w:val="000000"/>
          <w:sz w:val="24"/>
        </w:rPr>
        <w:t>第十九条 合同中止</w:t>
      </w:r>
    </w:p>
    <w:p w14:paraId="55ABA686">
      <w:pPr>
        <w:spacing w:line="360" w:lineRule="auto"/>
        <w:ind w:firstLine="480" w:firstLineChars="200"/>
        <w:rPr>
          <w:color w:val="000000"/>
          <w:sz w:val="24"/>
        </w:rPr>
      </w:pPr>
      <w:r>
        <w:rPr>
          <w:color w:val="000000"/>
          <w:sz w:val="24"/>
        </w:rPr>
        <w:t>（一）合同在履行过程中，因采购计划调整，甲方（用户）可以要求中止履行，待计划确定后继续履行。</w:t>
      </w:r>
    </w:p>
    <w:p w14:paraId="4272BCF5">
      <w:pPr>
        <w:spacing w:line="360" w:lineRule="auto"/>
        <w:ind w:firstLine="480" w:firstLineChars="200"/>
        <w:rPr>
          <w:color w:val="000000"/>
          <w:sz w:val="24"/>
        </w:rPr>
      </w:pPr>
      <w:r>
        <w:rPr>
          <w:color w:val="000000"/>
          <w:sz w:val="24"/>
        </w:rPr>
        <w:t>（二）合同签订或履行过程中因其他供应商就采购过程或结果提起质疑、投诉、行政复议、行政诉讼的，甲方（用户）认为有必要或财政部责令中止的，应当中止合同的履行。</w:t>
      </w:r>
    </w:p>
    <w:p w14:paraId="7A9E972A">
      <w:pPr>
        <w:spacing w:line="360" w:lineRule="auto"/>
        <w:ind w:firstLine="482" w:firstLineChars="200"/>
        <w:rPr>
          <w:b/>
          <w:bCs/>
          <w:color w:val="000000"/>
          <w:sz w:val="24"/>
        </w:rPr>
      </w:pPr>
      <w:r>
        <w:rPr>
          <w:b/>
          <w:bCs/>
          <w:color w:val="000000"/>
          <w:sz w:val="24"/>
        </w:rPr>
        <w:t>第二十条 合同解除</w:t>
      </w:r>
    </w:p>
    <w:p w14:paraId="28A7D39E">
      <w:pPr>
        <w:spacing w:line="360" w:lineRule="auto"/>
        <w:ind w:firstLine="480" w:firstLineChars="200"/>
        <w:rPr>
          <w:color w:val="000000"/>
          <w:sz w:val="24"/>
        </w:rPr>
      </w:pPr>
      <w:r>
        <w:rPr>
          <w:color w:val="000000"/>
          <w:sz w:val="24"/>
        </w:rPr>
        <w:t>由于合同一方不履行合同或严重违反合同，造成合同部分或全部无法履行时，对方除有权向违约方索赔外，并有权部分或全部解除合同。对于部分解除的合同，违约方除应承担规定的责任外，还应继续履行合同的剩余部分。</w:t>
      </w:r>
    </w:p>
    <w:p w14:paraId="0F1AC0BB">
      <w:pPr>
        <w:spacing w:line="360" w:lineRule="auto"/>
        <w:ind w:firstLine="480" w:firstLineChars="200"/>
        <w:rPr>
          <w:color w:val="000000"/>
          <w:sz w:val="24"/>
        </w:rPr>
      </w:pPr>
      <w:r>
        <w:rPr>
          <w:color w:val="000000"/>
          <w:sz w:val="24"/>
        </w:rPr>
        <w:t>（一）因违约解除合同</w:t>
      </w:r>
    </w:p>
    <w:p w14:paraId="6349679D">
      <w:pPr>
        <w:spacing w:line="360" w:lineRule="auto"/>
        <w:ind w:firstLine="480" w:firstLineChars="200"/>
        <w:rPr>
          <w:color w:val="000000"/>
          <w:sz w:val="24"/>
        </w:rPr>
      </w:pPr>
      <w:r>
        <w:rPr>
          <w:color w:val="000000"/>
          <w:sz w:val="24"/>
        </w:rPr>
        <w:t>1.在甲方（用户）对乙方违约而采取的任何补救措施不受影响的情况下，甲方（用户）可向乙方发出书面违约通知书，提出解除部分或全部合同：</w:t>
      </w:r>
    </w:p>
    <w:p w14:paraId="55139252">
      <w:pPr>
        <w:spacing w:line="360" w:lineRule="auto"/>
        <w:ind w:firstLine="480" w:firstLineChars="200"/>
        <w:rPr>
          <w:color w:val="000000"/>
          <w:sz w:val="24"/>
        </w:rPr>
      </w:pPr>
      <w:r>
        <w:rPr>
          <w:color w:val="000000"/>
          <w:sz w:val="24"/>
        </w:rPr>
        <w:t>（1）如果乙方未能在合同规定的期限或甲方（用户）根据合同条款的规定同意延长的限期内提供部分或全部的货物或服务，达到合同所规定的要求；</w:t>
      </w:r>
    </w:p>
    <w:p w14:paraId="60BD3763">
      <w:pPr>
        <w:pStyle w:val="557"/>
        <w:spacing w:line="360" w:lineRule="auto"/>
        <w:ind w:firstLine="480" w:firstLineChars="200"/>
        <w:rPr>
          <w:rFonts w:eastAsia="宋体"/>
          <w:color w:val="000000"/>
          <w:sz w:val="24"/>
          <w:szCs w:val="24"/>
        </w:rPr>
      </w:pPr>
      <w:r>
        <w:rPr>
          <w:rFonts w:eastAsia="宋体"/>
          <w:color w:val="000000"/>
          <w:sz w:val="24"/>
          <w:szCs w:val="24"/>
        </w:rPr>
        <w:t>（2）如果甲方（用户）发现乙方在本合同的竞争或实施中有欺诈行为。</w:t>
      </w:r>
    </w:p>
    <w:p w14:paraId="6020619E">
      <w:pPr>
        <w:spacing w:line="360" w:lineRule="auto"/>
        <w:ind w:firstLine="480" w:firstLineChars="200"/>
        <w:rPr>
          <w:color w:val="000000"/>
          <w:sz w:val="24"/>
        </w:rPr>
      </w:pPr>
      <w:r>
        <w:rPr>
          <w:color w:val="000000"/>
          <w:sz w:val="24"/>
        </w:rPr>
        <w:t>（3）如果乙方未能履行合同规定的其他任何义务。</w:t>
      </w:r>
    </w:p>
    <w:p w14:paraId="1EA7CA34">
      <w:pPr>
        <w:spacing w:line="360" w:lineRule="auto"/>
        <w:ind w:firstLine="480" w:firstLineChars="200"/>
        <w:rPr>
          <w:color w:val="000000"/>
          <w:sz w:val="24"/>
        </w:rPr>
      </w:pPr>
      <w:r>
        <w:rPr>
          <w:color w:val="000000"/>
          <w:sz w:val="24"/>
        </w:rPr>
        <w:t>2.如果甲方（用户）根据上述规定与乙方全部或部分解除合同，</w:t>
      </w:r>
      <w:r>
        <w:rPr>
          <w:bCs/>
          <w:color w:val="000000"/>
          <w:sz w:val="24"/>
        </w:rPr>
        <w:t>甲方（用户）可以依其认为适当的条件和方法购买乙方未能提供的货物或服务，乙方应对甲方购买类似货物或服务所超出的费用负责</w:t>
      </w:r>
      <w:r>
        <w:rPr>
          <w:color w:val="000000"/>
          <w:sz w:val="24"/>
        </w:rPr>
        <w:t>。</w:t>
      </w:r>
      <w:r>
        <w:rPr>
          <w:bCs/>
          <w:color w:val="000000"/>
          <w:sz w:val="24"/>
        </w:rPr>
        <w:t>同时，乙方应继续执行合同中未解除的部分。</w:t>
      </w:r>
    </w:p>
    <w:p w14:paraId="33522E7F">
      <w:pPr>
        <w:spacing w:line="360" w:lineRule="auto"/>
        <w:ind w:firstLine="480" w:firstLineChars="200"/>
        <w:rPr>
          <w:color w:val="000000"/>
          <w:sz w:val="24"/>
        </w:rPr>
      </w:pPr>
      <w:r>
        <w:rPr>
          <w:color w:val="000000"/>
          <w:sz w:val="24"/>
        </w:rPr>
        <w:t>（二）因破产而解除合同</w:t>
      </w:r>
    </w:p>
    <w:p w14:paraId="7BB0FB15">
      <w:pPr>
        <w:spacing w:line="360" w:lineRule="auto"/>
        <w:ind w:firstLine="480" w:firstLineChars="200"/>
        <w:rPr>
          <w:color w:val="000000"/>
          <w:sz w:val="24"/>
        </w:rPr>
      </w:pPr>
      <w:r>
        <w:rPr>
          <w:color w:val="000000"/>
          <w:sz w:val="24"/>
        </w:rPr>
        <w:t>1.如果乙方破产或无清偿能力，甲方（用户）可在任何时候以书面形式通知乙方，提出解除合同而不给乙方补偿，并有权要求乙方退回甲方（用户）已支付的合同货款。</w:t>
      </w:r>
    </w:p>
    <w:p w14:paraId="645B0D0C">
      <w:pPr>
        <w:spacing w:line="360" w:lineRule="auto"/>
        <w:ind w:firstLine="480" w:firstLineChars="200"/>
        <w:rPr>
          <w:color w:val="000000"/>
          <w:sz w:val="24"/>
        </w:rPr>
      </w:pPr>
      <w:r>
        <w:rPr>
          <w:color w:val="000000"/>
          <w:sz w:val="24"/>
        </w:rPr>
        <w:t>2.该解除合同将不损害或影响甲方已经采取或将要采取的任何行动或补救措施的权利。</w:t>
      </w:r>
    </w:p>
    <w:p w14:paraId="0147B871">
      <w:pPr>
        <w:spacing w:line="360" w:lineRule="auto"/>
        <w:ind w:firstLine="480" w:firstLineChars="200"/>
        <w:rPr>
          <w:color w:val="000000"/>
          <w:sz w:val="24"/>
        </w:rPr>
      </w:pPr>
      <w:r>
        <w:rPr>
          <w:color w:val="000000"/>
          <w:sz w:val="24"/>
        </w:rPr>
        <w:t>（三）其他解除合同情况</w:t>
      </w:r>
    </w:p>
    <w:p w14:paraId="30CA8E6D">
      <w:pPr>
        <w:spacing w:line="360" w:lineRule="auto"/>
        <w:ind w:firstLine="480" w:firstLineChars="200"/>
        <w:rPr>
          <w:color w:val="000000"/>
          <w:sz w:val="24"/>
        </w:rPr>
      </w:pPr>
      <w:r>
        <w:rPr>
          <w:color w:val="000000"/>
          <w:sz w:val="24"/>
        </w:rPr>
        <w:t>1.若合同继续履行将给甲方造成重大损失的，甲方（用户）可以解除合同而不给予乙方任何补偿。</w:t>
      </w:r>
    </w:p>
    <w:p w14:paraId="0A463973">
      <w:pPr>
        <w:spacing w:line="360" w:lineRule="auto"/>
        <w:ind w:firstLine="480" w:firstLineChars="200"/>
        <w:rPr>
          <w:color w:val="000000"/>
          <w:sz w:val="24"/>
        </w:rPr>
      </w:pPr>
      <w:r>
        <w:rPr>
          <w:color w:val="000000"/>
          <w:sz w:val="24"/>
        </w:rPr>
        <w:t>2.乙方在执行合同的过程中发生重大变故，对履行合同有影响的，甲方（用户）可以解除合同而不给予乙方任何补偿。</w:t>
      </w:r>
    </w:p>
    <w:p w14:paraId="7F738194">
      <w:pPr>
        <w:spacing w:line="360" w:lineRule="auto"/>
        <w:ind w:firstLine="480" w:firstLineChars="200"/>
        <w:rPr>
          <w:color w:val="000000"/>
          <w:sz w:val="24"/>
        </w:rPr>
      </w:pPr>
      <w:r>
        <w:rPr>
          <w:color w:val="000000"/>
          <w:sz w:val="24"/>
        </w:rPr>
        <w:t>3.甲方（用户）因重大变故取消或部分取消原来的采购任务，导致合同全部或部分内容无需继续履行的，可以解除合同而不给予乙方任何补偿。</w:t>
      </w:r>
    </w:p>
    <w:p w14:paraId="0B696F90">
      <w:pPr>
        <w:spacing w:line="360" w:lineRule="auto"/>
        <w:ind w:firstLine="482" w:firstLineChars="200"/>
        <w:rPr>
          <w:b/>
          <w:bCs/>
          <w:color w:val="000000"/>
          <w:sz w:val="24"/>
        </w:rPr>
      </w:pPr>
      <w:r>
        <w:rPr>
          <w:b/>
          <w:bCs/>
          <w:color w:val="000000"/>
          <w:sz w:val="24"/>
        </w:rPr>
        <w:t>第二十一条 合同终止</w:t>
      </w:r>
    </w:p>
    <w:p w14:paraId="2800ADA7">
      <w:pPr>
        <w:pStyle w:val="558"/>
        <w:autoSpaceDN w:val="0"/>
        <w:spacing w:line="360" w:lineRule="auto"/>
        <w:ind w:firstLine="480" w:firstLineChars="200"/>
        <w:jc w:val="left"/>
        <w:rPr>
          <w:snapToGrid w:val="0"/>
          <w:kern w:val="0"/>
          <w:sz w:val="24"/>
          <w:szCs w:val="24"/>
        </w:rPr>
      </w:pPr>
      <w:r>
        <w:rPr>
          <w:snapToGrid w:val="0"/>
          <w:kern w:val="0"/>
          <w:sz w:val="24"/>
          <w:szCs w:val="24"/>
        </w:rPr>
        <w:t>（一）本合同因下列原因而终止：</w:t>
      </w:r>
    </w:p>
    <w:p w14:paraId="63B46593">
      <w:pPr>
        <w:pStyle w:val="558"/>
        <w:autoSpaceDN w:val="0"/>
        <w:spacing w:line="360" w:lineRule="auto"/>
        <w:ind w:firstLine="480" w:firstLineChars="200"/>
        <w:jc w:val="left"/>
        <w:rPr>
          <w:snapToGrid w:val="0"/>
          <w:kern w:val="0"/>
          <w:sz w:val="24"/>
          <w:szCs w:val="24"/>
        </w:rPr>
      </w:pPr>
      <w:r>
        <w:rPr>
          <w:snapToGrid w:val="0"/>
          <w:kern w:val="0"/>
          <w:sz w:val="24"/>
          <w:szCs w:val="24"/>
        </w:rPr>
        <w:t>1.本合同正常履行完毕；</w:t>
      </w:r>
    </w:p>
    <w:p w14:paraId="3EB54D82">
      <w:pPr>
        <w:pStyle w:val="558"/>
        <w:autoSpaceDN w:val="0"/>
        <w:spacing w:line="360" w:lineRule="auto"/>
        <w:ind w:firstLine="480" w:firstLineChars="200"/>
        <w:jc w:val="left"/>
        <w:rPr>
          <w:snapToGrid w:val="0"/>
          <w:kern w:val="0"/>
          <w:sz w:val="24"/>
          <w:szCs w:val="24"/>
        </w:rPr>
      </w:pPr>
      <w:r>
        <w:rPr>
          <w:snapToGrid w:val="0"/>
          <w:kern w:val="0"/>
          <w:sz w:val="24"/>
          <w:szCs w:val="24"/>
        </w:rPr>
        <w:t>2.合同双方协议终止本合同的履行；</w:t>
      </w:r>
    </w:p>
    <w:p w14:paraId="0CCD0A38">
      <w:pPr>
        <w:pStyle w:val="558"/>
        <w:autoSpaceDN w:val="0"/>
        <w:spacing w:line="360" w:lineRule="auto"/>
        <w:ind w:firstLine="480" w:firstLineChars="200"/>
        <w:jc w:val="left"/>
        <w:rPr>
          <w:snapToGrid w:val="0"/>
          <w:kern w:val="0"/>
          <w:sz w:val="24"/>
          <w:szCs w:val="24"/>
        </w:rPr>
      </w:pPr>
      <w:r>
        <w:rPr>
          <w:snapToGrid w:val="0"/>
          <w:kern w:val="0"/>
          <w:sz w:val="24"/>
          <w:szCs w:val="24"/>
        </w:rPr>
        <w:t>3.不可抗力事件导致本合同无法履行或履行不必要；</w:t>
      </w:r>
    </w:p>
    <w:p w14:paraId="0DBB6733">
      <w:pPr>
        <w:pStyle w:val="558"/>
        <w:autoSpaceDN w:val="0"/>
        <w:spacing w:line="360" w:lineRule="auto"/>
        <w:ind w:firstLine="480" w:firstLineChars="200"/>
        <w:jc w:val="left"/>
        <w:rPr>
          <w:snapToGrid w:val="0"/>
          <w:kern w:val="0"/>
          <w:sz w:val="24"/>
          <w:szCs w:val="24"/>
        </w:rPr>
      </w:pPr>
      <w:r>
        <w:rPr>
          <w:snapToGrid w:val="0"/>
          <w:kern w:val="0"/>
          <w:sz w:val="24"/>
          <w:szCs w:val="24"/>
        </w:rPr>
        <w:t>4.任何一方行使解除权，解除本合同；</w:t>
      </w:r>
    </w:p>
    <w:p w14:paraId="757A0F47">
      <w:pPr>
        <w:pStyle w:val="558"/>
        <w:autoSpaceDN w:val="0"/>
        <w:spacing w:line="360" w:lineRule="auto"/>
        <w:ind w:firstLine="480" w:firstLineChars="200"/>
        <w:jc w:val="left"/>
        <w:rPr>
          <w:snapToGrid w:val="0"/>
          <w:kern w:val="0"/>
          <w:sz w:val="24"/>
          <w:szCs w:val="24"/>
        </w:rPr>
      </w:pPr>
      <w:bookmarkStart w:id="25" w:name="孔子"/>
      <w:bookmarkEnd w:id="25"/>
      <w:r>
        <w:rPr>
          <w:snapToGrid w:val="0"/>
          <w:kern w:val="0"/>
          <w:sz w:val="24"/>
          <w:szCs w:val="24"/>
        </w:rPr>
        <w:t>（二）对本合同终止有过错的一方应赔偿另一方因合同终止而受到的损失。</w:t>
      </w:r>
    </w:p>
    <w:p w14:paraId="6BC2B9D5">
      <w:pPr>
        <w:spacing w:line="360" w:lineRule="auto"/>
        <w:ind w:firstLine="482" w:firstLineChars="200"/>
        <w:rPr>
          <w:b/>
          <w:bCs/>
          <w:color w:val="000000"/>
          <w:sz w:val="24"/>
        </w:rPr>
      </w:pPr>
      <w:r>
        <w:rPr>
          <w:b/>
          <w:bCs/>
          <w:color w:val="000000"/>
          <w:sz w:val="24"/>
        </w:rPr>
        <w:t>第二十二条 其他</w:t>
      </w:r>
    </w:p>
    <w:p w14:paraId="59F1F620">
      <w:pPr>
        <w:spacing w:line="360" w:lineRule="auto"/>
        <w:ind w:firstLine="480" w:firstLineChars="200"/>
        <w:rPr>
          <w:color w:val="000000"/>
          <w:sz w:val="24"/>
        </w:rPr>
      </w:pPr>
      <w:r>
        <w:rPr>
          <w:color w:val="000000"/>
          <w:sz w:val="24"/>
        </w:rPr>
        <w:t>中标通知书（成交通知书）、中标人的投标文件/应答文件、招标文件/谈判文件/询价通知书/磋商文件/单一来源、合同条款、合同附件（协商、变更的，明确双方权利义务的，以书面形式而表现出来的协议或书面通知或确认书等）是本合同不可分割的部分，与本合同具有同等法律效力。</w:t>
      </w:r>
    </w:p>
    <w:p w14:paraId="68FE9336">
      <w:pPr>
        <w:spacing w:line="360" w:lineRule="auto"/>
        <w:ind w:firstLine="482" w:firstLineChars="200"/>
        <w:rPr>
          <w:b/>
          <w:bCs/>
          <w:color w:val="000000"/>
          <w:sz w:val="24"/>
        </w:rPr>
      </w:pPr>
      <w:r>
        <w:rPr>
          <w:b/>
          <w:bCs/>
          <w:color w:val="000000"/>
          <w:sz w:val="24"/>
        </w:rPr>
        <w:t>第二十四条 合同生效</w:t>
      </w:r>
    </w:p>
    <w:p w14:paraId="14861447">
      <w:pPr>
        <w:spacing w:line="360" w:lineRule="auto"/>
        <w:ind w:firstLine="480" w:firstLineChars="200"/>
        <w:rPr>
          <w:color w:val="000000"/>
          <w:sz w:val="24"/>
        </w:rPr>
      </w:pPr>
      <w:r>
        <w:rPr>
          <w:color w:val="000000"/>
          <w:sz w:val="24"/>
        </w:rPr>
        <w:t>本合同一式___份，甲方执___份，乙方执___份；自甲乙双方签字盖章之日起生效。对本合同的任何更改及补充，均需双方共同协商，并以书面形式盖章确认。</w:t>
      </w:r>
    </w:p>
    <w:p w14:paraId="6F33F1D9">
      <w:pPr>
        <w:spacing w:line="360" w:lineRule="auto"/>
        <w:rPr>
          <w:color w:val="000000"/>
          <w:sz w:val="24"/>
        </w:rPr>
      </w:pPr>
      <w:r>
        <w:rPr>
          <w:color w:val="000000"/>
          <w:sz w:val="24"/>
        </w:rPr>
        <w:t>甲方（公章</w:t>
      </w:r>
      <w:r>
        <w:rPr>
          <w:snapToGrid w:val="0"/>
          <w:kern w:val="0"/>
          <w:sz w:val="24"/>
        </w:rPr>
        <w:t>或合同章</w:t>
      </w:r>
      <w:r>
        <w:rPr>
          <w:color w:val="000000"/>
          <w:sz w:val="24"/>
        </w:rPr>
        <w:t>）：             乙方（公章</w:t>
      </w:r>
      <w:r>
        <w:rPr>
          <w:snapToGrid w:val="0"/>
          <w:kern w:val="0"/>
          <w:sz w:val="24"/>
        </w:rPr>
        <w:t>或合同章</w:t>
      </w:r>
      <w:r>
        <w:rPr>
          <w:color w:val="000000"/>
          <w:sz w:val="24"/>
        </w:rPr>
        <w:t>）：</w:t>
      </w:r>
    </w:p>
    <w:p w14:paraId="5191DD0E">
      <w:pPr>
        <w:spacing w:line="360" w:lineRule="auto"/>
        <w:rPr>
          <w:color w:val="000000"/>
          <w:sz w:val="24"/>
        </w:rPr>
      </w:pPr>
      <w:r>
        <w:rPr>
          <w:rFonts w:hint="eastAsia"/>
          <w:color w:val="000000"/>
          <w:sz w:val="24"/>
        </w:rPr>
        <w:t>甲方代表</w:t>
      </w:r>
      <w:r>
        <w:rPr>
          <w:color w:val="000000"/>
          <w:sz w:val="24"/>
        </w:rPr>
        <w:t xml:space="preserve">或授权人签字：            </w:t>
      </w:r>
      <w:r>
        <w:rPr>
          <w:rFonts w:hint="eastAsia"/>
          <w:color w:val="000000"/>
          <w:sz w:val="24"/>
        </w:rPr>
        <w:t>乙方代表</w:t>
      </w:r>
      <w:r>
        <w:rPr>
          <w:color w:val="000000"/>
          <w:sz w:val="24"/>
        </w:rPr>
        <w:t>或授权人签字：</w:t>
      </w:r>
    </w:p>
    <w:p w14:paraId="5A7BAD02">
      <w:pPr>
        <w:spacing w:line="360" w:lineRule="auto"/>
        <w:rPr>
          <w:color w:val="000000"/>
          <w:sz w:val="24"/>
        </w:rPr>
      </w:pPr>
      <w:r>
        <w:rPr>
          <w:color w:val="000000"/>
          <w:sz w:val="24"/>
        </w:rPr>
        <w:t xml:space="preserve">日期： 年  月  日                 日期：   年   月   日    </w:t>
      </w:r>
    </w:p>
    <w:p w14:paraId="6BFDF1D8">
      <w:pPr>
        <w:spacing w:line="360" w:lineRule="auto"/>
        <w:rPr>
          <w:color w:val="000000"/>
          <w:sz w:val="24"/>
        </w:rPr>
      </w:pPr>
      <w:r>
        <w:rPr>
          <w:color w:val="000000"/>
          <w:sz w:val="24"/>
        </w:rPr>
        <w:t>联系人:                            联系人：</w:t>
      </w:r>
    </w:p>
    <w:p w14:paraId="3A046DFA">
      <w:pPr>
        <w:spacing w:line="360" w:lineRule="auto"/>
        <w:rPr>
          <w:color w:val="000000"/>
          <w:sz w:val="24"/>
        </w:rPr>
      </w:pPr>
      <w:r>
        <w:rPr>
          <w:color w:val="000000"/>
          <w:sz w:val="24"/>
        </w:rPr>
        <w:t>电话:                              电话：</w:t>
      </w:r>
    </w:p>
    <w:p w14:paraId="01F06511">
      <w:pPr>
        <w:spacing w:line="360" w:lineRule="auto"/>
        <w:rPr>
          <w:sz w:val="24"/>
        </w:rPr>
      </w:pPr>
      <w:r>
        <w:rPr>
          <w:color w:val="000000"/>
          <w:sz w:val="24"/>
        </w:rPr>
        <w:t>地址：                             地址：</w:t>
      </w:r>
    </w:p>
    <w:p w14:paraId="781D3BAE">
      <w:pPr>
        <w:pStyle w:val="534"/>
        <w:tabs>
          <w:tab w:val="left" w:pos="2760"/>
        </w:tabs>
        <w:spacing w:line="560" w:lineRule="exact"/>
        <w:jc w:val="left"/>
        <w:rPr>
          <w:rFonts w:ascii="方正仿宋_GBK" w:eastAsia="方正仿宋_GBK"/>
          <w:b/>
          <w:snapToGrid w:val="0"/>
          <w:kern w:val="0"/>
          <w:sz w:val="28"/>
          <w:szCs w:val="28"/>
        </w:rPr>
      </w:pPr>
    </w:p>
    <w:p w14:paraId="578D1CE4">
      <w:pPr>
        <w:pStyle w:val="534"/>
        <w:tabs>
          <w:tab w:val="left" w:pos="2760"/>
        </w:tabs>
        <w:spacing w:line="560" w:lineRule="exact"/>
        <w:jc w:val="left"/>
        <w:rPr>
          <w:rFonts w:ascii="方正仿宋_GBK" w:eastAsia="方正仿宋_GBK"/>
          <w:b/>
          <w:sz w:val="24"/>
          <w:szCs w:val="24"/>
        </w:rPr>
      </w:pPr>
      <w:r>
        <w:rPr>
          <w:rFonts w:hint="eastAsia" w:ascii="方正仿宋_GBK" w:eastAsia="方正仿宋_GBK"/>
          <w:b/>
          <w:snapToGrid w:val="0"/>
          <w:kern w:val="0"/>
          <w:sz w:val="24"/>
          <w:szCs w:val="24"/>
        </w:rPr>
        <w:t>附件一：分项报价表</w:t>
      </w:r>
    </w:p>
    <w:p w14:paraId="64C6758D">
      <w:pPr>
        <w:pStyle w:val="534"/>
        <w:tabs>
          <w:tab w:val="left" w:pos="2760"/>
        </w:tabs>
        <w:spacing w:line="560" w:lineRule="exact"/>
        <w:jc w:val="left"/>
        <w:rPr>
          <w:rFonts w:ascii="方正仿宋_GBK" w:eastAsia="方正仿宋_GBK"/>
          <w:b/>
          <w:snapToGrid w:val="0"/>
          <w:kern w:val="0"/>
          <w:sz w:val="24"/>
          <w:szCs w:val="24"/>
        </w:rPr>
      </w:pPr>
      <w:r>
        <w:rPr>
          <w:rFonts w:hint="eastAsia" w:ascii="方正仿宋_GBK" w:eastAsia="方正仿宋_GBK"/>
          <w:b/>
          <w:snapToGrid w:val="0"/>
          <w:kern w:val="0"/>
          <w:sz w:val="24"/>
          <w:szCs w:val="24"/>
        </w:rPr>
        <w:t>附件二：设备配置清单</w:t>
      </w:r>
    </w:p>
    <w:p w14:paraId="18277777">
      <w:pPr>
        <w:pStyle w:val="535"/>
        <w:tabs>
          <w:tab w:val="left" w:pos="2760"/>
        </w:tabs>
        <w:spacing w:line="560" w:lineRule="exact"/>
        <w:jc w:val="left"/>
        <w:rPr>
          <w:rFonts w:ascii="方正仿宋_GBK" w:eastAsia="方正仿宋_GBK"/>
          <w:b/>
          <w:snapToGrid w:val="0"/>
          <w:kern w:val="0"/>
          <w:sz w:val="24"/>
          <w:szCs w:val="24"/>
        </w:rPr>
      </w:pPr>
      <w:r>
        <w:rPr>
          <w:rFonts w:hint="eastAsia" w:ascii="方正仿宋_GBK" w:eastAsia="方正仿宋_GBK"/>
          <w:b/>
          <w:snapToGrid w:val="0"/>
          <w:kern w:val="0"/>
          <w:sz w:val="24"/>
          <w:szCs w:val="24"/>
        </w:rPr>
        <w:t>附件三：技术偏离表</w:t>
      </w:r>
    </w:p>
    <w:p w14:paraId="3FD29B8F">
      <w:pPr>
        <w:pStyle w:val="534"/>
        <w:tabs>
          <w:tab w:val="left" w:pos="2760"/>
          <w:tab w:val="left" w:pos="3553"/>
        </w:tabs>
        <w:spacing w:line="560" w:lineRule="exact"/>
        <w:jc w:val="left"/>
        <w:rPr>
          <w:rFonts w:ascii="方正仿宋_GBK" w:eastAsia="方正仿宋_GBK"/>
          <w:b/>
          <w:snapToGrid w:val="0"/>
          <w:kern w:val="0"/>
          <w:sz w:val="24"/>
          <w:szCs w:val="24"/>
        </w:rPr>
      </w:pPr>
      <w:r>
        <w:rPr>
          <w:rFonts w:hint="eastAsia" w:ascii="方正仿宋_GBK" w:eastAsia="方正仿宋_GBK"/>
          <w:b/>
          <w:snapToGrid w:val="0"/>
          <w:kern w:val="0"/>
          <w:sz w:val="24"/>
          <w:szCs w:val="24"/>
        </w:rPr>
        <w:t>附件四：项目实施方案</w:t>
      </w:r>
    </w:p>
    <w:p w14:paraId="018E96B5">
      <w:pPr>
        <w:pStyle w:val="534"/>
        <w:tabs>
          <w:tab w:val="left" w:pos="2760"/>
        </w:tabs>
        <w:spacing w:line="560" w:lineRule="exact"/>
        <w:jc w:val="left"/>
        <w:rPr>
          <w:rFonts w:ascii="方正仿宋_GBK" w:eastAsia="方正仿宋_GBK"/>
          <w:b/>
          <w:sz w:val="24"/>
          <w:szCs w:val="24"/>
        </w:rPr>
      </w:pPr>
      <w:r>
        <w:rPr>
          <w:rFonts w:hint="eastAsia" w:ascii="方正仿宋_GBK" w:eastAsia="方正仿宋_GBK"/>
          <w:b/>
          <w:snapToGrid w:val="0"/>
          <w:kern w:val="0"/>
          <w:sz w:val="24"/>
          <w:szCs w:val="24"/>
        </w:rPr>
        <w:t>附件五：技术培训方案</w:t>
      </w:r>
    </w:p>
    <w:p w14:paraId="3FEDC8D7">
      <w:pPr>
        <w:pStyle w:val="536"/>
        <w:tabs>
          <w:tab w:val="left" w:pos="2760"/>
        </w:tabs>
        <w:spacing w:line="560" w:lineRule="exact"/>
        <w:jc w:val="left"/>
        <w:rPr>
          <w:rFonts w:ascii="方正仿宋_GBK" w:eastAsia="方正仿宋_GBK"/>
          <w:b/>
          <w:sz w:val="24"/>
          <w:szCs w:val="24"/>
        </w:rPr>
      </w:pPr>
      <w:r>
        <w:rPr>
          <w:rFonts w:hint="eastAsia" w:ascii="方正仿宋_GBK" w:eastAsia="方正仿宋_GBK"/>
          <w:b/>
          <w:snapToGrid w:val="0"/>
          <w:kern w:val="0"/>
          <w:sz w:val="24"/>
          <w:szCs w:val="24"/>
        </w:rPr>
        <w:t>附件六：技术支持与原厂售后服务方案</w:t>
      </w:r>
    </w:p>
    <w:p w14:paraId="51B4956B">
      <w:pPr>
        <w:pStyle w:val="537"/>
        <w:autoSpaceDN w:val="0"/>
        <w:snapToGrid w:val="0"/>
        <w:spacing w:before="312" w:after="312" w:line="300" w:lineRule="exact"/>
        <w:rPr>
          <w:rFonts w:ascii="方正仿宋_GBK" w:eastAsia="方正仿宋_GBK"/>
          <w:b/>
          <w:snapToGrid w:val="0"/>
          <w:kern w:val="0"/>
          <w:sz w:val="24"/>
          <w:szCs w:val="24"/>
        </w:rPr>
      </w:pPr>
      <w:r>
        <w:rPr>
          <w:rFonts w:hint="eastAsia" w:ascii="方正仿宋_GBK" w:eastAsia="方正仿宋_GBK"/>
          <w:b/>
          <w:snapToGrid w:val="0"/>
          <w:kern w:val="0"/>
          <w:sz w:val="24"/>
          <w:szCs w:val="24"/>
        </w:rPr>
        <w:t>附件七：设备到货验收报告</w:t>
      </w:r>
    </w:p>
    <w:tbl>
      <w:tblPr>
        <w:tblStyle w:val="51"/>
        <w:tblW w:w="10534" w:type="dxa"/>
        <w:jc w:val="center"/>
        <w:tblLayout w:type="fixed"/>
        <w:tblCellMar>
          <w:top w:w="0" w:type="dxa"/>
          <w:left w:w="108" w:type="dxa"/>
          <w:bottom w:w="0" w:type="dxa"/>
          <w:right w:w="108" w:type="dxa"/>
        </w:tblCellMar>
      </w:tblPr>
      <w:tblGrid>
        <w:gridCol w:w="2921"/>
        <w:gridCol w:w="1589"/>
        <w:gridCol w:w="151"/>
        <w:gridCol w:w="1775"/>
        <w:gridCol w:w="2107"/>
        <w:gridCol w:w="1991"/>
      </w:tblGrid>
      <w:tr w14:paraId="6D38CFBA">
        <w:tblPrEx>
          <w:tblCellMar>
            <w:top w:w="0" w:type="dxa"/>
            <w:left w:w="108" w:type="dxa"/>
            <w:bottom w:w="0" w:type="dxa"/>
            <w:right w:w="108" w:type="dxa"/>
          </w:tblCellMar>
        </w:tblPrEx>
        <w:trPr>
          <w:trHeight w:val="540" w:hRule="atLeast"/>
          <w:jc w:val="center"/>
        </w:trPr>
        <w:tc>
          <w:tcPr>
            <w:tcW w:w="2921" w:type="dxa"/>
            <w:tcBorders>
              <w:top w:val="single" w:color="000000" w:sz="18" w:space="0"/>
              <w:left w:val="single" w:color="000000" w:sz="18" w:space="0"/>
              <w:bottom w:val="single" w:color="000000" w:sz="4" w:space="0"/>
              <w:right w:val="single" w:color="000000" w:sz="4" w:space="0"/>
            </w:tcBorders>
            <w:vAlign w:val="center"/>
          </w:tcPr>
          <w:p w14:paraId="397CCC3F">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项目名称</w:t>
            </w:r>
          </w:p>
        </w:tc>
        <w:tc>
          <w:tcPr>
            <w:tcW w:w="1589" w:type="dxa"/>
            <w:tcBorders>
              <w:top w:val="single" w:color="000000" w:sz="18" w:space="0"/>
              <w:left w:val="nil"/>
              <w:bottom w:val="single" w:color="000000" w:sz="4" w:space="0"/>
              <w:right w:val="single" w:color="000000" w:sz="4" w:space="0"/>
            </w:tcBorders>
            <w:vAlign w:val="center"/>
          </w:tcPr>
          <w:p w14:paraId="680E7A9A">
            <w:pPr>
              <w:pStyle w:val="537"/>
              <w:widowControl/>
              <w:autoSpaceDN w:val="0"/>
              <w:spacing w:line="440" w:lineRule="exact"/>
              <w:rPr>
                <w:rFonts w:ascii="方正仿宋_GBK" w:eastAsia="方正仿宋_GBK"/>
                <w:b/>
                <w:snapToGrid w:val="0"/>
                <w:kern w:val="0"/>
                <w:sz w:val="24"/>
                <w:szCs w:val="24"/>
              </w:rPr>
            </w:pPr>
          </w:p>
        </w:tc>
        <w:tc>
          <w:tcPr>
            <w:tcW w:w="4033" w:type="dxa"/>
            <w:gridSpan w:val="3"/>
            <w:tcBorders>
              <w:top w:val="single" w:color="000000" w:sz="18" w:space="0"/>
              <w:left w:val="nil"/>
              <w:bottom w:val="single" w:color="000000" w:sz="4" w:space="0"/>
              <w:right w:val="single" w:color="000000" w:sz="4" w:space="0"/>
            </w:tcBorders>
            <w:vAlign w:val="center"/>
          </w:tcPr>
          <w:p w14:paraId="4CEE7C99">
            <w:pPr>
              <w:pStyle w:val="537"/>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项目合同编号</w:t>
            </w:r>
          </w:p>
        </w:tc>
        <w:tc>
          <w:tcPr>
            <w:tcW w:w="1991" w:type="dxa"/>
            <w:tcBorders>
              <w:top w:val="single" w:color="000000" w:sz="18" w:space="0"/>
              <w:left w:val="nil"/>
              <w:bottom w:val="single" w:color="000000" w:sz="4" w:space="0"/>
              <w:right w:val="single" w:color="000000" w:sz="18" w:space="0"/>
            </w:tcBorders>
            <w:vAlign w:val="center"/>
          </w:tcPr>
          <w:p w14:paraId="217F687D">
            <w:pPr>
              <w:pStyle w:val="537"/>
              <w:widowControl/>
              <w:autoSpaceDN w:val="0"/>
              <w:spacing w:line="560" w:lineRule="exact"/>
              <w:jc w:val="center"/>
              <w:rPr>
                <w:rFonts w:ascii="方正仿宋_GBK" w:eastAsia="方正仿宋_GBK"/>
                <w:b/>
                <w:snapToGrid w:val="0"/>
                <w:kern w:val="0"/>
                <w:sz w:val="24"/>
                <w:szCs w:val="24"/>
              </w:rPr>
            </w:pPr>
          </w:p>
        </w:tc>
      </w:tr>
      <w:tr w14:paraId="5AF6097F">
        <w:tblPrEx>
          <w:tblCellMar>
            <w:top w:w="0" w:type="dxa"/>
            <w:left w:w="108" w:type="dxa"/>
            <w:bottom w:w="0" w:type="dxa"/>
            <w:right w:w="108" w:type="dxa"/>
          </w:tblCellMar>
        </w:tblPrEx>
        <w:trPr>
          <w:trHeight w:val="570" w:hRule="atLeast"/>
          <w:jc w:val="center"/>
        </w:trPr>
        <w:tc>
          <w:tcPr>
            <w:tcW w:w="2921" w:type="dxa"/>
            <w:tcBorders>
              <w:top w:val="nil"/>
              <w:left w:val="single" w:color="000000" w:sz="18" w:space="0"/>
              <w:bottom w:val="single" w:color="000000" w:sz="4" w:space="0"/>
              <w:right w:val="single" w:color="000000" w:sz="4" w:space="0"/>
            </w:tcBorders>
            <w:vAlign w:val="center"/>
          </w:tcPr>
          <w:p w14:paraId="7CA65257">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节点验收单位</w:t>
            </w:r>
          </w:p>
        </w:tc>
        <w:tc>
          <w:tcPr>
            <w:tcW w:w="7613" w:type="dxa"/>
            <w:gridSpan w:val="5"/>
            <w:tcBorders>
              <w:top w:val="single" w:color="000000" w:sz="4" w:space="0"/>
              <w:left w:val="nil"/>
              <w:bottom w:val="single" w:color="000000" w:sz="4" w:space="0"/>
              <w:right w:val="single" w:color="000000" w:sz="18" w:space="0"/>
            </w:tcBorders>
            <w:vAlign w:val="center"/>
          </w:tcPr>
          <w:p w14:paraId="602B46F8">
            <w:pPr>
              <w:pStyle w:val="537"/>
              <w:widowControl/>
              <w:autoSpaceDN w:val="0"/>
              <w:spacing w:line="440" w:lineRule="exact"/>
              <w:rPr>
                <w:rFonts w:ascii="方正仿宋_GBK" w:eastAsia="方正仿宋_GBK"/>
                <w:snapToGrid w:val="0"/>
                <w:kern w:val="0"/>
                <w:sz w:val="24"/>
                <w:szCs w:val="24"/>
              </w:rPr>
            </w:pPr>
          </w:p>
        </w:tc>
      </w:tr>
      <w:tr w14:paraId="2B8E0CF7">
        <w:tblPrEx>
          <w:tblCellMar>
            <w:top w:w="0" w:type="dxa"/>
            <w:left w:w="108" w:type="dxa"/>
            <w:bottom w:w="0" w:type="dxa"/>
            <w:right w:w="108" w:type="dxa"/>
          </w:tblCellMar>
        </w:tblPrEx>
        <w:trPr>
          <w:trHeight w:val="533" w:hRule="atLeast"/>
          <w:jc w:val="center"/>
        </w:trPr>
        <w:tc>
          <w:tcPr>
            <w:tcW w:w="2921" w:type="dxa"/>
            <w:tcBorders>
              <w:top w:val="nil"/>
              <w:left w:val="single" w:color="000000" w:sz="18" w:space="0"/>
              <w:bottom w:val="single" w:color="000000" w:sz="4" w:space="0"/>
              <w:right w:val="single" w:color="000000" w:sz="4" w:space="0"/>
            </w:tcBorders>
            <w:vAlign w:val="center"/>
          </w:tcPr>
          <w:p w14:paraId="5074EA4C">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联系人</w:t>
            </w:r>
          </w:p>
        </w:tc>
        <w:tc>
          <w:tcPr>
            <w:tcW w:w="1740" w:type="dxa"/>
            <w:gridSpan w:val="2"/>
            <w:tcBorders>
              <w:top w:val="single" w:color="000000" w:sz="4" w:space="0"/>
              <w:left w:val="nil"/>
              <w:bottom w:val="single" w:color="000000" w:sz="4" w:space="0"/>
              <w:right w:val="single" w:color="000000" w:sz="4" w:space="0"/>
            </w:tcBorders>
            <w:vAlign w:val="center"/>
          </w:tcPr>
          <w:p w14:paraId="59580916">
            <w:pPr>
              <w:pStyle w:val="537"/>
              <w:widowControl/>
              <w:autoSpaceDN w:val="0"/>
              <w:spacing w:line="440" w:lineRule="exact"/>
              <w:rPr>
                <w:rFonts w:ascii="方正仿宋_GBK" w:eastAsia="方正仿宋_GBK"/>
                <w:snapToGrid w:val="0"/>
                <w:kern w:val="0"/>
                <w:sz w:val="24"/>
                <w:szCs w:val="24"/>
              </w:rPr>
            </w:pPr>
          </w:p>
        </w:tc>
        <w:tc>
          <w:tcPr>
            <w:tcW w:w="1775" w:type="dxa"/>
            <w:tcBorders>
              <w:top w:val="nil"/>
              <w:left w:val="nil"/>
              <w:bottom w:val="single" w:color="000000" w:sz="4" w:space="0"/>
              <w:right w:val="single" w:color="000000" w:sz="4" w:space="0"/>
            </w:tcBorders>
            <w:vAlign w:val="center"/>
          </w:tcPr>
          <w:p w14:paraId="48FA2331">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联系电话</w:t>
            </w:r>
          </w:p>
        </w:tc>
        <w:tc>
          <w:tcPr>
            <w:tcW w:w="4098" w:type="dxa"/>
            <w:gridSpan w:val="2"/>
            <w:tcBorders>
              <w:top w:val="single" w:color="000000" w:sz="4" w:space="0"/>
              <w:left w:val="nil"/>
              <w:bottom w:val="single" w:color="000000" w:sz="4" w:space="0"/>
              <w:right w:val="single" w:color="000000" w:sz="18" w:space="0"/>
            </w:tcBorders>
            <w:vAlign w:val="center"/>
          </w:tcPr>
          <w:p w14:paraId="352038BA">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r w14:paraId="2A5E33A7">
        <w:tblPrEx>
          <w:tblCellMar>
            <w:top w:w="0" w:type="dxa"/>
            <w:left w:w="108" w:type="dxa"/>
            <w:bottom w:w="0" w:type="dxa"/>
            <w:right w:w="108" w:type="dxa"/>
          </w:tblCellMar>
        </w:tblPrEx>
        <w:trPr>
          <w:trHeight w:val="495" w:hRule="atLeast"/>
          <w:jc w:val="center"/>
        </w:trPr>
        <w:tc>
          <w:tcPr>
            <w:tcW w:w="2921" w:type="dxa"/>
            <w:tcBorders>
              <w:top w:val="nil"/>
              <w:left w:val="single" w:color="000000" w:sz="18" w:space="0"/>
              <w:bottom w:val="single" w:color="000000" w:sz="4" w:space="0"/>
              <w:right w:val="single" w:color="000000" w:sz="4" w:space="0"/>
            </w:tcBorders>
            <w:vAlign w:val="center"/>
          </w:tcPr>
          <w:p w14:paraId="3CAE4894">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采购设备名称</w:t>
            </w:r>
          </w:p>
        </w:tc>
        <w:tc>
          <w:tcPr>
            <w:tcW w:w="1740" w:type="dxa"/>
            <w:gridSpan w:val="2"/>
            <w:tcBorders>
              <w:top w:val="single" w:color="000000" w:sz="4" w:space="0"/>
              <w:left w:val="nil"/>
              <w:bottom w:val="single" w:color="000000" w:sz="4" w:space="0"/>
              <w:right w:val="single" w:color="000000" w:sz="4" w:space="0"/>
            </w:tcBorders>
            <w:vAlign w:val="center"/>
          </w:tcPr>
          <w:p w14:paraId="7D9C39F2">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设备描述及说明</w:t>
            </w:r>
          </w:p>
        </w:tc>
        <w:tc>
          <w:tcPr>
            <w:tcW w:w="1775" w:type="dxa"/>
            <w:tcBorders>
              <w:top w:val="nil"/>
              <w:left w:val="nil"/>
              <w:bottom w:val="single" w:color="000000" w:sz="4" w:space="0"/>
              <w:right w:val="single" w:color="000000" w:sz="4" w:space="0"/>
            </w:tcBorders>
            <w:vAlign w:val="center"/>
          </w:tcPr>
          <w:p w14:paraId="7CCC8F0D">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数量</w:t>
            </w:r>
          </w:p>
        </w:tc>
        <w:tc>
          <w:tcPr>
            <w:tcW w:w="4098" w:type="dxa"/>
            <w:gridSpan w:val="2"/>
            <w:tcBorders>
              <w:top w:val="single" w:color="000000" w:sz="4" w:space="0"/>
              <w:left w:val="nil"/>
              <w:bottom w:val="single" w:color="000000" w:sz="4" w:space="0"/>
              <w:right w:val="single" w:color="000000" w:sz="18" w:space="0"/>
            </w:tcBorders>
            <w:vAlign w:val="center"/>
          </w:tcPr>
          <w:p w14:paraId="0ADA1438">
            <w:pPr>
              <w:pStyle w:val="537"/>
              <w:widowControl/>
              <w:autoSpaceDN w:val="0"/>
              <w:spacing w:line="440" w:lineRule="exact"/>
              <w:jc w:val="center"/>
              <w:rPr>
                <w:rFonts w:ascii="方正仿宋_GBK" w:eastAsia="方正仿宋_GBK"/>
                <w:bCs/>
                <w:snapToGrid w:val="0"/>
                <w:kern w:val="0"/>
                <w:sz w:val="24"/>
                <w:szCs w:val="24"/>
              </w:rPr>
            </w:pPr>
            <w:r>
              <w:rPr>
                <w:rFonts w:hint="eastAsia" w:ascii="方正仿宋_GBK" w:eastAsia="方正仿宋_GBK"/>
                <w:bCs/>
                <w:snapToGrid w:val="0"/>
                <w:kern w:val="0"/>
                <w:sz w:val="24"/>
                <w:szCs w:val="24"/>
              </w:rPr>
              <w:t>序列号</w:t>
            </w:r>
          </w:p>
        </w:tc>
      </w:tr>
      <w:tr w14:paraId="42F67B83">
        <w:tblPrEx>
          <w:tblCellMar>
            <w:top w:w="0" w:type="dxa"/>
            <w:left w:w="108" w:type="dxa"/>
            <w:bottom w:w="0" w:type="dxa"/>
            <w:right w:w="108" w:type="dxa"/>
          </w:tblCellMar>
        </w:tblPrEx>
        <w:trPr>
          <w:trHeight w:val="480" w:hRule="atLeast"/>
          <w:jc w:val="center"/>
        </w:trPr>
        <w:tc>
          <w:tcPr>
            <w:tcW w:w="2921" w:type="dxa"/>
            <w:tcBorders>
              <w:top w:val="nil"/>
              <w:left w:val="single" w:color="000000" w:sz="18" w:space="0"/>
              <w:bottom w:val="single" w:color="000000" w:sz="4" w:space="0"/>
              <w:right w:val="single" w:color="000000" w:sz="4" w:space="0"/>
            </w:tcBorders>
            <w:vAlign w:val="center"/>
          </w:tcPr>
          <w:p w14:paraId="7AE49F90">
            <w:pPr>
              <w:pStyle w:val="537"/>
              <w:widowControl/>
              <w:autoSpaceDN w:val="0"/>
              <w:spacing w:line="440" w:lineRule="exact"/>
              <w:jc w:val="center"/>
              <w:rPr>
                <w:rFonts w:ascii="方正仿宋_GBK" w:eastAsia="方正仿宋_GBK"/>
                <w:snapToGrid w:val="0"/>
                <w:kern w:val="0"/>
                <w:sz w:val="24"/>
                <w:szCs w:val="24"/>
              </w:rPr>
            </w:pPr>
          </w:p>
        </w:tc>
        <w:tc>
          <w:tcPr>
            <w:tcW w:w="1740" w:type="dxa"/>
            <w:gridSpan w:val="2"/>
            <w:tcBorders>
              <w:top w:val="single" w:color="000000" w:sz="4" w:space="0"/>
              <w:left w:val="nil"/>
              <w:bottom w:val="single" w:color="000000" w:sz="4" w:space="0"/>
              <w:right w:val="single" w:color="000000" w:sz="4" w:space="0"/>
            </w:tcBorders>
            <w:vAlign w:val="center"/>
          </w:tcPr>
          <w:p w14:paraId="5D618125">
            <w:pPr>
              <w:pStyle w:val="537"/>
              <w:widowControl/>
              <w:autoSpaceDN w:val="0"/>
              <w:spacing w:line="440" w:lineRule="exact"/>
              <w:jc w:val="center"/>
              <w:rPr>
                <w:rFonts w:ascii="方正仿宋_GBK" w:eastAsia="方正仿宋_GBK"/>
                <w:snapToGrid w:val="0"/>
                <w:kern w:val="0"/>
                <w:sz w:val="24"/>
                <w:szCs w:val="24"/>
              </w:rPr>
            </w:pPr>
          </w:p>
        </w:tc>
        <w:tc>
          <w:tcPr>
            <w:tcW w:w="1775" w:type="dxa"/>
            <w:tcBorders>
              <w:top w:val="nil"/>
              <w:left w:val="nil"/>
              <w:bottom w:val="single" w:color="000000" w:sz="4" w:space="0"/>
              <w:right w:val="single" w:color="000000" w:sz="4" w:space="0"/>
            </w:tcBorders>
            <w:vAlign w:val="center"/>
          </w:tcPr>
          <w:p w14:paraId="076FE785">
            <w:pPr>
              <w:pStyle w:val="537"/>
              <w:widowControl/>
              <w:autoSpaceDN w:val="0"/>
              <w:spacing w:line="440" w:lineRule="exact"/>
              <w:jc w:val="center"/>
              <w:rPr>
                <w:rFonts w:ascii="方正仿宋_GBK" w:eastAsia="方正仿宋_GBK"/>
                <w:snapToGrid w:val="0"/>
                <w:kern w:val="0"/>
                <w:sz w:val="24"/>
                <w:szCs w:val="24"/>
              </w:rPr>
            </w:pPr>
          </w:p>
        </w:tc>
        <w:tc>
          <w:tcPr>
            <w:tcW w:w="4098" w:type="dxa"/>
            <w:gridSpan w:val="2"/>
            <w:tcBorders>
              <w:top w:val="single" w:color="000000" w:sz="4" w:space="0"/>
              <w:left w:val="nil"/>
              <w:bottom w:val="single" w:color="000000" w:sz="4" w:space="0"/>
              <w:right w:val="single" w:color="000000" w:sz="18" w:space="0"/>
            </w:tcBorders>
            <w:vAlign w:val="center"/>
          </w:tcPr>
          <w:p w14:paraId="5071D896">
            <w:pPr>
              <w:pStyle w:val="537"/>
              <w:widowControl/>
              <w:autoSpaceDN w:val="0"/>
              <w:spacing w:line="440" w:lineRule="exact"/>
              <w:jc w:val="center"/>
              <w:rPr>
                <w:rFonts w:ascii="方正仿宋_GBK" w:eastAsia="方正仿宋_GBK"/>
                <w:snapToGrid w:val="0"/>
                <w:kern w:val="0"/>
                <w:sz w:val="24"/>
                <w:szCs w:val="24"/>
              </w:rPr>
            </w:pPr>
          </w:p>
        </w:tc>
      </w:tr>
      <w:tr w14:paraId="3C512A85">
        <w:tblPrEx>
          <w:tblCellMar>
            <w:top w:w="0" w:type="dxa"/>
            <w:left w:w="108" w:type="dxa"/>
            <w:bottom w:w="0" w:type="dxa"/>
            <w:right w:w="108" w:type="dxa"/>
          </w:tblCellMar>
        </w:tblPrEx>
        <w:trPr>
          <w:trHeight w:val="510" w:hRule="atLeast"/>
          <w:jc w:val="center"/>
        </w:trPr>
        <w:tc>
          <w:tcPr>
            <w:tcW w:w="10534" w:type="dxa"/>
            <w:gridSpan w:val="6"/>
            <w:tcBorders>
              <w:top w:val="single" w:color="000000" w:sz="4" w:space="0"/>
              <w:left w:val="single" w:color="000000" w:sz="18" w:space="0"/>
              <w:bottom w:val="single" w:color="000000" w:sz="8" w:space="0"/>
              <w:right w:val="single" w:color="000000" w:sz="18" w:space="0"/>
            </w:tcBorders>
            <w:vAlign w:val="center"/>
          </w:tcPr>
          <w:p w14:paraId="06750A6E">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xml:space="preserve">备注： </w:t>
            </w:r>
          </w:p>
        </w:tc>
      </w:tr>
      <w:tr w14:paraId="57385636">
        <w:tblPrEx>
          <w:tblCellMar>
            <w:top w:w="0" w:type="dxa"/>
            <w:left w:w="108" w:type="dxa"/>
            <w:bottom w:w="0" w:type="dxa"/>
            <w:right w:w="108" w:type="dxa"/>
          </w:tblCellMar>
        </w:tblPrEx>
        <w:trPr>
          <w:trHeight w:val="270" w:hRule="atLeast"/>
          <w:jc w:val="center"/>
        </w:trPr>
        <w:tc>
          <w:tcPr>
            <w:tcW w:w="10534" w:type="dxa"/>
            <w:gridSpan w:val="6"/>
            <w:tcBorders>
              <w:top w:val="single" w:color="000000" w:sz="8" w:space="0"/>
              <w:left w:val="single" w:color="000000" w:sz="18" w:space="0"/>
              <w:bottom w:val="nil"/>
              <w:right w:val="single" w:color="000000" w:sz="18" w:space="0"/>
            </w:tcBorders>
            <w:vAlign w:val="center"/>
          </w:tcPr>
          <w:p w14:paraId="694B2EEE">
            <w:pPr>
              <w:pStyle w:val="537"/>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验收内容</w:t>
            </w:r>
          </w:p>
        </w:tc>
      </w:tr>
      <w:tr w14:paraId="5A79D54E">
        <w:tblPrEx>
          <w:tblCellMar>
            <w:top w:w="0" w:type="dxa"/>
            <w:left w:w="108" w:type="dxa"/>
            <w:bottom w:w="0" w:type="dxa"/>
            <w:right w:w="108" w:type="dxa"/>
          </w:tblCellMar>
        </w:tblPrEx>
        <w:trPr>
          <w:trHeight w:val="570" w:hRule="atLeast"/>
          <w:jc w:val="center"/>
        </w:trPr>
        <w:tc>
          <w:tcPr>
            <w:tcW w:w="10534" w:type="dxa"/>
            <w:gridSpan w:val="6"/>
            <w:tcBorders>
              <w:top w:val="nil"/>
              <w:left w:val="single" w:color="000000" w:sz="18" w:space="0"/>
              <w:bottom w:val="nil"/>
              <w:right w:val="single" w:color="000000" w:sz="18" w:space="0"/>
            </w:tcBorders>
            <w:vAlign w:val="center"/>
          </w:tcPr>
          <w:p w14:paraId="231413D5">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xml:space="preserve">验收内容：对设备包装、外观进行检查后，双方一致认为设备包装      </w:t>
            </w:r>
          </w:p>
          <w:p w14:paraId="7107D552">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xml:space="preserve"> □完好 / □破损</w:t>
            </w:r>
          </w:p>
        </w:tc>
      </w:tr>
      <w:tr w14:paraId="0E1BFC99">
        <w:tblPrEx>
          <w:tblCellMar>
            <w:top w:w="0" w:type="dxa"/>
            <w:left w:w="108" w:type="dxa"/>
            <w:bottom w:w="0" w:type="dxa"/>
            <w:right w:w="108" w:type="dxa"/>
          </w:tblCellMar>
        </w:tblPrEx>
        <w:trPr>
          <w:trHeight w:val="540" w:hRule="atLeast"/>
          <w:jc w:val="center"/>
        </w:trPr>
        <w:tc>
          <w:tcPr>
            <w:tcW w:w="10534" w:type="dxa"/>
            <w:gridSpan w:val="6"/>
            <w:tcBorders>
              <w:top w:val="nil"/>
              <w:left w:val="single" w:color="000000" w:sz="18" w:space="0"/>
              <w:bottom w:val="nil"/>
              <w:right w:val="single" w:color="000000" w:sz="18" w:space="0"/>
            </w:tcBorders>
            <w:vAlign w:val="center"/>
          </w:tcPr>
          <w:p w14:paraId="18149622">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xml:space="preserve">开箱验货：检查设备型号、数量、外观及相关资料等是否正确、齐全    </w:t>
            </w:r>
          </w:p>
          <w:p w14:paraId="7B28175D">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□齐全 / □不齐全</w:t>
            </w:r>
          </w:p>
        </w:tc>
      </w:tr>
      <w:tr w14:paraId="690C56AF">
        <w:tblPrEx>
          <w:tblCellMar>
            <w:top w:w="0" w:type="dxa"/>
            <w:left w:w="108" w:type="dxa"/>
            <w:bottom w:w="0" w:type="dxa"/>
            <w:right w:w="108" w:type="dxa"/>
          </w:tblCellMar>
        </w:tblPrEx>
        <w:trPr>
          <w:trHeight w:val="724" w:hRule="atLeast"/>
          <w:jc w:val="center"/>
        </w:trPr>
        <w:tc>
          <w:tcPr>
            <w:tcW w:w="10534" w:type="dxa"/>
            <w:gridSpan w:val="6"/>
            <w:tcBorders>
              <w:top w:val="nil"/>
              <w:left w:val="single" w:color="000000" w:sz="18" w:space="0"/>
              <w:bottom w:val="single" w:color="000000" w:sz="8" w:space="0"/>
              <w:right w:val="single" w:color="000000" w:sz="18" w:space="0"/>
            </w:tcBorders>
            <w:vAlign w:val="center"/>
          </w:tcPr>
          <w:p w14:paraId="0280C4DC">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验收意见：□同意 / □不同意验收。</w:t>
            </w:r>
          </w:p>
          <w:p w14:paraId="78FC2A13">
            <w:pPr>
              <w:pStyle w:val="537"/>
              <w:widowControl/>
              <w:autoSpaceDN w:val="0"/>
              <w:spacing w:line="440" w:lineRule="exact"/>
              <w:ind w:firstLine="480" w:firstLineChars="200"/>
              <w:rPr>
                <w:rFonts w:ascii="方正仿宋_GBK" w:eastAsia="方正仿宋_GBK"/>
                <w:snapToGrid w:val="0"/>
                <w:kern w:val="0"/>
                <w:sz w:val="24"/>
                <w:szCs w:val="24"/>
              </w:rPr>
            </w:pPr>
          </w:p>
          <w:p w14:paraId="5FADA6D3">
            <w:pPr>
              <w:pStyle w:val="537"/>
              <w:autoSpaceDN w:val="0"/>
              <w:spacing w:line="440" w:lineRule="exact"/>
              <w:ind w:firstLine="480" w:firstLineChars="200"/>
              <w:rPr>
                <w:rFonts w:ascii="方正仿宋_GBK" w:eastAsia="方正仿宋_GBK"/>
                <w:snapToGrid w:val="0"/>
                <w:kern w:val="0"/>
                <w:sz w:val="24"/>
                <w:szCs w:val="24"/>
              </w:rPr>
            </w:pPr>
          </w:p>
        </w:tc>
      </w:tr>
      <w:tr w14:paraId="0036873C">
        <w:tblPrEx>
          <w:tblCellMar>
            <w:top w:w="0" w:type="dxa"/>
            <w:left w:w="108" w:type="dxa"/>
            <w:bottom w:w="0" w:type="dxa"/>
            <w:right w:w="108" w:type="dxa"/>
          </w:tblCellMar>
        </w:tblPrEx>
        <w:trPr>
          <w:trHeight w:val="419" w:hRule="atLeast"/>
          <w:jc w:val="center"/>
        </w:trPr>
        <w:tc>
          <w:tcPr>
            <w:tcW w:w="4510" w:type="dxa"/>
            <w:gridSpan w:val="2"/>
            <w:vMerge w:val="restart"/>
            <w:tcBorders>
              <w:top w:val="single" w:color="000000" w:sz="8" w:space="0"/>
              <w:left w:val="single" w:color="000000" w:sz="18" w:space="0"/>
              <w:bottom w:val="single" w:color="000000" w:sz="18" w:space="0"/>
              <w:right w:val="single" w:color="000000" w:sz="4" w:space="0"/>
            </w:tcBorders>
            <w:vAlign w:val="center"/>
          </w:tcPr>
          <w:p w14:paraId="57ED8B73">
            <w:pPr>
              <w:pStyle w:val="559"/>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甲方验收代表签字：</w:t>
            </w:r>
          </w:p>
          <w:p w14:paraId="4B861F2C">
            <w:pPr>
              <w:pStyle w:val="560"/>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　</w:t>
            </w:r>
          </w:p>
          <w:p w14:paraId="40EA524A">
            <w:pPr>
              <w:pStyle w:val="561"/>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　</w:t>
            </w:r>
          </w:p>
          <w:p w14:paraId="4AC57CE8">
            <w:pPr>
              <w:pStyle w:val="566"/>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p w14:paraId="7CEE653B">
            <w:pPr>
              <w:pStyle w:val="562"/>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　甲方盖章：</w:t>
            </w:r>
          </w:p>
          <w:p w14:paraId="2439D5B0">
            <w:pPr>
              <w:pStyle w:val="563"/>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　</w:t>
            </w:r>
          </w:p>
          <w:p w14:paraId="29B48245">
            <w:pPr>
              <w:pStyle w:val="564"/>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日期：</w:t>
            </w:r>
          </w:p>
          <w:p w14:paraId="0A165042">
            <w:pPr>
              <w:pStyle w:val="567"/>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　</w:t>
            </w:r>
          </w:p>
          <w:p w14:paraId="70339EE7">
            <w:pPr>
              <w:pStyle w:val="568"/>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　</w:t>
            </w:r>
          </w:p>
          <w:p w14:paraId="3B22A2C3">
            <w:pPr>
              <w:pStyle w:val="569"/>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c>
          <w:tcPr>
            <w:tcW w:w="6024" w:type="dxa"/>
            <w:gridSpan w:val="4"/>
            <w:tcBorders>
              <w:top w:val="single" w:color="000000" w:sz="8" w:space="0"/>
              <w:left w:val="nil"/>
              <w:bottom w:val="nil"/>
              <w:right w:val="single" w:color="000000" w:sz="18" w:space="0"/>
            </w:tcBorders>
            <w:vAlign w:val="center"/>
          </w:tcPr>
          <w:p w14:paraId="4A39D430">
            <w:pPr>
              <w:pStyle w:val="537"/>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乙方验收代表签字：</w:t>
            </w:r>
          </w:p>
        </w:tc>
      </w:tr>
      <w:tr w14:paraId="057D0EA3">
        <w:tblPrEx>
          <w:tblCellMar>
            <w:top w:w="0" w:type="dxa"/>
            <w:left w:w="108" w:type="dxa"/>
            <w:bottom w:w="0" w:type="dxa"/>
            <w:right w:w="108" w:type="dxa"/>
          </w:tblCellMar>
        </w:tblPrEx>
        <w:trPr>
          <w:trHeight w:val="439" w:hRule="atLeast"/>
          <w:jc w:val="center"/>
        </w:trPr>
        <w:tc>
          <w:tcPr>
            <w:tcW w:w="4510" w:type="dxa"/>
            <w:gridSpan w:val="2"/>
            <w:vMerge w:val="continue"/>
            <w:tcBorders>
              <w:top w:val="single" w:color="000000" w:sz="8" w:space="0"/>
              <w:left w:val="single" w:color="000000" w:sz="18" w:space="0"/>
              <w:bottom w:val="single" w:color="000000" w:sz="18" w:space="0"/>
              <w:right w:val="single" w:color="000000" w:sz="4" w:space="0"/>
            </w:tcBorders>
            <w:vAlign w:val="center"/>
          </w:tcPr>
          <w:p w14:paraId="6CCF4FFE">
            <w:pPr>
              <w:rPr>
                <w:rFonts w:ascii="方正仿宋_GBK" w:eastAsia="方正仿宋_GBK"/>
                <w:sz w:val="24"/>
              </w:rPr>
            </w:pPr>
          </w:p>
        </w:tc>
        <w:tc>
          <w:tcPr>
            <w:tcW w:w="4033" w:type="dxa"/>
            <w:gridSpan w:val="3"/>
            <w:tcBorders>
              <w:top w:val="nil"/>
              <w:left w:val="nil"/>
              <w:bottom w:val="nil"/>
              <w:right w:val="nil"/>
            </w:tcBorders>
            <w:vAlign w:val="center"/>
          </w:tcPr>
          <w:p w14:paraId="493D16AF">
            <w:pPr>
              <w:pStyle w:val="537"/>
              <w:widowControl/>
              <w:autoSpaceDN w:val="0"/>
              <w:spacing w:line="440" w:lineRule="exact"/>
              <w:rPr>
                <w:rFonts w:ascii="方正仿宋_GBK" w:eastAsia="方正仿宋_GBK"/>
                <w:bCs/>
                <w:snapToGrid w:val="0"/>
                <w:kern w:val="0"/>
                <w:sz w:val="24"/>
                <w:szCs w:val="24"/>
              </w:rPr>
            </w:pPr>
          </w:p>
        </w:tc>
        <w:tc>
          <w:tcPr>
            <w:tcW w:w="1991" w:type="dxa"/>
            <w:tcBorders>
              <w:top w:val="nil"/>
              <w:left w:val="nil"/>
              <w:bottom w:val="nil"/>
              <w:right w:val="single" w:color="000000" w:sz="18" w:space="0"/>
            </w:tcBorders>
            <w:vAlign w:val="bottom"/>
          </w:tcPr>
          <w:p w14:paraId="30FDDE51">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r w14:paraId="39E15774">
        <w:tblPrEx>
          <w:tblCellMar>
            <w:top w:w="0" w:type="dxa"/>
            <w:left w:w="108" w:type="dxa"/>
            <w:bottom w:w="0" w:type="dxa"/>
            <w:right w:w="108" w:type="dxa"/>
          </w:tblCellMar>
        </w:tblPrEx>
        <w:trPr>
          <w:trHeight w:val="439" w:hRule="atLeast"/>
          <w:jc w:val="center"/>
        </w:trPr>
        <w:tc>
          <w:tcPr>
            <w:tcW w:w="4510" w:type="dxa"/>
            <w:gridSpan w:val="2"/>
            <w:vMerge w:val="continue"/>
            <w:tcBorders>
              <w:top w:val="single" w:color="000000" w:sz="8" w:space="0"/>
              <w:left w:val="single" w:color="000000" w:sz="18" w:space="0"/>
              <w:bottom w:val="single" w:color="000000" w:sz="18" w:space="0"/>
              <w:right w:val="single" w:color="000000" w:sz="4" w:space="0"/>
            </w:tcBorders>
            <w:vAlign w:val="center"/>
          </w:tcPr>
          <w:p w14:paraId="52E32FCE">
            <w:pPr>
              <w:rPr>
                <w:rFonts w:ascii="方正仿宋_GBK" w:eastAsia="方正仿宋_GBK"/>
                <w:sz w:val="24"/>
              </w:rPr>
            </w:pPr>
          </w:p>
        </w:tc>
        <w:tc>
          <w:tcPr>
            <w:tcW w:w="4033" w:type="dxa"/>
            <w:gridSpan w:val="3"/>
            <w:tcBorders>
              <w:top w:val="nil"/>
              <w:left w:val="nil"/>
              <w:bottom w:val="nil"/>
              <w:right w:val="nil"/>
            </w:tcBorders>
            <w:vAlign w:val="center"/>
          </w:tcPr>
          <w:p w14:paraId="1F4D4029">
            <w:pPr>
              <w:pStyle w:val="537"/>
              <w:widowControl/>
              <w:autoSpaceDN w:val="0"/>
              <w:spacing w:line="440" w:lineRule="exact"/>
              <w:rPr>
                <w:rFonts w:ascii="方正仿宋_GBK" w:eastAsia="方正仿宋_GBK"/>
                <w:bCs/>
                <w:snapToGrid w:val="0"/>
                <w:kern w:val="0"/>
                <w:sz w:val="24"/>
                <w:szCs w:val="24"/>
              </w:rPr>
            </w:pPr>
          </w:p>
        </w:tc>
        <w:tc>
          <w:tcPr>
            <w:tcW w:w="1991" w:type="dxa"/>
            <w:tcBorders>
              <w:top w:val="nil"/>
              <w:left w:val="nil"/>
              <w:bottom w:val="nil"/>
              <w:right w:val="single" w:color="000000" w:sz="18" w:space="0"/>
            </w:tcBorders>
            <w:vAlign w:val="bottom"/>
          </w:tcPr>
          <w:p w14:paraId="07F49E64">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r w14:paraId="3C6F5D7B">
        <w:tblPrEx>
          <w:tblCellMar>
            <w:top w:w="0" w:type="dxa"/>
            <w:left w:w="108" w:type="dxa"/>
            <w:bottom w:w="0" w:type="dxa"/>
            <w:right w:w="108" w:type="dxa"/>
          </w:tblCellMar>
        </w:tblPrEx>
        <w:trPr>
          <w:trHeight w:val="439" w:hRule="atLeast"/>
          <w:jc w:val="center"/>
        </w:trPr>
        <w:tc>
          <w:tcPr>
            <w:tcW w:w="4510" w:type="dxa"/>
            <w:gridSpan w:val="2"/>
            <w:vMerge w:val="continue"/>
            <w:tcBorders>
              <w:top w:val="single" w:color="000000" w:sz="8" w:space="0"/>
              <w:left w:val="single" w:color="000000" w:sz="18" w:space="0"/>
              <w:bottom w:val="single" w:color="000000" w:sz="18" w:space="0"/>
              <w:right w:val="single" w:color="000000" w:sz="4" w:space="0"/>
            </w:tcBorders>
            <w:vAlign w:val="center"/>
          </w:tcPr>
          <w:p w14:paraId="41C3B4FE">
            <w:pPr>
              <w:rPr>
                <w:rFonts w:ascii="方正仿宋_GBK" w:eastAsia="方正仿宋_GBK"/>
                <w:sz w:val="24"/>
              </w:rPr>
            </w:pPr>
          </w:p>
        </w:tc>
        <w:tc>
          <w:tcPr>
            <w:tcW w:w="4033" w:type="dxa"/>
            <w:gridSpan w:val="3"/>
            <w:tcBorders>
              <w:top w:val="nil"/>
              <w:left w:val="nil"/>
              <w:bottom w:val="nil"/>
              <w:right w:val="nil"/>
            </w:tcBorders>
            <w:vAlign w:val="center"/>
          </w:tcPr>
          <w:p w14:paraId="337EAE9A">
            <w:pPr>
              <w:pStyle w:val="537"/>
              <w:widowControl/>
              <w:autoSpaceDN w:val="0"/>
              <w:spacing w:line="440" w:lineRule="exact"/>
              <w:rPr>
                <w:rFonts w:ascii="方正仿宋_GBK" w:eastAsia="方正仿宋_GBK"/>
                <w:bCs/>
                <w:snapToGrid w:val="0"/>
                <w:kern w:val="0"/>
                <w:sz w:val="24"/>
                <w:szCs w:val="24"/>
              </w:rPr>
            </w:pPr>
          </w:p>
        </w:tc>
        <w:tc>
          <w:tcPr>
            <w:tcW w:w="1991" w:type="dxa"/>
            <w:tcBorders>
              <w:top w:val="nil"/>
              <w:left w:val="nil"/>
              <w:bottom w:val="nil"/>
              <w:right w:val="single" w:color="000000" w:sz="18" w:space="0"/>
            </w:tcBorders>
            <w:vAlign w:val="bottom"/>
          </w:tcPr>
          <w:p w14:paraId="2339E5F0">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r w14:paraId="2BE91B28">
        <w:tblPrEx>
          <w:tblCellMar>
            <w:top w:w="0" w:type="dxa"/>
            <w:left w:w="108" w:type="dxa"/>
            <w:bottom w:w="0" w:type="dxa"/>
            <w:right w:w="108" w:type="dxa"/>
          </w:tblCellMar>
        </w:tblPrEx>
        <w:trPr>
          <w:trHeight w:val="439" w:hRule="atLeast"/>
          <w:jc w:val="center"/>
        </w:trPr>
        <w:tc>
          <w:tcPr>
            <w:tcW w:w="4510" w:type="dxa"/>
            <w:gridSpan w:val="2"/>
            <w:vMerge w:val="continue"/>
            <w:tcBorders>
              <w:top w:val="single" w:color="000000" w:sz="8" w:space="0"/>
              <w:left w:val="single" w:color="000000" w:sz="18" w:space="0"/>
              <w:bottom w:val="single" w:color="000000" w:sz="18" w:space="0"/>
              <w:right w:val="single" w:color="000000" w:sz="4" w:space="0"/>
            </w:tcBorders>
            <w:vAlign w:val="center"/>
          </w:tcPr>
          <w:p w14:paraId="60FF842C">
            <w:pPr>
              <w:rPr>
                <w:rFonts w:ascii="方正仿宋_GBK" w:eastAsia="方正仿宋_GBK"/>
                <w:sz w:val="24"/>
              </w:rPr>
            </w:pPr>
          </w:p>
        </w:tc>
        <w:tc>
          <w:tcPr>
            <w:tcW w:w="4033" w:type="dxa"/>
            <w:gridSpan w:val="3"/>
            <w:tcBorders>
              <w:top w:val="nil"/>
              <w:left w:val="nil"/>
              <w:bottom w:val="nil"/>
              <w:right w:val="nil"/>
            </w:tcBorders>
            <w:vAlign w:val="center"/>
          </w:tcPr>
          <w:p w14:paraId="657675AE">
            <w:pPr>
              <w:pStyle w:val="537"/>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乙方盖章：</w:t>
            </w:r>
          </w:p>
        </w:tc>
        <w:tc>
          <w:tcPr>
            <w:tcW w:w="1991" w:type="dxa"/>
            <w:tcBorders>
              <w:top w:val="nil"/>
              <w:left w:val="nil"/>
              <w:bottom w:val="nil"/>
              <w:right w:val="single" w:color="000000" w:sz="18" w:space="0"/>
            </w:tcBorders>
            <w:vAlign w:val="bottom"/>
          </w:tcPr>
          <w:p w14:paraId="48E7CEDE">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r w14:paraId="48DFAA1F">
        <w:tblPrEx>
          <w:tblCellMar>
            <w:top w:w="0" w:type="dxa"/>
            <w:left w:w="108" w:type="dxa"/>
            <w:bottom w:w="0" w:type="dxa"/>
            <w:right w:w="108" w:type="dxa"/>
          </w:tblCellMar>
        </w:tblPrEx>
        <w:trPr>
          <w:trHeight w:val="439" w:hRule="atLeast"/>
          <w:jc w:val="center"/>
        </w:trPr>
        <w:tc>
          <w:tcPr>
            <w:tcW w:w="4510" w:type="dxa"/>
            <w:gridSpan w:val="2"/>
            <w:vMerge w:val="continue"/>
            <w:tcBorders>
              <w:top w:val="single" w:color="000000" w:sz="8" w:space="0"/>
              <w:left w:val="single" w:color="000000" w:sz="18" w:space="0"/>
              <w:bottom w:val="single" w:color="000000" w:sz="18" w:space="0"/>
              <w:right w:val="single" w:color="000000" w:sz="4" w:space="0"/>
            </w:tcBorders>
            <w:vAlign w:val="center"/>
          </w:tcPr>
          <w:p w14:paraId="0E909CF3">
            <w:pPr>
              <w:rPr>
                <w:rFonts w:ascii="方正仿宋_GBK" w:eastAsia="方正仿宋_GBK"/>
                <w:sz w:val="24"/>
              </w:rPr>
            </w:pPr>
          </w:p>
        </w:tc>
        <w:tc>
          <w:tcPr>
            <w:tcW w:w="4033" w:type="dxa"/>
            <w:gridSpan w:val="3"/>
            <w:tcBorders>
              <w:top w:val="nil"/>
              <w:left w:val="nil"/>
              <w:bottom w:val="nil"/>
              <w:right w:val="nil"/>
            </w:tcBorders>
            <w:vAlign w:val="center"/>
          </w:tcPr>
          <w:p w14:paraId="2F5FBFBC">
            <w:pPr>
              <w:pStyle w:val="537"/>
              <w:widowControl/>
              <w:autoSpaceDN w:val="0"/>
              <w:spacing w:line="440" w:lineRule="exact"/>
              <w:rPr>
                <w:rFonts w:ascii="方正仿宋_GBK" w:eastAsia="方正仿宋_GBK"/>
                <w:bCs/>
                <w:snapToGrid w:val="0"/>
                <w:kern w:val="0"/>
                <w:sz w:val="24"/>
                <w:szCs w:val="24"/>
              </w:rPr>
            </w:pPr>
          </w:p>
        </w:tc>
        <w:tc>
          <w:tcPr>
            <w:tcW w:w="1991" w:type="dxa"/>
            <w:tcBorders>
              <w:top w:val="nil"/>
              <w:left w:val="nil"/>
              <w:bottom w:val="nil"/>
              <w:right w:val="single" w:color="000000" w:sz="18" w:space="0"/>
            </w:tcBorders>
            <w:vAlign w:val="bottom"/>
          </w:tcPr>
          <w:p w14:paraId="00AE3B39">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r w14:paraId="43553903">
        <w:tblPrEx>
          <w:tblCellMar>
            <w:top w:w="0" w:type="dxa"/>
            <w:left w:w="108" w:type="dxa"/>
            <w:bottom w:w="0" w:type="dxa"/>
            <w:right w:w="108" w:type="dxa"/>
          </w:tblCellMar>
        </w:tblPrEx>
        <w:trPr>
          <w:trHeight w:val="439" w:hRule="atLeast"/>
          <w:jc w:val="center"/>
        </w:trPr>
        <w:tc>
          <w:tcPr>
            <w:tcW w:w="4510" w:type="dxa"/>
            <w:gridSpan w:val="2"/>
            <w:vMerge w:val="continue"/>
            <w:tcBorders>
              <w:top w:val="single" w:color="000000" w:sz="8" w:space="0"/>
              <w:left w:val="single" w:color="000000" w:sz="18" w:space="0"/>
              <w:bottom w:val="single" w:color="000000" w:sz="18" w:space="0"/>
              <w:right w:val="single" w:color="000000" w:sz="4" w:space="0"/>
            </w:tcBorders>
            <w:vAlign w:val="center"/>
          </w:tcPr>
          <w:p w14:paraId="245300EA">
            <w:pPr>
              <w:rPr>
                <w:rFonts w:ascii="方正仿宋_GBK" w:eastAsia="方正仿宋_GBK"/>
                <w:sz w:val="24"/>
              </w:rPr>
            </w:pPr>
          </w:p>
        </w:tc>
        <w:tc>
          <w:tcPr>
            <w:tcW w:w="4033" w:type="dxa"/>
            <w:gridSpan w:val="3"/>
            <w:tcBorders>
              <w:top w:val="nil"/>
              <w:left w:val="nil"/>
              <w:bottom w:val="nil"/>
              <w:right w:val="nil"/>
            </w:tcBorders>
            <w:vAlign w:val="bottom"/>
          </w:tcPr>
          <w:p w14:paraId="419B995F">
            <w:pPr>
              <w:pStyle w:val="537"/>
              <w:widowControl/>
              <w:autoSpaceDN w:val="0"/>
              <w:spacing w:line="440" w:lineRule="exact"/>
              <w:rPr>
                <w:rFonts w:ascii="方正仿宋_GBK" w:eastAsia="方正仿宋_GBK"/>
                <w:bCs/>
                <w:snapToGrid w:val="0"/>
                <w:kern w:val="0"/>
                <w:sz w:val="24"/>
                <w:szCs w:val="24"/>
              </w:rPr>
            </w:pPr>
            <w:r>
              <w:rPr>
                <w:rFonts w:hint="eastAsia" w:ascii="方正仿宋_GBK" w:eastAsia="方正仿宋_GBK"/>
                <w:bCs/>
                <w:snapToGrid w:val="0"/>
                <w:kern w:val="0"/>
                <w:sz w:val="24"/>
                <w:szCs w:val="24"/>
              </w:rPr>
              <w:t>日期：</w:t>
            </w:r>
          </w:p>
        </w:tc>
        <w:tc>
          <w:tcPr>
            <w:tcW w:w="1991" w:type="dxa"/>
            <w:tcBorders>
              <w:top w:val="nil"/>
              <w:left w:val="nil"/>
              <w:bottom w:val="nil"/>
              <w:right w:val="single" w:color="000000" w:sz="18" w:space="0"/>
            </w:tcBorders>
            <w:vAlign w:val="bottom"/>
          </w:tcPr>
          <w:p w14:paraId="1E69C96C">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r w14:paraId="7459BE2F">
        <w:tblPrEx>
          <w:tblCellMar>
            <w:top w:w="0" w:type="dxa"/>
            <w:left w:w="108" w:type="dxa"/>
            <w:bottom w:w="0" w:type="dxa"/>
            <w:right w:w="108" w:type="dxa"/>
          </w:tblCellMar>
        </w:tblPrEx>
        <w:trPr>
          <w:trHeight w:val="143" w:hRule="atLeast"/>
          <w:jc w:val="center"/>
        </w:trPr>
        <w:tc>
          <w:tcPr>
            <w:tcW w:w="4510" w:type="dxa"/>
            <w:gridSpan w:val="2"/>
            <w:vMerge w:val="continue"/>
            <w:tcBorders>
              <w:top w:val="single" w:color="000000" w:sz="8" w:space="0"/>
              <w:left w:val="single" w:color="000000" w:sz="18" w:space="0"/>
              <w:bottom w:val="single" w:color="000000" w:sz="18" w:space="0"/>
              <w:right w:val="single" w:color="000000" w:sz="4" w:space="0"/>
            </w:tcBorders>
            <w:vAlign w:val="center"/>
          </w:tcPr>
          <w:p w14:paraId="18EDE13C">
            <w:pPr>
              <w:rPr>
                <w:rFonts w:ascii="方正仿宋_GBK" w:eastAsia="方正仿宋_GBK"/>
                <w:sz w:val="24"/>
              </w:rPr>
            </w:pPr>
          </w:p>
        </w:tc>
        <w:tc>
          <w:tcPr>
            <w:tcW w:w="4033" w:type="dxa"/>
            <w:gridSpan w:val="3"/>
            <w:tcBorders>
              <w:top w:val="nil"/>
              <w:left w:val="nil"/>
              <w:bottom w:val="single" w:color="000000" w:sz="18" w:space="0"/>
              <w:right w:val="nil"/>
            </w:tcBorders>
            <w:vAlign w:val="bottom"/>
          </w:tcPr>
          <w:p w14:paraId="29B72C17">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c>
          <w:tcPr>
            <w:tcW w:w="1991" w:type="dxa"/>
            <w:tcBorders>
              <w:top w:val="nil"/>
              <w:left w:val="nil"/>
              <w:bottom w:val="single" w:color="000000" w:sz="18" w:space="0"/>
              <w:right w:val="single" w:color="000000" w:sz="18" w:space="0"/>
            </w:tcBorders>
            <w:vAlign w:val="bottom"/>
          </w:tcPr>
          <w:p w14:paraId="7DB62389">
            <w:pPr>
              <w:pStyle w:val="537"/>
              <w:widowControl/>
              <w:autoSpaceDN w:val="0"/>
              <w:spacing w:line="440" w:lineRule="exact"/>
              <w:rPr>
                <w:rFonts w:ascii="方正仿宋_GBK" w:eastAsia="方正仿宋_GBK"/>
                <w:snapToGrid w:val="0"/>
                <w:kern w:val="0"/>
                <w:sz w:val="24"/>
                <w:szCs w:val="24"/>
              </w:rPr>
            </w:pPr>
            <w:r>
              <w:rPr>
                <w:rFonts w:hint="eastAsia" w:ascii="方正仿宋_GBK" w:eastAsia="方正仿宋_GBK"/>
                <w:snapToGrid w:val="0"/>
                <w:kern w:val="0"/>
                <w:sz w:val="24"/>
                <w:szCs w:val="24"/>
              </w:rPr>
              <w:t>　</w:t>
            </w:r>
          </w:p>
        </w:tc>
      </w:tr>
    </w:tbl>
    <w:p w14:paraId="019D9BDC">
      <w:pPr>
        <w:spacing w:line="360" w:lineRule="auto"/>
      </w:pPr>
      <w:r>
        <w:rPr>
          <w:rFonts w:hint="eastAsia"/>
        </w:rPr>
        <w:br w:type="page"/>
      </w:r>
    </w:p>
    <w:p w14:paraId="4A83FDAB">
      <w:pPr>
        <w:pStyle w:val="2"/>
      </w:pPr>
      <w:bookmarkStart w:id="26" w:name="_Toc7021"/>
      <w:r>
        <w:rPr>
          <w:rFonts w:hint="eastAsia"/>
        </w:rPr>
        <w:t>第六章  投标资料表</w:t>
      </w:r>
      <w:bookmarkEnd w:id="26"/>
    </w:p>
    <w:p w14:paraId="496C0630">
      <w:pPr>
        <w:autoSpaceDE w:val="0"/>
        <w:autoSpaceDN w:val="0"/>
        <w:adjustRightInd w:val="0"/>
        <w:spacing w:line="360" w:lineRule="auto"/>
        <w:jc w:val="center"/>
        <w:rPr>
          <w:rFonts w:ascii="仿宋_GB2312" w:eastAsia="仿宋_GB2312"/>
          <w:sz w:val="24"/>
        </w:rPr>
      </w:pPr>
      <w:r>
        <w:rPr>
          <w:rFonts w:hint="eastAsia" w:asciiTheme="majorEastAsia" w:hAnsiTheme="majorEastAsia" w:eastAsiaTheme="majorEastAsia"/>
          <w:b/>
          <w:sz w:val="36"/>
          <w:szCs w:val="36"/>
        </w:rPr>
        <w:t>（适用于A、B包）</w:t>
      </w:r>
    </w:p>
    <w:p w14:paraId="32976EA1">
      <w:pPr>
        <w:autoSpaceDE w:val="0"/>
        <w:autoSpaceDN w:val="0"/>
        <w:adjustRightInd w:val="0"/>
        <w:spacing w:line="360" w:lineRule="auto"/>
        <w:ind w:firstLine="480" w:firstLineChars="200"/>
        <w:jc w:val="left"/>
      </w:pPr>
      <w:r>
        <w:rPr>
          <w:rFonts w:hint="eastAsia" w:ascii="仿宋_GB2312" w:eastAsia="仿宋_GB2312"/>
          <w:sz w:val="24"/>
        </w:rPr>
        <w:t>投标资料表是对招标文件第二册“通用部分”的具体补充和说明，投标人须知和投标资料表有不一致之处，应以投标资料表为准。投标资料表的条款号与投标人须知条款号是一一对应的关系。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79B567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E1BF24E">
            <w:pPr>
              <w:pStyle w:val="28"/>
              <w:spacing w:line="360" w:lineRule="auto"/>
              <w:jc w:val="center"/>
              <w:rPr>
                <w:rFonts w:hAnsi="宋体" w:cs="宋体"/>
                <w:szCs w:val="21"/>
              </w:rPr>
            </w:pPr>
            <w:r>
              <w:rPr>
                <w:rFonts w:hint="eastAsia" w:hAnsi="宋体" w:cs="宋体"/>
                <w:szCs w:val="21"/>
              </w:rPr>
              <w:t>项号</w:t>
            </w:r>
          </w:p>
        </w:tc>
        <w:tc>
          <w:tcPr>
            <w:tcW w:w="1038" w:type="dxa"/>
            <w:vAlign w:val="center"/>
          </w:tcPr>
          <w:p w14:paraId="72DC5574">
            <w:pPr>
              <w:pStyle w:val="28"/>
              <w:spacing w:line="360" w:lineRule="auto"/>
              <w:jc w:val="center"/>
              <w:rPr>
                <w:rFonts w:hAnsi="宋体" w:cs="宋体"/>
                <w:szCs w:val="21"/>
              </w:rPr>
            </w:pPr>
            <w:r>
              <w:rPr>
                <w:rFonts w:hint="eastAsia" w:hAnsi="宋体" w:cs="宋体"/>
                <w:szCs w:val="21"/>
              </w:rPr>
              <w:t>条款号</w:t>
            </w:r>
          </w:p>
        </w:tc>
        <w:tc>
          <w:tcPr>
            <w:tcW w:w="1843" w:type="dxa"/>
            <w:vAlign w:val="center"/>
          </w:tcPr>
          <w:p w14:paraId="764DF47C">
            <w:pPr>
              <w:pStyle w:val="28"/>
              <w:spacing w:line="360" w:lineRule="auto"/>
              <w:jc w:val="center"/>
              <w:rPr>
                <w:rFonts w:hAnsi="宋体" w:cs="宋体"/>
                <w:szCs w:val="21"/>
              </w:rPr>
            </w:pPr>
            <w:r>
              <w:rPr>
                <w:rFonts w:hint="eastAsia" w:hAnsi="宋体" w:cs="宋体"/>
                <w:szCs w:val="21"/>
              </w:rPr>
              <w:t>内容</w:t>
            </w:r>
          </w:p>
        </w:tc>
        <w:tc>
          <w:tcPr>
            <w:tcW w:w="6520" w:type="dxa"/>
          </w:tcPr>
          <w:p w14:paraId="34366EDC">
            <w:pPr>
              <w:pStyle w:val="28"/>
              <w:spacing w:line="360" w:lineRule="auto"/>
              <w:jc w:val="center"/>
              <w:rPr>
                <w:rFonts w:hAnsi="宋体" w:cs="宋体"/>
                <w:szCs w:val="21"/>
              </w:rPr>
            </w:pPr>
            <w:r>
              <w:rPr>
                <w:rFonts w:hint="eastAsia" w:hAnsi="宋体" w:cs="宋体"/>
                <w:szCs w:val="21"/>
              </w:rPr>
              <w:t>内容规定</w:t>
            </w:r>
          </w:p>
        </w:tc>
      </w:tr>
      <w:tr w14:paraId="27BCF0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4B7B8E7">
            <w:pPr>
              <w:pStyle w:val="28"/>
              <w:spacing w:line="360" w:lineRule="auto"/>
              <w:jc w:val="center"/>
              <w:rPr>
                <w:rFonts w:hAnsi="宋体" w:cs="宋体"/>
                <w:szCs w:val="21"/>
              </w:rPr>
            </w:pPr>
            <w:r>
              <w:rPr>
                <w:rFonts w:hint="eastAsia" w:hAnsi="宋体" w:cs="宋体"/>
                <w:szCs w:val="21"/>
              </w:rPr>
              <w:t>1</w:t>
            </w:r>
          </w:p>
        </w:tc>
        <w:tc>
          <w:tcPr>
            <w:tcW w:w="1038" w:type="dxa"/>
            <w:vAlign w:val="center"/>
          </w:tcPr>
          <w:p w14:paraId="439F7DB1">
            <w:pPr>
              <w:pStyle w:val="28"/>
              <w:spacing w:line="360" w:lineRule="auto"/>
              <w:jc w:val="center"/>
              <w:rPr>
                <w:rFonts w:hAnsi="宋体" w:cs="宋体"/>
                <w:szCs w:val="21"/>
              </w:rPr>
            </w:pPr>
            <w:r>
              <w:rPr>
                <w:rFonts w:hint="eastAsia" w:hAnsi="宋体" w:cs="宋体"/>
                <w:szCs w:val="21"/>
              </w:rPr>
              <w:t>1.1</w:t>
            </w:r>
          </w:p>
        </w:tc>
        <w:tc>
          <w:tcPr>
            <w:tcW w:w="1843" w:type="dxa"/>
            <w:vAlign w:val="center"/>
          </w:tcPr>
          <w:p w14:paraId="5B86475C">
            <w:pPr>
              <w:pStyle w:val="28"/>
              <w:spacing w:line="360" w:lineRule="auto"/>
              <w:jc w:val="center"/>
              <w:rPr>
                <w:rFonts w:hAnsi="宋体" w:cs="宋体"/>
                <w:szCs w:val="21"/>
              </w:rPr>
            </w:pPr>
            <w:r>
              <w:rPr>
                <w:rFonts w:hint="eastAsia" w:hAnsi="宋体" w:cs="宋体"/>
                <w:szCs w:val="21"/>
              </w:rPr>
              <w:t>项目名称</w:t>
            </w:r>
          </w:p>
        </w:tc>
        <w:tc>
          <w:tcPr>
            <w:tcW w:w="6520" w:type="dxa"/>
            <w:vAlign w:val="center"/>
          </w:tcPr>
          <w:p w14:paraId="56E9131E">
            <w:pPr>
              <w:pStyle w:val="28"/>
              <w:spacing w:line="360" w:lineRule="auto"/>
              <w:rPr>
                <w:rFonts w:hAnsi="宋体" w:cs="宋体"/>
                <w:szCs w:val="21"/>
              </w:rPr>
            </w:pPr>
            <w:r>
              <w:rPr>
                <w:rFonts w:hint="eastAsia" w:hAnsi="宋体" w:cs="宋体"/>
                <w:szCs w:val="21"/>
              </w:rPr>
              <w:t>“深圳国际旅行卫生保健中心（深圳海关口岸门诊部）2024年实验室仪器设备更新”项目全身彩色多普勒超声诊断仪一批采购项目</w:t>
            </w:r>
          </w:p>
        </w:tc>
      </w:tr>
      <w:tr w14:paraId="48635F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E364C2B">
            <w:pPr>
              <w:pStyle w:val="28"/>
              <w:spacing w:line="360" w:lineRule="auto"/>
              <w:jc w:val="center"/>
              <w:rPr>
                <w:rFonts w:hAnsi="宋体" w:cs="宋体"/>
                <w:szCs w:val="21"/>
              </w:rPr>
            </w:pPr>
            <w:r>
              <w:rPr>
                <w:rFonts w:hint="eastAsia" w:hAnsi="宋体" w:cs="宋体"/>
                <w:szCs w:val="21"/>
              </w:rPr>
              <w:t>2</w:t>
            </w:r>
          </w:p>
        </w:tc>
        <w:tc>
          <w:tcPr>
            <w:tcW w:w="1038" w:type="dxa"/>
            <w:vAlign w:val="center"/>
          </w:tcPr>
          <w:p w14:paraId="267D25B1">
            <w:pPr>
              <w:pStyle w:val="28"/>
              <w:spacing w:line="360" w:lineRule="auto"/>
              <w:jc w:val="center"/>
              <w:rPr>
                <w:rFonts w:hAnsi="宋体" w:cs="宋体"/>
                <w:szCs w:val="21"/>
              </w:rPr>
            </w:pPr>
            <w:r>
              <w:rPr>
                <w:rFonts w:hint="eastAsia" w:hAnsi="宋体" w:cs="宋体"/>
                <w:szCs w:val="21"/>
              </w:rPr>
              <w:t>2.1</w:t>
            </w:r>
          </w:p>
        </w:tc>
        <w:tc>
          <w:tcPr>
            <w:tcW w:w="1843" w:type="dxa"/>
            <w:vAlign w:val="center"/>
          </w:tcPr>
          <w:p w14:paraId="17A2E1A0">
            <w:pPr>
              <w:pStyle w:val="28"/>
              <w:spacing w:line="360" w:lineRule="auto"/>
              <w:jc w:val="center"/>
              <w:rPr>
                <w:rFonts w:hAnsi="宋体" w:cs="宋体"/>
                <w:szCs w:val="21"/>
              </w:rPr>
            </w:pPr>
            <w:r>
              <w:rPr>
                <w:rFonts w:hint="eastAsia" w:hAnsi="宋体" w:cs="宋体"/>
                <w:szCs w:val="21"/>
              </w:rPr>
              <w:t>采购人</w:t>
            </w:r>
          </w:p>
        </w:tc>
        <w:tc>
          <w:tcPr>
            <w:tcW w:w="6520" w:type="dxa"/>
            <w:vAlign w:val="center"/>
          </w:tcPr>
          <w:p w14:paraId="6381ABB7">
            <w:pPr>
              <w:pStyle w:val="28"/>
              <w:spacing w:line="360" w:lineRule="auto"/>
              <w:rPr>
                <w:rFonts w:hAnsi="宋体" w:cs="宋体"/>
                <w:szCs w:val="21"/>
              </w:rPr>
            </w:pPr>
            <w:r>
              <w:rPr>
                <w:rFonts w:hint="eastAsia" w:hAnsi="宋体" w:cs="宋体"/>
                <w:snapToGrid w:val="0"/>
                <w:kern w:val="0"/>
                <w:szCs w:val="21"/>
              </w:rPr>
              <w:t>深圳国际旅行卫生保健中心（深圳海关口岸门诊部）</w:t>
            </w:r>
          </w:p>
        </w:tc>
      </w:tr>
      <w:tr w14:paraId="1D5A13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52B28C5">
            <w:pPr>
              <w:pStyle w:val="28"/>
              <w:spacing w:line="360" w:lineRule="auto"/>
              <w:jc w:val="center"/>
              <w:rPr>
                <w:rFonts w:hAnsi="宋体" w:cs="宋体"/>
                <w:szCs w:val="21"/>
              </w:rPr>
            </w:pPr>
            <w:r>
              <w:rPr>
                <w:rFonts w:hint="eastAsia" w:hAnsi="宋体" w:cs="宋体"/>
                <w:szCs w:val="21"/>
              </w:rPr>
              <w:t>3</w:t>
            </w:r>
          </w:p>
        </w:tc>
        <w:tc>
          <w:tcPr>
            <w:tcW w:w="1038" w:type="dxa"/>
            <w:vAlign w:val="center"/>
          </w:tcPr>
          <w:p w14:paraId="07143C9C">
            <w:pPr>
              <w:pStyle w:val="28"/>
              <w:spacing w:line="360" w:lineRule="auto"/>
              <w:jc w:val="center"/>
              <w:rPr>
                <w:rFonts w:hAnsi="宋体" w:cs="宋体"/>
                <w:szCs w:val="21"/>
              </w:rPr>
            </w:pPr>
            <w:r>
              <w:rPr>
                <w:rFonts w:hint="eastAsia" w:hAnsi="宋体" w:cs="宋体"/>
                <w:szCs w:val="21"/>
              </w:rPr>
              <w:t>2.2</w:t>
            </w:r>
          </w:p>
        </w:tc>
        <w:tc>
          <w:tcPr>
            <w:tcW w:w="1843" w:type="dxa"/>
            <w:vAlign w:val="center"/>
          </w:tcPr>
          <w:p w14:paraId="44B514CF">
            <w:pPr>
              <w:pStyle w:val="28"/>
              <w:spacing w:line="360" w:lineRule="auto"/>
              <w:jc w:val="center"/>
              <w:rPr>
                <w:rFonts w:hAnsi="宋体" w:cs="宋体"/>
                <w:szCs w:val="21"/>
              </w:rPr>
            </w:pPr>
            <w:r>
              <w:rPr>
                <w:rFonts w:hint="eastAsia" w:hAnsi="宋体" w:cs="宋体"/>
                <w:szCs w:val="21"/>
              </w:rPr>
              <w:t>招标代理机构</w:t>
            </w:r>
          </w:p>
        </w:tc>
        <w:tc>
          <w:tcPr>
            <w:tcW w:w="6520" w:type="dxa"/>
            <w:vAlign w:val="center"/>
          </w:tcPr>
          <w:p w14:paraId="63B806E3">
            <w:pPr>
              <w:pStyle w:val="28"/>
              <w:spacing w:line="360" w:lineRule="auto"/>
              <w:rPr>
                <w:rFonts w:hAnsi="宋体" w:cs="宋体"/>
                <w:szCs w:val="21"/>
              </w:rPr>
            </w:pPr>
            <w:r>
              <w:rPr>
                <w:rFonts w:hint="eastAsia" w:hAnsi="宋体" w:cs="宋体"/>
                <w:szCs w:val="21"/>
              </w:rPr>
              <w:t>深圳市中正招标有限公司</w:t>
            </w:r>
          </w:p>
        </w:tc>
      </w:tr>
      <w:tr w14:paraId="777A63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349B4CA5">
            <w:pPr>
              <w:pStyle w:val="28"/>
              <w:spacing w:line="360" w:lineRule="auto"/>
              <w:jc w:val="center"/>
              <w:rPr>
                <w:rFonts w:hAnsi="宋体" w:cs="宋体"/>
                <w:szCs w:val="21"/>
              </w:rPr>
            </w:pPr>
            <w:r>
              <w:rPr>
                <w:rFonts w:hint="eastAsia" w:hAnsi="宋体" w:cs="宋体"/>
                <w:szCs w:val="21"/>
              </w:rPr>
              <w:t>4</w:t>
            </w:r>
          </w:p>
        </w:tc>
        <w:tc>
          <w:tcPr>
            <w:tcW w:w="1038" w:type="dxa"/>
            <w:vAlign w:val="center"/>
          </w:tcPr>
          <w:p w14:paraId="09BC779D">
            <w:pPr>
              <w:pStyle w:val="28"/>
              <w:spacing w:line="360" w:lineRule="auto"/>
              <w:jc w:val="center"/>
              <w:rPr>
                <w:rFonts w:hAnsi="宋体" w:cs="宋体"/>
                <w:szCs w:val="21"/>
              </w:rPr>
            </w:pPr>
            <w:r>
              <w:rPr>
                <w:rFonts w:hint="eastAsia" w:hAnsi="宋体" w:cs="宋体"/>
                <w:szCs w:val="21"/>
              </w:rPr>
              <w:t>3.1</w:t>
            </w:r>
          </w:p>
        </w:tc>
        <w:tc>
          <w:tcPr>
            <w:tcW w:w="1843" w:type="dxa"/>
            <w:vAlign w:val="center"/>
          </w:tcPr>
          <w:p w14:paraId="6863DB17">
            <w:pPr>
              <w:pStyle w:val="28"/>
              <w:spacing w:line="360" w:lineRule="auto"/>
              <w:jc w:val="center"/>
              <w:rPr>
                <w:rFonts w:hAnsi="宋体" w:cs="宋体"/>
                <w:szCs w:val="21"/>
              </w:rPr>
            </w:pPr>
            <w:r>
              <w:rPr>
                <w:rFonts w:hint="eastAsia" w:hAnsi="宋体" w:cs="宋体"/>
                <w:szCs w:val="21"/>
              </w:rPr>
              <w:t>资金来源</w:t>
            </w:r>
          </w:p>
        </w:tc>
        <w:tc>
          <w:tcPr>
            <w:tcW w:w="6520" w:type="dxa"/>
            <w:vAlign w:val="center"/>
          </w:tcPr>
          <w:p w14:paraId="404E7B3C">
            <w:pPr>
              <w:pStyle w:val="28"/>
              <w:spacing w:line="360" w:lineRule="auto"/>
              <w:rPr>
                <w:rFonts w:hAnsi="宋体" w:cs="宋体"/>
                <w:szCs w:val="21"/>
              </w:rPr>
            </w:pPr>
            <w:r>
              <w:rPr>
                <w:rFonts w:hint="eastAsia" w:hAnsi="宋体" w:cs="宋体"/>
                <w:szCs w:val="21"/>
              </w:rPr>
              <w:t>☑项目支出</w:t>
            </w:r>
          </w:p>
        </w:tc>
      </w:tr>
      <w:tr w14:paraId="74CB21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39335854">
            <w:pPr>
              <w:pStyle w:val="28"/>
              <w:spacing w:line="360" w:lineRule="auto"/>
              <w:jc w:val="center"/>
              <w:rPr>
                <w:rFonts w:hAnsi="宋体" w:cs="宋体"/>
                <w:szCs w:val="21"/>
              </w:rPr>
            </w:pPr>
            <w:r>
              <w:rPr>
                <w:rFonts w:hint="eastAsia" w:hAnsi="宋体" w:cs="宋体"/>
                <w:szCs w:val="21"/>
              </w:rPr>
              <w:t>5</w:t>
            </w:r>
          </w:p>
        </w:tc>
        <w:tc>
          <w:tcPr>
            <w:tcW w:w="1038" w:type="dxa"/>
            <w:vAlign w:val="center"/>
          </w:tcPr>
          <w:p w14:paraId="3183AA1F">
            <w:pPr>
              <w:pStyle w:val="28"/>
              <w:spacing w:line="360" w:lineRule="auto"/>
              <w:jc w:val="center"/>
              <w:rPr>
                <w:rFonts w:hAnsi="宋体" w:cs="宋体"/>
                <w:szCs w:val="21"/>
              </w:rPr>
            </w:pPr>
            <w:r>
              <w:rPr>
                <w:rFonts w:hint="eastAsia" w:hAnsi="宋体" w:cs="宋体"/>
                <w:szCs w:val="21"/>
              </w:rPr>
              <w:t>4.7</w:t>
            </w:r>
          </w:p>
        </w:tc>
        <w:tc>
          <w:tcPr>
            <w:tcW w:w="1843" w:type="dxa"/>
            <w:vAlign w:val="center"/>
          </w:tcPr>
          <w:p w14:paraId="3C3549C2">
            <w:pPr>
              <w:pStyle w:val="28"/>
              <w:spacing w:line="360" w:lineRule="auto"/>
              <w:jc w:val="center"/>
              <w:rPr>
                <w:rFonts w:hAnsi="宋体" w:cs="宋体"/>
                <w:szCs w:val="21"/>
              </w:rPr>
            </w:pPr>
            <w:r>
              <w:rPr>
                <w:rFonts w:hint="eastAsia" w:hAnsi="宋体" w:cs="宋体"/>
                <w:szCs w:val="21"/>
              </w:rPr>
              <w:t>投标人资格要求</w:t>
            </w:r>
          </w:p>
        </w:tc>
        <w:tc>
          <w:tcPr>
            <w:tcW w:w="6520" w:type="dxa"/>
            <w:vAlign w:val="center"/>
          </w:tcPr>
          <w:p w14:paraId="1C53324C">
            <w:pPr>
              <w:pStyle w:val="28"/>
              <w:spacing w:line="360" w:lineRule="auto"/>
              <w:rPr>
                <w:rFonts w:hAnsi="宋体" w:cs="宋体"/>
                <w:szCs w:val="21"/>
              </w:rPr>
            </w:pPr>
            <w:r>
              <w:rPr>
                <w:rFonts w:hint="eastAsia" w:hAnsi="宋体" w:cs="宋体"/>
                <w:szCs w:val="21"/>
              </w:rPr>
              <w:t>详见《第一章 投标邀请》“申请人的资格要求”</w:t>
            </w:r>
          </w:p>
          <w:p w14:paraId="5677F4BE">
            <w:pPr>
              <w:pStyle w:val="28"/>
              <w:spacing w:line="360" w:lineRule="auto"/>
              <w:rPr>
                <w:rFonts w:hAnsi="宋体" w:cs="宋体"/>
                <w:b/>
                <w:bCs/>
                <w:szCs w:val="21"/>
              </w:rPr>
            </w:pPr>
            <w:r>
              <w:rPr>
                <w:rFonts w:hint="eastAsia" w:hAnsi="宋体" w:cs="宋体"/>
                <w:b/>
                <w:bCs/>
                <w:szCs w:val="21"/>
              </w:rPr>
              <w:t>（投标人资格证明文件详见第七章 投标文件格式）</w:t>
            </w:r>
          </w:p>
        </w:tc>
      </w:tr>
      <w:tr w14:paraId="1AADE6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29AAF23">
            <w:pPr>
              <w:pStyle w:val="28"/>
              <w:spacing w:line="360" w:lineRule="auto"/>
              <w:jc w:val="center"/>
              <w:rPr>
                <w:rFonts w:hAnsi="宋体" w:cs="宋体"/>
                <w:szCs w:val="21"/>
              </w:rPr>
            </w:pPr>
            <w:r>
              <w:rPr>
                <w:rFonts w:hint="eastAsia" w:hAnsi="宋体" w:cs="宋体"/>
                <w:szCs w:val="21"/>
              </w:rPr>
              <w:t>6</w:t>
            </w:r>
          </w:p>
        </w:tc>
        <w:tc>
          <w:tcPr>
            <w:tcW w:w="1038" w:type="dxa"/>
            <w:vAlign w:val="center"/>
          </w:tcPr>
          <w:p w14:paraId="222CFA81">
            <w:pPr>
              <w:pStyle w:val="28"/>
              <w:spacing w:line="360" w:lineRule="auto"/>
              <w:jc w:val="center"/>
              <w:rPr>
                <w:rFonts w:hAnsi="宋体" w:cs="宋体"/>
                <w:szCs w:val="21"/>
              </w:rPr>
            </w:pPr>
            <w:r>
              <w:rPr>
                <w:rFonts w:hint="eastAsia" w:hAnsi="宋体" w:cs="宋体"/>
                <w:szCs w:val="21"/>
              </w:rPr>
              <w:t>4.8</w:t>
            </w:r>
          </w:p>
        </w:tc>
        <w:tc>
          <w:tcPr>
            <w:tcW w:w="1843" w:type="dxa"/>
            <w:vAlign w:val="center"/>
          </w:tcPr>
          <w:p w14:paraId="14FC56FC">
            <w:pPr>
              <w:pStyle w:val="28"/>
              <w:spacing w:line="360" w:lineRule="auto"/>
              <w:jc w:val="center"/>
              <w:rPr>
                <w:rFonts w:hAnsi="宋体" w:cs="宋体"/>
                <w:szCs w:val="21"/>
              </w:rPr>
            </w:pPr>
            <w:r>
              <w:rPr>
                <w:rFonts w:hint="eastAsia" w:hAnsi="宋体" w:cs="宋体"/>
                <w:szCs w:val="21"/>
              </w:rPr>
              <w:t>联合体投标</w:t>
            </w:r>
          </w:p>
        </w:tc>
        <w:tc>
          <w:tcPr>
            <w:tcW w:w="6520" w:type="dxa"/>
          </w:tcPr>
          <w:p w14:paraId="00DCBA1B">
            <w:pPr>
              <w:pStyle w:val="28"/>
              <w:spacing w:line="360" w:lineRule="auto"/>
              <w:rPr>
                <w:rFonts w:hAnsi="宋体" w:cs="宋体"/>
                <w:szCs w:val="21"/>
              </w:rPr>
            </w:pPr>
            <w:r>
              <w:rPr>
                <w:rFonts w:hint="eastAsia" w:hAnsi="宋体" w:cs="宋体"/>
                <w:szCs w:val="21"/>
              </w:rPr>
              <w:t>不接受</w:t>
            </w:r>
          </w:p>
        </w:tc>
      </w:tr>
      <w:tr w14:paraId="43DA75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7DF599B">
            <w:pPr>
              <w:pStyle w:val="28"/>
              <w:spacing w:line="360" w:lineRule="auto"/>
              <w:jc w:val="center"/>
              <w:rPr>
                <w:rFonts w:hAnsi="宋体" w:cs="宋体"/>
                <w:szCs w:val="21"/>
              </w:rPr>
            </w:pPr>
            <w:r>
              <w:rPr>
                <w:rFonts w:hint="eastAsia" w:hAnsi="宋体" w:cs="宋体"/>
                <w:szCs w:val="21"/>
              </w:rPr>
              <w:t>7</w:t>
            </w:r>
          </w:p>
        </w:tc>
        <w:tc>
          <w:tcPr>
            <w:tcW w:w="1038" w:type="dxa"/>
            <w:vAlign w:val="center"/>
          </w:tcPr>
          <w:p w14:paraId="5C88296E">
            <w:pPr>
              <w:pStyle w:val="28"/>
              <w:spacing w:line="360" w:lineRule="auto"/>
              <w:jc w:val="center"/>
              <w:rPr>
                <w:rFonts w:hAnsi="宋体" w:cs="宋体"/>
                <w:szCs w:val="21"/>
              </w:rPr>
            </w:pPr>
            <w:r>
              <w:rPr>
                <w:rFonts w:hint="eastAsia" w:hAnsi="宋体" w:cs="宋体"/>
                <w:szCs w:val="21"/>
              </w:rPr>
              <w:t>6.1</w:t>
            </w:r>
          </w:p>
        </w:tc>
        <w:tc>
          <w:tcPr>
            <w:tcW w:w="1843" w:type="dxa"/>
            <w:vAlign w:val="center"/>
          </w:tcPr>
          <w:p w14:paraId="06396B4D">
            <w:pPr>
              <w:pStyle w:val="28"/>
              <w:spacing w:line="360" w:lineRule="auto"/>
              <w:jc w:val="center"/>
              <w:rPr>
                <w:rFonts w:hAnsi="宋体" w:cs="宋体"/>
                <w:szCs w:val="21"/>
              </w:rPr>
            </w:pPr>
            <w:r>
              <w:rPr>
                <w:rFonts w:hint="eastAsia" w:hAnsi="宋体" w:cs="宋体"/>
                <w:szCs w:val="21"/>
              </w:rPr>
              <w:t>踏勘现场</w:t>
            </w:r>
          </w:p>
        </w:tc>
        <w:tc>
          <w:tcPr>
            <w:tcW w:w="6520" w:type="dxa"/>
          </w:tcPr>
          <w:p w14:paraId="0E85AF7C">
            <w:pPr>
              <w:pStyle w:val="28"/>
              <w:spacing w:line="360" w:lineRule="auto"/>
              <w:rPr>
                <w:rFonts w:hAnsi="宋体" w:cs="宋体"/>
                <w:szCs w:val="21"/>
              </w:rPr>
            </w:pPr>
            <w:r>
              <w:rPr>
                <w:rFonts w:hint="eastAsia" w:hAnsi="宋体" w:cs="宋体"/>
                <w:szCs w:val="21"/>
              </w:rPr>
              <w:t>不统一组织</w:t>
            </w:r>
            <w:r>
              <w:rPr>
                <w:rFonts w:hint="eastAsia" w:hAnsi="宋体" w:cs="宋体"/>
                <w:snapToGrid w:val="0"/>
                <w:szCs w:val="21"/>
              </w:rPr>
              <w:t>，由各投标人自行查看现场。</w:t>
            </w:r>
          </w:p>
        </w:tc>
      </w:tr>
      <w:tr w14:paraId="6D82A6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1B63F9A2">
            <w:pPr>
              <w:pStyle w:val="28"/>
              <w:spacing w:line="360" w:lineRule="auto"/>
              <w:jc w:val="center"/>
              <w:rPr>
                <w:rFonts w:hAnsi="宋体" w:cs="宋体"/>
                <w:szCs w:val="21"/>
              </w:rPr>
            </w:pPr>
            <w:r>
              <w:rPr>
                <w:rFonts w:hint="eastAsia" w:hAnsi="宋体" w:cs="宋体"/>
                <w:szCs w:val="21"/>
              </w:rPr>
              <w:t>8</w:t>
            </w:r>
          </w:p>
        </w:tc>
        <w:tc>
          <w:tcPr>
            <w:tcW w:w="1038" w:type="dxa"/>
            <w:vAlign w:val="center"/>
          </w:tcPr>
          <w:p w14:paraId="2C30AFA9">
            <w:pPr>
              <w:pStyle w:val="28"/>
              <w:spacing w:line="360" w:lineRule="auto"/>
              <w:jc w:val="center"/>
              <w:rPr>
                <w:rFonts w:hAnsi="宋体" w:cs="宋体"/>
                <w:szCs w:val="21"/>
              </w:rPr>
            </w:pPr>
            <w:r>
              <w:rPr>
                <w:rFonts w:hint="eastAsia" w:hAnsi="宋体" w:cs="宋体"/>
                <w:szCs w:val="21"/>
              </w:rPr>
              <w:t>14.1</w:t>
            </w:r>
          </w:p>
        </w:tc>
        <w:tc>
          <w:tcPr>
            <w:tcW w:w="1843" w:type="dxa"/>
            <w:vAlign w:val="center"/>
          </w:tcPr>
          <w:p w14:paraId="40E1B033">
            <w:pPr>
              <w:pStyle w:val="28"/>
              <w:spacing w:line="360" w:lineRule="auto"/>
              <w:jc w:val="center"/>
              <w:rPr>
                <w:rFonts w:hAnsi="宋体" w:cs="宋体"/>
                <w:szCs w:val="21"/>
              </w:rPr>
            </w:pPr>
            <w:r>
              <w:rPr>
                <w:rFonts w:hint="eastAsia" w:hAnsi="宋体" w:cs="宋体"/>
                <w:szCs w:val="21"/>
              </w:rPr>
              <w:t>投标有效期</w:t>
            </w:r>
          </w:p>
        </w:tc>
        <w:tc>
          <w:tcPr>
            <w:tcW w:w="6520" w:type="dxa"/>
          </w:tcPr>
          <w:p w14:paraId="41954D2A">
            <w:pPr>
              <w:pStyle w:val="28"/>
              <w:spacing w:line="360" w:lineRule="auto"/>
              <w:rPr>
                <w:rFonts w:hAnsi="宋体" w:cs="宋体"/>
                <w:szCs w:val="21"/>
              </w:rPr>
            </w:pPr>
            <w:r>
              <w:rPr>
                <w:rFonts w:hint="eastAsia" w:hAnsi="宋体" w:cs="宋体"/>
                <w:szCs w:val="21"/>
              </w:rPr>
              <w:t>90日历天（从投标截止之日算起）</w:t>
            </w:r>
          </w:p>
        </w:tc>
      </w:tr>
      <w:tr w14:paraId="3CBE4F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47183DF9">
            <w:pPr>
              <w:pStyle w:val="28"/>
              <w:spacing w:line="360" w:lineRule="auto"/>
              <w:jc w:val="center"/>
              <w:rPr>
                <w:rFonts w:hAnsi="宋体" w:cs="宋体"/>
                <w:szCs w:val="21"/>
              </w:rPr>
            </w:pPr>
            <w:r>
              <w:rPr>
                <w:rFonts w:hint="eastAsia" w:hAnsi="宋体" w:cs="宋体"/>
                <w:szCs w:val="21"/>
              </w:rPr>
              <w:t>9</w:t>
            </w:r>
          </w:p>
        </w:tc>
        <w:tc>
          <w:tcPr>
            <w:tcW w:w="1038" w:type="dxa"/>
            <w:vAlign w:val="center"/>
          </w:tcPr>
          <w:p w14:paraId="29F45CFC">
            <w:pPr>
              <w:pStyle w:val="28"/>
              <w:spacing w:line="360" w:lineRule="auto"/>
              <w:jc w:val="center"/>
              <w:rPr>
                <w:rFonts w:hAnsi="宋体" w:cs="宋体"/>
                <w:szCs w:val="21"/>
              </w:rPr>
            </w:pPr>
            <w:r>
              <w:rPr>
                <w:rFonts w:hint="eastAsia" w:hAnsi="宋体" w:cs="宋体"/>
                <w:szCs w:val="21"/>
              </w:rPr>
              <w:t>15.2</w:t>
            </w:r>
          </w:p>
        </w:tc>
        <w:tc>
          <w:tcPr>
            <w:tcW w:w="1843" w:type="dxa"/>
            <w:vAlign w:val="center"/>
          </w:tcPr>
          <w:p w14:paraId="6AB47E04">
            <w:pPr>
              <w:pStyle w:val="28"/>
              <w:spacing w:line="360" w:lineRule="auto"/>
              <w:jc w:val="center"/>
              <w:rPr>
                <w:rFonts w:hAnsi="宋体" w:cs="宋体"/>
                <w:szCs w:val="21"/>
              </w:rPr>
            </w:pPr>
            <w:r>
              <w:rPr>
                <w:rFonts w:hint="eastAsia" w:hAnsi="宋体" w:cs="宋体"/>
                <w:szCs w:val="21"/>
              </w:rPr>
              <w:t>投标保证金</w:t>
            </w:r>
          </w:p>
        </w:tc>
        <w:tc>
          <w:tcPr>
            <w:tcW w:w="6520" w:type="dxa"/>
            <w:vAlign w:val="center"/>
          </w:tcPr>
          <w:p w14:paraId="2E660511">
            <w:pPr>
              <w:tabs>
                <w:tab w:val="left" w:pos="915"/>
              </w:tabs>
              <w:spacing w:line="360" w:lineRule="auto"/>
              <w:rPr>
                <w:rFonts w:ascii="宋体" w:hAnsi="宋体" w:cs="宋体"/>
                <w:szCs w:val="21"/>
              </w:rPr>
            </w:pPr>
            <w:r>
              <w:rPr>
                <w:rFonts w:hint="eastAsia" w:ascii="宋体" w:hAnsi="宋体" w:cs="宋体"/>
                <w:szCs w:val="21"/>
              </w:rPr>
              <w:t>不要求向招标代理机构提交</w:t>
            </w:r>
          </w:p>
        </w:tc>
      </w:tr>
      <w:tr w14:paraId="2A9125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5C313489">
            <w:pPr>
              <w:pStyle w:val="28"/>
              <w:spacing w:line="360" w:lineRule="auto"/>
              <w:jc w:val="center"/>
              <w:rPr>
                <w:rFonts w:hAnsi="宋体" w:cs="宋体"/>
                <w:szCs w:val="21"/>
              </w:rPr>
            </w:pPr>
            <w:r>
              <w:rPr>
                <w:rFonts w:hint="eastAsia" w:hAnsi="宋体" w:cs="宋体"/>
                <w:szCs w:val="21"/>
              </w:rPr>
              <w:t>10</w:t>
            </w:r>
          </w:p>
        </w:tc>
        <w:tc>
          <w:tcPr>
            <w:tcW w:w="1038" w:type="dxa"/>
            <w:vAlign w:val="center"/>
          </w:tcPr>
          <w:p w14:paraId="087BD904">
            <w:pPr>
              <w:pStyle w:val="28"/>
              <w:spacing w:line="360" w:lineRule="auto"/>
              <w:jc w:val="center"/>
              <w:rPr>
                <w:rFonts w:hAnsi="宋体" w:cs="宋体"/>
                <w:szCs w:val="21"/>
              </w:rPr>
            </w:pPr>
            <w:r>
              <w:rPr>
                <w:rFonts w:hint="eastAsia" w:hAnsi="宋体" w:cs="宋体"/>
                <w:szCs w:val="21"/>
              </w:rPr>
              <w:t>16.1</w:t>
            </w:r>
          </w:p>
        </w:tc>
        <w:tc>
          <w:tcPr>
            <w:tcW w:w="1843" w:type="dxa"/>
            <w:vAlign w:val="center"/>
          </w:tcPr>
          <w:p w14:paraId="5942A9BD">
            <w:pPr>
              <w:pStyle w:val="28"/>
              <w:spacing w:line="360" w:lineRule="auto"/>
              <w:jc w:val="center"/>
              <w:rPr>
                <w:rFonts w:hAnsi="宋体" w:cs="宋体"/>
                <w:szCs w:val="21"/>
              </w:rPr>
            </w:pPr>
            <w:r>
              <w:rPr>
                <w:rFonts w:hint="eastAsia" w:hAnsi="宋体" w:cs="宋体"/>
                <w:szCs w:val="21"/>
              </w:rPr>
              <w:t>投标预备会</w:t>
            </w:r>
          </w:p>
          <w:p w14:paraId="3E925261">
            <w:pPr>
              <w:pStyle w:val="28"/>
              <w:spacing w:line="360" w:lineRule="auto"/>
              <w:jc w:val="center"/>
              <w:rPr>
                <w:rFonts w:hAnsi="宋体" w:cs="宋体"/>
                <w:szCs w:val="21"/>
              </w:rPr>
            </w:pPr>
            <w:r>
              <w:rPr>
                <w:rFonts w:hint="eastAsia" w:hAnsi="宋体" w:cs="宋体"/>
                <w:szCs w:val="21"/>
              </w:rPr>
              <w:t>（答疑会）</w:t>
            </w:r>
          </w:p>
        </w:tc>
        <w:tc>
          <w:tcPr>
            <w:tcW w:w="6520" w:type="dxa"/>
            <w:vAlign w:val="center"/>
          </w:tcPr>
          <w:p w14:paraId="1ECF0FE8">
            <w:pPr>
              <w:pStyle w:val="28"/>
              <w:spacing w:line="360" w:lineRule="auto"/>
              <w:rPr>
                <w:rFonts w:hAnsi="宋体" w:cs="宋体"/>
                <w:szCs w:val="21"/>
              </w:rPr>
            </w:pPr>
            <w:r>
              <w:rPr>
                <w:rFonts w:hint="eastAsia" w:hAnsi="宋体" w:cs="宋体"/>
                <w:szCs w:val="21"/>
              </w:rPr>
              <w:t>不召开</w:t>
            </w:r>
          </w:p>
        </w:tc>
      </w:tr>
      <w:tr w14:paraId="343E28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13167E">
            <w:pPr>
              <w:pStyle w:val="28"/>
              <w:spacing w:line="360" w:lineRule="auto"/>
              <w:jc w:val="center"/>
              <w:rPr>
                <w:rFonts w:hAnsi="宋体" w:cs="宋体"/>
                <w:szCs w:val="21"/>
              </w:rPr>
            </w:pPr>
            <w:r>
              <w:rPr>
                <w:rFonts w:hint="eastAsia" w:hAnsi="宋体" w:cs="宋体"/>
                <w:szCs w:val="21"/>
              </w:rPr>
              <w:t>11</w:t>
            </w:r>
          </w:p>
        </w:tc>
        <w:tc>
          <w:tcPr>
            <w:tcW w:w="1038" w:type="dxa"/>
            <w:vAlign w:val="center"/>
          </w:tcPr>
          <w:p w14:paraId="3208E089">
            <w:pPr>
              <w:pStyle w:val="28"/>
              <w:spacing w:line="360" w:lineRule="auto"/>
              <w:jc w:val="center"/>
              <w:rPr>
                <w:rFonts w:hAnsi="宋体" w:cs="宋体"/>
                <w:szCs w:val="21"/>
              </w:rPr>
            </w:pPr>
            <w:r>
              <w:rPr>
                <w:rFonts w:hint="eastAsia" w:hAnsi="宋体" w:cs="宋体"/>
                <w:szCs w:val="21"/>
              </w:rPr>
              <w:t>17.1</w:t>
            </w:r>
          </w:p>
        </w:tc>
        <w:tc>
          <w:tcPr>
            <w:tcW w:w="1843" w:type="dxa"/>
            <w:vAlign w:val="center"/>
          </w:tcPr>
          <w:p w14:paraId="55F58CFD">
            <w:pPr>
              <w:pStyle w:val="28"/>
              <w:spacing w:line="360" w:lineRule="auto"/>
              <w:jc w:val="center"/>
              <w:rPr>
                <w:rFonts w:hAnsi="宋体" w:cs="宋体"/>
                <w:szCs w:val="21"/>
              </w:rPr>
            </w:pPr>
            <w:r>
              <w:rPr>
                <w:rFonts w:hint="eastAsia" w:hAnsi="宋体" w:cs="宋体"/>
                <w:szCs w:val="21"/>
              </w:rPr>
              <w:t>各包组</w:t>
            </w:r>
          </w:p>
          <w:p w14:paraId="2EFCB4AF">
            <w:pPr>
              <w:pStyle w:val="28"/>
              <w:spacing w:line="360" w:lineRule="auto"/>
              <w:jc w:val="center"/>
              <w:rPr>
                <w:rFonts w:hAnsi="宋体" w:cs="宋体"/>
                <w:szCs w:val="21"/>
              </w:rPr>
            </w:pPr>
            <w:r>
              <w:rPr>
                <w:rFonts w:hint="eastAsia" w:hAnsi="宋体" w:cs="宋体"/>
                <w:szCs w:val="21"/>
              </w:rPr>
              <w:t>投标文件份数</w:t>
            </w:r>
          </w:p>
        </w:tc>
        <w:tc>
          <w:tcPr>
            <w:tcW w:w="6520" w:type="dxa"/>
          </w:tcPr>
          <w:p w14:paraId="754E2E99">
            <w:pPr>
              <w:pStyle w:val="18"/>
              <w:spacing w:line="360" w:lineRule="auto"/>
              <w:rPr>
                <w:rFonts w:ascii="宋体" w:hAnsi="宋体" w:cs="宋体"/>
                <w:szCs w:val="21"/>
              </w:rPr>
            </w:pPr>
            <w:r>
              <w:rPr>
                <w:rFonts w:hint="eastAsia" w:ascii="宋体" w:hAnsi="宋体" w:cs="宋体"/>
                <w:szCs w:val="21"/>
              </w:rPr>
              <w:t>正本1份，副本5份，电子备份光盘（或U盘）2份（内容为投标文件正本盖章扫描件及word文件），</w:t>
            </w:r>
            <w:r>
              <w:rPr>
                <w:rFonts w:hint="eastAsia" w:ascii="宋体" w:hAnsi="宋体" w:cs="宋体"/>
                <w:snapToGrid w:val="0"/>
                <w:kern w:val="0"/>
                <w:szCs w:val="21"/>
              </w:rPr>
              <w:t>投标文件必须标注页码并装订成册</w:t>
            </w:r>
            <w:r>
              <w:rPr>
                <w:rFonts w:hint="eastAsia" w:ascii="宋体" w:hAnsi="宋体" w:cs="宋体"/>
                <w:szCs w:val="21"/>
              </w:rPr>
              <w:t>。</w:t>
            </w:r>
          </w:p>
        </w:tc>
      </w:tr>
      <w:tr w14:paraId="5ABC3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DBA97FA">
            <w:pPr>
              <w:pStyle w:val="28"/>
              <w:spacing w:line="360" w:lineRule="auto"/>
              <w:jc w:val="center"/>
              <w:rPr>
                <w:rFonts w:hAnsi="宋体" w:cs="宋体"/>
                <w:szCs w:val="21"/>
              </w:rPr>
            </w:pPr>
            <w:r>
              <w:rPr>
                <w:rFonts w:hint="eastAsia" w:hAnsi="宋体" w:cs="宋体"/>
                <w:szCs w:val="21"/>
              </w:rPr>
              <w:t>12</w:t>
            </w:r>
          </w:p>
        </w:tc>
        <w:tc>
          <w:tcPr>
            <w:tcW w:w="1038" w:type="dxa"/>
            <w:vAlign w:val="center"/>
          </w:tcPr>
          <w:p w14:paraId="7052D629">
            <w:pPr>
              <w:pStyle w:val="28"/>
              <w:spacing w:line="360" w:lineRule="auto"/>
              <w:jc w:val="center"/>
              <w:rPr>
                <w:rFonts w:hAnsi="宋体" w:cs="宋体"/>
                <w:szCs w:val="21"/>
              </w:rPr>
            </w:pPr>
            <w:r>
              <w:rPr>
                <w:rFonts w:hint="eastAsia" w:hAnsi="宋体" w:cs="宋体"/>
                <w:szCs w:val="21"/>
              </w:rPr>
              <w:t>18.8</w:t>
            </w:r>
          </w:p>
        </w:tc>
        <w:tc>
          <w:tcPr>
            <w:tcW w:w="1843" w:type="dxa"/>
            <w:vAlign w:val="center"/>
          </w:tcPr>
          <w:p w14:paraId="6767969E">
            <w:pPr>
              <w:pStyle w:val="28"/>
              <w:spacing w:line="360" w:lineRule="auto"/>
              <w:jc w:val="center"/>
              <w:rPr>
                <w:rFonts w:hAnsi="宋体" w:cs="宋体"/>
                <w:szCs w:val="21"/>
              </w:rPr>
            </w:pPr>
            <w:r>
              <w:rPr>
                <w:rFonts w:hint="eastAsia" w:hAnsi="宋体" w:cs="宋体"/>
                <w:szCs w:val="21"/>
              </w:rPr>
              <w:t>开标</w:t>
            </w:r>
          </w:p>
        </w:tc>
        <w:tc>
          <w:tcPr>
            <w:tcW w:w="6520" w:type="dxa"/>
          </w:tcPr>
          <w:p w14:paraId="00BA77A0">
            <w:pPr>
              <w:pStyle w:val="28"/>
              <w:spacing w:line="360" w:lineRule="auto"/>
              <w:rPr>
                <w:rFonts w:hAnsi="宋体" w:cs="宋体"/>
                <w:szCs w:val="21"/>
              </w:rPr>
            </w:pPr>
            <w:r>
              <w:rPr>
                <w:rFonts w:hint="eastAsia" w:hAnsi="宋体" w:cs="宋体"/>
                <w:szCs w:val="21"/>
              </w:rPr>
              <w:t>详见《第一章 投标邀请》</w:t>
            </w:r>
          </w:p>
        </w:tc>
      </w:tr>
      <w:tr w14:paraId="372653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6835AFD">
            <w:pPr>
              <w:pStyle w:val="28"/>
              <w:spacing w:line="360" w:lineRule="auto"/>
              <w:jc w:val="center"/>
              <w:rPr>
                <w:rFonts w:hAnsi="宋体" w:cs="宋体"/>
                <w:szCs w:val="21"/>
              </w:rPr>
            </w:pPr>
            <w:r>
              <w:rPr>
                <w:rFonts w:hint="eastAsia" w:hAnsi="宋体" w:cs="宋体"/>
                <w:szCs w:val="21"/>
              </w:rPr>
              <w:t>13</w:t>
            </w:r>
          </w:p>
        </w:tc>
        <w:tc>
          <w:tcPr>
            <w:tcW w:w="1038" w:type="dxa"/>
            <w:vAlign w:val="center"/>
          </w:tcPr>
          <w:p w14:paraId="695D878E">
            <w:pPr>
              <w:pStyle w:val="28"/>
              <w:spacing w:line="360" w:lineRule="auto"/>
              <w:jc w:val="center"/>
              <w:rPr>
                <w:rFonts w:hAnsi="宋体" w:cs="宋体"/>
                <w:szCs w:val="21"/>
              </w:rPr>
            </w:pPr>
            <w:r>
              <w:rPr>
                <w:rFonts w:hint="eastAsia" w:hAnsi="宋体" w:cs="宋体"/>
                <w:szCs w:val="21"/>
              </w:rPr>
              <w:t>19.2</w:t>
            </w:r>
          </w:p>
        </w:tc>
        <w:tc>
          <w:tcPr>
            <w:tcW w:w="1843" w:type="dxa"/>
            <w:vAlign w:val="center"/>
          </w:tcPr>
          <w:p w14:paraId="2123A926">
            <w:pPr>
              <w:pStyle w:val="28"/>
              <w:spacing w:line="360" w:lineRule="auto"/>
              <w:jc w:val="center"/>
              <w:rPr>
                <w:rFonts w:hAnsi="宋体" w:cs="宋体"/>
                <w:szCs w:val="21"/>
              </w:rPr>
            </w:pPr>
            <w:r>
              <w:rPr>
                <w:rFonts w:hint="eastAsia" w:hAnsi="宋体" w:cs="宋体"/>
                <w:szCs w:val="21"/>
              </w:rPr>
              <w:t>投标截止时间</w:t>
            </w:r>
          </w:p>
        </w:tc>
        <w:tc>
          <w:tcPr>
            <w:tcW w:w="6520" w:type="dxa"/>
          </w:tcPr>
          <w:p w14:paraId="38FB025A">
            <w:pPr>
              <w:pStyle w:val="28"/>
              <w:spacing w:line="360" w:lineRule="auto"/>
              <w:rPr>
                <w:rFonts w:hAnsi="宋体" w:cs="宋体"/>
                <w:b/>
                <w:szCs w:val="21"/>
              </w:rPr>
            </w:pPr>
            <w:r>
              <w:rPr>
                <w:rFonts w:hint="eastAsia" w:hAnsi="宋体" w:cs="宋体"/>
                <w:szCs w:val="21"/>
              </w:rPr>
              <w:t>详见《第一章 投标邀请》</w:t>
            </w:r>
          </w:p>
        </w:tc>
      </w:tr>
      <w:tr w14:paraId="34756D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11F4E1B">
            <w:pPr>
              <w:pStyle w:val="28"/>
              <w:spacing w:line="360" w:lineRule="auto"/>
              <w:jc w:val="center"/>
              <w:rPr>
                <w:rFonts w:hAnsi="宋体" w:cs="宋体"/>
                <w:szCs w:val="21"/>
              </w:rPr>
            </w:pPr>
            <w:r>
              <w:rPr>
                <w:rFonts w:hint="eastAsia" w:hAnsi="宋体" w:cs="宋体"/>
                <w:szCs w:val="21"/>
              </w:rPr>
              <w:t>14</w:t>
            </w:r>
          </w:p>
        </w:tc>
        <w:tc>
          <w:tcPr>
            <w:tcW w:w="1038" w:type="dxa"/>
            <w:vAlign w:val="center"/>
          </w:tcPr>
          <w:p w14:paraId="6A8390FC">
            <w:pPr>
              <w:pStyle w:val="28"/>
              <w:spacing w:line="360" w:lineRule="auto"/>
              <w:jc w:val="center"/>
              <w:rPr>
                <w:rFonts w:hAnsi="宋体" w:cs="宋体"/>
                <w:szCs w:val="21"/>
              </w:rPr>
            </w:pPr>
            <w:r>
              <w:rPr>
                <w:rFonts w:hint="eastAsia" w:hAnsi="宋体" w:cs="宋体"/>
                <w:szCs w:val="21"/>
              </w:rPr>
              <w:t>26.3</w:t>
            </w:r>
          </w:p>
        </w:tc>
        <w:tc>
          <w:tcPr>
            <w:tcW w:w="1843" w:type="dxa"/>
            <w:vAlign w:val="center"/>
          </w:tcPr>
          <w:p w14:paraId="468A4282">
            <w:pPr>
              <w:pStyle w:val="28"/>
              <w:spacing w:line="360" w:lineRule="auto"/>
              <w:jc w:val="center"/>
              <w:rPr>
                <w:rFonts w:hAnsi="宋体" w:cs="宋体"/>
                <w:szCs w:val="21"/>
              </w:rPr>
            </w:pPr>
            <w:r>
              <w:rPr>
                <w:rFonts w:hint="eastAsia" w:hAnsi="宋体" w:cs="宋体"/>
                <w:szCs w:val="21"/>
              </w:rPr>
              <w:t>评标办法</w:t>
            </w:r>
          </w:p>
        </w:tc>
        <w:tc>
          <w:tcPr>
            <w:tcW w:w="6520" w:type="dxa"/>
          </w:tcPr>
          <w:p w14:paraId="388213F2">
            <w:pPr>
              <w:pStyle w:val="28"/>
              <w:spacing w:line="360" w:lineRule="auto"/>
              <w:rPr>
                <w:rFonts w:hAnsi="宋体" w:cs="宋体"/>
                <w:szCs w:val="21"/>
              </w:rPr>
            </w:pPr>
            <w:r>
              <w:rPr>
                <w:rFonts w:hint="eastAsia" w:hAnsi="宋体" w:cs="宋体"/>
                <w:szCs w:val="21"/>
              </w:rPr>
              <w:t>综合评分法</w:t>
            </w:r>
          </w:p>
        </w:tc>
      </w:tr>
      <w:tr w14:paraId="5E8F38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93B6DF2">
            <w:pPr>
              <w:pStyle w:val="28"/>
              <w:spacing w:line="360" w:lineRule="auto"/>
              <w:jc w:val="center"/>
              <w:rPr>
                <w:rFonts w:hAnsi="宋体" w:cs="宋体"/>
                <w:szCs w:val="21"/>
              </w:rPr>
            </w:pPr>
            <w:r>
              <w:rPr>
                <w:rFonts w:hint="eastAsia" w:hAnsi="宋体" w:cs="宋体"/>
                <w:szCs w:val="21"/>
              </w:rPr>
              <w:t>15</w:t>
            </w:r>
          </w:p>
        </w:tc>
        <w:tc>
          <w:tcPr>
            <w:tcW w:w="1038" w:type="dxa"/>
            <w:vAlign w:val="center"/>
          </w:tcPr>
          <w:p w14:paraId="1672050A">
            <w:pPr>
              <w:pStyle w:val="28"/>
              <w:spacing w:line="360" w:lineRule="auto"/>
              <w:jc w:val="center"/>
              <w:rPr>
                <w:rFonts w:hAnsi="宋体" w:cs="宋体"/>
                <w:szCs w:val="21"/>
              </w:rPr>
            </w:pPr>
            <w:r>
              <w:rPr>
                <w:rFonts w:hint="eastAsia" w:hAnsi="宋体" w:cs="宋体"/>
                <w:szCs w:val="21"/>
              </w:rPr>
              <w:t>33.1</w:t>
            </w:r>
          </w:p>
        </w:tc>
        <w:tc>
          <w:tcPr>
            <w:tcW w:w="1843" w:type="dxa"/>
            <w:vAlign w:val="center"/>
          </w:tcPr>
          <w:p w14:paraId="5442F04D">
            <w:pPr>
              <w:pStyle w:val="28"/>
              <w:spacing w:line="360" w:lineRule="auto"/>
              <w:jc w:val="center"/>
              <w:rPr>
                <w:rFonts w:hAnsi="宋体" w:cs="宋体"/>
                <w:snapToGrid w:val="0"/>
                <w:kern w:val="0"/>
                <w:szCs w:val="21"/>
              </w:rPr>
            </w:pPr>
            <w:r>
              <w:rPr>
                <w:rFonts w:hint="eastAsia" w:hAnsi="宋体" w:cs="宋体"/>
                <w:snapToGrid w:val="0"/>
                <w:kern w:val="0"/>
                <w:szCs w:val="21"/>
              </w:rPr>
              <w:t>履约保证金</w:t>
            </w:r>
          </w:p>
        </w:tc>
        <w:tc>
          <w:tcPr>
            <w:tcW w:w="6520" w:type="dxa"/>
          </w:tcPr>
          <w:p w14:paraId="16F700CE">
            <w:pPr>
              <w:pStyle w:val="28"/>
              <w:spacing w:line="360" w:lineRule="auto"/>
              <w:rPr>
                <w:rFonts w:hAnsi="宋体" w:cs="宋体"/>
                <w:szCs w:val="21"/>
              </w:rPr>
            </w:pPr>
            <w:r>
              <w:rPr>
                <w:rFonts w:hint="eastAsia" w:hAnsi="宋体" w:cs="宋体"/>
                <w:szCs w:val="21"/>
              </w:rPr>
              <w:t>合同金额的10%</w:t>
            </w:r>
          </w:p>
        </w:tc>
      </w:tr>
      <w:tr w14:paraId="452407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8" w:type="dxa"/>
            <w:vAlign w:val="center"/>
          </w:tcPr>
          <w:p w14:paraId="17FBBA7C">
            <w:pPr>
              <w:pStyle w:val="28"/>
              <w:spacing w:line="360" w:lineRule="auto"/>
              <w:jc w:val="center"/>
              <w:rPr>
                <w:rFonts w:hAnsi="宋体" w:cs="宋体"/>
                <w:szCs w:val="21"/>
              </w:rPr>
            </w:pPr>
            <w:r>
              <w:rPr>
                <w:rFonts w:hint="eastAsia" w:hAnsi="宋体" w:cs="宋体"/>
                <w:szCs w:val="21"/>
              </w:rPr>
              <w:t>16</w:t>
            </w:r>
          </w:p>
        </w:tc>
        <w:tc>
          <w:tcPr>
            <w:tcW w:w="1038" w:type="dxa"/>
            <w:vAlign w:val="center"/>
          </w:tcPr>
          <w:p w14:paraId="2E36941D">
            <w:pPr>
              <w:pStyle w:val="28"/>
              <w:spacing w:line="360" w:lineRule="auto"/>
              <w:jc w:val="center"/>
              <w:rPr>
                <w:rFonts w:hAnsi="宋体" w:cs="宋体"/>
                <w:szCs w:val="21"/>
              </w:rPr>
            </w:pPr>
            <w:r>
              <w:rPr>
                <w:rFonts w:hint="eastAsia" w:hAnsi="宋体" w:cs="宋体"/>
                <w:szCs w:val="21"/>
              </w:rPr>
              <w:t>34.1</w:t>
            </w:r>
          </w:p>
        </w:tc>
        <w:tc>
          <w:tcPr>
            <w:tcW w:w="1843" w:type="dxa"/>
            <w:vAlign w:val="center"/>
          </w:tcPr>
          <w:p w14:paraId="2D04AE0D">
            <w:pPr>
              <w:pStyle w:val="28"/>
              <w:spacing w:line="360" w:lineRule="auto"/>
              <w:jc w:val="center"/>
              <w:rPr>
                <w:rFonts w:hAnsi="宋体" w:cs="宋体"/>
                <w:szCs w:val="21"/>
              </w:rPr>
            </w:pPr>
            <w:r>
              <w:rPr>
                <w:rFonts w:hint="eastAsia" w:hAnsi="宋体" w:cs="宋体"/>
                <w:szCs w:val="21"/>
              </w:rPr>
              <w:t>中标服务费</w:t>
            </w:r>
          </w:p>
        </w:tc>
        <w:tc>
          <w:tcPr>
            <w:tcW w:w="6520" w:type="dxa"/>
          </w:tcPr>
          <w:p w14:paraId="1CB8F4CC">
            <w:pPr>
              <w:pStyle w:val="28"/>
              <w:spacing w:line="360" w:lineRule="auto"/>
              <w:rPr>
                <w:rFonts w:hAnsi="宋体" w:cs="宋体"/>
                <w:szCs w:val="21"/>
              </w:rPr>
            </w:pPr>
            <w:r>
              <w:rPr>
                <w:rFonts w:hint="eastAsia" w:hAnsi="宋体" w:cs="宋体"/>
                <w:szCs w:val="21"/>
              </w:rPr>
              <w:t>☑以中标金额作为计算依据，向中标供应商收取中标服务费。</w:t>
            </w:r>
          </w:p>
          <w:p w14:paraId="0E907A9A">
            <w:pPr>
              <w:pStyle w:val="28"/>
              <w:spacing w:line="360" w:lineRule="auto"/>
              <w:rPr>
                <w:rFonts w:hAnsi="宋体" w:cs="宋体"/>
                <w:szCs w:val="21"/>
              </w:rPr>
            </w:pPr>
            <w:r>
              <w:rPr>
                <w:rFonts w:hint="eastAsia" w:hAnsi="宋体" w:cs="宋体"/>
                <w:szCs w:val="21"/>
              </w:rPr>
              <w:t>□以预算金额（支付上限）作为计算依据，收取中标服务费：人民币</w:t>
            </w:r>
            <w:r>
              <w:rPr>
                <w:rFonts w:hint="eastAsia" w:hAnsi="宋体" w:cs="宋体"/>
                <w:szCs w:val="21"/>
                <w:u w:val="single"/>
              </w:rPr>
              <w:t xml:space="preserve">        </w:t>
            </w:r>
            <w:r>
              <w:rPr>
                <w:rFonts w:hint="eastAsia" w:hAnsi="宋体" w:cs="宋体"/>
                <w:szCs w:val="21"/>
              </w:rPr>
              <w:t>元。</w:t>
            </w:r>
          </w:p>
        </w:tc>
      </w:tr>
    </w:tbl>
    <w:p w14:paraId="15AB9F53">
      <w:pPr>
        <w:spacing w:line="240" w:lineRule="exact"/>
      </w:pPr>
    </w:p>
    <w:p w14:paraId="3D6DEDFB">
      <w:r>
        <w:br w:type="page"/>
      </w:r>
    </w:p>
    <w:p w14:paraId="00A43954">
      <w:pPr>
        <w:pStyle w:val="2"/>
      </w:pPr>
      <w:bookmarkStart w:id="27" w:name="_Toc18128"/>
      <w:r>
        <w:rPr>
          <w:rFonts w:hint="eastAsia"/>
        </w:rPr>
        <w:t>第七章  投标文件格式</w:t>
      </w:r>
      <w:bookmarkEnd w:id="27"/>
    </w:p>
    <w:p w14:paraId="4478CF32">
      <w:pPr>
        <w:jc w:val="center"/>
        <w:rPr>
          <w:b/>
          <w:sz w:val="52"/>
          <w:szCs w:val="52"/>
        </w:rPr>
      </w:pPr>
    </w:p>
    <w:p w14:paraId="06DAB516">
      <w:pPr>
        <w:pStyle w:val="3"/>
        <w:spacing w:line="400" w:lineRule="exact"/>
        <w:rPr>
          <w:rFonts w:ascii="仿宋" w:hAnsi="仿宋" w:eastAsia="仿宋"/>
        </w:rPr>
      </w:pPr>
      <w:bookmarkStart w:id="28" w:name="_Toc44690704"/>
      <w:bookmarkStart w:id="29" w:name="_Toc44690431"/>
      <w:bookmarkStart w:id="30" w:name="_Toc25194"/>
      <w:bookmarkStart w:id="31" w:name="_Toc31468"/>
      <w:bookmarkStart w:id="32" w:name="_Toc29634"/>
      <w:bookmarkStart w:id="33" w:name="_Toc44691163"/>
      <w:bookmarkStart w:id="34" w:name="_Toc44691395"/>
      <w:bookmarkStart w:id="35" w:name="_Toc11772"/>
      <w:bookmarkStart w:id="36" w:name="_Toc14934"/>
      <w:r>
        <w:rPr>
          <w:rFonts w:hint="eastAsia" w:ascii="仿宋" w:hAnsi="仿宋" w:eastAsia="仿宋"/>
        </w:rPr>
        <w:t>投标文件编制说明</w:t>
      </w:r>
      <w:bookmarkEnd w:id="28"/>
      <w:bookmarkEnd w:id="29"/>
      <w:bookmarkEnd w:id="30"/>
      <w:bookmarkEnd w:id="31"/>
      <w:bookmarkEnd w:id="32"/>
      <w:bookmarkEnd w:id="33"/>
      <w:bookmarkEnd w:id="34"/>
      <w:bookmarkEnd w:id="35"/>
      <w:bookmarkEnd w:id="36"/>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2CCA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448B707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17A9342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71FF8EC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359CAE2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1B67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32D7D3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7C3E89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60F346B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401ED38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1D2F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DB8CD3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1822041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1751676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4452334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0AE3D7FB">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49616E53">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31AEE40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7AA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57B964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D263EB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079EF429">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68C06AB8">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3FA7E08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5C0107C5">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56307DCC">
      <w:pPr>
        <w:spacing w:line="360" w:lineRule="auto"/>
        <w:ind w:firstLine="420" w:firstLineChars="200"/>
        <w:rPr>
          <w:rFonts w:asciiTheme="minorEastAsia" w:hAnsiTheme="minorEastAsia" w:eastAsiaTheme="minorEastAsia"/>
        </w:rPr>
      </w:pPr>
    </w:p>
    <w:p w14:paraId="14A35661">
      <w:pPr>
        <w:spacing w:line="360" w:lineRule="auto"/>
        <w:ind w:firstLine="562" w:firstLineChars="200"/>
        <w:rPr>
          <w:rFonts w:asciiTheme="minorEastAsia" w:hAnsiTheme="minorEastAsia" w:eastAsiaTheme="minorEastAsia"/>
        </w:rPr>
      </w:pPr>
      <w:r>
        <w:rPr>
          <w:rFonts w:hint="eastAsia" w:asciiTheme="minorEastAsia" w:hAnsiTheme="minorEastAsia" w:eastAsiaTheme="minorEastAsia"/>
          <w:b/>
          <w:snapToGrid w:val="0"/>
          <w:kern w:val="0"/>
          <w:sz w:val="28"/>
          <w:szCs w:val="28"/>
          <w:highlight w:val="yellow"/>
        </w:rPr>
        <w:t>注：每个包组独立制作投标文件，并单独密封，不能将多个包组的投标文件打包制作或密封。未按要求制作投标文件的将导致投标无效。</w:t>
      </w:r>
    </w:p>
    <w:p w14:paraId="265ED0C0">
      <w:pPr>
        <w:jc w:val="center"/>
        <w:rPr>
          <w:b/>
          <w:sz w:val="52"/>
          <w:szCs w:val="52"/>
        </w:rPr>
      </w:pPr>
    </w:p>
    <w:p w14:paraId="66DE93E1"/>
    <w:p w14:paraId="5B19F216"/>
    <w:p w14:paraId="38C93D5A">
      <w:pPr>
        <w:jc w:val="center"/>
        <w:rPr>
          <w:b/>
          <w:bCs/>
          <w:sz w:val="52"/>
        </w:rPr>
      </w:pPr>
    </w:p>
    <w:p w14:paraId="39C2212F">
      <w:pPr>
        <w:jc w:val="center"/>
        <w:rPr>
          <w:b/>
          <w:bCs/>
          <w:sz w:val="52"/>
        </w:rPr>
      </w:pPr>
      <w:r>
        <w:rPr>
          <w:rFonts w:hint="eastAsia"/>
          <w:b/>
          <w:bCs/>
          <w:sz w:val="52"/>
        </w:rPr>
        <w:t>投 标 文 件</w:t>
      </w:r>
    </w:p>
    <w:p w14:paraId="604DBB77">
      <w:pPr>
        <w:jc w:val="center"/>
        <w:rPr>
          <w:b/>
          <w:bCs/>
        </w:rPr>
      </w:pPr>
    </w:p>
    <w:p w14:paraId="71170748">
      <w:pPr>
        <w:jc w:val="center"/>
        <w:rPr>
          <w:b/>
          <w:bCs/>
        </w:rPr>
      </w:pPr>
    </w:p>
    <w:p w14:paraId="4F75B326">
      <w:pPr>
        <w:jc w:val="center"/>
        <w:rPr>
          <w:b/>
          <w:bCs/>
        </w:rPr>
      </w:pPr>
    </w:p>
    <w:p w14:paraId="368FE8E2">
      <w:pPr>
        <w:jc w:val="center"/>
        <w:rPr>
          <w:b/>
          <w:bCs/>
        </w:rPr>
      </w:pPr>
    </w:p>
    <w:p w14:paraId="5DDA2A7A">
      <w:pPr>
        <w:jc w:val="center"/>
        <w:rPr>
          <w:b/>
          <w:bCs/>
        </w:rPr>
      </w:pPr>
    </w:p>
    <w:p w14:paraId="0882D771">
      <w:pPr>
        <w:jc w:val="center"/>
        <w:rPr>
          <w:b/>
          <w:bCs/>
        </w:rPr>
      </w:pPr>
    </w:p>
    <w:p w14:paraId="4B6CA9FE">
      <w:pPr>
        <w:jc w:val="center"/>
        <w:rPr>
          <w:rFonts w:ascii="宋体" w:hAnsi="宋体"/>
          <w:b/>
          <w:bCs/>
          <w:sz w:val="30"/>
          <w:szCs w:val="30"/>
        </w:rPr>
      </w:pPr>
      <w:r>
        <w:rPr>
          <w:rFonts w:hint="eastAsia" w:ascii="宋体" w:hAnsi="宋体"/>
          <w:b/>
          <w:bCs/>
          <w:sz w:val="30"/>
          <w:szCs w:val="30"/>
        </w:rPr>
        <w:t>（正本/副本）</w:t>
      </w:r>
    </w:p>
    <w:p w14:paraId="6B3F0A19">
      <w:pPr>
        <w:jc w:val="center"/>
        <w:rPr>
          <w:b/>
          <w:bCs/>
        </w:rPr>
      </w:pPr>
    </w:p>
    <w:p w14:paraId="05168966">
      <w:pPr>
        <w:jc w:val="center"/>
        <w:rPr>
          <w:b/>
          <w:bCs/>
        </w:rPr>
      </w:pPr>
    </w:p>
    <w:p w14:paraId="1D0B4C38">
      <w:pPr>
        <w:jc w:val="center"/>
        <w:rPr>
          <w:b/>
          <w:bCs/>
        </w:rPr>
      </w:pPr>
    </w:p>
    <w:p w14:paraId="7B109EC4">
      <w:pPr>
        <w:jc w:val="center"/>
        <w:rPr>
          <w:b/>
          <w:bCs/>
        </w:rPr>
      </w:pPr>
    </w:p>
    <w:p w14:paraId="4E87B2E9">
      <w:pPr>
        <w:jc w:val="center"/>
        <w:rPr>
          <w:b/>
          <w:bCs/>
        </w:rPr>
      </w:pPr>
    </w:p>
    <w:p w14:paraId="07172B53">
      <w:pPr>
        <w:jc w:val="center"/>
        <w:rPr>
          <w:b/>
          <w:bCs/>
        </w:rPr>
      </w:pPr>
    </w:p>
    <w:p w14:paraId="24EA0FE2">
      <w:pPr>
        <w:jc w:val="center"/>
        <w:rPr>
          <w:b/>
          <w:bCs/>
        </w:rPr>
      </w:pPr>
    </w:p>
    <w:p w14:paraId="772FC834">
      <w:pPr>
        <w:jc w:val="center"/>
        <w:rPr>
          <w:b/>
          <w:bCs/>
        </w:rPr>
      </w:pPr>
    </w:p>
    <w:p w14:paraId="06F68035">
      <w:pPr>
        <w:jc w:val="center"/>
        <w:rPr>
          <w:b/>
          <w:bCs/>
        </w:rPr>
      </w:pPr>
    </w:p>
    <w:p w14:paraId="7A18DA62">
      <w:pPr>
        <w:jc w:val="center"/>
        <w:rPr>
          <w:b/>
          <w:bCs/>
        </w:rPr>
      </w:pPr>
    </w:p>
    <w:p w14:paraId="53A952D5">
      <w:pPr>
        <w:jc w:val="center"/>
        <w:rPr>
          <w:b/>
          <w:bCs/>
        </w:rPr>
      </w:pPr>
    </w:p>
    <w:p w14:paraId="418635E3">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5F27D9F6">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38E0C5EC">
      <w:pPr>
        <w:spacing w:line="480" w:lineRule="auto"/>
        <w:ind w:firstLine="1275" w:firstLineChars="529"/>
        <w:rPr>
          <w:b/>
          <w:bCs/>
          <w:sz w:val="24"/>
        </w:rPr>
      </w:pPr>
      <w:r>
        <w:rPr>
          <w:rFonts w:hint="eastAsia"/>
          <w:b/>
          <w:bCs/>
          <w:sz w:val="24"/>
        </w:rPr>
        <w:t>包   组   号：</w:t>
      </w:r>
      <w:r>
        <w:rPr>
          <w:rFonts w:hint="eastAsia"/>
          <w:b/>
          <w:bCs/>
          <w:sz w:val="24"/>
          <w:u w:val="single"/>
        </w:rPr>
        <w:t xml:space="preserve">                                      </w:t>
      </w:r>
    </w:p>
    <w:p w14:paraId="19319C5C">
      <w:pPr>
        <w:spacing w:line="480" w:lineRule="auto"/>
        <w:ind w:firstLine="1275" w:firstLineChars="529"/>
        <w:rPr>
          <w:b/>
          <w:bCs/>
          <w:sz w:val="24"/>
        </w:rPr>
      </w:pPr>
      <w:r>
        <w:rPr>
          <w:rFonts w:hint="eastAsia"/>
          <w:b/>
          <w:bCs/>
          <w:sz w:val="24"/>
        </w:rPr>
        <w:t>法定代表人或</w:t>
      </w:r>
    </w:p>
    <w:p w14:paraId="6788AF21">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4D36B1D9">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5FF7D227">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3B364CA4">
      <w:pPr>
        <w:spacing w:line="400" w:lineRule="exact"/>
        <w:rPr>
          <w:rFonts w:ascii="仿宋" w:hAnsi="仿宋" w:eastAsia="仿宋"/>
        </w:rPr>
      </w:pPr>
      <w:bookmarkStart w:id="37" w:name="_投标文件格式（第一册）"/>
      <w:bookmarkEnd w:id="37"/>
      <w:bookmarkStart w:id="38" w:name="q0"/>
    </w:p>
    <w:p w14:paraId="54134E03">
      <w:pPr>
        <w:spacing w:line="400" w:lineRule="exact"/>
        <w:rPr>
          <w:rFonts w:ascii="仿宋" w:hAnsi="仿宋" w:eastAsia="仿宋"/>
        </w:rPr>
      </w:pPr>
    </w:p>
    <w:p w14:paraId="22A96B8F">
      <w:pPr>
        <w:pStyle w:val="3"/>
        <w:spacing w:line="400" w:lineRule="exact"/>
        <w:rPr>
          <w:rFonts w:ascii="仿宋" w:hAnsi="仿宋" w:eastAsia="仿宋"/>
        </w:rPr>
      </w:pPr>
      <w:bookmarkStart w:id="39" w:name="_Toc14345"/>
    </w:p>
    <w:p w14:paraId="5F2726CD">
      <w:pPr>
        <w:pStyle w:val="3"/>
        <w:spacing w:line="400" w:lineRule="exact"/>
        <w:rPr>
          <w:rFonts w:ascii="仿宋" w:hAnsi="仿宋" w:eastAsia="仿宋"/>
        </w:rPr>
      </w:pPr>
    </w:p>
    <w:p w14:paraId="665FDAA4">
      <w:pPr>
        <w:pStyle w:val="3"/>
        <w:spacing w:line="400" w:lineRule="exact"/>
        <w:rPr>
          <w:rFonts w:ascii="仿宋" w:hAnsi="仿宋" w:eastAsia="仿宋"/>
        </w:rPr>
      </w:pPr>
    </w:p>
    <w:p w14:paraId="18EFA7B2">
      <w:pPr>
        <w:pStyle w:val="3"/>
        <w:spacing w:line="400" w:lineRule="exact"/>
        <w:rPr>
          <w:rFonts w:ascii="仿宋" w:hAnsi="仿宋" w:eastAsia="仿宋"/>
        </w:rPr>
      </w:pPr>
      <w:r>
        <w:rPr>
          <w:rFonts w:hint="eastAsia" w:ascii="仿宋" w:hAnsi="仿宋" w:eastAsia="仿宋"/>
        </w:rPr>
        <w:t>投标文件格式</w:t>
      </w:r>
      <w:bookmarkEnd w:id="39"/>
    </w:p>
    <w:bookmarkEnd w:id="38"/>
    <w:p w14:paraId="5496FFC4">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0DC2ED63">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评标指引表</w:t>
      </w:r>
    </w:p>
    <w:p w14:paraId="30DB193B">
      <w:pPr>
        <w:numPr>
          <w:ilvl w:val="0"/>
          <w:numId w:val="7"/>
        </w:numPr>
        <w:adjustRightInd w:val="0"/>
        <w:spacing w:line="360" w:lineRule="auto"/>
        <w:rPr>
          <w:snapToGrid w:val="0"/>
          <w:kern w:val="0"/>
          <w:szCs w:val="21"/>
        </w:rPr>
      </w:pPr>
      <w:r>
        <w:rPr>
          <w:rFonts w:hint="eastAsia"/>
          <w:snapToGrid w:val="0"/>
          <w:kern w:val="0"/>
          <w:szCs w:val="21"/>
        </w:rPr>
        <w:t>投标人资格证明文件（格式1）</w:t>
      </w:r>
    </w:p>
    <w:p w14:paraId="7DD003A1">
      <w:pPr>
        <w:numPr>
          <w:ilvl w:val="0"/>
          <w:numId w:val="7"/>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15D0A034">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68E67A62">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评分中涉及的承诺及声明函（格式4）</w:t>
      </w:r>
    </w:p>
    <w:p w14:paraId="42E322CE">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493D9CF2">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注：此表在递交投标文件时单独交予</w:t>
      </w:r>
      <w:r>
        <w:rPr>
          <w:rFonts w:hint="eastAsia" w:ascii="宋体" w:hAnsi="宋体"/>
          <w:b/>
          <w:bCs/>
          <w:snapToGrid w:val="0"/>
          <w:kern w:val="0"/>
          <w:szCs w:val="21"/>
        </w:rPr>
        <w:t>招标代理机构。</w:t>
      </w:r>
    </w:p>
    <w:p w14:paraId="77DCE2BF">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0B9529EF">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416E777">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21FBF3A2">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75500E0B">
      <w:pPr>
        <w:numPr>
          <w:ilvl w:val="0"/>
          <w:numId w:val="7"/>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1BB21BFC">
      <w:pPr>
        <w:numPr>
          <w:ilvl w:val="0"/>
          <w:numId w:val="7"/>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3669E6E4">
      <w:pPr>
        <w:numPr>
          <w:ilvl w:val="0"/>
          <w:numId w:val="7"/>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1BFEC3CE">
      <w:pPr>
        <w:adjustRightInd w:val="0"/>
        <w:spacing w:line="300" w:lineRule="auto"/>
        <w:ind w:left="-2"/>
        <w:rPr>
          <w:rFonts w:ascii="宋体" w:hAnsi="宋体"/>
          <w:snapToGrid w:val="0"/>
          <w:kern w:val="0"/>
          <w:szCs w:val="21"/>
        </w:rPr>
      </w:pPr>
    </w:p>
    <w:p w14:paraId="560FC17D">
      <w:pPr>
        <w:adjustRightInd w:val="0"/>
        <w:spacing w:line="300" w:lineRule="auto"/>
        <w:ind w:left="-2"/>
        <w:rPr>
          <w:rFonts w:ascii="宋体" w:hAnsi="宋体"/>
          <w:snapToGrid w:val="0"/>
          <w:kern w:val="0"/>
          <w:szCs w:val="21"/>
        </w:rPr>
      </w:pPr>
    </w:p>
    <w:p w14:paraId="0A544F21">
      <w:pPr>
        <w:adjustRightInd w:val="0"/>
        <w:spacing w:line="300" w:lineRule="auto"/>
        <w:ind w:left="-2"/>
        <w:rPr>
          <w:rFonts w:ascii="宋体" w:hAnsi="宋体"/>
          <w:snapToGrid w:val="0"/>
          <w:kern w:val="0"/>
          <w:szCs w:val="21"/>
        </w:rPr>
      </w:pPr>
    </w:p>
    <w:p w14:paraId="15ABE785">
      <w:pPr>
        <w:ind w:hanging="2"/>
        <w:rPr>
          <w:b/>
          <w:bCs/>
          <w:sz w:val="28"/>
        </w:rPr>
      </w:pPr>
    </w:p>
    <w:p w14:paraId="29C38C83">
      <w:pPr>
        <w:adjustRightInd w:val="0"/>
        <w:snapToGrid w:val="0"/>
        <w:spacing w:line="300" w:lineRule="auto"/>
        <w:jc w:val="center"/>
      </w:pPr>
      <w:bookmarkStart w:id="40" w:name="_格式1__投标人资格证明文件"/>
      <w:bookmarkEnd w:id="40"/>
    </w:p>
    <w:p w14:paraId="20D89210">
      <w:pPr>
        <w:adjustRightInd w:val="0"/>
        <w:snapToGrid w:val="0"/>
        <w:spacing w:line="300" w:lineRule="auto"/>
        <w:jc w:val="center"/>
      </w:pPr>
    </w:p>
    <w:p w14:paraId="741D4C21">
      <w:pPr>
        <w:adjustRightInd w:val="0"/>
        <w:snapToGrid w:val="0"/>
        <w:spacing w:line="300" w:lineRule="auto"/>
        <w:jc w:val="center"/>
      </w:pPr>
    </w:p>
    <w:p w14:paraId="56AAC834">
      <w:pPr>
        <w:adjustRightInd w:val="0"/>
        <w:snapToGrid w:val="0"/>
        <w:spacing w:line="300" w:lineRule="auto"/>
        <w:jc w:val="center"/>
      </w:pPr>
    </w:p>
    <w:p w14:paraId="1409E01E">
      <w:pPr>
        <w:adjustRightInd w:val="0"/>
        <w:snapToGrid w:val="0"/>
        <w:spacing w:line="300" w:lineRule="auto"/>
        <w:jc w:val="center"/>
      </w:pPr>
    </w:p>
    <w:p w14:paraId="47B37886">
      <w:pPr>
        <w:adjustRightInd w:val="0"/>
        <w:snapToGrid w:val="0"/>
        <w:spacing w:line="300" w:lineRule="auto"/>
        <w:jc w:val="center"/>
      </w:pPr>
    </w:p>
    <w:p w14:paraId="202C16A0">
      <w:pPr>
        <w:adjustRightInd w:val="0"/>
        <w:snapToGrid w:val="0"/>
        <w:spacing w:line="300" w:lineRule="auto"/>
        <w:jc w:val="center"/>
      </w:pPr>
    </w:p>
    <w:p w14:paraId="5534CB8C">
      <w:pPr>
        <w:adjustRightInd w:val="0"/>
        <w:snapToGrid w:val="0"/>
        <w:spacing w:line="300" w:lineRule="auto"/>
        <w:jc w:val="center"/>
      </w:pPr>
    </w:p>
    <w:p w14:paraId="2A78C80F">
      <w:pPr>
        <w:adjustRightInd w:val="0"/>
        <w:snapToGrid w:val="0"/>
        <w:spacing w:line="300" w:lineRule="auto"/>
        <w:jc w:val="center"/>
      </w:pPr>
    </w:p>
    <w:p w14:paraId="323CB0A5">
      <w:pPr>
        <w:pStyle w:val="3"/>
        <w:spacing w:line="400" w:lineRule="exact"/>
        <w:rPr>
          <w:rFonts w:ascii="仿宋" w:hAnsi="仿宋" w:eastAsia="仿宋"/>
        </w:rPr>
      </w:pPr>
      <w:bookmarkStart w:id="41" w:name="_Toc73610158"/>
    </w:p>
    <w:p w14:paraId="5EC31626">
      <w:pPr>
        <w:rPr>
          <w:rFonts w:ascii="仿宋" w:hAnsi="仿宋" w:eastAsia="仿宋"/>
        </w:rPr>
      </w:pPr>
      <w:bookmarkStart w:id="42" w:name="_Toc16524"/>
      <w:r>
        <w:rPr>
          <w:rFonts w:hint="eastAsia" w:ascii="仿宋" w:hAnsi="仿宋" w:eastAsia="仿宋"/>
        </w:rPr>
        <w:br w:type="page"/>
      </w:r>
    </w:p>
    <w:p w14:paraId="6C7A5E5F">
      <w:pPr>
        <w:pStyle w:val="3"/>
        <w:spacing w:line="400" w:lineRule="exact"/>
        <w:rPr>
          <w:rFonts w:ascii="仿宋" w:hAnsi="仿宋" w:eastAsia="仿宋"/>
        </w:rPr>
      </w:pPr>
      <w:r>
        <w:rPr>
          <w:rFonts w:hint="eastAsia" w:ascii="仿宋" w:hAnsi="仿宋" w:eastAsia="仿宋"/>
        </w:rPr>
        <w:t>评标指引表</w:t>
      </w:r>
      <w:bookmarkEnd w:id="41"/>
      <w:bookmarkEnd w:id="42"/>
    </w:p>
    <w:p w14:paraId="65A75F8D">
      <w:pPr>
        <w:jc w:val="center"/>
        <w:rPr>
          <w:b/>
          <w:szCs w:val="21"/>
        </w:rPr>
      </w:pPr>
    </w:p>
    <w:p w14:paraId="38C1802F">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324E383D">
      <w:pPr>
        <w:spacing w:line="360" w:lineRule="auto"/>
        <w:ind w:firstLine="420" w:firstLineChars="200"/>
        <w:rPr>
          <w:rFonts w:ascii="宋体" w:hAnsi="宋体"/>
          <w:szCs w:val="21"/>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52BD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E772074">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5EA4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79925FAB">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7C33F63E">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4DBE669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9F7A20C">
            <w:pPr>
              <w:spacing w:line="360" w:lineRule="exact"/>
              <w:jc w:val="center"/>
              <w:rPr>
                <w:rFonts w:ascii="宋体" w:hAnsi="宋体"/>
                <w:szCs w:val="21"/>
              </w:rPr>
            </w:pPr>
            <w:r>
              <w:rPr>
                <w:rFonts w:hint="eastAsia" w:ascii="宋体" w:hAnsi="宋体"/>
                <w:szCs w:val="21"/>
              </w:rPr>
              <w:t>备注</w:t>
            </w:r>
          </w:p>
        </w:tc>
      </w:tr>
      <w:tr w14:paraId="147B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0361FD53">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4C0B1A5">
            <w:pPr>
              <w:rPr>
                <w:rFonts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79B0D85B">
            <w:pPr>
              <w:spacing w:line="360" w:lineRule="exact"/>
              <w:jc w:val="center"/>
              <w:rPr>
                <w:rFonts w:ascii="宋体" w:hAnsi="宋体"/>
                <w:b/>
                <w:szCs w:val="21"/>
              </w:rPr>
            </w:pPr>
          </w:p>
        </w:tc>
        <w:tc>
          <w:tcPr>
            <w:tcW w:w="1472" w:type="dxa"/>
            <w:vAlign w:val="center"/>
          </w:tcPr>
          <w:p w14:paraId="3230EE04">
            <w:pPr>
              <w:spacing w:line="360" w:lineRule="exact"/>
              <w:jc w:val="center"/>
              <w:rPr>
                <w:rFonts w:ascii="宋体" w:hAnsi="宋体"/>
                <w:b/>
                <w:szCs w:val="21"/>
              </w:rPr>
            </w:pPr>
          </w:p>
        </w:tc>
      </w:tr>
      <w:tr w14:paraId="547A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6CC28B2D">
            <w:pPr>
              <w:spacing w:line="360" w:lineRule="exact"/>
              <w:jc w:val="center"/>
              <w:rPr>
                <w:rFonts w:ascii="宋体" w:hAnsi="宋体"/>
                <w:szCs w:val="21"/>
              </w:rPr>
            </w:pPr>
            <w:r>
              <w:rPr>
                <w:rFonts w:hint="eastAsia" w:ascii="宋体" w:hAnsi="宋体"/>
                <w:szCs w:val="21"/>
              </w:rPr>
              <w:t>技术部分</w:t>
            </w:r>
          </w:p>
        </w:tc>
        <w:tc>
          <w:tcPr>
            <w:tcW w:w="4854" w:type="dxa"/>
          </w:tcPr>
          <w:p w14:paraId="7DDB9AB7">
            <w:pPr>
              <w:spacing w:line="360" w:lineRule="exact"/>
              <w:jc w:val="center"/>
              <w:rPr>
                <w:rFonts w:ascii="宋体" w:hAnsi="宋体"/>
                <w:szCs w:val="21"/>
              </w:rPr>
            </w:pPr>
            <w:r>
              <w:rPr>
                <w:rFonts w:hint="eastAsia" w:ascii="宋体" w:hAnsi="宋体"/>
                <w:szCs w:val="21"/>
              </w:rPr>
              <w:t>1.……</w:t>
            </w:r>
          </w:p>
        </w:tc>
        <w:tc>
          <w:tcPr>
            <w:tcW w:w="2169" w:type="dxa"/>
            <w:vAlign w:val="center"/>
          </w:tcPr>
          <w:p w14:paraId="2305DDF9">
            <w:pPr>
              <w:spacing w:line="360" w:lineRule="exact"/>
              <w:jc w:val="center"/>
              <w:rPr>
                <w:rFonts w:ascii="宋体" w:hAnsi="宋体"/>
                <w:b/>
                <w:szCs w:val="21"/>
              </w:rPr>
            </w:pPr>
          </w:p>
        </w:tc>
        <w:tc>
          <w:tcPr>
            <w:tcW w:w="1472" w:type="dxa"/>
            <w:vAlign w:val="center"/>
          </w:tcPr>
          <w:p w14:paraId="64D9CDC3">
            <w:pPr>
              <w:spacing w:line="360" w:lineRule="exact"/>
              <w:jc w:val="center"/>
              <w:rPr>
                <w:rFonts w:ascii="宋体" w:hAnsi="宋体"/>
                <w:b/>
                <w:szCs w:val="21"/>
              </w:rPr>
            </w:pPr>
          </w:p>
        </w:tc>
      </w:tr>
      <w:tr w14:paraId="2609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BE49545">
            <w:pPr>
              <w:spacing w:line="360" w:lineRule="exact"/>
              <w:jc w:val="center"/>
              <w:rPr>
                <w:rFonts w:ascii="宋体" w:hAnsi="宋体"/>
                <w:szCs w:val="21"/>
              </w:rPr>
            </w:pPr>
          </w:p>
        </w:tc>
        <w:tc>
          <w:tcPr>
            <w:tcW w:w="4854" w:type="dxa"/>
          </w:tcPr>
          <w:p w14:paraId="70057D8A">
            <w:pPr>
              <w:spacing w:line="360" w:lineRule="exact"/>
              <w:jc w:val="center"/>
              <w:rPr>
                <w:rFonts w:ascii="宋体" w:hAnsi="宋体"/>
                <w:szCs w:val="21"/>
              </w:rPr>
            </w:pPr>
            <w:r>
              <w:rPr>
                <w:rFonts w:hint="eastAsia" w:ascii="宋体" w:hAnsi="宋体"/>
                <w:szCs w:val="21"/>
              </w:rPr>
              <w:t>2.……</w:t>
            </w:r>
          </w:p>
        </w:tc>
        <w:tc>
          <w:tcPr>
            <w:tcW w:w="2169" w:type="dxa"/>
            <w:vAlign w:val="center"/>
          </w:tcPr>
          <w:p w14:paraId="076B86A9">
            <w:pPr>
              <w:spacing w:line="360" w:lineRule="exact"/>
              <w:jc w:val="center"/>
              <w:rPr>
                <w:rFonts w:ascii="宋体" w:hAnsi="宋体"/>
                <w:b/>
                <w:szCs w:val="21"/>
              </w:rPr>
            </w:pPr>
          </w:p>
        </w:tc>
        <w:tc>
          <w:tcPr>
            <w:tcW w:w="1472" w:type="dxa"/>
            <w:vAlign w:val="center"/>
          </w:tcPr>
          <w:p w14:paraId="7A3DE0E8">
            <w:pPr>
              <w:spacing w:line="360" w:lineRule="exact"/>
              <w:jc w:val="center"/>
              <w:rPr>
                <w:rFonts w:ascii="宋体" w:hAnsi="宋体"/>
                <w:b/>
                <w:szCs w:val="21"/>
              </w:rPr>
            </w:pPr>
          </w:p>
        </w:tc>
      </w:tr>
      <w:tr w14:paraId="1621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16E551D">
            <w:pPr>
              <w:spacing w:line="360" w:lineRule="exact"/>
              <w:jc w:val="center"/>
              <w:rPr>
                <w:rFonts w:ascii="宋体" w:hAnsi="宋体"/>
                <w:szCs w:val="21"/>
              </w:rPr>
            </w:pPr>
          </w:p>
        </w:tc>
        <w:tc>
          <w:tcPr>
            <w:tcW w:w="4854" w:type="dxa"/>
          </w:tcPr>
          <w:p w14:paraId="1D71E273">
            <w:pPr>
              <w:spacing w:line="360" w:lineRule="exact"/>
              <w:jc w:val="center"/>
              <w:rPr>
                <w:rFonts w:ascii="宋体" w:hAnsi="宋体"/>
                <w:szCs w:val="21"/>
              </w:rPr>
            </w:pPr>
            <w:r>
              <w:rPr>
                <w:rFonts w:hint="eastAsia" w:ascii="宋体" w:hAnsi="宋体"/>
                <w:szCs w:val="21"/>
              </w:rPr>
              <w:t>……</w:t>
            </w:r>
          </w:p>
        </w:tc>
        <w:tc>
          <w:tcPr>
            <w:tcW w:w="2169" w:type="dxa"/>
            <w:vAlign w:val="center"/>
          </w:tcPr>
          <w:p w14:paraId="55C28090">
            <w:pPr>
              <w:spacing w:line="360" w:lineRule="exact"/>
              <w:jc w:val="center"/>
              <w:rPr>
                <w:rFonts w:ascii="宋体" w:hAnsi="宋体"/>
                <w:b/>
                <w:szCs w:val="21"/>
              </w:rPr>
            </w:pPr>
          </w:p>
        </w:tc>
        <w:tc>
          <w:tcPr>
            <w:tcW w:w="1472" w:type="dxa"/>
            <w:vAlign w:val="center"/>
          </w:tcPr>
          <w:p w14:paraId="50DD3FC8">
            <w:pPr>
              <w:spacing w:line="360" w:lineRule="exact"/>
              <w:jc w:val="center"/>
              <w:rPr>
                <w:rFonts w:ascii="宋体" w:hAnsi="宋体"/>
                <w:b/>
                <w:szCs w:val="21"/>
              </w:rPr>
            </w:pPr>
          </w:p>
        </w:tc>
      </w:tr>
      <w:tr w14:paraId="43CB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715B7E02">
            <w:pPr>
              <w:spacing w:line="360" w:lineRule="exact"/>
              <w:jc w:val="center"/>
              <w:rPr>
                <w:rFonts w:ascii="宋体" w:hAnsi="宋体"/>
                <w:szCs w:val="21"/>
              </w:rPr>
            </w:pPr>
            <w:r>
              <w:rPr>
                <w:rFonts w:hint="eastAsia" w:ascii="宋体" w:hAnsi="宋体"/>
                <w:szCs w:val="21"/>
              </w:rPr>
              <w:t>商务部分</w:t>
            </w:r>
          </w:p>
        </w:tc>
        <w:tc>
          <w:tcPr>
            <w:tcW w:w="4854" w:type="dxa"/>
          </w:tcPr>
          <w:p w14:paraId="0B295ABD">
            <w:pPr>
              <w:spacing w:line="360" w:lineRule="exact"/>
              <w:jc w:val="center"/>
              <w:rPr>
                <w:rFonts w:ascii="宋体" w:hAnsi="宋体"/>
                <w:szCs w:val="21"/>
              </w:rPr>
            </w:pPr>
            <w:r>
              <w:rPr>
                <w:rFonts w:hint="eastAsia" w:ascii="宋体" w:hAnsi="宋体"/>
                <w:szCs w:val="21"/>
              </w:rPr>
              <w:t>1.……</w:t>
            </w:r>
          </w:p>
        </w:tc>
        <w:tc>
          <w:tcPr>
            <w:tcW w:w="2169" w:type="dxa"/>
            <w:vAlign w:val="center"/>
          </w:tcPr>
          <w:p w14:paraId="1ACE55DE">
            <w:pPr>
              <w:spacing w:line="360" w:lineRule="exact"/>
              <w:jc w:val="center"/>
              <w:rPr>
                <w:rFonts w:ascii="宋体" w:hAnsi="宋体"/>
                <w:b/>
                <w:szCs w:val="21"/>
              </w:rPr>
            </w:pPr>
          </w:p>
        </w:tc>
        <w:tc>
          <w:tcPr>
            <w:tcW w:w="1472" w:type="dxa"/>
            <w:vAlign w:val="center"/>
          </w:tcPr>
          <w:p w14:paraId="3BFCBE93">
            <w:pPr>
              <w:spacing w:line="360" w:lineRule="exact"/>
              <w:jc w:val="center"/>
              <w:rPr>
                <w:rFonts w:ascii="宋体" w:hAnsi="宋体"/>
                <w:b/>
                <w:szCs w:val="21"/>
              </w:rPr>
            </w:pPr>
          </w:p>
        </w:tc>
      </w:tr>
      <w:tr w14:paraId="7279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729CE2">
            <w:pPr>
              <w:spacing w:line="360" w:lineRule="exact"/>
              <w:jc w:val="center"/>
              <w:rPr>
                <w:rFonts w:ascii="宋体" w:hAnsi="宋体"/>
                <w:szCs w:val="21"/>
              </w:rPr>
            </w:pPr>
          </w:p>
        </w:tc>
        <w:tc>
          <w:tcPr>
            <w:tcW w:w="4854" w:type="dxa"/>
          </w:tcPr>
          <w:p w14:paraId="558025F8">
            <w:pPr>
              <w:spacing w:line="360" w:lineRule="exact"/>
              <w:jc w:val="center"/>
              <w:rPr>
                <w:rFonts w:ascii="宋体" w:hAnsi="宋体"/>
                <w:szCs w:val="21"/>
              </w:rPr>
            </w:pPr>
            <w:r>
              <w:rPr>
                <w:rFonts w:hint="eastAsia" w:ascii="宋体" w:hAnsi="宋体"/>
                <w:szCs w:val="21"/>
              </w:rPr>
              <w:t>2.……</w:t>
            </w:r>
          </w:p>
        </w:tc>
        <w:tc>
          <w:tcPr>
            <w:tcW w:w="2169" w:type="dxa"/>
            <w:vAlign w:val="center"/>
          </w:tcPr>
          <w:p w14:paraId="5613C409">
            <w:pPr>
              <w:spacing w:line="360" w:lineRule="exact"/>
              <w:jc w:val="center"/>
              <w:rPr>
                <w:rFonts w:ascii="宋体" w:hAnsi="宋体"/>
                <w:b/>
                <w:szCs w:val="21"/>
              </w:rPr>
            </w:pPr>
          </w:p>
        </w:tc>
        <w:tc>
          <w:tcPr>
            <w:tcW w:w="1472" w:type="dxa"/>
            <w:vAlign w:val="center"/>
          </w:tcPr>
          <w:p w14:paraId="662DAB43">
            <w:pPr>
              <w:spacing w:line="360" w:lineRule="exact"/>
              <w:jc w:val="center"/>
              <w:rPr>
                <w:rFonts w:ascii="宋体" w:hAnsi="宋体"/>
                <w:b/>
                <w:szCs w:val="21"/>
              </w:rPr>
            </w:pPr>
          </w:p>
        </w:tc>
      </w:tr>
      <w:tr w14:paraId="4799C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FB4C11C">
            <w:pPr>
              <w:spacing w:line="360" w:lineRule="exact"/>
              <w:jc w:val="center"/>
              <w:rPr>
                <w:rFonts w:ascii="宋体" w:hAnsi="宋体"/>
                <w:szCs w:val="21"/>
              </w:rPr>
            </w:pPr>
          </w:p>
        </w:tc>
        <w:tc>
          <w:tcPr>
            <w:tcW w:w="4854" w:type="dxa"/>
          </w:tcPr>
          <w:p w14:paraId="64A8B7CF">
            <w:pPr>
              <w:spacing w:line="360" w:lineRule="exact"/>
              <w:jc w:val="center"/>
              <w:rPr>
                <w:rFonts w:ascii="宋体" w:hAnsi="宋体"/>
                <w:szCs w:val="21"/>
              </w:rPr>
            </w:pPr>
            <w:r>
              <w:rPr>
                <w:rFonts w:hint="eastAsia" w:ascii="宋体" w:hAnsi="宋体"/>
                <w:szCs w:val="21"/>
              </w:rPr>
              <w:t>……</w:t>
            </w:r>
          </w:p>
        </w:tc>
        <w:tc>
          <w:tcPr>
            <w:tcW w:w="2169" w:type="dxa"/>
            <w:vAlign w:val="center"/>
          </w:tcPr>
          <w:p w14:paraId="121ABB52">
            <w:pPr>
              <w:spacing w:line="360" w:lineRule="exact"/>
              <w:jc w:val="center"/>
              <w:rPr>
                <w:rFonts w:ascii="宋体" w:hAnsi="宋体"/>
                <w:b/>
                <w:szCs w:val="21"/>
              </w:rPr>
            </w:pPr>
          </w:p>
        </w:tc>
        <w:tc>
          <w:tcPr>
            <w:tcW w:w="1472" w:type="dxa"/>
            <w:vAlign w:val="center"/>
          </w:tcPr>
          <w:p w14:paraId="0B5CB8A9">
            <w:pPr>
              <w:spacing w:line="360" w:lineRule="exact"/>
              <w:jc w:val="center"/>
              <w:rPr>
                <w:rFonts w:ascii="宋体" w:hAnsi="宋体"/>
                <w:b/>
                <w:szCs w:val="21"/>
              </w:rPr>
            </w:pPr>
          </w:p>
        </w:tc>
      </w:tr>
    </w:tbl>
    <w:p w14:paraId="1CC6AD44">
      <w:pPr>
        <w:pStyle w:val="28"/>
        <w:spacing w:line="360" w:lineRule="auto"/>
        <w:ind w:firstLine="424" w:firstLineChars="201"/>
        <w:rPr>
          <w:rFonts w:hAnsi="宋体"/>
          <w:b/>
          <w:szCs w:val="21"/>
        </w:rPr>
      </w:pPr>
    </w:p>
    <w:p w14:paraId="01080C14">
      <w:pPr>
        <w:pStyle w:val="28"/>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67EE50D5"/>
    <w:p w14:paraId="3929B6F2"/>
    <w:p w14:paraId="58DE0CCA"/>
    <w:p w14:paraId="7675DB91"/>
    <w:p w14:paraId="47FF3F59"/>
    <w:p w14:paraId="0493C796"/>
    <w:p w14:paraId="5751D852">
      <w:pPr>
        <w:pStyle w:val="20"/>
      </w:pPr>
    </w:p>
    <w:p w14:paraId="6F1C9F0B"/>
    <w:p w14:paraId="2828D54D"/>
    <w:p w14:paraId="65A33362"/>
    <w:p w14:paraId="18D902D0">
      <w:pPr>
        <w:pStyle w:val="4"/>
        <w:tabs>
          <w:tab w:val="left" w:pos="371"/>
        </w:tabs>
        <w:spacing w:before="120" w:after="120"/>
        <w:ind w:left="-1" w:leftChars="-1" w:hanging="1"/>
        <w:jc w:val="center"/>
        <w:rPr>
          <w:rFonts w:asciiTheme="minorEastAsia" w:hAnsiTheme="minorEastAsia" w:eastAsiaTheme="minorEastAsia"/>
        </w:rPr>
      </w:pPr>
      <w:bookmarkStart w:id="43" w:name="_Toc44691396"/>
      <w:bookmarkStart w:id="44" w:name="_Toc44690705"/>
      <w:bookmarkStart w:id="45" w:name="_Toc135293343"/>
      <w:bookmarkStart w:id="46" w:name="_Toc44690432"/>
      <w:bookmarkStart w:id="47" w:name="_Toc44691164"/>
    </w:p>
    <w:p w14:paraId="35B60DD0">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48" w:name="_Toc17137"/>
      <w:r>
        <w:rPr>
          <w:rFonts w:hint="eastAsia" w:asciiTheme="minorEastAsia" w:hAnsiTheme="minorEastAsia" w:eastAsiaTheme="minorEastAsia"/>
        </w:rPr>
        <w:t>格式1  投标人资格证明文件</w:t>
      </w:r>
      <w:bookmarkEnd w:id="43"/>
      <w:bookmarkEnd w:id="44"/>
      <w:bookmarkEnd w:id="45"/>
      <w:bookmarkEnd w:id="46"/>
      <w:bookmarkEnd w:id="47"/>
      <w:bookmarkEnd w:id="48"/>
    </w:p>
    <w:p w14:paraId="4F6E7056">
      <w:pPr>
        <w:adjustRightInd w:val="0"/>
        <w:snapToGrid w:val="0"/>
        <w:spacing w:line="360" w:lineRule="auto"/>
        <w:rPr>
          <w:rFonts w:ascii="宋体" w:hAnsi="宋体"/>
          <w:bCs/>
          <w:snapToGrid w:val="0"/>
          <w:kern w:val="0"/>
          <w:szCs w:val="21"/>
        </w:rPr>
      </w:pPr>
    </w:p>
    <w:p w14:paraId="2C1E689D">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1.符合《中华人民共和国政府采购法》第二十二条规定（提供书面声明函</w:t>
      </w:r>
      <w:r>
        <w:rPr>
          <w:rFonts w:hint="eastAsia" w:ascii="宋体" w:hAnsi="宋体" w:cs="宋体"/>
          <w:snapToGrid w:val="0"/>
          <w:kern w:val="0"/>
          <w:szCs w:val="21"/>
        </w:rPr>
        <w:t>加盖投标人公章</w:t>
      </w:r>
      <w:r>
        <w:rPr>
          <w:rFonts w:hint="eastAsia" w:ascii="宋体" w:hAnsi="宋体" w:cs="宋体"/>
          <w:bCs/>
          <w:snapToGrid w:val="0"/>
          <w:kern w:val="0"/>
          <w:szCs w:val="21"/>
        </w:rPr>
        <w:t>，格式自拟），即：</w:t>
      </w:r>
    </w:p>
    <w:p w14:paraId="60DB849D">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 xml:space="preserve">   （1）具有独立承担民事责任的能力；</w:t>
      </w:r>
    </w:p>
    <w:p w14:paraId="192ED375">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 xml:space="preserve">   （2）具有良好的商业信誉和健全的财务会计制度；</w:t>
      </w:r>
    </w:p>
    <w:p w14:paraId="04FE3A2B">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 xml:space="preserve">   （3）具有履行合同所需的设备和专业技术能力；</w:t>
      </w:r>
    </w:p>
    <w:p w14:paraId="7D6247B5">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 xml:space="preserve">   （4）有依法缴纳税收和社会保障资金的良好记录；</w:t>
      </w:r>
    </w:p>
    <w:p w14:paraId="22FBB7F3">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 xml:space="preserve">   （5）参加政府采购活动前三年内，在经营活动中没有重大违法记录；</w:t>
      </w:r>
    </w:p>
    <w:p w14:paraId="3CE2342B">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 xml:space="preserve">   （6）法律、行政法规规定的其他条件。</w:t>
      </w:r>
    </w:p>
    <w:p w14:paraId="153789EE">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2.</w:t>
      </w:r>
      <w:r>
        <w:rPr>
          <w:rFonts w:hint="eastAsia" w:ascii="宋体" w:hAnsi="宋体" w:cs="宋体"/>
        </w:rPr>
        <w:t>中华人民共和国境内（不含港、澳、台地区）合法注册的独立法人或其他组织（提供营业执照、税务登记证、组织机构代码证等复印件并加盖供应商公章，如为三证合一的新版营业执照，仅需提供营业执照复印件并加盖供应商公章）。如果是分支机构参与投标，还须同时提供其具有独立法人资格的上级主体出具的有效授权书及上级主体的营业执照或法人证书等证明材料复印件或扫描件加盖投标人公章；本项目不接受总公司与分支机构同时参与投标，也不接受同一总公司有两个或以上分支机构参与投标，如出现以上情形，该两家或以上投标人均按无效投标处理。</w:t>
      </w:r>
    </w:p>
    <w:p w14:paraId="5756E639">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3.</w:t>
      </w:r>
      <w:r>
        <w:rPr>
          <w:rFonts w:hint="eastAsia" w:ascii="宋体" w:hAnsi="宋体" w:cs="宋体"/>
        </w:rPr>
        <w:t>参与本项目采购活动前三年内，在经营活动中没有重大违法记录（由投标人提供声明函</w:t>
      </w:r>
      <w:r>
        <w:rPr>
          <w:rFonts w:hint="eastAsia" w:ascii="宋体" w:hAnsi="宋体" w:cs="宋体"/>
          <w:snapToGrid w:val="0"/>
          <w:kern w:val="0"/>
          <w:szCs w:val="21"/>
        </w:rPr>
        <w:t>加盖投标人公章</w:t>
      </w:r>
      <w:r>
        <w:rPr>
          <w:rFonts w:hint="eastAsia" w:ascii="宋体" w:hAnsi="宋体" w:cs="宋体"/>
        </w:rPr>
        <w:t>，格式自拟）</w:t>
      </w:r>
      <w:r>
        <w:rPr>
          <w:rFonts w:hint="eastAsia" w:ascii="宋体" w:hAnsi="宋体" w:cs="宋体"/>
          <w:bCs/>
          <w:snapToGrid w:val="0"/>
          <w:kern w:val="0"/>
          <w:szCs w:val="21"/>
        </w:rPr>
        <w:t>；</w:t>
      </w:r>
    </w:p>
    <w:p w14:paraId="6FEDDBEA">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4.</w:t>
      </w:r>
      <w:r>
        <w:rPr>
          <w:rFonts w:hint="eastAsia" w:ascii="宋体" w:hAnsi="宋体" w:cs="宋体"/>
        </w:rPr>
        <w:t>参与本项目政府采购活动时不存在被有关部门禁止参与政府采购活动且在有效期内的情况（由投标人提供声明函</w:t>
      </w:r>
      <w:r>
        <w:rPr>
          <w:rFonts w:hint="eastAsia" w:ascii="宋体" w:hAnsi="宋体" w:cs="宋体"/>
          <w:snapToGrid w:val="0"/>
          <w:kern w:val="0"/>
          <w:szCs w:val="21"/>
        </w:rPr>
        <w:t>加盖投标人公章</w:t>
      </w:r>
      <w:r>
        <w:rPr>
          <w:rFonts w:hint="eastAsia" w:ascii="宋体" w:hAnsi="宋体" w:cs="宋体"/>
        </w:rPr>
        <w:t>，格式自拟）</w:t>
      </w:r>
      <w:r>
        <w:rPr>
          <w:rFonts w:hint="eastAsia" w:ascii="宋体" w:hAnsi="宋体" w:cs="宋体"/>
          <w:bCs/>
          <w:snapToGrid w:val="0"/>
          <w:kern w:val="0"/>
          <w:szCs w:val="21"/>
        </w:rPr>
        <w:t>；</w:t>
      </w:r>
    </w:p>
    <w:p w14:paraId="43B444F7">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5.除单一来源采购项目外，为采购项目提供整体设计、规范编制或者项目管理、监理、检测等服务的供应商，不得再参加该采购项目的其他采购活动（由投标人提供声明函</w:t>
      </w:r>
      <w:r>
        <w:rPr>
          <w:rFonts w:hint="eastAsia" w:ascii="宋体" w:hAnsi="宋体" w:cs="宋体"/>
          <w:snapToGrid w:val="0"/>
          <w:kern w:val="0"/>
          <w:szCs w:val="21"/>
        </w:rPr>
        <w:t>加盖投标人公章</w:t>
      </w:r>
      <w:r>
        <w:rPr>
          <w:rFonts w:hint="eastAsia" w:ascii="宋体" w:hAnsi="宋体" w:cs="宋体"/>
          <w:bCs/>
          <w:snapToGrid w:val="0"/>
          <w:kern w:val="0"/>
          <w:szCs w:val="21"/>
        </w:rPr>
        <w:t>，格式自拟）；</w:t>
      </w:r>
    </w:p>
    <w:p w14:paraId="5A90C425">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6.参与本项目政府采购活动不存在与其他采购参加人串通投标，隐瞒真实情况，提供虚假资料等违法违规情形（由投标人提供声明函</w:t>
      </w:r>
      <w:r>
        <w:rPr>
          <w:rFonts w:hint="eastAsia" w:ascii="宋体" w:hAnsi="宋体" w:cs="宋体"/>
          <w:snapToGrid w:val="0"/>
          <w:kern w:val="0"/>
          <w:szCs w:val="21"/>
        </w:rPr>
        <w:t>加盖投标人公章</w:t>
      </w:r>
      <w:r>
        <w:rPr>
          <w:rFonts w:hint="eastAsia" w:ascii="宋体" w:hAnsi="宋体" w:cs="宋体"/>
          <w:bCs/>
          <w:snapToGrid w:val="0"/>
          <w:kern w:val="0"/>
          <w:szCs w:val="21"/>
        </w:rPr>
        <w:t>，格式自拟）；</w:t>
      </w:r>
    </w:p>
    <w:p w14:paraId="68F7BF38">
      <w:pPr>
        <w:adjustRightInd w:val="0"/>
        <w:snapToGrid w:val="0"/>
        <w:spacing w:line="360" w:lineRule="auto"/>
        <w:rPr>
          <w:rFonts w:ascii="宋体" w:hAnsi="宋体" w:cs="宋体"/>
          <w:bCs/>
          <w:snapToGrid w:val="0"/>
          <w:kern w:val="0"/>
          <w:szCs w:val="21"/>
        </w:rPr>
      </w:pPr>
      <w:r>
        <w:rPr>
          <w:rFonts w:hint="eastAsia" w:ascii="宋体" w:hAnsi="宋体" w:cs="宋体"/>
          <w:bCs/>
          <w:snapToGrid w:val="0"/>
          <w:kern w:val="0"/>
          <w:szCs w:val="21"/>
        </w:rPr>
        <w:t>7.本项目不接受联合体形式投标，不允许转包</w:t>
      </w:r>
      <w:r>
        <w:rPr>
          <w:rFonts w:hint="eastAsia" w:ascii="宋体" w:hAnsi="宋体" w:cs="宋体"/>
          <w:snapToGrid w:val="0"/>
          <w:kern w:val="0"/>
          <w:szCs w:val="21"/>
        </w:rPr>
        <w:t>（由投标人提供声明函加盖投标人公章，格式自拟）</w:t>
      </w:r>
      <w:r>
        <w:rPr>
          <w:rFonts w:hint="eastAsia" w:ascii="宋体" w:hAnsi="宋体" w:cs="宋体"/>
          <w:bCs/>
          <w:snapToGrid w:val="0"/>
          <w:kern w:val="0"/>
          <w:szCs w:val="21"/>
        </w:rPr>
        <w:t>。</w:t>
      </w:r>
    </w:p>
    <w:p w14:paraId="456C308D">
      <w:pPr>
        <w:adjustRightInd w:val="0"/>
        <w:snapToGrid w:val="0"/>
        <w:spacing w:line="360" w:lineRule="auto"/>
        <w:rPr>
          <w:rFonts w:asciiTheme="minorEastAsia" w:hAnsiTheme="minorEastAsia" w:eastAsiaTheme="minorEastAsia" w:cstheme="minorEastAsia"/>
          <w:snapToGrid w:val="0"/>
          <w:kern w:val="0"/>
          <w:szCs w:val="21"/>
        </w:rPr>
      </w:pPr>
      <w:r>
        <w:rPr>
          <w:rFonts w:hint="eastAsia" w:ascii="宋体" w:hAnsi="宋体" w:cs="宋体"/>
          <w:bCs/>
          <w:snapToGrid w:val="0"/>
          <w:kern w:val="0"/>
          <w:szCs w:val="21"/>
        </w:rPr>
        <w:t>8.其他</w:t>
      </w:r>
      <w:r>
        <w:rPr>
          <w:rFonts w:hint="eastAsia" w:ascii="宋体" w:hAnsi="宋体"/>
        </w:rPr>
        <w:t>（如有，按第一章 投标邀请“二、申请人的资格要求”提供）</w:t>
      </w:r>
    </w:p>
    <w:p w14:paraId="510693DE">
      <w:pPr>
        <w:adjustRightInd w:val="0"/>
        <w:snapToGrid w:val="0"/>
        <w:spacing w:line="360" w:lineRule="auto"/>
        <w:rPr>
          <w:rFonts w:ascii="楷体_GB2312" w:eastAsiaTheme="minorEastAsia"/>
          <w:b/>
          <w:bCs/>
          <w:snapToGrid w:val="0"/>
          <w:kern w:val="0"/>
        </w:rPr>
      </w:pPr>
    </w:p>
    <w:p w14:paraId="2CAE484C">
      <w:pPr>
        <w:adjustRightInd w:val="0"/>
        <w:snapToGrid w:val="0"/>
        <w:spacing w:line="360" w:lineRule="auto"/>
        <w:rPr>
          <w:rFonts w:ascii="楷体_GB2312" w:eastAsia="楷体_GB2312"/>
          <w:b/>
          <w:bCs/>
          <w:snapToGrid w:val="0"/>
          <w:kern w:val="0"/>
        </w:rPr>
      </w:pPr>
      <w:r>
        <w:rPr>
          <w:rFonts w:hint="eastAsia" w:ascii="楷体_GB2312" w:eastAsia="楷体_GB2312"/>
          <w:b/>
          <w:bCs/>
          <w:snapToGrid w:val="0"/>
          <w:kern w:val="0"/>
        </w:rPr>
        <w:t>注：投标人提供的以上资料若为复印件或扫描件需加盖公章</w:t>
      </w:r>
    </w:p>
    <w:p w14:paraId="72C0FA5A">
      <w:pPr>
        <w:widowControl/>
        <w:adjustRightInd w:val="0"/>
        <w:snapToGrid w:val="0"/>
        <w:spacing w:line="360" w:lineRule="auto"/>
        <w:ind w:firstLine="424" w:firstLineChars="202"/>
        <w:jc w:val="left"/>
        <w:rPr>
          <w:rFonts w:asciiTheme="minorEastAsia" w:hAnsiTheme="minorEastAsia" w:eastAsiaTheme="minorEastAsia" w:cstheme="minorEastAsia"/>
          <w:snapToGrid w:val="0"/>
          <w:kern w:val="0"/>
          <w:szCs w:val="21"/>
        </w:rPr>
      </w:pPr>
    </w:p>
    <w:p w14:paraId="4F5BAC46">
      <w:pPr>
        <w:adjustRightInd w:val="0"/>
        <w:snapToGrid w:val="0"/>
        <w:spacing w:line="300" w:lineRule="auto"/>
        <w:jc w:val="center"/>
        <w:rPr>
          <w:b/>
          <w:snapToGrid w:val="0"/>
          <w:sz w:val="32"/>
          <w:szCs w:val="32"/>
        </w:rPr>
      </w:pPr>
    </w:p>
    <w:p w14:paraId="50BD1FE5">
      <w:pPr>
        <w:adjustRightInd w:val="0"/>
        <w:snapToGrid w:val="0"/>
        <w:spacing w:line="300" w:lineRule="auto"/>
        <w:jc w:val="center"/>
        <w:rPr>
          <w:b/>
          <w:snapToGrid w:val="0"/>
          <w:sz w:val="32"/>
          <w:szCs w:val="32"/>
        </w:rPr>
      </w:pPr>
    </w:p>
    <w:p w14:paraId="08FCB229">
      <w:pPr>
        <w:adjustRightInd w:val="0"/>
        <w:snapToGrid w:val="0"/>
        <w:spacing w:line="300" w:lineRule="auto"/>
        <w:jc w:val="center"/>
        <w:rPr>
          <w:b/>
          <w:snapToGrid w:val="0"/>
          <w:sz w:val="32"/>
          <w:szCs w:val="32"/>
        </w:rPr>
      </w:pPr>
    </w:p>
    <w:p w14:paraId="3880F67D">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49" w:name="_Toc135293344"/>
      <w:bookmarkStart w:id="50" w:name="_Toc21545"/>
      <w:r>
        <w:rPr>
          <w:rFonts w:hint="eastAsia" w:asciiTheme="minorEastAsia" w:hAnsiTheme="minorEastAsia" w:eastAsiaTheme="minorEastAsia"/>
        </w:rPr>
        <w:t>格式2  法定代表人（负责人）证明书及授权委托书</w:t>
      </w:r>
      <w:bookmarkEnd w:id="49"/>
      <w:bookmarkEnd w:id="50"/>
    </w:p>
    <w:p w14:paraId="77309322">
      <w:pPr>
        <w:adjustRightInd w:val="0"/>
        <w:snapToGrid w:val="0"/>
        <w:spacing w:line="300" w:lineRule="auto"/>
        <w:jc w:val="center"/>
        <w:rPr>
          <w:b/>
          <w:snapToGrid w:val="0"/>
          <w:sz w:val="32"/>
          <w:szCs w:val="32"/>
        </w:rPr>
      </w:pPr>
    </w:p>
    <w:p w14:paraId="7376CB74">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4C837ADF">
      <w:pPr>
        <w:spacing w:line="400" w:lineRule="exact"/>
        <w:rPr>
          <w:rFonts w:ascii="宋体" w:hAnsi="宋体"/>
          <w:bCs/>
          <w:sz w:val="28"/>
        </w:rPr>
      </w:pPr>
    </w:p>
    <w:p w14:paraId="13DD1E68">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47FE692F">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76148DB3">
      <w:pPr>
        <w:spacing w:line="480" w:lineRule="auto"/>
        <w:ind w:firstLine="420" w:firstLineChars="200"/>
        <w:rPr>
          <w:rFonts w:ascii="宋体" w:hAnsi="宋体"/>
        </w:rPr>
      </w:pPr>
      <w:r>
        <w:rPr>
          <w:rFonts w:hint="eastAsia" w:ascii="宋体" w:hAnsi="宋体"/>
        </w:rPr>
        <w:t>附：</w:t>
      </w:r>
    </w:p>
    <w:p w14:paraId="0E51A90D">
      <w:pPr>
        <w:spacing w:line="480" w:lineRule="auto"/>
        <w:ind w:firstLine="840" w:firstLineChars="400"/>
        <w:rPr>
          <w:rFonts w:ascii="宋体" w:hAnsi="宋体"/>
        </w:rPr>
      </w:pPr>
      <w:r>
        <w:rPr>
          <w:rFonts w:hint="eastAsia" w:ascii="宋体" w:hAnsi="宋体"/>
        </w:rPr>
        <w:t xml:space="preserve">营业执照（注册号）：                       </w:t>
      </w:r>
    </w:p>
    <w:p w14:paraId="22EF4060">
      <w:pPr>
        <w:spacing w:line="480" w:lineRule="auto"/>
        <w:ind w:firstLine="840" w:firstLineChars="400"/>
        <w:rPr>
          <w:rFonts w:ascii="宋体" w:hAnsi="宋体"/>
        </w:rPr>
      </w:pPr>
      <w:r>
        <w:rPr>
          <w:rFonts w:hint="eastAsia" w:ascii="宋体" w:hAnsi="宋体"/>
        </w:rPr>
        <w:t>经济性质：</w:t>
      </w:r>
    </w:p>
    <w:p w14:paraId="2D56B643">
      <w:pPr>
        <w:spacing w:line="480" w:lineRule="auto"/>
        <w:ind w:firstLine="840" w:firstLineChars="400"/>
        <w:rPr>
          <w:rFonts w:ascii="宋体" w:hAnsi="宋体"/>
        </w:rPr>
      </w:pPr>
      <w:r>
        <w:rPr>
          <w:rFonts w:hint="eastAsia" w:ascii="宋体" w:hAnsi="宋体"/>
        </w:rPr>
        <w:t>主营（产）：</w:t>
      </w:r>
    </w:p>
    <w:p w14:paraId="56044588">
      <w:pPr>
        <w:spacing w:line="480" w:lineRule="auto"/>
        <w:ind w:firstLine="840" w:firstLineChars="400"/>
        <w:rPr>
          <w:rFonts w:ascii="宋体" w:hAnsi="宋体"/>
        </w:rPr>
      </w:pPr>
      <w:r>
        <w:rPr>
          <w:rFonts w:hint="eastAsia" w:ascii="宋体" w:hAnsi="宋体"/>
        </w:rPr>
        <w:t>兼营（产）：</w:t>
      </w:r>
    </w:p>
    <w:p w14:paraId="0385047A">
      <w:pPr>
        <w:spacing w:line="480" w:lineRule="auto"/>
        <w:ind w:firstLine="960" w:firstLineChars="400"/>
        <w:rPr>
          <w:rFonts w:ascii="宋体" w:hAnsi="宋体"/>
          <w:sz w:val="24"/>
        </w:rPr>
      </w:pPr>
    </w:p>
    <w:p w14:paraId="58D502C7">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4C1250E">
                            <w:pPr>
                              <w:ind w:firstLine="1260" w:firstLineChars="600"/>
                            </w:pPr>
                            <w:r>
                              <w:rPr>
                                <w:rFonts w:hint="eastAsia"/>
                              </w:rPr>
                              <w:t>法定代表人（负责人）</w:t>
                            </w:r>
                          </w:p>
                          <w:p w14:paraId="1D654E7E">
                            <w:pPr>
                              <w:ind w:firstLine="1050" w:firstLineChars="500"/>
                            </w:pPr>
                            <w:r>
                              <w:rPr>
                                <w:rFonts w:hint="eastAsia"/>
                              </w:rPr>
                              <w:t xml:space="preserve"> 居民身份证复印件粘贴处</w:t>
                            </w:r>
                          </w:p>
                          <w:p w14:paraId="3464BBB7">
                            <w:pPr>
                              <w:ind w:firstLine="1050" w:firstLineChars="500"/>
                            </w:pPr>
                          </w:p>
                          <w:p w14:paraId="712233FE">
                            <w:pPr>
                              <w:ind w:firstLine="1785" w:firstLineChars="850"/>
                            </w:pPr>
                            <w:r>
                              <w:rPr>
                                <w:rFonts w:hint="eastAsia"/>
                              </w:rPr>
                              <w:t>（反面）</w:t>
                            </w:r>
                          </w:p>
                          <w:p w14:paraId="6D5BCD72">
                            <w:pPr>
                              <w:ind w:firstLine="1050" w:firstLineChars="500"/>
                            </w:pPr>
                          </w:p>
                          <w:p w14:paraId="34F59E58"/>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7Lbtl9gAAAAKAQAADwAAAAAAAAABACAAAAAiAAAAZHJzL2Rvd25yZXYu&#10;eG1sUEsBAhQAFAAAAAgAh07iQPEXkV/7AQAAOwQAAA4AAAAAAAAAAQAgAAAAJwEAAGRycy9lMm9E&#10;b2MueG1sUEsFBgAAAAAGAAYAWQEAAJQFAAAAAA==&#10;">
                <v:fill on="t" focussize="0,0"/>
                <v:stroke color="#000000" joinstyle="miter"/>
                <v:imagedata o:title=""/>
                <o:lock v:ext="edit" aspectratio="f"/>
                <v:textbox>
                  <w:txbxContent>
                    <w:p w14:paraId="34C1250E">
                      <w:pPr>
                        <w:ind w:firstLine="1260" w:firstLineChars="600"/>
                      </w:pPr>
                      <w:r>
                        <w:rPr>
                          <w:rFonts w:hint="eastAsia"/>
                        </w:rPr>
                        <w:t>法定代表人（负责人）</w:t>
                      </w:r>
                    </w:p>
                    <w:p w14:paraId="1D654E7E">
                      <w:pPr>
                        <w:ind w:firstLine="1050" w:firstLineChars="500"/>
                      </w:pPr>
                      <w:r>
                        <w:rPr>
                          <w:rFonts w:hint="eastAsia"/>
                        </w:rPr>
                        <w:t xml:space="preserve"> 居民身份证复印件粘贴处</w:t>
                      </w:r>
                    </w:p>
                    <w:p w14:paraId="3464BBB7">
                      <w:pPr>
                        <w:ind w:firstLine="1050" w:firstLineChars="500"/>
                      </w:pPr>
                    </w:p>
                    <w:p w14:paraId="712233FE">
                      <w:pPr>
                        <w:ind w:firstLine="1785" w:firstLineChars="850"/>
                      </w:pPr>
                      <w:r>
                        <w:rPr>
                          <w:rFonts w:hint="eastAsia"/>
                        </w:rPr>
                        <w:t>（反面）</w:t>
                      </w:r>
                    </w:p>
                    <w:p w14:paraId="6D5BCD72">
                      <w:pPr>
                        <w:ind w:firstLine="1050" w:firstLineChars="500"/>
                      </w:pPr>
                    </w:p>
                    <w:p w14:paraId="34F59E58"/>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266D542">
                            <w:pPr>
                              <w:ind w:firstLine="1260" w:firstLineChars="600"/>
                              <w:jc w:val="left"/>
                            </w:pPr>
                            <w:r>
                              <w:rPr>
                                <w:rFonts w:hint="eastAsia"/>
                              </w:rPr>
                              <w:t>法定代表人（负责人）</w:t>
                            </w:r>
                          </w:p>
                          <w:p w14:paraId="7804D811">
                            <w:pPr>
                              <w:ind w:firstLine="1050" w:firstLineChars="500"/>
                              <w:jc w:val="left"/>
                            </w:pPr>
                            <w:r>
                              <w:rPr>
                                <w:rFonts w:hint="eastAsia"/>
                              </w:rPr>
                              <w:t xml:space="preserve"> 居民身份证复印件粘贴处</w:t>
                            </w:r>
                          </w:p>
                          <w:p w14:paraId="30346888">
                            <w:pPr>
                              <w:ind w:firstLine="1050" w:firstLineChars="500"/>
                              <w:jc w:val="left"/>
                            </w:pPr>
                          </w:p>
                          <w:p w14:paraId="13833E2C">
                            <w:pPr>
                              <w:ind w:firstLine="1785" w:firstLineChars="850"/>
                              <w:jc w:val="left"/>
                            </w:pPr>
                            <w:r>
                              <w:rPr>
                                <w:rFonts w:hint="eastAsia"/>
                              </w:rPr>
                              <w:t>（正面）</w:t>
                            </w:r>
                          </w:p>
                          <w:p w14:paraId="6735BEF9">
                            <w:pPr>
                              <w:ind w:firstLine="1050" w:firstLineChars="500"/>
                              <w:jc w:val="left"/>
                            </w:pPr>
                          </w:p>
                          <w:p w14:paraId="1C651F65">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X9fxdkAAAAKAQAADwAAAAAAAAABACAAAAAiAAAAZHJzL2Rvd25yZXYu&#10;eG1sUEsBAhQAFAAAAAgAh07iQB3WTbz6AQAAOwQAAA4AAAAAAAAAAQAgAAAAKAEAAGRycy9lMm9E&#10;b2MueG1sUEsFBgAAAAAGAAYAWQEAAJQFAAAAAA==&#10;">
                <v:fill on="t" focussize="0,0"/>
                <v:stroke color="#000000" joinstyle="miter"/>
                <v:imagedata o:title=""/>
                <o:lock v:ext="edit" aspectratio="f"/>
                <v:textbox>
                  <w:txbxContent>
                    <w:p w14:paraId="0266D542">
                      <w:pPr>
                        <w:ind w:firstLine="1260" w:firstLineChars="600"/>
                        <w:jc w:val="left"/>
                      </w:pPr>
                      <w:r>
                        <w:rPr>
                          <w:rFonts w:hint="eastAsia"/>
                        </w:rPr>
                        <w:t>法定代表人（负责人）</w:t>
                      </w:r>
                    </w:p>
                    <w:p w14:paraId="7804D811">
                      <w:pPr>
                        <w:ind w:firstLine="1050" w:firstLineChars="500"/>
                        <w:jc w:val="left"/>
                      </w:pPr>
                      <w:r>
                        <w:rPr>
                          <w:rFonts w:hint="eastAsia"/>
                        </w:rPr>
                        <w:t xml:space="preserve"> 居民身份证复印件粘贴处</w:t>
                      </w:r>
                    </w:p>
                    <w:p w14:paraId="30346888">
                      <w:pPr>
                        <w:ind w:firstLine="1050" w:firstLineChars="500"/>
                        <w:jc w:val="left"/>
                      </w:pPr>
                    </w:p>
                    <w:p w14:paraId="13833E2C">
                      <w:pPr>
                        <w:ind w:firstLine="1785" w:firstLineChars="850"/>
                        <w:jc w:val="left"/>
                      </w:pPr>
                      <w:r>
                        <w:rPr>
                          <w:rFonts w:hint="eastAsia"/>
                        </w:rPr>
                        <w:t>（正面）</w:t>
                      </w:r>
                    </w:p>
                    <w:p w14:paraId="6735BEF9">
                      <w:pPr>
                        <w:ind w:firstLine="1050" w:firstLineChars="500"/>
                        <w:jc w:val="left"/>
                      </w:pPr>
                    </w:p>
                    <w:p w14:paraId="1C651F65">
                      <w:pPr>
                        <w:jc w:val="left"/>
                      </w:pPr>
                    </w:p>
                  </w:txbxContent>
                </v:textbox>
              </v:rect>
            </w:pict>
          </mc:Fallback>
        </mc:AlternateContent>
      </w:r>
    </w:p>
    <w:p w14:paraId="604B987D">
      <w:pPr>
        <w:spacing w:line="500" w:lineRule="exact"/>
        <w:rPr>
          <w:rFonts w:ascii="宋体"/>
          <w:b/>
          <w:bCs/>
        </w:rPr>
      </w:pPr>
    </w:p>
    <w:p w14:paraId="78F75043">
      <w:pPr>
        <w:spacing w:line="500" w:lineRule="exact"/>
        <w:rPr>
          <w:rFonts w:ascii="宋体"/>
          <w:b/>
          <w:bCs/>
        </w:rPr>
      </w:pPr>
    </w:p>
    <w:p w14:paraId="2C886F4A">
      <w:pPr>
        <w:spacing w:line="500" w:lineRule="exact"/>
        <w:rPr>
          <w:rFonts w:ascii="宋体"/>
          <w:b/>
          <w:bCs/>
        </w:rPr>
      </w:pPr>
    </w:p>
    <w:p w14:paraId="50AF32DB">
      <w:pPr>
        <w:spacing w:line="500" w:lineRule="exact"/>
        <w:rPr>
          <w:rFonts w:ascii="宋体"/>
          <w:b/>
          <w:bCs/>
        </w:rPr>
      </w:pPr>
    </w:p>
    <w:p w14:paraId="067306DA">
      <w:pPr>
        <w:spacing w:line="500" w:lineRule="exact"/>
        <w:rPr>
          <w:rFonts w:ascii="宋体"/>
          <w:b/>
          <w:bCs/>
        </w:rPr>
      </w:pPr>
    </w:p>
    <w:p w14:paraId="4624CEBE">
      <w:pPr>
        <w:spacing w:line="500" w:lineRule="exact"/>
        <w:rPr>
          <w:rFonts w:ascii="宋体"/>
          <w:b/>
          <w:bCs/>
        </w:rPr>
      </w:pPr>
      <w:r>
        <w:rPr>
          <w:rFonts w:hint="eastAsia" w:ascii="宋体"/>
          <w:b/>
          <w:bCs/>
        </w:rPr>
        <w:t xml:space="preserve">                         </w:t>
      </w:r>
    </w:p>
    <w:p w14:paraId="3EC1DA6D">
      <w:pPr>
        <w:spacing w:line="360" w:lineRule="auto"/>
        <w:ind w:firstLine="539" w:firstLineChars="257"/>
      </w:pPr>
    </w:p>
    <w:p w14:paraId="68FCD526">
      <w:pPr>
        <w:spacing w:line="360" w:lineRule="auto"/>
        <w:ind w:firstLine="539" w:firstLineChars="257"/>
      </w:pPr>
      <w:r>
        <w:rPr>
          <w:rFonts w:hint="eastAsia"/>
        </w:rPr>
        <w:t>单位名称：（公章）</w:t>
      </w:r>
      <w:r>
        <w:rPr>
          <w:rFonts w:hint="eastAsia"/>
          <w:u w:val="single"/>
        </w:rPr>
        <w:t xml:space="preserve">                                         </w:t>
      </w:r>
    </w:p>
    <w:p w14:paraId="5D4618B3">
      <w:pPr>
        <w:spacing w:line="360" w:lineRule="auto"/>
        <w:ind w:firstLine="539" w:firstLineChars="257"/>
      </w:pPr>
    </w:p>
    <w:p w14:paraId="66B01CD4">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004306E8">
      <w:pPr>
        <w:jc w:val="center"/>
        <w:rPr>
          <w:b/>
          <w:bCs/>
          <w:sz w:val="28"/>
        </w:rPr>
      </w:pPr>
    </w:p>
    <w:p w14:paraId="3E818983">
      <w:pPr>
        <w:jc w:val="center"/>
        <w:rPr>
          <w:b/>
          <w:bCs/>
          <w:sz w:val="28"/>
        </w:rPr>
      </w:pPr>
    </w:p>
    <w:p w14:paraId="534A22B9">
      <w:pPr>
        <w:jc w:val="center"/>
        <w:rPr>
          <w:b/>
          <w:bCs/>
          <w:sz w:val="28"/>
        </w:rPr>
      </w:pPr>
    </w:p>
    <w:p w14:paraId="4447EF08">
      <w:pPr>
        <w:jc w:val="center"/>
        <w:rPr>
          <w:b/>
          <w:bCs/>
          <w:sz w:val="28"/>
        </w:rPr>
      </w:pPr>
      <w:r>
        <w:rPr>
          <w:rFonts w:hint="eastAsia"/>
          <w:b/>
          <w:bCs/>
          <w:sz w:val="28"/>
        </w:rPr>
        <w:t>法定代表人（负责人）授权委托书（参考）</w:t>
      </w:r>
    </w:p>
    <w:p w14:paraId="4555CAA1"/>
    <w:p w14:paraId="60477072">
      <w:pPr>
        <w:rPr>
          <w:b/>
          <w:bCs/>
        </w:rPr>
      </w:pPr>
      <w:r>
        <w:rPr>
          <w:rFonts w:hint="eastAsia"/>
        </w:rPr>
        <w:t>深圳市中正招标有限公司</w:t>
      </w:r>
      <w:r>
        <w:rPr>
          <w:rFonts w:hint="eastAsia"/>
          <w:b/>
          <w:bCs/>
        </w:rPr>
        <w:t>：</w:t>
      </w:r>
    </w:p>
    <w:p w14:paraId="6B79F254">
      <w:pPr>
        <w:ind w:firstLine="630"/>
      </w:pPr>
    </w:p>
    <w:p w14:paraId="04E7A18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4FF45051">
      <w:pPr>
        <w:adjustRightInd w:val="0"/>
        <w:snapToGrid w:val="0"/>
        <w:spacing w:line="360" w:lineRule="auto"/>
        <w:ind w:firstLine="629"/>
      </w:pPr>
    </w:p>
    <w:p w14:paraId="51E99646">
      <w:pPr>
        <w:ind w:firstLine="630"/>
      </w:pPr>
    </w:p>
    <w:p w14:paraId="6C5315D2">
      <w:pPr>
        <w:adjustRightInd w:val="0"/>
        <w:snapToGrid w:val="0"/>
        <w:spacing w:line="360" w:lineRule="auto"/>
        <w:ind w:firstLine="629"/>
        <w:rPr>
          <w:b/>
          <w:bCs/>
        </w:rPr>
      </w:pPr>
      <w:r>
        <w:rPr>
          <w:rFonts w:hint="eastAsia"/>
          <w:b/>
          <w:bCs/>
        </w:rPr>
        <w:t>附授权代表情况：</w:t>
      </w:r>
    </w:p>
    <w:p w14:paraId="3E500FA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22DB79A5">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6598BEF3">
      <w:pPr>
        <w:adjustRightInd w:val="0"/>
        <w:snapToGrid w:val="0"/>
        <w:spacing w:line="360" w:lineRule="auto"/>
        <w:ind w:firstLine="629"/>
      </w:pPr>
      <w:r>
        <w:rPr>
          <w:rFonts w:hint="eastAsia"/>
        </w:rPr>
        <w:t>职务：</w:t>
      </w:r>
    </w:p>
    <w:p w14:paraId="1D332A07">
      <w:pPr>
        <w:adjustRightInd w:val="0"/>
        <w:snapToGrid w:val="0"/>
        <w:spacing w:line="360" w:lineRule="auto"/>
        <w:ind w:firstLine="629"/>
      </w:pPr>
      <w:r>
        <w:rPr>
          <w:rFonts w:hint="eastAsia"/>
        </w:rPr>
        <w:t>身份证号码：</w:t>
      </w:r>
    </w:p>
    <w:p w14:paraId="0A8035A7">
      <w:pPr>
        <w:adjustRightInd w:val="0"/>
        <w:snapToGrid w:val="0"/>
        <w:spacing w:line="360" w:lineRule="auto"/>
        <w:ind w:firstLine="629"/>
        <w:rPr>
          <w:b/>
          <w:bCs/>
        </w:rPr>
      </w:pPr>
      <w:r>
        <w:rPr>
          <w:rFonts w:hint="eastAsia"/>
        </w:rPr>
        <w:t>邮编：</w:t>
      </w:r>
      <w:r>
        <w:rPr>
          <w:rFonts w:hint="eastAsia"/>
          <w:b/>
          <w:bCs/>
        </w:rPr>
        <w:t xml:space="preserve"> </w:t>
      </w:r>
    </w:p>
    <w:p w14:paraId="2EAFF270">
      <w:pPr>
        <w:adjustRightInd w:val="0"/>
        <w:snapToGrid w:val="0"/>
        <w:spacing w:line="360" w:lineRule="auto"/>
        <w:ind w:firstLine="629"/>
      </w:pPr>
      <w:r>
        <w:rPr>
          <w:rFonts w:hint="eastAsia"/>
        </w:rPr>
        <w:t>通讯地址：</w:t>
      </w:r>
      <w:r>
        <w:rPr>
          <w:rFonts w:hint="eastAsia"/>
          <w:b/>
          <w:bCs/>
        </w:rPr>
        <w:t xml:space="preserve"> </w:t>
      </w:r>
    </w:p>
    <w:p w14:paraId="5006A6F3">
      <w:pPr>
        <w:adjustRightInd w:val="0"/>
        <w:snapToGrid w:val="0"/>
        <w:spacing w:line="360" w:lineRule="auto"/>
        <w:ind w:firstLine="629"/>
      </w:pPr>
      <w:r>
        <w:rPr>
          <w:rFonts w:hint="eastAsia"/>
        </w:rPr>
        <w:t>手机号码：</w:t>
      </w:r>
    </w:p>
    <w:p w14:paraId="17914C5D">
      <w:pPr>
        <w:adjustRightInd w:val="0"/>
        <w:snapToGrid w:val="0"/>
        <w:spacing w:line="360" w:lineRule="auto"/>
        <w:ind w:firstLine="629"/>
      </w:pPr>
      <w:r>
        <w:rPr>
          <w:rFonts w:hint="eastAsia"/>
        </w:rPr>
        <w:t xml:space="preserve"> </w:t>
      </w:r>
    </w:p>
    <w:p w14:paraId="4ADDF9C5">
      <w:pPr>
        <w:ind w:firstLine="630"/>
      </w:pPr>
      <w:r>
        <w:rPr>
          <w:rFonts w:hint="eastAsia"/>
        </w:rPr>
        <w:t>单位名称：（公章）</w:t>
      </w:r>
    </w:p>
    <w:p w14:paraId="5559614A">
      <w:pPr>
        <w:ind w:firstLine="630"/>
      </w:pPr>
    </w:p>
    <w:p w14:paraId="7EA2E426">
      <w:pPr>
        <w:ind w:firstLine="630"/>
      </w:pPr>
      <w:r>
        <w:rPr>
          <w:rFonts w:hint="eastAsia"/>
        </w:rPr>
        <w:t>法定代表人（负责人）：（签字）</w:t>
      </w:r>
    </w:p>
    <w:p w14:paraId="7BF1E4EB">
      <w:pPr>
        <w:ind w:firstLine="630"/>
      </w:pPr>
    </w:p>
    <w:p w14:paraId="4A33F5F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3C45435E">
      <w:pPr>
        <w:spacing w:line="440" w:lineRule="exact"/>
        <w:rPr>
          <w:rFonts w:ascii="黑体" w:eastAsia="黑体"/>
        </w:rPr>
      </w:pPr>
      <w:bookmarkStart w:id="51"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389D062">
                            <w:pPr>
                              <w:ind w:firstLine="1260" w:firstLineChars="600"/>
                            </w:pPr>
                            <w:r>
                              <w:rPr>
                                <w:rFonts w:hint="eastAsia"/>
                              </w:rPr>
                              <w:t>被授权人（授权代表）</w:t>
                            </w:r>
                          </w:p>
                          <w:p w14:paraId="4BF8902E">
                            <w:pPr>
                              <w:ind w:firstLine="1050" w:firstLineChars="500"/>
                            </w:pPr>
                            <w:r>
                              <w:rPr>
                                <w:rFonts w:hint="eastAsia"/>
                              </w:rPr>
                              <w:t>居民身份证复印件粘贴处</w:t>
                            </w:r>
                          </w:p>
                          <w:p w14:paraId="6F68A7D4">
                            <w:pPr>
                              <w:ind w:firstLine="1050" w:firstLineChars="500"/>
                            </w:pPr>
                          </w:p>
                          <w:p w14:paraId="7B646CDB">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KcuhdgAAAAKAQAADwAAAAAAAAABACAAAAAiAAAAZHJzL2Rvd25yZXYu&#10;eG1sUEsBAhQAFAAAAAgAh07iQCVzB5H7AQAAOwQAAA4AAAAAAAAAAQAgAAAAJwEAAGRycy9lMm9E&#10;b2MueG1sUEsFBgAAAAAGAAYAWQEAAJQFAAAAAA==&#10;">
                <v:fill on="t" focussize="0,0"/>
                <v:stroke color="#000000" joinstyle="miter"/>
                <v:imagedata o:title=""/>
                <o:lock v:ext="edit" aspectratio="f"/>
                <v:textbox>
                  <w:txbxContent>
                    <w:p w14:paraId="6389D062">
                      <w:pPr>
                        <w:ind w:firstLine="1260" w:firstLineChars="600"/>
                      </w:pPr>
                      <w:r>
                        <w:rPr>
                          <w:rFonts w:hint="eastAsia"/>
                        </w:rPr>
                        <w:t>被授权人（授权代表）</w:t>
                      </w:r>
                    </w:p>
                    <w:p w14:paraId="4BF8902E">
                      <w:pPr>
                        <w:ind w:firstLine="1050" w:firstLineChars="500"/>
                      </w:pPr>
                      <w:r>
                        <w:rPr>
                          <w:rFonts w:hint="eastAsia"/>
                        </w:rPr>
                        <w:t>居民身份证复印件粘贴处</w:t>
                      </w:r>
                    </w:p>
                    <w:p w14:paraId="6F68A7D4">
                      <w:pPr>
                        <w:ind w:firstLine="1050" w:firstLineChars="500"/>
                      </w:pPr>
                    </w:p>
                    <w:p w14:paraId="7B646CDB">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97CDF02">
                            <w:pPr>
                              <w:ind w:firstLine="1260" w:firstLineChars="600"/>
                            </w:pPr>
                            <w:r>
                              <w:rPr>
                                <w:rFonts w:hint="eastAsia"/>
                              </w:rPr>
                              <w:t>被授权人（授权代表）</w:t>
                            </w:r>
                          </w:p>
                          <w:p w14:paraId="625B5673">
                            <w:pPr>
                              <w:ind w:firstLine="1050" w:firstLineChars="500"/>
                            </w:pPr>
                            <w:r>
                              <w:rPr>
                                <w:rFonts w:hint="eastAsia"/>
                              </w:rPr>
                              <w:t>居民身份证复印件粘贴处</w:t>
                            </w:r>
                          </w:p>
                          <w:p w14:paraId="68F7F27B">
                            <w:pPr>
                              <w:ind w:firstLine="1050" w:firstLineChars="500"/>
                            </w:pPr>
                          </w:p>
                          <w:p w14:paraId="0D9FE740">
                            <w:pPr>
                              <w:ind w:firstLine="1785" w:firstLineChars="850"/>
                            </w:pPr>
                            <w:r>
                              <w:rPr>
                                <w:rFonts w:hint="eastAsia"/>
                              </w:rPr>
                              <w:t>（反面）</w:t>
                            </w:r>
                          </w:p>
                          <w:p w14:paraId="7ACA1AEF"/>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dm/rtgAAAAKAQAADwAAAAAAAAABACAAAAAiAAAAZHJzL2Rvd25yZXYu&#10;eG1sUEsBAhQAFAAAAAgAh07iQLirKnX7AQAAOwQAAA4AAAAAAAAAAQAgAAAAJwEAAGRycy9lMm9E&#10;b2MueG1sUEsFBgAAAAAGAAYAWQEAAJQFAAAAAA==&#10;">
                <v:fill on="t" focussize="0,0"/>
                <v:stroke color="#000000" joinstyle="miter"/>
                <v:imagedata o:title=""/>
                <o:lock v:ext="edit" aspectratio="f"/>
                <v:textbox>
                  <w:txbxContent>
                    <w:p w14:paraId="097CDF02">
                      <w:pPr>
                        <w:ind w:firstLine="1260" w:firstLineChars="600"/>
                      </w:pPr>
                      <w:r>
                        <w:rPr>
                          <w:rFonts w:hint="eastAsia"/>
                        </w:rPr>
                        <w:t>被授权人（授权代表）</w:t>
                      </w:r>
                    </w:p>
                    <w:p w14:paraId="625B5673">
                      <w:pPr>
                        <w:ind w:firstLine="1050" w:firstLineChars="500"/>
                      </w:pPr>
                      <w:r>
                        <w:rPr>
                          <w:rFonts w:hint="eastAsia"/>
                        </w:rPr>
                        <w:t>居民身份证复印件粘贴处</w:t>
                      </w:r>
                    </w:p>
                    <w:p w14:paraId="68F7F27B">
                      <w:pPr>
                        <w:ind w:firstLine="1050" w:firstLineChars="500"/>
                      </w:pPr>
                    </w:p>
                    <w:p w14:paraId="0D9FE740">
                      <w:pPr>
                        <w:ind w:firstLine="1785" w:firstLineChars="850"/>
                      </w:pPr>
                      <w:r>
                        <w:rPr>
                          <w:rFonts w:hint="eastAsia"/>
                        </w:rPr>
                        <w:t>（反面）</w:t>
                      </w:r>
                    </w:p>
                    <w:p w14:paraId="7ACA1AEF"/>
                  </w:txbxContent>
                </v:textbox>
              </v:rect>
            </w:pict>
          </mc:Fallback>
        </mc:AlternateContent>
      </w:r>
      <w:bookmarkEnd w:id="51"/>
    </w:p>
    <w:p w14:paraId="33E794FD">
      <w:pPr>
        <w:spacing w:line="440" w:lineRule="exact"/>
        <w:rPr>
          <w:rFonts w:ascii="黑体" w:eastAsia="黑体"/>
        </w:rPr>
      </w:pPr>
    </w:p>
    <w:p w14:paraId="2BB7DF29">
      <w:pPr>
        <w:spacing w:line="440" w:lineRule="exact"/>
        <w:rPr>
          <w:rFonts w:ascii="黑体" w:eastAsia="黑体"/>
        </w:rPr>
      </w:pPr>
    </w:p>
    <w:p w14:paraId="6602FB1C">
      <w:pPr>
        <w:spacing w:line="440" w:lineRule="exact"/>
        <w:rPr>
          <w:rFonts w:ascii="黑体" w:eastAsia="黑体"/>
        </w:rPr>
      </w:pPr>
    </w:p>
    <w:p w14:paraId="40556636">
      <w:pPr>
        <w:spacing w:line="440" w:lineRule="exact"/>
        <w:rPr>
          <w:rFonts w:ascii="黑体" w:eastAsia="黑体"/>
        </w:rPr>
      </w:pPr>
    </w:p>
    <w:p w14:paraId="7E7E2149">
      <w:pPr>
        <w:tabs>
          <w:tab w:val="left" w:pos="5115"/>
        </w:tabs>
        <w:spacing w:line="440" w:lineRule="exact"/>
        <w:rPr>
          <w:rFonts w:ascii="黑体" w:eastAsia="黑体"/>
        </w:rPr>
      </w:pPr>
      <w:r>
        <w:rPr>
          <w:rFonts w:ascii="黑体" w:eastAsia="黑体"/>
        </w:rPr>
        <w:tab/>
      </w:r>
    </w:p>
    <w:p w14:paraId="29288357">
      <w:pPr>
        <w:spacing w:line="440" w:lineRule="exact"/>
        <w:rPr>
          <w:rFonts w:ascii="黑体" w:eastAsia="黑体"/>
        </w:rPr>
      </w:pPr>
    </w:p>
    <w:p w14:paraId="68B2357E">
      <w:pPr>
        <w:adjustRightInd w:val="0"/>
        <w:snapToGrid w:val="0"/>
        <w:spacing w:line="300" w:lineRule="auto"/>
        <w:ind w:firstLine="5008" w:firstLineChars="2385"/>
      </w:pPr>
    </w:p>
    <w:p w14:paraId="71F9FAA1">
      <w:pPr>
        <w:adjustRightInd w:val="0"/>
        <w:snapToGrid w:val="0"/>
        <w:spacing w:line="300" w:lineRule="auto"/>
      </w:pPr>
    </w:p>
    <w:p w14:paraId="50215594">
      <w:pPr>
        <w:adjustRightInd w:val="0"/>
        <w:snapToGrid w:val="0"/>
        <w:spacing w:line="300" w:lineRule="auto"/>
      </w:pPr>
    </w:p>
    <w:p w14:paraId="68501DB4">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w:t>
      </w:r>
    </w:p>
    <w:p w14:paraId="4DEA6272">
      <w:pPr>
        <w:widowControl/>
        <w:snapToGrid w:val="0"/>
        <w:spacing w:line="360" w:lineRule="auto"/>
        <w:jc w:val="left"/>
      </w:pPr>
    </w:p>
    <w:p w14:paraId="280E84CD">
      <w:pPr>
        <w:widowControl/>
        <w:snapToGrid w:val="0"/>
        <w:spacing w:line="360" w:lineRule="auto"/>
        <w:jc w:val="left"/>
        <w:rPr>
          <w:rFonts w:asciiTheme="minorEastAsia" w:hAnsiTheme="minorEastAsia" w:eastAsiaTheme="minorEastAsia"/>
          <w:color w:val="FF0000"/>
          <w:kern w:val="0"/>
          <w:szCs w:val="21"/>
        </w:rPr>
      </w:pPr>
    </w:p>
    <w:p w14:paraId="3778887B">
      <w:pPr>
        <w:pStyle w:val="4"/>
        <w:tabs>
          <w:tab w:val="left" w:pos="371"/>
        </w:tabs>
        <w:spacing w:before="120" w:after="120"/>
        <w:ind w:left="-1" w:leftChars="-1" w:hanging="1"/>
        <w:jc w:val="center"/>
        <w:rPr>
          <w:rFonts w:asciiTheme="minorEastAsia" w:hAnsiTheme="minorEastAsia" w:eastAsiaTheme="minorEastAsia"/>
        </w:rPr>
      </w:pPr>
      <w:bookmarkStart w:id="52" w:name="_Toc21177"/>
      <w:bookmarkStart w:id="53"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2"/>
      <w:bookmarkEnd w:id="53"/>
    </w:p>
    <w:p w14:paraId="7FDEEA0F">
      <w:pPr>
        <w:adjustRightInd w:val="0"/>
        <w:snapToGrid w:val="0"/>
        <w:spacing w:line="312" w:lineRule="auto"/>
      </w:pPr>
    </w:p>
    <w:p w14:paraId="0F783C4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3DC9BD2F">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4E2F5ECE">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188AD86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2．我单位提交的投标文件为：投标书正本一份，副本五份，电子备份光盘（或U盘）2份（内容为投标文件正本盖章扫描件）。</w:t>
      </w:r>
    </w:p>
    <w:p w14:paraId="65A7B3D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2AE17545">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4．我单位愿意提供招标代理机构在招标文件中要求的所有资料，且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0466A37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01CABB5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4C63F745">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6C7A2A5">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同意中标后向招标代理机构支付招标文件要求数额的中标服务费。</w:t>
      </w:r>
    </w:p>
    <w:p w14:paraId="44C9044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5C33209C">
      <w:pPr>
        <w:adjustRightInd w:val="0"/>
        <w:snapToGrid w:val="0"/>
        <w:spacing w:line="360" w:lineRule="auto"/>
        <w:ind w:firstLine="600"/>
      </w:pPr>
    </w:p>
    <w:p w14:paraId="4AFC566F">
      <w:pPr>
        <w:adjustRightInd w:val="0"/>
        <w:snapToGrid w:val="0"/>
        <w:spacing w:line="360" w:lineRule="auto"/>
        <w:ind w:firstLine="426"/>
      </w:pPr>
      <w:r>
        <w:t>单    位： （盖章）</w:t>
      </w:r>
    </w:p>
    <w:p w14:paraId="06C2484F">
      <w:pPr>
        <w:adjustRightInd w:val="0"/>
        <w:snapToGrid w:val="0"/>
        <w:spacing w:line="360" w:lineRule="auto"/>
        <w:ind w:firstLine="426"/>
      </w:pPr>
      <w:r>
        <w:t xml:space="preserve">地    址： </w:t>
      </w:r>
    </w:p>
    <w:p w14:paraId="0064DE33">
      <w:pPr>
        <w:adjustRightInd w:val="0"/>
        <w:snapToGrid w:val="0"/>
        <w:spacing w:line="360" w:lineRule="auto"/>
        <w:ind w:firstLine="426"/>
      </w:pPr>
      <w:r>
        <w:t xml:space="preserve">电    话：     </w:t>
      </w:r>
    </w:p>
    <w:p w14:paraId="75E7586D">
      <w:pPr>
        <w:adjustRightInd w:val="0"/>
        <w:snapToGrid w:val="0"/>
        <w:spacing w:line="360" w:lineRule="auto"/>
        <w:ind w:firstLine="426"/>
      </w:pPr>
      <w:r>
        <w:t>传    真：</w:t>
      </w:r>
    </w:p>
    <w:p w14:paraId="4921FE51">
      <w:pPr>
        <w:adjustRightInd w:val="0"/>
        <w:snapToGrid w:val="0"/>
        <w:spacing w:line="360" w:lineRule="auto"/>
        <w:ind w:firstLine="426"/>
      </w:pPr>
      <w:r>
        <w:t>邮    编：</w:t>
      </w:r>
    </w:p>
    <w:p w14:paraId="182EF44F">
      <w:pPr>
        <w:adjustRightInd w:val="0"/>
        <w:snapToGrid w:val="0"/>
        <w:spacing w:line="360" w:lineRule="auto"/>
        <w:ind w:firstLine="426"/>
      </w:pPr>
      <w:r>
        <w:t xml:space="preserve">联 系 人： </w:t>
      </w:r>
    </w:p>
    <w:p w14:paraId="706A1C5D">
      <w:pPr>
        <w:adjustRightInd w:val="0"/>
        <w:snapToGrid w:val="0"/>
        <w:spacing w:line="360" w:lineRule="auto"/>
        <w:ind w:firstLine="600"/>
      </w:pPr>
    </w:p>
    <w:p w14:paraId="1F3DB726">
      <w:pPr>
        <w:adjustRightInd w:val="0"/>
        <w:snapToGrid w:val="0"/>
        <w:spacing w:line="360" w:lineRule="auto"/>
        <w:ind w:firstLine="600"/>
        <w:jc w:val="right"/>
      </w:pPr>
      <w:r>
        <w:rPr>
          <w:rFonts w:hint="eastAsia"/>
        </w:rPr>
        <w:t>年     月    日</w:t>
      </w:r>
    </w:p>
    <w:p w14:paraId="2DFAC5E8">
      <w:pPr>
        <w:adjustRightInd w:val="0"/>
        <w:snapToGrid w:val="0"/>
        <w:spacing w:line="360" w:lineRule="auto"/>
        <w:ind w:firstLine="600"/>
        <w:jc w:val="right"/>
      </w:pPr>
    </w:p>
    <w:p w14:paraId="65E0D847">
      <w:pPr>
        <w:tabs>
          <w:tab w:val="left" w:pos="371"/>
        </w:tabs>
        <w:spacing w:before="120" w:after="120"/>
        <w:ind w:left="-1" w:leftChars="-1" w:hanging="1"/>
        <w:jc w:val="center"/>
        <w:rPr>
          <w:b/>
          <w:snapToGrid w:val="0"/>
          <w:kern w:val="0"/>
          <w:sz w:val="28"/>
        </w:rPr>
      </w:pPr>
    </w:p>
    <w:p w14:paraId="24AFA879">
      <w:pPr>
        <w:tabs>
          <w:tab w:val="left" w:pos="371"/>
        </w:tabs>
        <w:spacing w:before="120" w:after="120"/>
        <w:ind w:left="-1" w:leftChars="-1" w:hanging="1"/>
        <w:jc w:val="center"/>
        <w:rPr>
          <w:rFonts w:asciiTheme="minorEastAsia" w:hAnsiTheme="minorEastAsia" w:eastAsiaTheme="minorEastAsia"/>
          <w:sz w:val="24"/>
        </w:rPr>
      </w:pPr>
    </w:p>
    <w:p w14:paraId="6F52876A">
      <w:pPr>
        <w:tabs>
          <w:tab w:val="left" w:pos="371"/>
        </w:tabs>
        <w:spacing w:before="120" w:after="120"/>
        <w:ind w:left="-1" w:leftChars="-1" w:hanging="1"/>
        <w:jc w:val="center"/>
        <w:rPr>
          <w:rFonts w:asciiTheme="minorEastAsia" w:hAnsiTheme="minorEastAsia" w:eastAsiaTheme="minorEastAsia"/>
          <w:sz w:val="24"/>
        </w:rPr>
      </w:pPr>
    </w:p>
    <w:p w14:paraId="43961C1F">
      <w:pPr>
        <w:pStyle w:val="4"/>
        <w:tabs>
          <w:tab w:val="left" w:pos="371"/>
        </w:tabs>
        <w:spacing w:before="120" w:after="120"/>
        <w:ind w:left="-1" w:leftChars="-1" w:hanging="1"/>
        <w:jc w:val="center"/>
        <w:rPr>
          <w:rFonts w:asciiTheme="minorEastAsia" w:hAnsiTheme="minorEastAsia" w:eastAsiaTheme="minorEastAsia"/>
        </w:rPr>
      </w:pPr>
      <w:bookmarkStart w:id="54" w:name="_Toc135293346"/>
      <w:bookmarkStart w:id="55" w:name="_Toc3602"/>
      <w:r>
        <w:rPr>
          <w:rFonts w:hint="eastAsia" w:asciiTheme="minorEastAsia" w:hAnsiTheme="minorEastAsia" w:eastAsiaTheme="minorEastAsia"/>
        </w:rPr>
        <w:t>格式4  评分中涉及的承诺及声明函</w:t>
      </w:r>
      <w:bookmarkEnd w:id="54"/>
      <w:bookmarkEnd w:id="55"/>
    </w:p>
    <w:p w14:paraId="144422FF">
      <w:pPr>
        <w:widowControl/>
        <w:snapToGrid w:val="0"/>
        <w:spacing w:line="360" w:lineRule="auto"/>
        <w:jc w:val="left"/>
        <w:rPr>
          <w:rFonts w:ascii="仿宋" w:hAnsi="仿宋" w:eastAsia="仿宋"/>
          <w:b/>
          <w:bCs/>
          <w:kern w:val="0"/>
          <w:sz w:val="25"/>
          <w:szCs w:val="25"/>
        </w:rPr>
      </w:pPr>
    </w:p>
    <w:p w14:paraId="01AD3651">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533BAE87">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5A8BDB2C">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5C2350BC">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9D3530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56" w:name="_Hlk71925120"/>
      <w:r>
        <w:rPr>
          <w:rFonts w:hint="eastAsia" w:asciiTheme="minorEastAsia" w:hAnsiTheme="minorEastAsia" w:eastAsiaTheme="minorEastAsia"/>
          <w:kern w:val="0"/>
          <w:szCs w:val="21"/>
        </w:rPr>
        <w:t>《关于印发中小企业划型标准规定的通知》（工信部联企业〔2011〕300 号</w:t>
      </w:r>
      <w:bookmarkEnd w:id="56"/>
      <w:r>
        <w:rPr>
          <w:rFonts w:hint="eastAsia" w:asciiTheme="minorEastAsia" w:hAnsiTheme="minorEastAsia" w:eastAsiaTheme="minorEastAsia"/>
          <w:kern w:val="0"/>
          <w:szCs w:val="21"/>
        </w:rPr>
        <w:t>）</w:t>
      </w:r>
    </w:p>
    <w:p w14:paraId="476D630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36DCA68">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1989D50B">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D19521">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FAC7DB0">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6BD441D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采购人名称（详见采购人信息，非招标代理机构）</w:t>
      </w:r>
      <w:r>
        <w:rPr>
          <w:rFonts w:hint="eastAsia" w:asciiTheme="minorEastAsia" w:hAnsiTheme="minorEastAsia" w:eastAsiaTheme="minorEastAsia"/>
          <w:kern w:val="0"/>
          <w:szCs w:val="21"/>
        </w:rPr>
        <w:t>；</w:t>
      </w:r>
    </w:p>
    <w:p w14:paraId="50A1F5F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6C3B7F16">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00C85A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0510AFA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14:paraId="73DD1C65">
      <w:pPr>
        <w:widowControl/>
        <w:snapToGrid w:val="0"/>
        <w:spacing w:line="360" w:lineRule="auto"/>
        <w:ind w:firstLine="424" w:firstLineChars="202"/>
        <w:jc w:val="left"/>
        <w:rPr>
          <w:rFonts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r>
        <w:rPr>
          <w:rFonts w:hint="eastAsia" w:ascii="宋体" w:hAnsi="宋体" w:eastAsiaTheme="minorEastAsia" w:cstheme="minorBidi"/>
          <w:kern w:val="0"/>
          <w:szCs w:val="21"/>
        </w:rPr>
        <w:t>；</w:t>
      </w:r>
    </w:p>
    <w:p w14:paraId="2EF99A9C">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66F97B13">
      <w:pPr>
        <w:adjustRightInd w:val="0"/>
        <w:spacing w:line="300" w:lineRule="auto"/>
        <w:ind w:hanging="2"/>
        <w:jc w:val="center"/>
        <w:rPr>
          <w:b/>
          <w:snapToGrid w:val="0"/>
          <w:kern w:val="0"/>
          <w:sz w:val="28"/>
        </w:rPr>
      </w:pPr>
    </w:p>
    <w:p w14:paraId="13231BA0">
      <w:pPr>
        <w:pStyle w:val="5"/>
        <w:tabs>
          <w:tab w:val="left" w:pos="0"/>
        </w:tabs>
        <w:jc w:val="center"/>
        <w:rPr>
          <w:rFonts w:ascii="宋体" w:hAnsi="宋体" w:eastAsia="宋体"/>
        </w:rPr>
      </w:pPr>
      <w:r>
        <w:rPr>
          <w:rFonts w:hint="eastAsia" w:ascii="宋体" w:hAnsi="宋体" w:eastAsia="宋体"/>
        </w:rPr>
        <w:t>中小企业声明函</w:t>
      </w:r>
    </w:p>
    <w:p w14:paraId="785E2F60">
      <w:pPr>
        <w:spacing w:after="120"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4A196816">
      <w:pPr>
        <w:spacing w:after="120"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74E8071B">
      <w:pPr>
        <w:spacing w:after="120"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15F1C7C1">
      <w:pPr>
        <w:spacing w:before="11" w:after="120"/>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3C63E67C">
      <w:pPr>
        <w:spacing w:before="108" w:after="120"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11FCD392">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9113296">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2F85B2CF">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2E646C6">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CA54476">
      <w:pPr>
        <w:spacing w:line="360" w:lineRule="auto"/>
        <w:ind w:firstLine="420" w:firstLineChars="200"/>
        <w:rPr>
          <w:rFonts w:ascii="宋体" w:hAnsi="宋体"/>
          <w:szCs w:val="21"/>
        </w:rPr>
      </w:pPr>
      <w:r>
        <w:rPr>
          <w:rFonts w:hint="eastAsia" w:ascii="宋体" w:hAnsi="宋体"/>
          <w:szCs w:val="21"/>
        </w:rPr>
        <w:t>备注：</w:t>
      </w:r>
    </w:p>
    <w:p w14:paraId="555E5DD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6BDDF8C8">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45163528">
      <w:pPr>
        <w:spacing w:line="360" w:lineRule="auto"/>
        <w:ind w:firstLine="420" w:firstLineChars="200"/>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171B455C">
      <w:pPr>
        <w:pStyle w:val="5"/>
        <w:tabs>
          <w:tab w:val="left" w:pos="0"/>
        </w:tabs>
        <w:jc w:val="center"/>
        <w:rPr>
          <w:rFonts w:ascii="宋体" w:hAnsi="宋体" w:eastAsia="宋体"/>
        </w:rPr>
      </w:pPr>
      <w:r>
        <w:rPr>
          <w:rFonts w:hint="eastAsia" w:ascii="宋体" w:hAnsi="宋体" w:eastAsia="宋体"/>
        </w:rPr>
        <w:t>监狱企业声明函</w:t>
      </w:r>
    </w:p>
    <w:p w14:paraId="2C5C5E59">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6936DE5">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CC3089D">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4234C92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BA61507">
      <w:pPr>
        <w:spacing w:line="360" w:lineRule="auto"/>
        <w:ind w:firstLine="420" w:firstLineChars="200"/>
        <w:jc w:val="right"/>
        <w:rPr>
          <w:rFonts w:ascii="宋体" w:hAnsi="宋体"/>
          <w:szCs w:val="21"/>
        </w:rPr>
      </w:pPr>
    </w:p>
    <w:p w14:paraId="175C20A4">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7E26093">
      <w:pPr>
        <w:spacing w:line="360" w:lineRule="auto"/>
        <w:ind w:left="723" w:hanging="723" w:hangingChars="300"/>
        <w:rPr>
          <w:b/>
          <w:sz w:val="24"/>
        </w:rPr>
      </w:pPr>
    </w:p>
    <w:p w14:paraId="793B34C6">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4ADD1A67">
      <w:pPr>
        <w:pStyle w:val="5"/>
        <w:tabs>
          <w:tab w:val="left" w:pos="0"/>
        </w:tabs>
        <w:jc w:val="center"/>
        <w:rPr>
          <w:rFonts w:ascii="宋体" w:hAnsi="宋体" w:eastAsia="宋体"/>
        </w:rPr>
      </w:pPr>
      <w:r>
        <w:rPr>
          <w:rFonts w:hint="eastAsia" w:ascii="宋体" w:hAnsi="宋体" w:eastAsia="宋体"/>
        </w:rPr>
        <w:t>残疾人福利性单位声明函</w:t>
      </w:r>
    </w:p>
    <w:p w14:paraId="69C2CF12">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569EA1BA">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1DF51F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0F40E5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D04A6D">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C768EE1">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74439A4F">
      <w:pPr>
        <w:adjustRightInd w:val="0"/>
        <w:snapToGrid w:val="0"/>
        <w:spacing w:line="360" w:lineRule="auto"/>
        <w:ind w:firstLine="600"/>
        <w:jc w:val="right"/>
      </w:pPr>
    </w:p>
    <w:p w14:paraId="220148AE">
      <w:pPr>
        <w:widowControl/>
        <w:jc w:val="left"/>
        <w:rPr>
          <w:b/>
          <w:snapToGrid w:val="0"/>
          <w:kern w:val="0"/>
          <w:sz w:val="28"/>
        </w:rPr>
      </w:pPr>
      <w:r>
        <w:rPr>
          <w:b/>
          <w:snapToGrid w:val="0"/>
          <w:kern w:val="0"/>
          <w:sz w:val="28"/>
        </w:rPr>
        <w:br w:type="page"/>
      </w:r>
    </w:p>
    <w:p w14:paraId="689CB8C8">
      <w:pPr>
        <w:adjustRightInd w:val="0"/>
        <w:snapToGrid w:val="0"/>
        <w:spacing w:line="360" w:lineRule="auto"/>
        <w:jc w:val="left"/>
      </w:pPr>
    </w:p>
    <w:p w14:paraId="79A71C6C">
      <w:pPr>
        <w:pStyle w:val="4"/>
        <w:tabs>
          <w:tab w:val="left" w:pos="371"/>
        </w:tabs>
        <w:spacing w:before="120" w:after="120"/>
        <w:ind w:left="-1" w:leftChars="-1" w:hanging="1"/>
        <w:jc w:val="center"/>
        <w:rPr>
          <w:rFonts w:asciiTheme="minorEastAsia" w:hAnsiTheme="minorEastAsia" w:eastAsiaTheme="minorEastAsia"/>
        </w:rPr>
      </w:pPr>
      <w:bookmarkStart w:id="57" w:name="_Toc3547"/>
      <w:bookmarkStart w:id="58" w:name="_Toc44690706"/>
      <w:bookmarkStart w:id="59" w:name="_Toc135293347"/>
      <w:bookmarkStart w:id="60" w:name="_Toc44691165"/>
      <w:bookmarkStart w:id="61" w:name="_Toc44691397"/>
      <w:bookmarkStart w:id="62" w:name="_Toc44690433"/>
      <w:r>
        <w:rPr>
          <w:rFonts w:hint="eastAsia" w:asciiTheme="minorEastAsia" w:hAnsiTheme="minorEastAsia" w:eastAsiaTheme="minorEastAsia"/>
        </w:rPr>
        <w:t>格式5  开标一览表</w:t>
      </w:r>
      <w:bookmarkEnd w:id="57"/>
      <w:bookmarkEnd w:id="58"/>
      <w:bookmarkEnd w:id="59"/>
      <w:bookmarkEnd w:id="60"/>
      <w:bookmarkEnd w:id="61"/>
      <w:bookmarkEnd w:id="62"/>
    </w:p>
    <w:p w14:paraId="4068ACCE">
      <w:pPr>
        <w:adjustRightInd w:val="0"/>
        <w:snapToGrid w:val="0"/>
        <w:spacing w:line="360" w:lineRule="auto"/>
        <w:rPr>
          <w:bCs/>
          <w:snapToGrid w:val="0"/>
          <w:kern w:val="0"/>
        </w:rPr>
      </w:pPr>
    </w:p>
    <w:p w14:paraId="1D85081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6162F48C">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p w14:paraId="48249A5E">
      <w:pPr>
        <w:adjustRightInd w:val="0"/>
        <w:snapToGrid w:val="0"/>
        <w:spacing w:line="360" w:lineRule="auto"/>
        <w:rPr>
          <w:bCs/>
          <w:snapToGrid w:val="0"/>
          <w:kern w:val="0"/>
        </w:rPr>
      </w:pPr>
      <w:r>
        <w:rPr>
          <w:rFonts w:hint="eastAsia"/>
          <w:bCs/>
          <w:snapToGrid w:val="0"/>
          <w:kern w:val="0"/>
        </w:rPr>
        <w:t xml:space="preserve">包    </w:t>
      </w:r>
      <w:r>
        <w:rPr>
          <w:bCs/>
          <w:snapToGrid w:val="0"/>
          <w:kern w:val="0"/>
        </w:rPr>
        <w:t>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6"/>
        <w:gridCol w:w="4396"/>
        <w:gridCol w:w="2261"/>
      </w:tblGrid>
      <w:tr w14:paraId="44F5B7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976" w:type="dxa"/>
            <w:tcBorders>
              <w:top w:val="double" w:color="auto" w:sz="4" w:space="0"/>
              <w:bottom w:val="single" w:color="auto" w:sz="4" w:space="0"/>
            </w:tcBorders>
            <w:vAlign w:val="center"/>
          </w:tcPr>
          <w:p w14:paraId="68C003C6">
            <w:pPr>
              <w:adjustRightInd w:val="0"/>
              <w:snapToGrid w:val="0"/>
              <w:spacing w:line="360" w:lineRule="auto"/>
              <w:jc w:val="center"/>
              <w:rPr>
                <w:snapToGrid w:val="0"/>
                <w:kern w:val="0"/>
              </w:rPr>
            </w:pPr>
            <w:r>
              <w:rPr>
                <w:snapToGrid w:val="0"/>
                <w:kern w:val="0"/>
              </w:rPr>
              <w:t>项目名称</w:t>
            </w:r>
          </w:p>
        </w:tc>
        <w:tc>
          <w:tcPr>
            <w:tcW w:w="4396" w:type="dxa"/>
            <w:tcBorders>
              <w:top w:val="double" w:color="auto" w:sz="4" w:space="0"/>
              <w:bottom w:val="single" w:color="auto" w:sz="4" w:space="0"/>
            </w:tcBorders>
            <w:vAlign w:val="center"/>
          </w:tcPr>
          <w:p w14:paraId="564D3BF7">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14:paraId="775604B3">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4A71BD90">
            <w:pPr>
              <w:adjustRightInd w:val="0"/>
              <w:snapToGrid w:val="0"/>
              <w:spacing w:line="360" w:lineRule="auto"/>
              <w:jc w:val="center"/>
              <w:rPr>
                <w:snapToGrid w:val="0"/>
                <w:kern w:val="0"/>
              </w:rPr>
            </w:pPr>
            <w:r>
              <w:rPr>
                <w:rFonts w:hint="eastAsia"/>
                <w:snapToGrid w:val="0"/>
                <w:kern w:val="0"/>
              </w:rPr>
              <w:t>备注</w:t>
            </w:r>
          </w:p>
        </w:tc>
      </w:tr>
      <w:tr w14:paraId="7BA53D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2976" w:type="dxa"/>
            <w:tcBorders>
              <w:top w:val="single" w:color="auto" w:sz="4" w:space="0"/>
            </w:tcBorders>
            <w:vAlign w:val="center"/>
          </w:tcPr>
          <w:p w14:paraId="45C1541F">
            <w:pPr>
              <w:adjustRightInd w:val="0"/>
              <w:snapToGrid w:val="0"/>
              <w:spacing w:line="360" w:lineRule="auto"/>
              <w:jc w:val="center"/>
            </w:pPr>
            <w:r>
              <w:rPr>
                <w:rFonts w:hint="eastAsia" w:asciiTheme="minorEastAsia" w:hAnsiTheme="minorEastAsia" w:eastAsiaTheme="minorEastAsia"/>
              </w:rPr>
              <w:t>“深圳国际旅行卫生保健中心（深圳海关口岸门诊部）2024年实验室仪器设备更新”项目全身彩色多普勒超声诊断仪一批采购项目</w:t>
            </w:r>
          </w:p>
        </w:tc>
        <w:tc>
          <w:tcPr>
            <w:tcW w:w="4396" w:type="dxa"/>
            <w:tcBorders>
              <w:top w:val="single" w:color="auto" w:sz="4" w:space="0"/>
            </w:tcBorders>
            <w:vAlign w:val="center"/>
          </w:tcPr>
          <w:p w14:paraId="008CB472">
            <w:pPr>
              <w:adjustRightInd w:val="0"/>
              <w:snapToGrid w:val="0"/>
              <w:spacing w:line="360" w:lineRule="auto"/>
              <w:rPr>
                <w:snapToGrid w:val="0"/>
                <w:kern w:val="0"/>
                <w:u w:val="single"/>
              </w:rPr>
            </w:pPr>
            <w:r>
              <w:rPr>
                <w:rFonts w:hint="eastAsia"/>
                <w:snapToGrid w:val="0"/>
                <w:kern w:val="0"/>
                <w:u w:val="single"/>
              </w:rPr>
              <w:t xml:space="preserve">大写：                  </w:t>
            </w:r>
          </w:p>
          <w:p w14:paraId="1C89A1E6">
            <w:pPr>
              <w:adjustRightInd w:val="0"/>
              <w:snapToGrid w:val="0"/>
              <w:spacing w:line="360" w:lineRule="auto"/>
              <w:rPr>
                <w:snapToGrid w:val="0"/>
                <w:kern w:val="0"/>
                <w:u w:val="single"/>
              </w:rPr>
            </w:pPr>
            <w:r>
              <w:rPr>
                <w:rFonts w:hint="eastAsia"/>
                <w:snapToGrid w:val="0"/>
                <w:kern w:val="0"/>
                <w:u w:val="single"/>
              </w:rPr>
              <w:t xml:space="preserve">小写：                  </w:t>
            </w:r>
          </w:p>
        </w:tc>
        <w:tc>
          <w:tcPr>
            <w:tcW w:w="2261" w:type="dxa"/>
            <w:tcBorders>
              <w:top w:val="single" w:color="auto" w:sz="4" w:space="0"/>
            </w:tcBorders>
            <w:vAlign w:val="center"/>
          </w:tcPr>
          <w:p w14:paraId="26135634">
            <w:pPr>
              <w:adjustRightInd w:val="0"/>
              <w:snapToGrid w:val="0"/>
              <w:spacing w:line="360" w:lineRule="auto"/>
              <w:jc w:val="center"/>
              <w:rPr>
                <w:snapToGrid w:val="0"/>
                <w:kern w:val="0"/>
              </w:rPr>
            </w:pPr>
          </w:p>
        </w:tc>
      </w:tr>
    </w:tbl>
    <w:p w14:paraId="47B3C00D">
      <w:pPr>
        <w:adjustRightInd w:val="0"/>
        <w:snapToGrid w:val="0"/>
        <w:spacing w:line="360" w:lineRule="auto"/>
        <w:rPr>
          <w:snapToGrid w:val="0"/>
          <w:kern w:val="0"/>
        </w:rPr>
      </w:pPr>
    </w:p>
    <w:p w14:paraId="288F6E7F">
      <w:pPr>
        <w:adjustRightInd w:val="0"/>
        <w:snapToGrid w:val="0"/>
        <w:spacing w:line="360" w:lineRule="auto"/>
        <w:rPr>
          <w:snapToGrid w:val="0"/>
          <w:kern w:val="0"/>
        </w:rPr>
      </w:pPr>
    </w:p>
    <w:p w14:paraId="2A8CBAB4">
      <w:pPr>
        <w:adjustRightInd w:val="0"/>
        <w:snapToGrid w:val="0"/>
        <w:spacing w:line="360" w:lineRule="auto"/>
        <w:rPr>
          <w:snapToGrid w:val="0"/>
          <w:kern w:val="0"/>
        </w:rPr>
      </w:pPr>
      <w:r>
        <w:rPr>
          <w:snapToGrid w:val="0"/>
          <w:kern w:val="0"/>
        </w:rPr>
        <w:t>投标单位：（盖章）</w:t>
      </w:r>
    </w:p>
    <w:p w14:paraId="289F58F8">
      <w:pPr>
        <w:adjustRightInd w:val="0"/>
        <w:snapToGrid w:val="0"/>
        <w:spacing w:line="360" w:lineRule="auto"/>
        <w:rPr>
          <w:snapToGrid w:val="0"/>
          <w:kern w:val="0"/>
        </w:rPr>
      </w:pPr>
    </w:p>
    <w:p w14:paraId="2458C845">
      <w:pPr>
        <w:adjustRightInd w:val="0"/>
        <w:snapToGrid w:val="0"/>
        <w:spacing w:line="360" w:lineRule="auto"/>
        <w:rPr>
          <w:snapToGrid w:val="0"/>
          <w:kern w:val="0"/>
        </w:rPr>
      </w:pPr>
    </w:p>
    <w:p w14:paraId="697EFEEF">
      <w:pPr>
        <w:adjustRightInd w:val="0"/>
        <w:snapToGrid w:val="0"/>
        <w:spacing w:line="360" w:lineRule="auto"/>
        <w:rPr>
          <w:snapToGrid w:val="0"/>
          <w:kern w:val="0"/>
        </w:rPr>
      </w:pPr>
      <w:r>
        <w:rPr>
          <w:snapToGrid w:val="0"/>
          <w:kern w:val="0"/>
        </w:rPr>
        <w:t>法定代表人或其授权代表：（签字）</w:t>
      </w:r>
    </w:p>
    <w:p w14:paraId="7A00B92B">
      <w:pPr>
        <w:adjustRightInd w:val="0"/>
        <w:snapToGrid w:val="0"/>
        <w:spacing w:line="360" w:lineRule="auto"/>
        <w:ind w:firstLine="6825" w:firstLineChars="3250"/>
        <w:rPr>
          <w:snapToGrid w:val="0"/>
          <w:kern w:val="0"/>
        </w:rPr>
      </w:pPr>
      <w:r>
        <w:rPr>
          <w:snapToGrid w:val="0"/>
          <w:kern w:val="0"/>
        </w:rPr>
        <w:t>年    月    日</w:t>
      </w:r>
    </w:p>
    <w:p w14:paraId="26699A8F">
      <w:pPr>
        <w:adjustRightInd w:val="0"/>
        <w:snapToGrid w:val="0"/>
        <w:spacing w:line="360" w:lineRule="auto"/>
        <w:ind w:firstLine="1050" w:firstLineChars="500"/>
        <w:rPr>
          <w:snapToGrid w:val="0"/>
          <w:kern w:val="0"/>
        </w:rPr>
      </w:pPr>
    </w:p>
    <w:p w14:paraId="6693B6B3">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p>
    <w:p w14:paraId="0DF69D9C">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价必须是完成该项目的一切费用总和，包含设备费、运输费、保险费、售后服务费、国家规定的各项税费等全部费用。</w:t>
      </w:r>
    </w:p>
    <w:p w14:paraId="562C789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E331CEE">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14:paraId="1898FCF2">
      <w:pPr>
        <w:adjustRightInd w:val="0"/>
        <w:spacing w:line="312" w:lineRule="auto"/>
        <w:ind w:firstLine="437"/>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A662927">
      <w:pPr>
        <w:pStyle w:val="30"/>
        <w:adjustRightInd w:val="0"/>
        <w:snapToGrid w:val="0"/>
        <w:spacing w:line="312" w:lineRule="auto"/>
        <w:jc w:val="center"/>
        <w:rPr>
          <w:rFonts w:ascii="Times New Roman" w:hAnsi="Times New Roman"/>
          <w:b/>
          <w:sz w:val="28"/>
        </w:rPr>
      </w:pPr>
    </w:p>
    <w:p w14:paraId="11017E29"/>
    <w:p w14:paraId="3A5EA686"/>
    <w:p w14:paraId="78E46E14"/>
    <w:p w14:paraId="1AA74711"/>
    <w:p w14:paraId="4AE8EEC1"/>
    <w:p w14:paraId="3EC685C7"/>
    <w:p w14:paraId="24D055C0">
      <w:pPr>
        <w:pStyle w:val="4"/>
        <w:tabs>
          <w:tab w:val="left" w:pos="371"/>
        </w:tabs>
        <w:spacing w:before="120" w:after="120"/>
        <w:ind w:left="-1" w:leftChars="-1" w:hanging="1"/>
        <w:jc w:val="center"/>
        <w:rPr>
          <w:rFonts w:asciiTheme="minorEastAsia" w:hAnsiTheme="minorEastAsia" w:eastAsiaTheme="minorEastAsia"/>
        </w:rPr>
      </w:pPr>
      <w:bookmarkStart w:id="63" w:name="_Toc44690707"/>
      <w:bookmarkStart w:id="64" w:name="_Toc135293348"/>
      <w:bookmarkStart w:id="65" w:name="_Toc13362"/>
      <w:bookmarkStart w:id="66" w:name="_Toc44691398"/>
      <w:bookmarkStart w:id="67" w:name="_Toc44690434"/>
      <w:bookmarkStart w:id="68" w:name="_Toc44691166"/>
      <w:r>
        <w:rPr>
          <w:rFonts w:hint="eastAsia" w:asciiTheme="minorEastAsia" w:hAnsiTheme="minorEastAsia" w:eastAsiaTheme="minorEastAsia"/>
        </w:rPr>
        <w:t>格式6  报价表</w:t>
      </w:r>
      <w:bookmarkEnd w:id="63"/>
      <w:bookmarkEnd w:id="64"/>
      <w:bookmarkEnd w:id="65"/>
      <w:bookmarkEnd w:id="66"/>
      <w:bookmarkEnd w:id="67"/>
      <w:bookmarkEnd w:id="68"/>
    </w:p>
    <w:p w14:paraId="1AEE1FBA">
      <w:pPr>
        <w:spacing w:line="300" w:lineRule="auto"/>
        <w:rPr>
          <w:rFonts w:ascii="楷体_GB2312" w:eastAsia="楷体_GB2312"/>
          <w:b/>
          <w:sz w:val="24"/>
        </w:rPr>
      </w:pPr>
      <w:r>
        <w:rPr>
          <w:rFonts w:hint="eastAsia" w:ascii="楷体_GB2312" w:eastAsia="楷体_GB2312"/>
          <w:b/>
          <w:sz w:val="24"/>
        </w:rPr>
        <w:t>1   报价要求</w:t>
      </w:r>
    </w:p>
    <w:p w14:paraId="445D34B9">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59FF3005">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货物费用、运输费、售后服务费、国家规定的各项税费等全部费用</w:t>
      </w:r>
      <w:r>
        <w:rPr>
          <w:rFonts w:hint="eastAsia" w:asciiTheme="minorEastAsia" w:hAnsiTheme="minorEastAsia" w:eastAsiaTheme="minorEastAsia"/>
          <w:snapToGrid w:val="0"/>
          <w:kern w:val="0"/>
        </w:rPr>
        <w:t>。</w:t>
      </w:r>
    </w:p>
    <w:p w14:paraId="17AC5C02">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2132BDC2">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1.4  此表应经法定代表人或授权委托人签名，并加盖公章。</w:t>
      </w:r>
    </w:p>
    <w:p w14:paraId="015F0262">
      <w:pPr>
        <w:adjustRightInd w:val="0"/>
        <w:snapToGrid w:val="0"/>
        <w:spacing w:line="300" w:lineRule="auto"/>
        <w:rPr>
          <w:snapToGrid w:val="0"/>
          <w:kern w:val="0"/>
        </w:rPr>
      </w:pPr>
    </w:p>
    <w:p w14:paraId="11F2097B">
      <w:pPr>
        <w:spacing w:line="300" w:lineRule="auto"/>
        <w:rPr>
          <w:rFonts w:eastAsia="楷体_GB2312"/>
          <w:b/>
          <w:sz w:val="24"/>
        </w:rPr>
      </w:pPr>
      <w:r>
        <w:rPr>
          <w:rFonts w:hint="eastAsia" w:eastAsia="楷体_GB2312"/>
          <w:b/>
          <w:sz w:val="24"/>
        </w:rPr>
        <w:t>2   报价表</w:t>
      </w:r>
    </w:p>
    <w:p w14:paraId="0179B6CA">
      <w:pPr>
        <w:adjustRightInd w:val="0"/>
        <w:snapToGrid w:val="0"/>
        <w:spacing w:line="300" w:lineRule="auto"/>
        <w:rPr>
          <w:snapToGrid w:val="0"/>
          <w:kern w:val="0"/>
        </w:rPr>
      </w:pPr>
    </w:p>
    <w:p w14:paraId="276E4190">
      <w:pPr>
        <w:adjustRightInd w:val="0"/>
        <w:snapToGrid w:val="0"/>
        <w:spacing w:line="300" w:lineRule="auto"/>
        <w:jc w:val="center"/>
        <w:rPr>
          <w:rFonts w:asciiTheme="minorEastAsia" w:hAnsiTheme="minorEastAsia" w:eastAsiaTheme="minorEastAsia"/>
          <w:bCs/>
          <w:snapToGrid w:val="0"/>
          <w:kern w:val="0"/>
          <w:sz w:val="24"/>
          <w:u w:val="single"/>
        </w:rPr>
      </w:pPr>
      <w:r>
        <w:rPr>
          <w:rFonts w:hint="eastAsia" w:asciiTheme="minorEastAsia" w:hAnsiTheme="minorEastAsia" w:eastAsiaTheme="minorEastAsia"/>
          <w:snapToGrid w:val="0"/>
          <w:kern w:val="0"/>
          <w:sz w:val="24"/>
        </w:rPr>
        <w:t>（一）</w:t>
      </w:r>
      <w:r>
        <w:rPr>
          <w:rFonts w:hint="eastAsia" w:asciiTheme="minorEastAsia" w:hAnsiTheme="minorEastAsia" w:eastAsiaTheme="minorEastAsia"/>
          <w:bCs/>
          <w:snapToGrid w:val="0"/>
          <w:kern w:val="0"/>
          <w:sz w:val="24"/>
        </w:rPr>
        <w:t>报价总表</w:t>
      </w:r>
    </w:p>
    <w:p w14:paraId="6773AAD0">
      <w:pPr>
        <w:adjustRightInd w:val="0"/>
        <w:snapToGrid w:val="0"/>
        <w:spacing w:line="300" w:lineRule="auto"/>
        <w:rPr>
          <w:rFonts w:asciiTheme="minorEastAsia" w:hAnsiTheme="minorEastAsia" w:eastAsiaTheme="minorEastAsia"/>
          <w:bCs/>
          <w:snapToGrid w:val="0"/>
          <w:kern w:val="0"/>
        </w:rPr>
      </w:pPr>
      <w:r>
        <w:rPr>
          <w:rFonts w:hint="eastAsia" w:asciiTheme="minorEastAsia" w:hAnsiTheme="minorEastAsia" w:eastAsiaTheme="minorEastAsia"/>
          <w:bCs/>
          <w:snapToGrid w:val="0"/>
          <w:kern w:val="0"/>
        </w:rPr>
        <w:t xml:space="preserve"> </w:t>
      </w:r>
    </w:p>
    <w:tbl>
      <w:tblPr>
        <w:tblStyle w:val="51"/>
        <w:tblW w:w="1051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4939"/>
        <w:gridCol w:w="4833"/>
      </w:tblGrid>
      <w:tr w14:paraId="48BA3A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24DD22E6">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序号</w:t>
            </w:r>
          </w:p>
        </w:tc>
        <w:tc>
          <w:tcPr>
            <w:tcW w:w="4939" w:type="dxa"/>
            <w:vAlign w:val="center"/>
          </w:tcPr>
          <w:p w14:paraId="6DDDFE9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名称</w:t>
            </w:r>
          </w:p>
        </w:tc>
        <w:tc>
          <w:tcPr>
            <w:tcW w:w="4833" w:type="dxa"/>
            <w:vAlign w:val="center"/>
          </w:tcPr>
          <w:p w14:paraId="1B97D9F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总价（单位：元）</w:t>
            </w:r>
          </w:p>
        </w:tc>
      </w:tr>
      <w:tr w14:paraId="4F487A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66EC355B">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p>
        </w:tc>
        <w:tc>
          <w:tcPr>
            <w:tcW w:w="4939" w:type="dxa"/>
            <w:vAlign w:val="center"/>
          </w:tcPr>
          <w:p w14:paraId="11224C3B">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货物费用</w:t>
            </w:r>
          </w:p>
        </w:tc>
        <w:tc>
          <w:tcPr>
            <w:tcW w:w="4833" w:type="dxa"/>
            <w:vAlign w:val="center"/>
          </w:tcPr>
          <w:p w14:paraId="2FF8B83B">
            <w:pPr>
              <w:adjustRightInd w:val="0"/>
              <w:snapToGrid w:val="0"/>
              <w:spacing w:line="300" w:lineRule="auto"/>
              <w:jc w:val="center"/>
              <w:rPr>
                <w:rFonts w:asciiTheme="minorEastAsia" w:hAnsiTheme="minorEastAsia" w:eastAsiaTheme="minorEastAsia"/>
                <w:snapToGrid w:val="0"/>
                <w:kern w:val="0"/>
              </w:rPr>
            </w:pPr>
          </w:p>
        </w:tc>
      </w:tr>
      <w:tr w14:paraId="15CF5A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3441303E">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p>
        </w:tc>
        <w:tc>
          <w:tcPr>
            <w:tcW w:w="4939" w:type="dxa"/>
            <w:vAlign w:val="center"/>
          </w:tcPr>
          <w:p w14:paraId="1557830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运输费</w:t>
            </w:r>
          </w:p>
        </w:tc>
        <w:tc>
          <w:tcPr>
            <w:tcW w:w="4833" w:type="dxa"/>
            <w:vAlign w:val="center"/>
          </w:tcPr>
          <w:p w14:paraId="41228A84">
            <w:pPr>
              <w:adjustRightInd w:val="0"/>
              <w:snapToGrid w:val="0"/>
              <w:spacing w:line="300" w:lineRule="auto"/>
              <w:jc w:val="center"/>
              <w:rPr>
                <w:rFonts w:asciiTheme="minorEastAsia" w:hAnsiTheme="minorEastAsia" w:eastAsiaTheme="minorEastAsia"/>
                <w:snapToGrid w:val="0"/>
                <w:kern w:val="0"/>
              </w:rPr>
            </w:pPr>
          </w:p>
        </w:tc>
      </w:tr>
      <w:tr w14:paraId="7A1974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7115AF8D">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3</w:t>
            </w:r>
          </w:p>
        </w:tc>
        <w:tc>
          <w:tcPr>
            <w:tcW w:w="4939" w:type="dxa"/>
            <w:vAlign w:val="center"/>
          </w:tcPr>
          <w:p w14:paraId="00BAE24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售后服务费</w:t>
            </w:r>
          </w:p>
        </w:tc>
        <w:tc>
          <w:tcPr>
            <w:tcW w:w="4833" w:type="dxa"/>
            <w:vAlign w:val="center"/>
          </w:tcPr>
          <w:p w14:paraId="18886C2D">
            <w:pPr>
              <w:adjustRightInd w:val="0"/>
              <w:snapToGrid w:val="0"/>
              <w:spacing w:line="300" w:lineRule="auto"/>
              <w:jc w:val="center"/>
              <w:rPr>
                <w:rFonts w:asciiTheme="minorEastAsia" w:hAnsiTheme="minorEastAsia" w:eastAsiaTheme="minorEastAsia"/>
                <w:snapToGrid w:val="0"/>
                <w:kern w:val="0"/>
              </w:rPr>
            </w:pPr>
          </w:p>
        </w:tc>
      </w:tr>
      <w:tr w14:paraId="469A5F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72C6ACAB">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p>
        </w:tc>
        <w:tc>
          <w:tcPr>
            <w:tcW w:w="4939" w:type="dxa"/>
            <w:vAlign w:val="center"/>
          </w:tcPr>
          <w:p w14:paraId="01DA2696">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国家规定的各项税费</w:t>
            </w:r>
          </w:p>
        </w:tc>
        <w:tc>
          <w:tcPr>
            <w:tcW w:w="4833" w:type="dxa"/>
            <w:vAlign w:val="center"/>
          </w:tcPr>
          <w:p w14:paraId="1C00BDD5">
            <w:pPr>
              <w:adjustRightInd w:val="0"/>
              <w:snapToGrid w:val="0"/>
              <w:spacing w:line="300" w:lineRule="auto"/>
              <w:jc w:val="center"/>
              <w:rPr>
                <w:rFonts w:asciiTheme="minorEastAsia" w:hAnsiTheme="minorEastAsia" w:eastAsiaTheme="minorEastAsia"/>
                <w:snapToGrid w:val="0"/>
                <w:kern w:val="0"/>
              </w:rPr>
            </w:pPr>
          </w:p>
        </w:tc>
      </w:tr>
      <w:tr w14:paraId="04A847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14:paraId="36E2F6F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p>
        </w:tc>
        <w:tc>
          <w:tcPr>
            <w:tcW w:w="4939" w:type="dxa"/>
            <w:vAlign w:val="center"/>
          </w:tcPr>
          <w:p w14:paraId="136C652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其它</w:t>
            </w:r>
          </w:p>
        </w:tc>
        <w:tc>
          <w:tcPr>
            <w:tcW w:w="4833" w:type="dxa"/>
            <w:vAlign w:val="center"/>
          </w:tcPr>
          <w:p w14:paraId="63935B13">
            <w:pPr>
              <w:adjustRightInd w:val="0"/>
              <w:snapToGrid w:val="0"/>
              <w:spacing w:line="300" w:lineRule="auto"/>
              <w:jc w:val="center"/>
              <w:rPr>
                <w:rFonts w:asciiTheme="minorEastAsia" w:hAnsiTheme="minorEastAsia" w:eastAsiaTheme="minorEastAsia"/>
                <w:snapToGrid w:val="0"/>
                <w:kern w:val="0"/>
              </w:rPr>
            </w:pPr>
          </w:p>
        </w:tc>
      </w:tr>
      <w:tr w14:paraId="7EE848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85" w:type="dxa"/>
            <w:gridSpan w:val="2"/>
            <w:vAlign w:val="center"/>
          </w:tcPr>
          <w:p w14:paraId="2F9FE85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   计</w:t>
            </w:r>
          </w:p>
        </w:tc>
        <w:tc>
          <w:tcPr>
            <w:tcW w:w="4833" w:type="dxa"/>
            <w:vAlign w:val="center"/>
          </w:tcPr>
          <w:p w14:paraId="27E263F3">
            <w:pPr>
              <w:adjustRightInd w:val="0"/>
              <w:snapToGrid w:val="0"/>
              <w:spacing w:line="300" w:lineRule="auto"/>
              <w:jc w:val="center"/>
              <w:rPr>
                <w:rFonts w:asciiTheme="minorEastAsia" w:hAnsiTheme="minorEastAsia" w:eastAsiaTheme="minorEastAsia"/>
                <w:snapToGrid w:val="0"/>
                <w:kern w:val="0"/>
              </w:rPr>
            </w:pPr>
          </w:p>
        </w:tc>
      </w:tr>
    </w:tbl>
    <w:p w14:paraId="5298128E">
      <w:pPr>
        <w:rPr>
          <w:rFonts w:asciiTheme="minorEastAsia" w:hAnsiTheme="minorEastAsia" w:eastAsiaTheme="minorEastAsia"/>
          <w:szCs w:val="21"/>
        </w:rPr>
      </w:pPr>
      <w:r>
        <w:rPr>
          <w:rFonts w:hint="eastAsia" w:asciiTheme="minorEastAsia" w:hAnsiTheme="minorEastAsia" w:eastAsiaTheme="minorEastAsia"/>
          <w:szCs w:val="21"/>
        </w:rPr>
        <w:t>备注：1、</w:t>
      </w:r>
      <w:r>
        <w:rPr>
          <w:rFonts w:hint="eastAsia" w:asciiTheme="minorEastAsia" w:hAnsiTheme="minorEastAsia" w:eastAsiaTheme="minorEastAsia"/>
          <w:bCs/>
          <w:szCs w:val="21"/>
        </w:rPr>
        <w:t>本表格仅为指导性范本，供应商可根据项目具体情况对各分项内容进行调整。</w:t>
      </w:r>
    </w:p>
    <w:p w14:paraId="6B0DA31B">
      <w:pPr>
        <w:adjustRightInd w:val="0"/>
        <w:jc w:val="left"/>
        <w:rPr>
          <w:rFonts w:asciiTheme="minorEastAsia" w:hAnsiTheme="minorEastAsia" w:eastAsiaTheme="minorEastAsia"/>
          <w:snapToGrid w:val="0"/>
          <w:kern w:val="0"/>
          <w:szCs w:val="21"/>
        </w:rPr>
      </w:pPr>
      <w:r>
        <w:rPr>
          <w:rFonts w:hint="eastAsia" w:asciiTheme="minorEastAsia" w:hAnsiTheme="minorEastAsia" w:eastAsiaTheme="minorEastAsia"/>
          <w:szCs w:val="21"/>
        </w:rPr>
        <w:t xml:space="preserve">      2、</w:t>
      </w:r>
      <w:r>
        <w:rPr>
          <w:rFonts w:hint="eastAsia" w:asciiTheme="minorEastAsia" w:hAnsiTheme="minorEastAsia" w:eastAsiaTheme="minorEastAsia"/>
        </w:rPr>
        <w:t>开标一览表中的投标</w:t>
      </w:r>
      <w:r>
        <w:rPr>
          <w:rFonts w:hint="eastAsia"/>
          <w:snapToGrid w:val="0"/>
          <w:kern w:val="0"/>
        </w:rPr>
        <w:t>总</w:t>
      </w:r>
      <w:r>
        <w:rPr>
          <w:rFonts w:hint="eastAsia" w:asciiTheme="minorEastAsia" w:hAnsiTheme="minorEastAsia" w:eastAsiaTheme="minorEastAsia"/>
        </w:rPr>
        <w:t>价应与本表中的报价合计金额一致</w:t>
      </w:r>
      <w:r>
        <w:rPr>
          <w:rFonts w:hint="eastAsia" w:asciiTheme="minorEastAsia" w:hAnsiTheme="minorEastAsia" w:eastAsiaTheme="minorEastAsia"/>
          <w:szCs w:val="21"/>
        </w:rPr>
        <w:t>。</w:t>
      </w:r>
    </w:p>
    <w:p w14:paraId="4FAC19F8">
      <w:pPr>
        <w:adjustRightInd w:val="0"/>
        <w:snapToGrid w:val="0"/>
        <w:spacing w:line="300" w:lineRule="auto"/>
        <w:rPr>
          <w:rFonts w:asciiTheme="minorEastAsia" w:hAnsiTheme="minorEastAsia" w:eastAsiaTheme="minorEastAsia"/>
          <w:snapToGrid w:val="0"/>
          <w:kern w:val="0"/>
        </w:rPr>
      </w:pPr>
    </w:p>
    <w:p w14:paraId="33E260D4">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（二）</w:t>
      </w:r>
      <w:r>
        <w:rPr>
          <w:rFonts w:asciiTheme="minorEastAsia" w:hAnsiTheme="minorEastAsia" w:eastAsiaTheme="minorEastAsia"/>
          <w:snapToGrid w:val="0"/>
          <w:kern w:val="0"/>
          <w:sz w:val="24"/>
        </w:rPr>
        <w:t>分项价格表</w:t>
      </w:r>
    </w:p>
    <w:p w14:paraId="13900B4E">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1"/>
        <w:tblW w:w="1095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821"/>
        <w:gridCol w:w="709"/>
        <w:gridCol w:w="851"/>
        <w:gridCol w:w="1417"/>
        <w:gridCol w:w="992"/>
        <w:gridCol w:w="651"/>
        <w:gridCol w:w="725"/>
        <w:gridCol w:w="709"/>
        <w:gridCol w:w="773"/>
        <w:gridCol w:w="980"/>
        <w:gridCol w:w="657"/>
      </w:tblGrid>
      <w:tr w14:paraId="4AAA78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235DCC1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821" w:type="dxa"/>
            <w:vAlign w:val="center"/>
          </w:tcPr>
          <w:p w14:paraId="46562A1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709" w:type="dxa"/>
            <w:vAlign w:val="center"/>
          </w:tcPr>
          <w:p w14:paraId="2961387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51" w:type="dxa"/>
            <w:vAlign w:val="center"/>
          </w:tcPr>
          <w:p w14:paraId="22C09442">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417" w:type="dxa"/>
            <w:vAlign w:val="center"/>
          </w:tcPr>
          <w:p w14:paraId="23E854B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64432A17">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EC79FD7">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443AA865">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79072347">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00B5567B">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6DCB1BA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6CA3580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r>
      <w:tr w14:paraId="36BCDF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25B0A39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821" w:type="dxa"/>
            <w:vAlign w:val="center"/>
          </w:tcPr>
          <w:p w14:paraId="039961DC">
            <w:pPr>
              <w:widowControl/>
              <w:spacing w:line="360" w:lineRule="auto"/>
              <w:jc w:val="center"/>
              <w:rPr>
                <w:rFonts w:cs="宋体" w:asciiTheme="minorEastAsia" w:hAnsiTheme="minorEastAsia" w:eastAsiaTheme="minorEastAsia"/>
                <w:kern w:val="0"/>
                <w:szCs w:val="21"/>
              </w:rPr>
            </w:pPr>
          </w:p>
        </w:tc>
        <w:tc>
          <w:tcPr>
            <w:tcW w:w="709" w:type="dxa"/>
            <w:vAlign w:val="center"/>
          </w:tcPr>
          <w:p w14:paraId="3B7A1B8F">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72B2B6C8">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2551B33E">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9AF7241">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3E275FFA">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67A6F33">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EC69D9A">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BB9B65C">
            <w:pPr>
              <w:adjustRightInd w:val="0"/>
              <w:snapToGrid w:val="0"/>
              <w:spacing w:line="300" w:lineRule="auto"/>
              <w:jc w:val="center"/>
              <w:rPr>
                <w:rFonts w:asciiTheme="minorEastAsia" w:hAnsiTheme="minorEastAsia" w:eastAsiaTheme="minorEastAsia"/>
                <w:snapToGrid w:val="0"/>
                <w:kern w:val="0"/>
              </w:rPr>
            </w:pPr>
          </w:p>
        </w:tc>
        <w:tc>
          <w:tcPr>
            <w:tcW w:w="980" w:type="dxa"/>
          </w:tcPr>
          <w:p w14:paraId="38AE9FC3">
            <w:pPr>
              <w:adjustRightInd w:val="0"/>
              <w:snapToGrid w:val="0"/>
              <w:spacing w:line="300" w:lineRule="auto"/>
              <w:jc w:val="center"/>
              <w:rPr>
                <w:rFonts w:asciiTheme="minorEastAsia" w:hAnsiTheme="minorEastAsia" w:eastAsiaTheme="minorEastAsia"/>
                <w:snapToGrid w:val="0"/>
                <w:kern w:val="0"/>
              </w:rPr>
            </w:pPr>
          </w:p>
        </w:tc>
        <w:tc>
          <w:tcPr>
            <w:tcW w:w="657" w:type="dxa"/>
          </w:tcPr>
          <w:p w14:paraId="41123ABD">
            <w:pPr>
              <w:adjustRightInd w:val="0"/>
              <w:snapToGrid w:val="0"/>
              <w:spacing w:line="300" w:lineRule="auto"/>
              <w:jc w:val="center"/>
              <w:rPr>
                <w:rFonts w:asciiTheme="minorEastAsia" w:hAnsiTheme="minorEastAsia" w:eastAsiaTheme="minorEastAsia"/>
                <w:snapToGrid w:val="0"/>
                <w:kern w:val="0"/>
              </w:rPr>
            </w:pPr>
          </w:p>
        </w:tc>
      </w:tr>
      <w:tr w14:paraId="141FB1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6E1539E5">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821" w:type="dxa"/>
            <w:vAlign w:val="center"/>
          </w:tcPr>
          <w:p w14:paraId="6E88E87D">
            <w:pPr>
              <w:widowControl/>
              <w:spacing w:line="360" w:lineRule="auto"/>
              <w:jc w:val="center"/>
              <w:rPr>
                <w:rFonts w:cs="宋体" w:asciiTheme="minorEastAsia" w:hAnsiTheme="minorEastAsia" w:eastAsiaTheme="minorEastAsia"/>
                <w:kern w:val="0"/>
                <w:szCs w:val="21"/>
              </w:rPr>
            </w:pPr>
          </w:p>
        </w:tc>
        <w:tc>
          <w:tcPr>
            <w:tcW w:w="709" w:type="dxa"/>
            <w:vAlign w:val="center"/>
          </w:tcPr>
          <w:p w14:paraId="773506B4">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2DB15756">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7AADA0B6">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4E0DAB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50D5D8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2B549C6E">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0EC85AC">
            <w:pPr>
              <w:adjustRightInd w:val="0"/>
              <w:snapToGrid w:val="0"/>
              <w:spacing w:line="300" w:lineRule="auto"/>
              <w:jc w:val="center"/>
              <w:rPr>
                <w:rFonts w:asciiTheme="minorEastAsia" w:hAnsiTheme="minorEastAsia" w:eastAsiaTheme="minorEastAsia"/>
                <w:snapToGrid w:val="0"/>
                <w:kern w:val="0"/>
              </w:rPr>
            </w:pPr>
          </w:p>
        </w:tc>
        <w:tc>
          <w:tcPr>
            <w:tcW w:w="773" w:type="dxa"/>
          </w:tcPr>
          <w:p w14:paraId="3C036F6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3390E860">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06BAE44">
            <w:pPr>
              <w:adjustRightInd w:val="0"/>
              <w:snapToGrid w:val="0"/>
              <w:spacing w:line="300" w:lineRule="auto"/>
              <w:jc w:val="center"/>
              <w:rPr>
                <w:rFonts w:asciiTheme="minorEastAsia" w:hAnsiTheme="minorEastAsia" w:eastAsiaTheme="minorEastAsia"/>
                <w:snapToGrid w:val="0"/>
                <w:kern w:val="0"/>
              </w:rPr>
            </w:pPr>
          </w:p>
        </w:tc>
      </w:tr>
      <w:tr w14:paraId="76E6EA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14916754">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821" w:type="dxa"/>
            <w:vAlign w:val="center"/>
          </w:tcPr>
          <w:p w14:paraId="6DAF58F4">
            <w:pPr>
              <w:widowControl/>
              <w:spacing w:line="360" w:lineRule="auto"/>
              <w:jc w:val="center"/>
              <w:rPr>
                <w:rFonts w:cs="宋体" w:asciiTheme="minorEastAsia" w:hAnsiTheme="minorEastAsia" w:eastAsiaTheme="minorEastAsia"/>
                <w:kern w:val="0"/>
                <w:szCs w:val="21"/>
              </w:rPr>
            </w:pPr>
          </w:p>
        </w:tc>
        <w:tc>
          <w:tcPr>
            <w:tcW w:w="709" w:type="dxa"/>
            <w:vAlign w:val="center"/>
          </w:tcPr>
          <w:p w14:paraId="7D3D8581">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018A8873">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6BAA45F4">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0EA2D64">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99072C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56A334A">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5D6C39E">
            <w:pPr>
              <w:adjustRightInd w:val="0"/>
              <w:snapToGrid w:val="0"/>
              <w:spacing w:line="300" w:lineRule="auto"/>
              <w:jc w:val="center"/>
              <w:rPr>
                <w:rFonts w:asciiTheme="minorEastAsia" w:hAnsiTheme="minorEastAsia" w:eastAsiaTheme="minorEastAsia"/>
                <w:snapToGrid w:val="0"/>
                <w:kern w:val="0"/>
              </w:rPr>
            </w:pPr>
          </w:p>
        </w:tc>
        <w:tc>
          <w:tcPr>
            <w:tcW w:w="773" w:type="dxa"/>
          </w:tcPr>
          <w:p w14:paraId="1828D46C">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5AEC66B">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A844F5F">
            <w:pPr>
              <w:adjustRightInd w:val="0"/>
              <w:snapToGrid w:val="0"/>
              <w:spacing w:line="300" w:lineRule="auto"/>
              <w:jc w:val="center"/>
              <w:rPr>
                <w:rFonts w:asciiTheme="minorEastAsia" w:hAnsiTheme="minorEastAsia" w:eastAsiaTheme="minorEastAsia"/>
                <w:snapToGrid w:val="0"/>
                <w:kern w:val="0"/>
              </w:rPr>
            </w:pPr>
          </w:p>
        </w:tc>
      </w:tr>
      <w:tr w14:paraId="71A725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3705BDBD">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821" w:type="dxa"/>
            <w:vAlign w:val="center"/>
          </w:tcPr>
          <w:p w14:paraId="7FD06680">
            <w:pPr>
              <w:widowControl/>
              <w:spacing w:line="360" w:lineRule="auto"/>
              <w:jc w:val="center"/>
              <w:rPr>
                <w:rFonts w:cs="宋体" w:asciiTheme="minorEastAsia" w:hAnsiTheme="minorEastAsia" w:eastAsiaTheme="minorEastAsia"/>
                <w:kern w:val="0"/>
                <w:szCs w:val="21"/>
              </w:rPr>
            </w:pPr>
          </w:p>
        </w:tc>
        <w:tc>
          <w:tcPr>
            <w:tcW w:w="709" w:type="dxa"/>
            <w:vAlign w:val="center"/>
          </w:tcPr>
          <w:p w14:paraId="6FF5F307">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09C6F206">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3C0F68F4">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6735735C">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2EE9F8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70D7A7D8">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59319B52">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0667ADD">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162E6D4">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66DDC81">
            <w:pPr>
              <w:adjustRightInd w:val="0"/>
              <w:snapToGrid w:val="0"/>
              <w:spacing w:line="300" w:lineRule="auto"/>
              <w:jc w:val="center"/>
              <w:rPr>
                <w:rFonts w:asciiTheme="minorEastAsia" w:hAnsiTheme="minorEastAsia" w:eastAsiaTheme="minorEastAsia"/>
                <w:snapToGrid w:val="0"/>
                <w:kern w:val="0"/>
              </w:rPr>
            </w:pPr>
          </w:p>
        </w:tc>
      </w:tr>
      <w:tr w14:paraId="39221B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3750C62F">
            <w:pPr>
              <w:jc w:val="center"/>
              <w:rPr>
                <w:rFonts w:cs="仿宋" w:asciiTheme="minorEastAsia" w:hAnsiTheme="minorEastAsia" w:eastAsiaTheme="minorEastAsia"/>
                <w:szCs w:val="21"/>
              </w:rPr>
            </w:pPr>
          </w:p>
        </w:tc>
        <w:tc>
          <w:tcPr>
            <w:tcW w:w="1821" w:type="dxa"/>
            <w:vAlign w:val="center"/>
          </w:tcPr>
          <w:p w14:paraId="3BB5B183">
            <w:pPr>
              <w:widowControl/>
              <w:spacing w:line="360" w:lineRule="auto"/>
              <w:jc w:val="center"/>
              <w:rPr>
                <w:rFonts w:cs="宋体" w:asciiTheme="minorEastAsia" w:hAnsiTheme="minorEastAsia" w:eastAsiaTheme="minorEastAsia"/>
                <w:kern w:val="0"/>
                <w:szCs w:val="21"/>
              </w:rPr>
            </w:pPr>
          </w:p>
        </w:tc>
        <w:tc>
          <w:tcPr>
            <w:tcW w:w="709" w:type="dxa"/>
            <w:vAlign w:val="center"/>
          </w:tcPr>
          <w:p w14:paraId="4AF41BAA">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4FD8B0B4">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1D6D57BD">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08187B59">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6F9E924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276015DD">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A19EFE3">
            <w:pPr>
              <w:adjustRightInd w:val="0"/>
              <w:snapToGrid w:val="0"/>
              <w:spacing w:line="300" w:lineRule="auto"/>
              <w:jc w:val="center"/>
              <w:rPr>
                <w:rFonts w:asciiTheme="minorEastAsia" w:hAnsiTheme="minorEastAsia" w:eastAsiaTheme="minorEastAsia"/>
                <w:snapToGrid w:val="0"/>
                <w:kern w:val="0"/>
              </w:rPr>
            </w:pPr>
          </w:p>
        </w:tc>
        <w:tc>
          <w:tcPr>
            <w:tcW w:w="773" w:type="dxa"/>
          </w:tcPr>
          <w:p w14:paraId="02A16F6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2806410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21AC53A">
            <w:pPr>
              <w:adjustRightInd w:val="0"/>
              <w:snapToGrid w:val="0"/>
              <w:spacing w:line="300" w:lineRule="auto"/>
              <w:jc w:val="center"/>
              <w:rPr>
                <w:rFonts w:asciiTheme="minorEastAsia" w:hAnsiTheme="minorEastAsia" w:eastAsiaTheme="minorEastAsia"/>
                <w:snapToGrid w:val="0"/>
                <w:kern w:val="0"/>
              </w:rPr>
            </w:pPr>
          </w:p>
        </w:tc>
      </w:tr>
      <w:tr w14:paraId="5BDD91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20C53B1D">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w:t>
            </w:r>
          </w:p>
        </w:tc>
        <w:tc>
          <w:tcPr>
            <w:tcW w:w="1821" w:type="dxa"/>
            <w:vAlign w:val="center"/>
          </w:tcPr>
          <w:p w14:paraId="37828AC3">
            <w:pPr>
              <w:widowControl/>
              <w:spacing w:line="360" w:lineRule="auto"/>
              <w:jc w:val="center"/>
              <w:rPr>
                <w:rFonts w:cs="宋体" w:asciiTheme="minorEastAsia" w:hAnsiTheme="minorEastAsia" w:eastAsiaTheme="minorEastAsia"/>
                <w:kern w:val="0"/>
                <w:szCs w:val="21"/>
              </w:rPr>
            </w:pPr>
          </w:p>
        </w:tc>
        <w:tc>
          <w:tcPr>
            <w:tcW w:w="709" w:type="dxa"/>
            <w:vAlign w:val="center"/>
          </w:tcPr>
          <w:p w14:paraId="20938BCA">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4D883E75">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73FEB8ED">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6A588373">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656FBF97">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6FB2F90A">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6AF734CB">
            <w:pPr>
              <w:adjustRightInd w:val="0"/>
              <w:snapToGrid w:val="0"/>
              <w:spacing w:line="300" w:lineRule="auto"/>
              <w:jc w:val="center"/>
              <w:rPr>
                <w:rFonts w:asciiTheme="minorEastAsia" w:hAnsiTheme="minorEastAsia" w:eastAsiaTheme="minorEastAsia"/>
                <w:snapToGrid w:val="0"/>
                <w:kern w:val="0"/>
              </w:rPr>
            </w:pPr>
          </w:p>
        </w:tc>
        <w:tc>
          <w:tcPr>
            <w:tcW w:w="773" w:type="dxa"/>
          </w:tcPr>
          <w:p w14:paraId="3412F0F7">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40CDA6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73E26FC">
            <w:pPr>
              <w:adjustRightInd w:val="0"/>
              <w:snapToGrid w:val="0"/>
              <w:spacing w:line="300" w:lineRule="auto"/>
              <w:jc w:val="center"/>
              <w:rPr>
                <w:rFonts w:asciiTheme="minorEastAsia" w:hAnsiTheme="minorEastAsia" w:eastAsiaTheme="minorEastAsia"/>
                <w:snapToGrid w:val="0"/>
                <w:kern w:val="0"/>
              </w:rPr>
            </w:pPr>
          </w:p>
        </w:tc>
      </w:tr>
      <w:tr w14:paraId="2D55EB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0F8D84CB">
            <w:pPr>
              <w:jc w:val="center"/>
              <w:rPr>
                <w:rFonts w:cs="仿宋" w:asciiTheme="minorEastAsia" w:hAnsiTheme="minorEastAsia" w:eastAsiaTheme="minorEastAsia"/>
                <w:szCs w:val="21"/>
              </w:rPr>
            </w:pPr>
          </w:p>
        </w:tc>
        <w:tc>
          <w:tcPr>
            <w:tcW w:w="1821" w:type="dxa"/>
            <w:vAlign w:val="center"/>
          </w:tcPr>
          <w:p w14:paraId="72D2E504">
            <w:pPr>
              <w:widowControl/>
              <w:spacing w:line="360" w:lineRule="auto"/>
              <w:jc w:val="center"/>
              <w:rPr>
                <w:rFonts w:cs="宋体" w:asciiTheme="minorEastAsia" w:hAnsiTheme="minorEastAsia" w:eastAsiaTheme="minorEastAsia"/>
                <w:kern w:val="0"/>
                <w:szCs w:val="21"/>
              </w:rPr>
            </w:pPr>
          </w:p>
        </w:tc>
        <w:tc>
          <w:tcPr>
            <w:tcW w:w="709" w:type="dxa"/>
            <w:vAlign w:val="center"/>
          </w:tcPr>
          <w:p w14:paraId="221C9C47">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08948C3C">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73BFC559">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0085493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81B389B">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76BB0220">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12567F4">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F6544C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0E775F3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9502E33">
            <w:pPr>
              <w:adjustRightInd w:val="0"/>
              <w:snapToGrid w:val="0"/>
              <w:spacing w:line="300" w:lineRule="auto"/>
              <w:jc w:val="center"/>
              <w:rPr>
                <w:rFonts w:asciiTheme="minorEastAsia" w:hAnsiTheme="minorEastAsia" w:eastAsiaTheme="minorEastAsia"/>
                <w:snapToGrid w:val="0"/>
                <w:kern w:val="0"/>
              </w:rPr>
            </w:pPr>
          </w:p>
        </w:tc>
      </w:tr>
      <w:tr w14:paraId="4D982E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278AD6EB">
            <w:pPr>
              <w:jc w:val="center"/>
              <w:rPr>
                <w:rFonts w:cs="仿宋" w:asciiTheme="minorEastAsia" w:hAnsiTheme="minorEastAsia" w:eastAsiaTheme="minorEastAsia"/>
                <w:szCs w:val="21"/>
              </w:rPr>
            </w:pPr>
          </w:p>
        </w:tc>
        <w:tc>
          <w:tcPr>
            <w:tcW w:w="1821" w:type="dxa"/>
            <w:vAlign w:val="center"/>
          </w:tcPr>
          <w:p w14:paraId="2667FEF8">
            <w:pPr>
              <w:widowControl/>
              <w:spacing w:line="360" w:lineRule="auto"/>
              <w:jc w:val="center"/>
              <w:rPr>
                <w:rFonts w:cs="宋体" w:asciiTheme="minorEastAsia" w:hAnsiTheme="minorEastAsia" w:eastAsiaTheme="minorEastAsia"/>
                <w:kern w:val="0"/>
                <w:szCs w:val="21"/>
              </w:rPr>
            </w:pPr>
          </w:p>
        </w:tc>
        <w:tc>
          <w:tcPr>
            <w:tcW w:w="709" w:type="dxa"/>
            <w:vAlign w:val="center"/>
          </w:tcPr>
          <w:p w14:paraId="4EB45FA6">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6E3295B3">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70E70B2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2200CAC">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125834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D4E4B3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6F738824">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E03493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591E141">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8677CD7">
            <w:pPr>
              <w:adjustRightInd w:val="0"/>
              <w:snapToGrid w:val="0"/>
              <w:spacing w:line="300" w:lineRule="auto"/>
              <w:jc w:val="center"/>
              <w:rPr>
                <w:rFonts w:asciiTheme="minorEastAsia" w:hAnsiTheme="minorEastAsia" w:eastAsiaTheme="minorEastAsia"/>
                <w:snapToGrid w:val="0"/>
                <w:kern w:val="0"/>
              </w:rPr>
            </w:pPr>
          </w:p>
        </w:tc>
      </w:tr>
      <w:tr w14:paraId="3E5525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54" w:type="dxa"/>
            <w:gridSpan w:val="12"/>
            <w:vAlign w:val="center"/>
          </w:tcPr>
          <w:p w14:paraId="240C3DF6">
            <w:pPr>
              <w:adjustRightInd w:val="0"/>
              <w:snapToGrid w:val="0"/>
              <w:spacing w:line="300" w:lineRule="auto"/>
              <w:jc w:val="left"/>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14:paraId="71812AEF">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“（二）货物清单明细”的填写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28E703A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4D1FFD02">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3、投标总价应为以上各分项价格之和；投标总价和表中单个采购条目报价均不得超过对应的财政预算限额，否则将导致无效投标。</w:t>
      </w:r>
    </w:p>
    <w:p w14:paraId="3188D1B3">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14:paraId="4CDBFE08">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5、“原产地”是指该产品的实际生产加工地，而非品牌总公司所在地。</w:t>
      </w:r>
    </w:p>
    <w:p w14:paraId="3F42BF56">
      <w:pPr>
        <w:adjustRightInd w:val="0"/>
        <w:snapToGrid w:val="0"/>
        <w:spacing w:line="300" w:lineRule="auto"/>
        <w:jc w:val="center"/>
        <w:rPr>
          <w:rFonts w:asciiTheme="minorEastAsia" w:hAnsiTheme="minorEastAsia" w:eastAsiaTheme="minorEastAsia"/>
          <w:snapToGrid w:val="0"/>
          <w:kern w:val="0"/>
        </w:rPr>
      </w:pPr>
    </w:p>
    <w:p w14:paraId="22FB3ADB">
      <w:pPr>
        <w:adjustRightInd w:val="0"/>
        <w:snapToGrid w:val="0"/>
        <w:spacing w:line="300" w:lineRule="auto"/>
        <w:rPr>
          <w:rFonts w:asciiTheme="minorEastAsia" w:hAnsiTheme="minorEastAsia" w:eastAsiaTheme="minorEastAsia"/>
          <w:snapToGrid w:val="0"/>
          <w:kern w:val="0"/>
        </w:rPr>
      </w:pPr>
    </w:p>
    <w:p w14:paraId="13727761">
      <w:pPr>
        <w:numPr>
          <w:ilvl w:val="0"/>
          <w:numId w:val="8"/>
        </w:numPr>
        <w:adjustRightInd w:val="0"/>
        <w:snapToGrid w:val="0"/>
        <w:spacing w:line="300" w:lineRule="auto"/>
        <w:jc w:val="center"/>
        <w:rPr>
          <w:rFonts w:hint="eastAsia" w:asciiTheme="minorEastAsia" w:hAnsiTheme="minorEastAsia" w:eastAsiaTheme="minorEastAsia"/>
          <w:bCs/>
          <w:sz w:val="24"/>
        </w:rPr>
      </w:pPr>
      <w:r>
        <w:rPr>
          <w:rFonts w:hint="eastAsia" w:asciiTheme="minorEastAsia" w:hAnsiTheme="minorEastAsia" w:eastAsiaTheme="minorEastAsia"/>
          <w:bCs/>
          <w:sz w:val="24"/>
        </w:rPr>
        <w:t>供应商认为需要涉及的其他内容报价清单</w:t>
      </w:r>
    </w:p>
    <w:p w14:paraId="538CDCAF">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1"/>
        <w:tblW w:w="861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885"/>
        <w:gridCol w:w="1367"/>
        <w:gridCol w:w="1547"/>
        <w:gridCol w:w="2915"/>
      </w:tblGrid>
      <w:tr w14:paraId="3B5564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04" w:type="dxa"/>
            <w:vAlign w:val="center"/>
          </w:tcPr>
          <w:p w14:paraId="3E96AE64">
            <w:pPr>
              <w:keepNext w:val="0"/>
              <w:keepLines w:val="0"/>
              <w:suppressLineNumbers w:val="0"/>
              <w:spacing w:before="0" w:beforeAutospacing="0" w:after="0" w:afterAutospacing="0"/>
              <w:ind w:left="0" w:right="0"/>
              <w:jc w:val="center"/>
              <w:rPr>
                <w:rFonts w:hint="default"/>
                <w:snapToGrid w:val="0"/>
                <w:color w:val="000000"/>
                <w:kern w:val="0"/>
              </w:rPr>
            </w:pPr>
            <w:r>
              <w:rPr>
                <w:rFonts w:hint="eastAsia" w:ascii="宋体" w:hAnsi="宋体"/>
                <w:kern w:val="0"/>
                <w:szCs w:val="21"/>
              </w:rPr>
              <w:t>序号</w:t>
            </w:r>
          </w:p>
        </w:tc>
        <w:tc>
          <w:tcPr>
            <w:tcW w:w="1885" w:type="dxa"/>
            <w:vAlign w:val="center"/>
          </w:tcPr>
          <w:p w14:paraId="464AFBBD">
            <w:pPr>
              <w:keepNext w:val="0"/>
              <w:keepLines w:val="0"/>
              <w:suppressLineNumbers w:val="0"/>
              <w:spacing w:before="0" w:beforeAutospacing="0" w:after="0" w:afterAutospacing="0"/>
              <w:ind w:left="0" w:right="0"/>
              <w:jc w:val="center"/>
              <w:rPr>
                <w:rFonts w:hint="default"/>
                <w:snapToGrid w:val="0"/>
                <w:kern w:val="0"/>
              </w:rPr>
            </w:pPr>
            <w:r>
              <w:rPr>
                <w:rFonts w:hint="eastAsia" w:ascii="宋体" w:hAnsi="宋体"/>
                <w:kern w:val="0"/>
                <w:szCs w:val="21"/>
                <w:lang w:val="en-US" w:eastAsia="zh-CN"/>
              </w:rPr>
              <w:t>耗材配件</w:t>
            </w:r>
            <w:r>
              <w:rPr>
                <w:rFonts w:hint="eastAsia" w:ascii="宋体" w:hAnsi="宋体"/>
                <w:kern w:val="0"/>
                <w:szCs w:val="21"/>
              </w:rPr>
              <w:t>名称</w:t>
            </w:r>
          </w:p>
        </w:tc>
        <w:tc>
          <w:tcPr>
            <w:tcW w:w="1367" w:type="dxa"/>
            <w:vAlign w:val="center"/>
          </w:tcPr>
          <w:p w14:paraId="59B87847">
            <w:pPr>
              <w:keepNext w:val="0"/>
              <w:keepLines w:val="0"/>
              <w:suppressLineNumbers w:val="0"/>
              <w:spacing w:before="0" w:beforeAutospacing="0" w:after="0" w:afterAutospacing="0"/>
              <w:ind w:left="0" w:right="0"/>
              <w:jc w:val="center"/>
              <w:rPr>
                <w:rFonts w:hint="default"/>
                <w:snapToGrid w:val="0"/>
                <w:kern w:val="0"/>
              </w:rPr>
            </w:pPr>
            <w:r>
              <w:rPr>
                <w:rFonts w:hint="eastAsia" w:ascii="宋体" w:hAnsi="宋体"/>
                <w:kern w:val="0"/>
                <w:szCs w:val="21"/>
                <w:lang w:val="en-US" w:eastAsia="zh-CN"/>
              </w:rPr>
              <w:t>规格型号</w:t>
            </w:r>
          </w:p>
        </w:tc>
        <w:tc>
          <w:tcPr>
            <w:tcW w:w="1547" w:type="dxa"/>
            <w:vAlign w:val="center"/>
          </w:tcPr>
          <w:p w14:paraId="47303941">
            <w:pPr>
              <w:keepNext w:val="0"/>
              <w:keepLines w:val="0"/>
              <w:suppressLineNumbers w:val="0"/>
              <w:spacing w:before="0" w:beforeAutospacing="0" w:after="0" w:afterAutospacing="0"/>
              <w:ind w:left="0" w:right="0"/>
              <w:jc w:val="center"/>
              <w:rPr>
                <w:rFonts w:hint="default"/>
                <w:snapToGrid w:val="0"/>
                <w:kern w:val="0"/>
              </w:rPr>
            </w:pPr>
            <w:r>
              <w:rPr>
                <w:rFonts w:hint="eastAsia" w:ascii="宋体" w:hAnsi="宋体"/>
                <w:kern w:val="0"/>
                <w:szCs w:val="21"/>
                <w:lang w:val="en-US" w:eastAsia="zh-CN"/>
              </w:rPr>
              <w:t>单位</w:t>
            </w:r>
          </w:p>
        </w:tc>
        <w:tc>
          <w:tcPr>
            <w:tcW w:w="2915" w:type="dxa"/>
            <w:vAlign w:val="center"/>
          </w:tcPr>
          <w:p w14:paraId="595BABFB">
            <w:pPr>
              <w:keepNext w:val="0"/>
              <w:keepLines w:val="0"/>
              <w:suppressLineNumbers w:val="0"/>
              <w:spacing w:before="0" w:beforeAutospacing="0" w:after="0" w:afterAutospacing="0"/>
              <w:ind w:left="0" w:right="0"/>
              <w:jc w:val="center"/>
              <w:rPr>
                <w:rFonts w:hint="default"/>
                <w:szCs w:val="21"/>
              </w:rPr>
            </w:pPr>
            <w:r>
              <w:rPr>
                <w:rFonts w:hint="eastAsia"/>
                <w:lang w:val="en-US" w:eastAsia="zh-CN"/>
              </w:rPr>
              <w:t>所投品牌原厂配件单价</w:t>
            </w:r>
            <w:r>
              <w:rPr>
                <w:rFonts w:hint="eastAsia"/>
                <w:szCs w:val="21"/>
              </w:rPr>
              <w:t>(</w:t>
            </w:r>
            <w:r>
              <w:rPr>
                <w:rFonts w:hint="eastAsia"/>
                <w:szCs w:val="21"/>
                <w:lang w:val="en-US" w:eastAsia="zh-CN"/>
              </w:rPr>
              <w:t xml:space="preserve">人民币 </w:t>
            </w:r>
            <w:r>
              <w:rPr>
                <w:rFonts w:hint="eastAsia"/>
                <w:szCs w:val="21"/>
              </w:rPr>
              <w:t>元)</w:t>
            </w:r>
          </w:p>
        </w:tc>
      </w:tr>
      <w:tr w14:paraId="79A5E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04" w:type="dxa"/>
            <w:vAlign w:val="top"/>
          </w:tcPr>
          <w:p w14:paraId="5DD884E1">
            <w:pPr>
              <w:keepNext w:val="0"/>
              <w:keepLines w:val="0"/>
              <w:suppressLineNumbers w:val="0"/>
              <w:spacing w:before="0" w:beforeAutospacing="0" w:after="0" w:afterAutospacing="0"/>
              <w:ind w:left="0" w:right="0"/>
              <w:jc w:val="center"/>
              <w:rPr>
                <w:rFonts w:hint="default"/>
                <w:snapToGrid w:val="0"/>
                <w:color w:val="000000"/>
                <w:kern w:val="0"/>
              </w:rPr>
            </w:pPr>
            <w:r>
              <w:rPr>
                <w:rFonts w:hint="eastAsia" w:ascii="宋体" w:hAnsi="宋体"/>
                <w:kern w:val="0"/>
                <w:szCs w:val="21"/>
              </w:rPr>
              <w:t>1</w:t>
            </w:r>
          </w:p>
        </w:tc>
        <w:tc>
          <w:tcPr>
            <w:tcW w:w="1885" w:type="dxa"/>
            <w:vAlign w:val="center"/>
          </w:tcPr>
          <w:p w14:paraId="30905EAC">
            <w:pPr>
              <w:widowControl/>
              <w:spacing w:line="360" w:lineRule="auto"/>
              <w:jc w:val="center"/>
              <w:rPr>
                <w:rFonts w:hint="default"/>
                <w:snapToGrid w:val="0"/>
                <w:color w:val="000000"/>
                <w:kern w:val="0"/>
              </w:rPr>
            </w:pPr>
            <w:r>
              <w:rPr>
                <w:rFonts w:hint="eastAsia" w:ascii="宋体" w:hAnsi="宋体" w:cs="宋体"/>
                <w:szCs w:val="21"/>
              </w:rPr>
              <w:t>实时三维探头</w:t>
            </w:r>
          </w:p>
        </w:tc>
        <w:tc>
          <w:tcPr>
            <w:tcW w:w="1367" w:type="dxa"/>
            <w:vAlign w:val="top"/>
          </w:tcPr>
          <w:p w14:paraId="567DBBA3">
            <w:pPr>
              <w:keepNext w:val="0"/>
              <w:keepLines w:val="0"/>
              <w:suppressLineNumbers w:val="0"/>
              <w:spacing w:before="0" w:beforeAutospacing="0" w:after="0" w:afterAutospacing="0"/>
              <w:ind w:left="0" w:right="0"/>
              <w:jc w:val="center"/>
              <w:rPr>
                <w:rFonts w:hint="default"/>
                <w:snapToGrid w:val="0"/>
                <w:color w:val="000000"/>
                <w:kern w:val="0"/>
              </w:rPr>
            </w:pPr>
          </w:p>
        </w:tc>
        <w:tc>
          <w:tcPr>
            <w:tcW w:w="1547" w:type="dxa"/>
            <w:vAlign w:val="top"/>
          </w:tcPr>
          <w:p w14:paraId="1BD7F803">
            <w:pPr>
              <w:keepNext w:val="0"/>
              <w:keepLines w:val="0"/>
              <w:suppressLineNumbers w:val="0"/>
              <w:spacing w:before="0" w:beforeAutospacing="0" w:after="0" w:afterAutospacing="0"/>
              <w:ind w:left="0" w:right="0"/>
              <w:jc w:val="both"/>
              <w:rPr>
                <w:rFonts w:hint="default"/>
                <w:snapToGrid w:val="0"/>
                <w:color w:val="000000"/>
                <w:kern w:val="0"/>
              </w:rPr>
            </w:pPr>
          </w:p>
        </w:tc>
        <w:tc>
          <w:tcPr>
            <w:tcW w:w="2915" w:type="dxa"/>
          </w:tcPr>
          <w:p w14:paraId="2D89CD77">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r>
      <w:tr w14:paraId="6AC2FB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04" w:type="dxa"/>
            <w:vAlign w:val="center"/>
          </w:tcPr>
          <w:p w14:paraId="0EA75961">
            <w:pPr>
              <w:keepNext w:val="0"/>
              <w:keepLines w:val="0"/>
              <w:suppressLineNumbers w:val="0"/>
              <w:adjustRightInd w:val="0"/>
              <w:snapToGrid w:val="0"/>
              <w:spacing w:before="0" w:beforeAutospacing="0" w:after="0" w:afterAutospacing="0" w:line="300" w:lineRule="auto"/>
              <w:ind w:left="0" w:right="0"/>
              <w:jc w:val="center"/>
              <w:rPr>
                <w:rFonts w:hint="eastAsia" w:eastAsia="宋体"/>
                <w:snapToGrid w:val="0"/>
                <w:color w:val="000000"/>
                <w:kern w:val="0"/>
                <w:lang w:val="en-US" w:eastAsia="zh-CN"/>
              </w:rPr>
            </w:pPr>
            <w:r>
              <w:rPr>
                <w:rFonts w:hint="eastAsia"/>
                <w:snapToGrid w:val="0"/>
                <w:color w:val="000000"/>
                <w:kern w:val="0"/>
                <w:lang w:val="en-US" w:eastAsia="zh-CN"/>
              </w:rPr>
              <w:t>2</w:t>
            </w:r>
          </w:p>
        </w:tc>
        <w:tc>
          <w:tcPr>
            <w:tcW w:w="1885" w:type="dxa"/>
            <w:vAlign w:val="center"/>
          </w:tcPr>
          <w:p w14:paraId="4B2F4729">
            <w:pPr>
              <w:widowControl/>
              <w:spacing w:line="360" w:lineRule="auto"/>
              <w:jc w:val="center"/>
              <w:rPr>
                <w:rFonts w:hint="default"/>
                <w:snapToGrid w:val="0"/>
                <w:color w:val="000000"/>
                <w:kern w:val="0"/>
              </w:rPr>
            </w:pPr>
            <w:r>
              <w:rPr>
                <w:rFonts w:hint="eastAsia" w:ascii="宋体" w:hAnsi="宋体" w:cs="宋体"/>
                <w:szCs w:val="21"/>
              </w:rPr>
              <w:t>腹部凸阵探头</w:t>
            </w:r>
          </w:p>
        </w:tc>
        <w:tc>
          <w:tcPr>
            <w:tcW w:w="1367" w:type="dxa"/>
            <w:vAlign w:val="center"/>
          </w:tcPr>
          <w:p w14:paraId="1BFB1880">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1547" w:type="dxa"/>
            <w:vAlign w:val="center"/>
          </w:tcPr>
          <w:p w14:paraId="7DA892B5">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2915" w:type="dxa"/>
          </w:tcPr>
          <w:p w14:paraId="16ED1C16">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r>
      <w:tr w14:paraId="2E6DDA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04" w:type="dxa"/>
            <w:vAlign w:val="center"/>
          </w:tcPr>
          <w:p w14:paraId="30C36D88">
            <w:pPr>
              <w:keepNext w:val="0"/>
              <w:keepLines w:val="0"/>
              <w:suppressLineNumbers w:val="0"/>
              <w:adjustRightInd w:val="0"/>
              <w:snapToGrid w:val="0"/>
              <w:spacing w:before="0" w:beforeAutospacing="0" w:after="0" w:afterAutospacing="0" w:line="300" w:lineRule="auto"/>
              <w:ind w:left="0" w:right="0"/>
              <w:jc w:val="center"/>
              <w:rPr>
                <w:rFonts w:hint="eastAsia" w:eastAsia="宋体"/>
                <w:snapToGrid w:val="0"/>
                <w:color w:val="000000"/>
                <w:kern w:val="0"/>
                <w:lang w:val="en-US" w:eastAsia="zh-CN"/>
              </w:rPr>
            </w:pPr>
            <w:r>
              <w:rPr>
                <w:rFonts w:hint="eastAsia"/>
                <w:snapToGrid w:val="0"/>
                <w:color w:val="000000"/>
                <w:kern w:val="0"/>
                <w:lang w:val="en-US" w:eastAsia="zh-CN"/>
              </w:rPr>
              <w:t>3</w:t>
            </w:r>
          </w:p>
        </w:tc>
        <w:tc>
          <w:tcPr>
            <w:tcW w:w="1885" w:type="dxa"/>
            <w:vAlign w:val="center"/>
          </w:tcPr>
          <w:p w14:paraId="2A437C1C">
            <w:pPr>
              <w:widowControl/>
              <w:spacing w:line="360" w:lineRule="auto"/>
              <w:jc w:val="center"/>
              <w:rPr>
                <w:rFonts w:hint="default"/>
                <w:snapToGrid w:val="0"/>
                <w:color w:val="000000"/>
                <w:kern w:val="0"/>
              </w:rPr>
            </w:pPr>
            <w:r>
              <w:rPr>
                <w:rFonts w:hint="eastAsia" w:ascii="宋体" w:hAnsi="宋体" w:cs="宋体"/>
                <w:szCs w:val="21"/>
              </w:rPr>
              <w:t>心脏相控阵探头</w:t>
            </w:r>
          </w:p>
        </w:tc>
        <w:tc>
          <w:tcPr>
            <w:tcW w:w="1367" w:type="dxa"/>
            <w:vAlign w:val="center"/>
          </w:tcPr>
          <w:p w14:paraId="0AE262C6">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1547" w:type="dxa"/>
            <w:vAlign w:val="center"/>
          </w:tcPr>
          <w:p w14:paraId="41FC0883">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2915" w:type="dxa"/>
          </w:tcPr>
          <w:p w14:paraId="6B54FA44">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r>
      <w:tr w14:paraId="01DE3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04" w:type="dxa"/>
            <w:vAlign w:val="center"/>
          </w:tcPr>
          <w:p w14:paraId="67D58BAC">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lang w:val="en-US" w:eastAsia="zh-CN"/>
              </w:rPr>
            </w:pPr>
            <w:r>
              <w:rPr>
                <w:rFonts w:hint="eastAsia"/>
                <w:snapToGrid w:val="0"/>
                <w:color w:val="000000"/>
                <w:kern w:val="0"/>
                <w:lang w:val="en-US" w:eastAsia="zh-CN"/>
              </w:rPr>
              <w:t>4</w:t>
            </w:r>
          </w:p>
        </w:tc>
        <w:tc>
          <w:tcPr>
            <w:tcW w:w="1885" w:type="dxa"/>
            <w:vAlign w:val="center"/>
          </w:tcPr>
          <w:p w14:paraId="7C79621F">
            <w:pPr>
              <w:widowControl/>
              <w:spacing w:line="360" w:lineRule="auto"/>
              <w:jc w:val="center"/>
              <w:rPr>
                <w:rFonts w:hint="default"/>
                <w:snapToGrid w:val="0"/>
                <w:color w:val="000000"/>
                <w:kern w:val="0"/>
              </w:rPr>
            </w:pPr>
            <w:r>
              <w:rPr>
                <w:rFonts w:hint="eastAsia" w:ascii="宋体" w:hAnsi="宋体" w:cs="宋体"/>
                <w:szCs w:val="21"/>
              </w:rPr>
              <w:t>腔内探头</w:t>
            </w:r>
          </w:p>
        </w:tc>
        <w:tc>
          <w:tcPr>
            <w:tcW w:w="1367" w:type="dxa"/>
            <w:vAlign w:val="center"/>
          </w:tcPr>
          <w:p w14:paraId="14FBACED">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1547" w:type="dxa"/>
            <w:vAlign w:val="center"/>
          </w:tcPr>
          <w:p w14:paraId="2CDDD3ED">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2915" w:type="dxa"/>
          </w:tcPr>
          <w:p w14:paraId="4AF50682">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r>
      <w:tr w14:paraId="03716B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39" w:hRule="atLeast"/>
          <w:jc w:val="center"/>
        </w:trPr>
        <w:tc>
          <w:tcPr>
            <w:tcW w:w="904" w:type="dxa"/>
            <w:vAlign w:val="center"/>
          </w:tcPr>
          <w:p w14:paraId="4E10E327">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lang w:val="en-US" w:eastAsia="zh-CN"/>
              </w:rPr>
            </w:pPr>
            <w:r>
              <w:rPr>
                <w:rFonts w:hint="eastAsia"/>
                <w:snapToGrid w:val="0"/>
                <w:color w:val="000000"/>
                <w:kern w:val="0"/>
                <w:lang w:val="en-US" w:eastAsia="zh-CN"/>
              </w:rPr>
              <w:t>5</w:t>
            </w:r>
          </w:p>
        </w:tc>
        <w:tc>
          <w:tcPr>
            <w:tcW w:w="1885" w:type="dxa"/>
            <w:vAlign w:val="center"/>
          </w:tcPr>
          <w:p w14:paraId="7423B780">
            <w:pPr>
              <w:widowControl/>
              <w:spacing w:line="360" w:lineRule="auto"/>
              <w:jc w:val="center"/>
              <w:rPr>
                <w:rFonts w:hint="default"/>
                <w:snapToGrid w:val="0"/>
                <w:color w:val="000000"/>
                <w:kern w:val="0"/>
              </w:rPr>
            </w:pPr>
            <w:r>
              <w:rPr>
                <w:rFonts w:hint="eastAsia" w:ascii="宋体" w:hAnsi="宋体" w:cs="宋体"/>
                <w:szCs w:val="21"/>
              </w:rPr>
              <w:t>高频血管线阵探头</w:t>
            </w:r>
          </w:p>
        </w:tc>
        <w:tc>
          <w:tcPr>
            <w:tcW w:w="1367" w:type="dxa"/>
            <w:vAlign w:val="center"/>
          </w:tcPr>
          <w:p w14:paraId="7DC15BFB">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1547" w:type="dxa"/>
            <w:vAlign w:val="center"/>
          </w:tcPr>
          <w:p w14:paraId="7173484E">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2915" w:type="dxa"/>
          </w:tcPr>
          <w:p w14:paraId="0E7E5AC9">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r>
      <w:tr w14:paraId="2766FC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39" w:hRule="atLeast"/>
          <w:jc w:val="center"/>
        </w:trPr>
        <w:tc>
          <w:tcPr>
            <w:tcW w:w="904" w:type="dxa"/>
            <w:vAlign w:val="center"/>
          </w:tcPr>
          <w:p w14:paraId="3E07C075">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lang w:val="en-US" w:eastAsia="zh-CN"/>
              </w:rPr>
            </w:pPr>
            <w:r>
              <w:rPr>
                <w:rFonts w:hint="eastAsia"/>
                <w:snapToGrid w:val="0"/>
                <w:color w:val="000000"/>
                <w:kern w:val="0"/>
                <w:lang w:val="en-US" w:eastAsia="zh-CN"/>
              </w:rPr>
              <w:t>6</w:t>
            </w:r>
          </w:p>
        </w:tc>
        <w:tc>
          <w:tcPr>
            <w:tcW w:w="1885" w:type="dxa"/>
            <w:vAlign w:val="center"/>
          </w:tcPr>
          <w:p w14:paraId="2116CFC2">
            <w:pPr>
              <w:widowControl/>
              <w:spacing w:line="360" w:lineRule="auto"/>
              <w:jc w:val="center"/>
              <w:rPr>
                <w:rFonts w:hint="default"/>
                <w:snapToGrid w:val="0"/>
                <w:color w:val="000000"/>
                <w:kern w:val="0"/>
              </w:rPr>
            </w:pPr>
            <w:r>
              <w:rPr>
                <w:rFonts w:hint="eastAsia" w:ascii="宋体" w:hAnsi="宋体" w:cs="宋体"/>
                <w:szCs w:val="21"/>
              </w:rPr>
              <w:t>高频小器官线阵探头</w:t>
            </w:r>
          </w:p>
        </w:tc>
        <w:tc>
          <w:tcPr>
            <w:tcW w:w="1367" w:type="dxa"/>
            <w:vAlign w:val="center"/>
          </w:tcPr>
          <w:p w14:paraId="01802F54">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1547" w:type="dxa"/>
            <w:vAlign w:val="center"/>
          </w:tcPr>
          <w:p w14:paraId="2F9D23A1">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2915" w:type="dxa"/>
          </w:tcPr>
          <w:p w14:paraId="47F0EE9B">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r>
      <w:tr w14:paraId="3A31C3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904" w:type="dxa"/>
            <w:vAlign w:val="center"/>
          </w:tcPr>
          <w:p w14:paraId="126E8011">
            <w:pPr>
              <w:keepNext w:val="0"/>
              <w:keepLines w:val="0"/>
              <w:suppressLineNumbers w:val="0"/>
              <w:adjustRightInd w:val="0"/>
              <w:snapToGrid w:val="0"/>
              <w:spacing w:before="0" w:beforeAutospacing="0" w:after="0" w:afterAutospacing="0" w:line="300" w:lineRule="auto"/>
              <w:ind w:left="0" w:right="0"/>
              <w:jc w:val="both"/>
              <w:rPr>
                <w:rFonts w:hint="default"/>
                <w:snapToGrid w:val="0"/>
                <w:color w:val="000000"/>
                <w:kern w:val="0"/>
                <w:lang w:val="en-US" w:eastAsia="zh-CN"/>
              </w:rPr>
            </w:pPr>
            <w:r>
              <w:rPr>
                <w:rFonts w:hint="eastAsia"/>
                <w:snapToGrid w:val="0"/>
                <w:color w:val="000000"/>
                <w:kern w:val="0"/>
                <w:lang w:val="en-US" w:eastAsia="zh-CN"/>
              </w:rPr>
              <w:t>........</w:t>
            </w:r>
          </w:p>
        </w:tc>
        <w:tc>
          <w:tcPr>
            <w:tcW w:w="1885" w:type="dxa"/>
            <w:vAlign w:val="center"/>
          </w:tcPr>
          <w:p w14:paraId="36DF863F">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1367" w:type="dxa"/>
            <w:vAlign w:val="center"/>
          </w:tcPr>
          <w:p w14:paraId="58338845">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1547" w:type="dxa"/>
            <w:vAlign w:val="center"/>
          </w:tcPr>
          <w:p w14:paraId="0C8AE119">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c>
          <w:tcPr>
            <w:tcW w:w="2915" w:type="dxa"/>
          </w:tcPr>
          <w:p w14:paraId="2B65B397">
            <w:pPr>
              <w:keepNext w:val="0"/>
              <w:keepLines w:val="0"/>
              <w:suppressLineNumbers w:val="0"/>
              <w:adjustRightInd w:val="0"/>
              <w:snapToGrid w:val="0"/>
              <w:spacing w:before="0" w:beforeAutospacing="0" w:after="0" w:afterAutospacing="0" w:line="300" w:lineRule="auto"/>
              <w:ind w:left="0" w:right="0"/>
              <w:jc w:val="center"/>
              <w:rPr>
                <w:rFonts w:hint="default"/>
                <w:snapToGrid w:val="0"/>
                <w:color w:val="000000"/>
                <w:kern w:val="0"/>
              </w:rPr>
            </w:pPr>
          </w:p>
        </w:tc>
      </w:tr>
    </w:tbl>
    <w:p w14:paraId="356BC227">
      <w:pPr>
        <w:adjustRightInd w:val="0"/>
        <w:snapToGrid w:val="0"/>
        <w:spacing w:line="300" w:lineRule="auto"/>
        <w:rPr>
          <w:snapToGrid w:val="0"/>
          <w:color w:val="000000"/>
          <w:kern w:val="0"/>
        </w:rPr>
      </w:pPr>
    </w:p>
    <w:p w14:paraId="7A02AC3E">
      <w:pPr>
        <w:adjustRightInd w:val="0"/>
        <w:snapToGrid w:val="0"/>
        <w:spacing w:line="300" w:lineRule="auto"/>
        <w:ind w:firstLine="632" w:firstLineChars="300"/>
        <w:jc w:val="both"/>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w:t>
      </w:r>
      <w:r>
        <w:rPr>
          <w:rFonts w:hint="eastAsia" w:asciiTheme="minorEastAsia" w:hAnsiTheme="minorEastAsia" w:eastAsiaTheme="minorEastAsia"/>
          <w:b/>
          <w:snapToGrid w:val="0"/>
          <w:color w:val="000000"/>
          <w:kern w:val="0"/>
          <w:lang w:val="en-US" w:eastAsia="zh-CN"/>
        </w:rPr>
        <w:t>此表格中的六项配件及其他</w:t>
      </w:r>
      <w:r>
        <w:rPr>
          <w:rFonts w:hint="eastAsia" w:asciiTheme="minorEastAsia" w:hAnsiTheme="minorEastAsia" w:eastAsiaTheme="minorEastAsia"/>
          <w:b/>
          <w:snapToGrid w:val="0"/>
          <w:color w:val="000000"/>
          <w:kern w:val="0"/>
        </w:rPr>
        <w:t>消耗品和延续保修合同的报价明细需填写于此表。</w:t>
      </w:r>
    </w:p>
    <w:p w14:paraId="49D0B362">
      <w:pPr>
        <w:adjustRightInd w:val="0"/>
        <w:snapToGrid w:val="0"/>
        <w:spacing w:line="300" w:lineRule="auto"/>
        <w:rPr>
          <w:snapToGrid w:val="0"/>
          <w:kern w:val="0"/>
        </w:rPr>
      </w:pPr>
    </w:p>
    <w:p w14:paraId="48884979">
      <w:pPr>
        <w:adjustRightInd w:val="0"/>
        <w:snapToGrid w:val="0"/>
        <w:spacing w:line="300" w:lineRule="auto"/>
        <w:rPr>
          <w:snapToGrid w:val="0"/>
          <w:kern w:val="0"/>
        </w:rPr>
      </w:pPr>
      <w:r>
        <w:rPr>
          <w:rFonts w:hint="eastAsia"/>
          <w:snapToGrid w:val="0"/>
          <w:kern w:val="0"/>
        </w:rPr>
        <w:t>投标单位：（盖章）</w:t>
      </w:r>
    </w:p>
    <w:p w14:paraId="2ECEBC80">
      <w:pPr>
        <w:adjustRightInd w:val="0"/>
        <w:snapToGrid w:val="0"/>
        <w:spacing w:line="300" w:lineRule="auto"/>
        <w:rPr>
          <w:snapToGrid w:val="0"/>
          <w:kern w:val="0"/>
        </w:rPr>
      </w:pPr>
    </w:p>
    <w:p w14:paraId="1DB8C345">
      <w:pPr>
        <w:adjustRightInd w:val="0"/>
        <w:snapToGrid w:val="0"/>
        <w:spacing w:line="300" w:lineRule="auto"/>
        <w:rPr>
          <w:snapToGrid w:val="0"/>
          <w:kern w:val="0"/>
        </w:rPr>
      </w:pPr>
    </w:p>
    <w:p w14:paraId="36B63F06">
      <w:pPr>
        <w:adjustRightInd w:val="0"/>
        <w:snapToGrid w:val="0"/>
        <w:spacing w:line="300" w:lineRule="auto"/>
        <w:rPr>
          <w:snapToGrid w:val="0"/>
          <w:kern w:val="0"/>
        </w:rPr>
      </w:pPr>
      <w:r>
        <w:rPr>
          <w:rFonts w:hint="eastAsia"/>
          <w:snapToGrid w:val="0"/>
          <w:kern w:val="0"/>
        </w:rPr>
        <w:t>法定代表人或其授权代表：（签字）</w:t>
      </w:r>
    </w:p>
    <w:p w14:paraId="45F291AC">
      <w:pPr>
        <w:adjustRightInd w:val="0"/>
        <w:snapToGrid w:val="0"/>
        <w:spacing w:line="300" w:lineRule="auto"/>
        <w:rPr>
          <w:snapToGrid w:val="0"/>
          <w:kern w:val="0"/>
        </w:rPr>
      </w:pPr>
    </w:p>
    <w:p w14:paraId="33F46B2F">
      <w:pPr>
        <w:wordWrap w:val="0"/>
        <w:adjustRightInd w:val="0"/>
        <w:snapToGrid w:val="0"/>
        <w:spacing w:line="300" w:lineRule="auto"/>
        <w:jc w:val="right"/>
      </w:pPr>
      <w:r>
        <w:rPr>
          <w:rFonts w:hint="eastAsia"/>
          <w:snapToGrid w:val="0"/>
          <w:kern w:val="0"/>
        </w:rPr>
        <w:t>年    月   日</w:t>
      </w:r>
    </w:p>
    <w:p w14:paraId="05AFAC1E">
      <w:pPr>
        <w:pStyle w:val="4"/>
        <w:tabs>
          <w:tab w:val="left" w:pos="371"/>
        </w:tabs>
        <w:spacing w:before="120" w:after="120"/>
        <w:ind w:left="-1" w:leftChars="-1" w:hanging="1"/>
        <w:jc w:val="center"/>
        <w:rPr>
          <w:rFonts w:asciiTheme="minorEastAsia" w:hAnsiTheme="minorEastAsia" w:eastAsiaTheme="minorEastAsia"/>
        </w:rPr>
      </w:pPr>
      <w:bookmarkStart w:id="69" w:name="_Toc44690435"/>
      <w:bookmarkStart w:id="70" w:name="_Toc24202"/>
      <w:bookmarkStart w:id="71" w:name="_Toc44690708"/>
      <w:bookmarkStart w:id="72" w:name="_Toc44691399"/>
      <w:bookmarkStart w:id="73" w:name="_Toc44691167"/>
      <w:bookmarkStart w:id="74" w:name="_Toc135293349"/>
      <w:r>
        <w:rPr>
          <w:rFonts w:hint="eastAsia" w:asciiTheme="minorEastAsia" w:hAnsiTheme="minorEastAsia" w:eastAsiaTheme="minorEastAsia"/>
        </w:rPr>
        <w:t>格式7  技术规格</w:t>
      </w:r>
      <w:bookmarkEnd w:id="69"/>
      <w:bookmarkEnd w:id="70"/>
      <w:bookmarkEnd w:id="71"/>
      <w:bookmarkEnd w:id="72"/>
      <w:bookmarkEnd w:id="73"/>
      <w:bookmarkEnd w:id="74"/>
    </w:p>
    <w:p w14:paraId="03BDFF64">
      <w:pPr>
        <w:pStyle w:val="7"/>
      </w:pPr>
    </w:p>
    <w:p w14:paraId="595999C1">
      <w:pPr>
        <w:spacing w:line="360" w:lineRule="auto"/>
        <w:ind w:left="420"/>
        <w:rPr>
          <w:rFonts w:ascii="宋体" w:hAnsi="宋体"/>
        </w:rPr>
      </w:pPr>
      <w:r>
        <w:rPr>
          <w:rFonts w:hint="eastAsia" w:ascii="宋体" w:hAnsi="宋体"/>
        </w:rPr>
        <w:t>1、对投标产品的整体描述（包括采用文字、表格等形式）</w:t>
      </w:r>
    </w:p>
    <w:p w14:paraId="2D38C807">
      <w:pPr>
        <w:spacing w:line="360" w:lineRule="auto"/>
        <w:ind w:left="420"/>
        <w:rPr>
          <w:rFonts w:ascii="宋体" w:hAnsi="宋体"/>
        </w:rPr>
      </w:pPr>
      <w:r>
        <w:rPr>
          <w:rFonts w:hint="eastAsia" w:ascii="宋体" w:hAnsi="宋体"/>
        </w:rPr>
        <w:t>2、投标产品采用的技术标准</w:t>
      </w:r>
    </w:p>
    <w:p w14:paraId="32DAC264">
      <w:pPr>
        <w:spacing w:line="360" w:lineRule="auto"/>
        <w:ind w:left="420"/>
        <w:rPr>
          <w:rFonts w:ascii="宋体" w:hAnsi="宋体"/>
        </w:rPr>
      </w:pPr>
      <w:r>
        <w:rPr>
          <w:rFonts w:hint="eastAsia" w:ascii="宋体" w:hAnsi="宋体"/>
        </w:rPr>
        <w:t>3、投标产品的性能特点（包括新技术、新工艺、新材料的应用等）</w:t>
      </w:r>
    </w:p>
    <w:p w14:paraId="760C824C">
      <w:pPr>
        <w:spacing w:line="360" w:lineRule="auto"/>
        <w:ind w:left="420"/>
        <w:rPr>
          <w:rFonts w:ascii="宋体" w:hAnsi="宋体"/>
        </w:rPr>
      </w:pPr>
      <w:r>
        <w:rPr>
          <w:rFonts w:hint="eastAsia" w:ascii="宋体" w:hAnsi="宋体"/>
        </w:rPr>
        <w:t>4、投标产品的外形尺寸图、成品的彩色图样等</w:t>
      </w:r>
    </w:p>
    <w:p w14:paraId="71EDE9C2">
      <w:pPr>
        <w:spacing w:line="360" w:lineRule="auto"/>
        <w:ind w:left="420"/>
        <w:rPr>
          <w:rFonts w:ascii="宋体" w:hAnsi="宋体"/>
        </w:rPr>
      </w:pPr>
      <w:r>
        <w:rPr>
          <w:rFonts w:hint="eastAsia" w:ascii="宋体" w:hAnsi="宋体"/>
        </w:rPr>
        <w:t>5、投标产品的说明书等</w:t>
      </w:r>
    </w:p>
    <w:p w14:paraId="66C10F86">
      <w:pPr>
        <w:spacing w:line="360" w:lineRule="auto"/>
        <w:ind w:left="420"/>
        <w:rPr>
          <w:rFonts w:ascii="宋体" w:hAnsi="宋体"/>
        </w:rPr>
      </w:pPr>
      <w:r>
        <w:rPr>
          <w:rFonts w:hint="eastAsia" w:ascii="宋体" w:hAnsi="宋体"/>
        </w:rPr>
        <w:t>6、其它</w:t>
      </w:r>
    </w:p>
    <w:p w14:paraId="50E3A651">
      <w:pPr>
        <w:adjustRightInd w:val="0"/>
        <w:snapToGrid w:val="0"/>
        <w:spacing w:line="300" w:lineRule="auto"/>
        <w:rPr>
          <w:snapToGrid w:val="0"/>
          <w:kern w:val="0"/>
        </w:rPr>
      </w:pPr>
    </w:p>
    <w:p w14:paraId="3FD688D9">
      <w:pPr>
        <w:adjustRightInd w:val="0"/>
        <w:snapToGrid w:val="0"/>
        <w:spacing w:line="300" w:lineRule="auto"/>
        <w:rPr>
          <w:snapToGrid w:val="0"/>
          <w:kern w:val="0"/>
        </w:rPr>
      </w:pPr>
    </w:p>
    <w:p w14:paraId="4318AB1D">
      <w:pPr>
        <w:adjustRightInd w:val="0"/>
        <w:snapToGrid w:val="0"/>
        <w:spacing w:line="300" w:lineRule="auto"/>
        <w:rPr>
          <w:snapToGrid w:val="0"/>
          <w:kern w:val="0"/>
        </w:rPr>
      </w:pPr>
    </w:p>
    <w:p w14:paraId="5154AC83">
      <w:pPr>
        <w:adjustRightInd w:val="0"/>
        <w:snapToGrid w:val="0"/>
        <w:spacing w:line="300" w:lineRule="auto"/>
        <w:rPr>
          <w:snapToGrid w:val="0"/>
          <w:kern w:val="0"/>
        </w:rPr>
      </w:pPr>
      <w:r>
        <w:rPr>
          <w:rFonts w:hint="eastAsia"/>
          <w:snapToGrid w:val="0"/>
          <w:kern w:val="0"/>
        </w:rPr>
        <w:t>投标单位：（盖章）</w:t>
      </w:r>
    </w:p>
    <w:p w14:paraId="3971AE8C">
      <w:pPr>
        <w:adjustRightInd w:val="0"/>
        <w:snapToGrid w:val="0"/>
        <w:spacing w:line="300" w:lineRule="auto"/>
        <w:rPr>
          <w:snapToGrid w:val="0"/>
          <w:kern w:val="0"/>
        </w:rPr>
      </w:pPr>
    </w:p>
    <w:p w14:paraId="41E56AFD">
      <w:pPr>
        <w:adjustRightInd w:val="0"/>
        <w:snapToGrid w:val="0"/>
        <w:spacing w:line="300" w:lineRule="auto"/>
        <w:rPr>
          <w:snapToGrid w:val="0"/>
          <w:kern w:val="0"/>
        </w:rPr>
      </w:pPr>
    </w:p>
    <w:p w14:paraId="4445B0A2">
      <w:pPr>
        <w:adjustRightInd w:val="0"/>
        <w:snapToGrid w:val="0"/>
        <w:spacing w:line="300" w:lineRule="auto"/>
        <w:rPr>
          <w:snapToGrid w:val="0"/>
          <w:kern w:val="0"/>
        </w:rPr>
      </w:pPr>
      <w:r>
        <w:rPr>
          <w:rFonts w:hint="eastAsia"/>
          <w:snapToGrid w:val="0"/>
          <w:kern w:val="0"/>
        </w:rPr>
        <w:t>法定代表人或其授权代表：（签字）</w:t>
      </w:r>
    </w:p>
    <w:p w14:paraId="7526FD3B">
      <w:pPr>
        <w:adjustRightInd w:val="0"/>
        <w:snapToGrid w:val="0"/>
        <w:spacing w:line="300" w:lineRule="auto"/>
        <w:rPr>
          <w:snapToGrid w:val="0"/>
          <w:kern w:val="0"/>
        </w:rPr>
      </w:pPr>
    </w:p>
    <w:p w14:paraId="47A80BA6">
      <w:pPr>
        <w:adjustRightInd w:val="0"/>
        <w:snapToGrid w:val="0"/>
        <w:spacing w:line="300" w:lineRule="auto"/>
        <w:rPr>
          <w:snapToGrid w:val="0"/>
          <w:kern w:val="0"/>
        </w:rPr>
      </w:pPr>
    </w:p>
    <w:p w14:paraId="5264F179">
      <w:pPr>
        <w:wordWrap w:val="0"/>
        <w:adjustRightInd w:val="0"/>
        <w:snapToGrid w:val="0"/>
        <w:spacing w:line="300" w:lineRule="auto"/>
        <w:jc w:val="right"/>
        <w:rPr>
          <w:snapToGrid w:val="0"/>
          <w:kern w:val="0"/>
        </w:rPr>
      </w:pPr>
      <w:r>
        <w:rPr>
          <w:rFonts w:hint="eastAsia"/>
          <w:snapToGrid w:val="0"/>
          <w:kern w:val="0"/>
        </w:rPr>
        <w:t>年    月   日</w:t>
      </w:r>
    </w:p>
    <w:p w14:paraId="43B495FE">
      <w:pPr>
        <w:adjustRightInd w:val="0"/>
        <w:snapToGrid w:val="0"/>
        <w:spacing w:line="300" w:lineRule="auto"/>
        <w:jc w:val="right"/>
        <w:rPr>
          <w:snapToGrid w:val="0"/>
          <w:kern w:val="0"/>
        </w:rPr>
      </w:pPr>
    </w:p>
    <w:p w14:paraId="750BE083">
      <w:pPr>
        <w:adjustRightInd w:val="0"/>
        <w:snapToGrid w:val="0"/>
        <w:spacing w:line="300" w:lineRule="auto"/>
        <w:jc w:val="right"/>
        <w:rPr>
          <w:snapToGrid w:val="0"/>
          <w:kern w:val="0"/>
        </w:rPr>
      </w:pPr>
    </w:p>
    <w:p w14:paraId="7166F788">
      <w:pPr>
        <w:adjustRightInd w:val="0"/>
        <w:snapToGrid w:val="0"/>
        <w:spacing w:line="300" w:lineRule="auto"/>
        <w:jc w:val="right"/>
        <w:rPr>
          <w:snapToGrid w:val="0"/>
          <w:kern w:val="0"/>
        </w:rPr>
      </w:pPr>
    </w:p>
    <w:p w14:paraId="48EEC3C9">
      <w:pPr>
        <w:adjustRightInd w:val="0"/>
        <w:snapToGrid w:val="0"/>
        <w:spacing w:line="300" w:lineRule="auto"/>
        <w:jc w:val="right"/>
        <w:rPr>
          <w:snapToGrid w:val="0"/>
          <w:kern w:val="0"/>
        </w:rPr>
      </w:pPr>
    </w:p>
    <w:p w14:paraId="694432B7">
      <w:pPr>
        <w:adjustRightInd w:val="0"/>
        <w:snapToGrid w:val="0"/>
        <w:spacing w:line="300" w:lineRule="auto"/>
        <w:jc w:val="right"/>
        <w:rPr>
          <w:snapToGrid w:val="0"/>
          <w:kern w:val="0"/>
        </w:rPr>
      </w:pPr>
    </w:p>
    <w:p w14:paraId="42F35067">
      <w:pPr>
        <w:adjustRightInd w:val="0"/>
        <w:snapToGrid w:val="0"/>
        <w:spacing w:line="300" w:lineRule="auto"/>
        <w:jc w:val="right"/>
        <w:rPr>
          <w:snapToGrid w:val="0"/>
          <w:kern w:val="0"/>
        </w:rPr>
      </w:pPr>
    </w:p>
    <w:p w14:paraId="091D4156">
      <w:pPr>
        <w:adjustRightInd w:val="0"/>
        <w:snapToGrid w:val="0"/>
        <w:spacing w:line="300" w:lineRule="auto"/>
        <w:jc w:val="right"/>
        <w:rPr>
          <w:snapToGrid w:val="0"/>
          <w:kern w:val="0"/>
        </w:rPr>
      </w:pPr>
    </w:p>
    <w:p w14:paraId="73D5784C">
      <w:pPr>
        <w:adjustRightInd w:val="0"/>
        <w:snapToGrid w:val="0"/>
        <w:spacing w:line="300" w:lineRule="auto"/>
        <w:jc w:val="right"/>
        <w:rPr>
          <w:snapToGrid w:val="0"/>
          <w:kern w:val="0"/>
        </w:rPr>
      </w:pPr>
    </w:p>
    <w:p w14:paraId="2A0429D3">
      <w:pPr>
        <w:pStyle w:val="30"/>
        <w:adjustRightInd w:val="0"/>
        <w:snapToGrid w:val="0"/>
        <w:spacing w:line="312" w:lineRule="auto"/>
        <w:jc w:val="left"/>
        <w:rPr>
          <w:rFonts w:ascii="Times New Roman" w:hAnsi="Times New Roman"/>
          <w:b/>
          <w:sz w:val="21"/>
          <w:szCs w:val="21"/>
        </w:rPr>
      </w:pPr>
    </w:p>
    <w:p w14:paraId="09DA44FE">
      <w:pPr>
        <w:rPr>
          <w:b/>
          <w:szCs w:val="21"/>
        </w:rPr>
      </w:pPr>
    </w:p>
    <w:p w14:paraId="04107514">
      <w:pPr>
        <w:rPr>
          <w:b/>
          <w:szCs w:val="21"/>
        </w:rPr>
      </w:pPr>
    </w:p>
    <w:p w14:paraId="16BAA878">
      <w:pPr>
        <w:rPr>
          <w:b/>
          <w:szCs w:val="21"/>
        </w:rPr>
      </w:pPr>
    </w:p>
    <w:p w14:paraId="4EF03B86">
      <w:pPr>
        <w:rPr>
          <w:b/>
          <w:szCs w:val="21"/>
        </w:rPr>
      </w:pPr>
    </w:p>
    <w:p w14:paraId="246FD323">
      <w:pPr>
        <w:rPr>
          <w:b/>
          <w:szCs w:val="21"/>
        </w:rPr>
      </w:pPr>
    </w:p>
    <w:p w14:paraId="0DCBE361">
      <w:pPr>
        <w:rPr>
          <w:b/>
          <w:szCs w:val="21"/>
        </w:rPr>
      </w:pPr>
    </w:p>
    <w:p w14:paraId="3D9187A8">
      <w:pPr>
        <w:rPr>
          <w:b/>
          <w:szCs w:val="21"/>
        </w:rPr>
      </w:pPr>
    </w:p>
    <w:p w14:paraId="7CF61065">
      <w:pPr>
        <w:rPr>
          <w:b/>
          <w:szCs w:val="21"/>
        </w:rPr>
      </w:pPr>
    </w:p>
    <w:p w14:paraId="03280A5E">
      <w:pPr>
        <w:rPr>
          <w:b/>
          <w:szCs w:val="21"/>
        </w:rPr>
      </w:pPr>
    </w:p>
    <w:p w14:paraId="35E0F83A">
      <w:pPr>
        <w:rPr>
          <w:b/>
          <w:szCs w:val="21"/>
        </w:rPr>
      </w:pPr>
    </w:p>
    <w:p w14:paraId="1C79F77C">
      <w:pPr>
        <w:rPr>
          <w:b/>
          <w:szCs w:val="21"/>
        </w:rPr>
      </w:pPr>
    </w:p>
    <w:p w14:paraId="156D8E75">
      <w:pPr>
        <w:pStyle w:val="4"/>
        <w:tabs>
          <w:tab w:val="left" w:pos="371"/>
        </w:tabs>
        <w:spacing w:before="120" w:after="120"/>
        <w:ind w:left="-1" w:leftChars="-1" w:hanging="1"/>
        <w:jc w:val="center"/>
        <w:rPr>
          <w:rFonts w:asciiTheme="minorEastAsia" w:hAnsiTheme="minorEastAsia" w:eastAsiaTheme="minorEastAsia"/>
        </w:rPr>
      </w:pPr>
      <w:bookmarkStart w:id="75" w:name="_Toc135293350"/>
    </w:p>
    <w:p w14:paraId="163B4884">
      <w:pPr>
        <w:pStyle w:val="4"/>
        <w:tabs>
          <w:tab w:val="left" w:pos="371"/>
        </w:tabs>
        <w:spacing w:before="120" w:after="120"/>
        <w:ind w:left="-1" w:leftChars="-1" w:hanging="1"/>
        <w:jc w:val="center"/>
        <w:rPr>
          <w:rFonts w:asciiTheme="minorEastAsia" w:hAnsiTheme="minorEastAsia" w:eastAsiaTheme="minorEastAsia"/>
        </w:rPr>
      </w:pPr>
      <w:bookmarkStart w:id="76" w:name="_Toc7193"/>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5"/>
      <w:bookmarkEnd w:id="76"/>
    </w:p>
    <w:p w14:paraId="3C9A0213"/>
    <w:p w14:paraId="028C4CD4">
      <w:pPr>
        <w:jc w:val="center"/>
      </w:pPr>
      <w:r>
        <w:t>货物交付进度表</w:t>
      </w:r>
    </w:p>
    <w:p w14:paraId="7CA223E1"/>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2610D6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026A0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5A3CB5B">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01855D71">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58F364BE">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2DA7A386">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52EE390B">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1A9C9CB1">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F385B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7A6E9232">
            <w:pPr>
              <w:autoSpaceDE w:val="0"/>
              <w:autoSpaceDN w:val="0"/>
              <w:adjustRightInd w:val="0"/>
              <w:spacing w:before="120" w:after="120" w:line="240" w:lineRule="atLeast"/>
              <w:ind w:left="28" w:right="28"/>
              <w:jc w:val="center"/>
              <w:rPr>
                <w:kern w:val="0"/>
                <w:sz w:val="18"/>
                <w:szCs w:val="22"/>
              </w:rPr>
            </w:pPr>
          </w:p>
        </w:tc>
        <w:tc>
          <w:tcPr>
            <w:tcW w:w="2520" w:type="dxa"/>
          </w:tcPr>
          <w:p w14:paraId="48016A9C">
            <w:pPr>
              <w:autoSpaceDE w:val="0"/>
              <w:autoSpaceDN w:val="0"/>
              <w:adjustRightInd w:val="0"/>
              <w:spacing w:before="120" w:after="120" w:line="240" w:lineRule="atLeast"/>
              <w:ind w:left="15" w:right="28"/>
              <w:jc w:val="center"/>
              <w:rPr>
                <w:kern w:val="0"/>
                <w:sz w:val="18"/>
                <w:szCs w:val="22"/>
              </w:rPr>
            </w:pPr>
          </w:p>
        </w:tc>
        <w:tc>
          <w:tcPr>
            <w:tcW w:w="735" w:type="dxa"/>
          </w:tcPr>
          <w:p w14:paraId="20F462B5">
            <w:pPr>
              <w:autoSpaceDE w:val="0"/>
              <w:autoSpaceDN w:val="0"/>
              <w:adjustRightInd w:val="0"/>
              <w:spacing w:before="120" w:after="120" w:line="240" w:lineRule="atLeast"/>
              <w:ind w:left="15" w:right="28"/>
              <w:jc w:val="center"/>
              <w:rPr>
                <w:kern w:val="0"/>
                <w:sz w:val="18"/>
                <w:szCs w:val="22"/>
              </w:rPr>
            </w:pPr>
          </w:p>
        </w:tc>
        <w:tc>
          <w:tcPr>
            <w:tcW w:w="735" w:type="dxa"/>
          </w:tcPr>
          <w:p w14:paraId="05A56732">
            <w:pPr>
              <w:autoSpaceDE w:val="0"/>
              <w:autoSpaceDN w:val="0"/>
              <w:adjustRightInd w:val="0"/>
              <w:spacing w:before="120" w:after="120" w:line="240" w:lineRule="atLeast"/>
              <w:ind w:left="15" w:right="28"/>
              <w:jc w:val="center"/>
              <w:rPr>
                <w:kern w:val="0"/>
                <w:sz w:val="18"/>
                <w:szCs w:val="22"/>
              </w:rPr>
            </w:pPr>
          </w:p>
        </w:tc>
        <w:tc>
          <w:tcPr>
            <w:tcW w:w="1500" w:type="dxa"/>
          </w:tcPr>
          <w:p w14:paraId="7D349497">
            <w:pPr>
              <w:autoSpaceDE w:val="0"/>
              <w:autoSpaceDN w:val="0"/>
              <w:adjustRightInd w:val="0"/>
              <w:spacing w:before="120" w:after="120" w:line="240" w:lineRule="atLeast"/>
              <w:ind w:left="15" w:right="28"/>
              <w:jc w:val="center"/>
              <w:rPr>
                <w:kern w:val="0"/>
                <w:sz w:val="18"/>
                <w:szCs w:val="22"/>
              </w:rPr>
            </w:pPr>
          </w:p>
        </w:tc>
        <w:tc>
          <w:tcPr>
            <w:tcW w:w="1530" w:type="dxa"/>
          </w:tcPr>
          <w:p w14:paraId="638084A2">
            <w:pPr>
              <w:autoSpaceDE w:val="0"/>
              <w:autoSpaceDN w:val="0"/>
              <w:adjustRightInd w:val="0"/>
              <w:spacing w:before="120" w:after="120" w:line="240" w:lineRule="atLeast"/>
              <w:ind w:left="15" w:right="28"/>
              <w:jc w:val="center"/>
              <w:rPr>
                <w:kern w:val="0"/>
                <w:sz w:val="18"/>
                <w:szCs w:val="22"/>
              </w:rPr>
            </w:pPr>
          </w:p>
        </w:tc>
        <w:tc>
          <w:tcPr>
            <w:tcW w:w="1530" w:type="dxa"/>
          </w:tcPr>
          <w:p w14:paraId="0C64093D">
            <w:pPr>
              <w:autoSpaceDE w:val="0"/>
              <w:autoSpaceDN w:val="0"/>
              <w:adjustRightInd w:val="0"/>
              <w:spacing w:before="120" w:after="120" w:line="240" w:lineRule="atLeast"/>
              <w:ind w:left="15" w:right="28"/>
              <w:jc w:val="center"/>
              <w:rPr>
                <w:kern w:val="0"/>
                <w:sz w:val="18"/>
                <w:szCs w:val="22"/>
              </w:rPr>
            </w:pPr>
          </w:p>
        </w:tc>
      </w:tr>
      <w:tr w14:paraId="00EDE6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73A31765">
            <w:pPr>
              <w:autoSpaceDE w:val="0"/>
              <w:autoSpaceDN w:val="0"/>
              <w:adjustRightInd w:val="0"/>
              <w:spacing w:before="120" w:after="120" w:line="240" w:lineRule="atLeast"/>
              <w:ind w:left="28" w:right="28"/>
              <w:jc w:val="center"/>
              <w:rPr>
                <w:kern w:val="0"/>
                <w:sz w:val="18"/>
                <w:szCs w:val="22"/>
              </w:rPr>
            </w:pPr>
          </w:p>
        </w:tc>
        <w:tc>
          <w:tcPr>
            <w:tcW w:w="2520" w:type="dxa"/>
          </w:tcPr>
          <w:p w14:paraId="02BDDE94">
            <w:pPr>
              <w:autoSpaceDE w:val="0"/>
              <w:autoSpaceDN w:val="0"/>
              <w:adjustRightInd w:val="0"/>
              <w:spacing w:before="120" w:after="120" w:line="240" w:lineRule="atLeast"/>
              <w:ind w:left="15" w:right="28"/>
              <w:jc w:val="center"/>
              <w:rPr>
                <w:kern w:val="0"/>
                <w:sz w:val="18"/>
                <w:szCs w:val="22"/>
              </w:rPr>
            </w:pPr>
          </w:p>
        </w:tc>
        <w:tc>
          <w:tcPr>
            <w:tcW w:w="735" w:type="dxa"/>
          </w:tcPr>
          <w:p w14:paraId="1891ACA2">
            <w:pPr>
              <w:autoSpaceDE w:val="0"/>
              <w:autoSpaceDN w:val="0"/>
              <w:adjustRightInd w:val="0"/>
              <w:spacing w:before="120" w:after="120" w:line="240" w:lineRule="atLeast"/>
              <w:ind w:left="15" w:right="28"/>
              <w:jc w:val="center"/>
              <w:rPr>
                <w:kern w:val="0"/>
                <w:sz w:val="18"/>
                <w:szCs w:val="22"/>
              </w:rPr>
            </w:pPr>
          </w:p>
        </w:tc>
        <w:tc>
          <w:tcPr>
            <w:tcW w:w="735" w:type="dxa"/>
          </w:tcPr>
          <w:p w14:paraId="14EAE782">
            <w:pPr>
              <w:autoSpaceDE w:val="0"/>
              <w:autoSpaceDN w:val="0"/>
              <w:adjustRightInd w:val="0"/>
              <w:spacing w:before="120" w:after="120" w:line="240" w:lineRule="atLeast"/>
              <w:ind w:left="15" w:right="28"/>
              <w:jc w:val="center"/>
              <w:rPr>
                <w:kern w:val="0"/>
                <w:sz w:val="18"/>
                <w:szCs w:val="22"/>
              </w:rPr>
            </w:pPr>
          </w:p>
        </w:tc>
        <w:tc>
          <w:tcPr>
            <w:tcW w:w="1500" w:type="dxa"/>
          </w:tcPr>
          <w:p w14:paraId="32369F42">
            <w:pPr>
              <w:autoSpaceDE w:val="0"/>
              <w:autoSpaceDN w:val="0"/>
              <w:adjustRightInd w:val="0"/>
              <w:spacing w:before="120" w:after="120" w:line="240" w:lineRule="atLeast"/>
              <w:ind w:left="15" w:right="28"/>
              <w:jc w:val="center"/>
              <w:rPr>
                <w:kern w:val="0"/>
                <w:sz w:val="18"/>
                <w:szCs w:val="22"/>
              </w:rPr>
            </w:pPr>
          </w:p>
        </w:tc>
        <w:tc>
          <w:tcPr>
            <w:tcW w:w="1530" w:type="dxa"/>
          </w:tcPr>
          <w:p w14:paraId="012E29B4">
            <w:pPr>
              <w:autoSpaceDE w:val="0"/>
              <w:autoSpaceDN w:val="0"/>
              <w:adjustRightInd w:val="0"/>
              <w:spacing w:before="120" w:after="120" w:line="240" w:lineRule="atLeast"/>
              <w:ind w:left="15" w:right="28"/>
              <w:jc w:val="center"/>
              <w:rPr>
                <w:kern w:val="0"/>
                <w:sz w:val="18"/>
                <w:szCs w:val="22"/>
              </w:rPr>
            </w:pPr>
          </w:p>
        </w:tc>
        <w:tc>
          <w:tcPr>
            <w:tcW w:w="1530" w:type="dxa"/>
          </w:tcPr>
          <w:p w14:paraId="20041D6A">
            <w:pPr>
              <w:autoSpaceDE w:val="0"/>
              <w:autoSpaceDN w:val="0"/>
              <w:adjustRightInd w:val="0"/>
              <w:spacing w:before="120" w:after="120" w:line="240" w:lineRule="atLeast"/>
              <w:ind w:left="15" w:right="28"/>
              <w:jc w:val="center"/>
              <w:rPr>
                <w:kern w:val="0"/>
                <w:sz w:val="18"/>
                <w:szCs w:val="22"/>
              </w:rPr>
            </w:pPr>
          </w:p>
        </w:tc>
      </w:tr>
    </w:tbl>
    <w:p w14:paraId="71AC8BF9"/>
    <w:p w14:paraId="16027B5B"/>
    <w:p w14:paraId="63C04628">
      <w:pPr>
        <w:jc w:val="center"/>
      </w:pPr>
    </w:p>
    <w:p w14:paraId="59809276">
      <w:pPr>
        <w:adjustRightInd w:val="0"/>
        <w:snapToGrid w:val="0"/>
        <w:spacing w:line="300" w:lineRule="auto"/>
        <w:rPr>
          <w:snapToGrid w:val="0"/>
          <w:kern w:val="0"/>
        </w:rPr>
      </w:pPr>
    </w:p>
    <w:p w14:paraId="4647A241">
      <w:pPr>
        <w:adjustRightInd w:val="0"/>
        <w:snapToGrid w:val="0"/>
        <w:spacing w:line="300" w:lineRule="auto"/>
        <w:rPr>
          <w:snapToGrid w:val="0"/>
          <w:kern w:val="0"/>
        </w:rPr>
      </w:pPr>
    </w:p>
    <w:p w14:paraId="33D7D57B">
      <w:pPr>
        <w:adjustRightInd w:val="0"/>
        <w:snapToGrid w:val="0"/>
        <w:spacing w:line="300" w:lineRule="auto"/>
        <w:rPr>
          <w:snapToGrid w:val="0"/>
          <w:kern w:val="0"/>
        </w:rPr>
      </w:pPr>
    </w:p>
    <w:p w14:paraId="2BE654D2">
      <w:pPr>
        <w:adjustRightInd w:val="0"/>
        <w:snapToGrid w:val="0"/>
        <w:spacing w:line="300" w:lineRule="auto"/>
        <w:rPr>
          <w:snapToGrid w:val="0"/>
          <w:kern w:val="0"/>
        </w:rPr>
      </w:pPr>
      <w:r>
        <w:rPr>
          <w:rFonts w:hint="eastAsia"/>
          <w:snapToGrid w:val="0"/>
          <w:kern w:val="0"/>
        </w:rPr>
        <w:t>投标单位：（盖章）</w:t>
      </w:r>
    </w:p>
    <w:p w14:paraId="2E10E27E">
      <w:pPr>
        <w:adjustRightInd w:val="0"/>
        <w:snapToGrid w:val="0"/>
        <w:spacing w:line="300" w:lineRule="auto"/>
        <w:rPr>
          <w:snapToGrid w:val="0"/>
          <w:kern w:val="0"/>
        </w:rPr>
      </w:pPr>
    </w:p>
    <w:p w14:paraId="3F288891">
      <w:pPr>
        <w:adjustRightInd w:val="0"/>
        <w:snapToGrid w:val="0"/>
        <w:spacing w:line="300" w:lineRule="auto"/>
        <w:rPr>
          <w:snapToGrid w:val="0"/>
          <w:kern w:val="0"/>
        </w:rPr>
      </w:pPr>
    </w:p>
    <w:p w14:paraId="75B1FE36">
      <w:pPr>
        <w:adjustRightInd w:val="0"/>
        <w:snapToGrid w:val="0"/>
        <w:spacing w:line="300" w:lineRule="auto"/>
        <w:rPr>
          <w:snapToGrid w:val="0"/>
          <w:kern w:val="0"/>
        </w:rPr>
      </w:pPr>
      <w:r>
        <w:rPr>
          <w:rFonts w:hint="eastAsia"/>
          <w:snapToGrid w:val="0"/>
          <w:kern w:val="0"/>
        </w:rPr>
        <w:t>法定代表人或其授权代表：（签字）</w:t>
      </w:r>
    </w:p>
    <w:p w14:paraId="071C23FD">
      <w:pPr>
        <w:adjustRightInd w:val="0"/>
        <w:snapToGrid w:val="0"/>
        <w:spacing w:line="300" w:lineRule="auto"/>
        <w:ind w:right="420"/>
        <w:rPr>
          <w:snapToGrid w:val="0"/>
          <w:kern w:val="0"/>
        </w:rPr>
      </w:pPr>
    </w:p>
    <w:p w14:paraId="68872159">
      <w:pPr>
        <w:adjustRightInd w:val="0"/>
        <w:snapToGrid w:val="0"/>
        <w:spacing w:line="300" w:lineRule="auto"/>
        <w:ind w:right="420"/>
        <w:rPr>
          <w:snapToGrid w:val="0"/>
          <w:kern w:val="0"/>
        </w:rPr>
      </w:pPr>
    </w:p>
    <w:p w14:paraId="1D286B7F">
      <w:pPr>
        <w:adjustRightInd w:val="0"/>
        <w:snapToGrid w:val="0"/>
        <w:spacing w:line="300" w:lineRule="auto"/>
        <w:ind w:right="420"/>
        <w:rPr>
          <w:snapToGrid w:val="0"/>
          <w:kern w:val="0"/>
        </w:rPr>
      </w:pPr>
    </w:p>
    <w:p w14:paraId="5D8C044D">
      <w:pPr>
        <w:adjustRightInd w:val="0"/>
        <w:snapToGrid w:val="0"/>
        <w:spacing w:line="300" w:lineRule="auto"/>
        <w:ind w:right="420" w:firstLine="6195" w:firstLineChars="2950"/>
        <w:rPr>
          <w:snapToGrid w:val="0"/>
          <w:kern w:val="0"/>
        </w:rPr>
      </w:pPr>
      <w:r>
        <w:rPr>
          <w:rFonts w:hint="eastAsia"/>
          <w:snapToGrid w:val="0"/>
          <w:kern w:val="0"/>
        </w:rPr>
        <w:t>年       月      日</w:t>
      </w:r>
    </w:p>
    <w:p w14:paraId="07A8DD89">
      <w:pPr>
        <w:rPr>
          <w:rFonts w:ascii="宋体" w:hAnsi="宋体"/>
          <w:sz w:val="28"/>
        </w:rPr>
      </w:pPr>
    </w:p>
    <w:p w14:paraId="5978F524"/>
    <w:p w14:paraId="59E65ED9"/>
    <w:p w14:paraId="6D797F6C"/>
    <w:p w14:paraId="2628E02F"/>
    <w:p w14:paraId="53CFA801"/>
    <w:p w14:paraId="7EF7EFC5"/>
    <w:p w14:paraId="0B3E166F"/>
    <w:p w14:paraId="1F472A10">
      <w:pPr>
        <w:tabs>
          <w:tab w:val="left" w:pos="371"/>
        </w:tabs>
        <w:spacing w:before="120" w:after="120"/>
        <w:ind w:left="-1" w:leftChars="-1" w:hanging="1"/>
        <w:jc w:val="center"/>
      </w:pPr>
      <w:bookmarkStart w:id="77" w:name="_Toc44690709"/>
      <w:bookmarkStart w:id="78" w:name="_Toc44691400"/>
      <w:bookmarkStart w:id="79" w:name="_Toc44691168"/>
      <w:bookmarkStart w:id="80" w:name="_Toc44690436"/>
    </w:p>
    <w:p w14:paraId="6CCF6E0C">
      <w:pPr>
        <w:tabs>
          <w:tab w:val="left" w:pos="371"/>
        </w:tabs>
        <w:spacing w:before="120" w:after="120"/>
        <w:ind w:left="-1" w:leftChars="-1" w:hanging="1"/>
        <w:jc w:val="center"/>
      </w:pPr>
    </w:p>
    <w:p w14:paraId="30271AF2">
      <w:pPr>
        <w:tabs>
          <w:tab w:val="left" w:pos="371"/>
        </w:tabs>
        <w:spacing w:before="120" w:after="120"/>
        <w:ind w:left="-1" w:leftChars="-1" w:hanging="1"/>
        <w:jc w:val="center"/>
      </w:pPr>
    </w:p>
    <w:p w14:paraId="6FCDB698">
      <w:pPr>
        <w:tabs>
          <w:tab w:val="left" w:pos="371"/>
        </w:tabs>
        <w:spacing w:before="120" w:after="120"/>
        <w:ind w:left="-1" w:leftChars="-1" w:hanging="1"/>
        <w:jc w:val="center"/>
      </w:pPr>
    </w:p>
    <w:p w14:paraId="61D1B141">
      <w:pPr>
        <w:tabs>
          <w:tab w:val="left" w:pos="371"/>
        </w:tabs>
        <w:spacing w:before="120" w:after="120"/>
        <w:ind w:left="-1" w:leftChars="-1" w:hanging="1"/>
        <w:jc w:val="center"/>
      </w:pPr>
    </w:p>
    <w:p w14:paraId="03C02CE4">
      <w:pPr>
        <w:tabs>
          <w:tab w:val="left" w:pos="371"/>
        </w:tabs>
        <w:spacing w:before="120" w:after="120"/>
        <w:ind w:left="-1" w:leftChars="-1" w:hanging="1"/>
        <w:jc w:val="center"/>
      </w:pPr>
    </w:p>
    <w:p w14:paraId="391029D8">
      <w:pPr>
        <w:tabs>
          <w:tab w:val="left" w:pos="371"/>
        </w:tabs>
        <w:spacing w:before="120" w:after="120"/>
        <w:ind w:left="-1" w:leftChars="-1" w:hanging="1"/>
        <w:jc w:val="center"/>
        <w:rPr>
          <w:rFonts w:asciiTheme="minorEastAsia" w:hAnsiTheme="minorEastAsia" w:eastAsiaTheme="minorEastAsia"/>
          <w:sz w:val="24"/>
        </w:rPr>
      </w:pPr>
    </w:p>
    <w:p w14:paraId="01570735">
      <w:pPr>
        <w:pStyle w:val="4"/>
        <w:tabs>
          <w:tab w:val="left" w:pos="371"/>
        </w:tabs>
        <w:spacing w:before="120" w:after="120"/>
        <w:ind w:left="-1" w:leftChars="-1" w:hanging="1"/>
        <w:jc w:val="center"/>
        <w:rPr>
          <w:rFonts w:asciiTheme="minorEastAsia" w:hAnsiTheme="minorEastAsia" w:eastAsiaTheme="minorEastAsia"/>
        </w:rPr>
      </w:pPr>
      <w:bookmarkStart w:id="81" w:name="_Toc12182"/>
      <w:bookmarkStart w:id="82" w:name="_Toc135293351"/>
      <w:r>
        <w:rPr>
          <w:rFonts w:hint="eastAsia" w:asciiTheme="minorEastAsia" w:hAnsiTheme="minorEastAsia" w:eastAsiaTheme="minorEastAsia"/>
        </w:rPr>
        <w:t>格式9  售后服务和质量承诺</w:t>
      </w:r>
      <w:bookmarkEnd w:id="77"/>
      <w:bookmarkEnd w:id="78"/>
      <w:bookmarkEnd w:id="79"/>
      <w:bookmarkEnd w:id="80"/>
      <w:bookmarkEnd w:id="81"/>
      <w:bookmarkEnd w:id="82"/>
    </w:p>
    <w:p w14:paraId="6B0141C1">
      <w:pPr>
        <w:adjustRightInd w:val="0"/>
        <w:snapToGrid w:val="0"/>
        <w:spacing w:line="360" w:lineRule="auto"/>
        <w:rPr>
          <w:rFonts w:ascii="宋体" w:hAnsi="宋体"/>
        </w:rPr>
      </w:pPr>
    </w:p>
    <w:p w14:paraId="653E0DC0">
      <w:pPr>
        <w:adjustRightInd w:val="0"/>
        <w:snapToGrid w:val="0"/>
        <w:spacing w:line="360" w:lineRule="auto"/>
        <w:rPr>
          <w:rFonts w:ascii="宋体" w:hAnsi="宋体"/>
        </w:rPr>
      </w:pPr>
      <w:r>
        <w:rPr>
          <w:rFonts w:hint="eastAsia" w:ascii="宋体" w:hAnsi="宋体"/>
        </w:rPr>
        <w:t>售后服务方案：</w:t>
      </w:r>
    </w:p>
    <w:p w14:paraId="772A2472">
      <w:pPr>
        <w:widowControl/>
        <w:spacing w:line="360" w:lineRule="auto"/>
        <w:rPr>
          <w:rFonts w:ascii="宋体" w:hAnsi="宋体" w:cs="仿宋"/>
          <w:szCs w:val="21"/>
        </w:rPr>
      </w:pPr>
      <w:r>
        <w:rPr>
          <w:rFonts w:hint="eastAsia" w:ascii="宋体" w:hAnsi="宋体" w:cs="仿宋"/>
          <w:szCs w:val="21"/>
        </w:rPr>
        <w:t>1、售后服务机构及维护人员配置；</w:t>
      </w:r>
    </w:p>
    <w:p w14:paraId="26265673">
      <w:pPr>
        <w:widowControl/>
        <w:spacing w:line="360" w:lineRule="auto"/>
        <w:rPr>
          <w:rFonts w:ascii="宋体" w:hAnsi="宋体" w:cs="仿宋"/>
          <w:szCs w:val="21"/>
        </w:rPr>
      </w:pPr>
      <w:r>
        <w:rPr>
          <w:rFonts w:hint="eastAsia" w:ascii="宋体" w:hAnsi="宋体" w:cs="仿宋"/>
          <w:szCs w:val="21"/>
        </w:rPr>
        <w:t>2、</w:t>
      </w:r>
      <w:r>
        <w:rPr>
          <w:rFonts w:hint="eastAsia"/>
        </w:rPr>
        <w:t>故障响应时间</w:t>
      </w:r>
      <w:r>
        <w:rPr>
          <w:rFonts w:hint="eastAsia" w:ascii="宋体" w:hAnsi="宋体" w:cs="仿宋"/>
          <w:szCs w:val="21"/>
        </w:rPr>
        <w:t>；</w:t>
      </w:r>
    </w:p>
    <w:p w14:paraId="3925B2FA">
      <w:pPr>
        <w:adjustRightInd w:val="0"/>
        <w:snapToGrid w:val="0"/>
        <w:spacing w:line="360" w:lineRule="auto"/>
        <w:rPr>
          <w:rFonts w:ascii="宋体" w:hAnsi="宋体"/>
        </w:rPr>
      </w:pPr>
      <w:r>
        <w:rPr>
          <w:rFonts w:hint="eastAsia" w:ascii="宋体" w:hAnsi="宋体" w:cs="仿宋"/>
          <w:szCs w:val="21"/>
        </w:rPr>
        <w:t>3、技术培训及</w:t>
      </w:r>
      <w:r>
        <w:rPr>
          <w:rFonts w:hint="eastAsia" w:ascii="宋体" w:hAnsi="宋体"/>
          <w:szCs w:val="21"/>
        </w:rPr>
        <w:t>备品备件</w:t>
      </w:r>
      <w:r>
        <w:rPr>
          <w:rFonts w:hint="eastAsia" w:ascii="宋体" w:hAnsi="宋体"/>
        </w:rPr>
        <w:t>支持计划</w:t>
      </w:r>
    </w:p>
    <w:p w14:paraId="3B3D7F47">
      <w:pPr>
        <w:adjustRightInd w:val="0"/>
        <w:snapToGrid w:val="0"/>
        <w:spacing w:line="360" w:lineRule="auto"/>
        <w:rPr>
          <w:rFonts w:ascii="宋体" w:hAnsi="宋体"/>
          <w:bCs/>
        </w:rPr>
      </w:pPr>
      <w:r>
        <w:rPr>
          <w:rFonts w:hint="eastAsia" w:ascii="宋体" w:hAnsi="宋体"/>
          <w:bCs/>
        </w:rPr>
        <w:t>4、其它</w:t>
      </w:r>
    </w:p>
    <w:p w14:paraId="471ECE6D">
      <w:pPr>
        <w:adjustRightInd w:val="0"/>
        <w:snapToGrid w:val="0"/>
        <w:spacing w:line="300" w:lineRule="auto"/>
        <w:jc w:val="right"/>
        <w:rPr>
          <w:snapToGrid w:val="0"/>
          <w:kern w:val="0"/>
        </w:rPr>
      </w:pPr>
    </w:p>
    <w:p w14:paraId="6C6B2A71">
      <w:pPr>
        <w:adjustRightInd w:val="0"/>
        <w:snapToGrid w:val="0"/>
        <w:spacing w:line="300" w:lineRule="auto"/>
        <w:jc w:val="right"/>
        <w:rPr>
          <w:snapToGrid w:val="0"/>
          <w:kern w:val="0"/>
        </w:rPr>
      </w:pPr>
    </w:p>
    <w:p w14:paraId="7BFDAD8F">
      <w:pPr>
        <w:adjustRightInd w:val="0"/>
        <w:snapToGrid w:val="0"/>
        <w:spacing w:line="300" w:lineRule="auto"/>
        <w:jc w:val="right"/>
        <w:rPr>
          <w:snapToGrid w:val="0"/>
          <w:kern w:val="0"/>
        </w:rPr>
      </w:pPr>
    </w:p>
    <w:p w14:paraId="5FB5AF58">
      <w:pPr>
        <w:adjustRightInd w:val="0"/>
        <w:snapToGrid w:val="0"/>
        <w:spacing w:line="300" w:lineRule="auto"/>
        <w:jc w:val="right"/>
        <w:rPr>
          <w:snapToGrid w:val="0"/>
          <w:kern w:val="0"/>
        </w:rPr>
      </w:pPr>
    </w:p>
    <w:p w14:paraId="606AE81D">
      <w:pPr>
        <w:adjustRightInd w:val="0"/>
        <w:snapToGrid w:val="0"/>
        <w:spacing w:line="300" w:lineRule="auto"/>
        <w:jc w:val="right"/>
        <w:rPr>
          <w:snapToGrid w:val="0"/>
          <w:kern w:val="0"/>
        </w:rPr>
      </w:pPr>
    </w:p>
    <w:p w14:paraId="3A7602C4">
      <w:pPr>
        <w:adjustRightInd w:val="0"/>
        <w:snapToGrid w:val="0"/>
        <w:spacing w:line="300" w:lineRule="auto"/>
        <w:jc w:val="right"/>
        <w:rPr>
          <w:snapToGrid w:val="0"/>
          <w:kern w:val="0"/>
        </w:rPr>
      </w:pPr>
    </w:p>
    <w:p w14:paraId="691533EB">
      <w:pPr>
        <w:adjustRightInd w:val="0"/>
        <w:snapToGrid w:val="0"/>
        <w:spacing w:line="300" w:lineRule="auto"/>
        <w:jc w:val="right"/>
        <w:rPr>
          <w:snapToGrid w:val="0"/>
          <w:kern w:val="0"/>
        </w:rPr>
      </w:pPr>
    </w:p>
    <w:p w14:paraId="4CC8F671">
      <w:pPr>
        <w:adjustRightInd w:val="0"/>
        <w:snapToGrid w:val="0"/>
        <w:spacing w:line="300" w:lineRule="auto"/>
        <w:jc w:val="right"/>
        <w:rPr>
          <w:snapToGrid w:val="0"/>
          <w:kern w:val="0"/>
        </w:rPr>
      </w:pPr>
    </w:p>
    <w:p w14:paraId="42628D99">
      <w:pPr>
        <w:adjustRightInd w:val="0"/>
        <w:snapToGrid w:val="0"/>
        <w:spacing w:line="300" w:lineRule="auto"/>
        <w:jc w:val="right"/>
        <w:rPr>
          <w:snapToGrid w:val="0"/>
          <w:kern w:val="0"/>
        </w:rPr>
      </w:pPr>
    </w:p>
    <w:p w14:paraId="25D4C499">
      <w:pPr>
        <w:adjustRightInd w:val="0"/>
        <w:snapToGrid w:val="0"/>
        <w:spacing w:line="300" w:lineRule="auto"/>
        <w:jc w:val="right"/>
        <w:rPr>
          <w:snapToGrid w:val="0"/>
          <w:kern w:val="0"/>
        </w:rPr>
      </w:pPr>
    </w:p>
    <w:p w14:paraId="7FBDAF31">
      <w:pPr>
        <w:adjustRightInd w:val="0"/>
        <w:snapToGrid w:val="0"/>
        <w:spacing w:line="300" w:lineRule="auto"/>
        <w:jc w:val="right"/>
        <w:rPr>
          <w:snapToGrid w:val="0"/>
          <w:kern w:val="0"/>
        </w:rPr>
      </w:pPr>
    </w:p>
    <w:p w14:paraId="65EBE709">
      <w:pPr>
        <w:adjustRightInd w:val="0"/>
        <w:snapToGrid w:val="0"/>
        <w:spacing w:line="300" w:lineRule="auto"/>
        <w:jc w:val="right"/>
        <w:rPr>
          <w:snapToGrid w:val="0"/>
          <w:kern w:val="0"/>
        </w:rPr>
      </w:pPr>
    </w:p>
    <w:p w14:paraId="0D387F8E">
      <w:pPr>
        <w:tabs>
          <w:tab w:val="left" w:pos="1200"/>
        </w:tabs>
        <w:adjustRightInd w:val="0"/>
        <w:snapToGrid w:val="0"/>
        <w:spacing w:line="300" w:lineRule="auto"/>
        <w:rPr>
          <w:snapToGrid w:val="0"/>
          <w:kern w:val="0"/>
        </w:rPr>
      </w:pPr>
    </w:p>
    <w:p w14:paraId="263DBCEB">
      <w:pPr>
        <w:tabs>
          <w:tab w:val="left" w:pos="1200"/>
        </w:tabs>
        <w:adjustRightInd w:val="0"/>
        <w:snapToGrid w:val="0"/>
        <w:spacing w:line="300" w:lineRule="auto"/>
        <w:rPr>
          <w:snapToGrid w:val="0"/>
          <w:kern w:val="0"/>
        </w:rPr>
      </w:pPr>
    </w:p>
    <w:p w14:paraId="6843EC4B">
      <w:pPr>
        <w:tabs>
          <w:tab w:val="left" w:pos="1200"/>
        </w:tabs>
        <w:adjustRightInd w:val="0"/>
        <w:snapToGrid w:val="0"/>
        <w:spacing w:line="300" w:lineRule="auto"/>
        <w:rPr>
          <w:snapToGrid w:val="0"/>
          <w:kern w:val="0"/>
        </w:rPr>
      </w:pPr>
    </w:p>
    <w:p w14:paraId="62D32985">
      <w:pPr>
        <w:tabs>
          <w:tab w:val="left" w:pos="1200"/>
        </w:tabs>
        <w:adjustRightInd w:val="0"/>
        <w:snapToGrid w:val="0"/>
        <w:spacing w:line="300" w:lineRule="auto"/>
        <w:rPr>
          <w:snapToGrid w:val="0"/>
          <w:kern w:val="0"/>
        </w:rPr>
      </w:pPr>
    </w:p>
    <w:p w14:paraId="7B7BDCE3">
      <w:pPr>
        <w:tabs>
          <w:tab w:val="left" w:pos="1200"/>
        </w:tabs>
        <w:adjustRightInd w:val="0"/>
        <w:snapToGrid w:val="0"/>
        <w:spacing w:line="300" w:lineRule="auto"/>
        <w:rPr>
          <w:snapToGrid w:val="0"/>
          <w:kern w:val="0"/>
        </w:rPr>
      </w:pPr>
    </w:p>
    <w:p w14:paraId="19B3E7EA">
      <w:pPr>
        <w:tabs>
          <w:tab w:val="left" w:pos="1200"/>
        </w:tabs>
        <w:adjustRightInd w:val="0"/>
        <w:snapToGrid w:val="0"/>
        <w:spacing w:line="300" w:lineRule="auto"/>
        <w:rPr>
          <w:snapToGrid w:val="0"/>
          <w:kern w:val="0"/>
        </w:rPr>
      </w:pPr>
    </w:p>
    <w:p w14:paraId="0F0CB454">
      <w:pPr>
        <w:tabs>
          <w:tab w:val="left" w:pos="1200"/>
        </w:tabs>
        <w:adjustRightInd w:val="0"/>
        <w:snapToGrid w:val="0"/>
        <w:spacing w:line="300" w:lineRule="auto"/>
        <w:rPr>
          <w:snapToGrid w:val="0"/>
          <w:kern w:val="0"/>
        </w:rPr>
      </w:pPr>
    </w:p>
    <w:p w14:paraId="3776696B">
      <w:pPr>
        <w:tabs>
          <w:tab w:val="left" w:pos="1200"/>
        </w:tabs>
        <w:adjustRightInd w:val="0"/>
        <w:snapToGrid w:val="0"/>
        <w:spacing w:line="300" w:lineRule="auto"/>
        <w:rPr>
          <w:snapToGrid w:val="0"/>
          <w:kern w:val="0"/>
        </w:rPr>
      </w:pPr>
    </w:p>
    <w:p w14:paraId="620B3558">
      <w:pPr>
        <w:tabs>
          <w:tab w:val="left" w:pos="1200"/>
        </w:tabs>
        <w:adjustRightInd w:val="0"/>
        <w:snapToGrid w:val="0"/>
        <w:spacing w:line="300" w:lineRule="auto"/>
        <w:rPr>
          <w:snapToGrid w:val="0"/>
          <w:kern w:val="0"/>
        </w:rPr>
      </w:pPr>
    </w:p>
    <w:p w14:paraId="5455117C">
      <w:pPr>
        <w:tabs>
          <w:tab w:val="left" w:pos="1200"/>
        </w:tabs>
        <w:adjustRightInd w:val="0"/>
        <w:snapToGrid w:val="0"/>
        <w:spacing w:line="300" w:lineRule="auto"/>
        <w:rPr>
          <w:snapToGrid w:val="0"/>
          <w:kern w:val="0"/>
        </w:rPr>
      </w:pPr>
    </w:p>
    <w:p w14:paraId="1D560B2A">
      <w:pPr>
        <w:tabs>
          <w:tab w:val="left" w:pos="1200"/>
        </w:tabs>
        <w:adjustRightInd w:val="0"/>
        <w:snapToGrid w:val="0"/>
        <w:spacing w:line="300" w:lineRule="auto"/>
        <w:rPr>
          <w:snapToGrid w:val="0"/>
          <w:kern w:val="0"/>
        </w:rPr>
      </w:pPr>
    </w:p>
    <w:p w14:paraId="3FC89643">
      <w:pPr>
        <w:tabs>
          <w:tab w:val="left" w:pos="1200"/>
        </w:tabs>
        <w:adjustRightInd w:val="0"/>
        <w:snapToGrid w:val="0"/>
        <w:spacing w:line="300" w:lineRule="auto"/>
        <w:rPr>
          <w:snapToGrid w:val="0"/>
          <w:kern w:val="0"/>
        </w:rPr>
      </w:pPr>
    </w:p>
    <w:p w14:paraId="7A2CBD6F">
      <w:pPr>
        <w:tabs>
          <w:tab w:val="left" w:pos="1200"/>
        </w:tabs>
        <w:adjustRightInd w:val="0"/>
        <w:snapToGrid w:val="0"/>
        <w:spacing w:line="300" w:lineRule="auto"/>
        <w:rPr>
          <w:snapToGrid w:val="0"/>
          <w:kern w:val="0"/>
        </w:rPr>
      </w:pPr>
    </w:p>
    <w:p w14:paraId="2BC0954B">
      <w:pPr>
        <w:tabs>
          <w:tab w:val="left" w:pos="1200"/>
        </w:tabs>
        <w:adjustRightInd w:val="0"/>
        <w:snapToGrid w:val="0"/>
        <w:spacing w:line="300" w:lineRule="auto"/>
        <w:rPr>
          <w:snapToGrid w:val="0"/>
          <w:kern w:val="0"/>
        </w:rPr>
      </w:pPr>
    </w:p>
    <w:p w14:paraId="4BB3D5F3">
      <w:pPr>
        <w:tabs>
          <w:tab w:val="left" w:pos="1200"/>
        </w:tabs>
        <w:adjustRightInd w:val="0"/>
        <w:snapToGrid w:val="0"/>
        <w:spacing w:line="300" w:lineRule="auto"/>
        <w:rPr>
          <w:snapToGrid w:val="0"/>
          <w:kern w:val="0"/>
        </w:rPr>
      </w:pPr>
    </w:p>
    <w:p w14:paraId="667E0855">
      <w:pPr>
        <w:tabs>
          <w:tab w:val="left" w:pos="1200"/>
        </w:tabs>
        <w:adjustRightInd w:val="0"/>
        <w:snapToGrid w:val="0"/>
        <w:spacing w:line="300" w:lineRule="auto"/>
        <w:rPr>
          <w:snapToGrid w:val="0"/>
          <w:kern w:val="0"/>
        </w:rPr>
      </w:pPr>
    </w:p>
    <w:p w14:paraId="35CEFE7A">
      <w:pPr>
        <w:tabs>
          <w:tab w:val="left" w:pos="1200"/>
        </w:tabs>
        <w:adjustRightInd w:val="0"/>
        <w:snapToGrid w:val="0"/>
        <w:spacing w:line="300" w:lineRule="auto"/>
        <w:rPr>
          <w:snapToGrid w:val="0"/>
          <w:kern w:val="0"/>
        </w:rPr>
      </w:pPr>
    </w:p>
    <w:p w14:paraId="67B55D6B">
      <w:pPr>
        <w:pStyle w:val="4"/>
        <w:tabs>
          <w:tab w:val="left" w:pos="371"/>
        </w:tabs>
        <w:spacing w:before="120" w:after="120"/>
        <w:ind w:left="-1" w:leftChars="-1" w:hanging="1"/>
        <w:jc w:val="center"/>
        <w:rPr>
          <w:rFonts w:asciiTheme="minorEastAsia" w:hAnsiTheme="minorEastAsia" w:eastAsiaTheme="minorEastAsia"/>
        </w:rPr>
      </w:pPr>
      <w:bookmarkStart w:id="83" w:name="_格式3__"/>
      <w:bookmarkEnd w:id="83"/>
      <w:bookmarkStart w:id="84" w:name="q17"/>
      <w:bookmarkEnd w:id="84"/>
      <w:bookmarkStart w:id="85" w:name="_格式2__投标保证金凭证"/>
      <w:bookmarkEnd w:id="85"/>
      <w:bookmarkStart w:id="86" w:name="_格式4__"/>
      <w:bookmarkEnd w:id="86"/>
      <w:bookmarkStart w:id="87" w:name="_格式5__"/>
      <w:bookmarkEnd w:id="87"/>
      <w:bookmarkStart w:id="88" w:name="q16"/>
      <w:bookmarkEnd w:id="88"/>
      <w:bookmarkStart w:id="89" w:name="q15"/>
      <w:bookmarkEnd w:id="89"/>
      <w:r>
        <w:rPr>
          <w:rFonts w:asciiTheme="minorEastAsia" w:hAnsiTheme="minorEastAsia" w:eastAsiaTheme="minorEastAsia"/>
        </w:rPr>
        <w:tab/>
      </w:r>
      <w:bookmarkStart w:id="90" w:name="_Toc44690710"/>
      <w:bookmarkStart w:id="91" w:name="_Toc44690437"/>
      <w:bookmarkStart w:id="92" w:name="_Toc44691169"/>
      <w:bookmarkStart w:id="93" w:name="_Toc135293352"/>
      <w:bookmarkStart w:id="94" w:name="_Toc44691401"/>
    </w:p>
    <w:p w14:paraId="216EB4AA">
      <w:pPr>
        <w:rPr>
          <w:rFonts w:asciiTheme="minorEastAsia" w:hAnsiTheme="minorEastAsia" w:eastAsiaTheme="minorEastAsia"/>
        </w:rPr>
      </w:pPr>
      <w:bookmarkStart w:id="95" w:name="_Toc19156"/>
      <w:r>
        <w:rPr>
          <w:rFonts w:hint="eastAsia" w:asciiTheme="minorEastAsia" w:hAnsiTheme="minorEastAsia" w:eastAsiaTheme="minorEastAsia"/>
        </w:rPr>
        <w:br w:type="page"/>
      </w:r>
    </w:p>
    <w:p w14:paraId="418C9BD6">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格式10  投标人情况介绍</w:t>
      </w:r>
      <w:bookmarkEnd w:id="90"/>
      <w:bookmarkEnd w:id="91"/>
      <w:bookmarkEnd w:id="92"/>
      <w:bookmarkEnd w:id="93"/>
      <w:bookmarkEnd w:id="94"/>
      <w:bookmarkEnd w:id="95"/>
    </w:p>
    <w:p w14:paraId="6D344ED5">
      <w:pPr>
        <w:snapToGrid w:val="0"/>
        <w:spacing w:line="300" w:lineRule="auto"/>
        <w:rPr>
          <w:rFonts w:ascii="宋体" w:hAnsi="宋体"/>
        </w:rPr>
      </w:pPr>
    </w:p>
    <w:p w14:paraId="09CD28DA">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C4831DD">
      <w:pPr>
        <w:adjustRightInd w:val="0"/>
        <w:snapToGrid w:val="0"/>
        <w:spacing w:line="360" w:lineRule="auto"/>
        <w:rPr>
          <w:rFonts w:ascii="宋体" w:hAnsi="宋体"/>
          <w:bCs/>
          <w:snapToGrid w:val="0"/>
          <w:kern w:val="0"/>
          <w:szCs w:val="21"/>
        </w:rPr>
      </w:pPr>
    </w:p>
    <w:p w14:paraId="6A15DA25">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269A773">
      <w:pPr>
        <w:adjustRightInd w:val="0"/>
        <w:snapToGrid w:val="0"/>
        <w:spacing w:line="360" w:lineRule="auto"/>
        <w:rPr>
          <w:bCs/>
          <w:snapToGrid w:val="0"/>
          <w:kern w:val="0"/>
        </w:rPr>
      </w:pPr>
    </w:p>
    <w:p w14:paraId="39039158">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52173FCC">
      <w:pPr>
        <w:adjustRightInd w:val="0"/>
        <w:snapToGrid w:val="0"/>
        <w:spacing w:line="360" w:lineRule="auto"/>
        <w:rPr>
          <w:bCs/>
        </w:rPr>
      </w:pPr>
    </w:p>
    <w:p w14:paraId="600AA745">
      <w:pPr>
        <w:jc w:val="center"/>
        <w:rPr>
          <w:snapToGrid w:val="0"/>
          <w:kern w:val="0"/>
        </w:rPr>
      </w:pPr>
    </w:p>
    <w:p w14:paraId="737F17EA">
      <w:pPr>
        <w:jc w:val="center"/>
        <w:rPr>
          <w:snapToGrid w:val="0"/>
          <w:kern w:val="0"/>
        </w:rPr>
      </w:pPr>
    </w:p>
    <w:p w14:paraId="02FF8E7C">
      <w:pPr>
        <w:jc w:val="center"/>
        <w:rPr>
          <w:snapToGrid w:val="0"/>
          <w:kern w:val="0"/>
        </w:rPr>
      </w:pPr>
    </w:p>
    <w:p w14:paraId="769911C0">
      <w:pPr>
        <w:jc w:val="center"/>
        <w:rPr>
          <w:snapToGrid w:val="0"/>
          <w:kern w:val="0"/>
        </w:rPr>
      </w:pPr>
    </w:p>
    <w:p w14:paraId="1F892D9F">
      <w:pPr>
        <w:jc w:val="center"/>
        <w:rPr>
          <w:snapToGrid w:val="0"/>
          <w:kern w:val="0"/>
        </w:rPr>
      </w:pPr>
    </w:p>
    <w:p w14:paraId="7FFA6267">
      <w:pPr>
        <w:jc w:val="center"/>
        <w:rPr>
          <w:snapToGrid w:val="0"/>
          <w:kern w:val="0"/>
        </w:rPr>
      </w:pPr>
    </w:p>
    <w:p w14:paraId="61C89175">
      <w:pPr>
        <w:jc w:val="center"/>
        <w:rPr>
          <w:snapToGrid w:val="0"/>
          <w:kern w:val="0"/>
        </w:rPr>
      </w:pPr>
    </w:p>
    <w:p w14:paraId="257CD5BA">
      <w:pPr>
        <w:jc w:val="center"/>
        <w:rPr>
          <w:snapToGrid w:val="0"/>
          <w:kern w:val="0"/>
        </w:rPr>
      </w:pPr>
    </w:p>
    <w:p w14:paraId="25FB3D55">
      <w:pPr>
        <w:jc w:val="center"/>
        <w:rPr>
          <w:snapToGrid w:val="0"/>
          <w:kern w:val="0"/>
        </w:rPr>
      </w:pPr>
    </w:p>
    <w:p w14:paraId="63FAF0DD">
      <w:pPr>
        <w:jc w:val="center"/>
        <w:rPr>
          <w:snapToGrid w:val="0"/>
          <w:kern w:val="0"/>
        </w:rPr>
      </w:pPr>
    </w:p>
    <w:p w14:paraId="4EF0315E">
      <w:pPr>
        <w:jc w:val="center"/>
        <w:rPr>
          <w:snapToGrid w:val="0"/>
          <w:kern w:val="0"/>
        </w:rPr>
      </w:pPr>
    </w:p>
    <w:p w14:paraId="4BAE45BE">
      <w:pPr>
        <w:jc w:val="center"/>
        <w:rPr>
          <w:snapToGrid w:val="0"/>
          <w:kern w:val="0"/>
        </w:rPr>
      </w:pPr>
    </w:p>
    <w:p w14:paraId="365354E5">
      <w:pPr>
        <w:jc w:val="center"/>
        <w:rPr>
          <w:snapToGrid w:val="0"/>
          <w:kern w:val="0"/>
        </w:rPr>
      </w:pPr>
    </w:p>
    <w:p w14:paraId="4F3978F5">
      <w:pPr>
        <w:jc w:val="center"/>
        <w:rPr>
          <w:snapToGrid w:val="0"/>
          <w:kern w:val="0"/>
        </w:rPr>
      </w:pPr>
    </w:p>
    <w:p w14:paraId="6111454A">
      <w:pPr>
        <w:jc w:val="center"/>
        <w:rPr>
          <w:snapToGrid w:val="0"/>
          <w:kern w:val="0"/>
        </w:rPr>
      </w:pPr>
    </w:p>
    <w:p w14:paraId="0595EC75">
      <w:pPr>
        <w:jc w:val="center"/>
        <w:rPr>
          <w:snapToGrid w:val="0"/>
          <w:kern w:val="0"/>
        </w:rPr>
      </w:pPr>
    </w:p>
    <w:p w14:paraId="49D314AC">
      <w:pPr>
        <w:jc w:val="center"/>
        <w:rPr>
          <w:snapToGrid w:val="0"/>
          <w:kern w:val="0"/>
        </w:rPr>
      </w:pPr>
    </w:p>
    <w:p w14:paraId="13AE879D">
      <w:pPr>
        <w:jc w:val="center"/>
        <w:rPr>
          <w:snapToGrid w:val="0"/>
          <w:kern w:val="0"/>
        </w:rPr>
      </w:pPr>
    </w:p>
    <w:p w14:paraId="5D60A966">
      <w:pPr>
        <w:jc w:val="center"/>
        <w:rPr>
          <w:snapToGrid w:val="0"/>
          <w:kern w:val="0"/>
        </w:rPr>
      </w:pPr>
    </w:p>
    <w:p w14:paraId="2CC2E7CA">
      <w:pPr>
        <w:jc w:val="center"/>
        <w:rPr>
          <w:snapToGrid w:val="0"/>
          <w:kern w:val="0"/>
        </w:rPr>
      </w:pPr>
    </w:p>
    <w:p w14:paraId="05C52A17">
      <w:pPr>
        <w:jc w:val="center"/>
        <w:rPr>
          <w:snapToGrid w:val="0"/>
          <w:kern w:val="0"/>
        </w:rPr>
      </w:pPr>
    </w:p>
    <w:p w14:paraId="2BE18AF8">
      <w:pPr>
        <w:jc w:val="center"/>
        <w:rPr>
          <w:snapToGrid w:val="0"/>
          <w:kern w:val="0"/>
        </w:rPr>
      </w:pPr>
    </w:p>
    <w:p w14:paraId="68B6E873">
      <w:pPr>
        <w:jc w:val="center"/>
        <w:rPr>
          <w:snapToGrid w:val="0"/>
          <w:kern w:val="0"/>
        </w:rPr>
      </w:pPr>
    </w:p>
    <w:p w14:paraId="3DDE9933">
      <w:pPr>
        <w:jc w:val="center"/>
        <w:rPr>
          <w:snapToGrid w:val="0"/>
          <w:kern w:val="0"/>
        </w:rPr>
      </w:pPr>
    </w:p>
    <w:p w14:paraId="741411C6">
      <w:pPr>
        <w:jc w:val="center"/>
        <w:rPr>
          <w:snapToGrid w:val="0"/>
          <w:kern w:val="0"/>
        </w:rPr>
      </w:pPr>
    </w:p>
    <w:p w14:paraId="2FA7E7FA">
      <w:pPr>
        <w:jc w:val="center"/>
        <w:rPr>
          <w:snapToGrid w:val="0"/>
          <w:kern w:val="0"/>
        </w:rPr>
      </w:pPr>
    </w:p>
    <w:p w14:paraId="4AC66140">
      <w:pPr>
        <w:jc w:val="center"/>
        <w:rPr>
          <w:snapToGrid w:val="0"/>
          <w:kern w:val="0"/>
        </w:rPr>
      </w:pPr>
    </w:p>
    <w:p w14:paraId="1BA58A92">
      <w:pPr>
        <w:jc w:val="center"/>
        <w:rPr>
          <w:snapToGrid w:val="0"/>
          <w:kern w:val="0"/>
        </w:rPr>
      </w:pPr>
    </w:p>
    <w:p w14:paraId="38D68D7B">
      <w:pPr>
        <w:jc w:val="center"/>
        <w:rPr>
          <w:snapToGrid w:val="0"/>
          <w:kern w:val="0"/>
        </w:rPr>
      </w:pPr>
    </w:p>
    <w:p w14:paraId="1BF0A265">
      <w:pPr>
        <w:jc w:val="center"/>
        <w:rPr>
          <w:snapToGrid w:val="0"/>
          <w:kern w:val="0"/>
        </w:rPr>
      </w:pPr>
    </w:p>
    <w:p w14:paraId="0EEB78AF">
      <w:pPr>
        <w:jc w:val="center"/>
        <w:rPr>
          <w:snapToGrid w:val="0"/>
          <w:kern w:val="0"/>
        </w:rPr>
      </w:pPr>
    </w:p>
    <w:p w14:paraId="684627E8">
      <w:pPr>
        <w:jc w:val="center"/>
        <w:rPr>
          <w:snapToGrid w:val="0"/>
          <w:kern w:val="0"/>
        </w:rPr>
      </w:pPr>
    </w:p>
    <w:p w14:paraId="666156BF">
      <w:pPr>
        <w:spacing w:line="360" w:lineRule="auto"/>
        <w:jc w:val="center"/>
        <w:rPr>
          <w:b/>
          <w:szCs w:val="21"/>
        </w:rPr>
      </w:pPr>
      <w:bookmarkStart w:id="96" w:name="_格式7__投标人资格声明"/>
      <w:bookmarkEnd w:id="96"/>
      <w:bookmarkStart w:id="97" w:name="q40"/>
    </w:p>
    <w:p w14:paraId="7B2D084D">
      <w:pPr>
        <w:pStyle w:val="4"/>
        <w:tabs>
          <w:tab w:val="left" w:pos="371"/>
        </w:tabs>
        <w:spacing w:before="120" w:after="120"/>
        <w:ind w:left="-1" w:leftChars="-1" w:hanging="1"/>
        <w:jc w:val="center"/>
        <w:rPr>
          <w:rFonts w:asciiTheme="minorEastAsia" w:hAnsiTheme="minorEastAsia" w:eastAsiaTheme="minorEastAsia"/>
        </w:rPr>
      </w:pPr>
      <w:bookmarkStart w:id="98" w:name="_Toc135293353"/>
      <w:bookmarkStart w:id="99" w:name="_Toc2410"/>
      <w:r>
        <w:rPr>
          <w:rFonts w:hint="eastAsia" w:asciiTheme="minorEastAsia" w:hAnsiTheme="minorEastAsia" w:eastAsiaTheme="minorEastAsia"/>
        </w:rPr>
        <w:t>格式11  偏离表</w:t>
      </w:r>
      <w:bookmarkEnd w:id="98"/>
      <w:bookmarkEnd w:id="99"/>
    </w:p>
    <w:bookmarkEnd w:id="97"/>
    <w:p w14:paraId="09889392">
      <w:pPr>
        <w:spacing w:line="360" w:lineRule="auto"/>
        <w:jc w:val="center"/>
      </w:pPr>
    </w:p>
    <w:p w14:paraId="62BF5628">
      <w:pPr>
        <w:snapToGrid w:val="0"/>
        <w:spacing w:line="360" w:lineRule="auto"/>
        <w:jc w:val="center"/>
        <w:rPr>
          <w:b/>
        </w:rPr>
      </w:pPr>
      <w:r>
        <w:rPr>
          <w:rFonts w:hint="eastAsia"/>
          <w:b/>
        </w:rPr>
        <w:t>技术规格偏离表</w:t>
      </w:r>
    </w:p>
    <w:tbl>
      <w:tblPr>
        <w:tblStyle w:val="51"/>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279E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04336EBE">
            <w:pPr>
              <w:spacing w:line="360" w:lineRule="auto"/>
              <w:jc w:val="center"/>
              <w:rPr>
                <w:rFonts w:ascii="宋体" w:hAnsi="宋体"/>
                <w:szCs w:val="21"/>
              </w:rPr>
            </w:pPr>
            <w:r>
              <w:rPr>
                <w:rFonts w:hint="eastAsia" w:ascii="宋体" w:hAnsi="宋体"/>
                <w:szCs w:val="21"/>
              </w:rPr>
              <w:t>序号</w:t>
            </w:r>
          </w:p>
        </w:tc>
        <w:tc>
          <w:tcPr>
            <w:tcW w:w="1418" w:type="dxa"/>
            <w:vAlign w:val="center"/>
          </w:tcPr>
          <w:p w14:paraId="613CCAB9">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0947325E">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7B894DC9">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3759EA1B">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5EE4481C">
            <w:pPr>
              <w:spacing w:line="360" w:lineRule="auto"/>
              <w:jc w:val="center"/>
              <w:rPr>
                <w:rFonts w:ascii="宋体" w:hAnsi="宋体"/>
                <w:szCs w:val="21"/>
              </w:rPr>
            </w:pPr>
            <w:r>
              <w:rPr>
                <w:rFonts w:hint="eastAsia" w:ascii="宋体" w:hAnsi="宋体"/>
                <w:szCs w:val="21"/>
              </w:rPr>
              <w:t>说明</w:t>
            </w:r>
          </w:p>
        </w:tc>
      </w:tr>
      <w:tr w14:paraId="5934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77D5ECAF">
            <w:pPr>
              <w:spacing w:line="360" w:lineRule="auto"/>
              <w:jc w:val="center"/>
              <w:rPr>
                <w:rFonts w:ascii="宋体" w:hAnsi="宋体"/>
                <w:szCs w:val="21"/>
              </w:rPr>
            </w:pPr>
          </w:p>
        </w:tc>
        <w:tc>
          <w:tcPr>
            <w:tcW w:w="1418" w:type="dxa"/>
            <w:vAlign w:val="center"/>
          </w:tcPr>
          <w:p w14:paraId="11A3AEFD">
            <w:pPr>
              <w:spacing w:line="360" w:lineRule="auto"/>
              <w:jc w:val="center"/>
              <w:rPr>
                <w:rFonts w:ascii="宋体" w:hAnsi="宋体"/>
                <w:szCs w:val="21"/>
              </w:rPr>
            </w:pPr>
          </w:p>
        </w:tc>
        <w:tc>
          <w:tcPr>
            <w:tcW w:w="2482" w:type="dxa"/>
            <w:vAlign w:val="center"/>
          </w:tcPr>
          <w:p w14:paraId="13D13DCF">
            <w:pPr>
              <w:spacing w:line="360" w:lineRule="auto"/>
              <w:jc w:val="center"/>
              <w:rPr>
                <w:rFonts w:ascii="宋体" w:hAnsi="宋体"/>
                <w:szCs w:val="21"/>
              </w:rPr>
            </w:pPr>
          </w:p>
        </w:tc>
        <w:tc>
          <w:tcPr>
            <w:tcW w:w="1701" w:type="dxa"/>
            <w:vAlign w:val="center"/>
          </w:tcPr>
          <w:p w14:paraId="3372BE49">
            <w:pPr>
              <w:spacing w:line="360" w:lineRule="auto"/>
              <w:jc w:val="center"/>
              <w:rPr>
                <w:rFonts w:ascii="宋体" w:hAnsi="宋体"/>
                <w:szCs w:val="21"/>
              </w:rPr>
            </w:pPr>
          </w:p>
        </w:tc>
        <w:tc>
          <w:tcPr>
            <w:tcW w:w="1275" w:type="dxa"/>
            <w:vAlign w:val="center"/>
          </w:tcPr>
          <w:p w14:paraId="178F93FA">
            <w:pPr>
              <w:spacing w:line="360" w:lineRule="auto"/>
              <w:jc w:val="center"/>
              <w:rPr>
                <w:rFonts w:ascii="宋体" w:hAnsi="宋体"/>
                <w:szCs w:val="21"/>
              </w:rPr>
            </w:pPr>
          </w:p>
        </w:tc>
        <w:tc>
          <w:tcPr>
            <w:tcW w:w="2304" w:type="dxa"/>
            <w:vAlign w:val="center"/>
          </w:tcPr>
          <w:p w14:paraId="29F53512">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7365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1A4FAC7E">
            <w:pPr>
              <w:spacing w:line="360" w:lineRule="auto"/>
              <w:jc w:val="center"/>
              <w:rPr>
                <w:rFonts w:ascii="宋体" w:hAnsi="宋体"/>
                <w:szCs w:val="21"/>
              </w:rPr>
            </w:pPr>
          </w:p>
        </w:tc>
        <w:tc>
          <w:tcPr>
            <w:tcW w:w="1418" w:type="dxa"/>
            <w:vAlign w:val="center"/>
          </w:tcPr>
          <w:p w14:paraId="6D8E0241">
            <w:pPr>
              <w:spacing w:line="360" w:lineRule="auto"/>
              <w:jc w:val="center"/>
              <w:rPr>
                <w:rFonts w:ascii="宋体" w:hAnsi="宋体"/>
                <w:szCs w:val="21"/>
              </w:rPr>
            </w:pPr>
          </w:p>
        </w:tc>
        <w:tc>
          <w:tcPr>
            <w:tcW w:w="2482" w:type="dxa"/>
            <w:vAlign w:val="center"/>
          </w:tcPr>
          <w:p w14:paraId="26AFBA57">
            <w:pPr>
              <w:spacing w:line="360" w:lineRule="auto"/>
              <w:jc w:val="center"/>
              <w:rPr>
                <w:rFonts w:ascii="宋体" w:hAnsi="宋体"/>
                <w:szCs w:val="21"/>
              </w:rPr>
            </w:pPr>
          </w:p>
        </w:tc>
        <w:tc>
          <w:tcPr>
            <w:tcW w:w="1701" w:type="dxa"/>
            <w:vAlign w:val="center"/>
          </w:tcPr>
          <w:p w14:paraId="37017883">
            <w:pPr>
              <w:spacing w:line="360" w:lineRule="auto"/>
              <w:jc w:val="center"/>
              <w:rPr>
                <w:rFonts w:ascii="宋体" w:hAnsi="宋体"/>
                <w:szCs w:val="21"/>
              </w:rPr>
            </w:pPr>
          </w:p>
        </w:tc>
        <w:tc>
          <w:tcPr>
            <w:tcW w:w="1275" w:type="dxa"/>
            <w:vAlign w:val="center"/>
          </w:tcPr>
          <w:p w14:paraId="3E2D3316">
            <w:pPr>
              <w:spacing w:line="360" w:lineRule="auto"/>
              <w:jc w:val="center"/>
              <w:rPr>
                <w:rFonts w:ascii="宋体" w:hAnsi="宋体"/>
                <w:szCs w:val="21"/>
              </w:rPr>
            </w:pPr>
          </w:p>
        </w:tc>
        <w:tc>
          <w:tcPr>
            <w:tcW w:w="2304" w:type="dxa"/>
            <w:vAlign w:val="center"/>
          </w:tcPr>
          <w:p w14:paraId="69A164B8">
            <w:pPr>
              <w:spacing w:line="360" w:lineRule="auto"/>
              <w:jc w:val="center"/>
              <w:rPr>
                <w:rFonts w:ascii="宋体" w:hAnsi="宋体"/>
                <w:szCs w:val="21"/>
              </w:rPr>
            </w:pPr>
          </w:p>
        </w:tc>
      </w:tr>
      <w:tr w14:paraId="67F90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4E675AF">
            <w:pPr>
              <w:spacing w:line="360" w:lineRule="auto"/>
              <w:jc w:val="center"/>
              <w:rPr>
                <w:rFonts w:ascii="宋体" w:hAnsi="宋体"/>
                <w:szCs w:val="21"/>
              </w:rPr>
            </w:pPr>
          </w:p>
        </w:tc>
        <w:tc>
          <w:tcPr>
            <w:tcW w:w="1418" w:type="dxa"/>
            <w:vAlign w:val="center"/>
          </w:tcPr>
          <w:p w14:paraId="5A25BDDE">
            <w:pPr>
              <w:spacing w:line="360" w:lineRule="auto"/>
              <w:jc w:val="center"/>
              <w:rPr>
                <w:rFonts w:ascii="宋体" w:hAnsi="宋体"/>
                <w:szCs w:val="21"/>
              </w:rPr>
            </w:pPr>
          </w:p>
        </w:tc>
        <w:tc>
          <w:tcPr>
            <w:tcW w:w="2482" w:type="dxa"/>
            <w:vAlign w:val="center"/>
          </w:tcPr>
          <w:p w14:paraId="53E693FD">
            <w:pPr>
              <w:spacing w:line="360" w:lineRule="auto"/>
              <w:jc w:val="center"/>
              <w:rPr>
                <w:rFonts w:ascii="宋体" w:hAnsi="宋体"/>
                <w:szCs w:val="21"/>
              </w:rPr>
            </w:pPr>
          </w:p>
        </w:tc>
        <w:tc>
          <w:tcPr>
            <w:tcW w:w="1701" w:type="dxa"/>
            <w:vAlign w:val="center"/>
          </w:tcPr>
          <w:p w14:paraId="5E118061">
            <w:pPr>
              <w:spacing w:line="360" w:lineRule="auto"/>
              <w:jc w:val="center"/>
              <w:rPr>
                <w:rFonts w:ascii="宋体" w:hAnsi="宋体"/>
                <w:szCs w:val="21"/>
              </w:rPr>
            </w:pPr>
          </w:p>
        </w:tc>
        <w:tc>
          <w:tcPr>
            <w:tcW w:w="1275" w:type="dxa"/>
            <w:vAlign w:val="center"/>
          </w:tcPr>
          <w:p w14:paraId="420B6554">
            <w:pPr>
              <w:spacing w:line="360" w:lineRule="auto"/>
              <w:jc w:val="center"/>
              <w:rPr>
                <w:rFonts w:ascii="宋体" w:hAnsi="宋体"/>
                <w:szCs w:val="21"/>
              </w:rPr>
            </w:pPr>
          </w:p>
        </w:tc>
        <w:tc>
          <w:tcPr>
            <w:tcW w:w="2304" w:type="dxa"/>
            <w:vAlign w:val="center"/>
          </w:tcPr>
          <w:p w14:paraId="45EFFCEF">
            <w:pPr>
              <w:spacing w:line="360" w:lineRule="auto"/>
              <w:jc w:val="center"/>
              <w:rPr>
                <w:rFonts w:ascii="宋体" w:hAnsi="宋体"/>
                <w:szCs w:val="21"/>
              </w:rPr>
            </w:pPr>
          </w:p>
        </w:tc>
      </w:tr>
      <w:tr w14:paraId="1217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9CDEE69">
            <w:pPr>
              <w:spacing w:line="360" w:lineRule="auto"/>
              <w:jc w:val="center"/>
              <w:rPr>
                <w:rFonts w:ascii="宋体" w:hAnsi="宋体"/>
                <w:szCs w:val="21"/>
              </w:rPr>
            </w:pPr>
          </w:p>
        </w:tc>
        <w:tc>
          <w:tcPr>
            <w:tcW w:w="1418" w:type="dxa"/>
            <w:vAlign w:val="center"/>
          </w:tcPr>
          <w:p w14:paraId="425873C5">
            <w:pPr>
              <w:spacing w:line="360" w:lineRule="auto"/>
              <w:jc w:val="center"/>
              <w:rPr>
                <w:rFonts w:ascii="宋体" w:hAnsi="宋体"/>
                <w:szCs w:val="21"/>
              </w:rPr>
            </w:pPr>
          </w:p>
        </w:tc>
        <w:tc>
          <w:tcPr>
            <w:tcW w:w="2482" w:type="dxa"/>
            <w:vAlign w:val="center"/>
          </w:tcPr>
          <w:p w14:paraId="74ACEBA7">
            <w:pPr>
              <w:spacing w:line="360" w:lineRule="auto"/>
              <w:jc w:val="center"/>
              <w:rPr>
                <w:rFonts w:ascii="宋体" w:hAnsi="宋体"/>
                <w:szCs w:val="21"/>
              </w:rPr>
            </w:pPr>
          </w:p>
        </w:tc>
        <w:tc>
          <w:tcPr>
            <w:tcW w:w="1701" w:type="dxa"/>
            <w:vAlign w:val="center"/>
          </w:tcPr>
          <w:p w14:paraId="0736FE3D">
            <w:pPr>
              <w:spacing w:line="360" w:lineRule="auto"/>
              <w:jc w:val="center"/>
              <w:rPr>
                <w:rFonts w:ascii="宋体" w:hAnsi="宋体"/>
                <w:szCs w:val="21"/>
              </w:rPr>
            </w:pPr>
          </w:p>
        </w:tc>
        <w:tc>
          <w:tcPr>
            <w:tcW w:w="1275" w:type="dxa"/>
            <w:vAlign w:val="center"/>
          </w:tcPr>
          <w:p w14:paraId="0FBE8673">
            <w:pPr>
              <w:spacing w:line="360" w:lineRule="auto"/>
              <w:jc w:val="center"/>
              <w:rPr>
                <w:rFonts w:ascii="宋体" w:hAnsi="宋体"/>
                <w:szCs w:val="21"/>
              </w:rPr>
            </w:pPr>
          </w:p>
        </w:tc>
        <w:tc>
          <w:tcPr>
            <w:tcW w:w="2304" w:type="dxa"/>
            <w:vAlign w:val="center"/>
          </w:tcPr>
          <w:p w14:paraId="65CFBCC9">
            <w:pPr>
              <w:spacing w:line="360" w:lineRule="auto"/>
              <w:jc w:val="center"/>
              <w:rPr>
                <w:rFonts w:ascii="宋体" w:hAnsi="宋体"/>
                <w:szCs w:val="21"/>
              </w:rPr>
            </w:pPr>
          </w:p>
        </w:tc>
      </w:tr>
    </w:tbl>
    <w:p w14:paraId="32DBD5FA">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1435473D">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14:paraId="7F32FED8">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3796D4B">
      <w:pPr>
        <w:adjustRightInd w:val="0"/>
        <w:snapToGrid w:val="0"/>
        <w:spacing w:line="360" w:lineRule="auto"/>
        <w:rPr>
          <w:bCs/>
          <w:snapToGrid w:val="0"/>
        </w:rPr>
      </w:pPr>
    </w:p>
    <w:p w14:paraId="70581E87">
      <w:pPr>
        <w:snapToGrid w:val="0"/>
        <w:spacing w:line="360" w:lineRule="auto"/>
        <w:jc w:val="center"/>
        <w:rPr>
          <w:b/>
        </w:rPr>
      </w:pPr>
      <w:r>
        <w:rPr>
          <w:rFonts w:hint="eastAsia"/>
          <w:b/>
        </w:rPr>
        <w:t>商务条款偏离表</w:t>
      </w:r>
    </w:p>
    <w:tbl>
      <w:tblPr>
        <w:tblStyle w:val="51"/>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60BF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33AC9301">
            <w:pPr>
              <w:spacing w:line="360" w:lineRule="auto"/>
              <w:jc w:val="center"/>
              <w:rPr>
                <w:rFonts w:ascii="宋体" w:hAnsi="宋体"/>
                <w:szCs w:val="21"/>
              </w:rPr>
            </w:pPr>
            <w:r>
              <w:rPr>
                <w:rFonts w:hint="eastAsia" w:ascii="宋体" w:hAnsi="宋体"/>
                <w:szCs w:val="21"/>
              </w:rPr>
              <w:t>序号</w:t>
            </w:r>
          </w:p>
        </w:tc>
        <w:tc>
          <w:tcPr>
            <w:tcW w:w="3077" w:type="dxa"/>
            <w:vAlign w:val="center"/>
          </w:tcPr>
          <w:p w14:paraId="12802D66">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3A214783">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4F3F93E6">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462F76A2">
            <w:pPr>
              <w:spacing w:line="360" w:lineRule="auto"/>
              <w:jc w:val="center"/>
              <w:rPr>
                <w:rFonts w:ascii="宋体" w:hAnsi="宋体"/>
                <w:szCs w:val="21"/>
              </w:rPr>
            </w:pPr>
            <w:r>
              <w:rPr>
                <w:rFonts w:hint="eastAsia" w:ascii="宋体" w:hAnsi="宋体"/>
                <w:szCs w:val="21"/>
              </w:rPr>
              <w:t>说明</w:t>
            </w:r>
          </w:p>
        </w:tc>
      </w:tr>
      <w:tr w14:paraId="4D67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4D8B1ABC">
            <w:pPr>
              <w:spacing w:line="360" w:lineRule="auto"/>
              <w:jc w:val="center"/>
              <w:rPr>
                <w:rFonts w:ascii="宋体" w:hAnsi="宋体" w:cs="宋体"/>
                <w:bCs/>
                <w:szCs w:val="21"/>
              </w:rPr>
            </w:pPr>
          </w:p>
        </w:tc>
        <w:tc>
          <w:tcPr>
            <w:tcW w:w="3077" w:type="dxa"/>
          </w:tcPr>
          <w:p w14:paraId="6D9A4F2C">
            <w:pPr>
              <w:spacing w:line="360" w:lineRule="auto"/>
              <w:rPr>
                <w:rFonts w:ascii="宋体" w:hAnsi="宋体"/>
                <w:bCs/>
                <w:szCs w:val="21"/>
              </w:rPr>
            </w:pPr>
          </w:p>
        </w:tc>
        <w:tc>
          <w:tcPr>
            <w:tcW w:w="2735" w:type="dxa"/>
          </w:tcPr>
          <w:p w14:paraId="2D0D019B">
            <w:pPr>
              <w:spacing w:line="360" w:lineRule="auto"/>
              <w:rPr>
                <w:rFonts w:ascii="宋体" w:hAnsi="宋体" w:cs="宋体"/>
                <w:szCs w:val="21"/>
              </w:rPr>
            </w:pPr>
          </w:p>
        </w:tc>
        <w:tc>
          <w:tcPr>
            <w:tcW w:w="1801" w:type="dxa"/>
          </w:tcPr>
          <w:p w14:paraId="5B292267">
            <w:pPr>
              <w:spacing w:line="360" w:lineRule="auto"/>
              <w:rPr>
                <w:rFonts w:ascii="宋体" w:hAnsi="宋体" w:cs="宋体"/>
                <w:szCs w:val="21"/>
              </w:rPr>
            </w:pPr>
          </w:p>
        </w:tc>
        <w:tc>
          <w:tcPr>
            <w:tcW w:w="1515" w:type="dxa"/>
          </w:tcPr>
          <w:p w14:paraId="0D53EDB3">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DFFB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10801F86">
            <w:pPr>
              <w:spacing w:line="360" w:lineRule="auto"/>
              <w:jc w:val="center"/>
              <w:rPr>
                <w:rFonts w:ascii="宋体" w:hAnsi="宋体" w:cs="宋体"/>
                <w:bCs/>
                <w:szCs w:val="21"/>
              </w:rPr>
            </w:pPr>
          </w:p>
        </w:tc>
        <w:tc>
          <w:tcPr>
            <w:tcW w:w="3077" w:type="dxa"/>
          </w:tcPr>
          <w:p w14:paraId="6E6CA7A6">
            <w:pPr>
              <w:spacing w:line="360" w:lineRule="auto"/>
              <w:rPr>
                <w:rFonts w:ascii="宋体" w:hAnsi="宋体" w:cs="宋体"/>
                <w:b/>
                <w:szCs w:val="21"/>
              </w:rPr>
            </w:pPr>
          </w:p>
        </w:tc>
        <w:tc>
          <w:tcPr>
            <w:tcW w:w="2735" w:type="dxa"/>
          </w:tcPr>
          <w:p w14:paraId="4727BD72">
            <w:pPr>
              <w:spacing w:line="360" w:lineRule="auto"/>
              <w:rPr>
                <w:rFonts w:ascii="宋体" w:hAnsi="宋体" w:cs="宋体"/>
                <w:szCs w:val="21"/>
              </w:rPr>
            </w:pPr>
          </w:p>
        </w:tc>
        <w:tc>
          <w:tcPr>
            <w:tcW w:w="1801" w:type="dxa"/>
          </w:tcPr>
          <w:p w14:paraId="2C3B4EF2">
            <w:pPr>
              <w:spacing w:line="360" w:lineRule="auto"/>
              <w:rPr>
                <w:rFonts w:ascii="宋体" w:hAnsi="宋体" w:cs="宋体"/>
                <w:szCs w:val="21"/>
              </w:rPr>
            </w:pPr>
          </w:p>
        </w:tc>
        <w:tc>
          <w:tcPr>
            <w:tcW w:w="1515" w:type="dxa"/>
          </w:tcPr>
          <w:p w14:paraId="620E17B2">
            <w:pPr>
              <w:spacing w:line="360" w:lineRule="auto"/>
              <w:rPr>
                <w:rFonts w:ascii="宋体" w:hAnsi="宋体" w:cs="宋体"/>
                <w:szCs w:val="21"/>
              </w:rPr>
            </w:pPr>
          </w:p>
        </w:tc>
      </w:tr>
      <w:tr w14:paraId="3EE5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510F1604">
            <w:pPr>
              <w:spacing w:line="360" w:lineRule="auto"/>
              <w:jc w:val="center"/>
              <w:rPr>
                <w:rFonts w:ascii="宋体" w:hAnsi="宋体" w:cs="宋体"/>
                <w:bCs/>
                <w:szCs w:val="21"/>
              </w:rPr>
            </w:pPr>
          </w:p>
        </w:tc>
        <w:tc>
          <w:tcPr>
            <w:tcW w:w="3077" w:type="dxa"/>
          </w:tcPr>
          <w:p w14:paraId="1AB9A9A6">
            <w:pPr>
              <w:spacing w:line="360" w:lineRule="auto"/>
              <w:rPr>
                <w:rFonts w:ascii="宋体" w:hAnsi="宋体"/>
                <w:bCs/>
                <w:szCs w:val="21"/>
              </w:rPr>
            </w:pPr>
          </w:p>
        </w:tc>
        <w:tc>
          <w:tcPr>
            <w:tcW w:w="2735" w:type="dxa"/>
          </w:tcPr>
          <w:p w14:paraId="3CC43C85">
            <w:pPr>
              <w:spacing w:line="360" w:lineRule="auto"/>
              <w:rPr>
                <w:rFonts w:ascii="宋体" w:hAnsi="宋体" w:cs="宋体"/>
                <w:szCs w:val="21"/>
              </w:rPr>
            </w:pPr>
          </w:p>
        </w:tc>
        <w:tc>
          <w:tcPr>
            <w:tcW w:w="1801" w:type="dxa"/>
          </w:tcPr>
          <w:p w14:paraId="43ECDE03">
            <w:pPr>
              <w:spacing w:line="360" w:lineRule="auto"/>
              <w:rPr>
                <w:rFonts w:ascii="宋体" w:hAnsi="宋体" w:cs="宋体"/>
                <w:szCs w:val="21"/>
              </w:rPr>
            </w:pPr>
          </w:p>
        </w:tc>
        <w:tc>
          <w:tcPr>
            <w:tcW w:w="1515" w:type="dxa"/>
          </w:tcPr>
          <w:p w14:paraId="368B9391">
            <w:pPr>
              <w:spacing w:line="360" w:lineRule="auto"/>
              <w:rPr>
                <w:rFonts w:ascii="宋体" w:hAnsi="宋体" w:cs="宋体"/>
                <w:szCs w:val="21"/>
              </w:rPr>
            </w:pPr>
          </w:p>
        </w:tc>
      </w:tr>
      <w:tr w14:paraId="1DC4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5AAD130F">
            <w:pPr>
              <w:spacing w:line="360" w:lineRule="auto"/>
              <w:jc w:val="center"/>
              <w:rPr>
                <w:rFonts w:ascii="宋体" w:hAnsi="宋体" w:cs="宋体"/>
                <w:bCs/>
                <w:szCs w:val="21"/>
              </w:rPr>
            </w:pPr>
          </w:p>
        </w:tc>
        <w:tc>
          <w:tcPr>
            <w:tcW w:w="3077" w:type="dxa"/>
          </w:tcPr>
          <w:p w14:paraId="66BCBE04">
            <w:pPr>
              <w:spacing w:line="360" w:lineRule="auto"/>
              <w:rPr>
                <w:rFonts w:ascii="宋体" w:hAnsi="宋体" w:cs="宋体"/>
                <w:b/>
                <w:szCs w:val="21"/>
              </w:rPr>
            </w:pPr>
          </w:p>
        </w:tc>
        <w:tc>
          <w:tcPr>
            <w:tcW w:w="2735" w:type="dxa"/>
          </w:tcPr>
          <w:p w14:paraId="593C582F">
            <w:pPr>
              <w:spacing w:line="360" w:lineRule="auto"/>
              <w:rPr>
                <w:rFonts w:ascii="宋体" w:hAnsi="宋体" w:cs="宋体"/>
                <w:szCs w:val="21"/>
              </w:rPr>
            </w:pPr>
          </w:p>
        </w:tc>
        <w:tc>
          <w:tcPr>
            <w:tcW w:w="1801" w:type="dxa"/>
          </w:tcPr>
          <w:p w14:paraId="29343E63">
            <w:pPr>
              <w:spacing w:line="360" w:lineRule="auto"/>
              <w:rPr>
                <w:rFonts w:ascii="宋体" w:hAnsi="宋体" w:cs="宋体"/>
                <w:szCs w:val="21"/>
              </w:rPr>
            </w:pPr>
          </w:p>
        </w:tc>
        <w:tc>
          <w:tcPr>
            <w:tcW w:w="1515" w:type="dxa"/>
          </w:tcPr>
          <w:p w14:paraId="3C4DDA2D">
            <w:pPr>
              <w:spacing w:line="360" w:lineRule="auto"/>
              <w:rPr>
                <w:rFonts w:ascii="宋体" w:hAnsi="宋体" w:cs="宋体"/>
                <w:szCs w:val="21"/>
              </w:rPr>
            </w:pPr>
          </w:p>
        </w:tc>
      </w:tr>
    </w:tbl>
    <w:p w14:paraId="5928749C">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B29BBAE">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14:paraId="30B4C658">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3CE9159F">
      <w:pPr>
        <w:spacing w:line="400" w:lineRule="exact"/>
        <w:ind w:firstLine="420" w:firstLineChars="200"/>
      </w:pPr>
    </w:p>
    <w:p w14:paraId="323AC1F3">
      <w:pPr>
        <w:adjustRightInd w:val="0"/>
        <w:snapToGrid w:val="0"/>
        <w:spacing w:line="300" w:lineRule="auto"/>
        <w:rPr>
          <w:snapToGrid w:val="0"/>
          <w:kern w:val="0"/>
        </w:rPr>
      </w:pPr>
    </w:p>
    <w:p w14:paraId="6531B2F2">
      <w:pPr>
        <w:adjustRightInd w:val="0"/>
        <w:snapToGrid w:val="0"/>
        <w:spacing w:line="300" w:lineRule="auto"/>
        <w:rPr>
          <w:snapToGrid w:val="0"/>
          <w:kern w:val="0"/>
        </w:rPr>
      </w:pPr>
      <w:r>
        <w:rPr>
          <w:rFonts w:hint="eastAsia"/>
          <w:snapToGrid w:val="0"/>
          <w:kern w:val="0"/>
        </w:rPr>
        <w:t>投标单位：（盖章）</w:t>
      </w:r>
    </w:p>
    <w:p w14:paraId="659E7B08">
      <w:pPr>
        <w:adjustRightInd w:val="0"/>
        <w:snapToGrid w:val="0"/>
        <w:spacing w:line="300" w:lineRule="auto"/>
        <w:rPr>
          <w:snapToGrid w:val="0"/>
          <w:kern w:val="0"/>
        </w:rPr>
      </w:pPr>
    </w:p>
    <w:p w14:paraId="5D9E0EC2">
      <w:pPr>
        <w:adjustRightInd w:val="0"/>
        <w:snapToGrid w:val="0"/>
        <w:spacing w:line="300" w:lineRule="auto"/>
        <w:rPr>
          <w:snapToGrid w:val="0"/>
          <w:kern w:val="0"/>
        </w:rPr>
      </w:pPr>
    </w:p>
    <w:p w14:paraId="045032F1">
      <w:pPr>
        <w:adjustRightInd w:val="0"/>
        <w:snapToGrid w:val="0"/>
        <w:spacing w:line="300" w:lineRule="auto"/>
        <w:rPr>
          <w:snapToGrid w:val="0"/>
          <w:kern w:val="0"/>
        </w:rPr>
      </w:pPr>
    </w:p>
    <w:p w14:paraId="2EBF5B5B">
      <w:pPr>
        <w:adjustRightInd w:val="0"/>
        <w:snapToGrid w:val="0"/>
        <w:spacing w:line="300" w:lineRule="auto"/>
        <w:rPr>
          <w:snapToGrid w:val="0"/>
          <w:kern w:val="0"/>
        </w:rPr>
      </w:pPr>
      <w:r>
        <w:rPr>
          <w:rFonts w:hint="eastAsia"/>
          <w:snapToGrid w:val="0"/>
          <w:kern w:val="0"/>
        </w:rPr>
        <w:t>法定代表人或其授权代表：（签字）</w:t>
      </w:r>
    </w:p>
    <w:p w14:paraId="0F242E40">
      <w:pPr>
        <w:adjustRightInd w:val="0"/>
        <w:snapToGrid w:val="0"/>
        <w:spacing w:line="300" w:lineRule="auto"/>
        <w:rPr>
          <w:snapToGrid w:val="0"/>
          <w:kern w:val="0"/>
        </w:rPr>
      </w:pPr>
    </w:p>
    <w:p w14:paraId="6F6FD857">
      <w:pPr>
        <w:adjustRightInd w:val="0"/>
        <w:snapToGrid w:val="0"/>
        <w:spacing w:line="300" w:lineRule="auto"/>
        <w:ind w:right="420"/>
        <w:jc w:val="center"/>
      </w:pPr>
      <w:r>
        <w:rPr>
          <w:rFonts w:hint="eastAsia"/>
          <w:snapToGrid w:val="0"/>
          <w:kern w:val="0"/>
        </w:rPr>
        <w:t xml:space="preserve">                                                            年    月    日</w:t>
      </w:r>
    </w:p>
    <w:p w14:paraId="0E1B6ED4">
      <w:pPr>
        <w:adjustRightInd w:val="0"/>
        <w:snapToGrid w:val="0"/>
        <w:spacing w:line="300" w:lineRule="auto"/>
        <w:ind w:right="420"/>
        <w:jc w:val="center"/>
      </w:pPr>
    </w:p>
    <w:p w14:paraId="2F98E862">
      <w:pPr>
        <w:adjustRightInd w:val="0"/>
        <w:snapToGrid w:val="0"/>
        <w:spacing w:line="300" w:lineRule="auto"/>
        <w:ind w:right="420"/>
        <w:jc w:val="center"/>
      </w:pPr>
    </w:p>
    <w:p w14:paraId="507A66A8">
      <w:pPr>
        <w:adjustRightInd w:val="0"/>
        <w:snapToGrid w:val="0"/>
        <w:spacing w:line="300" w:lineRule="auto"/>
        <w:ind w:right="420"/>
        <w:jc w:val="center"/>
      </w:pPr>
    </w:p>
    <w:p w14:paraId="2B911FD7">
      <w:pPr>
        <w:adjustRightInd w:val="0"/>
        <w:snapToGrid w:val="0"/>
        <w:spacing w:line="300" w:lineRule="auto"/>
        <w:ind w:right="420"/>
        <w:jc w:val="center"/>
      </w:pPr>
    </w:p>
    <w:p w14:paraId="4919BAE3">
      <w:pPr>
        <w:adjustRightInd w:val="0"/>
        <w:snapToGrid w:val="0"/>
        <w:spacing w:line="300" w:lineRule="auto"/>
        <w:ind w:right="420"/>
        <w:jc w:val="center"/>
      </w:pPr>
    </w:p>
    <w:p w14:paraId="12E6AA3F">
      <w:pPr>
        <w:adjustRightInd w:val="0"/>
        <w:snapToGrid w:val="0"/>
        <w:spacing w:line="300" w:lineRule="auto"/>
        <w:ind w:right="420"/>
        <w:jc w:val="center"/>
      </w:pPr>
    </w:p>
    <w:p w14:paraId="26798447">
      <w:pPr>
        <w:adjustRightInd w:val="0"/>
        <w:snapToGrid w:val="0"/>
        <w:spacing w:line="300" w:lineRule="auto"/>
        <w:ind w:right="420"/>
        <w:jc w:val="center"/>
      </w:pPr>
    </w:p>
    <w:p w14:paraId="464B342E">
      <w:pPr>
        <w:adjustRightInd w:val="0"/>
        <w:snapToGrid w:val="0"/>
        <w:spacing w:line="300" w:lineRule="auto"/>
        <w:ind w:right="420"/>
        <w:jc w:val="center"/>
      </w:pPr>
    </w:p>
    <w:p w14:paraId="780E0777">
      <w:pPr>
        <w:adjustRightInd w:val="0"/>
        <w:snapToGrid w:val="0"/>
        <w:spacing w:line="300" w:lineRule="auto"/>
        <w:ind w:right="420"/>
        <w:jc w:val="center"/>
      </w:pPr>
    </w:p>
    <w:p w14:paraId="022ECA08">
      <w:pPr>
        <w:adjustRightInd w:val="0"/>
        <w:snapToGrid w:val="0"/>
        <w:spacing w:line="300" w:lineRule="auto"/>
        <w:ind w:right="420"/>
        <w:jc w:val="center"/>
      </w:pPr>
    </w:p>
    <w:p w14:paraId="1A7E0CD4">
      <w:pPr>
        <w:adjustRightInd w:val="0"/>
        <w:snapToGrid w:val="0"/>
        <w:spacing w:line="300" w:lineRule="auto"/>
        <w:ind w:right="420"/>
        <w:jc w:val="center"/>
      </w:pPr>
    </w:p>
    <w:p w14:paraId="7D26AF15">
      <w:pPr>
        <w:adjustRightInd w:val="0"/>
        <w:snapToGrid w:val="0"/>
        <w:spacing w:line="300" w:lineRule="auto"/>
        <w:ind w:right="420"/>
        <w:jc w:val="center"/>
      </w:pPr>
    </w:p>
    <w:p w14:paraId="7037B5F7">
      <w:pPr>
        <w:adjustRightInd w:val="0"/>
        <w:snapToGrid w:val="0"/>
        <w:spacing w:line="300" w:lineRule="auto"/>
        <w:ind w:right="420"/>
        <w:jc w:val="center"/>
      </w:pPr>
    </w:p>
    <w:p w14:paraId="0421E0CB">
      <w:pPr>
        <w:pStyle w:val="4"/>
        <w:tabs>
          <w:tab w:val="left" w:pos="371"/>
        </w:tabs>
        <w:spacing w:before="120" w:after="120"/>
        <w:ind w:left="-1" w:leftChars="-1" w:hanging="1"/>
        <w:jc w:val="center"/>
        <w:rPr>
          <w:rFonts w:asciiTheme="minorEastAsia" w:hAnsiTheme="minorEastAsia" w:eastAsiaTheme="minorEastAsia"/>
        </w:rPr>
      </w:pPr>
      <w:bookmarkStart w:id="100" w:name="_Toc135293354"/>
    </w:p>
    <w:p w14:paraId="7FBA356E">
      <w:pPr>
        <w:rPr>
          <w:rFonts w:asciiTheme="minorEastAsia" w:hAnsiTheme="minorEastAsia" w:eastAsiaTheme="minorEastAsia"/>
        </w:rPr>
      </w:pPr>
      <w:bookmarkStart w:id="101" w:name="_Toc10345"/>
      <w:r>
        <w:rPr>
          <w:rFonts w:hint="eastAsia" w:asciiTheme="minorEastAsia" w:hAnsiTheme="minorEastAsia" w:eastAsiaTheme="minorEastAsia"/>
        </w:rPr>
        <w:br w:type="page"/>
      </w:r>
    </w:p>
    <w:p w14:paraId="0D79FD8F">
      <w:pPr>
        <w:pStyle w:val="4"/>
        <w:tabs>
          <w:tab w:val="left" w:pos="371"/>
        </w:tabs>
        <w:spacing w:before="120" w:after="120"/>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100"/>
      <w:bookmarkEnd w:id="101"/>
    </w:p>
    <w:p w14:paraId="4D0DE718">
      <w:pPr>
        <w:jc w:val="center"/>
        <w:rPr>
          <w:rFonts w:eastAsiaTheme="minorEastAsia"/>
        </w:rPr>
      </w:pPr>
      <w:r>
        <w:rPr>
          <w:rFonts w:hint="eastAsia" w:asciiTheme="minorEastAsia" w:hAnsiTheme="minorEastAsia" w:eastAsiaTheme="minorEastAsia"/>
        </w:rPr>
        <w:t>（如有，格式自定）</w:t>
      </w:r>
    </w:p>
    <w:p w14:paraId="4F109DEC">
      <w:pPr>
        <w:pStyle w:val="2"/>
      </w:pPr>
    </w:p>
    <w:p w14:paraId="05A412D3"/>
    <w:p w14:paraId="38921C39"/>
    <w:p w14:paraId="41832F5A"/>
    <w:p w14:paraId="7FA2D0E0"/>
    <w:p w14:paraId="3FA07F83"/>
    <w:p w14:paraId="79C76865">
      <w:r>
        <w:br w:type="page"/>
      </w:r>
    </w:p>
    <w:p w14:paraId="73218C86">
      <w:pPr>
        <w:spacing w:line="240" w:lineRule="exact"/>
      </w:pPr>
    </w:p>
    <w:p w14:paraId="7C5A7096">
      <w:pPr>
        <w:pStyle w:val="2"/>
      </w:pPr>
      <w:bookmarkStart w:id="102" w:name="_Toc22549"/>
      <w:r>
        <w:rPr>
          <w:rFonts w:hint="eastAsia"/>
        </w:rPr>
        <w:t>招标文件第二册（通用部分）</w:t>
      </w:r>
      <w:bookmarkEnd w:id="102"/>
    </w:p>
    <w:p w14:paraId="6C0383B6">
      <w:pPr>
        <w:pStyle w:val="3"/>
      </w:pPr>
      <w:bookmarkStart w:id="103" w:name="_Toc24163"/>
      <w:bookmarkStart w:id="104" w:name="_Toc3145"/>
      <w:r>
        <w:rPr>
          <w:rFonts w:hint="eastAsia"/>
        </w:rPr>
        <w:t>一、说</w:t>
      </w:r>
      <w:r>
        <w:t xml:space="preserve">  </w:t>
      </w:r>
      <w:r>
        <w:rPr>
          <w:rFonts w:hint="eastAsia"/>
        </w:rPr>
        <w:t>明</w:t>
      </w:r>
      <w:bookmarkEnd w:id="103"/>
      <w:bookmarkEnd w:id="104"/>
    </w:p>
    <w:p w14:paraId="748DFAF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FC30E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本招标文件仅适用于投标资料表第1项所叙述项目的货物、工程及服务采购。</w:t>
      </w:r>
    </w:p>
    <w:p w14:paraId="23E5265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w:t>
      </w:r>
      <w:r>
        <w:rPr>
          <w:rFonts w:hint="eastAsia"/>
          <w:snapToGrid w:val="0"/>
          <w:kern w:val="0"/>
        </w:rPr>
        <w:t>按照《中华人民共和国政府采购法》《中华人民共和国政府采购条例实施细则》及有关招投标法规、规章、规定通过招标来择优选定投标人</w:t>
      </w:r>
      <w:r>
        <w:rPr>
          <w:rFonts w:hint="eastAsia" w:asciiTheme="minorEastAsia" w:hAnsiTheme="minorEastAsia" w:eastAsiaTheme="minorEastAsia"/>
          <w:snapToGrid w:val="0"/>
          <w:kern w:val="0"/>
        </w:rPr>
        <w:t>。</w:t>
      </w:r>
    </w:p>
    <w:p w14:paraId="51EDA88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06AB79D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”是指投标资料表第2项所述。</w:t>
      </w:r>
    </w:p>
    <w:p w14:paraId="5539C45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”是指投标资料表第3项所述。</w:t>
      </w:r>
    </w:p>
    <w:p w14:paraId="43A268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提交投标文件的供应商。</w:t>
      </w:r>
    </w:p>
    <w:p w14:paraId="2813D76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71C57F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19CBD8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1D41ABE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096DA4F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采购资金通过投标资料表第4 项的方式获得，并用于采购合同下的合格支付。</w:t>
      </w:r>
    </w:p>
    <w:p w14:paraId="2153DEB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BE3505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2A85C4F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BAEDC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079872D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D2C28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6ED7744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A7F73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符合投标资料表第5项规定的条件。</w:t>
      </w:r>
    </w:p>
    <w:p w14:paraId="158E50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4B332CB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以下有关联合体投标的条款仅适用于允许投标人组成联合体投标的项目。是否允许联合体投标以《投标资料表》中第6项的规定或说明为准。</w:t>
      </w:r>
    </w:p>
    <w:p w14:paraId="2A8ACF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4007638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21E9995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F60632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0842ADF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51952AF0">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7A356C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2D2320C1">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3D3CAE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5931F6A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（3）是否允许联合体参加投标，应当由采购人和招标代理机构根据项目的实际情况和潜在供应商的数量自主决定，如果决定接受联合体投标则应当在采购公告中明示。</w:t>
      </w:r>
    </w:p>
    <w:p w14:paraId="4D4EC2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A5BE4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702A26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6DA32A4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716BD9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AF495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0BD465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（10）本次招标中“投标人”一词亦指联合体各方，《投标资料表》另有规定或说明的除外。</w:t>
      </w:r>
    </w:p>
    <w:p w14:paraId="592568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358B66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5A10AC03">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0B74C31A">
      <w:pPr>
        <w:spacing w:line="360" w:lineRule="auto"/>
        <w:rPr>
          <w:rFonts w:asciiTheme="minorEastAsia" w:hAnsiTheme="minorEastAsia" w:eastAsiaTheme="minorEastAsia"/>
        </w:rPr>
      </w:pPr>
      <w:r>
        <w:rPr>
          <w:rFonts w:hint="eastAsia" w:asciiTheme="minorEastAsia" w:hAnsiTheme="minorEastAsia" w:eastAsiaTheme="minorEastAsia"/>
        </w:rPr>
        <w:t>6.1  本项目按投标资料表第7项的规定安排现场踏勘，以便投标人获取须自己负责的有关编制投标文件和签署合同所需的所有资料。踏勘现场所发生的费用由投标人自己承担。</w:t>
      </w:r>
    </w:p>
    <w:p w14:paraId="266F9730">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对投标人由此而做出的推论、理解和结论概不负责。</w:t>
      </w:r>
    </w:p>
    <w:p w14:paraId="3E04CD05">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及其人员承担有关的责任和蒙受损失。投标人并应对由此次踏勘现场造成的死亡、人身伤害、财产损失、损害以及任何其它损失、损害和引起的费用和开支承担责任。</w:t>
      </w:r>
    </w:p>
    <w:p w14:paraId="11A2E3EE">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292E441B">
      <w:pPr>
        <w:adjustRightInd w:val="0"/>
        <w:spacing w:line="360" w:lineRule="auto"/>
        <w:jc w:val="center"/>
        <w:rPr>
          <w:rFonts w:asciiTheme="minorEastAsia" w:hAnsiTheme="minorEastAsia" w:eastAsiaTheme="minorEastAsia"/>
          <w:b/>
          <w:snapToGrid w:val="0"/>
          <w:kern w:val="0"/>
        </w:rPr>
      </w:pPr>
      <w:bookmarkStart w:id="105" w:name="q5"/>
      <w:bookmarkEnd w:id="105"/>
    </w:p>
    <w:p w14:paraId="117B2AE0">
      <w:pPr>
        <w:pStyle w:val="3"/>
      </w:pPr>
      <w:bookmarkStart w:id="106" w:name="_Toc6814"/>
      <w:bookmarkStart w:id="107" w:name="_Toc10872"/>
      <w:r>
        <w:rPr>
          <w:rFonts w:hint="eastAsia"/>
        </w:rPr>
        <w:t>二、招标文件说明</w:t>
      </w:r>
      <w:bookmarkEnd w:id="106"/>
      <w:bookmarkEnd w:id="107"/>
    </w:p>
    <w:p w14:paraId="5EDFEB4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51D27D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8CA44F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招标文件第一册（专用部分）</w:t>
      </w:r>
    </w:p>
    <w:p w14:paraId="78E2DC1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25C2490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EAE465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第三章 定价方式、合同类型和风险管理措施； </w:t>
      </w:r>
    </w:p>
    <w:p w14:paraId="56C3FF1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资格审查和评标方法；</w:t>
      </w:r>
    </w:p>
    <w:p w14:paraId="54A5FD74">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合同文本；</w:t>
      </w:r>
    </w:p>
    <w:p w14:paraId="6720F7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投标资料表；</w:t>
      </w:r>
    </w:p>
    <w:p w14:paraId="1454005F">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49B0103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招标文件第二册（通用部分）</w:t>
      </w:r>
    </w:p>
    <w:p w14:paraId="4E6DB6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1C349FE1">
      <w:pPr>
        <w:adjustRightInd w:val="0"/>
        <w:spacing w:line="360" w:lineRule="auto"/>
        <w:rPr>
          <w:snapToGrid w:val="0"/>
          <w:kern w:val="0"/>
        </w:rPr>
      </w:pPr>
      <w:r>
        <w:rPr>
          <w:rFonts w:hint="eastAsia"/>
          <w:snapToGrid w:val="0"/>
          <w:kern w:val="0"/>
        </w:rPr>
        <w:t>8</w:t>
      </w:r>
      <w:r>
        <w:rPr>
          <w:snapToGrid w:val="0"/>
          <w:kern w:val="0"/>
        </w:rPr>
        <w:t>.1</w:t>
      </w:r>
      <w:r>
        <w:rPr>
          <w:rFonts w:hint="eastAsia"/>
          <w:snapToGrid w:val="0"/>
          <w:kern w:val="0"/>
        </w:rPr>
        <w:t xml:space="preserve"> </w:t>
      </w:r>
      <w:r>
        <w:rPr>
          <w:snapToGrid w:val="0"/>
          <w:kern w:val="0"/>
        </w:rPr>
        <w:t xml:space="preserve"> </w:t>
      </w:r>
      <w:r>
        <w:rPr>
          <w:rFonts w:hint="eastAsia"/>
          <w:snapToGrid w:val="0"/>
          <w:kern w:val="0"/>
        </w:rPr>
        <w:t>投标人对招标文件如有疑点，可要求澄清，应在投标截止日10日前按投标邀请中载明的地址以书面形式（包括信函、传真，下同）通知到</w:t>
      </w:r>
      <w:r>
        <w:rPr>
          <w:rFonts w:hint="eastAsia" w:ascii="宋体" w:hAnsi="宋体" w:cs="宋体"/>
          <w:bCs/>
          <w:snapToGrid w:val="0"/>
          <w:kern w:val="0"/>
        </w:rPr>
        <w:t>招标代理机构</w:t>
      </w:r>
      <w:r>
        <w:rPr>
          <w:rFonts w:hint="eastAsia"/>
          <w:snapToGrid w:val="0"/>
          <w:kern w:val="0"/>
        </w:rPr>
        <w:t>。</w:t>
      </w:r>
      <w:r>
        <w:rPr>
          <w:rFonts w:hint="eastAsia" w:ascii="宋体" w:hAnsi="宋体" w:cs="宋体"/>
          <w:bCs/>
          <w:snapToGrid w:val="0"/>
          <w:kern w:val="0"/>
        </w:rPr>
        <w:t>招标代理机构</w:t>
      </w:r>
      <w:r>
        <w:rPr>
          <w:rFonts w:hint="eastAsia"/>
          <w:snapToGrid w:val="0"/>
          <w:kern w:val="0"/>
        </w:rPr>
        <w:t>将视情况确定采用适当方式予以澄清或以书面形式予以答复，并在其认为必要时，将不标明查询来源的书面答复发给已购买招标文件的每一投标人。</w:t>
      </w:r>
    </w:p>
    <w:p w14:paraId="77121A6E">
      <w:pPr>
        <w:adjustRightInd w:val="0"/>
        <w:spacing w:line="360" w:lineRule="auto"/>
        <w:rPr>
          <w:snapToGrid w:val="0"/>
          <w:kern w:val="0"/>
        </w:rPr>
      </w:pPr>
      <w:r>
        <w:rPr>
          <w:rFonts w:hint="eastAsia"/>
          <w:snapToGrid w:val="0"/>
          <w:kern w:val="0"/>
        </w:rPr>
        <w:t>8</w:t>
      </w:r>
      <w:r>
        <w:rPr>
          <w:snapToGrid w:val="0"/>
          <w:kern w:val="0"/>
        </w:rPr>
        <w:t>.2</w:t>
      </w:r>
      <w:r>
        <w:rPr>
          <w:rFonts w:hint="eastAsia"/>
          <w:snapToGrid w:val="0"/>
          <w:kern w:val="0"/>
        </w:rPr>
        <w:t xml:space="preserve">  采购人或招标代理机构对已发出的招标文件进行必要澄清或者修改的，应当在投标资料表规定的提交投标文件截止时间</w:t>
      </w:r>
      <w:r>
        <w:rPr>
          <w:snapToGrid w:val="0"/>
          <w:kern w:val="0"/>
        </w:rPr>
        <w:t>15</w:t>
      </w:r>
      <w:r>
        <w:rPr>
          <w:rFonts w:hint="eastAsia"/>
          <w:snapToGrid w:val="0"/>
          <w:kern w:val="0"/>
        </w:rPr>
        <w:t>日前，在原刊登招标公告的媒体上发布更正公告，并以书面形式通知所有招标文件收受人。</w:t>
      </w:r>
    </w:p>
    <w:p w14:paraId="44EBBD2B">
      <w:pPr>
        <w:adjustRightInd w:val="0"/>
        <w:spacing w:line="360" w:lineRule="auto"/>
        <w:rPr>
          <w:snapToGrid w:val="0"/>
          <w:kern w:val="0"/>
        </w:rPr>
      </w:pPr>
      <w:r>
        <w:rPr>
          <w:rFonts w:hint="eastAsia"/>
          <w:snapToGrid w:val="0"/>
          <w:kern w:val="0"/>
        </w:rPr>
        <w:t>8</w:t>
      </w:r>
      <w:r>
        <w:rPr>
          <w:snapToGrid w:val="0"/>
          <w:kern w:val="0"/>
        </w:rPr>
        <w:t>.</w:t>
      </w:r>
      <w:r>
        <w:rPr>
          <w:rFonts w:hint="eastAsia"/>
          <w:snapToGrid w:val="0"/>
          <w:kern w:val="0"/>
        </w:rPr>
        <w:t>3</w:t>
      </w:r>
      <w:r>
        <w:rPr>
          <w:snapToGrid w:val="0"/>
          <w:kern w:val="0"/>
        </w:rPr>
        <w:t xml:space="preserve">  </w:t>
      </w:r>
      <w:r>
        <w:rPr>
          <w:rFonts w:hint="eastAsia"/>
          <w:snapToGrid w:val="0"/>
          <w:kern w:val="0"/>
        </w:rPr>
        <w:t>招标文件的修改将构成招标文件的一部分，对投标人有约束力。</w:t>
      </w:r>
    </w:p>
    <w:p w14:paraId="133BA758">
      <w:pPr>
        <w:adjustRightInd w:val="0"/>
        <w:spacing w:line="360" w:lineRule="auto"/>
        <w:ind w:firstLine="600"/>
        <w:jc w:val="center"/>
        <w:rPr>
          <w:rFonts w:asciiTheme="minorEastAsia" w:hAnsiTheme="minorEastAsia" w:eastAsiaTheme="minorEastAsia"/>
          <w:b/>
          <w:snapToGrid w:val="0"/>
          <w:kern w:val="0"/>
        </w:rPr>
      </w:pPr>
    </w:p>
    <w:p w14:paraId="7FC77A4F">
      <w:pPr>
        <w:pStyle w:val="3"/>
      </w:pPr>
      <w:bookmarkStart w:id="108" w:name="q6"/>
      <w:bookmarkEnd w:id="108"/>
      <w:bookmarkStart w:id="109" w:name="_Toc29833"/>
      <w:bookmarkStart w:id="110" w:name="_Toc21044"/>
      <w:r>
        <w:rPr>
          <w:rFonts w:hint="eastAsia"/>
        </w:rPr>
        <w:t>三、投标文件的编写</w:t>
      </w:r>
      <w:bookmarkEnd w:id="109"/>
      <w:bookmarkEnd w:id="110"/>
    </w:p>
    <w:p w14:paraId="59095A9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5D03EB0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就投标交换的文件和往来的信件，应以中文书写。</w:t>
      </w:r>
    </w:p>
    <w:p w14:paraId="46AC762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2FD29C0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投标文件的组成：详见《第六章  投标文件格式》。</w:t>
      </w:r>
    </w:p>
    <w:p w14:paraId="5F3BBC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78360C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2EBBD18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40EC3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30F8DA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招标代理机构不接受有任何选择的报价。</w:t>
      </w:r>
    </w:p>
    <w:p w14:paraId="35D984D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68B099C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3EB3C92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0B4A746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366D44F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投标文件的有效期按投标资料表第8项规定。</w:t>
      </w:r>
    </w:p>
    <w:p w14:paraId="317FEF4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既不要求也不允许其修改投标文件。</w:t>
      </w:r>
    </w:p>
    <w:p w14:paraId="0B02EB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10D7216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以下有关投标保证金的条款仅适用于需要缴纳投标保证金的项目。是否需要缴纳投标保证金以《投标资料表》中的规定或说明为准。</w:t>
      </w:r>
    </w:p>
    <w:p w14:paraId="6793A09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提交一笔不少于投标资料表第9项所规定的投标保证金。投标保证金为投标文件的组成部分之一。</w:t>
      </w:r>
    </w:p>
    <w:p w14:paraId="6C3C82B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43EBBF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43D8C8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355309D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未中标的投标人的投标保证金，招标代理机构将在中标通知书发出且收到投标人的《投标保证金退还申请表》后5个工作日内退还。</w:t>
      </w:r>
    </w:p>
    <w:p w14:paraId="2228B34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中标人的投标保证金，招标代理机构将在中标人签订合同并支付中标服务费后5个工作日内退还。</w:t>
      </w:r>
    </w:p>
    <w:p w14:paraId="54301EA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06D3ABAE">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已递交了投标保证金的投标人放弃投标，而没有在投标保证金递交截止时间前书面通知招标代理机构的；</w:t>
      </w:r>
    </w:p>
    <w:p w14:paraId="563A37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38BA2C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DBCA16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1D07A7F">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52FDA15">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4B8DB64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22AD7E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4C84C03">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3976DC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认为有必要召开投标预备会，投标人应按照投标资料表第10项规定的或</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主持的投标预备会。</w:t>
      </w:r>
    </w:p>
    <w:p w14:paraId="3B77E8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5B7D0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将做出澄清和解答。</w:t>
      </w:r>
    </w:p>
    <w:p w14:paraId="3E9AC56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DABD25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6CE5F26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14:paraId="534DD40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投标文件数量按投标资料表第11项所述，须在每一份投标文件上明确注明“正本”或“副本”字样。一旦正本和副本有差异，以正本为准。 </w:t>
      </w:r>
    </w:p>
    <w:p w14:paraId="3B83BA5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为了便于投标文件保存，需提交两份投标文件备份光盘（或U盘）。</w:t>
      </w:r>
    </w:p>
    <w:p w14:paraId="1625373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7C21AFE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B8C100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490525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051E9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17.7  投标文件不符合上述规定的，为无效投标。</w:t>
      </w:r>
    </w:p>
    <w:p w14:paraId="066CF193">
      <w:pPr>
        <w:adjustRightInd w:val="0"/>
        <w:spacing w:line="360" w:lineRule="auto"/>
        <w:rPr>
          <w:rFonts w:asciiTheme="minorEastAsia" w:hAnsiTheme="minorEastAsia" w:eastAsiaTheme="minorEastAsia"/>
          <w:snapToGrid w:val="0"/>
          <w:kern w:val="0"/>
        </w:rPr>
      </w:pPr>
    </w:p>
    <w:p w14:paraId="024B7FA8">
      <w:pPr>
        <w:pStyle w:val="3"/>
      </w:pPr>
      <w:bookmarkStart w:id="111" w:name="q7"/>
      <w:bookmarkEnd w:id="111"/>
      <w:bookmarkStart w:id="112" w:name="_Toc19041"/>
      <w:bookmarkStart w:id="113" w:name="_Toc31765"/>
      <w:r>
        <w:rPr>
          <w:rFonts w:hint="eastAsia"/>
        </w:rPr>
        <w:t>四、投标文件的递交</w:t>
      </w:r>
      <w:bookmarkEnd w:id="112"/>
      <w:bookmarkEnd w:id="113"/>
    </w:p>
    <w:p w14:paraId="1ABCF1F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2E2100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6F3F4E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28F6D28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2FFE4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名称；</w:t>
      </w:r>
    </w:p>
    <w:p w14:paraId="38C85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2CC2B2A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2DA6DA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31F134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F9B3E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521E4C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555C7F8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投标人应将“开标一览表”单独密封于一信封，在递交投标文件时单独交予</w:t>
      </w:r>
      <w:r>
        <w:rPr>
          <w:rFonts w:hint="eastAsia"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，在信封上应：</w:t>
      </w:r>
    </w:p>
    <w:p w14:paraId="5C3D4E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名称；</w:t>
      </w:r>
    </w:p>
    <w:p w14:paraId="08120E9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0D0E689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B7457A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4E444E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6F62FB2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w:t>
      </w:r>
    </w:p>
    <w:p w14:paraId="18577F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29D5119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7AA522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招标代理机构将拒收或者告知投标人，招标代理机构将不承担投标文件错放或提前开封的责任。对由此造成的提前开封的投标文件将予以拒绝，并退还给投标人。</w:t>
      </w:r>
    </w:p>
    <w:p w14:paraId="5A2057B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138DA9B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投标人应按18.1～18.7中的规定进行密封和标记后，将投标文件按照投标资料表第12项中注明的地址送至招标代理机构。</w:t>
      </w:r>
    </w:p>
    <w:p w14:paraId="264A4C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37BB880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3DD04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3216A80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在投标资料表第</w:t>
      </w:r>
      <w:bookmarkStart w:id="114" w:name="_Hlt35050056"/>
      <w:bookmarkEnd w:id="114"/>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w:t>
      </w:r>
    </w:p>
    <w:p w14:paraId="3EC6B29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修改通知规定的时间递交。</w:t>
      </w:r>
    </w:p>
    <w:p w14:paraId="35DF753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在投标截止时间前30分钟开始接收投标文件。</w:t>
      </w:r>
    </w:p>
    <w:p w14:paraId="78913B2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7E9130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将拒绝接收在投标截止时间后递交的投标文件。</w:t>
      </w:r>
    </w:p>
    <w:p w14:paraId="36F06CF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28BEE6E1">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764350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5812B552">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6D5FE91E">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2C9E87B">
      <w:pPr>
        <w:tabs>
          <w:tab w:val="left" w:pos="0"/>
        </w:tabs>
        <w:adjustRightInd w:val="0"/>
        <w:spacing w:line="360" w:lineRule="auto"/>
        <w:rPr>
          <w:rFonts w:asciiTheme="minorEastAsia" w:hAnsiTheme="minorEastAsia" w:eastAsiaTheme="minorEastAsia"/>
          <w:snapToGrid w:val="0"/>
          <w:kern w:val="0"/>
        </w:rPr>
      </w:pPr>
    </w:p>
    <w:p w14:paraId="043C2E7A">
      <w:pPr>
        <w:pStyle w:val="3"/>
      </w:pPr>
      <w:bookmarkStart w:id="115" w:name="q8"/>
      <w:bookmarkEnd w:id="115"/>
      <w:bookmarkStart w:id="116" w:name="_Toc12223"/>
      <w:bookmarkStart w:id="117" w:name="_Toc25445"/>
      <w:r>
        <w:rPr>
          <w:rFonts w:hint="eastAsia"/>
        </w:rPr>
        <w:t>五、开标和评标</w:t>
      </w:r>
      <w:bookmarkEnd w:id="116"/>
      <w:bookmarkEnd w:id="117"/>
    </w:p>
    <w:p w14:paraId="2FA03C0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B3CC8F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在投标资料表第12项规定的时间和地点公开开标。</w:t>
      </w:r>
    </w:p>
    <w:p w14:paraId="760333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5DD67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302EA57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认为合适的其他内容。</w:t>
      </w:r>
    </w:p>
    <w:p w14:paraId="1472D3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499F518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B5AE6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2BF3D0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7CAAB67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6332EC6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451CC7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51004A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DD8A36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0B40139D">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33C15F38">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6E819F1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156BF9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0D2D787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6CCBDE2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682AC57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2D3663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35DFFA53">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47050F1">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1EBE32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2A880B3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CABC6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443DD1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0A52BC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020B3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1782C7F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1A5837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3A89E2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CEEE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13E06F4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66D4A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40F2D5D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6A9988F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768252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786448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0E0961F8">
      <w:pPr>
        <w:adjustRightInd w:val="0"/>
        <w:spacing w:line="360" w:lineRule="auto"/>
        <w:ind w:left="357"/>
        <w:jc w:val="center"/>
        <w:rPr>
          <w:rFonts w:asciiTheme="minorEastAsia" w:hAnsiTheme="minorEastAsia" w:eastAsiaTheme="minorEastAsia"/>
          <w:b/>
          <w:snapToGrid w:val="0"/>
          <w:kern w:val="0"/>
        </w:rPr>
      </w:pPr>
      <w:bookmarkStart w:id="118" w:name="q9"/>
      <w:bookmarkEnd w:id="118"/>
    </w:p>
    <w:p w14:paraId="1BF7E324">
      <w:pPr>
        <w:pStyle w:val="3"/>
      </w:pPr>
      <w:bookmarkStart w:id="119" w:name="_Toc21988"/>
      <w:bookmarkStart w:id="120" w:name="_Toc26124"/>
      <w:r>
        <w:rPr>
          <w:rFonts w:hint="eastAsia"/>
        </w:rPr>
        <w:t>六、授予合同</w:t>
      </w:r>
      <w:bookmarkEnd w:id="119"/>
      <w:bookmarkEnd w:id="120"/>
    </w:p>
    <w:p w14:paraId="12C8301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7D8BBAF">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49E7D82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36CF78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37025E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3ACD1D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中标人向招标代理机构支付中标服务费后，领取《中标通知书》。</w:t>
      </w:r>
    </w:p>
    <w:p w14:paraId="56B7BB7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29ACB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6D28974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3952F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5C003A2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33DB06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59E6290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提交投标资料表第15项规定的履约保证金。</w:t>
      </w:r>
    </w:p>
    <w:p w14:paraId="59179C4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609E67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中标服务费按投标资料表第16项所述。</w:t>
      </w:r>
    </w:p>
    <w:p w14:paraId="5CC8EA6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374E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408E9DA1">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451610" cy="73215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tYT3RAAAACAEAAA8AAAAAAAAAAQAgAAAAIgAAAGRycy9kb3ducmV2LnhtbFBLAQIUABQAAAAI&#10;AIdO4kBHtBzs9AEAAPYDAAAOAAAAAAAAAAEAIAAAACABAABkcnMvZTJvRG9jLnhtbFBLBQYAAAAA&#10;BgAGAFkBAACG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981200" cy="42164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o/+y0wAAAAkBAAAPAAAAAAAAAAEAIAAAACIAAABkcnMvZG93bnJldi54bWxQSwECFAAU&#10;AAAACACHTuJAHmsIxPYBAAD2AwAADgAAAAAAAAABACAAAAAiAQAAZHJzL2Uyb0RvYy54bWxQSwUG&#10;AAAAAAYABgBZAQAAig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5HTftUAAAAJAQAADwAA&#10;AAAAAAABACAAAAAiAAAAZHJzL2Rvd25yZXYueG1sUEsBAhQAFAAAAAgAh07iQDL2qurgAQAA2QMA&#10;AA4AAAAAAAAAAQAgAAAAJAEAAGRycy9lMm9Eb2MueG1sUEsFBgAAAAAGAAYAWQEAAHY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3C25801C">
            <w:pPr>
              <w:ind w:firstLine="392" w:firstLineChars="186"/>
              <w:rPr>
                <w:rFonts w:ascii="宋体" w:hAnsi="宋体"/>
                <w:b/>
                <w:szCs w:val="21"/>
              </w:rPr>
            </w:pPr>
            <w:r>
              <w:rPr>
                <w:rFonts w:hint="eastAsia" w:ascii="宋体" w:hAnsi="宋体"/>
                <w:b/>
                <w:szCs w:val="21"/>
              </w:rPr>
              <w:t>费率　　　　　</w:t>
            </w:r>
          </w:p>
          <w:p w14:paraId="7AACD388">
            <w:pPr>
              <w:ind w:firstLine="1054"/>
              <w:rPr>
                <w:rFonts w:ascii="宋体" w:hAnsi="宋体"/>
                <w:b/>
                <w:szCs w:val="21"/>
              </w:rPr>
            </w:pPr>
            <w:r>
              <w:rPr>
                <w:rFonts w:hint="eastAsia" w:ascii="宋体" w:hAnsi="宋体"/>
                <w:b/>
                <w:szCs w:val="21"/>
              </w:rPr>
              <w:t>　　　</w:t>
            </w:r>
          </w:p>
          <w:p w14:paraId="4AA20E5D">
            <w:pPr>
              <w:rPr>
                <w:rFonts w:ascii="宋体" w:hAnsi="宋体"/>
                <w:b/>
                <w:szCs w:val="21"/>
              </w:rPr>
            </w:pPr>
            <w:r>
              <w:rPr>
                <w:rFonts w:hint="eastAsia" w:ascii="宋体" w:hAnsi="宋体"/>
                <w:b/>
                <w:szCs w:val="21"/>
              </w:rPr>
              <w:t>中标金额</w:t>
            </w:r>
          </w:p>
        </w:tc>
        <w:tc>
          <w:tcPr>
            <w:tcW w:w="2056" w:type="dxa"/>
            <w:vAlign w:val="center"/>
          </w:tcPr>
          <w:p w14:paraId="4E4CF4C4">
            <w:pPr>
              <w:jc w:val="center"/>
              <w:rPr>
                <w:rFonts w:ascii="宋体" w:hAnsi="宋体"/>
                <w:b/>
                <w:szCs w:val="21"/>
              </w:rPr>
            </w:pPr>
            <w:r>
              <w:rPr>
                <w:rFonts w:hint="eastAsia" w:ascii="宋体" w:hAnsi="宋体"/>
                <w:b/>
                <w:szCs w:val="21"/>
              </w:rPr>
              <w:t>货物采购</w:t>
            </w:r>
          </w:p>
        </w:tc>
        <w:tc>
          <w:tcPr>
            <w:tcW w:w="2056" w:type="dxa"/>
            <w:vAlign w:val="center"/>
          </w:tcPr>
          <w:p w14:paraId="30BBF137">
            <w:pPr>
              <w:jc w:val="center"/>
              <w:rPr>
                <w:rFonts w:ascii="宋体" w:hAnsi="宋体"/>
                <w:b/>
                <w:szCs w:val="21"/>
              </w:rPr>
            </w:pPr>
            <w:r>
              <w:rPr>
                <w:rFonts w:hint="eastAsia" w:ascii="宋体" w:hAnsi="宋体"/>
                <w:b/>
                <w:szCs w:val="21"/>
              </w:rPr>
              <w:t>服务采购</w:t>
            </w:r>
          </w:p>
        </w:tc>
        <w:tc>
          <w:tcPr>
            <w:tcW w:w="2057" w:type="dxa"/>
            <w:vAlign w:val="center"/>
          </w:tcPr>
          <w:p w14:paraId="368069BE">
            <w:pPr>
              <w:jc w:val="center"/>
              <w:rPr>
                <w:rFonts w:ascii="宋体" w:hAnsi="宋体"/>
                <w:b/>
                <w:szCs w:val="21"/>
              </w:rPr>
            </w:pPr>
            <w:r>
              <w:rPr>
                <w:rFonts w:hint="eastAsia" w:ascii="宋体" w:hAnsi="宋体"/>
                <w:b/>
                <w:szCs w:val="21"/>
              </w:rPr>
              <w:t>工程采购</w:t>
            </w:r>
          </w:p>
        </w:tc>
      </w:tr>
      <w:tr w14:paraId="5FDE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BBB587">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6BF8F5AA">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3A672560">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4784ACD8">
            <w:pPr>
              <w:widowControl/>
              <w:snapToGrid w:val="0"/>
              <w:jc w:val="center"/>
              <w:rPr>
                <w:rFonts w:ascii="宋体" w:hAnsi="宋体"/>
                <w:kern w:val="0"/>
                <w:szCs w:val="21"/>
              </w:rPr>
            </w:pPr>
            <w:r>
              <w:rPr>
                <w:rFonts w:hint="eastAsia" w:ascii="宋体" w:hAnsi="宋体"/>
                <w:kern w:val="0"/>
                <w:szCs w:val="21"/>
              </w:rPr>
              <w:t>1.000%</w:t>
            </w:r>
          </w:p>
        </w:tc>
      </w:tr>
      <w:tr w14:paraId="3FB2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64E745B">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1107ADC7">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5D70F8B8">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6D36854">
            <w:pPr>
              <w:widowControl/>
              <w:snapToGrid w:val="0"/>
              <w:jc w:val="center"/>
              <w:rPr>
                <w:rFonts w:ascii="宋体" w:hAnsi="宋体"/>
                <w:kern w:val="0"/>
                <w:szCs w:val="21"/>
              </w:rPr>
            </w:pPr>
            <w:r>
              <w:rPr>
                <w:rFonts w:hint="eastAsia" w:ascii="宋体" w:hAnsi="宋体"/>
                <w:kern w:val="0"/>
                <w:szCs w:val="21"/>
              </w:rPr>
              <w:t>0.700%</w:t>
            </w:r>
          </w:p>
        </w:tc>
      </w:tr>
      <w:tr w14:paraId="5CB1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43116B4">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0F558B91">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5BDC2905">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5D8AB3F">
            <w:pPr>
              <w:widowControl/>
              <w:snapToGrid w:val="0"/>
              <w:jc w:val="center"/>
              <w:rPr>
                <w:rFonts w:ascii="宋体" w:hAnsi="宋体"/>
                <w:kern w:val="0"/>
                <w:szCs w:val="21"/>
              </w:rPr>
            </w:pPr>
            <w:r>
              <w:rPr>
                <w:rFonts w:hint="eastAsia" w:ascii="宋体" w:hAnsi="宋体"/>
                <w:kern w:val="0"/>
                <w:szCs w:val="21"/>
              </w:rPr>
              <w:t>0.550%</w:t>
            </w:r>
          </w:p>
        </w:tc>
      </w:tr>
      <w:tr w14:paraId="59FD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B795435">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4A4D3E9">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577AF8F5">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51020F41">
            <w:pPr>
              <w:widowControl/>
              <w:snapToGrid w:val="0"/>
              <w:jc w:val="center"/>
              <w:rPr>
                <w:rFonts w:ascii="宋体" w:hAnsi="宋体"/>
                <w:kern w:val="0"/>
                <w:szCs w:val="21"/>
              </w:rPr>
            </w:pPr>
            <w:r>
              <w:rPr>
                <w:rFonts w:hint="eastAsia" w:ascii="宋体" w:hAnsi="宋体"/>
                <w:kern w:val="0"/>
                <w:szCs w:val="21"/>
              </w:rPr>
              <w:t>0.350%</w:t>
            </w:r>
          </w:p>
        </w:tc>
      </w:tr>
      <w:tr w14:paraId="3E67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0F8555C">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0CB5DBCE">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601E946F">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5C11635E">
            <w:pPr>
              <w:widowControl/>
              <w:snapToGrid w:val="0"/>
              <w:jc w:val="center"/>
              <w:rPr>
                <w:rFonts w:ascii="宋体" w:hAnsi="宋体"/>
                <w:kern w:val="0"/>
                <w:szCs w:val="21"/>
              </w:rPr>
            </w:pPr>
            <w:r>
              <w:rPr>
                <w:rFonts w:hint="eastAsia" w:ascii="宋体" w:hAnsi="宋体"/>
                <w:kern w:val="0"/>
                <w:szCs w:val="21"/>
              </w:rPr>
              <w:t>0.200%</w:t>
            </w:r>
          </w:p>
        </w:tc>
      </w:tr>
      <w:tr w14:paraId="6DE0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25E2208A">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5C2AAF3B">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5614C522">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305563A8">
            <w:pPr>
              <w:widowControl/>
              <w:snapToGrid w:val="0"/>
              <w:jc w:val="center"/>
              <w:rPr>
                <w:rFonts w:ascii="宋体" w:hAnsi="宋体"/>
                <w:kern w:val="0"/>
                <w:szCs w:val="21"/>
              </w:rPr>
            </w:pPr>
            <w:r>
              <w:rPr>
                <w:rFonts w:hint="eastAsia" w:ascii="宋体" w:hAnsi="宋体"/>
                <w:kern w:val="0"/>
                <w:szCs w:val="21"/>
              </w:rPr>
              <w:t>0.050%</w:t>
            </w:r>
          </w:p>
        </w:tc>
      </w:tr>
      <w:tr w14:paraId="2FA0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6CDA10">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3EAA7549">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B4A3F1A">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683DE069">
            <w:pPr>
              <w:widowControl/>
              <w:snapToGrid w:val="0"/>
              <w:jc w:val="center"/>
              <w:rPr>
                <w:rFonts w:ascii="宋体" w:hAnsi="宋体"/>
                <w:bCs/>
                <w:kern w:val="0"/>
                <w:szCs w:val="21"/>
              </w:rPr>
            </w:pPr>
            <w:r>
              <w:rPr>
                <w:rFonts w:hint="eastAsia" w:ascii="宋体" w:hAnsi="宋体"/>
                <w:bCs/>
                <w:kern w:val="0"/>
                <w:szCs w:val="21"/>
              </w:rPr>
              <w:t>0.035%</w:t>
            </w:r>
          </w:p>
        </w:tc>
      </w:tr>
      <w:tr w14:paraId="36B8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87F78CD">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6115D54D">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917D1DE">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785BFA9D">
            <w:pPr>
              <w:widowControl/>
              <w:snapToGrid w:val="0"/>
              <w:jc w:val="center"/>
              <w:rPr>
                <w:rFonts w:ascii="宋体" w:hAnsi="宋体"/>
                <w:bCs/>
                <w:kern w:val="0"/>
                <w:szCs w:val="21"/>
              </w:rPr>
            </w:pPr>
            <w:r>
              <w:rPr>
                <w:rFonts w:hint="eastAsia" w:ascii="宋体" w:hAnsi="宋体"/>
                <w:bCs/>
                <w:kern w:val="0"/>
                <w:szCs w:val="21"/>
              </w:rPr>
              <w:t>0.008%</w:t>
            </w:r>
          </w:p>
        </w:tc>
      </w:tr>
      <w:tr w14:paraId="0127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75E7AC2">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68FB601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1A8D1A58">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2C6583E">
            <w:pPr>
              <w:widowControl/>
              <w:snapToGrid w:val="0"/>
              <w:jc w:val="center"/>
              <w:rPr>
                <w:rFonts w:ascii="宋体" w:hAnsi="宋体"/>
                <w:bCs/>
                <w:kern w:val="0"/>
                <w:szCs w:val="21"/>
              </w:rPr>
            </w:pPr>
            <w:r>
              <w:rPr>
                <w:rFonts w:hint="eastAsia" w:ascii="宋体" w:hAnsi="宋体"/>
                <w:bCs/>
                <w:kern w:val="0"/>
                <w:szCs w:val="21"/>
              </w:rPr>
              <w:t>0.006%</w:t>
            </w:r>
          </w:p>
        </w:tc>
      </w:tr>
      <w:tr w14:paraId="4173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10721CA4">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B8B4E34">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1EF63E6">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33306E2">
            <w:pPr>
              <w:widowControl/>
              <w:snapToGrid w:val="0"/>
              <w:jc w:val="center"/>
              <w:rPr>
                <w:rFonts w:ascii="宋体" w:hAnsi="宋体"/>
                <w:bCs/>
                <w:kern w:val="0"/>
                <w:szCs w:val="21"/>
              </w:rPr>
            </w:pPr>
            <w:r>
              <w:rPr>
                <w:rFonts w:hint="eastAsia" w:ascii="宋体" w:hAnsi="宋体"/>
                <w:bCs/>
                <w:kern w:val="0"/>
                <w:szCs w:val="21"/>
              </w:rPr>
              <w:t>0.004%</w:t>
            </w:r>
          </w:p>
        </w:tc>
      </w:tr>
    </w:tbl>
    <w:p w14:paraId="3A024B71">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14:paraId="40D647E0">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3DE3035F">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1711218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7F912F95">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7FD93365">
      <w:pPr>
        <w:spacing w:line="360" w:lineRule="auto"/>
        <w:ind w:firstLine="1044" w:firstLineChars="200"/>
        <w:rPr>
          <w:b/>
          <w:sz w:val="52"/>
          <w:szCs w:val="52"/>
        </w:rPr>
      </w:pPr>
    </w:p>
    <w:p w14:paraId="7F90B043">
      <w:pPr>
        <w:pStyle w:val="3"/>
      </w:pPr>
      <w:bookmarkStart w:id="121" w:name="_Toc32745"/>
      <w:bookmarkStart w:id="122" w:name="_Toc15876"/>
      <w:r>
        <w:rPr>
          <w:rFonts w:hint="eastAsia"/>
        </w:rPr>
        <w:t>七、质疑处理</w:t>
      </w:r>
      <w:bookmarkEnd w:id="121"/>
      <w:bookmarkEnd w:id="122"/>
    </w:p>
    <w:p w14:paraId="5947218D">
      <w:pPr>
        <w:spacing w:line="360" w:lineRule="auto"/>
        <w:rPr>
          <w:rFonts w:asciiTheme="majorEastAsia" w:hAnsiTheme="majorEastAsia" w:eastAsiaTheme="majorEastAsia"/>
          <w:b/>
          <w:bCs/>
          <w:szCs w:val="21"/>
        </w:rPr>
      </w:pPr>
      <w:bookmarkStart w:id="123" w:name="_Hlk72439706"/>
      <w:r>
        <w:rPr>
          <w:rFonts w:hint="eastAsia" w:asciiTheme="majorEastAsia" w:hAnsiTheme="majorEastAsia" w:eastAsiaTheme="majorEastAsia"/>
          <w:b/>
          <w:bCs/>
          <w:szCs w:val="21"/>
        </w:rPr>
        <w:t>35.质疑提出与答复</w:t>
      </w:r>
    </w:p>
    <w:p w14:paraId="5FEB652A">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6A864C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参与政府采购活动的供应商认为自己的权益在采购活动中受到损害的，应当自知道或者应当知道其权益受到损害之日起七个工作日内向采购人、招标代理机构以书面形式提出质疑。</w:t>
      </w:r>
    </w:p>
    <w:p w14:paraId="50A8421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295A525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《中华人民共和国政府采购法》、《中华人民共和国政府采购法实施条例》、《政府采购质疑和投诉办法》（财政部令第94号）和其他有关法律法规规定。</w:t>
      </w:r>
    </w:p>
    <w:p w14:paraId="12D9F12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3D66F44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124" w:name="_Hlk75374941"/>
      <w:r>
        <w:rPr>
          <w:rFonts w:hint="eastAsia" w:asciiTheme="majorEastAsia" w:hAnsiTheme="majorEastAsia" w:eastAsiaTheme="majorEastAsia"/>
          <w:szCs w:val="21"/>
        </w:rPr>
        <w:t>以联合体形式参与的，质疑应当由组成联合体的所有成员共同提出</w:t>
      </w:r>
      <w:bookmarkEnd w:id="124"/>
      <w:r>
        <w:rPr>
          <w:rFonts w:hint="eastAsia" w:asciiTheme="majorEastAsia" w:hAnsiTheme="majorEastAsia" w:eastAsiaTheme="majorEastAsia"/>
          <w:szCs w:val="21"/>
        </w:rPr>
        <w:t>；</w:t>
      </w:r>
    </w:p>
    <w:p w14:paraId="6FB255B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7F28F12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502ED721">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4B4AF3C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625F2C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1723F9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347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6F981DD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EE4E47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2C04ED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40FB851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617A2F0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683558F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45804E7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4FCCF484">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招标代理机构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3461994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02B4579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招标代理机构自收到质疑材料之日起即为受理，并向供应商出具质疑函受理回执并可以要求其递交质疑的法定代表人（负责人）或者授权代理人签署质疑文书送达地址确认书。</w:t>
      </w:r>
    </w:p>
    <w:p w14:paraId="526CFFE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65D4658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供应商提交的质疑材料不全或者未按要求签字或者盖章的，招标代理机构应当一次性告知供应商需补正的内容和补正期限。</w:t>
      </w:r>
    </w:p>
    <w:p w14:paraId="35E1373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AADB2E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DBA7A9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0691679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64A8E1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A456DF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F7E2AC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质疑事项不予受理的，招标代理机构应当向供应商出具不符合质疑条件告知书。</w:t>
      </w:r>
    </w:p>
    <w:p w14:paraId="44F35DE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4A79D36">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2C1F652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73B86F48">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123"/>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6F83A98-81CC-4D75-B161-4757AE753A86}"/>
  </w:font>
  <w:font w:name="黑体">
    <w:panose1 w:val="02010609060101010101"/>
    <w:charset w:val="86"/>
    <w:family w:val="auto"/>
    <w:pitch w:val="default"/>
    <w:sig w:usb0="800002BF" w:usb1="38CF7CFA" w:usb2="00000016" w:usb3="00000000" w:csb0="00040001" w:csb1="00000000"/>
    <w:embedRegular r:id="rId2" w:fontKey="{60DB2996-9712-4570-A043-5B2F05C135B9}"/>
  </w:font>
  <w:font w:name="Courier New">
    <w:panose1 w:val="02070309020205020404"/>
    <w:charset w:val="01"/>
    <w:family w:val="modern"/>
    <w:pitch w:val="default"/>
    <w:sig w:usb0="E0002EFF" w:usb1="C0007843" w:usb2="00000009" w:usb3="00000000" w:csb0="400001FF" w:csb1="FFFF0000"/>
    <w:embedRegular r:id="rId3" w:fontKey="{67310B15-5A8D-4A06-8416-984BEDA4C75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D42FC5D3-BB03-495D-BFFF-9E6DA61FB7A6}"/>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5" w:fontKey="{DB950C87-9948-47BC-B59E-2E452F5EFAC2}"/>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6" w:fontKey="{8CAC132F-843A-4F81-8841-8F8694C50AE6}"/>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embedRegular r:id="rId7" w:fontKey="{A121BE44-B652-4403-94AC-B62B212845F1}"/>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宋体"/>
    <w:panose1 w:val="00000000000000000000"/>
    <w:charset w:val="86"/>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ˎ̥">
    <w:altName w:val="Times New Roman"/>
    <w:panose1 w:val="00000000000000000000"/>
    <w:charset w:val="00"/>
    <w:family w:val="auto"/>
    <w:pitch w:val="default"/>
    <w:sig w:usb0="00000000" w:usb1="00000000" w:usb2="00000000" w:usb3="00000000" w:csb0="00040001" w:csb1="00000000"/>
  </w:font>
  <w:font w:name="??">
    <w:altName w:val="微软雅黑"/>
    <w:panose1 w:val="00000000000000000000"/>
    <w:charset w:val="00"/>
    <w:family w:val="auto"/>
    <w:pitch w:val="default"/>
    <w:sig w:usb0="00000000" w:usb1="00000000" w:usb2="00000000" w:usb3="00000000" w:csb0="00040001" w:csb1="00000000"/>
  </w:font>
  <w:font w:name="方正仿宋_GBK">
    <w:panose1 w:val="02000000000000000000"/>
    <w:charset w:val="86"/>
    <w:family w:val="script"/>
    <w:pitch w:val="default"/>
    <w:sig w:usb0="A00002BF" w:usb1="38CF7CFA" w:usb2="00082016" w:usb3="00000000" w:csb0="00040001" w:csb1="00000000"/>
    <w:embedRegular r:id="rId8" w:fontKey="{60DA800F-0AD7-464A-81B1-B2DDE53C3BE7}"/>
  </w:font>
  <w:font w:name="等线 Light">
    <w:panose1 w:val="02010600030101010101"/>
    <w:charset w:val="86"/>
    <w:family w:val="auto"/>
    <w:pitch w:val="default"/>
    <w:sig w:usb0="A00002BF" w:usb1="38CF7CFA" w:usb2="00000016" w:usb3="00000000" w:csb0="0004000F" w:csb1="00000000"/>
  </w:font>
  <w:font w:name="经典等线简">
    <w:altName w:val="宋体"/>
    <w:panose1 w:val="00000000000000000000"/>
    <w:charset w:val="86"/>
    <w:family w:val="auto"/>
    <w:pitch w:val="default"/>
    <w:sig w:usb0="00000000" w:usb1="00000000" w:usb2="0000001E" w:usb3="00000000" w:csb0="00040000" w:csb1="00000000"/>
    <w:embedRegular r:id="rId9" w:fontKey="{2DA9A631-C74F-4D06-B840-C2644009664C}"/>
  </w:font>
  <w:font w:name="经典标宋简">
    <w:altName w:val="宋体"/>
    <w:panose1 w:val="00000000000000000000"/>
    <w:charset w:val="86"/>
    <w:family w:val="auto"/>
    <w:pitch w:val="default"/>
    <w:sig w:usb0="00000000" w:usb1="00000000" w:usb2="0000001E" w:usb3="00000000" w:csb0="00040000" w:csb1="00000000"/>
    <w:embedRegular r:id="rId10" w:fontKey="{8D49BB7C-EB07-41AF-AD60-B9078F992D01}"/>
  </w:font>
  <w:font w:name="MS Mincho">
    <w:panose1 w:val="02020609040205080304"/>
    <w:charset w:val="80"/>
    <w:family w:val="modern"/>
    <w:pitch w:val="default"/>
    <w:sig w:usb0="A00002BF" w:usb1="68C7FCFB" w:usb2="00000010" w:usb3="00000000" w:csb0="4002009F" w:csb1="DFD70000"/>
    <w:embedRegular r:id="rId11" w:fontKey="{109A16CA-9A17-4A5C-BF1D-CAC5CB3BB1E4}"/>
  </w:font>
  <w:font w:name="Segoe UI Symbol">
    <w:panose1 w:val="020B0502040204020203"/>
    <w:charset w:val="00"/>
    <w:family w:val="swiss"/>
    <w:pitch w:val="default"/>
    <w:sig w:usb0="800001E3" w:usb1="1200FFEF" w:usb2="00040000" w:usb3="04000000" w:csb0="00000001" w:csb1="40000000"/>
    <w:embedRegular r:id="rId12" w:fontKey="{50EE2125-0EAD-4972-9DDD-C84A6A54E6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2C931">
    <w:pPr>
      <w:pStyle w:val="33"/>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9</w:t>
    </w:r>
    <w:r>
      <w:rPr>
        <w:rStyle w:val="55"/>
      </w:rPr>
      <w:fldChar w:fldCharType="end"/>
    </w:r>
  </w:p>
  <w:p w14:paraId="75AA2FAB">
    <w:pPr>
      <w:pStyle w:val="33"/>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F724D">
    <w:pPr>
      <w:pStyle w:val="34"/>
      <w:tabs>
        <w:tab w:val="center" w:pos="4819"/>
        <w:tab w:val="right" w:pos="9638"/>
      </w:tabs>
      <w:rPr>
        <w:rFonts w:asciiTheme="minorEastAsia" w:hAnsiTheme="minorEastAsia" w:eastAsiaTheme="minorEastAsia"/>
        <w:sz w:val="15"/>
        <w:szCs w:val="15"/>
      </w:rPr>
    </w:pPr>
    <w:r>
      <w:rPr>
        <w:rFonts w:hint="eastAsia" w:asciiTheme="minorEastAsia" w:hAnsiTheme="minorEastAsia" w:eastAsiaTheme="minorEastAsia"/>
        <w:sz w:val="15"/>
        <w:szCs w:val="15"/>
      </w:rPr>
      <w:t>“深圳国际旅行卫生保健中心（深圳海关口岸门诊部）2024年实验室仪器设备更新”项目全身彩色多普勒超声诊断仪一批采购项目</w:t>
    </w:r>
  </w:p>
  <w:p w14:paraId="635746AD">
    <w:pPr>
      <w:pStyle w:val="34"/>
      <w:tabs>
        <w:tab w:val="center" w:pos="4819"/>
        <w:tab w:val="right" w:pos="9638"/>
      </w:tabs>
      <w:jc w:val="left"/>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B8B9A"/>
    <w:multiLevelType w:val="singleLevel"/>
    <w:tmpl w:val="814B8B9A"/>
    <w:lvl w:ilvl="0" w:tentative="0">
      <w:start w:val="3"/>
      <w:numFmt w:val="chineseCounting"/>
      <w:suff w:val="nothing"/>
      <w:lvlText w:val="（%1）"/>
      <w:lvlJc w:val="left"/>
      <w:rPr>
        <w:rFonts w:hint="eastAsia"/>
      </w:rPr>
    </w:lvl>
  </w:abstractNum>
  <w:abstractNum w:abstractNumId="1">
    <w:nsid w:val="81D9C62D"/>
    <w:multiLevelType w:val="singleLevel"/>
    <w:tmpl w:val="81D9C62D"/>
    <w:lvl w:ilvl="0" w:tentative="0">
      <w:start w:val="5"/>
      <w:numFmt w:val="chineseCounting"/>
      <w:suff w:val="space"/>
      <w:lvlText w:val="第%1章"/>
      <w:lvlJc w:val="left"/>
      <w:rPr>
        <w:rFonts w:hint="eastAsia"/>
      </w:r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9"/>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6D627CE"/>
    <w:multiLevelType w:val="singleLevel"/>
    <w:tmpl w:val="06D627CE"/>
    <w:lvl w:ilvl="0" w:tentative="0">
      <w:start w:val="1"/>
      <w:numFmt w:val="decimal"/>
      <w:suff w:val="nothing"/>
      <w:lvlText w:val="%1、"/>
      <w:lvlJc w:val="left"/>
    </w:lvl>
  </w:abstractNum>
  <w:abstractNum w:abstractNumId="5">
    <w:nsid w:val="09F81FD3"/>
    <w:multiLevelType w:val="multilevel"/>
    <w:tmpl w:val="09F81FD3"/>
    <w:lvl w:ilvl="0" w:tentative="0">
      <w:start w:val="1"/>
      <w:numFmt w:val="japaneseCounting"/>
      <w:pStyle w:val="25"/>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818E209"/>
    <w:multiLevelType w:val="singleLevel"/>
    <w:tmpl w:val="2818E209"/>
    <w:lvl w:ilvl="0" w:tentative="0">
      <w:start w:val="1"/>
      <w:numFmt w:val="decimal"/>
      <w:suff w:val="nothing"/>
      <w:lvlText w:val="%1、"/>
      <w:lvlJc w:val="left"/>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5"/>
  </w:num>
  <w:num w:numId="3">
    <w:abstractNumId w:val="3"/>
  </w:num>
  <w:num w:numId="4">
    <w:abstractNumId w:val="4"/>
  </w:num>
  <w:num w:numId="5">
    <w:abstractNumId w:val="6"/>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OWY4ZDBhYWExNjhhMjc2ZTRiNjcxMTg3MmEyNzkifQ=="/>
  </w:docVars>
  <w:rsids>
    <w:rsidRoot w:val="00172A27"/>
    <w:rsid w:val="0000124D"/>
    <w:rsid w:val="0000134D"/>
    <w:rsid w:val="00001635"/>
    <w:rsid w:val="000035D6"/>
    <w:rsid w:val="000036D6"/>
    <w:rsid w:val="00003921"/>
    <w:rsid w:val="000039AF"/>
    <w:rsid w:val="00003A46"/>
    <w:rsid w:val="000042A3"/>
    <w:rsid w:val="0000430B"/>
    <w:rsid w:val="00004906"/>
    <w:rsid w:val="000049DE"/>
    <w:rsid w:val="00004AF7"/>
    <w:rsid w:val="00004FC4"/>
    <w:rsid w:val="00005751"/>
    <w:rsid w:val="00005C27"/>
    <w:rsid w:val="0000670A"/>
    <w:rsid w:val="00006922"/>
    <w:rsid w:val="00006E2A"/>
    <w:rsid w:val="000074B0"/>
    <w:rsid w:val="000078BB"/>
    <w:rsid w:val="000103E3"/>
    <w:rsid w:val="00010937"/>
    <w:rsid w:val="00010B8D"/>
    <w:rsid w:val="00010DC3"/>
    <w:rsid w:val="00011A45"/>
    <w:rsid w:val="00011AAF"/>
    <w:rsid w:val="00012A6E"/>
    <w:rsid w:val="00012BC4"/>
    <w:rsid w:val="00012F81"/>
    <w:rsid w:val="00013127"/>
    <w:rsid w:val="00014515"/>
    <w:rsid w:val="00014625"/>
    <w:rsid w:val="000155DA"/>
    <w:rsid w:val="00015940"/>
    <w:rsid w:val="00015AF5"/>
    <w:rsid w:val="00016458"/>
    <w:rsid w:val="000165EF"/>
    <w:rsid w:val="00016FC3"/>
    <w:rsid w:val="000206A8"/>
    <w:rsid w:val="000208F8"/>
    <w:rsid w:val="00021304"/>
    <w:rsid w:val="0002197F"/>
    <w:rsid w:val="00022C27"/>
    <w:rsid w:val="00022F4F"/>
    <w:rsid w:val="00022FA9"/>
    <w:rsid w:val="00024FC9"/>
    <w:rsid w:val="00024FDB"/>
    <w:rsid w:val="000250AF"/>
    <w:rsid w:val="00025B21"/>
    <w:rsid w:val="00025D5B"/>
    <w:rsid w:val="00026249"/>
    <w:rsid w:val="00026BDD"/>
    <w:rsid w:val="00027415"/>
    <w:rsid w:val="000274F7"/>
    <w:rsid w:val="000307C5"/>
    <w:rsid w:val="00030D77"/>
    <w:rsid w:val="00031415"/>
    <w:rsid w:val="00031887"/>
    <w:rsid w:val="000319D1"/>
    <w:rsid w:val="00034043"/>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6329"/>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57D64"/>
    <w:rsid w:val="00060349"/>
    <w:rsid w:val="00060526"/>
    <w:rsid w:val="00061300"/>
    <w:rsid w:val="00061998"/>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554"/>
    <w:rsid w:val="00074BEF"/>
    <w:rsid w:val="00075A0C"/>
    <w:rsid w:val="00075AD5"/>
    <w:rsid w:val="00080168"/>
    <w:rsid w:val="00080188"/>
    <w:rsid w:val="00080639"/>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F62"/>
    <w:rsid w:val="000870F2"/>
    <w:rsid w:val="000871D6"/>
    <w:rsid w:val="000871FE"/>
    <w:rsid w:val="000878FF"/>
    <w:rsid w:val="00087F07"/>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9"/>
    <w:rsid w:val="000A3358"/>
    <w:rsid w:val="000A43D6"/>
    <w:rsid w:val="000A530C"/>
    <w:rsid w:val="000A54E6"/>
    <w:rsid w:val="000A584E"/>
    <w:rsid w:val="000A58B9"/>
    <w:rsid w:val="000A5A8E"/>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B761C"/>
    <w:rsid w:val="000C080D"/>
    <w:rsid w:val="000C1B95"/>
    <w:rsid w:val="000C299D"/>
    <w:rsid w:val="000C2A5E"/>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AFF"/>
    <w:rsid w:val="000D5E0E"/>
    <w:rsid w:val="000D5E7D"/>
    <w:rsid w:val="000D5FC1"/>
    <w:rsid w:val="000D6088"/>
    <w:rsid w:val="000D62AA"/>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8E6"/>
    <w:rsid w:val="00101DFC"/>
    <w:rsid w:val="00102684"/>
    <w:rsid w:val="00102A12"/>
    <w:rsid w:val="00102CC6"/>
    <w:rsid w:val="00102F0D"/>
    <w:rsid w:val="00102F55"/>
    <w:rsid w:val="001048BE"/>
    <w:rsid w:val="0010529C"/>
    <w:rsid w:val="00105EAE"/>
    <w:rsid w:val="001072EB"/>
    <w:rsid w:val="001075C1"/>
    <w:rsid w:val="00107924"/>
    <w:rsid w:val="001079CD"/>
    <w:rsid w:val="0011014B"/>
    <w:rsid w:val="00111274"/>
    <w:rsid w:val="001113BF"/>
    <w:rsid w:val="001117B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5C6"/>
    <w:rsid w:val="00122C88"/>
    <w:rsid w:val="00123367"/>
    <w:rsid w:val="00123EA6"/>
    <w:rsid w:val="00124206"/>
    <w:rsid w:val="0012456B"/>
    <w:rsid w:val="00124932"/>
    <w:rsid w:val="0012537B"/>
    <w:rsid w:val="00125583"/>
    <w:rsid w:val="0012558C"/>
    <w:rsid w:val="00125C9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619B"/>
    <w:rsid w:val="001467AB"/>
    <w:rsid w:val="001468DA"/>
    <w:rsid w:val="00146E88"/>
    <w:rsid w:val="00147B19"/>
    <w:rsid w:val="00150618"/>
    <w:rsid w:val="00150E64"/>
    <w:rsid w:val="00151766"/>
    <w:rsid w:val="00152417"/>
    <w:rsid w:val="0015247A"/>
    <w:rsid w:val="00152F39"/>
    <w:rsid w:val="00153226"/>
    <w:rsid w:val="00153918"/>
    <w:rsid w:val="0015395B"/>
    <w:rsid w:val="001547E1"/>
    <w:rsid w:val="00154F74"/>
    <w:rsid w:val="001557A3"/>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73E"/>
    <w:rsid w:val="00170C17"/>
    <w:rsid w:val="00170C6E"/>
    <w:rsid w:val="0017173E"/>
    <w:rsid w:val="00171CA3"/>
    <w:rsid w:val="001722D8"/>
    <w:rsid w:val="00172715"/>
    <w:rsid w:val="00172A27"/>
    <w:rsid w:val="00172AE3"/>
    <w:rsid w:val="00172C34"/>
    <w:rsid w:val="00173149"/>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A040A"/>
    <w:rsid w:val="001A0F0D"/>
    <w:rsid w:val="001A10F7"/>
    <w:rsid w:val="001A173C"/>
    <w:rsid w:val="001A1844"/>
    <w:rsid w:val="001A1998"/>
    <w:rsid w:val="001A1BE9"/>
    <w:rsid w:val="001A20CA"/>
    <w:rsid w:val="001A29AF"/>
    <w:rsid w:val="001A2B9F"/>
    <w:rsid w:val="001A2D43"/>
    <w:rsid w:val="001A2DA7"/>
    <w:rsid w:val="001A2E47"/>
    <w:rsid w:val="001A38FC"/>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695"/>
    <w:rsid w:val="001C6BC3"/>
    <w:rsid w:val="001C7E49"/>
    <w:rsid w:val="001D012D"/>
    <w:rsid w:val="001D0702"/>
    <w:rsid w:val="001D0A25"/>
    <w:rsid w:val="001D1659"/>
    <w:rsid w:val="001D296C"/>
    <w:rsid w:val="001D2F3D"/>
    <w:rsid w:val="001D325B"/>
    <w:rsid w:val="001D33C3"/>
    <w:rsid w:val="001D3C8D"/>
    <w:rsid w:val="001D3DED"/>
    <w:rsid w:val="001D3DF8"/>
    <w:rsid w:val="001D4078"/>
    <w:rsid w:val="001D4E6F"/>
    <w:rsid w:val="001D5573"/>
    <w:rsid w:val="001D5E80"/>
    <w:rsid w:val="001D6157"/>
    <w:rsid w:val="001D6356"/>
    <w:rsid w:val="001D64D4"/>
    <w:rsid w:val="001D6A56"/>
    <w:rsid w:val="001D6EC3"/>
    <w:rsid w:val="001D710C"/>
    <w:rsid w:val="001D7C60"/>
    <w:rsid w:val="001E11B1"/>
    <w:rsid w:val="001E208F"/>
    <w:rsid w:val="001E233C"/>
    <w:rsid w:val="001E28D3"/>
    <w:rsid w:val="001E4950"/>
    <w:rsid w:val="001E5014"/>
    <w:rsid w:val="001E5337"/>
    <w:rsid w:val="001E5798"/>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5237"/>
    <w:rsid w:val="00235CCD"/>
    <w:rsid w:val="0023602F"/>
    <w:rsid w:val="00236048"/>
    <w:rsid w:val="002362ED"/>
    <w:rsid w:val="00237036"/>
    <w:rsid w:val="002372AC"/>
    <w:rsid w:val="00237A33"/>
    <w:rsid w:val="00240B0F"/>
    <w:rsid w:val="00240E54"/>
    <w:rsid w:val="00241314"/>
    <w:rsid w:val="00241B92"/>
    <w:rsid w:val="00241BD9"/>
    <w:rsid w:val="002421EF"/>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506EE"/>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D98"/>
    <w:rsid w:val="00265054"/>
    <w:rsid w:val="0026523F"/>
    <w:rsid w:val="002659F4"/>
    <w:rsid w:val="002664AE"/>
    <w:rsid w:val="0026696D"/>
    <w:rsid w:val="00266A00"/>
    <w:rsid w:val="00266BE6"/>
    <w:rsid w:val="00267127"/>
    <w:rsid w:val="00267325"/>
    <w:rsid w:val="00267935"/>
    <w:rsid w:val="002703AB"/>
    <w:rsid w:val="00270B8F"/>
    <w:rsid w:val="00270BC5"/>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922"/>
    <w:rsid w:val="00281DA0"/>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5695"/>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CF6"/>
    <w:rsid w:val="002B2E09"/>
    <w:rsid w:val="002B366D"/>
    <w:rsid w:val="002B3959"/>
    <w:rsid w:val="002B3C7C"/>
    <w:rsid w:val="002B4B5E"/>
    <w:rsid w:val="002B4F70"/>
    <w:rsid w:val="002B4FE5"/>
    <w:rsid w:val="002B6528"/>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D51"/>
    <w:rsid w:val="002E554F"/>
    <w:rsid w:val="002E57C9"/>
    <w:rsid w:val="002E6371"/>
    <w:rsid w:val="002E6740"/>
    <w:rsid w:val="002E6A58"/>
    <w:rsid w:val="002E6D98"/>
    <w:rsid w:val="002E7881"/>
    <w:rsid w:val="002E7975"/>
    <w:rsid w:val="002E7A31"/>
    <w:rsid w:val="002F01F2"/>
    <w:rsid w:val="002F0F57"/>
    <w:rsid w:val="002F11D5"/>
    <w:rsid w:val="002F2B63"/>
    <w:rsid w:val="002F3533"/>
    <w:rsid w:val="002F3765"/>
    <w:rsid w:val="002F3D84"/>
    <w:rsid w:val="002F3D91"/>
    <w:rsid w:val="002F44A0"/>
    <w:rsid w:val="002F4F44"/>
    <w:rsid w:val="002F50DA"/>
    <w:rsid w:val="002F56B1"/>
    <w:rsid w:val="002F584B"/>
    <w:rsid w:val="002F5EEE"/>
    <w:rsid w:val="002F5FC3"/>
    <w:rsid w:val="002F6CC7"/>
    <w:rsid w:val="002F6EF2"/>
    <w:rsid w:val="002F79E2"/>
    <w:rsid w:val="002F7D39"/>
    <w:rsid w:val="002F7E4F"/>
    <w:rsid w:val="002F7E8D"/>
    <w:rsid w:val="003022E5"/>
    <w:rsid w:val="00302461"/>
    <w:rsid w:val="00302899"/>
    <w:rsid w:val="00302A04"/>
    <w:rsid w:val="003033D9"/>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14C3"/>
    <w:rsid w:val="003214D6"/>
    <w:rsid w:val="003219DD"/>
    <w:rsid w:val="00321CC1"/>
    <w:rsid w:val="0032244E"/>
    <w:rsid w:val="003226A5"/>
    <w:rsid w:val="00323373"/>
    <w:rsid w:val="003242E5"/>
    <w:rsid w:val="00324DD8"/>
    <w:rsid w:val="00324F38"/>
    <w:rsid w:val="003256E0"/>
    <w:rsid w:val="00325E6C"/>
    <w:rsid w:val="00327114"/>
    <w:rsid w:val="003278F8"/>
    <w:rsid w:val="00327B3E"/>
    <w:rsid w:val="00327D2C"/>
    <w:rsid w:val="00327EA3"/>
    <w:rsid w:val="00330181"/>
    <w:rsid w:val="003308E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EFB"/>
    <w:rsid w:val="00336334"/>
    <w:rsid w:val="003364EB"/>
    <w:rsid w:val="003374CB"/>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3E43"/>
    <w:rsid w:val="003744B5"/>
    <w:rsid w:val="003745F2"/>
    <w:rsid w:val="00374BA5"/>
    <w:rsid w:val="003750DD"/>
    <w:rsid w:val="003756AA"/>
    <w:rsid w:val="0037593F"/>
    <w:rsid w:val="00376309"/>
    <w:rsid w:val="00376B23"/>
    <w:rsid w:val="003773D2"/>
    <w:rsid w:val="00377942"/>
    <w:rsid w:val="00377B2A"/>
    <w:rsid w:val="00377D0B"/>
    <w:rsid w:val="003805AC"/>
    <w:rsid w:val="00380AE6"/>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6FDB"/>
    <w:rsid w:val="003B01FA"/>
    <w:rsid w:val="003B0A1B"/>
    <w:rsid w:val="003B1B85"/>
    <w:rsid w:val="003B23AD"/>
    <w:rsid w:val="003B246D"/>
    <w:rsid w:val="003B2926"/>
    <w:rsid w:val="003B2EFD"/>
    <w:rsid w:val="003B3713"/>
    <w:rsid w:val="003B3AA5"/>
    <w:rsid w:val="003B445F"/>
    <w:rsid w:val="003B44F9"/>
    <w:rsid w:val="003B495A"/>
    <w:rsid w:val="003B4982"/>
    <w:rsid w:val="003B4B46"/>
    <w:rsid w:val="003B4F25"/>
    <w:rsid w:val="003B5C4E"/>
    <w:rsid w:val="003B65AB"/>
    <w:rsid w:val="003B6CFD"/>
    <w:rsid w:val="003B6F24"/>
    <w:rsid w:val="003B7115"/>
    <w:rsid w:val="003B77CE"/>
    <w:rsid w:val="003B7B4E"/>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63D8"/>
    <w:rsid w:val="003C6619"/>
    <w:rsid w:val="003D06D4"/>
    <w:rsid w:val="003D08DD"/>
    <w:rsid w:val="003D16D0"/>
    <w:rsid w:val="003D18C4"/>
    <w:rsid w:val="003D21B4"/>
    <w:rsid w:val="003D22E5"/>
    <w:rsid w:val="003D27FB"/>
    <w:rsid w:val="003D2F60"/>
    <w:rsid w:val="003D35B0"/>
    <w:rsid w:val="003D3FDB"/>
    <w:rsid w:val="003D482D"/>
    <w:rsid w:val="003D53DC"/>
    <w:rsid w:val="003D589A"/>
    <w:rsid w:val="003D5A2F"/>
    <w:rsid w:val="003D647B"/>
    <w:rsid w:val="003D6826"/>
    <w:rsid w:val="003D6E2F"/>
    <w:rsid w:val="003D7964"/>
    <w:rsid w:val="003D7BA8"/>
    <w:rsid w:val="003D7CC1"/>
    <w:rsid w:val="003D7DF8"/>
    <w:rsid w:val="003E0E08"/>
    <w:rsid w:val="003E1C2F"/>
    <w:rsid w:val="003E1EDB"/>
    <w:rsid w:val="003E2286"/>
    <w:rsid w:val="003E27AC"/>
    <w:rsid w:val="003E2AFF"/>
    <w:rsid w:val="003E2D32"/>
    <w:rsid w:val="003E3074"/>
    <w:rsid w:val="003E3167"/>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E77"/>
    <w:rsid w:val="003F00CA"/>
    <w:rsid w:val="003F0CC4"/>
    <w:rsid w:val="003F179E"/>
    <w:rsid w:val="003F1823"/>
    <w:rsid w:val="003F1DDF"/>
    <w:rsid w:val="003F1F28"/>
    <w:rsid w:val="003F253B"/>
    <w:rsid w:val="003F2DC7"/>
    <w:rsid w:val="003F3AB6"/>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6B6"/>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27C45"/>
    <w:rsid w:val="00430022"/>
    <w:rsid w:val="00430051"/>
    <w:rsid w:val="004303FE"/>
    <w:rsid w:val="004304D3"/>
    <w:rsid w:val="00430640"/>
    <w:rsid w:val="00430E30"/>
    <w:rsid w:val="004326C7"/>
    <w:rsid w:val="00432AF7"/>
    <w:rsid w:val="004342A5"/>
    <w:rsid w:val="0043621F"/>
    <w:rsid w:val="00436AF4"/>
    <w:rsid w:val="00436D58"/>
    <w:rsid w:val="00437066"/>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97C"/>
    <w:rsid w:val="00456A9B"/>
    <w:rsid w:val="0045708B"/>
    <w:rsid w:val="00460233"/>
    <w:rsid w:val="004619CC"/>
    <w:rsid w:val="00461A62"/>
    <w:rsid w:val="00461E36"/>
    <w:rsid w:val="0046392A"/>
    <w:rsid w:val="00463A0A"/>
    <w:rsid w:val="0046451D"/>
    <w:rsid w:val="00464A3F"/>
    <w:rsid w:val="00464A7E"/>
    <w:rsid w:val="004652F8"/>
    <w:rsid w:val="00465B3E"/>
    <w:rsid w:val="00465C0D"/>
    <w:rsid w:val="00465DED"/>
    <w:rsid w:val="004662D1"/>
    <w:rsid w:val="0046656F"/>
    <w:rsid w:val="00466945"/>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4B19"/>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D4C"/>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D79"/>
    <w:rsid w:val="004A4862"/>
    <w:rsid w:val="004A4E10"/>
    <w:rsid w:val="004A565E"/>
    <w:rsid w:val="004A59A4"/>
    <w:rsid w:val="004A62AF"/>
    <w:rsid w:val="004A6E06"/>
    <w:rsid w:val="004A6E75"/>
    <w:rsid w:val="004A73C9"/>
    <w:rsid w:val="004A7475"/>
    <w:rsid w:val="004A7F95"/>
    <w:rsid w:val="004B0B26"/>
    <w:rsid w:val="004B261D"/>
    <w:rsid w:val="004B280E"/>
    <w:rsid w:val="004B32DD"/>
    <w:rsid w:val="004B35DD"/>
    <w:rsid w:val="004B38D4"/>
    <w:rsid w:val="004B526F"/>
    <w:rsid w:val="004B6062"/>
    <w:rsid w:val="004B7A5F"/>
    <w:rsid w:val="004B7F2B"/>
    <w:rsid w:val="004C067A"/>
    <w:rsid w:val="004C1447"/>
    <w:rsid w:val="004C1F37"/>
    <w:rsid w:val="004C262D"/>
    <w:rsid w:val="004C2758"/>
    <w:rsid w:val="004C3CB6"/>
    <w:rsid w:val="004C54EE"/>
    <w:rsid w:val="004C57D7"/>
    <w:rsid w:val="004C586A"/>
    <w:rsid w:val="004C6477"/>
    <w:rsid w:val="004C6F5B"/>
    <w:rsid w:val="004C7132"/>
    <w:rsid w:val="004C71BB"/>
    <w:rsid w:val="004C725E"/>
    <w:rsid w:val="004C73AB"/>
    <w:rsid w:val="004C77BC"/>
    <w:rsid w:val="004D032D"/>
    <w:rsid w:val="004D03B3"/>
    <w:rsid w:val="004D05E3"/>
    <w:rsid w:val="004D0729"/>
    <w:rsid w:val="004D07D8"/>
    <w:rsid w:val="004D10AE"/>
    <w:rsid w:val="004D176E"/>
    <w:rsid w:val="004D1F1A"/>
    <w:rsid w:val="004D241E"/>
    <w:rsid w:val="004D3409"/>
    <w:rsid w:val="004D36B7"/>
    <w:rsid w:val="004D411E"/>
    <w:rsid w:val="004D591C"/>
    <w:rsid w:val="004D596B"/>
    <w:rsid w:val="004D5B92"/>
    <w:rsid w:val="004D5ED0"/>
    <w:rsid w:val="004D6A22"/>
    <w:rsid w:val="004D6CA1"/>
    <w:rsid w:val="004D6F8E"/>
    <w:rsid w:val="004D7070"/>
    <w:rsid w:val="004D7151"/>
    <w:rsid w:val="004D7D6F"/>
    <w:rsid w:val="004D7DAB"/>
    <w:rsid w:val="004E019A"/>
    <w:rsid w:val="004E05BE"/>
    <w:rsid w:val="004E0BF6"/>
    <w:rsid w:val="004E0D9C"/>
    <w:rsid w:val="004E10C4"/>
    <w:rsid w:val="004E1BC0"/>
    <w:rsid w:val="004E27F8"/>
    <w:rsid w:val="004E2860"/>
    <w:rsid w:val="004E290B"/>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C0B"/>
    <w:rsid w:val="004F1DD7"/>
    <w:rsid w:val="004F266B"/>
    <w:rsid w:val="004F2CF9"/>
    <w:rsid w:val="004F3163"/>
    <w:rsid w:val="004F3E76"/>
    <w:rsid w:val="004F4097"/>
    <w:rsid w:val="004F4B8F"/>
    <w:rsid w:val="004F5901"/>
    <w:rsid w:val="004F59D0"/>
    <w:rsid w:val="004F5B1F"/>
    <w:rsid w:val="004F644E"/>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17"/>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3AF7"/>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31EF"/>
    <w:rsid w:val="0055408C"/>
    <w:rsid w:val="00555289"/>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8D1"/>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425"/>
    <w:rsid w:val="00582B82"/>
    <w:rsid w:val="00582EF6"/>
    <w:rsid w:val="00583464"/>
    <w:rsid w:val="00583A9B"/>
    <w:rsid w:val="00585292"/>
    <w:rsid w:val="00585D80"/>
    <w:rsid w:val="00586A60"/>
    <w:rsid w:val="00586C42"/>
    <w:rsid w:val="0058774E"/>
    <w:rsid w:val="00587847"/>
    <w:rsid w:val="00587868"/>
    <w:rsid w:val="00587E0C"/>
    <w:rsid w:val="00590ACD"/>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2CD7"/>
    <w:rsid w:val="005C33DE"/>
    <w:rsid w:val="005C3571"/>
    <w:rsid w:val="005C3983"/>
    <w:rsid w:val="005C3DAD"/>
    <w:rsid w:val="005C403A"/>
    <w:rsid w:val="005C4C1F"/>
    <w:rsid w:val="005C5F97"/>
    <w:rsid w:val="005C6799"/>
    <w:rsid w:val="005C6AC7"/>
    <w:rsid w:val="005C7036"/>
    <w:rsid w:val="005C7053"/>
    <w:rsid w:val="005D0181"/>
    <w:rsid w:val="005D05AA"/>
    <w:rsid w:val="005D1B22"/>
    <w:rsid w:val="005D1F87"/>
    <w:rsid w:val="005D247E"/>
    <w:rsid w:val="005D2797"/>
    <w:rsid w:val="005D2821"/>
    <w:rsid w:val="005D29AB"/>
    <w:rsid w:val="005D2AD9"/>
    <w:rsid w:val="005D383B"/>
    <w:rsid w:val="005D487B"/>
    <w:rsid w:val="005D557C"/>
    <w:rsid w:val="005D569E"/>
    <w:rsid w:val="005D6A20"/>
    <w:rsid w:val="005D75A8"/>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396"/>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600A"/>
    <w:rsid w:val="00616417"/>
    <w:rsid w:val="0061657A"/>
    <w:rsid w:val="00617620"/>
    <w:rsid w:val="006177C3"/>
    <w:rsid w:val="00620141"/>
    <w:rsid w:val="006203C2"/>
    <w:rsid w:val="0062090B"/>
    <w:rsid w:val="00620CCA"/>
    <w:rsid w:val="0062159C"/>
    <w:rsid w:val="00622077"/>
    <w:rsid w:val="00622880"/>
    <w:rsid w:val="00622A7B"/>
    <w:rsid w:val="006234FC"/>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353"/>
    <w:rsid w:val="00640F67"/>
    <w:rsid w:val="0064124F"/>
    <w:rsid w:val="00641AB6"/>
    <w:rsid w:val="00642173"/>
    <w:rsid w:val="00642440"/>
    <w:rsid w:val="00642997"/>
    <w:rsid w:val="00642BFD"/>
    <w:rsid w:val="006436D0"/>
    <w:rsid w:val="00643E85"/>
    <w:rsid w:val="00643F7D"/>
    <w:rsid w:val="00643FB8"/>
    <w:rsid w:val="006453A3"/>
    <w:rsid w:val="00645BC8"/>
    <w:rsid w:val="00645DD3"/>
    <w:rsid w:val="0064650B"/>
    <w:rsid w:val="00646B2F"/>
    <w:rsid w:val="00646FF5"/>
    <w:rsid w:val="00647055"/>
    <w:rsid w:val="00647CD3"/>
    <w:rsid w:val="0065022E"/>
    <w:rsid w:val="0065047A"/>
    <w:rsid w:val="006510E7"/>
    <w:rsid w:val="0065133E"/>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3481"/>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BB8"/>
    <w:rsid w:val="0070066B"/>
    <w:rsid w:val="00701022"/>
    <w:rsid w:val="0070184D"/>
    <w:rsid w:val="00701ADD"/>
    <w:rsid w:val="00701DDF"/>
    <w:rsid w:val="00702247"/>
    <w:rsid w:val="007033F1"/>
    <w:rsid w:val="00704CBD"/>
    <w:rsid w:val="00705148"/>
    <w:rsid w:val="0070597A"/>
    <w:rsid w:val="007059E9"/>
    <w:rsid w:val="00705DC2"/>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D8E"/>
    <w:rsid w:val="00732F1C"/>
    <w:rsid w:val="00733153"/>
    <w:rsid w:val="0073339B"/>
    <w:rsid w:val="00733B22"/>
    <w:rsid w:val="00733FF7"/>
    <w:rsid w:val="007356DE"/>
    <w:rsid w:val="00735C72"/>
    <w:rsid w:val="007367CA"/>
    <w:rsid w:val="00736C6D"/>
    <w:rsid w:val="007377B5"/>
    <w:rsid w:val="00737C0A"/>
    <w:rsid w:val="00740187"/>
    <w:rsid w:val="0074160D"/>
    <w:rsid w:val="00741C58"/>
    <w:rsid w:val="00741C5E"/>
    <w:rsid w:val="00741CDA"/>
    <w:rsid w:val="00743262"/>
    <w:rsid w:val="00744153"/>
    <w:rsid w:val="007444BF"/>
    <w:rsid w:val="007444FA"/>
    <w:rsid w:val="007445E4"/>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5123"/>
    <w:rsid w:val="00775850"/>
    <w:rsid w:val="00776534"/>
    <w:rsid w:val="007768AE"/>
    <w:rsid w:val="00776F7B"/>
    <w:rsid w:val="00777322"/>
    <w:rsid w:val="00777B5D"/>
    <w:rsid w:val="00777C1D"/>
    <w:rsid w:val="00777E1B"/>
    <w:rsid w:val="007806AE"/>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543C"/>
    <w:rsid w:val="00795707"/>
    <w:rsid w:val="007958A2"/>
    <w:rsid w:val="00795A32"/>
    <w:rsid w:val="00795C4E"/>
    <w:rsid w:val="007970DC"/>
    <w:rsid w:val="00797438"/>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A1F"/>
    <w:rsid w:val="007B7ACF"/>
    <w:rsid w:val="007C07D2"/>
    <w:rsid w:val="007C0C41"/>
    <w:rsid w:val="007C0E51"/>
    <w:rsid w:val="007C0F7B"/>
    <w:rsid w:val="007C12FC"/>
    <w:rsid w:val="007C1A56"/>
    <w:rsid w:val="007C1BD2"/>
    <w:rsid w:val="007C2108"/>
    <w:rsid w:val="007C22A2"/>
    <w:rsid w:val="007C2322"/>
    <w:rsid w:val="007C2370"/>
    <w:rsid w:val="007C44C4"/>
    <w:rsid w:val="007C4B16"/>
    <w:rsid w:val="007C573D"/>
    <w:rsid w:val="007C5EB7"/>
    <w:rsid w:val="007C79F6"/>
    <w:rsid w:val="007D02AD"/>
    <w:rsid w:val="007D0368"/>
    <w:rsid w:val="007D04E6"/>
    <w:rsid w:val="007D06EE"/>
    <w:rsid w:val="007D0D57"/>
    <w:rsid w:val="007D1D33"/>
    <w:rsid w:val="007D2628"/>
    <w:rsid w:val="007D2656"/>
    <w:rsid w:val="007D27C9"/>
    <w:rsid w:val="007D2C1F"/>
    <w:rsid w:val="007D2D2D"/>
    <w:rsid w:val="007D36AB"/>
    <w:rsid w:val="007D3809"/>
    <w:rsid w:val="007D3ABD"/>
    <w:rsid w:val="007D3E32"/>
    <w:rsid w:val="007D3F81"/>
    <w:rsid w:val="007D45FE"/>
    <w:rsid w:val="007D4823"/>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10A80"/>
    <w:rsid w:val="00811009"/>
    <w:rsid w:val="00812CAB"/>
    <w:rsid w:val="00812D0A"/>
    <w:rsid w:val="00813405"/>
    <w:rsid w:val="0081357E"/>
    <w:rsid w:val="00813C9D"/>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55C"/>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D1B"/>
    <w:rsid w:val="00876093"/>
    <w:rsid w:val="008774B2"/>
    <w:rsid w:val="0088119F"/>
    <w:rsid w:val="0088137B"/>
    <w:rsid w:val="008815C0"/>
    <w:rsid w:val="00882183"/>
    <w:rsid w:val="0088250C"/>
    <w:rsid w:val="008832BB"/>
    <w:rsid w:val="00883477"/>
    <w:rsid w:val="0088418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D0A"/>
    <w:rsid w:val="0089751D"/>
    <w:rsid w:val="00897A46"/>
    <w:rsid w:val="00897F8F"/>
    <w:rsid w:val="008A0126"/>
    <w:rsid w:val="008A01B8"/>
    <w:rsid w:val="008A07C5"/>
    <w:rsid w:val="008A0954"/>
    <w:rsid w:val="008A0D61"/>
    <w:rsid w:val="008A241B"/>
    <w:rsid w:val="008A2A96"/>
    <w:rsid w:val="008A30FA"/>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022"/>
    <w:rsid w:val="008B63BB"/>
    <w:rsid w:val="008B65E7"/>
    <w:rsid w:val="008B6948"/>
    <w:rsid w:val="008B6DA0"/>
    <w:rsid w:val="008B6E0E"/>
    <w:rsid w:val="008B6FAF"/>
    <w:rsid w:val="008B71AE"/>
    <w:rsid w:val="008B761D"/>
    <w:rsid w:val="008B7D5A"/>
    <w:rsid w:val="008C0190"/>
    <w:rsid w:val="008C01FF"/>
    <w:rsid w:val="008C0A9D"/>
    <w:rsid w:val="008C17E1"/>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900473"/>
    <w:rsid w:val="009005B3"/>
    <w:rsid w:val="00900ED9"/>
    <w:rsid w:val="009013F6"/>
    <w:rsid w:val="00901880"/>
    <w:rsid w:val="009018CE"/>
    <w:rsid w:val="00901BEE"/>
    <w:rsid w:val="00901D16"/>
    <w:rsid w:val="00901EB2"/>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4FC"/>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2F83"/>
    <w:rsid w:val="0096406A"/>
    <w:rsid w:val="00964A4F"/>
    <w:rsid w:val="00964B6C"/>
    <w:rsid w:val="00964D10"/>
    <w:rsid w:val="00965153"/>
    <w:rsid w:val="00965371"/>
    <w:rsid w:val="00965468"/>
    <w:rsid w:val="00965874"/>
    <w:rsid w:val="00965E71"/>
    <w:rsid w:val="0096603A"/>
    <w:rsid w:val="009667F1"/>
    <w:rsid w:val="009668D3"/>
    <w:rsid w:val="009670C2"/>
    <w:rsid w:val="00970100"/>
    <w:rsid w:val="0097040B"/>
    <w:rsid w:val="0097088C"/>
    <w:rsid w:val="00972177"/>
    <w:rsid w:val="00973222"/>
    <w:rsid w:val="009737A3"/>
    <w:rsid w:val="00973DF4"/>
    <w:rsid w:val="00974624"/>
    <w:rsid w:val="00975087"/>
    <w:rsid w:val="0097574B"/>
    <w:rsid w:val="00975C59"/>
    <w:rsid w:val="00975DEE"/>
    <w:rsid w:val="00976215"/>
    <w:rsid w:val="00976309"/>
    <w:rsid w:val="00976487"/>
    <w:rsid w:val="0097700C"/>
    <w:rsid w:val="009773D6"/>
    <w:rsid w:val="00977A8A"/>
    <w:rsid w:val="00977C0C"/>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1E1"/>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D5A"/>
    <w:rsid w:val="009F1DEF"/>
    <w:rsid w:val="009F2418"/>
    <w:rsid w:val="009F2588"/>
    <w:rsid w:val="009F26DE"/>
    <w:rsid w:val="009F36C5"/>
    <w:rsid w:val="009F3CE4"/>
    <w:rsid w:val="009F3D5F"/>
    <w:rsid w:val="009F51A2"/>
    <w:rsid w:val="009F5C1C"/>
    <w:rsid w:val="009F5F4C"/>
    <w:rsid w:val="009F6D94"/>
    <w:rsid w:val="009F7480"/>
    <w:rsid w:val="009F7689"/>
    <w:rsid w:val="00A00170"/>
    <w:rsid w:val="00A00BB2"/>
    <w:rsid w:val="00A013B0"/>
    <w:rsid w:val="00A017CD"/>
    <w:rsid w:val="00A01E51"/>
    <w:rsid w:val="00A04494"/>
    <w:rsid w:val="00A04EC8"/>
    <w:rsid w:val="00A0546E"/>
    <w:rsid w:val="00A0551C"/>
    <w:rsid w:val="00A05BB8"/>
    <w:rsid w:val="00A05DE8"/>
    <w:rsid w:val="00A06295"/>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23"/>
    <w:rsid w:val="00A54141"/>
    <w:rsid w:val="00A541FD"/>
    <w:rsid w:val="00A54589"/>
    <w:rsid w:val="00A54811"/>
    <w:rsid w:val="00A54BD8"/>
    <w:rsid w:val="00A54CB9"/>
    <w:rsid w:val="00A551E5"/>
    <w:rsid w:val="00A55987"/>
    <w:rsid w:val="00A560B3"/>
    <w:rsid w:val="00A56340"/>
    <w:rsid w:val="00A565AC"/>
    <w:rsid w:val="00A57688"/>
    <w:rsid w:val="00A57980"/>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601"/>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3EDF"/>
    <w:rsid w:val="00AA4239"/>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B80"/>
    <w:rsid w:val="00AD0A32"/>
    <w:rsid w:val="00AD1442"/>
    <w:rsid w:val="00AD14AB"/>
    <w:rsid w:val="00AD1B73"/>
    <w:rsid w:val="00AD20ED"/>
    <w:rsid w:val="00AD20FA"/>
    <w:rsid w:val="00AD2CBD"/>
    <w:rsid w:val="00AD2DAA"/>
    <w:rsid w:val="00AD2DED"/>
    <w:rsid w:val="00AD2F04"/>
    <w:rsid w:val="00AD2FE7"/>
    <w:rsid w:val="00AD306F"/>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2EB5"/>
    <w:rsid w:val="00AE43F4"/>
    <w:rsid w:val="00AE4550"/>
    <w:rsid w:val="00AE5099"/>
    <w:rsid w:val="00AE50D3"/>
    <w:rsid w:val="00AE597B"/>
    <w:rsid w:val="00AE5A64"/>
    <w:rsid w:val="00AE606A"/>
    <w:rsid w:val="00AE7312"/>
    <w:rsid w:val="00AF013B"/>
    <w:rsid w:val="00AF0A66"/>
    <w:rsid w:val="00AF0B6C"/>
    <w:rsid w:val="00AF0CF8"/>
    <w:rsid w:val="00AF218F"/>
    <w:rsid w:val="00AF262C"/>
    <w:rsid w:val="00AF381C"/>
    <w:rsid w:val="00AF415A"/>
    <w:rsid w:val="00AF4288"/>
    <w:rsid w:val="00AF44F2"/>
    <w:rsid w:val="00AF4950"/>
    <w:rsid w:val="00AF53AB"/>
    <w:rsid w:val="00AF53BA"/>
    <w:rsid w:val="00AF69B4"/>
    <w:rsid w:val="00AF717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CD"/>
    <w:rsid w:val="00B0686C"/>
    <w:rsid w:val="00B06E97"/>
    <w:rsid w:val="00B077F2"/>
    <w:rsid w:val="00B102AD"/>
    <w:rsid w:val="00B10681"/>
    <w:rsid w:val="00B10B50"/>
    <w:rsid w:val="00B116D4"/>
    <w:rsid w:val="00B1238A"/>
    <w:rsid w:val="00B134E7"/>
    <w:rsid w:val="00B13A79"/>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5CC"/>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1014"/>
    <w:rsid w:val="00B41534"/>
    <w:rsid w:val="00B4154B"/>
    <w:rsid w:val="00B41784"/>
    <w:rsid w:val="00B42E68"/>
    <w:rsid w:val="00B43910"/>
    <w:rsid w:val="00B4420E"/>
    <w:rsid w:val="00B44DFC"/>
    <w:rsid w:val="00B45669"/>
    <w:rsid w:val="00B46554"/>
    <w:rsid w:val="00B466F0"/>
    <w:rsid w:val="00B467BB"/>
    <w:rsid w:val="00B47E3B"/>
    <w:rsid w:val="00B50892"/>
    <w:rsid w:val="00B511ED"/>
    <w:rsid w:val="00B51602"/>
    <w:rsid w:val="00B51F21"/>
    <w:rsid w:val="00B52540"/>
    <w:rsid w:val="00B5264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1F34"/>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AC7"/>
    <w:rsid w:val="00BA1434"/>
    <w:rsid w:val="00BA1EA2"/>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BA7"/>
    <w:rsid w:val="00BB0CA1"/>
    <w:rsid w:val="00BB0EAB"/>
    <w:rsid w:val="00BB133D"/>
    <w:rsid w:val="00BB1924"/>
    <w:rsid w:val="00BB222A"/>
    <w:rsid w:val="00BB2616"/>
    <w:rsid w:val="00BB26EB"/>
    <w:rsid w:val="00BB2C15"/>
    <w:rsid w:val="00BB2FDC"/>
    <w:rsid w:val="00BB37AA"/>
    <w:rsid w:val="00BB3C8A"/>
    <w:rsid w:val="00BB4049"/>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ACB"/>
    <w:rsid w:val="00BE3013"/>
    <w:rsid w:val="00BE367D"/>
    <w:rsid w:val="00BE3CB6"/>
    <w:rsid w:val="00BE4035"/>
    <w:rsid w:val="00BE4239"/>
    <w:rsid w:val="00BE4A58"/>
    <w:rsid w:val="00BE4B70"/>
    <w:rsid w:val="00BE4C67"/>
    <w:rsid w:val="00BE5120"/>
    <w:rsid w:val="00BE5756"/>
    <w:rsid w:val="00BE576D"/>
    <w:rsid w:val="00BE59E5"/>
    <w:rsid w:val="00BE64BF"/>
    <w:rsid w:val="00BE654A"/>
    <w:rsid w:val="00BE6653"/>
    <w:rsid w:val="00BE6B77"/>
    <w:rsid w:val="00BE7783"/>
    <w:rsid w:val="00BE7B46"/>
    <w:rsid w:val="00BF02D4"/>
    <w:rsid w:val="00BF0724"/>
    <w:rsid w:val="00BF0C2C"/>
    <w:rsid w:val="00BF1101"/>
    <w:rsid w:val="00BF15B9"/>
    <w:rsid w:val="00BF1896"/>
    <w:rsid w:val="00BF324E"/>
    <w:rsid w:val="00BF329F"/>
    <w:rsid w:val="00BF3D79"/>
    <w:rsid w:val="00BF3DDC"/>
    <w:rsid w:val="00BF4038"/>
    <w:rsid w:val="00BF4674"/>
    <w:rsid w:val="00BF47B7"/>
    <w:rsid w:val="00BF5020"/>
    <w:rsid w:val="00BF521F"/>
    <w:rsid w:val="00BF55BA"/>
    <w:rsid w:val="00BF58F2"/>
    <w:rsid w:val="00BF590D"/>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701E"/>
    <w:rsid w:val="00C2748B"/>
    <w:rsid w:val="00C27850"/>
    <w:rsid w:val="00C30824"/>
    <w:rsid w:val="00C30AA8"/>
    <w:rsid w:val="00C30F87"/>
    <w:rsid w:val="00C31BF8"/>
    <w:rsid w:val="00C3273C"/>
    <w:rsid w:val="00C3307F"/>
    <w:rsid w:val="00C33F77"/>
    <w:rsid w:val="00C348FF"/>
    <w:rsid w:val="00C34CC3"/>
    <w:rsid w:val="00C34D2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5170"/>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633"/>
    <w:rsid w:val="00C62D67"/>
    <w:rsid w:val="00C633BA"/>
    <w:rsid w:val="00C6356B"/>
    <w:rsid w:val="00C652E2"/>
    <w:rsid w:val="00C653FB"/>
    <w:rsid w:val="00C65CBF"/>
    <w:rsid w:val="00C66375"/>
    <w:rsid w:val="00C667D0"/>
    <w:rsid w:val="00C66998"/>
    <w:rsid w:val="00C66AD7"/>
    <w:rsid w:val="00C66E3C"/>
    <w:rsid w:val="00C67EA5"/>
    <w:rsid w:val="00C70107"/>
    <w:rsid w:val="00C70D5B"/>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85E"/>
    <w:rsid w:val="00C82F2D"/>
    <w:rsid w:val="00C83260"/>
    <w:rsid w:val="00C836F0"/>
    <w:rsid w:val="00C8398B"/>
    <w:rsid w:val="00C84318"/>
    <w:rsid w:val="00C848B7"/>
    <w:rsid w:val="00C84F41"/>
    <w:rsid w:val="00C856BE"/>
    <w:rsid w:val="00C85F2C"/>
    <w:rsid w:val="00C86485"/>
    <w:rsid w:val="00C872C8"/>
    <w:rsid w:val="00C8734C"/>
    <w:rsid w:val="00C87388"/>
    <w:rsid w:val="00C87A9E"/>
    <w:rsid w:val="00C9073F"/>
    <w:rsid w:val="00C91633"/>
    <w:rsid w:val="00C9382C"/>
    <w:rsid w:val="00C94C71"/>
    <w:rsid w:val="00C94F15"/>
    <w:rsid w:val="00C954BD"/>
    <w:rsid w:val="00C95615"/>
    <w:rsid w:val="00C97517"/>
    <w:rsid w:val="00C97CC0"/>
    <w:rsid w:val="00C97D75"/>
    <w:rsid w:val="00CA0261"/>
    <w:rsid w:val="00CA04BA"/>
    <w:rsid w:val="00CA136D"/>
    <w:rsid w:val="00CA147B"/>
    <w:rsid w:val="00CA1DF5"/>
    <w:rsid w:val="00CA2400"/>
    <w:rsid w:val="00CA24A1"/>
    <w:rsid w:val="00CA27F3"/>
    <w:rsid w:val="00CA2D7A"/>
    <w:rsid w:val="00CA41B5"/>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1CF"/>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76"/>
    <w:rsid w:val="00CD45B9"/>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270"/>
    <w:rsid w:val="00D11712"/>
    <w:rsid w:val="00D11EC0"/>
    <w:rsid w:val="00D120D2"/>
    <w:rsid w:val="00D1312B"/>
    <w:rsid w:val="00D13294"/>
    <w:rsid w:val="00D13A91"/>
    <w:rsid w:val="00D13CB3"/>
    <w:rsid w:val="00D14D12"/>
    <w:rsid w:val="00D171C8"/>
    <w:rsid w:val="00D20137"/>
    <w:rsid w:val="00D208E6"/>
    <w:rsid w:val="00D2190E"/>
    <w:rsid w:val="00D21A55"/>
    <w:rsid w:val="00D22651"/>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4D7B"/>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2D5"/>
    <w:rsid w:val="00DE2C73"/>
    <w:rsid w:val="00DE3136"/>
    <w:rsid w:val="00DE338D"/>
    <w:rsid w:val="00DE39F4"/>
    <w:rsid w:val="00DE39F8"/>
    <w:rsid w:val="00DE3A27"/>
    <w:rsid w:val="00DE3A6B"/>
    <w:rsid w:val="00DE3C7D"/>
    <w:rsid w:val="00DE4965"/>
    <w:rsid w:val="00DE4C52"/>
    <w:rsid w:val="00DE4EA8"/>
    <w:rsid w:val="00DE50FD"/>
    <w:rsid w:val="00DE5854"/>
    <w:rsid w:val="00DE587D"/>
    <w:rsid w:val="00DE5C42"/>
    <w:rsid w:val="00DE5CC8"/>
    <w:rsid w:val="00DE6805"/>
    <w:rsid w:val="00DE6AA3"/>
    <w:rsid w:val="00DE7807"/>
    <w:rsid w:val="00DE7C25"/>
    <w:rsid w:val="00DF0CCC"/>
    <w:rsid w:val="00DF0D0A"/>
    <w:rsid w:val="00DF1211"/>
    <w:rsid w:val="00DF1385"/>
    <w:rsid w:val="00DF1FB9"/>
    <w:rsid w:val="00DF2469"/>
    <w:rsid w:val="00DF2EB3"/>
    <w:rsid w:val="00DF316E"/>
    <w:rsid w:val="00DF3626"/>
    <w:rsid w:val="00DF3FC2"/>
    <w:rsid w:val="00DF58E5"/>
    <w:rsid w:val="00DF7634"/>
    <w:rsid w:val="00DF79E1"/>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FAA"/>
    <w:rsid w:val="00E07AA2"/>
    <w:rsid w:val="00E1015B"/>
    <w:rsid w:val="00E106AE"/>
    <w:rsid w:val="00E10723"/>
    <w:rsid w:val="00E10E5A"/>
    <w:rsid w:val="00E11A5C"/>
    <w:rsid w:val="00E1223A"/>
    <w:rsid w:val="00E122A9"/>
    <w:rsid w:val="00E12ABE"/>
    <w:rsid w:val="00E1415F"/>
    <w:rsid w:val="00E14C5E"/>
    <w:rsid w:val="00E15683"/>
    <w:rsid w:val="00E1603D"/>
    <w:rsid w:val="00E171AC"/>
    <w:rsid w:val="00E177C6"/>
    <w:rsid w:val="00E1784D"/>
    <w:rsid w:val="00E20A95"/>
    <w:rsid w:val="00E20E02"/>
    <w:rsid w:val="00E21806"/>
    <w:rsid w:val="00E21BD1"/>
    <w:rsid w:val="00E2282E"/>
    <w:rsid w:val="00E2294D"/>
    <w:rsid w:val="00E2297A"/>
    <w:rsid w:val="00E229C1"/>
    <w:rsid w:val="00E22C09"/>
    <w:rsid w:val="00E2339C"/>
    <w:rsid w:val="00E238C8"/>
    <w:rsid w:val="00E239E9"/>
    <w:rsid w:val="00E23FAE"/>
    <w:rsid w:val="00E25C75"/>
    <w:rsid w:val="00E26416"/>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4ED6"/>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489"/>
    <w:rsid w:val="00E777A5"/>
    <w:rsid w:val="00E77BF3"/>
    <w:rsid w:val="00E77E2D"/>
    <w:rsid w:val="00E77E32"/>
    <w:rsid w:val="00E800B4"/>
    <w:rsid w:val="00E809C8"/>
    <w:rsid w:val="00E80EE9"/>
    <w:rsid w:val="00E8173D"/>
    <w:rsid w:val="00E81907"/>
    <w:rsid w:val="00E81B11"/>
    <w:rsid w:val="00E81DA3"/>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C12"/>
    <w:rsid w:val="00E95DDA"/>
    <w:rsid w:val="00E972A2"/>
    <w:rsid w:val="00EA021F"/>
    <w:rsid w:val="00EA0243"/>
    <w:rsid w:val="00EA03AA"/>
    <w:rsid w:val="00EA0837"/>
    <w:rsid w:val="00EA0EF4"/>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660"/>
    <w:rsid w:val="00ED7D8F"/>
    <w:rsid w:val="00EE1A53"/>
    <w:rsid w:val="00EE1BEE"/>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4FC5"/>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46B"/>
    <w:rsid w:val="00F43C32"/>
    <w:rsid w:val="00F44601"/>
    <w:rsid w:val="00F453B6"/>
    <w:rsid w:val="00F4568C"/>
    <w:rsid w:val="00F45854"/>
    <w:rsid w:val="00F45D0C"/>
    <w:rsid w:val="00F45F5F"/>
    <w:rsid w:val="00F468F2"/>
    <w:rsid w:val="00F4697F"/>
    <w:rsid w:val="00F46B56"/>
    <w:rsid w:val="00F46D54"/>
    <w:rsid w:val="00F50DC4"/>
    <w:rsid w:val="00F52353"/>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1269"/>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96A"/>
    <w:rsid w:val="00F92621"/>
    <w:rsid w:val="00F92790"/>
    <w:rsid w:val="00F92920"/>
    <w:rsid w:val="00F92ACA"/>
    <w:rsid w:val="00F92E7C"/>
    <w:rsid w:val="00F92EAB"/>
    <w:rsid w:val="00F93083"/>
    <w:rsid w:val="00F930D9"/>
    <w:rsid w:val="00F93C4A"/>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4F0"/>
    <w:rsid w:val="00FC4A41"/>
    <w:rsid w:val="00FC5866"/>
    <w:rsid w:val="00FC5E6F"/>
    <w:rsid w:val="00FC7615"/>
    <w:rsid w:val="00FC7785"/>
    <w:rsid w:val="00FC7F4D"/>
    <w:rsid w:val="00FD058E"/>
    <w:rsid w:val="00FD05BC"/>
    <w:rsid w:val="00FD0E60"/>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266"/>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A84"/>
    <w:rsid w:val="00FF4CE2"/>
    <w:rsid w:val="00FF520E"/>
    <w:rsid w:val="00FF70F3"/>
    <w:rsid w:val="00FF7533"/>
    <w:rsid w:val="00FF7BA6"/>
    <w:rsid w:val="00FF7C38"/>
    <w:rsid w:val="01620567"/>
    <w:rsid w:val="0165767E"/>
    <w:rsid w:val="018F791C"/>
    <w:rsid w:val="019E41D1"/>
    <w:rsid w:val="01F0299B"/>
    <w:rsid w:val="02032892"/>
    <w:rsid w:val="022D201D"/>
    <w:rsid w:val="023F752C"/>
    <w:rsid w:val="025E07E6"/>
    <w:rsid w:val="026E4F91"/>
    <w:rsid w:val="02855C8F"/>
    <w:rsid w:val="02FC0FB3"/>
    <w:rsid w:val="036747C9"/>
    <w:rsid w:val="03722E49"/>
    <w:rsid w:val="03B53475"/>
    <w:rsid w:val="03C77F9C"/>
    <w:rsid w:val="03D50AC9"/>
    <w:rsid w:val="041D095D"/>
    <w:rsid w:val="04243DB5"/>
    <w:rsid w:val="04255095"/>
    <w:rsid w:val="04655445"/>
    <w:rsid w:val="0580501B"/>
    <w:rsid w:val="05C87DB9"/>
    <w:rsid w:val="05D23F68"/>
    <w:rsid w:val="05D9541A"/>
    <w:rsid w:val="05E337FC"/>
    <w:rsid w:val="060E7C8E"/>
    <w:rsid w:val="066C559F"/>
    <w:rsid w:val="06716FC0"/>
    <w:rsid w:val="06BC08DA"/>
    <w:rsid w:val="0743590C"/>
    <w:rsid w:val="074C43CE"/>
    <w:rsid w:val="07FB2389"/>
    <w:rsid w:val="084B56D7"/>
    <w:rsid w:val="0854634A"/>
    <w:rsid w:val="0961739E"/>
    <w:rsid w:val="098E6083"/>
    <w:rsid w:val="0A0E0204"/>
    <w:rsid w:val="0A3C1740"/>
    <w:rsid w:val="0A561A29"/>
    <w:rsid w:val="0ABA20D2"/>
    <w:rsid w:val="0B0560A5"/>
    <w:rsid w:val="0B205B2B"/>
    <w:rsid w:val="0B4D15AE"/>
    <w:rsid w:val="0B5F3275"/>
    <w:rsid w:val="0B782559"/>
    <w:rsid w:val="0BBF4426"/>
    <w:rsid w:val="0C1266AB"/>
    <w:rsid w:val="0D0615E3"/>
    <w:rsid w:val="0D391CC1"/>
    <w:rsid w:val="0D4C33F9"/>
    <w:rsid w:val="0D566BC9"/>
    <w:rsid w:val="0D8A700C"/>
    <w:rsid w:val="0DF76C3F"/>
    <w:rsid w:val="0E180322"/>
    <w:rsid w:val="0E677A9C"/>
    <w:rsid w:val="0E6A639F"/>
    <w:rsid w:val="0E8C4995"/>
    <w:rsid w:val="0EAE25D9"/>
    <w:rsid w:val="0EF27BFB"/>
    <w:rsid w:val="0F520C3E"/>
    <w:rsid w:val="0F9431FB"/>
    <w:rsid w:val="0FBC50EF"/>
    <w:rsid w:val="0FE2453E"/>
    <w:rsid w:val="102B0279"/>
    <w:rsid w:val="115864E0"/>
    <w:rsid w:val="115F3FD7"/>
    <w:rsid w:val="11746D37"/>
    <w:rsid w:val="11A259DD"/>
    <w:rsid w:val="11EC343E"/>
    <w:rsid w:val="120027E5"/>
    <w:rsid w:val="120474A0"/>
    <w:rsid w:val="12124122"/>
    <w:rsid w:val="13102ABE"/>
    <w:rsid w:val="131175B6"/>
    <w:rsid w:val="13417034"/>
    <w:rsid w:val="139E67D0"/>
    <w:rsid w:val="143720BB"/>
    <w:rsid w:val="1470712F"/>
    <w:rsid w:val="15290906"/>
    <w:rsid w:val="15FF784E"/>
    <w:rsid w:val="162063B0"/>
    <w:rsid w:val="162352BF"/>
    <w:rsid w:val="165329CF"/>
    <w:rsid w:val="167D280D"/>
    <w:rsid w:val="16883338"/>
    <w:rsid w:val="17047766"/>
    <w:rsid w:val="1721288F"/>
    <w:rsid w:val="175D00C5"/>
    <w:rsid w:val="17935895"/>
    <w:rsid w:val="17CF5D1A"/>
    <w:rsid w:val="17E24696"/>
    <w:rsid w:val="17F52C18"/>
    <w:rsid w:val="181E6542"/>
    <w:rsid w:val="184530EF"/>
    <w:rsid w:val="18716E9E"/>
    <w:rsid w:val="18C8042D"/>
    <w:rsid w:val="18F84CB3"/>
    <w:rsid w:val="19227A4B"/>
    <w:rsid w:val="19C94D95"/>
    <w:rsid w:val="1A134637"/>
    <w:rsid w:val="1B3E182A"/>
    <w:rsid w:val="1B4B5195"/>
    <w:rsid w:val="1B4F4997"/>
    <w:rsid w:val="1BE85270"/>
    <w:rsid w:val="1C17211D"/>
    <w:rsid w:val="1C174C6F"/>
    <w:rsid w:val="1C667BA4"/>
    <w:rsid w:val="1C7C020D"/>
    <w:rsid w:val="1C8F78BA"/>
    <w:rsid w:val="1C9B0D84"/>
    <w:rsid w:val="1CCF022A"/>
    <w:rsid w:val="1CDD3F3B"/>
    <w:rsid w:val="1D4D6869"/>
    <w:rsid w:val="1DA703BC"/>
    <w:rsid w:val="1DDC6C6F"/>
    <w:rsid w:val="1DE930A7"/>
    <w:rsid w:val="1E512F6A"/>
    <w:rsid w:val="1E706519"/>
    <w:rsid w:val="1ED1321D"/>
    <w:rsid w:val="1EEC7A2E"/>
    <w:rsid w:val="1F662618"/>
    <w:rsid w:val="1F7C6916"/>
    <w:rsid w:val="1FA61BCC"/>
    <w:rsid w:val="20132934"/>
    <w:rsid w:val="20943C19"/>
    <w:rsid w:val="20CD63B7"/>
    <w:rsid w:val="20CF3B7F"/>
    <w:rsid w:val="213479B7"/>
    <w:rsid w:val="213A6510"/>
    <w:rsid w:val="21416F7B"/>
    <w:rsid w:val="21760101"/>
    <w:rsid w:val="2178404A"/>
    <w:rsid w:val="22B25284"/>
    <w:rsid w:val="22C07D9F"/>
    <w:rsid w:val="22ED32DA"/>
    <w:rsid w:val="23056CBA"/>
    <w:rsid w:val="234C1E42"/>
    <w:rsid w:val="23503E27"/>
    <w:rsid w:val="23833A32"/>
    <w:rsid w:val="23C6059E"/>
    <w:rsid w:val="23C95079"/>
    <w:rsid w:val="23EE7D7C"/>
    <w:rsid w:val="24031A53"/>
    <w:rsid w:val="24307C26"/>
    <w:rsid w:val="24452698"/>
    <w:rsid w:val="246B510F"/>
    <w:rsid w:val="248E5D4C"/>
    <w:rsid w:val="24C47897"/>
    <w:rsid w:val="24E337F8"/>
    <w:rsid w:val="258D3B57"/>
    <w:rsid w:val="25D61889"/>
    <w:rsid w:val="26192901"/>
    <w:rsid w:val="262336EE"/>
    <w:rsid w:val="268A6BC2"/>
    <w:rsid w:val="269E4C0C"/>
    <w:rsid w:val="27024D1A"/>
    <w:rsid w:val="274D70F1"/>
    <w:rsid w:val="27C11201"/>
    <w:rsid w:val="286F31FC"/>
    <w:rsid w:val="288272C3"/>
    <w:rsid w:val="28A12BA7"/>
    <w:rsid w:val="28FD0531"/>
    <w:rsid w:val="29BC2E23"/>
    <w:rsid w:val="2A1C01F6"/>
    <w:rsid w:val="2ACF5F79"/>
    <w:rsid w:val="2AD85037"/>
    <w:rsid w:val="2AEB6DA2"/>
    <w:rsid w:val="2B012083"/>
    <w:rsid w:val="2B3446EF"/>
    <w:rsid w:val="2BBF4861"/>
    <w:rsid w:val="2BD0253B"/>
    <w:rsid w:val="2BFA5606"/>
    <w:rsid w:val="2C0E7253"/>
    <w:rsid w:val="2C444480"/>
    <w:rsid w:val="2C564DC3"/>
    <w:rsid w:val="2D3922C2"/>
    <w:rsid w:val="2D487949"/>
    <w:rsid w:val="2D6C141D"/>
    <w:rsid w:val="2E383EF0"/>
    <w:rsid w:val="2E5F1C42"/>
    <w:rsid w:val="2E6C1D31"/>
    <w:rsid w:val="2EB64B4B"/>
    <w:rsid w:val="2EDB590A"/>
    <w:rsid w:val="2F0A29E3"/>
    <w:rsid w:val="30817D6A"/>
    <w:rsid w:val="30A45A06"/>
    <w:rsid w:val="30E43EF5"/>
    <w:rsid w:val="3157114E"/>
    <w:rsid w:val="31F2037F"/>
    <w:rsid w:val="32055443"/>
    <w:rsid w:val="329B11F6"/>
    <w:rsid w:val="32AE5C4A"/>
    <w:rsid w:val="333354E6"/>
    <w:rsid w:val="336E087E"/>
    <w:rsid w:val="338E3084"/>
    <w:rsid w:val="339963F3"/>
    <w:rsid w:val="33C3087D"/>
    <w:rsid w:val="33C54835"/>
    <w:rsid w:val="33D54F94"/>
    <w:rsid w:val="34CE1EC2"/>
    <w:rsid w:val="35006E1E"/>
    <w:rsid w:val="3502519D"/>
    <w:rsid w:val="350B5B67"/>
    <w:rsid w:val="350C12EE"/>
    <w:rsid w:val="351F7AFD"/>
    <w:rsid w:val="35961B12"/>
    <w:rsid w:val="35C230C0"/>
    <w:rsid w:val="364523AD"/>
    <w:rsid w:val="36700D38"/>
    <w:rsid w:val="369C6565"/>
    <w:rsid w:val="36C4673D"/>
    <w:rsid w:val="370900F4"/>
    <w:rsid w:val="376E6B1A"/>
    <w:rsid w:val="37923910"/>
    <w:rsid w:val="37B10B63"/>
    <w:rsid w:val="37D17C49"/>
    <w:rsid w:val="382B6985"/>
    <w:rsid w:val="38523F10"/>
    <w:rsid w:val="385D0C53"/>
    <w:rsid w:val="38F127A1"/>
    <w:rsid w:val="38FA0C66"/>
    <w:rsid w:val="390721D7"/>
    <w:rsid w:val="393B510C"/>
    <w:rsid w:val="393F4767"/>
    <w:rsid w:val="39556DD1"/>
    <w:rsid w:val="39726DA3"/>
    <w:rsid w:val="39A97E97"/>
    <w:rsid w:val="39AA39B9"/>
    <w:rsid w:val="39B2427B"/>
    <w:rsid w:val="39B62FF7"/>
    <w:rsid w:val="3A260C29"/>
    <w:rsid w:val="3B57268D"/>
    <w:rsid w:val="3B6176CE"/>
    <w:rsid w:val="3B7975D9"/>
    <w:rsid w:val="3BF9504C"/>
    <w:rsid w:val="3CF11603"/>
    <w:rsid w:val="3CFE1464"/>
    <w:rsid w:val="3D6F4D41"/>
    <w:rsid w:val="3D7507FB"/>
    <w:rsid w:val="3E790F3F"/>
    <w:rsid w:val="3EB5127A"/>
    <w:rsid w:val="3F503E5E"/>
    <w:rsid w:val="3F754885"/>
    <w:rsid w:val="3FC16214"/>
    <w:rsid w:val="3FF91F54"/>
    <w:rsid w:val="40B32A84"/>
    <w:rsid w:val="40C43078"/>
    <w:rsid w:val="40E36A32"/>
    <w:rsid w:val="40F42560"/>
    <w:rsid w:val="413C37E5"/>
    <w:rsid w:val="41576FF8"/>
    <w:rsid w:val="4160360B"/>
    <w:rsid w:val="41745031"/>
    <w:rsid w:val="417D3A72"/>
    <w:rsid w:val="41D9164E"/>
    <w:rsid w:val="41DD521D"/>
    <w:rsid w:val="423B7022"/>
    <w:rsid w:val="427772F6"/>
    <w:rsid w:val="4389060E"/>
    <w:rsid w:val="439054CA"/>
    <w:rsid w:val="43C8028A"/>
    <w:rsid w:val="43D51667"/>
    <w:rsid w:val="43D843FE"/>
    <w:rsid w:val="443B2C25"/>
    <w:rsid w:val="447A6C5E"/>
    <w:rsid w:val="448421F1"/>
    <w:rsid w:val="44BE568E"/>
    <w:rsid w:val="44D53D34"/>
    <w:rsid w:val="453F0E4E"/>
    <w:rsid w:val="45587A80"/>
    <w:rsid w:val="45B9400B"/>
    <w:rsid w:val="45D37D9B"/>
    <w:rsid w:val="45DD04A2"/>
    <w:rsid w:val="45E96C5B"/>
    <w:rsid w:val="465D6DE0"/>
    <w:rsid w:val="46AF05B5"/>
    <w:rsid w:val="47172EA8"/>
    <w:rsid w:val="48194FD5"/>
    <w:rsid w:val="484514CB"/>
    <w:rsid w:val="48516103"/>
    <w:rsid w:val="48763A80"/>
    <w:rsid w:val="48807487"/>
    <w:rsid w:val="48C86EE1"/>
    <w:rsid w:val="48DE3578"/>
    <w:rsid w:val="48E21116"/>
    <w:rsid w:val="491D4677"/>
    <w:rsid w:val="49C23539"/>
    <w:rsid w:val="49FA6EF8"/>
    <w:rsid w:val="4A0B5227"/>
    <w:rsid w:val="4A443E36"/>
    <w:rsid w:val="4A784961"/>
    <w:rsid w:val="4A871F75"/>
    <w:rsid w:val="4A8A58BF"/>
    <w:rsid w:val="4ACF3A3C"/>
    <w:rsid w:val="4ADE23BD"/>
    <w:rsid w:val="4B1700DF"/>
    <w:rsid w:val="4B3C4946"/>
    <w:rsid w:val="4B932C2F"/>
    <w:rsid w:val="4C2A70D6"/>
    <w:rsid w:val="4C676463"/>
    <w:rsid w:val="4DB56DF9"/>
    <w:rsid w:val="4E0144BC"/>
    <w:rsid w:val="4E35680A"/>
    <w:rsid w:val="4E8E2D56"/>
    <w:rsid w:val="4F0F6A19"/>
    <w:rsid w:val="4F253309"/>
    <w:rsid w:val="4F793165"/>
    <w:rsid w:val="4F90367A"/>
    <w:rsid w:val="5066262C"/>
    <w:rsid w:val="51013E51"/>
    <w:rsid w:val="51A214F3"/>
    <w:rsid w:val="51D10A66"/>
    <w:rsid w:val="51E577B6"/>
    <w:rsid w:val="528A390F"/>
    <w:rsid w:val="528C6991"/>
    <w:rsid w:val="5290274B"/>
    <w:rsid w:val="52B96A43"/>
    <w:rsid w:val="530D5B47"/>
    <w:rsid w:val="53781E8A"/>
    <w:rsid w:val="54054633"/>
    <w:rsid w:val="540605E4"/>
    <w:rsid w:val="542919A7"/>
    <w:rsid w:val="5435326E"/>
    <w:rsid w:val="547F0032"/>
    <w:rsid w:val="549F2A4E"/>
    <w:rsid w:val="54A02A20"/>
    <w:rsid w:val="54AA3DF7"/>
    <w:rsid w:val="55001A4D"/>
    <w:rsid w:val="551C1275"/>
    <w:rsid w:val="557805F0"/>
    <w:rsid w:val="558C55D1"/>
    <w:rsid w:val="55C87B3E"/>
    <w:rsid w:val="55D67651"/>
    <w:rsid w:val="56174884"/>
    <w:rsid w:val="562C5301"/>
    <w:rsid w:val="565A50BD"/>
    <w:rsid w:val="56EB4837"/>
    <w:rsid w:val="57870254"/>
    <w:rsid w:val="58C223CA"/>
    <w:rsid w:val="58D67D8C"/>
    <w:rsid w:val="58E10577"/>
    <w:rsid w:val="59165EF7"/>
    <w:rsid w:val="591B3448"/>
    <w:rsid w:val="59702A12"/>
    <w:rsid w:val="59AC76C9"/>
    <w:rsid w:val="59E9425F"/>
    <w:rsid w:val="5A373899"/>
    <w:rsid w:val="5A5F5564"/>
    <w:rsid w:val="5AAE49FA"/>
    <w:rsid w:val="5AED2A9C"/>
    <w:rsid w:val="5AF64117"/>
    <w:rsid w:val="5BC746C9"/>
    <w:rsid w:val="5BDD1289"/>
    <w:rsid w:val="5BF3306E"/>
    <w:rsid w:val="5CC61F72"/>
    <w:rsid w:val="5CF206F7"/>
    <w:rsid w:val="5D6D7FF0"/>
    <w:rsid w:val="5D746389"/>
    <w:rsid w:val="5D7F54EA"/>
    <w:rsid w:val="5D826049"/>
    <w:rsid w:val="5E0271CB"/>
    <w:rsid w:val="5E0D40BF"/>
    <w:rsid w:val="5EA0340D"/>
    <w:rsid w:val="5ED66C3C"/>
    <w:rsid w:val="5F4854A5"/>
    <w:rsid w:val="5FBA669E"/>
    <w:rsid w:val="5FCD1D80"/>
    <w:rsid w:val="5FDD643B"/>
    <w:rsid w:val="600B1E01"/>
    <w:rsid w:val="60BA3E42"/>
    <w:rsid w:val="6194383B"/>
    <w:rsid w:val="61A14A39"/>
    <w:rsid w:val="61CB5375"/>
    <w:rsid w:val="61EF4230"/>
    <w:rsid w:val="61F5074D"/>
    <w:rsid w:val="61F93F23"/>
    <w:rsid w:val="623348CA"/>
    <w:rsid w:val="62342678"/>
    <w:rsid w:val="63352B18"/>
    <w:rsid w:val="644F5841"/>
    <w:rsid w:val="64C37BF6"/>
    <w:rsid w:val="64F85CFF"/>
    <w:rsid w:val="65CA685B"/>
    <w:rsid w:val="65CF34A7"/>
    <w:rsid w:val="65F660EF"/>
    <w:rsid w:val="6673798C"/>
    <w:rsid w:val="673905B6"/>
    <w:rsid w:val="681C3942"/>
    <w:rsid w:val="68460AAC"/>
    <w:rsid w:val="68742204"/>
    <w:rsid w:val="68AC1CFE"/>
    <w:rsid w:val="68E84732"/>
    <w:rsid w:val="69050409"/>
    <w:rsid w:val="699464D5"/>
    <w:rsid w:val="69C40712"/>
    <w:rsid w:val="69F85FA8"/>
    <w:rsid w:val="6A1E71C3"/>
    <w:rsid w:val="6A4B40F8"/>
    <w:rsid w:val="6A8100EB"/>
    <w:rsid w:val="6AC04408"/>
    <w:rsid w:val="6AC80299"/>
    <w:rsid w:val="6B144A41"/>
    <w:rsid w:val="6B574BF4"/>
    <w:rsid w:val="6B621F18"/>
    <w:rsid w:val="6B9F6C4E"/>
    <w:rsid w:val="6BCD1DE6"/>
    <w:rsid w:val="6BF03057"/>
    <w:rsid w:val="6BF66DAD"/>
    <w:rsid w:val="6BFD1A9F"/>
    <w:rsid w:val="6C244EC0"/>
    <w:rsid w:val="6C3C6415"/>
    <w:rsid w:val="6C505023"/>
    <w:rsid w:val="6C5304F8"/>
    <w:rsid w:val="6C627C59"/>
    <w:rsid w:val="6CDD5516"/>
    <w:rsid w:val="6D14299F"/>
    <w:rsid w:val="6D672A1E"/>
    <w:rsid w:val="6DC237D1"/>
    <w:rsid w:val="6DE3277E"/>
    <w:rsid w:val="6E4465F2"/>
    <w:rsid w:val="6E607FE4"/>
    <w:rsid w:val="6E6C0F35"/>
    <w:rsid w:val="6F40725E"/>
    <w:rsid w:val="704A1029"/>
    <w:rsid w:val="705B0DEE"/>
    <w:rsid w:val="711172CF"/>
    <w:rsid w:val="71272AF1"/>
    <w:rsid w:val="71596AE0"/>
    <w:rsid w:val="7191517F"/>
    <w:rsid w:val="71AB523B"/>
    <w:rsid w:val="71BA4B1D"/>
    <w:rsid w:val="71C756D2"/>
    <w:rsid w:val="71FD54DD"/>
    <w:rsid w:val="7205184D"/>
    <w:rsid w:val="72A817F5"/>
    <w:rsid w:val="72F62F44"/>
    <w:rsid w:val="731A41CC"/>
    <w:rsid w:val="7340609D"/>
    <w:rsid w:val="73712244"/>
    <w:rsid w:val="739F35B4"/>
    <w:rsid w:val="7410294D"/>
    <w:rsid w:val="747405C4"/>
    <w:rsid w:val="74B2591B"/>
    <w:rsid w:val="74EE0974"/>
    <w:rsid w:val="75051BA7"/>
    <w:rsid w:val="754579D9"/>
    <w:rsid w:val="755E7772"/>
    <w:rsid w:val="75EC7DCD"/>
    <w:rsid w:val="761A2F58"/>
    <w:rsid w:val="762F1005"/>
    <w:rsid w:val="76B94908"/>
    <w:rsid w:val="76D71644"/>
    <w:rsid w:val="776C2FB6"/>
    <w:rsid w:val="77972F48"/>
    <w:rsid w:val="78144E87"/>
    <w:rsid w:val="78C7785D"/>
    <w:rsid w:val="79051CCA"/>
    <w:rsid w:val="79982284"/>
    <w:rsid w:val="7998662D"/>
    <w:rsid w:val="79D15C97"/>
    <w:rsid w:val="7A2A2431"/>
    <w:rsid w:val="7A543144"/>
    <w:rsid w:val="7A590D88"/>
    <w:rsid w:val="7A8C5878"/>
    <w:rsid w:val="7B2B10F3"/>
    <w:rsid w:val="7B471854"/>
    <w:rsid w:val="7B4E1F77"/>
    <w:rsid w:val="7C055BBF"/>
    <w:rsid w:val="7C2C1CBB"/>
    <w:rsid w:val="7C552333"/>
    <w:rsid w:val="7CA86C55"/>
    <w:rsid w:val="7CF019C1"/>
    <w:rsid w:val="7D371680"/>
    <w:rsid w:val="7D461CAD"/>
    <w:rsid w:val="7D465451"/>
    <w:rsid w:val="7E28286A"/>
    <w:rsid w:val="7E4515FE"/>
    <w:rsid w:val="7E5B556C"/>
    <w:rsid w:val="7E8B2A84"/>
    <w:rsid w:val="7E933D3D"/>
    <w:rsid w:val="7EAD59B2"/>
    <w:rsid w:val="7F2713E0"/>
    <w:rsid w:val="7F7D46BD"/>
    <w:rsid w:val="7F8F0A74"/>
    <w:rsid w:val="7F91273C"/>
    <w:rsid w:val="7FDF05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autoRedefine/>
    <w:qFormat/>
    <w:uiPriority w:val="0"/>
    <w:pPr>
      <w:spacing w:before="460" w:after="450" w:line="360" w:lineRule="auto"/>
      <w:jc w:val="center"/>
      <w:outlineLvl w:val="0"/>
    </w:pPr>
    <w:rPr>
      <w:rFonts w:eastAsiaTheme="minorEastAsia"/>
      <w:kern w:val="44"/>
      <w:sz w:val="44"/>
      <w:szCs w:val="28"/>
    </w:rPr>
  </w:style>
  <w:style w:type="paragraph" w:styleId="3">
    <w:name w:val="heading 2"/>
    <w:basedOn w:val="1"/>
    <w:next w:val="1"/>
    <w:link w:val="63"/>
    <w:autoRedefine/>
    <w:qFormat/>
    <w:uiPriority w:val="0"/>
    <w:pPr>
      <w:jc w:val="center"/>
      <w:outlineLvl w:val="1"/>
    </w:pPr>
    <w:rPr>
      <w:rFonts w:ascii="Arial" w:hAnsi="Arial" w:eastAsiaTheme="minorEastAsia"/>
      <w:sz w:val="28"/>
    </w:rPr>
  </w:style>
  <w:style w:type="paragraph" w:styleId="4">
    <w:name w:val="heading 3"/>
    <w:basedOn w:val="1"/>
    <w:next w:val="1"/>
    <w:link w:val="61"/>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4"/>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6"/>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7"/>
    <w:autoRedefine/>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8"/>
    <w:autoRedefine/>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9"/>
    <w:autoRedefine/>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70"/>
    <w:autoRedefine/>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5"/>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9"/>
    <w:autoRedefine/>
    <w:qFormat/>
    <w:uiPriority w:val="0"/>
    <w:rPr>
      <w:rFonts w:ascii="Cambria" w:hAnsi="Cambria" w:eastAsia="黑体"/>
    </w:rPr>
  </w:style>
  <w:style w:type="paragraph" w:styleId="16">
    <w:name w:val="List Bullet"/>
    <w:basedOn w:val="1"/>
    <w:autoRedefine/>
    <w:qFormat/>
    <w:uiPriority w:val="0"/>
    <w:pPr>
      <w:numPr>
        <w:ilvl w:val="0"/>
        <w:numId w:val="1"/>
      </w:numPr>
      <w:tabs>
        <w:tab w:val="left" w:pos="360"/>
        <w:tab w:val="clear" w:pos="371"/>
      </w:tabs>
    </w:pPr>
    <w:rPr>
      <w:szCs w:val="20"/>
    </w:rPr>
  </w:style>
  <w:style w:type="paragraph" w:styleId="17">
    <w:name w:val="Document Map"/>
    <w:basedOn w:val="1"/>
    <w:link w:val="75"/>
    <w:autoRedefine/>
    <w:qFormat/>
    <w:uiPriority w:val="0"/>
    <w:pPr>
      <w:shd w:val="clear" w:color="auto" w:fill="000080"/>
    </w:pPr>
  </w:style>
  <w:style w:type="paragraph" w:styleId="18">
    <w:name w:val="annotation text"/>
    <w:basedOn w:val="1"/>
    <w:link w:val="71"/>
    <w:autoRedefine/>
    <w:qFormat/>
    <w:uiPriority w:val="0"/>
    <w:pPr>
      <w:jc w:val="left"/>
    </w:pPr>
  </w:style>
  <w:style w:type="paragraph" w:styleId="19">
    <w:name w:val="Body Text 3"/>
    <w:basedOn w:val="1"/>
    <w:link w:val="460"/>
    <w:autoRedefine/>
    <w:unhideWhenUsed/>
    <w:qFormat/>
    <w:uiPriority w:val="0"/>
    <w:pPr>
      <w:spacing w:after="120"/>
    </w:pPr>
    <w:rPr>
      <w:sz w:val="16"/>
      <w:szCs w:val="16"/>
    </w:rPr>
  </w:style>
  <w:style w:type="paragraph" w:styleId="20">
    <w:name w:val="Body Text"/>
    <w:basedOn w:val="1"/>
    <w:next w:val="21"/>
    <w:link w:val="73"/>
    <w:autoRedefine/>
    <w:qFormat/>
    <w:uiPriority w:val="0"/>
    <w:pPr>
      <w:spacing w:after="120"/>
      <w:jc w:val="center"/>
    </w:pPr>
    <w:rPr>
      <w:rFonts w:asciiTheme="minorEastAsia" w:hAnsiTheme="minorEastAsia" w:eastAsiaTheme="minorEastAsia"/>
      <w:b/>
      <w:snapToGrid w:val="0"/>
      <w:kern w:val="0"/>
      <w:sz w:val="72"/>
      <w:szCs w:val="72"/>
    </w:rPr>
  </w:style>
  <w:style w:type="paragraph" w:styleId="21">
    <w:name w:val="Title"/>
    <w:basedOn w:val="1"/>
    <w:next w:val="1"/>
    <w:link w:val="83"/>
    <w:autoRedefine/>
    <w:qFormat/>
    <w:uiPriority w:val="0"/>
    <w:pPr>
      <w:spacing w:before="240" w:after="60"/>
      <w:jc w:val="center"/>
      <w:outlineLvl w:val="0"/>
    </w:pPr>
    <w:rPr>
      <w:rFonts w:ascii="Arial" w:hAnsi="Arial" w:eastAsia="隶书"/>
      <w:b/>
      <w:bCs/>
      <w:sz w:val="32"/>
      <w:szCs w:val="32"/>
    </w:rPr>
  </w:style>
  <w:style w:type="paragraph" w:styleId="22">
    <w:name w:val="Body Text Indent"/>
    <w:basedOn w:val="1"/>
    <w:next w:val="23"/>
    <w:link w:val="76"/>
    <w:autoRedefine/>
    <w:qFormat/>
    <w:uiPriority w:val="0"/>
    <w:pPr>
      <w:spacing w:after="120"/>
      <w:ind w:left="420" w:leftChars="200"/>
    </w:pPr>
  </w:style>
  <w:style w:type="paragraph" w:styleId="23">
    <w:name w:val="envelope return"/>
    <w:basedOn w:val="1"/>
    <w:qFormat/>
    <w:uiPriority w:val="0"/>
    <w:rPr>
      <w:rFonts w:ascii="Arial" w:hAnsi="Arial" w:cs="Arial"/>
    </w:rPr>
  </w:style>
  <w:style w:type="paragraph" w:styleId="24">
    <w:name w:val="Block Text"/>
    <w:basedOn w:val="1"/>
    <w:autoRedefine/>
    <w:qFormat/>
    <w:uiPriority w:val="0"/>
    <w:pPr>
      <w:spacing w:after="120"/>
      <w:ind w:left="1440" w:leftChars="700" w:right="1440" w:rightChars="700"/>
    </w:pPr>
  </w:style>
  <w:style w:type="paragraph" w:styleId="25">
    <w:name w:val="List Bullet 2"/>
    <w:basedOn w:val="1"/>
    <w:autoRedefine/>
    <w:qFormat/>
    <w:uiPriority w:val="0"/>
    <w:pPr>
      <w:numPr>
        <w:ilvl w:val="0"/>
        <w:numId w:val="2"/>
      </w:numPr>
      <w:tabs>
        <w:tab w:val="left" w:pos="780"/>
      </w:tabs>
    </w:pPr>
    <w:rPr>
      <w:szCs w:val="20"/>
    </w:rPr>
  </w:style>
  <w:style w:type="paragraph" w:styleId="26">
    <w:name w:val="toc 5"/>
    <w:basedOn w:val="1"/>
    <w:next w:val="1"/>
    <w:autoRedefine/>
    <w:qFormat/>
    <w:uiPriority w:val="0"/>
    <w:pPr>
      <w:ind w:left="840"/>
      <w:jc w:val="left"/>
    </w:pPr>
    <w:rPr>
      <w:szCs w:val="21"/>
    </w:rPr>
  </w:style>
  <w:style w:type="paragraph" w:styleId="27">
    <w:name w:val="toc 3"/>
    <w:basedOn w:val="1"/>
    <w:next w:val="1"/>
    <w:autoRedefine/>
    <w:qFormat/>
    <w:uiPriority w:val="39"/>
    <w:pPr>
      <w:ind w:left="420"/>
      <w:jc w:val="left"/>
    </w:pPr>
    <w:rPr>
      <w:iCs/>
    </w:rPr>
  </w:style>
  <w:style w:type="paragraph" w:styleId="28">
    <w:name w:val="Plain Text"/>
    <w:basedOn w:val="1"/>
    <w:link w:val="77"/>
    <w:autoRedefine/>
    <w:qFormat/>
    <w:uiPriority w:val="0"/>
    <w:rPr>
      <w:rFonts w:ascii="宋体" w:hAnsi="Courier New"/>
      <w:szCs w:val="20"/>
    </w:rPr>
  </w:style>
  <w:style w:type="paragraph" w:styleId="29">
    <w:name w:val="toc 8"/>
    <w:basedOn w:val="1"/>
    <w:next w:val="1"/>
    <w:autoRedefine/>
    <w:qFormat/>
    <w:uiPriority w:val="0"/>
    <w:pPr>
      <w:ind w:left="1470"/>
      <w:jc w:val="left"/>
    </w:pPr>
    <w:rPr>
      <w:szCs w:val="21"/>
    </w:rPr>
  </w:style>
  <w:style w:type="paragraph" w:styleId="30">
    <w:name w:val="Date"/>
    <w:basedOn w:val="1"/>
    <w:next w:val="1"/>
    <w:link w:val="318"/>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1">
    <w:name w:val="Body Text Indent 2"/>
    <w:basedOn w:val="1"/>
    <w:link w:val="78"/>
    <w:autoRedefine/>
    <w:qFormat/>
    <w:uiPriority w:val="0"/>
    <w:pPr>
      <w:spacing w:after="120" w:line="480" w:lineRule="auto"/>
      <w:ind w:left="420" w:leftChars="200"/>
    </w:pPr>
  </w:style>
  <w:style w:type="paragraph" w:styleId="32">
    <w:name w:val="Balloon Text"/>
    <w:basedOn w:val="1"/>
    <w:link w:val="79"/>
    <w:autoRedefine/>
    <w:qFormat/>
    <w:uiPriority w:val="0"/>
    <w:rPr>
      <w:sz w:val="18"/>
      <w:szCs w:val="18"/>
    </w:rPr>
  </w:style>
  <w:style w:type="paragraph" w:styleId="33">
    <w:name w:val="footer"/>
    <w:basedOn w:val="1"/>
    <w:link w:val="80"/>
    <w:autoRedefine/>
    <w:qFormat/>
    <w:uiPriority w:val="99"/>
    <w:pPr>
      <w:tabs>
        <w:tab w:val="center" w:pos="4153"/>
        <w:tab w:val="right" w:pos="8306"/>
      </w:tabs>
      <w:snapToGrid w:val="0"/>
      <w:jc w:val="left"/>
    </w:pPr>
    <w:rPr>
      <w:sz w:val="18"/>
      <w:szCs w:val="18"/>
    </w:rPr>
  </w:style>
  <w:style w:type="paragraph" w:styleId="34">
    <w:name w:val="header"/>
    <w:basedOn w:val="1"/>
    <w:link w:val="81"/>
    <w:autoRedefine/>
    <w:qFormat/>
    <w:uiPriority w:val="99"/>
    <w:pPr>
      <w:pBdr>
        <w:bottom w:val="single" w:color="auto" w:sz="6" w:space="1"/>
      </w:pBdr>
      <w:tabs>
        <w:tab w:val="center" w:pos="4153"/>
        <w:tab w:val="right" w:pos="8306"/>
      </w:tabs>
      <w:snapToGrid w:val="0"/>
      <w:jc w:val="center"/>
    </w:pPr>
    <w:rPr>
      <w:sz w:val="18"/>
      <w:szCs w:val="18"/>
    </w:rPr>
  </w:style>
  <w:style w:type="paragraph" w:styleId="35">
    <w:name w:val="Signature"/>
    <w:basedOn w:val="1"/>
    <w:link w:val="289"/>
    <w:autoRedefine/>
    <w:qFormat/>
    <w:uiPriority w:val="0"/>
    <w:pPr>
      <w:ind w:left="4320"/>
    </w:pPr>
    <w:rPr>
      <w:rFonts w:eastAsia="楷体_GB2312"/>
      <w:szCs w:val="20"/>
    </w:rPr>
  </w:style>
  <w:style w:type="paragraph" w:styleId="36">
    <w:name w:val="toc 1"/>
    <w:basedOn w:val="1"/>
    <w:next w:val="1"/>
    <w:autoRedefine/>
    <w:qFormat/>
    <w:uiPriority w:val="39"/>
    <w:pPr>
      <w:spacing w:before="120" w:after="120"/>
      <w:jc w:val="left"/>
    </w:pPr>
    <w:rPr>
      <w:b/>
      <w:bCs/>
      <w:caps/>
    </w:rPr>
  </w:style>
  <w:style w:type="paragraph" w:styleId="37">
    <w:name w:val="toc 4"/>
    <w:basedOn w:val="1"/>
    <w:next w:val="1"/>
    <w:autoRedefine/>
    <w:qFormat/>
    <w:uiPriority w:val="0"/>
    <w:pPr>
      <w:ind w:left="630"/>
      <w:jc w:val="left"/>
    </w:pPr>
    <w:rPr>
      <w:szCs w:val="21"/>
    </w:rPr>
  </w:style>
  <w:style w:type="paragraph" w:styleId="38">
    <w:name w:val="index heading"/>
    <w:basedOn w:val="1"/>
    <w:next w:val="39"/>
    <w:autoRedefine/>
    <w:qFormat/>
    <w:uiPriority w:val="0"/>
    <w:rPr>
      <w:szCs w:val="20"/>
    </w:rPr>
  </w:style>
  <w:style w:type="paragraph" w:styleId="39">
    <w:name w:val="index 1"/>
    <w:basedOn w:val="1"/>
    <w:next w:val="1"/>
    <w:autoRedefine/>
    <w:qFormat/>
    <w:uiPriority w:val="0"/>
  </w:style>
  <w:style w:type="paragraph" w:styleId="40">
    <w:name w:val="footnote text"/>
    <w:basedOn w:val="1"/>
    <w:link w:val="465"/>
    <w:autoRedefine/>
    <w:qFormat/>
    <w:uiPriority w:val="0"/>
    <w:pPr>
      <w:snapToGrid w:val="0"/>
      <w:jc w:val="left"/>
    </w:pPr>
    <w:rPr>
      <w:sz w:val="18"/>
      <w:szCs w:val="18"/>
    </w:rPr>
  </w:style>
  <w:style w:type="paragraph" w:styleId="41">
    <w:name w:val="toc 6"/>
    <w:basedOn w:val="1"/>
    <w:next w:val="1"/>
    <w:autoRedefine/>
    <w:qFormat/>
    <w:uiPriority w:val="0"/>
    <w:pPr>
      <w:ind w:left="1050"/>
      <w:jc w:val="left"/>
    </w:pPr>
    <w:rPr>
      <w:szCs w:val="21"/>
    </w:rPr>
  </w:style>
  <w:style w:type="paragraph" w:styleId="42">
    <w:name w:val="Body Text Indent 3"/>
    <w:basedOn w:val="1"/>
    <w:link w:val="315"/>
    <w:autoRedefine/>
    <w:qFormat/>
    <w:uiPriority w:val="0"/>
    <w:pPr>
      <w:ind w:firstLine="426"/>
    </w:pPr>
    <w:rPr>
      <w:szCs w:val="20"/>
    </w:rPr>
  </w:style>
  <w:style w:type="paragraph" w:styleId="43">
    <w:name w:val="toc 2"/>
    <w:basedOn w:val="1"/>
    <w:next w:val="1"/>
    <w:autoRedefine/>
    <w:qFormat/>
    <w:uiPriority w:val="39"/>
    <w:pPr>
      <w:ind w:left="210"/>
      <w:jc w:val="left"/>
    </w:pPr>
    <w:rPr>
      <w:smallCaps/>
    </w:rPr>
  </w:style>
  <w:style w:type="paragraph" w:styleId="44">
    <w:name w:val="toc 9"/>
    <w:basedOn w:val="1"/>
    <w:next w:val="1"/>
    <w:autoRedefine/>
    <w:qFormat/>
    <w:uiPriority w:val="0"/>
    <w:pPr>
      <w:ind w:left="1680"/>
      <w:jc w:val="left"/>
    </w:pPr>
    <w:rPr>
      <w:szCs w:val="21"/>
    </w:rPr>
  </w:style>
  <w:style w:type="paragraph" w:styleId="45">
    <w:name w:val="Body Text 2"/>
    <w:basedOn w:val="1"/>
    <w:link w:val="308"/>
    <w:autoRedefine/>
    <w:qFormat/>
    <w:uiPriority w:val="0"/>
    <w:rPr>
      <w:sz w:val="28"/>
      <w:szCs w:val="20"/>
    </w:rPr>
  </w:style>
  <w:style w:type="paragraph" w:styleId="46">
    <w:name w:val="HTML Preformatted"/>
    <w:basedOn w:val="1"/>
    <w:link w:val="8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7">
    <w:name w:val="Normal (Web)"/>
    <w:basedOn w:val="1"/>
    <w:autoRedefine/>
    <w:qFormat/>
    <w:uiPriority w:val="99"/>
    <w:pPr>
      <w:widowControl/>
      <w:spacing w:before="100" w:beforeAutospacing="1" w:after="100" w:afterAutospacing="1"/>
      <w:jc w:val="left"/>
    </w:pPr>
    <w:rPr>
      <w:kern w:val="0"/>
      <w:sz w:val="24"/>
    </w:rPr>
  </w:style>
  <w:style w:type="paragraph" w:styleId="48">
    <w:name w:val="annotation subject"/>
    <w:basedOn w:val="18"/>
    <w:next w:val="18"/>
    <w:link w:val="72"/>
    <w:autoRedefine/>
    <w:qFormat/>
    <w:uiPriority w:val="0"/>
    <w:rPr>
      <w:b/>
      <w:bCs/>
    </w:rPr>
  </w:style>
  <w:style w:type="paragraph" w:styleId="49">
    <w:name w:val="Body Text First Indent"/>
    <w:basedOn w:val="20"/>
    <w:link w:val="74"/>
    <w:autoRedefine/>
    <w:qFormat/>
    <w:uiPriority w:val="0"/>
    <w:pPr>
      <w:ind w:firstLine="420" w:firstLineChars="100"/>
    </w:pPr>
  </w:style>
  <w:style w:type="paragraph" w:styleId="50">
    <w:name w:val="Body Text First Indent 2"/>
    <w:basedOn w:val="22"/>
    <w:link w:val="294"/>
    <w:autoRedefine/>
    <w:qFormat/>
    <w:uiPriority w:val="0"/>
    <w:pPr>
      <w:spacing w:after="160" w:line="360" w:lineRule="auto"/>
      <w:ind w:firstLine="480" w:firstLineChars="200"/>
    </w:pPr>
    <w:rPr>
      <w:kern w:val="0"/>
      <w:sz w:val="24"/>
    </w:rPr>
  </w:style>
  <w:style w:type="table" w:styleId="52">
    <w:name w:val="Table Grid"/>
    <w:basedOn w:val="5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autoRedefine/>
    <w:qFormat/>
    <w:uiPriority w:val="22"/>
    <w:rPr>
      <w:b/>
      <w:bCs/>
    </w:rPr>
  </w:style>
  <w:style w:type="character" w:styleId="55">
    <w:name w:val="page number"/>
    <w:basedOn w:val="53"/>
    <w:autoRedefine/>
    <w:qFormat/>
    <w:uiPriority w:val="0"/>
  </w:style>
  <w:style w:type="character" w:styleId="56">
    <w:name w:val="FollowedHyperlink"/>
    <w:basedOn w:val="53"/>
    <w:autoRedefine/>
    <w:unhideWhenUsed/>
    <w:qFormat/>
    <w:uiPriority w:val="0"/>
    <w:rPr>
      <w:color w:val="800080"/>
      <w:u w:val="single"/>
    </w:rPr>
  </w:style>
  <w:style w:type="character" w:styleId="57">
    <w:name w:val="Emphasis"/>
    <w:autoRedefine/>
    <w:qFormat/>
    <w:uiPriority w:val="20"/>
    <w:rPr>
      <w:i/>
      <w:iCs/>
    </w:rPr>
  </w:style>
  <w:style w:type="character" w:styleId="58">
    <w:name w:val="Hyperlink"/>
    <w:autoRedefine/>
    <w:qFormat/>
    <w:uiPriority w:val="99"/>
    <w:rPr>
      <w:color w:val="0000FF"/>
      <w:u w:val="single"/>
    </w:rPr>
  </w:style>
  <w:style w:type="character" w:styleId="59">
    <w:name w:val="annotation reference"/>
    <w:autoRedefine/>
    <w:qFormat/>
    <w:uiPriority w:val="0"/>
    <w:rPr>
      <w:sz w:val="21"/>
      <w:szCs w:val="21"/>
    </w:rPr>
  </w:style>
  <w:style w:type="paragraph" w:customStyle="1" w:styleId="60">
    <w:name w:val="样式 4 10 磅2"/>
    <w:qFormat/>
    <w:uiPriority w:val="0"/>
    <w:pPr>
      <w:widowControl w:val="0"/>
      <w:jc w:val="both"/>
    </w:pPr>
    <w:rPr>
      <w:rFonts w:ascii="等线" w:hAnsi="Times New Roman" w:eastAsia="等线" w:cs="Times New Roman"/>
      <w:kern w:val="2"/>
      <w:sz w:val="21"/>
      <w:szCs w:val="22"/>
      <w:lang w:val="en-US" w:eastAsia="zh-CN" w:bidi="ar-SA"/>
    </w:rPr>
  </w:style>
  <w:style w:type="character" w:customStyle="1" w:styleId="61">
    <w:name w:val="标题 3 Char"/>
    <w:basedOn w:val="53"/>
    <w:link w:val="4"/>
    <w:autoRedefine/>
    <w:qFormat/>
    <w:uiPriority w:val="0"/>
    <w:rPr>
      <w:b/>
      <w:bCs/>
      <w:kern w:val="2"/>
      <w:sz w:val="24"/>
      <w:szCs w:val="32"/>
    </w:rPr>
  </w:style>
  <w:style w:type="character" w:customStyle="1" w:styleId="62">
    <w:name w:val="标题 1 Char"/>
    <w:basedOn w:val="53"/>
    <w:link w:val="2"/>
    <w:autoRedefine/>
    <w:qFormat/>
    <w:uiPriority w:val="0"/>
    <w:rPr>
      <w:rFonts w:eastAsiaTheme="minorEastAsia"/>
      <w:b/>
      <w:kern w:val="44"/>
      <w:sz w:val="44"/>
      <w:szCs w:val="28"/>
    </w:rPr>
  </w:style>
  <w:style w:type="character" w:customStyle="1" w:styleId="63">
    <w:name w:val="标题 2 Char"/>
    <w:basedOn w:val="53"/>
    <w:link w:val="3"/>
    <w:autoRedefine/>
    <w:qFormat/>
    <w:uiPriority w:val="0"/>
    <w:rPr>
      <w:rFonts w:ascii="Arial" w:hAnsi="Arial" w:eastAsiaTheme="minorEastAsia"/>
      <w:b/>
      <w:bCs/>
      <w:kern w:val="2"/>
      <w:sz w:val="28"/>
      <w:szCs w:val="32"/>
    </w:rPr>
  </w:style>
  <w:style w:type="character" w:customStyle="1" w:styleId="64">
    <w:name w:val="标题 4 Char1"/>
    <w:basedOn w:val="53"/>
    <w:link w:val="5"/>
    <w:autoRedefine/>
    <w:qFormat/>
    <w:uiPriority w:val="99"/>
    <w:rPr>
      <w:rFonts w:ascii="Arial" w:hAnsi="Arial" w:eastAsia="黑体"/>
      <w:b/>
      <w:bCs/>
      <w:kern w:val="2"/>
      <w:sz w:val="28"/>
      <w:szCs w:val="28"/>
    </w:rPr>
  </w:style>
  <w:style w:type="character" w:customStyle="1" w:styleId="65">
    <w:name w:val="正文缩进 Char"/>
    <w:link w:val="7"/>
    <w:autoRedefine/>
    <w:qFormat/>
    <w:uiPriority w:val="0"/>
    <w:rPr>
      <w:rFonts w:eastAsia="宋体"/>
      <w:kern w:val="2"/>
      <w:sz w:val="21"/>
      <w:szCs w:val="24"/>
      <w:lang w:val="en-US" w:eastAsia="zh-CN" w:bidi="ar-SA"/>
    </w:rPr>
  </w:style>
  <w:style w:type="character" w:customStyle="1" w:styleId="66">
    <w:name w:val="标题 5 Char1"/>
    <w:basedOn w:val="53"/>
    <w:link w:val="6"/>
    <w:autoRedefine/>
    <w:qFormat/>
    <w:uiPriority w:val="0"/>
    <w:rPr>
      <w:b/>
      <w:kern w:val="2"/>
      <w:sz w:val="28"/>
      <w:szCs w:val="24"/>
    </w:rPr>
  </w:style>
  <w:style w:type="character" w:customStyle="1" w:styleId="67">
    <w:name w:val="标题 6 Char1"/>
    <w:basedOn w:val="53"/>
    <w:link w:val="8"/>
    <w:autoRedefine/>
    <w:qFormat/>
    <w:uiPriority w:val="9"/>
    <w:rPr>
      <w:rFonts w:ascii="Arial" w:hAnsi="Arial" w:eastAsia="黑体"/>
      <w:b/>
      <w:kern w:val="2"/>
      <w:sz w:val="24"/>
      <w:szCs w:val="24"/>
    </w:rPr>
  </w:style>
  <w:style w:type="character" w:customStyle="1" w:styleId="68">
    <w:name w:val="标题 7 Char1"/>
    <w:basedOn w:val="53"/>
    <w:link w:val="9"/>
    <w:autoRedefine/>
    <w:qFormat/>
    <w:uiPriority w:val="9"/>
    <w:rPr>
      <w:b/>
      <w:kern w:val="2"/>
      <w:sz w:val="24"/>
      <w:szCs w:val="24"/>
    </w:rPr>
  </w:style>
  <w:style w:type="character" w:customStyle="1" w:styleId="69">
    <w:name w:val="标题 8 Char1"/>
    <w:basedOn w:val="53"/>
    <w:link w:val="10"/>
    <w:autoRedefine/>
    <w:qFormat/>
    <w:uiPriority w:val="9"/>
    <w:rPr>
      <w:rFonts w:ascii="Arial" w:hAnsi="Arial" w:eastAsia="黑体"/>
      <w:kern w:val="2"/>
      <w:sz w:val="24"/>
      <w:szCs w:val="24"/>
    </w:rPr>
  </w:style>
  <w:style w:type="character" w:customStyle="1" w:styleId="70">
    <w:name w:val="标题 9 Char1"/>
    <w:basedOn w:val="53"/>
    <w:link w:val="11"/>
    <w:autoRedefine/>
    <w:qFormat/>
    <w:uiPriority w:val="0"/>
    <w:rPr>
      <w:rFonts w:ascii="Arial" w:hAnsi="Arial" w:eastAsia="黑体"/>
      <w:kern w:val="2"/>
      <w:sz w:val="21"/>
      <w:szCs w:val="24"/>
    </w:rPr>
  </w:style>
  <w:style w:type="character" w:customStyle="1" w:styleId="71">
    <w:name w:val="批注文字 Char"/>
    <w:link w:val="18"/>
    <w:autoRedefine/>
    <w:qFormat/>
    <w:uiPriority w:val="0"/>
    <w:rPr>
      <w:kern w:val="2"/>
      <w:sz w:val="21"/>
      <w:szCs w:val="24"/>
    </w:rPr>
  </w:style>
  <w:style w:type="character" w:customStyle="1" w:styleId="72">
    <w:name w:val="批注主题 Char"/>
    <w:basedOn w:val="71"/>
    <w:link w:val="48"/>
    <w:autoRedefine/>
    <w:qFormat/>
    <w:uiPriority w:val="0"/>
    <w:rPr>
      <w:b/>
      <w:bCs/>
      <w:kern w:val="2"/>
      <w:sz w:val="21"/>
      <w:szCs w:val="24"/>
    </w:rPr>
  </w:style>
  <w:style w:type="character" w:customStyle="1" w:styleId="73">
    <w:name w:val="正文文本 Char"/>
    <w:basedOn w:val="53"/>
    <w:link w:val="20"/>
    <w:autoRedefine/>
    <w:qFormat/>
    <w:uiPriority w:val="0"/>
    <w:rPr>
      <w:rFonts w:asciiTheme="minorEastAsia" w:hAnsiTheme="minorEastAsia" w:eastAsiaTheme="minorEastAsia"/>
      <w:b/>
      <w:snapToGrid w:val="0"/>
      <w:sz w:val="72"/>
      <w:szCs w:val="72"/>
    </w:rPr>
  </w:style>
  <w:style w:type="character" w:customStyle="1" w:styleId="74">
    <w:name w:val="正文首行缩进 Char"/>
    <w:link w:val="49"/>
    <w:autoRedefine/>
    <w:qFormat/>
    <w:uiPriority w:val="0"/>
    <w:rPr>
      <w:rFonts w:eastAsia="宋体"/>
      <w:kern w:val="2"/>
      <w:sz w:val="21"/>
      <w:szCs w:val="24"/>
      <w:lang w:val="en-US" w:eastAsia="zh-CN" w:bidi="ar-SA"/>
    </w:rPr>
  </w:style>
  <w:style w:type="character" w:customStyle="1" w:styleId="75">
    <w:name w:val="文档结构图 Char"/>
    <w:basedOn w:val="53"/>
    <w:link w:val="17"/>
    <w:autoRedefine/>
    <w:qFormat/>
    <w:uiPriority w:val="0"/>
    <w:rPr>
      <w:kern w:val="2"/>
      <w:sz w:val="21"/>
      <w:szCs w:val="24"/>
      <w:shd w:val="clear" w:color="auto" w:fill="000080"/>
    </w:rPr>
  </w:style>
  <w:style w:type="character" w:customStyle="1" w:styleId="76">
    <w:name w:val="正文文本缩进 Char1"/>
    <w:basedOn w:val="53"/>
    <w:link w:val="22"/>
    <w:autoRedefine/>
    <w:qFormat/>
    <w:uiPriority w:val="0"/>
    <w:rPr>
      <w:kern w:val="2"/>
      <w:sz w:val="21"/>
      <w:szCs w:val="24"/>
    </w:rPr>
  </w:style>
  <w:style w:type="character" w:customStyle="1" w:styleId="77">
    <w:name w:val="纯文本 Char"/>
    <w:link w:val="28"/>
    <w:autoRedefine/>
    <w:qFormat/>
    <w:uiPriority w:val="0"/>
    <w:rPr>
      <w:rFonts w:ascii="宋体" w:hAnsi="Courier New" w:eastAsia="宋体"/>
      <w:kern w:val="2"/>
      <w:sz w:val="21"/>
      <w:lang w:val="en-US" w:eastAsia="zh-CN" w:bidi="ar-SA"/>
    </w:rPr>
  </w:style>
  <w:style w:type="character" w:customStyle="1" w:styleId="78">
    <w:name w:val="正文文本缩进 2 Char1"/>
    <w:link w:val="31"/>
    <w:autoRedefine/>
    <w:qFormat/>
    <w:uiPriority w:val="0"/>
    <w:rPr>
      <w:kern w:val="2"/>
      <w:sz w:val="21"/>
      <w:szCs w:val="24"/>
    </w:rPr>
  </w:style>
  <w:style w:type="character" w:customStyle="1" w:styleId="79">
    <w:name w:val="批注框文本 Char"/>
    <w:basedOn w:val="53"/>
    <w:link w:val="32"/>
    <w:autoRedefine/>
    <w:qFormat/>
    <w:uiPriority w:val="99"/>
    <w:rPr>
      <w:kern w:val="2"/>
      <w:sz w:val="18"/>
      <w:szCs w:val="18"/>
    </w:rPr>
  </w:style>
  <w:style w:type="character" w:customStyle="1" w:styleId="80">
    <w:name w:val="页脚 Char"/>
    <w:basedOn w:val="53"/>
    <w:link w:val="33"/>
    <w:autoRedefine/>
    <w:qFormat/>
    <w:uiPriority w:val="99"/>
    <w:rPr>
      <w:kern w:val="2"/>
      <w:sz w:val="18"/>
      <w:szCs w:val="18"/>
    </w:rPr>
  </w:style>
  <w:style w:type="character" w:customStyle="1" w:styleId="81">
    <w:name w:val="页眉 Char"/>
    <w:link w:val="34"/>
    <w:autoRedefine/>
    <w:qFormat/>
    <w:uiPriority w:val="99"/>
    <w:rPr>
      <w:kern w:val="2"/>
      <w:sz w:val="18"/>
      <w:szCs w:val="18"/>
    </w:rPr>
  </w:style>
  <w:style w:type="character" w:customStyle="1" w:styleId="82">
    <w:name w:val="HTML 预设格式 Char1"/>
    <w:link w:val="46"/>
    <w:autoRedefine/>
    <w:qFormat/>
    <w:uiPriority w:val="0"/>
    <w:rPr>
      <w:rFonts w:ascii="宋体" w:hAnsi="宋体" w:cs="宋体"/>
      <w:sz w:val="24"/>
      <w:szCs w:val="24"/>
    </w:rPr>
  </w:style>
  <w:style w:type="character" w:customStyle="1" w:styleId="83">
    <w:name w:val="标题 Char"/>
    <w:link w:val="21"/>
    <w:autoRedefine/>
    <w:qFormat/>
    <w:uiPriority w:val="0"/>
    <w:rPr>
      <w:rFonts w:ascii="Arial" w:hAnsi="Arial" w:eastAsia="隶书" w:cs="Arial"/>
      <w:b/>
      <w:bCs/>
      <w:kern w:val="2"/>
      <w:sz w:val="32"/>
      <w:szCs w:val="32"/>
    </w:rPr>
  </w:style>
  <w:style w:type="paragraph" w:customStyle="1" w:styleId="84">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样式1 Char Char"/>
    <w:basedOn w:val="1"/>
    <w:next w:val="1"/>
    <w:link w:val="86"/>
    <w:autoRedefine/>
    <w:qFormat/>
    <w:uiPriority w:val="0"/>
    <w:pPr>
      <w:spacing w:line="360" w:lineRule="auto"/>
      <w:ind w:firstLine="516" w:firstLineChars="215"/>
    </w:pPr>
    <w:rPr>
      <w:sz w:val="24"/>
      <w:szCs w:val="20"/>
    </w:rPr>
  </w:style>
  <w:style w:type="character" w:customStyle="1" w:styleId="86">
    <w:name w:val="样式1 Char Char Char"/>
    <w:link w:val="85"/>
    <w:autoRedefine/>
    <w:qFormat/>
    <w:uiPriority w:val="0"/>
    <w:rPr>
      <w:rFonts w:eastAsia="宋体"/>
      <w:kern w:val="2"/>
      <w:sz w:val="24"/>
      <w:lang w:val="en-US" w:eastAsia="zh-CN" w:bidi="ar-SA"/>
    </w:rPr>
  </w:style>
  <w:style w:type="paragraph" w:customStyle="1" w:styleId="87">
    <w:name w:val="样式1"/>
    <w:basedOn w:val="21"/>
    <w:link w:val="88"/>
    <w:autoRedefine/>
    <w:qFormat/>
    <w:uiPriority w:val="0"/>
    <w:pPr>
      <w:spacing w:before="120" w:after="120"/>
    </w:pPr>
    <w:rPr>
      <w:rFonts w:eastAsia="黑体" w:cs="Arial"/>
      <w:b w:val="0"/>
      <w:sz w:val="30"/>
      <w:szCs w:val="21"/>
    </w:rPr>
  </w:style>
  <w:style w:type="character" w:customStyle="1" w:styleId="88">
    <w:name w:val="样式1 Char"/>
    <w:link w:val="87"/>
    <w:autoRedefine/>
    <w:qFormat/>
    <w:uiPriority w:val="0"/>
    <w:rPr>
      <w:rFonts w:ascii="Arial" w:hAnsi="Arial" w:eastAsia="黑体" w:cs="Arial"/>
      <w:bCs/>
      <w:kern w:val="2"/>
      <w:sz w:val="30"/>
      <w:szCs w:val="21"/>
      <w:lang w:val="en-US" w:eastAsia="zh-CN" w:bidi="ar-SA"/>
    </w:rPr>
  </w:style>
  <w:style w:type="paragraph" w:customStyle="1" w:styleId="89">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1">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2">
    <w:name w:val="Char1"/>
    <w:basedOn w:val="1"/>
    <w:autoRedefine/>
    <w:qFormat/>
    <w:uiPriority w:val="0"/>
    <w:rPr>
      <w:rFonts w:ascii="仿宋_GB2312" w:eastAsia="仿宋_GB2312"/>
      <w:b/>
      <w:sz w:val="32"/>
      <w:szCs w:val="32"/>
    </w:rPr>
  </w:style>
  <w:style w:type="character" w:customStyle="1" w:styleId="93">
    <w:name w:val="tpc_title1"/>
    <w:autoRedefine/>
    <w:qFormat/>
    <w:uiPriority w:val="0"/>
    <w:rPr>
      <w:b/>
      <w:bCs/>
      <w:sz w:val="18"/>
      <w:szCs w:val="18"/>
    </w:rPr>
  </w:style>
  <w:style w:type="character" w:customStyle="1" w:styleId="94">
    <w:name w:val="tpc_content1"/>
    <w:autoRedefine/>
    <w:qFormat/>
    <w:uiPriority w:val="0"/>
    <w:rPr>
      <w:sz w:val="20"/>
      <w:szCs w:val="20"/>
    </w:rPr>
  </w:style>
  <w:style w:type="paragraph" w:customStyle="1" w:styleId="95">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6">
    <w:name w:val="列出段落1"/>
    <w:basedOn w:val="1"/>
    <w:link w:val="97"/>
    <w:autoRedefine/>
    <w:qFormat/>
    <w:uiPriority w:val="0"/>
    <w:pPr>
      <w:spacing w:line="360" w:lineRule="exact"/>
    </w:pPr>
    <w:rPr>
      <w:rFonts w:cs="宋体" w:asciiTheme="minorEastAsia" w:hAnsiTheme="minorEastAsia" w:eastAsiaTheme="minorEastAsia"/>
      <w:b/>
      <w:bCs/>
      <w:szCs w:val="21"/>
    </w:rPr>
  </w:style>
  <w:style w:type="character" w:customStyle="1" w:styleId="97">
    <w:name w:val="列表段落 字符"/>
    <w:link w:val="96"/>
    <w:autoRedefine/>
    <w:qFormat/>
    <w:uiPriority w:val="0"/>
    <w:rPr>
      <w:rFonts w:cs="宋体" w:asciiTheme="minorEastAsia" w:hAnsiTheme="minorEastAsia" w:eastAsiaTheme="minorEastAsia"/>
      <w:b/>
      <w:bCs/>
      <w:kern w:val="2"/>
      <w:sz w:val="21"/>
      <w:szCs w:val="21"/>
    </w:rPr>
  </w:style>
  <w:style w:type="paragraph" w:customStyle="1" w:styleId="98">
    <w:name w:val="正文1"/>
    <w:basedOn w:val="1"/>
    <w:autoRedefine/>
    <w:qFormat/>
    <w:uiPriority w:val="0"/>
    <w:pPr>
      <w:tabs>
        <w:tab w:val="left" w:pos="4"/>
      </w:tabs>
      <w:spacing w:line="360" w:lineRule="auto"/>
      <w:ind w:left="-2" w:firstLine="482"/>
    </w:pPr>
    <w:rPr>
      <w:rFonts w:ascii="宋体" w:hAnsi="宋体"/>
      <w:sz w:val="24"/>
    </w:rPr>
  </w:style>
  <w:style w:type="paragraph" w:customStyle="1" w:styleId="99">
    <w:name w:val="Char2 Char Char Char Char Char Char Char Char Char Char Char Char"/>
    <w:basedOn w:val="1"/>
    <w:autoRedefine/>
    <w:qFormat/>
    <w:uiPriority w:val="0"/>
    <w:pPr>
      <w:spacing w:line="360" w:lineRule="auto"/>
      <w:ind w:firstLine="200" w:firstLineChars="200"/>
    </w:pPr>
    <w:rPr>
      <w:rFonts w:ascii="Tahoma" w:hAnsi="Tahoma"/>
      <w:sz w:val="24"/>
    </w:rPr>
  </w:style>
  <w:style w:type="paragraph" w:customStyle="1" w:styleId="100">
    <w:name w:val="缩进正文"/>
    <w:basedOn w:val="1"/>
    <w:link w:val="101"/>
    <w:autoRedefine/>
    <w:qFormat/>
    <w:uiPriority w:val="0"/>
    <w:pPr>
      <w:ind w:firstLine="560" w:firstLineChars="200"/>
    </w:pPr>
    <w:rPr>
      <w:rFonts w:eastAsia="仿宋_GB2312" w:cs="宋体"/>
      <w:sz w:val="28"/>
      <w:szCs w:val="20"/>
    </w:rPr>
  </w:style>
  <w:style w:type="character" w:customStyle="1" w:styleId="101">
    <w:name w:val="缩进正文 Char"/>
    <w:link w:val="100"/>
    <w:autoRedefine/>
    <w:qFormat/>
    <w:uiPriority w:val="0"/>
    <w:rPr>
      <w:rFonts w:eastAsia="仿宋_GB2312" w:cs="宋体"/>
      <w:kern w:val="2"/>
      <w:sz w:val="28"/>
      <w:lang w:val="en-US" w:eastAsia="zh-CN" w:bidi="ar-SA"/>
    </w:rPr>
  </w:style>
  <w:style w:type="character" w:customStyle="1" w:styleId="102">
    <w:name w:val="访问过的超链接1"/>
    <w:autoRedefine/>
    <w:qFormat/>
    <w:uiPriority w:val="0"/>
    <w:rPr>
      <w:color w:val="800080"/>
      <w:u w:val="single"/>
    </w:rPr>
  </w:style>
  <w:style w:type="paragraph" w:customStyle="1" w:styleId="103">
    <w:name w:val="Char Char Char Char Char Char Char"/>
    <w:basedOn w:val="1"/>
    <w:autoRedefine/>
    <w:qFormat/>
    <w:uiPriority w:val="0"/>
    <w:pPr>
      <w:widowControl/>
      <w:adjustRightInd w:val="0"/>
      <w:spacing w:after="160" w:line="240" w:lineRule="exact"/>
      <w:jc w:val="left"/>
      <w:textAlignment w:val="baseline"/>
    </w:pPr>
  </w:style>
  <w:style w:type="character" w:customStyle="1" w:styleId="104">
    <w:name w:val="正文缩进 Char1"/>
    <w:autoRedefine/>
    <w:qFormat/>
    <w:uiPriority w:val="0"/>
    <w:rPr>
      <w:rFonts w:eastAsia="宋体"/>
      <w:kern w:val="2"/>
      <w:sz w:val="21"/>
      <w:lang w:val="en-US" w:eastAsia="zh-CN" w:bidi="ar-SA"/>
    </w:rPr>
  </w:style>
  <w:style w:type="paragraph" w:customStyle="1" w:styleId="105">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6">
    <w:name w:val="列出段落11"/>
    <w:basedOn w:val="1"/>
    <w:autoRedefine/>
    <w:unhideWhenUsed/>
    <w:qFormat/>
    <w:uiPriority w:val="34"/>
    <w:pPr>
      <w:ind w:firstLine="420" w:firstLineChars="200"/>
    </w:pPr>
  </w:style>
  <w:style w:type="paragraph" w:customStyle="1" w:styleId="107">
    <w:name w:val="Table Paragraph"/>
    <w:basedOn w:val="1"/>
    <w:autoRedefine/>
    <w:qFormat/>
    <w:uiPriority w:val="0"/>
    <w:pPr>
      <w:autoSpaceDE w:val="0"/>
      <w:autoSpaceDN w:val="0"/>
      <w:adjustRightInd w:val="0"/>
      <w:jc w:val="left"/>
    </w:pPr>
    <w:rPr>
      <w:rFonts w:ascii="宋体" w:hAnsi="宋体" w:cs="宋体"/>
      <w:kern w:val="0"/>
      <w:sz w:val="24"/>
    </w:rPr>
  </w:style>
  <w:style w:type="character" w:customStyle="1" w:styleId="108">
    <w:name w:val="font11"/>
    <w:basedOn w:val="53"/>
    <w:autoRedefine/>
    <w:qFormat/>
    <w:uiPriority w:val="0"/>
    <w:rPr>
      <w:rFonts w:hint="eastAsia" w:ascii="宋体" w:hAnsi="宋体" w:eastAsia="宋体" w:cs="宋体"/>
      <w:b/>
      <w:color w:val="000000"/>
      <w:sz w:val="21"/>
      <w:szCs w:val="21"/>
      <w:u w:val="none"/>
    </w:rPr>
  </w:style>
  <w:style w:type="character" w:customStyle="1" w:styleId="109">
    <w:name w:val="批注文字 Char1"/>
    <w:autoRedefine/>
    <w:qFormat/>
    <w:locked/>
    <w:uiPriority w:val="0"/>
    <w:rPr>
      <w:rFonts w:ascii="Calibri" w:hAnsi="Calibri" w:eastAsia="宋体" w:cs="Calibri"/>
      <w:szCs w:val="21"/>
    </w:rPr>
  </w:style>
  <w:style w:type="character" w:customStyle="1" w:styleId="110">
    <w:name w:val="title1"/>
    <w:autoRedefine/>
    <w:qFormat/>
    <w:uiPriority w:val="0"/>
    <w:rPr>
      <w:rFonts w:hint="eastAsia" w:ascii="微软雅黑" w:hAnsi="微软雅黑" w:eastAsia="微软雅黑"/>
      <w:sz w:val="21"/>
      <w:szCs w:val="21"/>
    </w:rPr>
  </w:style>
  <w:style w:type="character" w:customStyle="1" w:styleId="111">
    <w:name w:val="sect2title1"/>
    <w:autoRedefine/>
    <w:qFormat/>
    <w:uiPriority w:val="0"/>
    <w:rPr>
      <w:rFonts w:hint="eastAsia" w:ascii="微软雅黑" w:hAnsi="微软雅黑" w:eastAsia="微软雅黑"/>
      <w:b/>
      <w:bCs/>
      <w:sz w:val="21"/>
      <w:szCs w:val="21"/>
    </w:rPr>
  </w:style>
  <w:style w:type="paragraph" w:customStyle="1" w:styleId="112">
    <w:name w:val="标题1"/>
    <w:basedOn w:val="1"/>
    <w:autoRedefine/>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3">
    <w:name w:val="font01"/>
    <w:basedOn w:val="53"/>
    <w:autoRedefine/>
    <w:qFormat/>
    <w:uiPriority w:val="0"/>
    <w:rPr>
      <w:rFonts w:ascii="Tahoma" w:hAnsi="Tahoma" w:eastAsia="Tahoma" w:cs="Tahoma"/>
      <w:color w:val="000000"/>
      <w:sz w:val="20"/>
      <w:szCs w:val="20"/>
      <w:u w:val="none"/>
    </w:rPr>
  </w:style>
  <w:style w:type="paragraph" w:customStyle="1" w:styleId="114">
    <w:name w:val="font5"/>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5">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7">
    <w:name w:val="font8"/>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font9"/>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9">
    <w:name w:val="xl72"/>
    <w:basedOn w:val="1"/>
    <w:autoRedefine/>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20">
    <w:name w:val="xl73"/>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1">
    <w:name w:val="xl74"/>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2">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3">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4">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5">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6">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7">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8">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9">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30">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2">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3">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4">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6">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7">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8">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9">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0">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1">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2">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3">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4">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5">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6">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7">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9">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50">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1">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3">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6">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9">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60">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3">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4">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5">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7">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8">
    <w:name w:val="font41"/>
    <w:basedOn w:val="53"/>
    <w:autoRedefine/>
    <w:qFormat/>
    <w:uiPriority w:val="0"/>
    <w:rPr>
      <w:rFonts w:hint="eastAsia" w:ascii="仿宋_GB2312" w:eastAsia="仿宋_GB2312" w:cs="仿宋_GB2312"/>
      <w:color w:val="000000"/>
      <w:sz w:val="20"/>
      <w:szCs w:val="20"/>
      <w:u w:val="none"/>
    </w:rPr>
  </w:style>
  <w:style w:type="character" w:customStyle="1" w:styleId="169">
    <w:name w:val="font31"/>
    <w:basedOn w:val="53"/>
    <w:autoRedefine/>
    <w:qFormat/>
    <w:uiPriority w:val="0"/>
    <w:rPr>
      <w:rFonts w:hint="default" w:ascii="Symbol" w:hAnsi="Symbol" w:cs="Symbol"/>
      <w:color w:val="000000"/>
      <w:sz w:val="20"/>
      <w:szCs w:val="20"/>
      <w:u w:val="none"/>
    </w:rPr>
  </w:style>
  <w:style w:type="character" w:customStyle="1" w:styleId="170">
    <w:name w:val="font71"/>
    <w:basedOn w:val="53"/>
    <w:autoRedefine/>
    <w:qFormat/>
    <w:uiPriority w:val="0"/>
    <w:rPr>
      <w:rFonts w:ascii="Arial" w:hAnsi="Arial" w:cs="Arial"/>
      <w:color w:val="000000"/>
      <w:sz w:val="20"/>
      <w:szCs w:val="20"/>
      <w:u w:val="none"/>
    </w:rPr>
  </w:style>
  <w:style w:type="character" w:customStyle="1" w:styleId="171">
    <w:name w:val="font21"/>
    <w:basedOn w:val="53"/>
    <w:autoRedefine/>
    <w:qFormat/>
    <w:uiPriority w:val="0"/>
    <w:rPr>
      <w:rFonts w:hint="default" w:ascii="Symbol" w:hAnsi="Symbol" w:cs="Symbol"/>
      <w:color w:val="000000"/>
      <w:sz w:val="20"/>
      <w:szCs w:val="20"/>
      <w:u w:val="none"/>
    </w:rPr>
  </w:style>
  <w:style w:type="character" w:customStyle="1" w:styleId="172">
    <w:name w:val="font91"/>
    <w:basedOn w:val="53"/>
    <w:autoRedefine/>
    <w:qFormat/>
    <w:uiPriority w:val="0"/>
    <w:rPr>
      <w:rFonts w:ascii="Arial" w:hAnsi="Arial" w:cs="Arial"/>
      <w:color w:val="000000"/>
      <w:sz w:val="20"/>
      <w:szCs w:val="20"/>
      <w:u w:val="none"/>
    </w:rPr>
  </w:style>
  <w:style w:type="character" w:customStyle="1" w:styleId="173">
    <w:name w:val="font51"/>
    <w:basedOn w:val="53"/>
    <w:autoRedefine/>
    <w:qFormat/>
    <w:uiPriority w:val="0"/>
    <w:rPr>
      <w:rFonts w:ascii="仿宋" w:hAnsi="仿宋" w:eastAsia="仿宋" w:cs="仿宋"/>
      <w:color w:val="000000"/>
      <w:sz w:val="21"/>
      <w:szCs w:val="21"/>
      <w:u w:val="none"/>
    </w:rPr>
  </w:style>
  <w:style w:type="character" w:customStyle="1" w:styleId="174">
    <w:name w:val="font101"/>
    <w:basedOn w:val="53"/>
    <w:autoRedefine/>
    <w:qFormat/>
    <w:uiPriority w:val="0"/>
    <w:rPr>
      <w:rFonts w:hint="eastAsia" w:ascii="仿宋_GB2312" w:eastAsia="仿宋_GB2312" w:cs="仿宋_GB2312"/>
      <w:color w:val="000000"/>
      <w:sz w:val="20"/>
      <w:szCs w:val="20"/>
      <w:u w:val="none"/>
    </w:rPr>
  </w:style>
  <w:style w:type="character" w:customStyle="1" w:styleId="175">
    <w:name w:val="font61"/>
    <w:basedOn w:val="53"/>
    <w:autoRedefine/>
    <w:qFormat/>
    <w:uiPriority w:val="0"/>
    <w:rPr>
      <w:rFonts w:hint="eastAsia" w:ascii="宋体" w:hAnsi="宋体" w:eastAsia="宋体" w:cs="宋体"/>
      <w:color w:val="000000"/>
      <w:sz w:val="20"/>
      <w:szCs w:val="20"/>
      <w:u w:val="none"/>
    </w:rPr>
  </w:style>
  <w:style w:type="character" w:customStyle="1" w:styleId="176">
    <w:name w:val="font81"/>
    <w:basedOn w:val="53"/>
    <w:autoRedefine/>
    <w:qFormat/>
    <w:uiPriority w:val="0"/>
    <w:rPr>
      <w:rFonts w:hint="eastAsia" w:ascii="仿宋" w:hAnsi="仿宋" w:eastAsia="仿宋" w:cs="仿宋"/>
      <w:color w:val="000000"/>
      <w:sz w:val="21"/>
      <w:szCs w:val="21"/>
      <w:u w:val="none"/>
    </w:rPr>
  </w:style>
  <w:style w:type="character" w:customStyle="1" w:styleId="177">
    <w:name w:val="font111"/>
    <w:basedOn w:val="53"/>
    <w:autoRedefine/>
    <w:qFormat/>
    <w:uiPriority w:val="0"/>
    <w:rPr>
      <w:rFonts w:hint="eastAsia" w:ascii="仿宋_GB2312" w:eastAsia="仿宋_GB2312" w:cs="仿宋_GB2312"/>
      <w:color w:val="000000"/>
      <w:sz w:val="21"/>
      <w:szCs w:val="21"/>
      <w:u w:val="none"/>
    </w:rPr>
  </w:style>
  <w:style w:type="character" w:customStyle="1" w:styleId="178">
    <w:name w:val="font121"/>
    <w:basedOn w:val="53"/>
    <w:autoRedefine/>
    <w:qFormat/>
    <w:uiPriority w:val="0"/>
    <w:rPr>
      <w:rFonts w:ascii="Arial" w:hAnsi="Arial" w:cs="Arial"/>
      <w:color w:val="000000"/>
      <w:sz w:val="20"/>
      <w:szCs w:val="20"/>
      <w:u w:val="none"/>
    </w:rPr>
  </w:style>
  <w:style w:type="character" w:customStyle="1" w:styleId="179">
    <w:name w:val="font112"/>
    <w:basedOn w:val="53"/>
    <w:autoRedefine/>
    <w:qFormat/>
    <w:uiPriority w:val="0"/>
    <w:rPr>
      <w:rFonts w:hint="eastAsia" w:ascii="仿宋_GB2312" w:eastAsia="仿宋_GB2312" w:cs="仿宋_GB2312"/>
      <w:color w:val="000000"/>
      <w:sz w:val="21"/>
      <w:szCs w:val="21"/>
      <w:u w:val="none"/>
    </w:rPr>
  </w:style>
  <w:style w:type="paragraph" w:customStyle="1" w:styleId="180">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1">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2">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3">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4">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5">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7">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9">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1">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3">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8">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9">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200">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1">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2">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3">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4">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5">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7">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10">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1">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7">
    <w:name w:val="xl2920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292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292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1">
    <w:name w:val="xl303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3">
    <w:name w:val="xl30307"/>
    <w:basedOn w:val="1"/>
    <w:autoRedefine/>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4">
    <w:name w:val="xl303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6">
    <w:name w:val="xl30310"/>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1"/>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2"/>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9">
    <w:name w:val="xl303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2">
    <w:name w:val="xl303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3">
    <w:name w:val="xl3031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4">
    <w:name w:val="xl3031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5">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6">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7">
    <w:name w:val="xl3032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8">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9">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2">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4">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6">
    <w:name w:val="xl303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7">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8">
    <w:name w:val="xl303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9">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0">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3">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4">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5">
    <w:name w:val="xl7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6">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7">
    <w:name w:val=".正文"/>
    <w:basedOn w:val="1"/>
    <w:autoRedefine/>
    <w:qFormat/>
    <w:uiPriority w:val="0"/>
    <w:pPr>
      <w:spacing w:beforeLines="50"/>
      <w:ind w:firstLine="200" w:firstLineChars="200"/>
    </w:pPr>
    <w:rPr>
      <w:rFonts w:ascii="Calibri" w:hAnsi="Calibri" w:eastAsia="华文仿宋"/>
      <w:szCs w:val="22"/>
    </w:rPr>
  </w:style>
  <w:style w:type="paragraph" w:customStyle="1" w:styleId="258">
    <w:name w:val="正文A缩进"/>
    <w:basedOn w:val="1"/>
    <w:autoRedefine/>
    <w:qFormat/>
    <w:uiPriority w:val="0"/>
    <w:pPr>
      <w:spacing w:line="360" w:lineRule="auto"/>
      <w:ind w:firstLine="200" w:firstLineChars="200"/>
    </w:pPr>
    <w:rPr>
      <w:kern w:val="0"/>
      <w:sz w:val="28"/>
      <w:szCs w:val="20"/>
    </w:rPr>
  </w:style>
  <w:style w:type="paragraph" w:customStyle="1" w:styleId="259">
    <w:name w:val="_Style 1"/>
    <w:autoRedefine/>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60">
    <w:name w:val="标题 5 Char"/>
    <w:basedOn w:val="53"/>
    <w:autoRedefine/>
    <w:qFormat/>
    <w:uiPriority w:val="0"/>
    <w:rPr>
      <w:b/>
      <w:bCs/>
      <w:kern w:val="2"/>
      <w:sz w:val="28"/>
      <w:szCs w:val="28"/>
    </w:rPr>
  </w:style>
  <w:style w:type="character" w:customStyle="1" w:styleId="261">
    <w:name w:val="标题 6 Char"/>
    <w:basedOn w:val="53"/>
    <w:autoRedefine/>
    <w:qFormat/>
    <w:uiPriority w:val="9"/>
    <w:rPr>
      <w:rFonts w:asciiTheme="majorHAnsi" w:hAnsiTheme="majorHAnsi" w:eastAsiaTheme="majorEastAsia" w:cstheme="majorBidi"/>
      <w:b/>
      <w:bCs/>
      <w:kern w:val="2"/>
      <w:sz w:val="24"/>
      <w:szCs w:val="24"/>
    </w:rPr>
  </w:style>
  <w:style w:type="character" w:customStyle="1" w:styleId="262">
    <w:name w:val="标题 7 Char"/>
    <w:basedOn w:val="53"/>
    <w:autoRedefine/>
    <w:qFormat/>
    <w:uiPriority w:val="9"/>
    <w:rPr>
      <w:b/>
      <w:bCs/>
      <w:kern w:val="2"/>
      <w:sz w:val="24"/>
      <w:szCs w:val="24"/>
    </w:rPr>
  </w:style>
  <w:style w:type="character" w:customStyle="1" w:styleId="263">
    <w:name w:val="标题 8 Char"/>
    <w:basedOn w:val="53"/>
    <w:autoRedefine/>
    <w:qFormat/>
    <w:uiPriority w:val="9"/>
    <w:rPr>
      <w:rFonts w:asciiTheme="majorHAnsi" w:hAnsiTheme="majorHAnsi" w:eastAsiaTheme="majorEastAsia" w:cstheme="majorBidi"/>
      <w:kern w:val="2"/>
      <w:sz w:val="24"/>
      <w:szCs w:val="24"/>
    </w:rPr>
  </w:style>
  <w:style w:type="character" w:customStyle="1" w:styleId="264">
    <w:name w:val="标题 9 Char"/>
    <w:basedOn w:val="53"/>
    <w:autoRedefine/>
    <w:qFormat/>
    <w:uiPriority w:val="0"/>
    <w:rPr>
      <w:rFonts w:asciiTheme="majorHAnsi" w:hAnsiTheme="majorHAnsi" w:eastAsiaTheme="majorEastAsia" w:cstheme="majorBidi"/>
      <w:kern w:val="2"/>
      <w:sz w:val="21"/>
      <w:szCs w:val="21"/>
    </w:rPr>
  </w:style>
  <w:style w:type="paragraph" w:customStyle="1" w:styleId="265">
    <w:name w:val="！表格内容"/>
    <w:basedOn w:val="1"/>
    <w:autoRedefine/>
    <w:qFormat/>
    <w:uiPriority w:val="0"/>
    <w:pPr>
      <w:spacing w:line="320" w:lineRule="atLeast"/>
    </w:pPr>
  </w:style>
  <w:style w:type="character" w:customStyle="1" w:styleId="266">
    <w:name w:val="页眉 Char2"/>
    <w:basedOn w:val="53"/>
    <w:autoRedefine/>
    <w:qFormat/>
    <w:uiPriority w:val="99"/>
    <w:rPr>
      <w:rFonts w:ascii="Times New Roman" w:hAnsi="Times New Roman" w:eastAsia="宋体" w:cs="Times New Roman"/>
      <w:sz w:val="18"/>
      <w:szCs w:val="18"/>
    </w:rPr>
  </w:style>
  <w:style w:type="character" w:customStyle="1" w:styleId="267">
    <w:name w:val="页脚 Char1"/>
    <w:basedOn w:val="53"/>
    <w:autoRedefine/>
    <w:qFormat/>
    <w:uiPriority w:val="99"/>
    <w:rPr>
      <w:rFonts w:ascii="Times New Roman" w:hAnsi="Times New Roman" w:eastAsia="宋体" w:cs="Times New Roman"/>
      <w:sz w:val="18"/>
      <w:szCs w:val="18"/>
    </w:rPr>
  </w:style>
  <w:style w:type="paragraph" w:customStyle="1" w:styleId="268">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9">
    <w:name w:val="批注文字 字符"/>
    <w:basedOn w:val="53"/>
    <w:autoRedefine/>
    <w:qFormat/>
    <w:uiPriority w:val="99"/>
    <w:rPr>
      <w:rFonts w:ascii="Times New Roman" w:hAnsi="Times New Roman" w:eastAsia="宋体" w:cs="Times New Roman"/>
      <w:szCs w:val="24"/>
    </w:rPr>
  </w:style>
  <w:style w:type="character" w:customStyle="1" w:styleId="270">
    <w:name w:val="文档结构图 Char1"/>
    <w:basedOn w:val="53"/>
    <w:autoRedefine/>
    <w:qFormat/>
    <w:uiPriority w:val="0"/>
    <w:rPr>
      <w:rFonts w:ascii="宋体" w:hAnsi="Times New Roman" w:eastAsia="宋体" w:cs="Times New Roman"/>
      <w:sz w:val="18"/>
      <w:szCs w:val="18"/>
    </w:rPr>
  </w:style>
  <w:style w:type="character" w:customStyle="1" w:styleId="271">
    <w:name w:val="批注主题 Char1"/>
    <w:basedOn w:val="109"/>
    <w:autoRedefine/>
    <w:qFormat/>
    <w:uiPriority w:val="0"/>
    <w:rPr>
      <w:rFonts w:ascii="Times New Roman" w:hAnsi="Times New Roman" w:eastAsia="宋体" w:cs="Times New Roman"/>
      <w:b/>
      <w:bCs/>
      <w:szCs w:val="24"/>
    </w:rPr>
  </w:style>
  <w:style w:type="character" w:customStyle="1" w:styleId="272">
    <w:name w:val="批注框文本 Char1"/>
    <w:basedOn w:val="53"/>
    <w:autoRedefine/>
    <w:qFormat/>
    <w:uiPriority w:val="0"/>
    <w:rPr>
      <w:rFonts w:ascii="Times New Roman" w:hAnsi="Times New Roman" w:eastAsia="宋体" w:cs="Times New Roman"/>
      <w:sz w:val="18"/>
      <w:szCs w:val="18"/>
    </w:rPr>
  </w:style>
  <w:style w:type="character" w:customStyle="1" w:styleId="273">
    <w:name w:val="标题 1 Char1"/>
    <w:basedOn w:val="53"/>
    <w:autoRedefine/>
    <w:qFormat/>
    <w:uiPriority w:val="0"/>
    <w:rPr>
      <w:b/>
      <w:bCs/>
      <w:kern w:val="44"/>
      <w:sz w:val="44"/>
      <w:szCs w:val="44"/>
    </w:rPr>
  </w:style>
  <w:style w:type="character" w:customStyle="1" w:styleId="274">
    <w:name w:val="标题 2 Char1"/>
    <w:basedOn w:val="53"/>
    <w:autoRedefine/>
    <w:qFormat/>
    <w:uiPriority w:val="0"/>
    <w:rPr>
      <w:rFonts w:asciiTheme="majorHAnsi" w:hAnsiTheme="majorHAnsi" w:eastAsiaTheme="majorEastAsia" w:cstheme="majorBidi"/>
      <w:b/>
      <w:bCs/>
      <w:kern w:val="2"/>
      <w:sz w:val="32"/>
      <w:szCs w:val="32"/>
    </w:rPr>
  </w:style>
  <w:style w:type="character" w:customStyle="1" w:styleId="275">
    <w:name w:val="标题 3 Char1"/>
    <w:basedOn w:val="53"/>
    <w:autoRedefine/>
    <w:qFormat/>
    <w:uiPriority w:val="99"/>
    <w:rPr>
      <w:rFonts w:ascii="宋体" w:hAnsi="Arial"/>
      <w:b/>
      <w:kern w:val="2"/>
      <w:sz w:val="28"/>
    </w:rPr>
  </w:style>
  <w:style w:type="character" w:customStyle="1" w:styleId="276">
    <w:name w:val="Char Char3"/>
    <w:autoRedefine/>
    <w:qFormat/>
    <w:uiPriority w:val="0"/>
    <w:rPr>
      <w:rFonts w:hint="eastAsia" w:ascii="宋体" w:hAnsi="宋体" w:eastAsia="宋体"/>
      <w:kern w:val="2"/>
      <w:sz w:val="21"/>
      <w:szCs w:val="24"/>
      <w:lang w:val="en-US" w:eastAsia="zh-CN" w:bidi="ar-SA"/>
    </w:rPr>
  </w:style>
  <w:style w:type="character" w:customStyle="1" w:styleId="277">
    <w:name w:val="正文－段落 Char Char"/>
    <w:link w:val="278"/>
    <w:autoRedefine/>
    <w:qFormat/>
    <w:uiPriority w:val="0"/>
    <w:rPr>
      <w:rFonts w:eastAsia="Times New Roman"/>
      <w:sz w:val="24"/>
      <w:szCs w:val="24"/>
    </w:rPr>
  </w:style>
  <w:style w:type="paragraph" w:customStyle="1" w:styleId="278">
    <w:name w:val="正文－段落"/>
    <w:link w:val="277"/>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9">
    <w:name w:val="纯文本 Char1"/>
    <w:autoRedefine/>
    <w:qFormat/>
    <w:uiPriority w:val="0"/>
    <w:rPr>
      <w:rFonts w:ascii="宋体" w:hAnsi="Courier New"/>
      <w:spacing w:val="-8"/>
      <w:kern w:val="2"/>
      <w:sz w:val="24"/>
    </w:rPr>
  </w:style>
  <w:style w:type="character" w:customStyle="1" w:styleId="280">
    <w:name w:val="日期 Char"/>
    <w:autoRedefine/>
    <w:qFormat/>
    <w:uiPriority w:val="0"/>
    <w:rPr>
      <w:rFonts w:ascii="宋体" w:hAnsi="宋体"/>
      <w:sz w:val="24"/>
    </w:rPr>
  </w:style>
  <w:style w:type="character" w:customStyle="1" w:styleId="281">
    <w:name w:val="Char Char9"/>
    <w:autoRedefine/>
    <w:qFormat/>
    <w:uiPriority w:val="0"/>
    <w:rPr>
      <w:rFonts w:hint="default" w:ascii="Calibri" w:hAnsi="Calibri" w:eastAsia="宋体"/>
      <w:sz w:val="18"/>
      <w:szCs w:val="18"/>
      <w:lang w:bidi="ar-SA"/>
    </w:rPr>
  </w:style>
  <w:style w:type="character" w:customStyle="1" w:styleId="282">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3">
    <w:name w:val="HTML 预设格式 Char"/>
    <w:autoRedefine/>
    <w:qFormat/>
    <w:uiPriority w:val="0"/>
    <w:rPr>
      <w:rFonts w:ascii="黑体" w:hAnsi="Courier New" w:eastAsia="黑体" w:cs="Courier New"/>
    </w:rPr>
  </w:style>
  <w:style w:type="character" w:customStyle="1" w:styleId="284">
    <w:name w:val="1.5倍行距 Char Char"/>
    <w:link w:val="285"/>
    <w:autoRedefine/>
    <w:qFormat/>
    <w:uiPriority w:val="0"/>
    <w:rPr>
      <w:kern w:val="2"/>
      <w:sz w:val="21"/>
      <w:szCs w:val="24"/>
    </w:rPr>
  </w:style>
  <w:style w:type="paragraph" w:customStyle="1" w:styleId="285">
    <w:name w:val="1.5倍行距"/>
    <w:basedOn w:val="1"/>
    <w:link w:val="284"/>
    <w:autoRedefine/>
    <w:qFormat/>
    <w:uiPriority w:val="0"/>
    <w:pPr>
      <w:spacing w:line="360" w:lineRule="auto"/>
      <w:ind w:firstLine="420"/>
    </w:pPr>
  </w:style>
  <w:style w:type="character" w:customStyle="1" w:styleId="286">
    <w:name w:val="H2 Char1"/>
    <w:autoRedefine/>
    <w:qFormat/>
    <w:uiPriority w:val="0"/>
    <w:rPr>
      <w:rFonts w:ascii="Cambria" w:hAnsi="Cambria"/>
      <w:b/>
      <w:bCs/>
      <w:sz w:val="32"/>
      <w:szCs w:val="32"/>
    </w:rPr>
  </w:style>
  <w:style w:type="character" w:customStyle="1" w:styleId="287">
    <w:name w:val="Char Char4"/>
    <w:autoRedefine/>
    <w:qFormat/>
    <w:uiPriority w:val="0"/>
    <w:rPr>
      <w:rFonts w:hint="default" w:ascii="Calibri" w:hAnsi="Calibri" w:eastAsia="宋体"/>
      <w:kern w:val="2"/>
      <w:sz w:val="21"/>
      <w:szCs w:val="22"/>
      <w:lang w:val="en-US" w:eastAsia="zh-CN" w:bidi="ar-SA"/>
    </w:rPr>
  </w:style>
  <w:style w:type="character" w:customStyle="1" w:styleId="288">
    <w:name w:val="正文文本缩进 2 Char"/>
    <w:autoRedefine/>
    <w:qFormat/>
    <w:uiPriority w:val="0"/>
    <w:rPr>
      <w:kern w:val="2"/>
      <w:sz w:val="21"/>
    </w:rPr>
  </w:style>
  <w:style w:type="character" w:customStyle="1" w:styleId="289">
    <w:name w:val="签名 Char1"/>
    <w:link w:val="35"/>
    <w:autoRedefine/>
    <w:qFormat/>
    <w:uiPriority w:val="0"/>
    <w:rPr>
      <w:rFonts w:eastAsia="楷体_GB2312"/>
      <w:kern w:val="2"/>
      <w:sz w:val="21"/>
    </w:rPr>
  </w:style>
  <w:style w:type="character" w:customStyle="1" w:styleId="290">
    <w:name w:val="标题2 Char"/>
    <w:link w:val="291"/>
    <w:autoRedefine/>
    <w:qFormat/>
    <w:uiPriority w:val="0"/>
    <w:rPr>
      <w:rFonts w:ascii="仿宋" w:hAnsi="仿宋" w:eastAsia="仿宋"/>
      <w:b/>
      <w:bCs/>
      <w:color w:val="000000"/>
      <w:kern w:val="2"/>
      <w:sz w:val="24"/>
      <w:szCs w:val="24"/>
    </w:rPr>
  </w:style>
  <w:style w:type="paragraph" w:customStyle="1" w:styleId="291">
    <w:name w:val="标题2"/>
    <w:basedOn w:val="292"/>
    <w:link w:val="290"/>
    <w:autoRedefine/>
    <w:qFormat/>
    <w:uiPriority w:val="0"/>
    <w:pPr>
      <w:tabs>
        <w:tab w:val="left" w:pos="425"/>
        <w:tab w:val="left" w:pos="709"/>
        <w:tab w:val="left" w:pos="851"/>
        <w:tab w:val="left" w:pos="1419"/>
      </w:tabs>
    </w:pPr>
    <w:rPr>
      <w:szCs w:val="24"/>
    </w:rPr>
  </w:style>
  <w:style w:type="paragraph" w:customStyle="1" w:styleId="292">
    <w:name w:val="三级"/>
    <w:basedOn w:val="4"/>
    <w:link w:val="293"/>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3">
    <w:name w:val="三级 Char"/>
    <w:link w:val="292"/>
    <w:autoRedefine/>
    <w:qFormat/>
    <w:uiPriority w:val="0"/>
    <w:rPr>
      <w:rFonts w:ascii="仿宋" w:hAnsi="仿宋" w:eastAsia="仿宋"/>
      <w:b/>
      <w:bCs/>
      <w:color w:val="000000"/>
      <w:kern w:val="2"/>
      <w:sz w:val="32"/>
      <w:szCs w:val="32"/>
    </w:rPr>
  </w:style>
  <w:style w:type="character" w:customStyle="1" w:styleId="294">
    <w:name w:val="正文首行缩进 2 Char"/>
    <w:link w:val="50"/>
    <w:autoRedefine/>
    <w:qFormat/>
    <w:uiPriority w:val="0"/>
    <w:rPr>
      <w:sz w:val="24"/>
      <w:szCs w:val="24"/>
    </w:rPr>
  </w:style>
  <w:style w:type="character" w:customStyle="1" w:styleId="295">
    <w:name w:val="正文首行缩进 Char Char Char1"/>
    <w:autoRedefine/>
    <w:qFormat/>
    <w:uiPriority w:val="0"/>
    <w:rPr>
      <w:rFonts w:ascii="Times New Roman" w:hAnsi="Times New Roman"/>
      <w:kern w:val="2"/>
      <w:sz w:val="24"/>
      <w:szCs w:val="24"/>
    </w:rPr>
  </w:style>
  <w:style w:type="character" w:customStyle="1" w:styleId="296">
    <w:name w:val="标题 Char1"/>
    <w:autoRedefine/>
    <w:qFormat/>
    <w:uiPriority w:val="0"/>
    <w:rPr>
      <w:rFonts w:ascii="Arial" w:hAnsi="Arial"/>
      <w:b/>
      <w:kern w:val="2"/>
      <w:sz w:val="36"/>
      <w:szCs w:val="24"/>
    </w:rPr>
  </w:style>
  <w:style w:type="character" w:customStyle="1" w:styleId="297">
    <w:name w:val="正文文本 字符"/>
    <w:autoRedefine/>
    <w:qFormat/>
    <w:uiPriority w:val="0"/>
    <w:rPr>
      <w:rFonts w:eastAsia="宋体"/>
      <w:kern w:val="2"/>
      <w:sz w:val="21"/>
      <w:szCs w:val="24"/>
      <w:lang w:bidi="ar-SA"/>
    </w:rPr>
  </w:style>
  <w:style w:type="character" w:customStyle="1" w:styleId="298">
    <w:name w:val="正文文本缩进 Char"/>
    <w:autoRedefine/>
    <w:qFormat/>
    <w:uiPriority w:val="0"/>
    <w:rPr>
      <w:kern w:val="2"/>
      <w:sz w:val="24"/>
    </w:rPr>
  </w:style>
  <w:style w:type="character" w:customStyle="1" w:styleId="299">
    <w:name w:val="题注 Char1"/>
    <w:link w:val="15"/>
    <w:autoRedefine/>
    <w:qFormat/>
    <w:uiPriority w:val="0"/>
    <w:rPr>
      <w:rFonts w:ascii="Cambria" w:hAnsi="Cambria" w:eastAsia="黑体"/>
      <w:kern w:val="2"/>
      <w:sz w:val="21"/>
      <w:szCs w:val="24"/>
    </w:rPr>
  </w:style>
  <w:style w:type="character" w:customStyle="1" w:styleId="300">
    <w:name w:val="bt Char1"/>
    <w:autoRedefine/>
    <w:qFormat/>
    <w:uiPriority w:val="0"/>
    <w:rPr>
      <w:rFonts w:ascii="Times New Roman" w:hAnsi="Times New Roman"/>
      <w:kern w:val="2"/>
      <w:sz w:val="24"/>
      <w:szCs w:val="24"/>
    </w:rPr>
  </w:style>
  <w:style w:type="character" w:customStyle="1" w:styleId="301">
    <w:name w:val="Char Char18"/>
    <w:autoRedefine/>
    <w:qFormat/>
    <w:uiPriority w:val="0"/>
    <w:rPr>
      <w:rFonts w:hint="default" w:ascii="Cambria" w:hAnsi="Cambria" w:eastAsia="宋体"/>
      <w:b/>
      <w:bCs/>
      <w:sz w:val="32"/>
      <w:szCs w:val="32"/>
      <w:lang w:bidi="ar-SA"/>
    </w:rPr>
  </w:style>
  <w:style w:type="character" w:customStyle="1" w:styleId="302">
    <w:name w:val="四级 Char"/>
    <w:link w:val="303"/>
    <w:autoRedefine/>
    <w:qFormat/>
    <w:uiPriority w:val="0"/>
    <w:rPr>
      <w:rFonts w:ascii="仿宋" w:hAnsi="仿宋" w:eastAsia="仿宋"/>
      <w:bCs/>
      <w:kern w:val="2"/>
      <w:sz w:val="32"/>
      <w:szCs w:val="32"/>
    </w:rPr>
  </w:style>
  <w:style w:type="paragraph" w:customStyle="1" w:styleId="303">
    <w:name w:val="四级"/>
    <w:basedOn w:val="5"/>
    <w:link w:val="302"/>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4">
    <w:name w:val="cnfont1"/>
    <w:basedOn w:val="53"/>
    <w:autoRedefine/>
    <w:qFormat/>
    <w:uiPriority w:val="0"/>
  </w:style>
  <w:style w:type="character" w:customStyle="1" w:styleId="305">
    <w:name w:val="p141"/>
    <w:autoRedefine/>
    <w:qFormat/>
    <w:uiPriority w:val="0"/>
    <w:rPr>
      <w:sz w:val="21"/>
      <w:szCs w:val="21"/>
    </w:rPr>
  </w:style>
  <w:style w:type="character" w:customStyle="1" w:styleId="306">
    <w:name w:val="正文文本缩进 3 Char"/>
    <w:autoRedefine/>
    <w:qFormat/>
    <w:uiPriority w:val="0"/>
    <w:rPr>
      <w:kern w:val="2"/>
      <w:sz w:val="21"/>
    </w:rPr>
  </w:style>
  <w:style w:type="character" w:customStyle="1" w:styleId="307">
    <w:name w:val="Char Char13"/>
    <w:autoRedefine/>
    <w:qFormat/>
    <w:uiPriority w:val="0"/>
    <w:rPr>
      <w:rFonts w:ascii="Cambria" w:hAnsi="Cambria" w:eastAsia="宋体"/>
      <w:sz w:val="24"/>
      <w:szCs w:val="24"/>
      <w:lang w:bidi="ar-SA"/>
    </w:rPr>
  </w:style>
  <w:style w:type="character" w:customStyle="1" w:styleId="308">
    <w:name w:val="正文文本 2 Char1"/>
    <w:link w:val="45"/>
    <w:autoRedefine/>
    <w:qFormat/>
    <w:uiPriority w:val="0"/>
    <w:rPr>
      <w:kern w:val="2"/>
      <w:sz w:val="28"/>
    </w:rPr>
  </w:style>
  <w:style w:type="character" w:customStyle="1" w:styleId="309">
    <w:name w:val="Char Char5"/>
    <w:autoRedefine/>
    <w:qFormat/>
    <w:uiPriority w:val="0"/>
    <w:rPr>
      <w:rFonts w:ascii="宋体" w:hAnsi="宋体" w:eastAsia="宋体"/>
      <w:b/>
      <w:bCs/>
      <w:szCs w:val="24"/>
      <w:lang w:bidi="ar-SA"/>
    </w:rPr>
  </w:style>
  <w:style w:type="character" w:customStyle="1" w:styleId="310">
    <w:name w:val="正文文本 2 Char"/>
    <w:autoRedefine/>
    <w:qFormat/>
    <w:uiPriority w:val="0"/>
    <w:rPr>
      <w:kern w:val="2"/>
      <w:sz w:val="28"/>
    </w:rPr>
  </w:style>
  <w:style w:type="character" w:customStyle="1" w:styleId="311">
    <w:name w:val="Char Char6"/>
    <w:autoRedefine/>
    <w:qFormat/>
    <w:uiPriority w:val="0"/>
    <w:rPr>
      <w:rFonts w:ascii="宋体" w:hAnsi="宋体" w:eastAsia="宋体"/>
      <w:szCs w:val="24"/>
      <w:lang w:bidi="ar-SA"/>
    </w:rPr>
  </w:style>
  <w:style w:type="character" w:customStyle="1" w:styleId="312">
    <w:name w:val="Char Char15"/>
    <w:autoRedefine/>
    <w:qFormat/>
    <w:uiPriority w:val="0"/>
    <w:rPr>
      <w:rFonts w:hint="default" w:ascii="Cambria" w:hAnsi="Cambria" w:eastAsia="宋体"/>
      <w:b/>
      <w:bCs/>
      <w:sz w:val="24"/>
      <w:szCs w:val="24"/>
      <w:lang w:bidi="ar-SA"/>
    </w:rPr>
  </w:style>
  <w:style w:type="character" w:customStyle="1" w:styleId="313">
    <w:name w:val="H4 Char"/>
    <w:autoRedefine/>
    <w:qFormat/>
    <w:uiPriority w:val="0"/>
    <w:rPr>
      <w:rFonts w:ascii="Cambria" w:hAnsi="Cambria" w:eastAsia="仿宋_GB2312"/>
      <w:b/>
      <w:bCs/>
      <w:sz w:val="32"/>
      <w:szCs w:val="28"/>
    </w:rPr>
  </w:style>
  <w:style w:type="character" w:customStyle="1" w:styleId="314">
    <w:name w:val="Char Char20"/>
    <w:autoRedefine/>
    <w:qFormat/>
    <w:uiPriority w:val="0"/>
    <w:rPr>
      <w:rFonts w:eastAsia="宋体"/>
      <w:b/>
      <w:kern w:val="2"/>
      <w:sz w:val="28"/>
      <w:lang w:bidi="ar-SA"/>
    </w:rPr>
  </w:style>
  <w:style w:type="character" w:customStyle="1" w:styleId="315">
    <w:name w:val="正文文本缩进 3 Char1"/>
    <w:link w:val="42"/>
    <w:autoRedefine/>
    <w:qFormat/>
    <w:uiPriority w:val="0"/>
    <w:rPr>
      <w:kern w:val="2"/>
      <w:sz w:val="21"/>
    </w:rPr>
  </w:style>
  <w:style w:type="character" w:customStyle="1" w:styleId="316">
    <w:name w:val="Char Char16"/>
    <w:autoRedefine/>
    <w:qFormat/>
    <w:uiPriority w:val="0"/>
    <w:rPr>
      <w:rFonts w:hint="eastAsia" w:ascii="仿宋_GB2313" w:hAnsi="仿宋_GB2313" w:eastAsia="仿宋_GB2312"/>
      <w:b/>
      <w:bCs/>
      <w:sz w:val="32"/>
      <w:szCs w:val="28"/>
      <w:lang w:bidi="ar-SA"/>
    </w:rPr>
  </w:style>
  <w:style w:type="character" w:customStyle="1" w:styleId="317">
    <w:name w:val="Char Char7"/>
    <w:autoRedefine/>
    <w:qFormat/>
    <w:uiPriority w:val="0"/>
    <w:rPr>
      <w:rFonts w:ascii="宋体" w:hAnsi="宋体" w:eastAsia="宋体"/>
      <w:sz w:val="24"/>
      <w:szCs w:val="24"/>
      <w:lang w:bidi="ar-SA"/>
    </w:rPr>
  </w:style>
  <w:style w:type="character" w:customStyle="1" w:styleId="318">
    <w:name w:val="日期 Char1"/>
    <w:link w:val="30"/>
    <w:autoRedefine/>
    <w:qFormat/>
    <w:uiPriority w:val="0"/>
    <w:rPr>
      <w:rFonts w:ascii="宋体" w:hAnsi="宋体"/>
      <w:kern w:val="2"/>
      <w:sz w:val="24"/>
      <w:szCs w:val="24"/>
    </w:rPr>
  </w:style>
  <w:style w:type="character" w:customStyle="1" w:styleId="319">
    <w:name w:val="Char Char12"/>
    <w:autoRedefine/>
    <w:qFormat/>
    <w:uiPriority w:val="0"/>
    <w:rPr>
      <w:rFonts w:hint="default" w:ascii="Cambria" w:hAnsi="Cambria" w:eastAsia="宋体"/>
      <w:szCs w:val="21"/>
      <w:lang w:bidi="ar-SA"/>
    </w:rPr>
  </w:style>
  <w:style w:type="character" w:customStyle="1" w:styleId="320">
    <w:name w:val="标题 4 Char"/>
    <w:autoRedefine/>
    <w:qFormat/>
    <w:uiPriority w:val="0"/>
    <w:rPr>
      <w:rFonts w:ascii="Arial" w:hAnsi="Arial" w:eastAsia="黑体"/>
      <w:b/>
      <w:kern w:val="2"/>
      <w:sz w:val="24"/>
    </w:rPr>
  </w:style>
  <w:style w:type="character" w:customStyle="1" w:styleId="321">
    <w:name w:val="Char Char2"/>
    <w:autoRedefine/>
    <w:qFormat/>
    <w:uiPriority w:val="0"/>
    <w:rPr>
      <w:rFonts w:ascii="宋体" w:hAnsi="宋体" w:eastAsia="宋体"/>
      <w:kern w:val="2"/>
      <w:sz w:val="24"/>
      <w:szCs w:val="24"/>
      <w:lang w:val="en-US" w:eastAsia="zh-CN" w:bidi="ar-SA"/>
    </w:rPr>
  </w:style>
  <w:style w:type="character" w:customStyle="1" w:styleId="322">
    <w:name w:val="*正文 Char"/>
    <w:link w:val="323"/>
    <w:autoRedefine/>
    <w:qFormat/>
    <w:uiPriority w:val="0"/>
    <w:rPr>
      <w:rFonts w:ascii="宋体" w:hAnsi="宋体"/>
      <w:sz w:val="24"/>
      <w:szCs w:val="24"/>
    </w:rPr>
  </w:style>
  <w:style w:type="paragraph" w:customStyle="1" w:styleId="323">
    <w:name w:val="*正文"/>
    <w:basedOn w:val="1"/>
    <w:link w:val="322"/>
    <w:autoRedefine/>
    <w:qFormat/>
    <w:uiPriority w:val="0"/>
    <w:pPr>
      <w:spacing w:line="360" w:lineRule="auto"/>
      <w:ind w:firstLine="200" w:firstLineChars="200"/>
    </w:pPr>
    <w:rPr>
      <w:rFonts w:ascii="宋体" w:hAnsi="宋体"/>
      <w:kern w:val="0"/>
      <w:sz w:val="24"/>
    </w:rPr>
  </w:style>
  <w:style w:type="character" w:customStyle="1" w:styleId="324">
    <w:name w:val="页脚 字符1"/>
    <w:autoRedefine/>
    <w:qFormat/>
    <w:uiPriority w:val="0"/>
    <w:rPr>
      <w:rFonts w:eastAsia="宋体"/>
      <w:kern w:val="2"/>
      <w:sz w:val="18"/>
      <w:lang w:bidi="ar-SA"/>
    </w:rPr>
  </w:style>
  <w:style w:type="character" w:customStyle="1" w:styleId="325">
    <w:name w:val="GP正文[858D7CFB-ED40-4347-BF05-701D383B685F]"/>
    <w:link w:val="326"/>
    <w:autoRedefine/>
    <w:qFormat/>
    <w:uiPriority w:val="0"/>
    <w:rPr>
      <w:rFonts w:ascii="宋体" w:hAnsi="宋体"/>
      <w:kern w:val="2"/>
      <w:sz w:val="24"/>
      <w:szCs w:val="24"/>
    </w:rPr>
  </w:style>
  <w:style w:type="paragraph" w:customStyle="1" w:styleId="326">
    <w:name w:val="GP正文"/>
    <w:basedOn w:val="1"/>
    <w:link w:val="325"/>
    <w:autoRedefine/>
    <w:qFormat/>
    <w:uiPriority w:val="0"/>
    <w:pPr>
      <w:spacing w:line="360" w:lineRule="auto"/>
      <w:ind w:firstLine="200" w:firstLineChars="200"/>
      <w:jc w:val="left"/>
    </w:pPr>
    <w:rPr>
      <w:rFonts w:ascii="宋体" w:hAnsi="宋体"/>
      <w:sz w:val="24"/>
    </w:rPr>
  </w:style>
  <w:style w:type="character" w:customStyle="1" w:styleId="327">
    <w:name w:val="Char Char14"/>
    <w:autoRedefine/>
    <w:qFormat/>
    <w:uiPriority w:val="0"/>
    <w:rPr>
      <w:rFonts w:ascii="Calibri" w:hAnsi="Calibri" w:eastAsia="宋体"/>
      <w:b/>
      <w:bCs/>
      <w:sz w:val="24"/>
      <w:szCs w:val="24"/>
      <w:lang w:bidi="ar-SA"/>
    </w:rPr>
  </w:style>
  <w:style w:type="character" w:customStyle="1" w:styleId="328">
    <w:name w:val="Char Char19"/>
    <w:autoRedefine/>
    <w:qFormat/>
    <w:uiPriority w:val="0"/>
    <w:rPr>
      <w:rFonts w:ascii="Arial" w:hAnsi="Arial" w:eastAsia="黑体"/>
      <w:b/>
      <w:kern w:val="2"/>
      <w:sz w:val="24"/>
      <w:lang w:bidi="ar-SA"/>
    </w:rPr>
  </w:style>
  <w:style w:type="character" w:customStyle="1" w:styleId="329">
    <w:name w:val="正文文本 Char1"/>
    <w:autoRedefine/>
    <w:qFormat/>
    <w:uiPriority w:val="0"/>
    <w:rPr>
      <w:kern w:val="2"/>
      <w:sz w:val="21"/>
      <w:szCs w:val="24"/>
    </w:rPr>
  </w:style>
  <w:style w:type="character" w:customStyle="1" w:styleId="330">
    <w:name w:val="二级 Char"/>
    <w:link w:val="331"/>
    <w:autoRedefine/>
    <w:qFormat/>
    <w:uiPriority w:val="0"/>
    <w:rPr>
      <w:rFonts w:ascii="仿宋" w:hAnsi="仿宋" w:eastAsia="仿宋"/>
      <w:b/>
      <w:bCs/>
      <w:spacing w:val="24"/>
      <w:kern w:val="2"/>
      <w:sz w:val="32"/>
      <w:szCs w:val="32"/>
    </w:rPr>
  </w:style>
  <w:style w:type="paragraph" w:customStyle="1" w:styleId="331">
    <w:name w:val="二级"/>
    <w:basedOn w:val="3"/>
    <w:link w:val="330"/>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2">
    <w:name w:val="签名 Char"/>
    <w:autoRedefine/>
    <w:qFormat/>
    <w:uiPriority w:val="0"/>
    <w:rPr>
      <w:rFonts w:eastAsia="楷体_GB2312"/>
      <w:kern w:val="2"/>
      <w:sz w:val="21"/>
    </w:rPr>
  </w:style>
  <w:style w:type="character" w:customStyle="1" w:styleId="333">
    <w:name w:val="Char Char"/>
    <w:autoRedefine/>
    <w:qFormat/>
    <w:uiPriority w:val="0"/>
    <w:rPr>
      <w:rFonts w:hint="eastAsia" w:ascii="宋体" w:hAnsi="Courier New" w:eastAsia="宋体"/>
      <w:spacing w:val="-8"/>
      <w:kern w:val="2"/>
      <w:sz w:val="24"/>
      <w:lang w:val="en-US" w:eastAsia="zh-CN" w:bidi="ar-SA"/>
    </w:rPr>
  </w:style>
  <w:style w:type="character" w:customStyle="1" w:styleId="334">
    <w:name w:val="Char Char11"/>
    <w:autoRedefine/>
    <w:qFormat/>
    <w:uiPriority w:val="0"/>
    <w:rPr>
      <w:rFonts w:hint="default" w:ascii="Calibri" w:hAnsi="Calibri" w:eastAsia="宋体"/>
      <w:sz w:val="18"/>
      <w:szCs w:val="18"/>
      <w:lang w:bidi="ar-SA"/>
    </w:rPr>
  </w:style>
  <w:style w:type="character" w:customStyle="1" w:styleId="335">
    <w:name w:val="页眉 字符1"/>
    <w:autoRedefine/>
    <w:qFormat/>
    <w:uiPriority w:val="0"/>
    <w:rPr>
      <w:rFonts w:eastAsia="宋体"/>
      <w:kern w:val="2"/>
      <w:sz w:val="18"/>
      <w:szCs w:val="18"/>
      <w:lang w:bidi="ar-SA"/>
    </w:rPr>
  </w:style>
  <w:style w:type="character" w:customStyle="1" w:styleId="336">
    <w:name w:val="正文首行缩进 Char1"/>
    <w:autoRedefine/>
    <w:qFormat/>
    <w:uiPriority w:val="0"/>
    <w:rPr>
      <w:kern w:val="2"/>
      <w:sz w:val="21"/>
    </w:rPr>
  </w:style>
  <w:style w:type="character" w:customStyle="1" w:styleId="337">
    <w:name w:val="页眉 Char1"/>
    <w:autoRedefine/>
    <w:qFormat/>
    <w:uiPriority w:val="0"/>
    <w:rPr>
      <w:rFonts w:eastAsia="宋体"/>
      <w:kern w:val="2"/>
      <w:sz w:val="18"/>
      <w:szCs w:val="18"/>
      <w:lang w:val="en-US" w:eastAsia="zh-CN" w:bidi="ar-SA"/>
    </w:rPr>
  </w:style>
  <w:style w:type="character" w:customStyle="1" w:styleId="338">
    <w:name w:val="题注 Char"/>
    <w:autoRedefine/>
    <w:qFormat/>
    <w:uiPriority w:val="0"/>
    <w:rPr>
      <w:rFonts w:ascii="Cambria" w:hAnsi="Cambria" w:eastAsia="黑体"/>
      <w:kern w:val="2"/>
      <w:lang w:bidi="ar-SA"/>
    </w:rPr>
  </w:style>
  <w:style w:type="character" w:customStyle="1" w:styleId="339">
    <w:name w:val="样式 标题 3 + 小四 Char"/>
    <w:autoRedefine/>
    <w:qFormat/>
    <w:uiPriority w:val="0"/>
    <w:rPr>
      <w:rFonts w:ascii="宋体" w:hAnsi="宋体" w:cs="Arial"/>
      <w:b/>
      <w:bCs/>
      <w:smallCaps/>
      <w:sz w:val="24"/>
      <w:lang w:val="en-US" w:eastAsia="zh-CN"/>
    </w:rPr>
  </w:style>
  <w:style w:type="character" w:customStyle="1" w:styleId="340">
    <w:name w:val="unnamed21"/>
    <w:autoRedefine/>
    <w:qFormat/>
    <w:uiPriority w:val="0"/>
    <w:rPr>
      <w:color w:val="CC6633"/>
      <w:u w:val="none"/>
    </w:rPr>
  </w:style>
  <w:style w:type="character" w:customStyle="1" w:styleId="341">
    <w:name w:val="16"/>
    <w:autoRedefine/>
    <w:qFormat/>
    <w:uiPriority w:val="0"/>
    <w:rPr>
      <w:rFonts w:hint="eastAsia" w:ascii="宋体" w:hAnsi="宋体" w:eastAsia="宋体" w:cs="Arial"/>
      <w:b/>
      <w:bCs/>
      <w:smallCaps/>
      <w:kern w:val="2"/>
      <w:sz w:val="24"/>
      <w:szCs w:val="24"/>
    </w:rPr>
  </w:style>
  <w:style w:type="character" w:customStyle="1" w:styleId="342">
    <w:name w:val="正文文本缩进 字符"/>
    <w:autoRedefine/>
    <w:qFormat/>
    <w:uiPriority w:val="0"/>
    <w:rPr>
      <w:rFonts w:eastAsia="宋体"/>
      <w:kern w:val="2"/>
      <w:sz w:val="24"/>
      <w:lang w:bidi="ar-SA"/>
    </w:rPr>
  </w:style>
  <w:style w:type="character" w:customStyle="1" w:styleId="343">
    <w:name w:val="Char Char8"/>
    <w:autoRedefine/>
    <w:qFormat/>
    <w:uiPriority w:val="0"/>
    <w:rPr>
      <w:rFonts w:hint="default" w:ascii="Calibri" w:hAnsi="Calibri" w:eastAsia="宋体"/>
      <w:kern w:val="2"/>
      <w:sz w:val="21"/>
      <w:szCs w:val="22"/>
      <w:lang w:val="en-US" w:eastAsia="zh-CN" w:bidi="ar-SA"/>
    </w:rPr>
  </w:style>
  <w:style w:type="character" w:customStyle="1" w:styleId="344">
    <w:name w:val="H3 Char1"/>
    <w:autoRedefine/>
    <w:qFormat/>
    <w:uiPriority w:val="0"/>
    <w:rPr>
      <w:rFonts w:ascii="仿宋_GB2312" w:eastAsia="仿宋_GB2312"/>
      <w:b/>
      <w:bCs/>
      <w:color w:val="000000"/>
      <w:kern w:val="2"/>
      <w:sz w:val="32"/>
      <w:szCs w:val="32"/>
    </w:rPr>
  </w:style>
  <w:style w:type="character" w:customStyle="1" w:styleId="345">
    <w:name w:val="Char Char1"/>
    <w:autoRedefine/>
    <w:qFormat/>
    <w:uiPriority w:val="0"/>
    <w:rPr>
      <w:rFonts w:hint="eastAsia" w:ascii="宋体" w:hAnsi="宋体" w:eastAsia="宋体"/>
      <w:kern w:val="2"/>
      <w:sz w:val="21"/>
      <w:szCs w:val="24"/>
      <w:lang w:val="en-US" w:eastAsia="zh-CN" w:bidi="ar-SA"/>
    </w:rPr>
  </w:style>
  <w:style w:type="character" w:customStyle="1" w:styleId="346">
    <w:name w:val="Char Char10"/>
    <w:autoRedefine/>
    <w:qFormat/>
    <w:uiPriority w:val="0"/>
    <w:rPr>
      <w:rFonts w:eastAsia="宋体"/>
      <w:kern w:val="2"/>
      <w:sz w:val="18"/>
      <w:szCs w:val="18"/>
      <w:lang w:val="en-US" w:eastAsia="zh-CN" w:bidi="ar-SA"/>
    </w:rPr>
  </w:style>
  <w:style w:type="character" w:customStyle="1" w:styleId="347">
    <w:name w:val="文档正文 Char"/>
    <w:link w:val="348"/>
    <w:autoRedefine/>
    <w:qFormat/>
    <w:uiPriority w:val="0"/>
    <w:rPr>
      <w:rFonts w:ascii="Arial" w:hAnsi="Arial" w:cs="Arial"/>
      <w:bCs/>
      <w:kern w:val="2"/>
      <w:sz w:val="24"/>
      <w:szCs w:val="24"/>
    </w:rPr>
  </w:style>
  <w:style w:type="paragraph" w:customStyle="1" w:styleId="348">
    <w:name w:val="文档正文"/>
    <w:basedOn w:val="1"/>
    <w:link w:val="347"/>
    <w:autoRedefine/>
    <w:qFormat/>
    <w:uiPriority w:val="0"/>
    <w:rPr>
      <w:rFonts w:ascii="Arial" w:hAnsi="Arial" w:cs="Arial"/>
      <w:bCs/>
      <w:sz w:val="24"/>
    </w:rPr>
  </w:style>
  <w:style w:type="character" w:customStyle="1" w:styleId="349">
    <w:name w:val="正文文本 2 Char2"/>
    <w:basedOn w:val="53"/>
    <w:autoRedefine/>
    <w:semiHidden/>
    <w:qFormat/>
    <w:uiPriority w:val="0"/>
    <w:rPr>
      <w:kern w:val="2"/>
      <w:sz w:val="21"/>
      <w:szCs w:val="24"/>
    </w:rPr>
  </w:style>
  <w:style w:type="character" w:customStyle="1" w:styleId="350">
    <w:name w:val="标题 字符1"/>
    <w:basedOn w:val="53"/>
    <w:autoRedefine/>
    <w:qFormat/>
    <w:uiPriority w:val="10"/>
    <w:rPr>
      <w:rFonts w:asciiTheme="majorHAnsi" w:hAnsiTheme="majorHAnsi" w:eastAsiaTheme="majorEastAsia" w:cstheme="majorBidi"/>
      <w:b/>
      <w:bCs/>
      <w:kern w:val="2"/>
      <w:sz w:val="32"/>
      <w:szCs w:val="32"/>
    </w:rPr>
  </w:style>
  <w:style w:type="character" w:customStyle="1" w:styleId="351">
    <w:name w:val="正文首行缩进 2 Char1"/>
    <w:basedOn w:val="76"/>
    <w:autoRedefine/>
    <w:qFormat/>
    <w:uiPriority w:val="0"/>
    <w:rPr>
      <w:kern w:val="2"/>
      <w:sz w:val="21"/>
      <w:szCs w:val="24"/>
    </w:rPr>
  </w:style>
  <w:style w:type="character" w:customStyle="1" w:styleId="352">
    <w:name w:val="签名 Char2"/>
    <w:basedOn w:val="53"/>
    <w:autoRedefine/>
    <w:semiHidden/>
    <w:qFormat/>
    <w:uiPriority w:val="0"/>
    <w:rPr>
      <w:kern w:val="2"/>
      <w:sz w:val="21"/>
      <w:szCs w:val="24"/>
    </w:rPr>
  </w:style>
  <w:style w:type="character" w:customStyle="1" w:styleId="353">
    <w:name w:val="正文文本缩进 3 Char2"/>
    <w:basedOn w:val="53"/>
    <w:autoRedefine/>
    <w:semiHidden/>
    <w:qFormat/>
    <w:uiPriority w:val="0"/>
    <w:rPr>
      <w:kern w:val="2"/>
      <w:sz w:val="16"/>
      <w:szCs w:val="16"/>
    </w:rPr>
  </w:style>
  <w:style w:type="character" w:customStyle="1" w:styleId="354">
    <w:name w:val="日期 Char2"/>
    <w:basedOn w:val="53"/>
    <w:autoRedefine/>
    <w:semiHidden/>
    <w:qFormat/>
    <w:uiPriority w:val="0"/>
    <w:rPr>
      <w:kern w:val="2"/>
      <w:sz w:val="21"/>
      <w:szCs w:val="24"/>
    </w:rPr>
  </w:style>
  <w:style w:type="paragraph" w:customStyle="1" w:styleId="355">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7">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8">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9">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60">
    <w:name w:val="Table Heading"/>
    <w:basedOn w:val="1"/>
    <w:autoRedefine/>
    <w:qFormat/>
    <w:uiPriority w:val="0"/>
    <w:pPr>
      <w:widowControl/>
      <w:jc w:val="center"/>
    </w:pPr>
    <w:rPr>
      <w:rFonts w:ascii="Arial" w:hAnsi="Arial"/>
      <w:b/>
      <w:kern w:val="0"/>
      <w:sz w:val="18"/>
      <w:szCs w:val="20"/>
    </w:rPr>
  </w:style>
  <w:style w:type="paragraph" w:customStyle="1" w:styleId="361">
    <w:name w:val="4"/>
    <w:basedOn w:val="1"/>
    <w:next w:val="1"/>
    <w:autoRedefine/>
    <w:qFormat/>
    <w:uiPriority w:val="0"/>
  </w:style>
  <w:style w:type="paragraph" w:customStyle="1" w:styleId="36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3">
    <w:name w:val="--规划正文"/>
    <w:basedOn w:val="1"/>
    <w:autoRedefine/>
    <w:qFormat/>
    <w:uiPriority w:val="0"/>
    <w:pPr>
      <w:spacing w:line="360" w:lineRule="auto"/>
      <w:ind w:firstLine="200" w:firstLineChars="200"/>
    </w:pPr>
    <w:rPr>
      <w:szCs w:val="20"/>
    </w:rPr>
  </w:style>
  <w:style w:type="paragraph" w:customStyle="1" w:styleId="364">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5">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6">
    <w:name w:val="样式2"/>
    <w:basedOn w:val="27"/>
    <w:autoRedefine/>
    <w:qFormat/>
    <w:uiPriority w:val="0"/>
    <w:pPr>
      <w:tabs>
        <w:tab w:val="right" w:leader="dot" w:pos="9458"/>
      </w:tabs>
    </w:pPr>
    <w:rPr>
      <w:rFonts w:ascii="Arial" w:cs="Arial"/>
      <w:i/>
    </w:rPr>
  </w:style>
  <w:style w:type="paragraph" w:customStyle="1" w:styleId="367">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8">
    <w:name w:val="l2"/>
    <w:basedOn w:val="1"/>
    <w:autoRedefine/>
    <w:qFormat/>
    <w:uiPriority w:val="0"/>
    <w:pPr>
      <w:keepLines/>
      <w:widowControl/>
      <w:spacing w:beforeLines="50" w:afterLines="50" w:line="300" w:lineRule="auto"/>
    </w:pPr>
    <w:rPr>
      <w:rFonts w:ascii="Arial" w:hAnsi="Arial"/>
      <w:bCs/>
    </w:rPr>
  </w:style>
  <w:style w:type="paragraph" w:customStyle="1" w:styleId="369">
    <w:name w:val="样式5"/>
    <w:basedOn w:val="370"/>
    <w:next w:val="370"/>
    <w:autoRedefine/>
    <w:qFormat/>
    <w:uiPriority w:val="0"/>
    <w:pPr>
      <w:tabs>
        <w:tab w:val="right" w:leader="dot" w:pos="9458"/>
      </w:tabs>
    </w:pPr>
  </w:style>
  <w:style w:type="paragraph" w:customStyle="1" w:styleId="370">
    <w:name w:val="样式4"/>
    <w:basedOn w:val="36"/>
    <w:autoRedefine/>
    <w:qFormat/>
    <w:uiPriority w:val="0"/>
    <w:pPr>
      <w:tabs>
        <w:tab w:val="right" w:leader="dot" w:pos="9458"/>
      </w:tabs>
    </w:pPr>
    <w:rPr>
      <w:b w:val="0"/>
    </w:rPr>
  </w:style>
  <w:style w:type="paragraph" w:customStyle="1" w:styleId="371">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2">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3">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4">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5">
    <w:name w:val="Table Body"/>
    <w:basedOn w:val="1"/>
    <w:autoRedefine/>
    <w:qFormat/>
    <w:uiPriority w:val="0"/>
    <w:pPr>
      <w:widowControl/>
      <w:jc w:val="center"/>
    </w:pPr>
    <w:rPr>
      <w:rFonts w:ascii="Arial" w:hAnsi="Arial"/>
      <w:snapToGrid w:val="0"/>
      <w:kern w:val="0"/>
      <w:sz w:val="18"/>
      <w:szCs w:val="20"/>
    </w:rPr>
  </w:style>
  <w:style w:type="paragraph" w:customStyle="1" w:styleId="376">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8">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9">
    <w:name w:val="签名 - 公司"/>
    <w:basedOn w:val="35"/>
    <w:next w:val="380"/>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80">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1">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2">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3">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4">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5">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6">
    <w:name w:val="正文缩进1"/>
    <w:basedOn w:val="1"/>
    <w:autoRedefine/>
    <w:qFormat/>
    <w:uiPriority w:val="0"/>
    <w:pPr>
      <w:ind w:firstLine="567"/>
    </w:pPr>
    <w:rPr>
      <w:spacing w:val="20"/>
      <w:sz w:val="24"/>
      <w:szCs w:val="20"/>
    </w:rPr>
  </w:style>
  <w:style w:type="paragraph" w:customStyle="1" w:styleId="387">
    <w:name w:val="_正文"/>
    <w:basedOn w:val="1"/>
    <w:autoRedefine/>
    <w:qFormat/>
    <w:uiPriority w:val="99"/>
    <w:pPr>
      <w:spacing w:line="360" w:lineRule="auto"/>
      <w:ind w:firstLine="200" w:firstLineChars="200"/>
    </w:pPr>
    <w:rPr>
      <w:rFonts w:ascii="宋体" w:hAnsi="宋体"/>
      <w:sz w:val="24"/>
    </w:rPr>
  </w:style>
  <w:style w:type="paragraph" w:customStyle="1" w:styleId="388">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9">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90">
    <w:name w:val="_Style 15"/>
    <w:basedOn w:val="1"/>
    <w:autoRedefine/>
    <w:qFormat/>
    <w:uiPriority w:val="0"/>
  </w:style>
  <w:style w:type="paragraph" w:customStyle="1" w:styleId="39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2">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3">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4">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5">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6">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7">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8">
    <w:name w:val="样式"/>
    <w:basedOn w:val="1"/>
    <w:next w:val="24"/>
    <w:autoRedefine/>
    <w:qFormat/>
    <w:uiPriority w:val="0"/>
    <w:pPr>
      <w:ind w:left="572" w:right="32" w:firstLine="478"/>
    </w:pPr>
    <w:rPr>
      <w:szCs w:val="21"/>
    </w:rPr>
  </w:style>
  <w:style w:type="paragraph" w:customStyle="1" w:styleId="399">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400">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401">
    <w:name w:val="图表"/>
    <w:basedOn w:val="1"/>
    <w:autoRedefine/>
    <w:qFormat/>
    <w:uiPriority w:val="0"/>
    <w:pPr>
      <w:spacing w:line="360" w:lineRule="auto"/>
      <w:ind w:hanging="420"/>
      <w:jc w:val="center"/>
    </w:pPr>
    <w:rPr>
      <w:sz w:val="24"/>
      <w:szCs w:val="20"/>
    </w:rPr>
  </w:style>
  <w:style w:type="paragraph" w:customStyle="1" w:styleId="402">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3">
    <w:name w:val="正文_0"/>
    <w:basedOn w:val="1"/>
    <w:autoRedefine/>
    <w:qFormat/>
    <w:uiPriority w:val="0"/>
  </w:style>
  <w:style w:type="paragraph" w:customStyle="1" w:styleId="404">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5">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6">
    <w:name w:val="简单回函地址"/>
    <w:basedOn w:val="1"/>
    <w:autoRedefine/>
    <w:qFormat/>
    <w:uiPriority w:val="0"/>
  </w:style>
  <w:style w:type="paragraph" w:customStyle="1" w:styleId="407">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8">
    <w:name w:val="样式3"/>
    <w:basedOn w:val="27"/>
    <w:autoRedefine/>
    <w:qFormat/>
    <w:uiPriority w:val="0"/>
    <w:pPr>
      <w:tabs>
        <w:tab w:val="right" w:leader="dot" w:pos="9458"/>
      </w:tabs>
    </w:pPr>
    <w:rPr>
      <w:i/>
    </w:rPr>
  </w:style>
  <w:style w:type="paragraph" w:customStyle="1" w:styleId="409">
    <w:name w:val="msolistparagraph"/>
    <w:basedOn w:val="1"/>
    <w:autoRedefine/>
    <w:qFormat/>
    <w:uiPriority w:val="0"/>
    <w:pPr>
      <w:ind w:firstLine="420" w:firstLineChars="200"/>
    </w:pPr>
    <w:rPr>
      <w:rFonts w:ascii="Calibri" w:hAnsi="Calibri"/>
      <w:szCs w:val="22"/>
    </w:rPr>
  </w:style>
  <w:style w:type="paragraph" w:customStyle="1" w:styleId="410">
    <w:name w:val="Char Char16 Char Char"/>
    <w:basedOn w:val="1"/>
    <w:autoRedefine/>
    <w:qFormat/>
    <w:uiPriority w:val="0"/>
    <w:rPr>
      <w:rFonts w:ascii="Tahoma" w:hAnsi="Tahoma"/>
      <w:sz w:val="24"/>
      <w:szCs w:val="20"/>
    </w:rPr>
  </w:style>
  <w:style w:type="paragraph" w:customStyle="1" w:styleId="411">
    <w:name w:val="正文内容"/>
    <w:basedOn w:val="1"/>
    <w:autoRedefine/>
    <w:qFormat/>
    <w:uiPriority w:val="0"/>
    <w:rPr>
      <w:rFonts w:ascii="Arial" w:hAnsi="Arial"/>
      <w:spacing w:val="-12"/>
      <w:szCs w:val="20"/>
    </w:rPr>
  </w:style>
  <w:style w:type="paragraph" w:customStyle="1" w:styleId="412">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3">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4">
    <w:name w:val="WPSOffice手动目录 1"/>
    <w:autoRedefine/>
    <w:qFormat/>
    <w:uiPriority w:val="0"/>
    <w:rPr>
      <w:rFonts w:ascii="Times New Roman" w:hAnsi="Times New Roman" w:eastAsia="宋体" w:cs="Times New Roman"/>
      <w:lang w:val="en-US" w:eastAsia="zh-CN" w:bidi="ar-SA"/>
    </w:rPr>
  </w:style>
  <w:style w:type="paragraph" w:customStyle="1" w:styleId="415">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6">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8">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9">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0">
    <w:name w:val="Char1 Char Char Char Char Char Char Char Char"/>
    <w:basedOn w:val="1"/>
    <w:autoRedefine/>
    <w:qFormat/>
    <w:uiPriority w:val="0"/>
  </w:style>
  <w:style w:type="paragraph" w:customStyle="1" w:styleId="421">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2">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标题5"/>
    <w:basedOn w:val="1"/>
    <w:autoRedefine/>
    <w:qFormat/>
    <w:uiPriority w:val="0"/>
    <w:pPr>
      <w:spacing w:before="120" w:after="120"/>
    </w:pPr>
    <w:rPr>
      <w:rFonts w:ascii="宋体"/>
      <w:b/>
      <w:sz w:val="28"/>
    </w:rPr>
  </w:style>
  <w:style w:type="paragraph" w:customStyle="1" w:styleId="424">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5">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6">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7">
    <w:name w:val="Char4"/>
    <w:basedOn w:val="1"/>
    <w:autoRedefine/>
    <w:qFormat/>
    <w:uiPriority w:val="0"/>
    <w:pPr>
      <w:ind w:left="980" w:hanging="420"/>
    </w:pPr>
    <w:rPr>
      <w:sz w:val="24"/>
    </w:rPr>
  </w:style>
  <w:style w:type="paragraph" w:customStyle="1" w:styleId="428">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9">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30">
    <w:name w:val="样式 首行缩进:  0.85 厘米"/>
    <w:basedOn w:val="1"/>
    <w:autoRedefine/>
    <w:qFormat/>
    <w:uiPriority w:val="0"/>
    <w:pPr>
      <w:ind w:firstLine="480" w:firstLineChars="200"/>
    </w:pPr>
    <w:rPr>
      <w:rFonts w:cs="宋体"/>
      <w:szCs w:val="20"/>
    </w:rPr>
  </w:style>
  <w:style w:type="paragraph" w:customStyle="1" w:styleId="431">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3">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4">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5">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8"/>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9">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5">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6">
    <w:name w:val="列出段落 Char"/>
    <w:link w:val="457"/>
    <w:autoRedefine/>
    <w:qFormat/>
    <w:uiPriority w:val="34"/>
    <w:rPr>
      <w:kern w:val="2"/>
      <w:sz w:val="21"/>
      <w:szCs w:val="24"/>
    </w:rPr>
  </w:style>
  <w:style w:type="paragraph" w:styleId="457">
    <w:name w:val="List Paragraph"/>
    <w:basedOn w:val="1"/>
    <w:link w:val="456"/>
    <w:autoRedefine/>
    <w:qFormat/>
    <w:uiPriority w:val="34"/>
    <w:pPr>
      <w:ind w:firstLine="420" w:firstLineChars="200"/>
    </w:pPr>
  </w:style>
  <w:style w:type="paragraph" w:customStyle="1" w:styleId="458">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9">
    <w:name w:val="评价"/>
    <w:basedOn w:val="1"/>
    <w:autoRedefine/>
    <w:qFormat/>
    <w:uiPriority w:val="0"/>
    <w:pPr>
      <w:spacing w:afterLines="20"/>
      <w:ind w:firstLine="1446" w:firstLineChars="200"/>
    </w:pPr>
    <w:rPr>
      <w:rFonts w:ascii="Calibri" w:hAnsi="Calibri"/>
      <w:sz w:val="24"/>
    </w:rPr>
  </w:style>
  <w:style w:type="character" w:customStyle="1" w:styleId="460">
    <w:name w:val="正文文本 3 Char"/>
    <w:basedOn w:val="53"/>
    <w:link w:val="19"/>
    <w:autoRedefine/>
    <w:qFormat/>
    <w:uiPriority w:val="0"/>
    <w:rPr>
      <w:kern w:val="2"/>
      <w:sz w:val="16"/>
      <w:szCs w:val="16"/>
    </w:rPr>
  </w:style>
  <w:style w:type="character" w:customStyle="1" w:styleId="461">
    <w:name w:val="content"/>
    <w:basedOn w:val="53"/>
    <w:autoRedefine/>
    <w:qFormat/>
    <w:uiPriority w:val="0"/>
  </w:style>
  <w:style w:type="character" w:customStyle="1" w:styleId="462">
    <w:name w:val="ca-3"/>
    <w:basedOn w:val="53"/>
    <w:autoRedefine/>
    <w:qFormat/>
    <w:uiPriority w:val="0"/>
  </w:style>
  <w:style w:type="character" w:customStyle="1" w:styleId="463">
    <w:name w:val="textcontents1"/>
    <w:autoRedefine/>
    <w:qFormat/>
    <w:uiPriority w:val="0"/>
    <w:rPr>
      <w:rFonts w:hint="default" w:ascii="ˎ̥" w:hAnsi="ˎ̥"/>
      <w:sz w:val="21"/>
      <w:szCs w:val="21"/>
    </w:rPr>
  </w:style>
  <w:style w:type="character" w:customStyle="1" w:styleId="464">
    <w:name w:val="脚注文本 Char1"/>
    <w:autoRedefine/>
    <w:qFormat/>
    <w:uiPriority w:val="0"/>
    <w:rPr>
      <w:kern w:val="2"/>
      <w:sz w:val="18"/>
      <w:szCs w:val="18"/>
    </w:rPr>
  </w:style>
  <w:style w:type="character" w:customStyle="1" w:styleId="465">
    <w:name w:val="脚注文本 Char"/>
    <w:link w:val="40"/>
    <w:autoRedefine/>
    <w:qFormat/>
    <w:uiPriority w:val="0"/>
    <w:rPr>
      <w:kern w:val="2"/>
      <w:sz w:val="18"/>
      <w:szCs w:val="18"/>
    </w:rPr>
  </w:style>
  <w:style w:type="character" w:customStyle="1" w:styleId="466">
    <w:name w:val="正文首行缩进（绿盟科技） Char"/>
    <w:link w:val="467"/>
    <w:autoRedefine/>
    <w:qFormat/>
    <w:uiPriority w:val="0"/>
    <w:rPr>
      <w:rFonts w:ascii="Arial" w:hAnsi="Arial"/>
      <w:szCs w:val="21"/>
    </w:rPr>
  </w:style>
  <w:style w:type="paragraph" w:customStyle="1" w:styleId="467">
    <w:name w:val="正文首行缩进（绿盟科技）"/>
    <w:basedOn w:val="1"/>
    <w:link w:val="466"/>
    <w:autoRedefine/>
    <w:qFormat/>
    <w:uiPriority w:val="0"/>
    <w:pPr>
      <w:widowControl/>
      <w:spacing w:after="50" w:line="300" w:lineRule="auto"/>
      <w:ind w:firstLine="200" w:firstLineChars="200"/>
      <w:jc w:val="left"/>
    </w:pPr>
    <w:rPr>
      <w:rFonts w:ascii="Arial" w:hAnsi="Arial"/>
      <w:kern w:val="0"/>
      <w:sz w:val="20"/>
      <w:szCs w:val="21"/>
    </w:rPr>
  </w:style>
  <w:style w:type="character" w:customStyle="1" w:styleId="468">
    <w:name w:val="c lh15"/>
    <w:basedOn w:val="53"/>
    <w:autoRedefine/>
    <w:qFormat/>
    <w:uiPriority w:val="0"/>
  </w:style>
  <w:style w:type="character" w:customStyle="1" w:styleId="469">
    <w:name w:val="Char Char21"/>
    <w:autoRedefine/>
    <w:qFormat/>
    <w:uiPriority w:val="0"/>
    <w:rPr>
      <w:b/>
      <w:bCs/>
      <w:kern w:val="2"/>
      <w:sz w:val="32"/>
      <w:szCs w:val="32"/>
    </w:rPr>
  </w:style>
  <w:style w:type="character" w:customStyle="1" w:styleId="470">
    <w:name w:val="content1"/>
    <w:autoRedefine/>
    <w:qFormat/>
    <w:uiPriority w:val="0"/>
    <w:rPr>
      <w:rFonts w:hint="default" w:ascii="??" w:hAnsi="??"/>
      <w:sz w:val="16"/>
      <w:szCs w:val="16"/>
      <w:u w:val="none"/>
    </w:rPr>
  </w:style>
  <w:style w:type="character" w:customStyle="1" w:styleId="471">
    <w:name w:val="text21"/>
    <w:basedOn w:val="53"/>
    <w:autoRedefine/>
    <w:qFormat/>
    <w:uiPriority w:val="0"/>
  </w:style>
  <w:style w:type="character" w:customStyle="1" w:styleId="472">
    <w:name w:val="apple-style-span"/>
    <w:basedOn w:val="53"/>
    <w:autoRedefine/>
    <w:qFormat/>
    <w:uiPriority w:val="0"/>
  </w:style>
  <w:style w:type="paragraph" w:customStyle="1" w:styleId="473">
    <w:name w:val="缺省文本"/>
    <w:basedOn w:val="1"/>
    <w:autoRedefine/>
    <w:qFormat/>
    <w:uiPriority w:val="0"/>
    <w:pPr>
      <w:autoSpaceDE w:val="0"/>
      <w:autoSpaceDN w:val="0"/>
      <w:adjustRightInd w:val="0"/>
      <w:jc w:val="left"/>
    </w:pPr>
    <w:rPr>
      <w:kern w:val="0"/>
      <w:sz w:val="24"/>
    </w:rPr>
  </w:style>
  <w:style w:type="paragraph" w:customStyle="1" w:styleId="474">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5">
    <w:name w:val="1"/>
    <w:basedOn w:val="1"/>
    <w:next w:val="28"/>
    <w:autoRedefine/>
    <w:qFormat/>
    <w:uiPriority w:val="0"/>
    <w:rPr>
      <w:rFonts w:ascii="宋体" w:hAnsi="Courier New"/>
      <w:szCs w:val="20"/>
    </w:rPr>
  </w:style>
  <w:style w:type="paragraph" w:customStyle="1" w:styleId="476">
    <w:name w:val="xl5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7">
    <w:name w:val="Char Char Char Char Char Char Char1"/>
    <w:basedOn w:val="1"/>
    <w:autoRedefine/>
    <w:qFormat/>
    <w:uiPriority w:val="0"/>
    <w:pPr>
      <w:widowControl/>
      <w:spacing w:after="160" w:line="240" w:lineRule="exact"/>
      <w:jc w:val="left"/>
    </w:pPr>
  </w:style>
  <w:style w:type="paragraph" w:customStyle="1" w:styleId="478">
    <w:name w:val="USE 1"/>
    <w:basedOn w:val="1"/>
    <w:autoRedefine/>
    <w:qFormat/>
    <w:uiPriority w:val="0"/>
    <w:pPr>
      <w:spacing w:line="200" w:lineRule="atLeast"/>
      <w:jc w:val="left"/>
    </w:pPr>
    <w:rPr>
      <w:rFonts w:ascii="宋体" w:hAnsi="宋体"/>
      <w:b/>
      <w:sz w:val="24"/>
      <w:szCs w:val="28"/>
    </w:rPr>
  </w:style>
  <w:style w:type="paragraph" w:customStyle="1" w:styleId="479">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80">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1">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2">
    <w:name w:val="_Style 54"/>
    <w:basedOn w:val="1"/>
    <w:next w:val="28"/>
    <w:autoRedefine/>
    <w:qFormat/>
    <w:uiPriority w:val="0"/>
    <w:rPr>
      <w:rFonts w:ascii="宋体" w:hAnsi="Courier New"/>
      <w:szCs w:val="20"/>
    </w:rPr>
  </w:style>
  <w:style w:type="character" w:customStyle="1" w:styleId="483">
    <w:name w:val="脚注文本 Char2"/>
    <w:basedOn w:val="53"/>
    <w:autoRedefine/>
    <w:semiHidden/>
    <w:qFormat/>
    <w:uiPriority w:val="0"/>
    <w:rPr>
      <w:kern w:val="2"/>
      <w:sz w:val="18"/>
      <w:szCs w:val="18"/>
    </w:rPr>
  </w:style>
  <w:style w:type="paragraph" w:customStyle="1" w:styleId="484">
    <w:name w:val="_Style 56"/>
    <w:basedOn w:val="1"/>
    <w:next w:val="28"/>
    <w:autoRedefine/>
    <w:qFormat/>
    <w:uiPriority w:val="0"/>
    <w:rPr>
      <w:rFonts w:ascii="宋体" w:hAnsi="Courier New"/>
      <w:szCs w:val="20"/>
    </w:rPr>
  </w:style>
  <w:style w:type="paragraph" w:customStyle="1" w:styleId="485">
    <w:name w:val="Char Char Char Char2"/>
    <w:basedOn w:val="1"/>
    <w:autoRedefine/>
    <w:qFormat/>
    <w:uiPriority w:val="0"/>
    <w:pPr>
      <w:widowControl/>
      <w:spacing w:after="160" w:line="240" w:lineRule="exact"/>
      <w:jc w:val="center"/>
    </w:pPr>
  </w:style>
  <w:style w:type="paragraph" w:customStyle="1" w:styleId="486">
    <w:name w:val="font10"/>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7">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8">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9">
    <w:name w:val="px16"/>
    <w:basedOn w:val="1"/>
    <w:autoRedefine/>
    <w:qFormat/>
    <w:uiPriority w:val="0"/>
    <w:pPr>
      <w:widowControl/>
      <w:spacing w:before="100" w:beforeAutospacing="1" w:after="100" w:afterAutospacing="1" w:line="360" w:lineRule="auto"/>
      <w:jc w:val="left"/>
    </w:pPr>
    <w:rPr>
      <w:rFonts w:ascii="宋体" w:hAnsi="宋体"/>
      <w:kern w:val="0"/>
      <w:sz w:val="24"/>
    </w:rPr>
  </w:style>
  <w:style w:type="paragraph" w:customStyle="1" w:styleId="490">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1">
    <w:name w:val="Char2 Char Char Char Char Char Char"/>
    <w:basedOn w:val="1"/>
    <w:autoRedefine/>
    <w:qFormat/>
    <w:uiPriority w:val="0"/>
    <w:pPr>
      <w:widowControl/>
      <w:spacing w:after="160" w:line="240" w:lineRule="exact"/>
      <w:jc w:val="left"/>
    </w:pPr>
  </w:style>
  <w:style w:type="paragraph" w:customStyle="1" w:styleId="492">
    <w:name w:val="_Style 50"/>
    <w:basedOn w:val="1"/>
    <w:next w:val="31"/>
    <w:autoRedefine/>
    <w:qFormat/>
    <w:uiPriority w:val="0"/>
    <w:pPr>
      <w:adjustRightInd w:val="0"/>
      <w:snapToGrid w:val="0"/>
      <w:spacing w:line="300" w:lineRule="auto"/>
      <w:ind w:firstLine="630" w:firstLineChars="300"/>
    </w:pPr>
    <w:rPr>
      <w:snapToGrid w:val="0"/>
      <w:kern w:val="0"/>
    </w:rPr>
  </w:style>
  <w:style w:type="paragraph" w:customStyle="1" w:styleId="493">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4">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5">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6">
    <w:name w:val="5"/>
    <w:basedOn w:val="1"/>
    <w:next w:val="28"/>
    <w:autoRedefine/>
    <w:qFormat/>
    <w:uiPriority w:val="0"/>
    <w:rPr>
      <w:rFonts w:ascii="宋体" w:hAnsi="Courier New"/>
      <w:szCs w:val="20"/>
    </w:rPr>
  </w:style>
  <w:style w:type="paragraph" w:customStyle="1" w:styleId="497">
    <w:name w:val="Char Char Char"/>
    <w:basedOn w:val="1"/>
    <w:autoRedefine/>
    <w:qFormat/>
    <w:uiPriority w:val="0"/>
    <w:rPr>
      <w:szCs w:val="20"/>
    </w:rPr>
  </w:style>
  <w:style w:type="paragraph" w:customStyle="1" w:styleId="498">
    <w:name w:val="Char2"/>
    <w:basedOn w:val="1"/>
    <w:autoRedefine/>
    <w:qFormat/>
    <w:uiPriority w:val="0"/>
    <w:rPr>
      <w:rFonts w:ascii="Tahoma" w:hAnsi="Tahoma"/>
      <w:sz w:val="24"/>
      <w:szCs w:val="20"/>
    </w:rPr>
  </w:style>
  <w:style w:type="paragraph" w:customStyle="1" w:styleId="499">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1">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2">
    <w:name w:val="6"/>
    <w:basedOn w:val="1"/>
    <w:next w:val="28"/>
    <w:autoRedefine/>
    <w:qFormat/>
    <w:uiPriority w:val="0"/>
    <w:rPr>
      <w:rFonts w:ascii="宋体" w:hAnsi="Courier New"/>
      <w:szCs w:val="20"/>
    </w:rPr>
  </w:style>
  <w:style w:type="paragraph" w:customStyle="1" w:styleId="503">
    <w:name w:val="2"/>
    <w:basedOn w:val="1"/>
    <w:next w:val="47"/>
    <w:autoRedefine/>
    <w:qFormat/>
    <w:uiPriority w:val="0"/>
    <w:pPr>
      <w:widowControl/>
      <w:spacing w:before="100" w:beforeAutospacing="1" w:after="100" w:afterAutospacing="1"/>
      <w:jc w:val="left"/>
    </w:pPr>
    <w:rPr>
      <w:rFonts w:ascii="宋体" w:hAnsi="宋体"/>
      <w:kern w:val="0"/>
      <w:sz w:val="24"/>
    </w:rPr>
  </w:style>
  <w:style w:type="paragraph" w:customStyle="1" w:styleId="504">
    <w:name w:val="7"/>
    <w:basedOn w:val="1"/>
    <w:next w:val="31"/>
    <w:autoRedefine/>
    <w:qFormat/>
    <w:uiPriority w:val="0"/>
    <w:pPr>
      <w:adjustRightInd w:val="0"/>
      <w:snapToGrid w:val="0"/>
      <w:spacing w:line="300" w:lineRule="auto"/>
      <w:ind w:firstLine="630" w:firstLineChars="300"/>
    </w:pPr>
    <w:rPr>
      <w:snapToGrid w:val="0"/>
      <w:kern w:val="0"/>
    </w:rPr>
  </w:style>
  <w:style w:type="paragraph" w:customStyle="1" w:styleId="505">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6">
    <w:name w:val="TOC 标题2"/>
    <w:basedOn w:val="2"/>
    <w:next w:val="1"/>
    <w:autoRedefine/>
    <w:unhideWhenUsed/>
    <w:qFormat/>
    <w:uiPriority w:val="39"/>
    <w:pPr>
      <w:widowControl/>
      <w:spacing w:before="0" w:after="0" w:line="276" w:lineRule="auto"/>
      <w:outlineLvl w:val="9"/>
    </w:pPr>
    <w:rPr>
      <w:rFonts w:asciiTheme="majorHAnsi" w:hAnsiTheme="majorHAnsi" w:eastAsiaTheme="majorEastAsia" w:cstheme="majorBidi"/>
      <w:bCs/>
      <w:kern w:val="0"/>
      <w:lang w:val="zh-CN"/>
    </w:rPr>
  </w:style>
  <w:style w:type="character" w:customStyle="1" w:styleId="507">
    <w:name w:val="纯文本 Char2"/>
    <w:autoRedefine/>
    <w:qFormat/>
    <w:uiPriority w:val="99"/>
    <w:rPr>
      <w:rFonts w:ascii="宋体" w:hAnsi="Courier New"/>
      <w:kern w:val="2"/>
      <w:sz w:val="21"/>
    </w:rPr>
  </w:style>
  <w:style w:type="paragraph" w:styleId="508">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09">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10">
    <w:name w:val="修订4"/>
    <w:hidden/>
    <w:unhideWhenUsed/>
    <w:qFormat/>
    <w:uiPriority w:val="99"/>
    <w:rPr>
      <w:rFonts w:ascii="Times New Roman" w:hAnsi="Times New Roman" w:eastAsia="宋体" w:cs="Times New Roman"/>
      <w:kern w:val="2"/>
      <w:sz w:val="21"/>
      <w:szCs w:val="24"/>
      <w:lang w:val="en-US" w:eastAsia="zh-CN" w:bidi="ar-SA"/>
    </w:rPr>
  </w:style>
  <w:style w:type="character" w:customStyle="1" w:styleId="511">
    <w:name w:val="10"/>
    <w:basedOn w:val="53"/>
    <w:qFormat/>
    <w:uiPriority w:val="0"/>
    <w:rPr>
      <w:rFonts w:hint="default" w:ascii="Times New Roman" w:hAnsi="Times New Roman" w:cs="Times New Roman"/>
    </w:rPr>
  </w:style>
  <w:style w:type="character" w:customStyle="1" w:styleId="512">
    <w:name w:val="15"/>
    <w:basedOn w:val="53"/>
    <w:qFormat/>
    <w:uiPriority w:val="0"/>
    <w:rPr>
      <w:rFonts w:hint="default" w:ascii="Times New Roman" w:hAnsi="Times New Roman" w:cs="Times New Roman"/>
    </w:rPr>
  </w:style>
  <w:style w:type="paragraph" w:customStyle="1" w:styleId="513">
    <w:name w:val="样式 26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4">
    <w:name w:val="样式 25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5">
    <w:name w:val="样式 24 10 磅"/>
    <w:qFormat/>
    <w:uiPriority w:val="0"/>
    <w:pPr>
      <w:widowControl w:val="0"/>
      <w:jc w:val="both"/>
    </w:pPr>
    <w:rPr>
      <w:rFonts w:ascii="Calibri" w:hAnsi="Calibri" w:eastAsia="宋体" w:cs="Times New Roman"/>
      <w:kern w:val="2"/>
      <w:sz w:val="21"/>
      <w:szCs w:val="28"/>
      <w:lang w:val="en-US" w:eastAsia="zh-CN" w:bidi="ar-SA"/>
    </w:rPr>
  </w:style>
  <w:style w:type="paragraph" w:customStyle="1" w:styleId="516">
    <w:name w:val="样式 23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7">
    <w:name w:val="样式 22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8">
    <w:name w:val="样式 21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9">
    <w:name w:val="样式 20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0">
    <w:name w:val="样式 19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1">
    <w:name w:val="样式 18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2">
    <w:name w:val="样式 17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3">
    <w:name w:val="样式 16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4">
    <w:name w:val="样式 15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5">
    <w:name w:val="样式 14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6">
    <w:name w:val="样式 13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7">
    <w:name w:val="样式 12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8">
    <w:name w:val="样式 11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9">
    <w:name w:val="样式 10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0">
    <w:name w:val="样式 9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1">
    <w:name w:val="样式 8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2">
    <w:name w:val="样式 7 10 磅"/>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3">
    <w:name w:val="样式 47 10 磅"/>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34">
    <w:name w:val="样式 507 10 磅"/>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35">
    <w:name w:val="样式 46 10 磅"/>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36">
    <w:name w:val="样式 44 10 磅"/>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7">
    <w:name w:val="样式 34 10 磅"/>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9">
    <w:name w:val="正文_103"/>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0">
    <w:name w:val="样式 3 三号"/>
    <w:qFormat/>
    <w:uiPriority w:val="0"/>
    <w:pPr>
      <w:keepNext/>
      <w:keepLines/>
      <w:spacing w:before="340" w:line="259" w:lineRule="auto"/>
    </w:pPr>
    <w:rPr>
      <w:rFonts w:ascii="等线 Light" w:hAnsi="Times New Roman" w:eastAsia="等线 Light" w:cs="Times New Roman"/>
      <w:color w:val="2E74B5"/>
      <w:kern w:val="2"/>
      <w:sz w:val="32"/>
      <w:szCs w:val="32"/>
      <w:lang w:val="en-US" w:eastAsia="zh-CN" w:bidi="ar-SA"/>
    </w:rPr>
  </w:style>
  <w:style w:type="paragraph" w:customStyle="1" w:styleId="541">
    <w:name w:val="正文_23"/>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2">
    <w:name w:val="样式 505 10 磅"/>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3">
    <w:name w:val="正文_90"/>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4">
    <w:name w:val="正文_93"/>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5">
    <w:name w:val="正文_94"/>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6">
    <w:name w:val="正文_32"/>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7">
    <w:name w:val="正文_18"/>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8">
    <w:name w:val="正文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9">
    <w:name w:val="正文_3"/>
    <w:qFormat/>
    <w:uiPriority w:val="0"/>
    <w:pPr>
      <w:widowControl w:val="0"/>
      <w:spacing w:line="360" w:lineRule="auto"/>
      <w:jc w:val="both"/>
    </w:pPr>
    <w:rPr>
      <w:rFonts w:ascii="Times New Roman" w:hAnsi="Times New Roman" w:eastAsia="宋体" w:cs="Times New Roman"/>
      <w:kern w:val="2"/>
      <w:sz w:val="21"/>
      <w:szCs w:val="22"/>
      <w:lang w:val="en-US" w:eastAsia="zh-CN" w:bidi="ar-SA"/>
    </w:rPr>
  </w:style>
  <w:style w:type="paragraph" w:customStyle="1" w:styleId="550">
    <w:name w:val="正文_114"/>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1">
    <w:name w:val="正文_109"/>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2">
    <w:name w:val="正文_130"/>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3">
    <w:name w:val="正文_101"/>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4">
    <w:name w:val="样式 2 三号_17"/>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5">
    <w:name w:val="正文_60"/>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6">
    <w:name w:val="正文_50"/>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7">
    <w:name w:val="正文_66"/>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8">
    <w:name w:val="样式 30 10 磅"/>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9">
    <w:name w:val="样式 35 10 磅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0">
    <w:name w:val="样式 36 10 磅"/>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1">
    <w:name w:val="样式 37 10 磅"/>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2">
    <w:name w:val="样式 39 10 磅"/>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3">
    <w:name w:val="样式 40 10 磅"/>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4">
    <w:name w:val="样式 41 10 磅"/>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566">
    <w:name w:val="样式 38 10 磅"/>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7">
    <w:name w:val="样式 42 10 磅"/>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8">
    <w:name w:val="样式 27 10 磅"/>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9">
    <w:name w:val="样式 28 10 磅"/>
    <w:next w:val="1"/>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5A23E9-189B-426E-A665-2F22E7F23077}">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80</Pages>
  <Words>9502</Words>
  <Characters>10801</Characters>
  <Lines>398</Lines>
  <Paragraphs>112</Paragraphs>
  <TotalTime>3</TotalTime>
  <ScaleCrop>false</ScaleCrop>
  <LinksUpToDate>false</LinksUpToDate>
  <CharactersWithSpaces>11055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2024-10-20T14:05:00Z</dcterms:created>
  <dc:creator>微软用户</dc:creator>
  <cp:lastModifiedBy>中正招标姚工</cp:lastModifiedBy>
  <cp:lastPrinted>2024-10-22T14:07:00Z</cp:lastPrinted>
  <dcterms:modified xsi:type="dcterms:W3CDTF">2024-11-06T04:57:23Z</dcterms:modified>
  <dc:title>招标编号：UHO2010-G0029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5E0454FB1377469E95FCCFADD87F31E0_13</vt:lpwstr>
  </property>
</Properties>
</file>