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D66543">
      <w:pPr>
        <w:jc w:val="center"/>
        <w:rPr>
          <w:rFonts w:hint="default" w:ascii="黑体" w:hAnsi="黑体" w:eastAsia="黑体"/>
          <w:b/>
          <w:sz w:val="32"/>
          <w:szCs w:val="32"/>
          <w:lang w:val="en-US" w:eastAsia="zh-CN"/>
        </w:rPr>
      </w:pPr>
      <w:bookmarkStart w:id="0" w:name="_Toc35393813"/>
      <w:bookmarkStart w:id="1" w:name="_Toc35393814"/>
      <w:bookmarkStart w:id="2" w:name="_Toc28359027"/>
      <w:bookmarkStart w:id="3" w:name="_Toc28359104"/>
      <w:bookmarkStart w:id="4" w:name="_Toc35393645"/>
      <w:r>
        <w:rPr>
          <w:rFonts w:hint="eastAsia" w:ascii="黑体" w:hAnsi="黑体" w:eastAsia="黑体"/>
          <w:b/>
          <w:sz w:val="32"/>
          <w:szCs w:val="32"/>
        </w:rPr>
        <w:t>“深圳国际旅行卫生保健中心（深圳海关口岸门诊部）2024年实验室仪器设备更新”项目全身彩色多普勒超声诊断仪一批采购项目更正公告</w:t>
      </w:r>
      <w:bookmarkEnd w:id="0"/>
      <w:r>
        <w:rPr>
          <w:rFonts w:hint="eastAsia" w:ascii="黑体" w:hAnsi="黑体" w:eastAsia="黑体"/>
          <w:b/>
          <w:sz w:val="32"/>
          <w:szCs w:val="32"/>
          <w:lang w:eastAsia="zh-CN"/>
        </w:rPr>
        <w:t>（</w:t>
      </w:r>
      <w:r>
        <w:rPr>
          <w:rFonts w:hint="eastAsia" w:ascii="黑体" w:hAnsi="黑体" w:eastAsia="黑体"/>
          <w:b/>
          <w:sz w:val="32"/>
          <w:szCs w:val="32"/>
          <w:lang w:val="en-US" w:eastAsia="zh-CN"/>
        </w:rPr>
        <w:t>第四次）</w:t>
      </w:r>
    </w:p>
    <w:p w14:paraId="15F43CCD">
      <w:pPr>
        <w:spacing w:line="360" w:lineRule="auto"/>
        <w:rPr>
          <w:rFonts w:hint="eastAsia" w:asciiTheme="minorEastAsia" w:hAnsiTheme="minorEastAsia" w:eastAsiaTheme="minorEastAsia"/>
          <w:b/>
          <w:szCs w:val="21"/>
        </w:rPr>
      </w:pPr>
    </w:p>
    <w:p w14:paraId="083CE727">
      <w:pPr>
        <w:spacing w:line="360" w:lineRule="auto"/>
        <w:rPr>
          <w:rFonts w:hint="eastAsia" w:asciiTheme="minorEastAsia" w:hAnsiTheme="minorEastAsia" w:eastAsiaTheme="minorEastAsia"/>
          <w:b/>
          <w:szCs w:val="21"/>
        </w:rPr>
      </w:pPr>
    </w:p>
    <w:p w14:paraId="4720F37A">
      <w:pPr>
        <w:spacing w:line="360" w:lineRule="auto"/>
        <w:rPr>
          <w:rFonts w:hint="eastAsia" w:asciiTheme="minorEastAsia" w:hAnsiTheme="minorEastAsia" w:eastAsiaTheme="minorEastAsia"/>
          <w:b/>
          <w:szCs w:val="21"/>
        </w:rPr>
      </w:pPr>
      <w:r>
        <w:rPr>
          <w:rFonts w:hint="eastAsia" w:asciiTheme="minorEastAsia" w:hAnsiTheme="minorEastAsia" w:eastAsiaTheme="minorEastAsia"/>
          <w:b/>
          <w:szCs w:val="21"/>
        </w:rPr>
        <w:t>一、项目基本情况</w:t>
      </w:r>
      <w:bookmarkEnd w:id="1"/>
      <w:bookmarkEnd w:id="2"/>
      <w:bookmarkEnd w:id="3"/>
      <w:bookmarkEnd w:id="4"/>
    </w:p>
    <w:p w14:paraId="5BC9160F">
      <w:pPr>
        <w:spacing w:line="360" w:lineRule="auto"/>
        <w:ind w:firstLine="210" w:firstLineChars="100"/>
        <w:rPr>
          <w:rFonts w:hint="eastAsia" w:ascii="Times New Roman" w:hAnsi="Times New Roman" w:eastAsia="宋体" w:cs="Times New Roman"/>
          <w:szCs w:val="20"/>
        </w:rPr>
      </w:pPr>
      <w:r>
        <w:rPr>
          <w:rFonts w:hint="eastAsia" w:ascii="Times New Roman" w:hAnsi="Times New Roman" w:eastAsia="宋体" w:cs="Times New Roman"/>
          <w:szCs w:val="20"/>
        </w:rPr>
        <w:t>1、原公告的采购项目编号：SZZZ2024-QA0226</w:t>
      </w:r>
    </w:p>
    <w:p w14:paraId="1E93EC20">
      <w:pPr>
        <w:spacing w:line="360" w:lineRule="auto"/>
        <w:ind w:firstLine="210" w:firstLineChars="100"/>
        <w:rPr>
          <w:rFonts w:hint="eastAsia" w:ascii="Times New Roman" w:hAnsi="Times New Roman" w:eastAsia="宋体" w:cs="Times New Roman"/>
          <w:szCs w:val="20"/>
        </w:rPr>
      </w:pPr>
      <w:r>
        <w:rPr>
          <w:rFonts w:hint="eastAsia" w:ascii="Times New Roman" w:hAnsi="Times New Roman" w:eastAsia="宋体" w:cs="Times New Roman"/>
          <w:szCs w:val="20"/>
          <w:lang w:val="en-US" w:eastAsia="zh-CN"/>
        </w:rPr>
        <w:t>2、</w:t>
      </w:r>
      <w:r>
        <w:rPr>
          <w:rFonts w:hint="eastAsia" w:ascii="Times New Roman" w:hAnsi="Times New Roman" w:eastAsia="宋体" w:cs="Times New Roman"/>
          <w:szCs w:val="20"/>
        </w:rPr>
        <w:t>原公告的采购项目名称：“深圳国际旅行卫生保健中心（深圳海关口岸门诊部）2024年实验室仪器设备更新”项目全身彩色多普勒超声诊断仪一批采购项目</w:t>
      </w:r>
    </w:p>
    <w:p w14:paraId="35EA48D7">
      <w:pPr>
        <w:spacing w:line="360" w:lineRule="auto"/>
        <w:ind w:firstLine="210" w:firstLineChars="100"/>
        <w:rPr>
          <w:rFonts w:hint="default" w:ascii="Times New Roman" w:hAnsi="Times New Roman" w:eastAsia="宋体" w:cs="Times New Roman"/>
          <w:szCs w:val="20"/>
          <w:lang w:val="en-US" w:eastAsia="zh-CN"/>
        </w:rPr>
      </w:pPr>
      <w:r>
        <w:rPr>
          <w:rFonts w:hint="eastAsia" w:ascii="Times New Roman" w:hAnsi="Times New Roman" w:eastAsia="宋体" w:cs="Times New Roman"/>
          <w:szCs w:val="20"/>
        </w:rPr>
        <w:t>首次公告日期：</w:t>
      </w:r>
      <w:r>
        <w:rPr>
          <w:rFonts w:hint="eastAsia" w:ascii="Times New Roman" w:hAnsi="Times New Roman" w:eastAsia="宋体" w:cs="Times New Roman"/>
          <w:szCs w:val="20"/>
          <w:lang w:val="en-US" w:eastAsia="zh-CN"/>
        </w:rPr>
        <w:t>2024年10月25日</w:t>
      </w:r>
    </w:p>
    <w:p w14:paraId="4F6AE9C9">
      <w:pPr>
        <w:spacing w:line="360" w:lineRule="auto"/>
        <w:rPr>
          <w:rFonts w:hint="eastAsia" w:asciiTheme="minorEastAsia" w:hAnsiTheme="minorEastAsia" w:eastAsiaTheme="minorEastAsia"/>
          <w:b/>
          <w:szCs w:val="21"/>
        </w:rPr>
      </w:pPr>
      <w:bookmarkStart w:id="5" w:name="_Toc28359105"/>
      <w:bookmarkStart w:id="6" w:name="_Toc35393646"/>
      <w:bookmarkStart w:id="7" w:name="_Toc35393815"/>
      <w:bookmarkStart w:id="8" w:name="_Toc28359028"/>
      <w:r>
        <w:rPr>
          <w:rFonts w:hint="eastAsia" w:asciiTheme="minorEastAsia" w:hAnsiTheme="minorEastAsia" w:eastAsiaTheme="minorEastAsia"/>
          <w:b/>
          <w:szCs w:val="21"/>
        </w:rPr>
        <w:t>二、更正信息</w:t>
      </w:r>
      <w:bookmarkEnd w:id="5"/>
      <w:bookmarkEnd w:id="6"/>
      <w:bookmarkEnd w:id="7"/>
      <w:bookmarkEnd w:id="8"/>
    </w:p>
    <w:p w14:paraId="27B1E712">
      <w:pPr>
        <w:spacing w:line="360" w:lineRule="auto"/>
        <w:ind w:firstLine="210" w:firstLineChars="100"/>
        <w:rPr>
          <w:rFonts w:hint="eastAsia"/>
          <w:szCs w:val="20"/>
        </w:rPr>
      </w:pPr>
      <w:r>
        <w:rPr>
          <w:rFonts w:hint="eastAsia"/>
          <w:szCs w:val="20"/>
          <w:lang w:val="en-US" w:eastAsia="zh-CN"/>
        </w:rPr>
        <w:t>1、</w:t>
      </w:r>
      <w:r>
        <w:rPr>
          <w:rFonts w:hint="eastAsia"/>
          <w:szCs w:val="20"/>
        </w:rPr>
        <w:t>更正事项：</w:t>
      </w:r>
      <w:r>
        <w:rPr>
          <w:rFonts w:hint="eastAsia"/>
          <w:szCs w:val="20"/>
          <w:lang w:eastAsia="zh-CN"/>
        </w:rPr>
        <w:t>☑</w:t>
      </w:r>
      <w:r>
        <w:rPr>
          <w:rFonts w:hint="eastAsia"/>
          <w:szCs w:val="20"/>
        </w:rPr>
        <w:t xml:space="preserve">采购公告 </w:t>
      </w:r>
      <w:r>
        <w:rPr>
          <w:rFonts w:hint="eastAsia"/>
          <w:szCs w:val="20"/>
          <w:lang w:eastAsia="zh-CN"/>
        </w:rPr>
        <w:t>☑</w:t>
      </w:r>
      <w:r>
        <w:rPr>
          <w:rFonts w:hint="eastAsia"/>
          <w:szCs w:val="20"/>
        </w:rPr>
        <w:t xml:space="preserve">采购文件  </w:t>
      </w:r>
    </w:p>
    <w:p w14:paraId="4F112FEF">
      <w:pPr>
        <w:spacing w:line="360" w:lineRule="auto"/>
        <w:ind w:firstLine="210" w:firstLineChars="100"/>
        <w:rPr>
          <w:rFonts w:hint="eastAsia"/>
          <w:szCs w:val="20"/>
        </w:rPr>
      </w:pPr>
      <w:r>
        <w:rPr>
          <w:rFonts w:hint="eastAsia"/>
          <w:szCs w:val="20"/>
          <w:lang w:val="en-US" w:eastAsia="zh-CN"/>
        </w:rPr>
        <w:t>2、</w:t>
      </w:r>
      <w:r>
        <w:rPr>
          <w:rFonts w:hint="eastAsia"/>
          <w:szCs w:val="20"/>
        </w:rPr>
        <w:t xml:space="preserve">更正内容： </w:t>
      </w:r>
    </w:p>
    <w:p w14:paraId="5D7B1B36">
      <w:pPr>
        <w:spacing w:line="360" w:lineRule="auto"/>
        <w:ind w:firstLine="210" w:firstLineChars="100"/>
        <w:rPr>
          <w:rFonts w:hint="eastAsia"/>
          <w:szCs w:val="20"/>
        </w:rPr>
      </w:pPr>
      <w:r>
        <w:rPr>
          <w:rFonts w:hint="eastAsia"/>
          <w:szCs w:val="20"/>
        </w:rPr>
        <w:t>根据采购单位意见，本项目</w:t>
      </w:r>
      <w:r>
        <w:rPr>
          <w:rFonts w:hint="eastAsia"/>
          <w:szCs w:val="20"/>
          <w:lang w:eastAsia="zh-CN"/>
        </w:rPr>
        <w:t>（</w:t>
      </w:r>
      <w:r>
        <w:rPr>
          <w:rFonts w:hint="eastAsia"/>
          <w:szCs w:val="20"/>
          <w:lang w:val="en-US" w:eastAsia="zh-CN"/>
        </w:rPr>
        <w:t>A包）</w:t>
      </w:r>
      <w:r>
        <w:rPr>
          <w:rFonts w:hint="eastAsia"/>
          <w:szCs w:val="20"/>
        </w:rPr>
        <w:t>更正如下：</w:t>
      </w:r>
    </w:p>
    <w:p w14:paraId="7D3515C4">
      <w:pPr>
        <w:widowControl/>
        <w:numPr>
          <w:ilvl w:val="0"/>
          <w:numId w:val="0"/>
        </w:numPr>
        <w:spacing w:line="360" w:lineRule="auto"/>
        <w:rPr>
          <w:rFonts w:hint="eastAsia" w:cs="Times New Roman" w:asciiTheme="minorEastAsia" w:hAnsiTheme="minorEastAsia" w:eastAsiaTheme="minorEastAsia"/>
          <w:b/>
          <w:bCs/>
          <w:szCs w:val="21"/>
          <w:lang w:val="en-US" w:eastAsia="zh-CN"/>
        </w:rPr>
      </w:pPr>
      <w:bookmarkStart w:id="9" w:name="_Toc35393647"/>
      <w:bookmarkStart w:id="10" w:name="_Toc35393816"/>
      <w:r>
        <w:rPr>
          <w:rFonts w:hint="eastAsia" w:cs="Times New Roman" w:asciiTheme="minorEastAsia" w:hAnsiTheme="minorEastAsia" w:eastAsiaTheme="minorEastAsia"/>
          <w:b/>
          <w:bCs/>
          <w:szCs w:val="21"/>
          <w:lang w:eastAsia="zh-CN"/>
        </w:rPr>
        <w:t>（</w:t>
      </w:r>
      <w:r>
        <w:rPr>
          <w:rFonts w:hint="eastAsia" w:cs="Times New Roman" w:asciiTheme="minorEastAsia" w:hAnsiTheme="minorEastAsia" w:eastAsiaTheme="minorEastAsia"/>
          <w:b/>
          <w:bCs/>
          <w:szCs w:val="21"/>
          <w:lang w:val="en-US" w:eastAsia="zh-CN"/>
        </w:rPr>
        <w:t>1）</w:t>
      </w:r>
      <w:r>
        <w:rPr>
          <w:rFonts w:hint="eastAsia" w:cs="Times New Roman" w:asciiTheme="minorEastAsia" w:hAnsiTheme="minorEastAsia" w:eastAsiaTheme="minorEastAsia"/>
          <w:b/>
          <w:bCs/>
          <w:szCs w:val="21"/>
        </w:rPr>
        <w:t>原招标文件内容</w:t>
      </w:r>
      <w:r>
        <w:rPr>
          <w:rFonts w:hint="eastAsia" w:cs="Times New Roman" w:asciiTheme="minorEastAsia" w:hAnsiTheme="minorEastAsia" w:eastAsiaTheme="minorEastAsia"/>
          <w:b/>
          <w:bCs/>
          <w:szCs w:val="21"/>
          <w:lang w:val="en-US" w:eastAsia="zh-CN"/>
        </w:rPr>
        <w:t>中</w:t>
      </w:r>
      <w:r>
        <w:rPr>
          <w:rFonts w:hint="eastAsia" w:cs="Times New Roman" w:asciiTheme="minorEastAsia" w:hAnsiTheme="minorEastAsia" w:eastAsiaTheme="minorEastAsia"/>
          <w:b/>
          <w:bCs/>
          <w:szCs w:val="21"/>
        </w:rPr>
        <w:t>第二章 项目需求/二、技术要求/</w:t>
      </w:r>
      <w:r>
        <w:rPr>
          <w:rFonts w:hint="eastAsia" w:cs="Times New Roman" w:asciiTheme="minorEastAsia" w:hAnsiTheme="minorEastAsia" w:eastAsiaTheme="minorEastAsia"/>
          <w:b/>
          <w:bCs/>
          <w:szCs w:val="21"/>
          <w:lang w:eastAsia="zh-CN"/>
        </w:rPr>
        <w:t>“</w:t>
      </w:r>
      <w:r>
        <w:rPr>
          <w:rFonts w:hint="eastAsia" w:cs="Times New Roman" w:asciiTheme="minorEastAsia" w:hAnsiTheme="minorEastAsia" w:eastAsiaTheme="minorEastAsia"/>
          <w:b/>
          <w:bCs/>
          <w:szCs w:val="21"/>
          <w:lang w:val="en-US" w:eastAsia="zh-CN"/>
        </w:rPr>
        <w:t>2、</w:t>
      </w:r>
      <w:r>
        <w:rPr>
          <w:rFonts w:hint="eastAsia" w:asciiTheme="minorEastAsia" w:hAnsiTheme="minorEastAsia" w:eastAsiaTheme="minorEastAsia" w:cstheme="minorEastAsia"/>
          <w:b/>
          <w:bCs/>
          <w:szCs w:val="21"/>
        </w:rPr>
        <w:t>主要技术参数</w:t>
      </w:r>
      <w:r>
        <w:rPr>
          <w:rFonts w:hint="eastAsia" w:cs="Times New Roman" w:asciiTheme="minorEastAsia" w:hAnsiTheme="minorEastAsia" w:eastAsiaTheme="minorEastAsia"/>
          <w:b/>
          <w:bCs/>
          <w:szCs w:val="21"/>
          <w:lang w:eastAsia="zh-CN"/>
        </w:rPr>
        <w:t>”</w:t>
      </w:r>
      <w:r>
        <w:rPr>
          <w:rFonts w:hint="eastAsia" w:cs="Times New Roman" w:asciiTheme="minorEastAsia" w:hAnsiTheme="minorEastAsia" w:eastAsiaTheme="minorEastAsia"/>
          <w:b/>
          <w:bCs/>
          <w:szCs w:val="21"/>
          <w:lang w:val="en-US" w:eastAsia="zh-CN"/>
        </w:rPr>
        <w:t>现修改为：</w:t>
      </w:r>
    </w:p>
    <w:p w14:paraId="3C5FE308">
      <w:pPr>
        <w:widowControl/>
        <w:numPr>
          <w:ilvl w:val="0"/>
          <w:numId w:val="0"/>
        </w:numPr>
        <w:spacing w:line="360" w:lineRule="auto"/>
        <w:rPr>
          <w:rFonts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szCs w:val="21"/>
          <w:lang w:val="en-US" w:eastAsia="zh-CN"/>
        </w:rPr>
        <w:t>2、</w:t>
      </w:r>
      <w:r>
        <w:rPr>
          <w:rFonts w:hint="eastAsia" w:asciiTheme="minorEastAsia" w:hAnsiTheme="minorEastAsia" w:eastAsiaTheme="minorEastAsia" w:cstheme="minorEastAsia"/>
          <w:b w:val="0"/>
          <w:bCs w:val="0"/>
          <w:szCs w:val="21"/>
        </w:rPr>
        <w:t>主要技术参数：</w:t>
      </w:r>
    </w:p>
    <w:p w14:paraId="5B7D7C63">
      <w:pPr>
        <w:widowControl/>
        <w:spacing w:line="360" w:lineRule="auto"/>
        <w:rPr>
          <w:rFonts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szCs w:val="21"/>
        </w:rPr>
        <w:t>2.1</w:t>
      </w:r>
      <w:r>
        <w:rPr>
          <w:rFonts w:hint="eastAsia" w:asciiTheme="minorEastAsia" w:hAnsiTheme="minorEastAsia" w:eastAsiaTheme="minorEastAsia" w:cstheme="minorEastAsia"/>
          <w:b w:val="0"/>
          <w:bCs w:val="0"/>
          <w:szCs w:val="21"/>
        </w:rPr>
        <w:tab/>
      </w:r>
      <w:r>
        <w:rPr>
          <w:rFonts w:hint="eastAsia" w:asciiTheme="minorEastAsia" w:hAnsiTheme="minorEastAsia" w:eastAsiaTheme="minorEastAsia" w:cstheme="minorEastAsia"/>
          <w:b w:val="0"/>
          <w:bCs w:val="0"/>
          <w:szCs w:val="21"/>
        </w:rPr>
        <w:t>主机成像系统性能概括</w:t>
      </w:r>
    </w:p>
    <w:p w14:paraId="40CFB197">
      <w:pPr>
        <w:widowControl/>
        <w:spacing w:line="360" w:lineRule="auto"/>
        <w:rPr>
          <w:rFonts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szCs w:val="21"/>
        </w:rPr>
        <w:t>2.1.1 高分辨率液晶显示器≥20英寸（提供《医疗器械产品注册证》附件《产品技术要求》关键页或产品彩页或技术白皮书作为证明材料并加盖厂家公章），可上下左右任意旋转。</w:t>
      </w:r>
    </w:p>
    <w:p w14:paraId="5ECFFEC4">
      <w:pPr>
        <w:widowControl/>
        <w:spacing w:line="360" w:lineRule="auto"/>
        <w:rPr>
          <w:rFonts w:asciiTheme="minorEastAsia" w:hAnsiTheme="minorEastAsia" w:eastAsiaTheme="minorEastAsia" w:cstheme="minorEastAsia"/>
          <w:b w:val="0"/>
          <w:bCs w:val="0"/>
          <w:szCs w:val="21"/>
        </w:rPr>
      </w:pPr>
      <w:bookmarkStart w:id="11" w:name="OLE_LINK1"/>
      <w:r>
        <w:rPr>
          <w:rFonts w:hint="eastAsia" w:asciiTheme="minorEastAsia" w:hAnsiTheme="minorEastAsia" w:eastAsiaTheme="minorEastAsia" w:cstheme="minorEastAsia"/>
          <w:b w:val="0"/>
          <w:bCs w:val="0"/>
          <w:szCs w:val="21"/>
        </w:rPr>
        <w:t>▲</w:t>
      </w:r>
      <w:bookmarkEnd w:id="11"/>
      <w:r>
        <w:rPr>
          <w:rFonts w:hint="eastAsia" w:asciiTheme="minorEastAsia" w:hAnsiTheme="minorEastAsia" w:eastAsiaTheme="minorEastAsia" w:cstheme="minorEastAsia"/>
          <w:b w:val="0"/>
          <w:bCs w:val="0"/>
          <w:szCs w:val="21"/>
        </w:rPr>
        <w:t>2.1.2</w:t>
      </w:r>
      <w:r>
        <w:rPr>
          <w:rFonts w:hint="eastAsia" w:asciiTheme="minorEastAsia" w:hAnsiTheme="minorEastAsia" w:eastAsiaTheme="minorEastAsia" w:cstheme="minorEastAsia"/>
          <w:b w:val="0"/>
          <w:bCs w:val="0"/>
          <w:szCs w:val="21"/>
        </w:rPr>
        <w:tab/>
      </w:r>
      <w:r>
        <w:rPr>
          <w:rFonts w:hint="eastAsia" w:asciiTheme="minorEastAsia" w:hAnsiTheme="minorEastAsia" w:eastAsiaTheme="minorEastAsia" w:cstheme="minorEastAsia"/>
          <w:b w:val="0"/>
          <w:bCs w:val="0"/>
          <w:szCs w:val="21"/>
        </w:rPr>
        <w:t>操作面板具备液晶触摸屏：≥12英寸，可备有抽拉式键盘。触摸屏可以与主显示器实时同步显示动态图像（提供《医疗器械产品注册证》附件《产品技术要求》关键页或产品彩页或技术白皮书作为证明材料并加盖厂家公章）。</w:t>
      </w:r>
    </w:p>
    <w:p w14:paraId="6755F355">
      <w:pPr>
        <w:widowControl/>
        <w:spacing w:line="360" w:lineRule="auto"/>
        <w:rPr>
          <w:rFonts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szCs w:val="21"/>
        </w:rPr>
        <w:t>2.1.3触摸屏可支持数字TGC功能，滑动调节时间增益曲线，并可保存为常用预设置。</w:t>
      </w:r>
    </w:p>
    <w:p w14:paraId="3806CD88">
      <w:pPr>
        <w:widowControl/>
        <w:spacing w:line="360" w:lineRule="auto"/>
        <w:rPr>
          <w:rFonts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szCs w:val="21"/>
        </w:rPr>
        <w:t>▲2.1.4 操作面板支持电动调节高度、前后左右位置及旋转，最大旋转角度&gt;540 度，可满足不同体位检查的需要（提供《医疗器械产品注册证》附件《产品技术要求》关键页或产品彩页或技术白皮书作为证明材料并加盖厂家公章）。</w:t>
      </w:r>
    </w:p>
    <w:p w14:paraId="41412A79">
      <w:pPr>
        <w:widowControl/>
        <w:spacing w:line="360" w:lineRule="auto"/>
        <w:rPr>
          <w:rFonts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szCs w:val="21"/>
        </w:rPr>
        <w:t>2.1.5原始数据储存，可对回放的常规图像进行多种参数调节。</w:t>
      </w:r>
    </w:p>
    <w:p w14:paraId="252BF67C">
      <w:pPr>
        <w:widowControl/>
        <w:spacing w:line="360" w:lineRule="auto"/>
        <w:rPr>
          <w:rFonts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szCs w:val="21"/>
        </w:rPr>
        <w:t>2.1.6具有智能全域聚焦技术，图像区域无聚焦点或聚焦带。具有智能像素优化技术：提高图像整体空间分辨率、对比分辨率和信噪比。</w:t>
      </w:r>
    </w:p>
    <w:p w14:paraId="781920BB">
      <w:pPr>
        <w:widowControl/>
        <w:spacing w:line="360" w:lineRule="auto"/>
        <w:rPr>
          <w:rFonts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szCs w:val="21"/>
        </w:rPr>
        <w:t>2.1.7具有数字化二维灰阶成像及 M 型显像单元；具有M 型及解剖 M 型技术。</w:t>
      </w:r>
    </w:p>
    <w:p w14:paraId="6B55DC27">
      <w:pPr>
        <w:widowControl/>
        <w:spacing w:line="360" w:lineRule="auto"/>
        <w:rPr>
          <w:rFonts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szCs w:val="21"/>
        </w:rPr>
        <w:t>2.1.8具有脉冲反向谐波成像技术。具有彩色多普勒成像技术。具有彩色多普勒能量图、方向性能量图技术。</w:t>
      </w:r>
    </w:p>
    <w:p w14:paraId="67FFD583">
      <w:pPr>
        <w:widowControl/>
        <w:spacing w:line="360" w:lineRule="auto"/>
        <w:rPr>
          <w:rFonts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szCs w:val="21"/>
        </w:rPr>
        <w:t>2.1.9具有实时动态频谱多普勒显示及多参数分析系统。具有组织多普勒成像技术。具有实时双同步/三同步功能。</w:t>
      </w:r>
    </w:p>
    <w:p w14:paraId="54959CFF">
      <w:pPr>
        <w:widowControl/>
        <w:spacing w:line="360" w:lineRule="auto"/>
        <w:rPr>
          <w:rFonts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szCs w:val="21"/>
        </w:rPr>
        <w:t>2.1.10具有预设条件：针对不同的检查脏器，预置最佳化图像的检查条件，减少操作时的调节，及常用所需的外部调节及组合调节。每个探头可提供预设置≥20 个。</w:t>
      </w:r>
    </w:p>
    <w:p w14:paraId="735EFDBF">
      <w:pPr>
        <w:widowControl/>
        <w:spacing w:line="360" w:lineRule="auto"/>
        <w:rPr>
          <w:rFonts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szCs w:val="21"/>
        </w:rPr>
        <w:t>2.2</w:t>
      </w:r>
      <w:r>
        <w:rPr>
          <w:rFonts w:hint="eastAsia" w:asciiTheme="minorEastAsia" w:hAnsiTheme="minorEastAsia" w:eastAsiaTheme="minorEastAsia" w:cstheme="minorEastAsia"/>
          <w:b w:val="0"/>
          <w:bCs w:val="0"/>
          <w:szCs w:val="21"/>
        </w:rPr>
        <w:tab/>
      </w:r>
      <w:r>
        <w:rPr>
          <w:rFonts w:hint="eastAsia" w:asciiTheme="minorEastAsia" w:hAnsiTheme="minorEastAsia" w:eastAsiaTheme="minorEastAsia" w:cstheme="minorEastAsia"/>
          <w:b w:val="0"/>
          <w:bCs w:val="0"/>
          <w:szCs w:val="21"/>
        </w:rPr>
        <w:t>二维灰阶成像单元</w:t>
      </w:r>
    </w:p>
    <w:p w14:paraId="184C7A3D">
      <w:pPr>
        <w:widowControl/>
        <w:spacing w:line="360" w:lineRule="auto"/>
        <w:rPr>
          <w:rFonts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szCs w:val="21"/>
        </w:rPr>
        <w:t>2.2.1所有探头均为宽频、变频探头，基波频率、基波的具体数值可在屏幕上显示。</w:t>
      </w:r>
    </w:p>
    <w:p w14:paraId="252EEAC0">
      <w:pPr>
        <w:widowControl/>
        <w:spacing w:line="360" w:lineRule="auto"/>
        <w:rPr>
          <w:rFonts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szCs w:val="21"/>
        </w:rPr>
        <w:t>2.2.2具有斑点噪声抑制技术：支持所有二维探头，多级可调。具有实时空间复合成像技术；支持所有凸阵、线阵探头。组织声束矫正技术适用于所有凸阵及线阵探头。</w:t>
      </w:r>
    </w:p>
    <w:p w14:paraId="295F642D">
      <w:pPr>
        <w:widowControl/>
        <w:spacing w:line="360" w:lineRule="auto"/>
        <w:rPr>
          <w:rFonts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szCs w:val="21"/>
        </w:rPr>
        <w:t>2.2.3扫描速率: 相控阵，帧速率≥100 帧/秒；线阵，帧速率≥63 帧/秒。</w:t>
      </w:r>
    </w:p>
    <w:p w14:paraId="3F25E5C0">
      <w:pPr>
        <w:widowControl/>
        <w:spacing w:line="360" w:lineRule="auto"/>
        <w:rPr>
          <w:rFonts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szCs w:val="21"/>
        </w:rPr>
        <w:t>2.2.4具有高级心肌增强功能，使用自适应算法抑制组织杂波，减少噪声及超声伪像；增加心肌和其他心脏结构信号。具备专业心超工作者定制界面，支持 2D、3D 功能选件位置个性化选择，提高心超医生易用性。</w:t>
      </w:r>
    </w:p>
    <w:p w14:paraId="4B22060A">
      <w:pPr>
        <w:widowControl/>
        <w:spacing w:line="360" w:lineRule="auto"/>
        <w:rPr>
          <w:rFonts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szCs w:val="21"/>
        </w:rPr>
        <w:t>2.2.5分辨率和帧频可视可调，且支持凸阵、线阵、相控阵、矩阵实时三维探头。自动实时持续增益补偿。具备双幅对比显示，可自动识别收缩期及舒张期，便捷Simpson测量。</w:t>
      </w:r>
    </w:p>
    <w:p w14:paraId="709A11BD">
      <w:pPr>
        <w:widowControl/>
        <w:spacing w:line="360" w:lineRule="auto"/>
        <w:rPr>
          <w:rFonts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szCs w:val="21"/>
        </w:rPr>
        <w:t>2.3</w:t>
      </w:r>
      <w:r>
        <w:rPr>
          <w:rFonts w:hint="eastAsia" w:asciiTheme="minorEastAsia" w:hAnsiTheme="minorEastAsia" w:eastAsiaTheme="minorEastAsia" w:cstheme="minorEastAsia"/>
          <w:b w:val="0"/>
          <w:bCs w:val="0"/>
          <w:szCs w:val="21"/>
        </w:rPr>
        <w:tab/>
      </w:r>
      <w:r>
        <w:rPr>
          <w:rFonts w:hint="eastAsia" w:asciiTheme="minorEastAsia" w:hAnsiTheme="minorEastAsia" w:eastAsiaTheme="minorEastAsia" w:cstheme="minorEastAsia"/>
          <w:b w:val="0"/>
          <w:bCs w:val="0"/>
          <w:szCs w:val="21"/>
        </w:rPr>
        <w:t>先进成像技术</w:t>
      </w:r>
    </w:p>
    <w:p w14:paraId="0FC3E3BB">
      <w:pPr>
        <w:widowControl/>
        <w:spacing w:line="360" w:lineRule="auto"/>
        <w:rPr>
          <w:rFonts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szCs w:val="21"/>
        </w:rPr>
        <w:t>▲2.3.1</w:t>
      </w:r>
      <w:r>
        <w:rPr>
          <w:rFonts w:hint="eastAsia" w:asciiTheme="minorEastAsia" w:hAnsiTheme="minorEastAsia" w:eastAsiaTheme="minorEastAsia" w:cstheme="minorEastAsia"/>
          <w:b w:val="0"/>
          <w:bCs w:val="0"/>
          <w:szCs w:val="21"/>
        </w:rPr>
        <w:tab/>
      </w:r>
      <w:r>
        <w:rPr>
          <w:rFonts w:hint="eastAsia" w:asciiTheme="minorEastAsia" w:hAnsiTheme="minorEastAsia" w:eastAsiaTheme="minorEastAsia" w:cstheme="minorEastAsia"/>
          <w:b w:val="0"/>
          <w:bCs w:val="0"/>
          <w:szCs w:val="21"/>
        </w:rPr>
        <w:t>具有单晶体探头技术，支持成人经胸电子矩阵实时三维探头、腹部凸阵探头、腹部微凸阵探头、腔内微凸阵探头、线阵探头、成人相控阵探头等（提供《医疗器械产品注册证》附件《产品技术要求》关键页或产品彩页或技术白皮书作为证明材料并加盖厂家公章）。</w:t>
      </w:r>
    </w:p>
    <w:p w14:paraId="3A92948D">
      <w:pPr>
        <w:widowControl/>
        <w:spacing w:line="360" w:lineRule="auto"/>
        <w:rPr>
          <w:rFonts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szCs w:val="21"/>
        </w:rPr>
        <w:t>2.3.2具有二维彩色模式、实时三维彩色模式、能量图模式、微视血流成像模式、彩色 M 型模式、组织多普勒模式等多种成像模式。具备脉冲反相谐波技术；可显示谐波频率和基波频率。</w:t>
      </w:r>
    </w:p>
    <w:p w14:paraId="441B1A4F">
      <w:pPr>
        <w:widowControl/>
        <w:spacing w:line="360" w:lineRule="auto"/>
        <w:rPr>
          <w:rFonts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szCs w:val="21"/>
        </w:rPr>
        <w:t>2.3.3提供 PW、CW、High PRF 模式，高性能三同步成像。</w:t>
      </w:r>
    </w:p>
    <w:p w14:paraId="20A4B820">
      <w:pPr>
        <w:widowControl/>
        <w:spacing w:line="360" w:lineRule="auto"/>
        <w:rPr>
          <w:rFonts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szCs w:val="21"/>
        </w:rPr>
        <w:t>2.3.4扩展成像技术：凸阵、线阵探头具备扩展成像技术，可与空间复合成像，斑点噪声抑制技术联合使用。具备自适应核磁像素优化技术。</w:t>
      </w:r>
    </w:p>
    <w:p w14:paraId="01A9453E">
      <w:pPr>
        <w:widowControl/>
        <w:spacing w:line="360" w:lineRule="auto"/>
        <w:rPr>
          <w:rFonts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szCs w:val="21"/>
        </w:rPr>
        <w:t>2.3.5智能多普勒技术：具有频谱自动分析系统，包括实时自动包络、手动包络等；自动计算各血流动力学参数，参数可根据客户需要进行选择。</w:t>
      </w:r>
    </w:p>
    <w:p w14:paraId="2D3BE556">
      <w:pPr>
        <w:widowControl/>
        <w:spacing w:line="360" w:lineRule="auto"/>
        <w:rPr>
          <w:rFonts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szCs w:val="21"/>
        </w:rPr>
        <w:t>▲2.3.6提供基于组织多普勒的定量分析，可同时显示 32个亚节段的心肌速度曲线、位移曲线、应变及应变率曲线，可用于整体及节段功能评价(提供《医疗器械产品注册证》附件《产品技术要求》关键页或产品彩页或技术白皮书作为证明材料并加盖厂家公章)。</w:t>
      </w:r>
    </w:p>
    <w:p w14:paraId="4A84C73D">
      <w:pPr>
        <w:widowControl/>
        <w:spacing w:line="360" w:lineRule="auto"/>
        <w:rPr>
          <w:rFonts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szCs w:val="21"/>
        </w:rPr>
        <w:t>2.4</w:t>
      </w:r>
      <w:r>
        <w:rPr>
          <w:rFonts w:hint="eastAsia" w:asciiTheme="minorEastAsia" w:hAnsiTheme="minorEastAsia" w:eastAsiaTheme="minorEastAsia" w:cstheme="minorEastAsia"/>
          <w:b w:val="0"/>
          <w:bCs w:val="0"/>
          <w:szCs w:val="21"/>
        </w:rPr>
        <w:tab/>
      </w:r>
      <w:r>
        <w:rPr>
          <w:rFonts w:hint="eastAsia" w:asciiTheme="minorEastAsia" w:hAnsiTheme="minorEastAsia" w:eastAsiaTheme="minorEastAsia" w:cstheme="minorEastAsia"/>
          <w:b w:val="0"/>
          <w:bCs w:val="0"/>
          <w:szCs w:val="21"/>
        </w:rPr>
        <w:t>剪切波弹性成像技术</w:t>
      </w:r>
    </w:p>
    <w:p w14:paraId="2B075934">
      <w:pPr>
        <w:widowControl/>
        <w:spacing w:line="360" w:lineRule="auto"/>
        <w:rPr>
          <w:rFonts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szCs w:val="21"/>
        </w:rPr>
        <w:t>2.4.1应变式弹性成像，指导医生操作。可支持凸阵、线阵、腔内探头等，拓展临床应用。</w:t>
      </w:r>
    </w:p>
    <w:p w14:paraId="46781362">
      <w:pPr>
        <w:widowControl/>
        <w:spacing w:line="360" w:lineRule="auto"/>
        <w:rPr>
          <w:rFonts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szCs w:val="21"/>
        </w:rPr>
        <w:t>2.4.2实时软组织弹性成像技术，无需人工加压，具有灰阶，反转及彩色多普勒多种显像方式。具备囊实性结构鉴别弹性成像技术。</w:t>
      </w:r>
    </w:p>
    <w:p w14:paraId="25FF6CA8">
      <w:pPr>
        <w:widowControl/>
        <w:spacing w:line="360" w:lineRule="auto"/>
        <w:rPr>
          <w:rFonts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szCs w:val="21"/>
        </w:rPr>
        <w:t>2.4.3针对困难病人可有技术提高困难病人检查成功机率。</w:t>
      </w:r>
    </w:p>
    <w:p w14:paraId="1B0EFB6B">
      <w:pPr>
        <w:widowControl/>
        <w:spacing w:line="360" w:lineRule="auto"/>
        <w:rPr>
          <w:rFonts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szCs w:val="21"/>
        </w:rPr>
        <w:t>▲2.4.4</w:t>
      </w:r>
      <w:r>
        <w:rPr>
          <w:rFonts w:hint="eastAsia" w:asciiTheme="minorEastAsia" w:hAnsiTheme="minorEastAsia" w:eastAsiaTheme="minorEastAsia" w:cstheme="minorEastAsia"/>
          <w:b w:val="0"/>
          <w:bCs w:val="0"/>
          <w:szCs w:val="21"/>
        </w:rPr>
        <w:tab/>
      </w:r>
      <w:r>
        <w:rPr>
          <w:rFonts w:hint="eastAsia" w:asciiTheme="minorEastAsia" w:hAnsiTheme="minorEastAsia" w:eastAsiaTheme="minorEastAsia" w:cstheme="minorEastAsia"/>
          <w:b w:val="0"/>
          <w:bCs w:val="0"/>
          <w:szCs w:val="21"/>
        </w:rPr>
        <w:t>具有在机实时弹性定量分析技术，可对弹性图像进行直径面积对比分析、动态弹性应变分析、动态弹性参数成像（提供《医疗器械产品注册证》附件《产品技术要求》关键页或产品彩页或技术白皮书作为证明材料并加盖厂家公章）。</w:t>
      </w:r>
    </w:p>
    <w:p w14:paraId="1F5DCB24">
      <w:pPr>
        <w:widowControl/>
        <w:spacing w:line="360" w:lineRule="auto"/>
        <w:rPr>
          <w:rFonts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szCs w:val="21"/>
        </w:rPr>
        <w:t>2.5</w:t>
      </w:r>
      <w:r>
        <w:rPr>
          <w:rFonts w:hint="eastAsia" w:asciiTheme="minorEastAsia" w:hAnsiTheme="minorEastAsia" w:eastAsiaTheme="minorEastAsia" w:cstheme="minorEastAsia"/>
          <w:b w:val="0"/>
          <w:bCs w:val="0"/>
          <w:szCs w:val="21"/>
        </w:rPr>
        <w:tab/>
      </w:r>
      <w:r>
        <w:rPr>
          <w:rFonts w:hint="eastAsia" w:asciiTheme="minorEastAsia" w:hAnsiTheme="minorEastAsia" w:eastAsiaTheme="minorEastAsia" w:cstheme="minorEastAsia"/>
          <w:b w:val="0"/>
          <w:bCs w:val="0"/>
          <w:szCs w:val="21"/>
        </w:rPr>
        <w:t>造影成像技术</w:t>
      </w:r>
    </w:p>
    <w:p w14:paraId="7369DA5A">
      <w:pPr>
        <w:widowControl/>
        <w:spacing w:line="360" w:lineRule="auto"/>
        <w:rPr>
          <w:rFonts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szCs w:val="21"/>
        </w:rPr>
        <w:t>2.5.1造影技术支持凸阵、线阵、腔内探头、相控阵,可满足临床对腹部、妇产、浅表、乳腺、血管、心室腔、腔内的前列腺、经阴道妇科的需求。可与复合成像技术、像素优化技术结合使用。</w:t>
      </w:r>
    </w:p>
    <w:p w14:paraId="7473D5EC">
      <w:pPr>
        <w:widowControl/>
        <w:spacing w:line="360" w:lineRule="auto"/>
        <w:rPr>
          <w:rFonts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szCs w:val="21"/>
        </w:rPr>
        <w:t>2.5.2 造影剂二次谐波成像单元,包含低MI实时灌注成像和高MI造影成像，采用脉冲反相谐波技术、能量调制技术以及多脉冲序列谐波造影技术。在机造影时间强度曲线定量分析。</w:t>
      </w:r>
    </w:p>
    <w:p w14:paraId="31ED12D9">
      <w:pPr>
        <w:widowControl/>
        <w:spacing w:line="360" w:lineRule="auto"/>
        <w:rPr>
          <w:rFonts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szCs w:val="21"/>
        </w:rPr>
        <w:t>2.6</w:t>
      </w:r>
      <w:r>
        <w:rPr>
          <w:rFonts w:hint="eastAsia" w:asciiTheme="minorEastAsia" w:hAnsiTheme="minorEastAsia" w:eastAsiaTheme="minorEastAsia" w:cstheme="minorEastAsia"/>
          <w:b w:val="0"/>
          <w:bCs w:val="0"/>
          <w:szCs w:val="21"/>
        </w:rPr>
        <w:tab/>
      </w:r>
      <w:r>
        <w:rPr>
          <w:rFonts w:hint="eastAsia" w:asciiTheme="minorEastAsia" w:hAnsiTheme="minorEastAsia" w:eastAsiaTheme="minorEastAsia" w:cstheme="minorEastAsia"/>
          <w:b w:val="0"/>
          <w:bCs w:val="0"/>
          <w:szCs w:val="21"/>
        </w:rPr>
        <w:t>定量分析技术。</w:t>
      </w:r>
    </w:p>
    <w:p w14:paraId="1F803C65">
      <w:pPr>
        <w:widowControl/>
        <w:spacing w:line="360" w:lineRule="auto"/>
        <w:rPr>
          <w:rFonts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szCs w:val="21"/>
        </w:rPr>
        <w:t>2.6.1专业心脏功能测量与分析，可支持 Simpson 三点法快速描记心内膜，加快工作流程。</w:t>
      </w:r>
    </w:p>
    <w:p w14:paraId="7A0D1ACB">
      <w:pPr>
        <w:widowControl/>
        <w:spacing w:line="360" w:lineRule="auto"/>
        <w:rPr>
          <w:rFonts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szCs w:val="21"/>
        </w:rPr>
        <w:t>2.6.2具有自动、实时多普勒频谱波形分析，在实时或者冻结模式下都可以使用的功能。</w:t>
      </w:r>
    </w:p>
    <w:p w14:paraId="32287419">
      <w:pPr>
        <w:widowControl/>
        <w:spacing w:line="360" w:lineRule="auto"/>
        <w:rPr>
          <w:rFonts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szCs w:val="21"/>
        </w:rPr>
        <w:t>2.6.3≥10个用户自定义的感兴趣定量区域。</w:t>
      </w:r>
    </w:p>
    <w:p w14:paraId="2F769165">
      <w:pPr>
        <w:widowControl/>
        <w:spacing w:line="360" w:lineRule="auto"/>
        <w:rPr>
          <w:rFonts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szCs w:val="21"/>
        </w:rPr>
        <w:t>2.6.4自动标记 ECG 触发，以实现特定心动周期时相的定量分析。</w:t>
      </w:r>
    </w:p>
    <w:p w14:paraId="1C8F1B51">
      <w:pPr>
        <w:widowControl/>
        <w:spacing w:line="360" w:lineRule="auto"/>
        <w:rPr>
          <w:rFonts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szCs w:val="21"/>
        </w:rPr>
        <w:t>2.6.5生成时间－密度曲线，支持多种曲线拟合模式。</w:t>
      </w:r>
    </w:p>
    <w:p w14:paraId="6BFB50E7">
      <w:pPr>
        <w:widowControl/>
        <w:spacing w:line="360" w:lineRule="auto"/>
        <w:rPr>
          <w:rFonts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szCs w:val="21"/>
        </w:rPr>
        <w:t>2.6.6分析结果包括每一帧图像的dB数值、密度或速度/频率、达峰时间、“A”值，曲线下面积和峰值密度。</w:t>
      </w:r>
    </w:p>
    <w:p w14:paraId="2E463530">
      <w:pPr>
        <w:widowControl/>
        <w:spacing w:line="360" w:lineRule="auto"/>
        <w:rPr>
          <w:rFonts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szCs w:val="21"/>
        </w:rPr>
        <w:t>2.6.7可显示组织速度、位移、应变、应变率等多种参数曲线，并支持曲线测量对比分析。</w:t>
      </w:r>
    </w:p>
    <w:p w14:paraId="0926A5E0">
      <w:pPr>
        <w:widowControl/>
        <w:spacing w:line="360" w:lineRule="auto"/>
        <w:rPr>
          <w:rFonts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szCs w:val="21"/>
        </w:rPr>
        <w:t>2.6.8自动二维左心功能定量依据选择的心脏切面自动描记感兴趣区，自动计算 EF，ESV，EDV，最大体积，最小体积以及 LVEF、PER、PRFR、AFF。</w:t>
      </w:r>
    </w:p>
    <w:p w14:paraId="4E48D3D5">
      <w:pPr>
        <w:widowControl/>
        <w:spacing w:line="360" w:lineRule="auto"/>
        <w:rPr>
          <w:rFonts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szCs w:val="21"/>
        </w:rPr>
        <w:t>2.6.9心脏自动应变定量技术：智能化自动应变分析模块。</w:t>
      </w:r>
    </w:p>
    <w:p w14:paraId="6C00F5E5">
      <w:pPr>
        <w:widowControl/>
        <w:spacing w:line="360" w:lineRule="auto"/>
        <w:rPr>
          <w:rFonts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szCs w:val="21"/>
        </w:rPr>
        <w:t>2.6.10连接ECG和未连接ECG信号的超声图像均可在机分析。</w:t>
      </w:r>
    </w:p>
    <w:p w14:paraId="5DF15E23">
      <w:pPr>
        <w:widowControl/>
        <w:spacing w:line="360" w:lineRule="auto"/>
        <w:rPr>
          <w:rFonts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szCs w:val="21"/>
        </w:rPr>
        <w:t>2.6.11全自动识别左心室切面并追踪，快速获得左心室整体应变值、左心室长径值、左心室 18 节段应变牛眼图和达峰时间牛眼图。</w:t>
      </w:r>
    </w:p>
    <w:p w14:paraId="1442F765">
      <w:pPr>
        <w:widowControl/>
        <w:spacing w:line="360" w:lineRule="auto"/>
        <w:rPr>
          <w:rFonts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szCs w:val="21"/>
        </w:rPr>
        <w:t>2.6.12全自动识别追踪左心房切面，快速获取左心房储备功能、管道功能、收缩功能应变值及曲线，并同时提供 ED、PreA 两种参考时间点左心房应变值</w:t>
      </w:r>
    </w:p>
    <w:p w14:paraId="44669E8E">
      <w:pPr>
        <w:widowControl/>
        <w:spacing w:line="360" w:lineRule="auto"/>
        <w:rPr>
          <w:rFonts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szCs w:val="21"/>
        </w:rPr>
        <w:t>2.6.13全自动识别追踪右心室切面，快速获取右心室四腔和游离壁整体应变值，同时得到右心室游离壁三个节段应变曲线。</w:t>
      </w:r>
    </w:p>
    <w:p w14:paraId="25975F40">
      <w:pPr>
        <w:widowControl/>
        <w:spacing w:line="360" w:lineRule="auto"/>
        <w:rPr>
          <w:rFonts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szCs w:val="21"/>
        </w:rPr>
        <w:t>2.6.14支持心肌组织多普勒定量分析：能显示组织速度曲线就组织运动的同步性、舒张功能、收缩功能等进行多参数研究。</w:t>
      </w:r>
    </w:p>
    <w:p w14:paraId="6483B1C2">
      <w:pPr>
        <w:widowControl/>
        <w:spacing w:line="360" w:lineRule="auto"/>
        <w:rPr>
          <w:rFonts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szCs w:val="21"/>
        </w:rPr>
        <w:t>2.7</w:t>
      </w:r>
      <w:r>
        <w:rPr>
          <w:rFonts w:hint="eastAsia" w:asciiTheme="minorEastAsia" w:hAnsiTheme="minorEastAsia" w:eastAsiaTheme="minorEastAsia" w:cstheme="minorEastAsia"/>
          <w:b w:val="0"/>
          <w:bCs w:val="0"/>
          <w:szCs w:val="21"/>
        </w:rPr>
        <w:tab/>
      </w:r>
      <w:r>
        <w:rPr>
          <w:rFonts w:hint="eastAsia" w:asciiTheme="minorEastAsia" w:hAnsiTheme="minorEastAsia" w:eastAsiaTheme="minorEastAsia" w:cstheme="minorEastAsia"/>
          <w:b w:val="0"/>
          <w:bCs w:val="0"/>
          <w:szCs w:val="21"/>
        </w:rPr>
        <w:t>测量和分析（B型、M型、频谱多普勒、彩色模式）</w:t>
      </w:r>
    </w:p>
    <w:p w14:paraId="3C5AB037">
      <w:pPr>
        <w:widowControl/>
        <w:spacing w:line="360" w:lineRule="auto"/>
        <w:rPr>
          <w:rFonts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szCs w:val="21"/>
        </w:rPr>
        <w:t>2.7.1一般测量：包括距离、面积、周长等。</w:t>
      </w:r>
    </w:p>
    <w:p w14:paraId="17B1E881">
      <w:pPr>
        <w:widowControl/>
        <w:spacing w:line="360" w:lineRule="auto"/>
        <w:rPr>
          <w:rFonts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szCs w:val="21"/>
        </w:rPr>
        <w:t>2.7.2妇产科测量：包括全面的产科径线测量、NT测量、胎儿孕龄及生长曲线、羊水指数等。</w:t>
      </w:r>
    </w:p>
    <w:p w14:paraId="7927684A">
      <w:pPr>
        <w:widowControl/>
        <w:spacing w:line="360" w:lineRule="auto"/>
        <w:rPr>
          <w:rFonts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szCs w:val="21"/>
        </w:rPr>
        <w:t>2.7.3心脏功能测量：包括EF值，心脏各腔室大小，心肌内壁厚度等指标。</w:t>
      </w:r>
    </w:p>
    <w:p w14:paraId="0DBE81BC">
      <w:pPr>
        <w:widowControl/>
        <w:spacing w:line="360" w:lineRule="auto"/>
        <w:rPr>
          <w:rFonts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szCs w:val="21"/>
        </w:rPr>
        <w:t>2.7.4多普勒血流测量与分析：包括血管收缩峰值流速、舒张末期流速、平均流速以及阻力指数。</w:t>
      </w:r>
    </w:p>
    <w:p w14:paraId="06B2A73A">
      <w:pPr>
        <w:widowControl/>
        <w:spacing w:line="360" w:lineRule="auto"/>
        <w:rPr>
          <w:rFonts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szCs w:val="21"/>
        </w:rPr>
        <w:t>2.7.5外周血管测量与分析：包括颈部血管、四肢动脉与四肢静脉的检查、血管解剖结构切面图像测量。</w:t>
      </w:r>
    </w:p>
    <w:p w14:paraId="1526F570">
      <w:pPr>
        <w:widowControl/>
        <w:spacing w:line="360" w:lineRule="auto"/>
        <w:rPr>
          <w:rFonts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szCs w:val="21"/>
        </w:rPr>
        <w:t>2.7.6血管中内膜厚度自动测量：对感兴趣区域内自动测量，无需手动描计，计算结果为一段距离内（≥8mm）的平均值，可根据血管内中膜厚度不同进行优化设置。</w:t>
      </w:r>
    </w:p>
    <w:p w14:paraId="648D9689">
      <w:pPr>
        <w:widowControl/>
        <w:spacing w:line="360" w:lineRule="auto"/>
        <w:rPr>
          <w:rFonts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szCs w:val="21"/>
        </w:rPr>
        <w:t>2.7.7多普勒血流测量与分析：包括实时自动包络、手动包络等；自动计算各血流动力学参数，参数可根据客户需要进行选择。</w:t>
      </w:r>
    </w:p>
    <w:p w14:paraId="76283116">
      <w:pPr>
        <w:widowControl/>
        <w:spacing w:line="360" w:lineRule="auto"/>
        <w:rPr>
          <w:rFonts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szCs w:val="21"/>
        </w:rPr>
        <w:t>2.8</w:t>
      </w:r>
      <w:r>
        <w:rPr>
          <w:rFonts w:hint="eastAsia" w:asciiTheme="minorEastAsia" w:hAnsiTheme="minorEastAsia" w:eastAsiaTheme="minorEastAsia" w:cstheme="minorEastAsia"/>
          <w:b w:val="0"/>
          <w:bCs w:val="0"/>
          <w:szCs w:val="21"/>
        </w:rPr>
        <w:tab/>
      </w:r>
      <w:r>
        <w:rPr>
          <w:rFonts w:hint="eastAsia" w:asciiTheme="minorEastAsia" w:hAnsiTheme="minorEastAsia" w:eastAsiaTheme="minorEastAsia" w:cstheme="minorEastAsia"/>
          <w:b w:val="0"/>
          <w:bCs w:val="0"/>
          <w:szCs w:val="21"/>
        </w:rPr>
        <w:t>图像存储与（电影）回放重现单元</w:t>
      </w:r>
    </w:p>
    <w:p w14:paraId="740E3E69">
      <w:pPr>
        <w:widowControl/>
        <w:spacing w:line="360" w:lineRule="auto"/>
        <w:rPr>
          <w:rFonts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szCs w:val="21"/>
        </w:rPr>
        <w:t>2.8.1超声图像存档与病案管理系统</w:t>
      </w:r>
      <w:bookmarkStart w:id="12" w:name="OLE_LINK2"/>
      <w:r>
        <w:rPr>
          <w:rFonts w:hint="eastAsia" w:asciiTheme="minorEastAsia" w:hAnsiTheme="minorEastAsia" w:eastAsiaTheme="minorEastAsia" w:cstheme="minorEastAsia"/>
          <w:b w:val="0"/>
          <w:bCs w:val="0"/>
          <w:szCs w:val="21"/>
        </w:rPr>
        <w:t>。</w:t>
      </w:r>
      <w:bookmarkEnd w:id="12"/>
      <w:r>
        <w:rPr>
          <w:rFonts w:hint="eastAsia" w:asciiTheme="minorEastAsia" w:hAnsiTheme="minorEastAsia" w:eastAsiaTheme="minorEastAsia" w:cstheme="minorEastAsia"/>
          <w:b w:val="0"/>
          <w:bCs w:val="0"/>
          <w:szCs w:val="21"/>
        </w:rPr>
        <w:t>主机存储容量≥1000GB。</w:t>
      </w:r>
    </w:p>
    <w:p w14:paraId="5815271A">
      <w:pPr>
        <w:widowControl/>
        <w:spacing w:line="360" w:lineRule="auto"/>
        <w:rPr>
          <w:rFonts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szCs w:val="21"/>
        </w:rPr>
        <w:t>2.8.2可根据检查要求对工作站参数（存储、压缩、回放）进行编程调节。</w:t>
      </w:r>
    </w:p>
    <w:p w14:paraId="1F5A707D">
      <w:pPr>
        <w:widowControl/>
        <w:spacing w:line="360" w:lineRule="auto"/>
        <w:rPr>
          <w:rFonts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szCs w:val="21"/>
        </w:rPr>
        <w:t>2.8.3超声图像静态、动态存储，原始数据回放重现。</w:t>
      </w:r>
    </w:p>
    <w:p w14:paraId="389FBA06">
      <w:pPr>
        <w:widowControl/>
        <w:spacing w:line="360" w:lineRule="auto"/>
        <w:rPr>
          <w:rFonts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szCs w:val="21"/>
        </w:rPr>
        <w:t>2.8.4输入/输出信号：包括HDMI、USB等。</w:t>
      </w:r>
    </w:p>
    <w:p w14:paraId="24572ACA">
      <w:pPr>
        <w:widowControl/>
        <w:spacing w:line="360" w:lineRule="auto"/>
        <w:rPr>
          <w:rFonts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szCs w:val="21"/>
        </w:rPr>
        <w:t>2.8.</w:t>
      </w:r>
      <w:r>
        <w:rPr>
          <w:rFonts w:hint="eastAsia" w:asciiTheme="minorEastAsia" w:hAnsiTheme="minorEastAsia" w:eastAsiaTheme="minorEastAsia" w:cstheme="minorEastAsia"/>
          <w:b w:val="0"/>
          <w:bCs w:val="0"/>
          <w:szCs w:val="21"/>
          <w:highlight w:val="none"/>
        </w:rPr>
        <w:t>5连通性：医</w:t>
      </w:r>
      <w:r>
        <w:rPr>
          <w:rFonts w:hint="eastAsia" w:asciiTheme="minorEastAsia" w:hAnsiTheme="minorEastAsia" w:eastAsiaTheme="minorEastAsia" w:cstheme="minorEastAsia"/>
          <w:b w:val="0"/>
          <w:bCs w:val="0"/>
          <w:szCs w:val="21"/>
        </w:rPr>
        <w:t>学数字图像和通信DICOM3.0接口。并承担与医院系统的对接费用。</w:t>
      </w:r>
    </w:p>
    <w:p w14:paraId="0EB0626A">
      <w:pPr>
        <w:widowControl/>
        <w:spacing w:line="360" w:lineRule="auto"/>
        <w:rPr>
          <w:rFonts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szCs w:val="21"/>
        </w:rPr>
        <w:t>2.8.6内置一体化超声工作站：数字化储存静态及动态图像，动态图像及静态图像以AVI、BMP或JPEG等PC通用格式直接储存。回放重现：灰阶图像回放≥3000幅、回放时间≥100秒。</w:t>
      </w:r>
    </w:p>
    <w:p w14:paraId="386D387E">
      <w:pPr>
        <w:widowControl/>
        <w:spacing w:line="360" w:lineRule="auto"/>
        <w:rPr>
          <w:rFonts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szCs w:val="21"/>
        </w:rPr>
        <w:t>2.9</w:t>
      </w:r>
      <w:r>
        <w:rPr>
          <w:rFonts w:hint="eastAsia" w:asciiTheme="minorEastAsia" w:hAnsiTheme="minorEastAsia" w:eastAsiaTheme="minorEastAsia" w:cstheme="minorEastAsia"/>
          <w:b w:val="0"/>
          <w:bCs w:val="0"/>
          <w:szCs w:val="21"/>
        </w:rPr>
        <w:tab/>
      </w:r>
      <w:r>
        <w:rPr>
          <w:rFonts w:hint="eastAsia" w:asciiTheme="minorEastAsia" w:hAnsiTheme="minorEastAsia" w:eastAsiaTheme="minorEastAsia" w:cstheme="minorEastAsia"/>
          <w:b w:val="0"/>
          <w:bCs w:val="0"/>
          <w:szCs w:val="21"/>
        </w:rPr>
        <w:t>系统通用功能要求</w:t>
      </w:r>
    </w:p>
    <w:p w14:paraId="3AFA9B1B">
      <w:pPr>
        <w:widowControl/>
        <w:spacing w:line="360" w:lineRule="auto"/>
        <w:rPr>
          <w:rFonts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szCs w:val="21"/>
        </w:rPr>
        <w:t>2.9.1显示器≥20英寸。</w:t>
      </w:r>
    </w:p>
    <w:p w14:paraId="617BAB37">
      <w:pPr>
        <w:widowControl/>
        <w:spacing w:line="360" w:lineRule="auto"/>
        <w:rPr>
          <w:rFonts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szCs w:val="21"/>
        </w:rPr>
        <w:t>2.9.2扫描方式：逐行扫描，高分辨率，全方位关节臂旋转。</w:t>
      </w:r>
    </w:p>
    <w:p w14:paraId="0E9CAEB8">
      <w:pPr>
        <w:widowControl/>
        <w:spacing w:line="360" w:lineRule="auto"/>
        <w:rPr>
          <w:rFonts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szCs w:val="21"/>
        </w:rPr>
        <w:t>2.9.3动态范围≥220DB。</w:t>
      </w:r>
    </w:p>
    <w:p w14:paraId="09D0C3EE">
      <w:pPr>
        <w:widowControl/>
        <w:spacing w:line="360" w:lineRule="auto"/>
        <w:rPr>
          <w:rFonts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szCs w:val="21"/>
        </w:rPr>
        <w:t>2.9.4具有超高数字化通道，支持集束精准发射及海量并行处理同步进行多个声束的形成、采集和处理。</w:t>
      </w:r>
    </w:p>
    <w:p w14:paraId="2198159C">
      <w:pPr>
        <w:widowControl/>
        <w:spacing w:line="360" w:lineRule="auto"/>
        <w:rPr>
          <w:rFonts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szCs w:val="21"/>
        </w:rPr>
        <w:t>2.9.5二维灰阶成像≥256 灰阶。</w:t>
      </w:r>
    </w:p>
    <w:p w14:paraId="1F5CAB1B">
      <w:pPr>
        <w:widowControl/>
        <w:spacing w:line="360" w:lineRule="auto"/>
        <w:rPr>
          <w:rFonts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szCs w:val="21"/>
        </w:rPr>
        <w:t>▲2.9.6</w:t>
      </w:r>
      <w:r>
        <w:rPr>
          <w:rFonts w:hint="eastAsia" w:asciiTheme="minorEastAsia" w:hAnsiTheme="minorEastAsia" w:eastAsiaTheme="minorEastAsia" w:cstheme="minorEastAsia"/>
          <w:b w:val="0"/>
          <w:bCs w:val="0"/>
          <w:szCs w:val="21"/>
        </w:rPr>
        <w:tab/>
      </w:r>
      <w:r>
        <w:rPr>
          <w:rFonts w:hint="eastAsia" w:asciiTheme="minorEastAsia" w:hAnsiTheme="minorEastAsia" w:eastAsiaTheme="minorEastAsia" w:cstheme="minorEastAsia"/>
          <w:b w:val="0"/>
          <w:bCs w:val="0"/>
          <w:szCs w:val="21"/>
        </w:rPr>
        <w:t>增益调节：TGC增益补偿≥8 段；LGC增益补偿≥2段（提供《医疗器械产品注册证》附件《产品技术要求》关键页或产品彩页或技术白皮书作为证明材料并加盖厂家公章）。</w:t>
      </w:r>
    </w:p>
    <w:p w14:paraId="10D2F35D">
      <w:pPr>
        <w:widowControl/>
        <w:spacing w:line="360" w:lineRule="auto"/>
        <w:rPr>
          <w:rFonts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szCs w:val="21"/>
        </w:rPr>
        <w:t>2.9.7取样宽度及位置范围：宽度 1.0mm至20mm多级可调（宽度≤1.0mm并≥20mm才为无偏离）。</w:t>
      </w:r>
    </w:p>
    <w:p w14:paraId="2B4F11FD">
      <w:pPr>
        <w:widowControl/>
        <w:spacing w:line="360" w:lineRule="auto"/>
        <w:rPr>
          <w:rFonts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szCs w:val="21"/>
        </w:rPr>
        <w:t>2.9.8显示位置调整: 感兴趣的图像范围至少包含:-20°-+20°。</w:t>
      </w:r>
    </w:p>
    <w:p w14:paraId="19C4302F">
      <w:pPr>
        <w:widowControl/>
        <w:spacing w:line="360" w:lineRule="auto"/>
        <w:rPr>
          <w:rFonts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szCs w:val="21"/>
        </w:rPr>
        <w:t>2.9.9相控阵探头扇扫角度≥100 度。</w:t>
      </w:r>
    </w:p>
    <w:p w14:paraId="39D318D2">
      <w:pPr>
        <w:widowControl/>
        <w:spacing w:line="360" w:lineRule="auto"/>
        <w:rPr>
          <w:rFonts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szCs w:val="21"/>
        </w:rPr>
        <w:t>2.9.10显示控制:零位移动分+15 级,黑/白与彩色比较,彩色对比。</w:t>
      </w:r>
    </w:p>
    <w:p w14:paraId="757AE113">
      <w:pPr>
        <w:widowControl/>
        <w:spacing w:line="360" w:lineRule="auto"/>
        <w:rPr>
          <w:rFonts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szCs w:val="21"/>
        </w:rPr>
        <w:t>2.9.11电影回放:≥2000 帧。</w:t>
      </w:r>
    </w:p>
    <w:p w14:paraId="5B66C37A">
      <w:pPr>
        <w:widowControl/>
        <w:spacing w:line="360" w:lineRule="auto"/>
        <w:rPr>
          <w:rFonts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szCs w:val="21"/>
        </w:rPr>
        <w:t>2.9.12零位移动:≥6 级。</w:t>
      </w:r>
    </w:p>
    <w:p w14:paraId="3D0C0F92">
      <w:pPr>
        <w:widowControl/>
        <w:spacing w:line="360" w:lineRule="auto"/>
        <w:rPr>
          <w:rFonts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szCs w:val="21"/>
        </w:rPr>
        <w:t>2.9.13穿刺引导功能：支持相控阵、凸阵、线阵探头穿刺引导功能。</w:t>
      </w:r>
    </w:p>
    <w:p w14:paraId="0AC1AE56">
      <w:pPr>
        <w:widowControl/>
        <w:spacing w:line="360" w:lineRule="auto"/>
        <w:rPr>
          <w:rFonts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szCs w:val="21"/>
        </w:rPr>
        <w:t>2.9.14超声功率输出调节：B/M、PWD、Color Doppler输出功率分级可调。</w:t>
      </w:r>
    </w:p>
    <w:p w14:paraId="29128C87">
      <w:pPr>
        <w:widowControl/>
        <w:spacing w:line="360" w:lineRule="auto"/>
        <w:rPr>
          <w:rFonts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szCs w:val="21"/>
        </w:rPr>
        <w:t>2.9.15频谱多普勒：包括脉冲多普勒 (PWD)、 高脉冲重复频率 (HPRF)、连续波多普勒（CW）。</w:t>
      </w:r>
    </w:p>
    <w:p w14:paraId="322B4D9E">
      <w:pPr>
        <w:widowControl/>
        <w:spacing w:line="360" w:lineRule="auto"/>
        <w:rPr>
          <w:rFonts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szCs w:val="21"/>
        </w:rPr>
        <w:t>2.9.16最大测量速度：</w:t>
      </w:r>
    </w:p>
    <w:p w14:paraId="3E6F9E47">
      <w:pPr>
        <w:widowControl/>
        <w:spacing w:line="360" w:lineRule="auto"/>
        <w:rPr>
          <w:rFonts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szCs w:val="21"/>
        </w:rPr>
        <w:t>PW, 血流速度≥8.0m/s；CW, 血流速度≥20.0m/s。最低平均血流显示速度≤1mm/s（非噪声信号）。</w:t>
      </w:r>
    </w:p>
    <w:p w14:paraId="632F4AD5">
      <w:pPr>
        <w:widowControl/>
        <w:spacing w:line="360" w:lineRule="auto"/>
        <w:rPr>
          <w:rFonts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szCs w:val="21"/>
        </w:rPr>
        <w:t>2.9.17具备高帧频彩色和脉冲波组织多普勒成像。</w:t>
      </w:r>
    </w:p>
    <w:p w14:paraId="2C1EAE64">
      <w:pPr>
        <w:widowControl/>
        <w:spacing w:line="360" w:lineRule="auto"/>
        <w:rPr>
          <w:rFonts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szCs w:val="21"/>
        </w:rPr>
        <w:t>2.9.18一键自动优化多普勒频谱，自动调整基线及量程等参数。</w:t>
      </w:r>
    </w:p>
    <w:p w14:paraId="228A5283">
      <w:pPr>
        <w:widowControl/>
        <w:spacing w:line="360" w:lineRule="auto"/>
        <w:rPr>
          <w:rFonts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szCs w:val="21"/>
        </w:rPr>
        <w:t>2.9.19解剖M型技术,可360度任意旋转M型取样线角度方便准确的进行测量。</w:t>
      </w:r>
    </w:p>
    <w:p w14:paraId="13CE6011">
      <w:pPr>
        <w:widowControl/>
        <w:spacing w:line="360" w:lineRule="auto"/>
        <w:rPr>
          <w:rFonts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szCs w:val="21"/>
        </w:rPr>
        <w:t>2.9.20通用成像探头接口≥4个，均为微型无针式接口，≥4个接口通用，可同时支持矩阵实时三维探头并可任意互换。</w:t>
      </w:r>
    </w:p>
    <w:p w14:paraId="2BD2C593">
      <w:pPr>
        <w:widowControl/>
        <w:spacing w:line="360" w:lineRule="auto"/>
        <w:rPr>
          <w:rFonts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szCs w:val="21"/>
        </w:rPr>
        <w:t>▲2.9.21探头频率:超宽频变频探头，探头频率至少包含 1 MHz到 22 MHz（提供《医疗器械产品注册证》附件《产品技术要求》关键页或产品彩页或技术白皮书作为证明材料并加盖厂家公章）。</w:t>
      </w:r>
    </w:p>
    <w:p w14:paraId="053316DB">
      <w:pPr>
        <w:widowControl/>
        <w:spacing w:line="360" w:lineRule="auto"/>
        <w:rPr>
          <w:rFonts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szCs w:val="21"/>
        </w:rPr>
        <w:t>2.9.22</w:t>
      </w:r>
      <w:r>
        <w:rPr>
          <w:rFonts w:hint="eastAsia" w:asciiTheme="minorEastAsia" w:hAnsiTheme="minorEastAsia" w:eastAsiaTheme="minorEastAsia" w:cstheme="minorEastAsia"/>
          <w:b w:val="0"/>
          <w:bCs w:val="0"/>
          <w:szCs w:val="21"/>
        </w:rPr>
        <w:tab/>
      </w:r>
      <w:r>
        <w:rPr>
          <w:rFonts w:hint="eastAsia" w:asciiTheme="minorEastAsia" w:hAnsiTheme="minorEastAsia" w:eastAsiaTheme="minorEastAsia" w:cstheme="minorEastAsia"/>
          <w:b w:val="0"/>
          <w:bCs w:val="0"/>
          <w:szCs w:val="21"/>
        </w:rPr>
        <w:t>所配探头具备单晶体探头技术≥3把。</w:t>
      </w:r>
    </w:p>
    <w:p w14:paraId="174622B3">
      <w:pPr>
        <w:widowControl/>
        <w:spacing w:line="360" w:lineRule="auto"/>
        <w:rPr>
          <w:rFonts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szCs w:val="21"/>
        </w:rPr>
        <w:t>▲2.9.23 电子矩阵实时三维探头技术：支持单晶体探头技术，支持成人经食道（提供《医疗器械产品注册证》附件《产品技术要求》关键页或产品彩页或技术白皮书作为证明材料并加盖厂家公章）。</w:t>
      </w:r>
    </w:p>
    <w:p w14:paraId="4901545B">
      <w:pPr>
        <w:widowControl/>
        <w:spacing w:line="360" w:lineRule="auto"/>
        <w:rPr>
          <w:rFonts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szCs w:val="21"/>
        </w:rPr>
        <w:t>2.9.24矩阵探头均采用单晶体材质，支持单晶体矩阵实时三维探头≥1 支。</w:t>
      </w:r>
    </w:p>
    <w:p w14:paraId="01B9CA73">
      <w:pPr>
        <w:widowControl/>
        <w:spacing w:line="360" w:lineRule="auto"/>
        <w:rPr>
          <w:rFonts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szCs w:val="21"/>
        </w:rPr>
        <w:t>2.9.25腹部凸阵探头频率范围：1.0-5.0MHz。</w:t>
      </w:r>
    </w:p>
    <w:p w14:paraId="2D44BC19">
      <w:pPr>
        <w:widowControl/>
        <w:spacing w:line="360" w:lineRule="auto"/>
        <w:rPr>
          <w:rFonts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szCs w:val="21"/>
        </w:rPr>
        <w:t>2.9.26高频血管线阵探头频率范围：3.0-12.0MHz。</w:t>
      </w:r>
    </w:p>
    <w:p w14:paraId="4CAB9E44">
      <w:pPr>
        <w:widowControl/>
        <w:spacing w:line="360" w:lineRule="auto"/>
        <w:rPr>
          <w:rFonts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szCs w:val="21"/>
        </w:rPr>
        <w:t>2.9.27高频小器官线阵探头频率范围：5.0-12.0MHz。</w:t>
      </w:r>
    </w:p>
    <w:p w14:paraId="2F153F9C">
      <w:pPr>
        <w:widowControl/>
        <w:spacing w:line="360" w:lineRule="auto"/>
        <w:rPr>
          <w:rFonts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szCs w:val="21"/>
        </w:rPr>
        <w:t>▲2.9.28心脏相控阵探头频率范围：1.0-5.0MHz（提供《医疗器械产品注册证》附件《产品技术要求》关键页或产品彩页或技术白皮书作为证明材料并加盖厂家公章）。</w:t>
      </w:r>
    </w:p>
    <w:p w14:paraId="621252A3">
      <w:pPr>
        <w:widowControl/>
        <w:spacing w:line="360" w:lineRule="auto"/>
        <w:rPr>
          <w:rFonts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szCs w:val="21"/>
        </w:rPr>
        <w:t>2.9.29腔内（阴道）探头频率范围：4.0-10.0MHz。</w:t>
      </w:r>
    </w:p>
    <w:p w14:paraId="55605CA1">
      <w:pPr>
        <w:widowControl/>
        <w:spacing w:line="360" w:lineRule="auto"/>
        <w:rPr>
          <w:rFonts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szCs w:val="21"/>
        </w:rPr>
        <w:t>▲2.9.30电子矩阵腹部实时三维探头频率范围：1.0-6.0MHz提供《医疗器械产品注册证》附件《产品技术要求》关键页或产品彩页或技术白皮书作为证明材料并加盖厂家公章）。</w:t>
      </w:r>
    </w:p>
    <w:p w14:paraId="73FA8CDD">
      <w:pPr>
        <w:widowControl/>
        <w:spacing w:line="360" w:lineRule="auto"/>
        <w:rPr>
          <w:rFonts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szCs w:val="21"/>
        </w:rPr>
        <w:t>▲2.9.31电子矩阵心脏实时三维探头频率范围：1.0-5.0MHz提供《医疗器械产品注册证》附件《产品技术要求》关键页或产品彩页或技术白皮书作为证明材料并加盖厂家公章）。</w:t>
      </w:r>
    </w:p>
    <w:p w14:paraId="4E6FE1CF">
      <w:pPr>
        <w:widowControl/>
        <w:spacing w:line="360" w:lineRule="auto"/>
        <w:rPr>
          <w:rFonts w:hint="eastAsia"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szCs w:val="21"/>
        </w:rPr>
        <w:t>2.9.32要求配备最齐全最新软件版本，质保期内升级至该机型的最新版本（不额外收费）。</w:t>
      </w:r>
    </w:p>
    <w:p w14:paraId="02E2443E">
      <w:pPr>
        <w:widowControl/>
        <w:spacing w:line="360" w:lineRule="auto"/>
        <w:rPr>
          <w:rFonts w:hint="eastAsia" w:asciiTheme="minorEastAsia" w:hAnsiTheme="minorEastAsia" w:eastAsiaTheme="minorEastAsia" w:cstheme="minorEastAsia"/>
          <w:b w:val="0"/>
          <w:bCs w:val="0"/>
          <w:szCs w:val="21"/>
        </w:rPr>
      </w:pPr>
    </w:p>
    <w:p w14:paraId="6EDEC716">
      <w:pPr>
        <w:widowControl/>
        <w:numPr>
          <w:ilvl w:val="0"/>
          <w:numId w:val="0"/>
        </w:numPr>
        <w:spacing w:line="360" w:lineRule="auto"/>
        <w:rPr>
          <w:rFonts w:hint="eastAsia" w:asciiTheme="minorEastAsia" w:hAnsiTheme="minorEastAsia" w:eastAsiaTheme="minorEastAsia" w:cstheme="minorEastAsia"/>
          <w:b/>
          <w:bCs/>
          <w:szCs w:val="21"/>
          <w:lang w:val="en-US" w:eastAsia="zh-CN"/>
        </w:rPr>
      </w:pPr>
      <w:r>
        <w:rPr>
          <w:rFonts w:hint="eastAsia" w:asciiTheme="minorEastAsia" w:hAnsiTheme="minorEastAsia" w:eastAsiaTheme="minorEastAsia" w:cstheme="minorEastAsia"/>
          <w:b/>
          <w:bCs/>
          <w:szCs w:val="21"/>
          <w:lang w:eastAsia="zh-CN"/>
        </w:rPr>
        <w:t>（</w:t>
      </w:r>
      <w:r>
        <w:rPr>
          <w:rFonts w:hint="eastAsia" w:asciiTheme="minorEastAsia" w:hAnsiTheme="minorEastAsia" w:eastAsiaTheme="minorEastAsia" w:cstheme="minorEastAsia"/>
          <w:b/>
          <w:bCs/>
          <w:szCs w:val="21"/>
          <w:lang w:val="en-US" w:eastAsia="zh-CN"/>
        </w:rPr>
        <w:t>2）</w:t>
      </w:r>
      <w:r>
        <w:rPr>
          <w:rFonts w:hint="eastAsia" w:asciiTheme="minorEastAsia" w:hAnsiTheme="minorEastAsia" w:eastAsiaTheme="minorEastAsia" w:cstheme="minorEastAsia"/>
          <w:b/>
          <w:bCs/>
          <w:szCs w:val="21"/>
        </w:rPr>
        <w:t>原招标文件内容</w:t>
      </w:r>
      <w:r>
        <w:rPr>
          <w:rFonts w:hint="eastAsia" w:asciiTheme="minorEastAsia" w:hAnsiTheme="minorEastAsia" w:eastAsiaTheme="minorEastAsia" w:cstheme="minorEastAsia"/>
          <w:b/>
          <w:bCs/>
          <w:szCs w:val="21"/>
          <w:lang w:val="en-US" w:eastAsia="zh-CN"/>
        </w:rPr>
        <w:t>中</w:t>
      </w:r>
      <w:r>
        <w:rPr>
          <w:rFonts w:hint="eastAsia" w:asciiTheme="minorEastAsia" w:hAnsiTheme="minorEastAsia" w:eastAsiaTheme="minorEastAsia" w:cstheme="minorEastAsia"/>
          <w:b/>
          <w:bCs/>
          <w:szCs w:val="21"/>
        </w:rPr>
        <w:t>第二章 项目需求/二、技术要求/</w:t>
      </w:r>
      <w:r>
        <w:rPr>
          <w:rFonts w:hint="eastAsia" w:asciiTheme="minorEastAsia" w:hAnsiTheme="minorEastAsia" w:eastAsiaTheme="minorEastAsia" w:cstheme="minorEastAsia"/>
          <w:b/>
          <w:bCs/>
          <w:szCs w:val="21"/>
          <w:lang w:eastAsia="zh-CN"/>
        </w:rPr>
        <w:t>“</w:t>
      </w:r>
      <w:r>
        <w:rPr>
          <w:rFonts w:hint="eastAsia" w:asciiTheme="minorEastAsia" w:hAnsiTheme="minorEastAsia" w:eastAsiaTheme="minorEastAsia" w:cstheme="minorEastAsia"/>
          <w:b/>
          <w:bCs/>
          <w:szCs w:val="21"/>
        </w:rPr>
        <w:t>2、匹配所投设备相关配件清单</w:t>
      </w:r>
      <w:r>
        <w:rPr>
          <w:rFonts w:hint="eastAsia" w:asciiTheme="minorEastAsia" w:hAnsiTheme="minorEastAsia" w:eastAsiaTheme="minorEastAsia" w:cstheme="minorEastAsia"/>
          <w:b/>
          <w:bCs/>
          <w:szCs w:val="21"/>
          <w:lang w:eastAsia="zh-CN"/>
        </w:rPr>
        <w:t>”</w:t>
      </w:r>
      <w:r>
        <w:rPr>
          <w:rFonts w:hint="eastAsia" w:asciiTheme="minorEastAsia" w:hAnsiTheme="minorEastAsia" w:eastAsiaTheme="minorEastAsia" w:cstheme="minorEastAsia"/>
          <w:b/>
          <w:bCs/>
          <w:szCs w:val="21"/>
          <w:lang w:val="en-US" w:eastAsia="zh-CN"/>
        </w:rPr>
        <w:t>内容全部删除。</w:t>
      </w:r>
    </w:p>
    <w:p w14:paraId="66652F75">
      <w:pPr>
        <w:spacing w:line="360" w:lineRule="auto"/>
        <w:ind w:firstLine="420" w:firstLineChars="200"/>
        <w:rPr>
          <w:rFonts w:hint="eastAsia" w:cs="Times New Roman" w:asciiTheme="minorEastAsia" w:hAnsiTheme="minorEastAsia" w:eastAsiaTheme="minorEastAsia"/>
          <w:szCs w:val="21"/>
          <w:lang w:eastAsia="zh-CN"/>
        </w:rPr>
      </w:pPr>
    </w:p>
    <w:p w14:paraId="7F01CBF2">
      <w:pPr>
        <w:widowControl/>
        <w:numPr>
          <w:ilvl w:val="0"/>
          <w:numId w:val="1"/>
        </w:numPr>
        <w:spacing w:line="360" w:lineRule="auto"/>
        <w:rPr>
          <w:rFonts w:hint="eastAsia" w:asciiTheme="minorEastAsia" w:hAnsiTheme="minorEastAsia" w:eastAsiaTheme="minorEastAsia" w:cstheme="minorEastAsia"/>
          <w:b/>
          <w:bCs/>
          <w:szCs w:val="21"/>
          <w:lang w:val="en-US" w:eastAsia="zh-CN"/>
        </w:rPr>
      </w:pPr>
      <w:r>
        <w:rPr>
          <w:rFonts w:hint="eastAsia" w:asciiTheme="minorEastAsia" w:hAnsiTheme="minorEastAsia" w:eastAsiaTheme="minorEastAsia" w:cstheme="minorEastAsia"/>
          <w:b/>
          <w:bCs/>
          <w:szCs w:val="21"/>
        </w:rPr>
        <w:t>原招标文件内容</w:t>
      </w:r>
      <w:bookmarkStart w:id="13" w:name="_Toc14860"/>
      <w:r>
        <w:rPr>
          <w:rFonts w:hint="eastAsia" w:asciiTheme="minorEastAsia" w:hAnsiTheme="minorEastAsia" w:eastAsiaTheme="minorEastAsia" w:cstheme="minorEastAsia"/>
          <w:b/>
          <w:bCs/>
          <w:szCs w:val="21"/>
          <w:lang w:val="en-US" w:eastAsia="zh-CN"/>
        </w:rPr>
        <w:t>中</w:t>
      </w:r>
      <w:r>
        <w:rPr>
          <w:rFonts w:hint="eastAsia" w:asciiTheme="minorEastAsia" w:hAnsiTheme="minorEastAsia" w:eastAsiaTheme="minorEastAsia" w:cstheme="minorEastAsia"/>
          <w:b/>
          <w:bCs/>
          <w:szCs w:val="21"/>
        </w:rPr>
        <w:t>第四章 资格审查和评标方法</w:t>
      </w:r>
      <w:bookmarkEnd w:id="13"/>
      <w:r>
        <w:rPr>
          <w:rFonts w:hint="eastAsia" w:asciiTheme="minorEastAsia" w:hAnsiTheme="minorEastAsia" w:eastAsiaTheme="minorEastAsia" w:cstheme="minorEastAsia"/>
          <w:b/>
          <w:bCs/>
          <w:szCs w:val="21"/>
          <w:lang w:val="en-US" w:eastAsia="zh-CN"/>
        </w:rPr>
        <w:t>/三、评标标准（适用于A包）/其中“</w:t>
      </w:r>
      <w:r>
        <w:rPr>
          <w:rFonts w:hint="eastAsia" w:ascii="宋体" w:hAnsi="宋体" w:cs="宋体"/>
          <w:b/>
          <w:bCs/>
          <w:szCs w:val="21"/>
        </w:rPr>
        <w:t>技术规格偏离情况</w:t>
      </w:r>
      <w:r>
        <w:rPr>
          <w:rFonts w:hint="eastAsia" w:ascii="宋体" w:hAnsi="宋体" w:cs="宋体"/>
          <w:b/>
          <w:bCs/>
          <w:szCs w:val="21"/>
          <w:lang w:eastAsia="zh-CN"/>
        </w:rPr>
        <w:t>、</w:t>
      </w:r>
      <w:r>
        <w:rPr>
          <w:rFonts w:hint="eastAsia" w:asciiTheme="minorEastAsia" w:hAnsiTheme="minorEastAsia" w:eastAsiaTheme="minorEastAsia" w:cstheme="minorEastAsia"/>
          <w:b/>
          <w:bCs/>
          <w:szCs w:val="21"/>
        </w:rPr>
        <w:t>技术保障措施</w:t>
      </w:r>
      <w:r>
        <w:rPr>
          <w:rFonts w:hint="eastAsia" w:asciiTheme="minorEastAsia" w:hAnsiTheme="minorEastAsia" w:eastAsiaTheme="minorEastAsia" w:cstheme="minorEastAsia"/>
          <w:b/>
          <w:bCs/>
          <w:szCs w:val="21"/>
          <w:lang w:eastAsia="zh-CN"/>
        </w:rPr>
        <w:t>、售后服务方案、</w:t>
      </w:r>
      <w:r>
        <w:rPr>
          <w:rFonts w:hint="eastAsia" w:ascii="宋体" w:hAnsi="宋体" w:cs="宋体"/>
          <w:b/>
          <w:bCs/>
          <w:szCs w:val="21"/>
        </w:rPr>
        <w:t>商务需求条款偏离情况</w:t>
      </w:r>
      <w:r>
        <w:rPr>
          <w:rFonts w:hint="eastAsia" w:asciiTheme="minorEastAsia" w:hAnsiTheme="minorEastAsia" w:eastAsiaTheme="minorEastAsia" w:cstheme="minorEastAsia"/>
          <w:b/>
          <w:bCs/>
          <w:szCs w:val="21"/>
          <w:lang w:eastAsia="zh-CN"/>
        </w:rPr>
        <w:t>”</w:t>
      </w:r>
      <w:r>
        <w:rPr>
          <w:rFonts w:hint="eastAsia" w:asciiTheme="minorEastAsia" w:hAnsiTheme="minorEastAsia" w:eastAsiaTheme="minorEastAsia" w:cstheme="minorEastAsia"/>
          <w:b/>
          <w:bCs/>
          <w:szCs w:val="21"/>
          <w:lang w:val="en-US" w:eastAsia="zh-CN"/>
        </w:rPr>
        <w:t>现修改为：</w:t>
      </w:r>
    </w:p>
    <w:tbl>
      <w:tblPr>
        <w:tblStyle w:val="17"/>
        <w:tblW w:w="9746"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754"/>
        <w:gridCol w:w="1143"/>
        <w:gridCol w:w="709"/>
        <w:gridCol w:w="5953"/>
        <w:gridCol w:w="1187"/>
      </w:tblGrid>
      <w:tr w14:paraId="6F8ADE4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1" w:hRule="atLeast"/>
          <w:jc w:val="center"/>
        </w:trPr>
        <w:tc>
          <w:tcPr>
            <w:tcW w:w="754" w:type="dxa"/>
            <w:vAlign w:val="center"/>
          </w:tcPr>
          <w:p w14:paraId="3F049779">
            <w:pPr>
              <w:tabs>
                <w:tab w:val="left" w:pos="426"/>
              </w:tabs>
              <w:autoSpaceDE w:val="0"/>
              <w:autoSpaceDN w:val="0"/>
              <w:adjustRightInd w:val="0"/>
              <w:spacing w:line="360" w:lineRule="exact"/>
              <w:jc w:val="center"/>
              <w:rPr>
                <w:rFonts w:ascii="宋体" w:hAnsi="宋体" w:cs="宋体"/>
                <w:szCs w:val="21"/>
              </w:rPr>
            </w:pPr>
            <w:r>
              <w:rPr>
                <w:rFonts w:hint="eastAsia" w:ascii="宋体" w:hAnsi="宋体" w:cs="宋体"/>
                <w:szCs w:val="21"/>
              </w:rPr>
              <w:t>序号</w:t>
            </w:r>
          </w:p>
        </w:tc>
        <w:tc>
          <w:tcPr>
            <w:tcW w:w="1143" w:type="dxa"/>
            <w:vAlign w:val="center"/>
          </w:tcPr>
          <w:p w14:paraId="654C733E">
            <w:pPr>
              <w:tabs>
                <w:tab w:val="left" w:pos="426"/>
              </w:tabs>
              <w:autoSpaceDE w:val="0"/>
              <w:autoSpaceDN w:val="0"/>
              <w:adjustRightInd w:val="0"/>
              <w:spacing w:line="360" w:lineRule="exact"/>
              <w:jc w:val="center"/>
              <w:rPr>
                <w:rFonts w:ascii="宋体" w:hAnsi="宋体" w:cs="宋体"/>
                <w:szCs w:val="21"/>
              </w:rPr>
            </w:pPr>
            <w:r>
              <w:rPr>
                <w:rFonts w:hint="eastAsia" w:ascii="宋体" w:hAnsi="宋体" w:cs="宋体"/>
                <w:szCs w:val="21"/>
              </w:rPr>
              <w:t>内容</w:t>
            </w:r>
          </w:p>
        </w:tc>
        <w:tc>
          <w:tcPr>
            <w:tcW w:w="709" w:type="dxa"/>
            <w:vAlign w:val="center"/>
          </w:tcPr>
          <w:p w14:paraId="312D076C">
            <w:pPr>
              <w:tabs>
                <w:tab w:val="left" w:pos="426"/>
              </w:tabs>
              <w:autoSpaceDE w:val="0"/>
              <w:autoSpaceDN w:val="0"/>
              <w:adjustRightInd w:val="0"/>
              <w:spacing w:line="360" w:lineRule="exact"/>
              <w:jc w:val="center"/>
              <w:rPr>
                <w:rFonts w:ascii="宋体" w:hAnsi="宋体" w:cs="宋体"/>
                <w:szCs w:val="21"/>
              </w:rPr>
            </w:pPr>
            <w:r>
              <w:rPr>
                <w:rFonts w:hint="eastAsia" w:ascii="宋体" w:hAnsi="宋体" w:cs="宋体"/>
                <w:szCs w:val="21"/>
              </w:rPr>
              <w:t>权重</w:t>
            </w:r>
          </w:p>
        </w:tc>
        <w:tc>
          <w:tcPr>
            <w:tcW w:w="5953" w:type="dxa"/>
            <w:vAlign w:val="center"/>
          </w:tcPr>
          <w:p w14:paraId="14AEDCD7">
            <w:pPr>
              <w:tabs>
                <w:tab w:val="left" w:pos="426"/>
              </w:tabs>
              <w:autoSpaceDE w:val="0"/>
              <w:autoSpaceDN w:val="0"/>
              <w:adjustRightInd w:val="0"/>
              <w:spacing w:line="360" w:lineRule="exact"/>
              <w:jc w:val="center"/>
              <w:rPr>
                <w:rFonts w:ascii="宋体" w:hAnsi="宋体" w:cs="宋体"/>
                <w:szCs w:val="21"/>
              </w:rPr>
            </w:pPr>
            <w:r>
              <w:rPr>
                <w:rFonts w:hint="eastAsia" w:ascii="宋体" w:hAnsi="宋体" w:cs="宋体"/>
                <w:szCs w:val="21"/>
              </w:rPr>
              <w:t>评分规则</w:t>
            </w:r>
          </w:p>
        </w:tc>
        <w:tc>
          <w:tcPr>
            <w:tcW w:w="1187" w:type="dxa"/>
            <w:vAlign w:val="center"/>
          </w:tcPr>
          <w:p w14:paraId="15F4CFF3">
            <w:pPr>
              <w:tabs>
                <w:tab w:val="left" w:pos="426"/>
              </w:tabs>
              <w:autoSpaceDE w:val="0"/>
              <w:autoSpaceDN w:val="0"/>
              <w:adjustRightInd w:val="0"/>
              <w:spacing w:line="360" w:lineRule="exact"/>
              <w:jc w:val="center"/>
              <w:rPr>
                <w:rFonts w:ascii="宋体" w:hAnsi="宋体" w:cs="宋体"/>
                <w:szCs w:val="21"/>
              </w:rPr>
            </w:pPr>
            <w:r>
              <w:rPr>
                <w:rFonts w:hint="eastAsia" w:ascii="宋体" w:hAnsi="宋体" w:cs="宋体"/>
                <w:szCs w:val="21"/>
              </w:rPr>
              <w:t>评分方式</w:t>
            </w:r>
          </w:p>
        </w:tc>
      </w:tr>
      <w:tr w14:paraId="3DD0FA6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54" w:type="dxa"/>
            <w:vAlign w:val="center"/>
          </w:tcPr>
          <w:p w14:paraId="090871E7">
            <w:pPr>
              <w:tabs>
                <w:tab w:val="left" w:pos="426"/>
              </w:tabs>
              <w:autoSpaceDE w:val="0"/>
              <w:autoSpaceDN w:val="0"/>
              <w:adjustRightInd w:val="0"/>
              <w:spacing w:line="360" w:lineRule="exact"/>
              <w:jc w:val="center"/>
              <w:rPr>
                <w:rFonts w:ascii="宋体" w:hAnsi="宋体" w:cs="宋体"/>
                <w:szCs w:val="21"/>
              </w:rPr>
            </w:pPr>
            <w:r>
              <w:rPr>
                <w:rFonts w:hint="eastAsia" w:ascii="宋体" w:hAnsi="宋体" w:cs="宋体"/>
                <w:szCs w:val="21"/>
              </w:rPr>
              <w:t>1</w:t>
            </w:r>
          </w:p>
        </w:tc>
        <w:tc>
          <w:tcPr>
            <w:tcW w:w="1143" w:type="dxa"/>
            <w:vAlign w:val="center"/>
          </w:tcPr>
          <w:p w14:paraId="6DD20FB4">
            <w:pPr>
              <w:widowControl/>
              <w:tabs>
                <w:tab w:val="left" w:pos="426"/>
              </w:tabs>
              <w:spacing w:line="360" w:lineRule="exact"/>
              <w:jc w:val="center"/>
              <w:rPr>
                <w:rFonts w:ascii="宋体" w:hAnsi="宋体" w:cs="宋体"/>
                <w:szCs w:val="21"/>
              </w:rPr>
            </w:pPr>
            <w:r>
              <w:rPr>
                <w:rFonts w:hint="eastAsia" w:ascii="宋体" w:hAnsi="宋体" w:cs="宋体"/>
                <w:szCs w:val="21"/>
              </w:rPr>
              <w:t>技术规格偏离情况</w:t>
            </w:r>
          </w:p>
        </w:tc>
        <w:tc>
          <w:tcPr>
            <w:tcW w:w="709" w:type="dxa"/>
            <w:vAlign w:val="center"/>
          </w:tcPr>
          <w:p w14:paraId="2C7EEEE9">
            <w:pPr>
              <w:widowControl/>
              <w:tabs>
                <w:tab w:val="left" w:pos="426"/>
              </w:tabs>
              <w:spacing w:line="360" w:lineRule="exact"/>
              <w:jc w:val="center"/>
              <w:rPr>
                <w:rFonts w:ascii="宋体" w:hAnsi="宋体" w:cs="宋体"/>
                <w:szCs w:val="21"/>
              </w:rPr>
            </w:pPr>
            <w:r>
              <w:rPr>
                <w:rFonts w:hint="eastAsia" w:ascii="宋体" w:hAnsi="宋体" w:cs="宋体"/>
                <w:szCs w:val="21"/>
              </w:rPr>
              <w:t>48</w:t>
            </w:r>
          </w:p>
        </w:tc>
        <w:tc>
          <w:tcPr>
            <w:tcW w:w="5953" w:type="dxa"/>
            <w:vAlign w:val="center"/>
          </w:tcPr>
          <w:p w14:paraId="6CB8358C">
            <w:pPr>
              <w:shd w:val="clear" w:color="auto" w:fill="FFFFFF"/>
              <w:tabs>
                <w:tab w:val="left" w:pos="426"/>
              </w:tabs>
              <w:spacing w:line="360" w:lineRule="exact"/>
              <w:jc w:val="left"/>
              <w:rPr>
                <w:rFonts w:ascii="宋体" w:hAnsi="宋体" w:cs="宋体"/>
                <w:szCs w:val="21"/>
                <w:highlight w:val="none"/>
              </w:rPr>
            </w:pPr>
            <w:r>
              <w:rPr>
                <w:rFonts w:hint="eastAsia" w:ascii="宋体" w:hAnsi="宋体" w:cs="宋体"/>
                <w:szCs w:val="21"/>
                <w:highlight w:val="none"/>
              </w:rPr>
              <w:t>（一）评分内容：</w:t>
            </w:r>
          </w:p>
          <w:p w14:paraId="06BA9651">
            <w:pPr>
              <w:shd w:val="clear" w:color="auto" w:fill="FFFFFF"/>
              <w:tabs>
                <w:tab w:val="left" w:pos="426"/>
              </w:tabs>
              <w:spacing w:line="360" w:lineRule="exact"/>
              <w:jc w:val="left"/>
              <w:rPr>
                <w:rFonts w:ascii="宋体" w:hAnsi="宋体" w:cs="宋体"/>
                <w:szCs w:val="21"/>
                <w:highlight w:val="none"/>
              </w:rPr>
            </w:pPr>
            <w:r>
              <w:rPr>
                <w:rFonts w:hint="eastAsia" w:ascii="宋体" w:hAnsi="宋体" w:cs="宋体"/>
                <w:szCs w:val="21"/>
                <w:highlight w:val="none"/>
              </w:rPr>
              <w:t>完全满足招标文件技术指标、参数要求，应答完整的得48分；“</w:t>
            </w:r>
            <w:r>
              <w:rPr>
                <w:rFonts w:hint="eastAsia" w:ascii="宋体" w:hAnsi="宋体" w:cs="宋体"/>
                <w:kern w:val="0"/>
                <w:szCs w:val="21"/>
                <w:highlight w:val="none"/>
              </w:rPr>
              <w:t>★</w:t>
            </w:r>
            <w:r>
              <w:rPr>
                <w:rFonts w:hint="eastAsia" w:ascii="宋体" w:hAnsi="宋体" w:cs="宋体"/>
                <w:szCs w:val="21"/>
                <w:highlight w:val="none"/>
              </w:rPr>
              <w:t>”为不可偏离参数；以此为基础，投标人的技术响应低于招标文件中规定的“▲”技术要求（“▲”条款共11项，共</w:t>
            </w:r>
            <w:r>
              <w:rPr>
                <w:rFonts w:hint="eastAsia" w:ascii="宋体" w:hAnsi="宋体" w:cs="宋体"/>
                <w:szCs w:val="21"/>
                <w:highlight w:val="none"/>
                <w:lang w:val="en-US" w:eastAsia="zh-CN"/>
              </w:rPr>
              <w:t>33</w:t>
            </w:r>
            <w:r>
              <w:rPr>
                <w:rFonts w:hint="eastAsia" w:ascii="宋体" w:hAnsi="宋体" w:cs="宋体"/>
                <w:szCs w:val="21"/>
                <w:highlight w:val="none"/>
              </w:rPr>
              <w:t>分）每有一项减3分；一般技术（一般条款共</w:t>
            </w:r>
            <w:r>
              <w:rPr>
                <w:rFonts w:hint="eastAsia" w:ascii="宋体" w:hAnsi="宋体" w:cs="宋体"/>
                <w:szCs w:val="21"/>
                <w:highlight w:val="none"/>
                <w:lang w:val="en-US" w:eastAsia="zh-CN"/>
              </w:rPr>
              <w:t>75</w:t>
            </w:r>
            <w:r>
              <w:rPr>
                <w:rFonts w:hint="eastAsia" w:ascii="宋体" w:hAnsi="宋体" w:cs="宋体"/>
                <w:szCs w:val="21"/>
                <w:highlight w:val="none"/>
              </w:rPr>
              <w:t>项，共</w:t>
            </w:r>
            <w:r>
              <w:rPr>
                <w:rFonts w:hint="eastAsia" w:ascii="宋体" w:hAnsi="宋体" w:cs="宋体"/>
                <w:szCs w:val="21"/>
                <w:highlight w:val="none"/>
                <w:lang w:val="en-US" w:eastAsia="zh-CN"/>
              </w:rPr>
              <w:t>15</w:t>
            </w:r>
            <w:r>
              <w:rPr>
                <w:rFonts w:hint="eastAsia" w:ascii="宋体" w:hAnsi="宋体" w:cs="宋体"/>
                <w:szCs w:val="21"/>
                <w:highlight w:val="none"/>
              </w:rPr>
              <w:t>分）响应低于招标文件规定的，每有一项减0.2分。本项最低得0分。</w:t>
            </w:r>
          </w:p>
          <w:p w14:paraId="4D3E7588">
            <w:pPr>
              <w:shd w:val="clear" w:color="auto" w:fill="FFFFFF"/>
              <w:tabs>
                <w:tab w:val="left" w:pos="426"/>
              </w:tabs>
              <w:spacing w:line="360" w:lineRule="exact"/>
              <w:jc w:val="left"/>
              <w:rPr>
                <w:rFonts w:ascii="宋体" w:hAnsi="宋体" w:cs="宋体"/>
                <w:szCs w:val="21"/>
              </w:rPr>
            </w:pPr>
            <w:r>
              <w:rPr>
                <w:rFonts w:hint="eastAsia" w:ascii="宋体" w:hAnsi="宋体" w:cs="宋体"/>
                <w:szCs w:val="21"/>
              </w:rPr>
              <w:t>（二）评分依据：</w:t>
            </w:r>
          </w:p>
          <w:p w14:paraId="2918FB20">
            <w:pPr>
              <w:shd w:val="clear" w:color="auto" w:fill="FFFFFF"/>
              <w:tabs>
                <w:tab w:val="left" w:pos="426"/>
              </w:tabs>
              <w:spacing w:line="360" w:lineRule="exact"/>
              <w:jc w:val="left"/>
              <w:rPr>
                <w:rFonts w:ascii="宋体" w:hAnsi="宋体" w:cs="宋体"/>
                <w:szCs w:val="21"/>
              </w:rPr>
            </w:pPr>
            <w:r>
              <w:rPr>
                <w:rFonts w:hint="eastAsia" w:ascii="宋体" w:hAnsi="宋体" w:cs="宋体"/>
                <w:szCs w:val="21"/>
              </w:rPr>
              <w:t>以投标文件《技术规格偏离表》为评分依据，投标人按招标文件要求提供相应的证明材料复印件或扫描件加盖投标人公章，并注明证明材料在投标文件中的具体位置。未提供有效证明材料或未注明证明材料在投标文件中的具体位置或提供的证明资料显示不符合招标文件要求、模糊不清无法判断或未显示是否满足招标文件参数的，该项技术指标按负偏离处理。技术要求中包含子项参数的，按子项参数响应情况逐项评分。</w:t>
            </w:r>
          </w:p>
        </w:tc>
        <w:tc>
          <w:tcPr>
            <w:tcW w:w="1187" w:type="dxa"/>
            <w:vAlign w:val="center"/>
          </w:tcPr>
          <w:p w14:paraId="25DC07D2">
            <w:pPr>
              <w:tabs>
                <w:tab w:val="left" w:pos="426"/>
              </w:tabs>
              <w:autoSpaceDE w:val="0"/>
              <w:autoSpaceDN w:val="0"/>
              <w:adjustRightInd w:val="0"/>
              <w:spacing w:line="360" w:lineRule="exact"/>
              <w:jc w:val="center"/>
              <w:rPr>
                <w:rFonts w:ascii="宋体" w:hAnsi="宋体" w:cs="宋体"/>
                <w:szCs w:val="21"/>
              </w:rPr>
            </w:pPr>
            <w:r>
              <w:rPr>
                <w:rFonts w:hint="eastAsia" w:ascii="宋体" w:hAnsi="宋体" w:cs="宋体"/>
                <w:szCs w:val="21"/>
              </w:rPr>
              <w:t>评委打分</w:t>
            </w:r>
          </w:p>
        </w:tc>
      </w:tr>
      <w:tr w14:paraId="421131B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148" w:hRule="atLeast"/>
          <w:jc w:val="center"/>
        </w:trPr>
        <w:tc>
          <w:tcPr>
            <w:tcW w:w="754" w:type="dxa"/>
            <w:vAlign w:val="center"/>
          </w:tcPr>
          <w:p w14:paraId="4E5CF816">
            <w:pPr>
              <w:tabs>
                <w:tab w:val="left" w:pos="426"/>
              </w:tabs>
              <w:autoSpaceDE w:val="0"/>
              <w:autoSpaceDN w:val="0"/>
              <w:adjustRightInd w:val="0"/>
              <w:spacing w:line="360" w:lineRule="exact"/>
              <w:jc w:val="center"/>
              <w:rPr>
                <w:rFonts w:ascii="宋体" w:hAnsi="宋体" w:cs="宋体"/>
                <w:szCs w:val="21"/>
              </w:rPr>
            </w:pPr>
            <w:r>
              <w:rPr>
                <w:rFonts w:hint="eastAsia" w:ascii="宋体" w:hAnsi="宋体" w:cs="宋体"/>
                <w:szCs w:val="21"/>
              </w:rPr>
              <w:t>2</w:t>
            </w:r>
          </w:p>
        </w:tc>
        <w:tc>
          <w:tcPr>
            <w:tcW w:w="1143" w:type="dxa"/>
            <w:vAlign w:val="center"/>
          </w:tcPr>
          <w:p w14:paraId="45545692">
            <w:pPr>
              <w:tabs>
                <w:tab w:val="left" w:pos="426"/>
              </w:tabs>
              <w:spacing w:line="360" w:lineRule="exact"/>
              <w:jc w:val="center"/>
              <w:rPr>
                <w:rFonts w:ascii="宋体" w:hAnsi="宋体" w:cs="宋体"/>
                <w:szCs w:val="21"/>
              </w:rPr>
            </w:pPr>
            <w:r>
              <w:rPr>
                <w:rFonts w:hint="eastAsia" w:ascii="宋体" w:hAnsi="宋体" w:cs="宋体"/>
                <w:szCs w:val="21"/>
              </w:rPr>
              <w:t>技术保障措施</w:t>
            </w:r>
          </w:p>
        </w:tc>
        <w:tc>
          <w:tcPr>
            <w:tcW w:w="709" w:type="dxa"/>
            <w:vAlign w:val="center"/>
          </w:tcPr>
          <w:p w14:paraId="6CC81219">
            <w:pPr>
              <w:tabs>
                <w:tab w:val="left" w:pos="426"/>
              </w:tabs>
              <w:spacing w:line="360" w:lineRule="exact"/>
              <w:jc w:val="center"/>
              <w:rPr>
                <w:rFonts w:ascii="宋体" w:hAnsi="宋体" w:cs="宋体"/>
                <w:szCs w:val="21"/>
              </w:rPr>
            </w:pPr>
            <w:r>
              <w:rPr>
                <w:rFonts w:hint="eastAsia" w:ascii="宋体" w:hAnsi="宋体" w:cs="宋体"/>
                <w:szCs w:val="21"/>
              </w:rPr>
              <w:t>4</w:t>
            </w:r>
          </w:p>
        </w:tc>
        <w:tc>
          <w:tcPr>
            <w:tcW w:w="5953" w:type="dxa"/>
            <w:vAlign w:val="center"/>
          </w:tcPr>
          <w:p w14:paraId="6503F675">
            <w:pPr>
              <w:pStyle w:val="5"/>
            </w:pPr>
            <w:r>
              <w:t>（一）评分内容：</w:t>
            </w:r>
          </w:p>
          <w:p w14:paraId="40F9AC0F">
            <w:pPr>
              <w:pStyle w:val="5"/>
            </w:pPr>
            <w:r>
              <w:t>投标人在投标文件中详细说明技术保障措施，包含以下内容：</w:t>
            </w:r>
          </w:p>
          <w:p w14:paraId="494E2FA8">
            <w:pPr>
              <w:pStyle w:val="5"/>
            </w:pPr>
            <w:r>
              <w:t>（1）供货方案；</w:t>
            </w:r>
          </w:p>
          <w:p w14:paraId="3ACD2E84">
            <w:pPr>
              <w:pStyle w:val="5"/>
            </w:pPr>
            <w:r>
              <w:t>（2）安装调试方案；</w:t>
            </w:r>
          </w:p>
          <w:p w14:paraId="4E9DBE00">
            <w:pPr>
              <w:pStyle w:val="5"/>
            </w:pPr>
            <w:r>
              <w:t>（3）质量管理措施。</w:t>
            </w:r>
          </w:p>
          <w:p w14:paraId="1ACFBC46">
            <w:pPr>
              <w:pStyle w:val="5"/>
            </w:pPr>
            <w:r>
              <w:t>（二）评分标准：</w:t>
            </w:r>
          </w:p>
          <w:p w14:paraId="6C888B60">
            <w:pPr>
              <w:pStyle w:val="5"/>
            </w:pPr>
            <w:r>
              <w:t>满足以上三点要求得1.5分，满足任意两点得1分，满足任意一点得0.5分，其它不得分。</w:t>
            </w:r>
          </w:p>
          <w:p w14:paraId="5F893E0E">
            <w:pPr>
              <w:pStyle w:val="5"/>
            </w:pPr>
            <w:r>
              <w:t>在此基础上，评委根据各供应商的具体响应内容按照量化的评审因素指标进一步评审：</w:t>
            </w:r>
          </w:p>
          <w:p w14:paraId="6324101D">
            <w:pPr>
              <w:pStyle w:val="5"/>
            </w:pPr>
            <w:r>
              <w:t>（1）供货方案（需包含：①供货计划；②供货流程；③供货质量管理；④供货信息管理）</w:t>
            </w:r>
          </w:p>
          <w:p w14:paraId="6C89B768">
            <w:pPr>
              <w:pStyle w:val="5"/>
            </w:pPr>
            <w:r>
              <w:t>（2）安装调试方案（需包含：①项目安装组织与管理方案；②安装调试流程；③安装调试相关安全措施）</w:t>
            </w:r>
          </w:p>
          <w:p w14:paraId="76FC5BE9">
            <w:pPr>
              <w:pStyle w:val="5"/>
            </w:pPr>
            <w:r>
              <w:t>（3）质量管理措施（需包含：①质量管理目标；②质量管理标准；③质量检测方案）</w:t>
            </w:r>
          </w:p>
          <w:p w14:paraId="1C428918">
            <w:pPr>
              <w:pStyle w:val="5"/>
            </w:pPr>
            <w:r>
              <w:t>满足以上三项内容的加2.5分，满足以上二项内容的加1.5分，满足一项评审的加0.5分，其他情况为差不加分。</w:t>
            </w:r>
          </w:p>
          <w:p w14:paraId="15D0EA86">
            <w:pPr>
              <w:pStyle w:val="5"/>
              <w:rPr>
                <w:rFonts w:ascii="宋体" w:hAnsi="宋体" w:cs="宋体"/>
                <w:szCs w:val="21"/>
              </w:rPr>
            </w:pPr>
            <w:r>
              <w:t>如果评审为差，要求评委书面说明理由，并记录在档。</w:t>
            </w:r>
          </w:p>
        </w:tc>
        <w:tc>
          <w:tcPr>
            <w:tcW w:w="1187" w:type="dxa"/>
            <w:vAlign w:val="center"/>
          </w:tcPr>
          <w:p w14:paraId="3B621029">
            <w:pPr>
              <w:tabs>
                <w:tab w:val="left" w:pos="426"/>
              </w:tabs>
              <w:spacing w:line="360" w:lineRule="exact"/>
              <w:jc w:val="center"/>
              <w:rPr>
                <w:rFonts w:ascii="宋体" w:hAnsi="宋体" w:cs="宋体"/>
                <w:szCs w:val="21"/>
              </w:rPr>
            </w:pPr>
            <w:r>
              <w:rPr>
                <w:rFonts w:hint="eastAsia" w:ascii="宋体" w:hAnsi="宋体" w:cs="宋体"/>
                <w:szCs w:val="21"/>
              </w:rPr>
              <w:t>评委打分</w:t>
            </w:r>
          </w:p>
        </w:tc>
      </w:tr>
      <w:tr w14:paraId="4FEECE4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54" w:type="dxa"/>
            <w:vAlign w:val="center"/>
          </w:tcPr>
          <w:p w14:paraId="674C37FB">
            <w:pPr>
              <w:widowControl/>
              <w:tabs>
                <w:tab w:val="left" w:pos="426"/>
              </w:tabs>
              <w:snapToGrid w:val="0"/>
              <w:spacing w:line="360" w:lineRule="exact"/>
              <w:jc w:val="center"/>
              <w:rPr>
                <w:rFonts w:ascii="宋体" w:hAnsi="宋体" w:cs="宋体"/>
                <w:szCs w:val="21"/>
              </w:rPr>
            </w:pPr>
            <w:r>
              <w:rPr>
                <w:rFonts w:hint="eastAsia" w:ascii="宋体" w:hAnsi="宋体" w:cs="宋体"/>
                <w:szCs w:val="21"/>
              </w:rPr>
              <w:t>3</w:t>
            </w:r>
          </w:p>
        </w:tc>
        <w:tc>
          <w:tcPr>
            <w:tcW w:w="1143" w:type="dxa"/>
            <w:vAlign w:val="center"/>
          </w:tcPr>
          <w:p w14:paraId="33F7E313">
            <w:pPr>
              <w:widowControl/>
              <w:tabs>
                <w:tab w:val="left" w:pos="426"/>
              </w:tabs>
              <w:spacing w:line="360" w:lineRule="exact"/>
              <w:jc w:val="center"/>
              <w:rPr>
                <w:rFonts w:ascii="宋体" w:hAnsi="宋体" w:cs="宋体"/>
                <w:szCs w:val="21"/>
              </w:rPr>
            </w:pPr>
            <w:r>
              <w:rPr>
                <w:rFonts w:hint="eastAsia" w:ascii="宋体" w:hAnsi="宋体" w:cs="宋体"/>
                <w:szCs w:val="21"/>
              </w:rPr>
              <w:t>售后服务方案</w:t>
            </w:r>
          </w:p>
        </w:tc>
        <w:tc>
          <w:tcPr>
            <w:tcW w:w="709" w:type="dxa"/>
            <w:vAlign w:val="center"/>
          </w:tcPr>
          <w:p w14:paraId="05A1D09E">
            <w:pPr>
              <w:widowControl/>
              <w:tabs>
                <w:tab w:val="left" w:pos="426"/>
              </w:tabs>
              <w:spacing w:line="360" w:lineRule="exact"/>
              <w:jc w:val="center"/>
              <w:rPr>
                <w:rFonts w:ascii="宋体" w:hAnsi="宋体" w:cs="宋体"/>
                <w:szCs w:val="21"/>
              </w:rPr>
            </w:pPr>
            <w:r>
              <w:rPr>
                <w:rFonts w:hint="eastAsia" w:ascii="宋体" w:hAnsi="宋体" w:cs="宋体"/>
                <w:szCs w:val="21"/>
              </w:rPr>
              <w:t>6</w:t>
            </w:r>
          </w:p>
        </w:tc>
        <w:tc>
          <w:tcPr>
            <w:tcW w:w="5953" w:type="dxa"/>
            <w:vAlign w:val="center"/>
          </w:tcPr>
          <w:p w14:paraId="5D3681C4">
            <w:pPr>
              <w:pStyle w:val="5"/>
            </w:pPr>
            <w:r>
              <w:rPr>
                <w:rFonts w:hint="eastAsia"/>
              </w:rPr>
              <w:t>（一）评分内容：</w:t>
            </w:r>
          </w:p>
          <w:p w14:paraId="0BCD6EF7">
            <w:pPr>
              <w:pStyle w:val="5"/>
            </w:pPr>
            <w:r>
              <w:rPr>
                <w:rFonts w:hint="eastAsia"/>
              </w:rPr>
              <w:t>投标人提供售后服务方案，包含以下内容：</w:t>
            </w:r>
          </w:p>
          <w:p w14:paraId="38BAC1D3">
            <w:pPr>
              <w:pStyle w:val="5"/>
            </w:pPr>
            <w:r>
              <w:rPr>
                <w:rFonts w:hint="eastAsia"/>
              </w:rPr>
              <w:t>（1）售后服务机构及维护人员配置；</w:t>
            </w:r>
          </w:p>
          <w:p w14:paraId="7D14C5DC">
            <w:pPr>
              <w:pStyle w:val="5"/>
            </w:pPr>
            <w:r>
              <w:rPr>
                <w:rFonts w:hint="eastAsia"/>
              </w:rPr>
              <w:t>（2）维修维护方案；</w:t>
            </w:r>
          </w:p>
          <w:p w14:paraId="0A229A94">
            <w:pPr>
              <w:pStyle w:val="5"/>
            </w:pPr>
            <w:r>
              <w:rPr>
                <w:rFonts w:hint="eastAsia"/>
              </w:rPr>
              <w:t>（3）技术培训方案。</w:t>
            </w:r>
          </w:p>
          <w:p w14:paraId="7DC29957">
            <w:pPr>
              <w:pStyle w:val="5"/>
            </w:pPr>
            <w:r>
              <w:rPr>
                <w:rFonts w:hint="eastAsia"/>
              </w:rPr>
              <w:t>（二）评分标准：</w:t>
            </w:r>
          </w:p>
          <w:p w14:paraId="65A527FF">
            <w:pPr>
              <w:pStyle w:val="5"/>
            </w:pPr>
            <w:r>
              <w:rPr>
                <w:rFonts w:hint="eastAsia"/>
              </w:rPr>
              <w:t>满足以上三点要求得3分，满足任意两点得2分，满足任意一点得1分，其它不得分。</w:t>
            </w:r>
          </w:p>
          <w:p w14:paraId="0450C5FE">
            <w:pPr>
              <w:pStyle w:val="5"/>
            </w:pPr>
            <w:r>
              <w:rPr>
                <w:rFonts w:hint="eastAsia"/>
              </w:rPr>
              <w:t>在此基础上，评委根据各供应商的具体响应内容按照量化的评审因素指标进一步评审：</w:t>
            </w:r>
          </w:p>
          <w:p w14:paraId="47CE1FDB">
            <w:pPr>
              <w:pStyle w:val="5"/>
            </w:pPr>
            <w:r>
              <w:rPr>
                <w:rFonts w:hint="eastAsia"/>
              </w:rPr>
              <w:t>（1）售后服务机构及维护人员配置（需包含：①售后服务机构配置情况；②售后人员配备计划）</w:t>
            </w:r>
          </w:p>
          <w:p w14:paraId="500F65CE">
            <w:pPr>
              <w:pStyle w:val="5"/>
            </w:pPr>
            <w:r>
              <w:rPr>
                <w:rFonts w:hint="eastAsia"/>
              </w:rPr>
              <w:t>（2）维修保养服务内容（需包含：①日常保养方案；②定期保养方案；③维修工具和设备；④备品备件支持计划）</w:t>
            </w:r>
          </w:p>
          <w:p w14:paraId="1E1DE389">
            <w:pPr>
              <w:pStyle w:val="5"/>
            </w:pPr>
            <w:r>
              <w:rPr>
                <w:rFonts w:hint="eastAsia"/>
              </w:rPr>
              <w:t>（3）技术培训方案（需包含：①培训目标；②培训内容 ；③培训方式；④培训周期及效果）</w:t>
            </w:r>
          </w:p>
          <w:p w14:paraId="57469671">
            <w:pPr>
              <w:pStyle w:val="5"/>
            </w:pPr>
            <w:r>
              <w:rPr>
                <w:rFonts w:hint="eastAsia"/>
              </w:rPr>
              <w:t>满足以上三项内容的加3分，满足以上二项内容的加2分，满足一项评审的加1分，其他情况为差不加分。</w:t>
            </w:r>
          </w:p>
          <w:p w14:paraId="24FF80C2">
            <w:pPr>
              <w:pStyle w:val="5"/>
              <w:rPr>
                <w:rFonts w:ascii="宋体" w:hAnsi="宋体" w:cs="宋体"/>
                <w:szCs w:val="21"/>
              </w:rPr>
            </w:pPr>
            <w:r>
              <w:rPr>
                <w:rFonts w:hint="eastAsia"/>
              </w:rPr>
              <w:t>如果评审为差，要求评委书面说明理由，并记录在档。</w:t>
            </w:r>
          </w:p>
        </w:tc>
        <w:tc>
          <w:tcPr>
            <w:tcW w:w="1187" w:type="dxa"/>
            <w:vAlign w:val="center"/>
          </w:tcPr>
          <w:p w14:paraId="038BC115">
            <w:pPr>
              <w:tabs>
                <w:tab w:val="left" w:pos="426"/>
              </w:tabs>
              <w:spacing w:line="360" w:lineRule="exact"/>
              <w:jc w:val="center"/>
              <w:rPr>
                <w:rFonts w:ascii="宋体" w:hAnsi="宋体" w:cs="宋体"/>
                <w:szCs w:val="21"/>
              </w:rPr>
            </w:pPr>
            <w:r>
              <w:rPr>
                <w:rFonts w:hint="eastAsia" w:ascii="宋体" w:hAnsi="宋体" w:cs="宋体"/>
                <w:szCs w:val="21"/>
              </w:rPr>
              <w:t>评委打分</w:t>
            </w:r>
          </w:p>
        </w:tc>
      </w:tr>
      <w:tr w14:paraId="71C3EB7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044" w:hRule="atLeast"/>
          <w:jc w:val="center"/>
        </w:trPr>
        <w:tc>
          <w:tcPr>
            <w:tcW w:w="754" w:type="dxa"/>
            <w:vAlign w:val="center"/>
          </w:tcPr>
          <w:p w14:paraId="4AC17098">
            <w:pPr>
              <w:tabs>
                <w:tab w:val="left" w:pos="426"/>
              </w:tabs>
              <w:autoSpaceDE w:val="0"/>
              <w:autoSpaceDN w:val="0"/>
              <w:adjustRightInd w:val="0"/>
              <w:spacing w:line="360" w:lineRule="exact"/>
              <w:jc w:val="center"/>
              <w:rPr>
                <w:rFonts w:ascii="宋体" w:hAnsi="宋体" w:cs="宋体"/>
                <w:szCs w:val="21"/>
              </w:rPr>
            </w:pPr>
            <w:r>
              <w:rPr>
                <w:rFonts w:hint="eastAsia" w:ascii="宋体" w:hAnsi="宋体" w:cs="宋体"/>
                <w:szCs w:val="21"/>
              </w:rPr>
              <w:t>1</w:t>
            </w:r>
          </w:p>
        </w:tc>
        <w:tc>
          <w:tcPr>
            <w:tcW w:w="1143" w:type="dxa"/>
            <w:vAlign w:val="center"/>
          </w:tcPr>
          <w:p w14:paraId="323F8848">
            <w:pPr>
              <w:widowControl/>
              <w:tabs>
                <w:tab w:val="left" w:pos="426"/>
              </w:tabs>
              <w:spacing w:line="360" w:lineRule="exact"/>
              <w:jc w:val="center"/>
              <w:rPr>
                <w:rFonts w:ascii="宋体" w:hAnsi="宋体" w:cs="宋体"/>
                <w:szCs w:val="21"/>
              </w:rPr>
            </w:pPr>
            <w:r>
              <w:rPr>
                <w:rFonts w:hint="eastAsia" w:ascii="宋体" w:hAnsi="宋体" w:cs="宋体"/>
                <w:szCs w:val="21"/>
              </w:rPr>
              <w:t>商务需求条款偏离情况</w:t>
            </w:r>
          </w:p>
        </w:tc>
        <w:tc>
          <w:tcPr>
            <w:tcW w:w="709" w:type="dxa"/>
            <w:vAlign w:val="center"/>
          </w:tcPr>
          <w:p w14:paraId="02CED746">
            <w:pPr>
              <w:widowControl/>
              <w:tabs>
                <w:tab w:val="left" w:pos="426"/>
              </w:tabs>
              <w:spacing w:line="360" w:lineRule="exact"/>
              <w:jc w:val="center"/>
              <w:rPr>
                <w:rFonts w:ascii="宋体" w:hAnsi="宋体" w:cs="宋体"/>
                <w:szCs w:val="21"/>
              </w:rPr>
            </w:pPr>
            <w:r>
              <w:rPr>
                <w:rFonts w:hint="eastAsia" w:ascii="宋体" w:hAnsi="宋体" w:cs="宋体"/>
                <w:szCs w:val="21"/>
              </w:rPr>
              <w:t>7</w:t>
            </w:r>
          </w:p>
        </w:tc>
        <w:tc>
          <w:tcPr>
            <w:tcW w:w="5953" w:type="dxa"/>
            <w:vAlign w:val="center"/>
          </w:tcPr>
          <w:p w14:paraId="394928B0">
            <w:pPr>
              <w:tabs>
                <w:tab w:val="left" w:pos="426"/>
              </w:tabs>
              <w:autoSpaceDE w:val="0"/>
              <w:autoSpaceDN w:val="0"/>
              <w:adjustRightInd w:val="0"/>
              <w:spacing w:line="360" w:lineRule="exact"/>
              <w:jc w:val="left"/>
              <w:rPr>
                <w:rFonts w:ascii="宋体" w:hAnsi="宋体" w:cs="宋体"/>
                <w:szCs w:val="21"/>
              </w:rPr>
            </w:pPr>
            <w:r>
              <w:rPr>
                <w:rFonts w:hint="eastAsia" w:ascii="宋体" w:hAnsi="宋体" w:cs="宋体"/>
                <w:szCs w:val="21"/>
              </w:rPr>
              <w:t>投标人应如实填写《商务条款偏离表》，评审委员会根据服务条款响应情况进行评审：完全满足招标文件商务条款要求，应答完整的得7分；“</w:t>
            </w:r>
            <w:r>
              <w:rPr>
                <w:rFonts w:hint="eastAsia" w:ascii="宋体" w:hAnsi="宋体" w:cs="宋体"/>
                <w:kern w:val="0"/>
                <w:szCs w:val="21"/>
              </w:rPr>
              <w:t>★</w:t>
            </w:r>
            <w:r>
              <w:rPr>
                <w:rFonts w:hint="eastAsia" w:ascii="宋体" w:hAnsi="宋体" w:cs="宋体"/>
                <w:szCs w:val="21"/>
              </w:rPr>
              <w:t>”为不可偏离参数；以此为基础，投标人一般商务条款（一般条款共14项，共7分）响应低于招标文件规定的，每有一项减0.5分。本项最低得0分。</w:t>
            </w:r>
          </w:p>
          <w:p w14:paraId="78135392">
            <w:pPr>
              <w:numPr>
                <w:ilvl w:val="255"/>
                <w:numId w:val="0"/>
              </w:numPr>
              <w:tabs>
                <w:tab w:val="left" w:pos="426"/>
              </w:tabs>
              <w:autoSpaceDE w:val="0"/>
              <w:autoSpaceDN w:val="0"/>
              <w:adjustRightInd w:val="0"/>
              <w:spacing w:line="360" w:lineRule="exact"/>
              <w:jc w:val="left"/>
              <w:rPr>
                <w:rFonts w:ascii="宋体" w:hAnsi="宋体" w:cs="宋体"/>
                <w:szCs w:val="21"/>
              </w:rPr>
            </w:pPr>
            <w:r>
              <w:rPr>
                <w:rFonts w:hint="eastAsia" w:ascii="宋体" w:hAnsi="宋体" w:cs="宋体"/>
                <w:szCs w:val="21"/>
              </w:rPr>
              <w:t>商务要求中包含子项条款的，按子项条款响应情况逐项评分。</w:t>
            </w:r>
          </w:p>
        </w:tc>
        <w:tc>
          <w:tcPr>
            <w:tcW w:w="1187" w:type="dxa"/>
            <w:vAlign w:val="center"/>
          </w:tcPr>
          <w:p w14:paraId="61086E64">
            <w:pPr>
              <w:tabs>
                <w:tab w:val="left" w:pos="426"/>
              </w:tabs>
              <w:autoSpaceDE w:val="0"/>
              <w:autoSpaceDN w:val="0"/>
              <w:adjustRightInd w:val="0"/>
              <w:spacing w:line="360" w:lineRule="exact"/>
              <w:jc w:val="center"/>
              <w:rPr>
                <w:rFonts w:ascii="宋体" w:hAnsi="宋体" w:cs="宋体"/>
                <w:szCs w:val="21"/>
              </w:rPr>
            </w:pPr>
            <w:r>
              <w:rPr>
                <w:rFonts w:hint="eastAsia" w:ascii="宋体" w:hAnsi="宋体" w:cs="宋体"/>
                <w:szCs w:val="21"/>
              </w:rPr>
              <w:t>评委打分</w:t>
            </w:r>
          </w:p>
        </w:tc>
      </w:tr>
    </w:tbl>
    <w:p w14:paraId="27029332">
      <w:pPr>
        <w:numPr>
          <w:ilvl w:val="0"/>
          <w:numId w:val="0"/>
        </w:numPr>
        <w:spacing w:line="360" w:lineRule="auto"/>
        <w:rPr>
          <w:b/>
          <w:bCs/>
          <w:highlight w:val="none"/>
        </w:rPr>
      </w:pPr>
    </w:p>
    <w:p w14:paraId="1C049FC5">
      <w:pPr>
        <w:spacing w:line="360" w:lineRule="auto"/>
        <w:ind w:firstLine="420" w:firstLineChars="200"/>
        <w:rPr>
          <w:rFonts w:cs="宋体" w:asciiTheme="minorEastAsia" w:hAnsiTheme="minorEastAsia"/>
          <w:color w:val="000000"/>
          <w:szCs w:val="21"/>
          <w:highlight w:val="none"/>
        </w:rPr>
      </w:pPr>
      <w:r>
        <w:rPr>
          <w:rFonts w:hint="eastAsia" w:ascii="宋体" w:hAnsi="宋体"/>
          <w:szCs w:val="24"/>
          <w:highlight w:val="none"/>
        </w:rPr>
        <w:t>（</w:t>
      </w:r>
      <w:r>
        <w:rPr>
          <w:rFonts w:hint="eastAsia" w:ascii="宋体" w:hAnsi="宋体"/>
          <w:szCs w:val="24"/>
          <w:highlight w:val="none"/>
          <w:lang w:val="en-US" w:eastAsia="zh-CN"/>
        </w:rPr>
        <w:t>4</w:t>
      </w:r>
      <w:r>
        <w:rPr>
          <w:rFonts w:hint="eastAsia" w:ascii="宋体" w:hAnsi="宋体"/>
          <w:szCs w:val="24"/>
          <w:highlight w:val="none"/>
        </w:rPr>
        <w:t>）</w:t>
      </w:r>
      <w:r>
        <w:rPr>
          <w:rFonts w:hint="eastAsia" w:ascii="宋体" w:hAnsi="宋体"/>
          <w:b/>
          <w:bCs/>
          <w:szCs w:val="24"/>
          <w:highlight w:val="none"/>
        </w:rPr>
        <w:t>本项目</w:t>
      </w:r>
      <w:r>
        <w:rPr>
          <w:rFonts w:hint="eastAsia" w:ascii="宋体" w:hAnsi="宋体"/>
          <w:b/>
          <w:szCs w:val="24"/>
          <w:highlight w:val="none"/>
        </w:rPr>
        <w:t>投标截止时间、开标时间</w:t>
      </w:r>
      <w:r>
        <w:rPr>
          <w:rFonts w:hint="eastAsia" w:cs="宋体" w:asciiTheme="minorEastAsia" w:hAnsiTheme="minorEastAsia" w:eastAsiaTheme="minorEastAsia"/>
          <w:b/>
          <w:color w:val="000000"/>
          <w:szCs w:val="21"/>
          <w:highlight w:val="none"/>
        </w:rPr>
        <w:t>更正为：</w:t>
      </w:r>
      <w:r>
        <w:rPr>
          <w:rFonts w:hint="eastAsia" w:ascii="宋体" w:hAnsi="宋体" w:cs="宋体"/>
          <w:b/>
          <w:snapToGrid w:val="0"/>
          <w:kern w:val="0"/>
          <w:szCs w:val="21"/>
          <w:highlight w:val="none"/>
        </w:rPr>
        <w:t>“</w:t>
      </w:r>
      <w:r>
        <w:rPr>
          <w:rFonts w:hint="eastAsia" w:ascii="宋体" w:hAnsi="宋体"/>
          <w:b/>
          <w:highlight w:val="none"/>
          <w:u w:val="single"/>
        </w:rPr>
        <w:t>202</w:t>
      </w:r>
      <w:r>
        <w:rPr>
          <w:rFonts w:hint="eastAsia" w:ascii="宋体" w:hAnsi="宋体"/>
          <w:b/>
          <w:highlight w:val="none"/>
          <w:u w:val="single"/>
          <w:lang w:val="en-US" w:eastAsia="zh-CN"/>
        </w:rPr>
        <w:t>5</w:t>
      </w:r>
      <w:r>
        <w:rPr>
          <w:rFonts w:hint="eastAsia" w:ascii="宋体" w:hAnsi="宋体"/>
          <w:b/>
          <w:highlight w:val="none"/>
          <w:u w:val="single"/>
        </w:rPr>
        <w:t>年</w:t>
      </w:r>
      <w:r>
        <w:rPr>
          <w:rFonts w:hint="eastAsia" w:ascii="宋体" w:hAnsi="宋体"/>
          <w:b/>
          <w:highlight w:val="none"/>
          <w:u w:val="single"/>
          <w:lang w:val="en-US" w:eastAsia="zh-CN"/>
        </w:rPr>
        <w:t>05</w:t>
      </w:r>
      <w:r>
        <w:rPr>
          <w:rFonts w:ascii="宋体" w:hAnsi="宋体"/>
          <w:b/>
          <w:highlight w:val="none"/>
          <w:u w:val="single"/>
        </w:rPr>
        <w:t>月</w:t>
      </w:r>
      <w:r>
        <w:rPr>
          <w:rFonts w:hint="eastAsia" w:ascii="宋体" w:hAnsi="宋体"/>
          <w:b/>
          <w:highlight w:val="none"/>
          <w:u w:val="single"/>
          <w:lang w:val="en-US" w:eastAsia="zh-CN"/>
        </w:rPr>
        <w:t>09</w:t>
      </w:r>
      <w:r>
        <w:rPr>
          <w:rFonts w:ascii="宋体" w:hAnsi="宋体"/>
          <w:b/>
          <w:highlight w:val="none"/>
          <w:u w:val="single"/>
        </w:rPr>
        <w:t>日</w:t>
      </w:r>
      <w:r>
        <w:rPr>
          <w:rFonts w:hint="eastAsia" w:ascii="宋体" w:hAnsi="宋体"/>
          <w:b/>
          <w:highlight w:val="none"/>
          <w:u w:val="single"/>
          <w:lang w:val="en-US" w:eastAsia="zh-CN"/>
        </w:rPr>
        <w:t>09</w:t>
      </w:r>
      <w:r>
        <w:rPr>
          <w:rFonts w:hint="eastAsia" w:ascii="宋体" w:hAnsi="宋体"/>
          <w:b/>
          <w:highlight w:val="none"/>
          <w:u w:val="single"/>
        </w:rPr>
        <w:t>:30（北京时间）”</w:t>
      </w:r>
    </w:p>
    <w:p w14:paraId="45C12E98">
      <w:pPr>
        <w:spacing w:line="360" w:lineRule="auto"/>
        <w:ind w:firstLine="420" w:firstLineChars="20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原招标公告及招标文件（含附件）其他内容不作修改，如有不一致，以本公告更正内容为准。</w:t>
      </w:r>
    </w:p>
    <w:p w14:paraId="17F061AD">
      <w:pPr>
        <w:spacing w:line="360" w:lineRule="auto"/>
        <w:ind w:firstLine="420" w:firstLineChars="20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3、更正日期：202</w:t>
      </w:r>
      <w:r>
        <w:rPr>
          <w:rFonts w:hint="eastAsia" w:asciiTheme="minorEastAsia" w:hAnsiTheme="minorEastAsia" w:eastAsiaTheme="minorEastAsia"/>
          <w:szCs w:val="21"/>
          <w:highlight w:val="none"/>
          <w:lang w:val="en-US" w:eastAsia="zh-CN"/>
        </w:rPr>
        <w:t>5</w:t>
      </w:r>
      <w:r>
        <w:rPr>
          <w:rFonts w:hint="eastAsia" w:asciiTheme="minorEastAsia" w:hAnsiTheme="minorEastAsia" w:eastAsiaTheme="minorEastAsia"/>
          <w:szCs w:val="21"/>
          <w:highlight w:val="none"/>
        </w:rPr>
        <w:t>年</w:t>
      </w:r>
      <w:r>
        <w:rPr>
          <w:rFonts w:hint="eastAsia" w:asciiTheme="minorEastAsia" w:hAnsiTheme="minorEastAsia" w:eastAsiaTheme="minorEastAsia"/>
          <w:szCs w:val="21"/>
          <w:highlight w:val="none"/>
          <w:lang w:val="en-US" w:eastAsia="zh-CN"/>
        </w:rPr>
        <w:t>04</w:t>
      </w:r>
      <w:r>
        <w:rPr>
          <w:rFonts w:hint="eastAsia" w:asciiTheme="minorEastAsia" w:hAnsiTheme="minorEastAsia" w:eastAsiaTheme="minorEastAsia"/>
          <w:szCs w:val="21"/>
          <w:highlight w:val="none"/>
        </w:rPr>
        <w:t>月</w:t>
      </w:r>
      <w:r>
        <w:rPr>
          <w:rFonts w:hint="eastAsia" w:asciiTheme="minorEastAsia" w:hAnsiTheme="minorEastAsia" w:eastAsiaTheme="minorEastAsia"/>
          <w:szCs w:val="21"/>
          <w:highlight w:val="none"/>
          <w:lang w:val="en-US" w:eastAsia="zh-CN"/>
        </w:rPr>
        <w:t>23</w:t>
      </w:r>
      <w:r>
        <w:rPr>
          <w:rFonts w:hint="eastAsia" w:asciiTheme="minorEastAsia" w:hAnsiTheme="minorEastAsia" w:eastAsiaTheme="minorEastAsia"/>
          <w:szCs w:val="21"/>
          <w:highlight w:val="none"/>
        </w:rPr>
        <w:t>日</w:t>
      </w:r>
      <w:bookmarkStart w:id="14" w:name="_Toc43824654"/>
    </w:p>
    <w:p w14:paraId="3991D750">
      <w:pPr>
        <w:spacing w:line="360" w:lineRule="auto"/>
        <w:rPr>
          <w:rFonts w:asciiTheme="minorEastAsia" w:hAnsiTheme="minorEastAsia" w:eastAsiaTheme="minorEastAsia"/>
          <w:b/>
          <w:szCs w:val="21"/>
          <w:highlight w:val="none"/>
        </w:rPr>
      </w:pPr>
      <w:r>
        <w:rPr>
          <w:rFonts w:hint="eastAsia" w:asciiTheme="minorEastAsia" w:hAnsiTheme="minorEastAsia" w:eastAsiaTheme="minorEastAsia"/>
          <w:b/>
          <w:szCs w:val="21"/>
          <w:highlight w:val="none"/>
        </w:rPr>
        <w:t>三、其他补充事宜</w:t>
      </w:r>
      <w:bookmarkEnd w:id="14"/>
    </w:p>
    <w:p w14:paraId="145F5E12">
      <w:pPr>
        <w:spacing w:line="360" w:lineRule="auto"/>
        <w:ind w:firstLine="420" w:firstLineChars="200"/>
        <w:rPr>
          <w:rFonts w:asciiTheme="minorEastAsia" w:hAnsiTheme="minorEastAsia" w:eastAsiaTheme="minorEastAsia"/>
          <w:szCs w:val="21"/>
          <w:highlight w:val="none"/>
        </w:rPr>
      </w:pPr>
      <w:bookmarkStart w:id="15" w:name="_Toc43824655"/>
      <w:r>
        <w:rPr>
          <w:rFonts w:hint="eastAsia" w:asciiTheme="minorEastAsia" w:hAnsiTheme="minorEastAsia" w:eastAsiaTheme="minorEastAsia"/>
          <w:szCs w:val="21"/>
          <w:highlight w:val="none"/>
        </w:rPr>
        <w:t>无</w:t>
      </w:r>
    </w:p>
    <w:bookmarkEnd w:id="15"/>
    <w:p w14:paraId="226ECFBC">
      <w:pPr>
        <w:spacing w:line="360" w:lineRule="auto"/>
        <w:rPr>
          <w:rFonts w:asciiTheme="minorEastAsia" w:hAnsiTheme="minorEastAsia" w:eastAsiaTheme="minorEastAsia"/>
          <w:b/>
          <w:szCs w:val="21"/>
          <w:highlight w:val="none"/>
        </w:rPr>
      </w:pPr>
      <w:r>
        <w:rPr>
          <w:rFonts w:hint="eastAsia" w:asciiTheme="minorEastAsia" w:hAnsiTheme="minorEastAsia" w:eastAsiaTheme="minorEastAsia"/>
          <w:b/>
          <w:szCs w:val="21"/>
          <w:highlight w:val="none"/>
        </w:rPr>
        <w:t>四、凡对本次公告内容提出询问，请按以下方式联系。</w:t>
      </w:r>
    </w:p>
    <w:p w14:paraId="436F3713">
      <w:pPr>
        <w:pStyle w:val="39"/>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highlight w:val="none"/>
        </w:rPr>
      </w:pPr>
      <w:r>
        <w:rPr>
          <w:rFonts w:hint="eastAsia" w:ascii="宋体" w:hAnsi="宋体" w:eastAsia="宋体"/>
          <w:snapToGrid w:val="0"/>
          <w:color w:val="auto"/>
          <w:sz w:val="21"/>
          <w:szCs w:val="21"/>
          <w:highlight w:val="none"/>
        </w:rPr>
        <w:t>1</w:t>
      </w:r>
      <w:r>
        <w:rPr>
          <w:rFonts w:hint="eastAsia" w:ascii="宋体" w:hAnsi="宋体" w:eastAsia="宋体"/>
          <w:snapToGrid w:val="0"/>
          <w:color w:val="auto"/>
          <w:sz w:val="21"/>
          <w:szCs w:val="21"/>
          <w:highlight w:val="none"/>
          <w:lang w:val="en-US" w:eastAsia="zh-CN"/>
        </w:rPr>
        <w:t>、</w:t>
      </w:r>
      <w:r>
        <w:rPr>
          <w:rFonts w:hint="eastAsia" w:ascii="宋体" w:hAnsi="宋体" w:eastAsia="宋体"/>
          <w:snapToGrid w:val="0"/>
          <w:color w:val="auto"/>
          <w:sz w:val="21"/>
          <w:szCs w:val="21"/>
          <w:highlight w:val="none"/>
        </w:rPr>
        <w:t>采购人信息</w:t>
      </w:r>
    </w:p>
    <w:p w14:paraId="392AD251">
      <w:pPr>
        <w:adjustRightInd w:val="0"/>
        <w:snapToGrid w:val="0"/>
        <w:spacing w:line="360" w:lineRule="auto"/>
        <w:ind w:left="359" w:leftChars="171" w:firstLine="65" w:firstLineChars="31"/>
        <w:jc w:val="left"/>
        <w:rPr>
          <w:rFonts w:ascii="宋体" w:hAnsi="宋体" w:cs="宋体"/>
          <w:snapToGrid w:val="0"/>
          <w:kern w:val="0"/>
          <w:szCs w:val="21"/>
          <w:highlight w:val="none"/>
        </w:rPr>
      </w:pPr>
      <w:r>
        <w:rPr>
          <w:rFonts w:hint="eastAsia" w:ascii="宋体" w:hAnsi="宋体" w:cs="宋体"/>
          <w:snapToGrid w:val="0"/>
          <w:kern w:val="0"/>
          <w:szCs w:val="21"/>
          <w:highlight w:val="none"/>
        </w:rPr>
        <w:t>名称：深圳国际旅行卫生保健中心（深圳海关口岸门诊部）</w:t>
      </w:r>
    </w:p>
    <w:p w14:paraId="50B8E585">
      <w:pPr>
        <w:adjustRightInd w:val="0"/>
        <w:snapToGrid w:val="0"/>
        <w:spacing w:line="360" w:lineRule="auto"/>
        <w:ind w:left="359" w:leftChars="171" w:firstLine="65" w:firstLineChars="31"/>
        <w:jc w:val="left"/>
        <w:rPr>
          <w:rFonts w:hint="eastAsia" w:ascii="宋体" w:hAnsi="宋体" w:cs="宋体"/>
          <w:snapToGrid w:val="0"/>
          <w:kern w:val="0"/>
          <w:szCs w:val="21"/>
          <w:highlight w:val="none"/>
        </w:rPr>
      </w:pPr>
      <w:r>
        <w:rPr>
          <w:rFonts w:hint="eastAsia" w:ascii="宋体" w:hAnsi="宋体" w:cs="宋体"/>
          <w:snapToGrid w:val="0"/>
          <w:kern w:val="0"/>
          <w:szCs w:val="21"/>
          <w:highlight w:val="none"/>
        </w:rPr>
        <w:t>地址：深圳市福田区皇岗口岸生活区1号综合楼</w:t>
      </w:r>
    </w:p>
    <w:p w14:paraId="4F5633F0">
      <w:pPr>
        <w:adjustRightInd w:val="0"/>
        <w:snapToGrid w:val="0"/>
        <w:spacing w:line="360" w:lineRule="auto"/>
        <w:ind w:left="359" w:leftChars="171" w:firstLine="65" w:firstLineChars="31"/>
        <w:jc w:val="left"/>
        <w:rPr>
          <w:rFonts w:ascii="宋体" w:hAnsi="宋体" w:eastAsia="宋体" w:cs="宋体"/>
          <w:snapToGrid w:val="0"/>
          <w:kern w:val="0"/>
          <w:szCs w:val="21"/>
        </w:rPr>
      </w:pPr>
      <w:r>
        <w:rPr>
          <w:rFonts w:hint="eastAsia" w:ascii="宋体" w:hAnsi="宋体" w:eastAsia="宋体" w:cs="宋体"/>
          <w:snapToGrid w:val="0"/>
          <w:kern w:val="0"/>
          <w:szCs w:val="21"/>
        </w:rPr>
        <w:t>联系方式：</w:t>
      </w:r>
      <w:r>
        <w:rPr>
          <w:rFonts w:hint="eastAsia" w:ascii="宋体" w:hAnsi="宋体" w:cs="宋体"/>
          <w:szCs w:val="21"/>
        </w:rPr>
        <w:t>刘先生，0755-84394179</w:t>
      </w:r>
      <w:bookmarkStart w:id="16" w:name="_GoBack"/>
      <w:bookmarkEnd w:id="16"/>
    </w:p>
    <w:p w14:paraId="61FC5254">
      <w:pPr>
        <w:adjustRightInd w:val="0"/>
        <w:snapToGrid w:val="0"/>
        <w:spacing w:line="360" w:lineRule="auto"/>
        <w:ind w:left="359" w:leftChars="171" w:firstLine="65" w:firstLineChars="31"/>
        <w:jc w:val="left"/>
        <w:rPr>
          <w:rFonts w:ascii="宋体" w:hAnsi="宋体" w:eastAsia="宋体" w:cs="宋体"/>
          <w:snapToGrid w:val="0"/>
          <w:kern w:val="0"/>
          <w:szCs w:val="21"/>
        </w:rPr>
      </w:pPr>
      <w:r>
        <w:rPr>
          <w:rFonts w:hint="eastAsia" w:ascii="宋体" w:hAnsi="宋体" w:eastAsia="宋体" w:cs="宋体"/>
          <w:snapToGrid w:val="0"/>
          <w:kern w:val="0"/>
          <w:szCs w:val="21"/>
        </w:rPr>
        <w:t>采购人监督投诉电话：0755-84398457</w:t>
      </w:r>
    </w:p>
    <w:p w14:paraId="6391A213">
      <w:pPr>
        <w:adjustRightInd w:val="0"/>
        <w:snapToGrid w:val="0"/>
        <w:spacing w:line="360" w:lineRule="auto"/>
        <w:ind w:left="359" w:leftChars="171" w:firstLine="65" w:firstLineChars="31"/>
        <w:jc w:val="left"/>
        <w:rPr>
          <w:rFonts w:ascii="宋体" w:hAnsi="宋体" w:cs="宋体"/>
          <w:snapToGrid w:val="0"/>
          <w:kern w:val="0"/>
          <w:szCs w:val="21"/>
          <w:highlight w:val="none"/>
        </w:rPr>
      </w:pPr>
      <w:r>
        <w:rPr>
          <w:rFonts w:hint="eastAsia" w:ascii="宋体" w:hAnsi="宋体" w:cs="宋体"/>
          <w:snapToGrid w:val="0"/>
          <w:kern w:val="0"/>
          <w:szCs w:val="21"/>
          <w:highlight w:val="none"/>
        </w:rPr>
        <w:t>2</w:t>
      </w:r>
      <w:r>
        <w:rPr>
          <w:rFonts w:hint="eastAsia" w:ascii="宋体" w:hAnsi="宋体" w:cs="宋体"/>
          <w:snapToGrid w:val="0"/>
          <w:kern w:val="0"/>
          <w:szCs w:val="21"/>
          <w:highlight w:val="none"/>
          <w:lang w:eastAsia="zh-CN"/>
        </w:rPr>
        <w:t>、</w:t>
      </w:r>
      <w:r>
        <w:rPr>
          <w:rFonts w:hint="eastAsia" w:ascii="宋体" w:hAnsi="宋体" w:cs="宋体"/>
          <w:snapToGrid w:val="0"/>
          <w:kern w:val="0"/>
          <w:szCs w:val="21"/>
          <w:highlight w:val="none"/>
        </w:rPr>
        <w:t>招标代理机构信息</w:t>
      </w:r>
    </w:p>
    <w:p w14:paraId="3D9E46E8">
      <w:pPr>
        <w:adjustRightInd w:val="0"/>
        <w:snapToGrid w:val="0"/>
        <w:spacing w:line="360" w:lineRule="auto"/>
        <w:ind w:left="359" w:leftChars="171" w:firstLine="65" w:firstLineChars="31"/>
        <w:jc w:val="left"/>
        <w:rPr>
          <w:rFonts w:ascii="宋体" w:hAnsi="宋体" w:cs="宋体"/>
          <w:snapToGrid w:val="0"/>
          <w:kern w:val="0"/>
          <w:szCs w:val="21"/>
          <w:highlight w:val="none"/>
        </w:rPr>
      </w:pPr>
      <w:r>
        <w:rPr>
          <w:rFonts w:hint="eastAsia" w:ascii="宋体" w:hAnsi="宋体" w:cs="宋体"/>
          <w:snapToGrid w:val="0"/>
          <w:kern w:val="0"/>
          <w:szCs w:val="21"/>
          <w:highlight w:val="none"/>
        </w:rPr>
        <w:t>名称：深圳市中正招标有限公司</w:t>
      </w:r>
    </w:p>
    <w:p w14:paraId="1DD910A5">
      <w:pPr>
        <w:adjustRightInd w:val="0"/>
        <w:snapToGrid w:val="0"/>
        <w:spacing w:line="360" w:lineRule="auto"/>
        <w:ind w:left="359" w:leftChars="171" w:firstLine="65" w:firstLineChars="31"/>
        <w:jc w:val="left"/>
        <w:rPr>
          <w:rFonts w:ascii="宋体" w:hAnsi="宋体" w:cs="宋体"/>
          <w:snapToGrid w:val="0"/>
          <w:kern w:val="0"/>
          <w:szCs w:val="21"/>
          <w:highlight w:val="none"/>
        </w:rPr>
      </w:pPr>
      <w:r>
        <w:rPr>
          <w:rFonts w:hint="eastAsia" w:ascii="宋体" w:hAnsi="宋体" w:cs="宋体"/>
          <w:snapToGrid w:val="0"/>
          <w:kern w:val="0"/>
          <w:szCs w:val="21"/>
          <w:highlight w:val="none"/>
        </w:rPr>
        <w:t>地址：深圳市福田区民田路171号新华保险大厦903</w:t>
      </w:r>
    </w:p>
    <w:p w14:paraId="4B4417C3">
      <w:pPr>
        <w:adjustRightInd w:val="0"/>
        <w:snapToGrid w:val="0"/>
        <w:spacing w:line="360" w:lineRule="auto"/>
        <w:ind w:left="359" w:leftChars="171" w:firstLine="65" w:firstLineChars="31"/>
        <w:jc w:val="left"/>
        <w:rPr>
          <w:rFonts w:ascii="宋体" w:hAnsi="宋体" w:cs="宋体"/>
          <w:snapToGrid w:val="0"/>
          <w:kern w:val="0"/>
          <w:szCs w:val="21"/>
          <w:highlight w:val="none"/>
        </w:rPr>
      </w:pPr>
      <w:r>
        <w:rPr>
          <w:rFonts w:hint="eastAsia" w:ascii="宋体" w:hAnsi="宋体" w:cs="宋体"/>
          <w:snapToGrid w:val="0"/>
          <w:kern w:val="0"/>
          <w:szCs w:val="21"/>
          <w:highlight w:val="none"/>
        </w:rPr>
        <w:t>联系方式：姚工，0755-83026699</w:t>
      </w:r>
    </w:p>
    <w:p w14:paraId="692996BF">
      <w:pPr>
        <w:adjustRightInd w:val="0"/>
        <w:snapToGrid w:val="0"/>
        <w:spacing w:line="360" w:lineRule="auto"/>
        <w:ind w:left="359" w:leftChars="171" w:firstLine="65" w:firstLineChars="31"/>
        <w:jc w:val="left"/>
        <w:rPr>
          <w:rFonts w:ascii="宋体" w:hAnsi="宋体" w:cs="宋体"/>
          <w:snapToGrid w:val="0"/>
          <w:kern w:val="0"/>
          <w:szCs w:val="21"/>
          <w:highlight w:val="none"/>
        </w:rPr>
      </w:pPr>
      <w:r>
        <w:rPr>
          <w:rFonts w:hint="eastAsia" w:ascii="宋体" w:hAnsi="宋体" w:cs="宋体"/>
          <w:snapToGrid w:val="0"/>
          <w:kern w:val="0"/>
          <w:szCs w:val="21"/>
          <w:highlight w:val="none"/>
        </w:rPr>
        <w:t>3</w:t>
      </w:r>
      <w:r>
        <w:rPr>
          <w:rFonts w:hint="eastAsia" w:ascii="宋体" w:hAnsi="宋体" w:cs="宋体"/>
          <w:snapToGrid w:val="0"/>
          <w:kern w:val="0"/>
          <w:szCs w:val="21"/>
          <w:highlight w:val="none"/>
          <w:lang w:eastAsia="zh-CN"/>
        </w:rPr>
        <w:t>、</w:t>
      </w:r>
      <w:r>
        <w:rPr>
          <w:rFonts w:hint="eastAsia" w:ascii="宋体" w:hAnsi="宋体" w:cs="宋体"/>
          <w:snapToGrid w:val="0"/>
          <w:kern w:val="0"/>
          <w:szCs w:val="21"/>
          <w:highlight w:val="none"/>
        </w:rPr>
        <w:t>项目联系方式</w:t>
      </w:r>
    </w:p>
    <w:p w14:paraId="3A1D7A8E">
      <w:pPr>
        <w:adjustRightInd w:val="0"/>
        <w:snapToGrid w:val="0"/>
        <w:spacing w:line="360" w:lineRule="auto"/>
        <w:ind w:left="359" w:leftChars="171" w:firstLine="65" w:firstLineChars="31"/>
        <w:jc w:val="left"/>
        <w:rPr>
          <w:rFonts w:ascii="宋体" w:hAnsi="宋体" w:cs="宋体"/>
          <w:snapToGrid w:val="0"/>
          <w:kern w:val="0"/>
          <w:szCs w:val="21"/>
          <w:highlight w:val="none"/>
        </w:rPr>
      </w:pPr>
      <w:r>
        <w:rPr>
          <w:rFonts w:hint="eastAsia" w:ascii="宋体" w:hAnsi="宋体" w:cs="宋体"/>
          <w:snapToGrid w:val="0"/>
          <w:kern w:val="0"/>
          <w:szCs w:val="21"/>
          <w:highlight w:val="none"/>
        </w:rPr>
        <w:t>项目联系人：姚工</w:t>
      </w:r>
    </w:p>
    <w:p w14:paraId="00187DA7">
      <w:pPr>
        <w:adjustRightInd w:val="0"/>
        <w:snapToGrid w:val="0"/>
        <w:spacing w:line="360" w:lineRule="auto"/>
        <w:ind w:left="359" w:leftChars="171" w:firstLine="65" w:firstLineChars="31"/>
        <w:jc w:val="left"/>
        <w:rPr>
          <w:rFonts w:ascii="宋体" w:hAnsi="宋体" w:cs="宋体"/>
          <w:snapToGrid w:val="0"/>
          <w:kern w:val="0"/>
          <w:szCs w:val="21"/>
          <w:highlight w:val="none"/>
        </w:rPr>
      </w:pPr>
      <w:r>
        <w:rPr>
          <w:rFonts w:hint="eastAsia" w:ascii="宋体" w:hAnsi="宋体" w:cs="宋体"/>
          <w:snapToGrid w:val="0"/>
          <w:kern w:val="0"/>
          <w:szCs w:val="21"/>
          <w:highlight w:val="none"/>
        </w:rPr>
        <w:t>联系电话：0755-83026699</w:t>
      </w:r>
    </w:p>
    <w:p w14:paraId="50213042">
      <w:pPr>
        <w:pStyle w:val="39"/>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highlight w:val="none"/>
        </w:rPr>
      </w:pPr>
    </w:p>
    <w:p w14:paraId="6E0D29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9" w:leftChars="2628" w:hanging="240" w:hangingChars="100"/>
        <w:jc w:val="right"/>
        <w:rPr>
          <w:rFonts w:ascii="宋体" w:hAnsi="宋体"/>
          <w:snapToGrid w:val="0"/>
          <w:kern w:val="0"/>
          <w:sz w:val="24"/>
          <w:szCs w:val="24"/>
          <w:highlight w:val="none"/>
        </w:rPr>
      </w:pPr>
      <w:r>
        <w:rPr>
          <w:rFonts w:hint="eastAsia" w:ascii="宋体" w:hAnsi="宋体"/>
          <w:snapToGrid w:val="0"/>
          <w:kern w:val="0"/>
          <w:sz w:val="24"/>
          <w:szCs w:val="24"/>
          <w:highlight w:val="none"/>
        </w:rPr>
        <w:t>深圳市中正招标有限公司</w:t>
      </w:r>
    </w:p>
    <w:p w14:paraId="07A1AD2A">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80" w:firstLineChars="200"/>
        <w:jc w:val="right"/>
        <w:rPr>
          <w:highlight w:val="none"/>
        </w:rPr>
      </w:pPr>
      <w:r>
        <w:rPr>
          <w:rFonts w:hint="eastAsia" w:ascii="宋体" w:hAnsi="宋体"/>
          <w:snapToGrid w:val="0"/>
          <w:kern w:val="0"/>
          <w:sz w:val="24"/>
          <w:szCs w:val="24"/>
          <w:highlight w:val="none"/>
        </w:rPr>
        <w:t>202</w:t>
      </w:r>
      <w:r>
        <w:rPr>
          <w:rFonts w:hint="eastAsia" w:ascii="宋体" w:hAnsi="宋体"/>
          <w:snapToGrid w:val="0"/>
          <w:kern w:val="0"/>
          <w:sz w:val="24"/>
          <w:szCs w:val="24"/>
          <w:highlight w:val="none"/>
          <w:lang w:val="en-US" w:eastAsia="zh-CN"/>
        </w:rPr>
        <w:t>5</w:t>
      </w:r>
      <w:r>
        <w:rPr>
          <w:rFonts w:ascii="宋体" w:hAnsi="宋体"/>
          <w:snapToGrid w:val="0"/>
          <w:kern w:val="0"/>
          <w:sz w:val="24"/>
          <w:szCs w:val="24"/>
          <w:highlight w:val="none"/>
        </w:rPr>
        <w:t>年</w:t>
      </w:r>
      <w:r>
        <w:rPr>
          <w:rFonts w:hint="eastAsia" w:ascii="宋体" w:hAnsi="宋体"/>
          <w:snapToGrid w:val="0"/>
          <w:kern w:val="0"/>
          <w:sz w:val="24"/>
          <w:szCs w:val="24"/>
          <w:highlight w:val="none"/>
          <w:lang w:val="en-US" w:eastAsia="zh-CN"/>
        </w:rPr>
        <w:t>04</w:t>
      </w:r>
      <w:r>
        <w:rPr>
          <w:rFonts w:ascii="宋体" w:hAnsi="宋体"/>
          <w:snapToGrid w:val="0"/>
          <w:kern w:val="0"/>
          <w:sz w:val="24"/>
          <w:szCs w:val="24"/>
          <w:highlight w:val="none"/>
        </w:rPr>
        <w:t>月</w:t>
      </w:r>
      <w:r>
        <w:rPr>
          <w:rFonts w:hint="eastAsia" w:ascii="宋体" w:hAnsi="宋体"/>
          <w:snapToGrid w:val="0"/>
          <w:kern w:val="0"/>
          <w:sz w:val="24"/>
          <w:szCs w:val="24"/>
          <w:highlight w:val="none"/>
          <w:lang w:val="en-US" w:eastAsia="zh-CN"/>
        </w:rPr>
        <w:t>23</w:t>
      </w:r>
      <w:r>
        <w:rPr>
          <w:rFonts w:hint="eastAsia" w:ascii="宋体" w:hAnsi="宋体"/>
          <w:snapToGrid w:val="0"/>
          <w:kern w:val="0"/>
          <w:sz w:val="24"/>
          <w:szCs w:val="24"/>
          <w:highlight w:val="none"/>
        </w:rPr>
        <w:t>日</w:t>
      </w:r>
    </w:p>
    <w:bookmarkEnd w:id="9"/>
    <w:bookmarkEnd w:id="10"/>
    <w:p w14:paraId="2B63331E"/>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69663037"/>
    </w:sdtPr>
    <w:sdtContent>
      <w:p w14:paraId="7DA6872E">
        <w:pPr>
          <w:pStyle w:val="10"/>
          <w:jc w:val="center"/>
        </w:pPr>
        <w:r>
          <w:fldChar w:fldCharType="begin"/>
        </w:r>
        <w:r>
          <w:instrText xml:space="preserve">PAGE   \* MERGEFORMAT</w:instrText>
        </w:r>
        <w:r>
          <w:fldChar w:fldCharType="separate"/>
        </w:r>
        <w:r>
          <w:rPr>
            <w:lang w:val="zh-CN"/>
          </w:rPr>
          <w:t>28</w:t>
        </w:r>
        <w:r>
          <w:fldChar w:fldCharType="end"/>
        </w:r>
      </w:p>
    </w:sdtContent>
  </w:sdt>
  <w:p w14:paraId="62A6A318">
    <w:pPr>
      <w:pStyle w:val="1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0FD31F"/>
    <w:multiLevelType w:val="singleLevel"/>
    <w:tmpl w:val="D00FD31F"/>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44094"/>
    <w:rsid w:val="000312DE"/>
    <w:rsid w:val="0005737B"/>
    <w:rsid w:val="000726D8"/>
    <w:rsid w:val="000A6769"/>
    <w:rsid w:val="000D3B95"/>
    <w:rsid w:val="000D5040"/>
    <w:rsid w:val="000D6508"/>
    <w:rsid w:val="00110BD8"/>
    <w:rsid w:val="00151C8B"/>
    <w:rsid w:val="001A1609"/>
    <w:rsid w:val="00244094"/>
    <w:rsid w:val="00246690"/>
    <w:rsid w:val="00267331"/>
    <w:rsid w:val="002F4172"/>
    <w:rsid w:val="00322E12"/>
    <w:rsid w:val="003D04C7"/>
    <w:rsid w:val="00430D5D"/>
    <w:rsid w:val="00445621"/>
    <w:rsid w:val="004B0417"/>
    <w:rsid w:val="004F0CA3"/>
    <w:rsid w:val="004F449A"/>
    <w:rsid w:val="005902A4"/>
    <w:rsid w:val="006939FC"/>
    <w:rsid w:val="0079663A"/>
    <w:rsid w:val="007E2D83"/>
    <w:rsid w:val="0080774A"/>
    <w:rsid w:val="00877C6E"/>
    <w:rsid w:val="008974EE"/>
    <w:rsid w:val="008A1192"/>
    <w:rsid w:val="008A2FE7"/>
    <w:rsid w:val="0090581E"/>
    <w:rsid w:val="00910A4C"/>
    <w:rsid w:val="00966F02"/>
    <w:rsid w:val="009A15C7"/>
    <w:rsid w:val="00A30F31"/>
    <w:rsid w:val="00A3374C"/>
    <w:rsid w:val="00C37A88"/>
    <w:rsid w:val="00C52F06"/>
    <w:rsid w:val="00C61BBE"/>
    <w:rsid w:val="00C95981"/>
    <w:rsid w:val="00D26832"/>
    <w:rsid w:val="00DA7067"/>
    <w:rsid w:val="00DC09FA"/>
    <w:rsid w:val="00E457B7"/>
    <w:rsid w:val="00E702D6"/>
    <w:rsid w:val="00E75E92"/>
    <w:rsid w:val="00ED7C2A"/>
    <w:rsid w:val="00EE3266"/>
    <w:rsid w:val="00F53A4B"/>
    <w:rsid w:val="217C6D52"/>
    <w:rsid w:val="3083302F"/>
    <w:rsid w:val="42465B08"/>
    <w:rsid w:val="6C040916"/>
    <w:rsid w:val="6EC87C92"/>
    <w:rsid w:val="7BFF27F1"/>
    <w:rsid w:val="7DDE3E79"/>
    <w:rsid w:val="7EDF269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24"/>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5"/>
    <w:qFormat/>
    <w:uiPriority w:val="0"/>
    <w:pPr>
      <w:keepNext/>
      <w:keepLines/>
      <w:spacing w:before="260" w:after="260" w:line="415" w:lineRule="auto"/>
      <w:outlineLvl w:val="1"/>
    </w:pPr>
    <w:rPr>
      <w:rFonts w:ascii="Arial" w:hAnsi="Arial" w:eastAsia="黑体" w:cs="Arial"/>
      <w:b/>
      <w:bCs/>
      <w:sz w:val="32"/>
      <w:szCs w:val="3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38"/>
    <w:semiHidden/>
    <w:unhideWhenUsed/>
    <w:qFormat/>
    <w:uiPriority w:val="99"/>
    <w:rPr>
      <w:rFonts w:ascii="宋体"/>
      <w:sz w:val="18"/>
      <w:szCs w:val="18"/>
    </w:rPr>
  </w:style>
  <w:style w:type="paragraph" w:styleId="5">
    <w:name w:val="annotation text"/>
    <w:basedOn w:val="1"/>
    <w:link w:val="26"/>
    <w:semiHidden/>
    <w:unhideWhenUsed/>
    <w:qFormat/>
    <w:uiPriority w:val="99"/>
    <w:pPr>
      <w:jc w:val="left"/>
    </w:pPr>
  </w:style>
  <w:style w:type="paragraph" w:styleId="6">
    <w:name w:val="toc 3"/>
    <w:basedOn w:val="1"/>
    <w:next w:val="1"/>
    <w:unhideWhenUsed/>
    <w:qFormat/>
    <w:uiPriority w:val="39"/>
    <w:pPr>
      <w:widowControl/>
      <w:spacing w:after="100" w:line="259" w:lineRule="auto"/>
      <w:ind w:left="440"/>
      <w:jc w:val="left"/>
    </w:pPr>
    <w:rPr>
      <w:rFonts w:asciiTheme="minorHAnsi" w:hAnsiTheme="minorHAnsi" w:eastAsiaTheme="minorEastAsia"/>
      <w:kern w:val="0"/>
      <w:sz w:val="22"/>
      <w:szCs w:val="22"/>
    </w:rPr>
  </w:style>
  <w:style w:type="paragraph" w:styleId="7">
    <w:name w:val="Plain Text"/>
    <w:basedOn w:val="1"/>
    <w:link w:val="27"/>
    <w:qFormat/>
    <w:uiPriority w:val="0"/>
    <w:rPr>
      <w:rFonts w:ascii="宋体" w:hAnsi="Courier New" w:eastAsiaTheme="minorEastAsia" w:cstheme="minorBidi"/>
      <w:szCs w:val="22"/>
    </w:rPr>
  </w:style>
  <w:style w:type="paragraph" w:styleId="8">
    <w:name w:val="Date"/>
    <w:basedOn w:val="1"/>
    <w:next w:val="1"/>
    <w:link w:val="28"/>
    <w:qFormat/>
    <w:uiPriority w:val="0"/>
    <w:pPr>
      <w:adjustRightInd w:val="0"/>
      <w:spacing w:line="360" w:lineRule="atLeast"/>
      <w:textAlignment w:val="baseline"/>
    </w:pPr>
    <w:rPr>
      <w:rFonts w:ascii="宋体" w:cs="宋体"/>
      <w:kern w:val="0"/>
      <w:sz w:val="24"/>
      <w:szCs w:val="24"/>
    </w:rPr>
  </w:style>
  <w:style w:type="paragraph" w:styleId="9">
    <w:name w:val="Balloon Text"/>
    <w:basedOn w:val="1"/>
    <w:link w:val="29"/>
    <w:semiHidden/>
    <w:unhideWhenUsed/>
    <w:qFormat/>
    <w:uiPriority w:val="99"/>
    <w:rPr>
      <w:sz w:val="18"/>
      <w:szCs w:val="18"/>
    </w:rPr>
  </w:style>
  <w:style w:type="paragraph" w:styleId="10">
    <w:name w:val="footer"/>
    <w:basedOn w:val="1"/>
    <w:link w:val="23"/>
    <w:unhideWhenUsed/>
    <w:qFormat/>
    <w:uiPriority w:val="99"/>
    <w:pPr>
      <w:tabs>
        <w:tab w:val="center" w:pos="4153"/>
        <w:tab w:val="right" w:pos="8306"/>
      </w:tabs>
      <w:snapToGrid w:val="0"/>
      <w:jc w:val="left"/>
    </w:pPr>
    <w:rPr>
      <w:sz w:val="18"/>
      <w:szCs w:val="18"/>
    </w:rPr>
  </w:style>
  <w:style w:type="paragraph" w:styleId="11">
    <w:name w:val="header"/>
    <w:basedOn w:val="1"/>
    <w:link w:val="22"/>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13">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14">
    <w:name w:val="Body Text 2"/>
    <w:basedOn w:val="1"/>
    <w:link w:val="30"/>
    <w:qFormat/>
    <w:uiPriority w:val="0"/>
    <w:pPr>
      <w:spacing w:after="120" w:line="480" w:lineRule="auto"/>
    </w:pPr>
  </w:style>
  <w:style w:type="paragraph" w:styleId="15">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paragraph" w:styleId="16">
    <w:name w:val="annotation subject"/>
    <w:basedOn w:val="5"/>
    <w:next w:val="5"/>
    <w:link w:val="31"/>
    <w:semiHidden/>
    <w:unhideWhenUsed/>
    <w:qFormat/>
    <w:uiPriority w:val="99"/>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Hyperlink"/>
    <w:basedOn w:val="19"/>
    <w:unhideWhenUsed/>
    <w:qFormat/>
    <w:uiPriority w:val="99"/>
    <w:rPr>
      <w:color w:val="0000FF" w:themeColor="hyperlink"/>
      <w:u w:val="single"/>
    </w:rPr>
  </w:style>
  <w:style w:type="character" w:styleId="21">
    <w:name w:val="annotation reference"/>
    <w:basedOn w:val="19"/>
    <w:semiHidden/>
    <w:unhideWhenUsed/>
    <w:qFormat/>
    <w:uiPriority w:val="99"/>
    <w:rPr>
      <w:sz w:val="21"/>
      <w:szCs w:val="21"/>
    </w:rPr>
  </w:style>
  <w:style w:type="character" w:customStyle="1" w:styleId="22">
    <w:name w:val="页眉 Char"/>
    <w:basedOn w:val="19"/>
    <w:link w:val="11"/>
    <w:qFormat/>
    <w:uiPriority w:val="99"/>
    <w:rPr>
      <w:sz w:val="18"/>
      <w:szCs w:val="18"/>
    </w:rPr>
  </w:style>
  <w:style w:type="character" w:customStyle="1" w:styleId="23">
    <w:name w:val="页脚 Char"/>
    <w:basedOn w:val="19"/>
    <w:link w:val="10"/>
    <w:qFormat/>
    <w:uiPriority w:val="99"/>
    <w:rPr>
      <w:sz w:val="18"/>
      <w:szCs w:val="18"/>
    </w:rPr>
  </w:style>
  <w:style w:type="character" w:customStyle="1" w:styleId="24">
    <w:name w:val="标题 1 Char"/>
    <w:basedOn w:val="19"/>
    <w:link w:val="2"/>
    <w:qFormat/>
    <w:uiPriority w:val="9"/>
    <w:rPr>
      <w:rFonts w:ascii="Times New Roman" w:hAnsi="Times New Roman" w:eastAsia="宋体" w:cs="Times New Roman"/>
      <w:b/>
      <w:bCs/>
      <w:kern w:val="44"/>
      <w:sz w:val="44"/>
      <w:szCs w:val="44"/>
    </w:rPr>
  </w:style>
  <w:style w:type="character" w:customStyle="1" w:styleId="25">
    <w:name w:val="标题 2 Char"/>
    <w:basedOn w:val="19"/>
    <w:link w:val="3"/>
    <w:qFormat/>
    <w:uiPriority w:val="0"/>
    <w:rPr>
      <w:rFonts w:ascii="Arial" w:hAnsi="Arial" w:eastAsia="黑体" w:cs="Arial"/>
      <w:b/>
      <w:bCs/>
      <w:sz w:val="32"/>
      <w:szCs w:val="32"/>
    </w:rPr>
  </w:style>
  <w:style w:type="character" w:customStyle="1" w:styleId="26">
    <w:name w:val="批注文字 Char"/>
    <w:basedOn w:val="19"/>
    <w:link w:val="5"/>
    <w:semiHidden/>
    <w:qFormat/>
    <w:uiPriority w:val="99"/>
    <w:rPr>
      <w:rFonts w:ascii="Times New Roman" w:hAnsi="Times New Roman" w:eastAsia="宋体" w:cs="Times New Roman"/>
      <w:szCs w:val="21"/>
    </w:rPr>
  </w:style>
  <w:style w:type="character" w:customStyle="1" w:styleId="27">
    <w:name w:val="纯文本 Char"/>
    <w:basedOn w:val="19"/>
    <w:link w:val="7"/>
    <w:qFormat/>
    <w:uiPriority w:val="0"/>
    <w:rPr>
      <w:rFonts w:ascii="宋体" w:hAnsi="Courier New"/>
    </w:rPr>
  </w:style>
  <w:style w:type="character" w:customStyle="1" w:styleId="28">
    <w:name w:val="日期 Char"/>
    <w:basedOn w:val="19"/>
    <w:link w:val="8"/>
    <w:qFormat/>
    <w:uiPriority w:val="0"/>
    <w:rPr>
      <w:rFonts w:ascii="宋体" w:hAnsi="Times New Roman" w:eastAsia="宋体" w:cs="宋体"/>
      <w:kern w:val="0"/>
      <w:sz w:val="24"/>
      <w:szCs w:val="24"/>
    </w:rPr>
  </w:style>
  <w:style w:type="character" w:customStyle="1" w:styleId="29">
    <w:name w:val="批注框文本 Char"/>
    <w:basedOn w:val="19"/>
    <w:link w:val="9"/>
    <w:semiHidden/>
    <w:qFormat/>
    <w:uiPriority w:val="99"/>
    <w:rPr>
      <w:rFonts w:ascii="Times New Roman" w:hAnsi="Times New Roman" w:eastAsia="宋体" w:cs="Times New Roman"/>
      <w:sz w:val="18"/>
      <w:szCs w:val="18"/>
    </w:rPr>
  </w:style>
  <w:style w:type="character" w:customStyle="1" w:styleId="30">
    <w:name w:val="正文文本 2 Char"/>
    <w:basedOn w:val="19"/>
    <w:link w:val="14"/>
    <w:qFormat/>
    <w:uiPriority w:val="0"/>
    <w:rPr>
      <w:rFonts w:ascii="Times New Roman" w:hAnsi="Times New Roman" w:eastAsia="宋体" w:cs="Times New Roman"/>
      <w:szCs w:val="21"/>
    </w:rPr>
  </w:style>
  <w:style w:type="character" w:customStyle="1" w:styleId="31">
    <w:name w:val="批注主题 Char"/>
    <w:basedOn w:val="26"/>
    <w:link w:val="16"/>
    <w:semiHidden/>
    <w:qFormat/>
    <w:uiPriority w:val="99"/>
    <w:rPr>
      <w:rFonts w:ascii="Times New Roman" w:hAnsi="Times New Roman" w:eastAsia="宋体" w:cs="Times New Roman"/>
      <w:b/>
      <w:bCs/>
      <w:szCs w:val="21"/>
    </w:rPr>
  </w:style>
  <w:style w:type="character" w:customStyle="1" w:styleId="32">
    <w:name w:val="纯文本 字符"/>
    <w:basedOn w:val="19"/>
    <w:semiHidden/>
    <w:qFormat/>
    <w:uiPriority w:val="99"/>
    <w:rPr>
      <w:rFonts w:hAnsi="Courier New" w:cs="Courier New" w:asciiTheme="minorEastAsia"/>
      <w:szCs w:val="21"/>
    </w:rPr>
  </w:style>
  <w:style w:type="paragraph" w:styleId="33">
    <w:name w:val="List Paragraph"/>
    <w:basedOn w:val="1"/>
    <w:qFormat/>
    <w:uiPriority w:val="34"/>
    <w:pPr>
      <w:ind w:firstLine="420" w:firstLineChars="200"/>
    </w:pPr>
  </w:style>
  <w:style w:type="paragraph" w:customStyle="1" w:styleId="34">
    <w:name w:val="修订1"/>
    <w:hidden/>
    <w:semiHidden/>
    <w:qFormat/>
    <w:uiPriority w:val="99"/>
    <w:rPr>
      <w:rFonts w:ascii="Times New Roman" w:hAnsi="Times New Roman" w:eastAsia="宋体" w:cs="Times New Roman"/>
      <w:kern w:val="2"/>
      <w:sz w:val="21"/>
      <w:szCs w:val="21"/>
      <w:lang w:val="en-US" w:eastAsia="zh-CN" w:bidi="ar-SA"/>
    </w:rPr>
  </w:style>
  <w:style w:type="paragraph" w:customStyle="1" w:styleId="35">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66091" w:themeColor="accent1" w:themeShade="BF"/>
      <w:kern w:val="0"/>
      <w:sz w:val="32"/>
      <w:szCs w:val="32"/>
    </w:rPr>
  </w:style>
  <w:style w:type="paragraph" w:customStyle="1" w:styleId="36">
    <w:name w:val="TOC 标题2"/>
    <w:basedOn w:val="2"/>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character" w:customStyle="1" w:styleId="37">
    <w:name w:val="qowt-font10-gbk"/>
    <w:basedOn w:val="19"/>
    <w:qFormat/>
    <w:uiPriority w:val="0"/>
  </w:style>
  <w:style w:type="character" w:customStyle="1" w:styleId="38">
    <w:name w:val="文档结构图 Char"/>
    <w:basedOn w:val="19"/>
    <w:link w:val="4"/>
    <w:semiHidden/>
    <w:qFormat/>
    <w:uiPriority w:val="99"/>
    <w:rPr>
      <w:rFonts w:ascii="宋体" w:hAnsi="Times New Roman" w:eastAsia="宋体" w:cs="Times New Roman"/>
      <w:kern w:val="2"/>
      <w:sz w:val="18"/>
      <w:szCs w:val="18"/>
    </w:rPr>
  </w:style>
  <w:style w:type="paragraph" w:customStyle="1" w:styleId="39">
    <w:name w:val="p9"/>
    <w:basedOn w:val="1"/>
    <w:qFormat/>
    <w:uiPriority w:val="0"/>
    <w:pPr>
      <w:widowControl/>
      <w:spacing w:before="100" w:beforeAutospacing="1" w:after="100" w:afterAutospacing="1"/>
      <w:jc w:val="left"/>
    </w:pPr>
    <w:rPr>
      <w:rFonts w:eastAsia="Arial Unicode MS" w:cs="Arial Unicode MS" w:asciiTheme="minorHAnsi" w:hAnsiTheme="minorHAnsi"/>
      <w:color w:val="000000"/>
      <w:kern w:val="0"/>
      <w:sz w:val="18"/>
      <w:szCs w:val="18"/>
    </w:rPr>
  </w:style>
  <w:style w:type="paragraph" w:styleId="40">
    <w:name w:val="No Spacing"/>
    <w:autoRedefine/>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41">
    <w:name w:val="列出段落1"/>
    <w:basedOn w:val="1"/>
    <w:autoRedefine/>
    <w:qFormat/>
    <w:uiPriority w:val="0"/>
    <w:pPr>
      <w:spacing w:line="360" w:lineRule="exact"/>
    </w:pPr>
    <w:rPr>
      <w:rFonts w:cs="宋体" w:asciiTheme="minorEastAsia" w:hAnsiTheme="minorEastAsia" w:eastAsiaTheme="minorEastAsia"/>
      <w:b/>
      <w:bCs/>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Hewlett-Packard Company</Company>
  <Pages>8</Pages>
  <Words>5910</Words>
  <Characters>6669</Characters>
  <Lines>57</Lines>
  <Paragraphs>16</Paragraphs>
  <TotalTime>1</TotalTime>
  <ScaleCrop>false</ScaleCrop>
  <LinksUpToDate>false</LinksUpToDate>
  <CharactersWithSpaces>6742</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2020-06-11T02:53:00Z</dcterms:created>
  <dc:creator>赵璧</dc:creator>
  <cp:lastModifiedBy>中正招标姚工</cp:lastModifiedBy>
  <cp:lastPrinted>2020-03-23T07:37:00Z</cp:lastPrinted>
  <dcterms:modified xsi:type="dcterms:W3CDTF">2025-04-23T10:30:24Z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A88C208D279448368B517EBEBAB34DFB</vt:lpwstr>
  </property>
  <property fmtid="{D5CDD505-2E9C-101B-9397-08002B2CF9AE}" pid="4" name="KSOTemplateDocerSaveRecord">
    <vt:lpwstr>eyJoZGlkIjoiZWE2MTFmYjBkMWU4MjExYjUxZDQyMmVjMmUyY2RjZjciLCJ1c2VySWQiOiIxOTQ2NDUzODcifQ==</vt:lpwstr>
  </property>
</Properties>
</file>