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snapToGrid w:val="0"/>
          <w:kern w:val="0"/>
          <w:sz w:val="28"/>
          <w:szCs w:val="28"/>
        </w:rPr>
      </w:pPr>
      <w:r>
        <w:rPr>
          <w:rFonts w:cs="仿宋" w:asciiTheme="minorEastAsia" w:hAnsiTheme="minorEastAsia" w:eastAsiaTheme="minorEastAsia"/>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hint="eastAsia" w:cs="仿宋" w:asciiTheme="minorEastAsia" w:hAnsiTheme="minorEastAsia" w:eastAsiaTheme="minorEastAsia"/>
          <w:b/>
          <w:bCs/>
          <w:sz w:val="72"/>
          <w:szCs w:val="72"/>
          <w:lang w:eastAsia="zh-CN"/>
        </w:rPr>
      </w:pPr>
      <w:r>
        <w:rPr>
          <w:rFonts w:hint="eastAsia" w:cs="仿宋" w:asciiTheme="minorEastAsia" w:hAnsiTheme="minorEastAsia" w:eastAsiaTheme="minorEastAsia"/>
          <w:b/>
          <w:bCs/>
          <w:snapToGrid w:val="0"/>
          <w:kern w:val="0"/>
          <w:sz w:val="72"/>
          <w:szCs w:val="72"/>
          <w:lang w:eastAsia="zh-CN"/>
        </w:rPr>
        <w:t>2023年视频交警功能维护</w:t>
      </w: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90"/>
        </w:rPr>
      </w:pPr>
      <w:r>
        <w:rPr>
          <w:rFonts w:hint="eastAsia" w:cs="仿宋" w:asciiTheme="minorEastAsia" w:hAnsiTheme="minorEastAsia" w:eastAsiaTheme="minorEastAsia"/>
          <w:b/>
          <w:bCs/>
          <w:snapToGrid w:val="0"/>
          <w:kern w:val="0"/>
          <w:sz w:val="90"/>
        </w:rPr>
        <w:t>招  标　文　件</w:t>
      </w:r>
    </w:p>
    <w:p>
      <w:pPr>
        <w:adjustRightInd w:val="0"/>
        <w:snapToGrid w:val="0"/>
        <w:spacing w:line="300" w:lineRule="auto"/>
        <w:jc w:val="center"/>
        <w:rPr>
          <w:rFonts w:cs="仿宋" w:asciiTheme="minorEastAsia" w:hAnsiTheme="minorEastAsia" w:eastAsiaTheme="minorEastAsia"/>
          <w:snapToGrid w:val="0"/>
          <w:kern w:val="0"/>
          <w:sz w:val="32"/>
        </w:rPr>
      </w:pPr>
    </w:p>
    <w:p>
      <w:pPr>
        <w:adjustRightInd w:val="0"/>
        <w:snapToGrid w:val="0"/>
        <w:spacing w:line="300" w:lineRule="auto"/>
        <w:jc w:val="center"/>
        <w:rPr>
          <w:rFonts w:cs="仿宋" w:asciiTheme="minorEastAsia" w:hAnsiTheme="minorEastAsia" w:eastAsiaTheme="minorEastAsia"/>
          <w:b/>
          <w:bCs/>
          <w:snapToGrid w:val="0"/>
          <w:kern w:val="0"/>
          <w:sz w:val="32"/>
        </w:rPr>
      </w:pPr>
    </w:p>
    <w:p>
      <w:pPr>
        <w:adjustRightInd w:val="0"/>
        <w:snapToGrid w:val="0"/>
        <w:spacing w:line="300" w:lineRule="auto"/>
        <w:jc w:val="center"/>
        <w:rPr>
          <w:rFonts w:hint="eastAsia" w:cs="仿宋" w:asciiTheme="minorEastAsia" w:hAnsiTheme="minorEastAsia" w:eastAsiaTheme="minorEastAsia"/>
          <w:b/>
          <w:bCs/>
          <w:snapToGrid w:val="0"/>
          <w:kern w:val="0"/>
          <w:sz w:val="32"/>
        </w:rPr>
      </w:pPr>
    </w:p>
    <w:p>
      <w:pPr>
        <w:adjustRightInd w:val="0"/>
        <w:snapToGrid w:val="0"/>
        <w:spacing w:line="300" w:lineRule="auto"/>
        <w:jc w:val="center"/>
        <w:rPr>
          <w:rFonts w:hint="eastAsia" w:cs="仿宋" w:asciiTheme="minorEastAsia" w:hAnsiTheme="minorEastAsia" w:eastAsiaTheme="minorEastAsia"/>
          <w:b/>
          <w:bCs/>
          <w:snapToGrid w:val="0"/>
          <w:kern w:val="0"/>
          <w:sz w:val="44"/>
          <w:lang w:eastAsia="zh-CN"/>
        </w:rPr>
      </w:pPr>
      <w:r>
        <w:rPr>
          <w:rFonts w:hint="eastAsia" w:cs="仿宋" w:asciiTheme="minorEastAsia" w:hAnsiTheme="minorEastAsia" w:eastAsiaTheme="minorEastAsia"/>
          <w:b/>
          <w:bCs/>
          <w:snapToGrid w:val="0"/>
          <w:kern w:val="0"/>
          <w:sz w:val="32"/>
        </w:rPr>
        <w:t>项目编号：</w:t>
      </w:r>
      <w:r>
        <w:rPr>
          <w:rFonts w:hint="eastAsia" w:cs="仿宋" w:asciiTheme="minorEastAsia" w:hAnsiTheme="minorEastAsia" w:eastAsiaTheme="minorEastAsia"/>
          <w:b/>
          <w:bCs/>
          <w:snapToGrid w:val="0"/>
          <w:kern w:val="0"/>
          <w:sz w:val="32"/>
          <w:lang w:eastAsia="zh-CN"/>
        </w:rPr>
        <w:t>SZZZ2023-QC0001</w:t>
      </w:r>
    </w:p>
    <w:p>
      <w:pPr>
        <w:rPr>
          <w:rFonts w:cs="仿宋" w:asciiTheme="minorEastAsia" w:hAnsiTheme="minorEastAsia" w:eastAsiaTheme="minorEastAsia"/>
          <w:b/>
          <w:bCs/>
        </w:rPr>
      </w:pPr>
    </w:p>
    <w:p>
      <w:pPr>
        <w:rPr>
          <w:rFonts w:cs="仿宋" w:asciiTheme="minorEastAsia" w:hAnsiTheme="minorEastAsia" w:eastAsiaTheme="minorEastAsia"/>
          <w:b/>
          <w:bCs/>
        </w:rPr>
      </w:pPr>
    </w:p>
    <w:p>
      <w:pPr>
        <w:rPr>
          <w:rFonts w:cs="仿宋" w:asciiTheme="minorEastAsia" w:hAnsiTheme="minorEastAsia" w:eastAsiaTheme="minorEastAsia"/>
          <w:b/>
          <w:bCs/>
        </w:rPr>
      </w:pPr>
    </w:p>
    <w:p>
      <w:pPr>
        <w:pStyle w:val="10"/>
      </w:pPr>
    </w:p>
    <w:p>
      <w:pPr>
        <w:pStyle w:val="2"/>
        <w:ind w:left="0" w:leftChars="0" w:firstLine="0" w:firstLineChars="0"/>
        <w:rPr>
          <w:b/>
          <w:bCs/>
        </w:rPr>
      </w:pPr>
    </w:p>
    <w:p>
      <w:pPr>
        <w:pStyle w:val="2"/>
        <w:ind w:firstLine="422"/>
        <w:rPr>
          <w:b/>
          <w:bCs/>
        </w:rPr>
      </w:pPr>
    </w:p>
    <w:p>
      <w:pPr>
        <w:rPr>
          <w:rFonts w:cs="仿宋" w:asciiTheme="minorEastAsia" w:hAnsiTheme="minorEastAsia" w:eastAsiaTheme="minorEastAsia"/>
          <w:b/>
          <w:bCs/>
        </w:rPr>
      </w:pPr>
    </w:p>
    <w:p>
      <w:pPr>
        <w:pStyle w:val="13"/>
        <w:adjustRightInd w:val="0"/>
        <w:snapToGrid w:val="0"/>
        <w:spacing w:line="300" w:lineRule="auto"/>
        <w:jc w:val="center"/>
        <w:rPr>
          <w:rFonts w:cs="仿宋" w:asciiTheme="minorEastAsia" w:hAnsiTheme="minorEastAsia" w:eastAsiaTheme="minorEastAsia"/>
          <w:b/>
          <w:bCs/>
          <w:snapToGrid w:val="0"/>
          <w:sz w:val="30"/>
        </w:rPr>
      </w:pPr>
      <w:r>
        <w:rPr>
          <w:rFonts w:hint="eastAsia" w:cs="仿宋" w:asciiTheme="minorEastAsia" w:hAnsiTheme="minorEastAsia" w:eastAsiaTheme="minorEastAsia"/>
          <w:b/>
          <w:bCs/>
          <w:snapToGrid w:val="0"/>
          <w:sz w:val="30"/>
        </w:rPr>
        <w:t>二〇二</w:t>
      </w:r>
      <w:r>
        <w:rPr>
          <w:rFonts w:hint="eastAsia" w:cs="仿宋" w:asciiTheme="minorEastAsia" w:hAnsiTheme="minorEastAsia" w:eastAsiaTheme="minorEastAsia"/>
          <w:b/>
          <w:bCs/>
          <w:snapToGrid w:val="0"/>
          <w:sz w:val="30"/>
          <w:lang w:val="en-US" w:eastAsia="zh-CN"/>
        </w:rPr>
        <w:t>三</w:t>
      </w:r>
      <w:r>
        <w:rPr>
          <w:rFonts w:hint="eastAsia" w:cs="仿宋" w:asciiTheme="minorEastAsia" w:hAnsiTheme="minorEastAsia" w:eastAsiaTheme="minorEastAsia"/>
          <w:b/>
          <w:bCs/>
          <w:snapToGrid w:val="0"/>
          <w:sz w:val="30"/>
        </w:rPr>
        <w:t>年</w:t>
      </w:r>
      <w:r>
        <w:rPr>
          <w:rFonts w:hint="eastAsia" w:cs="仿宋" w:asciiTheme="minorEastAsia" w:hAnsiTheme="minorEastAsia" w:eastAsiaTheme="minorEastAsia"/>
          <w:b/>
          <w:bCs/>
          <w:snapToGrid w:val="0"/>
          <w:sz w:val="30"/>
          <w:lang w:val="en-US" w:eastAsia="zh-CN"/>
        </w:rPr>
        <w:t>一</w:t>
      </w:r>
      <w:r>
        <w:rPr>
          <w:rFonts w:hint="eastAsia" w:cs="仿宋" w:asciiTheme="minorEastAsia" w:hAnsiTheme="minorEastAsia" w:eastAsiaTheme="minorEastAsia"/>
          <w:b/>
          <w:bCs/>
          <w:snapToGrid w:val="0"/>
          <w:sz w:val="30"/>
        </w:rPr>
        <w:t>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widowControl/>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bCs/>
          <w:snapToGrid w:val="0"/>
          <w:sz w:val="48"/>
          <w:szCs w:val="48"/>
        </w:rPr>
      </w:pPr>
      <w:r>
        <w:rPr>
          <w:rFonts w:hint="eastAsia" w:cs="仿宋" w:asciiTheme="minorEastAsia" w:hAnsiTheme="minorEastAsia" w:eastAsiaTheme="minorEastAsia"/>
          <w:b/>
          <w:bCs/>
          <w:snapToGrid w:val="0"/>
          <w:sz w:val="48"/>
          <w:szCs w:val="48"/>
        </w:rPr>
        <w:t>招标文件信息</w:t>
      </w:r>
    </w:p>
    <w:p>
      <w:pPr>
        <w:widowControl/>
        <w:jc w:val="left"/>
        <w:rPr>
          <w:rFonts w:cs="仿宋" w:asciiTheme="minorEastAsia" w:hAnsiTheme="minorEastAsia" w:eastAsiaTheme="minorEastAsia"/>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项目名称</w:t>
            </w:r>
          </w:p>
        </w:tc>
        <w:tc>
          <w:tcPr>
            <w:tcW w:w="6555" w:type="dxa"/>
            <w:vAlign w:val="center"/>
          </w:tcPr>
          <w:p>
            <w:pPr>
              <w:widowControl/>
              <w:spacing w:line="48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2023年视频交警功能维护</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项目编号</w:t>
            </w:r>
          </w:p>
        </w:tc>
        <w:tc>
          <w:tcPr>
            <w:tcW w:w="6555" w:type="dxa"/>
            <w:vAlign w:val="center"/>
          </w:tcPr>
          <w:p>
            <w:pPr>
              <w:widowControl/>
              <w:spacing w:line="48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SZZZ2023-QC0001</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服务</w:t>
            </w:r>
            <w:r>
              <w:rPr>
                <w:rFonts w:hint="eastAsia" w:cs="仿宋" w:asciiTheme="minorEastAsia" w:hAnsiTheme="minorEastAsia" w:eastAsiaTheme="minorEastAsia"/>
                <w:szCs w:val="21"/>
              </w:rPr>
              <w:t>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中标候选人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sz w:val="36"/>
        </w:rPr>
      </w:pPr>
      <w:r>
        <w:rPr>
          <w:rFonts w:hint="eastAsia" w:cs="仿宋" w:asciiTheme="minorEastAsia" w:hAnsiTheme="minorEastAsia" w:eastAsiaTheme="minorEastAsia"/>
          <w:sz w:val="36"/>
        </w:rPr>
        <w:br w:type="page"/>
      </w:r>
    </w:p>
    <w:p>
      <w:pPr>
        <w:spacing w:line="360" w:lineRule="auto"/>
        <w:jc w:val="center"/>
        <w:rPr>
          <w:rFonts w:cs="仿宋" w:asciiTheme="minorEastAsia" w:hAnsiTheme="minorEastAsia" w:eastAsiaTheme="minorEastAsia"/>
          <w:b/>
          <w:bCs/>
          <w:sz w:val="48"/>
          <w:szCs w:val="48"/>
        </w:rPr>
      </w:pPr>
      <w:r>
        <w:rPr>
          <w:rFonts w:hint="eastAsia" w:cs="仿宋" w:asciiTheme="minorEastAsia" w:hAnsiTheme="minorEastAsia" w:eastAsiaTheme="minorEastAsia"/>
          <w:b/>
          <w:bCs/>
          <w:sz w:val="48"/>
          <w:szCs w:val="48"/>
        </w:rPr>
        <w:t>招标文件目录</w:t>
      </w:r>
    </w:p>
    <w:p>
      <w:pPr>
        <w:jc w:val="center"/>
        <w:rPr>
          <w:rFonts w:cs="仿宋" w:asciiTheme="minorEastAsia" w:hAnsiTheme="minorEastAsia" w:eastAsiaTheme="minorEastAsia"/>
          <w:sz w:val="20"/>
        </w:rPr>
      </w:pPr>
    </w:p>
    <w:tbl>
      <w:tblPr>
        <w:tblStyle w:val="2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第一部分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第二部分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第三部分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hint="default" w:ascii="仿宋_GB2312" w:eastAsia="仿宋_GB2312" w:cs="仿宋" w:hAnsiTheme="minorEastAsia"/>
                <w:sz w:val="24"/>
                <w:lang w:val="en-US" w:eastAsia="zh-CN"/>
              </w:rPr>
            </w:pPr>
            <w:r>
              <w:rPr>
                <w:rFonts w:hint="eastAsia" w:ascii="仿宋_GB2312" w:eastAsia="仿宋_GB2312" w:cs="仿宋" w:hAnsiTheme="minorEastAsia"/>
                <w:sz w:val="24"/>
              </w:rPr>
              <w:t xml:space="preserve">格式6 </w:t>
            </w:r>
            <w:r>
              <w:rPr>
                <w:rFonts w:hint="eastAsia" w:ascii="仿宋_GB2312" w:eastAsia="仿宋_GB2312" w:cs="仿宋" w:hAnsiTheme="minorEastAsia"/>
                <w:sz w:val="24"/>
                <w:lang w:val="en-US" w:eastAsia="zh-CN"/>
              </w:rPr>
              <w:t>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hint="default" w:ascii="仿宋_GB2312" w:eastAsia="仿宋_GB2312" w:cs="仿宋" w:hAnsiTheme="minorEastAsia"/>
                <w:sz w:val="24"/>
                <w:lang w:val="en-US" w:eastAsia="zh-CN"/>
              </w:rPr>
            </w:pPr>
            <w:r>
              <w:rPr>
                <w:rFonts w:hint="eastAsia" w:ascii="仿宋_GB2312" w:eastAsia="仿宋_GB2312" w:cs="仿宋" w:hAnsiTheme="minorEastAsia"/>
                <w:sz w:val="24"/>
              </w:rPr>
              <w:t xml:space="preserve">格式7 </w:t>
            </w:r>
            <w:r>
              <w:rPr>
                <w:rFonts w:hint="eastAsia" w:ascii="仿宋_GB2312" w:eastAsia="仿宋_GB2312" w:cs="仿宋" w:hAnsiTheme="minorEastAsia"/>
                <w:sz w:val="24"/>
                <w:lang w:val="en-US" w:eastAsia="zh-CN"/>
              </w:rPr>
              <w:t>投标人情况介绍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格式9 其他招标文件要求的资料或投标人认为需要补充的资料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第四部分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第五部分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A、说明；B、招标文件说明；C、投标文件的编写；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第六部分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b/>
          <w:bCs/>
          <w:snapToGrid w:val="0"/>
          <w:color w:val="auto"/>
          <w:kern w:val="0"/>
          <w:sz w:val="72"/>
        </w:rPr>
      </w:pPr>
      <w:r>
        <w:rPr>
          <w:rFonts w:hint="eastAsia" w:cs="仿宋" w:asciiTheme="minorEastAsia" w:hAnsiTheme="minorEastAsia" w:eastAsiaTheme="minorEastAsia"/>
          <w:b/>
          <w:bCs/>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bookmarkStart w:id="8" w:name="_GoBack"/>
      <w:r>
        <w:rPr>
          <w:rFonts w:hint="eastAsia" w:ascii="仿宋_GB2312" w:hAnsi="黑体" w:eastAsia="仿宋_GB2312" w:cs="仿宋"/>
          <w:b/>
          <w:bCs/>
          <w:snapToGrid w:val="0"/>
          <w:kern w:val="0"/>
          <w:sz w:val="32"/>
          <w:szCs w:val="32"/>
          <w:lang w:eastAsia="zh-CN"/>
        </w:rPr>
        <w:t>2023年视频交警功能维护</w:t>
      </w:r>
      <w:r>
        <w:rPr>
          <w:rFonts w:hint="eastAsia" w:ascii="仿宋_GB2312" w:hAnsi="黑体" w:eastAsia="仿宋_GB2312" w:cs="仿宋"/>
          <w:b/>
          <w:bCs/>
          <w:snapToGrid w:val="0"/>
          <w:kern w:val="0"/>
          <w:sz w:val="32"/>
          <w:szCs w:val="32"/>
        </w:rPr>
        <w:t>项目采购公告</w:t>
      </w:r>
    </w:p>
    <w:p>
      <w:pPr>
        <w:spacing w:line="360" w:lineRule="auto"/>
        <w:rPr>
          <w:rFonts w:cs="仿宋" w:asciiTheme="minorEastAsia" w:hAnsiTheme="minorEastAsia" w:eastAsiaTheme="minorEastAsia"/>
          <w:sz w:val="24"/>
          <w:szCs w:val="24"/>
          <w:highlight w:val="none"/>
        </w:rPr>
      </w:pPr>
    </w:p>
    <w:p>
      <w:pPr>
        <w:spacing w:line="360" w:lineRule="auto"/>
        <w:rPr>
          <w:rFonts w:cs="仿宋" w:asciiTheme="minorEastAsia" w:hAnsiTheme="minorEastAsia" w:eastAsiaTheme="minorEastAsia"/>
          <w:szCs w:val="21"/>
          <w:highlight w:val="none"/>
        </w:rPr>
      </w:pPr>
      <w:r>
        <w:rPr>
          <w:rFonts w:hint="eastAsia" w:cs="仿宋" w:asciiTheme="minorEastAsia" w:hAnsiTheme="minorEastAsia" w:eastAsiaTheme="minorEastAsia"/>
          <w:b/>
          <w:bCs/>
          <w:szCs w:val="21"/>
          <w:highlight w:val="none"/>
        </w:rPr>
        <w:t>一、项目概况</w:t>
      </w:r>
    </w:p>
    <w:p>
      <w:pPr>
        <w:spacing w:line="360" w:lineRule="auto"/>
        <w:ind w:firstLine="424" w:firstLineChars="202"/>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u w:val="single"/>
          <w:lang w:eastAsia="zh-CN"/>
        </w:rPr>
        <w:t>2023年视频交警功能维护</w:t>
      </w:r>
      <w:r>
        <w:rPr>
          <w:rFonts w:hint="eastAsia" w:cs="仿宋" w:asciiTheme="minorEastAsia" w:hAnsiTheme="minorEastAsia" w:eastAsiaTheme="minorEastAsia"/>
          <w:szCs w:val="21"/>
          <w:highlight w:val="none"/>
        </w:rPr>
        <w:t>项目的潜在投标人应在</w:t>
      </w:r>
      <w:r>
        <w:rPr>
          <w:rFonts w:hint="eastAsia" w:cs="仿宋" w:asciiTheme="minorEastAsia" w:hAnsiTheme="minorEastAsia" w:eastAsiaTheme="minorEastAsia"/>
          <w:szCs w:val="21"/>
          <w:highlight w:val="none"/>
          <w:u w:val="single"/>
        </w:rPr>
        <w:t>深圳市中正招标有限公司</w:t>
      </w:r>
      <w:r>
        <w:rPr>
          <w:rFonts w:hint="eastAsia" w:cs="仿宋" w:asciiTheme="minorEastAsia" w:hAnsiTheme="minorEastAsia" w:eastAsiaTheme="minorEastAsia"/>
          <w:szCs w:val="21"/>
          <w:highlight w:val="none"/>
        </w:rPr>
        <w:t>获取招标文件，并于</w:t>
      </w:r>
      <w:r>
        <w:rPr>
          <w:rFonts w:hint="eastAsia" w:cs="仿宋" w:asciiTheme="minorEastAsia" w:hAnsiTheme="minorEastAsia" w:eastAsiaTheme="minorEastAsia"/>
          <w:szCs w:val="21"/>
          <w:highlight w:val="none"/>
          <w:u w:val="single"/>
        </w:rPr>
        <w:t>202</w:t>
      </w:r>
      <w:r>
        <w:rPr>
          <w:rFonts w:hint="eastAsia" w:cs="仿宋" w:asciiTheme="minorEastAsia" w:hAnsiTheme="minorEastAsia" w:eastAsiaTheme="minorEastAsia"/>
          <w:szCs w:val="21"/>
          <w:highlight w:val="none"/>
          <w:u w:val="single"/>
          <w:lang w:val="en-US" w:eastAsia="zh-CN"/>
        </w:rPr>
        <w:t>3</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01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16</w:t>
      </w:r>
      <w:r>
        <w:rPr>
          <w:rFonts w:hint="eastAsia" w:cs="仿宋" w:asciiTheme="minorEastAsia" w:hAnsiTheme="minorEastAsia" w:eastAsiaTheme="minorEastAsia"/>
          <w:szCs w:val="21"/>
          <w:highlight w:val="none"/>
        </w:rPr>
        <w:t>日</w:t>
      </w:r>
      <w:r>
        <w:rPr>
          <w:rFonts w:hint="eastAsia" w:cs="仿宋" w:asciiTheme="minorEastAsia" w:hAnsiTheme="minorEastAsia" w:eastAsiaTheme="minorEastAsia"/>
          <w:szCs w:val="21"/>
          <w:highlight w:val="none"/>
          <w:u w:val="single"/>
          <w:lang w:val="en-US" w:eastAsia="zh-CN"/>
        </w:rPr>
        <w:t>15</w:t>
      </w:r>
      <w:r>
        <w:rPr>
          <w:rFonts w:hint="eastAsia" w:cs="仿宋" w:asciiTheme="minorEastAsia" w:hAnsiTheme="minorEastAsia" w:eastAsiaTheme="minorEastAsia"/>
          <w:szCs w:val="21"/>
          <w:highlight w:val="none"/>
        </w:rPr>
        <w:t>点</w:t>
      </w:r>
      <w:r>
        <w:rPr>
          <w:rFonts w:hint="eastAsia" w:cs="仿宋" w:asciiTheme="minorEastAsia" w:hAnsiTheme="minorEastAsia" w:eastAsiaTheme="minorEastAsia"/>
          <w:szCs w:val="21"/>
          <w:highlight w:val="none"/>
          <w:u w:val="single"/>
        </w:rPr>
        <w:t>00</w:t>
      </w:r>
      <w:r>
        <w:rPr>
          <w:rFonts w:hint="eastAsia" w:cs="仿宋" w:asciiTheme="minorEastAsia" w:hAnsiTheme="minorEastAsia" w:eastAsiaTheme="minorEastAsia"/>
          <w:szCs w:val="21"/>
          <w:highlight w:val="none"/>
        </w:rPr>
        <w:t>分（北京时间）前递交投标文件。</w:t>
      </w:r>
    </w:p>
    <w:p>
      <w:pPr>
        <w:spacing w:line="360" w:lineRule="auto"/>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二、项目基本情况</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rPr>
        <w:t>1、项目编号：</w:t>
      </w:r>
      <w:r>
        <w:rPr>
          <w:rFonts w:hint="eastAsia" w:cs="仿宋" w:asciiTheme="minorEastAsia" w:hAnsiTheme="minorEastAsia" w:eastAsiaTheme="minorEastAsia"/>
          <w:szCs w:val="21"/>
          <w:highlight w:val="none"/>
          <w:lang w:eastAsia="zh-CN"/>
        </w:rPr>
        <w:t>SZZZ2023-QC0001</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rPr>
        <w:t>2、项目名称：</w:t>
      </w:r>
      <w:r>
        <w:rPr>
          <w:rFonts w:hint="eastAsia" w:cs="仿宋" w:asciiTheme="minorEastAsia" w:hAnsiTheme="minorEastAsia" w:eastAsiaTheme="minorEastAsia"/>
          <w:szCs w:val="21"/>
          <w:highlight w:val="none"/>
          <w:lang w:eastAsia="zh-CN"/>
        </w:rPr>
        <w:t>2023年视频交警功能维护</w:t>
      </w:r>
    </w:p>
    <w:p>
      <w:pPr>
        <w:spacing w:line="360" w:lineRule="auto"/>
        <w:ind w:firstLine="371" w:firstLineChars="177"/>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3、预算金额：人民币</w:t>
      </w:r>
      <w:r>
        <w:rPr>
          <w:rFonts w:hint="eastAsia" w:cs="仿宋" w:asciiTheme="minorEastAsia" w:hAnsiTheme="minorEastAsia" w:eastAsiaTheme="minorEastAsia"/>
          <w:szCs w:val="21"/>
          <w:highlight w:val="none"/>
          <w:lang w:val="en-US" w:eastAsia="zh-CN"/>
        </w:rPr>
        <w:t>63万</w:t>
      </w:r>
      <w:r>
        <w:rPr>
          <w:rFonts w:hint="eastAsia" w:cs="仿宋" w:asciiTheme="minorEastAsia" w:hAnsiTheme="minorEastAsia" w:eastAsiaTheme="minorEastAsia"/>
          <w:szCs w:val="21"/>
          <w:highlight w:val="none"/>
        </w:rPr>
        <w:t>元</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4、最高限价：人民币</w:t>
      </w:r>
      <w:r>
        <w:rPr>
          <w:rFonts w:hint="eastAsia" w:cs="仿宋" w:asciiTheme="minorEastAsia" w:hAnsiTheme="minorEastAsia" w:eastAsiaTheme="minorEastAsia"/>
          <w:szCs w:val="21"/>
          <w:highlight w:val="none"/>
          <w:lang w:val="en-US" w:eastAsia="zh-CN"/>
        </w:rPr>
        <w:t>63万</w:t>
      </w:r>
      <w:r>
        <w:rPr>
          <w:rFonts w:hint="eastAsia" w:cs="仿宋" w:asciiTheme="minorEastAsia" w:hAnsiTheme="minorEastAsia" w:eastAsiaTheme="minorEastAsia"/>
          <w:szCs w:val="21"/>
          <w:highlight w:val="none"/>
        </w:rPr>
        <w:t>元</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5、采购方式：公开征集</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6、采购需求：</w:t>
      </w:r>
    </w:p>
    <w:tbl>
      <w:tblPr>
        <w:tblStyle w:val="19"/>
        <w:tblW w:w="851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4389"/>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序号</w:t>
            </w:r>
          </w:p>
        </w:tc>
        <w:tc>
          <w:tcPr>
            <w:tcW w:w="4389"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标的名称</w:t>
            </w:r>
          </w:p>
        </w:tc>
        <w:tc>
          <w:tcPr>
            <w:tcW w:w="934"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数量</w:t>
            </w:r>
          </w:p>
        </w:tc>
        <w:tc>
          <w:tcPr>
            <w:tcW w:w="2028"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68"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w:t>
            </w:r>
          </w:p>
        </w:tc>
        <w:tc>
          <w:tcPr>
            <w:tcW w:w="4389" w:type="dxa"/>
            <w:vAlign w:val="center"/>
          </w:tcPr>
          <w:p>
            <w:pPr>
              <w:spacing w:line="360" w:lineRule="auto"/>
              <w:jc w:val="center"/>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lang w:eastAsia="zh-CN"/>
              </w:rPr>
              <w:t>2023年视频交警功能维护</w:t>
            </w:r>
          </w:p>
        </w:tc>
        <w:tc>
          <w:tcPr>
            <w:tcW w:w="934"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1项</w:t>
            </w:r>
          </w:p>
        </w:tc>
        <w:tc>
          <w:tcPr>
            <w:tcW w:w="2028"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详见附件内容</w:t>
            </w:r>
          </w:p>
        </w:tc>
      </w:tr>
    </w:tbl>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7、合同履行期限：详见招标文件。</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8、是否联合体：本项目不接受联合体投标。</w:t>
      </w:r>
    </w:p>
    <w:p>
      <w:pPr>
        <w:spacing w:line="360" w:lineRule="auto"/>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三、申请人的资格要求</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1、须是在中华人民共和国境内注册的法人或其他组织【须提供合法有效的营业执照或法人证书等证明材料的扫描件或复印件加盖投标人公章，原件备查】；</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2、参与本项目的投标人须满足《中华人民共和国政府采购法》第二十二条规定【由投标人按招标文件规定的格式在《承诺函》中作出声明】；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3、参与本项目采购活动前三年内，在经营活动中没有重大违法记录【由投标人按招标文件规定的格式在《承诺函》中作出声明】；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4、参与本项目政府采购活动时不存在被有关部门禁止参与政府采购活动且在有效期内的情况【由投标人按招标文件规定的格式在《承诺函》中作出声明】；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5、单位负责人为同一人或者存在直接控股、管理关系的不同投标人，不得参加同一合同项下的采购活动【须按本项目招标文件格式要求提供《承诺函》加盖投标人公章】；</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6、除单一来源采购项目外，为采购项目提供整体设计、规范编制或者项目管理、监理、检测等服务的人，不得再参加该采购项目的其他采购活动【须按本项目招标文件格式要求提供《承诺函》加盖投标人公章】；</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7、参与本项目的投标</w:t>
      </w:r>
      <w:r>
        <w:rPr>
          <w:rFonts w:hint="eastAsia" w:cs="仿宋" w:asciiTheme="minorEastAsia" w:hAnsiTheme="minorEastAsia" w:eastAsiaTheme="minorEastAsia"/>
          <w:szCs w:val="21"/>
          <w:highlight w:val="none"/>
          <w:lang w:val="en-US" w:eastAsia="zh-CN"/>
        </w:rPr>
        <w:t>供应商</w:t>
      </w:r>
      <w:r>
        <w:rPr>
          <w:rFonts w:hint="eastAsia" w:cs="仿宋" w:asciiTheme="minorEastAsia" w:hAnsiTheme="minorEastAsia" w:eastAsiaTheme="minorEastAsia"/>
          <w:szCs w:val="21"/>
          <w:highlight w:val="none"/>
        </w:rPr>
        <w:t>未被列入失信被执行人、重大税收违法案件当事人名单和政府采购严重违法失信行为记录名单【通过“信用中国”（www.creditchina.gov.cn）“信用服务”栏的“重大税收违法失信主体”、“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材料）；</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8、须提供国家企业信用信息公示系统（https://www.gsxt.gov.cn/index.html）</w:t>
      </w:r>
      <w:r>
        <w:rPr>
          <w:rFonts w:hint="eastAsia" w:cs="仿宋" w:asciiTheme="minorEastAsia" w:hAnsiTheme="minorEastAsia" w:eastAsiaTheme="minorEastAsia"/>
          <w:szCs w:val="21"/>
          <w:highlight w:val="none"/>
          <w:lang w:val="en-US" w:eastAsia="zh-CN"/>
        </w:rPr>
        <w:t>或</w:t>
      </w:r>
      <w:r>
        <w:rPr>
          <w:rFonts w:hint="eastAsia" w:cs="仿宋" w:asciiTheme="minorEastAsia" w:hAnsiTheme="minorEastAsia" w:eastAsiaTheme="minorEastAsia"/>
          <w:szCs w:val="21"/>
          <w:highlight w:val="none"/>
        </w:rPr>
        <w:t>机关赋码和事业单位登记管理网（http://www.gjsy.gov.cn/sydwfrxxcx/）或全国社会组织信用信息公示平台（https://xxgs.chinanpo.mca.gov.cn/gsxt/newList）网站截图，作为不同人之间不存在单位负责人为同一人或者直接控股、管理关系的补充证明；</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lang w:val="en-US" w:eastAsia="zh-CN"/>
        </w:rPr>
        <w:t>9</w:t>
      </w:r>
      <w:r>
        <w:rPr>
          <w:rFonts w:hint="eastAsia" w:cs="仿宋" w:asciiTheme="minorEastAsia" w:hAnsiTheme="minorEastAsia" w:eastAsiaTheme="minorEastAsia"/>
          <w:szCs w:val="21"/>
          <w:highlight w:val="none"/>
        </w:rPr>
        <w:t>、本项目不接受联合体投标，不允许分包或转包</w:t>
      </w:r>
      <w:r>
        <w:rPr>
          <w:rFonts w:hint="eastAsia" w:cs="仿宋" w:asciiTheme="minorEastAsia" w:hAnsiTheme="minorEastAsia" w:eastAsiaTheme="minorEastAsia"/>
          <w:szCs w:val="21"/>
          <w:highlight w:val="none"/>
          <w:lang w:eastAsia="zh-CN"/>
        </w:rPr>
        <w:t>。</w:t>
      </w:r>
    </w:p>
    <w:p>
      <w:pPr>
        <w:pStyle w:val="2"/>
        <w:rPr>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四、获取招标文件</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1、时间：</w:t>
      </w:r>
      <w:r>
        <w:rPr>
          <w:rFonts w:hint="eastAsia" w:cs="仿宋" w:asciiTheme="minorEastAsia" w:hAnsiTheme="minorEastAsia" w:eastAsiaTheme="minorEastAsia"/>
          <w:szCs w:val="21"/>
          <w:highlight w:val="none"/>
          <w:u w:val="single"/>
          <w:lang w:eastAsia="zh-CN"/>
        </w:rPr>
        <w:t>2023</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01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09</w:t>
      </w:r>
      <w:r>
        <w:rPr>
          <w:rFonts w:hint="eastAsia" w:cs="仿宋" w:asciiTheme="minorEastAsia" w:hAnsiTheme="minorEastAsia" w:eastAsiaTheme="minorEastAsia"/>
          <w:szCs w:val="21"/>
          <w:highlight w:val="none"/>
        </w:rPr>
        <w:t>日至</w:t>
      </w:r>
      <w:r>
        <w:rPr>
          <w:rFonts w:hint="eastAsia" w:cs="仿宋" w:asciiTheme="minorEastAsia" w:hAnsiTheme="minorEastAsia" w:eastAsiaTheme="minorEastAsia"/>
          <w:szCs w:val="21"/>
          <w:highlight w:val="none"/>
          <w:u w:val="single"/>
          <w:lang w:eastAsia="zh-CN"/>
        </w:rPr>
        <w:t>2023</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01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13</w:t>
      </w:r>
      <w:r>
        <w:rPr>
          <w:rFonts w:hint="eastAsia" w:cs="仿宋" w:asciiTheme="minorEastAsia" w:hAnsiTheme="minorEastAsia" w:eastAsiaTheme="minorEastAsia"/>
          <w:szCs w:val="21"/>
          <w:highlight w:val="none"/>
        </w:rPr>
        <w:t>日截止，每天上午</w:t>
      </w:r>
      <w:r>
        <w:rPr>
          <w:rFonts w:hint="eastAsia" w:cs="仿宋" w:asciiTheme="minorEastAsia" w:hAnsiTheme="minorEastAsia" w:eastAsiaTheme="minorEastAsia"/>
          <w:szCs w:val="21"/>
          <w:highlight w:val="none"/>
          <w:u w:val="single"/>
        </w:rPr>
        <w:t>09</w:t>
      </w:r>
      <w:r>
        <w:rPr>
          <w:rFonts w:hint="eastAsia" w:cs="仿宋" w:asciiTheme="minorEastAsia" w:hAnsiTheme="minorEastAsia" w:eastAsiaTheme="minorEastAsia"/>
          <w:szCs w:val="21"/>
          <w:highlight w:val="none"/>
        </w:rPr>
        <w:t>时至</w:t>
      </w:r>
      <w:r>
        <w:rPr>
          <w:rFonts w:hint="eastAsia" w:cs="仿宋" w:asciiTheme="minorEastAsia" w:hAnsiTheme="minorEastAsia" w:eastAsiaTheme="minorEastAsia"/>
          <w:szCs w:val="21"/>
          <w:highlight w:val="none"/>
          <w:u w:val="single"/>
        </w:rPr>
        <w:t>11</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分，下午</w:t>
      </w:r>
      <w:r>
        <w:rPr>
          <w:rFonts w:hint="eastAsia" w:cs="仿宋" w:asciiTheme="minorEastAsia" w:hAnsiTheme="minorEastAsia" w:eastAsiaTheme="minorEastAsia"/>
          <w:szCs w:val="21"/>
          <w:highlight w:val="none"/>
          <w:u w:val="single"/>
        </w:rPr>
        <w:t>02</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分至</w:t>
      </w:r>
      <w:r>
        <w:rPr>
          <w:rFonts w:hint="eastAsia" w:cs="仿宋" w:asciiTheme="minorEastAsia" w:hAnsiTheme="minorEastAsia" w:eastAsiaTheme="minorEastAsia"/>
          <w:szCs w:val="21"/>
          <w:highlight w:val="none"/>
          <w:u w:val="single"/>
        </w:rPr>
        <w:t>05</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分（北京时间，法定节假日除外）</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3、方式：现场报名投标或网上报名投标</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② 网上报名投标：发送报名资料至我司邮箱进行报名登记及获取招标文件，邮箱地址：qtszzzzb@163.com。</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报名投标邮件需附以下资料: 1）加盖公章的《购买标书登记表》（下载地址：“www.szzzt.com”首页“下载中心”）；2）加盖公章的营业执照复印件扫描件；3）法人授权委托书扫描件；4）购买招标文件费用银行转帐凭证。报名时间以邮件发出时间为准，工作人员将在第二个工作日与报名投标资料完整的投标人联系。</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4、售价：人民币600元，招标文件售后不退。</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购买招标文件账号信息如下：</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银行账号：03003729353</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开户名称：深圳市中正招标有限公司</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开户银行：上海银行深圳天安支行</w:t>
      </w:r>
    </w:p>
    <w:p>
      <w:pPr>
        <w:spacing w:line="360" w:lineRule="auto"/>
        <w:ind w:firstLine="371" w:firstLineChars="177"/>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五、提交投标文件截止时间、开标时间和地点</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highlight w:val="none"/>
        </w:rPr>
        <w:t>1、时间：</w:t>
      </w:r>
      <w:r>
        <w:rPr>
          <w:rFonts w:hint="eastAsia" w:cs="仿宋" w:asciiTheme="minorEastAsia" w:hAnsiTheme="minorEastAsia" w:eastAsiaTheme="minorEastAsia"/>
          <w:szCs w:val="21"/>
          <w:highlight w:val="none"/>
          <w:u w:val="single"/>
          <w:lang w:eastAsia="zh-CN"/>
        </w:rPr>
        <w:t>2023</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01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16</w:t>
      </w:r>
      <w:r>
        <w:rPr>
          <w:rFonts w:hint="eastAsia" w:cs="仿宋" w:asciiTheme="minorEastAsia" w:hAnsiTheme="minorEastAsia" w:eastAsiaTheme="minorEastAsia"/>
          <w:szCs w:val="21"/>
          <w:highlight w:val="none"/>
        </w:rPr>
        <w:t>日</w:t>
      </w:r>
      <w:r>
        <w:rPr>
          <w:rFonts w:hint="eastAsia" w:cs="仿宋" w:asciiTheme="minorEastAsia" w:hAnsiTheme="minorEastAsia" w:eastAsiaTheme="minorEastAsia"/>
          <w:szCs w:val="21"/>
          <w:highlight w:val="none"/>
          <w:u w:val="single"/>
          <w:lang w:val="en-US" w:eastAsia="zh-CN"/>
        </w:rPr>
        <w:t>15</w:t>
      </w:r>
      <w:r>
        <w:rPr>
          <w:rFonts w:hint="eastAsia" w:cs="仿宋" w:asciiTheme="minorEastAsia" w:hAnsiTheme="minorEastAsia" w:eastAsiaTheme="minorEastAsia"/>
          <w:szCs w:val="21"/>
          <w:highlight w:val="none"/>
        </w:rPr>
        <w:t>点</w:t>
      </w:r>
      <w:r>
        <w:rPr>
          <w:rFonts w:hint="eastAsia" w:cs="仿宋" w:asciiTheme="minorEastAsia" w:hAnsiTheme="minorEastAsia" w:eastAsiaTheme="minorEastAsia"/>
          <w:szCs w:val="21"/>
          <w:highlight w:val="none"/>
          <w:u w:val="single"/>
          <w:lang w:val="en-US" w:eastAsia="zh-CN"/>
        </w:rPr>
        <w:t>00</w:t>
      </w:r>
      <w:r>
        <w:rPr>
          <w:rFonts w:hint="eastAsia" w:cs="仿宋" w:asciiTheme="minorEastAsia" w:hAnsiTheme="minorEastAsia" w:eastAsiaTheme="minorEastAsia"/>
          <w:szCs w:val="21"/>
          <w:highlight w:val="none"/>
        </w:rPr>
        <w:t>分</w:t>
      </w:r>
      <w:r>
        <w:rPr>
          <w:rFonts w:hint="eastAsia" w:cs="仿宋" w:asciiTheme="minorEastAsia" w:hAnsiTheme="minorEastAsia" w:eastAsiaTheme="minorEastAsia"/>
          <w:szCs w:val="21"/>
        </w:rPr>
        <w:t>（北京时间）</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备注：投标人可以通过快递方式在投标截止时间前将《投标文件》送达到我司，快递单上应清晰写明投标人名称、项目编号和项目名称，递交时间为送达我司由我司工作人员签收的时间；投标人未参加现场开标的，视同认可开标结果。</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自本公告发布之日起5个</w:t>
      </w:r>
      <w:r>
        <w:rPr>
          <w:rFonts w:hint="eastAsia" w:cs="仿宋" w:asciiTheme="minorEastAsia" w:hAnsiTheme="minorEastAsia" w:eastAsiaTheme="minorEastAsia"/>
          <w:szCs w:val="21"/>
          <w:lang w:val="en-US" w:eastAsia="zh-CN"/>
        </w:rPr>
        <w:t>日历</w:t>
      </w:r>
      <w:r>
        <w:rPr>
          <w:rFonts w:hint="eastAsia" w:cs="仿宋" w:asciiTheme="minorEastAsia" w:hAnsiTheme="minorEastAsia" w:eastAsiaTheme="minorEastAsia"/>
          <w:szCs w:val="21"/>
        </w:rPr>
        <w:t>日</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2、本项目相关公告在以下媒体发布：</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① 深圳公共资源交易中心网（www.szzfcg.cn）</w:t>
      </w:r>
    </w:p>
    <w:p>
      <w:pPr>
        <w:spacing w:line="360" w:lineRule="auto"/>
        <w:ind w:firstLine="371" w:firstLineChars="177"/>
        <w:rPr>
          <w:rFonts w:cs="仿宋" w:asciiTheme="minorEastAsia" w:hAnsiTheme="minorEastAsia" w:eastAsiaTheme="minorEastAsia"/>
          <w:szCs w:val="21"/>
        </w:rPr>
      </w:pPr>
      <w:r>
        <w:rPr>
          <w:rFonts w:cs="仿宋" w:asciiTheme="minorEastAsia" w:hAnsiTheme="minorEastAsia" w:eastAsiaTheme="minorEastAsia"/>
          <w:szCs w:val="21"/>
        </w:rPr>
        <w:fldChar w:fldCharType="begin"/>
      </w:r>
      <w:r>
        <w:rPr>
          <w:rFonts w:cs="仿宋" w:asciiTheme="minorEastAsia" w:hAnsiTheme="minorEastAsia" w:eastAsiaTheme="minorEastAsia"/>
          <w:szCs w:val="21"/>
        </w:rPr>
        <w:instrText xml:space="preserve"> </w:instrText>
      </w:r>
      <w:r>
        <w:rPr>
          <w:rFonts w:hint="eastAsia" w:cs="仿宋" w:asciiTheme="minorEastAsia" w:hAnsiTheme="minorEastAsia" w:eastAsiaTheme="minorEastAsia"/>
          <w:szCs w:val="21"/>
        </w:rPr>
        <w:instrText xml:space="preserve">= 2 \* GB3</w:instrText>
      </w:r>
      <w:r>
        <w:rPr>
          <w:rFonts w:cs="仿宋" w:asciiTheme="minorEastAsia" w:hAnsiTheme="minorEastAsia" w:eastAsiaTheme="minorEastAsia"/>
          <w:szCs w:val="21"/>
        </w:rPr>
        <w:instrText xml:space="preserve"> </w:instrText>
      </w:r>
      <w:r>
        <w:rPr>
          <w:rFonts w:cs="仿宋" w:asciiTheme="minorEastAsia" w:hAnsiTheme="minorEastAsia" w:eastAsiaTheme="minorEastAsia"/>
          <w:szCs w:val="21"/>
        </w:rPr>
        <w:fldChar w:fldCharType="separate"/>
      </w:r>
      <w:r>
        <w:rPr>
          <w:rFonts w:hint="eastAsia" w:cs="仿宋" w:asciiTheme="minorEastAsia" w:hAnsiTheme="minorEastAsia" w:eastAsiaTheme="minorEastAsia"/>
          <w:szCs w:val="21"/>
        </w:rPr>
        <w:t>②</w:t>
      </w:r>
      <w:r>
        <w:rPr>
          <w:rFonts w:cs="仿宋" w:asciiTheme="minorEastAsia" w:hAnsiTheme="minorEastAsia" w:eastAsiaTheme="minorEastAsia"/>
          <w:szCs w:val="21"/>
        </w:rPr>
        <w:fldChar w:fldCharType="end"/>
      </w:r>
      <w:r>
        <w:rPr>
          <w:rFonts w:hint="eastAsia" w:cs="仿宋" w:asciiTheme="minorEastAsia" w:hAnsiTheme="minorEastAsia" w:eastAsiaTheme="minorEastAsia"/>
          <w:szCs w:val="21"/>
        </w:rPr>
        <w:t xml:space="preserve"> 采购代理机构网站（www.szzzt.com）</w:t>
      </w:r>
    </w:p>
    <w:p>
      <w:pPr>
        <w:spacing w:line="360" w:lineRule="auto"/>
        <w:ind w:firstLine="371" w:firstLineChars="177"/>
        <w:rPr>
          <w:rFonts w:hint="eastAsia" w:cs="仿宋" w:asciiTheme="minorEastAsia" w:hAnsiTheme="minorEastAsia" w:eastAsiaTheme="minorEastAsia"/>
          <w:szCs w:val="21"/>
        </w:rPr>
      </w:pPr>
      <w:r>
        <w:rPr>
          <w:rFonts w:hint="eastAsia" w:cs="仿宋" w:asciiTheme="minorEastAsia" w:hAnsiTheme="minorEastAsia" w:eastAsiaTheme="minorEastAsia"/>
          <w:szCs w:val="21"/>
        </w:rPr>
        <w:t>相关公告在以上媒体上公布之日即视为有效送达，不再另行通知。</w:t>
      </w:r>
    </w:p>
    <w:p>
      <w:pPr>
        <w:pStyle w:val="9"/>
        <w:rPr>
          <w:rFonts w:hint="eastAsia" w:cs="仿宋" w:asciiTheme="minorEastAsia" w:hAnsiTheme="minorEastAsia" w:eastAsiaTheme="minorEastAsia"/>
          <w:szCs w:val="21"/>
        </w:rPr>
      </w:pPr>
    </w:p>
    <w:p>
      <w:pPr>
        <w:pStyle w:val="10"/>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1、采购人信息</w:t>
      </w:r>
    </w:p>
    <w:p>
      <w:pPr>
        <w:spacing w:line="360" w:lineRule="auto"/>
        <w:ind w:firstLine="371" w:firstLineChars="177"/>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名　    称：</w:t>
      </w:r>
      <w:r>
        <w:rPr>
          <w:rFonts w:hint="eastAsia" w:cs="仿宋" w:asciiTheme="minorEastAsia" w:hAnsiTheme="minorEastAsia" w:eastAsiaTheme="minorEastAsia"/>
          <w:szCs w:val="21"/>
          <w:lang w:val="en-US" w:eastAsia="zh-CN"/>
        </w:rPr>
        <w:t>深圳市公安局交通警察局</w:t>
      </w:r>
    </w:p>
    <w:p>
      <w:pPr>
        <w:spacing w:line="360" w:lineRule="auto"/>
        <w:ind w:firstLine="371" w:firstLineChars="177"/>
        <w:rPr>
          <w:rFonts w:hint="eastAsia" w:cs="仿宋" w:asciiTheme="minorEastAsia" w:hAnsiTheme="minorEastAsia" w:eastAsiaTheme="minorEastAsia"/>
          <w:szCs w:val="21"/>
        </w:rPr>
      </w:pPr>
      <w:r>
        <w:rPr>
          <w:rFonts w:hint="eastAsia" w:cs="仿宋" w:asciiTheme="minorEastAsia" w:hAnsiTheme="minorEastAsia" w:eastAsiaTheme="minorEastAsia"/>
          <w:szCs w:val="21"/>
        </w:rPr>
        <w:t>地　    址：福田区莲花支路1006号</w:t>
      </w:r>
    </w:p>
    <w:p>
      <w:pPr>
        <w:spacing w:line="360" w:lineRule="auto"/>
        <w:ind w:firstLine="371" w:firstLineChars="177"/>
      </w:pPr>
      <w:r>
        <w:rPr>
          <w:rFonts w:hint="eastAsia" w:cs="仿宋" w:asciiTheme="minorEastAsia" w:hAnsiTheme="minorEastAsia" w:eastAsiaTheme="minorEastAsia"/>
          <w:szCs w:val="21"/>
        </w:rPr>
        <w:t>联系 方式：</w:t>
      </w:r>
      <w:r>
        <w:rPr>
          <w:rFonts w:hint="eastAsia" w:cs="仿宋" w:asciiTheme="minorEastAsia" w:hAnsiTheme="minorEastAsia" w:eastAsiaTheme="minorEastAsia"/>
          <w:szCs w:val="21"/>
          <w:lang w:val="en-US" w:eastAsia="zh-CN"/>
        </w:rPr>
        <w:t>周警官</w:t>
      </w:r>
      <w:r>
        <w:rPr>
          <w:rFonts w:hint="eastAsia" w:cs="仿宋" w:asciiTheme="minorEastAsia" w:hAnsiTheme="minorEastAsia" w:eastAsiaTheme="minorEastAsia"/>
          <w:szCs w:val="21"/>
        </w:rPr>
        <w:t>，0755-84469309</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2、采购代理机构信息</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名　   称：深圳市中正招标有限公司</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地　   址：深圳市福田区民田路171号新华保险大厦903</w:t>
      </w:r>
    </w:p>
    <w:p>
      <w:pPr>
        <w:spacing w:line="360" w:lineRule="auto"/>
        <w:ind w:firstLine="371" w:firstLineChars="177"/>
        <w:rPr>
          <w:rFonts w:hint="eastAsia" w:cs="仿宋" w:asciiTheme="minorEastAsia" w:hAnsiTheme="minorEastAsia" w:eastAsiaTheme="minorEastAsia"/>
          <w:szCs w:val="21"/>
        </w:rPr>
      </w:pPr>
      <w:r>
        <w:rPr>
          <w:rFonts w:hint="eastAsia" w:cs="仿宋" w:asciiTheme="minorEastAsia" w:hAnsiTheme="minorEastAsia" w:eastAsiaTheme="minorEastAsia"/>
          <w:szCs w:val="21"/>
        </w:rPr>
        <w:t>联系 方式：杨工，0755-83026699</w:t>
      </w:r>
    </w:p>
    <w:p>
      <w:pPr>
        <w:pStyle w:val="9"/>
        <w:rPr>
          <w:rFonts w:hint="eastAsia" w:cs="仿宋" w:asciiTheme="minorEastAsia" w:hAnsiTheme="minorEastAsia" w:eastAsiaTheme="minorEastAsia"/>
          <w:szCs w:val="21"/>
        </w:rPr>
      </w:pPr>
    </w:p>
    <w:p>
      <w:pPr>
        <w:pStyle w:val="10"/>
      </w:pP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szCs w:val="21"/>
        </w:rPr>
      </w:pPr>
      <w:r>
        <w:rPr>
          <w:rFonts w:hint="eastAsia" w:cs="仿宋" w:asciiTheme="minorEastAsia" w:hAnsiTheme="minorEastAsia" w:eastAsiaTheme="minorEastAsia"/>
          <w:szCs w:val="21"/>
        </w:rPr>
        <w:t>招标文件</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（附件内容请登陆采购代理机构官网下载查阅）</w:t>
      </w:r>
    </w:p>
    <w:p>
      <w:pPr>
        <w:spacing w:line="360" w:lineRule="auto"/>
        <w:rPr>
          <w:rFonts w:cs="仿宋" w:asciiTheme="minorEastAsia" w:hAnsiTheme="minorEastAsia" w:eastAsiaTheme="minorEastAsia"/>
          <w:szCs w:val="21"/>
        </w:rPr>
      </w:pP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rPr>
        <w:t>深圳市中正招标有限公司</w:t>
      </w: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lang w:eastAsia="zh-CN"/>
        </w:rPr>
        <w:t>2023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01</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09</w:t>
      </w:r>
      <w:r>
        <w:rPr>
          <w:rFonts w:hint="eastAsia" w:cs="仿宋" w:asciiTheme="minorEastAsia" w:hAnsiTheme="minorEastAsia" w:eastAsiaTheme="minorEastAsia"/>
          <w:szCs w:val="21"/>
        </w:rPr>
        <w:t>日</w:t>
      </w:r>
    </w:p>
    <w:bookmarkEnd w:id="8"/>
    <w:p>
      <w:pPr>
        <w:widowControl/>
        <w:jc w:val="left"/>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第一部分</w:t>
      </w:r>
    </w:p>
    <w:p>
      <w:pPr>
        <w:spacing w:line="36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投标须知前附表及评审信息</w:t>
      </w:r>
    </w:p>
    <w:p>
      <w:pPr>
        <w:widowControl/>
        <w:jc w:val="left"/>
        <w:rPr>
          <w:rFonts w:cs="仿宋" w:asciiTheme="minorEastAsia" w:hAnsiTheme="minorEastAsia" w:eastAsiaTheme="minorEastAsia"/>
          <w:snapToGrid w:val="0"/>
          <w:kern w:val="0"/>
          <w:sz w:val="72"/>
        </w:rPr>
      </w:pPr>
      <w:r>
        <w:rPr>
          <w:rFonts w:hint="eastAsia" w:cs="仿宋" w:asciiTheme="minorEastAsia" w:hAnsiTheme="minorEastAsia" w:eastAsiaTheme="minorEastAsia"/>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9"/>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83"/>
        <w:gridCol w:w="1548"/>
        <w:gridCol w:w="58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28" w:hRule="atLeast"/>
          <w:tblHeader/>
          <w:jc w:val="center"/>
        </w:trPr>
        <w:tc>
          <w:tcPr>
            <w:tcW w:w="629"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项号</w:t>
            </w:r>
          </w:p>
        </w:tc>
        <w:tc>
          <w:tcPr>
            <w:tcW w:w="883"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条款号</w:t>
            </w:r>
          </w:p>
        </w:tc>
        <w:tc>
          <w:tcPr>
            <w:tcW w:w="1548"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内容</w:t>
            </w:r>
          </w:p>
        </w:tc>
        <w:tc>
          <w:tcPr>
            <w:tcW w:w="5856"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1</w:t>
            </w:r>
          </w:p>
        </w:tc>
        <w:tc>
          <w:tcPr>
            <w:tcW w:w="883"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1.1</w:t>
            </w:r>
          </w:p>
        </w:tc>
        <w:tc>
          <w:tcPr>
            <w:tcW w:w="1548"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项目名称</w:t>
            </w:r>
          </w:p>
        </w:tc>
        <w:tc>
          <w:tcPr>
            <w:tcW w:w="5856" w:type="dxa"/>
            <w:tcBorders>
              <w:top w:val="single" w:color="auto" w:sz="4" w:space="0"/>
            </w:tcBorders>
            <w:vAlign w:val="center"/>
          </w:tcPr>
          <w:p>
            <w:pPr>
              <w:pStyle w:val="12"/>
              <w:spacing w:line="360" w:lineRule="auto"/>
              <w:rPr>
                <w:rFonts w:hint="eastAsia" w:cs="仿宋" w:asciiTheme="minorEastAsia" w:hAnsiTheme="minorEastAsia" w:eastAsiaTheme="minorEastAsia"/>
                <w:lang w:eastAsia="zh-CN"/>
              </w:rPr>
            </w:pPr>
            <w:r>
              <w:rPr>
                <w:rFonts w:hint="eastAsia" w:cs="仿宋" w:asciiTheme="minorEastAsia" w:hAnsiTheme="minorEastAsia"/>
                <w:lang w:eastAsia="zh-CN"/>
              </w:rPr>
              <w:t>2023年视频交警功能维护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采购人名称</w:t>
            </w:r>
          </w:p>
        </w:tc>
        <w:tc>
          <w:tcPr>
            <w:tcW w:w="5856" w:type="dxa"/>
            <w:vAlign w:val="center"/>
          </w:tcPr>
          <w:p>
            <w:pPr>
              <w:spacing w:line="360" w:lineRule="auto"/>
              <w:rPr>
                <w:rFonts w:hint="default" w:cs="仿宋" w:asciiTheme="minorEastAsia" w:hAnsiTheme="minorEastAsia" w:eastAsiaTheme="minorEastAsia"/>
                <w:lang w:val="en-US" w:eastAsia="zh-CN"/>
              </w:rPr>
            </w:pPr>
            <w:r>
              <w:rPr>
                <w:rFonts w:hint="eastAsia" w:cs="仿宋" w:asciiTheme="minorEastAsia" w:hAnsiTheme="minorEastAsia" w:eastAsiaTheme="minorEastAsia"/>
                <w:lang w:val="en-US" w:eastAsia="zh-CN"/>
              </w:rPr>
              <w:t>深圳市公安局交通警察局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采购代理机构</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4</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资金来源</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5</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4.7</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投标人资格要求</w:t>
            </w:r>
          </w:p>
        </w:tc>
        <w:tc>
          <w:tcPr>
            <w:tcW w:w="5856" w:type="dxa"/>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spacing w:line="400" w:lineRule="exact"/>
              <w:rPr>
                <w:rFonts w:cs="仿宋" w:asciiTheme="minorEastAsia" w:hAnsiTheme="minorEastAsia"/>
                <w:szCs w:val="21"/>
              </w:rPr>
            </w:pPr>
            <w:r>
              <w:rPr>
                <w:rFonts w:hint="eastAsia" w:ascii="Times New Roman" w:hAnsi="宋体"/>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6</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6.1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踏勘现场</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7</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14.1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投标文件有效期</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8</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15.2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项目保证金</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10</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17.1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投标文件份数</w:t>
            </w:r>
          </w:p>
        </w:tc>
        <w:tc>
          <w:tcPr>
            <w:tcW w:w="5856" w:type="dxa"/>
            <w:vAlign w:val="center"/>
          </w:tcPr>
          <w:p>
            <w:pPr>
              <w:pStyle w:val="12"/>
              <w:rPr>
                <w:rFonts w:cs="仿宋" w:asciiTheme="minorEastAsia" w:hAnsiTheme="minorEastAsia"/>
              </w:rPr>
            </w:pPr>
            <w:r>
              <w:rPr>
                <w:rFonts w:hint="eastAsia" w:cs="仿宋" w:asciiTheme="minorEastAsia" w:hAnsiTheme="minorEastAsia"/>
              </w:rPr>
              <w:t>正本2份，副本 4 份，投标文件正文扫描件电子档2份。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11</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18.8</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开标</w:t>
            </w:r>
          </w:p>
        </w:tc>
        <w:tc>
          <w:tcPr>
            <w:tcW w:w="5856" w:type="dxa"/>
            <w:vAlign w:val="center"/>
          </w:tcPr>
          <w:p>
            <w:pPr>
              <w:pStyle w:val="12"/>
              <w:rPr>
                <w:rFonts w:cs="仿宋" w:asciiTheme="minorEastAsia" w:hAnsiTheme="minorEastAsia"/>
                <w:highlight w:val="none"/>
              </w:rPr>
            </w:pPr>
            <w:r>
              <w:rPr>
                <w:rFonts w:hint="eastAsia" w:cs="仿宋" w:asciiTheme="minorEastAsia" w:hAnsiTheme="minorEastAsia"/>
                <w:highlight w:val="none"/>
              </w:rPr>
              <w:t>时间：</w:t>
            </w:r>
            <w:r>
              <w:rPr>
                <w:rFonts w:hint="eastAsia" w:cs="仿宋" w:asciiTheme="minorEastAsia" w:hAnsiTheme="minorEastAsia"/>
                <w:snapToGrid w:val="0"/>
                <w:highlight w:val="none"/>
                <w:lang w:eastAsia="zh-CN"/>
              </w:rPr>
              <w:t>2023</w:t>
            </w:r>
            <w:r>
              <w:rPr>
                <w:rFonts w:hint="eastAsia" w:cs="仿宋" w:asciiTheme="minorEastAsia" w:hAnsiTheme="minorEastAsia"/>
                <w:snapToGrid w:val="0"/>
                <w:highlight w:val="none"/>
              </w:rPr>
              <w:t>年</w:t>
            </w:r>
            <w:r>
              <w:rPr>
                <w:rFonts w:hint="eastAsia" w:cs="仿宋" w:asciiTheme="minorEastAsia" w:hAnsiTheme="minorEastAsia"/>
                <w:snapToGrid w:val="0"/>
                <w:highlight w:val="none"/>
                <w:lang w:val="en-US" w:eastAsia="zh-CN"/>
              </w:rPr>
              <w:t>01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16</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15</w:t>
            </w:r>
            <w:r>
              <w:rPr>
                <w:rFonts w:hint="eastAsia" w:cs="仿宋" w:asciiTheme="minorEastAsia" w:hAnsiTheme="minorEastAsia"/>
                <w:snapToGrid w:val="0"/>
                <w:highlight w:val="none"/>
              </w:rPr>
              <w:t>：</w:t>
            </w:r>
            <w:r>
              <w:rPr>
                <w:rFonts w:hint="eastAsia" w:cs="仿宋" w:asciiTheme="minorEastAsia" w:hAnsiTheme="minorEastAsia"/>
                <w:snapToGrid w:val="0"/>
                <w:highlight w:val="none"/>
                <w:lang w:val="en-US" w:eastAsia="zh-CN"/>
              </w:rPr>
              <w:t>00</w:t>
            </w:r>
            <w:r>
              <w:rPr>
                <w:rFonts w:hint="eastAsia" w:cs="仿宋" w:asciiTheme="minorEastAsia" w:hAnsiTheme="minorEastAsia"/>
                <w:snapToGrid w:val="0"/>
                <w:highlight w:val="none"/>
              </w:rPr>
              <w:t>时（北京时间）</w:t>
            </w:r>
          </w:p>
          <w:p>
            <w:pPr>
              <w:pStyle w:val="12"/>
              <w:spacing w:line="360" w:lineRule="auto"/>
              <w:ind w:left="4" w:hanging="4" w:hangingChars="2"/>
              <w:rPr>
                <w:rFonts w:cs="仿宋" w:asciiTheme="minorEastAsia" w:hAnsiTheme="minorEastAsia"/>
                <w:highlight w:val="none"/>
              </w:rPr>
            </w:pPr>
            <w:r>
              <w:rPr>
                <w:rFonts w:hint="eastAsia" w:cs="仿宋" w:asciiTheme="minorEastAsia" w:hAnsiTheme="minorEastAsia"/>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12</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19.2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投标文件截止时间</w:t>
            </w:r>
          </w:p>
        </w:tc>
        <w:tc>
          <w:tcPr>
            <w:tcW w:w="5856" w:type="dxa"/>
            <w:vAlign w:val="center"/>
          </w:tcPr>
          <w:p>
            <w:pPr>
              <w:pStyle w:val="12"/>
              <w:spacing w:line="360" w:lineRule="auto"/>
              <w:rPr>
                <w:rFonts w:cs="仿宋" w:asciiTheme="minorEastAsia" w:hAnsiTheme="minorEastAsia"/>
                <w:highlight w:val="none"/>
              </w:rPr>
            </w:pPr>
            <w:r>
              <w:rPr>
                <w:rFonts w:hint="eastAsia" w:cs="仿宋" w:asciiTheme="minorEastAsia" w:hAnsiTheme="minorEastAsia"/>
                <w:snapToGrid w:val="0"/>
                <w:highlight w:val="none"/>
                <w:lang w:eastAsia="zh-CN"/>
              </w:rPr>
              <w:t>2023</w:t>
            </w:r>
            <w:r>
              <w:rPr>
                <w:rFonts w:hint="eastAsia" w:cs="仿宋" w:asciiTheme="minorEastAsia" w:hAnsiTheme="minorEastAsia"/>
                <w:snapToGrid w:val="0"/>
                <w:highlight w:val="none"/>
              </w:rPr>
              <w:t>年</w:t>
            </w:r>
            <w:r>
              <w:rPr>
                <w:rFonts w:hint="eastAsia" w:cs="仿宋" w:asciiTheme="minorEastAsia" w:hAnsiTheme="minorEastAsia"/>
                <w:snapToGrid w:val="0"/>
                <w:highlight w:val="none"/>
                <w:lang w:val="en-US" w:eastAsia="zh-CN"/>
              </w:rPr>
              <w:t>01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16</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15</w:t>
            </w:r>
            <w:r>
              <w:rPr>
                <w:rFonts w:hint="eastAsia" w:cs="仿宋" w:asciiTheme="minorEastAsia" w:hAnsiTheme="minorEastAsia"/>
                <w:snapToGrid w:val="0"/>
                <w:highlight w:val="none"/>
              </w:rPr>
              <w:t>：</w:t>
            </w:r>
            <w:r>
              <w:rPr>
                <w:rFonts w:hint="eastAsia" w:cs="仿宋" w:asciiTheme="minorEastAsia" w:hAnsiTheme="minorEastAsia"/>
                <w:snapToGrid w:val="0"/>
                <w:highlight w:val="none"/>
                <w:lang w:val="en-US" w:eastAsia="zh-CN"/>
              </w:rPr>
              <w:t>00</w:t>
            </w:r>
            <w:r>
              <w:rPr>
                <w:rFonts w:hint="eastAsia" w:cs="仿宋" w:asciiTheme="minorEastAsia" w:hAnsiTheme="minorEastAsia"/>
                <w:snapToGrid w:val="0"/>
                <w:highlight w:val="none"/>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13</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26.5</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评审方法</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14</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33.1</w:t>
            </w:r>
          </w:p>
        </w:tc>
        <w:tc>
          <w:tcPr>
            <w:tcW w:w="1548" w:type="dxa"/>
            <w:vAlign w:val="center"/>
          </w:tcPr>
          <w:p>
            <w:pPr>
              <w:pStyle w:val="12"/>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5856" w:type="dxa"/>
            <w:vAlign w:val="center"/>
          </w:tcPr>
          <w:p>
            <w:pPr>
              <w:pStyle w:val="12"/>
              <w:spacing w:line="340" w:lineRule="exact"/>
              <w:rPr>
                <w:rFonts w:cs="仿宋" w:asciiTheme="minorEastAsia" w:hAnsiTheme="minorEastAsia"/>
              </w:rPr>
            </w:pPr>
            <w:r>
              <w:rPr>
                <w:rFonts w:hint="eastAsia" w:cs="仿宋" w:asciiTheme="minorEastAsia" w:hAnsiTheme="minorEastAsia"/>
              </w:rPr>
              <w:t>采购代理机构按中标金额的一定比例向中标人收取，最低收取人民币5000元。</w:t>
            </w:r>
          </w:p>
          <w:p>
            <w:pPr>
              <w:pStyle w:val="12"/>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15</w:t>
            </w:r>
          </w:p>
        </w:tc>
        <w:tc>
          <w:tcPr>
            <w:tcW w:w="883" w:type="dxa"/>
            <w:vAlign w:val="center"/>
          </w:tcPr>
          <w:p>
            <w:pPr>
              <w:pStyle w:val="12"/>
              <w:spacing w:line="360" w:lineRule="auto"/>
              <w:jc w:val="center"/>
              <w:rPr>
                <w:rFonts w:cs="仿宋" w:asciiTheme="minorEastAsia" w:hAnsiTheme="minorEastAsia"/>
              </w:rPr>
            </w:pPr>
          </w:p>
        </w:tc>
        <w:tc>
          <w:tcPr>
            <w:tcW w:w="1548" w:type="dxa"/>
            <w:vAlign w:val="center"/>
          </w:tcPr>
          <w:p>
            <w:pPr>
              <w:pStyle w:val="12"/>
              <w:spacing w:line="340" w:lineRule="exact"/>
              <w:jc w:val="center"/>
              <w:rPr>
                <w:rFonts w:cs="仿宋" w:asciiTheme="minorEastAsia" w:hAnsiTheme="minorEastAsia"/>
              </w:rPr>
            </w:pPr>
            <w:r>
              <w:rPr>
                <w:rFonts w:hint="eastAsia" w:cs="仿宋" w:asciiTheme="minorEastAsia" w:hAnsiTheme="minorEastAsia"/>
              </w:rPr>
              <w:t>采购控制金额</w:t>
            </w:r>
          </w:p>
          <w:p>
            <w:pPr>
              <w:pStyle w:val="12"/>
              <w:spacing w:line="340" w:lineRule="exact"/>
              <w:jc w:val="center"/>
              <w:rPr>
                <w:rFonts w:cs="仿宋" w:asciiTheme="minorEastAsia" w:hAnsiTheme="minorEastAsia"/>
              </w:rPr>
            </w:pPr>
            <w:r>
              <w:rPr>
                <w:rFonts w:hint="eastAsia" w:cs="仿宋" w:asciiTheme="minorEastAsia" w:hAnsiTheme="minorEastAsia"/>
              </w:rPr>
              <w:t>（最高限价）</w:t>
            </w:r>
          </w:p>
        </w:tc>
        <w:tc>
          <w:tcPr>
            <w:tcW w:w="5856" w:type="dxa"/>
            <w:vAlign w:val="center"/>
          </w:tcPr>
          <w:p>
            <w:pPr>
              <w:pStyle w:val="12"/>
              <w:spacing w:line="340" w:lineRule="exact"/>
              <w:rPr>
                <w:rFonts w:hint="default" w:cs="仿宋" w:asciiTheme="minorEastAsia" w:hAnsiTheme="minorEastAsia" w:eastAsiaTheme="minorEastAsia"/>
                <w:highlight w:val="none"/>
                <w:lang w:val="en-US" w:eastAsia="zh-CN"/>
              </w:rPr>
            </w:pPr>
            <w:r>
              <w:rPr>
                <w:rFonts w:hint="eastAsia" w:cs="仿宋" w:asciiTheme="minorEastAsia" w:hAnsiTheme="minorEastAsia"/>
                <w:highlight w:val="none"/>
              </w:rPr>
              <w:t>人民币</w:t>
            </w:r>
            <w:r>
              <w:rPr>
                <w:rFonts w:hint="eastAsia" w:cs="仿宋" w:asciiTheme="minorEastAsia" w:hAnsiTheme="minorEastAsia"/>
                <w:highlight w:val="none"/>
                <w:lang w:val="en-US" w:eastAsia="zh-CN"/>
              </w:rPr>
              <w:t>63</w:t>
            </w:r>
            <w:r>
              <w:rPr>
                <w:rFonts w:hint="eastAsia" w:cs="仿宋" w:asciiTheme="minorEastAsia" w:hAnsiTheme="minorEastAsia"/>
                <w:highlight w:val="none"/>
              </w:rPr>
              <w:t>万元</w:t>
            </w:r>
          </w:p>
        </w:tc>
      </w:tr>
    </w:tbl>
    <w:p>
      <w:pPr>
        <w:jc w:val="center"/>
        <w:rPr>
          <w:rFonts w:cs="仿宋" w:asciiTheme="minorEastAsia" w:hAnsiTheme="minorEastAsia" w:eastAsiaTheme="minorEastAsia"/>
          <w:b/>
          <w:bCs/>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bCs/>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zCs w:val="21"/>
        </w:rPr>
        <w:t>投标人</w:t>
      </w:r>
      <w:r>
        <w:rPr>
          <w:rFonts w:hint="eastAsia" w:cs="仿宋" w:asciiTheme="minorEastAsia" w:hAnsiTheme="minorEastAsia" w:eastAsiaTheme="minorEastAsia"/>
          <w:snapToGrid w:val="0"/>
          <w:kern w:val="0"/>
        </w:rPr>
        <w:t>的资格不符合招标文件要求或资格证明文件提供不全。</w:t>
      </w:r>
    </w:p>
    <w:p>
      <w:pPr>
        <w:pStyle w:val="2"/>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投标人提供的投标文件数量不符合招标文件要求。</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投标文件未按照招标文件要求制作、密封和标记。</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投标文件有关内容未按招标文件要求加盖投标人印章、或未经法定代表人或其委托代理人签字（或盖章）。</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未实质性响应招标文件要求的。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3"/>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未按招标文件所提供的样式填写《声明函》。</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sz w:val="32"/>
        </w:rPr>
      </w:pPr>
    </w:p>
    <w:p>
      <w:pPr>
        <w:widowControl/>
        <w:jc w:val="left"/>
        <w:rPr>
          <w:rFonts w:cs="仿宋" w:asciiTheme="minorEastAsia" w:hAnsiTheme="minorEastAsia" w:eastAsiaTheme="minorEastAsia"/>
          <w:sz w:val="32"/>
        </w:rPr>
      </w:pPr>
      <w:r>
        <w:rPr>
          <w:rFonts w:hint="eastAsia" w:cs="仿宋" w:asciiTheme="minorEastAsia" w:hAnsiTheme="minorEastAsia" w:eastAsiaTheme="minorEastAsia"/>
          <w:sz w:val="3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评审信息</w:t>
      </w:r>
    </w:p>
    <w:p>
      <w:pPr>
        <w:spacing w:line="360" w:lineRule="auto"/>
        <w:jc w:val="left"/>
        <w:rPr>
          <w:rFonts w:cs="仿宋" w:asciiTheme="minorEastAsia" w:hAnsiTheme="minorEastAsia" w:eastAsiaTheme="minorEastAsia"/>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评审方法;综合评分法。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综合评分法，是指投标文件满足招标文件全部实质性要求，且按照评审因素的量化指标评审得分最高的投标人为中标候选人的评审方法。</w:t>
      </w:r>
    </w:p>
    <w:tbl>
      <w:tblPr>
        <w:tblStyle w:val="1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4"/>
        <w:gridCol w:w="85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65" w:type="dxa"/>
            <w:tcBorders>
              <w:top w:val="double" w:color="auto" w:sz="4" w:space="0"/>
              <w:left w:val="double" w:color="auto" w:sz="4" w:space="0"/>
              <w:bottom w:val="sing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类别</w:t>
            </w:r>
          </w:p>
        </w:tc>
        <w:tc>
          <w:tcPr>
            <w:tcW w:w="1144" w:type="dxa"/>
            <w:tcBorders>
              <w:top w:val="doub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评分项目</w:t>
            </w:r>
          </w:p>
        </w:tc>
        <w:tc>
          <w:tcPr>
            <w:tcW w:w="850" w:type="dxa"/>
            <w:tcBorders>
              <w:top w:val="double" w:color="auto" w:sz="4" w:space="0"/>
            </w:tcBorders>
            <w:shd w:val="clear" w:color="auto" w:fill="8DB3E2"/>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分值</w:t>
            </w:r>
          </w:p>
        </w:tc>
        <w:tc>
          <w:tcPr>
            <w:tcW w:w="6261" w:type="dxa"/>
            <w:tcBorders>
              <w:top w:val="double" w:color="auto" w:sz="4" w:space="0"/>
              <w:right w:val="doub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价格部分（G）</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（总分</w:t>
            </w:r>
            <w:r>
              <w:rPr>
                <w:rFonts w:hint="eastAsia" w:ascii="宋体" w:hAnsi="宋体" w:eastAsia="宋体" w:cs="宋体"/>
                <w:snapToGrid w:val="0"/>
                <w:kern w:val="0"/>
                <w:sz w:val="22"/>
                <w:szCs w:val="22"/>
                <w:lang w:val="en-US" w:eastAsia="zh-CN"/>
              </w:rPr>
              <w:t>20</w:t>
            </w:r>
            <w:r>
              <w:rPr>
                <w:rFonts w:hint="eastAsia" w:ascii="宋体" w:hAnsi="宋体" w:eastAsia="宋体" w:cs="宋体"/>
                <w:snapToGrid w:val="0"/>
                <w:kern w:val="0"/>
                <w:sz w:val="22"/>
                <w:szCs w:val="22"/>
              </w:rPr>
              <w:t>分）</w:t>
            </w:r>
          </w:p>
        </w:tc>
        <w:tc>
          <w:tcPr>
            <w:tcW w:w="1144" w:type="dxa"/>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kern w:val="0"/>
                <w:sz w:val="22"/>
                <w:szCs w:val="22"/>
              </w:rPr>
            </w:pPr>
            <w:r>
              <w:rPr>
                <w:rFonts w:hint="eastAsia" w:ascii="宋体" w:hAnsi="宋体" w:eastAsia="宋体" w:cs="宋体"/>
                <w:kern w:val="0"/>
                <w:sz w:val="22"/>
                <w:szCs w:val="22"/>
              </w:rPr>
              <w:t>投标报价</w:t>
            </w:r>
          </w:p>
        </w:tc>
        <w:tc>
          <w:tcPr>
            <w:tcW w:w="850" w:type="dxa"/>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2"/>
                <w:szCs w:val="22"/>
              </w:rPr>
            </w:pPr>
            <w:r>
              <w:rPr>
                <w:rFonts w:hint="eastAsia" w:ascii="宋体" w:hAnsi="宋体" w:eastAsia="宋体" w:cs="宋体"/>
                <w:sz w:val="22"/>
                <w:szCs w:val="22"/>
              </w:rPr>
              <w:t>价格分按以下方案计算：</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2"/>
                <w:szCs w:val="22"/>
                <w:lang w:val="en-US" w:eastAsia="zh-CN"/>
              </w:rPr>
            </w:pPr>
            <w:r>
              <w:rPr>
                <w:rFonts w:hint="eastAsia" w:ascii="宋体" w:hAnsi="宋体" w:eastAsia="宋体" w:cs="宋体"/>
                <w:sz w:val="22"/>
                <w:szCs w:val="22"/>
              </w:rPr>
              <w:t>投标报价得分= Z/Sn×</w:t>
            </w:r>
            <w:r>
              <w:rPr>
                <w:rFonts w:hint="eastAsia" w:ascii="宋体" w:hAnsi="宋体" w:cs="宋体"/>
                <w:sz w:val="22"/>
                <w:szCs w:val="22"/>
                <w:lang w:val="en-US" w:eastAsia="zh-CN"/>
              </w:rPr>
              <w:t>2</w:t>
            </w:r>
            <w:r>
              <w:rPr>
                <w:rFonts w:hint="eastAsia" w:ascii="宋体" w:hAnsi="宋体" w:eastAsia="宋体" w:cs="宋体"/>
                <w:sz w:val="22"/>
                <w:szCs w:val="22"/>
                <w:lang w:val="en-US" w:eastAsia="zh-CN"/>
              </w:rPr>
              <w:t>0</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2"/>
                <w:szCs w:val="22"/>
              </w:rPr>
            </w:pPr>
            <w:r>
              <w:rPr>
                <w:rFonts w:hint="eastAsia" w:ascii="宋体" w:hAnsi="宋体" w:eastAsia="宋体" w:cs="宋体"/>
                <w:sz w:val="22"/>
                <w:szCs w:val="22"/>
              </w:rPr>
              <w:t>其中： Z --评标基准价，即通过资格性审查和符合性审查且投标价格最低的投标报价</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2"/>
                <w:szCs w:val="22"/>
              </w:rPr>
            </w:pPr>
            <w:r>
              <w:rPr>
                <w:rFonts w:hint="eastAsia" w:ascii="宋体" w:hAnsi="宋体" w:eastAsia="宋体" w:cs="宋体"/>
                <w:sz w:val="22"/>
                <w:szCs w:val="22"/>
              </w:rPr>
              <w:t>Sn ---投标报价，即通过资格性审查和符合性审查的投标报价。</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szCs w:val="22"/>
              </w:rPr>
            </w:pPr>
            <w:r>
              <w:rPr>
                <w:rFonts w:hint="eastAsia" w:ascii="宋体" w:hAnsi="宋体" w:eastAsia="宋体" w:cs="宋体"/>
                <w:sz w:val="22"/>
                <w:szCs w:val="22"/>
              </w:rPr>
              <w:t>注：对于符合 “政府采购扶持政策”的小微企业、监狱企业和残疾人福利性单位，以调整后的价格计算评标基准价和投标报价。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restart"/>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技术部分（J）</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（总分</w:t>
            </w:r>
            <w:r>
              <w:rPr>
                <w:rFonts w:hint="eastAsia" w:ascii="宋体" w:hAnsi="宋体" w:eastAsia="宋体" w:cs="宋体"/>
                <w:snapToGrid w:val="0"/>
                <w:kern w:val="0"/>
                <w:sz w:val="22"/>
                <w:szCs w:val="22"/>
                <w:lang w:val="en-US" w:eastAsia="zh-CN"/>
              </w:rPr>
              <w:t>40</w:t>
            </w:r>
            <w:r>
              <w:rPr>
                <w:rFonts w:hint="eastAsia" w:ascii="宋体" w:hAnsi="宋体" w:eastAsia="宋体" w:cs="宋体"/>
                <w:snapToGrid w:val="0"/>
                <w:kern w:val="0"/>
                <w:sz w:val="22"/>
                <w:szCs w:val="22"/>
              </w:rPr>
              <w:t>分）</w:t>
            </w:r>
          </w:p>
        </w:tc>
        <w:tc>
          <w:tcPr>
            <w:tcW w:w="1144"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kern w:val="0"/>
                <w:sz w:val="22"/>
                <w:szCs w:val="22"/>
              </w:rPr>
            </w:pPr>
            <w:r>
              <w:rPr>
                <w:rFonts w:hint="eastAsia" w:ascii="宋体" w:hAnsi="宋体" w:eastAsia="宋体" w:cs="宋体"/>
                <w:color w:val="auto"/>
                <w:sz w:val="22"/>
                <w:szCs w:val="22"/>
                <w:highlight w:val="none"/>
              </w:rPr>
              <w:t>实施方案</w:t>
            </w:r>
          </w:p>
        </w:tc>
        <w:tc>
          <w:tcPr>
            <w:tcW w:w="850"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kern w:val="0"/>
                <w:sz w:val="22"/>
                <w:szCs w:val="22"/>
                <w:lang w:val="en-US" w:eastAsia="zh-CN"/>
              </w:rPr>
            </w:pPr>
            <w:r>
              <w:rPr>
                <w:rFonts w:hint="eastAsia" w:ascii="宋体" w:hAnsi="宋体" w:eastAsia="宋体" w:cs="宋体"/>
                <w:color w:val="auto"/>
                <w:sz w:val="22"/>
                <w:szCs w:val="22"/>
                <w:highlight w:val="none"/>
                <w:lang w:val="en-US" w:eastAsia="zh-CN"/>
              </w:rPr>
              <w:t>15</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（1）对本项目内容的理解深入、准确；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（2）对本项目实施存在问题的认识和分析全面、深刻；</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（3）研究内容全面响应本项目工作内容；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（4）项目实施技术思路清晰合理，具有可操作性。</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（二）评分标准：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以上四项均满足的得10分，不满足一项扣2.5分。在此基础上，专家根据各供应商的具体响应内容按照量化的评审因素指标进一步评审：</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1）实施方案全面具体，保障管理思路明确，制定配套的解决方案和规范全面具体的，加5分；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2）实施方案比较具体，保障管理思路比较明确，制定配套的解决方案和规范比较具体的，加3分；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3）实施方案比较简单，保障管理思路较差，制定的配套的解决方案和规范基本满足要求的，加1分；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kern w:val="0"/>
                <w:sz w:val="22"/>
                <w:szCs w:val="22"/>
              </w:rPr>
            </w:pPr>
            <w:r>
              <w:rPr>
                <w:rFonts w:hint="eastAsia" w:ascii="宋体" w:hAnsi="宋体" w:eastAsia="宋体" w:cs="宋体"/>
                <w:color w:val="auto"/>
                <w:sz w:val="22"/>
                <w:szCs w:val="22"/>
                <w:highlight w:val="none"/>
                <w:lang w:val="en-US" w:eastAsia="zh-CN"/>
              </w:rPr>
              <w:t>4）其他情况不加分。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2"/>
                <w:szCs w:val="22"/>
              </w:rPr>
            </w:pPr>
            <w:r>
              <w:rPr>
                <w:rFonts w:hint="eastAsia" w:ascii="宋体" w:hAnsi="宋体" w:eastAsia="宋体" w:cs="宋体"/>
                <w:color w:val="auto"/>
                <w:sz w:val="22"/>
                <w:szCs w:val="22"/>
                <w:highlight w:val="none"/>
              </w:rPr>
              <w:t>项目重点难点分析、应对措施及相关的合理化建议</w:t>
            </w:r>
          </w:p>
        </w:tc>
        <w:tc>
          <w:tcPr>
            <w:tcW w:w="850"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2"/>
                <w:szCs w:val="22"/>
                <w:lang w:val="en-US" w:eastAsia="zh-CN"/>
              </w:rPr>
            </w:pPr>
            <w:r>
              <w:rPr>
                <w:rFonts w:hint="eastAsia" w:ascii="宋体" w:hAnsi="宋体" w:eastAsia="宋体" w:cs="宋体"/>
                <w:color w:val="auto"/>
                <w:sz w:val="22"/>
                <w:szCs w:val="22"/>
                <w:highlight w:val="none"/>
                <w:lang w:val="en-US" w:eastAsia="zh-CN"/>
              </w:rPr>
              <w:t>12</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（1）对项目的重难点的把握到位；</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（2）对项目重难点的应对措施判断得当；</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（3）对重难点问题提出的解决路径合理且具有可操作性。</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（二）评分标准：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以上三项均满足的得9分，不满足一项扣3分。在此基础上，专家根据各供应商的具体响应内容按照量化的评审因素指标进一步评审：</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1）项目重点难点分析、突发事件处理、应急预案及措施全面具体，对紧急情况处理（包括处理时间、维护流程等）制定的可行性方案全面具体，加3分；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2）项目重点难点分析、突发事件处理、应急预案及措施比较具体，对紧急情况处理（包括处理时间、维护流程等）制定的可行性方案比较具体，加2分；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3）项目重点难点分析、突发事件处理、应急预案及措施比较简单，对紧急情况处理（包括处理时间、维护流程等）制定的可行性方案基本满足要求，加1分；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2"/>
                <w:szCs w:val="22"/>
              </w:rPr>
            </w:pPr>
            <w:r>
              <w:rPr>
                <w:rFonts w:hint="eastAsia" w:ascii="宋体" w:hAnsi="宋体" w:eastAsia="宋体" w:cs="宋体"/>
                <w:color w:val="auto"/>
                <w:sz w:val="22"/>
                <w:szCs w:val="22"/>
                <w:highlight w:val="none"/>
                <w:lang w:val="en-US" w:eastAsia="zh-CN"/>
              </w:rPr>
              <w:t>4）其他情况不加分。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2"/>
                <w:szCs w:val="22"/>
              </w:rPr>
            </w:pPr>
            <w:r>
              <w:rPr>
                <w:rFonts w:hint="eastAsia" w:ascii="宋体" w:hAnsi="宋体" w:eastAsia="宋体" w:cs="宋体"/>
                <w:color w:val="auto"/>
                <w:sz w:val="22"/>
                <w:szCs w:val="22"/>
                <w:highlight w:val="none"/>
              </w:rPr>
              <w:t>质量保障措施及方案</w:t>
            </w:r>
          </w:p>
        </w:tc>
        <w:tc>
          <w:tcPr>
            <w:tcW w:w="850"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2"/>
                <w:szCs w:val="22"/>
              </w:rPr>
            </w:pPr>
            <w:r>
              <w:rPr>
                <w:rFonts w:hint="eastAsia" w:ascii="宋体" w:hAnsi="宋体" w:eastAsia="宋体" w:cs="宋体"/>
                <w:color w:val="auto"/>
                <w:sz w:val="22"/>
                <w:szCs w:val="22"/>
                <w:highlight w:val="none"/>
              </w:rPr>
              <w:t>8</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（一）评分内容：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（1）项目进度控制和沟通协调机制合理；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（2）项目实施涉及的保障措施安排全面；</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（3）项目整体质量控制满足任务要求。</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（二）评分标准：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以上三项均满足的得</w:t>
            </w:r>
            <w:r>
              <w:rPr>
                <w:rFonts w:hint="eastAsia" w:ascii="宋体" w:hAnsi="宋体" w:cs="宋体"/>
                <w:color w:val="auto"/>
                <w:sz w:val="22"/>
                <w:szCs w:val="22"/>
                <w:highlight w:val="none"/>
                <w:lang w:val="en-US" w:eastAsia="zh-CN"/>
              </w:rPr>
              <w:t>6</w:t>
            </w:r>
            <w:r>
              <w:rPr>
                <w:rFonts w:hint="eastAsia" w:ascii="宋体" w:hAnsi="宋体" w:eastAsia="宋体" w:cs="宋体"/>
                <w:color w:val="auto"/>
                <w:sz w:val="22"/>
                <w:szCs w:val="22"/>
                <w:highlight w:val="none"/>
                <w:lang w:val="en-US" w:eastAsia="zh-CN"/>
              </w:rPr>
              <w:t>分，不满足一项扣</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分。在此基础上，专家根据各供应商的具体响应内容按照量化的评审因素指标进一步评审：</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1）质量保障措施及方案全面具体，质量控制方法和措施手段得当，人员配备方案全面具体，加</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lang w:val="en-US" w:eastAsia="zh-CN"/>
              </w:rPr>
              <w:t>分；</w:t>
            </w:r>
          </w:p>
          <w:p>
            <w:pPr>
              <w:keepNext w:val="0"/>
              <w:keepLines w:val="0"/>
              <w:pageBreakBefore w:val="0"/>
              <w:kinsoku/>
              <w:wordWrap/>
              <w:overflowPunct/>
              <w:topLinePunct w:val="0"/>
              <w:autoSpaceDE/>
              <w:autoSpaceDN/>
              <w:bidi w:val="0"/>
              <w:spacing w:line="440" w:lineRule="exac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2）质量保障措施及方案比较具体，质量控制比较得当，人员配备方案比较具体，加</w:t>
            </w:r>
            <w:r>
              <w:rPr>
                <w:rFonts w:hint="eastAsia" w:ascii="宋体" w:hAnsi="宋体" w:cs="宋体"/>
                <w:color w:val="auto"/>
                <w:sz w:val="22"/>
                <w:szCs w:val="22"/>
                <w:highlight w:val="none"/>
                <w:lang w:val="en-US" w:eastAsia="zh-CN"/>
              </w:rPr>
              <w:t>1.5</w:t>
            </w:r>
            <w:r>
              <w:rPr>
                <w:rFonts w:hint="eastAsia" w:ascii="宋体" w:hAnsi="宋体" w:eastAsia="宋体" w:cs="宋体"/>
                <w:color w:val="auto"/>
                <w:sz w:val="22"/>
                <w:szCs w:val="22"/>
                <w:highlight w:val="none"/>
                <w:lang w:val="en-US" w:eastAsia="zh-CN"/>
              </w:rPr>
              <w:t>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3）质量保障措施及方案比较简单，具有对应的质量控制方法和措施，人员配备方案基本满足要求，加1分；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kern w:val="0"/>
                <w:sz w:val="22"/>
                <w:szCs w:val="22"/>
              </w:rPr>
            </w:pPr>
            <w:r>
              <w:rPr>
                <w:rFonts w:hint="eastAsia" w:ascii="宋体" w:hAnsi="宋体" w:eastAsia="宋体" w:cs="宋体"/>
                <w:color w:val="auto"/>
                <w:sz w:val="22"/>
                <w:szCs w:val="22"/>
                <w:highlight w:val="none"/>
                <w:lang w:val="en-US" w:eastAsia="zh-CN"/>
              </w:rPr>
              <w:t>4）其他情况不加分。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rPr>
            </w:pPr>
            <w:r>
              <w:rPr>
                <w:rFonts w:hint="eastAsia" w:ascii="宋体" w:hAnsi="宋体" w:eastAsia="宋体" w:cs="宋体"/>
                <w:color w:val="auto"/>
                <w:sz w:val="22"/>
                <w:szCs w:val="22"/>
                <w:highlight w:val="none"/>
              </w:rPr>
              <w:t>违约承诺</w:t>
            </w:r>
          </w:p>
        </w:tc>
        <w:tc>
          <w:tcPr>
            <w:tcW w:w="850"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rPr>
            </w:pPr>
            <w:r>
              <w:rPr>
                <w:rFonts w:hint="eastAsia" w:ascii="宋体" w:hAnsi="宋体" w:eastAsia="宋体" w:cs="宋体"/>
                <w:color w:val="auto"/>
                <w:sz w:val="22"/>
                <w:szCs w:val="22"/>
                <w:highlight w:val="none"/>
                <w:lang w:val="en-US" w:eastAsia="zh-CN"/>
              </w:rPr>
              <w:t>5</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（一）评分内容：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投标人提供项目违约承诺，承诺在履约期间如若违约应履行的义务和赔偿，得5分，否则不得分。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（二）评分依据：</w:t>
            </w:r>
          </w:p>
          <w:p>
            <w:pPr>
              <w:keepNext w:val="0"/>
              <w:keepLines w:val="0"/>
              <w:pageBreakBefore w:val="0"/>
              <w:kinsoku/>
              <w:wordWrap/>
              <w:overflowPunct/>
              <w:topLinePunct w:val="0"/>
              <w:autoSpaceDE/>
              <w:autoSpaceDN/>
              <w:bidi w:val="0"/>
              <w:spacing w:line="440" w:lineRule="exact"/>
              <w:rPr>
                <w:rFonts w:hint="eastAsia" w:ascii="宋体" w:hAnsi="宋体" w:eastAsia="宋体" w:cs="宋体"/>
                <w:sz w:val="22"/>
                <w:szCs w:val="22"/>
              </w:rPr>
            </w:pPr>
            <w:r>
              <w:rPr>
                <w:rFonts w:hint="eastAsia" w:ascii="宋体" w:hAnsi="宋体" w:eastAsia="宋体" w:cs="宋体"/>
                <w:color w:val="auto"/>
                <w:sz w:val="22"/>
                <w:szCs w:val="22"/>
                <w:highlight w:val="none"/>
                <w:lang w:val="en-US" w:eastAsia="zh-CN"/>
              </w:rPr>
              <w:t>提供</w:t>
            </w:r>
            <w:r>
              <w:rPr>
                <w:rFonts w:hint="eastAsia" w:ascii="宋体" w:hAnsi="宋体"/>
                <w:szCs w:val="21"/>
              </w:rPr>
              <w:t>《违约</w:t>
            </w:r>
            <w:r>
              <w:rPr>
                <w:rFonts w:hint="eastAsia" w:ascii="宋体" w:hAnsi="宋体" w:eastAsia="宋体" w:cs="宋体"/>
                <w:color w:val="auto"/>
                <w:sz w:val="22"/>
                <w:szCs w:val="22"/>
                <w:highlight w:val="none"/>
                <w:lang w:val="en-US" w:eastAsia="zh-CN"/>
              </w:rPr>
              <w:t>承诺函</w:t>
            </w:r>
            <w:r>
              <w:rPr>
                <w:rFonts w:hint="eastAsia" w:ascii="宋体" w:hAnsi="宋体"/>
                <w:szCs w:val="21"/>
              </w:rPr>
              <w:t>》</w:t>
            </w:r>
            <w:r>
              <w:rPr>
                <w:rFonts w:hint="eastAsia" w:ascii="宋体" w:hAnsi="宋体"/>
                <w:szCs w:val="21"/>
                <w:lang w:eastAsia="zh-CN"/>
              </w:rPr>
              <w:t>（</w:t>
            </w:r>
            <w:r>
              <w:rPr>
                <w:rFonts w:hint="eastAsia" w:ascii="宋体" w:hAnsi="宋体" w:eastAsia="宋体" w:cs="宋体"/>
                <w:color w:val="auto"/>
                <w:sz w:val="22"/>
                <w:szCs w:val="22"/>
                <w:highlight w:val="none"/>
                <w:lang w:val="en-US" w:eastAsia="zh-CN"/>
              </w:rPr>
              <w:t>格式自拟）</w:t>
            </w:r>
            <w:r>
              <w:rPr>
                <w:rFonts w:hint="eastAsia" w:ascii="宋体" w:hAnsi="宋体"/>
                <w:szCs w:val="21"/>
              </w:rPr>
              <w:t>作为得分依据</w:t>
            </w:r>
            <w:r>
              <w:rPr>
                <w:rFonts w:hint="eastAsia" w:ascii="宋体" w:hAnsi="宋体" w:eastAsia="宋体" w:cs="宋体"/>
                <w:color w:val="auto"/>
                <w:sz w:val="22"/>
                <w:szCs w:val="22"/>
                <w:highlight w:val="none"/>
                <w:lang w:val="en-US" w:eastAsia="zh-CN"/>
              </w:rPr>
              <w:t>。未提供</w:t>
            </w:r>
            <w:r>
              <w:rPr>
                <w:rFonts w:hint="eastAsia" w:ascii="宋体" w:hAnsi="宋体"/>
                <w:szCs w:val="21"/>
              </w:rPr>
              <w:t>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65" w:type="dxa"/>
            <w:vMerge w:val="restart"/>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商务部分（S）</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（总分</w:t>
            </w:r>
            <w:r>
              <w:rPr>
                <w:rFonts w:hint="eastAsia" w:ascii="宋体" w:hAnsi="宋体" w:eastAsia="宋体" w:cs="宋体"/>
                <w:snapToGrid w:val="0"/>
                <w:kern w:val="0"/>
                <w:sz w:val="22"/>
                <w:szCs w:val="22"/>
                <w:lang w:val="en-US" w:eastAsia="zh-CN"/>
              </w:rPr>
              <w:t>40</w:t>
            </w:r>
            <w:r>
              <w:rPr>
                <w:rFonts w:hint="eastAsia" w:ascii="宋体" w:hAnsi="宋体" w:eastAsia="宋体" w:cs="宋体"/>
                <w:snapToGrid w:val="0"/>
                <w:kern w:val="0"/>
                <w:sz w:val="22"/>
                <w:szCs w:val="22"/>
              </w:rPr>
              <w:t>分）</w:t>
            </w: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rPr>
            </w:pPr>
            <w:r>
              <w:rPr>
                <w:rFonts w:hint="eastAsia" w:ascii="宋体" w:hAnsi="宋体" w:eastAsia="宋体" w:cs="宋体"/>
                <w:color w:val="auto"/>
                <w:kern w:val="0"/>
                <w:sz w:val="22"/>
                <w:szCs w:val="22"/>
                <w:highlight w:val="none"/>
              </w:rPr>
              <w:t>认证情况</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lang w:eastAsia="zh-CN"/>
              </w:rPr>
            </w:pPr>
            <w:r>
              <w:rPr>
                <w:rFonts w:hint="eastAsia" w:ascii="宋体" w:hAnsi="宋体" w:eastAsia="宋体" w:cs="宋体"/>
                <w:color w:val="auto"/>
                <w:kern w:val="0"/>
                <w:sz w:val="22"/>
                <w:szCs w:val="22"/>
                <w:highlight w:val="none"/>
                <w:lang w:val="en-US" w:eastAsia="zh-CN"/>
              </w:rPr>
              <w:t>9</w:t>
            </w:r>
          </w:p>
        </w:tc>
        <w:tc>
          <w:tcPr>
            <w:tcW w:w="6261" w:type="dxa"/>
            <w:tcBorders>
              <w:left w:val="single" w:color="auto" w:sz="4" w:space="0"/>
              <w:right w:val="double" w:color="auto" w:sz="4" w:space="0"/>
            </w:tcBorders>
            <w:vAlign w:val="top"/>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（一）评审内容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1、投标人具有信息技术服务管理体系认证</w:t>
            </w:r>
            <w:r>
              <w:rPr>
                <w:rFonts w:hint="eastAsia" w:ascii="宋体" w:hAnsi="宋体" w:eastAsia="宋体" w:cs="宋体"/>
                <w:color w:val="auto"/>
                <w:kern w:val="0"/>
                <w:sz w:val="22"/>
                <w:szCs w:val="22"/>
                <w:highlight w:val="none"/>
                <w:lang w:val="en-US" w:eastAsia="zh-CN"/>
              </w:rPr>
              <w:t>证书</w:t>
            </w:r>
            <w:r>
              <w:rPr>
                <w:rFonts w:hint="eastAsia" w:ascii="宋体" w:hAnsi="宋体" w:eastAsia="宋体" w:cs="宋体"/>
                <w:color w:val="auto"/>
                <w:kern w:val="0"/>
                <w:sz w:val="22"/>
                <w:szCs w:val="22"/>
                <w:highlight w:val="none"/>
              </w:rPr>
              <w:t>、信息安全管理体系认证</w:t>
            </w:r>
            <w:r>
              <w:rPr>
                <w:rFonts w:hint="eastAsia" w:ascii="宋体" w:hAnsi="宋体" w:eastAsia="宋体" w:cs="宋体"/>
                <w:color w:val="auto"/>
                <w:kern w:val="0"/>
                <w:sz w:val="22"/>
                <w:szCs w:val="22"/>
                <w:highlight w:val="none"/>
                <w:lang w:val="en-US" w:eastAsia="zh-CN"/>
              </w:rPr>
              <w:t>证书</w:t>
            </w:r>
            <w:r>
              <w:rPr>
                <w:rFonts w:hint="eastAsia" w:ascii="宋体" w:hAnsi="宋体" w:eastAsia="宋体" w:cs="宋体"/>
                <w:color w:val="auto"/>
                <w:kern w:val="0"/>
                <w:sz w:val="22"/>
                <w:szCs w:val="22"/>
                <w:highlight w:val="none"/>
              </w:rPr>
              <w:t>，</w:t>
            </w:r>
            <w:r>
              <w:rPr>
                <w:rFonts w:hint="eastAsia" w:ascii="宋体" w:hAnsi="宋体" w:eastAsia="宋体" w:cs="宋体"/>
                <w:color w:val="auto"/>
                <w:kern w:val="0"/>
                <w:sz w:val="22"/>
                <w:szCs w:val="22"/>
                <w:highlight w:val="none"/>
                <w:lang w:val="en-US" w:eastAsia="zh-CN"/>
              </w:rPr>
              <w:t>以上所有证书认证范围要求包含：</w:t>
            </w:r>
            <w:r>
              <w:rPr>
                <w:rFonts w:hint="eastAsia" w:ascii="宋体" w:hAnsi="宋体" w:eastAsia="宋体" w:cs="宋体"/>
                <w:color w:val="auto"/>
                <w:kern w:val="0"/>
                <w:sz w:val="22"/>
                <w:szCs w:val="22"/>
                <w:highlight w:val="none"/>
              </w:rPr>
              <w:t>视频综合信息化系统或无线通信系统的运维服务</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每</w:t>
            </w:r>
            <w:r>
              <w:rPr>
                <w:rFonts w:hint="eastAsia" w:ascii="宋体" w:hAnsi="宋体" w:eastAsia="宋体" w:cs="宋体"/>
                <w:color w:val="auto"/>
                <w:kern w:val="0"/>
                <w:sz w:val="22"/>
                <w:szCs w:val="22"/>
                <w:highlight w:val="none"/>
                <w:lang w:val="en-US" w:eastAsia="zh-CN"/>
              </w:rPr>
              <w:t>提供1个有效认证证书</w:t>
            </w:r>
            <w:r>
              <w:rPr>
                <w:rFonts w:hint="eastAsia" w:ascii="宋体" w:hAnsi="宋体" w:eastAsia="宋体" w:cs="宋体"/>
                <w:color w:val="auto"/>
                <w:kern w:val="0"/>
                <w:sz w:val="22"/>
                <w:szCs w:val="22"/>
                <w:highlight w:val="none"/>
              </w:rPr>
              <w:t>得2分，最高得4分；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2、具有省级或以上保密局颁发涉密计算机、通信和办公自动化设备定点维修维护证书</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得5分。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（二）评分依据</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1.提供有效</w:t>
            </w:r>
            <w:r>
              <w:rPr>
                <w:rFonts w:hint="eastAsia" w:ascii="宋体" w:hAnsi="宋体" w:eastAsia="宋体" w:cs="宋体"/>
                <w:color w:val="auto"/>
                <w:kern w:val="0"/>
                <w:sz w:val="22"/>
                <w:highlight w:val="none"/>
                <w:lang w:val="en-US" w:eastAsia="zh-CN"/>
              </w:rPr>
              <w:t>证书和</w:t>
            </w:r>
            <w:r>
              <w:rPr>
                <w:rFonts w:hint="eastAsia" w:ascii="宋体" w:hAnsi="宋体" w:eastAsia="宋体" w:cs="宋体"/>
                <w:color w:val="auto"/>
                <w:kern w:val="0"/>
                <w:sz w:val="22"/>
                <w:highlight w:val="none"/>
              </w:rPr>
              <w:t>认证证书（如认证证书注明年审要求的，必须按规定年审且证书在有效期内的方为有效；如未注明年审要求的，证书必须在有效期内的方为有效）；</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提供证书官网或权威机构【如：全国认证认可信息公共服务平台（cx.cnca.cn）】认证信息查询截图（截图需显示证书状态为有效）。相关证书在公开渠道无法查询的，投标人需提供颁发部门或者监管机构的证明材料，证明证书真实有效且为合法机构颁发；</w:t>
            </w:r>
          </w:p>
          <w:p>
            <w:pPr>
              <w:keepNext w:val="0"/>
              <w:keepLines w:val="0"/>
              <w:pageBreakBefore w:val="0"/>
              <w:kinsoku/>
              <w:wordWrap/>
              <w:overflowPunct/>
              <w:topLinePunct w:val="0"/>
              <w:autoSpaceDE/>
              <w:autoSpaceDN/>
              <w:bidi w:val="0"/>
              <w:spacing w:line="440" w:lineRule="exact"/>
              <w:rPr>
                <w:rFonts w:hint="eastAsia" w:ascii="宋体" w:hAnsi="宋体" w:eastAsia="宋体" w:cs="宋体"/>
                <w:sz w:val="22"/>
                <w:szCs w:val="22"/>
              </w:rPr>
            </w:pPr>
            <w:r>
              <w:rPr>
                <w:rFonts w:hint="eastAsia" w:ascii="宋体" w:hAnsi="宋体" w:eastAsia="宋体" w:cs="宋体"/>
                <w:color w:val="auto"/>
                <w:kern w:val="0"/>
                <w:sz w:val="22"/>
                <w:highlight w:val="none"/>
                <w:lang w:val="en-US" w:eastAsia="zh-CN"/>
              </w:rPr>
              <w:t>3.</w:t>
            </w:r>
            <w:r>
              <w:rPr>
                <w:rFonts w:hint="eastAsia" w:ascii="宋体" w:hAnsi="宋体" w:eastAsia="宋体" w:cs="宋体"/>
                <w:color w:val="auto"/>
                <w:kern w:val="0"/>
                <w:sz w:val="22"/>
                <w:highlight w:val="none"/>
              </w:rPr>
              <w:t>以上证明文件均提供复印件或扫描件（或官方网站截图）加盖投标人公章，原件备查。对于未提供证明文件，未提供查询记录且无其他证明材料的，或者提供不清晰导致评委无法判断的，均作不得分处理。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rPr>
            </w:pPr>
            <w:r>
              <w:rPr>
                <w:rFonts w:hint="eastAsia" w:ascii="宋体" w:hAnsi="宋体" w:eastAsia="宋体" w:cs="宋体"/>
                <w:color w:val="auto"/>
                <w:sz w:val="22"/>
                <w:szCs w:val="22"/>
                <w:highlight w:val="none"/>
              </w:rPr>
              <w:t>同类业绩</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color w:val="auto"/>
                <w:sz w:val="22"/>
                <w:szCs w:val="22"/>
                <w:highlight w:val="none"/>
                <w:lang w:val="en-US" w:eastAsia="zh-CN"/>
              </w:rPr>
              <w:t>4</w:t>
            </w:r>
          </w:p>
        </w:tc>
        <w:tc>
          <w:tcPr>
            <w:tcW w:w="6261" w:type="dxa"/>
            <w:tcBorders>
              <w:left w:val="single" w:color="auto" w:sz="4" w:space="0"/>
              <w:right w:val="double" w:color="auto" w:sz="4" w:space="0"/>
            </w:tcBorders>
            <w:vAlign w:val="center"/>
          </w:tcPr>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szCs w:val="22"/>
              </w:rPr>
            </w:pPr>
            <w:r>
              <w:rPr>
                <w:rFonts w:hint="eastAsia" w:ascii="宋体" w:hAnsi="宋体" w:eastAsia="宋体" w:cs="宋体"/>
                <w:sz w:val="22"/>
                <w:szCs w:val="22"/>
              </w:rPr>
              <w:t>（一）评审内容</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szCs w:val="22"/>
              </w:rPr>
            </w:pPr>
            <w:r>
              <w:rPr>
                <w:rFonts w:hint="eastAsia" w:ascii="宋体" w:hAnsi="宋体" w:eastAsia="宋体" w:cs="宋体"/>
                <w:sz w:val="22"/>
                <w:szCs w:val="22"/>
              </w:rPr>
              <w:t>2020年1月1日开始</w:t>
            </w:r>
            <w:r>
              <w:rPr>
                <w:rFonts w:hint="eastAsia" w:ascii="宋体" w:hAnsi="宋体" w:cs="宋体"/>
                <w:sz w:val="22"/>
                <w:szCs w:val="22"/>
                <w:lang w:val="en-US" w:eastAsia="zh-CN"/>
              </w:rPr>
              <w:t>至</w:t>
            </w:r>
            <w:r>
              <w:rPr>
                <w:rFonts w:hint="eastAsia" w:ascii="宋体" w:hAnsi="宋体" w:eastAsia="宋体" w:cs="宋体"/>
                <w:sz w:val="22"/>
                <w:szCs w:val="22"/>
              </w:rPr>
              <w:t>本项目</w:t>
            </w:r>
            <w:r>
              <w:rPr>
                <w:rFonts w:hint="eastAsia" w:ascii="宋体" w:hAnsi="宋体" w:cs="宋体"/>
                <w:sz w:val="22"/>
                <w:szCs w:val="22"/>
                <w:lang w:eastAsia="zh-CN"/>
              </w:rPr>
              <w:t>投标截止日（</w:t>
            </w:r>
            <w:r>
              <w:rPr>
                <w:rFonts w:hint="eastAsia" w:ascii="宋体" w:hAnsi="宋体" w:eastAsia="宋体" w:cs="宋体"/>
                <w:sz w:val="22"/>
                <w:szCs w:val="22"/>
              </w:rPr>
              <w:t>以合同签订时间签订为准</w:t>
            </w:r>
            <w:r>
              <w:rPr>
                <w:rFonts w:hint="eastAsia" w:ascii="宋体" w:hAnsi="宋体" w:cs="宋体"/>
                <w:sz w:val="22"/>
                <w:szCs w:val="22"/>
                <w:lang w:eastAsia="zh-CN"/>
              </w:rPr>
              <w:t>），</w:t>
            </w:r>
            <w:r>
              <w:rPr>
                <w:rFonts w:hint="eastAsia" w:ascii="宋体" w:hAnsi="宋体" w:eastAsia="宋体" w:cs="宋体"/>
                <w:sz w:val="22"/>
                <w:szCs w:val="22"/>
              </w:rPr>
              <w:t>投标人</w:t>
            </w:r>
            <w:r>
              <w:rPr>
                <w:rFonts w:hint="eastAsia" w:ascii="宋体" w:hAnsi="宋体" w:eastAsia="宋体" w:cs="宋体"/>
                <w:sz w:val="22"/>
                <w:szCs w:val="22"/>
                <w:lang w:val="en-US" w:eastAsia="zh-CN"/>
              </w:rPr>
              <w:t>具有</w:t>
            </w:r>
            <w:r>
              <w:rPr>
                <w:rFonts w:hint="eastAsia" w:ascii="宋体" w:hAnsi="宋体" w:eastAsia="宋体" w:cs="宋体"/>
                <w:sz w:val="22"/>
                <w:szCs w:val="22"/>
              </w:rPr>
              <w:t>相关同类业绩，每提供一个</w:t>
            </w:r>
            <w:r>
              <w:rPr>
                <w:rFonts w:hint="eastAsia" w:ascii="宋体" w:hAnsi="宋体" w:eastAsia="宋体" w:cs="宋体"/>
                <w:sz w:val="22"/>
                <w:szCs w:val="22"/>
                <w:lang w:val="en-US" w:eastAsia="zh-CN"/>
              </w:rPr>
              <w:t>项目得</w:t>
            </w:r>
            <w:r>
              <w:rPr>
                <w:rFonts w:hint="eastAsia" w:ascii="宋体" w:hAnsi="宋体" w:eastAsia="宋体" w:cs="宋体"/>
                <w:sz w:val="22"/>
                <w:szCs w:val="22"/>
              </w:rPr>
              <w:t>2分，最高得4分。</w:t>
            </w:r>
            <w:r>
              <w:rPr>
                <w:rFonts w:hint="eastAsia" w:ascii="宋体" w:hAnsi="宋体" w:eastAsia="宋体" w:cs="宋体"/>
                <w:sz w:val="22"/>
              </w:rPr>
              <w:t>同一项目续签合同的不可重复得分。</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szCs w:val="22"/>
              </w:rPr>
            </w:pPr>
            <w:r>
              <w:rPr>
                <w:rFonts w:hint="eastAsia" w:ascii="宋体" w:hAnsi="宋体" w:eastAsia="宋体" w:cs="宋体"/>
                <w:sz w:val="22"/>
                <w:szCs w:val="22"/>
              </w:rPr>
              <w:t>（二）评分依据</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rPr>
            </w:pPr>
            <w:r>
              <w:rPr>
                <w:rFonts w:hint="eastAsia" w:ascii="宋体" w:hAnsi="宋体" w:eastAsia="宋体" w:cs="宋体"/>
                <w:sz w:val="22"/>
                <w:szCs w:val="22"/>
                <w:lang w:val="en-US" w:eastAsia="zh-CN"/>
              </w:rPr>
              <w:t>1.</w:t>
            </w:r>
            <w:r>
              <w:rPr>
                <w:rFonts w:hint="eastAsia" w:ascii="宋体" w:hAnsi="宋体" w:eastAsia="宋体" w:cs="宋体"/>
                <w:sz w:val="22"/>
              </w:rPr>
              <w:t>提供合同关键页（关键信息包括但不仅限于合同的项目名称、服务内容、合同服务期限、合同签订日期、甲乙双方签字盖章页）且提供的材料各项信息不得有任何遮挡；</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rPr>
            </w:pPr>
            <w:r>
              <w:rPr>
                <w:rFonts w:hint="eastAsia" w:ascii="宋体" w:hAnsi="宋体" w:eastAsia="宋体" w:cs="宋体"/>
                <w:sz w:val="22"/>
                <w:lang w:val="en-US" w:eastAsia="zh-CN"/>
              </w:rPr>
              <w:t>2.</w:t>
            </w:r>
            <w:r>
              <w:rPr>
                <w:rFonts w:hint="eastAsia" w:ascii="宋体" w:hAnsi="宋体" w:eastAsia="宋体" w:cs="宋体"/>
                <w:sz w:val="22"/>
              </w:rPr>
              <w:t>通过合同关键信息无法判断是否得分的，也可以提供能证明得分的其它证明资料，如项目报告或合同甲方出具的证明文件；</w:t>
            </w:r>
          </w:p>
          <w:p>
            <w:pPr>
              <w:pStyle w:val="10"/>
              <w:keepNext w:val="0"/>
              <w:keepLines w:val="0"/>
              <w:pageBreakBefore w:val="0"/>
              <w:kinsoku/>
              <w:wordWrap/>
              <w:overflowPunct/>
              <w:topLinePunct w:val="0"/>
              <w:autoSpaceDE/>
              <w:autoSpaceDN/>
              <w:bidi w:val="0"/>
              <w:spacing w:after="0" w:line="440" w:lineRule="exact"/>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sz w:val="22"/>
              </w:rPr>
              <w:t>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rPr>
            </w:pPr>
            <w:r>
              <w:rPr>
                <w:rFonts w:hint="eastAsia" w:ascii="宋体" w:hAnsi="宋体" w:eastAsia="宋体" w:cs="宋体"/>
                <w:color w:val="auto"/>
                <w:sz w:val="22"/>
                <w:szCs w:val="22"/>
                <w:highlight w:val="none"/>
              </w:rPr>
              <w:t>拟派项目负责人（仅限一名）</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lang w:eastAsia="zh-CN"/>
              </w:rPr>
            </w:pPr>
            <w:r>
              <w:rPr>
                <w:rFonts w:hint="eastAsia" w:ascii="宋体" w:hAnsi="宋体" w:eastAsia="宋体" w:cs="宋体"/>
                <w:color w:val="auto"/>
                <w:sz w:val="22"/>
                <w:szCs w:val="22"/>
                <w:highlight w:val="none"/>
                <w:lang w:val="en-US" w:eastAsia="zh-CN"/>
              </w:rPr>
              <w:t>4</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（一）评审内容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拟派项目负责人（仅限一名）</w:t>
            </w:r>
            <w:r>
              <w:rPr>
                <w:rFonts w:hint="eastAsia" w:ascii="宋体" w:hAnsi="宋体" w:eastAsia="宋体" w:cs="宋体"/>
                <w:color w:val="auto"/>
                <w:sz w:val="22"/>
                <w:szCs w:val="22"/>
                <w:highlight w:val="none"/>
                <w:lang w:val="en-US" w:eastAsia="zh-CN"/>
              </w:rPr>
              <w:t>需为</w:t>
            </w:r>
            <w:r>
              <w:rPr>
                <w:rFonts w:hint="eastAsia" w:ascii="宋体" w:hAnsi="宋体" w:eastAsia="宋体" w:cs="宋体"/>
                <w:color w:val="auto"/>
                <w:sz w:val="22"/>
                <w:szCs w:val="22"/>
                <w:highlight w:val="none"/>
              </w:rPr>
              <w:t>投标人</w:t>
            </w:r>
            <w:r>
              <w:rPr>
                <w:rFonts w:hint="eastAsia" w:ascii="宋体" w:hAnsi="宋体" w:eastAsia="宋体" w:cs="宋体"/>
                <w:color w:val="auto"/>
                <w:sz w:val="22"/>
                <w:szCs w:val="22"/>
                <w:highlight w:val="none"/>
                <w:lang w:val="en-US" w:eastAsia="zh-CN"/>
              </w:rPr>
              <w:t>正式聘任</w:t>
            </w:r>
            <w:r>
              <w:rPr>
                <w:rFonts w:hint="eastAsia" w:ascii="宋体" w:hAnsi="宋体" w:eastAsia="宋体" w:cs="宋体"/>
                <w:color w:val="auto"/>
                <w:sz w:val="22"/>
                <w:szCs w:val="22"/>
                <w:highlight w:val="none"/>
              </w:rPr>
              <w:t>员工，</w:t>
            </w:r>
            <w:r>
              <w:rPr>
                <w:rFonts w:hint="eastAsia" w:ascii="宋体" w:hAnsi="宋体" w:eastAsia="宋体" w:cs="宋体"/>
                <w:color w:val="auto"/>
                <w:sz w:val="22"/>
                <w:highlight w:val="none"/>
              </w:rPr>
              <w:t>否则本项不得分。</w:t>
            </w:r>
            <w:r>
              <w:rPr>
                <w:rFonts w:hint="eastAsia" w:ascii="宋体" w:hAnsi="宋体" w:eastAsia="宋体" w:cs="宋体"/>
                <w:color w:val="auto"/>
                <w:sz w:val="22"/>
                <w:szCs w:val="22"/>
                <w:highlight w:val="none"/>
              </w:rPr>
              <w:t>在此基础上</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按照</w:t>
            </w:r>
            <w:r>
              <w:rPr>
                <w:rFonts w:hint="eastAsia" w:ascii="宋体" w:hAnsi="宋体" w:eastAsia="宋体" w:cs="宋体"/>
                <w:color w:val="auto"/>
                <w:sz w:val="22"/>
                <w:szCs w:val="22"/>
                <w:highlight w:val="none"/>
              </w:rPr>
              <w:t>以下</w:t>
            </w:r>
            <w:r>
              <w:rPr>
                <w:rFonts w:hint="eastAsia" w:ascii="宋体" w:hAnsi="宋体" w:eastAsia="宋体" w:cs="宋体"/>
                <w:color w:val="auto"/>
                <w:sz w:val="22"/>
                <w:szCs w:val="22"/>
                <w:highlight w:val="none"/>
                <w:lang w:val="en-US" w:eastAsia="zh-CN"/>
              </w:rPr>
              <w:t>标准</w:t>
            </w:r>
            <w:r>
              <w:rPr>
                <w:rFonts w:hint="eastAsia" w:ascii="宋体" w:hAnsi="宋体" w:eastAsia="宋体" w:cs="宋体"/>
                <w:color w:val="auto"/>
                <w:sz w:val="22"/>
                <w:szCs w:val="22"/>
                <w:highlight w:val="none"/>
              </w:rPr>
              <w:t>评审：</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具有PMP证书、ITIL证书，每提供1个得</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分，最高得4分。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（二）评分依据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 提供项目负责人通过投标单位缴纳的载有社保部门公章的近</w:t>
            </w:r>
            <w:r>
              <w:rPr>
                <w:rFonts w:hint="eastAsia" w:ascii="宋体" w:hAnsi="宋体" w:eastAsia="宋体" w:cs="宋体"/>
                <w:color w:val="auto"/>
                <w:sz w:val="22"/>
                <w:highlight w:val="none"/>
                <w:lang w:val="en-US" w:eastAsia="zh-CN"/>
              </w:rPr>
              <w:t>一</w:t>
            </w:r>
            <w:r>
              <w:rPr>
                <w:rFonts w:hint="eastAsia" w:ascii="宋体" w:hAnsi="宋体" w:eastAsia="宋体" w:cs="宋体"/>
                <w:color w:val="auto"/>
                <w:sz w:val="22"/>
                <w:highlight w:val="none"/>
              </w:rPr>
              <w:t>个月的个人社保证明，如供应商为新成立单位且成立时间不足一个月的，可提供加盖公章的情况说明</w:t>
            </w:r>
            <w:r>
              <w:rPr>
                <w:rFonts w:hint="eastAsia" w:ascii="宋体" w:hAnsi="宋体" w:eastAsia="宋体" w:cs="宋体"/>
                <w:color w:val="auto"/>
                <w:sz w:val="22"/>
                <w:highlight w:val="none"/>
                <w:lang w:eastAsia="zh-CN"/>
              </w:rPr>
              <w:t>；</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2.提供上述证书；</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2"/>
                <w:szCs w:val="22"/>
              </w:rPr>
            </w:pPr>
            <w:r>
              <w:rPr>
                <w:rFonts w:hint="eastAsia" w:ascii="宋体" w:hAnsi="宋体" w:eastAsia="宋体" w:cs="宋体"/>
                <w:color w:val="auto"/>
                <w:sz w:val="22"/>
                <w:highlight w:val="none"/>
                <w:lang w:val="en-US" w:eastAsia="zh-CN"/>
              </w:rPr>
              <w:t>3.</w:t>
            </w:r>
            <w:r>
              <w:rPr>
                <w:rFonts w:hint="eastAsia" w:ascii="宋体" w:hAnsi="宋体"/>
                <w:szCs w:val="21"/>
              </w:rPr>
              <w:t>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2"/>
                <w:szCs w:val="22"/>
              </w:rPr>
            </w:pPr>
            <w:r>
              <w:rPr>
                <w:rFonts w:hint="eastAsia" w:ascii="宋体" w:hAnsi="宋体" w:eastAsia="宋体" w:cs="宋体"/>
                <w:color w:val="auto"/>
                <w:sz w:val="22"/>
                <w:szCs w:val="22"/>
                <w:highlight w:val="none"/>
              </w:rPr>
              <w:t>拟派项目团队成员（项目负责人除外）</w:t>
            </w:r>
          </w:p>
        </w:tc>
        <w:tc>
          <w:tcPr>
            <w:tcW w:w="850"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宋体" w:hAnsi="宋体" w:eastAsia="宋体" w:cs="宋体"/>
                <w:sz w:val="22"/>
                <w:szCs w:val="22"/>
              </w:rPr>
            </w:pPr>
            <w:r>
              <w:rPr>
                <w:rFonts w:hint="eastAsia" w:ascii="宋体" w:hAnsi="宋体" w:eastAsia="宋体" w:cs="宋体"/>
                <w:color w:val="auto"/>
                <w:sz w:val="22"/>
                <w:szCs w:val="22"/>
                <w:highlight w:val="none"/>
                <w:lang w:val="en-US" w:eastAsia="zh-CN"/>
              </w:rPr>
              <w:t>8</w:t>
            </w:r>
          </w:p>
        </w:tc>
        <w:tc>
          <w:tcPr>
            <w:tcW w:w="6261" w:type="dxa"/>
            <w:tcBorders>
              <w:left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（一）评审内容</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拟派项目团队成员（项目负责人除外）</w:t>
            </w:r>
            <w:r>
              <w:rPr>
                <w:rFonts w:hint="eastAsia" w:ascii="宋体" w:hAnsi="宋体" w:eastAsia="宋体" w:cs="宋体"/>
                <w:color w:val="auto"/>
                <w:sz w:val="22"/>
                <w:szCs w:val="22"/>
                <w:highlight w:val="none"/>
                <w:lang w:val="en-US" w:eastAsia="zh-CN"/>
              </w:rPr>
              <w:t>需</w:t>
            </w:r>
            <w:r>
              <w:rPr>
                <w:rFonts w:hint="eastAsia" w:ascii="宋体" w:hAnsi="宋体" w:eastAsia="宋体" w:cs="宋体"/>
                <w:color w:val="auto"/>
                <w:sz w:val="22"/>
                <w:szCs w:val="22"/>
                <w:highlight w:val="none"/>
              </w:rPr>
              <w:t>是投标人</w:t>
            </w:r>
            <w:r>
              <w:rPr>
                <w:rFonts w:hint="eastAsia" w:ascii="宋体" w:hAnsi="宋体" w:eastAsia="宋体" w:cs="宋体"/>
                <w:color w:val="auto"/>
                <w:sz w:val="22"/>
                <w:szCs w:val="22"/>
                <w:highlight w:val="none"/>
                <w:lang w:val="en-US" w:eastAsia="zh-CN"/>
              </w:rPr>
              <w:t>正式聘任</w:t>
            </w:r>
            <w:r>
              <w:rPr>
                <w:rFonts w:hint="eastAsia" w:ascii="宋体" w:hAnsi="宋体" w:eastAsia="宋体" w:cs="宋体"/>
                <w:color w:val="auto"/>
                <w:sz w:val="22"/>
                <w:szCs w:val="22"/>
                <w:highlight w:val="none"/>
              </w:rPr>
              <w:t>员工，</w:t>
            </w:r>
            <w:r>
              <w:rPr>
                <w:rFonts w:hint="eastAsia" w:ascii="宋体" w:hAnsi="宋体" w:eastAsia="宋体" w:cs="宋体"/>
                <w:color w:val="auto"/>
                <w:sz w:val="22"/>
                <w:szCs w:val="22"/>
                <w:highlight w:val="none"/>
                <w:lang w:val="en-US" w:eastAsia="zh-CN"/>
              </w:rPr>
              <w:t>且</w:t>
            </w:r>
            <w:r>
              <w:rPr>
                <w:rFonts w:hint="eastAsia" w:ascii="宋体" w:hAnsi="宋体" w:eastAsia="宋体" w:cs="宋体"/>
                <w:color w:val="auto"/>
                <w:sz w:val="22"/>
                <w:szCs w:val="22"/>
                <w:highlight w:val="none"/>
              </w:rPr>
              <w:t>数量不少于4名，</w:t>
            </w:r>
            <w:r>
              <w:rPr>
                <w:rFonts w:hint="eastAsia" w:ascii="宋体" w:hAnsi="宋体" w:cs="宋体"/>
                <w:color w:val="auto"/>
                <w:sz w:val="22"/>
                <w:szCs w:val="22"/>
                <w:highlight w:val="none"/>
                <w:lang w:val="en-US" w:eastAsia="zh-CN"/>
              </w:rPr>
              <w:t>否则</w:t>
            </w:r>
            <w:r>
              <w:rPr>
                <w:rFonts w:hint="eastAsia" w:ascii="宋体" w:hAnsi="宋体" w:eastAsia="宋体" w:cs="宋体"/>
                <w:color w:val="auto"/>
                <w:sz w:val="22"/>
                <w:szCs w:val="22"/>
                <w:highlight w:val="none"/>
              </w:rPr>
              <w:t>本项不得分。在此基础上</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按照</w:t>
            </w:r>
            <w:r>
              <w:rPr>
                <w:rFonts w:hint="eastAsia" w:ascii="宋体" w:hAnsi="宋体" w:eastAsia="宋体" w:cs="宋体"/>
                <w:color w:val="auto"/>
                <w:sz w:val="22"/>
                <w:szCs w:val="22"/>
                <w:highlight w:val="none"/>
              </w:rPr>
              <w:t>以下</w:t>
            </w:r>
            <w:r>
              <w:rPr>
                <w:rFonts w:hint="eastAsia" w:ascii="宋体" w:hAnsi="宋体" w:eastAsia="宋体" w:cs="宋体"/>
                <w:color w:val="auto"/>
                <w:sz w:val="22"/>
                <w:szCs w:val="22"/>
                <w:highlight w:val="none"/>
                <w:lang w:val="en-US" w:eastAsia="zh-CN"/>
              </w:rPr>
              <w:t>标准</w:t>
            </w:r>
            <w:r>
              <w:rPr>
                <w:rFonts w:hint="eastAsia" w:ascii="宋体" w:hAnsi="宋体" w:eastAsia="宋体" w:cs="宋体"/>
                <w:color w:val="auto"/>
                <w:sz w:val="22"/>
                <w:szCs w:val="22"/>
                <w:highlight w:val="none"/>
              </w:rPr>
              <w:t>评审：</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1、至少有1名团队成员具有信息系统项目管理师证书及网络通信安全管理员证书的得3分，最高得3分；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2、具有ITIL证书的，每提供1名得3分，最高得3分；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3、具有安全防范系统安装维护员证书的，每提供1名得1分，最高得2分。</w:t>
            </w:r>
          </w:p>
          <w:p>
            <w:pPr>
              <w:pStyle w:val="9"/>
              <w:keepNext w:val="0"/>
              <w:keepLines w:val="0"/>
              <w:pageBreakBefore w:val="0"/>
              <w:widowControl w:val="0"/>
              <w:kinsoku/>
              <w:wordWrap/>
              <w:overflowPunct/>
              <w:topLinePunct w:val="0"/>
              <w:autoSpaceDE/>
              <w:autoSpaceDN/>
              <w:bidi w:val="0"/>
              <w:spacing w:line="440" w:lineRule="exact"/>
              <w:ind w:firstLine="0" w:firstLineChars="0"/>
              <w:textAlignment w:val="auto"/>
              <w:rPr>
                <w:rFonts w:hint="eastAsia"/>
              </w:rPr>
            </w:pPr>
            <w:r>
              <w:rPr>
                <w:rFonts w:hint="eastAsia" w:ascii="宋体" w:hAnsi="宋体" w:cs="宋体"/>
                <w:color w:val="auto"/>
                <w:sz w:val="22"/>
                <w:szCs w:val="22"/>
                <w:highlight w:val="none"/>
                <w:lang w:val="en-US" w:eastAsia="zh-CN"/>
              </w:rPr>
              <w:t>注：</w:t>
            </w:r>
            <w:r>
              <w:rPr>
                <w:rFonts w:hint="eastAsia" w:ascii="宋体" w:hAnsi="宋体" w:eastAsia="宋体" w:cs="宋体"/>
                <w:color w:val="auto"/>
                <w:sz w:val="22"/>
                <w:szCs w:val="22"/>
                <w:highlight w:val="none"/>
              </w:rPr>
              <w:t>同一人员按最高分计算，不可重复得分。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（二）评分依据</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 提供项目团队成员通过投标单位缴纳的载有社保部门公章的近</w:t>
            </w:r>
            <w:r>
              <w:rPr>
                <w:rFonts w:hint="eastAsia" w:ascii="宋体" w:hAnsi="宋体" w:eastAsia="宋体" w:cs="宋体"/>
                <w:color w:val="auto"/>
                <w:sz w:val="22"/>
                <w:highlight w:val="none"/>
                <w:lang w:val="en-US" w:eastAsia="zh-CN"/>
              </w:rPr>
              <w:t>一</w:t>
            </w:r>
            <w:r>
              <w:rPr>
                <w:rFonts w:hint="eastAsia" w:ascii="宋体" w:hAnsi="宋体" w:eastAsia="宋体" w:cs="宋体"/>
                <w:color w:val="auto"/>
                <w:sz w:val="22"/>
                <w:highlight w:val="none"/>
              </w:rPr>
              <w:t>个月的个人社保证明，如供应商为新成立单位且成立时间不足一个月的，可提供加盖公章的情况说明</w:t>
            </w:r>
            <w:r>
              <w:rPr>
                <w:rFonts w:hint="eastAsia" w:ascii="宋体" w:hAnsi="宋体" w:eastAsia="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2.提供上述证书；</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eastAsia="宋体" w:cs="宋体"/>
                <w:sz w:val="22"/>
                <w:szCs w:val="22"/>
              </w:rPr>
            </w:pPr>
            <w:r>
              <w:rPr>
                <w:rFonts w:hint="eastAsia" w:ascii="宋体" w:hAnsi="宋体" w:eastAsia="宋体" w:cs="宋体"/>
                <w:color w:val="auto"/>
                <w:sz w:val="22"/>
                <w:highlight w:val="none"/>
                <w:lang w:val="en-US" w:eastAsia="zh-CN"/>
              </w:rPr>
              <w:t>3.</w:t>
            </w:r>
            <w:r>
              <w:rPr>
                <w:rFonts w:hint="eastAsia" w:ascii="宋体" w:hAnsi="宋体"/>
                <w:szCs w:val="21"/>
              </w:rPr>
              <w:t>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自主知识产权</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（一）评审内容</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w:t>
            </w:r>
            <w:r>
              <w:rPr>
                <w:rFonts w:hint="eastAsia" w:ascii="宋体" w:hAnsi="宋体" w:eastAsia="宋体" w:cs="宋体"/>
                <w:color w:val="auto"/>
                <w:sz w:val="22"/>
                <w:szCs w:val="22"/>
                <w:highlight w:val="none"/>
                <w:lang w:val="en-US" w:eastAsia="zh-CN"/>
              </w:rPr>
              <w:t>具有</w:t>
            </w:r>
            <w:r>
              <w:rPr>
                <w:rFonts w:hint="eastAsia" w:ascii="宋体" w:hAnsi="宋体" w:eastAsia="宋体" w:cs="宋体"/>
                <w:color w:val="auto"/>
                <w:sz w:val="22"/>
                <w:szCs w:val="22"/>
                <w:highlight w:val="none"/>
              </w:rPr>
              <w:t>视频</w:t>
            </w:r>
            <w:r>
              <w:rPr>
                <w:rFonts w:hint="eastAsia" w:ascii="宋体" w:hAnsi="宋体" w:cs="宋体"/>
                <w:color w:val="auto"/>
                <w:sz w:val="22"/>
                <w:szCs w:val="22"/>
                <w:highlight w:val="none"/>
                <w:lang w:eastAsia="zh-CN"/>
              </w:rPr>
              <w:t>或</w:t>
            </w:r>
            <w:r>
              <w:rPr>
                <w:rFonts w:hint="eastAsia" w:ascii="宋体" w:hAnsi="宋体" w:eastAsia="宋体" w:cs="宋体"/>
                <w:color w:val="auto"/>
                <w:sz w:val="22"/>
                <w:szCs w:val="22"/>
                <w:highlight w:val="none"/>
              </w:rPr>
              <w:t>信息维护</w:t>
            </w:r>
            <w:r>
              <w:rPr>
                <w:rFonts w:hint="eastAsia" w:ascii="宋体" w:hAnsi="宋体" w:cs="宋体"/>
                <w:color w:val="auto"/>
                <w:sz w:val="22"/>
                <w:szCs w:val="22"/>
                <w:highlight w:val="none"/>
                <w:lang w:eastAsia="zh-CN"/>
              </w:rPr>
              <w:t>或</w:t>
            </w:r>
            <w:r>
              <w:rPr>
                <w:rFonts w:hint="eastAsia" w:ascii="宋体" w:hAnsi="宋体" w:eastAsia="宋体" w:cs="宋体"/>
                <w:color w:val="auto"/>
                <w:sz w:val="22"/>
                <w:szCs w:val="22"/>
                <w:highlight w:val="none"/>
              </w:rPr>
              <w:t>信息服务相关的软件著作权登记证书</w:t>
            </w:r>
            <w:r>
              <w:rPr>
                <w:rFonts w:hint="eastAsia" w:ascii="宋体" w:hAnsi="宋体" w:cs="宋体"/>
                <w:color w:val="auto"/>
                <w:sz w:val="22"/>
                <w:szCs w:val="22"/>
                <w:highlight w:val="none"/>
                <w:lang w:eastAsia="zh-CN"/>
              </w:rPr>
              <w:t>或</w:t>
            </w:r>
            <w:r>
              <w:rPr>
                <w:rFonts w:hint="eastAsia" w:ascii="宋体" w:hAnsi="宋体" w:eastAsia="宋体" w:cs="宋体"/>
                <w:color w:val="auto"/>
                <w:sz w:val="22"/>
                <w:szCs w:val="22"/>
                <w:highlight w:val="none"/>
              </w:rPr>
              <w:t>专利证书</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每</w:t>
            </w:r>
            <w:r>
              <w:rPr>
                <w:rFonts w:hint="eastAsia" w:ascii="宋体" w:hAnsi="宋体" w:eastAsia="宋体" w:cs="宋体"/>
                <w:color w:val="auto"/>
                <w:sz w:val="22"/>
                <w:szCs w:val="22"/>
                <w:highlight w:val="none"/>
                <w:lang w:val="en-US" w:eastAsia="zh-CN"/>
              </w:rPr>
              <w:t>提供</w:t>
            </w:r>
            <w:r>
              <w:rPr>
                <w:rFonts w:hint="eastAsia" w:ascii="宋体" w:hAnsi="宋体" w:eastAsia="宋体" w:cs="宋体"/>
                <w:color w:val="auto"/>
                <w:sz w:val="22"/>
                <w:szCs w:val="22"/>
                <w:highlight w:val="none"/>
              </w:rPr>
              <w:t>一项得2分，最高得6分。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（二）评分依据</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提供软件著作权登记证书</w:t>
            </w:r>
            <w:r>
              <w:rPr>
                <w:rFonts w:hint="eastAsia" w:ascii="宋体" w:hAnsi="宋体" w:cs="宋体"/>
                <w:color w:val="auto"/>
                <w:sz w:val="22"/>
                <w:szCs w:val="22"/>
                <w:highlight w:val="none"/>
                <w:lang w:eastAsia="zh-CN"/>
              </w:rPr>
              <w:t>或</w:t>
            </w:r>
            <w:r>
              <w:rPr>
                <w:rFonts w:hint="eastAsia" w:ascii="宋体" w:hAnsi="宋体" w:eastAsia="宋体" w:cs="宋体"/>
                <w:color w:val="auto"/>
                <w:sz w:val="22"/>
                <w:szCs w:val="22"/>
                <w:highlight w:val="none"/>
              </w:rPr>
              <w:t>专利证书</w:t>
            </w:r>
            <w:r>
              <w:rPr>
                <w:rFonts w:hint="eastAsia" w:ascii="宋体" w:hAnsi="宋体" w:cs="宋体"/>
                <w:color w:val="auto"/>
                <w:sz w:val="22"/>
                <w:szCs w:val="22"/>
                <w:highlight w:val="none"/>
                <w:lang w:val="en-US" w:eastAsia="zh-CN"/>
              </w:rPr>
              <w:t>的复印件或</w:t>
            </w:r>
            <w:r>
              <w:rPr>
                <w:rFonts w:hint="eastAsia" w:ascii="宋体" w:hAnsi="宋体" w:eastAsia="宋体" w:cs="宋体"/>
                <w:color w:val="auto"/>
                <w:sz w:val="22"/>
                <w:szCs w:val="22"/>
                <w:highlight w:val="none"/>
              </w:rPr>
              <w:t>扫描件</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widowControl/>
              <w:kinsoku/>
              <w:wordWrap/>
              <w:overflowPunct/>
              <w:topLinePunct w:val="0"/>
              <w:autoSpaceDE/>
              <w:autoSpaceDN/>
              <w:bidi w:val="0"/>
              <w:spacing w:line="4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000000"/>
                <w:kern w:val="0"/>
                <w:sz w:val="22"/>
                <w:szCs w:val="22"/>
                <w:lang w:bidi="ar"/>
              </w:rPr>
              <w:t>项目拟使用的工具等情况</w:t>
            </w:r>
          </w:p>
        </w:tc>
        <w:tc>
          <w:tcPr>
            <w:tcW w:w="850" w:type="dxa"/>
            <w:tcBorders>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000000"/>
                <w:kern w:val="0"/>
                <w:sz w:val="22"/>
                <w:szCs w:val="22"/>
                <w:lang w:bidi="ar"/>
              </w:rPr>
              <w:t>1</w:t>
            </w:r>
          </w:p>
        </w:tc>
        <w:tc>
          <w:tcPr>
            <w:tcW w:w="6261" w:type="dxa"/>
            <w:tcBorders>
              <w:left w:val="single" w:color="auto" w:sz="4" w:space="0"/>
              <w:right w:val="doub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color w:val="000000"/>
                <w:kern w:val="0"/>
                <w:sz w:val="22"/>
                <w:szCs w:val="22"/>
                <w:lang w:bidi="ar"/>
              </w:rPr>
            </w:pPr>
            <w:r>
              <w:rPr>
                <w:rFonts w:hint="eastAsia" w:ascii="宋体" w:hAnsi="宋体" w:eastAsia="宋体" w:cs="宋体"/>
                <w:color w:val="auto"/>
                <w:sz w:val="22"/>
                <w:szCs w:val="22"/>
                <w:highlight w:val="none"/>
              </w:rPr>
              <w:t>（一）评审内容</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为保障投标人中标后对保障服务的良好实施，</w:t>
            </w:r>
            <w:r>
              <w:rPr>
                <w:rFonts w:hint="eastAsia" w:ascii="宋体" w:hAnsi="宋体" w:eastAsia="宋体" w:cs="宋体"/>
                <w:color w:val="000000"/>
                <w:kern w:val="0"/>
                <w:sz w:val="22"/>
                <w:szCs w:val="22"/>
                <w:lang w:val="en-US" w:eastAsia="zh-CN" w:bidi="ar"/>
              </w:rPr>
              <w:t>投标人</w:t>
            </w:r>
            <w:r>
              <w:rPr>
                <w:rFonts w:hint="eastAsia" w:ascii="宋体" w:hAnsi="宋体" w:eastAsia="宋体" w:cs="宋体"/>
                <w:color w:val="000000"/>
                <w:kern w:val="0"/>
                <w:sz w:val="22"/>
                <w:szCs w:val="22"/>
                <w:lang w:bidi="ar"/>
              </w:rPr>
              <w:t>需对中标后对现场服务人员配备计算机</w:t>
            </w:r>
            <w:r>
              <w:rPr>
                <w:rFonts w:hint="eastAsia" w:ascii="宋体" w:hAnsi="宋体" w:cs="宋体"/>
                <w:color w:val="000000"/>
                <w:kern w:val="0"/>
                <w:sz w:val="22"/>
                <w:szCs w:val="22"/>
                <w:lang w:eastAsia="zh-CN" w:bidi="ar"/>
              </w:rPr>
              <w:t>、值班电话、办公设备及办公用品</w:t>
            </w:r>
            <w:r>
              <w:rPr>
                <w:rFonts w:hint="eastAsia" w:ascii="宋体" w:hAnsi="宋体" w:eastAsia="宋体" w:cs="宋体"/>
                <w:color w:val="000000"/>
                <w:kern w:val="0"/>
                <w:sz w:val="22"/>
                <w:szCs w:val="22"/>
                <w:lang w:bidi="ar"/>
              </w:rPr>
              <w:t>保障工作作出承诺</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得1分，否则不得分。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（二）评分依据</w:t>
            </w:r>
          </w:p>
          <w:p>
            <w:pPr>
              <w:keepNext w:val="0"/>
              <w:keepLines w:val="0"/>
              <w:pageBreakBefore w:val="0"/>
              <w:widowControl/>
              <w:kinsoku/>
              <w:wordWrap/>
              <w:overflowPunct/>
              <w:topLinePunct w:val="0"/>
              <w:autoSpaceDE/>
              <w:autoSpaceDN/>
              <w:bidi w:val="0"/>
              <w:spacing w:line="440" w:lineRule="exact"/>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000000"/>
                <w:kern w:val="0"/>
                <w:sz w:val="22"/>
                <w:szCs w:val="22"/>
                <w:lang w:bidi="ar"/>
              </w:rPr>
              <w:t>提供</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承诺</w:t>
            </w:r>
            <w:r>
              <w:rPr>
                <w:rFonts w:hint="eastAsia" w:ascii="宋体" w:hAnsi="宋体" w:eastAsia="宋体" w:cs="宋体"/>
                <w:color w:val="000000"/>
                <w:kern w:val="0"/>
                <w:sz w:val="22"/>
                <w:szCs w:val="22"/>
                <w:lang w:val="en-US" w:eastAsia="zh-CN" w:bidi="ar"/>
              </w:rPr>
              <w:t>函》</w:t>
            </w:r>
            <w:r>
              <w:rPr>
                <w:rFonts w:hint="eastAsia" w:ascii="宋体" w:hAnsi="宋体" w:eastAsia="宋体" w:cs="宋体"/>
                <w:color w:val="000000"/>
                <w:kern w:val="0"/>
                <w:sz w:val="22"/>
                <w:szCs w:val="22"/>
                <w:lang w:bidi="ar"/>
              </w:rPr>
              <w:t>（格式自拟</w:t>
            </w:r>
            <w:r>
              <w:rPr>
                <w:rFonts w:hint="eastAsia" w:ascii="宋体" w:hAnsi="宋体" w:eastAsia="宋体" w:cs="宋体"/>
                <w:color w:val="000000"/>
                <w:kern w:val="0"/>
                <w:sz w:val="22"/>
                <w:szCs w:val="22"/>
                <w:lang w:eastAsia="zh-CN" w:bidi="ar"/>
              </w:rPr>
              <w:t>）</w:t>
            </w:r>
            <w:r>
              <w:rPr>
                <w:rFonts w:hint="eastAsia" w:ascii="宋体" w:hAnsi="宋体" w:cs="宋体"/>
                <w:szCs w:val="21"/>
              </w:rPr>
              <w:t>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widowControl/>
              <w:kinsoku/>
              <w:wordWrap/>
              <w:overflowPunct/>
              <w:topLinePunct w:val="0"/>
              <w:autoSpaceDE/>
              <w:autoSpaceDN/>
              <w:bidi w:val="0"/>
              <w:spacing w:line="44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000000"/>
                <w:kern w:val="0"/>
                <w:sz w:val="22"/>
                <w:szCs w:val="22"/>
                <w:lang w:bidi="ar"/>
              </w:rPr>
              <w:t>服务网点</w:t>
            </w:r>
          </w:p>
        </w:tc>
        <w:tc>
          <w:tcPr>
            <w:tcW w:w="850" w:type="dxa"/>
            <w:tcBorders>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center"/>
              <w:textAlignment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000000"/>
                <w:kern w:val="0"/>
                <w:sz w:val="22"/>
                <w:szCs w:val="22"/>
                <w:lang w:bidi="ar"/>
              </w:rPr>
              <w:t>3</w:t>
            </w:r>
          </w:p>
        </w:tc>
        <w:tc>
          <w:tcPr>
            <w:tcW w:w="6261" w:type="dxa"/>
            <w:tcBorders>
              <w:left w:val="single" w:color="auto" w:sz="4" w:space="0"/>
              <w:right w:val="double" w:color="auto" w:sz="4" w:space="0"/>
            </w:tcBorders>
            <w:vAlign w:val="center"/>
          </w:tcPr>
          <w:p>
            <w:pPr>
              <w:pStyle w:val="44"/>
              <w:spacing w:line="440" w:lineRule="exact"/>
              <w:ind w:firstLine="0" w:firstLineChars="0"/>
              <w:rPr>
                <w:rFonts w:ascii="宋体" w:hAnsi="宋体"/>
                <w:szCs w:val="21"/>
              </w:rPr>
            </w:pPr>
            <w:r>
              <w:rPr>
                <w:rFonts w:hint="eastAsia" w:ascii="宋体" w:hAnsi="宋体"/>
                <w:szCs w:val="21"/>
              </w:rPr>
              <w:t>（一）评分内容：</w:t>
            </w:r>
          </w:p>
          <w:p>
            <w:pPr>
              <w:pStyle w:val="44"/>
              <w:spacing w:line="440" w:lineRule="exact"/>
              <w:ind w:firstLine="0" w:firstLineChars="0"/>
              <w:rPr>
                <w:rFonts w:ascii="宋体" w:hAnsi="宋体"/>
                <w:szCs w:val="21"/>
              </w:rPr>
            </w:pPr>
            <w:r>
              <w:rPr>
                <w:rFonts w:hint="eastAsia" w:ascii="宋体" w:hAnsi="宋体"/>
                <w:szCs w:val="21"/>
              </w:rPr>
              <w:t>投标人在深圳市设有合法注册的售后服务机构，或承诺中标后一个月内在深圳市设立售后服务机构的，得</w:t>
            </w:r>
            <w:r>
              <w:rPr>
                <w:rFonts w:hint="eastAsia" w:ascii="宋体" w:hAnsi="宋体"/>
                <w:szCs w:val="21"/>
                <w:lang w:val="en-US" w:eastAsia="zh-CN"/>
              </w:rPr>
              <w:t>3</w:t>
            </w:r>
            <w:r>
              <w:rPr>
                <w:rFonts w:hint="eastAsia" w:ascii="宋体" w:hAnsi="宋体"/>
                <w:szCs w:val="21"/>
              </w:rPr>
              <w:t>分，其他情况不得分。</w:t>
            </w:r>
          </w:p>
          <w:p>
            <w:pPr>
              <w:pStyle w:val="44"/>
              <w:spacing w:line="440" w:lineRule="exact"/>
              <w:ind w:firstLine="0" w:firstLineChars="0"/>
              <w:rPr>
                <w:rFonts w:ascii="宋体" w:hAnsi="宋体"/>
                <w:szCs w:val="21"/>
              </w:rPr>
            </w:pPr>
            <w:r>
              <w:rPr>
                <w:rFonts w:hint="eastAsia" w:ascii="宋体" w:hAnsi="宋体"/>
                <w:szCs w:val="21"/>
              </w:rPr>
              <w:t>（二）评分依据：</w:t>
            </w:r>
          </w:p>
          <w:p>
            <w:pPr>
              <w:pStyle w:val="44"/>
              <w:spacing w:line="440" w:lineRule="exact"/>
              <w:ind w:firstLine="0" w:firstLineChars="0"/>
              <w:rPr>
                <w:rFonts w:ascii="宋体" w:hAnsi="宋体"/>
                <w:szCs w:val="21"/>
              </w:rPr>
            </w:pPr>
            <w:r>
              <w:rPr>
                <w:rFonts w:hint="eastAsia" w:ascii="宋体" w:hAnsi="宋体"/>
                <w:szCs w:val="21"/>
              </w:rPr>
              <w:t>1. 提供售后服务机构证明，如为与投标人签订合作协议的售后服务机构，还需同时提供相关协议或合同；</w:t>
            </w:r>
          </w:p>
          <w:p>
            <w:pPr>
              <w:pStyle w:val="44"/>
              <w:spacing w:line="440" w:lineRule="exact"/>
              <w:ind w:firstLine="0" w:firstLineChars="0"/>
              <w:rPr>
                <w:rFonts w:ascii="宋体" w:hAnsi="宋体"/>
                <w:szCs w:val="21"/>
              </w:rPr>
            </w:pPr>
            <w:r>
              <w:rPr>
                <w:rFonts w:hint="eastAsia" w:ascii="宋体" w:hAnsi="宋体"/>
                <w:szCs w:val="21"/>
              </w:rPr>
              <w:t>2.如承诺中标后设立售后服务机构的，需提供承诺函（格式自拟）；</w:t>
            </w:r>
          </w:p>
          <w:p>
            <w:pPr>
              <w:keepNext w:val="0"/>
              <w:keepLines w:val="0"/>
              <w:pageBreakBefore w:val="0"/>
              <w:widowControl/>
              <w:kinsoku/>
              <w:wordWrap/>
              <w:overflowPunct/>
              <w:topLinePunct w:val="0"/>
              <w:autoSpaceDE/>
              <w:autoSpaceDN/>
              <w:bidi w:val="0"/>
              <w:spacing w:line="440" w:lineRule="exact"/>
              <w:jc w:val="left"/>
              <w:textAlignment w:val="center"/>
              <w:rPr>
                <w:rFonts w:hint="eastAsia" w:ascii="宋体" w:hAnsi="宋体" w:eastAsia="宋体" w:cs="宋体"/>
                <w:color w:val="auto"/>
                <w:sz w:val="22"/>
                <w:szCs w:val="22"/>
                <w:highlight w:val="none"/>
              </w:rPr>
            </w:pPr>
            <w:r>
              <w:rPr>
                <w:rFonts w:hint="eastAsia" w:ascii="宋体" w:hAnsi="宋体"/>
                <w:szCs w:val="21"/>
              </w:rPr>
              <w:t>3.以上证明文件均提供复印件或扫描件加盖投标人公章，原件备查。未按要求提供有效证明材料或提供不清晰导致评委无法识别的不计得分。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2"/>
                <w:szCs w:val="22"/>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rPr>
              <w:t>诚信</w:t>
            </w:r>
            <w:r>
              <w:rPr>
                <w:rFonts w:hint="eastAsia" w:ascii="宋体" w:hAnsi="宋体" w:eastAsia="宋体" w:cs="宋体"/>
                <w:sz w:val="22"/>
                <w:szCs w:val="22"/>
                <w:lang w:val="en-US" w:eastAsia="zh-CN"/>
              </w:rPr>
              <w:t>管理</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2"/>
                <w:szCs w:val="22"/>
                <w:lang w:eastAsia="zh-CN"/>
              </w:rPr>
            </w:pPr>
            <w:r>
              <w:rPr>
                <w:rFonts w:hint="eastAsia" w:ascii="宋体" w:hAnsi="宋体" w:eastAsia="宋体" w:cs="宋体"/>
                <w:sz w:val="22"/>
                <w:szCs w:val="22"/>
                <w:lang w:val="en-US" w:eastAsia="zh-CN"/>
              </w:rPr>
              <w:t>5</w:t>
            </w:r>
          </w:p>
        </w:tc>
        <w:tc>
          <w:tcPr>
            <w:tcW w:w="6261" w:type="dxa"/>
            <w:tcBorders>
              <w:left w:val="single" w:color="auto" w:sz="4" w:space="0"/>
              <w:right w:val="doub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cs="宋体"/>
                <w:color w:val="auto"/>
                <w:sz w:val="22"/>
                <w:highlight w:val="none"/>
              </w:rPr>
            </w:pPr>
            <w:r>
              <w:rPr>
                <w:rFonts w:hint="eastAsia" w:ascii="宋体" w:hAnsi="宋体" w:cs="宋体"/>
                <w:color w:val="auto"/>
                <w:sz w:val="22"/>
                <w:highlight w:val="none"/>
              </w:rPr>
              <w:t>（一）评分内容：</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cs="宋体"/>
                <w:color w:val="auto"/>
                <w:sz w:val="22"/>
                <w:highlight w:val="none"/>
              </w:rPr>
            </w:pPr>
            <w:r>
              <w:rPr>
                <w:rFonts w:hint="eastAsia" w:ascii="宋体" w:hAnsi="宋体" w:cs="宋体"/>
                <w:color w:val="auto"/>
                <w:sz w:val="22"/>
                <w:highlight w:val="none"/>
              </w:rPr>
              <w:t>投标供应商在参与政府采购活动中存在诚信相关问题且在主管部门相关处理措施实施期限内的，本项不得分，否则得5分。</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cs="宋体"/>
                <w:color w:val="auto"/>
                <w:sz w:val="22"/>
                <w:highlight w:val="none"/>
              </w:rPr>
            </w:pPr>
            <w:r>
              <w:rPr>
                <w:rFonts w:hint="eastAsia" w:ascii="宋体" w:hAnsi="宋体" w:cs="宋体"/>
                <w:color w:val="auto"/>
                <w:sz w:val="22"/>
                <w:highlight w:val="none"/>
              </w:rPr>
              <w:t>（二）评分依据：</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sz w:val="22"/>
                <w:szCs w:val="22"/>
              </w:rPr>
            </w:pPr>
            <w:r>
              <w:rPr>
                <w:rFonts w:hint="eastAsia" w:ascii="宋体" w:hAnsi="宋体" w:cs="宋体"/>
                <w:color w:val="auto"/>
                <w:sz w:val="22"/>
                <w:highlight w:val="none"/>
              </w:rPr>
              <w:t>按招标文件格式如实提供《诚信承诺函》原件加盖投标供应商公章，且承诺函格式及内容不得修改，否则不得分。如若投标人承诺与实际情况不相符，将按虚假应标报相关主管部门处理。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总得分（N）</w:t>
            </w:r>
          </w:p>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（总分100分）</w:t>
            </w:r>
          </w:p>
        </w:tc>
        <w:tc>
          <w:tcPr>
            <w:tcW w:w="1144" w:type="dxa"/>
            <w:tcBorders>
              <w:bottom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p>
        </w:tc>
        <w:tc>
          <w:tcPr>
            <w:tcW w:w="850" w:type="dxa"/>
            <w:tcBorders>
              <w:bottom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100</w:t>
            </w:r>
          </w:p>
        </w:tc>
        <w:tc>
          <w:tcPr>
            <w:tcW w:w="6261"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N=J+G+S</w:t>
            </w:r>
          </w:p>
        </w:tc>
      </w:tr>
    </w:tbl>
    <w:p>
      <w:pPr>
        <w:widowControl/>
        <w:jc w:val="left"/>
        <w:rPr>
          <w:rFonts w:cs="仿宋" w:asciiTheme="minorEastAsia" w:hAnsiTheme="minorEastAsia" w:eastAsiaTheme="minorEastAsia"/>
          <w:color w:val="FF0000"/>
          <w:sz w:val="28"/>
          <w:szCs w:val="28"/>
        </w:rPr>
      </w:pPr>
    </w:p>
    <w:p>
      <w:pPr>
        <w:widowControl/>
        <w:jc w:val="left"/>
        <w:rPr>
          <w:rFonts w:cs="仿宋" w:asciiTheme="minorEastAsia" w:hAnsiTheme="minorEastAsia" w:eastAsiaTheme="minorEastAsia"/>
          <w:color w:val="FF0000"/>
          <w:sz w:val="28"/>
          <w:szCs w:val="28"/>
        </w:rPr>
      </w:pPr>
      <w:r>
        <w:rPr>
          <w:rFonts w:hint="eastAsia" w:cs="仿宋" w:asciiTheme="minorEastAsia" w:hAnsiTheme="minorEastAsia" w:eastAsiaTheme="minorEastAsia"/>
          <w:color w:val="FF0000"/>
          <w:sz w:val="28"/>
          <w:szCs w:val="28"/>
        </w:rPr>
        <w:t>注：</w:t>
      </w:r>
    </w:p>
    <w:p>
      <w:pPr>
        <w:widowControl/>
        <w:spacing w:line="360" w:lineRule="auto"/>
        <w:jc w:val="center"/>
        <w:rPr>
          <w:rFonts w:cs="仿宋" w:asciiTheme="minorEastAsia" w:hAnsiTheme="minorEastAsia" w:eastAsiaTheme="minorEastAsia"/>
          <w:b/>
          <w:bCs/>
          <w:sz w:val="28"/>
        </w:rPr>
      </w:pPr>
      <w:r>
        <w:rPr>
          <w:rFonts w:hint="eastAsia" w:cs="仿宋" w:asciiTheme="minorEastAsia" w:hAnsiTheme="minorEastAsia" w:eastAsiaTheme="minorEastAsia"/>
          <w:b/>
          <w:bCs/>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投标报价扣除</w:t>
      </w:r>
      <w:r>
        <w:rPr>
          <w:rFonts w:hint="eastAsia" w:cs="仿宋" w:asciiTheme="minorEastAsia" w:hAnsiTheme="minorEastAsia" w:eastAsiaTheme="minorEastAsia"/>
          <w:szCs w:val="21"/>
          <w:u w:val="single"/>
        </w:rPr>
        <w:t xml:space="preserve"> 10 </w:t>
      </w:r>
      <w:r>
        <w:rPr>
          <w:rFonts w:hint="eastAsia" w:cs="仿宋" w:asciiTheme="minorEastAsia" w:hAnsiTheme="minorEastAsia" w:eastAsiaTheme="minorEastAsia"/>
          <w:szCs w:val="21"/>
        </w:rPr>
        <w:t>%（请在10%-20%范围内选择）后参与评审。对于同时属于小微企业、监狱企业或残疾人福利性单位的，不重复进行投标报价扣除。</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本项目所属行业为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 xml:space="preserve"> 软件和信息技术服务业 </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（2）联合协议中约定，小型、微型企业的协议合同金额占到联合体协议合同总金额30%以上的，可给予联合体__/__% （请在2%-3%范围内选择）的价格扣除。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招标文件第三章）；监狱企业或者代理提供监狱企业货物的投标人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对符合条件的获证产品（强制采购产品除外），根据该投标产品报价给予</w:t>
      </w:r>
      <w:r>
        <w:rPr>
          <w:rFonts w:hint="eastAsia" w:cs="仿宋" w:asciiTheme="minorEastAsia" w:hAnsiTheme="minorEastAsia" w:eastAsiaTheme="minorEastAsia"/>
          <w:szCs w:val="21"/>
          <w:u w:val="single"/>
        </w:rPr>
        <w:t xml:space="preserve"> 1 </w:t>
      </w:r>
      <w:r>
        <w:rPr>
          <w:rFonts w:hint="eastAsia" w:cs="仿宋" w:asciiTheme="minorEastAsia" w:hAnsiTheme="minorEastAsia" w:eastAsiaTheme="minorEastAsia"/>
          <w:szCs w:val="21"/>
        </w:rPr>
        <w:t>%的价格扣除，用扣除后的价格参与价格分的评审（需按投标文件格式部分“列入政府优先采购清单的投标产品一览表”的要求提供证明材料，否则不予价格扣除）。</w:t>
      </w: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pStyle w:val="2"/>
        <w:ind w:left="0" w:leftChars="0" w:firstLine="0" w:firstLineChars="0"/>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pStyle w:val="2"/>
        <w:ind w:left="0" w:leftChars="0" w:firstLine="0" w:firstLineChars="0"/>
        <w:rPr>
          <w:rFonts w:hint="eastAsia" w:cs="仿宋" w:asciiTheme="minorEastAsia" w:hAnsiTheme="minorEastAsia" w:eastAsiaTheme="minorEastAsia"/>
          <w:b/>
          <w:bCs/>
          <w:snapToGrid w:val="0"/>
          <w:kern w:val="0"/>
          <w:sz w:val="56"/>
          <w:szCs w:val="96"/>
        </w:rPr>
      </w:pPr>
    </w:p>
    <w:p>
      <w:pPr>
        <w:pStyle w:val="2"/>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第二部分</w:t>
      </w:r>
    </w:p>
    <w:p>
      <w:pPr>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采购项目需求</w:t>
      </w:r>
    </w:p>
    <w:p>
      <w:pPr>
        <w:widowControl/>
        <w:jc w:val="left"/>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br w:type="page"/>
      </w:r>
    </w:p>
    <w:p>
      <w:pPr>
        <w:spacing w:after="156" w:afterLines="50" w:line="360" w:lineRule="auto"/>
        <w:ind w:left="2"/>
        <w:jc w:val="center"/>
        <w:rPr>
          <w:rFonts w:ascii="宋体" w:hAnsi="宋体"/>
          <w:sz w:val="28"/>
          <w:szCs w:val="28"/>
        </w:rPr>
      </w:pPr>
      <w:r>
        <w:rPr>
          <w:rFonts w:hint="eastAsia" w:ascii="宋体" w:hAnsi="宋体"/>
          <w:b/>
          <w:bCs/>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1、采购项目需求中所出现的工艺、材料、设备或参照的品牌等仅为方便描述而没有限制性，投标人可以在其提供的文件资料中选用替代标准，但这些替代标准要优于或相当于采购项目需求中要求的标准。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采购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），投标产品参数区间与征集要求不完全一致的均视为负偏离。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5、加注▲的条款为重要条款要求，如不满足将按照第一部分“评审信息”进行扣分。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highlight w:val="yellow"/>
        </w:rPr>
        <w:t>6、加注★的条款为不可负偏离条款，任一项未响应或不满足要求的，将导致投标无效。</w:t>
      </w:r>
    </w:p>
    <w:p>
      <w:pPr>
        <w:rPr>
          <w:rFonts w:cs="仿宋" w:asciiTheme="minorEastAsia" w:hAnsiTheme="minorEastAsia" w:eastAsiaTheme="minorEastAsia"/>
          <w:sz w:val="36"/>
          <w:szCs w:val="36"/>
        </w:rPr>
      </w:pPr>
    </w:p>
    <w:p>
      <w:pP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keepNext w:val="0"/>
        <w:keepLines w:val="0"/>
        <w:pageBreakBefore w:val="0"/>
        <w:kinsoku/>
        <w:wordWrap/>
        <w:overflowPunct/>
        <w:topLinePunct w:val="0"/>
        <w:autoSpaceDE/>
        <w:autoSpaceDN/>
        <w:bidi w:val="0"/>
        <w:spacing w:line="440" w:lineRule="exact"/>
        <w:ind w:leftChars="0" w:firstLine="723" w:firstLineChars="200"/>
        <w:jc w:val="center"/>
        <w:rPr>
          <w:rFonts w:hint="eastAsia" w:ascii="宋体" w:hAnsi="宋体" w:eastAsia="宋体" w:cs="宋体"/>
          <w:b/>
          <w:bCs/>
          <w:sz w:val="21"/>
          <w:szCs w:val="21"/>
        </w:rPr>
      </w:pPr>
      <w:r>
        <w:rPr>
          <w:rFonts w:hint="eastAsia" w:cs="仿宋" w:asciiTheme="minorEastAsia" w:hAnsiTheme="minorEastAsia" w:eastAsiaTheme="minorEastAsia"/>
          <w:b/>
          <w:bCs/>
          <w:sz w:val="36"/>
          <w:szCs w:val="36"/>
        </w:rPr>
        <w:t>采购项目需求</w:t>
      </w:r>
    </w:p>
    <w:p>
      <w:pPr>
        <w:keepNext w:val="0"/>
        <w:keepLines w:val="0"/>
        <w:pageBreakBefore w:val="0"/>
        <w:widowControl/>
        <w:numPr>
          <w:ilvl w:val="0"/>
          <w:numId w:val="4"/>
        </w:numPr>
        <w:kinsoku/>
        <w:wordWrap/>
        <w:overflowPunct/>
        <w:topLinePunct w:val="0"/>
        <w:autoSpaceDE/>
        <w:autoSpaceDN/>
        <w:bidi w:val="0"/>
        <w:spacing w:line="440" w:lineRule="exact"/>
        <w:ind w:leftChars="0"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项目基本情况</w:t>
      </w:r>
    </w:p>
    <w:p>
      <w:pPr>
        <w:pStyle w:val="10"/>
        <w:keepNext w:val="0"/>
        <w:keepLines w:val="0"/>
        <w:pageBreakBefore w:val="0"/>
        <w:numPr>
          <w:ilvl w:val="0"/>
          <w:numId w:val="0"/>
        </w:numPr>
        <w:kinsoku/>
        <w:wordWrap/>
        <w:overflowPunct/>
        <w:topLinePunct w:val="0"/>
        <w:autoSpaceDE/>
        <w:autoSpaceDN/>
        <w:bidi w:val="0"/>
        <w:spacing w:after="0" w:line="440" w:lineRule="exact"/>
        <w:ind w:leftChars="0"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170"/>
        <w:gridCol w:w="881"/>
        <w:gridCol w:w="883"/>
        <w:gridCol w:w="1979"/>
        <w:gridCol w:w="7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88"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860"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517"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518"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单位</w:t>
            </w:r>
          </w:p>
        </w:tc>
        <w:tc>
          <w:tcPr>
            <w:tcW w:w="1161" w:type="pct"/>
            <w:shd w:val="clear" w:color="auto" w:fill="C6D9F1"/>
            <w:vAlign w:val="center"/>
          </w:tcPr>
          <w:p>
            <w:pPr>
              <w:keepNext w:val="0"/>
              <w:keepLines w:val="0"/>
              <w:pageBreakBefore w:val="0"/>
              <w:widowControl/>
              <w:kinsoku/>
              <w:wordWrap/>
              <w:overflowPunct/>
              <w:topLinePunct w:val="0"/>
              <w:autoSpaceDE/>
              <w:autoSpaceDN/>
              <w:bidi w:val="0"/>
              <w:adjustRightInd w:val="0"/>
              <w:snapToGrid w:val="0"/>
              <w:spacing w:line="440" w:lineRule="exact"/>
              <w:ind w:lef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采购预算金额</w:t>
            </w:r>
          </w:p>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（人民币</w:t>
            </w:r>
            <w:r>
              <w:rPr>
                <w:rFonts w:hint="eastAsia" w:ascii="宋体" w:hAnsi="宋体" w:cs="宋体"/>
                <w:b w:val="0"/>
                <w:bCs w:val="0"/>
                <w:sz w:val="21"/>
                <w:szCs w:val="21"/>
                <w:lang w:val="en-US" w:eastAsia="zh-CN"/>
              </w:rPr>
              <w:t>元</w:t>
            </w:r>
            <w:r>
              <w:rPr>
                <w:rFonts w:hint="eastAsia" w:ascii="宋体" w:hAnsi="宋体" w:eastAsia="宋体" w:cs="宋体"/>
                <w:b w:val="0"/>
                <w:bCs w:val="0"/>
                <w:sz w:val="21"/>
                <w:szCs w:val="21"/>
              </w:rPr>
              <w:t>）</w:t>
            </w:r>
          </w:p>
        </w:tc>
        <w:tc>
          <w:tcPr>
            <w:tcW w:w="454"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8"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860"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lang w:eastAsia="zh-CN"/>
              </w:rPr>
            </w:pPr>
            <w:r>
              <w:rPr>
                <w:rFonts w:hint="eastAsia" w:ascii="宋体" w:hAnsi="宋体" w:cs="宋体"/>
                <w:b w:val="0"/>
                <w:bCs w:val="0"/>
                <w:sz w:val="21"/>
                <w:szCs w:val="21"/>
                <w:lang w:eastAsia="zh-CN"/>
              </w:rPr>
              <w:t>2023年视频交警功能维护</w:t>
            </w:r>
          </w:p>
        </w:tc>
        <w:tc>
          <w:tcPr>
            <w:tcW w:w="517"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518"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w:t>
            </w:r>
          </w:p>
        </w:tc>
        <w:tc>
          <w:tcPr>
            <w:tcW w:w="1161"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lang w:val="en-US" w:eastAsia="zh-CN"/>
              </w:rPr>
            </w:pPr>
            <w:r>
              <w:rPr>
                <w:rFonts w:hint="eastAsia" w:ascii="宋体" w:hAnsi="宋体" w:cs="宋体"/>
              </w:rPr>
              <w:t>630,000.00</w:t>
            </w:r>
          </w:p>
        </w:tc>
        <w:tc>
          <w:tcPr>
            <w:tcW w:w="454"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p>
        </w:tc>
      </w:tr>
    </w:tbl>
    <w:p>
      <w:pPr>
        <w:keepNext w:val="0"/>
        <w:keepLines w:val="0"/>
        <w:pageBreakBefore w:val="0"/>
        <w:widowControl/>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color w:val="FF0000"/>
          <w:sz w:val="21"/>
          <w:szCs w:val="21"/>
        </w:rPr>
        <w:t>注：</w:t>
      </w:r>
      <w:r>
        <w:rPr>
          <w:rFonts w:hint="eastAsia" w:ascii="宋体" w:hAnsi="宋体" w:eastAsia="宋体" w:cs="宋体"/>
          <w:b w:val="0"/>
          <w:bCs w:val="0"/>
          <w:sz w:val="21"/>
          <w:szCs w:val="21"/>
          <w:highlight w:val="yellow"/>
        </w:rPr>
        <w:t>★投标人的投标报价超过采购预算金额的将导致投标无效。</w:t>
      </w:r>
    </w:p>
    <w:p>
      <w:pPr>
        <w:pStyle w:val="10"/>
        <w:keepNext w:val="0"/>
        <w:keepLines w:val="0"/>
        <w:pageBreakBefore w:val="0"/>
        <w:numPr>
          <w:ilvl w:val="0"/>
          <w:numId w:val="5"/>
        </w:numPr>
        <w:kinsoku/>
        <w:wordWrap/>
        <w:overflowPunct/>
        <w:topLinePunct w:val="0"/>
        <w:autoSpaceDE/>
        <w:autoSpaceDN/>
        <w:bidi w:val="0"/>
        <w:spacing w:after="0" w:line="440" w:lineRule="exact"/>
        <w:ind w:leftChars="0" w:firstLine="422" w:firstLineChars="200"/>
        <w:rPr>
          <w:rFonts w:hint="default"/>
          <w:lang w:val="en-US" w:eastAsia="zh-CN"/>
        </w:rPr>
      </w:pPr>
      <w:r>
        <w:rPr>
          <w:rFonts w:hint="eastAsia" w:ascii="宋体" w:hAnsi="宋体" w:cs="宋体"/>
          <w:b/>
          <w:bCs/>
          <w:sz w:val="21"/>
          <w:szCs w:val="21"/>
          <w:lang w:val="en-US" w:eastAsia="zh-CN"/>
        </w:rPr>
        <w:t>项目背景</w:t>
      </w:r>
    </w:p>
    <w:p>
      <w:pPr>
        <w:spacing w:line="360" w:lineRule="auto"/>
        <w:ind w:firstLine="420" w:firstLineChars="200"/>
        <w:rPr>
          <w:rFonts w:hint="eastAsia" w:ascii="宋体" w:hAnsi="宋体" w:cs="宋体"/>
          <w:szCs w:val="21"/>
          <w:lang w:val="zh-CN" w:eastAsia="zh-CN"/>
        </w:rPr>
      </w:pPr>
      <w:r>
        <w:rPr>
          <w:rFonts w:hint="eastAsia" w:ascii="宋体" w:hAnsi="宋体" w:cs="宋体"/>
          <w:szCs w:val="21"/>
          <w:lang w:val="zh-CN" w:eastAsia="zh-CN"/>
        </w:rPr>
        <w:t>交警视频应用系统是深圳市公安局视频综合应用管理平台（简称“视综平台”）中的“智能交警”部分，作为交警视频资源统一应用管理系统。</w:t>
      </w:r>
    </w:p>
    <w:p>
      <w:pPr>
        <w:spacing w:line="360" w:lineRule="auto"/>
        <w:ind w:firstLine="420" w:firstLineChars="200"/>
        <w:rPr>
          <w:rFonts w:hint="eastAsia" w:ascii="宋体" w:hAnsi="宋体" w:cs="宋体"/>
          <w:szCs w:val="21"/>
          <w:lang w:val="zh-CN" w:eastAsia="zh-CN"/>
        </w:rPr>
      </w:pPr>
      <w:r>
        <w:rPr>
          <w:rFonts w:hint="eastAsia" w:ascii="宋体" w:hAnsi="宋体" w:cs="宋体"/>
          <w:szCs w:val="21"/>
          <w:lang w:val="zh-CN" w:eastAsia="zh-CN"/>
        </w:rPr>
        <w:t>本项目维护部分主要包括交警视频巡逻、视频执法等业务应用；交警服务器的流媒体服务、国标共享网关服务等服务程序进行日常巡检保证程序运行正常；负责与交警其他业务系统的数据交互以及与公安网省图像联网平台、广东交警视频联网共享平台等上级平台的视频资源共享的服务维护；对大型安保活动提供现场维护支持；对已接入平台的视频资源进行日常管理工作，对已接入交通警察支队一类点视频资源一机一档资料进行核对等操作。本项目应用功能完善部分主要根据应用的实际业务需求，完善平台一键报障、应用优化。</w:t>
      </w:r>
    </w:p>
    <w:p>
      <w:pPr>
        <w:pStyle w:val="9"/>
        <w:rPr>
          <w:rFonts w:hint="eastAsia"/>
          <w:lang w:val="zh-CN" w:eastAsia="zh-CN"/>
        </w:rPr>
      </w:pPr>
    </w:p>
    <w:p>
      <w:pPr>
        <w:pStyle w:val="10"/>
        <w:keepNext w:val="0"/>
        <w:keepLines w:val="0"/>
        <w:pageBreakBefore w:val="0"/>
        <w:numPr>
          <w:ilvl w:val="0"/>
          <w:numId w:val="4"/>
        </w:numPr>
        <w:kinsoku/>
        <w:wordWrap/>
        <w:overflowPunct/>
        <w:topLinePunct w:val="0"/>
        <w:autoSpaceDE/>
        <w:autoSpaceDN/>
        <w:bidi w:val="0"/>
        <w:spacing w:after="0" w:line="440" w:lineRule="exact"/>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项目服务要求</w:t>
      </w:r>
    </w:p>
    <w:p>
      <w:pPr>
        <w:pStyle w:val="10"/>
        <w:keepNext w:val="0"/>
        <w:keepLines w:val="0"/>
        <w:pageBreakBefore w:val="0"/>
        <w:numPr>
          <w:ilvl w:val="0"/>
          <w:numId w:val="0"/>
        </w:numPr>
        <w:kinsoku/>
        <w:wordWrap/>
        <w:overflowPunct/>
        <w:topLinePunct w:val="0"/>
        <w:autoSpaceDE/>
        <w:autoSpaceDN/>
        <w:bidi w:val="0"/>
        <w:spacing w:after="0" w:line="440" w:lineRule="exact"/>
        <w:ind w:left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项目管理要求</w:t>
      </w:r>
    </w:p>
    <w:p>
      <w:pPr>
        <w:spacing w:line="360" w:lineRule="auto"/>
        <w:ind w:firstLine="420" w:firstLineChars="200"/>
        <w:rPr>
          <w:rFonts w:ascii="宋体" w:hAnsi="宋体" w:cs="宋体"/>
          <w:szCs w:val="21"/>
          <w:lang w:val="zh-CN"/>
        </w:rPr>
      </w:pPr>
      <w:r>
        <w:rPr>
          <w:rFonts w:hint="eastAsia" w:ascii="宋体" w:hAnsi="宋体" w:cs="宋体"/>
          <w:szCs w:val="21"/>
          <w:lang w:val="zh-CN"/>
        </w:rPr>
        <w:t>1、中标方对</w:t>
      </w:r>
      <w:r>
        <w:rPr>
          <w:rFonts w:hint="eastAsia" w:ascii="宋体" w:hAnsi="宋体" w:cs="宋体"/>
          <w:szCs w:val="21"/>
          <w:lang w:val="en-US" w:eastAsia="zh-CN"/>
        </w:rPr>
        <w:t>深圳市</w:t>
      </w:r>
      <w:r>
        <w:rPr>
          <w:rFonts w:hint="eastAsia" w:ascii="宋体" w:hAnsi="宋体" w:cs="宋体"/>
          <w:szCs w:val="21"/>
          <w:lang w:val="zh-CN"/>
        </w:rPr>
        <w:t>交通警察局的视频综合系统应用系统提供自合同签订起为期1年的维护服务，并配合</w:t>
      </w:r>
      <w:r>
        <w:rPr>
          <w:rFonts w:hint="eastAsia" w:ascii="宋体" w:hAnsi="宋体" w:cs="宋体"/>
          <w:szCs w:val="21"/>
          <w:lang w:val="en-US" w:eastAsia="zh-CN"/>
        </w:rPr>
        <w:t>采购人</w:t>
      </w:r>
      <w:r>
        <w:rPr>
          <w:rFonts w:hint="eastAsia" w:ascii="宋体" w:hAnsi="宋体" w:cs="宋体"/>
          <w:szCs w:val="21"/>
          <w:lang w:val="zh-CN"/>
        </w:rPr>
        <w:t>进行相关工作。</w:t>
      </w:r>
    </w:p>
    <w:p>
      <w:pPr>
        <w:spacing w:line="360" w:lineRule="auto"/>
        <w:ind w:firstLine="420" w:firstLineChars="200"/>
        <w:rPr>
          <w:rFonts w:ascii="宋体" w:hAnsi="宋体" w:cs="宋体"/>
          <w:szCs w:val="21"/>
          <w:lang w:val="zh-CN"/>
        </w:rPr>
      </w:pPr>
      <w:r>
        <w:rPr>
          <w:rFonts w:hint="eastAsia" w:ascii="宋体" w:hAnsi="宋体" w:cs="宋体"/>
          <w:szCs w:val="21"/>
          <w:lang w:val="zh-CN"/>
        </w:rPr>
        <w:t>2、要求中标方熟悉系统架构，具备专业的知识，能熟练进行系统规划、建设及性能测试，在接到服务请求报告后，能提出正确的解决方案。</w:t>
      </w:r>
    </w:p>
    <w:p>
      <w:pPr>
        <w:spacing w:line="360" w:lineRule="auto"/>
        <w:ind w:firstLine="420" w:firstLineChars="200"/>
        <w:rPr>
          <w:rFonts w:ascii="宋体" w:hAnsi="宋体" w:cs="宋体"/>
          <w:szCs w:val="21"/>
          <w:lang w:val="zh-CN"/>
        </w:rPr>
      </w:pPr>
      <w:r>
        <w:rPr>
          <w:rFonts w:hint="eastAsia" w:ascii="宋体" w:hAnsi="宋体" w:cs="宋体"/>
          <w:szCs w:val="21"/>
          <w:lang w:val="zh-CN"/>
        </w:rPr>
        <w:t>3、要求中标方在维护过程中每个工作日对服务器磁盘使用情况、服务器程序运行状态进行一次例行巡检，确保平台正常运行。</w:t>
      </w:r>
    </w:p>
    <w:p>
      <w:pPr>
        <w:spacing w:line="360" w:lineRule="auto"/>
        <w:ind w:firstLine="420" w:firstLineChars="200"/>
        <w:rPr>
          <w:rFonts w:ascii="宋体" w:hAnsi="宋体" w:cs="宋体"/>
          <w:szCs w:val="21"/>
          <w:lang w:val="zh-CN"/>
        </w:rPr>
      </w:pPr>
      <w:r>
        <w:rPr>
          <w:rFonts w:hint="eastAsia" w:ascii="宋体" w:hAnsi="宋体" w:cs="宋体"/>
          <w:szCs w:val="21"/>
          <w:lang w:val="zh-CN"/>
        </w:rPr>
        <w:t>4、要求中标方在维护过程中每个工作日对视频巡逻预案管理、视频交警交通拥堵事件采集管理、视频交警视频执法管理、视频交警事故快处快撤管理、视频交警重点视频库管理、视频交警系统数据字典管理、视频巡逻绩效考核及统计分析管理、预置位综合调度巡航等功能模块运行情况进行一次例行巡检，确保系统功能的高效稳定运行。</w:t>
      </w:r>
    </w:p>
    <w:p>
      <w:pPr>
        <w:spacing w:line="360" w:lineRule="auto"/>
        <w:ind w:firstLine="420" w:firstLineChars="200"/>
        <w:rPr>
          <w:rFonts w:ascii="宋体" w:hAnsi="宋体" w:cs="宋体"/>
          <w:szCs w:val="21"/>
          <w:lang w:val="zh-CN"/>
        </w:rPr>
      </w:pPr>
      <w:r>
        <w:rPr>
          <w:rFonts w:hint="eastAsia" w:ascii="宋体" w:hAnsi="宋体" w:cs="宋体"/>
          <w:szCs w:val="21"/>
          <w:lang w:val="zh-CN"/>
        </w:rPr>
        <w:t>5、重大节日如国庆、春节等或特殊事件保障情况，要求提供必要保障，应急保障时期现场运维服务人员配合运维服务厂商提前对交警支队业务相关设备进行相关巡检，保证各业务正常稳定运行。应急保障期间备勤人员随时提供远程技术支持服务，必要时可提供现场支持服务。</w:t>
      </w:r>
    </w:p>
    <w:p>
      <w:pPr>
        <w:spacing w:line="360" w:lineRule="auto"/>
        <w:ind w:firstLine="420" w:firstLineChars="200"/>
        <w:rPr>
          <w:rFonts w:ascii="宋体" w:hAnsi="宋体" w:cs="宋体"/>
          <w:szCs w:val="21"/>
          <w:lang w:val="zh-CN"/>
        </w:rPr>
      </w:pPr>
      <w:r>
        <w:rPr>
          <w:rFonts w:hint="eastAsia" w:ascii="宋体" w:hAnsi="宋体" w:cs="宋体"/>
          <w:szCs w:val="21"/>
          <w:lang w:val="zh-CN"/>
        </w:rPr>
        <w:t>6、要求中标方大型安保活动需提供一人全程现场支持服务，确保举行大型安保活动时平台正常稳定运行。</w:t>
      </w:r>
    </w:p>
    <w:p>
      <w:pPr>
        <w:spacing w:line="360" w:lineRule="auto"/>
        <w:ind w:firstLine="420" w:firstLineChars="200"/>
        <w:rPr>
          <w:rFonts w:ascii="宋体" w:hAnsi="宋体" w:cs="宋体"/>
          <w:szCs w:val="21"/>
          <w:lang w:val="zh-CN"/>
        </w:rPr>
      </w:pPr>
      <w:r>
        <w:rPr>
          <w:rFonts w:hint="eastAsia" w:ascii="宋体" w:hAnsi="宋体" w:cs="宋体"/>
          <w:szCs w:val="21"/>
          <w:lang w:val="zh-CN"/>
        </w:rPr>
        <w:t>7、要求中标方配合</w:t>
      </w:r>
      <w:r>
        <w:rPr>
          <w:rFonts w:hint="eastAsia" w:ascii="宋体" w:hAnsi="宋体" w:cs="宋体"/>
          <w:szCs w:val="21"/>
          <w:lang w:val="en-US" w:eastAsia="zh-CN"/>
        </w:rPr>
        <w:t>采购人</w:t>
      </w:r>
      <w:r>
        <w:rPr>
          <w:rFonts w:hint="eastAsia" w:ascii="宋体" w:hAnsi="宋体" w:cs="宋体"/>
          <w:szCs w:val="21"/>
          <w:lang w:val="zh-CN"/>
        </w:rPr>
        <w:t>对交通警察支队视频资源进行共享以及接入服务，对已接入的视频资源进行管理、已共享的视频资源进行维护。</w:t>
      </w:r>
    </w:p>
    <w:p>
      <w:pPr>
        <w:spacing w:line="360" w:lineRule="auto"/>
        <w:ind w:firstLine="420" w:firstLineChars="200"/>
        <w:rPr>
          <w:rFonts w:ascii="宋体" w:hAnsi="宋体" w:cs="宋体"/>
          <w:szCs w:val="21"/>
          <w:lang w:val="zh-CN"/>
        </w:rPr>
      </w:pPr>
      <w:r>
        <w:rPr>
          <w:rFonts w:hint="eastAsia" w:ascii="宋体" w:hAnsi="宋体" w:cs="宋体"/>
          <w:szCs w:val="21"/>
          <w:lang w:val="zh-CN"/>
        </w:rPr>
        <w:t>8、要求中标方配合</w:t>
      </w:r>
      <w:r>
        <w:rPr>
          <w:rFonts w:hint="eastAsia" w:ascii="宋体" w:hAnsi="宋体" w:cs="宋体"/>
          <w:szCs w:val="21"/>
          <w:lang w:val="en-US" w:eastAsia="zh-CN"/>
        </w:rPr>
        <w:t>采购人</w:t>
      </w:r>
      <w:r>
        <w:rPr>
          <w:rFonts w:hint="eastAsia" w:ascii="宋体" w:hAnsi="宋体" w:cs="宋体"/>
          <w:szCs w:val="21"/>
          <w:lang w:val="zh-CN"/>
        </w:rPr>
        <w:t>对已接入交通警察支队一类点视频资源一机一档资料进行核对、整理以及上传市局一机一档数据库等操作，确保交通警察支队一类点视频资源一机一档录入率。</w:t>
      </w:r>
    </w:p>
    <w:p>
      <w:pPr>
        <w:spacing w:line="360" w:lineRule="auto"/>
        <w:ind w:firstLine="420" w:firstLineChars="200"/>
        <w:rPr>
          <w:rFonts w:ascii="宋体" w:hAnsi="宋体" w:cs="宋体"/>
          <w:szCs w:val="21"/>
          <w:lang w:val="zh-CN"/>
        </w:rPr>
      </w:pPr>
      <w:r>
        <w:rPr>
          <w:rFonts w:hint="eastAsia" w:ascii="宋体" w:hAnsi="宋体" w:cs="宋体"/>
          <w:szCs w:val="21"/>
          <w:lang w:val="zh-CN"/>
        </w:rPr>
        <w:t>9、中标方需配备1名维护技术人员驻点，配备1名维护技术人员远程协助；维护技术人员须具备专业知识，能熟练的进行系统的规划和建设及性能测试，具有较好的文字表达和电脑操作能力并负责协调本项目维护工作中的各项业务，包含不限于系统软硬件的日常巡检、系统故障、响应及处理、系统应急保障、系统升级更新及数据库等重要数据备份、提供7X24的紧急恢复服务。如中标方派出的驻点维保技术人员不符合要求的，釆购人有权要求中标方三天内进行更换。驻点时间：工作日为9点-18点，其他时间根据</w:t>
      </w:r>
      <w:r>
        <w:rPr>
          <w:rFonts w:hint="eastAsia" w:ascii="宋体" w:hAnsi="宋体" w:cs="宋体"/>
          <w:szCs w:val="21"/>
          <w:lang w:val="en-US" w:eastAsia="zh-CN"/>
        </w:rPr>
        <w:t>采购人</w:t>
      </w:r>
      <w:r>
        <w:rPr>
          <w:rFonts w:hint="eastAsia" w:ascii="宋体" w:hAnsi="宋体" w:cs="宋体"/>
          <w:szCs w:val="21"/>
          <w:lang w:val="zh-CN"/>
        </w:rPr>
        <w:t>的保障任务需求安排1名维护技术人员驻点科技处，1名维护技术人员远程协助。</w:t>
      </w:r>
    </w:p>
    <w:p>
      <w:pPr>
        <w:spacing w:line="360" w:lineRule="auto"/>
        <w:ind w:firstLine="420" w:firstLineChars="200"/>
        <w:rPr>
          <w:rFonts w:ascii="宋体" w:hAnsi="宋体" w:cs="宋体"/>
          <w:szCs w:val="21"/>
          <w:lang w:val="zh-CN"/>
        </w:rPr>
      </w:pPr>
      <w:r>
        <w:rPr>
          <w:rFonts w:hint="eastAsia" w:ascii="宋体" w:hAnsi="宋体" w:cs="宋体"/>
          <w:szCs w:val="21"/>
          <w:lang w:val="zh-CN"/>
        </w:rPr>
        <w:t>10、在接到</w:t>
      </w:r>
      <w:r>
        <w:rPr>
          <w:rFonts w:hint="eastAsia" w:ascii="宋体" w:hAnsi="宋体" w:cs="宋体"/>
          <w:szCs w:val="21"/>
          <w:lang w:val="en-US" w:eastAsia="zh-CN"/>
        </w:rPr>
        <w:t>采购人</w:t>
      </w:r>
      <w:r>
        <w:rPr>
          <w:rFonts w:hint="eastAsia" w:ascii="宋体" w:hAnsi="宋体" w:cs="宋体"/>
          <w:szCs w:val="21"/>
          <w:lang w:val="zh-CN"/>
        </w:rPr>
        <w:t>通知后，维护人员须即时开展维修工作，并及时把初步维修情况向</w:t>
      </w:r>
      <w:r>
        <w:rPr>
          <w:rFonts w:hint="eastAsia" w:ascii="宋体" w:hAnsi="宋体" w:cs="宋体"/>
          <w:szCs w:val="21"/>
          <w:lang w:val="en-US" w:eastAsia="zh-CN"/>
        </w:rPr>
        <w:t>采购人</w:t>
      </w:r>
      <w:r>
        <w:rPr>
          <w:rFonts w:hint="eastAsia" w:ascii="宋体" w:hAnsi="宋体" w:cs="宋体"/>
          <w:szCs w:val="21"/>
          <w:lang w:val="zh-CN"/>
        </w:rPr>
        <w:t>报告。待全部维护工作结束，系统恢复了原有功能后，由</w:t>
      </w:r>
      <w:r>
        <w:rPr>
          <w:rFonts w:hint="eastAsia" w:ascii="宋体" w:hAnsi="宋体" w:cs="宋体"/>
          <w:szCs w:val="21"/>
          <w:lang w:val="en-US" w:eastAsia="zh-CN"/>
        </w:rPr>
        <w:t>采购人</w:t>
      </w:r>
      <w:r>
        <w:rPr>
          <w:rFonts w:hint="eastAsia" w:ascii="宋体" w:hAnsi="宋体" w:cs="宋体"/>
          <w:szCs w:val="21"/>
          <w:lang w:val="zh-CN"/>
        </w:rPr>
        <w:t>进行验收。对于当场不能处理好的故障或问题，应提出合理的处理意见，在与</w:t>
      </w:r>
      <w:r>
        <w:rPr>
          <w:rFonts w:hint="eastAsia" w:ascii="宋体" w:hAnsi="宋体" w:cs="宋体"/>
          <w:szCs w:val="21"/>
          <w:lang w:val="en-US" w:eastAsia="zh-CN"/>
        </w:rPr>
        <w:t>采购人</w:t>
      </w:r>
      <w:r>
        <w:rPr>
          <w:rFonts w:hint="eastAsia" w:ascii="宋体" w:hAnsi="宋体" w:cs="宋体"/>
          <w:szCs w:val="21"/>
          <w:lang w:val="zh-CN"/>
        </w:rPr>
        <w:t>协商后，定出处理时间，并在规定时间内保证完成维护工作。</w:t>
      </w:r>
    </w:p>
    <w:p>
      <w:pPr>
        <w:spacing w:line="360" w:lineRule="auto"/>
        <w:ind w:firstLine="420" w:firstLineChars="200"/>
        <w:rPr>
          <w:rFonts w:ascii="宋体" w:hAnsi="宋体" w:cs="宋体"/>
          <w:szCs w:val="21"/>
          <w:lang w:val="zh-CN"/>
        </w:rPr>
      </w:pPr>
      <w:r>
        <w:rPr>
          <w:rFonts w:hint="eastAsia" w:ascii="宋体" w:hAnsi="宋体" w:cs="宋体"/>
          <w:szCs w:val="21"/>
          <w:lang w:val="zh-CN"/>
        </w:rPr>
        <w:t>11、由</w:t>
      </w:r>
      <w:r>
        <w:rPr>
          <w:rFonts w:hint="eastAsia" w:ascii="宋体" w:hAnsi="宋体" w:cs="宋体"/>
          <w:szCs w:val="21"/>
          <w:lang w:val="en-US" w:eastAsia="zh-CN"/>
        </w:rPr>
        <w:t>采购人</w:t>
      </w:r>
      <w:r>
        <w:rPr>
          <w:rFonts w:hint="eastAsia" w:ascii="宋体" w:hAnsi="宋体" w:cs="宋体"/>
          <w:szCs w:val="21"/>
          <w:lang w:val="zh-CN"/>
        </w:rPr>
        <w:t>提供一部值班电话，工作时间可通过电话为用户提供技术支持服务，同时也可通过驻点人员手机及微信等方式为用户提供技术支持服务。</w:t>
      </w:r>
    </w:p>
    <w:p>
      <w:pPr>
        <w:spacing w:line="360" w:lineRule="auto"/>
        <w:ind w:firstLine="420" w:firstLineChars="200"/>
        <w:rPr>
          <w:rFonts w:ascii="宋体" w:hAnsi="宋体" w:cs="宋体"/>
          <w:szCs w:val="21"/>
          <w:lang w:val="zh-CN"/>
        </w:rPr>
      </w:pPr>
      <w:r>
        <w:rPr>
          <w:rFonts w:hint="eastAsia" w:ascii="宋体" w:hAnsi="宋体" w:cs="宋体"/>
          <w:szCs w:val="21"/>
          <w:lang w:val="zh-CN"/>
        </w:rPr>
        <w:t>12、严格遵守保密原则，须对工作中可能涉及的各种秘密承担保密责任和义务。</w:t>
      </w:r>
      <w:r>
        <w:rPr>
          <w:rFonts w:hint="eastAsia" w:ascii="宋体" w:hAnsi="宋体" w:cs="宋体"/>
          <w:szCs w:val="21"/>
          <w:lang w:val="en-US" w:eastAsia="zh-CN"/>
        </w:rPr>
        <w:t>采购人</w:t>
      </w:r>
      <w:r>
        <w:rPr>
          <w:rFonts w:hint="eastAsia" w:ascii="宋体" w:hAnsi="宋体" w:cs="宋体"/>
          <w:szCs w:val="21"/>
          <w:lang w:val="zh-CN"/>
        </w:rPr>
        <w:t>提供的任何文件、资料及维护过程中所接触的内部数据资料，未经许可，严禁提供给其它单位或个人查看或使用。</w:t>
      </w:r>
    </w:p>
    <w:p>
      <w:pPr>
        <w:spacing w:line="360" w:lineRule="auto"/>
        <w:ind w:firstLine="420" w:firstLineChars="200"/>
        <w:rPr>
          <w:rFonts w:ascii="宋体" w:hAnsi="宋体" w:cs="宋体"/>
          <w:szCs w:val="21"/>
          <w:lang w:val="zh-CN"/>
        </w:rPr>
      </w:pPr>
      <w:r>
        <w:rPr>
          <w:rFonts w:hint="eastAsia" w:ascii="宋体" w:hAnsi="宋体" w:cs="宋体"/>
          <w:szCs w:val="21"/>
          <w:lang w:val="zh-CN"/>
        </w:rPr>
        <w:t>13、中标方按照采购方相关模板及管理规定办理驻点人员工服、工作证等，并配合物业等人员做好出入登记、工牌核对、车辆停放等事宜，自觉维护好办公环境及内务秩序。</w:t>
      </w:r>
    </w:p>
    <w:p>
      <w:pPr>
        <w:spacing w:line="360" w:lineRule="auto"/>
        <w:ind w:firstLine="420" w:firstLineChars="200"/>
        <w:rPr>
          <w:rFonts w:ascii="宋体" w:hAnsi="宋体" w:cs="宋体"/>
          <w:szCs w:val="21"/>
          <w:lang w:val="zh-CN"/>
        </w:rPr>
      </w:pPr>
      <w:r>
        <w:rPr>
          <w:rFonts w:hint="eastAsia" w:ascii="宋体" w:hAnsi="宋体" w:cs="宋体"/>
          <w:szCs w:val="21"/>
          <w:lang w:val="zh-CN"/>
        </w:rPr>
        <w:t>14、为提升信息化运维服务质量，保障业务应用系统安全稳定运行，规范信息化运维服务质量评价管理工作，中标方需根据附件1《交警视频综合系统应用维护评价标准》，配合落实好相关工作。</w:t>
      </w:r>
    </w:p>
    <w:p>
      <w:pPr>
        <w:spacing w:line="360" w:lineRule="auto"/>
        <w:ind w:firstLine="420" w:firstLineChars="200"/>
        <w:rPr>
          <w:rFonts w:ascii="宋体" w:hAnsi="宋体" w:cs="宋体"/>
          <w:szCs w:val="21"/>
          <w:lang w:val="zh-CN"/>
        </w:rPr>
      </w:pPr>
      <w:r>
        <w:rPr>
          <w:rFonts w:hint="eastAsia" w:ascii="宋体" w:hAnsi="宋体" w:cs="宋体"/>
          <w:szCs w:val="21"/>
          <w:lang w:val="zh-CN"/>
        </w:rPr>
        <w:t>1</w:t>
      </w:r>
      <w:r>
        <w:rPr>
          <w:rFonts w:hint="eastAsia" w:ascii="宋体" w:hAnsi="宋体" w:cs="宋体"/>
          <w:szCs w:val="21"/>
          <w:lang w:val="en-US" w:eastAsia="zh-CN"/>
        </w:rPr>
        <w:t>5</w:t>
      </w:r>
      <w:r>
        <w:rPr>
          <w:rFonts w:hint="eastAsia" w:ascii="宋体" w:hAnsi="宋体" w:cs="宋体"/>
          <w:szCs w:val="21"/>
          <w:lang w:val="zh-CN"/>
        </w:rPr>
        <w:t>、配合</w:t>
      </w:r>
      <w:r>
        <w:rPr>
          <w:rFonts w:hint="eastAsia" w:ascii="宋体" w:hAnsi="宋体" w:cs="宋体"/>
          <w:szCs w:val="21"/>
          <w:lang w:val="en-US" w:eastAsia="zh-CN"/>
        </w:rPr>
        <w:t>采购人</w:t>
      </w:r>
      <w:r>
        <w:rPr>
          <w:rFonts w:hint="eastAsia" w:ascii="宋体" w:hAnsi="宋体" w:cs="宋体"/>
          <w:szCs w:val="21"/>
          <w:lang w:val="zh-CN"/>
        </w:rPr>
        <w:t>完成信息化合作企业及人员安全审查。</w:t>
      </w:r>
    </w:p>
    <w:p>
      <w:pPr>
        <w:spacing w:line="360" w:lineRule="auto"/>
        <w:ind w:firstLine="420" w:firstLineChars="200"/>
        <w:rPr>
          <w:rFonts w:ascii="宋体" w:hAnsi="宋体" w:cs="宋体"/>
          <w:szCs w:val="21"/>
          <w:lang w:val="zh-CN"/>
        </w:rPr>
      </w:pPr>
      <w:r>
        <w:rPr>
          <w:rFonts w:hint="eastAsia" w:ascii="宋体" w:hAnsi="宋体" w:cs="宋体"/>
          <w:szCs w:val="21"/>
          <w:lang w:val="zh-CN"/>
        </w:rPr>
        <w:t>1</w:t>
      </w:r>
      <w:r>
        <w:rPr>
          <w:rFonts w:hint="eastAsia" w:ascii="宋体" w:hAnsi="宋体" w:cs="宋体"/>
          <w:szCs w:val="21"/>
          <w:lang w:val="en-US" w:eastAsia="zh-CN"/>
        </w:rPr>
        <w:t>6</w:t>
      </w:r>
      <w:r>
        <w:rPr>
          <w:rFonts w:hint="eastAsia" w:ascii="宋体" w:hAnsi="宋体" w:cs="宋体"/>
          <w:szCs w:val="21"/>
          <w:lang w:val="zh-CN"/>
        </w:rPr>
        <w:t>、维护工作应符合招标文件、投标文件，国家和行业有关规范、规程和</w:t>
      </w:r>
      <w:r>
        <w:rPr>
          <w:rFonts w:hint="eastAsia" w:ascii="宋体" w:hAnsi="宋体" w:cs="宋体"/>
          <w:szCs w:val="21"/>
          <w:lang w:val="en-US" w:eastAsia="zh-CN"/>
        </w:rPr>
        <w:t>采购人</w:t>
      </w:r>
      <w:r>
        <w:rPr>
          <w:rFonts w:hint="eastAsia" w:ascii="宋体" w:hAnsi="宋体" w:cs="宋体"/>
          <w:szCs w:val="21"/>
          <w:lang w:val="zh-CN"/>
        </w:rPr>
        <w:t>要求。</w:t>
      </w:r>
    </w:p>
    <w:p>
      <w:pPr>
        <w:spacing w:line="360" w:lineRule="auto"/>
        <w:ind w:firstLine="420" w:firstLineChars="200"/>
        <w:rPr>
          <w:rFonts w:ascii="宋体" w:hAnsi="宋体" w:cs="宋体"/>
          <w:szCs w:val="21"/>
          <w:lang w:val="zh-CN"/>
        </w:rPr>
      </w:pPr>
      <w:r>
        <w:rPr>
          <w:rFonts w:hint="eastAsia" w:ascii="宋体" w:hAnsi="宋体" w:cs="宋体"/>
          <w:szCs w:val="21"/>
          <w:lang w:val="zh-CN"/>
        </w:rPr>
        <w:t>1</w:t>
      </w:r>
      <w:r>
        <w:rPr>
          <w:rFonts w:hint="eastAsia" w:ascii="宋体" w:hAnsi="宋体" w:cs="宋体"/>
          <w:szCs w:val="21"/>
          <w:lang w:val="en-US" w:eastAsia="zh-CN"/>
        </w:rPr>
        <w:t>7</w:t>
      </w:r>
      <w:r>
        <w:rPr>
          <w:rFonts w:hint="eastAsia" w:ascii="宋体" w:hAnsi="宋体" w:cs="宋体"/>
          <w:szCs w:val="21"/>
          <w:lang w:val="zh-CN"/>
        </w:rPr>
        <w:t>、维护服务结束后，应按照</w:t>
      </w:r>
      <w:r>
        <w:rPr>
          <w:rFonts w:hint="eastAsia" w:ascii="宋体" w:hAnsi="宋体" w:cs="宋体"/>
          <w:szCs w:val="21"/>
          <w:lang w:val="en-US" w:eastAsia="zh-CN"/>
        </w:rPr>
        <w:t>采购人</w:t>
      </w:r>
      <w:r>
        <w:rPr>
          <w:rFonts w:hint="eastAsia" w:ascii="宋体" w:hAnsi="宋体" w:cs="宋体"/>
          <w:szCs w:val="21"/>
          <w:lang w:val="zh-CN"/>
        </w:rPr>
        <w:t>和监理单位要求，完成验收和归档工作。</w:t>
      </w:r>
    </w:p>
    <w:p>
      <w:pPr>
        <w:spacing w:line="360" w:lineRule="auto"/>
        <w:ind w:firstLine="420" w:firstLineChars="200"/>
        <w:rPr>
          <w:rFonts w:ascii="宋体" w:hAnsi="宋体" w:cs="宋体"/>
          <w:szCs w:val="21"/>
          <w:lang w:val="zh-CN"/>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lang w:val="zh-CN"/>
        </w:rPr>
        <w:t>、维护文件包括但不限于</w:t>
      </w:r>
      <w:r>
        <w:rPr>
          <w:rFonts w:hint="eastAsia" w:ascii="宋体" w:hAnsi="宋体" w:cs="宋体"/>
          <w:szCs w:val="21"/>
        </w:rPr>
        <w:t>日</w:t>
      </w:r>
      <w:r>
        <w:rPr>
          <w:rFonts w:hint="eastAsia" w:ascii="宋体" w:hAnsi="宋体" w:cs="宋体"/>
          <w:szCs w:val="21"/>
          <w:lang w:val="zh-CN"/>
        </w:rPr>
        <w:t>巡检签到登记卡、周巡检签到登记卡、</w:t>
      </w:r>
      <w:r>
        <w:rPr>
          <w:rFonts w:hint="eastAsia" w:ascii="宋体" w:hAnsi="宋体" w:cs="宋体"/>
          <w:szCs w:val="21"/>
        </w:rPr>
        <w:t>月</w:t>
      </w:r>
      <w:r>
        <w:rPr>
          <w:rFonts w:hint="eastAsia" w:ascii="宋体" w:hAnsi="宋体" w:cs="宋体"/>
          <w:szCs w:val="21"/>
          <w:lang w:val="zh-CN"/>
        </w:rPr>
        <w:t>巡检签到登记卡、维护总结。</w:t>
      </w:r>
    </w:p>
    <w:p>
      <w:pPr>
        <w:pStyle w:val="9"/>
        <w:spacing w:line="360" w:lineRule="auto"/>
        <w:rPr>
          <w:sz w:val="21"/>
          <w:szCs w:val="21"/>
        </w:rPr>
      </w:pPr>
      <w:r>
        <w:rPr>
          <w:rFonts w:hint="eastAsia" w:ascii="宋体" w:hAnsi="宋体" w:cs="宋体"/>
          <w:sz w:val="21"/>
          <w:szCs w:val="21"/>
          <w:lang w:val="en-US" w:eastAsia="zh-CN"/>
        </w:rPr>
        <w:t>19</w:t>
      </w:r>
      <w:r>
        <w:rPr>
          <w:rFonts w:hint="eastAsia" w:ascii="宋体" w:hAnsi="宋体" w:cs="宋体"/>
          <w:sz w:val="21"/>
          <w:szCs w:val="21"/>
        </w:rPr>
        <w:t>、中标方应在合同签订之日起90天内，完成交警视频综合系统应用功能升级上线</w:t>
      </w:r>
      <w:r>
        <w:rPr>
          <w:rFonts w:hint="eastAsia" w:ascii="宋体" w:hAnsi="宋体" w:cs="宋体"/>
          <w:sz w:val="21"/>
          <w:szCs w:val="21"/>
          <w:lang w:val="zh-CN"/>
        </w:rPr>
        <w:t>；项目</w:t>
      </w:r>
      <w:r>
        <w:rPr>
          <w:rFonts w:hint="eastAsia" w:ascii="宋体" w:hAnsi="宋体" w:cs="宋体"/>
          <w:sz w:val="21"/>
          <w:szCs w:val="21"/>
        </w:rPr>
        <w:t>应用开发</w:t>
      </w:r>
      <w:r>
        <w:rPr>
          <w:rFonts w:hint="eastAsia" w:ascii="宋体" w:hAnsi="宋体" w:cs="宋体"/>
          <w:sz w:val="21"/>
          <w:szCs w:val="21"/>
          <w:lang w:val="zh-CN"/>
        </w:rPr>
        <w:t>源代码</w:t>
      </w:r>
      <w:r>
        <w:rPr>
          <w:rFonts w:hint="eastAsia" w:ascii="宋体" w:hAnsi="宋体" w:cs="宋体"/>
          <w:sz w:val="21"/>
          <w:szCs w:val="21"/>
        </w:rPr>
        <w:t>所有权</w:t>
      </w:r>
      <w:r>
        <w:rPr>
          <w:rFonts w:hint="eastAsia" w:ascii="宋体" w:hAnsi="宋体" w:cs="宋体"/>
          <w:sz w:val="21"/>
          <w:szCs w:val="21"/>
          <w:lang w:val="zh-CN"/>
        </w:rPr>
        <w:t>归</w:t>
      </w:r>
      <w:r>
        <w:rPr>
          <w:rFonts w:hint="eastAsia" w:ascii="宋体" w:hAnsi="宋体" w:cs="宋体"/>
          <w:szCs w:val="21"/>
          <w:lang w:val="en-US" w:eastAsia="zh-CN"/>
        </w:rPr>
        <w:t>采购人</w:t>
      </w:r>
      <w:r>
        <w:rPr>
          <w:rFonts w:hint="eastAsia" w:ascii="宋体" w:hAnsi="宋体" w:cs="宋体"/>
          <w:sz w:val="21"/>
          <w:szCs w:val="21"/>
          <w:lang w:val="zh-CN"/>
        </w:rPr>
        <w:t>所有</w:t>
      </w:r>
      <w:r>
        <w:rPr>
          <w:rFonts w:hint="eastAsia" w:ascii="宋体" w:hAnsi="宋体" w:cs="宋体"/>
          <w:sz w:val="21"/>
          <w:szCs w:val="21"/>
        </w:rPr>
        <w:t>。</w:t>
      </w:r>
    </w:p>
    <w:p>
      <w:pPr>
        <w:pStyle w:val="9"/>
        <w:spacing w:line="360" w:lineRule="auto"/>
        <w:rPr>
          <w:sz w:val="21"/>
          <w:szCs w:val="21"/>
        </w:rPr>
      </w:pPr>
      <w:r>
        <w:rPr>
          <w:rFonts w:hint="eastAsia" w:ascii="宋体" w:hAnsi="宋体" w:cs="宋体"/>
          <w:sz w:val="21"/>
          <w:szCs w:val="21"/>
        </w:rPr>
        <w:t>2</w:t>
      </w:r>
      <w:r>
        <w:rPr>
          <w:rFonts w:hint="eastAsia" w:ascii="宋体" w:hAnsi="宋体" w:cs="宋体"/>
          <w:sz w:val="21"/>
          <w:szCs w:val="21"/>
          <w:lang w:val="en-US" w:eastAsia="zh-CN"/>
        </w:rPr>
        <w:t>0</w:t>
      </w:r>
      <w:r>
        <w:rPr>
          <w:rFonts w:hint="eastAsia" w:ascii="宋体" w:hAnsi="宋体" w:cs="宋体"/>
          <w:sz w:val="21"/>
          <w:szCs w:val="21"/>
        </w:rPr>
        <w:t>、中标方应在合同期限内，对交警视频综合系统应用功能完善部分提供功能维护服务。</w:t>
      </w:r>
    </w:p>
    <w:p>
      <w:pPr>
        <w:pStyle w:val="9"/>
        <w:spacing w:line="360" w:lineRule="auto"/>
      </w:pPr>
      <w:r>
        <w:rPr>
          <w:rFonts w:hint="eastAsia" w:ascii="宋体" w:hAnsi="宋体" w:cs="宋体"/>
          <w:sz w:val="21"/>
          <w:szCs w:val="21"/>
        </w:rPr>
        <w:t>2</w:t>
      </w:r>
      <w:r>
        <w:rPr>
          <w:rFonts w:hint="eastAsia" w:ascii="宋体" w:hAnsi="宋体" w:cs="宋体"/>
          <w:sz w:val="21"/>
          <w:szCs w:val="21"/>
          <w:lang w:val="en-US" w:eastAsia="zh-CN"/>
        </w:rPr>
        <w:t>1</w:t>
      </w:r>
      <w:r>
        <w:rPr>
          <w:rFonts w:hint="eastAsia" w:ascii="宋体" w:hAnsi="宋体" w:cs="宋体"/>
          <w:sz w:val="21"/>
          <w:szCs w:val="21"/>
        </w:rPr>
        <w:t>、中标方应配合采购方做好日常管理工作，严格执行采购方相关政策管理的要求。</w:t>
      </w:r>
    </w:p>
    <w:p>
      <w:pPr>
        <w:pStyle w:val="9"/>
        <w:spacing w:line="360" w:lineRule="auto"/>
        <w:rPr>
          <w:rFonts w:hint="eastAsia" w:ascii="宋体" w:hAnsi="宋体" w:cs="宋体"/>
          <w:sz w:val="21"/>
          <w:szCs w:val="21"/>
        </w:rPr>
      </w:pPr>
      <w:r>
        <w:rPr>
          <w:rFonts w:hint="eastAsia" w:ascii="宋体" w:hAnsi="宋体" w:cs="宋体"/>
          <w:sz w:val="21"/>
          <w:szCs w:val="21"/>
          <w:lang w:val="en-US" w:eastAsia="zh-CN"/>
        </w:rPr>
        <w:t>22</w:t>
      </w:r>
      <w:r>
        <w:rPr>
          <w:rFonts w:hint="eastAsia" w:ascii="宋体" w:hAnsi="宋体" w:cs="宋体"/>
          <w:sz w:val="21"/>
          <w:szCs w:val="21"/>
        </w:rPr>
        <w:t>、办公室及网络环境由采购方提供，电脑、桌椅等办公设备及用品中标方自理，特殊岗位另行专门约定。</w:t>
      </w:r>
    </w:p>
    <w:p>
      <w:pPr>
        <w:pStyle w:val="9"/>
        <w:spacing w:line="360" w:lineRule="auto"/>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3</w:t>
      </w:r>
      <w:r>
        <w:rPr>
          <w:rFonts w:hint="eastAsia" w:ascii="宋体" w:hAnsi="宋体" w:cs="宋体"/>
          <w:sz w:val="21"/>
          <w:szCs w:val="21"/>
        </w:rPr>
        <w:t>、采购方为疫情防控、交通安保重点单位，中标方须做好维护服务团队的统筹调配，特殊时期还需提供车辆接送、餐饮食宿等后勤保障事宜，派驻或临时出入采购方营区人员须严格执行内部管理规定，出现涉疫等非正常情况第一时间报告并更换其他合适人员，确保各项工作正常运作。</w:t>
      </w:r>
    </w:p>
    <w:p>
      <w:pPr>
        <w:pStyle w:val="9"/>
        <w:spacing w:line="360" w:lineRule="auto"/>
        <w:rPr>
          <w:rFonts w:hint="eastAsia" w:ascii="宋体" w:hAnsi="宋体" w:cs="宋体"/>
          <w:sz w:val="21"/>
          <w:szCs w:val="21"/>
        </w:rPr>
      </w:pPr>
      <w:r>
        <w:rPr>
          <w:rFonts w:hint="eastAsia" w:ascii="宋体" w:hAnsi="宋体" w:cs="宋体"/>
          <w:sz w:val="21"/>
          <w:szCs w:val="21"/>
          <w:lang w:val="en-US" w:eastAsia="zh-CN"/>
        </w:rPr>
        <w:t>24</w:t>
      </w:r>
      <w:r>
        <w:rPr>
          <w:rFonts w:hint="eastAsia" w:ascii="宋体" w:hAnsi="宋体" w:cs="宋体"/>
          <w:sz w:val="21"/>
          <w:szCs w:val="21"/>
        </w:rPr>
        <w:t>、中标方须配合采购方做好维护范围内相关资产清查、盘点等工作。</w:t>
      </w:r>
    </w:p>
    <w:p>
      <w:pPr>
        <w:pStyle w:val="9"/>
        <w:spacing w:line="360" w:lineRule="auto"/>
        <w:rPr>
          <w:rFonts w:hint="eastAsia" w:ascii="宋体" w:hAnsi="宋体" w:cs="宋体"/>
          <w:sz w:val="21"/>
          <w:szCs w:val="21"/>
        </w:rPr>
      </w:pPr>
      <w:r>
        <w:rPr>
          <w:rFonts w:hint="eastAsia" w:ascii="宋体" w:hAnsi="宋体" w:cs="宋体"/>
          <w:sz w:val="21"/>
          <w:szCs w:val="21"/>
          <w:lang w:val="en-US" w:eastAsia="zh-CN"/>
        </w:rPr>
        <w:t>25</w:t>
      </w:r>
      <w:r>
        <w:rPr>
          <w:rFonts w:hint="eastAsia" w:ascii="宋体" w:hAnsi="宋体" w:cs="宋体"/>
          <w:sz w:val="21"/>
          <w:szCs w:val="21"/>
        </w:rPr>
        <w:t>、中标方须切实保障好项目维护服务团队工资发放事宜，具体可采取设置工资专用账户等模式，杜绝因欠薪引发纠纷等问题。</w:t>
      </w:r>
    </w:p>
    <w:p>
      <w:pPr>
        <w:pStyle w:val="10"/>
        <w:tabs>
          <w:tab w:val="left" w:pos="562"/>
          <w:tab w:val="left" w:pos="3372"/>
          <w:tab w:val="left" w:pos="3653"/>
        </w:tabs>
        <w:ind w:firstLine="420" w:firstLineChars="200"/>
        <w:rPr>
          <w:rFonts w:hint="eastAsia" w:ascii="宋体" w:hAnsi="宋体" w:cs="宋体"/>
          <w:sz w:val="21"/>
          <w:szCs w:val="21"/>
          <w:lang w:val="en-US" w:eastAsia="zh-CN"/>
        </w:rPr>
      </w:pPr>
      <w:r>
        <w:rPr>
          <w:rFonts w:hint="eastAsia" w:ascii="宋体" w:hAnsi="宋体" w:cs="宋体"/>
          <w:sz w:val="21"/>
          <w:szCs w:val="21"/>
          <w:lang w:val="en-US" w:eastAsia="zh-CN"/>
        </w:rPr>
        <w:t>26、签订合同15个工作日内，中标方须向采购方提交项目实施方案。</w:t>
      </w:r>
    </w:p>
    <w:p>
      <w:pPr>
        <w:pStyle w:val="10"/>
        <w:keepNext w:val="0"/>
        <w:keepLines w:val="0"/>
        <w:pageBreakBefore w:val="0"/>
        <w:numPr>
          <w:ilvl w:val="0"/>
          <w:numId w:val="0"/>
        </w:numPr>
        <w:kinsoku/>
        <w:wordWrap/>
        <w:overflowPunct/>
        <w:topLinePunct w:val="0"/>
        <w:autoSpaceDE/>
        <w:autoSpaceDN/>
        <w:bidi w:val="0"/>
        <w:spacing w:after="0" w:line="440" w:lineRule="exact"/>
        <w:ind w:leftChars="20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（二）具体技术要求</w:t>
      </w:r>
    </w:p>
    <w:p>
      <w:pPr>
        <w:rPr>
          <w:rFonts w:hint="eastAsia"/>
          <w:lang w:val="en-US" w:eastAsia="zh-CN"/>
        </w:rPr>
      </w:pPr>
    </w:p>
    <w:tbl>
      <w:tblPr>
        <w:tblStyle w:val="19"/>
        <w:tblW w:w="889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88"/>
        <w:gridCol w:w="743"/>
        <w:gridCol w:w="1300"/>
        <w:gridCol w:w="3743"/>
        <w:gridCol w:w="68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0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模块名称</w:t>
            </w:r>
          </w:p>
        </w:tc>
        <w:tc>
          <w:tcPr>
            <w:tcW w:w="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类型</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子项</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任务/功能描述</w:t>
            </w:r>
          </w:p>
        </w:tc>
        <w:tc>
          <w:tcPr>
            <w:tcW w:w="6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6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一</w:t>
            </w:r>
          </w:p>
        </w:tc>
        <w:tc>
          <w:tcPr>
            <w:tcW w:w="3131" w:type="dxa"/>
            <w:gridSpan w:val="3"/>
            <w:shd w:val="clear" w:color="auto" w:fill="FFFFFF"/>
            <w:vAlign w:val="center"/>
          </w:tcPr>
          <w:p>
            <w:pPr>
              <w:keepNext w:val="0"/>
              <w:keepLines w:val="0"/>
              <w:pageBreakBefore w:val="0"/>
              <w:tabs>
                <w:tab w:val="left" w:pos="900"/>
              </w:tabs>
              <w:kinsoku/>
              <w:wordWrap/>
              <w:overflowPunct/>
              <w:topLinePunct w:val="0"/>
              <w:autoSpaceDE/>
              <w:autoSpaceDN/>
              <w:bidi w:val="0"/>
              <w:adjustRightInd/>
              <w:snapToGrid/>
              <w:spacing w:line="440" w:lineRule="exact"/>
              <w:rPr>
                <w:rFonts w:ascii="宋体" w:hAnsi="宋体" w:cs="宋体"/>
                <w:color w:val="000000"/>
                <w:kern w:val="0"/>
                <w:szCs w:val="21"/>
                <w:lang w:bidi="ar"/>
              </w:rPr>
            </w:pPr>
            <w:r>
              <w:rPr>
                <w:rFonts w:hint="eastAsia" w:ascii="宋体" w:hAnsi="宋体" w:cs="宋体"/>
                <w:b/>
                <w:bCs/>
                <w:color w:val="000000"/>
                <w:kern w:val="0"/>
                <w:szCs w:val="21"/>
                <w:lang w:bidi="ar"/>
              </w:rPr>
              <w:t>交警视频综合系统应用维护</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kern w:val="0"/>
                <w:szCs w:val="21"/>
                <w:lang w:bidi="ar"/>
              </w:rPr>
            </w:pP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676"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08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视频综合系统应用维护</w:t>
            </w:r>
          </w:p>
        </w:tc>
        <w:tc>
          <w:tcPr>
            <w:tcW w:w="74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维护服务</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日常维护</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对交警视频应用系统服务器的流媒体服务、国标共享网关服务、HTML5共享网关服务等服务程序进行日常巡检，保证程序运行正常，同时对平台的以下功能模块开展日常维护工作：</w:t>
            </w:r>
            <w:r>
              <w:rPr>
                <w:rFonts w:hint="eastAsia" w:ascii="宋体" w:hAnsi="宋体" w:cs="宋体"/>
                <w:szCs w:val="21"/>
              </w:rPr>
              <w:br w:type="textWrapping"/>
            </w:r>
            <w:r>
              <w:rPr>
                <w:rFonts w:hint="eastAsia" w:ascii="宋体" w:hAnsi="宋体" w:cs="宋体"/>
                <w:szCs w:val="21"/>
              </w:rPr>
              <w:t>1.视频巡逻预案管理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2.视频交警交通智巡</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3.视频交警视频执法管理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4.视频交警重点视频库管理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5.视频交警系统数据字典管理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6.视频巡逻绩效考核及统计分析管理</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7.预置位综合调度巡航</w:t>
            </w:r>
          </w:p>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szCs w:val="21"/>
              </w:rPr>
            </w:pPr>
            <w:r>
              <w:rPr>
                <w:rFonts w:hint="eastAsia" w:ascii="宋体" w:hAnsi="宋体" w:cs="宋体"/>
                <w:szCs w:val="21"/>
              </w:rPr>
              <w:t>8.视综平台账号管理</w:t>
            </w:r>
          </w:p>
        </w:tc>
        <w:tc>
          <w:tcPr>
            <w:tcW w:w="685" w:type="dxa"/>
            <w:vMerge w:val="restar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应急保障</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重大节日如国庆、春节等或特殊事件保障情况，要求提供必要保障，应急保障时期现场运维服务人员配合运维服务厂商提前对交警支队业务相关设备进行相关巡检，保证各业务正常稳定运行。应急保障期间备勤人员随时提供远程技术支持服务，必要时可提供现场支持服务</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大型安保现场支持：提供一人的大型安保现场支持服务，确保举行大型安保活动时人员全程现场维护支持保障平台正常运行</w:t>
            </w:r>
            <w:r>
              <w:rPr>
                <w:rFonts w:hint="eastAsia" w:ascii="宋体" w:hAnsi="宋体" w:cs="宋体"/>
                <w:color w:val="000000"/>
                <w:kern w:val="0"/>
                <w:szCs w:val="21"/>
                <w:lang w:eastAsia="zh-CN" w:bidi="ar"/>
              </w:rPr>
              <w:t>。</w:t>
            </w:r>
          </w:p>
        </w:tc>
        <w:tc>
          <w:tcPr>
            <w:tcW w:w="68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657" w:type="dxa"/>
            <w:vMerge w:val="restart"/>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对接维护</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对接维护服务：配合</w:t>
            </w:r>
            <w:r>
              <w:rPr>
                <w:rFonts w:hint="eastAsia" w:ascii="宋体" w:hAnsi="宋体" w:cs="宋体"/>
                <w:color w:val="000000"/>
                <w:kern w:val="0"/>
                <w:szCs w:val="21"/>
                <w:lang w:val="en-US" w:eastAsia="zh-CN" w:bidi="ar"/>
              </w:rPr>
              <w:t>采购人</w:t>
            </w:r>
            <w:r>
              <w:rPr>
                <w:rFonts w:hint="eastAsia" w:ascii="宋体" w:hAnsi="宋体" w:cs="宋体"/>
                <w:color w:val="000000"/>
                <w:kern w:val="0"/>
                <w:szCs w:val="21"/>
                <w:lang w:bidi="ar"/>
              </w:rPr>
              <w:t>对交通警察支队视频资源进行国标共享以及国标接入服务，对已接入的平台视频资源进行管理、已共享的平台视频资源进行维护</w:t>
            </w:r>
            <w:r>
              <w:rPr>
                <w:rFonts w:hint="eastAsia" w:ascii="宋体" w:hAnsi="宋体" w:cs="宋体"/>
                <w:color w:val="000000"/>
                <w:kern w:val="0"/>
                <w:szCs w:val="21"/>
                <w:lang w:eastAsia="zh-CN" w:bidi="ar"/>
              </w:rPr>
              <w:t>。</w:t>
            </w:r>
          </w:p>
        </w:tc>
        <w:tc>
          <w:tcPr>
            <w:tcW w:w="68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657"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镜头信息梳理</w:t>
            </w:r>
          </w:p>
        </w:tc>
        <w:tc>
          <w:tcPr>
            <w:tcW w:w="3743" w:type="dxa"/>
            <w:shd w:val="clear" w:color="auto" w:fill="auto"/>
            <w:vAlign w:val="center"/>
          </w:tcPr>
          <w:p>
            <w:pPr>
              <w:widowControl/>
              <w:spacing w:line="440" w:lineRule="exact"/>
              <w:jc w:val="left"/>
              <w:textAlignment w:val="center"/>
              <w:rPr>
                <w:rFonts w:hint="eastAsia" w:eastAsia="宋体"/>
                <w:lang w:eastAsia="zh-CN"/>
              </w:rPr>
            </w:pPr>
            <w:r>
              <w:rPr>
                <w:rFonts w:hint="eastAsia"/>
              </w:rPr>
              <w:t>镜头信息梳理：配合</w:t>
            </w:r>
            <w:r>
              <w:rPr>
                <w:rFonts w:hint="eastAsia" w:ascii="宋体" w:hAnsi="宋体" w:cs="宋体"/>
                <w:szCs w:val="21"/>
                <w:lang w:val="en-US" w:eastAsia="zh-CN"/>
              </w:rPr>
              <w:t>采购人</w:t>
            </w:r>
            <w:r>
              <w:rPr>
                <w:rFonts w:hint="eastAsia"/>
              </w:rPr>
              <w:t>根据“广东公安视频监控“一机一档”基础信息采集建档工作指引（2020年修订版）”对已接入交通警察支队一类点视频资源一机一档资料进行核对、整理以及上传市局一机一档数据库等操作，确保交通警察支队一类点视频资源一机一档录入率</w:t>
            </w:r>
            <w:r>
              <w:rPr>
                <w:rFonts w:hint="eastAsia"/>
                <w:lang w:eastAsia="zh-CN"/>
              </w:rPr>
              <w:t>。</w:t>
            </w:r>
          </w:p>
        </w:tc>
        <w:tc>
          <w:tcPr>
            <w:tcW w:w="685"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657" w:type="dxa"/>
            <w:vMerge w:val="continue"/>
            <w:shd w:val="clear" w:color="auto" w:fill="FFFFFF"/>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7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二</w:t>
            </w:r>
          </w:p>
        </w:tc>
        <w:tc>
          <w:tcPr>
            <w:tcW w:w="3131" w:type="dxa"/>
            <w:gridSpan w:val="3"/>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ascii="宋体" w:hAnsi="宋体" w:cs="宋体"/>
                <w:color w:val="000000"/>
                <w:kern w:val="0"/>
                <w:szCs w:val="21"/>
                <w:lang w:bidi="ar"/>
              </w:rPr>
            </w:pPr>
            <w:r>
              <w:rPr>
                <w:rFonts w:hint="eastAsia" w:ascii="宋体" w:hAnsi="宋体" w:cs="宋体"/>
                <w:b/>
                <w:bCs/>
                <w:color w:val="000000"/>
                <w:kern w:val="0"/>
                <w:szCs w:val="21"/>
                <w:lang w:bidi="ar"/>
              </w:rPr>
              <w:t>交警视频综合系统应用功能完善</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kern w:val="0"/>
                <w:szCs w:val="21"/>
                <w:lang w:bidi="ar"/>
              </w:rPr>
            </w:pP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6"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08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一键报障</w:t>
            </w:r>
          </w:p>
        </w:tc>
        <w:tc>
          <w:tcPr>
            <w:tcW w:w="743"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模块升级</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一键报障</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szCs w:val="21"/>
              </w:rPr>
            </w:pPr>
            <w:r>
              <w:rPr>
                <w:rFonts w:hint="eastAsia" w:ascii="宋体" w:hAnsi="宋体" w:cs="宋体"/>
                <w:color w:val="000000"/>
                <w:kern w:val="0"/>
                <w:szCs w:val="21"/>
                <w:lang w:bidi="ar"/>
              </w:rPr>
              <w:t>支持在设备列表中选中故障镜头发起一键报障，填写故障信息，生成故障单。</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我的待办</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szCs w:val="21"/>
              </w:rPr>
            </w:pP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我的待办</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模块以列表的形式展示所有当前用户待处理的故障单，支持处理故障信息和查看流程记录。</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故障信息</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szCs w:val="21"/>
              </w:rPr>
            </w:pP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故障信息</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模块获取一键报障信息，以列表的形式展示一键报障生成的故障单。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支持查看故障单处理流程记录，查看已处理环节处理时间、故障状态、处理结果和处理人；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支持点播视频实况。</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流程管理</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szCs w:val="21"/>
              </w:rPr>
            </w:pP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流程管理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模块支持查看报障流程图；</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支持流程节点配置，选择各个节点的流程处理人。</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76"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088"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74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rPr>
                <w:rFonts w:ascii="宋体" w:hAnsi="宋体" w:cs="宋体"/>
                <w:color w:val="000000"/>
                <w:szCs w:val="21"/>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短信对接</w:t>
            </w:r>
          </w:p>
        </w:tc>
        <w:tc>
          <w:tcPr>
            <w:tcW w:w="3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宋体" w:hAnsi="宋体" w:cs="宋体"/>
                <w:color w:val="000000"/>
                <w:szCs w:val="21"/>
              </w:rPr>
            </w:pPr>
            <w:r>
              <w:rPr>
                <w:rFonts w:hint="eastAsia" w:ascii="宋体" w:hAnsi="宋体" w:cs="宋体"/>
                <w:color w:val="000000"/>
                <w:kern w:val="0"/>
                <w:szCs w:val="21"/>
                <w:lang w:bidi="ar"/>
              </w:rPr>
              <w:t>对接短信平台，及时向故障单流程处理人推送待办短信信息提醒。</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08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应用优化</w:t>
            </w:r>
          </w:p>
        </w:tc>
        <w:tc>
          <w:tcPr>
            <w:tcW w:w="743"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模块升级</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szCs w:val="21"/>
              </w:rPr>
              <w:t>视频执法优化</w:t>
            </w:r>
          </w:p>
        </w:tc>
        <w:tc>
          <w:tcPr>
            <w:tcW w:w="3743"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rPr>
                <w:rFonts w:ascii="宋体" w:hAnsi="宋体" w:cs="宋体"/>
                <w:szCs w:val="21"/>
              </w:rPr>
            </w:pPr>
            <w:r>
              <w:rPr>
                <w:rFonts w:hint="eastAsia" w:ascii="宋体" w:hAnsi="宋体" w:cs="宋体"/>
                <w:szCs w:val="21"/>
              </w:rPr>
              <w:t>1、优化执法操作流程，对特定的违法数据做限制处理，对相应的违法信息进行叠加展示。</w:t>
            </w:r>
          </w:p>
          <w:p>
            <w:pPr>
              <w:keepNext w:val="0"/>
              <w:keepLines w:val="0"/>
              <w:pageBreakBefore w:val="0"/>
              <w:kinsoku/>
              <w:wordWrap/>
              <w:overflowPunct/>
              <w:topLinePunct w:val="0"/>
              <w:autoSpaceDE/>
              <w:autoSpaceDN/>
              <w:bidi w:val="0"/>
              <w:adjustRightInd/>
              <w:snapToGrid/>
              <w:spacing w:line="440" w:lineRule="exact"/>
              <w:rPr>
                <w:rFonts w:ascii="宋体" w:hAnsi="宋体" w:cs="宋体"/>
                <w:szCs w:val="21"/>
              </w:rPr>
            </w:pPr>
            <w:r>
              <w:rPr>
                <w:rFonts w:hint="eastAsia" w:ascii="宋体" w:hAnsi="宋体" w:cs="宋体"/>
                <w:szCs w:val="21"/>
              </w:rPr>
              <w:t>2、优化数据上传链路，对违法视频数据做备份处理。</w:t>
            </w:r>
          </w:p>
          <w:p>
            <w:pPr>
              <w:keepNext w:val="0"/>
              <w:keepLines w:val="0"/>
              <w:pageBreakBefore w:val="0"/>
              <w:kinsoku/>
              <w:wordWrap/>
              <w:overflowPunct/>
              <w:topLinePunct w:val="0"/>
              <w:autoSpaceDE/>
              <w:autoSpaceDN/>
              <w:bidi w:val="0"/>
              <w:adjustRightInd/>
              <w:snapToGrid/>
              <w:spacing w:line="440" w:lineRule="exact"/>
              <w:rPr>
                <w:rFonts w:ascii="宋体" w:hAnsi="宋体" w:cs="宋体"/>
                <w:szCs w:val="21"/>
              </w:rPr>
            </w:pPr>
            <w:r>
              <w:rPr>
                <w:rFonts w:hint="eastAsia" w:ascii="宋体" w:hAnsi="宋体" w:cs="宋体"/>
                <w:szCs w:val="21"/>
              </w:rPr>
              <w:t>3、扩充执法数据字段，完善执法信息。</w:t>
            </w:r>
          </w:p>
          <w:p>
            <w:pPr>
              <w:keepNext w:val="0"/>
              <w:keepLines w:val="0"/>
              <w:pageBreakBefore w:val="0"/>
              <w:kinsoku/>
              <w:wordWrap/>
              <w:overflowPunct/>
              <w:topLinePunct w:val="0"/>
              <w:autoSpaceDE/>
              <w:autoSpaceDN/>
              <w:bidi w:val="0"/>
              <w:adjustRightInd/>
              <w:snapToGrid/>
              <w:spacing w:line="440" w:lineRule="exact"/>
              <w:rPr>
                <w:rFonts w:ascii="宋体" w:hAnsi="宋体" w:cs="宋体"/>
                <w:color w:val="000000"/>
                <w:szCs w:val="21"/>
              </w:rPr>
            </w:pPr>
            <w:r>
              <w:rPr>
                <w:rFonts w:hint="eastAsia" w:ascii="宋体" w:hAnsi="宋体" w:cs="宋体"/>
                <w:szCs w:val="21"/>
              </w:rPr>
              <w:t>4、扩充执法对象类型，可对非机动车等对象进行执法操作</w:t>
            </w:r>
          </w:p>
        </w:tc>
        <w:tc>
          <w:tcPr>
            <w:tcW w:w="685"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7" w:type="dxa"/>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ascii="宋体" w:hAnsi="宋体" w:cs="宋体"/>
                <w:color w:val="000000"/>
                <w:szCs w:val="21"/>
              </w:rPr>
            </w:pPr>
            <w:r>
              <w:rPr>
                <w:rFonts w:hint="eastAsia" w:ascii="宋体" w:hAnsi="宋体" w:cs="宋体"/>
                <w:color w:val="000000"/>
                <w:kern w:val="0"/>
                <w:szCs w:val="21"/>
                <w:lang w:bidi="ar"/>
              </w:rPr>
              <w:t>项</w:t>
            </w:r>
          </w:p>
        </w:tc>
      </w:tr>
    </w:tbl>
    <w:p>
      <w:pPr>
        <w:keepNext w:val="0"/>
        <w:keepLines w:val="0"/>
        <w:pageBreakBefore w:val="0"/>
        <w:widowControl/>
        <w:numPr>
          <w:ilvl w:val="0"/>
          <w:numId w:val="0"/>
        </w:numPr>
        <w:kinsoku/>
        <w:wordWrap/>
        <w:overflowPunct/>
        <w:topLinePunct w:val="0"/>
        <w:autoSpaceDE/>
        <w:autoSpaceDN/>
        <w:bidi w:val="0"/>
        <w:spacing w:line="440" w:lineRule="exact"/>
        <w:ind w:leftChars="0" w:firstLine="482" w:firstLineChars="200"/>
        <w:jc w:val="left"/>
        <w:rPr>
          <w:rFonts w:hint="eastAsia" w:ascii="宋体" w:hAnsi="宋体" w:cs="宋体"/>
          <w:b/>
          <w:bCs/>
          <w:color w:val="000000" w:themeColor="text1"/>
          <w:sz w:val="24"/>
          <w:szCs w:val="24"/>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spacing w:line="440" w:lineRule="exact"/>
        <w:ind w:leftChars="0" w:firstLine="0" w:firstLineChars="0"/>
        <w:jc w:val="left"/>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三</w:t>
      </w:r>
      <w:r>
        <w:rPr>
          <w:rFonts w:hint="eastAsia" w:ascii="宋体" w:hAnsi="宋体" w:eastAsia="宋体" w:cs="宋体"/>
          <w:b/>
          <w:bCs/>
          <w:color w:val="000000" w:themeColor="text1"/>
          <w:sz w:val="24"/>
          <w:szCs w:val="24"/>
          <w:lang w:val="en-US" w:eastAsia="zh-CN"/>
          <w14:textFill>
            <w14:solidFill>
              <w14:schemeClr w14:val="tx1"/>
            </w14:solidFill>
          </w14:textFill>
        </w:rPr>
        <w:t>、项目商务要求：</w:t>
      </w:r>
    </w:p>
    <w:p>
      <w:pPr>
        <w:pStyle w:val="10"/>
        <w:keepNext w:val="0"/>
        <w:keepLines w:val="0"/>
        <w:pageBreakBefore w:val="0"/>
        <w:numPr>
          <w:ilvl w:val="0"/>
          <w:numId w:val="0"/>
        </w:numPr>
        <w:kinsoku/>
        <w:wordWrap/>
        <w:overflowPunct/>
        <w:topLinePunct w:val="0"/>
        <w:autoSpaceDE/>
        <w:autoSpaceDN/>
        <w:bidi w:val="0"/>
        <w:spacing w:after="0" w:line="440" w:lineRule="exact"/>
        <w:ind w:leftChars="0" w:firstLine="0" w:firstLineChars="0"/>
        <w:rPr>
          <w:rFonts w:hint="eastAsia" w:ascii="宋体" w:hAnsi="宋体" w:eastAsia="宋体" w:cs="宋体"/>
          <w:b w:val="0"/>
          <w:bCs w:val="0"/>
          <w:sz w:val="21"/>
          <w:szCs w:val="21"/>
          <w:highlight w:val="yellow"/>
          <w:lang w:val="en-US" w:eastAsia="zh-CN"/>
        </w:rPr>
      </w:pPr>
      <w:r>
        <w:rPr>
          <w:rFonts w:hint="eastAsia" w:asciiTheme="minorEastAsia" w:hAnsiTheme="minorEastAsia" w:eastAsiaTheme="minorEastAsia"/>
          <w:highlight w:val="yellow"/>
        </w:rPr>
        <w:t>★</w:t>
      </w:r>
      <w:r>
        <w:rPr>
          <w:rFonts w:hint="eastAsia" w:ascii="宋体" w:hAnsi="宋体" w:eastAsia="宋体" w:cs="宋体"/>
          <w:b w:val="0"/>
          <w:bCs w:val="0"/>
          <w:sz w:val="21"/>
          <w:szCs w:val="21"/>
          <w:highlight w:val="yellow"/>
          <w:lang w:val="en-US" w:eastAsia="zh-CN"/>
        </w:rPr>
        <w:t>（一）服务期限</w:t>
      </w:r>
      <w:r>
        <w:rPr>
          <w:rFonts w:hint="eastAsia" w:ascii="宋体" w:hAnsi="宋体" w:cs="宋体"/>
          <w:b w:val="0"/>
          <w:bCs w:val="0"/>
          <w:sz w:val="21"/>
          <w:szCs w:val="21"/>
          <w:highlight w:val="yellow"/>
          <w:lang w:val="en-US" w:eastAsia="zh-CN"/>
        </w:rPr>
        <w:t>：要求中标方对交通警察局的视频综合系统应用提供自合同签订起为期1年的维护服务。</w:t>
      </w:r>
    </w:p>
    <w:p>
      <w:pPr>
        <w:keepNext w:val="0"/>
        <w:keepLines w:val="0"/>
        <w:pageBreakBefore w:val="0"/>
        <w:kinsoku/>
        <w:wordWrap/>
        <w:overflowPunct/>
        <w:topLinePunct w:val="0"/>
        <w:autoSpaceDE/>
        <w:autoSpaceDN/>
        <w:bidi w:val="0"/>
        <w:spacing w:line="440" w:lineRule="exact"/>
        <w:ind w:leftChars="0" w:firstLine="0" w:firstLineChars="0"/>
        <w:outlineLvl w:val="1"/>
        <w:rPr>
          <w:rFonts w:hint="eastAsia" w:ascii="宋体" w:hAnsi="宋体" w:eastAsia="宋体" w:cs="宋体"/>
          <w:b w:val="0"/>
          <w:bCs w:val="0"/>
          <w:color w:val="auto"/>
          <w:sz w:val="21"/>
          <w:szCs w:val="21"/>
          <w:highlight w:val="none"/>
        </w:rPr>
      </w:pPr>
      <w:r>
        <w:rPr>
          <w:rFonts w:hint="eastAsia" w:ascii="宋体" w:hAnsi="宋体" w:eastAsia="宋体" w:cs="宋体"/>
          <w:b w:val="0"/>
          <w:bCs w:val="0"/>
          <w:sz w:val="21"/>
          <w:szCs w:val="21"/>
          <w:lang w:val="en-US" w:eastAsia="zh-CN"/>
        </w:rPr>
        <w:t>（二）</w:t>
      </w:r>
      <w:r>
        <w:rPr>
          <w:rFonts w:hint="eastAsia" w:ascii="宋体" w:hAnsi="宋体" w:eastAsia="宋体" w:cs="宋体"/>
          <w:b w:val="0"/>
          <w:bCs w:val="0"/>
          <w:color w:val="auto"/>
          <w:sz w:val="21"/>
          <w:szCs w:val="21"/>
          <w:highlight w:val="none"/>
        </w:rPr>
        <w:t>报价及结算方式</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1.合同方式：本项目采用合同总价包干。</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yellow"/>
        </w:rPr>
        <w:t>★2.付款方式：</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yellow"/>
        </w:rPr>
        <w:t>1、合同签订后，中标方向采购方提出申请，采购方向中标方支付不超过合同总价40%的预付款。</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yellow"/>
        </w:rPr>
        <w:t>2、根据维护进度支付进度款，由中标方向采购方提出申请，经采购方确认后，由采购方向中标方支付总额不超过合同总价90%的进度款。</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yellow"/>
        </w:rPr>
        <w:t>3、服务期满且经采购方验收合格，结合实际工程量和服务考核结果，采购方向中标方一次性支付剩余款项。</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cs="仿宋" w:asciiTheme="minorEastAsia" w:hAnsiTheme="minorEastAsia" w:eastAsiaTheme="minorEastAsia"/>
          <w:snapToGrid w:val="0"/>
          <w:kern w:val="0"/>
          <w:sz w:val="56"/>
          <w:szCs w:val="96"/>
          <w:highlight w:val="yellow"/>
        </w:rPr>
      </w:pPr>
      <w:r>
        <w:rPr>
          <w:rFonts w:hint="eastAsia" w:ascii="宋体" w:hAnsi="宋体" w:eastAsia="宋体" w:cs="宋体"/>
          <w:b w:val="0"/>
          <w:bCs w:val="0"/>
          <w:color w:val="auto"/>
          <w:sz w:val="21"/>
          <w:szCs w:val="21"/>
          <w:highlight w:val="yellow"/>
        </w:rPr>
        <w:t>上述付款均需要由中标方提供正式发票后，</w:t>
      </w:r>
      <w:r>
        <w:rPr>
          <w:rFonts w:hint="eastAsia" w:ascii="宋体" w:hAnsi="宋体" w:cs="宋体"/>
          <w:b w:val="0"/>
          <w:bCs w:val="0"/>
          <w:color w:val="auto"/>
          <w:sz w:val="21"/>
          <w:szCs w:val="21"/>
          <w:highlight w:val="yellow"/>
          <w:lang w:val="en-US" w:eastAsia="zh-CN"/>
        </w:rPr>
        <w:t>采购方</w:t>
      </w:r>
      <w:r>
        <w:rPr>
          <w:rFonts w:hint="eastAsia" w:ascii="宋体" w:hAnsi="宋体" w:eastAsia="宋体" w:cs="宋体"/>
          <w:b w:val="0"/>
          <w:bCs w:val="0"/>
          <w:color w:val="auto"/>
          <w:sz w:val="21"/>
          <w:szCs w:val="21"/>
          <w:highlight w:val="yellow"/>
        </w:rPr>
        <w:t>按照相关规定启动付款程序，因</w:t>
      </w:r>
      <w:r>
        <w:rPr>
          <w:rFonts w:hint="eastAsia" w:ascii="宋体" w:hAnsi="宋体" w:cs="宋体"/>
          <w:b w:val="0"/>
          <w:bCs w:val="0"/>
          <w:color w:val="auto"/>
          <w:sz w:val="21"/>
          <w:szCs w:val="21"/>
          <w:highlight w:val="yellow"/>
          <w:lang w:val="en-US" w:eastAsia="zh-CN"/>
        </w:rPr>
        <w:t>采购方</w:t>
      </w:r>
      <w:r>
        <w:rPr>
          <w:rFonts w:hint="eastAsia" w:ascii="宋体" w:hAnsi="宋体" w:eastAsia="宋体" w:cs="宋体"/>
          <w:b w:val="0"/>
          <w:bCs w:val="0"/>
          <w:color w:val="auto"/>
          <w:sz w:val="21"/>
          <w:szCs w:val="21"/>
          <w:highlight w:val="yellow"/>
        </w:rPr>
        <w:t>不可控的原因导致在约定的时间内未能成功支付的，不属于付款违约。</w:t>
      </w:r>
      <w:r>
        <w:rPr>
          <w:rFonts w:hint="eastAsia" w:ascii="宋体" w:hAnsi="宋体" w:cs="宋体"/>
          <w:b w:val="0"/>
          <w:bCs w:val="0"/>
          <w:color w:val="auto"/>
          <w:sz w:val="21"/>
          <w:szCs w:val="21"/>
          <w:highlight w:val="yellow"/>
          <w:lang w:val="en-US" w:eastAsia="zh-CN"/>
        </w:rPr>
        <w:t>采购方</w:t>
      </w:r>
      <w:r>
        <w:rPr>
          <w:rFonts w:hint="eastAsia" w:ascii="宋体" w:hAnsi="宋体" w:eastAsia="宋体" w:cs="宋体"/>
          <w:b w:val="0"/>
          <w:bCs w:val="0"/>
          <w:color w:val="auto"/>
          <w:sz w:val="21"/>
          <w:szCs w:val="21"/>
          <w:highlight w:val="yellow"/>
        </w:rPr>
        <w:t>按照相关程序提交财政申请支付手续后视为已履行付款义务。</w:t>
      </w:r>
    </w:p>
    <w:p>
      <w:pPr>
        <w:adjustRightInd w:val="0"/>
        <w:snapToGrid w:val="0"/>
        <w:spacing w:line="300" w:lineRule="auto"/>
        <w:jc w:val="left"/>
        <w:rPr>
          <w:rFonts w:hint="eastAsia" w:cs="仿宋" w:asciiTheme="minorEastAsia" w:hAnsiTheme="minorEastAsia" w:eastAsiaTheme="minorEastAsia"/>
          <w:snapToGrid w:val="0"/>
          <w:kern w:val="0"/>
          <w:sz w:val="56"/>
          <w:szCs w:val="96"/>
        </w:rPr>
      </w:pPr>
    </w:p>
    <w:p>
      <w:pPr>
        <w:rPr>
          <w:rFonts w:hint="eastAsia" w:cs="仿宋" w:asciiTheme="minorEastAsia" w:hAnsiTheme="minorEastAsia" w:eastAsiaTheme="minorEastAsia"/>
          <w:snapToGrid w:val="0"/>
          <w:kern w:val="0"/>
          <w:sz w:val="56"/>
          <w:szCs w:val="96"/>
        </w:rPr>
      </w:pPr>
    </w:p>
    <w:p>
      <w:pPr>
        <w:rPr>
          <w:rFonts w:hint="eastAsia" w:cs="仿宋" w:asciiTheme="minorEastAsia" w:hAnsiTheme="minorEastAsia" w:eastAsiaTheme="minorEastAsia"/>
          <w:snapToGrid w:val="0"/>
          <w:kern w:val="0"/>
          <w:sz w:val="56"/>
          <w:szCs w:val="96"/>
        </w:rPr>
      </w:pPr>
    </w:p>
    <w:p>
      <w:pPr>
        <w:pStyle w:val="10"/>
        <w:rPr>
          <w:rFonts w:hint="eastAsia"/>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第三部分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投标文件格式</w:t>
      </w:r>
    </w:p>
    <w:tbl>
      <w:tblPr>
        <w:tblStyle w:val="20"/>
        <w:tblpPr w:leftFromText="180" w:rightFromText="180" w:vertAnchor="text" w:horzAnchor="page" w:tblpX="1785" w:tblpY="301"/>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五、投标人资格证明文件（格式2）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w:t>
            </w:r>
            <w:r>
              <w:rPr>
                <w:rFonts w:hint="eastAsia" w:cs="仿宋" w:asciiTheme="minorEastAsia" w:hAnsiTheme="minorEastAsia" w:eastAsiaTheme="minorEastAsia"/>
                <w:sz w:val="24"/>
                <w:lang w:val="en-US" w:eastAsia="zh-CN"/>
              </w:rPr>
              <w:t>服务方案</w:t>
            </w:r>
            <w:r>
              <w:rPr>
                <w:rFonts w:hint="eastAsia" w:cs="仿宋" w:asciiTheme="minorEastAsia" w:hAnsiTheme="minorEastAsia" w:eastAsiaTheme="minorEastAsia"/>
                <w:sz w:val="24"/>
              </w:rPr>
              <w:t>（格式6）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w:t>
            </w:r>
            <w:r>
              <w:rPr>
                <w:rFonts w:hint="eastAsia" w:cs="仿宋" w:asciiTheme="minorEastAsia" w:hAnsiTheme="minorEastAsia" w:eastAsiaTheme="minorEastAsia"/>
                <w:sz w:val="24"/>
                <w:lang w:val="en-US" w:eastAsia="zh-CN"/>
              </w:rPr>
              <w:t>投标人情况介绍</w:t>
            </w:r>
            <w:r>
              <w:rPr>
                <w:rFonts w:hint="eastAsia" w:cs="仿宋" w:asciiTheme="minorEastAsia" w:hAnsiTheme="minorEastAsia" w:eastAsiaTheme="minorEastAsia"/>
                <w:sz w:val="24"/>
              </w:rPr>
              <w:t>（格式7）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十一、偏离表（格式8）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十二、其他招标文件要求的资料或投标人认为需要补充的资料（格式9）</w:t>
            </w:r>
          </w:p>
        </w:tc>
      </w:tr>
    </w:tbl>
    <w:p>
      <w:pPr>
        <w:rPr>
          <w:rFonts w:cs="仿宋" w:asciiTheme="minorEastAsia" w:hAnsiTheme="minorEastAsia" w:eastAsiaTheme="minorEastAsia"/>
        </w:rPr>
      </w:pPr>
    </w:p>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56"/>
          <w:szCs w:val="56"/>
        </w:rPr>
      </w:pPr>
      <w:r>
        <w:rPr>
          <w:rFonts w:hint="eastAsia" w:cs="仿宋" w:asciiTheme="minorEastAsia" w:hAnsiTheme="minorEastAsia" w:eastAsiaTheme="minorEastAsia"/>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20"/>
        <w:tblW w:w="69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法定代表人：</w:t>
            </w:r>
          </w:p>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sz w:val="28"/>
          <w:szCs w:val="32"/>
        </w:rPr>
      </w:pPr>
      <w:bookmarkStart w:id="0" w:name="_Toc110410380"/>
      <w:r>
        <w:rPr>
          <w:rFonts w:hint="eastAsia" w:asciiTheme="minorEastAsia" w:hAnsiTheme="minorEastAsia" w:eastAsiaTheme="minorEastAsia"/>
          <w:sz w:val="28"/>
          <w:szCs w:val="32"/>
        </w:rPr>
        <w:t>政府采购违法行为风险知悉确认书</w:t>
      </w:r>
      <w:bookmarkEnd w:id="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（二）由其他单位或者其他单位负责人在投标人编制的投标文件上加盖印章或者签字的。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（四）投标保证金不是从投标人基本账户转出的。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（一）投标人之间相互约定给予未中标的人利益补偿。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（二）不同投标人的法定代表人、主要经营负责人、项目投标授权代表人、项目负责人、主要技术人员为同一人、属同一单位或者在同一单位缴纳社会保险。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（三）不同投标人的投标文件由同一单位或者同一人编制，或者由同一人分阶段参与编制的。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（四）不同投标人的投标文件或部分投标文件相互混装。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（五）不同投标人的投标文件内容存在非正常一致。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（六）由同一单位工作人员为两家以上（含两家）人进行同一项投标活动的。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对于从其他主体获取的投标资料，人应审慎核查，确保投标资料的真实性。如主管部门查实投标文件中存在虚假资料的，无论相关资料是否由第三方或本公司员工提供，均不影响主管部门对人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（三）对于涉及安全生产、特种作业、抢险救灾、防疫等政府采购项目，人实施提供虚假资料、串通投标等违法行为的，主管部门将依法从严处理。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人应严格规范项目授权代表、员工参与招标投标的行为，加强对投标文件的审核。项目授权代表、员工编制、上传投标文件等行为违反政府采购法律法规或招标文件要求的，投标人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人对投标电子密钥负有妥善保管、及时变更和续期等主体责任。人使用电子密钥在深圳政府采购网站进行的活动，均具有法律效力，须承担相应的法律后果。人擅自将投标密钥出借他人使用所造成的法律后果，由人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（六）单位负责人为同一人或者存在直接控股、管理关系的不同人，不得参加同一合同项下的政府采购活动。相关情形如查实，依法作投标无效处理；涉嫌串通投标等违法行为的，主管部门将依法调查处理。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本公司已充分知悉政府采购违法、违规行为的法律后果。经查实，若投标人存在政府采购违法、违规行为，主管部门将依据《深圳经济特区政府采购条例》第五十七条的规定，处以一至三年内禁止参与本市政府采购，并由主管部门记入人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以下文字请投标人抄写并确认：“本公司已仔细阅读《政府采购违法行为风险知悉确认书》，充分知悉违法行为的法律后果，并承诺将严谨、诚信、依法依规参与政府采购活动”。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rPr>
          <w:rFonts w:hint="eastAsia"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为方便参与该项目的评委专家的评审，快速找到评审事项与该项目投标文件所对应的位置，请投标人参照下表格式，编制本项目评审指引表。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20"/>
        <w:tblW w:w="753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sz w:val="22"/>
              </w:rPr>
            </w:pPr>
            <w:r>
              <w:rPr>
                <w:rFonts w:hint="eastAsia" w:cs="仿宋" w:asciiTheme="minorEastAsia" w:hAnsiTheme="minorEastAsia" w:eastAsiaTheme="minorEastAsia"/>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16"/>
              </w:rPr>
              <w:t>小型企业、微型企业、监狱企业、残疾人福利性单位声明、节能产品、环境标志产品等 ，详见评审信息政府采购优惠政策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格式1  声 明 函</w:t>
      </w:r>
    </w:p>
    <w:p>
      <w:pPr>
        <w:jc w:val="center"/>
        <w:rPr>
          <w:rFonts w:cs="仿宋" w:asciiTheme="minorEastAsia" w:hAnsiTheme="minorEastAsia" w:eastAsiaTheme="minorEastAsia"/>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）招标文件，经详细研究，我们决定参加该项目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1．我方愿以《开标一览表》中填写的投标总价并按照招标文件中的一切要求，承担上述项目的全部工作。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3．如果我们投标文件被接受，我们将履行招标文件中规定的每一项要求，按期、按质、按量完成任务。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招标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7．我们同意招标文件之规定，遵守有关采购的各项规定。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我们同意中标后向采购代理机构支付招标文件要求数额的采购代理服务费。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格式2  投标人资格证明文件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1、营业执照或法人证书等证明文件【扫描件或复印件】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2、法定代表人（负责人）证明书【原件】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3、法定代表人（负责人）授权委托书【原件】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4、承诺函【详见格式《承诺函》】</w:t>
      </w:r>
    </w:p>
    <w:p>
      <w:pPr>
        <w:spacing w:line="360" w:lineRule="auto"/>
        <w:ind w:left="1394" w:leftChars="474" w:hanging="399" w:hangingChars="190"/>
        <w:rPr>
          <w:rFonts w:cs="仿宋" w:asciiTheme="minorEastAsia" w:hAnsiTheme="minorEastAsia" w:eastAsiaTheme="minorEastAsia"/>
        </w:rPr>
      </w:pPr>
      <w:r>
        <w:rPr>
          <w:rFonts w:hint="eastAsia" w:cs="仿宋" w:asciiTheme="minorEastAsia" w:hAnsiTheme="minorEastAsia" w:eastAsiaTheme="minorEastAsia"/>
          <w:lang w:val="en-US" w:eastAsia="zh-CN"/>
        </w:rPr>
        <w:t>5</w:t>
      </w:r>
      <w:r>
        <w:rPr>
          <w:rFonts w:hint="eastAsia" w:cs="仿宋" w:asciiTheme="minorEastAsia" w:hAnsiTheme="minorEastAsia" w:eastAsiaTheme="minorEastAsia"/>
        </w:rPr>
        <w:t>、信用查询截图</w:t>
      </w:r>
    </w:p>
    <w:p>
      <w:pPr>
        <w:spacing w:line="360" w:lineRule="auto"/>
        <w:ind w:left="1394" w:leftChars="474" w:hanging="399" w:hangingChars="190"/>
        <w:rPr>
          <w:rFonts w:cs="仿宋" w:asciiTheme="minorEastAsia" w:hAnsiTheme="minorEastAsia" w:eastAsiaTheme="minorEastAsia"/>
          <w:color w:val="FF0000"/>
          <w:sz w:val="22"/>
        </w:rPr>
      </w:pPr>
      <w:r>
        <w:rPr>
          <w:rFonts w:hint="eastAsia" w:cs="仿宋" w:asciiTheme="minorEastAsia" w:hAnsiTheme="minorEastAsia" w:eastAsiaTheme="minorEastAsia"/>
          <w:lang w:val="en-US" w:eastAsia="zh-CN"/>
        </w:rPr>
        <w:t>6</w:t>
      </w:r>
      <w:r>
        <w:rPr>
          <w:rFonts w:hint="eastAsia" w:cs="仿宋" w:asciiTheme="minorEastAsia" w:hAnsiTheme="minorEastAsia" w:eastAsiaTheme="minorEastAsia"/>
        </w:rPr>
        <w:t>、其他【如有，按采购公告“申请人的资格要求”提供】</w:t>
      </w:r>
    </w:p>
    <w:p>
      <w:pPr>
        <w:adjustRightInd w:val="0"/>
        <w:snapToGrid w:val="0"/>
        <w:spacing w:line="360" w:lineRule="auto"/>
        <w:ind w:firstLine="991" w:firstLineChars="472"/>
        <w:rPr>
          <w:rFonts w:cs="仿宋" w:asciiTheme="minorEastAsia" w:hAnsiTheme="minorEastAsia" w:eastAsiaTheme="minorEastAsia"/>
        </w:rPr>
      </w:pPr>
    </w:p>
    <w:p>
      <w:pPr>
        <w:spacing w:line="360" w:lineRule="auto"/>
        <w:ind w:left="1394" w:leftChars="474" w:hanging="399" w:hangingChars="190"/>
        <w:rPr>
          <w:rFonts w:cs="仿宋" w:asciiTheme="minorEastAsia" w:hAnsiTheme="minorEastAsia" w:eastAsiaTheme="minorEastAsia"/>
        </w:rPr>
      </w:pPr>
    </w:p>
    <w:p>
      <w:pPr>
        <w:spacing w:line="360" w:lineRule="auto"/>
        <w:ind w:left="1413" w:leftChars="474" w:hanging="418" w:hangingChars="190"/>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注：以上资料均须加盖投标人公章，原件备查</w:t>
      </w:r>
    </w:p>
    <w:p>
      <w:pPr>
        <w:spacing w:line="360" w:lineRule="auto"/>
        <w:ind w:left="1413" w:leftChars="474" w:hanging="418" w:hangingChars="190"/>
        <w:rPr>
          <w:rFonts w:cs="仿宋" w:asciiTheme="minorEastAsia" w:hAnsiTheme="minorEastAsia" w:eastAsiaTheme="minorEastAsia"/>
          <w:color w:val="FF0000"/>
          <w:sz w:val="22"/>
        </w:rPr>
      </w:pPr>
    </w:p>
    <w:p>
      <w:pPr>
        <w:widowControl/>
        <w:jc w:val="left"/>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与其他投标人不存在“单位负责人为同一人或者存在直接控股、管理关系”的情况；</w:t>
      </w:r>
      <w:r>
        <w:rPr>
          <w:rFonts w:hint="eastAsia" w:cs="仿宋" w:asciiTheme="minorEastAsia" w:hAnsiTheme="minorEastAsia" w:eastAsiaTheme="minorEastAsia"/>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8.我单位如果中标，做到守信，不偷工减料，依照本项目招标文件需求内容、签署的采购合同及本单位在投标中所作的一切承诺履约。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法定代表人（负责人）证明书（格式）</w:t>
      </w:r>
    </w:p>
    <w:p>
      <w:pPr>
        <w:jc w:val="center"/>
        <w:rPr>
          <w:rFonts w:cs="仿宋" w:asciiTheme="minorEastAsia" w:hAnsiTheme="minorEastAsia" w:eastAsiaTheme="minorEastAsia"/>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rPr>
      </w:pPr>
      <w:r>
        <w:rPr>
          <w:rFonts w:cs="仿宋"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1"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1"/>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1" w:hanging="431" w:hangingChars="196"/>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注：法定代表人（负责人）授权委托书除装订于投标文件中外，还须另置一份按“投标须知”18.5项要求单独密封。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sz w:val="32"/>
          <w:szCs w:val="36"/>
        </w:rPr>
        <w:t xml:space="preserve"> </w:t>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sz w:val="32"/>
          <w:szCs w:val="36"/>
        </w:rPr>
        <w:t>格式3  评分中涉及的承诺及声明函</w:t>
      </w:r>
    </w:p>
    <w:p>
      <w:pPr>
        <w:jc w:val="center"/>
        <w:rPr>
          <w:rFonts w:cs="仿宋" w:asciiTheme="minorEastAsia" w:hAnsiTheme="minorEastAsia" w:eastAsiaTheme="minorEastAsia"/>
          <w:sz w:val="32"/>
          <w:szCs w:val="36"/>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中小企业声明函</w:t>
      </w:r>
    </w:p>
    <w:p>
      <w:pPr>
        <w:spacing w:after="120"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before="11" w:after="120"/>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spacing w:before="108" w:after="120"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号）第二十条规定，人按照本办法规定提供声明函内容不实的，属于提供虚假材料谋取中标、成交，依照《政府采购法》等政府采购有关法律法规规定追究相应责任。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3、人提供的货物既有中小企业制造货物，也有大型企业制造货物的，不享受中小企业扶持政策。</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spacing w:line="360" w:lineRule="auto"/>
        <w:ind w:left="720" w:hanging="720" w:hangingChars="300"/>
        <w:rPr>
          <w:rFonts w:ascii="Times New Roman" w:hAnsi="Times New Roman"/>
          <w:sz w:val="24"/>
          <w:szCs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列入政府优先采购清单的投标产品一览表</w:t>
      </w:r>
    </w:p>
    <w:tbl>
      <w:tblPr>
        <w:tblStyle w:val="19"/>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restart"/>
            <w:vAlign w:val="center"/>
          </w:tcPr>
          <w:p>
            <w:pPr>
              <w:rPr>
                <w:rFonts w:ascii="Times New Roman" w:hAnsi="Times New Roman"/>
                <w:szCs w:val="21"/>
              </w:rPr>
            </w:pPr>
            <w:r>
              <w:rPr>
                <w:rFonts w:hint="eastAsia" w:ascii="Times New Roman" w:hAnsi="Times New Roman"/>
                <w:szCs w:val="21"/>
              </w:rPr>
              <w:t>序号</w:t>
            </w:r>
          </w:p>
        </w:tc>
        <w:tc>
          <w:tcPr>
            <w:tcW w:w="1213" w:type="dxa"/>
            <w:vMerge w:val="restart"/>
            <w:vAlign w:val="center"/>
          </w:tcPr>
          <w:p>
            <w:pPr>
              <w:jc w:val="center"/>
              <w:rPr>
                <w:rFonts w:ascii="Times New Roman" w:hAnsi="Times New Roman"/>
                <w:szCs w:val="21"/>
              </w:rPr>
            </w:pPr>
            <w:r>
              <w:rPr>
                <w:rFonts w:hint="eastAsia" w:ascii="Times New Roman" w:hAnsi="Times New Roman"/>
                <w:szCs w:val="21"/>
              </w:rPr>
              <w:t>投标产品名称</w:t>
            </w:r>
          </w:p>
        </w:tc>
        <w:tc>
          <w:tcPr>
            <w:tcW w:w="1840" w:type="dxa"/>
            <w:vMerge w:val="restart"/>
            <w:vAlign w:val="center"/>
          </w:tcPr>
          <w:p>
            <w:pPr>
              <w:jc w:val="center"/>
              <w:rPr>
                <w:rFonts w:ascii="Times New Roman" w:hAnsi="Times New Roman"/>
                <w:szCs w:val="21"/>
              </w:rPr>
            </w:pPr>
            <w:r>
              <w:rPr>
                <w:rFonts w:hint="eastAsia" w:ascii="Times New Roman" w:hAnsi="Times New Roman"/>
                <w:szCs w:val="21"/>
              </w:rPr>
              <w:t>规格及型号</w:t>
            </w:r>
          </w:p>
        </w:tc>
        <w:tc>
          <w:tcPr>
            <w:tcW w:w="4351" w:type="dxa"/>
            <w:gridSpan w:val="4"/>
          </w:tcPr>
          <w:p>
            <w:pPr>
              <w:jc w:val="center"/>
              <w:rPr>
                <w:rFonts w:ascii="Times New Roman" w:hAnsi="Times New Roman"/>
                <w:szCs w:val="21"/>
              </w:rPr>
            </w:pPr>
            <w:r>
              <w:rPr>
                <w:rFonts w:hint="eastAsia" w:ascii="Times New Roman" w:hAnsi="Times New Roman"/>
                <w:szCs w:val="21"/>
              </w:rPr>
              <w:t>该投标产品报价及占投标总价的比例</w:t>
            </w:r>
          </w:p>
        </w:tc>
        <w:tc>
          <w:tcPr>
            <w:tcW w:w="1503" w:type="dxa"/>
            <w:vMerge w:val="restart"/>
            <w:vAlign w:val="center"/>
          </w:tcPr>
          <w:p>
            <w:pPr>
              <w:rPr>
                <w:rFonts w:ascii="Times New Roman" w:hAnsi="Times New Roman"/>
                <w:szCs w:val="21"/>
              </w:rPr>
            </w:pPr>
            <w:r>
              <w:rPr>
                <w:rFonts w:hint="eastAsia" w:ascii="Times New Roman" w:hAnsi="Times New Roman"/>
                <w:szCs w:val="21"/>
              </w:rPr>
              <w:t>属于优先采购清单的类别</w:t>
            </w:r>
          </w:p>
        </w:tc>
        <w:tc>
          <w:tcPr>
            <w:tcW w:w="720" w:type="dxa"/>
            <w:vMerge w:val="restart"/>
            <w:vAlign w:val="center"/>
          </w:tcPr>
          <w:p>
            <w:pPr>
              <w:rPr>
                <w:rFonts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rFonts w:ascii="Times New Roman" w:hAnsi="Times New Roman"/>
                <w:szCs w:val="21"/>
              </w:rPr>
            </w:pPr>
          </w:p>
        </w:tc>
        <w:tc>
          <w:tcPr>
            <w:tcW w:w="1213" w:type="dxa"/>
            <w:vMerge w:val="continue"/>
            <w:vAlign w:val="center"/>
          </w:tcPr>
          <w:p>
            <w:pPr>
              <w:rPr>
                <w:rFonts w:ascii="Times New Roman" w:hAnsi="Times New Roman"/>
                <w:szCs w:val="21"/>
              </w:rPr>
            </w:pPr>
          </w:p>
        </w:tc>
        <w:tc>
          <w:tcPr>
            <w:tcW w:w="1840" w:type="dxa"/>
            <w:vMerge w:val="continue"/>
            <w:vAlign w:val="center"/>
          </w:tcPr>
          <w:p>
            <w:pPr>
              <w:rPr>
                <w:rFonts w:ascii="Times New Roman" w:hAnsi="Times New Roman"/>
                <w:szCs w:val="21"/>
              </w:rPr>
            </w:pPr>
          </w:p>
        </w:tc>
        <w:tc>
          <w:tcPr>
            <w:tcW w:w="818" w:type="dxa"/>
            <w:vAlign w:val="center"/>
          </w:tcPr>
          <w:p>
            <w:pPr>
              <w:rPr>
                <w:rFonts w:ascii="Times New Roman" w:hAnsi="Times New Roman"/>
                <w:szCs w:val="21"/>
              </w:rPr>
            </w:pPr>
            <w:r>
              <w:rPr>
                <w:rFonts w:hint="eastAsia" w:ascii="Times New Roman" w:hAnsi="Times New Roman"/>
                <w:szCs w:val="21"/>
              </w:rPr>
              <w:t>数量</w:t>
            </w:r>
          </w:p>
        </w:tc>
        <w:tc>
          <w:tcPr>
            <w:tcW w:w="989" w:type="dxa"/>
            <w:vAlign w:val="center"/>
          </w:tcPr>
          <w:p>
            <w:pPr>
              <w:rPr>
                <w:rFonts w:ascii="Times New Roman" w:hAnsi="Times New Roman"/>
                <w:szCs w:val="21"/>
              </w:rPr>
            </w:pPr>
            <w:r>
              <w:rPr>
                <w:rFonts w:hint="eastAsia" w:ascii="Times New Roman" w:hAnsi="Times New Roman"/>
                <w:szCs w:val="21"/>
              </w:rPr>
              <w:t>投标单价（元）</w:t>
            </w:r>
          </w:p>
        </w:tc>
        <w:tc>
          <w:tcPr>
            <w:tcW w:w="1080" w:type="dxa"/>
            <w:vAlign w:val="center"/>
          </w:tcPr>
          <w:p>
            <w:pPr>
              <w:rPr>
                <w:rFonts w:ascii="Times New Roman" w:hAnsi="Times New Roman"/>
                <w:szCs w:val="21"/>
              </w:rPr>
            </w:pPr>
            <w:r>
              <w:rPr>
                <w:rFonts w:hint="eastAsia" w:ascii="Times New Roman" w:hAnsi="Times New Roman"/>
                <w:szCs w:val="21"/>
              </w:rPr>
              <w:t>投标合计报价（元）</w:t>
            </w:r>
          </w:p>
        </w:tc>
        <w:tc>
          <w:tcPr>
            <w:tcW w:w="1464" w:type="dxa"/>
            <w:vAlign w:val="center"/>
          </w:tcPr>
          <w:p>
            <w:pPr>
              <w:rPr>
                <w:rFonts w:ascii="Times New Roman" w:hAnsi="Times New Roman"/>
                <w:szCs w:val="21"/>
              </w:rPr>
            </w:pPr>
            <w:r>
              <w:rPr>
                <w:rFonts w:hint="eastAsia" w:ascii="Times New Roman" w:hAnsi="Times New Roman"/>
                <w:szCs w:val="21"/>
              </w:rPr>
              <w:t>占投标总价的比例（%）</w:t>
            </w:r>
          </w:p>
        </w:tc>
        <w:tc>
          <w:tcPr>
            <w:tcW w:w="1503" w:type="dxa"/>
            <w:vMerge w:val="continue"/>
            <w:vAlign w:val="center"/>
          </w:tcPr>
          <w:p>
            <w:pPr>
              <w:rPr>
                <w:rFonts w:ascii="Times New Roman" w:hAnsi="Times New Roman"/>
                <w:szCs w:val="21"/>
              </w:rPr>
            </w:pPr>
          </w:p>
        </w:tc>
        <w:tc>
          <w:tcPr>
            <w:tcW w:w="720"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bl>
    <w:p>
      <w:pPr>
        <w:spacing w:line="360" w:lineRule="auto"/>
        <w:rPr>
          <w:rFonts w:ascii="Times New Roman" w:hAnsi="Times New Roman"/>
          <w:szCs w:val="21"/>
        </w:rPr>
      </w:pPr>
      <w:r>
        <w:rPr>
          <w:rFonts w:hint="eastAsia" w:ascii="Times New Roman" w:hAnsi="Times New Roman"/>
          <w:szCs w:val="21"/>
        </w:rPr>
        <w:t>注</w:t>
      </w:r>
      <w:r>
        <w:rPr>
          <w:rFonts w:hint="eastAsia" w:ascii="宋体" w:hAnsi="宋体"/>
          <w:szCs w:val="21"/>
        </w:rPr>
        <w:t xml:space="preserve">：1. </w:t>
      </w:r>
      <w:r>
        <w:rPr>
          <w:rFonts w:hint="eastAsia" w:ascii="Times New Roman" w:hAnsi="Times New Roman"/>
          <w:szCs w:val="21"/>
        </w:rPr>
        <w:t>投标人的投标产品若不属于招标文件第四章“政府采购扶持政策”中所述清单或目录范围内，则无需填写该表。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ascii="Times New Roman" w:hAnsi="Times New Roman"/>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“属于优先采购清单的类别”栏中填写“《节能产品政府采购品目清单》”、“《环境标志产品政府采购品目清单》”（以中国政府采购网（http://www.ccgp.gov.cn/）最新一期查询结果为准）。</w:t>
      </w:r>
    </w:p>
    <w:p>
      <w:pPr>
        <w:widowControl/>
        <w:spacing w:line="360" w:lineRule="auto"/>
        <w:jc w:val="left"/>
        <w:rPr>
          <w:rFonts w:cs="仿宋" w:asciiTheme="minorEastAsia" w:hAnsiTheme="minorEastAsia" w:eastAsiaTheme="minorEastAsia"/>
          <w:snapToGrid w:val="0"/>
          <w:szCs w:val="18"/>
        </w:rPr>
      </w:pPr>
      <w:r>
        <w:rPr>
          <w:rFonts w:hint="eastAsia" w:ascii="宋体" w:hAnsi="宋体"/>
          <w:szCs w:val="21"/>
        </w:rPr>
        <w:t>4. 对上表所列</w:t>
      </w:r>
      <w:r>
        <w:rPr>
          <w:rFonts w:ascii="宋体" w:hAnsi="宋体"/>
          <w:szCs w:val="21"/>
        </w:rPr>
        <w:t>属于</w:t>
      </w:r>
      <w:r>
        <w:rPr>
          <w:rFonts w:hint="eastAsia" w:ascii="宋体" w:hAnsi="宋体"/>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szCs w:val="21"/>
        </w:rPr>
        <w:t>品目清单范围</w:t>
      </w:r>
      <w:r>
        <w:rPr>
          <w:rFonts w:hint="eastAsia" w:ascii="宋体" w:hAnsi="宋体"/>
          <w:szCs w:val="21"/>
        </w:rPr>
        <w:t>内</w:t>
      </w:r>
      <w:r>
        <w:rPr>
          <w:rFonts w:ascii="宋体" w:hAnsi="宋体"/>
          <w:szCs w:val="21"/>
        </w:rPr>
        <w:t>的</w:t>
      </w:r>
      <w:r>
        <w:rPr>
          <w:rFonts w:hint="eastAsia" w:ascii="宋体" w:hAnsi="宋体"/>
          <w:szCs w:val="21"/>
        </w:rPr>
        <w:t>产品，投标人须提供</w:t>
      </w:r>
      <w:r>
        <w:rPr>
          <w:rFonts w:ascii="宋体" w:hAnsi="宋体"/>
          <w:szCs w:val="21"/>
        </w:rPr>
        <w:t>国家确定的认证机构出具的、处于有效期之内的节能产品、环境标志产品认证证书，</w:t>
      </w:r>
      <w:r>
        <w:rPr>
          <w:rFonts w:hint="eastAsia" w:ascii="宋体" w:hAnsi="宋体"/>
          <w:szCs w:val="21"/>
        </w:rPr>
        <w:t>以及相应的品目清单，并显著标识投标产品所处位置。提供以上证明材料的扫描件或复印件加盖投标人公章，提供的证书若存在不齐全、已过有效期或其他未被评标委员会接受的瑕疵将不予认可。</w:t>
      </w: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格式4  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8520"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74"/>
        <w:gridCol w:w="3914"/>
        <w:gridCol w:w="153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4"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项目名称</w:t>
            </w:r>
          </w:p>
        </w:tc>
        <w:tc>
          <w:tcPr>
            <w:tcW w:w="3914" w:type="dxa"/>
            <w:shd w:val="clear" w:color="auto" w:fill="C6D9F0" w:themeFill="text2" w:themeFillTint="33"/>
            <w:vAlign w:val="center"/>
          </w:tcPr>
          <w:p>
            <w:pPr>
              <w:jc w:val="center"/>
            </w:pPr>
            <w:r>
              <w:rPr>
                <w:rFonts w:hint="eastAsia"/>
              </w:rPr>
              <w:t>投标</w:t>
            </w:r>
            <w:r>
              <w:rPr>
                <w:rFonts w:hint="eastAsia"/>
                <w:lang w:val="en-US" w:eastAsia="zh-CN"/>
              </w:rPr>
              <w:t>报</w:t>
            </w:r>
            <w:r>
              <w:rPr>
                <w:rFonts w:hint="eastAsia"/>
              </w:rPr>
              <w:t>价</w:t>
            </w:r>
          </w:p>
          <w:p>
            <w:pPr>
              <w:pStyle w:val="2"/>
              <w:ind w:firstLine="840" w:firstLineChars="400"/>
              <w:rPr>
                <w:rFonts w:eastAsiaTheme="minorEastAsia"/>
              </w:rPr>
            </w:pPr>
            <w:r>
              <w:rPr>
                <w:rFonts w:hint="eastAsia" w:eastAsiaTheme="minorEastAsia"/>
              </w:rPr>
              <w:t>（人民币元）</w:t>
            </w:r>
          </w:p>
        </w:tc>
        <w:tc>
          <w:tcPr>
            <w:tcW w:w="1532"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3074" w:type="dxa"/>
            <w:vAlign w:val="center"/>
          </w:tcPr>
          <w:p>
            <w:pPr>
              <w:spacing w:line="360" w:lineRule="auto"/>
              <w:jc w:val="center"/>
              <w:rPr>
                <w:rFonts w:hint="eastAsia" w:cs="仿宋" w:asciiTheme="minorEastAsia" w:hAnsiTheme="minorEastAsia" w:eastAsiaTheme="minorEastAsia"/>
                <w:lang w:eastAsia="zh-CN"/>
              </w:rPr>
            </w:pPr>
            <w:r>
              <w:rPr>
                <w:rFonts w:hint="eastAsia" w:cs="仿宋" w:asciiTheme="minorEastAsia" w:hAnsiTheme="minorEastAsia" w:eastAsiaTheme="minorEastAsia"/>
                <w:lang w:eastAsia="zh-CN"/>
              </w:rPr>
              <w:t>2023年视频交警功能维护</w:t>
            </w:r>
          </w:p>
        </w:tc>
        <w:tc>
          <w:tcPr>
            <w:tcW w:w="3914" w:type="dxa"/>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r>
              <w:rPr>
                <w:rFonts w:hint="eastAsia" w:cs="仿宋" w:asciiTheme="minorEastAsia" w:hAnsiTheme="minorEastAsia" w:eastAsiaTheme="minorEastAsia"/>
              </w:rPr>
              <w:t xml:space="preserve">                          </w:t>
            </w:r>
          </w:p>
        </w:tc>
        <w:tc>
          <w:tcPr>
            <w:tcW w:w="1532" w:type="dxa"/>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投标人：（公章）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spacing w:line="440" w:lineRule="exact"/>
        <w:jc w:val="left"/>
        <w:rPr>
          <w:rFonts w:cs="仿宋" w:asciiTheme="minorEastAsia" w:hAnsiTheme="minorEastAsia" w:eastAsiaTheme="minorEastAsia"/>
          <w:color w:val="FF0000"/>
        </w:rPr>
      </w:pPr>
      <w:r>
        <w:rPr>
          <w:rFonts w:hint="eastAsia" w:cs="仿宋" w:asciiTheme="minorEastAsia" w:hAnsiTheme="minorEastAsia" w:eastAsiaTheme="minorEastAsia"/>
          <w:color w:val="FF0000"/>
        </w:rPr>
        <w:t>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1、价格应按“招标文件”中规定的货币单位填写。</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2、投标总价为综合报价，包含完成本项目所需的全部费用。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3、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4、此表应经法定代表人或其授权委托人签名，并加盖投标人公章。</w:t>
      </w:r>
    </w:p>
    <w:p>
      <w:pPr>
        <w:spacing w:line="440" w:lineRule="exact"/>
        <w:ind w:firstLine="482" w:firstLineChars="200"/>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5、</w:t>
      </w:r>
      <w:r>
        <w:rPr>
          <w:rFonts w:cs="仿宋" w:asciiTheme="minorEastAsia" w:hAnsiTheme="minorEastAsia" w:eastAsiaTheme="minorEastAsia"/>
          <w:b/>
          <w:bCs/>
          <w:sz w:val="24"/>
          <w:szCs w:val="24"/>
        </w:rPr>
        <w:t>此表毋需装订于正副本内，应按“</w:t>
      </w:r>
      <w:r>
        <w:rPr>
          <w:rFonts w:hint="eastAsia" w:cs="仿宋" w:asciiTheme="minorEastAsia" w:hAnsiTheme="minorEastAsia" w:eastAsiaTheme="minorEastAsia"/>
          <w:b/>
          <w:bCs/>
          <w:sz w:val="24"/>
          <w:szCs w:val="24"/>
        </w:rPr>
        <w:t>投标须知”</w:t>
      </w:r>
      <w:r>
        <w:rPr>
          <w:rFonts w:cs="仿宋" w:asciiTheme="minorEastAsia" w:hAnsiTheme="minorEastAsia" w:eastAsiaTheme="minorEastAsia"/>
          <w:b/>
          <w:bCs/>
          <w:sz w:val="24"/>
          <w:szCs w:val="24"/>
        </w:rPr>
        <w:t>18.5项要求，与“法定代表人（负责人）证明书、法定代表人（负责人）授权委托书”一起单独密封提交</w:t>
      </w:r>
      <w:r>
        <w:rPr>
          <w:rFonts w:hint="eastAsia" w:cs="仿宋" w:asciiTheme="minorEastAsia" w:hAnsiTheme="minorEastAsia" w:eastAsiaTheme="minorEastAsia"/>
          <w:b/>
          <w:bCs/>
          <w:sz w:val="24"/>
          <w:szCs w:val="24"/>
        </w:rPr>
        <w:t>。</w:t>
      </w:r>
    </w:p>
    <w:p>
      <w:pPr>
        <w:jc w:val="center"/>
        <w:rPr>
          <w:rFonts w:hint="eastAsia" w:cs="仿宋" w:asciiTheme="minorEastAsia" w:hAnsiTheme="minorEastAsia" w:eastAsiaTheme="minorEastAsia"/>
          <w:sz w:val="32"/>
          <w:szCs w:val="32"/>
        </w:rPr>
      </w:pP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格式5  报价表</w:t>
      </w:r>
    </w:p>
    <w:p>
      <w:pPr>
        <w:rPr>
          <w:rFonts w:cs="仿宋" w:asciiTheme="minorEastAsia" w:hAnsiTheme="minorEastAsia" w:eastAsiaTheme="minorEastAsia"/>
        </w:rPr>
      </w:pPr>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pStyle w:val="2"/>
        <w:ind w:left="0" w:leftChars="0" w:firstLine="0" w:firstLineChars="0"/>
      </w:pPr>
    </w:p>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报</w:t>
      </w:r>
      <w:r>
        <w:rPr>
          <w:rFonts w:hint="eastAsia" w:asciiTheme="minorEastAsia" w:hAnsiTheme="minorEastAsia" w:eastAsiaTheme="minorEastAsia"/>
        </w:rPr>
        <w:t>价应与本表中的人员管理服务费报价金额一致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格式6   服务方案</w:t>
      </w:r>
    </w:p>
    <w:p>
      <w:pPr>
        <w:rPr>
          <w:rFonts w:cs="仿宋" w:asciiTheme="minorEastAsia" w:hAnsiTheme="minorEastAsia" w:eastAsiaTheme="minorEastAsia"/>
          <w:highlight w:val="yellow"/>
        </w:rPr>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实施方案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4、违约承诺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认证情况</w:t>
      </w:r>
    </w:p>
    <w:p>
      <w:pPr>
        <w:spacing w:line="360" w:lineRule="auto"/>
        <w:ind w:firstLine="420" w:firstLineChars="200"/>
        <w:rPr>
          <w:rFonts w:hint="eastAsia" w:ascii="宋体" w:hAnsi="宋体"/>
          <w:szCs w:val="21"/>
        </w:rPr>
      </w:pPr>
      <w:r>
        <w:rPr>
          <w:rFonts w:hint="eastAsia" w:ascii="宋体" w:hAnsi="宋体"/>
          <w:szCs w:val="21"/>
        </w:rPr>
        <w:t>6、同类业绩</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7、拟派项目负责人（仅限一名）</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8、拟派项目团队成员（项目负责人除外）</w:t>
      </w:r>
    </w:p>
    <w:p>
      <w:pPr>
        <w:spacing w:line="360" w:lineRule="auto"/>
        <w:ind w:firstLine="420" w:firstLineChars="200"/>
        <w:rPr>
          <w:rFonts w:ascii="宋体" w:hAnsi="宋体"/>
          <w:szCs w:val="21"/>
        </w:rPr>
      </w:pPr>
      <w:r>
        <w:rPr>
          <w:rFonts w:hint="eastAsia" w:ascii="宋体" w:hAnsi="宋体"/>
          <w:szCs w:val="21"/>
          <w:lang w:val="en-US" w:eastAsia="zh-CN"/>
        </w:rPr>
        <w:t>9、自主知识产权</w:t>
      </w:r>
    </w:p>
    <w:p>
      <w:pPr>
        <w:spacing w:line="360" w:lineRule="auto"/>
        <w:ind w:left="420"/>
        <w:rPr>
          <w:rFonts w:hint="eastAsia" w:ascii="宋体" w:hAnsi="宋体"/>
          <w:bCs/>
        </w:rPr>
      </w:pPr>
      <w:r>
        <w:rPr>
          <w:rFonts w:hint="eastAsia" w:ascii="宋体" w:hAnsi="宋体"/>
          <w:bCs/>
          <w:lang w:val="en-US" w:eastAsia="zh-CN"/>
        </w:rPr>
        <w:t>10</w:t>
      </w:r>
      <w:r>
        <w:rPr>
          <w:rFonts w:hint="eastAsia" w:ascii="宋体" w:hAnsi="宋体"/>
          <w:bCs/>
        </w:rPr>
        <w:t>、项目拟使用的工具等情况</w:t>
      </w:r>
    </w:p>
    <w:p>
      <w:pPr>
        <w:spacing w:line="360" w:lineRule="auto"/>
        <w:ind w:left="420"/>
        <w:rPr>
          <w:rFonts w:hint="eastAsia" w:ascii="宋体" w:hAnsi="宋体"/>
          <w:bCs/>
          <w:lang w:val="en-US" w:eastAsia="zh-CN"/>
        </w:rPr>
      </w:pPr>
      <w:r>
        <w:rPr>
          <w:rFonts w:hint="eastAsia" w:ascii="宋体" w:hAnsi="宋体"/>
          <w:bCs/>
          <w:lang w:val="en-US" w:eastAsia="zh-CN"/>
        </w:rPr>
        <w:t>11、服务网点</w:t>
      </w:r>
    </w:p>
    <w:p>
      <w:pPr>
        <w:spacing w:line="360" w:lineRule="auto"/>
        <w:ind w:left="420"/>
        <w:rPr>
          <w:rFonts w:hint="eastAsia" w:ascii="宋体" w:hAnsi="宋体"/>
          <w:bCs/>
          <w:lang w:val="en-US" w:eastAsia="zh-CN"/>
        </w:rPr>
      </w:pPr>
      <w:r>
        <w:rPr>
          <w:rFonts w:hint="eastAsia" w:ascii="宋体" w:hAnsi="宋体"/>
          <w:bCs/>
          <w:lang w:val="en-US" w:eastAsia="zh-CN"/>
        </w:rPr>
        <w:t>12、诚信管理</w:t>
      </w:r>
    </w:p>
    <w:p>
      <w:pPr>
        <w:spacing w:line="360" w:lineRule="auto"/>
        <w:ind w:left="420"/>
        <w:rPr>
          <w:rFonts w:ascii="宋体" w:hAnsi="宋体"/>
          <w:bCs/>
        </w:rPr>
      </w:pPr>
      <w:r>
        <w:rPr>
          <w:rFonts w:hint="eastAsia" w:ascii="宋体" w:hAnsi="宋体"/>
          <w:bCs/>
          <w:lang w:val="en-US" w:eastAsia="zh-CN"/>
        </w:rPr>
        <w:t>13、</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投标人：（盖章）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widowControl/>
        <w:jc w:val="left"/>
        <w:rPr>
          <w:rFonts w:cs="仿宋" w:asciiTheme="minorEastAsia" w:hAnsiTheme="minorEastAsia" w:eastAsiaTheme="minorEastAsia"/>
        </w:rPr>
      </w:pPr>
    </w:p>
    <w:p>
      <w:pPr>
        <w:tabs>
          <w:tab w:val="left" w:pos="8248"/>
          <w:tab w:val="left" w:pos="9368"/>
        </w:tabs>
        <w:spacing w:line="360" w:lineRule="auto"/>
      </w:pPr>
      <w:r>
        <w:rPr>
          <w:rFonts w:hint="eastAsia"/>
        </w:rPr>
        <w:t>附表：</w:t>
      </w:r>
    </w:p>
    <w:p>
      <w:pPr>
        <w:pStyle w:val="5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tabs>
          <w:tab w:val="left" w:pos="170"/>
        </w:tabs>
        <w:autoSpaceDE w:val="0"/>
        <w:autoSpaceDN w:val="0"/>
        <w:adjustRightInd w:val="0"/>
        <w:spacing w:line="360" w:lineRule="auto"/>
        <w:ind w:firstLine="320" w:firstLineChars="100"/>
        <w:jc w:val="center"/>
        <w:rPr>
          <w:rFonts w:cs="仿宋" w:asciiTheme="minorEastAsia" w:hAnsiTheme="minorEastAsia" w:eastAsiaTheme="minorEastAsia"/>
        </w:rPr>
      </w:pPr>
      <w:r>
        <w:rPr>
          <w:rFonts w:hint="eastAsia" w:cs="仿宋" w:asciiTheme="minorEastAsia" w:hAnsiTheme="minorEastAsia" w:eastAsiaTheme="minorEastAsia"/>
          <w:sz w:val="32"/>
          <w:szCs w:val="32"/>
        </w:rPr>
        <w:t>格式7  投标人情况介绍</w:t>
      </w:r>
    </w:p>
    <w:p>
      <w:pPr>
        <w:rPr>
          <w:rFonts w:cs="仿宋" w:asciiTheme="minorEastAsia" w:hAnsiTheme="minorEastAsia" w:eastAsiaTheme="minorEastAsia"/>
        </w:rPr>
      </w:pPr>
    </w:p>
    <w:p>
      <w:pPr>
        <w:adjustRightInd w:val="0"/>
        <w:snapToGrid w:val="0"/>
        <w:spacing w:line="360" w:lineRule="auto"/>
        <w:rPr>
          <w:rFonts w:ascii="宋体" w:hAnsi="宋体"/>
          <w:bCs/>
          <w:snapToGrid w:val="0"/>
          <w:kern w:val="0"/>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6"/>
        <w:spacing w:before="0"/>
        <w:rPr>
          <w:rFonts w:ascii="宋体" w:hAnsi="宋体"/>
          <w:sz w:val="28"/>
        </w:rPr>
      </w:pPr>
    </w:p>
    <w:p>
      <w:pPr>
        <w:pStyle w:val="6"/>
        <w:spacing w:before="0"/>
        <w:rPr>
          <w:rFonts w:ascii="宋体" w:hAnsi="宋体"/>
          <w:b w:val="0"/>
          <w:bCs w:val="0"/>
          <w:sz w:val="28"/>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tabs>
          <w:tab w:val="left" w:pos="170"/>
        </w:tabs>
        <w:autoSpaceDE w:val="0"/>
        <w:autoSpaceDN w:val="0"/>
        <w:adjustRightInd w:val="0"/>
        <w:spacing w:line="360" w:lineRule="auto"/>
        <w:ind w:firstLine="320" w:firstLineChars="100"/>
        <w:jc w:val="cente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格式8  偏离表</w:t>
      </w:r>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80"/>
        <w:gridCol w:w="2963"/>
        <w:gridCol w:w="165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1" w:type="pct"/>
            <w:vAlign w:val="center"/>
          </w:tcPr>
          <w:p>
            <w:pPr>
              <w:rPr>
                <w:rFonts w:ascii="宋体" w:hAnsi="宋体"/>
                <w:szCs w:val="21"/>
              </w:rPr>
            </w:pPr>
            <w:r>
              <w:rPr>
                <w:rFonts w:hint="eastAsia" w:ascii="宋体" w:hAnsi="宋体"/>
                <w:szCs w:val="21"/>
              </w:rPr>
              <w:t>序号</w:t>
            </w:r>
          </w:p>
        </w:tc>
        <w:tc>
          <w:tcPr>
            <w:tcW w:w="986" w:type="pct"/>
            <w:vAlign w:val="center"/>
          </w:tcPr>
          <w:p>
            <w:pPr>
              <w:ind w:left="136" w:leftChars="65"/>
              <w:jc w:val="center"/>
              <w:rPr>
                <w:rFonts w:ascii="宋体" w:hAnsi="宋体"/>
                <w:szCs w:val="21"/>
              </w:rPr>
            </w:pPr>
            <w:r>
              <w:rPr>
                <w:rFonts w:hint="eastAsia" w:ascii="宋体" w:hAnsi="宋体"/>
                <w:szCs w:val="21"/>
              </w:rPr>
              <w:t>招标项目需求</w:t>
            </w:r>
          </w:p>
        </w:tc>
        <w:tc>
          <w:tcPr>
            <w:tcW w:w="1739" w:type="pct"/>
            <w:vAlign w:val="center"/>
          </w:tcPr>
          <w:p>
            <w:pPr>
              <w:ind w:left="136" w:leftChars="65"/>
              <w:jc w:val="center"/>
              <w:rPr>
                <w:rFonts w:ascii="宋体" w:hAnsi="宋体"/>
                <w:szCs w:val="21"/>
              </w:rPr>
            </w:pPr>
            <w:r>
              <w:rPr>
                <w:rFonts w:hint="eastAsia" w:ascii="宋体" w:hAnsi="宋体"/>
                <w:szCs w:val="21"/>
              </w:rPr>
              <w:t>投标文件响应</w:t>
            </w:r>
          </w:p>
        </w:tc>
        <w:tc>
          <w:tcPr>
            <w:tcW w:w="973" w:type="pct"/>
            <w:vAlign w:val="center"/>
          </w:tcPr>
          <w:p>
            <w:pPr>
              <w:ind w:left="136" w:leftChars="65"/>
              <w:jc w:val="center"/>
              <w:rPr>
                <w:rFonts w:ascii="宋体" w:hAnsi="宋体"/>
                <w:szCs w:val="21"/>
              </w:rPr>
            </w:pPr>
            <w:r>
              <w:rPr>
                <w:rFonts w:hint="eastAsia" w:ascii="宋体" w:hAnsi="宋体"/>
                <w:szCs w:val="21"/>
              </w:rPr>
              <w:t>偏离情况</w:t>
            </w:r>
          </w:p>
        </w:tc>
        <w:tc>
          <w:tcPr>
            <w:tcW w:w="969" w:type="pct"/>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0" w:type="pct"/>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331" w:type="pct"/>
            <w:vAlign w:val="center"/>
          </w:tcPr>
          <w:p>
            <w:pPr>
              <w:ind w:left="136" w:leftChars="65"/>
              <w:jc w:val="center"/>
              <w:rPr>
                <w:rFonts w:ascii="宋体" w:hAnsi="宋体"/>
                <w:szCs w:val="21"/>
              </w:rPr>
            </w:pPr>
            <w:r>
              <w:rPr>
                <w:rFonts w:hint="eastAsia" w:ascii="宋体" w:hAnsi="宋体"/>
                <w:szCs w:val="21"/>
              </w:rPr>
              <w:t>1</w:t>
            </w:r>
          </w:p>
        </w:tc>
        <w:tc>
          <w:tcPr>
            <w:tcW w:w="986" w:type="pct"/>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1739" w:type="pct"/>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973" w:type="pct"/>
            <w:vAlign w:val="center"/>
          </w:tcPr>
          <w:p>
            <w:pPr>
              <w:ind w:left="136" w:leftChars="65"/>
              <w:jc w:val="center"/>
              <w:rPr>
                <w:rFonts w:ascii="宋体" w:hAnsi="宋体"/>
                <w:szCs w:val="21"/>
              </w:rPr>
            </w:pPr>
          </w:p>
        </w:tc>
        <w:tc>
          <w:tcPr>
            <w:tcW w:w="969" w:type="pct"/>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000" w:type="pct"/>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331" w:type="pct"/>
            <w:vAlign w:val="center"/>
          </w:tcPr>
          <w:p>
            <w:pPr>
              <w:jc w:val="center"/>
              <w:rPr>
                <w:rFonts w:ascii="宋体" w:hAnsi="宋体"/>
                <w:szCs w:val="21"/>
              </w:rPr>
            </w:pPr>
            <w:r>
              <w:rPr>
                <w:rFonts w:hint="eastAsia" w:ascii="宋体" w:hAnsi="宋体"/>
              </w:rPr>
              <w:t>1</w:t>
            </w:r>
          </w:p>
        </w:tc>
        <w:tc>
          <w:tcPr>
            <w:tcW w:w="986" w:type="pct"/>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1739" w:type="pct"/>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973" w:type="pct"/>
            <w:vAlign w:val="center"/>
          </w:tcPr>
          <w:p>
            <w:pPr>
              <w:ind w:left="136" w:leftChars="65"/>
              <w:jc w:val="center"/>
              <w:rPr>
                <w:rFonts w:ascii="宋体" w:hAnsi="宋体"/>
                <w:szCs w:val="21"/>
              </w:rPr>
            </w:pPr>
          </w:p>
        </w:tc>
        <w:tc>
          <w:tcPr>
            <w:tcW w:w="969" w:type="pct"/>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ind w:firstLine="3360" w:firstLineChars="1200"/>
        <w:rPr>
          <w:rFonts w:cs="仿宋" w:asciiTheme="minorEastAsia" w:hAnsiTheme="minorEastAsia" w:eastAsiaTheme="minorEastAsia"/>
          <w:sz w:val="28"/>
          <w:szCs w:val="32"/>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t>格式</w:t>
      </w:r>
      <w:r>
        <w:rPr>
          <w:rFonts w:hint="eastAsia" w:cs="仿宋" w:asciiTheme="minorEastAsia" w:hAnsiTheme="minorEastAsia" w:eastAsiaTheme="minorEastAsia"/>
          <w:sz w:val="28"/>
          <w:szCs w:val="32"/>
          <w:lang w:val="en-US" w:eastAsia="zh-CN"/>
        </w:rPr>
        <w:t xml:space="preserve">9  </w:t>
      </w:r>
      <w:r>
        <w:rPr>
          <w:rFonts w:hint="eastAsia" w:cs="仿宋" w:asciiTheme="minorEastAsia" w:hAnsiTheme="minorEastAsia" w:eastAsiaTheme="minorEastAsia"/>
          <w:sz w:val="28"/>
          <w:szCs w:val="32"/>
        </w:rPr>
        <w:t>其他招标文件要求的资料或投标人认为需要补充的资料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rPr>
      </w:pPr>
      <w:r>
        <w:rPr>
          <w:rFonts w:hint="eastAsia" w:cs="仿宋" w:asciiTheme="minorEastAsia" w:hAnsiTheme="minorEastAsia" w:eastAsiaTheme="minorEastAsia"/>
        </w:rPr>
        <w:t>投标人须按要求编制投标文件，提供的内容要详细、真实、可靠。若提供的资料不齐，将导致扣分；若严重缺项、漏项，其投标将被拒绝。</w:t>
      </w:r>
    </w:p>
    <w:p>
      <w:pPr>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color w:val="FF0000"/>
        </w:rPr>
        <w:t>注：</w:t>
      </w:r>
      <w:r>
        <w:rPr>
          <w:rFonts w:hint="eastAsia" w:cs="仿宋" w:asciiTheme="minorEastAsia" w:hAnsiTheme="minorEastAsia" w:eastAsiaTheme="minorEastAsia"/>
        </w:rPr>
        <w:t>如需提供补充资料，本部分资料格式不做统一规定，由投标人自行设计。</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第四部分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合同条款</w:t>
      </w:r>
    </w:p>
    <w:p>
      <w:pPr>
        <w:pStyle w:val="38"/>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snapToGrid w:val="0"/>
          <w:sz w:val="32"/>
          <w:szCs w:val="32"/>
        </w:rPr>
      </w:pPr>
      <w:r>
        <w:rPr>
          <w:rFonts w:hint="eastAsia" w:cs="仿宋" w:asciiTheme="minorEastAsia" w:hAnsiTheme="minorEastAsia" w:eastAsiaTheme="minorEastAsia"/>
          <w:snapToGrid w:val="0"/>
          <w:sz w:val="32"/>
          <w:szCs w:val="32"/>
        </w:rPr>
        <w:t>（仅供参考）</w:t>
      </w:r>
    </w:p>
    <w:p>
      <w:pPr>
        <w:jc w:val="center"/>
        <w:rPr>
          <w:szCs w:val="21"/>
        </w:rPr>
      </w:pPr>
    </w:p>
    <w:p>
      <w:pPr>
        <w:pStyle w:val="12"/>
        <w:spacing w:line="360" w:lineRule="auto"/>
        <w:ind w:firstLine="480" w:firstLineChars="200"/>
        <w:rPr>
          <w:rFonts w:ascii="Times New Roman" w:hAnsi="Times New Roman"/>
          <w:sz w:val="24"/>
        </w:rPr>
      </w:pPr>
      <w:r>
        <w:rPr>
          <w:rFonts w:hint="eastAsia" w:ascii="Times New Roman" w:hAnsi="Times New Roman"/>
          <w:sz w:val="24"/>
        </w:rPr>
        <w:t>重要说明：采购人在签订合同前有权依据招标文件要求和项目实际情况对以下合同内容进行删改或补充。</w:t>
      </w:r>
    </w:p>
    <w:p>
      <w:pPr>
        <w:adjustRightInd w:val="0"/>
        <w:snapToGrid w:val="0"/>
        <w:spacing w:line="360" w:lineRule="auto"/>
        <w:jc w:val="center"/>
        <w:rPr>
          <w:snapToGrid w:val="0"/>
          <w:kern w:val="0"/>
          <w:sz w:val="28"/>
        </w:rPr>
      </w:pPr>
    </w:p>
    <w:p>
      <w:pPr>
        <w:spacing w:line="360" w:lineRule="auto"/>
        <w:rPr>
          <w:rFonts w:asciiTheme="minorEastAsia" w:hAnsiTheme="minorEastAsia"/>
          <w:szCs w:val="21"/>
        </w:rPr>
      </w:pPr>
      <w:r>
        <w:rPr>
          <w:rFonts w:hint="eastAsia" w:asciiTheme="minorEastAsia" w:hAnsiTheme="minorEastAsia"/>
          <w:szCs w:val="21"/>
        </w:rPr>
        <w:t>甲方（采购人）：</w:t>
      </w:r>
    </w:p>
    <w:p>
      <w:pPr>
        <w:spacing w:line="360" w:lineRule="auto"/>
        <w:rPr>
          <w:rFonts w:asciiTheme="minorEastAsia" w:hAnsiTheme="minorEastAsia"/>
          <w:szCs w:val="21"/>
        </w:rPr>
      </w:pPr>
      <w:r>
        <w:rPr>
          <w:rFonts w:hint="eastAsia" w:asciiTheme="minorEastAsia" w:hAnsiTheme="minorEastAsia"/>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征集项目（项目编号__________________）的成交结果，由_______________________单位为中标人。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snapToGrid w:val="0"/>
          <w:kern w:val="0"/>
          <w:szCs w:val="21"/>
          <w:lang w:val="zh-CN"/>
        </w:rPr>
        <w:t>项目</w:t>
      </w:r>
      <w:r>
        <w:rPr>
          <w:rFonts w:hint="eastAsia" w:ascii="宋体" w:hAnsi="宋体"/>
          <w:szCs w:val="21"/>
        </w:rPr>
        <w:t>，达成以下合同条款：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第一条</w:t>
      </w:r>
      <w:r>
        <w:rPr>
          <w:rFonts w:asciiTheme="minorEastAsia" w:hAnsiTheme="minorEastAsia"/>
          <w:szCs w:val="21"/>
        </w:rPr>
        <w:t xml:space="preserve">  </w:t>
      </w:r>
      <w:r>
        <w:rPr>
          <w:rFonts w:hint="eastAsia" w:asciiTheme="minorEastAsia" w:hAnsiTheme="minorEastAsia"/>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szCs w:val="21"/>
          <w:u w:val="single"/>
        </w:rPr>
        <w:t xml:space="preserve">                  </w:t>
      </w:r>
      <w:r>
        <w:rPr>
          <w:rFonts w:hint="eastAsia" w:asciiTheme="minorEastAsia" w:hAnsiTheme="minorEastAsia"/>
          <w:szCs w:val="21"/>
        </w:rPr>
        <w:t>。</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第二条</w:t>
      </w:r>
      <w:r>
        <w:rPr>
          <w:rFonts w:asciiTheme="minorEastAsia" w:hAnsiTheme="minorEastAsia"/>
          <w:szCs w:val="21"/>
        </w:rPr>
        <w:t xml:space="preserve">  </w:t>
      </w:r>
      <w:r>
        <w:rPr>
          <w:rFonts w:hint="eastAsia" w:asciiTheme="minorEastAsia" w:hAnsiTheme="minorEastAsia"/>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第三条</w:t>
      </w:r>
      <w:r>
        <w:rPr>
          <w:rFonts w:asciiTheme="minorEastAsia" w:hAnsiTheme="minorEastAsia"/>
          <w:szCs w:val="21"/>
        </w:rPr>
        <w:t xml:space="preserve">  </w:t>
      </w:r>
      <w:r>
        <w:rPr>
          <w:rFonts w:hint="eastAsia" w:asciiTheme="minorEastAsia" w:hAnsiTheme="minorEastAsia"/>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第四条</w:t>
      </w:r>
      <w:r>
        <w:rPr>
          <w:rFonts w:asciiTheme="minorEastAsia" w:hAnsiTheme="minorEastAsia"/>
          <w:szCs w:val="21"/>
        </w:rPr>
        <w:t xml:space="preserve">  </w:t>
      </w:r>
      <w:r>
        <w:rPr>
          <w:rFonts w:hint="eastAsia" w:asciiTheme="minorEastAsia" w:hAnsiTheme="minorEastAsia"/>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第五条</w:t>
      </w:r>
      <w:r>
        <w:rPr>
          <w:rFonts w:asciiTheme="minorEastAsia" w:hAnsiTheme="minorEastAsia"/>
          <w:szCs w:val="21"/>
        </w:rPr>
        <w:t xml:space="preserve">  </w:t>
      </w:r>
      <w:r>
        <w:rPr>
          <w:rFonts w:hint="eastAsia" w:asciiTheme="minorEastAsia" w:hAnsiTheme="minorEastAsia"/>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第六条</w:t>
      </w:r>
      <w:r>
        <w:rPr>
          <w:rFonts w:asciiTheme="minorEastAsia" w:hAnsiTheme="minorEastAsia"/>
          <w:szCs w:val="21"/>
        </w:rPr>
        <w:t xml:space="preserve">  </w:t>
      </w:r>
      <w:r>
        <w:rPr>
          <w:rFonts w:hint="eastAsia" w:asciiTheme="minorEastAsia" w:hAnsiTheme="minorEastAsia"/>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第七条</w:t>
      </w:r>
      <w:r>
        <w:rPr>
          <w:rFonts w:asciiTheme="minorEastAsia" w:hAnsiTheme="minorEastAsia"/>
          <w:szCs w:val="21"/>
        </w:rPr>
        <w:t xml:space="preserve">  </w:t>
      </w:r>
      <w:r>
        <w:rPr>
          <w:rFonts w:hint="eastAsia" w:asciiTheme="minorEastAsia" w:hAnsiTheme="minorEastAsia"/>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第八条</w:t>
      </w:r>
      <w:r>
        <w:rPr>
          <w:rFonts w:asciiTheme="minorEastAsia" w:hAnsiTheme="minorEastAsia"/>
          <w:szCs w:val="21"/>
        </w:rPr>
        <w:t xml:space="preserve">  </w:t>
      </w:r>
      <w:r>
        <w:rPr>
          <w:rFonts w:hint="eastAsia" w:asciiTheme="minorEastAsia" w:hAnsiTheme="minorEastAsia"/>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第九条</w:t>
      </w:r>
      <w:r>
        <w:rPr>
          <w:rFonts w:asciiTheme="minorEastAsia" w:hAnsiTheme="minorEastAsia"/>
          <w:szCs w:val="21"/>
        </w:rPr>
        <w:t xml:space="preserve">  </w:t>
      </w:r>
      <w:r>
        <w:rPr>
          <w:rFonts w:hint="eastAsia" w:asciiTheme="minorEastAsia" w:hAnsiTheme="minorEastAsia"/>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第十条</w:t>
      </w:r>
      <w:r>
        <w:rPr>
          <w:rFonts w:asciiTheme="minorEastAsia" w:hAnsiTheme="minorEastAsia"/>
          <w:szCs w:val="21"/>
        </w:rPr>
        <w:t xml:space="preserve">  </w:t>
      </w:r>
      <w:r>
        <w:rPr>
          <w:rFonts w:hint="eastAsia" w:asciiTheme="minorEastAsia" w:hAnsiTheme="minorEastAsia"/>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第十一条</w:t>
      </w:r>
      <w:r>
        <w:rPr>
          <w:rFonts w:asciiTheme="minorEastAsia" w:hAnsiTheme="minorEastAsia"/>
          <w:szCs w:val="21"/>
        </w:rPr>
        <w:t xml:space="preserve">  </w:t>
      </w:r>
      <w:r>
        <w:rPr>
          <w:rFonts w:hint="eastAsia" w:asciiTheme="minorEastAsia" w:hAnsiTheme="minorEastAsia"/>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第十二条</w:t>
      </w:r>
      <w:r>
        <w:rPr>
          <w:rFonts w:asciiTheme="minorEastAsia" w:hAnsiTheme="minorEastAsia"/>
          <w:szCs w:val="21"/>
        </w:rPr>
        <w:t xml:space="preserve">  </w:t>
      </w:r>
      <w:r>
        <w:rPr>
          <w:rFonts w:hint="eastAsia" w:asciiTheme="minorEastAsia" w:hAnsiTheme="minorEastAsia"/>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第十三条</w:t>
      </w:r>
      <w:r>
        <w:rPr>
          <w:rFonts w:asciiTheme="minorEastAsia" w:hAnsiTheme="minorEastAsia"/>
          <w:szCs w:val="21"/>
        </w:rPr>
        <w:t xml:space="preserve">  </w:t>
      </w:r>
      <w:r>
        <w:rPr>
          <w:rFonts w:hint="eastAsia" w:asciiTheme="minorEastAsia" w:hAnsiTheme="minorEastAsia"/>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第十四条</w:t>
      </w:r>
      <w:r>
        <w:rPr>
          <w:rFonts w:asciiTheme="minorEastAsia" w:hAnsiTheme="minorEastAsia"/>
          <w:szCs w:val="21"/>
        </w:rPr>
        <w:t xml:space="preserve">  </w:t>
      </w:r>
      <w:r>
        <w:rPr>
          <w:rFonts w:hint="eastAsia" w:asciiTheme="minorEastAsia" w:hAnsiTheme="minorEastAsia"/>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1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1、《成交结果通知书》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sz w:val="52"/>
          <w:szCs w:val="52"/>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第五部分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通用条款（投标须知）</w:t>
      </w: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Ａ  说  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本招标文件仅适用于投标须知前附表（以下简称“前附表”）第1项所叙述项目的货物、工程及服务采购。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“采购人”系指前附表第2项所述。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“采购代理机构”系前附表第3项所述。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“投标人”系指向采购代理机构提交投标文件的投标人。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“货物”系指投标人按招标文件规定，须向采购人提供的设备及材料。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“工程”系指投标人按招标文件规定，须向采购人提供的设备及材料的安装。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“服务”系指招标文件规定卖方须承担设计和其它类似的义务。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 合格的投标人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由两个或两个以上的自然人、法人或者其他组织可以组成一个联合体，以一个投标人的身份共同投标时，应符合以下原则：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（3）联合体中有同类资质的投标人按照联合体分工承担相同工作的，应当按照资质等级较低的投标人确定资质等级。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（4）是否允许联合体参加投标，应当由采购人和采购代理机构根据项目的实际情况和潜在投标人的数量自主决定，如果决定接受联合体投标则应当在采购公告中明示。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人特定条件的，联合体各方中至少应当有一方符合采购人规定的特定条件。对于采购公告对投标人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（6）投标人的投标文件及中标后签署的合同协议对联合体各方均具法律约束力；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人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（11）本次采购中“投标人”一词亦指联合体各方，“前附表”另有规定或说明的除外。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无论采购过程中的做法和结果如何，投标人自行承担所有与参加采购活动有关的全部费用。</w:t>
      </w:r>
    </w:p>
    <w:p>
      <w:pPr>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6.2  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向投标人提供的有关现场的资料和数据，是采购人和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现有的能使投标人利用的资料。采购人和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对投标人由此而做出的推论、理解和结论概不负责。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投标人及其人员经过采购人和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snapToGrid w:val="0"/>
          <w:kern w:val="0"/>
          <w:szCs w:val="21"/>
        </w:rPr>
        <w:t>采购人</w:t>
      </w:r>
      <w:r>
        <w:rPr>
          <w:rFonts w:hint="eastAsia" w:cs="仿宋" w:asciiTheme="minorEastAsia" w:hAnsiTheme="minorEastAsia" w:eastAsiaTheme="minorEastAsia"/>
          <w:szCs w:val="21"/>
        </w:rPr>
        <w:t>的现场，但投标人及其人员不得因此使采购人及其人员承担有关的责任和蒙受损失。投标人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如果投标人认为需要再次进行现场踏勘，采购人将予以支持，费用自理。</w:t>
      </w:r>
    </w:p>
    <w:p>
      <w:pPr>
        <w:rPr>
          <w:rFonts w:cs="仿宋" w:asciiTheme="minorEastAsia" w:hAnsiTheme="minorEastAsia" w:eastAsiaTheme="minorEastAsia"/>
        </w:rPr>
      </w:pPr>
      <w:bookmarkStart w:id="2" w:name="q5"/>
      <w:bookmarkEnd w:id="2"/>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Ｂ　招标文件说明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 招标文件的构成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招标文件是用以阐明所需设备及服务的情况，以及采购、投标程序和相应的合同条款。招标文件由下述部份组成：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  招标文件的澄清及修改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人对招标文件如有疑点，可要求澄清，应在投标截止日5日前按采购公告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在投标截止日3日前，采购代理机构可依据投标人要求澄清的问题修改招标文件，并以书面形式通知所有购买招标文件的每一投标人，对方在收到该通知后应立即以书面的形式予以确认。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为了使投标人在准备投标文件时有合理的时间考虑招标文件的修改，采购代理机构可酌情推迟投标截止时间和开标时间，并以书面形式通知已购买招标文件的每一投标人。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招标文件的修改将构成招标文件的一部分，对投标人有约束力。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snapToGrid w:val="0"/>
          <w:kern w:val="0"/>
          <w:sz w:val="32"/>
          <w:szCs w:val="32"/>
        </w:rPr>
      </w:pPr>
      <w:bookmarkStart w:id="3" w:name="q6"/>
      <w:bookmarkEnd w:id="3"/>
      <w:r>
        <w:rPr>
          <w:rFonts w:hint="eastAsia" w:cs="仿宋" w:asciiTheme="minorEastAsia" w:hAnsiTheme="minorEastAsia" w:eastAsiaTheme="minorEastAsia"/>
          <w:snapToGrid w:val="0"/>
          <w:kern w:val="0"/>
          <w:sz w:val="32"/>
          <w:szCs w:val="32"/>
        </w:rPr>
        <w:t>Ｃ  投标文件的编写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投标文件及投标人和采购代理机构就投标交换的文件和往来的信件，应以中文书写。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除在招标文件的设计思路和方案中另有规定外，计量单位应使用中华人民共和国法定计量单位（国际单位制和国家选定的其他计量单位）。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（5）投标人资格证明文件（格式2）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（9）技术规格（格式6）</w:t>
      </w:r>
    </w:p>
    <w:p>
      <w:pPr>
        <w:adjustRightInd w:val="0"/>
        <w:spacing w:line="360" w:lineRule="auto"/>
        <w:ind w:firstLine="315" w:firstLineChars="150"/>
      </w:pPr>
      <w:r>
        <w:rPr>
          <w:rFonts w:hint="eastAsia" w:cs="仿宋" w:asciiTheme="minorEastAsia" w:hAnsiTheme="minorEastAsia" w:eastAsiaTheme="minorEastAsia"/>
          <w:snapToGrid w:val="0"/>
          <w:kern w:val="0"/>
          <w:szCs w:val="21"/>
        </w:rPr>
        <w:t>（10）</w:t>
      </w:r>
      <w:r>
        <w:rPr>
          <w:rFonts w:hint="eastAsia"/>
        </w:rPr>
        <w:t>交付进度</w:t>
      </w:r>
      <w:r>
        <w:rPr>
          <w:rFonts w:hint="eastAsia" w:cs="仿宋" w:asciiTheme="minorEastAsia" w:hAnsiTheme="minorEastAsia" w:eastAsiaTheme="minorEastAsia"/>
          <w:snapToGrid w:val="0"/>
          <w:kern w:val="0"/>
          <w:szCs w:val="21"/>
        </w:rPr>
        <w:t>（格式7）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w:t>
      </w:r>
      <w:r>
        <w:rPr>
          <w:rFonts w:hint="eastAsia"/>
        </w:rPr>
        <w:t>售后服务和质量承诺</w:t>
      </w:r>
      <w:r>
        <w:rPr>
          <w:rFonts w:hint="eastAsia" w:cs="仿宋" w:asciiTheme="minorEastAsia" w:hAnsiTheme="minorEastAsia" w:eastAsiaTheme="minorEastAsia"/>
          <w:snapToGrid w:val="0"/>
          <w:kern w:val="0"/>
          <w:szCs w:val="21"/>
        </w:rPr>
        <w:t>（格式8）</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（12）偏离表（格式9）</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（13）其他招标文件要求的资料或投标人认为需要补充的资料（格式10）</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投标文件必须毫无遗漏地包括本须知第10条规定的内容，投标人提交的投标文件必须毫无例外地使用招标文件所提供投标文件格式（表格可以按同样格式扩展）。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color w:val="FF0000"/>
          <w:kern w:val="0"/>
          <w:szCs w:val="21"/>
          <w:highlight w:val="yellow"/>
        </w:rPr>
        <w:t>注：如招标文件第三部分投标格式与本须知第10条规定的内容不一致，以投标文件第三部分投标格式为准。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投标人应在招标文件所附的“开标一览表”（格式3）和“报价表”（格式4）上写明投标货物的单价和投标总价。投标人对每种项目只允许有一个报价，采购代理机构不接受有任何选择的报价。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此报价作为评审委员会评审标准，但不能限制采购人以其它方式签订合同的权力。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 投标人资格的证明文件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投标人必须提交证明其有资格进行投标，和中标后有能力履行合同的证明文件（格式1与格式2），作为投标文件的一部份。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代理机构可于投标有效期期满之前，要求投标人同意延长投标有效期。投标人可以拒绝或同意上述要求，但要求与答复均须是书面文件。对于同意该要求的投标人，采购代理机构既不要求也不允许其修改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投标人应向采购代理机构提交一笔不少于前附表第8项所规定的项目保证金，以到账为准。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项目保证金用于保护本次采购免受投标人的行为而引起的风险。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项目保证金应以支票、汇票、本票或采购机构能够接受的银行保函等其它非现金形式提交。（注：必须从投标人基本账户转出，否则其投标无效。）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未中标的投标人的项目保证金，采购代理机构将在中标通知书发出且收到投标人的《项目保证金退还申请表》后5个工作日内退还。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（1）投标人在投标有效期内撤销投标文件；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（3）投标人串通投标或者以其他弄虚作假方式投标；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11"/>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16. 投标预备会（</w:t>
      </w:r>
      <w:r>
        <w:rPr>
          <w:rFonts w:hint="eastAsia" w:cs="仿宋" w:asciiTheme="minorEastAsia" w:hAnsiTheme="minorEastAsia" w:eastAsiaTheme="minorEastAsia"/>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投标预备会（答疑会），如采购代理机构认为有必要召开投标预备会，投标人应按照前附表第9项规定的或采购代理机构另行书面通知的时间和地点，派出代表出席采购代理机构主持的投标预备会。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投标预备会的目的是澄清、解答投标人在查阅招标文件后和现场踏勘中可能提出的任何方面的问题。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投标人提出的与投标有关的任何采购问题须以书面形式给采购代理机构。在投标预备会上，采购代理机构将做出澄清和解答。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采购代理机构在投标预备会上所做出的澄清和解答，以书面答复为准，投标人在收到投标答疑纪要时应以书面形式予以确认。答疑纪要的有效性规定按照本须知第8.2、8.4款规定执行。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未出席投标预备会不作为否定投标人资格的理由。</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除投标人对错处做必要修改外，投标文件中不许有加行、涂抹或改写，如有修改遗漏处，必须由投标人法定代表人或其授权代表签字和盖章。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pStyle w:val="2"/>
      </w:pPr>
    </w:p>
    <w:p>
      <w:pPr>
        <w:adjustRightInd w:val="0"/>
        <w:spacing w:line="360" w:lineRule="auto"/>
        <w:jc w:val="center"/>
        <w:rPr>
          <w:rFonts w:cs="仿宋" w:asciiTheme="minorEastAsia" w:hAnsiTheme="minorEastAsia" w:eastAsiaTheme="minorEastAsia"/>
          <w:snapToGrid w:val="0"/>
          <w:kern w:val="0"/>
          <w:sz w:val="32"/>
          <w:szCs w:val="32"/>
        </w:rPr>
      </w:pPr>
      <w:bookmarkStart w:id="4" w:name="q7"/>
      <w:bookmarkEnd w:id="4"/>
      <w:r>
        <w:rPr>
          <w:rFonts w:hint="eastAsia" w:cs="仿宋" w:asciiTheme="minorEastAsia" w:hAnsiTheme="minorEastAsia" w:eastAsiaTheme="minorEastAsia"/>
          <w:snapToGrid w:val="0"/>
          <w:kern w:val="0"/>
          <w:sz w:val="32"/>
          <w:szCs w:val="32"/>
        </w:rPr>
        <w:t>Ｄ   投标文件的递交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18.3投标人应将投标文件正文扫描件电子档单独密封于一信封，在信封上注明“备份电子档”。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投标人应将“法定代表人（负责人）证明书、法定代表人（负责人）授权委托书”和“开标一览表”密封于一信封，在递交投标文件时单独交与采购代理机构，在信封上应：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所有投标文件的密封袋的封口处应加盖投标人印章。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投标文件需由专人送交。投标人应按本投标须知第18.1至18.8款中的规定进行密封和标记后，将投标文件按照前附表第11项中注明的地址送至采购代理机构。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投标人按招标文件要求如需提供实物，应随投标文件一起递交。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所有投标文件都必须按采购代理机构在前附表第</w:t>
      </w:r>
      <w:bookmarkStart w:id="5" w:name="_Hlt35050056"/>
      <w:bookmarkEnd w:id="5"/>
      <w:r>
        <w:rPr>
          <w:rFonts w:hint="eastAsia" w:cs="仿宋" w:asciiTheme="minorEastAsia" w:hAnsiTheme="minorEastAsia" w:eastAsiaTheme="minorEastAsia"/>
          <w:snapToGrid w:val="0"/>
          <w:kern w:val="0"/>
          <w:szCs w:val="21"/>
        </w:rPr>
        <w:t>12项中规定的投标截止时间之前送至采购代理机构。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出现第8.3款因招标文件修改或其他原因推迟投标截止时，则按采购代理机构修改通知规定的时间递交。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采购代理机构将拒绝接收在投标截止时间后递交的投标文件。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投标人在提交投标文件后可对其投标文件进行修改或撤回，但采购代理机构须在投标截止时间之前收到该修改或撤回的书面通知，该通知须有经正式授权的投标人代表签字。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投标人不得在开标时间起到投标文件有效期满前撤销投标文件。</w:t>
      </w:r>
    </w:p>
    <w:p>
      <w:pPr>
        <w:rPr>
          <w:rFonts w:cs="仿宋" w:asciiTheme="minorEastAsia" w:hAnsiTheme="minorEastAsia" w:eastAsiaTheme="minorEastAsia"/>
        </w:rPr>
      </w:pPr>
      <w:bookmarkStart w:id="6" w:name="q8"/>
      <w:bookmarkEnd w:id="6"/>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所有投标人法定代表人（负责人）或授权代表都须按时参加开标会，否则不接受其投标。【</w:t>
      </w:r>
      <w:r>
        <w:rPr>
          <w:rFonts w:hint="eastAsia" w:cs="仿宋" w:asciiTheme="minorEastAsia" w:hAnsiTheme="minorEastAsia" w:eastAsiaTheme="minorEastAsia"/>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23.1采购代理机构将根据采购货物的特点组建评审委员会，其成员由采购人代表和有关技术、经济等方面的专家组成。评审委员会对投标文件进行审查、质疑、评估和比较。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评审期间，投标人应由法定代表人或其授权代表参加询标。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采购机构就投标文件中的资格证明文件内容对投标人进行资格核查：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24.1.1采购机构就投标文件中的资格证明等内容对投标人进行资格核查，核查不合格的，认定其投标无效。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在对投标文件进行详细评估之前，评审委员会将依据投标人提供的“资格证明或声明文件”审查投标人的财务、技术和生产能力。如果确定投标人无资格履行合同，其投标将被拒绝。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的投标人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评审委员会判断投标文件的投标性，仅基于招标文件和投标文件本身而不靠外部证据。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评审委员会将拒绝被确定为非实质性投标的投标人。投标人不能通过修正或撤销不符之处，而使其投标成为实质性投标的投标。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审委员会应当将其作为无效投标处理。若评审委员会成员对是否须由投标人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为了有助于对投标文件进行审查、评估和比较，评审委员会有权向投标人提出质疑，并请投标人澄清其投标内容。投标人有责任，按照采购代理机构通知的时间、地点，指派专人进行答疑和澄清。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7" w:name="q9"/>
      <w:bookmarkEnd w:id="7"/>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招标文件规定的各项因素对各投标文件进行量化打分并加权汇总，对各评委的总评分取算术平均值确定该投标人的评审总得分(精确至小数点后二位)，评审总得分最高者将被推荐为中标人，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26.5.1公开征集采购方式说明：因有效投标人不足三家而致公开征集、公开竞价失败的，采购单位可结合实际需要，重新实施采购或依据有效投标人数量，在评标现场即转为邀请竞标或直接采购。</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人参加投标，按最低价中标原则确定成交人，或由社会招标代理机构组织采购单位代表、评审专家成立评审组评审并确定中标人的采购方式。</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直接采购采购方式说明：是指经批准由采购单位自行与唯一人通过谈判确定成交的采购方式。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在开标、投标期间，投标人不得向评委询问评审情况，不得进行旨在影响评审结果的活动。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为保证定标的公正性，在评审过程中，评委不得与投标人私下交换意见。在采购工作结束后，凡与评审情况有接触的任何人，不得也不应将评审情况扩散出评委人员之外。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Ｆ　　授予合同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30.1  采购人在签订合同时，有权对招标文件中列明的货物或服务的数量，在法定范围内，依法定程序予以增加或减少。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中标方应按《中标通知书》或按采购人指定的时间、地点与采购人签订合同。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招标文件、中标方的投标文件及其澄清文件等，均为签订合同的依据。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中标人须按招标文件的规定或根据合同的规定向采购人提交履约保证金。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采购代理服务费按前附表第14项所述，最低收取人民币6000元。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9"/>
        <w:tblW w:w="7115" w:type="dxa"/>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3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8gGPlbMBAAB+AwAADgAAAGRycy9lMm9Eb2MueG1srVPL&#10;btswELwX6D8QvNe04jZNBMsBAiNtgaItkORs0BRpEeALS9qS/75LSnLT9JJDL9RwdzncmaXWd4M1&#10;5CQhau8aWi2WlEgnfKvdoaHPTw8fbiiJibuWG+9kQ88y0rvN+3frPtTyynfetBIIkrhY96GhXUqh&#10;ZiyKTloeFz5Ih0nlwfKEWziwFniP7Nawq+XymvUe2gBeyBgxuh2TdGKEtxB6pbSQWy+OVro0soI0&#10;PKGk2OkQ6aZ0q5QU6adSUSZiGopKU1nxEsT7vLLNmtcH4KHTYmqBv6WFV5os1w4vvVBteeLkCPof&#10;KqsF+OhVWghv2SikOIIqquUrbx47HmTRglbHcDE9/j9a8eP0C4huG7paUeK4xYnvdk9fd/erzxhB&#10;e/oQa6x6DFiXhns/4KOZ4xGDWfWgwOYv6iGYR3PPF3PlkIjA4KeP1xUmBGaq6nZ1U7xnf84GiOmL&#10;9JZk0FDA0RVH+el7TNgHls4l+SrnH7QxZXzG/RXAwjEiy/yn01nG2G5GadgPk7a9b88ozXxzaGt+&#10;IjOAGexncAygDx02VwxgmQjHUlqbnlCe+8s94pe/z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PIBj5W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3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U54CtAEAAH8DAAAOAAAAZHJzL2Uyb0RvYy54bWytU8tu&#10;2zAQvBfoPxC815RtJEgEywECI22Boi2Q9GzQ1NIiwBdI2pL/vktKctP0kkMv1HIfw53Z1eZhMJqc&#10;IUTlbEOXi4oSsMK1yh4b+uvl6dMdJTFx23LtLDT0ApE+bD9+2PS+hpXrnG4hEASxse59Q7uUfM1Y&#10;FB0YHhfOg8WgdMHwhNdwZG3gPaIbzVZVdct6F1ofnIAY0bsbg3RCDO8BdFIqATsnTgZsGlEDaJ6Q&#10;UuyUj3RbupUSRPohZYREdEORaSonPoL2IZ9su+H1MXDfKTG1wN/TwhtOhiuLj16hdjxxcgrqHyij&#10;RHDRybQQzrCRSFEEWSyrN9o8d9xD4YJSR38VPf4/WPH9/DMQ1TZ0vaLEcoMT3+9fvuwf17foQXl6&#10;H2vMevaYl4ZHN+DSzP6Izsx6kMHkL/IhGEdxL1dxYUhE5KLVTXV/Q4nA0HJ5v74r4rM/xT7E9Bmc&#10;IdloaMDZFUn5+VtM2Aimzin5LeuelNZlftr+5cDE0QNlAabqzGPsN1tpOAwTuYNrL8hNf7Woa96R&#10;2QizcZiNkw/q2GFzRQGWgXAupbVph/LgX9/Rfv3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AxTngK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3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LnD867MBAAB+AwAADgAAAGRycy9lMm9Eb2MueG1srVPL&#10;btswELwX6D8QvMe04qZIBMsBAiNtgaItkPRs0BRpEeALXNqS/75LSnLT9JJDLtRwdzncmaXW94M1&#10;5CQjaO8aWi2WlEgnfKvdoaG/nx+vbimBxF3LjXeyoWcJ9H7z8cO6D7W89p03rYwESRzUfWhol1Ko&#10;GQPRScth4YN0mFQ+Wp5wGw+sjbxHdmvY9XL5mfU+tiF6IQEwuh2TdGKMbyH0Smkht14crXRpZI3S&#10;8ISSoNMB6KZ0q5QU6adSIBMxDUWlqax4CeJ9XtlmzetD5KHTYmqBv6WFV5os1w4vvVBteeLkGPV/&#10;VFaL6MGrtBDeslFIcQRVVMtX3jx1PMiiBa2GcDEd3o9W/Dj9ikS3DV1VlDhuceK73fPX3cPqBiNo&#10;Tx+gxqqngHVpePADPpo5DhjMqgcVbf6iHoJ5NPd8MVcOiQgMfrq7WWFCYKaq7la3xXv292yIkL5I&#10;b0kGDY04uuIoP32HhH1g6VySr3L+URtTxmfcPwEsHCOyzH86nWWM7WaUhv0wadv79ozSzDeHtuYn&#10;MoM4g/0MjiHqQ4fNFQNYJsKxlNamJ5Tn/nKP+O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C5w/Ou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e4A8sgEAAH8DAAAOAAAAZHJzL2Uyb0RvYy54bWytU8lu&#10;2zAQvRfoPxC81/TSJRUsBwiMtAGKNkDSs0FTpEWAG4a0Jf99hpTkLL3k0As1HA7fvPeGWl/31pCT&#10;hKi9q+liNqdEOuEb7Q41/ft4++mKkpi4a7jxTtb0LCO93nz8sO5CJZe+9aaRQBDExaoLNW1TChVj&#10;UbTS8jjzQTo8VB4sT7iFA2uAd4huDVvO519Z56EJ4IWMEbPb4ZCOiPAeQK+UFnLrxdFKlwZUkIYn&#10;lBRbHSLdFLZKSZH+KBVlIqamqDSVFZtgvM8r26x5dQAeWi1GCvw9FN5oslw7bHqB2vLEyRH0P1BW&#10;C/DRqzQT3rJBSHEEVSzmb7x5aHmQRQtaHcPF9Pj/YMXv0z0Q3dR0hZY4bnHiu93jz93N6jNm0J4u&#10;xAqrHgLWpf7G9/hopnzEZFbdK7D5i3oIniPS+WKu7BMR+dLyy7fcQ+DRYvF9dVXQ2fPlADH9kN6S&#10;HNQUcHbFUn76FRMSwdKpJPdy/lYbU+Zn3KsEFg4ZWR7AeDvrGPjmKPX7fhS3980ZtZk7h74iwTQF&#10;MAX7KTgG0IcWyRUHWAbCuRRq4xvKg3+5x/jlf7N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Cme4A8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2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U+LQdtAEAAH8DAAAOAAAAZHJzL2Uyb0RvYy54bWytU01v&#10;4yAQva/U/4C4N3YStWqsOJWqqO1Kq92V2j1HBEOMBAwCEjv/vgO202730sNe8DAfj3lvxuv73mhy&#10;Ej4osDWdz0pKhOXQKHuo6Z/Xx+s7SkJktmEarKjpWQR6v7n6tu5cJRbQgm6EJwhiQ9W5mrYxuqoo&#10;Am+FYWEGTlgMSvCGRbz6Q9F41iG60cWiLG+LDnzjPHARAnq3Q5COiP4rgCCl4mIL/GiEjQOqF5pF&#10;pBRa5QLd5G6lFDz+kjKISHRNkWnMJz6C9j6dxWbNqoNnrlV8bIF9pYVPnAxTFh+9QG1ZZOTo1T9Q&#10;RnEPAWSccTDFQCQrgizm5SdtXlrmROaCUgd3ET38P1j+8/TbE9XUdLGixDKDE9/tXp93D8slelCe&#10;zoUKs14c5sX+AXpcmskf0JlY99Kb9EU+BOMo7vkirugj4alocVOubijhGJrPV8u7LH7xXux8iE8C&#10;DElGTT3OLkvKTj9CxEYwdUpJb1l4VFrn+Wn7lwMTB4/ICzBWJx5Dv8mK/b4fye2hOSM3/d2irmlH&#10;JsNPxn4yjs6rQ4vNZQWKBIRzya2NO5QG//GO9sf/ZvM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FT4tB2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2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FGKsOzAQAAfwMAAA4AAABkcnMvZTJvRG9jLnhtbK1TTY/b&#10;IBC9V+p/QNwbEkdtt1aclVbRtpWqttJuzxHBECMBg4DEzr/vgO10u3vZw17wMB+PeW/Gm9vBGnKW&#10;IWpwDV0tlpRIJ6DV7tjQP4/3H24oiYm7lhtwsqEXGent9v27Te9rWUEHppWBIIiLde8b2qXka8ai&#10;6KTlcQFeOgwqCJYnvIYjawPvEd0aVi2Xn1gPofUBhIwRvbsxSCfE8BpAUEoLuQNxstKlETVIwxNS&#10;ip32kW5Lt0pJkX4pFWUipqHINJUTH0H7kE+23fD6GLjvtJha4K9p4Rkny7XDR69QO544OQX9Aspq&#10;ESCCSgsBlo1EiiLIYrV8ps1Dx70sXFDq6K+ix7eDFT/PvwPRbUMrnLvjFie+3z9+29+tK/SgPL2P&#10;NWY9eMxLwx0MuDSzP6Izsx5UsPmLfAjGUdzLVVw5JCJyUfXx8xojAkOr1Zf1TRGf/Sv2IaavEizJ&#10;RkMDzq5Iys8/YsJGMHVOyW85uNfGlPkZ958DE0ePLAswVWceY7/ZSsNhmMgdoL0gN/Pdoa55R2Yj&#10;zMZhNk4+6GOHzRUFWAbCuZTWph3Kg396R/vpf7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ARRirD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B1omxi0AQAAfwMAAA4AAABkcnMvZTJvRG9jLnhtbK1TyW7b&#10;MBC9F+g/ELzHkhwkTQTLAQIjbYGgLZD0bNDU0CLADSRtyX/fISU5Sy855EINZ3mc92a0uhu0Ikfw&#10;QVrT0GpRUgKG21aafUP/Pj9c3FASIjMtU9ZAQ08Q6N3665dV72pY2s6qFjxBEBPq3jW0i9HVRRF4&#10;B5qFhXVgMCis1yzi1e+L1rMe0bUqlmV5XfTWt85bDiGgdzMG6YToPwJohZAcNpYfNJg4onpQLCKl&#10;0EkX6Dp3KwTw+FuIAJGohiLTmE98BO1dOov1itV7z1wn+dQC+0gL7zhpJg0+eobasMjIwcv/oLTk&#10;3gYr4oJbXYxEsiLIoirfafPUMQeZC0od3Fn08Hmw/NfxjyeybejyGyWGaZz4dvv8Y3t/WaEH5eld&#10;qDHryWFeHO7tgEsz+wM6E+tBeJ2+yIdgHMU9ncWFIRKeipZX5e0VJRxDVXV7eZPFL16KnQ/xO1hN&#10;ktFQj7PLkrLjY4jYCKbOKektYx+kUnl+yrxxYOLogbwAU3XiMfabrDjshonczrYn5KZ+GtQ17chs&#10;+NnYzcbBebn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HWibGL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95fufsw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U2tLqixDKDE9/tnn7s7qoKPShP&#10;70KNWY8O8+JwBwMuzewP6EysB+lN+iIfgnEU93wRVwyR8FRUrcqbFSUcQ8vl9bevq4RSvBQ7H+J3&#10;AYYko6EeZ5clZadfIY6pc0p6y8K90jrPT9s3DsQcPSIvwFSdeIz9JisO+2Eit4f2jNz0T4u6ph2Z&#10;DT8b+9k4Oq8OHTaXFSgSEM4ls5h2KA3+9R3t1//N5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PeX7n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第六部分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银行保函（格式）</w:t>
      </w:r>
    </w:p>
    <w:p>
      <w:pPr>
        <w:rPr>
          <w:rFonts w:cs="仿宋" w:asciiTheme="minorEastAsia" w:hAnsiTheme="minorEastAsia" w:eastAsiaTheme="minorEastAsia"/>
        </w:rPr>
      </w:pP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1"/>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p>
      <w:pPr>
        <w:pStyle w:val="9"/>
        <w:rPr>
          <w:rFonts w:cs="仿宋" w:asciiTheme="minorEastAsia" w:hAnsiTheme="minorEastAsia" w:eastAsiaTheme="minorEastAsia"/>
        </w:rPr>
      </w:pPr>
    </w:p>
    <w:p>
      <w:pPr>
        <w:pStyle w:val="10"/>
        <w:rPr>
          <w:rFonts w:cs="仿宋" w:asciiTheme="minorEastAsia" w:hAnsiTheme="minorEastAsia" w:eastAsiaTheme="minorEastAsia"/>
        </w:rPr>
      </w:pPr>
    </w:p>
    <w:p>
      <w:pPr>
        <w:rPr>
          <w:rFonts w:cs="仿宋" w:asciiTheme="minorEastAsia" w:hAnsiTheme="minorEastAsia" w:eastAsiaTheme="minorEastAsia"/>
        </w:rPr>
      </w:pPr>
    </w:p>
    <w:p>
      <w:pPr>
        <w:pStyle w:val="9"/>
        <w:rPr>
          <w:rFonts w:cs="仿宋" w:asciiTheme="minorEastAsia" w:hAnsiTheme="minorEastAsia" w:eastAsiaTheme="minorEastAsia"/>
        </w:rPr>
      </w:pPr>
    </w:p>
    <w:p>
      <w:pPr>
        <w:pStyle w:val="10"/>
        <w:rPr>
          <w:rFonts w:cs="仿宋" w:asciiTheme="minorEastAsia" w:hAnsiTheme="minorEastAsia" w:eastAsiaTheme="minorEastAsia"/>
        </w:rPr>
      </w:pPr>
    </w:p>
    <w:p>
      <w:pPr>
        <w:rPr>
          <w:rFonts w:cs="仿宋" w:asciiTheme="minorEastAsia" w:hAnsiTheme="minorEastAsia" w:eastAsiaTheme="minorEastAsia"/>
        </w:rPr>
      </w:pPr>
    </w:p>
    <w:p>
      <w:pPr>
        <w:pStyle w:val="9"/>
        <w:rPr>
          <w:rFonts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附件</w:t>
      </w:r>
      <w:r>
        <w:rPr>
          <w:rFonts w:hint="eastAsia" w:cs="仿宋" w:asciiTheme="minorEastAsia" w:hAnsiTheme="minorEastAsia" w:eastAsiaTheme="minorEastAsia"/>
          <w:lang w:val="en-US" w:eastAsia="zh-CN"/>
        </w:rPr>
        <w:t>2</w:t>
      </w:r>
      <w:r>
        <w:rPr>
          <w:rFonts w:hint="eastAsia" w:cs="仿宋" w:asciiTheme="minorEastAsia" w:hAnsiTheme="minorEastAsia" w:eastAsiaTheme="minorEastAsia"/>
        </w:rPr>
        <w:t>：交警视频综合系统应用维护评价标准</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为提升信息化运维服务质量，保障业务应用系统安全稳定运行，规范信息化运维服务质量评价管理工作，</w:t>
      </w:r>
      <w:r>
        <w:rPr>
          <w:rFonts w:hint="eastAsia" w:cs="仿宋" w:asciiTheme="minorEastAsia" w:hAnsiTheme="minorEastAsia" w:eastAsiaTheme="minorEastAsia"/>
          <w:lang w:eastAsia="zh-CN"/>
        </w:rPr>
        <w:t>参照《深圳市公安局信息化运维服务质量评价管理办法》进行运维服务质量评价</w:t>
      </w:r>
      <w:r>
        <w:rPr>
          <w:rFonts w:hint="eastAsia" w:cs="仿宋" w:asciiTheme="minorEastAsia" w:hAnsiTheme="minorEastAsia" w:eastAsiaTheme="minorEastAsia"/>
        </w:rPr>
        <w:t>，要求中标方配合落实好相关工作。</w:t>
      </w:r>
    </w:p>
    <w:p>
      <w:pPr>
        <w:spacing w:line="360" w:lineRule="auto"/>
        <w:rPr>
          <w:rFonts w:hint="eastAsia"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1、故障维护及时性</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1.1、根据故障解决难易情况、故障对系统运行的影响、以及故障出现的主客观因素，可将故障分为以下三类：</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一般故障，故障容易解决，不影响系统运行，能使用，影响小。</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较大故障，故障较难解决，对系统运行影响较大，影响系统正常运行。</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重大故障，故障难以在短时间内解决，导致系统无法正常运行，如硬件故障导致的服务器无法正常启动、系统崩溃、数据库崩溃等。</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1.2、乙方接到故障通知后，须立即实施抢修，响应时间工作日为1小时（非工作日为3小时），故障排除后乙方须立即通知甲方值班人员及主管民警，同时记录接报和修复时间并填入当天日报表。</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响应时间项考核按时计算，超过1小时未响应扣罚 500元；之后每超过1小时加扣罚500元,并累计扣罚。</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1.3、根据故障情况分类，故障修复时间项考核按时计算。超过故障情况时限未修复扣罚500元，之后每超过1小时未排除故障加扣罚500元,并累计扣罚；</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一般故障：修复时限为1小时。</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较大故障：修复时限为4小时。</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重大故障：修复时限为8小时，未能及时修复提前汇报给甲方，修复时限由甲方确定。</w:t>
      </w:r>
    </w:p>
    <w:p>
      <w:pPr>
        <w:spacing w:line="360" w:lineRule="auto"/>
        <w:rPr>
          <w:rFonts w:hint="eastAsia"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2、日常巡检</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（一）建立日巡检签到登记卡（详见</w:t>
      </w:r>
      <w:r>
        <w:rPr>
          <w:rFonts w:hint="eastAsia" w:cs="仿宋" w:asciiTheme="minorEastAsia" w:hAnsiTheme="minorEastAsia" w:eastAsiaTheme="minorEastAsia"/>
          <w:lang w:eastAsia="zh-CN"/>
        </w:rPr>
        <w:t>附件2</w:t>
      </w:r>
      <w:r>
        <w:rPr>
          <w:rFonts w:hint="eastAsia" w:cs="仿宋" w:asciiTheme="minorEastAsia" w:hAnsiTheme="minorEastAsia" w:eastAsiaTheme="minorEastAsia"/>
        </w:rPr>
        <w:t>）,维护人员须每个工作日上午12：00以前对服务器磁盘使用情况、服务器程序运行状态、智能交警功能模块运行情况等进行例行检査。</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（二）建立周巡检签到登记卡（详见</w:t>
      </w:r>
      <w:r>
        <w:rPr>
          <w:rFonts w:hint="eastAsia" w:cs="仿宋" w:asciiTheme="minorEastAsia" w:hAnsiTheme="minorEastAsia" w:eastAsiaTheme="minorEastAsia"/>
          <w:lang w:eastAsia="zh-CN"/>
        </w:rPr>
        <w:t>附件2</w:t>
      </w:r>
      <w:r>
        <w:rPr>
          <w:rFonts w:hint="eastAsia" w:cs="仿宋" w:asciiTheme="minorEastAsia" w:hAnsiTheme="minorEastAsia" w:eastAsiaTheme="minorEastAsia"/>
        </w:rPr>
        <w:t>）,维护人员每周第一个工作日完成对已接入交通警察支队一类点视频镜头一机一档进行核对整理，保障交通警察支队一类点视频镜头一机一档信息录入率。</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（三）建立月巡检签到登记卡（详见</w:t>
      </w:r>
      <w:r>
        <w:rPr>
          <w:rFonts w:hint="eastAsia" w:cs="仿宋" w:asciiTheme="minorEastAsia" w:hAnsiTheme="minorEastAsia" w:eastAsiaTheme="minorEastAsia"/>
          <w:lang w:eastAsia="zh-CN"/>
        </w:rPr>
        <w:t>附件2</w:t>
      </w:r>
      <w:r>
        <w:rPr>
          <w:rFonts w:hint="eastAsia" w:cs="仿宋" w:asciiTheme="minorEastAsia" w:hAnsiTheme="minorEastAsia" w:eastAsiaTheme="minorEastAsia"/>
        </w:rPr>
        <w:t>）,维护人员每月第一周完成对交通警察支队视频资源的国标接入和国标共享进行一次例行检查，保障交通警察支队国标共享和接入视频资源正常稳定。</w:t>
      </w:r>
    </w:p>
    <w:p>
      <w:pPr>
        <w:spacing w:line="360" w:lineRule="auto"/>
        <w:rPr>
          <w:rFonts w:hint="eastAsia"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3、日报周报月报评价</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（一）乙方应每个工作日向甲方提供视频综合系统应用管理平台服务器磁盘使用情况、服务器程序运行状态、智能交警模块运行情况等日报。</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日报应在每个工作日12点前送达甲方，节假日期间日报周报表提交可顺延至节假日后上班的第一天前。日报内容要真实、填写要规范、提交及时。</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日报应如实填写运行状态、故障原因、处理结果。</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1、运行状态指：系统各模块的运行状态。如：视频巡逻预案管理模块系统工作正常、异常等。</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2、故障原因指：经维修人员对设备、系统、软件等检査修复后明确造成故障的具体原因。</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3、处理结果指：故障处理后的状况。如：已修复、未修复、待修复等。</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该项考核按单日次计算、出现一次问题计一次违规，扣罚500元。</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乙方应每周向甲方提供视频综合系统应用管理平台交通警察支队一类点视频一机一档录入情况周报。</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周报应在每周一送达甲方，节假日期间日报周报表提交可顺延至节假日后上班的第一天前。周报内容要真实、填写要规范、提交及时。</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周报应如实填写交通警察支队各大队一类点视频一机一档录入情况、未录入原因、解决办法。</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录入情况指：成功上传一类点视频一机一档至市局一机一档数据库。</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未录入原因指：未上传一类点视频一机一档至市局一机一档数据库原因。</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解决办法指：如何确保一类点视频一机一档成功上传市局一机一档数据库。</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发生周报中数据不准确、统计不真实、分析不切实、提交不及时的情况按项计，每项计违规一次，加罚500元。</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（三）月报应如实填写故障维护统计、故障原因分析、措施。</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故障维护统计：月故障次数、原因分类统计、系统故障率统计、系统分类故障率统计、维护次数、超时限次数，同时提供故障清单。统计数据必须真实、准确。</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故障原因分析：对多发的、疑点的故障进行具体的技术分析，分析要深入、切实、准确。</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针对上述的故障原因分析出的结果，拟采取技术及管理上的解决办法。</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乙方每月三日前向甲方提交上月的维护工作报告。</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发生月报中数据不准确、统计不真实、分析不切实、提交不及时的情况按项计，每项计违规一次，加罚500元。</w:t>
      </w:r>
    </w:p>
    <w:p>
      <w:pPr>
        <w:spacing w:line="360" w:lineRule="auto"/>
        <w:rPr>
          <w:rFonts w:hint="eastAsia"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4、驻点工作规范</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乙方要按照甲方单位相关管理规定，在工作日9点——18点期间，不得出现迟到，早退等现象，在驻点办公需穿戴甲方规定的工作服装以及工作证等，并在进出驻点时配合物业等人员做好出入登记、工牌核对、车辆停放等事宜，自觉维护好办公环境及内务秩序，如甲方发现乙方驻点工作不规范时，计违规一次，扣罚500元至1000元。</w:t>
      </w:r>
    </w:p>
    <w:p>
      <w:pPr>
        <w:spacing w:line="360" w:lineRule="auto"/>
        <w:rPr>
          <w:rFonts w:hint="eastAsia" w:cs="仿宋" w:asciiTheme="minorEastAsia" w:hAnsiTheme="minorEastAsia" w:eastAsiaTheme="minorEastAsia"/>
        </w:rPr>
      </w:pP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5、系统安全及保密</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双方须在签订合同时同时签订保密协议，未经甲方书面许可，乙方不得在视频综合系统应用管理平台运行与视综控制系统无关的程序或数据库脚本，影响视综应用的正常运行；不得在视综应用服务器进行功能、性能、稳定性等测试；不得以任何形式向第三方泄露视综应用的数据；不得修改任何协议。经甲方许可后修改的设备软件，须经过功能、性能、稳定性等测试后，才能升级到真实环境运行。</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严格遵守保密原则，必须对工作中可能涉及的各种秘密承担保密责任和义务。甲方提供的任何文件、资料及维护过程中所接触的内部数据资料，未经许可，严禁提供给其它单位或个人查看或使用。</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此项考核按次计算，发现违反一次计违规一次，按项次扣罚500元；如因此影响视综应用的正常运行，每次扣罚500元；造成重大影响的，将视情节按项次扣罚1000元至2000元。</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hint="eastAsia" w:cs="仿宋" w:asciiTheme="minorEastAsia" w:hAnsiTheme="minorEastAsia" w:eastAsiaTheme="minorEastAsia"/>
          <w:lang w:val="zh-TW" w:eastAsia="zh-TW"/>
        </w:rPr>
      </w:pPr>
      <w:r>
        <w:rPr>
          <w:rFonts w:hint="eastAsia" w:cs="仿宋" w:asciiTheme="minorEastAsia" w:hAnsiTheme="minorEastAsia" w:eastAsiaTheme="minorEastAsia"/>
        </w:rPr>
        <w:t>附件</w:t>
      </w:r>
      <w:r>
        <w:rPr>
          <w:rFonts w:hint="eastAsia" w:cs="仿宋" w:asciiTheme="minorEastAsia" w:hAnsiTheme="minorEastAsia" w:eastAsiaTheme="minorEastAsia"/>
          <w:lang w:val="en-US" w:eastAsia="zh-CN"/>
        </w:rPr>
        <w:t>3</w:t>
      </w:r>
      <w:r>
        <w:rPr>
          <w:rFonts w:hint="eastAsia" w:cs="仿宋" w:asciiTheme="minorEastAsia" w:hAnsiTheme="minorEastAsia" w:eastAsiaTheme="minorEastAsia"/>
        </w:rPr>
        <w:t>：巡检签到登记卡</w:t>
      </w:r>
    </w:p>
    <w:tbl>
      <w:tblPr>
        <w:tblStyle w:val="19"/>
        <w:tblW w:w="8746" w:type="dxa"/>
        <w:jc w:val="center"/>
        <w:tblLayout w:type="fixed"/>
        <w:tblCellMar>
          <w:top w:w="0" w:type="dxa"/>
          <w:left w:w="108" w:type="dxa"/>
          <w:bottom w:w="0" w:type="dxa"/>
          <w:right w:w="108" w:type="dxa"/>
        </w:tblCellMar>
      </w:tblPr>
      <w:tblGrid>
        <w:gridCol w:w="846"/>
        <w:gridCol w:w="3900"/>
        <w:gridCol w:w="728"/>
        <w:gridCol w:w="829"/>
        <w:gridCol w:w="900"/>
        <w:gridCol w:w="712"/>
        <w:gridCol w:w="831"/>
      </w:tblGrid>
      <w:tr>
        <w:tblPrEx>
          <w:tblCellMar>
            <w:top w:w="0" w:type="dxa"/>
            <w:left w:w="108" w:type="dxa"/>
            <w:bottom w:w="0" w:type="dxa"/>
            <w:right w:w="108" w:type="dxa"/>
          </w:tblCellMar>
        </w:tblPrEx>
        <w:trPr>
          <w:trHeight w:val="400" w:hRule="atLeast"/>
          <w:jc w:val="center"/>
        </w:trPr>
        <w:tc>
          <w:tcPr>
            <w:tcW w:w="8746"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日巡检签到登记卡</w:t>
            </w:r>
          </w:p>
        </w:tc>
      </w:tr>
      <w:tr>
        <w:tblPrEx>
          <w:tblCellMar>
            <w:top w:w="0" w:type="dxa"/>
            <w:left w:w="108" w:type="dxa"/>
            <w:bottom w:w="0" w:type="dxa"/>
            <w:right w:w="108" w:type="dxa"/>
          </w:tblCellMar>
        </w:tblPrEx>
        <w:trPr>
          <w:trHeight w:val="400" w:hRule="atLeast"/>
          <w:jc w:val="center"/>
        </w:trPr>
        <w:tc>
          <w:tcPr>
            <w:tcW w:w="8746"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功能模块运行情况日常巡检                  年          月            日</w:t>
            </w:r>
          </w:p>
        </w:tc>
      </w:tr>
      <w:tr>
        <w:tblPrEx>
          <w:tblCellMar>
            <w:top w:w="0" w:type="dxa"/>
            <w:left w:w="108" w:type="dxa"/>
            <w:bottom w:w="0" w:type="dxa"/>
            <w:right w:w="108"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主要巡检</w:t>
            </w:r>
          </w:p>
        </w:tc>
        <w:tc>
          <w:tcPr>
            <w:tcW w:w="39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巡检内容</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巡检结果</w:t>
            </w:r>
          </w:p>
        </w:tc>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故障原因</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处理结果</w:t>
            </w:r>
          </w:p>
        </w:tc>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维护公司</w:t>
            </w:r>
          </w:p>
        </w:tc>
        <w:tc>
          <w:tcPr>
            <w:tcW w:w="83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巡检人</w:t>
            </w:r>
          </w:p>
        </w:tc>
      </w:tr>
      <w:tr>
        <w:tblPrEx>
          <w:tblCellMar>
            <w:top w:w="0" w:type="dxa"/>
            <w:left w:w="108" w:type="dxa"/>
            <w:bottom w:w="0" w:type="dxa"/>
            <w:right w:w="108" w:type="dxa"/>
          </w:tblCellMar>
        </w:tblPrEx>
        <w:trPr>
          <w:trHeight w:val="400" w:hRule="atLeast"/>
          <w:jc w:val="center"/>
        </w:trPr>
        <w:tc>
          <w:tcPr>
            <w:tcW w:w="846" w:type="dxa"/>
            <w:vMerge w:val="restart"/>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视综执法应用</w:t>
            </w: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视频巡逻预案管理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视频交警交通智巡</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视频交警视频执法管理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视频交警重点视频库管理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视频交警系统数据字典管理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视频巡逻绩效考核及统计分析管理</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846"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900"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预置位综合调度巡航</w:t>
            </w:r>
          </w:p>
        </w:tc>
        <w:tc>
          <w:tcPr>
            <w:tcW w:w="7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29"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900"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1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bl>
    <w:p>
      <w:pPr>
        <w:spacing w:line="360" w:lineRule="auto"/>
        <w:rPr>
          <w:rFonts w:hint="eastAsia" w:cs="仿宋" w:asciiTheme="minorEastAsia" w:hAnsiTheme="minorEastAsia" w:eastAsiaTheme="minorEastAsia"/>
        </w:rPr>
      </w:pPr>
    </w:p>
    <w:tbl>
      <w:tblPr>
        <w:tblStyle w:val="19"/>
        <w:tblW w:w="8710" w:type="dxa"/>
        <w:jc w:val="center"/>
        <w:tblLayout w:type="fixed"/>
        <w:tblCellMar>
          <w:top w:w="0" w:type="dxa"/>
          <w:left w:w="108" w:type="dxa"/>
          <w:bottom w:w="0" w:type="dxa"/>
          <w:right w:w="108" w:type="dxa"/>
        </w:tblCellMar>
      </w:tblPr>
      <w:tblGrid>
        <w:gridCol w:w="1278"/>
        <w:gridCol w:w="1605"/>
        <w:gridCol w:w="1418"/>
        <w:gridCol w:w="836"/>
        <w:gridCol w:w="836"/>
        <w:gridCol w:w="836"/>
        <w:gridCol w:w="894"/>
        <w:gridCol w:w="1007"/>
      </w:tblGrid>
      <w:tr>
        <w:tblPrEx>
          <w:tblCellMar>
            <w:top w:w="0" w:type="dxa"/>
            <w:left w:w="108" w:type="dxa"/>
            <w:bottom w:w="0" w:type="dxa"/>
            <w:right w:w="108" w:type="dxa"/>
          </w:tblCellMar>
        </w:tblPrEx>
        <w:trPr>
          <w:trHeight w:val="400" w:hRule="atLeast"/>
          <w:jc w:val="center"/>
        </w:trPr>
        <w:tc>
          <w:tcPr>
            <w:tcW w:w="8710"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日巡检签到登记卡</w:t>
            </w:r>
          </w:p>
        </w:tc>
      </w:tr>
      <w:tr>
        <w:tblPrEx>
          <w:tblCellMar>
            <w:top w:w="0" w:type="dxa"/>
            <w:left w:w="108" w:type="dxa"/>
            <w:bottom w:w="0" w:type="dxa"/>
            <w:right w:w="108" w:type="dxa"/>
          </w:tblCellMar>
        </w:tblPrEx>
        <w:trPr>
          <w:trHeight w:val="400" w:hRule="atLeast"/>
          <w:jc w:val="center"/>
        </w:trPr>
        <w:tc>
          <w:tcPr>
            <w:tcW w:w="8710"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服务器磁盘空间使用率以及程序运行情况日常巡检         年      月     日</w:t>
            </w:r>
          </w:p>
        </w:tc>
      </w:tr>
      <w:tr>
        <w:tblPrEx>
          <w:tblCellMar>
            <w:top w:w="0" w:type="dxa"/>
            <w:left w:w="108" w:type="dxa"/>
            <w:bottom w:w="0" w:type="dxa"/>
            <w:right w:w="108" w:type="dxa"/>
          </w:tblCellMar>
        </w:tblPrEx>
        <w:trPr>
          <w:trHeight w:val="400" w:hRule="atLeast"/>
          <w:jc w:val="center"/>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服务器IP地址</w:t>
            </w:r>
          </w:p>
        </w:tc>
        <w:tc>
          <w:tcPr>
            <w:tcW w:w="16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磁盘空间使用情况</w:t>
            </w: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运行程序</w:t>
            </w:r>
          </w:p>
        </w:tc>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巡检结果</w:t>
            </w:r>
          </w:p>
        </w:tc>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故障原因</w:t>
            </w:r>
          </w:p>
        </w:tc>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处理结果</w:t>
            </w:r>
          </w:p>
        </w:tc>
        <w:tc>
          <w:tcPr>
            <w:tcW w:w="894" w:type="dxa"/>
            <w:tcBorders>
              <w:top w:val="single" w:color="000000"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维护公司</w:t>
            </w:r>
          </w:p>
        </w:tc>
        <w:tc>
          <w:tcPr>
            <w:tcW w:w="1007"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巡检人</w:t>
            </w: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9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nil"/>
              <w:left w:val="single" w:color="000000"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auto"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auto"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p>
        </w:tc>
        <w:tc>
          <w:tcPr>
            <w:tcW w:w="1418" w:type="dxa"/>
            <w:tcBorders>
              <w:top w:val="single" w:color="000000" w:sz="4" w:space="0"/>
              <w:left w:val="single" w:color="000000" w:sz="4" w:space="0"/>
              <w:bottom w:val="single" w:color="000000" w:sz="4" w:space="0"/>
              <w:right w:val="single" w:color="auto" w:sz="4" w:space="0"/>
            </w:tcBorders>
            <w:vAlign w:val="center"/>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36" w:type="dxa"/>
            <w:tcBorders>
              <w:top w:val="single" w:color="auto" w:sz="4" w:space="0"/>
              <w:left w:val="single" w:color="auto" w:sz="4" w:space="0"/>
              <w:bottom w:val="single" w:color="auto" w:sz="4" w:space="0"/>
              <w:right w:val="single" w:color="auto" w:sz="4" w:space="0"/>
            </w:tcBorders>
          </w:tcPr>
          <w:p>
            <w:pPr>
              <w:spacing w:line="360" w:lineRule="auto"/>
              <w:rPr>
                <w:rFonts w:hint="eastAsia" w:cs="仿宋" w:asciiTheme="minorEastAsia" w:hAnsiTheme="minorEastAsia" w:eastAsiaTheme="minorEastAsia"/>
              </w:rPr>
            </w:pPr>
          </w:p>
        </w:tc>
        <w:tc>
          <w:tcPr>
            <w:tcW w:w="894" w:type="dxa"/>
            <w:vMerge w:val="continue"/>
            <w:tcBorders>
              <w:top w:val="single" w:color="auto" w:sz="4" w:space="0"/>
              <w:left w:val="single" w:color="auto" w:sz="4" w:space="0"/>
              <w:bottom w:val="single" w:color="auto"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top w:val="single" w:color="auto" w:sz="4" w:space="0"/>
              <w:left w:val="single" w:color="000000" w:sz="4" w:space="0"/>
              <w:bottom w:val="single" w:color="auto" w:sz="4" w:space="0"/>
              <w:right w:val="single" w:color="auto" w:sz="4" w:space="0"/>
            </w:tcBorders>
            <w:vAlign w:val="center"/>
          </w:tcPr>
          <w:p>
            <w:pPr>
              <w:spacing w:line="360" w:lineRule="auto"/>
              <w:rPr>
                <w:rFonts w:hint="eastAsia" w:cs="仿宋" w:asciiTheme="minorEastAsia" w:hAnsiTheme="minorEastAsia" w:eastAsiaTheme="minorEastAsia"/>
              </w:rPr>
            </w:pPr>
          </w:p>
        </w:tc>
      </w:tr>
    </w:tbl>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br w:type="page"/>
      </w:r>
    </w:p>
    <w:tbl>
      <w:tblPr>
        <w:tblStyle w:val="19"/>
        <w:tblW w:w="8710" w:type="dxa"/>
        <w:jc w:val="center"/>
        <w:tblLayout w:type="fixed"/>
        <w:tblCellMar>
          <w:top w:w="0" w:type="dxa"/>
          <w:left w:w="108" w:type="dxa"/>
          <w:bottom w:w="0" w:type="dxa"/>
          <w:right w:w="108" w:type="dxa"/>
        </w:tblCellMar>
      </w:tblPr>
      <w:tblGrid>
        <w:gridCol w:w="1278"/>
        <w:gridCol w:w="1605"/>
        <w:gridCol w:w="1418"/>
        <w:gridCol w:w="1417"/>
        <w:gridCol w:w="1091"/>
        <w:gridCol w:w="894"/>
        <w:gridCol w:w="1007"/>
      </w:tblGrid>
      <w:tr>
        <w:tblPrEx>
          <w:tblCellMar>
            <w:top w:w="0" w:type="dxa"/>
            <w:left w:w="108" w:type="dxa"/>
            <w:bottom w:w="0" w:type="dxa"/>
            <w:right w:w="108" w:type="dxa"/>
          </w:tblCellMar>
        </w:tblPrEx>
        <w:trPr>
          <w:trHeight w:val="400" w:hRule="atLeast"/>
          <w:jc w:val="center"/>
        </w:trPr>
        <w:tc>
          <w:tcPr>
            <w:tcW w:w="8710"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周巡检签到登记卡</w:t>
            </w:r>
          </w:p>
        </w:tc>
      </w:tr>
      <w:tr>
        <w:tblPrEx>
          <w:tblCellMar>
            <w:top w:w="0" w:type="dxa"/>
            <w:left w:w="108" w:type="dxa"/>
            <w:bottom w:w="0" w:type="dxa"/>
            <w:right w:w="108" w:type="dxa"/>
          </w:tblCellMar>
        </w:tblPrEx>
        <w:trPr>
          <w:trHeight w:val="400" w:hRule="atLeast"/>
          <w:jc w:val="center"/>
        </w:trPr>
        <w:tc>
          <w:tcPr>
            <w:tcW w:w="8710"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交通警察支队一类点视频一机一档录入情况             年      月     日</w:t>
            </w:r>
          </w:p>
        </w:tc>
      </w:tr>
      <w:tr>
        <w:tblPrEx>
          <w:tblCellMar>
            <w:top w:w="0" w:type="dxa"/>
            <w:left w:w="108" w:type="dxa"/>
            <w:bottom w:w="0" w:type="dxa"/>
            <w:right w:w="108" w:type="dxa"/>
          </w:tblCellMar>
        </w:tblPrEx>
        <w:trPr>
          <w:trHeight w:val="400" w:hRule="atLeast"/>
          <w:jc w:val="center"/>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主要巡检</w:t>
            </w:r>
          </w:p>
        </w:tc>
        <w:tc>
          <w:tcPr>
            <w:tcW w:w="16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巡检内容</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录入率</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未录入原因</w:t>
            </w:r>
          </w:p>
        </w:tc>
        <w:tc>
          <w:tcPr>
            <w:tcW w:w="10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处理结果</w:t>
            </w: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维护公司</w:t>
            </w:r>
          </w:p>
        </w:tc>
        <w:tc>
          <w:tcPr>
            <w:tcW w:w="100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巡检人</w:t>
            </w:r>
          </w:p>
        </w:tc>
      </w:tr>
      <w:tr>
        <w:tblPrEx>
          <w:tblCellMar>
            <w:top w:w="0" w:type="dxa"/>
            <w:left w:w="108" w:type="dxa"/>
            <w:bottom w:w="0" w:type="dxa"/>
            <w:right w:w="108" w:type="dxa"/>
          </w:tblCellMar>
        </w:tblPrEx>
        <w:trPr>
          <w:trHeight w:val="400" w:hRule="atLeast"/>
          <w:jc w:val="center"/>
        </w:trPr>
        <w:tc>
          <w:tcPr>
            <w:tcW w:w="1278" w:type="dxa"/>
            <w:vMerge w:val="restart"/>
            <w:tcBorders>
              <w:top w:val="nil"/>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交通警察支队一类点视频</w:t>
            </w: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宝安大队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大鹏大队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东部大队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福田大队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光明大队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机场大队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龙岗大队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龙华大队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罗湖大队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南山大队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坪山大队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深汕大队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西部大队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278" w:type="dxa"/>
            <w:vMerge w:val="continue"/>
            <w:tcBorders>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605"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盐田大队</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417"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1091"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94" w:type="dxa"/>
            <w:vMerge w:val="continue"/>
            <w:tcBorders>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1007" w:type="dxa"/>
            <w:vMerge w:val="continue"/>
            <w:tcBorders>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bl>
    <w:p>
      <w:pPr>
        <w:spacing w:line="360" w:lineRule="auto"/>
        <w:rPr>
          <w:rFonts w:hint="eastAsia" w:cs="仿宋" w:asciiTheme="minorEastAsia" w:hAnsiTheme="minorEastAsia" w:eastAsiaTheme="minorEastAsia"/>
        </w:rPr>
      </w:pPr>
    </w:p>
    <w:tbl>
      <w:tblPr>
        <w:tblStyle w:val="19"/>
        <w:tblW w:w="8545" w:type="dxa"/>
        <w:jc w:val="center"/>
        <w:tblLayout w:type="fixed"/>
        <w:tblCellMar>
          <w:top w:w="0" w:type="dxa"/>
          <w:left w:w="108" w:type="dxa"/>
          <w:bottom w:w="0" w:type="dxa"/>
          <w:right w:w="108" w:type="dxa"/>
        </w:tblCellMar>
      </w:tblPr>
      <w:tblGrid>
        <w:gridCol w:w="1134"/>
        <w:gridCol w:w="3117"/>
        <w:gridCol w:w="1006"/>
        <w:gridCol w:w="932"/>
        <w:gridCol w:w="732"/>
        <w:gridCol w:w="851"/>
        <w:gridCol w:w="773"/>
      </w:tblGrid>
      <w:tr>
        <w:tblPrEx>
          <w:tblCellMar>
            <w:top w:w="0" w:type="dxa"/>
            <w:left w:w="108" w:type="dxa"/>
            <w:bottom w:w="0" w:type="dxa"/>
            <w:right w:w="108" w:type="dxa"/>
          </w:tblCellMar>
        </w:tblPrEx>
        <w:trPr>
          <w:trHeight w:val="400" w:hRule="atLeast"/>
          <w:jc w:val="center"/>
        </w:trPr>
        <w:tc>
          <w:tcPr>
            <w:tcW w:w="8545"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月巡检签到登记卡</w:t>
            </w:r>
          </w:p>
        </w:tc>
      </w:tr>
      <w:tr>
        <w:tblPrEx>
          <w:tblCellMar>
            <w:top w:w="0" w:type="dxa"/>
            <w:left w:w="108" w:type="dxa"/>
            <w:bottom w:w="0" w:type="dxa"/>
            <w:right w:w="108" w:type="dxa"/>
          </w:tblCellMar>
        </w:tblPrEx>
        <w:trPr>
          <w:trHeight w:val="400" w:hRule="atLeast"/>
          <w:jc w:val="center"/>
        </w:trPr>
        <w:tc>
          <w:tcPr>
            <w:tcW w:w="8545"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交通警察支队已对接平台                            年      月     日</w:t>
            </w:r>
          </w:p>
        </w:tc>
      </w:tr>
      <w:tr>
        <w:tblPrEx>
          <w:tblCellMar>
            <w:top w:w="0" w:type="dxa"/>
            <w:left w:w="108" w:type="dxa"/>
            <w:bottom w:w="0" w:type="dxa"/>
            <w:right w:w="108" w:type="dxa"/>
          </w:tblCellMar>
        </w:tblPrEx>
        <w:trPr>
          <w:trHeight w:val="400"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主要</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w:t>
            </w:r>
          </w:p>
        </w:tc>
        <w:tc>
          <w:tcPr>
            <w:tcW w:w="31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巡检内容</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结果</w:t>
            </w:r>
          </w:p>
        </w:tc>
        <w:tc>
          <w:tcPr>
            <w:tcW w:w="93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故障原因</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处理结果</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维护公司</w:t>
            </w:r>
          </w:p>
        </w:tc>
        <w:tc>
          <w:tcPr>
            <w:tcW w:w="77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巡检人</w:t>
            </w:r>
          </w:p>
        </w:tc>
      </w:tr>
      <w:tr>
        <w:tblPrEx>
          <w:tblCellMar>
            <w:top w:w="0" w:type="dxa"/>
            <w:left w:w="108" w:type="dxa"/>
            <w:bottom w:w="0" w:type="dxa"/>
            <w:right w:w="108" w:type="dxa"/>
          </w:tblCellMar>
        </w:tblPrEx>
        <w:trPr>
          <w:trHeight w:val="400" w:hRule="atLeast"/>
          <w:jc w:val="center"/>
        </w:trPr>
        <w:tc>
          <w:tcPr>
            <w:tcW w:w="1134" w:type="dxa"/>
            <w:vMerge w:val="restart"/>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镜</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头</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国</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标</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共</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享</w:t>
            </w: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交警海康TIM平台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restart"/>
            <w:tcBorders>
              <w:top w:val="single" w:color="000000" w:sz="4" w:space="0"/>
              <w:left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交警集成指挥平台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交警省局平台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交警盐田政数局</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交警科达视频上墙监控平台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交警总队平台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交警南山信义平台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r>
        <w:tblPrEx>
          <w:tblCellMar>
            <w:top w:w="0" w:type="dxa"/>
            <w:left w:w="108" w:type="dxa"/>
            <w:bottom w:w="0" w:type="dxa"/>
            <w:right w:w="108" w:type="dxa"/>
          </w:tblCellMar>
        </w:tblPrEx>
        <w:trPr>
          <w:trHeight w:val="400" w:hRule="atLeast"/>
          <w:jc w:val="center"/>
        </w:trPr>
        <w:tc>
          <w:tcPr>
            <w:tcW w:w="1134" w:type="dxa"/>
            <w:vMerge w:val="continue"/>
            <w:tcBorders>
              <w:top w:val="nil"/>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3117" w:type="dxa"/>
            <w:tcBorders>
              <w:top w:val="single" w:color="000000" w:sz="4" w:space="0"/>
              <w:left w:val="single" w:color="000000" w:sz="4" w:space="0"/>
              <w:bottom w:val="single" w:color="000000" w:sz="4" w:space="0"/>
              <w:right w:val="single" w:color="000000" w:sz="4" w:space="0"/>
            </w:tcBorders>
            <w:vAlign w:val="bottom"/>
          </w:tcPr>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交警中电科事件检测平台</w:t>
            </w:r>
          </w:p>
        </w:tc>
        <w:tc>
          <w:tcPr>
            <w:tcW w:w="100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9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732" w:type="dxa"/>
            <w:tcBorders>
              <w:top w:val="single" w:color="000000" w:sz="4" w:space="0"/>
              <w:left w:val="single" w:color="000000" w:sz="4" w:space="0"/>
              <w:bottom w:val="single" w:color="000000" w:sz="4" w:space="0"/>
              <w:right w:val="single" w:color="000000" w:sz="4" w:space="0"/>
            </w:tcBorders>
          </w:tcPr>
          <w:p>
            <w:pPr>
              <w:spacing w:line="360" w:lineRule="auto"/>
              <w:rPr>
                <w:rFonts w:hint="eastAsia" w:cs="仿宋" w:asciiTheme="minorEastAsia" w:hAnsiTheme="minorEastAsia" w:eastAsiaTheme="minorEastAsia"/>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c>
          <w:tcPr>
            <w:tcW w:w="77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cs="仿宋" w:asciiTheme="minorEastAsia" w:hAnsiTheme="minorEastAsia" w:eastAsiaTheme="minorEastAsia"/>
              </w:rPr>
            </w:pPr>
          </w:p>
        </w:tc>
      </w:tr>
    </w:tbl>
    <w:p>
      <w:pPr>
        <w:spacing w:line="360" w:lineRule="auto"/>
        <w:rPr>
          <w:rFonts w:hint="eastAsia" w:cs="仿宋" w:asciiTheme="minorEastAsia" w:hAnsiTheme="minorEastAsia" w:eastAsiaTheme="minorEastAsia"/>
        </w:rPr>
      </w:pPr>
    </w:p>
    <w:p>
      <w:pPr>
        <w:pStyle w:val="10"/>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5"/>
          <w:jc w:val="center"/>
        </w:pP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eastAsia" w:eastAsia="宋体"/>
        <w:sz w:val="16"/>
        <w:szCs w:val="16"/>
        <w:lang w:eastAsia="zh-CN"/>
      </w:rPr>
    </w:pPr>
    <w:r>
      <w:rPr>
        <w:rFonts w:hint="eastAsia"/>
        <w:sz w:val="16"/>
        <w:szCs w:val="16"/>
      </w:rPr>
      <w:t>项目名称：</w:t>
    </w:r>
    <w:r>
      <w:rPr>
        <w:rFonts w:hint="eastAsia" w:ascii="宋体" w:hAnsi="宋体"/>
        <w:sz w:val="16"/>
        <w:szCs w:val="16"/>
        <w:lang w:eastAsia="zh-CN"/>
      </w:rPr>
      <w:t>2023年视频交警功能维护</w:t>
    </w:r>
    <w:r>
      <w:rPr>
        <w:rFonts w:hint="eastAsia" w:ascii="宋体" w:hAnsi="宋体"/>
        <w:sz w:val="16"/>
        <w:szCs w:val="16"/>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项目编号：</w:t>
    </w:r>
    <w:r>
      <w:rPr>
        <w:rFonts w:hint="eastAsia" w:asciiTheme="minorEastAsia" w:hAnsiTheme="minorEastAsia" w:eastAsiaTheme="minorEastAsia"/>
        <w:sz w:val="16"/>
        <w:szCs w:val="16"/>
        <w:lang w:eastAsia="zh-CN"/>
      </w:rPr>
      <w:t>SZZZ2023-QC0001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C987A"/>
    <w:multiLevelType w:val="singleLevel"/>
    <w:tmpl w:val="882C987A"/>
    <w:lvl w:ilvl="0" w:tentative="0">
      <w:start w:val="1"/>
      <w:numFmt w:val="chineseCounting"/>
      <w:suff w:val="nothing"/>
      <w:lvlText w:val="%1、"/>
      <w:lvlJc w:val="left"/>
      <w:rPr>
        <w:rFonts w:hint="eastAsia"/>
      </w:rPr>
    </w:lvl>
  </w:abstractNum>
  <w:abstractNum w:abstractNumId="1">
    <w:nsid w:val="ADFD3A00"/>
    <w:multiLevelType w:val="singleLevel"/>
    <w:tmpl w:val="ADFD3A00"/>
    <w:lvl w:ilvl="0" w:tentative="0">
      <w:start w:val="2"/>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lvlText w:val="%6."/>
      <w:lvlJc w:val="right"/>
      <w:pPr>
        <w:tabs>
          <w:tab w:val="left" w:pos="2531"/>
        </w:tabs>
        <w:ind w:left="2531" w:hanging="420"/>
      </w:pPr>
    </w:lvl>
    <w:lvl w:ilvl="6" w:tentative="0">
      <w:start w:val="1"/>
      <w:numFmt w:val="decimal"/>
      <w:lvlText w:val="%7."/>
      <w:lvlJc w:val="left"/>
      <w:pPr>
        <w:tabs>
          <w:tab w:val="left" w:pos="2951"/>
        </w:tabs>
        <w:ind w:left="2951" w:hanging="420"/>
      </w:pPr>
    </w:lvl>
    <w:lvl w:ilvl="7" w:tentative="0">
      <w:start w:val="1"/>
      <w:numFmt w:val="lowerLetter"/>
      <w:lvlText w:val="%8)"/>
      <w:lvlJc w:val="left"/>
      <w:pPr>
        <w:tabs>
          <w:tab w:val="left" w:pos="3371"/>
        </w:tabs>
        <w:ind w:left="3371" w:hanging="420"/>
      </w:pPr>
    </w:lvl>
    <w:lvl w:ilvl="8" w:tentative="0">
      <w:start w:val="1"/>
      <w:numFmt w:val="lowerRoman"/>
      <w:lvlText w:val="%9."/>
      <w:lvlJc w:val="right"/>
      <w:pPr>
        <w:tabs>
          <w:tab w:val="left" w:pos="3791"/>
        </w:tabs>
        <w:ind w:left="3791" w:hanging="420"/>
      </w:pPr>
    </w:lvl>
  </w:abstractNum>
  <w:abstractNum w:abstractNumId="3">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18D6364"/>
    <w:multiLevelType w:val="multilevel"/>
    <w:tmpl w:val="518D6364"/>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YjY1MDhkNjhjZDQwM2U0MzdkMTA3NjhhZTk5ZmEifQ=="/>
  </w:docVars>
  <w:rsids>
    <w:rsidRoot w:val="00081812"/>
    <w:rsid w:val="00000DEE"/>
    <w:rsid w:val="00000FB1"/>
    <w:rsid w:val="00001625"/>
    <w:rsid w:val="000042A9"/>
    <w:rsid w:val="0000490F"/>
    <w:rsid w:val="00007ECB"/>
    <w:rsid w:val="000111D4"/>
    <w:rsid w:val="00012B85"/>
    <w:rsid w:val="0001453B"/>
    <w:rsid w:val="00014E98"/>
    <w:rsid w:val="000159CF"/>
    <w:rsid w:val="00017530"/>
    <w:rsid w:val="00023CDD"/>
    <w:rsid w:val="0002500E"/>
    <w:rsid w:val="00027833"/>
    <w:rsid w:val="000309C1"/>
    <w:rsid w:val="00031BF4"/>
    <w:rsid w:val="00032DB0"/>
    <w:rsid w:val="00036165"/>
    <w:rsid w:val="00037412"/>
    <w:rsid w:val="00037D52"/>
    <w:rsid w:val="00042A65"/>
    <w:rsid w:val="00044855"/>
    <w:rsid w:val="00046786"/>
    <w:rsid w:val="00047E37"/>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4CF9"/>
    <w:rsid w:val="000A02CF"/>
    <w:rsid w:val="000A1CFD"/>
    <w:rsid w:val="000B1126"/>
    <w:rsid w:val="000B12D8"/>
    <w:rsid w:val="000B3159"/>
    <w:rsid w:val="000B44BC"/>
    <w:rsid w:val="000B59B4"/>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47E"/>
    <w:rsid w:val="000F5791"/>
    <w:rsid w:val="0010276A"/>
    <w:rsid w:val="001036FB"/>
    <w:rsid w:val="0010378A"/>
    <w:rsid w:val="00103A07"/>
    <w:rsid w:val="00103BD6"/>
    <w:rsid w:val="00103D0B"/>
    <w:rsid w:val="00103E57"/>
    <w:rsid w:val="00105AE0"/>
    <w:rsid w:val="00106334"/>
    <w:rsid w:val="001071FF"/>
    <w:rsid w:val="001075BE"/>
    <w:rsid w:val="00107717"/>
    <w:rsid w:val="0011046C"/>
    <w:rsid w:val="0011120F"/>
    <w:rsid w:val="00112047"/>
    <w:rsid w:val="001120AB"/>
    <w:rsid w:val="00113460"/>
    <w:rsid w:val="00113EC5"/>
    <w:rsid w:val="0011733C"/>
    <w:rsid w:val="001206C4"/>
    <w:rsid w:val="00120905"/>
    <w:rsid w:val="00120DDA"/>
    <w:rsid w:val="0012286F"/>
    <w:rsid w:val="001235DF"/>
    <w:rsid w:val="001253C1"/>
    <w:rsid w:val="001300A8"/>
    <w:rsid w:val="001307EF"/>
    <w:rsid w:val="00130FFD"/>
    <w:rsid w:val="00131B9B"/>
    <w:rsid w:val="00132477"/>
    <w:rsid w:val="0013247D"/>
    <w:rsid w:val="0013568E"/>
    <w:rsid w:val="0013577A"/>
    <w:rsid w:val="0013596A"/>
    <w:rsid w:val="001451A4"/>
    <w:rsid w:val="001504D1"/>
    <w:rsid w:val="00151DFD"/>
    <w:rsid w:val="0015310D"/>
    <w:rsid w:val="00155BE9"/>
    <w:rsid w:val="0016076C"/>
    <w:rsid w:val="00161DC5"/>
    <w:rsid w:val="00165708"/>
    <w:rsid w:val="001667AC"/>
    <w:rsid w:val="00166E7A"/>
    <w:rsid w:val="001713CD"/>
    <w:rsid w:val="001746A8"/>
    <w:rsid w:val="00174A8D"/>
    <w:rsid w:val="00180273"/>
    <w:rsid w:val="001802AD"/>
    <w:rsid w:val="001807E0"/>
    <w:rsid w:val="00180DC2"/>
    <w:rsid w:val="0018134E"/>
    <w:rsid w:val="00182643"/>
    <w:rsid w:val="001830D7"/>
    <w:rsid w:val="00183156"/>
    <w:rsid w:val="0018449F"/>
    <w:rsid w:val="00185010"/>
    <w:rsid w:val="001850C4"/>
    <w:rsid w:val="001906D1"/>
    <w:rsid w:val="0019175D"/>
    <w:rsid w:val="00192E27"/>
    <w:rsid w:val="00194764"/>
    <w:rsid w:val="00194B76"/>
    <w:rsid w:val="001970B8"/>
    <w:rsid w:val="00197685"/>
    <w:rsid w:val="0019777D"/>
    <w:rsid w:val="001A0D90"/>
    <w:rsid w:val="001A0EB6"/>
    <w:rsid w:val="001A1302"/>
    <w:rsid w:val="001A3D99"/>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2F40"/>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2082"/>
    <w:rsid w:val="00233DAC"/>
    <w:rsid w:val="0023490A"/>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285E"/>
    <w:rsid w:val="002C3E2A"/>
    <w:rsid w:val="002C54D8"/>
    <w:rsid w:val="002C5740"/>
    <w:rsid w:val="002C5B23"/>
    <w:rsid w:val="002C5F7F"/>
    <w:rsid w:val="002D285F"/>
    <w:rsid w:val="002D4AE6"/>
    <w:rsid w:val="002D51A5"/>
    <w:rsid w:val="002D5D83"/>
    <w:rsid w:val="002D6413"/>
    <w:rsid w:val="002D78BD"/>
    <w:rsid w:val="002E071E"/>
    <w:rsid w:val="002E6738"/>
    <w:rsid w:val="002F2CF6"/>
    <w:rsid w:val="002F30E6"/>
    <w:rsid w:val="002F323B"/>
    <w:rsid w:val="002F49D2"/>
    <w:rsid w:val="002F5D8F"/>
    <w:rsid w:val="002F5DF7"/>
    <w:rsid w:val="003007E9"/>
    <w:rsid w:val="00300F63"/>
    <w:rsid w:val="00302A03"/>
    <w:rsid w:val="00302EF1"/>
    <w:rsid w:val="00303151"/>
    <w:rsid w:val="0030484B"/>
    <w:rsid w:val="00305873"/>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5F8F"/>
    <w:rsid w:val="0039297C"/>
    <w:rsid w:val="00394101"/>
    <w:rsid w:val="003961A8"/>
    <w:rsid w:val="00397B90"/>
    <w:rsid w:val="003A0AF8"/>
    <w:rsid w:val="003A2361"/>
    <w:rsid w:val="003A2D80"/>
    <w:rsid w:val="003A2EE6"/>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369DE"/>
    <w:rsid w:val="004430A5"/>
    <w:rsid w:val="0044367E"/>
    <w:rsid w:val="00446C65"/>
    <w:rsid w:val="004501AD"/>
    <w:rsid w:val="0045273A"/>
    <w:rsid w:val="00453647"/>
    <w:rsid w:val="0045369C"/>
    <w:rsid w:val="00453EAF"/>
    <w:rsid w:val="00454312"/>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307"/>
    <w:rsid w:val="004C3BFC"/>
    <w:rsid w:val="004C4655"/>
    <w:rsid w:val="004C5A96"/>
    <w:rsid w:val="004D1E7C"/>
    <w:rsid w:val="004D21F9"/>
    <w:rsid w:val="004D3C88"/>
    <w:rsid w:val="004D3EFD"/>
    <w:rsid w:val="004D5193"/>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093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BAF"/>
    <w:rsid w:val="00581D61"/>
    <w:rsid w:val="00583885"/>
    <w:rsid w:val="0058457D"/>
    <w:rsid w:val="00584C51"/>
    <w:rsid w:val="005908A3"/>
    <w:rsid w:val="0059165F"/>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6E51"/>
    <w:rsid w:val="0061010F"/>
    <w:rsid w:val="0061337A"/>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4FA"/>
    <w:rsid w:val="00641597"/>
    <w:rsid w:val="00645DC0"/>
    <w:rsid w:val="00660043"/>
    <w:rsid w:val="006658FD"/>
    <w:rsid w:val="0067037C"/>
    <w:rsid w:val="006705E0"/>
    <w:rsid w:val="00670BEC"/>
    <w:rsid w:val="006724DC"/>
    <w:rsid w:val="0067485A"/>
    <w:rsid w:val="006755C2"/>
    <w:rsid w:val="00675C13"/>
    <w:rsid w:val="00680CAD"/>
    <w:rsid w:val="00681F30"/>
    <w:rsid w:val="00682237"/>
    <w:rsid w:val="00682B9C"/>
    <w:rsid w:val="0068357D"/>
    <w:rsid w:val="00683EB7"/>
    <w:rsid w:val="0068713A"/>
    <w:rsid w:val="006941AB"/>
    <w:rsid w:val="0069583C"/>
    <w:rsid w:val="00695B5B"/>
    <w:rsid w:val="006968E4"/>
    <w:rsid w:val="006A0A50"/>
    <w:rsid w:val="006A5038"/>
    <w:rsid w:val="006A535A"/>
    <w:rsid w:val="006A7A1E"/>
    <w:rsid w:val="006B009E"/>
    <w:rsid w:val="006B36EE"/>
    <w:rsid w:val="006B752A"/>
    <w:rsid w:val="006B7F97"/>
    <w:rsid w:val="006C29E2"/>
    <w:rsid w:val="006C3937"/>
    <w:rsid w:val="006C57C7"/>
    <w:rsid w:val="006C5E75"/>
    <w:rsid w:val="006C7615"/>
    <w:rsid w:val="006D0A65"/>
    <w:rsid w:val="006D0B4B"/>
    <w:rsid w:val="006D0B9C"/>
    <w:rsid w:val="006D0CD7"/>
    <w:rsid w:val="006D125F"/>
    <w:rsid w:val="006D5C23"/>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2BA"/>
    <w:rsid w:val="00710E18"/>
    <w:rsid w:val="00711D73"/>
    <w:rsid w:val="00712437"/>
    <w:rsid w:val="00712AB9"/>
    <w:rsid w:val="00712FBB"/>
    <w:rsid w:val="007202B8"/>
    <w:rsid w:val="007204CB"/>
    <w:rsid w:val="00725DCC"/>
    <w:rsid w:val="007264E7"/>
    <w:rsid w:val="00731470"/>
    <w:rsid w:val="00731E75"/>
    <w:rsid w:val="00733A4C"/>
    <w:rsid w:val="0073473A"/>
    <w:rsid w:val="00734C96"/>
    <w:rsid w:val="00734FEE"/>
    <w:rsid w:val="00736877"/>
    <w:rsid w:val="00740C34"/>
    <w:rsid w:val="007421A3"/>
    <w:rsid w:val="007458E4"/>
    <w:rsid w:val="00747A74"/>
    <w:rsid w:val="007516CF"/>
    <w:rsid w:val="00752B5B"/>
    <w:rsid w:val="00753B18"/>
    <w:rsid w:val="0075631C"/>
    <w:rsid w:val="00761B09"/>
    <w:rsid w:val="00762130"/>
    <w:rsid w:val="0076307E"/>
    <w:rsid w:val="0076411D"/>
    <w:rsid w:val="00770D90"/>
    <w:rsid w:val="00772F41"/>
    <w:rsid w:val="0077521B"/>
    <w:rsid w:val="00776554"/>
    <w:rsid w:val="007811AB"/>
    <w:rsid w:val="00785E4F"/>
    <w:rsid w:val="0078680E"/>
    <w:rsid w:val="0079173E"/>
    <w:rsid w:val="00792109"/>
    <w:rsid w:val="007928C7"/>
    <w:rsid w:val="00793E36"/>
    <w:rsid w:val="00794D26"/>
    <w:rsid w:val="007A0AF9"/>
    <w:rsid w:val="007A1673"/>
    <w:rsid w:val="007A458B"/>
    <w:rsid w:val="007A47AB"/>
    <w:rsid w:val="007A47D0"/>
    <w:rsid w:val="007A50AA"/>
    <w:rsid w:val="007B00AD"/>
    <w:rsid w:val="007B0760"/>
    <w:rsid w:val="007B58FB"/>
    <w:rsid w:val="007B6A98"/>
    <w:rsid w:val="007B7EE3"/>
    <w:rsid w:val="007C035E"/>
    <w:rsid w:val="007C0EC0"/>
    <w:rsid w:val="007C1F32"/>
    <w:rsid w:val="007C30E7"/>
    <w:rsid w:val="007C6BBE"/>
    <w:rsid w:val="007C75FA"/>
    <w:rsid w:val="007D0F9A"/>
    <w:rsid w:val="007D4329"/>
    <w:rsid w:val="007D4552"/>
    <w:rsid w:val="007D49B8"/>
    <w:rsid w:val="007D57B6"/>
    <w:rsid w:val="007D6457"/>
    <w:rsid w:val="007D660A"/>
    <w:rsid w:val="007D759B"/>
    <w:rsid w:val="007E1CC4"/>
    <w:rsid w:val="007E2D1B"/>
    <w:rsid w:val="007E377A"/>
    <w:rsid w:val="007E422B"/>
    <w:rsid w:val="007E6064"/>
    <w:rsid w:val="007E6F85"/>
    <w:rsid w:val="007F0A36"/>
    <w:rsid w:val="007F5B57"/>
    <w:rsid w:val="007F707C"/>
    <w:rsid w:val="0080097C"/>
    <w:rsid w:val="008030EA"/>
    <w:rsid w:val="00803317"/>
    <w:rsid w:val="008050C5"/>
    <w:rsid w:val="0081221B"/>
    <w:rsid w:val="008134A8"/>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85F9F"/>
    <w:rsid w:val="0089097C"/>
    <w:rsid w:val="008913F6"/>
    <w:rsid w:val="00893234"/>
    <w:rsid w:val="00893345"/>
    <w:rsid w:val="008978BC"/>
    <w:rsid w:val="00897B8F"/>
    <w:rsid w:val="008A00DE"/>
    <w:rsid w:val="008A1135"/>
    <w:rsid w:val="008A5579"/>
    <w:rsid w:val="008A7105"/>
    <w:rsid w:val="008B093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F0027"/>
    <w:rsid w:val="008F0BA2"/>
    <w:rsid w:val="008F13F4"/>
    <w:rsid w:val="008F2248"/>
    <w:rsid w:val="008F3946"/>
    <w:rsid w:val="008F429A"/>
    <w:rsid w:val="008F4809"/>
    <w:rsid w:val="008F4885"/>
    <w:rsid w:val="008F69B0"/>
    <w:rsid w:val="008F6DFC"/>
    <w:rsid w:val="00900FA9"/>
    <w:rsid w:val="00901C9D"/>
    <w:rsid w:val="0090254E"/>
    <w:rsid w:val="0090397D"/>
    <w:rsid w:val="00903B8A"/>
    <w:rsid w:val="0090531F"/>
    <w:rsid w:val="00906399"/>
    <w:rsid w:val="00907F35"/>
    <w:rsid w:val="0091449C"/>
    <w:rsid w:val="0091584E"/>
    <w:rsid w:val="00915C0A"/>
    <w:rsid w:val="00916394"/>
    <w:rsid w:val="00916C61"/>
    <w:rsid w:val="00917853"/>
    <w:rsid w:val="00920BE6"/>
    <w:rsid w:val="00920D54"/>
    <w:rsid w:val="00922E91"/>
    <w:rsid w:val="00924A4D"/>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76946"/>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CC9"/>
    <w:rsid w:val="009B2E8E"/>
    <w:rsid w:val="009B3004"/>
    <w:rsid w:val="009B348C"/>
    <w:rsid w:val="009B482A"/>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1EB4"/>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6DD"/>
    <w:rsid w:val="00A8789C"/>
    <w:rsid w:val="00A90111"/>
    <w:rsid w:val="00A9033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4770"/>
    <w:rsid w:val="00AC5AB5"/>
    <w:rsid w:val="00AC64D8"/>
    <w:rsid w:val="00AD12D2"/>
    <w:rsid w:val="00AD1729"/>
    <w:rsid w:val="00AD2774"/>
    <w:rsid w:val="00AD31A1"/>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846"/>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0851"/>
    <w:rsid w:val="00B91090"/>
    <w:rsid w:val="00B926B7"/>
    <w:rsid w:val="00B94A3A"/>
    <w:rsid w:val="00B95094"/>
    <w:rsid w:val="00BA5FF1"/>
    <w:rsid w:val="00BA7533"/>
    <w:rsid w:val="00BB7EDF"/>
    <w:rsid w:val="00BC04BD"/>
    <w:rsid w:val="00BC4096"/>
    <w:rsid w:val="00BC44EE"/>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11842"/>
    <w:rsid w:val="00C12994"/>
    <w:rsid w:val="00C1363B"/>
    <w:rsid w:val="00C14D24"/>
    <w:rsid w:val="00C1538F"/>
    <w:rsid w:val="00C15926"/>
    <w:rsid w:val="00C16139"/>
    <w:rsid w:val="00C17609"/>
    <w:rsid w:val="00C177ED"/>
    <w:rsid w:val="00C2265C"/>
    <w:rsid w:val="00C23420"/>
    <w:rsid w:val="00C3036E"/>
    <w:rsid w:val="00C30985"/>
    <w:rsid w:val="00C33BB9"/>
    <w:rsid w:val="00C3464B"/>
    <w:rsid w:val="00C35140"/>
    <w:rsid w:val="00C35A34"/>
    <w:rsid w:val="00C3715A"/>
    <w:rsid w:val="00C421FF"/>
    <w:rsid w:val="00C425BE"/>
    <w:rsid w:val="00C44F2B"/>
    <w:rsid w:val="00C45A03"/>
    <w:rsid w:val="00C545D3"/>
    <w:rsid w:val="00C54A8C"/>
    <w:rsid w:val="00C56388"/>
    <w:rsid w:val="00C5675C"/>
    <w:rsid w:val="00C571C0"/>
    <w:rsid w:val="00C61233"/>
    <w:rsid w:val="00C61911"/>
    <w:rsid w:val="00C627D8"/>
    <w:rsid w:val="00C62EB5"/>
    <w:rsid w:val="00C65EB9"/>
    <w:rsid w:val="00C66F20"/>
    <w:rsid w:val="00C718D9"/>
    <w:rsid w:val="00C72850"/>
    <w:rsid w:val="00C73632"/>
    <w:rsid w:val="00C75175"/>
    <w:rsid w:val="00C7543D"/>
    <w:rsid w:val="00C759F9"/>
    <w:rsid w:val="00C75EE7"/>
    <w:rsid w:val="00C777E7"/>
    <w:rsid w:val="00C81E92"/>
    <w:rsid w:val="00C82343"/>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2EF4"/>
    <w:rsid w:val="00D15CC8"/>
    <w:rsid w:val="00D20615"/>
    <w:rsid w:val="00D20796"/>
    <w:rsid w:val="00D2538D"/>
    <w:rsid w:val="00D268C9"/>
    <w:rsid w:val="00D301ED"/>
    <w:rsid w:val="00D313B0"/>
    <w:rsid w:val="00D319D4"/>
    <w:rsid w:val="00D32569"/>
    <w:rsid w:val="00D325E3"/>
    <w:rsid w:val="00D36569"/>
    <w:rsid w:val="00D36FBF"/>
    <w:rsid w:val="00D40062"/>
    <w:rsid w:val="00D405E7"/>
    <w:rsid w:val="00D4133A"/>
    <w:rsid w:val="00D436F6"/>
    <w:rsid w:val="00D440FF"/>
    <w:rsid w:val="00D44DD1"/>
    <w:rsid w:val="00D50BC2"/>
    <w:rsid w:val="00D515C2"/>
    <w:rsid w:val="00D53AD6"/>
    <w:rsid w:val="00D53B9C"/>
    <w:rsid w:val="00D5622E"/>
    <w:rsid w:val="00D570CE"/>
    <w:rsid w:val="00D66F14"/>
    <w:rsid w:val="00D679C1"/>
    <w:rsid w:val="00D67A9D"/>
    <w:rsid w:val="00D72E7C"/>
    <w:rsid w:val="00D7638B"/>
    <w:rsid w:val="00D76DCC"/>
    <w:rsid w:val="00D77CA0"/>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432A"/>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3797"/>
    <w:rsid w:val="00DE5AB2"/>
    <w:rsid w:val="00DE671D"/>
    <w:rsid w:val="00DE6EFC"/>
    <w:rsid w:val="00DF4497"/>
    <w:rsid w:val="00DF4D3B"/>
    <w:rsid w:val="00DF4E4D"/>
    <w:rsid w:val="00DF5BBF"/>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2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B7D51"/>
    <w:rsid w:val="00EC36BC"/>
    <w:rsid w:val="00ED2203"/>
    <w:rsid w:val="00ED2569"/>
    <w:rsid w:val="00ED25B1"/>
    <w:rsid w:val="00ED2B17"/>
    <w:rsid w:val="00ED7FAF"/>
    <w:rsid w:val="00EE0104"/>
    <w:rsid w:val="00EE07DA"/>
    <w:rsid w:val="00EE2AD2"/>
    <w:rsid w:val="00EE324B"/>
    <w:rsid w:val="00EE56CB"/>
    <w:rsid w:val="00EE6C48"/>
    <w:rsid w:val="00EF0079"/>
    <w:rsid w:val="00EF3E79"/>
    <w:rsid w:val="00EF4E25"/>
    <w:rsid w:val="00EF771A"/>
    <w:rsid w:val="00F009EB"/>
    <w:rsid w:val="00F03DD9"/>
    <w:rsid w:val="00F04AA4"/>
    <w:rsid w:val="00F06A8A"/>
    <w:rsid w:val="00F0761C"/>
    <w:rsid w:val="00F1054C"/>
    <w:rsid w:val="00F11975"/>
    <w:rsid w:val="00F1246B"/>
    <w:rsid w:val="00F243C8"/>
    <w:rsid w:val="00F24E11"/>
    <w:rsid w:val="00F26D6A"/>
    <w:rsid w:val="00F304A9"/>
    <w:rsid w:val="00F30C1A"/>
    <w:rsid w:val="00F31044"/>
    <w:rsid w:val="00F3139D"/>
    <w:rsid w:val="00F33F84"/>
    <w:rsid w:val="00F353F8"/>
    <w:rsid w:val="00F3568E"/>
    <w:rsid w:val="00F35A11"/>
    <w:rsid w:val="00F400ED"/>
    <w:rsid w:val="00F420CC"/>
    <w:rsid w:val="00F43840"/>
    <w:rsid w:val="00F43BBA"/>
    <w:rsid w:val="00F46253"/>
    <w:rsid w:val="00F50479"/>
    <w:rsid w:val="00F507CD"/>
    <w:rsid w:val="00F52083"/>
    <w:rsid w:val="00F52525"/>
    <w:rsid w:val="00F53C91"/>
    <w:rsid w:val="00F56191"/>
    <w:rsid w:val="00F577A8"/>
    <w:rsid w:val="00F6000A"/>
    <w:rsid w:val="00F64BB0"/>
    <w:rsid w:val="00F709AA"/>
    <w:rsid w:val="00F72CCB"/>
    <w:rsid w:val="00F75244"/>
    <w:rsid w:val="00F801B9"/>
    <w:rsid w:val="00F81F02"/>
    <w:rsid w:val="00F8304C"/>
    <w:rsid w:val="00F85A8C"/>
    <w:rsid w:val="00F903F4"/>
    <w:rsid w:val="00F90FCC"/>
    <w:rsid w:val="00F915F1"/>
    <w:rsid w:val="00F91721"/>
    <w:rsid w:val="00F920ED"/>
    <w:rsid w:val="00F95601"/>
    <w:rsid w:val="00FA07E3"/>
    <w:rsid w:val="00FA5879"/>
    <w:rsid w:val="00FA5CFA"/>
    <w:rsid w:val="00FB04D2"/>
    <w:rsid w:val="00FC3F5D"/>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6E5A"/>
    <w:rsid w:val="00FF7F98"/>
    <w:rsid w:val="01417ED0"/>
    <w:rsid w:val="016531D1"/>
    <w:rsid w:val="04967ABA"/>
    <w:rsid w:val="06124B79"/>
    <w:rsid w:val="0B4B5358"/>
    <w:rsid w:val="0B64211D"/>
    <w:rsid w:val="0BE91440"/>
    <w:rsid w:val="0DDB6F15"/>
    <w:rsid w:val="0E0911CC"/>
    <w:rsid w:val="100B7158"/>
    <w:rsid w:val="12A56C4A"/>
    <w:rsid w:val="14C866A5"/>
    <w:rsid w:val="15186782"/>
    <w:rsid w:val="16D2413C"/>
    <w:rsid w:val="185760F5"/>
    <w:rsid w:val="1B4A1C67"/>
    <w:rsid w:val="1D1C3424"/>
    <w:rsid w:val="1D3F5CF8"/>
    <w:rsid w:val="1DB549D5"/>
    <w:rsid w:val="1E671976"/>
    <w:rsid w:val="1E9602D4"/>
    <w:rsid w:val="1F874D8A"/>
    <w:rsid w:val="20C37B32"/>
    <w:rsid w:val="22392D42"/>
    <w:rsid w:val="25081A96"/>
    <w:rsid w:val="27323D42"/>
    <w:rsid w:val="2AF578DD"/>
    <w:rsid w:val="2AFB0177"/>
    <w:rsid w:val="2B7254AB"/>
    <w:rsid w:val="2B774A68"/>
    <w:rsid w:val="2CD30DAA"/>
    <w:rsid w:val="2F0E715B"/>
    <w:rsid w:val="31B85401"/>
    <w:rsid w:val="328E14B9"/>
    <w:rsid w:val="32A827E6"/>
    <w:rsid w:val="33590A0D"/>
    <w:rsid w:val="37866565"/>
    <w:rsid w:val="380145D2"/>
    <w:rsid w:val="39BD71D3"/>
    <w:rsid w:val="3A9E1150"/>
    <w:rsid w:val="3AB16C65"/>
    <w:rsid w:val="3AD544E9"/>
    <w:rsid w:val="3B2344B0"/>
    <w:rsid w:val="3C443C71"/>
    <w:rsid w:val="3ED83F87"/>
    <w:rsid w:val="3FDD483D"/>
    <w:rsid w:val="40017D8D"/>
    <w:rsid w:val="403B1435"/>
    <w:rsid w:val="40E45D03"/>
    <w:rsid w:val="436B0FC0"/>
    <w:rsid w:val="44187FD3"/>
    <w:rsid w:val="446E75ED"/>
    <w:rsid w:val="44C91833"/>
    <w:rsid w:val="45136D0D"/>
    <w:rsid w:val="4823782A"/>
    <w:rsid w:val="492D2D74"/>
    <w:rsid w:val="499524F4"/>
    <w:rsid w:val="4A6B6969"/>
    <w:rsid w:val="4B876EDE"/>
    <w:rsid w:val="4DA23BF2"/>
    <w:rsid w:val="4DB200A1"/>
    <w:rsid w:val="4E4B7E72"/>
    <w:rsid w:val="4ECE1A55"/>
    <w:rsid w:val="53D05DA1"/>
    <w:rsid w:val="54656664"/>
    <w:rsid w:val="55BD3B21"/>
    <w:rsid w:val="5835613F"/>
    <w:rsid w:val="589635DD"/>
    <w:rsid w:val="5B494DFB"/>
    <w:rsid w:val="5B4F32E3"/>
    <w:rsid w:val="5B734C0E"/>
    <w:rsid w:val="5D111766"/>
    <w:rsid w:val="5D853D9E"/>
    <w:rsid w:val="5ECE01B8"/>
    <w:rsid w:val="5FCB6071"/>
    <w:rsid w:val="61D830B5"/>
    <w:rsid w:val="62200AE8"/>
    <w:rsid w:val="62BB5D8E"/>
    <w:rsid w:val="64084829"/>
    <w:rsid w:val="646B48B3"/>
    <w:rsid w:val="65965302"/>
    <w:rsid w:val="67565A36"/>
    <w:rsid w:val="68815370"/>
    <w:rsid w:val="68B96DFC"/>
    <w:rsid w:val="6A236CE5"/>
    <w:rsid w:val="6C39522C"/>
    <w:rsid w:val="6D866611"/>
    <w:rsid w:val="6F3E65C1"/>
    <w:rsid w:val="716606CE"/>
    <w:rsid w:val="71E02129"/>
    <w:rsid w:val="71E11D56"/>
    <w:rsid w:val="71FD475B"/>
    <w:rsid w:val="740C0E97"/>
    <w:rsid w:val="74F72AA4"/>
    <w:rsid w:val="760D24CD"/>
    <w:rsid w:val="77684DA1"/>
    <w:rsid w:val="77812C28"/>
    <w:rsid w:val="78054671"/>
    <w:rsid w:val="780971C6"/>
    <w:rsid w:val="7DC964F0"/>
    <w:rsid w:val="7E466F0D"/>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51"/>
    <w:qFormat/>
    <w:uiPriority w:val="0"/>
    <w:pPr>
      <w:outlineLvl w:val="1"/>
    </w:pPr>
    <w:rPr>
      <w:rFonts w:ascii="Arial" w:hAnsi="Arial"/>
    </w:rPr>
  </w:style>
  <w:style w:type="paragraph" w:styleId="6">
    <w:name w:val="heading 3"/>
    <w:basedOn w:val="1"/>
    <w:next w:val="1"/>
    <w:link w:val="36"/>
    <w:semiHidden/>
    <w:unhideWhenUsed/>
    <w:qFormat/>
    <w:uiPriority w:val="9"/>
    <w:pPr>
      <w:spacing w:before="260" w:after="260" w:line="416" w:lineRule="auto"/>
      <w:outlineLvl w:val="2"/>
    </w:pPr>
    <w:rPr>
      <w:sz w:val="32"/>
      <w:szCs w:val="32"/>
    </w:rPr>
  </w:style>
  <w:style w:type="paragraph" w:styleId="7">
    <w:name w:val="heading 4"/>
    <w:basedOn w:val="1"/>
    <w:next w:val="1"/>
    <w:link w:val="37"/>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9"/>
    <w:qFormat/>
    <w:uiPriority w:val="0"/>
    <w:pPr>
      <w:keepNext/>
      <w:keepLines/>
      <w:numPr>
        <w:ilvl w:val="4"/>
        <w:numId w:val="1"/>
      </w:numPr>
      <w:tabs>
        <w:tab w:val="left" w:pos="371"/>
      </w:tabs>
      <w:spacing w:before="280" w:after="290" w:line="374" w:lineRule="auto"/>
      <w:outlineLvl w:val="4"/>
    </w:pPr>
    <w:rPr>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9">
    <w:name w:val="Normal Indent"/>
    <w:basedOn w:val="1"/>
    <w:next w:val="10"/>
    <w:qFormat/>
    <w:uiPriority w:val="0"/>
    <w:pPr>
      <w:ind w:firstLine="420" w:firstLineChars="200"/>
    </w:pPr>
  </w:style>
  <w:style w:type="paragraph" w:styleId="10">
    <w:name w:val="Body Text"/>
    <w:basedOn w:val="1"/>
    <w:next w:val="1"/>
    <w:unhideWhenUsed/>
    <w:qFormat/>
    <w:uiPriority w:val="99"/>
    <w:pPr>
      <w:spacing w:after="120"/>
    </w:pPr>
  </w:style>
  <w:style w:type="paragraph" w:styleId="11">
    <w:name w:val="annotation text"/>
    <w:basedOn w:val="1"/>
    <w:link w:val="30"/>
    <w:unhideWhenUsed/>
    <w:qFormat/>
    <w:uiPriority w:val="99"/>
    <w:pPr>
      <w:jc w:val="left"/>
    </w:pPr>
  </w:style>
  <w:style w:type="paragraph" w:styleId="12">
    <w:name w:val="Plain Text"/>
    <w:basedOn w:val="1"/>
    <w:link w:val="33"/>
    <w:qFormat/>
    <w:uiPriority w:val="0"/>
    <w:rPr>
      <w:rFonts w:ascii="宋体" w:hAnsi="Courier New" w:eastAsiaTheme="minorEastAsia" w:cstheme="minorBidi"/>
    </w:rPr>
  </w:style>
  <w:style w:type="paragraph" w:styleId="13">
    <w:name w:val="Date"/>
    <w:basedOn w:val="1"/>
    <w:next w:val="1"/>
    <w:link w:val="25"/>
    <w:qFormat/>
    <w:uiPriority w:val="0"/>
    <w:rPr>
      <w:rFonts w:ascii="宋体" w:hAnsi="Courier New"/>
      <w:kern w:val="0"/>
      <w:sz w:val="32"/>
      <w:szCs w:val="20"/>
    </w:rPr>
  </w:style>
  <w:style w:type="paragraph" w:styleId="14">
    <w:name w:val="Balloon Text"/>
    <w:basedOn w:val="1"/>
    <w:link w:val="26"/>
    <w:semiHidden/>
    <w:unhideWhenUsed/>
    <w:qFormat/>
    <w:uiPriority w:val="99"/>
    <w:rPr>
      <w:sz w:val="18"/>
      <w:szCs w:val="18"/>
    </w:rPr>
  </w:style>
  <w:style w:type="paragraph" w:styleId="15">
    <w:name w:val="footer"/>
    <w:basedOn w:val="1"/>
    <w:link w:val="28"/>
    <w:unhideWhenUsed/>
    <w:qFormat/>
    <w:uiPriority w:val="99"/>
    <w:pPr>
      <w:tabs>
        <w:tab w:val="center" w:pos="4153"/>
        <w:tab w:val="right" w:pos="8306"/>
      </w:tabs>
      <w:snapToGrid w:val="0"/>
      <w:jc w:val="left"/>
    </w:pPr>
    <w:rPr>
      <w:sz w:val="18"/>
      <w:szCs w:val="18"/>
    </w:rPr>
  </w:style>
  <w:style w:type="paragraph" w:styleId="1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annotation subject"/>
    <w:basedOn w:val="11"/>
    <w:next w:val="11"/>
    <w:link w:val="31"/>
    <w:semiHidden/>
    <w:unhideWhenUsed/>
    <w:qFormat/>
    <w:uiPriority w:val="99"/>
    <w:rPr>
      <w:b/>
      <w:bCs/>
    </w:rPr>
  </w:style>
  <w:style w:type="paragraph" w:styleId="18">
    <w:name w:val="Body Text First Indent"/>
    <w:basedOn w:val="10"/>
    <w:qFormat/>
    <w:uiPriority w:val="0"/>
    <w:pPr>
      <w:ind w:firstLine="420" w:firstLineChars="100"/>
    </w:pPr>
    <w:rPr>
      <w:sz w:val="20"/>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Hyperlink"/>
    <w:qFormat/>
    <w:uiPriority w:val="99"/>
    <w:rPr>
      <w:color w:val="0000FF"/>
      <w:u w:val="single"/>
    </w:rPr>
  </w:style>
  <w:style w:type="character" w:styleId="23">
    <w:name w:val="annotation reference"/>
    <w:basedOn w:val="21"/>
    <w:semiHidden/>
    <w:unhideWhenUsed/>
    <w:qFormat/>
    <w:uiPriority w:val="99"/>
    <w:rPr>
      <w:sz w:val="21"/>
      <w:szCs w:val="21"/>
    </w:rPr>
  </w:style>
  <w:style w:type="character" w:customStyle="1" w:styleId="24">
    <w:name w:val="日期 Char"/>
    <w:basedOn w:val="21"/>
    <w:qFormat/>
    <w:uiPriority w:val="0"/>
    <w:rPr>
      <w:rFonts w:ascii="宋体" w:hAnsi="Courier New" w:eastAsia="宋体" w:cs="Times New Roman"/>
      <w:kern w:val="0"/>
      <w:sz w:val="32"/>
      <w:szCs w:val="20"/>
    </w:rPr>
  </w:style>
  <w:style w:type="character" w:customStyle="1" w:styleId="25">
    <w:name w:val="日期 Char1"/>
    <w:basedOn w:val="21"/>
    <w:link w:val="13"/>
    <w:semiHidden/>
    <w:qFormat/>
    <w:uiPriority w:val="99"/>
    <w:rPr>
      <w:rFonts w:ascii="Calibri" w:hAnsi="Calibri" w:eastAsia="宋体" w:cs="Times New Roman"/>
    </w:rPr>
  </w:style>
  <w:style w:type="character" w:customStyle="1" w:styleId="26">
    <w:name w:val="批注框文本 Char"/>
    <w:basedOn w:val="21"/>
    <w:link w:val="14"/>
    <w:semiHidden/>
    <w:qFormat/>
    <w:uiPriority w:val="99"/>
    <w:rPr>
      <w:rFonts w:ascii="Calibri" w:hAnsi="Calibri" w:eastAsia="宋体" w:cs="Times New Roman"/>
      <w:sz w:val="18"/>
      <w:szCs w:val="18"/>
    </w:rPr>
  </w:style>
  <w:style w:type="character" w:customStyle="1" w:styleId="27">
    <w:name w:val="页眉 Char"/>
    <w:basedOn w:val="21"/>
    <w:link w:val="16"/>
    <w:qFormat/>
    <w:uiPriority w:val="99"/>
    <w:rPr>
      <w:rFonts w:ascii="Calibri" w:hAnsi="Calibri" w:eastAsia="宋体" w:cs="Times New Roman"/>
      <w:sz w:val="18"/>
      <w:szCs w:val="18"/>
    </w:rPr>
  </w:style>
  <w:style w:type="character" w:customStyle="1" w:styleId="28">
    <w:name w:val="页脚 Char"/>
    <w:basedOn w:val="21"/>
    <w:link w:val="15"/>
    <w:qFormat/>
    <w:uiPriority w:val="99"/>
    <w:rPr>
      <w:rFonts w:ascii="Calibri" w:hAnsi="Calibri" w:eastAsia="宋体" w:cs="Times New Roman"/>
      <w:sz w:val="18"/>
      <w:szCs w:val="18"/>
    </w:rPr>
  </w:style>
  <w:style w:type="character" w:customStyle="1" w:styleId="29">
    <w:name w:val="标题 1 Char"/>
    <w:basedOn w:val="21"/>
    <w:link w:val="4"/>
    <w:qFormat/>
    <w:uiPriority w:val="0"/>
    <w:rPr>
      <w:rFonts w:ascii="宋体" w:hAnsi="Calibri" w:eastAsia="宋体" w:cs="Times New Roman"/>
      <w:color w:val="000000"/>
      <w:sz w:val="28"/>
      <w:szCs w:val="20"/>
    </w:rPr>
  </w:style>
  <w:style w:type="character" w:customStyle="1" w:styleId="30">
    <w:name w:val="批注文字 Char"/>
    <w:basedOn w:val="21"/>
    <w:link w:val="11"/>
    <w:qFormat/>
    <w:uiPriority w:val="99"/>
    <w:rPr>
      <w:rFonts w:ascii="Calibri" w:hAnsi="Calibri" w:eastAsia="宋体" w:cs="Times New Roman"/>
    </w:rPr>
  </w:style>
  <w:style w:type="character" w:customStyle="1" w:styleId="31">
    <w:name w:val="批注主题 Char"/>
    <w:basedOn w:val="30"/>
    <w:link w:val="17"/>
    <w:semiHidden/>
    <w:qFormat/>
    <w:uiPriority w:val="99"/>
    <w:rPr>
      <w:rFonts w:ascii="Calibri" w:hAnsi="Calibri" w:eastAsia="宋体" w:cs="Times New Roman"/>
      <w:b/>
      <w:bCs/>
    </w:rPr>
  </w:style>
  <w:style w:type="character" w:customStyle="1" w:styleId="32">
    <w:name w:val="纯文本 Char"/>
    <w:qFormat/>
    <w:uiPriority w:val="0"/>
    <w:rPr>
      <w:rFonts w:ascii="宋体" w:hAnsi="Courier New"/>
    </w:rPr>
  </w:style>
  <w:style w:type="character" w:customStyle="1" w:styleId="33">
    <w:name w:val="纯文本 Char1"/>
    <w:basedOn w:val="21"/>
    <w:link w:val="12"/>
    <w:semiHidden/>
    <w:qFormat/>
    <w:uiPriority w:val="99"/>
    <w:rPr>
      <w:rFonts w:ascii="宋体" w:hAnsi="Courier New" w:eastAsia="宋体" w:cs="Courier New"/>
      <w:szCs w:val="21"/>
    </w:rPr>
  </w:style>
  <w:style w:type="character" w:customStyle="1" w:styleId="34">
    <w:name w:val="标题 2 Char"/>
    <w:basedOn w:val="21"/>
    <w:link w:val="5"/>
    <w:qFormat/>
    <w:uiPriority w:val="0"/>
    <w:rPr>
      <w:rFonts w:ascii="Arial" w:hAnsi="Arial" w:eastAsia="宋体" w:cs="Times New Roman"/>
      <w:b/>
      <w:bCs/>
      <w:sz w:val="32"/>
      <w:szCs w:val="32"/>
    </w:rPr>
  </w:style>
  <w:style w:type="paragraph" w:styleId="35">
    <w:name w:val="List Paragraph"/>
    <w:basedOn w:val="1"/>
    <w:qFormat/>
    <w:uiPriority w:val="34"/>
    <w:pPr>
      <w:ind w:firstLine="420" w:firstLineChars="200"/>
    </w:pPr>
  </w:style>
  <w:style w:type="character" w:customStyle="1" w:styleId="36">
    <w:name w:val="标题 3 Char"/>
    <w:basedOn w:val="21"/>
    <w:link w:val="6"/>
    <w:semiHidden/>
    <w:qFormat/>
    <w:uiPriority w:val="9"/>
    <w:rPr>
      <w:rFonts w:ascii="Calibri" w:hAnsi="Calibri" w:eastAsia="宋体" w:cs="Times New Roman"/>
      <w:b/>
      <w:bCs/>
      <w:sz w:val="32"/>
      <w:szCs w:val="32"/>
    </w:rPr>
  </w:style>
  <w:style w:type="character" w:customStyle="1" w:styleId="37">
    <w:name w:val="标题 4 Char"/>
    <w:basedOn w:val="21"/>
    <w:link w:val="7"/>
    <w:qFormat/>
    <w:uiPriority w:val="0"/>
    <w:rPr>
      <w:rFonts w:ascii="Cambria" w:hAnsi="Cambria" w:eastAsia="宋体" w:cs="Times New Roman"/>
      <w:b/>
      <w:bCs/>
      <w:sz w:val="28"/>
      <w:szCs w:val="28"/>
    </w:r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2"/>
    <w:qFormat/>
    <w:uiPriority w:val="0"/>
    <w:rPr>
      <w:rFonts w:ascii="宋体" w:hAnsi="Courier New"/>
      <w:szCs w:val="20"/>
    </w:rPr>
  </w:style>
  <w:style w:type="paragraph" w:customStyle="1" w:styleId="40">
    <w:name w:val="8"/>
    <w:basedOn w:val="1"/>
    <w:next w:val="12"/>
    <w:qFormat/>
    <w:uiPriority w:val="0"/>
    <w:rPr>
      <w:rFonts w:ascii="宋体" w:hAnsi="Courier New"/>
      <w:szCs w:val="20"/>
    </w:rPr>
  </w:style>
  <w:style w:type="paragraph" w:customStyle="1" w:styleId="41">
    <w:name w:val="_Style 55"/>
    <w:basedOn w:val="1"/>
    <w:next w:val="12"/>
    <w:qFormat/>
    <w:uiPriority w:val="0"/>
    <w:rPr>
      <w:rFonts w:ascii="宋体" w:hAnsi="Courier New"/>
      <w:szCs w:val="20"/>
    </w:rPr>
  </w:style>
  <w:style w:type="paragraph" w:customStyle="1" w:styleId="42">
    <w:name w:val="7"/>
    <w:basedOn w:val="1"/>
    <w:next w:val="12"/>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paragraph" w:customStyle="1" w:styleId="44">
    <w:name w:val="列出段落1"/>
    <w:basedOn w:val="1"/>
    <w:qFormat/>
    <w:uiPriority w:val="0"/>
    <w:pPr>
      <w:ind w:firstLine="420" w:firstLineChars="200"/>
    </w:pPr>
    <w:rPr>
      <w:rFonts w:cs="Calibri"/>
      <w:szCs w:val="21"/>
    </w:rPr>
  </w:style>
  <w:style w:type="character" w:customStyle="1" w:styleId="45">
    <w:name w:val="font01"/>
    <w:basedOn w:val="21"/>
    <w:qFormat/>
    <w:uiPriority w:val="0"/>
    <w:rPr>
      <w:rFonts w:hint="eastAsia" w:ascii="宋体" w:hAnsi="宋体" w:eastAsia="宋体" w:cs="宋体"/>
      <w:color w:val="000000"/>
      <w:sz w:val="20"/>
      <w:szCs w:val="20"/>
      <w:u w:val="none"/>
    </w:rPr>
  </w:style>
  <w:style w:type="paragraph" w:customStyle="1" w:styleId="46">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47">
    <w:name w:val="Table Paragraph"/>
    <w:basedOn w:val="1"/>
    <w:qFormat/>
    <w:uiPriority w:val="1"/>
    <w:rPr>
      <w:rFonts w:ascii="宋体" w:hAnsi="宋体" w:cs="宋体"/>
      <w:lang w:val="zh-CN" w:bidi="zh-CN"/>
    </w:rPr>
  </w:style>
  <w:style w:type="paragraph" w:customStyle="1" w:styleId="48">
    <w:name w:val="修订1"/>
    <w:hidden/>
    <w:semiHidden/>
    <w:qFormat/>
    <w:uiPriority w:val="99"/>
    <w:rPr>
      <w:rFonts w:ascii="Calibri" w:hAnsi="Calibri" w:eastAsia="宋体" w:cs="Times New Roman"/>
      <w:kern w:val="2"/>
      <w:sz w:val="21"/>
      <w:szCs w:val="22"/>
      <w:lang w:val="en-US" w:eastAsia="zh-CN" w:bidi="ar-SA"/>
    </w:rPr>
  </w:style>
  <w:style w:type="paragraph" w:customStyle="1" w:styleId="49">
    <w:name w:val="修订2"/>
    <w:hidden/>
    <w:semiHidden/>
    <w:qFormat/>
    <w:uiPriority w:val="99"/>
    <w:rPr>
      <w:rFonts w:ascii="Calibri" w:hAnsi="Calibri" w:eastAsia="宋体" w:cs="Times New Roman"/>
      <w:kern w:val="2"/>
      <w:sz w:val="21"/>
      <w:szCs w:val="22"/>
      <w:lang w:val="en-US" w:eastAsia="zh-CN" w:bidi="ar-SA"/>
    </w:rPr>
  </w:style>
  <w:style w:type="paragraph" w:customStyle="1" w:styleId="50">
    <w:name w:val="4"/>
    <w:basedOn w:val="1"/>
    <w:next w:val="1"/>
    <w:qFormat/>
    <w:uiPriority w:val="0"/>
  </w:style>
  <w:style w:type="character" w:customStyle="1" w:styleId="51">
    <w:name w:val="标题 2 字符"/>
    <w:link w:val="5"/>
    <w:qFormat/>
    <w:uiPriority w:val="0"/>
    <w:rPr>
      <w:kern w:val="0"/>
      <w:sz w:val="24"/>
      <w:szCs w:val="20"/>
    </w:rPr>
  </w:style>
  <w:style w:type="paragraph" w:customStyle="1" w:styleId="52">
    <w:name w:val="列表段落1"/>
    <w:basedOn w:val="1"/>
    <w:qFormat/>
    <w:uiPriority w:val="0"/>
    <w:pPr>
      <w:ind w:firstLine="420" w:firstLineChars="200"/>
    </w:pPr>
    <w:rPr>
      <w:szCs w:val="20"/>
    </w:rPr>
  </w:style>
  <w:style w:type="paragraph" w:customStyle="1" w:styleId="53">
    <w:name w:val="Header or footer|1"/>
    <w:basedOn w:val="1"/>
    <w:qFormat/>
    <w:uiPriority w:val="0"/>
    <w:rPr>
      <w:sz w:val="28"/>
      <w:szCs w:val="2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CAB2B-F48F-4998-9E01-BE073536ED1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75</Pages>
  <Words>34027</Words>
  <Characters>35709</Characters>
  <Lines>307</Lines>
  <Paragraphs>86</Paragraphs>
  <TotalTime>104</TotalTime>
  <ScaleCrop>false</ScaleCrop>
  <LinksUpToDate>false</LinksUpToDate>
  <CharactersWithSpaces>37554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mue祢</cp:lastModifiedBy>
  <cp:lastPrinted>2023-01-09T09:56:56Z</cp:lastPrinted>
  <dcterms:modified xsi:type="dcterms:W3CDTF">2023-01-09T09:57:01Z</dcterms:modified>
  <cp:revision>1552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7F2EB599E75A4603A094BA1A9DC38B18</vt:lpwstr>
  </property>
</Properties>
</file>