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IT综合运维平台及超融合平台维保服务（2025）</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项目编号：CGXM-2024-005914</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55AF9D16">
      <w:pPr>
        <w:pStyle w:val="28"/>
        <w:adjustRightInd w:val="0"/>
        <w:snapToGrid w:val="0"/>
        <w:spacing w:line="300" w:lineRule="auto"/>
        <w:ind w:hanging="835"/>
        <w:jc w:val="center"/>
        <w:rPr>
          <w:b/>
          <w:snapToGrid w:val="0"/>
          <w:sz w:val="30"/>
        </w:rPr>
      </w:pPr>
    </w:p>
    <w:p w14:paraId="517B1836">
      <w:pPr>
        <w:pStyle w:val="28"/>
        <w:adjustRightInd w:val="0"/>
        <w:snapToGrid w:val="0"/>
        <w:spacing w:line="300" w:lineRule="auto"/>
        <w:ind w:hanging="835"/>
        <w:jc w:val="center"/>
        <w:rPr>
          <w:b/>
          <w:snapToGrid w:val="0"/>
          <w:sz w:val="30"/>
        </w:rPr>
      </w:pPr>
    </w:p>
    <w:p w14:paraId="092996B8">
      <w:pPr>
        <w:pStyle w:val="28"/>
        <w:adjustRightInd w:val="0"/>
        <w:snapToGrid w:val="0"/>
        <w:spacing w:line="300" w:lineRule="auto"/>
        <w:ind w:hanging="835"/>
        <w:jc w:val="center"/>
        <w:rPr>
          <w:rFonts w:asciiTheme="minorEastAsia" w:hAnsiTheme="minorEastAsia" w:eastAsiaTheme="minorEastAsia"/>
          <w:b/>
          <w:bCs/>
          <w:sz w:val="44"/>
          <w:szCs w:val="44"/>
        </w:rPr>
      </w:pPr>
      <w:r>
        <w:rPr>
          <w:rFonts w:hint="eastAsia"/>
          <w:b/>
          <w:snapToGrid w:val="0"/>
          <w:sz w:val="30"/>
        </w:rPr>
        <w:t>二〇二五年四月</w:t>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033404C5">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1287C094">
          <w:pPr>
            <w:pStyle w:val="34"/>
            <w:tabs>
              <w:tab w:val="right" w:leader="dot" w:pos="9628"/>
            </w:tabs>
            <w:rPr>
              <w:rFonts w:ascii="仿宋_GB2312" w:eastAsia="仿宋_GB2312"/>
              <w:sz w:val="24"/>
            </w:rPr>
          </w:pPr>
        </w:p>
        <w:p w14:paraId="3FA3563A">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506FE7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56B3164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8A0E58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2F6F9D0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98EDDF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19142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CA96B07">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9547D09">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13ABE4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6D974A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602A35B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7C6724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3</w:t>
          </w:r>
        </w:p>
        <w:p w14:paraId="742C7D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4</w:t>
          </w:r>
        </w:p>
        <w:p w14:paraId="738A99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6</w:t>
          </w:r>
        </w:p>
        <w:p w14:paraId="2720384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8</w:t>
          </w:r>
        </w:p>
        <w:p w14:paraId="163A8B7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0</w:t>
          </w:r>
        </w:p>
        <w:p w14:paraId="77C9759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1</w:t>
          </w:r>
        </w:p>
        <w:p w14:paraId="54D343D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48D0B33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0BAC6C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60651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575B9EA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088E51B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3A5AFD2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AFB92A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7949D7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6FB625D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F2185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48EABED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IT综合运维平台及超融合平台维保服务（2025）</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CGXM-2024-005914</w:t>
      </w:r>
    </w:p>
    <w:p w14:paraId="17E6EF6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2、项目名称：IT综合运维平台及超融合平台维保服务（2025）</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4、预算金额：人民币280,000.00元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5、最高限价：人民币280,000.00元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IT综合运维平台及超融合平台维保服务（2025）</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4E882FD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60340FB">
      <w:pPr>
        <w:pStyle w:val="453"/>
        <w:adjustRightInd w:val="0"/>
        <w:snapToGrid w:val="0"/>
        <w:spacing w:before="0" w:beforeAutospacing="0" w:after="0" w:afterAutospacing="0" w:line="360" w:lineRule="auto"/>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B78E85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362BE90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1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2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日14点30分（北京时间）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65573A7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3）深圳职业技术大学采购中心网站（zhaobiao.szpu.edu.cn/）。</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3D2102F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联系方式：赵老师，0755-26019676</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EC4D45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223381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bookmarkStart w:id="119" w:name="_GoBack"/>
      <w:bookmarkEnd w:id="119"/>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16</w:t>
      </w:r>
      <w:r>
        <w:rPr>
          <w:rFonts w:hint="eastAsia" w:ascii="宋体" w:hAnsi="宋体"/>
          <w:snapToGrid w:val="0"/>
          <w:kern w:val="0"/>
          <w:sz w:val="24"/>
        </w:rPr>
        <w:t>日</w:t>
      </w:r>
      <w:bookmarkStart w:id="3" w:name="_Toc135293160"/>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IT综合运维平台及超融合平台维保服务（2025）</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280,000.00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670755A5">
      <w:pPr>
        <w:spacing w:line="360" w:lineRule="auto"/>
        <w:ind w:firstLine="435"/>
        <w:rPr>
          <w:rFonts w:asciiTheme="minorEastAsia" w:hAnsiTheme="minorEastAsia" w:eastAsiaTheme="minorEastAsia" w:cstheme="minorEastAsia"/>
          <w:szCs w:val="21"/>
        </w:rPr>
      </w:pPr>
      <w:bookmarkStart w:id="8" w:name="OLE_LINK106"/>
      <w:bookmarkStart w:id="9" w:name="OLE_LINK105"/>
      <w:r>
        <w:rPr>
          <w:rFonts w:hint="eastAsia" w:asciiTheme="minorEastAsia" w:hAnsiTheme="minorEastAsia" w:eastAsiaTheme="minorEastAsia" w:cstheme="minorEastAsia"/>
          <w:szCs w:val="21"/>
        </w:rPr>
        <w:t>IT综合运维平台于2021年4月建设完成，对采购人机房、网络环境、服务器、业务应用等资源进行全面监控，推动运维流程与业务融合，提供事件处理平台，实现各类资源监控信息的集中展示，IT综合运维平台7x24监控各系统运行情况，告警故障等问题快速发现、快速解决。</w:t>
      </w:r>
    </w:p>
    <w:p w14:paraId="635C977F">
      <w:pPr>
        <w:spacing w:line="360" w:lineRule="auto"/>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套超融合平台分别承载了采购人数据共享与交换平台、云桌面等应用软件系统及数据存储。其中数据共享与交换平台作为基础数据中心，为全校各个系统提供数据支撑，提供7x24小时不间断服务；云桌面主要为老师和各项目运维及工程人员提供集中办公桌面，保障日常办公及运维需要；以上软件系统对超融合平台的稳定性、安全性、可靠性要求都比较高。</w:t>
      </w:r>
    </w:p>
    <w:p w14:paraId="45749A71">
      <w:pPr>
        <w:spacing w:line="360" w:lineRule="auto"/>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另外包含扩容的一批服务器、防火墙等设备，截止本年度设备维保将到期。</w:t>
      </w:r>
    </w:p>
    <w:p w14:paraId="682877D6">
      <w:pPr>
        <w:pStyle w:val="506"/>
        <w:wordWrap/>
        <w:spacing w:afterLines="0" w:line="360" w:lineRule="auto"/>
        <w:ind w:firstLine="43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本项目针对IT综合运维平台、超融合平台、云桌面系统、设备扩容提供维保服务，</w:t>
      </w:r>
      <w:r>
        <w:rPr>
          <w:rFonts w:hint="eastAsia" w:asciiTheme="minorEastAsia" w:hAnsiTheme="minorEastAsia" w:eastAsiaTheme="minorEastAsia" w:cstheme="minorEastAsia"/>
          <w:color w:val="000000"/>
          <w:sz w:val="21"/>
          <w:szCs w:val="21"/>
        </w:rPr>
        <w:t>以优化IT环境，提升运维效率，保障采购人信息化软、硬件稳定性及业务可用性</w:t>
      </w:r>
      <w:bookmarkEnd w:id="8"/>
      <w:bookmarkEnd w:id="9"/>
      <w:r>
        <w:rPr>
          <w:rFonts w:hint="eastAsia" w:asciiTheme="minorEastAsia" w:hAnsiTheme="minorEastAsia" w:eastAsiaTheme="minorEastAsia" w:cstheme="minorEastAsia"/>
          <w:sz w:val="21"/>
          <w:szCs w:val="21"/>
        </w:rPr>
        <w:t>。</w:t>
      </w:r>
    </w:p>
    <w:p w14:paraId="28C32890">
      <w:pPr>
        <w:pStyle w:val="506"/>
        <w:wordWrap/>
        <w:spacing w:afterLines="0" w:line="360" w:lineRule="auto"/>
        <w:ind w:firstLine="436"/>
        <w:rPr>
          <w:rFonts w:asciiTheme="minorEastAsia" w:hAnsiTheme="minorEastAsia" w:eastAsiaTheme="minorEastAsia" w:cstheme="minorEastAsia"/>
          <w:sz w:val="21"/>
          <w:szCs w:val="21"/>
        </w:rPr>
      </w:pPr>
    </w:p>
    <w:p w14:paraId="105A0AED">
      <w:pPr>
        <w:pStyle w:val="321"/>
        <w:ind w:firstLine="0" w:firstLineChars="0"/>
        <w:rPr>
          <w:b/>
        </w:rPr>
      </w:pPr>
      <w:r>
        <w:rPr>
          <w:rFonts w:hint="eastAsia"/>
          <w:b/>
        </w:rPr>
        <w:t>二、项目服务要求</w:t>
      </w:r>
    </w:p>
    <w:p w14:paraId="0B4DA13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（一）服务项目清单：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520"/>
        <w:gridCol w:w="1530"/>
        <w:gridCol w:w="1515"/>
      </w:tblGrid>
      <w:tr w14:paraId="18A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6" w:type="dxa"/>
            <w:vAlign w:val="center"/>
          </w:tcPr>
          <w:p w14:paraId="46E49C40">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序号</w:t>
            </w:r>
          </w:p>
        </w:tc>
        <w:tc>
          <w:tcPr>
            <w:tcW w:w="5520" w:type="dxa"/>
            <w:vAlign w:val="center"/>
          </w:tcPr>
          <w:p w14:paraId="7657C757">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服务名称</w:t>
            </w:r>
          </w:p>
        </w:tc>
        <w:tc>
          <w:tcPr>
            <w:tcW w:w="1530" w:type="dxa"/>
            <w:vAlign w:val="center"/>
          </w:tcPr>
          <w:p w14:paraId="0845F43E">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数量</w:t>
            </w:r>
          </w:p>
        </w:tc>
        <w:tc>
          <w:tcPr>
            <w:tcW w:w="1515" w:type="dxa"/>
            <w:vAlign w:val="center"/>
          </w:tcPr>
          <w:p w14:paraId="13020DF6">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单位</w:t>
            </w:r>
          </w:p>
        </w:tc>
      </w:tr>
      <w:tr w14:paraId="60DC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6" w:type="dxa"/>
            <w:vAlign w:val="center"/>
          </w:tcPr>
          <w:p w14:paraId="7B10CE3C">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szCs w:val="21"/>
              </w:rPr>
              <w:t>1</w:t>
            </w:r>
          </w:p>
        </w:tc>
        <w:tc>
          <w:tcPr>
            <w:tcW w:w="5520" w:type="dxa"/>
            <w:vAlign w:val="center"/>
          </w:tcPr>
          <w:p w14:paraId="19684C18">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IT综合运维平台维保</w:t>
            </w:r>
          </w:p>
        </w:tc>
        <w:tc>
          <w:tcPr>
            <w:tcW w:w="1530" w:type="dxa"/>
            <w:vAlign w:val="center"/>
          </w:tcPr>
          <w:p w14:paraId="2E004C0F">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1</w:t>
            </w:r>
          </w:p>
        </w:tc>
        <w:tc>
          <w:tcPr>
            <w:tcW w:w="1515" w:type="dxa"/>
            <w:vAlign w:val="center"/>
          </w:tcPr>
          <w:p w14:paraId="31C178E0">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项</w:t>
            </w:r>
          </w:p>
        </w:tc>
      </w:tr>
      <w:tr w14:paraId="7F36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6" w:type="dxa"/>
            <w:vAlign w:val="center"/>
          </w:tcPr>
          <w:p w14:paraId="03A4A0C3">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szCs w:val="21"/>
              </w:rPr>
              <w:t>2</w:t>
            </w:r>
          </w:p>
        </w:tc>
        <w:tc>
          <w:tcPr>
            <w:tcW w:w="5520" w:type="dxa"/>
            <w:vAlign w:val="center"/>
          </w:tcPr>
          <w:p w14:paraId="733FE29F">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color w:val="000000"/>
                <w:szCs w:val="21"/>
                <w:shd w:val="clear" w:color="auto" w:fill="FFFFFF"/>
              </w:rPr>
              <w:t>超融合平台和云桌面维保服务</w:t>
            </w:r>
          </w:p>
        </w:tc>
        <w:tc>
          <w:tcPr>
            <w:tcW w:w="1530" w:type="dxa"/>
            <w:vAlign w:val="center"/>
          </w:tcPr>
          <w:p w14:paraId="6FBFAC51">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1</w:t>
            </w:r>
          </w:p>
        </w:tc>
        <w:tc>
          <w:tcPr>
            <w:tcW w:w="1515" w:type="dxa"/>
            <w:vAlign w:val="center"/>
          </w:tcPr>
          <w:p w14:paraId="4A79450A">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项</w:t>
            </w:r>
          </w:p>
        </w:tc>
      </w:tr>
      <w:tr w14:paraId="1C8B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6" w:type="dxa"/>
            <w:vAlign w:val="center"/>
          </w:tcPr>
          <w:p w14:paraId="2BD838A4">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szCs w:val="21"/>
              </w:rPr>
              <w:t>3</w:t>
            </w:r>
          </w:p>
        </w:tc>
        <w:tc>
          <w:tcPr>
            <w:tcW w:w="5520" w:type="dxa"/>
            <w:vAlign w:val="center"/>
          </w:tcPr>
          <w:p w14:paraId="37228D70">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color w:val="000000"/>
                <w:szCs w:val="21"/>
              </w:rPr>
              <w:t>扩容DP2200服务器、防火墙维保</w:t>
            </w:r>
          </w:p>
        </w:tc>
        <w:tc>
          <w:tcPr>
            <w:tcW w:w="1530" w:type="dxa"/>
            <w:vAlign w:val="center"/>
          </w:tcPr>
          <w:p w14:paraId="1F8C0D5E">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1</w:t>
            </w:r>
          </w:p>
        </w:tc>
        <w:tc>
          <w:tcPr>
            <w:tcW w:w="1515" w:type="dxa"/>
            <w:vAlign w:val="center"/>
          </w:tcPr>
          <w:p w14:paraId="2363B449">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项</w:t>
            </w:r>
          </w:p>
        </w:tc>
      </w:tr>
      <w:tr w14:paraId="088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6" w:type="dxa"/>
            <w:vAlign w:val="center"/>
          </w:tcPr>
          <w:p w14:paraId="27A873B9">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szCs w:val="21"/>
              </w:rPr>
              <w:t>4</w:t>
            </w:r>
          </w:p>
        </w:tc>
        <w:tc>
          <w:tcPr>
            <w:tcW w:w="5520" w:type="dxa"/>
            <w:vAlign w:val="center"/>
          </w:tcPr>
          <w:p w14:paraId="210B7C40">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color w:val="000000"/>
                <w:szCs w:val="21"/>
                <w:shd w:val="clear" w:color="auto" w:fill="FFFFFF"/>
              </w:rPr>
              <w:t>扩容超融合服务器、图形工作站、内存维保</w:t>
            </w:r>
          </w:p>
        </w:tc>
        <w:tc>
          <w:tcPr>
            <w:tcW w:w="1530" w:type="dxa"/>
            <w:vAlign w:val="center"/>
          </w:tcPr>
          <w:p w14:paraId="4F2923AA">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1</w:t>
            </w:r>
          </w:p>
        </w:tc>
        <w:tc>
          <w:tcPr>
            <w:tcW w:w="1515" w:type="dxa"/>
            <w:vAlign w:val="center"/>
          </w:tcPr>
          <w:p w14:paraId="2D00C23D">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szCs w:val="21"/>
              </w:rPr>
              <w:t>项</w:t>
            </w:r>
          </w:p>
        </w:tc>
      </w:tr>
    </w:tbl>
    <w:p w14:paraId="747085C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（二）维保服务设备/软件清单：</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95"/>
        <w:gridCol w:w="1500"/>
        <w:gridCol w:w="1575"/>
        <w:gridCol w:w="720"/>
        <w:gridCol w:w="705"/>
        <w:gridCol w:w="3543"/>
      </w:tblGrid>
      <w:tr w14:paraId="32A9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6" w:type="dxa"/>
            <w:tcBorders>
              <w:top w:val="single" w:color="auto" w:sz="4" w:space="0"/>
              <w:left w:val="single" w:color="auto" w:sz="4" w:space="0"/>
              <w:bottom w:val="single" w:color="auto" w:sz="4" w:space="0"/>
              <w:right w:val="single" w:color="auto" w:sz="4" w:space="0"/>
            </w:tcBorders>
            <w:vAlign w:val="center"/>
          </w:tcPr>
          <w:p w14:paraId="69E7A001">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14:paraId="5F733BD8">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分类</w:t>
            </w:r>
          </w:p>
        </w:tc>
        <w:tc>
          <w:tcPr>
            <w:tcW w:w="1500" w:type="dxa"/>
            <w:tcBorders>
              <w:top w:val="single" w:color="auto" w:sz="4" w:space="0"/>
              <w:left w:val="single" w:color="auto" w:sz="4" w:space="0"/>
              <w:bottom w:val="single" w:color="auto" w:sz="4" w:space="0"/>
              <w:right w:val="single" w:color="auto" w:sz="4" w:space="0"/>
            </w:tcBorders>
            <w:vAlign w:val="center"/>
          </w:tcPr>
          <w:p w14:paraId="261DD11C">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名称</w:t>
            </w:r>
          </w:p>
        </w:tc>
        <w:tc>
          <w:tcPr>
            <w:tcW w:w="1575" w:type="dxa"/>
            <w:tcBorders>
              <w:top w:val="single" w:color="auto" w:sz="4" w:space="0"/>
              <w:left w:val="single" w:color="auto" w:sz="4" w:space="0"/>
              <w:bottom w:val="single" w:color="auto" w:sz="4" w:space="0"/>
              <w:right w:val="single" w:color="auto" w:sz="4" w:space="0"/>
            </w:tcBorders>
            <w:vAlign w:val="center"/>
          </w:tcPr>
          <w:p w14:paraId="2ABE2376">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规格/型号</w:t>
            </w:r>
          </w:p>
        </w:tc>
        <w:tc>
          <w:tcPr>
            <w:tcW w:w="720" w:type="dxa"/>
            <w:tcBorders>
              <w:top w:val="single" w:color="auto" w:sz="4" w:space="0"/>
              <w:left w:val="single" w:color="auto" w:sz="4" w:space="0"/>
              <w:bottom w:val="single" w:color="auto" w:sz="4" w:space="0"/>
              <w:right w:val="single" w:color="auto" w:sz="4" w:space="0"/>
            </w:tcBorders>
            <w:vAlign w:val="center"/>
          </w:tcPr>
          <w:p w14:paraId="76CB7774">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数量</w:t>
            </w:r>
          </w:p>
        </w:tc>
        <w:tc>
          <w:tcPr>
            <w:tcW w:w="705" w:type="dxa"/>
            <w:tcBorders>
              <w:top w:val="single" w:color="auto" w:sz="4" w:space="0"/>
              <w:left w:val="single" w:color="auto" w:sz="4" w:space="0"/>
              <w:bottom w:val="single" w:color="auto" w:sz="4" w:space="0"/>
              <w:right w:val="single" w:color="auto" w:sz="4" w:space="0"/>
            </w:tcBorders>
            <w:vAlign w:val="center"/>
          </w:tcPr>
          <w:p w14:paraId="339FE326">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单位</w:t>
            </w:r>
          </w:p>
        </w:tc>
        <w:tc>
          <w:tcPr>
            <w:tcW w:w="3543" w:type="dxa"/>
            <w:tcBorders>
              <w:top w:val="single" w:color="auto" w:sz="4" w:space="0"/>
              <w:left w:val="single" w:color="auto" w:sz="4" w:space="0"/>
              <w:bottom w:val="single" w:color="auto" w:sz="4" w:space="0"/>
              <w:right w:val="single" w:color="auto" w:sz="4" w:space="0"/>
            </w:tcBorders>
            <w:vAlign w:val="center"/>
          </w:tcPr>
          <w:p w14:paraId="20079D7F">
            <w:pPr>
              <w:widowControl/>
              <w:adjustRightInd w:val="0"/>
              <w:snapToGri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维保服务要求</w:t>
            </w:r>
          </w:p>
        </w:tc>
      </w:tr>
      <w:tr w14:paraId="6386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cBorders>
            <w:vAlign w:val="center"/>
          </w:tcPr>
          <w:p w14:paraId="67397DC9">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95" w:type="dxa"/>
            <w:tcBorders>
              <w:top w:val="nil"/>
              <w:left w:val="single" w:color="auto" w:sz="4" w:space="0"/>
              <w:right w:val="single" w:color="auto" w:sz="4" w:space="0"/>
            </w:tcBorders>
            <w:vAlign w:val="center"/>
          </w:tcPr>
          <w:p w14:paraId="58879A06">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color w:val="000000"/>
                <w:szCs w:val="21"/>
              </w:rPr>
              <w:t>IT综合运维平台维保</w:t>
            </w:r>
          </w:p>
        </w:tc>
        <w:tc>
          <w:tcPr>
            <w:tcW w:w="1500" w:type="dxa"/>
            <w:tcBorders>
              <w:top w:val="single" w:color="auto" w:sz="4" w:space="0"/>
              <w:left w:val="single" w:color="auto" w:sz="4" w:space="0"/>
              <w:bottom w:val="single" w:color="auto" w:sz="4" w:space="0"/>
              <w:right w:val="single" w:color="auto" w:sz="4" w:space="0"/>
            </w:tcBorders>
            <w:vAlign w:val="center"/>
          </w:tcPr>
          <w:p w14:paraId="1D1F70C2">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IT综合运维平台维保服务</w:t>
            </w:r>
          </w:p>
        </w:tc>
        <w:tc>
          <w:tcPr>
            <w:tcW w:w="1575" w:type="dxa"/>
            <w:tcBorders>
              <w:top w:val="single" w:color="auto" w:sz="4" w:space="0"/>
              <w:left w:val="single" w:color="auto" w:sz="4" w:space="0"/>
              <w:bottom w:val="single" w:color="auto" w:sz="4" w:space="0"/>
              <w:right w:val="single" w:color="auto" w:sz="4" w:space="0"/>
            </w:tcBorders>
            <w:vAlign w:val="center"/>
          </w:tcPr>
          <w:p w14:paraId="32EFDFD0">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华为神农统一运维平台IMOC</w:t>
            </w:r>
          </w:p>
        </w:tc>
        <w:tc>
          <w:tcPr>
            <w:tcW w:w="720" w:type="dxa"/>
            <w:tcBorders>
              <w:top w:val="single" w:color="auto" w:sz="4" w:space="0"/>
              <w:left w:val="single" w:color="auto" w:sz="4" w:space="0"/>
              <w:bottom w:val="single" w:color="auto" w:sz="4" w:space="0"/>
              <w:right w:val="single" w:color="auto" w:sz="4" w:space="0"/>
            </w:tcBorders>
            <w:vAlign w:val="center"/>
          </w:tcPr>
          <w:p w14:paraId="0C5B984C">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05" w:type="dxa"/>
            <w:tcBorders>
              <w:top w:val="single" w:color="auto" w:sz="4" w:space="0"/>
              <w:left w:val="single" w:color="auto" w:sz="4" w:space="0"/>
              <w:bottom w:val="single" w:color="auto" w:sz="4" w:space="0"/>
              <w:right w:val="single" w:color="auto" w:sz="4" w:space="0"/>
            </w:tcBorders>
            <w:vAlign w:val="center"/>
          </w:tcPr>
          <w:p w14:paraId="3B8CDA81">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w:t>
            </w:r>
          </w:p>
        </w:tc>
        <w:tc>
          <w:tcPr>
            <w:tcW w:w="3543" w:type="dxa"/>
            <w:tcBorders>
              <w:top w:val="nil"/>
              <w:left w:val="single" w:color="auto" w:sz="4" w:space="0"/>
              <w:bottom w:val="single" w:color="auto" w:sz="4" w:space="0"/>
              <w:right w:val="single" w:color="auto" w:sz="4" w:space="0"/>
            </w:tcBorders>
            <w:vAlign w:val="center"/>
          </w:tcPr>
          <w:p w14:paraId="716A0A47">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▲1、软件升级更新、维保服务、电话支持、远程服务，7*24覆盖；</w:t>
            </w:r>
          </w:p>
          <w:p w14:paraId="7E4F8404">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highlight w:val="yellow"/>
              </w:rPr>
              <w:t>★</w:t>
            </w:r>
            <w:r>
              <w:rPr>
                <w:rFonts w:hint="eastAsia" w:asciiTheme="minorEastAsia" w:hAnsiTheme="minorEastAsia" w:eastAsiaTheme="minorEastAsia" w:cstheme="minorEastAsia"/>
                <w:b/>
                <w:bCs/>
                <w:kern w:val="0"/>
                <w:szCs w:val="21"/>
                <w:highlight w:val="yellow"/>
              </w:rPr>
              <w:t>2、中标后3个月内提供平台软件续保一年的证明</w:t>
            </w:r>
            <w:r>
              <w:rPr>
                <w:rFonts w:hint="eastAsia" w:asciiTheme="minorEastAsia" w:hAnsiTheme="minorEastAsia" w:eastAsiaTheme="minorEastAsia" w:cstheme="minorEastAsia"/>
                <w:kern w:val="0"/>
                <w:szCs w:val="21"/>
                <w:highlight w:val="yellow"/>
              </w:rPr>
              <w:t>。</w:t>
            </w:r>
          </w:p>
        </w:tc>
      </w:tr>
      <w:tr w14:paraId="005C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16" w:type="dxa"/>
            <w:vMerge w:val="restart"/>
            <w:tcBorders>
              <w:top w:val="single" w:color="auto" w:sz="4" w:space="0"/>
              <w:left w:val="single" w:color="auto" w:sz="4" w:space="0"/>
              <w:right w:val="single" w:color="auto" w:sz="4" w:space="0"/>
            </w:tcBorders>
            <w:vAlign w:val="center"/>
          </w:tcPr>
          <w:p w14:paraId="46402896">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95" w:type="dxa"/>
            <w:vMerge w:val="restart"/>
            <w:tcBorders>
              <w:left w:val="single" w:color="auto" w:sz="4" w:space="0"/>
              <w:right w:val="single" w:color="auto" w:sz="4" w:space="0"/>
            </w:tcBorders>
            <w:vAlign w:val="center"/>
          </w:tcPr>
          <w:p w14:paraId="631BAC3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shd w:val="clear" w:color="auto" w:fill="FFFFFF"/>
              </w:rPr>
              <w:t>超融合平台和云桌面维保服务</w:t>
            </w:r>
          </w:p>
        </w:tc>
        <w:tc>
          <w:tcPr>
            <w:tcW w:w="1500" w:type="dxa"/>
            <w:tcBorders>
              <w:top w:val="single" w:color="auto" w:sz="4" w:space="0"/>
              <w:left w:val="single" w:color="auto" w:sz="4" w:space="0"/>
              <w:bottom w:val="single" w:color="auto" w:sz="4" w:space="0"/>
              <w:right w:val="single" w:color="auto" w:sz="4" w:space="0"/>
            </w:tcBorders>
            <w:vAlign w:val="center"/>
          </w:tcPr>
          <w:p w14:paraId="3630BE1E">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超融合平台维保服务</w:t>
            </w:r>
          </w:p>
        </w:tc>
        <w:tc>
          <w:tcPr>
            <w:tcW w:w="1575" w:type="dxa"/>
            <w:tcBorders>
              <w:top w:val="single" w:color="auto" w:sz="4" w:space="0"/>
              <w:left w:val="single" w:color="auto" w:sz="4" w:space="0"/>
              <w:bottom w:val="single" w:color="auto" w:sz="4" w:space="0"/>
              <w:right w:val="single" w:color="auto" w:sz="4" w:space="0"/>
            </w:tcBorders>
            <w:vAlign w:val="center"/>
          </w:tcPr>
          <w:p w14:paraId="457852DC">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华为FusionCube 9000</w:t>
            </w:r>
          </w:p>
        </w:tc>
        <w:tc>
          <w:tcPr>
            <w:tcW w:w="720" w:type="dxa"/>
            <w:tcBorders>
              <w:top w:val="single" w:color="auto" w:sz="4" w:space="0"/>
              <w:left w:val="single" w:color="auto" w:sz="4" w:space="0"/>
              <w:bottom w:val="single" w:color="auto" w:sz="4" w:space="0"/>
              <w:right w:val="single" w:color="auto" w:sz="4" w:space="0"/>
            </w:tcBorders>
            <w:vAlign w:val="center"/>
          </w:tcPr>
          <w:p w14:paraId="6FCC65AC">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05" w:type="dxa"/>
            <w:tcBorders>
              <w:top w:val="single" w:color="auto" w:sz="4" w:space="0"/>
              <w:left w:val="single" w:color="auto" w:sz="4" w:space="0"/>
              <w:bottom w:val="single" w:color="auto" w:sz="4" w:space="0"/>
              <w:right w:val="single" w:color="auto" w:sz="4" w:space="0"/>
            </w:tcBorders>
            <w:vAlign w:val="center"/>
          </w:tcPr>
          <w:p w14:paraId="1375DBFA">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w:t>
            </w:r>
          </w:p>
        </w:tc>
        <w:tc>
          <w:tcPr>
            <w:tcW w:w="3543" w:type="dxa"/>
            <w:vMerge w:val="restart"/>
            <w:tcBorders>
              <w:top w:val="nil"/>
              <w:left w:val="single" w:color="auto" w:sz="4" w:space="0"/>
              <w:right w:val="single" w:color="auto" w:sz="4" w:space="0"/>
            </w:tcBorders>
            <w:vAlign w:val="center"/>
          </w:tcPr>
          <w:p w14:paraId="1EBD0D47">
            <w:pPr>
              <w:widowControl/>
              <w:spacing w:line="360" w:lineRule="auto"/>
              <w:jc w:val="left"/>
              <w:rPr>
                <w:rFonts w:asciiTheme="minorEastAsia" w:hAnsiTheme="minorEastAsia" w:eastAsiaTheme="minorEastAsia" w:cstheme="minorEastAsia"/>
                <w:kern w:val="0"/>
                <w:szCs w:val="21"/>
              </w:rPr>
            </w:pPr>
            <w:bookmarkStart w:id="10" w:name="OLE_LINK12"/>
            <w:r>
              <w:rPr>
                <w:rFonts w:hint="eastAsia" w:asciiTheme="minorEastAsia" w:hAnsiTheme="minorEastAsia" w:eastAsiaTheme="minorEastAsia" w:cstheme="minorEastAsia"/>
                <w:kern w:val="0"/>
                <w:szCs w:val="21"/>
              </w:rPr>
              <w:t>▲1、热线受理、远程问题处理：7*24小时覆盖；</w:t>
            </w:r>
          </w:p>
          <w:p w14:paraId="17610572">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▲2、在线技术支持：7*24小时技术信息共享和补丁下载；</w:t>
            </w:r>
          </w:p>
          <w:p w14:paraId="19FAF6EB">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▲3、维保服务软件更新授权：7*24小时提供厂商推荐主机版本软件的维护版本(补丁和小版本)；</w:t>
            </w:r>
            <w:bookmarkEnd w:id="10"/>
          </w:p>
        </w:tc>
      </w:tr>
      <w:tr w14:paraId="00D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continue"/>
            <w:tcBorders>
              <w:left w:val="single" w:color="auto" w:sz="4" w:space="0"/>
              <w:bottom w:val="single" w:color="auto" w:sz="4" w:space="0"/>
              <w:right w:val="single" w:color="auto" w:sz="4" w:space="0"/>
            </w:tcBorders>
            <w:vAlign w:val="center"/>
          </w:tcPr>
          <w:p w14:paraId="7E580B57">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left w:val="single" w:color="auto" w:sz="4" w:space="0"/>
              <w:bottom w:val="single" w:color="auto" w:sz="4" w:space="0"/>
              <w:right w:val="single" w:color="auto" w:sz="4" w:space="0"/>
            </w:tcBorders>
            <w:vAlign w:val="center"/>
          </w:tcPr>
          <w:p w14:paraId="44CF1BAC">
            <w:pPr>
              <w:widowControl/>
              <w:spacing w:line="360" w:lineRule="auto"/>
              <w:jc w:val="center"/>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959C2B8">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云桌面系统维保服务</w:t>
            </w:r>
          </w:p>
        </w:tc>
        <w:tc>
          <w:tcPr>
            <w:tcW w:w="1575" w:type="dxa"/>
            <w:tcBorders>
              <w:top w:val="single" w:color="auto" w:sz="4" w:space="0"/>
              <w:left w:val="single" w:color="auto" w:sz="4" w:space="0"/>
              <w:bottom w:val="single" w:color="auto" w:sz="4" w:space="0"/>
              <w:right w:val="single" w:color="auto" w:sz="4" w:space="0"/>
            </w:tcBorders>
            <w:vAlign w:val="center"/>
          </w:tcPr>
          <w:p w14:paraId="29D044DD">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华为FusionCube</w:t>
            </w:r>
          </w:p>
        </w:tc>
        <w:tc>
          <w:tcPr>
            <w:tcW w:w="720" w:type="dxa"/>
            <w:tcBorders>
              <w:top w:val="single" w:color="auto" w:sz="4" w:space="0"/>
              <w:left w:val="single" w:color="auto" w:sz="4" w:space="0"/>
              <w:bottom w:val="single" w:color="auto" w:sz="4" w:space="0"/>
              <w:right w:val="single" w:color="auto" w:sz="4" w:space="0"/>
            </w:tcBorders>
            <w:vAlign w:val="center"/>
          </w:tcPr>
          <w:p w14:paraId="7178CC80">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05" w:type="dxa"/>
            <w:tcBorders>
              <w:top w:val="single" w:color="auto" w:sz="4" w:space="0"/>
              <w:left w:val="single" w:color="auto" w:sz="4" w:space="0"/>
              <w:bottom w:val="single" w:color="auto" w:sz="4" w:space="0"/>
              <w:right w:val="single" w:color="auto" w:sz="4" w:space="0"/>
            </w:tcBorders>
            <w:vAlign w:val="center"/>
          </w:tcPr>
          <w:p w14:paraId="5692D780">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w:t>
            </w:r>
          </w:p>
        </w:tc>
        <w:tc>
          <w:tcPr>
            <w:tcW w:w="3543" w:type="dxa"/>
            <w:vMerge w:val="continue"/>
            <w:tcBorders>
              <w:left w:val="single" w:color="auto" w:sz="4" w:space="0"/>
              <w:bottom w:val="single" w:color="auto" w:sz="4" w:space="0"/>
              <w:right w:val="single" w:color="auto" w:sz="4" w:space="0"/>
            </w:tcBorders>
            <w:vAlign w:val="center"/>
          </w:tcPr>
          <w:p w14:paraId="389F0232">
            <w:pPr>
              <w:widowControl/>
              <w:spacing w:line="360" w:lineRule="auto"/>
              <w:jc w:val="left"/>
              <w:rPr>
                <w:rFonts w:asciiTheme="minorEastAsia" w:hAnsiTheme="minorEastAsia" w:eastAsiaTheme="minorEastAsia" w:cstheme="minorEastAsia"/>
                <w:kern w:val="0"/>
                <w:szCs w:val="21"/>
              </w:rPr>
            </w:pPr>
          </w:p>
        </w:tc>
      </w:tr>
      <w:tr w14:paraId="112D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restart"/>
            <w:tcBorders>
              <w:top w:val="single" w:color="auto" w:sz="4" w:space="0"/>
              <w:left w:val="single" w:color="auto" w:sz="4" w:space="0"/>
              <w:right w:val="single" w:color="auto" w:sz="4" w:space="0"/>
            </w:tcBorders>
            <w:vAlign w:val="center"/>
          </w:tcPr>
          <w:p w14:paraId="4A0666B0">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6B9CAD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扩容DP2200服务器、防火墙维保</w:t>
            </w:r>
          </w:p>
        </w:tc>
        <w:tc>
          <w:tcPr>
            <w:tcW w:w="1500" w:type="dxa"/>
            <w:tcBorders>
              <w:top w:val="single" w:color="auto" w:sz="4" w:space="0"/>
              <w:left w:val="single" w:color="auto" w:sz="4" w:space="0"/>
              <w:bottom w:val="single" w:color="auto" w:sz="4" w:space="0"/>
              <w:right w:val="single" w:color="auto" w:sz="4" w:space="0"/>
            </w:tcBorders>
            <w:vAlign w:val="center"/>
          </w:tcPr>
          <w:p w14:paraId="1CD8EA86">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华为 服务器DP2200</w:t>
            </w:r>
          </w:p>
        </w:tc>
        <w:tc>
          <w:tcPr>
            <w:tcW w:w="1575" w:type="dxa"/>
            <w:tcBorders>
              <w:top w:val="single" w:color="auto" w:sz="4" w:space="0"/>
              <w:left w:val="single" w:color="auto" w:sz="4" w:space="0"/>
              <w:bottom w:val="single" w:color="auto" w:sz="4" w:space="0"/>
              <w:right w:val="single" w:color="auto" w:sz="4" w:space="0"/>
            </w:tcBorders>
            <w:vAlign w:val="center"/>
          </w:tcPr>
          <w:p w14:paraId="6E5E9E09">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华为 DP2200</w:t>
            </w:r>
          </w:p>
        </w:tc>
        <w:tc>
          <w:tcPr>
            <w:tcW w:w="720" w:type="dxa"/>
            <w:tcBorders>
              <w:top w:val="single" w:color="auto" w:sz="4" w:space="0"/>
              <w:left w:val="single" w:color="auto" w:sz="4" w:space="0"/>
              <w:bottom w:val="single" w:color="auto" w:sz="4" w:space="0"/>
              <w:right w:val="single" w:color="auto" w:sz="4" w:space="0"/>
            </w:tcBorders>
            <w:vAlign w:val="center"/>
          </w:tcPr>
          <w:p w14:paraId="5EAA7BDD">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705" w:type="dxa"/>
            <w:tcBorders>
              <w:top w:val="single" w:color="auto" w:sz="4" w:space="0"/>
              <w:left w:val="single" w:color="auto" w:sz="4" w:space="0"/>
              <w:bottom w:val="single" w:color="auto" w:sz="4" w:space="0"/>
              <w:right w:val="single" w:color="auto" w:sz="4" w:space="0"/>
            </w:tcBorders>
            <w:vAlign w:val="center"/>
          </w:tcPr>
          <w:p w14:paraId="327A9222">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3543" w:type="dxa"/>
            <w:tcBorders>
              <w:top w:val="single" w:color="auto" w:sz="4" w:space="0"/>
              <w:left w:val="single" w:color="auto" w:sz="4" w:space="0"/>
              <w:bottom w:val="single" w:color="auto" w:sz="4" w:space="0"/>
              <w:right w:val="single" w:color="auto" w:sz="4" w:space="0"/>
            </w:tcBorders>
            <w:vAlign w:val="center"/>
          </w:tcPr>
          <w:p w14:paraId="423AFBE6">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维保要求：</w:t>
            </w:r>
          </w:p>
          <w:p w14:paraId="1A8EAA81">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（1）热线受理、远程问题处理：7*24小时覆盖；</w:t>
            </w:r>
          </w:p>
          <w:p w14:paraId="1B2B48C5">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（2）在线技术支持：7*24小时技术信息共享和补丁下载；</w:t>
            </w:r>
          </w:p>
          <w:p w14:paraId="4C8A3F6D">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（3）维保服务软件更新授权：7*24小时提供主机版本软件的维护版本(补丁和小版本)；</w:t>
            </w:r>
          </w:p>
          <w:p w14:paraId="1A7A7506">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（4）维保服务备件先行、硬件更换、故障件提取、问题处理：7*10*Next Day（周一至周日，8:00-18:00。下一自然日到达/送达）。</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
                <w:bCs/>
                <w:kern w:val="0"/>
                <w:szCs w:val="21"/>
                <w:highlight w:val="yellow"/>
              </w:rPr>
              <w:t>2、</w:t>
            </w:r>
            <w:r>
              <w:rPr>
                <w:rFonts w:hint="eastAsia" w:asciiTheme="minorEastAsia" w:hAnsiTheme="minorEastAsia" w:eastAsiaTheme="minorEastAsia" w:cstheme="minorEastAsia"/>
                <w:b/>
                <w:szCs w:val="21"/>
                <w:highlight w:val="yellow"/>
              </w:rPr>
              <w:t>中标后3个月内提供本项目硬件设备续保一年的证明（延保一年且在设备生产商网站可查，查询结果含硬件序列号信息）。</w:t>
            </w:r>
          </w:p>
        </w:tc>
      </w:tr>
      <w:tr w14:paraId="7014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716" w:type="dxa"/>
            <w:vMerge w:val="continue"/>
            <w:tcBorders>
              <w:left w:val="single" w:color="auto" w:sz="4" w:space="0"/>
              <w:right w:val="single" w:color="auto" w:sz="4" w:space="0"/>
            </w:tcBorders>
            <w:vAlign w:val="center"/>
          </w:tcPr>
          <w:p w14:paraId="322633A5">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top w:val="single" w:color="auto" w:sz="4" w:space="0"/>
              <w:left w:val="single" w:color="auto" w:sz="4" w:space="0"/>
              <w:right w:val="single" w:color="auto" w:sz="4" w:space="0"/>
            </w:tcBorders>
            <w:vAlign w:val="center"/>
          </w:tcPr>
          <w:p w14:paraId="36D7054D">
            <w:pPr>
              <w:widowControl/>
              <w:spacing w:line="360" w:lineRule="auto"/>
              <w:jc w:val="left"/>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CDF1467">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防火墙USG6680E</w:t>
            </w:r>
          </w:p>
        </w:tc>
        <w:tc>
          <w:tcPr>
            <w:tcW w:w="1575" w:type="dxa"/>
            <w:tcBorders>
              <w:top w:val="single" w:color="auto" w:sz="4" w:space="0"/>
              <w:left w:val="single" w:color="auto" w:sz="4" w:space="0"/>
              <w:bottom w:val="single" w:color="auto" w:sz="4" w:space="0"/>
              <w:right w:val="single" w:color="auto" w:sz="4" w:space="0"/>
            </w:tcBorders>
            <w:vAlign w:val="center"/>
          </w:tcPr>
          <w:p w14:paraId="05819155">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USG6680E</w:t>
            </w:r>
          </w:p>
        </w:tc>
        <w:tc>
          <w:tcPr>
            <w:tcW w:w="720" w:type="dxa"/>
            <w:tcBorders>
              <w:top w:val="single" w:color="auto" w:sz="4" w:space="0"/>
              <w:left w:val="single" w:color="auto" w:sz="4" w:space="0"/>
              <w:bottom w:val="single" w:color="auto" w:sz="4" w:space="0"/>
              <w:right w:val="single" w:color="auto" w:sz="4" w:space="0"/>
            </w:tcBorders>
            <w:vAlign w:val="center"/>
          </w:tcPr>
          <w:p w14:paraId="5E9E93E9">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2</w:t>
            </w:r>
          </w:p>
        </w:tc>
        <w:tc>
          <w:tcPr>
            <w:tcW w:w="705" w:type="dxa"/>
            <w:tcBorders>
              <w:top w:val="single" w:color="auto" w:sz="4" w:space="0"/>
              <w:left w:val="single" w:color="auto" w:sz="4" w:space="0"/>
              <w:bottom w:val="single" w:color="auto" w:sz="4" w:space="0"/>
              <w:right w:val="single" w:color="auto" w:sz="4" w:space="0"/>
            </w:tcBorders>
            <w:vAlign w:val="center"/>
          </w:tcPr>
          <w:p w14:paraId="209EC7C1">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台</w:t>
            </w:r>
          </w:p>
        </w:tc>
        <w:tc>
          <w:tcPr>
            <w:tcW w:w="3543" w:type="dxa"/>
            <w:vMerge w:val="restart"/>
            <w:tcBorders>
              <w:top w:val="single" w:color="auto" w:sz="4" w:space="0"/>
              <w:left w:val="single" w:color="auto" w:sz="4" w:space="0"/>
              <w:right w:val="single" w:color="auto" w:sz="4" w:space="0"/>
            </w:tcBorders>
            <w:vAlign w:val="center"/>
          </w:tcPr>
          <w:p w14:paraId="154F3B35">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维保要求：</w:t>
            </w:r>
          </w:p>
          <w:p w14:paraId="4D35DA74">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（1）热线受理、远程问题处理：7*24小时覆盖；</w:t>
            </w:r>
          </w:p>
          <w:p w14:paraId="24424B1B">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（2）在线技术支持：7*24小时技术信息共享和补丁下载；</w:t>
            </w:r>
          </w:p>
          <w:p w14:paraId="24E24BFA">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（3）维保服务软件更新授权：7*24小时提供主机版本软件的维护版本(补丁和小版本)；</w:t>
            </w:r>
          </w:p>
          <w:p w14:paraId="2FFCF694">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（4）维保服务备件先行：7*10*Next Day（周一至周日，8:00-18:00。下一自然日到达/送达）。</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
                <w:bCs/>
                <w:kern w:val="0"/>
                <w:szCs w:val="21"/>
                <w:highlight w:val="yellow"/>
              </w:rPr>
              <w:t>2、</w:t>
            </w:r>
            <w:r>
              <w:rPr>
                <w:rFonts w:hint="eastAsia" w:asciiTheme="minorEastAsia" w:hAnsiTheme="minorEastAsia" w:eastAsiaTheme="minorEastAsia" w:cstheme="minorEastAsia"/>
                <w:b/>
                <w:szCs w:val="21"/>
                <w:highlight w:val="yellow"/>
              </w:rPr>
              <w:t>中标后3个月内提供本项目硬件设备续保一年的证明（延保一年且在设备生产商网站可查，查询结果含硬件序列号信息）。</w:t>
            </w:r>
          </w:p>
        </w:tc>
      </w:tr>
      <w:tr w14:paraId="3ADB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continue"/>
            <w:tcBorders>
              <w:left w:val="single" w:color="auto" w:sz="4" w:space="0"/>
              <w:bottom w:val="single" w:color="auto" w:sz="4" w:space="0"/>
              <w:right w:val="single" w:color="auto" w:sz="4" w:space="0"/>
            </w:tcBorders>
            <w:vAlign w:val="center"/>
          </w:tcPr>
          <w:p w14:paraId="3424DFCD">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left w:val="single" w:color="auto" w:sz="4" w:space="0"/>
              <w:right w:val="single" w:color="auto" w:sz="4" w:space="0"/>
            </w:tcBorders>
            <w:vAlign w:val="center"/>
          </w:tcPr>
          <w:p w14:paraId="735F666E">
            <w:pPr>
              <w:widowControl/>
              <w:spacing w:line="360" w:lineRule="auto"/>
              <w:jc w:val="left"/>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4849EAD">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防火墙USG6650E</w:t>
            </w:r>
          </w:p>
        </w:tc>
        <w:tc>
          <w:tcPr>
            <w:tcW w:w="1575" w:type="dxa"/>
            <w:tcBorders>
              <w:top w:val="single" w:color="auto" w:sz="4" w:space="0"/>
              <w:left w:val="single" w:color="auto" w:sz="4" w:space="0"/>
              <w:bottom w:val="single" w:color="auto" w:sz="4" w:space="0"/>
              <w:right w:val="single" w:color="auto" w:sz="4" w:space="0"/>
            </w:tcBorders>
            <w:vAlign w:val="center"/>
          </w:tcPr>
          <w:p w14:paraId="6D27C4BF">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USG6650E</w:t>
            </w:r>
          </w:p>
        </w:tc>
        <w:tc>
          <w:tcPr>
            <w:tcW w:w="720" w:type="dxa"/>
            <w:tcBorders>
              <w:top w:val="single" w:color="auto" w:sz="4" w:space="0"/>
              <w:left w:val="single" w:color="auto" w:sz="4" w:space="0"/>
              <w:bottom w:val="single" w:color="auto" w:sz="4" w:space="0"/>
              <w:right w:val="single" w:color="auto" w:sz="4" w:space="0"/>
            </w:tcBorders>
            <w:vAlign w:val="center"/>
          </w:tcPr>
          <w:p w14:paraId="530E58EC">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4</w:t>
            </w:r>
          </w:p>
        </w:tc>
        <w:tc>
          <w:tcPr>
            <w:tcW w:w="705" w:type="dxa"/>
            <w:tcBorders>
              <w:top w:val="single" w:color="auto" w:sz="4" w:space="0"/>
              <w:left w:val="single" w:color="auto" w:sz="4" w:space="0"/>
              <w:bottom w:val="single" w:color="auto" w:sz="4" w:space="0"/>
              <w:right w:val="single" w:color="auto" w:sz="4" w:space="0"/>
            </w:tcBorders>
            <w:vAlign w:val="center"/>
          </w:tcPr>
          <w:p w14:paraId="791173A6">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3543" w:type="dxa"/>
            <w:vMerge w:val="continue"/>
            <w:tcBorders>
              <w:left w:val="single" w:color="auto" w:sz="4" w:space="0"/>
              <w:bottom w:val="single" w:color="auto" w:sz="4" w:space="0"/>
              <w:right w:val="single" w:color="auto" w:sz="4" w:space="0"/>
            </w:tcBorders>
            <w:vAlign w:val="center"/>
          </w:tcPr>
          <w:p w14:paraId="6370392B">
            <w:pPr>
              <w:widowControl/>
              <w:spacing w:line="360" w:lineRule="auto"/>
              <w:jc w:val="left"/>
              <w:rPr>
                <w:rFonts w:asciiTheme="minorEastAsia" w:hAnsiTheme="minorEastAsia" w:eastAsiaTheme="minorEastAsia" w:cstheme="minorEastAsia"/>
                <w:kern w:val="0"/>
                <w:szCs w:val="21"/>
              </w:rPr>
            </w:pPr>
          </w:p>
        </w:tc>
      </w:tr>
      <w:tr w14:paraId="67E5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restart"/>
            <w:tcBorders>
              <w:top w:val="single" w:color="auto" w:sz="4" w:space="0"/>
              <w:left w:val="single" w:color="auto" w:sz="4" w:space="0"/>
              <w:right w:val="single" w:color="auto" w:sz="4" w:space="0"/>
            </w:tcBorders>
            <w:vAlign w:val="center"/>
          </w:tcPr>
          <w:p w14:paraId="36658EB7">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95" w:type="dxa"/>
            <w:vMerge w:val="restart"/>
            <w:tcBorders>
              <w:left w:val="single" w:color="auto" w:sz="4" w:space="0"/>
              <w:right w:val="single" w:color="auto" w:sz="4" w:space="0"/>
            </w:tcBorders>
            <w:vAlign w:val="center"/>
          </w:tcPr>
          <w:p w14:paraId="28A8AAD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shd w:val="clear" w:color="auto" w:fill="FFFFFF"/>
              </w:rPr>
              <w:t>扩容超融合服务器、图形工作站、内存维保</w:t>
            </w:r>
          </w:p>
        </w:tc>
        <w:tc>
          <w:tcPr>
            <w:tcW w:w="1500" w:type="dxa"/>
            <w:tcBorders>
              <w:top w:val="single" w:color="auto" w:sz="4" w:space="0"/>
              <w:left w:val="single" w:color="auto" w:sz="4" w:space="0"/>
              <w:bottom w:val="single" w:color="auto" w:sz="4" w:space="0"/>
              <w:right w:val="single" w:color="auto" w:sz="4" w:space="0"/>
            </w:tcBorders>
            <w:vAlign w:val="center"/>
          </w:tcPr>
          <w:p w14:paraId="0FAD6ECA">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华为 FusionCube 超融合服务器</w:t>
            </w:r>
          </w:p>
        </w:tc>
        <w:tc>
          <w:tcPr>
            <w:tcW w:w="1575" w:type="dxa"/>
            <w:tcBorders>
              <w:top w:val="single" w:color="auto" w:sz="4" w:space="0"/>
              <w:left w:val="single" w:color="auto" w:sz="4" w:space="0"/>
              <w:bottom w:val="single" w:color="auto" w:sz="4" w:space="0"/>
              <w:right w:val="single" w:color="auto" w:sz="4" w:space="0"/>
            </w:tcBorders>
            <w:vAlign w:val="center"/>
          </w:tcPr>
          <w:p w14:paraId="4415FF55">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华为 FusionCube</w:t>
            </w:r>
          </w:p>
        </w:tc>
        <w:tc>
          <w:tcPr>
            <w:tcW w:w="720" w:type="dxa"/>
            <w:tcBorders>
              <w:top w:val="single" w:color="auto" w:sz="4" w:space="0"/>
              <w:left w:val="single" w:color="auto" w:sz="4" w:space="0"/>
              <w:bottom w:val="single" w:color="auto" w:sz="4" w:space="0"/>
              <w:right w:val="single" w:color="auto" w:sz="4" w:space="0"/>
            </w:tcBorders>
            <w:vAlign w:val="center"/>
          </w:tcPr>
          <w:p w14:paraId="53F39377">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705" w:type="dxa"/>
            <w:tcBorders>
              <w:top w:val="single" w:color="auto" w:sz="4" w:space="0"/>
              <w:left w:val="single" w:color="auto" w:sz="4" w:space="0"/>
              <w:bottom w:val="single" w:color="auto" w:sz="4" w:space="0"/>
              <w:right w:val="single" w:color="auto" w:sz="4" w:space="0"/>
            </w:tcBorders>
            <w:vAlign w:val="center"/>
          </w:tcPr>
          <w:p w14:paraId="6FF3BFB3">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3543" w:type="dxa"/>
            <w:tcBorders>
              <w:top w:val="single" w:color="auto" w:sz="4" w:space="0"/>
              <w:left w:val="single" w:color="auto" w:sz="4" w:space="0"/>
              <w:bottom w:val="single" w:color="auto" w:sz="4" w:space="0"/>
              <w:right w:val="single" w:color="auto" w:sz="4" w:space="0"/>
            </w:tcBorders>
            <w:vAlign w:val="center"/>
          </w:tcPr>
          <w:p w14:paraId="1BD8F95C">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维保要求：</w:t>
            </w:r>
          </w:p>
          <w:p w14:paraId="5F35ABCB">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（1）热线受理、远程问题处理：7*24小时覆盖；</w:t>
            </w:r>
          </w:p>
          <w:p w14:paraId="573DFE57">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（2）在线技术支持：7*24小时技术信息共享和补丁下载；</w:t>
            </w:r>
          </w:p>
          <w:p w14:paraId="102026C0">
            <w:pPr>
              <w:widowControl/>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（3）维保服务软件更新授权：7*24小时提供主机版本软件的维护版本(补丁和小版本)；</w:t>
            </w:r>
          </w:p>
          <w:p w14:paraId="1BA35C8C">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（4）维保服务备件先行、硬件更换、故障件提取、问题处理：7*10*Next Day（周一至周日，8:00-18:00。下一自然日到达/送达）。</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
                <w:bCs/>
                <w:kern w:val="0"/>
                <w:szCs w:val="21"/>
                <w:highlight w:val="yellow"/>
              </w:rPr>
              <w:t>2、</w:t>
            </w:r>
            <w:r>
              <w:rPr>
                <w:rFonts w:hint="eastAsia" w:asciiTheme="minorEastAsia" w:hAnsiTheme="minorEastAsia" w:eastAsiaTheme="minorEastAsia" w:cstheme="minorEastAsia"/>
                <w:b/>
                <w:szCs w:val="21"/>
                <w:highlight w:val="yellow"/>
              </w:rPr>
              <w:t>中标后3个月内提供本项目硬件设备续保一年的证明（延保一年且在设备生产商网站可查，查询结果含硬件序列号信息）。</w:t>
            </w:r>
          </w:p>
        </w:tc>
      </w:tr>
      <w:tr w14:paraId="389D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continue"/>
            <w:tcBorders>
              <w:left w:val="single" w:color="auto" w:sz="4" w:space="0"/>
              <w:right w:val="single" w:color="auto" w:sz="4" w:space="0"/>
            </w:tcBorders>
            <w:vAlign w:val="center"/>
          </w:tcPr>
          <w:p w14:paraId="4DB70B37">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left w:val="single" w:color="auto" w:sz="4" w:space="0"/>
              <w:right w:val="single" w:color="auto" w:sz="4" w:space="0"/>
            </w:tcBorders>
            <w:vAlign w:val="center"/>
          </w:tcPr>
          <w:p w14:paraId="53358D59">
            <w:pPr>
              <w:widowControl/>
              <w:spacing w:line="360" w:lineRule="auto"/>
              <w:jc w:val="left"/>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C8D41C7">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联想P920图形工作站</w:t>
            </w:r>
          </w:p>
        </w:tc>
        <w:tc>
          <w:tcPr>
            <w:tcW w:w="1575" w:type="dxa"/>
            <w:tcBorders>
              <w:top w:val="single" w:color="auto" w:sz="4" w:space="0"/>
              <w:left w:val="single" w:color="auto" w:sz="4" w:space="0"/>
              <w:bottom w:val="single" w:color="auto" w:sz="4" w:space="0"/>
              <w:right w:val="single" w:color="auto" w:sz="4" w:space="0"/>
            </w:tcBorders>
            <w:vAlign w:val="center"/>
          </w:tcPr>
          <w:p w14:paraId="50912BBE">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联想 P920</w:t>
            </w:r>
          </w:p>
        </w:tc>
        <w:tc>
          <w:tcPr>
            <w:tcW w:w="720" w:type="dxa"/>
            <w:tcBorders>
              <w:top w:val="single" w:color="auto" w:sz="4" w:space="0"/>
              <w:left w:val="single" w:color="auto" w:sz="4" w:space="0"/>
              <w:bottom w:val="single" w:color="auto" w:sz="4" w:space="0"/>
              <w:right w:val="single" w:color="auto" w:sz="4" w:space="0"/>
            </w:tcBorders>
            <w:vAlign w:val="center"/>
          </w:tcPr>
          <w:p w14:paraId="760981D7">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705" w:type="dxa"/>
            <w:tcBorders>
              <w:top w:val="single" w:color="auto" w:sz="4" w:space="0"/>
              <w:left w:val="single" w:color="auto" w:sz="4" w:space="0"/>
              <w:bottom w:val="single" w:color="auto" w:sz="4" w:space="0"/>
              <w:right w:val="single" w:color="auto" w:sz="4" w:space="0"/>
            </w:tcBorders>
            <w:vAlign w:val="center"/>
          </w:tcPr>
          <w:p w14:paraId="7B5CBC46">
            <w:pPr>
              <w:widowControl/>
              <w:adjustRightInd w:val="0"/>
              <w:snapToGrid w:val="0"/>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3543" w:type="dxa"/>
            <w:vMerge w:val="restart"/>
            <w:tcBorders>
              <w:top w:val="single" w:color="auto" w:sz="4" w:space="0"/>
              <w:left w:val="single" w:color="auto" w:sz="4" w:space="0"/>
              <w:right w:val="single" w:color="auto" w:sz="4" w:space="0"/>
            </w:tcBorders>
            <w:vAlign w:val="center"/>
          </w:tcPr>
          <w:p w14:paraId="554581F3">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▲1、热线受理、远程问题处理：7*24小时覆盖；</w:t>
            </w:r>
          </w:p>
          <w:p w14:paraId="0AC7D4EA">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▲2、在线技术支持：7*24小时技术信息共享和补丁下载；</w:t>
            </w:r>
          </w:p>
          <w:p w14:paraId="1FC80906">
            <w:pPr>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▲3、维保服务软件更新授权：7*24小时提供厂商推荐主机版本软件的维护版本(补丁和小版本)。</w:t>
            </w:r>
          </w:p>
        </w:tc>
      </w:tr>
      <w:tr w14:paraId="78CB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continue"/>
            <w:tcBorders>
              <w:left w:val="single" w:color="auto" w:sz="4" w:space="0"/>
              <w:right w:val="single" w:color="auto" w:sz="4" w:space="0"/>
            </w:tcBorders>
            <w:vAlign w:val="center"/>
          </w:tcPr>
          <w:p w14:paraId="719F65C5">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left w:val="single" w:color="auto" w:sz="4" w:space="0"/>
              <w:right w:val="single" w:color="auto" w:sz="4" w:space="0"/>
            </w:tcBorders>
            <w:vAlign w:val="center"/>
          </w:tcPr>
          <w:p w14:paraId="0EC7F17E">
            <w:pPr>
              <w:adjustRightInd w:val="0"/>
              <w:snapToGrid w:val="0"/>
              <w:spacing w:line="360" w:lineRule="auto"/>
              <w:jc w:val="center"/>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D170CA8">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32G 2933MT/s DDR4 内存</w:t>
            </w:r>
          </w:p>
        </w:tc>
        <w:tc>
          <w:tcPr>
            <w:tcW w:w="1575" w:type="dxa"/>
            <w:tcBorders>
              <w:top w:val="single" w:color="auto" w:sz="4" w:space="0"/>
              <w:left w:val="single" w:color="auto" w:sz="4" w:space="0"/>
              <w:bottom w:val="single" w:color="auto" w:sz="4" w:space="0"/>
              <w:right w:val="single" w:color="auto" w:sz="4" w:space="0"/>
            </w:tcBorders>
            <w:vAlign w:val="center"/>
          </w:tcPr>
          <w:p w14:paraId="7D8F3B06">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华为32G 2933MT/s</w:t>
            </w:r>
          </w:p>
        </w:tc>
        <w:tc>
          <w:tcPr>
            <w:tcW w:w="720" w:type="dxa"/>
            <w:tcBorders>
              <w:top w:val="single" w:color="auto" w:sz="4" w:space="0"/>
              <w:left w:val="single" w:color="auto" w:sz="4" w:space="0"/>
              <w:bottom w:val="single" w:color="auto" w:sz="4" w:space="0"/>
              <w:right w:val="single" w:color="auto" w:sz="4" w:space="0"/>
            </w:tcBorders>
            <w:vAlign w:val="center"/>
          </w:tcPr>
          <w:p w14:paraId="1EF89D58">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32</w:t>
            </w:r>
          </w:p>
        </w:tc>
        <w:tc>
          <w:tcPr>
            <w:tcW w:w="705" w:type="dxa"/>
            <w:tcBorders>
              <w:top w:val="single" w:color="auto" w:sz="4" w:space="0"/>
              <w:left w:val="single" w:color="auto" w:sz="4" w:space="0"/>
              <w:bottom w:val="single" w:color="auto" w:sz="4" w:space="0"/>
              <w:right w:val="single" w:color="auto" w:sz="4" w:space="0"/>
            </w:tcBorders>
            <w:vAlign w:val="center"/>
          </w:tcPr>
          <w:p w14:paraId="412AEAF5">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个</w:t>
            </w:r>
          </w:p>
        </w:tc>
        <w:tc>
          <w:tcPr>
            <w:tcW w:w="3543" w:type="dxa"/>
            <w:vMerge w:val="continue"/>
            <w:tcBorders>
              <w:left w:val="single" w:color="auto" w:sz="4" w:space="0"/>
              <w:right w:val="single" w:color="auto" w:sz="4" w:space="0"/>
            </w:tcBorders>
            <w:vAlign w:val="center"/>
          </w:tcPr>
          <w:p w14:paraId="524EDF7B">
            <w:pPr>
              <w:widowControl/>
              <w:spacing w:line="360" w:lineRule="auto"/>
              <w:jc w:val="left"/>
              <w:rPr>
                <w:rFonts w:asciiTheme="minorEastAsia" w:hAnsiTheme="minorEastAsia" w:eastAsiaTheme="minorEastAsia" w:cstheme="minorEastAsia"/>
                <w:kern w:val="0"/>
                <w:szCs w:val="21"/>
              </w:rPr>
            </w:pPr>
          </w:p>
        </w:tc>
      </w:tr>
      <w:tr w14:paraId="1553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6" w:type="dxa"/>
            <w:vMerge w:val="continue"/>
            <w:tcBorders>
              <w:left w:val="single" w:color="auto" w:sz="4" w:space="0"/>
              <w:bottom w:val="single" w:color="auto" w:sz="4" w:space="0"/>
              <w:right w:val="single" w:color="auto" w:sz="4" w:space="0"/>
            </w:tcBorders>
            <w:vAlign w:val="center"/>
          </w:tcPr>
          <w:p w14:paraId="5AC4211E">
            <w:pPr>
              <w:widowControl/>
              <w:adjustRightInd w:val="0"/>
              <w:snapToGrid w:val="0"/>
              <w:spacing w:line="360" w:lineRule="auto"/>
              <w:jc w:val="center"/>
              <w:rPr>
                <w:rFonts w:asciiTheme="minorEastAsia" w:hAnsiTheme="minorEastAsia" w:eastAsiaTheme="minorEastAsia" w:cstheme="minorEastAsia"/>
                <w:kern w:val="0"/>
                <w:szCs w:val="21"/>
              </w:rPr>
            </w:pPr>
          </w:p>
        </w:tc>
        <w:tc>
          <w:tcPr>
            <w:tcW w:w="1095" w:type="dxa"/>
            <w:vMerge w:val="continue"/>
            <w:tcBorders>
              <w:left w:val="single" w:color="auto" w:sz="4" w:space="0"/>
              <w:right w:val="single" w:color="auto" w:sz="4" w:space="0"/>
            </w:tcBorders>
            <w:vAlign w:val="center"/>
          </w:tcPr>
          <w:p w14:paraId="2B89D7BF">
            <w:pPr>
              <w:adjustRightInd w:val="0"/>
              <w:snapToGrid w:val="0"/>
              <w:spacing w:line="360" w:lineRule="auto"/>
              <w:jc w:val="center"/>
              <w:rPr>
                <w:rFonts w:asciiTheme="minorEastAsia" w:hAnsiTheme="minorEastAsia" w:eastAsiaTheme="minorEastAsia" w:cs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C438998">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 32GB 2666MT/s DDR4 内存</w:t>
            </w:r>
          </w:p>
        </w:tc>
        <w:tc>
          <w:tcPr>
            <w:tcW w:w="1575" w:type="dxa"/>
            <w:tcBorders>
              <w:top w:val="single" w:color="auto" w:sz="4" w:space="0"/>
              <w:left w:val="single" w:color="auto" w:sz="4" w:space="0"/>
              <w:bottom w:val="single" w:color="auto" w:sz="4" w:space="0"/>
              <w:right w:val="single" w:color="auto" w:sz="4" w:space="0"/>
            </w:tcBorders>
            <w:vAlign w:val="center"/>
          </w:tcPr>
          <w:p w14:paraId="54AD07F8">
            <w:pPr>
              <w:widowControl/>
              <w:adjustRightInd w:val="0"/>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华为32GB 2666MT/s</w:t>
            </w:r>
          </w:p>
        </w:tc>
        <w:tc>
          <w:tcPr>
            <w:tcW w:w="720" w:type="dxa"/>
            <w:tcBorders>
              <w:top w:val="single" w:color="auto" w:sz="4" w:space="0"/>
              <w:left w:val="single" w:color="auto" w:sz="4" w:space="0"/>
              <w:bottom w:val="single" w:color="auto" w:sz="4" w:space="0"/>
              <w:right w:val="single" w:color="auto" w:sz="4" w:space="0"/>
            </w:tcBorders>
            <w:vAlign w:val="center"/>
          </w:tcPr>
          <w:p w14:paraId="28165671">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96</w:t>
            </w:r>
          </w:p>
        </w:tc>
        <w:tc>
          <w:tcPr>
            <w:tcW w:w="705" w:type="dxa"/>
            <w:tcBorders>
              <w:top w:val="single" w:color="auto" w:sz="4" w:space="0"/>
              <w:left w:val="single" w:color="auto" w:sz="4" w:space="0"/>
              <w:bottom w:val="single" w:color="auto" w:sz="4" w:space="0"/>
              <w:right w:val="single" w:color="auto" w:sz="4" w:space="0"/>
            </w:tcBorders>
            <w:vAlign w:val="center"/>
          </w:tcPr>
          <w:p w14:paraId="30318C08">
            <w:pPr>
              <w:widowControl/>
              <w:adjustRightInd w:val="0"/>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个</w:t>
            </w:r>
          </w:p>
        </w:tc>
        <w:tc>
          <w:tcPr>
            <w:tcW w:w="3543" w:type="dxa"/>
            <w:vMerge w:val="continue"/>
            <w:tcBorders>
              <w:left w:val="single" w:color="auto" w:sz="4" w:space="0"/>
              <w:right w:val="single" w:color="auto" w:sz="4" w:space="0"/>
            </w:tcBorders>
            <w:vAlign w:val="center"/>
          </w:tcPr>
          <w:p w14:paraId="0DBCE6A5">
            <w:pPr>
              <w:widowControl/>
              <w:spacing w:line="360" w:lineRule="auto"/>
              <w:jc w:val="left"/>
              <w:rPr>
                <w:rFonts w:asciiTheme="minorEastAsia" w:hAnsiTheme="minorEastAsia" w:eastAsiaTheme="minorEastAsia" w:cstheme="minorEastAsia"/>
                <w:kern w:val="0"/>
                <w:szCs w:val="21"/>
              </w:rPr>
            </w:pPr>
          </w:p>
        </w:tc>
      </w:tr>
    </w:tbl>
    <w:p w14:paraId="6511231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14:paraId="4583533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故障件提取：采购人在收到提供的更换部件后，在15个工作日内将故障件准备好，中标人安排物流上门取件。</w:t>
      </w:r>
    </w:p>
    <w:p w14:paraId="50AD4D44">
      <w:pPr>
        <w:pStyle w:val="255"/>
        <w:spacing w:beforeLines="0" w:line="360" w:lineRule="auto"/>
        <w:ind w:firstLine="0"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维保服务备件先行：采购人提出备件服务申请后，中标人即提供更换件给采购人，采购人只需要在收到更换部件后的30个日历日内将故障件返回指定接收点即可。</w:t>
      </w:r>
    </w:p>
    <w:p w14:paraId="18B5BE8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（三）其他维保服务要求：</w:t>
      </w:r>
    </w:p>
    <w:tbl>
      <w:tblPr>
        <w:tblStyle w:val="50"/>
        <w:tblW w:w="5000" w:type="pct"/>
        <w:tblInd w:w="0" w:type="dxa"/>
        <w:tblLayout w:type="autofit"/>
        <w:tblCellMar>
          <w:top w:w="0" w:type="dxa"/>
          <w:left w:w="108" w:type="dxa"/>
          <w:bottom w:w="0" w:type="dxa"/>
          <w:right w:w="108" w:type="dxa"/>
        </w:tblCellMar>
      </w:tblPr>
      <w:tblGrid>
        <w:gridCol w:w="857"/>
        <w:gridCol w:w="1699"/>
        <w:gridCol w:w="7298"/>
      </w:tblGrid>
      <w:tr w14:paraId="6319C90C">
        <w:tblPrEx>
          <w:tblCellMar>
            <w:top w:w="0" w:type="dxa"/>
            <w:left w:w="108" w:type="dxa"/>
            <w:bottom w:w="0" w:type="dxa"/>
            <w:right w:w="108" w:type="dxa"/>
          </w:tblCellMar>
        </w:tblPrEx>
        <w:trPr>
          <w:trHeight w:val="18" w:hRule="atLeast"/>
        </w:trPr>
        <w:tc>
          <w:tcPr>
            <w:tcW w:w="435" w:type="pct"/>
            <w:tcBorders>
              <w:top w:val="single" w:color="auto" w:sz="4" w:space="0"/>
              <w:left w:val="single" w:color="auto" w:sz="4" w:space="0"/>
              <w:bottom w:val="single" w:color="auto" w:sz="4" w:space="0"/>
              <w:right w:val="single" w:color="auto" w:sz="4" w:space="0"/>
            </w:tcBorders>
            <w:vAlign w:val="center"/>
          </w:tcPr>
          <w:p w14:paraId="37C2EFFB">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862" w:type="pct"/>
            <w:tcBorders>
              <w:top w:val="single" w:color="auto" w:sz="4" w:space="0"/>
              <w:left w:val="nil"/>
              <w:bottom w:val="single" w:color="auto" w:sz="4" w:space="0"/>
              <w:right w:val="single" w:color="auto" w:sz="4" w:space="0"/>
            </w:tcBorders>
            <w:vAlign w:val="center"/>
          </w:tcPr>
          <w:p w14:paraId="3844D180">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目录</w:t>
            </w:r>
          </w:p>
        </w:tc>
        <w:tc>
          <w:tcPr>
            <w:tcW w:w="3703" w:type="pct"/>
            <w:tcBorders>
              <w:top w:val="single" w:color="auto" w:sz="4" w:space="0"/>
              <w:left w:val="nil"/>
              <w:bottom w:val="single" w:color="auto" w:sz="4" w:space="0"/>
              <w:right w:val="single" w:color="auto" w:sz="4" w:space="0"/>
            </w:tcBorders>
            <w:vAlign w:val="center"/>
          </w:tcPr>
          <w:p w14:paraId="388696DB">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服务内容</w:t>
            </w:r>
          </w:p>
        </w:tc>
      </w:tr>
      <w:tr w14:paraId="68D10983">
        <w:tblPrEx>
          <w:tblCellMar>
            <w:top w:w="0" w:type="dxa"/>
            <w:left w:w="108" w:type="dxa"/>
            <w:bottom w:w="0" w:type="dxa"/>
            <w:right w:w="108" w:type="dxa"/>
          </w:tblCellMar>
        </w:tblPrEx>
        <w:trPr>
          <w:trHeight w:val="18" w:hRule="atLeast"/>
        </w:trPr>
        <w:tc>
          <w:tcPr>
            <w:tcW w:w="435" w:type="pct"/>
            <w:tcBorders>
              <w:top w:val="nil"/>
              <w:left w:val="single" w:color="auto" w:sz="4" w:space="0"/>
              <w:bottom w:val="single" w:color="auto" w:sz="4" w:space="0"/>
              <w:right w:val="single" w:color="auto" w:sz="4" w:space="0"/>
            </w:tcBorders>
            <w:vAlign w:val="center"/>
          </w:tcPr>
          <w:p w14:paraId="0DCD4A77">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62" w:type="pct"/>
            <w:tcBorders>
              <w:top w:val="nil"/>
              <w:left w:val="nil"/>
              <w:bottom w:val="single" w:color="auto" w:sz="4" w:space="0"/>
              <w:right w:val="single" w:color="auto" w:sz="4" w:space="0"/>
            </w:tcBorders>
            <w:vAlign w:val="center"/>
          </w:tcPr>
          <w:p w14:paraId="72A67D2D">
            <w:pPr>
              <w:widowControl/>
              <w:jc w:val="left"/>
              <w:rPr>
                <w:rFonts w:ascii="宋体" w:hAnsi="宋体" w:cs="宋体"/>
                <w:color w:val="000000"/>
                <w:kern w:val="0"/>
                <w:szCs w:val="21"/>
              </w:rPr>
            </w:pPr>
            <w:r>
              <w:rPr>
                <w:rFonts w:hint="eastAsia" w:ascii="宋体" w:hAnsi="宋体" w:cs="宋体"/>
                <w:color w:val="000000"/>
                <w:kern w:val="0"/>
                <w:szCs w:val="21"/>
              </w:rPr>
              <w:t>服务范围</w:t>
            </w:r>
          </w:p>
        </w:tc>
        <w:tc>
          <w:tcPr>
            <w:tcW w:w="3703" w:type="pct"/>
            <w:tcBorders>
              <w:top w:val="nil"/>
              <w:left w:val="nil"/>
              <w:bottom w:val="single" w:color="auto" w:sz="4" w:space="0"/>
              <w:right w:val="single" w:color="auto" w:sz="4" w:space="0"/>
            </w:tcBorders>
            <w:vAlign w:val="center"/>
          </w:tcPr>
          <w:p w14:paraId="66B0C4EB">
            <w:pPr>
              <w:widowControl/>
              <w:spacing w:line="360" w:lineRule="auto"/>
              <w:ind w:firstLine="420" w:firstLineChars="200"/>
              <w:jc w:val="left"/>
              <w:rPr>
                <w:rFonts w:ascii="宋体" w:hAnsi="宋体" w:cs="宋体"/>
                <w:color w:val="000000"/>
                <w:kern w:val="0"/>
                <w:szCs w:val="21"/>
              </w:rPr>
            </w:pPr>
            <w:r>
              <w:rPr>
                <w:rFonts w:hint="eastAsia" w:ascii="宋体" w:hAnsi="宋体" w:cs="宋体"/>
                <w:szCs w:val="21"/>
              </w:rPr>
              <w:t>▲</w:t>
            </w:r>
            <w:r>
              <w:rPr>
                <w:rFonts w:hint="eastAsia" w:ascii="宋体" w:hAnsi="宋体" w:cs="宋体"/>
                <w:kern w:val="0"/>
                <w:szCs w:val="21"/>
              </w:rPr>
              <w:t>本项目维护范围包括但不限于设备/软件清单中所列的设备/软件。</w:t>
            </w:r>
            <w:r>
              <w:rPr>
                <w:rFonts w:hint="eastAsia" w:ascii="宋体" w:hAnsi="宋体" w:cs="宋体"/>
                <w:bCs/>
                <w:szCs w:val="21"/>
              </w:rPr>
              <w:t>服务期内，中标人对IT综合运维平台、超融合平台、云桌面平台及扩容设备进行维护。在整个系统运行过程中，帮助采购人解决在系统应用过程中的各种技术问题和需求。</w:t>
            </w:r>
            <w:r>
              <w:rPr>
                <w:rFonts w:hint="eastAsia" w:ascii="宋体" w:hAnsi="宋体" w:cs="宋体"/>
                <w:kern w:val="0"/>
                <w:szCs w:val="21"/>
              </w:rPr>
              <w:t>投标人应详细了解维保的所有设备/软件配置情况以及系统运行情况，一旦中标，对于出现的任何故障将认为中标人认同并提供服务。服务期内上述服务范围涉及的一切费用包含在投标报价中。</w:t>
            </w:r>
          </w:p>
        </w:tc>
      </w:tr>
      <w:tr w14:paraId="7AD1FF2F">
        <w:tblPrEx>
          <w:tblCellMar>
            <w:top w:w="0" w:type="dxa"/>
            <w:left w:w="108" w:type="dxa"/>
            <w:bottom w:w="0" w:type="dxa"/>
            <w:right w:w="108" w:type="dxa"/>
          </w:tblCellMar>
        </w:tblPrEx>
        <w:trPr>
          <w:trHeight w:val="4290" w:hRule="atLeast"/>
        </w:trPr>
        <w:tc>
          <w:tcPr>
            <w:tcW w:w="435" w:type="pct"/>
            <w:tcBorders>
              <w:top w:val="nil"/>
              <w:left w:val="single" w:color="auto" w:sz="4" w:space="0"/>
              <w:bottom w:val="single" w:color="auto" w:sz="4" w:space="0"/>
              <w:right w:val="single" w:color="auto" w:sz="4" w:space="0"/>
            </w:tcBorders>
            <w:vAlign w:val="center"/>
          </w:tcPr>
          <w:p w14:paraId="52E57686">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62" w:type="pct"/>
            <w:tcBorders>
              <w:top w:val="nil"/>
              <w:left w:val="nil"/>
              <w:bottom w:val="single" w:color="auto" w:sz="4" w:space="0"/>
              <w:right w:val="single" w:color="auto" w:sz="4" w:space="0"/>
            </w:tcBorders>
            <w:vAlign w:val="center"/>
          </w:tcPr>
          <w:p w14:paraId="481B083F">
            <w:pPr>
              <w:widowControl/>
              <w:jc w:val="left"/>
              <w:rPr>
                <w:rFonts w:ascii="宋体" w:hAnsi="宋体" w:cs="宋体"/>
                <w:color w:val="000000"/>
                <w:kern w:val="0"/>
                <w:szCs w:val="21"/>
              </w:rPr>
            </w:pPr>
            <w:r>
              <w:rPr>
                <w:rFonts w:hint="eastAsia" w:ascii="宋体" w:hAnsi="宋体" w:cs="宋体"/>
                <w:kern w:val="0"/>
                <w:szCs w:val="21"/>
              </w:rPr>
              <w:t>服务内容</w:t>
            </w:r>
          </w:p>
        </w:tc>
        <w:tc>
          <w:tcPr>
            <w:tcW w:w="3703" w:type="pct"/>
            <w:tcBorders>
              <w:top w:val="nil"/>
              <w:left w:val="nil"/>
              <w:bottom w:val="single" w:color="auto" w:sz="4" w:space="0"/>
              <w:right w:val="single" w:color="auto" w:sz="4" w:space="0"/>
            </w:tcBorders>
            <w:vAlign w:val="center"/>
          </w:tcPr>
          <w:p w14:paraId="57A47B3F">
            <w:pPr>
              <w:widowControl/>
              <w:spacing w:line="360" w:lineRule="auto"/>
              <w:rPr>
                <w:rFonts w:ascii="宋体" w:hAnsi="宋体" w:cs="宋体"/>
                <w:color w:val="000000"/>
                <w:kern w:val="0"/>
                <w:szCs w:val="21"/>
              </w:rPr>
            </w:pPr>
            <w:r>
              <w:rPr>
                <w:rFonts w:hint="eastAsia" w:ascii="宋体" w:hAnsi="宋体"/>
                <w:b/>
                <w:color w:val="000000"/>
                <w:szCs w:val="21"/>
              </w:rPr>
              <w:t>▲</w:t>
            </w:r>
            <w:r>
              <w:rPr>
                <w:rFonts w:ascii="宋体" w:hAnsi="宋体" w:cs="宋体"/>
                <w:color w:val="000000"/>
                <w:kern w:val="0"/>
                <w:szCs w:val="21"/>
              </w:rPr>
              <w:t>1</w:t>
            </w:r>
            <w:r>
              <w:rPr>
                <w:rFonts w:hint="eastAsia" w:ascii="宋体" w:hAnsi="宋体" w:cs="宋体"/>
                <w:color w:val="000000"/>
                <w:kern w:val="0"/>
                <w:szCs w:val="21"/>
              </w:rPr>
              <w:t>）故障维修服务。</w:t>
            </w:r>
            <w:r>
              <w:rPr>
                <w:rFonts w:hint="eastAsia" w:ascii="宋体" w:hAnsi="宋体" w:cs="宋体"/>
                <w:kern w:val="0"/>
                <w:szCs w:val="21"/>
              </w:rPr>
              <w:t>对运维设备及</w:t>
            </w:r>
            <w:r>
              <w:rPr>
                <w:rFonts w:ascii="宋体" w:hAnsi="宋体" w:cs="宋体"/>
                <w:kern w:val="0"/>
                <w:szCs w:val="21"/>
              </w:rPr>
              <w:t>系统</w:t>
            </w:r>
            <w:r>
              <w:rPr>
                <w:rFonts w:hint="eastAsia" w:ascii="宋体" w:hAnsi="宋体" w:cs="宋体"/>
                <w:kern w:val="0"/>
                <w:szCs w:val="21"/>
              </w:rPr>
              <w:t>出现的故障进行分析定位及解决。</w:t>
            </w:r>
            <w:r>
              <w:rPr>
                <w:rFonts w:hint="eastAsia" w:ascii="宋体" w:hAnsi="宋体" w:cs="宋体"/>
                <w:color w:val="000000"/>
                <w:kern w:val="0"/>
                <w:szCs w:val="21"/>
              </w:rPr>
              <w:t>提供现场更换故障设备服务，并负责坏件返厂维修等事宜。</w:t>
            </w:r>
            <w:r>
              <w:rPr>
                <w:rFonts w:hint="eastAsia" w:ascii="宋体" w:hAnsi="宋体" w:cs="宋体"/>
                <w:color w:val="000000"/>
                <w:kern w:val="0"/>
                <w:szCs w:val="21"/>
              </w:rPr>
              <w:br w:type="textWrapping"/>
            </w:r>
            <w:r>
              <w:rPr>
                <w:rFonts w:hint="eastAsia" w:ascii="宋体" w:hAnsi="宋体"/>
                <w:b/>
                <w:color w:val="000000"/>
                <w:szCs w:val="21"/>
              </w:rPr>
              <w:t>▲</w:t>
            </w:r>
            <w:r>
              <w:rPr>
                <w:rFonts w:ascii="宋体" w:hAnsi="宋体" w:cs="宋体"/>
                <w:color w:val="000000"/>
                <w:kern w:val="0"/>
                <w:szCs w:val="21"/>
              </w:rPr>
              <w:t>2</w:t>
            </w:r>
            <w:r>
              <w:rPr>
                <w:rFonts w:hint="eastAsia" w:ascii="宋体" w:hAnsi="宋体" w:cs="宋体"/>
                <w:color w:val="000000"/>
                <w:kern w:val="0"/>
                <w:szCs w:val="21"/>
              </w:rPr>
              <w:t>）巡检服务。在服务期内，对深职大IT综合运维平台和超融合平台进行定期巡检维护，每月不少于1次的定期巡检以及一年不少于5次的不定期巡检，不定期巡检安排应至少包含每学期开学前、超过4天的节假日结束前以及学校或上级部门规定的特殊保障时期。巡检内容包含但不限于：系统功能运行情况、系统性能情况、系统运行日志、访问日志和业务日志、系统资源使用情况、系统所在运行环境的版本更新、登录记录、历史操作和可疑行为等。</w:t>
            </w:r>
          </w:p>
          <w:p w14:paraId="347A96FE">
            <w:pPr>
              <w:widowControl/>
              <w:spacing w:line="360" w:lineRule="auto"/>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）系统升级服务。在服务期限内投标人应及时提供系统软硬件升级的信息，并对系统软硬件升级提供现场技术支持服务。对于维保清单所列软件在使用中出现任何故障和问题，中标方应给予解决。</w:t>
            </w:r>
            <w:r>
              <w:rPr>
                <w:rFonts w:hint="eastAsia" w:ascii="宋体" w:hAns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）系统优化服务。投标人需协助制定针对IT综合运维平台和超融合平台切实可行的冗余方案及故障应急方案和详细、具体的实施步骤。确保在系统故障时，生产业务能在最短时间内恢复正常。</w:t>
            </w:r>
            <w:r>
              <w:rPr>
                <w:rFonts w:hint="eastAsia" w:ascii="宋体" w:hAns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）备份。应定期和根据需要不定期对系统数据、应用程序及配置文件进行备份，备份操作应遵循采购人相关规范和要求。</w:t>
            </w:r>
          </w:p>
          <w:p w14:paraId="07C61539">
            <w:pPr>
              <w:widowControl/>
              <w:spacing w:line="360" w:lineRule="auto"/>
              <w:rPr>
                <w:rFonts w:ascii="宋体" w:hAnsi="宋体" w:cs="宋体"/>
                <w:color w:val="000000"/>
                <w:kern w:val="0"/>
                <w:szCs w:val="21"/>
                <w:highlight w:val="yellow"/>
              </w:rPr>
            </w:pPr>
            <w:r>
              <w:rPr>
                <w:rFonts w:hint="eastAsia"/>
                <w:szCs w:val="21"/>
                <w:highlight w:val="yellow"/>
              </w:rPr>
              <w:t>★</w:t>
            </w:r>
            <w:r>
              <w:rPr>
                <w:rFonts w:ascii="宋体" w:hAnsi="宋体" w:cs="宋体"/>
                <w:color w:val="000000"/>
                <w:kern w:val="0"/>
                <w:szCs w:val="21"/>
                <w:highlight w:val="yellow"/>
              </w:rPr>
              <w:t>6</w:t>
            </w:r>
            <w:r>
              <w:rPr>
                <w:rFonts w:hint="eastAsia" w:ascii="宋体" w:hAnsi="宋体" w:cs="宋体"/>
                <w:color w:val="000000"/>
                <w:kern w:val="0"/>
                <w:szCs w:val="21"/>
                <w:highlight w:val="yellow"/>
              </w:rPr>
              <w:t>）网络安全运维服务。</w:t>
            </w:r>
          </w:p>
          <w:p w14:paraId="5C8C828F">
            <w:pPr>
              <w:widowControl/>
              <w:spacing w:line="360" w:lineRule="auto"/>
              <w:ind w:firstLine="420" w:firstLineChars="200"/>
              <w:jc w:val="left"/>
              <w:rPr>
                <w:rFonts w:ascii="宋体" w:hAnsi="宋体" w:cs="宋体"/>
                <w:color w:val="000000"/>
                <w:kern w:val="0"/>
                <w:szCs w:val="21"/>
                <w:highlight w:val="yellow"/>
              </w:rPr>
            </w:pPr>
            <w:r>
              <w:rPr>
                <w:rFonts w:hint="eastAsia" w:ascii="宋体" w:hAnsi="宋体" w:cs="宋体"/>
                <w:color w:val="000000"/>
                <w:kern w:val="0"/>
                <w:szCs w:val="21"/>
                <w:highlight w:val="yellow"/>
              </w:rPr>
              <w:t>按《中华人民共和国网络安全法》等国家法律法规要求，提供系统的网络安全运维服务，具体内容包括但不限于：</w:t>
            </w:r>
          </w:p>
          <w:p w14:paraId="5D68C80A">
            <w:pPr>
              <w:widowControl/>
              <w:spacing w:line="360" w:lineRule="auto"/>
              <w:jc w:val="left"/>
              <w:rPr>
                <w:rFonts w:ascii="宋体" w:hAnsi="宋体" w:cs="宋体"/>
                <w:color w:val="000000"/>
                <w:kern w:val="0"/>
                <w:szCs w:val="21"/>
                <w:highlight w:val="yellow"/>
              </w:rPr>
            </w:pPr>
            <w:r>
              <w:rPr>
                <w:rFonts w:hint="eastAsia" w:ascii="宋体" w:hAnsi="宋体" w:cs="宋体"/>
                <w:color w:val="000000"/>
                <w:kern w:val="0"/>
                <w:szCs w:val="21"/>
                <w:highlight w:val="yellow"/>
              </w:rPr>
              <w:t>（1）定期和根据需要不定期检查应用系统及其运行所需环境（数据库、中间件、容器、操作系统及其它软件工具等）的安全运行情况、配置情况，确保系统运行正常，不存在明显或已知的安全隐患，及时发现可疑的数据泄露、权限配置错误、遭遇系统攻击等问题，并根据采购人要求出具书面检查报告。</w:t>
            </w:r>
          </w:p>
          <w:p w14:paraId="6EBC8AE1">
            <w:pPr>
              <w:widowControl/>
              <w:spacing w:line="360" w:lineRule="auto"/>
              <w:jc w:val="left"/>
              <w:rPr>
                <w:rFonts w:ascii="宋体" w:hAnsi="宋体" w:cs="宋体"/>
                <w:color w:val="000000"/>
                <w:kern w:val="0"/>
                <w:szCs w:val="21"/>
                <w:highlight w:val="yellow"/>
              </w:rPr>
            </w:pPr>
            <w:r>
              <w:rPr>
                <w:rFonts w:hint="eastAsia" w:ascii="宋体" w:hAnsi="宋体" w:cs="宋体"/>
                <w:color w:val="000000"/>
                <w:kern w:val="0"/>
                <w:szCs w:val="21"/>
                <w:highlight w:val="yellow"/>
              </w:rPr>
              <w:t>（2）应用系统存在安全缺陷、漏洞等风险时，立即采取补救措施处置和修复。</w:t>
            </w:r>
          </w:p>
          <w:p w14:paraId="2DA4E28A">
            <w:pPr>
              <w:widowControl/>
              <w:spacing w:line="360" w:lineRule="auto"/>
              <w:jc w:val="left"/>
              <w:rPr>
                <w:rFonts w:ascii="宋体" w:hAnsi="宋体" w:cs="宋体"/>
                <w:color w:val="000000"/>
                <w:kern w:val="0"/>
                <w:szCs w:val="21"/>
                <w:highlight w:val="yellow"/>
              </w:rPr>
            </w:pPr>
            <w:r>
              <w:rPr>
                <w:rFonts w:hint="eastAsia" w:ascii="宋体" w:hAnsi="宋体" w:cs="宋体"/>
                <w:color w:val="000000"/>
                <w:kern w:val="0"/>
                <w:szCs w:val="21"/>
                <w:highlight w:val="yellow"/>
              </w:rPr>
              <w:t>（3）应用系统所需运行环境存在安全缺陷、漏洞等风险时，立即采取补救措施处置和修复。如环境或工具因修复漏洞需要升级软件版本，造成应用系统无法适配的，应无条件完成适配开发。</w:t>
            </w:r>
          </w:p>
          <w:p w14:paraId="2F7EA642">
            <w:pPr>
              <w:widowControl/>
              <w:spacing w:line="360" w:lineRule="auto"/>
              <w:jc w:val="left"/>
              <w:rPr>
                <w:rFonts w:ascii="宋体" w:hAnsi="宋体" w:cs="宋体"/>
                <w:color w:val="000000"/>
                <w:kern w:val="0"/>
                <w:szCs w:val="21"/>
                <w:highlight w:val="yellow"/>
              </w:rPr>
            </w:pPr>
            <w:r>
              <w:rPr>
                <w:rFonts w:hint="eastAsia" w:ascii="宋体" w:hAnsi="宋体" w:cs="宋体"/>
                <w:color w:val="000000"/>
                <w:kern w:val="0"/>
                <w:szCs w:val="21"/>
                <w:highlight w:val="yellow"/>
              </w:rPr>
              <w:t>（4）上述网络安全漏洞隐患，高、中危漏洞应在发现后1小时内响应，12小时内进行处置，并在48小时内修复。确有特殊情况无法按时修复的，应在24小时内采取有效的临时处置措施，确保漏洞隐患无法被利用或检测，并提出后续修复计划。</w:t>
            </w:r>
          </w:p>
          <w:p w14:paraId="76B11AFA">
            <w:pPr>
              <w:widowControl/>
              <w:spacing w:line="360" w:lineRule="auto"/>
              <w:jc w:val="left"/>
              <w:rPr>
                <w:rFonts w:ascii="宋体" w:hAnsi="宋体" w:cs="宋体"/>
                <w:color w:val="000000"/>
                <w:kern w:val="0"/>
                <w:szCs w:val="21"/>
                <w:highlight w:val="yellow"/>
              </w:rPr>
            </w:pPr>
            <w:r>
              <w:rPr>
                <w:rFonts w:hint="eastAsia" w:ascii="宋体" w:hAnsi="宋体" w:cs="宋体"/>
                <w:color w:val="000000"/>
                <w:kern w:val="0"/>
                <w:szCs w:val="21"/>
                <w:highlight w:val="yellow"/>
              </w:rPr>
              <w:t>（5）根据学校要求，制定应用系统的网络安全应急预案，并进行演练。</w:t>
            </w:r>
          </w:p>
          <w:p w14:paraId="2FE67FB3">
            <w:pPr>
              <w:widowControl/>
              <w:spacing w:line="360" w:lineRule="auto"/>
              <w:jc w:val="left"/>
              <w:rPr>
                <w:rFonts w:ascii="宋体" w:hAnsi="宋体" w:cs="宋体"/>
                <w:b/>
                <w:bCs/>
                <w:color w:val="000000"/>
                <w:kern w:val="0"/>
                <w:szCs w:val="21"/>
              </w:rPr>
            </w:pPr>
            <w:r>
              <w:rPr>
                <w:rFonts w:hint="eastAsia" w:ascii="宋体" w:hAnsi="宋体" w:cs="宋体"/>
                <w:color w:val="000000"/>
                <w:kern w:val="0"/>
                <w:szCs w:val="21"/>
                <w:highlight w:val="yellow"/>
              </w:rPr>
              <w:t>（6）在发生危害网络安全的事件时，立即启动应急预案，采取相应的补救措施，协助配合学校或公安机关保护系统现场环境、开展调查、提供技术支持和有关信息等。</w:t>
            </w:r>
          </w:p>
          <w:p w14:paraId="157FB3A6">
            <w:pPr>
              <w:widowControl/>
              <w:tabs>
                <w:tab w:val="left" w:pos="0"/>
              </w:tabs>
              <w:spacing w:line="360" w:lineRule="auto"/>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szCs w:val="21"/>
              </w:rPr>
              <w:t>维保期内，因中标人原因、网络安全原因造成系统停运的，应按停运时间无条件延长维保期（不额外收费）。系统单次连续停运超过7天的，采购人有权追究中标人的违约责任。</w:t>
            </w:r>
          </w:p>
        </w:tc>
      </w:tr>
      <w:tr w14:paraId="620B8159">
        <w:tblPrEx>
          <w:tblCellMar>
            <w:top w:w="0" w:type="dxa"/>
            <w:left w:w="108" w:type="dxa"/>
            <w:bottom w:w="0" w:type="dxa"/>
            <w:right w:w="108" w:type="dxa"/>
          </w:tblCellMar>
        </w:tblPrEx>
        <w:trPr>
          <w:trHeight w:val="18" w:hRule="atLeast"/>
        </w:trPr>
        <w:tc>
          <w:tcPr>
            <w:tcW w:w="435" w:type="pct"/>
            <w:vMerge w:val="restart"/>
            <w:tcBorders>
              <w:top w:val="nil"/>
              <w:left w:val="single" w:color="auto" w:sz="4" w:space="0"/>
              <w:bottom w:val="single" w:color="auto" w:sz="4" w:space="0"/>
              <w:right w:val="single" w:color="auto" w:sz="4" w:space="0"/>
            </w:tcBorders>
            <w:vAlign w:val="center"/>
          </w:tcPr>
          <w:p w14:paraId="5FF40C82">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62" w:type="pct"/>
            <w:vMerge w:val="restart"/>
            <w:tcBorders>
              <w:top w:val="nil"/>
              <w:left w:val="single" w:color="auto" w:sz="4" w:space="0"/>
              <w:bottom w:val="single" w:color="auto" w:sz="4" w:space="0"/>
              <w:right w:val="single" w:color="auto" w:sz="4" w:space="0"/>
            </w:tcBorders>
            <w:vAlign w:val="center"/>
          </w:tcPr>
          <w:p w14:paraId="577303F4">
            <w:pPr>
              <w:widowControl/>
              <w:jc w:val="center"/>
              <w:rPr>
                <w:rFonts w:ascii="宋体" w:hAnsi="宋体" w:cs="宋体"/>
                <w:color w:val="000000"/>
                <w:kern w:val="0"/>
                <w:szCs w:val="21"/>
              </w:rPr>
            </w:pPr>
            <w:r>
              <w:rPr>
                <w:rFonts w:hint="eastAsia" w:ascii="宋体" w:hAnsi="宋体" w:cs="宋体"/>
                <w:color w:val="000000"/>
                <w:kern w:val="0"/>
                <w:szCs w:val="21"/>
              </w:rPr>
              <w:t>维保服务体系要求</w:t>
            </w:r>
          </w:p>
        </w:tc>
        <w:tc>
          <w:tcPr>
            <w:tcW w:w="3703" w:type="pct"/>
            <w:tcBorders>
              <w:top w:val="nil"/>
              <w:left w:val="nil"/>
              <w:bottom w:val="single" w:color="auto" w:sz="4" w:space="0"/>
              <w:right w:val="single" w:color="auto" w:sz="4" w:space="0"/>
            </w:tcBorders>
            <w:vAlign w:val="center"/>
          </w:tcPr>
          <w:p w14:paraId="00EC74EC">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szCs w:val="21"/>
              </w:rPr>
              <w:t>▲</w:t>
            </w:r>
            <w:r>
              <w:rPr>
                <w:rFonts w:hint="eastAsia" w:asciiTheme="minorEastAsia" w:hAnsiTheme="minorEastAsia" w:eastAsiaTheme="minorEastAsia" w:cstheme="minorEastAsia"/>
                <w:color w:val="000000"/>
                <w:kern w:val="0"/>
                <w:szCs w:val="21"/>
              </w:rPr>
              <w:t>1）投标人应具有提供日常维护和技术支持的能力；投标人中标后应在广东省设有自主经营的售后服务机构，提供专用的7天24小时的服务电话，及时响应服务请求，并应在服务电话变动时，在第一时间内通知服务对象；投标人须制订严谨的维护服务规范，提供管理技术热线，建立健全的用户档案及设备档案，并对设备故障及需求进行即时的跟踪。</w:t>
            </w:r>
          </w:p>
        </w:tc>
      </w:tr>
      <w:tr w14:paraId="1CBC1012">
        <w:tblPrEx>
          <w:tblCellMar>
            <w:top w:w="0" w:type="dxa"/>
            <w:left w:w="108" w:type="dxa"/>
            <w:bottom w:w="0" w:type="dxa"/>
            <w:right w:w="108" w:type="dxa"/>
          </w:tblCellMar>
        </w:tblPrEx>
        <w:trPr>
          <w:trHeight w:val="18" w:hRule="atLeast"/>
        </w:trPr>
        <w:tc>
          <w:tcPr>
            <w:tcW w:w="435" w:type="pct"/>
            <w:vMerge w:val="continue"/>
            <w:tcBorders>
              <w:top w:val="nil"/>
              <w:left w:val="single" w:color="auto" w:sz="4" w:space="0"/>
              <w:bottom w:val="single" w:color="auto" w:sz="4" w:space="0"/>
              <w:right w:val="single" w:color="auto" w:sz="4" w:space="0"/>
            </w:tcBorders>
            <w:vAlign w:val="center"/>
          </w:tcPr>
          <w:p w14:paraId="20A74FB6">
            <w:pPr>
              <w:widowControl/>
              <w:jc w:val="center"/>
              <w:rPr>
                <w:rFonts w:ascii="宋体" w:hAnsi="宋体" w:cs="宋体"/>
                <w:color w:val="000000"/>
                <w:kern w:val="0"/>
                <w:szCs w:val="21"/>
              </w:rPr>
            </w:pPr>
          </w:p>
        </w:tc>
        <w:tc>
          <w:tcPr>
            <w:tcW w:w="862" w:type="pct"/>
            <w:vMerge w:val="continue"/>
            <w:tcBorders>
              <w:top w:val="nil"/>
              <w:left w:val="single" w:color="auto" w:sz="4" w:space="0"/>
              <w:bottom w:val="single" w:color="auto" w:sz="4" w:space="0"/>
              <w:right w:val="single" w:color="auto" w:sz="4" w:space="0"/>
            </w:tcBorders>
            <w:vAlign w:val="center"/>
          </w:tcPr>
          <w:p w14:paraId="0FA771FC">
            <w:pPr>
              <w:widowControl/>
              <w:jc w:val="center"/>
              <w:rPr>
                <w:rFonts w:ascii="宋体" w:hAnsi="宋体" w:cs="宋体"/>
                <w:color w:val="000000"/>
                <w:kern w:val="0"/>
                <w:szCs w:val="21"/>
              </w:rPr>
            </w:pPr>
          </w:p>
        </w:tc>
        <w:tc>
          <w:tcPr>
            <w:tcW w:w="3703" w:type="pct"/>
            <w:tcBorders>
              <w:top w:val="nil"/>
              <w:left w:val="nil"/>
              <w:bottom w:val="single" w:color="auto" w:sz="4" w:space="0"/>
              <w:right w:val="single" w:color="auto" w:sz="4" w:space="0"/>
            </w:tcBorders>
            <w:vAlign w:val="center"/>
          </w:tcPr>
          <w:p w14:paraId="4CA175C9">
            <w:pPr>
              <w:widowControl/>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szCs w:val="21"/>
              </w:rPr>
              <w:t>▲</w:t>
            </w:r>
            <w:r>
              <w:rPr>
                <w:rFonts w:hint="eastAsia" w:asciiTheme="minorEastAsia" w:hAnsiTheme="minorEastAsia" w:eastAsiaTheme="minorEastAsia" w:cstheme="minorEastAsia"/>
                <w:color w:val="000000"/>
                <w:kern w:val="0"/>
                <w:szCs w:val="21"/>
              </w:rPr>
              <w:t>2）响应时间：接到用户通知后，提供7*24小时售后技术支持服务，系统一般故障可通过电话技术咨询解决，如故障不能解决或排除的，中标人应在24小时内提供现场服务，待系统运行正常后撤离现场。</w:t>
            </w:r>
          </w:p>
        </w:tc>
      </w:tr>
      <w:tr w14:paraId="2E81DD2A">
        <w:tblPrEx>
          <w:tblCellMar>
            <w:top w:w="0" w:type="dxa"/>
            <w:left w:w="108" w:type="dxa"/>
            <w:bottom w:w="0" w:type="dxa"/>
            <w:right w:w="108" w:type="dxa"/>
          </w:tblCellMar>
        </w:tblPrEx>
        <w:trPr>
          <w:trHeight w:val="18" w:hRule="atLeast"/>
        </w:trPr>
        <w:tc>
          <w:tcPr>
            <w:tcW w:w="435" w:type="pct"/>
            <w:vMerge w:val="restart"/>
            <w:tcBorders>
              <w:top w:val="nil"/>
              <w:left w:val="single" w:color="auto" w:sz="4" w:space="0"/>
              <w:bottom w:val="single" w:color="000000" w:sz="4" w:space="0"/>
              <w:right w:val="single" w:color="auto" w:sz="4" w:space="0"/>
            </w:tcBorders>
            <w:vAlign w:val="center"/>
          </w:tcPr>
          <w:p w14:paraId="28C84A6A">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62" w:type="pct"/>
            <w:vMerge w:val="restart"/>
            <w:tcBorders>
              <w:top w:val="nil"/>
              <w:left w:val="single" w:color="auto" w:sz="4" w:space="0"/>
              <w:bottom w:val="single" w:color="auto" w:sz="4" w:space="0"/>
              <w:right w:val="single" w:color="auto" w:sz="4" w:space="0"/>
            </w:tcBorders>
            <w:vAlign w:val="center"/>
          </w:tcPr>
          <w:p w14:paraId="2F6A5487">
            <w:pPr>
              <w:widowControl/>
              <w:jc w:val="center"/>
              <w:rPr>
                <w:rFonts w:ascii="宋体" w:hAnsi="宋体" w:cs="宋体"/>
                <w:color w:val="000000"/>
                <w:kern w:val="0"/>
                <w:szCs w:val="21"/>
              </w:rPr>
            </w:pPr>
            <w:r>
              <w:rPr>
                <w:rFonts w:hint="eastAsia" w:ascii="宋体" w:hAnsi="宋体" w:cs="宋体"/>
                <w:color w:val="000000"/>
                <w:kern w:val="0"/>
                <w:szCs w:val="21"/>
              </w:rPr>
              <w:t>文档要求</w:t>
            </w:r>
          </w:p>
        </w:tc>
        <w:tc>
          <w:tcPr>
            <w:tcW w:w="3703" w:type="pct"/>
            <w:tcBorders>
              <w:top w:val="nil"/>
              <w:left w:val="nil"/>
              <w:bottom w:val="single" w:color="auto" w:sz="4" w:space="0"/>
              <w:right w:val="single" w:color="auto" w:sz="4" w:space="0"/>
            </w:tcBorders>
            <w:vAlign w:val="center"/>
          </w:tcPr>
          <w:p w14:paraId="6F2C1B30">
            <w:pPr>
              <w:widowControl/>
              <w:spacing w:line="360" w:lineRule="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1）在双方签订合同后，投标人应在十五</w:t>
            </w:r>
            <w:r>
              <w:rPr>
                <w:rStyle w:val="58"/>
                <w:rFonts w:hint="eastAsia"/>
              </w:rPr>
              <w:t>个工作日</w:t>
            </w:r>
            <w:r>
              <w:rPr>
                <w:rFonts w:hint="eastAsia" w:asciiTheme="minorEastAsia" w:hAnsiTheme="minorEastAsia" w:eastAsiaTheme="minorEastAsia" w:cstheme="minorEastAsia"/>
                <w:color w:val="000000"/>
                <w:kern w:val="0"/>
                <w:szCs w:val="21"/>
              </w:rPr>
              <w:t>内制定维保服务工作计划，并以书面形式提交，双方协商确定，并遵照实施。如有变动，投标人应提前十五</w:t>
            </w:r>
            <w:r>
              <w:rPr>
                <w:rStyle w:val="58"/>
                <w:rFonts w:hint="eastAsia"/>
              </w:rPr>
              <w:t>个工作日</w:t>
            </w:r>
            <w:r>
              <w:rPr>
                <w:rFonts w:hint="eastAsia" w:asciiTheme="minorEastAsia" w:hAnsiTheme="minorEastAsia" w:eastAsiaTheme="minorEastAsia" w:cstheme="minorEastAsia"/>
                <w:color w:val="000000"/>
                <w:kern w:val="0"/>
                <w:szCs w:val="21"/>
              </w:rPr>
              <w:t>告知并与用户协商实施日期。</w:t>
            </w:r>
          </w:p>
        </w:tc>
      </w:tr>
      <w:tr w14:paraId="761FF1BA">
        <w:tblPrEx>
          <w:tblCellMar>
            <w:top w:w="0" w:type="dxa"/>
            <w:left w:w="108" w:type="dxa"/>
            <w:bottom w:w="0" w:type="dxa"/>
            <w:right w:w="108" w:type="dxa"/>
          </w:tblCellMar>
        </w:tblPrEx>
        <w:trPr>
          <w:trHeight w:val="18" w:hRule="atLeast"/>
        </w:trPr>
        <w:tc>
          <w:tcPr>
            <w:tcW w:w="435" w:type="pct"/>
            <w:vMerge w:val="continue"/>
            <w:tcBorders>
              <w:top w:val="nil"/>
              <w:left w:val="single" w:color="auto" w:sz="4" w:space="0"/>
              <w:bottom w:val="single" w:color="auto" w:sz="4" w:space="0"/>
              <w:right w:val="single" w:color="auto" w:sz="4" w:space="0"/>
            </w:tcBorders>
            <w:vAlign w:val="center"/>
          </w:tcPr>
          <w:p w14:paraId="36A2444E">
            <w:pPr>
              <w:widowControl/>
              <w:jc w:val="center"/>
              <w:rPr>
                <w:rFonts w:ascii="宋体" w:hAnsi="宋体" w:cs="宋体"/>
                <w:color w:val="000000"/>
                <w:kern w:val="0"/>
                <w:szCs w:val="21"/>
              </w:rPr>
            </w:pPr>
          </w:p>
        </w:tc>
        <w:tc>
          <w:tcPr>
            <w:tcW w:w="862" w:type="pct"/>
            <w:vMerge w:val="continue"/>
            <w:tcBorders>
              <w:top w:val="nil"/>
              <w:left w:val="single" w:color="auto" w:sz="4" w:space="0"/>
              <w:bottom w:val="single" w:color="auto" w:sz="4" w:space="0"/>
              <w:right w:val="single" w:color="auto" w:sz="4" w:space="0"/>
            </w:tcBorders>
            <w:vAlign w:val="center"/>
          </w:tcPr>
          <w:p w14:paraId="492E06C7">
            <w:pPr>
              <w:widowControl/>
              <w:jc w:val="center"/>
              <w:rPr>
                <w:rFonts w:ascii="宋体" w:hAnsi="宋体" w:cs="宋体"/>
                <w:color w:val="000000"/>
                <w:kern w:val="0"/>
                <w:szCs w:val="21"/>
              </w:rPr>
            </w:pPr>
          </w:p>
        </w:tc>
        <w:tc>
          <w:tcPr>
            <w:tcW w:w="3703" w:type="pct"/>
            <w:tcBorders>
              <w:top w:val="nil"/>
              <w:left w:val="nil"/>
              <w:bottom w:val="single" w:color="auto" w:sz="4" w:space="0"/>
              <w:right w:val="single" w:color="auto" w:sz="4" w:space="0"/>
            </w:tcBorders>
            <w:vAlign w:val="center"/>
          </w:tcPr>
          <w:p w14:paraId="1A593FBA">
            <w:pPr>
              <w:widowControl/>
              <w:spacing w:line="360" w:lineRule="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每次现场维护、维修后，投标人的工程师须给出详细故障维修报告，并交用户签字认可，双方各留一份以备存档。投标人每3个月应提交：系统巡检报告、故障维修汇总报告、健康性检查报告。所有的报告交用户签字认可，双方各留一份以备存档。</w:t>
            </w:r>
          </w:p>
        </w:tc>
      </w:tr>
      <w:tr w14:paraId="6B29207E">
        <w:tblPrEx>
          <w:tblCellMar>
            <w:top w:w="0" w:type="dxa"/>
            <w:left w:w="108" w:type="dxa"/>
            <w:bottom w:w="0" w:type="dxa"/>
            <w:right w:w="108" w:type="dxa"/>
          </w:tblCellMar>
        </w:tblPrEx>
        <w:trPr>
          <w:trHeight w:val="18" w:hRule="atLeast"/>
        </w:trPr>
        <w:tc>
          <w:tcPr>
            <w:tcW w:w="435" w:type="pct"/>
            <w:tcBorders>
              <w:top w:val="single" w:color="auto" w:sz="4" w:space="0"/>
              <w:left w:val="single" w:color="auto" w:sz="4" w:space="0"/>
              <w:bottom w:val="single" w:color="auto" w:sz="4" w:space="0"/>
              <w:right w:val="single" w:color="auto" w:sz="4" w:space="0"/>
            </w:tcBorders>
            <w:vAlign w:val="center"/>
          </w:tcPr>
          <w:p w14:paraId="57C79D1C">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62" w:type="pct"/>
            <w:tcBorders>
              <w:top w:val="single" w:color="auto" w:sz="4" w:space="0"/>
              <w:left w:val="nil"/>
              <w:bottom w:val="single" w:color="auto" w:sz="4" w:space="0"/>
              <w:right w:val="single" w:color="auto" w:sz="4" w:space="0"/>
            </w:tcBorders>
            <w:vAlign w:val="center"/>
          </w:tcPr>
          <w:p w14:paraId="503B4CDB">
            <w:pPr>
              <w:widowControl/>
              <w:jc w:val="center"/>
              <w:rPr>
                <w:rFonts w:ascii="宋体" w:hAnsi="宋体" w:cs="宋体"/>
                <w:color w:val="000000"/>
                <w:kern w:val="0"/>
                <w:szCs w:val="21"/>
              </w:rPr>
            </w:pPr>
            <w:r>
              <w:rPr>
                <w:rFonts w:hint="eastAsia" w:ascii="宋体" w:hAnsi="宋体" w:cs="宋体"/>
                <w:color w:val="000000"/>
                <w:kern w:val="0"/>
                <w:szCs w:val="21"/>
              </w:rPr>
              <w:t>保密要求</w:t>
            </w:r>
          </w:p>
        </w:tc>
        <w:tc>
          <w:tcPr>
            <w:tcW w:w="3703" w:type="pct"/>
            <w:tcBorders>
              <w:top w:val="single" w:color="auto" w:sz="4" w:space="0"/>
              <w:left w:val="nil"/>
              <w:bottom w:val="single" w:color="auto" w:sz="4" w:space="0"/>
              <w:right w:val="single" w:color="auto" w:sz="4" w:space="0"/>
            </w:tcBorders>
            <w:vAlign w:val="center"/>
          </w:tcPr>
          <w:p w14:paraId="101F2D1D">
            <w:pPr>
              <w:widowControl/>
              <w:spacing w:line="360" w:lineRule="auto"/>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1、中标人提供的产品、服务有采集信息的，包括但不限于系统运行数据、业务数据，应明确书面告知采购人采集信息的内容、范围、方式、用途，经采购人同意后方可实施，且应遵守国家有关法律、行政法规关于信息保护的规定，不得用于其他用途或提供给第三方。未经采购人同意私自采集有关信息的，采购人有权追究投标人违约责任。</w:t>
            </w:r>
          </w:p>
          <w:p w14:paraId="60A4784D">
            <w:pPr>
              <w:widowControl/>
              <w:spacing w:line="360" w:lineRule="auto"/>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★2、中标人因提供的产品、服务所掌握的，包括但不限于系统源代码、运行数据、业务数据、业务规则、内部文件各类信息，中标人应保密，未经采购人同意不得用于其他用途或提供给第三方。</w:t>
            </w:r>
          </w:p>
          <w:p w14:paraId="289F9C06">
            <w:pPr>
              <w:widowControl/>
              <w:spacing w:line="360" w:lineRule="auto"/>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★3、中标人应具有完善的保密管理制度。中标人雇用或安排的项目相关人员造成的信息泄露，由中标人承担相应责任。</w:t>
            </w:r>
          </w:p>
          <w:p w14:paraId="6CA20F7B">
            <w:pPr>
              <w:widowControl/>
              <w:spacing w:line="360" w:lineRule="auto"/>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4、中标人应搭建有安全保障的内部管理工具对系统源代码进行管理，不得将源代码（含配置文件）放置在任何公众可访问的互联网环境中。中标人不得将任何用户名、密码等敏感信息的文件放在系统源代码管理工具中。</w:t>
            </w:r>
          </w:p>
          <w:p w14:paraId="5505AEB2">
            <w:pPr>
              <w:widowControl/>
              <w:spacing w:line="360" w:lineRule="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highlight w:val="yellow"/>
              </w:rPr>
              <w:t>★5、如因中标人或中标人雇用、安排的项目相关人员原因造成数据、文档、源代码或系统配置信息泄露的，采购人可立即终止合同，并要求中标人采取行动消除影响，返还已支付合同款项。造成损失的，采购人可要求中标人赔偿，并追究中标人相关责任。</w:t>
            </w:r>
          </w:p>
        </w:tc>
      </w:tr>
    </w:tbl>
    <w:p w14:paraId="53064621">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5D1FA240">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518BB86">
      <w:pPr>
        <w:spacing w:line="360" w:lineRule="auto"/>
        <w:ind w:firstLine="420" w:firstLineChars="200"/>
        <w:jc w:val="lef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合同签订后2周内出具服务启动函；服务期限为1年（以服务启动函约定的服务启动时间开始计算）。若出现服务到期但下一年度服务因流程等原因尚未启动的特殊情况，中标人应继续提供服务，保证系统的正常运行，所发生的费用双方可另行商讨结算。</w:t>
      </w:r>
    </w:p>
    <w:p w14:paraId="062E9943">
      <w:pPr>
        <w:spacing w:line="360" w:lineRule="auto"/>
        <w:ind w:firstLine="420" w:firstLineChars="200"/>
        <w:jc w:val="left"/>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本项目为长期服务项目，如中标人在履行合同服务期间，无违约或违反相关法律法规的行为且经采购人组织的履约服务评价为优秀的，采购人可续签合同，每次续签不超过一年，最多可续签两次，总合同期限不得超过三十六个月。</w:t>
      </w:r>
    </w:p>
    <w:p w14:paraId="3E18A93D">
      <w:pPr>
        <w:pStyle w:val="255"/>
        <w:numPr>
          <w:ilvl w:val="0"/>
          <w:numId w:val="4"/>
        </w:numPr>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人员要求：</w:t>
      </w:r>
    </w:p>
    <w:p w14:paraId="36BAC8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yellow"/>
        </w:rPr>
        <w:t>★1.本项目要求中标人提</w:t>
      </w:r>
      <w:r>
        <w:rPr>
          <w:rFonts w:hint="eastAsia" w:asciiTheme="minorEastAsia" w:hAnsiTheme="minorEastAsia" w:eastAsiaTheme="minorEastAsia" w:cstheme="minorEastAsia"/>
          <w:color w:val="000000"/>
          <w:szCs w:val="21"/>
          <w:highlight w:val="yellow"/>
        </w:rPr>
        <w:t>供项目服务人员，包含1名项目负责人和不少于4名项目团队成员。</w:t>
      </w:r>
      <w:r>
        <w:rPr>
          <w:rFonts w:hint="eastAsia" w:asciiTheme="minorEastAsia" w:hAnsiTheme="minorEastAsia" w:eastAsiaTheme="minorEastAsia" w:cstheme="minorEastAsia"/>
          <w:color w:val="000000"/>
          <w:szCs w:val="21"/>
        </w:rPr>
        <w:t>。</w:t>
      </w:r>
    </w:p>
    <w:p w14:paraId="437DB1E8">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szCs w:val="21"/>
        </w:rPr>
        <w:t>项目团队人员应遵守采购人的各项管理规定。因中标人项目团队人员给采购人或其他第三方造成损失的，应承担赔偿责任。</w:t>
      </w:r>
    </w:p>
    <w:p w14:paraId="2CACD66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（三）质量考核验收标准：</w:t>
      </w:r>
    </w:p>
    <w:p w14:paraId="26177B85">
      <w:pPr>
        <w:pStyle w:val="255"/>
        <w:spacing w:beforeLines="0" w:line="360" w:lineRule="auto"/>
        <w:ind w:firstLine="420"/>
        <w:rPr>
          <w:rFonts w:ascii="宋体" w:hAnsi="宋体" w:eastAsia="宋体"/>
          <w:szCs w:val="21"/>
        </w:rPr>
      </w:pPr>
      <w:r>
        <w:rPr>
          <w:rFonts w:hint="eastAsia" w:ascii="宋体" w:hAnsi="宋体" w:eastAsia="宋体"/>
          <w:szCs w:val="21"/>
        </w:rPr>
        <w:t>质量考核验收标准：按照中标人承诺的服务内容、技术与商务响应条款及相关行业标准等逐项进行验收。</w:t>
      </w:r>
    </w:p>
    <w:p w14:paraId="5AF2648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2D9FDA4F">
      <w:pPr>
        <w:spacing w:line="360" w:lineRule="auto"/>
        <w:ind w:firstLine="420" w:firstLineChars="200"/>
        <w:jc w:val="lef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合同签订后，中标人提供含税发票及相关资料给采购人，采购人按要求进行审核，审批通过后支付合同总价的70%款项；项目履约完成，验收通过后，支付剩余30%款项</w:t>
      </w:r>
      <w:r>
        <w:rPr>
          <w:rFonts w:hint="eastAsia" w:asciiTheme="minorEastAsia" w:hAnsiTheme="minorEastAsia" w:eastAsiaTheme="minorEastAsia" w:cstheme="minorEastAsia"/>
          <w:szCs w:val="21"/>
          <w:lang w:bidi="ar"/>
        </w:rPr>
        <w:t>。</w:t>
      </w:r>
    </w:p>
    <w:p w14:paraId="122A28B5">
      <w:pPr>
        <w:spacing w:line="360" w:lineRule="auto"/>
        <w:jc w:val="left"/>
        <w:rPr>
          <w:rFonts w:asciiTheme="minorEastAsia" w:hAnsiTheme="minorEastAsia" w:eastAsiaTheme="minorEastAsia"/>
          <w:b/>
        </w:rPr>
      </w:pPr>
      <w:r>
        <w:rPr>
          <w:rFonts w:hint="eastAsia" w:asciiTheme="minorEastAsia" w:hAnsiTheme="minorEastAsia" w:eastAsiaTheme="minorEastAsia"/>
          <w:b/>
        </w:rPr>
        <w:t>（五）违约责任：</w:t>
      </w:r>
    </w:p>
    <w:p w14:paraId="378320AA">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1、中标并合同生效后，中标人逾期出具服务启动函或逾期交付服务的，每逾期1日，应向采购人支付合同总价千分之三的违约金。</w:t>
      </w:r>
    </w:p>
    <w:p w14:paraId="60924B40">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2、中标人履约服务过程中，因服务质量或响应时间未达到合同要求的，由采购人出具服务不达标认定书，每出具一次扣除合同总价的百分之一。</w:t>
      </w:r>
    </w:p>
    <w:p w14:paraId="36488295">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3、中标人所交付的服务整体质量不符合同规定标准的，采购人有权拒绝并要求中标人进行整改。整改时间超过10个工作日的，采购人有权要求中标人延长服务期，延长的时间最多不超过整改时间的2倍。</w:t>
      </w:r>
    </w:p>
    <w:p w14:paraId="23A93A28">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 xml:space="preserve">4、因中标人交付服务质量问题造成采购人实际损失的，采购人有权要求中标人进行赔偿并对中标人进行处罚。 </w:t>
      </w:r>
    </w:p>
    <w:p w14:paraId="37B374D8">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5、在系统服务期内，有以下6种情形之一的，对中标人处以罚款50000元/次/个高危漏洞、30000元/次/个中危漏洞，不予续签合同；若导致采购人被主管部门处以行政罚款，采购人除对中标人处以50000元/次/个高危漏洞，30000元/次/个中危漏洞的罚款外，还将对中标人处以与行政罚款相同金额的罚款。6种情形如下：</w:t>
      </w:r>
    </w:p>
    <w:p w14:paraId="3A4AA6AE">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（1）系统存在高、中危漏洞被安全服务商检测出未告知采购人或者检出未及时整改，被主管部门通报的；</w:t>
      </w:r>
    </w:p>
    <w:p w14:paraId="28C953B2">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（2）系统存在暗链、黑链被检测出，被主管部门通报的；</w:t>
      </w:r>
    </w:p>
    <w:p w14:paraId="7CE6E345">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（3）敏感词漏检未被发现，导致系统页面被主管部门通报存在敏感词的；</w:t>
      </w:r>
    </w:p>
    <w:p w14:paraId="0A467944">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（4）系统被恶意攻破，通知到采购人的；</w:t>
      </w:r>
    </w:p>
    <w:p w14:paraId="344D1CED">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（5）系统在重大安全保障时期被攻击，被安全服务商检测并告知后，未及时采取妥善处理措施，受到主管部门通报的；</w:t>
      </w:r>
    </w:p>
    <w:p w14:paraId="4A10B076">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（6）因中标人操作或防护不当造成数据损坏、泄露且无法及时恢复消除影响的。</w:t>
      </w:r>
    </w:p>
    <w:p w14:paraId="5688801B">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6、在服务期内，出现上一条款所列情形两次或以上的，采购人有权终止合同，中标人应按服务时间比例退回采购人已支付的合同款。</w:t>
      </w:r>
    </w:p>
    <w:p w14:paraId="1101186D">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7、中标人不能依约提供技术服务或单方终止合同，应退回采购人已支付的合同款项，并向采购人支付合同总价百分之三十的违约金。</w:t>
      </w:r>
    </w:p>
    <w:p w14:paraId="680540BF">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8、以上所有罚款不超过合同金额（违约金除外）。采购人实际损失超过合同金额的，双方可协商解决，协商无法解决的，可通过相关法律程序解决。经采购人同意，以上罚款（违约金除外）可以采购人提供额外的开发服务、延长服务期等方式等价折抵。</w:t>
      </w:r>
    </w:p>
    <w:p w14:paraId="31B8EDC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（六）知识产权：</w:t>
      </w:r>
    </w:p>
    <w:p w14:paraId="21D3E322">
      <w:pPr>
        <w:spacing w:line="360" w:lineRule="auto"/>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1、中标人在项目实施过程中不得侵犯第三人知识产权以及其他权益，否则，中标人应赔偿采购人因此遭受的一切损失（包括但不限于赔偿金、违约金、律师费、调查取证费、差旅费等）。需要使用第三人知识产权的，中标人应取得权利人许可或授权并承担由此产生的全部费用。</w:t>
      </w:r>
    </w:p>
    <w:p w14:paraId="35A67960">
      <w:pPr>
        <w:spacing w:line="360" w:lineRule="auto"/>
        <w:ind w:firstLine="420" w:firstLineChars="200"/>
        <w:rPr>
          <w:szCs w:val="21"/>
          <w:highlight w:val="yellow"/>
        </w:rPr>
      </w:pPr>
      <w:r>
        <w:rPr>
          <w:rFonts w:hint="eastAsia" w:asciiTheme="minorEastAsia" w:hAnsiTheme="minorEastAsia" w:eastAsiaTheme="minorEastAsia" w:cstheme="minorEastAsia"/>
          <w:szCs w:val="21"/>
          <w:highlight w:val="yellow"/>
        </w:rPr>
        <w:t>★2、除第三人依法享有的知识产权外，中标人实施本项目所形成成果的知识产品归采购人所有，未经采购人许可，中标人不得随意使用。</w:t>
      </w:r>
    </w:p>
    <w:p w14:paraId="6DE7D05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（七）合同解除：</w:t>
      </w:r>
    </w:p>
    <w:p w14:paraId="28B0493C">
      <w:pPr>
        <w:pStyle w:val="255"/>
        <w:spacing w:beforeLines="0" w:line="360" w:lineRule="auto"/>
        <w:ind w:firstLine="420"/>
        <w:rPr>
          <w:rFonts w:ascii="宋体" w:hAnsi="宋体" w:eastAsia="宋体" w:cs="宋体"/>
          <w:color w:val="000000"/>
          <w:szCs w:val="24"/>
        </w:rPr>
      </w:pPr>
      <w:r>
        <w:rPr>
          <w:rFonts w:hint="eastAsia" w:ascii="宋体" w:hAnsi="宋体" w:eastAsia="宋体" w:cs="宋体"/>
          <w:color w:val="000000"/>
          <w:szCs w:val="24"/>
        </w:rPr>
        <w:t>有下列情形之一的，当事人可以解除合同：</w:t>
      </w:r>
    </w:p>
    <w:p w14:paraId="12F59262">
      <w:pPr>
        <w:pStyle w:val="255"/>
        <w:spacing w:beforeLines="0" w:line="360" w:lineRule="auto"/>
        <w:ind w:firstLine="420"/>
        <w:rPr>
          <w:rFonts w:ascii="宋体" w:hAnsi="宋体" w:eastAsia="宋体" w:cs="宋体"/>
          <w:color w:val="000000"/>
          <w:szCs w:val="24"/>
        </w:rPr>
      </w:pPr>
      <w:r>
        <w:rPr>
          <w:rFonts w:hint="eastAsia" w:ascii="宋体" w:hAnsi="宋体" w:eastAsia="宋体" w:cs="宋体"/>
          <w:color w:val="000000"/>
          <w:szCs w:val="24"/>
        </w:rPr>
        <w:t>1. 因不可抗力致使不能实现合同目的；</w:t>
      </w:r>
    </w:p>
    <w:p w14:paraId="577796DE">
      <w:pPr>
        <w:pStyle w:val="255"/>
        <w:spacing w:beforeLines="0" w:line="360" w:lineRule="auto"/>
        <w:ind w:firstLine="420"/>
        <w:rPr>
          <w:rFonts w:ascii="宋体" w:hAnsi="宋体" w:eastAsia="宋体" w:cs="宋体"/>
          <w:color w:val="000000"/>
          <w:szCs w:val="24"/>
        </w:rPr>
      </w:pPr>
      <w:r>
        <w:rPr>
          <w:rFonts w:hint="eastAsia" w:ascii="宋体" w:hAnsi="宋体" w:eastAsia="宋体" w:cs="宋体"/>
          <w:color w:val="000000"/>
          <w:szCs w:val="24"/>
        </w:rPr>
        <w:t>2. 由于中标人的原因未能在本合同约定的交货期或工期交货或移交的，逾期超过15个日历日仍不能交货或移交的，或中标人所交付的服务成果不符合同规定标准的，并经过15个日历日整改仍不达标的，采购人有权单方解除合同并要求中标人承担相应的违约责任，同时赔偿由此给采购人造成的其他经济损失；</w:t>
      </w:r>
    </w:p>
    <w:p w14:paraId="639F7AC9">
      <w:pPr>
        <w:pStyle w:val="255"/>
        <w:spacing w:beforeLines="0" w:line="360" w:lineRule="auto"/>
        <w:ind w:firstLine="420"/>
        <w:rPr>
          <w:rFonts w:asciiTheme="minorEastAsia" w:hAnsiTheme="minorEastAsia" w:eastAsiaTheme="minorEastAsia"/>
          <w:b/>
        </w:rPr>
      </w:pPr>
      <w:r>
        <w:rPr>
          <w:rFonts w:hint="eastAsia" w:ascii="宋体" w:hAnsi="宋体" w:eastAsia="宋体" w:cs="宋体"/>
          <w:color w:val="000000"/>
          <w:szCs w:val="24"/>
        </w:rPr>
        <w:t>3.法律规定的其他情形。</w:t>
      </w:r>
    </w:p>
    <w:p w14:paraId="47DC145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（八）争议的解决：</w:t>
      </w:r>
    </w:p>
    <w:p w14:paraId="7753A504">
      <w:pPr>
        <w:pStyle w:val="255"/>
        <w:spacing w:beforeLines="0" w:line="360" w:lineRule="auto"/>
        <w:ind w:firstLine="420"/>
        <w:rPr>
          <w:rFonts w:ascii="宋体" w:hAnsi="宋体" w:eastAsia="宋体" w:cs="宋体"/>
          <w:color w:val="000000"/>
          <w:szCs w:val="24"/>
        </w:rPr>
      </w:pPr>
      <w:r>
        <w:rPr>
          <w:rFonts w:hint="eastAsia" w:ascii="宋体" w:hAnsi="宋体" w:eastAsia="宋体" w:cs="宋体"/>
          <w:color w:val="000000"/>
          <w:szCs w:val="24"/>
        </w:rPr>
        <w:t>凡因本项目协议引起的或与本协议有关的任何争议，由双方友好协商解决。协商不成时，双方均有权向深圳市南山区人民法院提起</w:t>
      </w:r>
      <w:r>
        <w:fldChar w:fldCharType="begin"/>
      </w:r>
      <w:r>
        <w:instrText xml:space="preserve"> HYPERLINK "http://www.64365.com/baike/ss/" \t "_blank" \o "诉讼" </w:instrText>
      </w:r>
      <w:r>
        <w:fldChar w:fldCharType="separate"/>
      </w:r>
      <w:r>
        <w:rPr>
          <w:rFonts w:hint="eastAsia" w:ascii="宋体" w:hAnsi="宋体" w:eastAsia="宋体" w:cs="宋体"/>
          <w:color w:val="000000"/>
          <w:szCs w:val="24"/>
        </w:rPr>
        <w:t>诉讼</w:t>
      </w:r>
      <w:r>
        <w:rPr>
          <w:rFonts w:hint="eastAsia" w:ascii="宋体" w:hAnsi="宋体" w:eastAsia="宋体" w:cs="宋体"/>
          <w:color w:val="000000"/>
          <w:szCs w:val="24"/>
        </w:rPr>
        <w:fldChar w:fldCharType="end"/>
      </w:r>
      <w:r>
        <w:rPr>
          <w:rFonts w:hint="eastAsia" w:ascii="宋体" w:hAnsi="宋体" w:eastAsia="宋体" w:cs="宋体"/>
          <w:color w:val="000000"/>
          <w:szCs w:val="24"/>
        </w:rPr>
        <w:t>。</w:t>
      </w:r>
    </w:p>
    <w:p w14:paraId="3CA860E1">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（九）报价要求：</w:t>
      </w:r>
    </w:p>
    <w:p w14:paraId="25AFB1B6">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14:paraId="107A1043">
      <w:pPr>
        <w:pStyle w:val="255"/>
        <w:spacing w:beforeLines="0" w:line="360" w:lineRule="auto"/>
        <w:ind w:firstLine="420"/>
        <w:rPr>
          <w:rFonts w:ascii="宋体" w:hAnsi="宋体" w:eastAsia="宋体" w:cs="宋体"/>
          <w:color w:val="000000"/>
          <w:szCs w:val="24"/>
        </w:rPr>
      </w:pPr>
    </w:p>
    <w:p w14:paraId="386BD1BA">
      <w:pPr>
        <w:pStyle w:val="2"/>
      </w:pPr>
      <w:bookmarkStart w:id="11" w:name="_Toc135293161"/>
    </w:p>
    <w:p w14:paraId="46BF93A4"/>
    <w:p w14:paraId="55FBC66A">
      <w:pPr>
        <w:pStyle w:val="20"/>
      </w:pPr>
    </w:p>
    <w:p w14:paraId="42315DF3"/>
    <w:p w14:paraId="7508F692">
      <w:pPr>
        <w:pStyle w:val="20"/>
      </w:pPr>
    </w:p>
    <w:p w14:paraId="463D7591"/>
    <w:p w14:paraId="4FD4578A">
      <w:pPr>
        <w:pStyle w:val="20"/>
      </w:pPr>
    </w:p>
    <w:p w14:paraId="255D0BA8"/>
    <w:p w14:paraId="065F59C5"/>
    <w:p w14:paraId="260C741C">
      <w:pPr>
        <w:pStyle w:val="2"/>
      </w:pPr>
      <w:r>
        <w:rPr>
          <w:rFonts w:hint="eastAsia"/>
        </w:rPr>
        <w:t>第三章  投标文件初审</w:t>
      </w:r>
      <w:bookmarkEnd w:id="11"/>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12" w:name="_Toc135293162"/>
    </w:p>
    <w:p w14:paraId="6B99DD1A">
      <w:pPr>
        <w:pStyle w:val="2"/>
        <w:spacing w:after="0"/>
      </w:pPr>
    </w:p>
    <w:p w14:paraId="38F089C4"/>
    <w:p w14:paraId="2A2E924C"/>
    <w:p w14:paraId="6A034A6A"/>
    <w:p w14:paraId="1A9745C8">
      <w:pPr>
        <w:pStyle w:val="2"/>
        <w:spacing w:after="0"/>
      </w:pPr>
      <w:r>
        <w:rPr>
          <w:rFonts w:hint="eastAsia"/>
        </w:rPr>
        <w:t>第四章  评标方法和标准</w:t>
      </w:r>
      <w:bookmarkEnd w:id="12"/>
    </w:p>
    <w:p w14:paraId="4A994828"/>
    <w:p w14:paraId="2F2DF2E1">
      <w:pPr>
        <w:pStyle w:val="4"/>
        <w:spacing w:before="0" w:after="0"/>
      </w:pPr>
      <w:bookmarkStart w:id="13" w:name="_Toc44691393"/>
      <w:bookmarkStart w:id="14" w:name="_Toc135293163"/>
      <w:bookmarkStart w:id="15" w:name="_Toc44691161"/>
      <w:bookmarkStart w:id="16" w:name="_Toc44690702"/>
      <w:bookmarkStart w:id="17" w:name="_Toc44690429"/>
      <w:r>
        <w:rPr>
          <w:rFonts w:hint="eastAsia"/>
        </w:rPr>
        <w:t>一、</w:t>
      </w:r>
      <w:r>
        <w:t>评标方法</w:t>
      </w:r>
      <w:bookmarkEnd w:id="13"/>
      <w:bookmarkEnd w:id="14"/>
      <w:bookmarkEnd w:id="15"/>
      <w:bookmarkEnd w:id="16"/>
      <w:bookmarkEnd w:id="17"/>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8" w:name="_Toc135293164"/>
      <w:r>
        <w:rPr>
          <w:rFonts w:hint="eastAsia"/>
        </w:rPr>
        <w:t>二、评标标准</w:t>
      </w:r>
      <w:bookmarkEnd w:id="18"/>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40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spacing w:line="360" w:lineRule="exact"/>
              <w:jc w:val="center"/>
              <w:rPr>
                <w:rFonts w:ascii="宋体" w:hAnsi="宋体" w:cs="宋体"/>
                <w:kern w:val="0"/>
                <w:szCs w:val="21"/>
              </w:rPr>
            </w:pPr>
            <w:r>
              <w:rPr>
                <w:rFonts w:hint="eastAsia" w:ascii="宋体" w:hAnsi="宋体" w:cs="宋体"/>
                <w:color w:val="000000"/>
                <w:szCs w:val="21"/>
              </w:rPr>
              <w:t>服务要求响应情况</w:t>
            </w:r>
          </w:p>
        </w:tc>
        <w:tc>
          <w:tcPr>
            <w:tcW w:w="709" w:type="dxa"/>
            <w:vAlign w:val="center"/>
          </w:tcPr>
          <w:p w14:paraId="490D2051">
            <w:pPr>
              <w:spacing w:line="360" w:lineRule="exact"/>
              <w:jc w:val="center"/>
              <w:rPr>
                <w:rFonts w:ascii="宋体" w:hAnsi="宋体" w:cs="宋体"/>
                <w:kern w:val="0"/>
                <w:szCs w:val="21"/>
              </w:rPr>
            </w:pPr>
            <w:r>
              <w:rPr>
                <w:rFonts w:hint="eastAsia" w:ascii="宋体" w:hAnsi="宋体" w:cs="宋体"/>
                <w:color w:val="000000"/>
                <w:szCs w:val="21"/>
              </w:rPr>
              <w:t>10</w:t>
            </w:r>
          </w:p>
        </w:tc>
        <w:tc>
          <w:tcPr>
            <w:tcW w:w="5953" w:type="dxa"/>
            <w:vAlign w:val="center"/>
          </w:tcPr>
          <w:p w14:paraId="0BDF637D">
            <w:pPr>
              <w:spacing w:line="360" w:lineRule="exact"/>
              <w:jc w:val="left"/>
              <w:rPr>
                <w:rFonts w:ascii="宋体" w:hAnsi="宋体" w:cs="宋体"/>
                <w:kern w:val="0"/>
                <w:szCs w:val="21"/>
              </w:rPr>
            </w:pPr>
            <w:r>
              <w:rPr>
                <w:rFonts w:hint="eastAsia" w:ascii="宋体" w:hAnsi="宋体" w:cs="宋体"/>
                <w:kern w:val="0"/>
                <w:szCs w:val="21"/>
              </w:rPr>
              <w:t>投标人应如实填写《服务要求偏离表》，评审委员会根据项目服务要求条款响应情况进行打分，各项非实质性服务参数指标及要求全部满足的得10分；其中“▲”参数为重要指标，每负偏离一项扣0.36分；其余指标每负偏离一项扣0.2分，扣完为止。服务要求中</w:t>
            </w:r>
            <w:r>
              <w:rPr>
                <w:rFonts w:hint="eastAsia" w:ascii="宋体" w:hAnsi="宋体" w:cs="宋体"/>
                <w:kern w:val="0"/>
                <w:szCs w:val="21"/>
                <w:lang w:val="zh-CN"/>
              </w:rPr>
              <w:t>包含子项条款的，按子项条款响应情况逐项评分。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spacing w:line="360" w:lineRule="exact"/>
              <w:jc w:val="center"/>
              <w:rPr>
                <w:rFonts w:ascii="宋体" w:hAnsi="宋体" w:cs="宋体"/>
                <w:kern w:val="0"/>
                <w:szCs w:val="21"/>
              </w:rPr>
            </w:pPr>
            <w:r>
              <w:rPr>
                <w:rFonts w:hint="eastAsia" w:ascii="宋体" w:hAnsi="宋体"/>
                <w:szCs w:val="21"/>
              </w:rPr>
              <w:t>实施方案</w:t>
            </w:r>
          </w:p>
        </w:tc>
        <w:tc>
          <w:tcPr>
            <w:tcW w:w="709" w:type="dxa"/>
            <w:vAlign w:val="center"/>
          </w:tcPr>
          <w:p w14:paraId="74E131CA">
            <w:pPr>
              <w:spacing w:line="360" w:lineRule="exact"/>
              <w:jc w:val="center"/>
              <w:rPr>
                <w:rFonts w:ascii="宋体" w:hAnsi="宋体" w:cs="宋体"/>
                <w:kern w:val="0"/>
                <w:szCs w:val="21"/>
              </w:rPr>
            </w:pPr>
            <w:r>
              <w:rPr>
                <w:rFonts w:ascii="宋体" w:hAnsi="宋体"/>
                <w:szCs w:val="21"/>
              </w:rPr>
              <w:t>10</w:t>
            </w:r>
          </w:p>
        </w:tc>
        <w:tc>
          <w:tcPr>
            <w:tcW w:w="5953" w:type="dxa"/>
            <w:vAlign w:val="center"/>
          </w:tcPr>
          <w:p w14:paraId="25AB8547">
            <w:pPr>
              <w:spacing w:line="360" w:lineRule="exact"/>
              <w:rPr>
                <w:rFonts w:ascii="宋体" w:hAnsi="宋体"/>
                <w:b/>
                <w:bCs/>
                <w:szCs w:val="21"/>
              </w:rPr>
            </w:pPr>
            <w:r>
              <w:rPr>
                <w:rFonts w:hint="eastAsia" w:ascii="宋体" w:hAnsi="宋体"/>
                <w:b/>
                <w:bCs/>
                <w:szCs w:val="21"/>
              </w:rPr>
              <w:t>（一）评审内容：</w:t>
            </w:r>
          </w:p>
          <w:p w14:paraId="41BAE562">
            <w:pPr>
              <w:spacing w:line="360" w:lineRule="exact"/>
              <w:rPr>
                <w:rFonts w:ascii="宋体" w:hAnsi="宋体"/>
                <w:szCs w:val="21"/>
              </w:rPr>
            </w:pPr>
            <w:r>
              <w:rPr>
                <w:rFonts w:hint="eastAsia" w:asciiTheme="minorEastAsia" w:hAnsiTheme="minorEastAsia" w:eastAsiaTheme="minorEastAsia" w:cstheme="minorEastAsia"/>
                <w:kern w:val="0"/>
                <w:szCs w:val="21"/>
              </w:rPr>
              <w:t>考察投标人提供的</w:t>
            </w:r>
            <w:r>
              <w:rPr>
                <w:rFonts w:ascii="宋体" w:hAnsi="宋体"/>
                <w:szCs w:val="21"/>
              </w:rPr>
              <w:t>实施方案</w:t>
            </w:r>
            <w:r>
              <w:rPr>
                <w:rFonts w:hint="eastAsia" w:ascii="宋体" w:hAnsi="宋体"/>
                <w:szCs w:val="21"/>
              </w:rPr>
              <w:t>，</w:t>
            </w:r>
            <w:r>
              <w:rPr>
                <w:rFonts w:ascii="宋体" w:hAnsi="宋体"/>
                <w:szCs w:val="21"/>
              </w:rPr>
              <w:t>应包含以下内容：</w:t>
            </w:r>
            <w:r>
              <w:rPr>
                <w:szCs w:val="21"/>
              </w:rPr>
              <w:br w:type="textWrapping"/>
            </w:r>
            <w:r>
              <w:rPr>
                <w:rFonts w:hint="eastAsia" w:ascii="宋体" w:hAnsi="宋体" w:cs="宋体"/>
                <w:szCs w:val="21"/>
              </w:rPr>
              <w:t>（1）项目现状分析；</w:t>
            </w:r>
            <w:r>
              <w:rPr>
                <w:rFonts w:hint="eastAsia" w:ascii="宋体" w:hAnsi="宋体" w:cs="宋体"/>
                <w:szCs w:val="21"/>
              </w:rPr>
              <w:br w:type="textWrapping"/>
            </w:r>
            <w:r>
              <w:rPr>
                <w:rFonts w:hint="eastAsia" w:ascii="宋体" w:hAnsi="宋体" w:cs="宋体"/>
                <w:szCs w:val="21"/>
              </w:rPr>
              <w:t>（2）运维服务方案；</w:t>
            </w:r>
            <w:r>
              <w:rPr>
                <w:rFonts w:hint="eastAsia" w:ascii="宋体" w:hAnsi="宋体" w:cs="宋体"/>
                <w:szCs w:val="21"/>
              </w:rPr>
              <w:br w:type="textWrapping"/>
            </w:r>
            <w:r>
              <w:rPr>
                <w:rFonts w:hint="eastAsia" w:ascii="宋体" w:hAnsi="宋体" w:cs="宋体"/>
                <w:szCs w:val="21"/>
              </w:rPr>
              <w:t>（3）项</w:t>
            </w:r>
            <w:r>
              <w:rPr>
                <w:rFonts w:ascii="宋体" w:hAnsi="宋体"/>
                <w:szCs w:val="21"/>
              </w:rPr>
              <w:t>目实施计划</w:t>
            </w:r>
            <w:r>
              <w:rPr>
                <w:rFonts w:hint="eastAsia"/>
              </w:rPr>
              <w:t>。</w:t>
            </w:r>
          </w:p>
          <w:p w14:paraId="1DA8C717">
            <w:pPr>
              <w:spacing w:line="360" w:lineRule="exact"/>
              <w:rPr>
                <w:rFonts w:hAnsi="宋体"/>
                <w:szCs w:val="21"/>
              </w:rPr>
            </w:pPr>
            <w:r>
              <w:rPr>
                <w:rFonts w:hint="eastAsia"/>
                <w:b/>
                <w:bCs/>
                <w:szCs w:val="21"/>
              </w:rPr>
              <w:t>（二）评审标准：</w:t>
            </w:r>
            <w:r>
              <w:rPr>
                <w:szCs w:val="21"/>
              </w:rPr>
              <w:br w:type="textWrapping"/>
            </w:r>
            <w:r>
              <w:rPr>
                <w:rFonts w:hint="eastAsia" w:ascii="宋体" w:hAnsi="宋体" w:cs="宋体"/>
                <w:szCs w:val="21"/>
              </w:rPr>
              <w:t>方案包含以上三项内容得3分；包含以上任意两项内容得2分；包含以上任意一项内容得1分；其他情况不得分。</w:t>
            </w:r>
          </w:p>
          <w:p w14:paraId="5DB94B9F">
            <w:pPr>
              <w:spacing w:line="360" w:lineRule="exact"/>
              <w:rPr>
                <w:rFonts w:ascii="宋体" w:hAnsi="宋体"/>
                <w:szCs w:val="21"/>
              </w:rPr>
            </w:pPr>
            <w:r>
              <w:rPr>
                <w:rFonts w:hint="eastAsia" w:ascii="宋体" w:hAnsi="宋体"/>
                <w:szCs w:val="21"/>
              </w:rPr>
              <w:t>在此基础上，根据方案响应情况进一步评审：</w:t>
            </w:r>
          </w:p>
          <w:p w14:paraId="207B937B">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1.项目现状分析全面、具体，运维服务方案科学合理，实施计划可行性高的，加7分；</w:t>
            </w:r>
          </w:p>
          <w:p w14:paraId="15D8B142">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2.项目现状分析比较全面，运维服务方案较合理，实施计划可行性较高的，加5分；</w:t>
            </w:r>
          </w:p>
          <w:p w14:paraId="450E15C7">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3.项目现状分析不够全面，运维服务方案不够合理，实施计划可行性一般的，加3分；</w:t>
            </w:r>
          </w:p>
          <w:p w14:paraId="390FC3B2">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4.项目现状分析不全面，运维服务方案不合理，实施计划可行性低的，不加分。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spacing w:line="360" w:lineRule="exact"/>
              <w:jc w:val="center"/>
              <w:rPr>
                <w:rFonts w:ascii="宋体" w:hAnsi="宋体" w:cs="宋体"/>
                <w:kern w:val="0"/>
                <w:szCs w:val="21"/>
              </w:rPr>
            </w:pPr>
            <w:r>
              <w:rPr>
                <w:rFonts w:hint="eastAsia" w:ascii="宋体" w:hAnsi="宋体"/>
                <w:szCs w:val="21"/>
              </w:rPr>
              <w:t>项目重点难点分析、应对措施及相关的合理化建议</w:t>
            </w:r>
          </w:p>
        </w:tc>
        <w:tc>
          <w:tcPr>
            <w:tcW w:w="709" w:type="dxa"/>
            <w:vAlign w:val="center"/>
          </w:tcPr>
          <w:p w14:paraId="364828A2">
            <w:pPr>
              <w:spacing w:line="360" w:lineRule="exact"/>
              <w:jc w:val="center"/>
              <w:rPr>
                <w:rFonts w:ascii="宋体" w:hAnsi="宋体" w:cs="宋体"/>
                <w:kern w:val="0"/>
                <w:szCs w:val="21"/>
              </w:rPr>
            </w:pPr>
            <w:r>
              <w:rPr>
                <w:rFonts w:hint="eastAsia" w:ascii="宋体" w:hAnsi="宋体"/>
                <w:szCs w:val="21"/>
              </w:rPr>
              <w:t>1</w:t>
            </w:r>
            <w:r>
              <w:rPr>
                <w:rFonts w:ascii="宋体" w:hAnsi="宋体"/>
                <w:szCs w:val="21"/>
              </w:rPr>
              <w:t>0</w:t>
            </w:r>
          </w:p>
        </w:tc>
        <w:tc>
          <w:tcPr>
            <w:tcW w:w="5953" w:type="dxa"/>
            <w:vAlign w:val="center"/>
          </w:tcPr>
          <w:p w14:paraId="5FD03975">
            <w:pPr>
              <w:pStyle w:val="94"/>
              <w:spacing w:line="360" w:lineRule="exact"/>
              <w:ind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（一）评审内容：</w:t>
            </w:r>
          </w:p>
          <w:p w14:paraId="6758024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67EF68B7">
            <w:pPr>
              <w:spacing w:line="360" w:lineRule="exact"/>
              <w:rPr>
                <w:rFonts w:ascii="宋体" w:hAnsi="宋体"/>
                <w:szCs w:val="21"/>
              </w:rPr>
            </w:pPr>
            <w:r>
              <w:rPr>
                <w:rFonts w:ascii="宋体" w:hAnsi="宋体"/>
                <w:szCs w:val="21"/>
              </w:rPr>
              <w:t>（1）</w:t>
            </w:r>
            <w:r>
              <w:rPr>
                <w:rFonts w:hint="eastAsia" w:ascii="宋体" w:hAnsi="宋体"/>
                <w:szCs w:val="21"/>
              </w:rPr>
              <w:t>项目重点难点分析，</w:t>
            </w:r>
            <w:r>
              <w:rPr>
                <w:rFonts w:ascii="宋体" w:hAnsi="宋体"/>
                <w:szCs w:val="21"/>
              </w:rPr>
              <w:t>不少于</w:t>
            </w:r>
            <w:r>
              <w:rPr>
                <w:rFonts w:hint="eastAsia" w:ascii="宋体" w:hAnsi="宋体"/>
                <w:szCs w:val="21"/>
              </w:rPr>
              <w:t>4点</w:t>
            </w:r>
            <w:r>
              <w:rPr>
                <w:rFonts w:ascii="宋体" w:hAnsi="宋体"/>
                <w:szCs w:val="21"/>
              </w:rPr>
              <w:t>；</w:t>
            </w:r>
          </w:p>
          <w:p w14:paraId="6E018EB5">
            <w:pPr>
              <w:spacing w:line="360" w:lineRule="exact"/>
              <w:rPr>
                <w:rFonts w:ascii="宋体" w:hAnsi="宋体"/>
                <w:szCs w:val="21"/>
              </w:rPr>
            </w:pPr>
            <w:r>
              <w:rPr>
                <w:rFonts w:hint="eastAsia" w:ascii="宋体" w:hAnsi="宋体"/>
                <w:szCs w:val="21"/>
              </w:rPr>
              <w:t>（2）项目重难点相关应对措施；</w:t>
            </w:r>
          </w:p>
          <w:p w14:paraId="4FFCB415">
            <w:pPr>
              <w:spacing w:line="360" w:lineRule="exact"/>
              <w:rPr>
                <w:rFonts w:ascii="宋体" w:hAnsi="宋体"/>
                <w:szCs w:val="21"/>
              </w:rPr>
            </w:pPr>
            <w:r>
              <w:rPr>
                <w:rFonts w:hint="eastAsia" w:ascii="宋体" w:hAnsi="宋体"/>
                <w:szCs w:val="21"/>
              </w:rPr>
              <w:t>（3）相关的合理化建议。</w:t>
            </w:r>
          </w:p>
          <w:p w14:paraId="08196159">
            <w:pPr>
              <w:spacing w:line="360" w:lineRule="exact"/>
              <w:rPr>
                <w:rFonts w:ascii="宋体" w:hAnsi="宋体" w:cs="宋体"/>
                <w:b/>
                <w:bCs/>
                <w:kern w:val="0"/>
                <w:szCs w:val="21"/>
              </w:rPr>
            </w:pPr>
            <w:r>
              <w:rPr>
                <w:rFonts w:hint="eastAsia" w:ascii="宋体" w:hAnsi="宋体" w:cs="宋体"/>
                <w:b/>
                <w:bCs/>
                <w:kern w:val="0"/>
                <w:szCs w:val="21"/>
              </w:rPr>
              <w:t>（二）评审标准：</w:t>
            </w:r>
          </w:p>
          <w:p w14:paraId="59C0D48B">
            <w:pPr>
              <w:spacing w:line="360" w:lineRule="exact"/>
              <w:rPr>
                <w:rFonts w:ascii="宋体" w:hAnsi="宋体" w:cs="宋体"/>
                <w:kern w:val="0"/>
                <w:szCs w:val="21"/>
              </w:rPr>
            </w:pPr>
            <w:r>
              <w:rPr>
                <w:rFonts w:hint="eastAsia" w:ascii="宋体" w:hAnsi="宋体" w:cs="宋体"/>
                <w:kern w:val="0"/>
                <w:szCs w:val="21"/>
              </w:rPr>
              <w:t>方案包含以上三项内容得3分；包含以上二项内容得2分；包含以上一项内容得1分；其他情况不得分。</w:t>
            </w:r>
          </w:p>
          <w:p w14:paraId="22672995">
            <w:pPr>
              <w:spacing w:line="360" w:lineRule="exact"/>
              <w:rPr>
                <w:rFonts w:ascii="宋体" w:hAnsi="宋体" w:cs="宋体"/>
                <w:kern w:val="0"/>
                <w:szCs w:val="21"/>
              </w:rPr>
            </w:pPr>
            <w:r>
              <w:rPr>
                <w:rFonts w:hint="eastAsia" w:ascii="宋体" w:hAnsi="宋体" w:cs="宋体"/>
                <w:kern w:val="0"/>
                <w:szCs w:val="21"/>
              </w:rPr>
              <w:t>在此基础上，根据方案响应情况进一步评审：</w:t>
            </w:r>
          </w:p>
          <w:p w14:paraId="014DA54E">
            <w:pPr>
              <w:spacing w:line="360" w:lineRule="exact"/>
              <w:rPr>
                <w:rFonts w:ascii="宋体" w:hAnsi="宋体" w:cs="宋体"/>
                <w:kern w:val="0"/>
                <w:szCs w:val="21"/>
              </w:rPr>
            </w:pPr>
            <w:r>
              <w:rPr>
                <w:rFonts w:hint="eastAsia" w:ascii="宋体" w:hAnsi="宋体" w:cs="宋体"/>
                <w:kern w:val="0"/>
                <w:szCs w:val="21"/>
              </w:rPr>
              <w:t>1.重点难点分析全面，应对措施可行性高，相关建议科学合理的，加7分；</w:t>
            </w:r>
          </w:p>
          <w:p w14:paraId="08F1A319">
            <w:pPr>
              <w:spacing w:line="360" w:lineRule="exact"/>
              <w:rPr>
                <w:rFonts w:ascii="宋体" w:hAnsi="宋体" w:cs="宋体"/>
                <w:kern w:val="0"/>
                <w:szCs w:val="21"/>
              </w:rPr>
            </w:pPr>
            <w:r>
              <w:rPr>
                <w:rFonts w:hint="eastAsia" w:ascii="宋体" w:hAnsi="宋体" w:cs="宋体"/>
                <w:kern w:val="0"/>
                <w:szCs w:val="21"/>
              </w:rPr>
              <w:t>2.重点难点分析比较全面，应对措施可行性较高，相关建议比较合理的，加5分；</w:t>
            </w:r>
          </w:p>
          <w:p w14:paraId="0B7931C5">
            <w:pPr>
              <w:spacing w:line="360" w:lineRule="exact"/>
              <w:rPr>
                <w:rFonts w:ascii="宋体" w:hAnsi="宋体" w:cs="宋体"/>
                <w:kern w:val="0"/>
                <w:szCs w:val="21"/>
              </w:rPr>
            </w:pPr>
            <w:r>
              <w:rPr>
                <w:rFonts w:hint="eastAsia" w:ascii="宋体" w:hAnsi="宋体" w:cs="宋体"/>
                <w:kern w:val="0"/>
                <w:szCs w:val="21"/>
              </w:rPr>
              <w:t>3.重点难点分析不够全面，应对措施可行性一般，相关建议不够合理的，加3分；</w:t>
            </w:r>
          </w:p>
          <w:p w14:paraId="37E77ACE">
            <w:pPr>
              <w:spacing w:line="360" w:lineRule="exact"/>
              <w:rPr>
                <w:rFonts w:ascii="宋体" w:hAnsi="宋体" w:cs="宋体"/>
                <w:kern w:val="0"/>
                <w:szCs w:val="21"/>
              </w:rPr>
            </w:pPr>
            <w:r>
              <w:rPr>
                <w:rFonts w:hint="eastAsia" w:ascii="宋体" w:hAnsi="宋体" w:cs="宋体"/>
                <w:kern w:val="0"/>
                <w:szCs w:val="21"/>
              </w:rPr>
              <w:t>4.重点难点分析不全面，应对措施可行性低，相关建议不合理的，不加分。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5"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spacing w:line="360" w:lineRule="exact"/>
              <w:jc w:val="center"/>
              <w:rPr>
                <w:rFonts w:asciiTheme="minorEastAsia" w:hAnsiTheme="minorEastAsia" w:eastAsiaTheme="minorEastAsia" w:cstheme="minorEastAsia"/>
                <w:szCs w:val="21"/>
              </w:rPr>
            </w:pPr>
            <w:r>
              <w:rPr>
                <w:rFonts w:hint="eastAsia" w:ascii="宋体" w:hAnsi="宋体"/>
                <w:szCs w:val="21"/>
              </w:rPr>
              <w:t>质量保障措施及方案</w:t>
            </w:r>
          </w:p>
        </w:tc>
        <w:tc>
          <w:tcPr>
            <w:tcW w:w="709" w:type="dxa"/>
            <w:vAlign w:val="center"/>
          </w:tcPr>
          <w:p w14:paraId="7274A6F1">
            <w:pPr>
              <w:spacing w:line="360" w:lineRule="exact"/>
              <w:jc w:val="center"/>
              <w:rPr>
                <w:rFonts w:asciiTheme="minorEastAsia" w:hAnsiTheme="minorEastAsia" w:eastAsiaTheme="minorEastAsia" w:cstheme="minorEastAsia"/>
                <w:kern w:val="0"/>
                <w:szCs w:val="21"/>
              </w:rPr>
            </w:pPr>
            <w:r>
              <w:rPr>
                <w:rFonts w:hint="eastAsia" w:ascii="宋体" w:hAnsi="宋体"/>
                <w:szCs w:val="21"/>
              </w:rPr>
              <w:t>1</w:t>
            </w:r>
            <w:r>
              <w:rPr>
                <w:rFonts w:ascii="宋体" w:hAnsi="宋体"/>
                <w:szCs w:val="21"/>
              </w:rPr>
              <w:t>0</w:t>
            </w:r>
          </w:p>
        </w:tc>
        <w:tc>
          <w:tcPr>
            <w:tcW w:w="5953" w:type="dxa"/>
            <w:vAlign w:val="center"/>
          </w:tcPr>
          <w:p w14:paraId="4EEAE5CF">
            <w:pPr>
              <w:pStyle w:val="94"/>
              <w:spacing w:line="360" w:lineRule="exact"/>
              <w:ind w:firstLine="0" w:firstLineChars="0"/>
              <w:rPr>
                <w:rFonts w:ascii="宋体" w:hAnsi="宋体" w:cs="宋体"/>
                <w:b/>
                <w:bCs/>
                <w:szCs w:val="21"/>
              </w:rPr>
            </w:pPr>
            <w:r>
              <w:rPr>
                <w:rFonts w:hint="eastAsia" w:ascii="宋体" w:hAnsi="宋体" w:cs="宋体"/>
                <w:b/>
                <w:bCs/>
                <w:szCs w:val="21"/>
              </w:rPr>
              <w:t>（一）评审内容：</w:t>
            </w:r>
          </w:p>
          <w:p w14:paraId="492FC055">
            <w:pPr>
              <w:autoSpaceDE w:val="0"/>
              <w:autoSpaceDN w:val="0"/>
              <w:adjustRightInd w:val="0"/>
              <w:spacing w:line="360" w:lineRule="exact"/>
              <w:rPr>
                <w:rFonts w:ascii="宋体" w:hAnsi="宋体" w:cs="宋体"/>
                <w:kern w:val="0"/>
                <w:szCs w:val="21"/>
              </w:rPr>
            </w:pPr>
            <w:r>
              <w:rPr>
                <w:rFonts w:hint="eastAsia" w:ascii="宋体" w:hAnsi="宋体" w:cs="宋体"/>
                <w:kern w:val="0"/>
                <w:szCs w:val="21"/>
              </w:rPr>
              <w:t>考察投标人提供的</w:t>
            </w:r>
            <w:r>
              <w:rPr>
                <w:rFonts w:hint="eastAsia" w:ascii="宋体" w:hAnsi="宋体" w:cs="宋体"/>
                <w:szCs w:val="21"/>
              </w:rPr>
              <w:t>质量保障措施及方案</w:t>
            </w:r>
            <w:r>
              <w:rPr>
                <w:rFonts w:hint="eastAsia" w:ascii="宋体" w:hAnsi="宋体" w:cs="宋体"/>
                <w:kern w:val="0"/>
                <w:szCs w:val="21"/>
              </w:rPr>
              <w:t>，包含以下内容：</w:t>
            </w:r>
          </w:p>
          <w:p w14:paraId="080EC0D0">
            <w:pPr>
              <w:spacing w:line="360" w:lineRule="exact"/>
              <w:rPr>
                <w:rFonts w:ascii="宋体" w:hAnsi="宋体" w:cs="宋体"/>
                <w:szCs w:val="21"/>
              </w:rPr>
            </w:pPr>
            <w:r>
              <w:rPr>
                <w:rFonts w:hint="eastAsia" w:ascii="宋体" w:hAnsi="宋体" w:cs="宋体"/>
                <w:szCs w:val="21"/>
              </w:rPr>
              <w:t>（1）从项目管理、人员、项目实施时间等维度分别阐述质量保障措施；</w:t>
            </w:r>
            <w:r>
              <w:rPr>
                <w:rFonts w:hint="eastAsia" w:ascii="宋体" w:hAnsi="宋体" w:cs="宋体"/>
                <w:szCs w:val="21"/>
              </w:rPr>
              <w:br w:type="textWrapping"/>
            </w:r>
            <w:r>
              <w:rPr>
                <w:rFonts w:hint="eastAsia" w:ascii="宋体" w:hAnsi="宋体" w:cs="宋体"/>
                <w:szCs w:val="21"/>
              </w:rPr>
              <w:t>（2）服务质量检查、整改方案。</w:t>
            </w:r>
          </w:p>
          <w:p w14:paraId="6A008246">
            <w:pPr>
              <w:spacing w:line="360" w:lineRule="exact"/>
              <w:jc w:val="left"/>
              <w:rPr>
                <w:rFonts w:ascii="宋体" w:hAnsi="宋体" w:cs="宋体"/>
                <w:b/>
                <w:bCs/>
                <w:szCs w:val="21"/>
              </w:rPr>
            </w:pPr>
            <w:r>
              <w:rPr>
                <w:rFonts w:hint="eastAsia" w:ascii="宋体" w:hAnsi="宋体" w:cs="宋体"/>
                <w:b/>
                <w:bCs/>
                <w:szCs w:val="21"/>
              </w:rPr>
              <w:t>（二）评审标准：</w:t>
            </w:r>
          </w:p>
          <w:p w14:paraId="46551BED">
            <w:pPr>
              <w:spacing w:line="360" w:lineRule="exact"/>
              <w:jc w:val="left"/>
              <w:rPr>
                <w:rFonts w:ascii="宋体" w:hAnsi="宋体" w:cs="宋体"/>
                <w:szCs w:val="21"/>
              </w:rPr>
            </w:pPr>
            <w:r>
              <w:rPr>
                <w:rFonts w:hint="eastAsia" w:ascii="宋体" w:hAnsi="宋体" w:cs="宋体"/>
                <w:szCs w:val="21"/>
              </w:rPr>
              <w:t>方案包含以上二项内容得4分；包含以上一项内容得2分；其他情况不得分。</w:t>
            </w:r>
          </w:p>
          <w:p w14:paraId="6089B46A">
            <w:pPr>
              <w:spacing w:line="360" w:lineRule="exact"/>
              <w:jc w:val="left"/>
              <w:rPr>
                <w:rFonts w:ascii="宋体" w:hAnsi="宋体" w:cs="宋体"/>
                <w:szCs w:val="21"/>
              </w:rPr>
            </w:pPr>
            <w:r>
              <w:rPr>
                <w:rFonts w:hint="eastAsia" w:ascii="宋体" w:hAnsi="宋体" w:cs="宋体"/>
                <w:szCs w:val="21"/>
              </w:rPr>
              <w:t>在此基础上，根据方案响应情况进一步评审：</w:t>
            </w:r>
          </w:p>
          <w:p w14:paraId="2207823F">
            <w:pPr>
              <w:spacing w:line="360" w:lineRule="exact"/>
              <w:jc w:val="left"/>
              <w:rPr>
                <w:rFonts w:ascii="宋体" w:hAnsi="宋体" w:cs="宋体"/>
                <w:szCs w:val="21"/>
              </w:rPr>
            </w:pPr>
            <w:r>
              <w:rPr>
                <w:rFonts w:hint="eastAsia" w:ascii="宋体" w:hAnsi="宋体" w:cs="宋体"/>
                <w:szCs w:val="21"/>
              </w:rPr>
              <w:t>1.质量保障措施科学完善，质量检查、整改方案可行性高的，加6分；</w:t>
            </w:r>
          </w:p>
          <w:p w14:paraId="4C67276A">
            <w:pPr>
              <w:spacing w:line="360" w:lineRule="exact"/>
              <w:jc w:val="left"/>
              <w:rPr>
                <w:rFonts w:ascii="宋体" w:hAnsi="宋体" w:cs="宋体"/>
                <w:szCs w:val="21"/>
              </w:rPr>
            </w:pPr>
            <w:r>
              <w:rPr>
                <w:rFonts w:hint="eastAsia" w:ascii="宋体" w:hAnsi="宋体" w:cs="宋体"/>
                <w:szCs w:val="21"/>
              </w:rPr>
              <w:t>2.质量保障措施比较完善，质量检查、整改方案可行性较高的，加4分；</w:t>
            </w:r>
          </w:p>
          <w:p w14:paraId="378A0016">
            <w:pPr>
              <w:spacing w:line="360" w:lineRule="exact"/>
              <w:jc w:val="left"/>
              <w:rPr>
                <w:rFonts w:ascii="宋体" w:hAnsi="宋体" w:cs="宋体"/>
                <w:szCs w:val="21"/>
              </w:rPr>
            </w:pPr>
            <w:r>
              <w:rPr>
                <w:rFonts w:hint="eastAsia" w:ascii="宋体" w:hAnsi="宋体" w:cs="宋体"/>
                <w:szCs w:val="21"/>
              </w:rPr>
              <w:t>3.质量保障措施不够完善，质量检查、整改方案可行性一般的，加2分；</w:t>
            </w:r>
          </w:p>
          <w:p w14:paraId="188D9B76">
            <w:pPr>
              <w:spacing w:line="360" w:lineRule="exact"/>
              <w:jc w:val="left"/>
              <w:rPr>
                <w:rFonts w:asciiTheme="minorEastAsia" w:hAnsiTheme="minorEastAsia" w:eastAsiaTheme="minorEastAsia" w:cstheme="minorEastAsia"/>
                <w:szCs w:val="21"/>
              </w:rPr>
            </w:pPr>
            <w:r>
              <w:rPr>
                <w:rFonts w:hint="eastAsia" w:ascii="宋体" w:hAnsi="宋体" w:cs="宋体"/>
                <w:szCs w:val="21"/>
              </w:rPr>
              <w:t>4.质量保障措施不完善，质量检查、整改方案可行性低的，不加分。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50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754" w:type="dxa"/>
            <w:vAlign w:val="center"/>
          </w:tcPr>
          <w:p w14:paraId="0C5E29A6">
            <w:pPr>
              <w:jc w:val="center"/>
              <w:rPr>
                <w:rFonts w:cs="仿宋" w:asciiTheme="minorEastAsia" w:hAnsiTheme="minorEastAsia" w:eastAsiaTheme="minorEastAsia"/>
                <w:szCs w:val="21"/>
                <w:lang w:val="zh-CN"/>
              </w:rPr>
            </w:pPr>
            <w:r>
              <w:rPr>
                <w:rFonts w:hint="eastAsia" w:ascii="宋体" w:hAnsi="宋体"/>
                <w:szCs w:val="21"/>
              </w:rPr>
              <w:t>1</w:t>
            </w:r>
          </w:p>
        </w:tc>
        <w:tc>
          <w:tcPr>
            <w:tcW w:w="1143" w:type="dxa"/>
            <w:vAlign w:val="center"/>
          </w:tcPr>
          <w:p w14:paraId="7560AD42">
            <w:pPr>
              <w:jc w:val="center"/>
              <w:rPr>
                <w:rFonts w:asciiTheme="minorEastAsia" w:hAnsiTheme="minorEastAsia" w:eastAsiaTheme="minorEastAsia" w:cstheme="minorEastAsia"/>
                <w:kern w:val="0"/>
                <w:szCs w:val="21"/>
              </w:rPr>
            </w:pPr>
            <w:r>
              <w:rPr>
                <w:rFonts w:hint="eastAsia" w:ascii="宋体" w:hAnsi="宋体" w:cs="宋体"/>
                <w:szCs w:val="21"/>
              </w:rPr>
              <w:t>商务</w:t>
            </w:r>
            <w:r>
              <w:rPr>
                <w:rFonts w:hint="eastAsia" w:ascii="宋体" w:hAnsi="宋体" w:cs="宋体"/>
                <w:bCs/>
                <w:szCs w:val="21"/>
              </w:rPr>
              <w:t>条款</w:t>
            </w:r>
            <w:r>
              <w:rPr>
                <w:rFonts w:hint="eastAsia" w:ascii="宋体" w:hAnsi="宋体" w:cs="宋体"/>
                <w:szCs w:val="21"/>
              </w:rPr>
              <w:t>响应情况</w:t>
            </w:r>
          </w:p>
        </w:tc>
        <w:tc>
          <w:tcPr>
            <w:tcW w:w="709" w:type="dxa"/>
            <w:vAlign w:val="center"/>
          </w:tcPr>
          <w:p w14:paraId="57882E34">
            <w:pPr>
              <w:ind w:firstLine="210" w:firstLineChars="100"/>
              <w:rPr>
                <w:rFonts w:asciiTheme="minorEastAsia" w:hAnsiTheme="minorEastAsia" w:eastAsiaTheme="minorEastAsia" w:cstheme="minorEastAsia"/>
                <w:kern w:val="0"/>
                <w:szCs w:val="21"/>
              </w:rPr>
            </w:pPr>
            <w:r>
              <w:rPr>
                <w:rFonts w:ascii="宋体" w:hAnsi="宋体" w:cs="宋体"/>
                <w:szCs w:val="21"/>
              </w:rPr>
              <w:t>3</w:t>
            </w:r>
          </w:p>
        </w:tc>
        <w:tc>
          <w:tcPr>
            <w:tcW w:w="5953" w:type="dxa"/>
            <w:vAlign w:val="center"/>
          </w:tcPr>
          <w:p w14:paraId="663BDA92">
            <w:pPr>
              <w:spacing w:line="360" w:lineRule="exact"/>
              <w:rPr>
                <w:rFonts w:asciiTheme="minorEastAsia" w:hAnsiTheme="minorEastAsia" w:eastAsiaTheme="minorEastAsia" w:cstheme="minorEastAsia"/>
                <w:kern w:val="0"/>
                <w:szCs w:val="21"/>
              </w:rPr>
            </w:pPr>
            <w:r>
              <w:rPr>
                <w:rFonts w:hint="eastAsia" w:ascii="宋体" w:hAnsi="宋体" w:cs="宋体"/>
                <w:kern w:val="0"/>
                <w:szCs w:val="21"/>
              </w:rPr>
              <w:t>投标人应如实填写《商务条款偏离表》，评审委员会根据商务条款响应情况进行打分，各项非实质性商务要求全部满足的得3分；</w:t>
            </w:r>
            <w:r>
              <w:rPr>
                <w:rFonts w:hint="eastAsia" w:ascii="宋体" w:hAnsi="宋体" w:cs="仿宋"/>
                <w:szCs w:val="21"/>
              </w:rPr>
              <w:t>其中“▲”参数为重要指标，每负偏离一项扣0.5分；其余指标每负偏离一项扣0.17分</w:t>
            </w:r>
            <w:r>
              <w:rPr>
                <w:rFonts w:hint="eastAsia"/>
              </w:rPr>
              <w:t>，扣完为止</w:t>
            </w:r>
            <w:r>
              <w:rPr>
                <w:rFonts w:hint="eastAsia" w:ascii="宋体" w:hAnsi="宋体" w:cs="宋体"/>
                <w:szCs w:val="21"/>
              </w:rPr>
              <w:t>。商务要求中</w:t>
            </w:r>
            <w:r>
              <w:rPr>
                <w:rFonts w:hint="eastAsia" w:ascii="宋体" w:hAnsi="宋体" w:cs="宋体"/>
                <w:szCs w:val="21"/>
                <w:lang w:val="zh-CN"/>
              </w:rPr>
              <w:t>包含子项条款的，按子项条款响应情况逐项评分。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5" w:hRule="atLeast"/>
          <w:jc w:val="center"/>
        </w:trPr>
        <w:tc>
          <w:tcPr>
            <w:tcW w:w="754" w:type="dxa"/>
            <w:vAlign w:val="center"/>
          </w:tcPr>
          <w:p w14:paraId="6A173027">
            <w:pPr>
              <w:jc w:val="center"/>
              <w:rPr>
                <w:rFonts w:cs="宋体" w:asciiTheme="minorEastAsia" w:hAnsiTheme="minorEastAsia" w:eastAsiaTheme="minorEastAsia"/>
                <w:kern w:val="0"/>
                <w:szCs w:val="21"/>
              </w:rPr>
            </w:pPr>
            <w:r>
              <w:rPr>
                <w:rFonts w:ascii="宋体" w:hAnsi="宋体"/>
                <w:szCs w:val="21"/>
              </w:rPr>
              <w:t>2</w:t>
            </w:r>
          </w:p>
        </w:tc>
        <w:tc>
          <w:tcPr>
            <w:tcW w:w="1143" w:type="dxa"/>
            <w:vAlign w:val="center"/>
          </w:tcPr>
          <w:p w14:paraId="2AA58873">
            <w:pPr>
              <w:jc w:val="center"/>
              <w:rPr>
                <w:rFonts w:ascii="宋体" w:hAnsi="宋体" w:cs="宋体"/>
                <w:szCs w:val="21"/>
              </w:rPr>
            </w:pPr>
            <w:r>
              <w:rPr>
                <w:rFonts w:hint="eastAsia" w:ascii="宋体" w:hAnsi="宋体"/>
                <w:szCs w:val="21"/>
              </w:rPr>
              <w:t>投标人通过相关认证情况</w:t>
            </w:r>
          </w:p>
        </w:tc>
        <w:tc>
          <w:tcPr>
            <w:tcW w:w="709" w:type="dxa"/>
            <w:vAlign w:val="center"/>
          </w:tcPr>
          <w:p w14:paraId="03D227DE">
            <w:pPr>
              <w:jc w:val="center"/>
              <w:rPr>
                <w:rFonts w:ascii="宋体" w:hAnsi="宋体" w:cs="宋体"/>
                <w:szCs w:val="21"/>
              </w:rPr>
            </w:pPr>
            <w:r>
              <w:rPr>
                <w:rFonts w:ascii="宋体" w:hAnsi="宋体"/>
                <w:szCs w:val="21"/>
              </w:rPr>
              <w:t>6</w:t>
            </w:r>
          </w:p>
        </w:tc>
        <w:tc>
          <w:tcPr>
            <w:tcW w:w="5953" w:type="dxa"/>
            <w:vAlign w:val="center"/>
          </w:tcPr>
          <w:p w14:paraId="09FA7CB7">
            <w:pPr>
              <w:pStyle w:val="94"/>
              <w:spacing w:line="360" w:lineRule="exact"/>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（一）评分内容：</w:t>
            </w:r>
          </w:p>
          <w:p w14:paraId="3E8A6867">
            <w:pPr>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投标人具有</w:t>
            </w:r>
            <w:r>
              <w:rPr>
                <w:rFonts w:hint="eastAsia" w:asciiTheme="minorEastAsia" w:hAnsiTheme="minorEastAsia" w:eastAsiaTheme="minorEastAsia" w:cstheme="minorEastAsia"/>
                <w:bCs/>
                <w:szCs w:val="21"/>
              </w:rPr>
              <w:t>ISO9001</w:t>
            </w:r>
            <w:r>
              <w:rPr>
                <w:rFonts w:hint="eastAsia" w:asciiTheme="minorEastAsia" w:hAnsiTheme="minorEastAsia" w:eastAsiaTheme="minorEastAsia" w:cstheme="minorEastAsia"/>
                <w:kern w:val="0"/>
                <w:szCs w:val="21"/>
              </w:rPr>
              <w:t>质量管理体系认证证书、ISO14001环境管理体系认证证书、ISO45001职业健康安全管理体系认证证书，提供1个有效认证证书得2分，最高得6分。</w:t>
            </w:r>
          </w:p>
          <w:p w14:paraId="64DD8584">
            <w:pPr>
              <w:widowControl/>
              <w:spacing w:line="360" w:lineRule="exact"/>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如存在与上述认证证书名称有所差异，但属于同类证书，符合同种证书要求的，也可得分。</w:t>
            </w:r>
          </w:p>
          <w:p w14:paraId="0E0FEFCD">
            <w:pPr>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（二）评分依据：</w:t>
            </w:r>
          </w:p>
          <w:p w14:paraId="0AFAF8EC">
            <w:pPr>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1.提供有效认证证书（如认证证书注明年审要求的，必须按规定年审且证书在有效期内的方为有效；如未注明年审要求的，证书必须在有效期内的方为有效）；</w:t>
            </w:r>
          </w:p>
          <w:p w14:paraId="0D289470">
            <w:pPr>
              <w:autoSpaceDE w:val="0"/>
              <w:autoSpaceDN w:val="0"/>
              <w:adjustRightInd w:val="0"/>
              <w:spacing w:line="360" w:lineRule="exact"/>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2.提供证书官网或权威机构【如：全国认证认可信息公共服务平台（cx.cnca.cn）】认证信息查询截图（截图需显示证书状态为有效）。</w:t>
            </w:r>
            <w:r>
              <w:rPr>
                <w:rFonts w:hint="eastAsia" w:asciiTheme="minorEastAsia" w:hAnsiTheme="minorEastAsia" w:eastAsiaTheme="minorEastAsia" w:cstheme="minorEastAsia"/>
                <w:szCs w:val="21"/>
                <w:lang w:val="zh-CN"/>
              </w:rPr>
              <w:t>相关证书在公开渠道无法查询的，投标人需提供颁发部门或者监管机构的证明材料，证明证书真实有效且为合法机构颁发；</w:t>
            </w:r>
          </w:p>
          <w:p w14:paraId="32895446">
            <w:pPr>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3.如证书由行业协会颁发，需提供该行业协会在“中国社会组织政务服务平台”（网址：https://chinanpo.mca.gov.cn/）查询的已合法登记且状态正常截图，否则不予认可，视为无效证书；</w:t>
            </w:r>
          </w:p>
          <w:p w14:paraId="695078C0">
            <w:pPr>
              <w:autoSpaceDE w:val="0"/>
              <w:autoSpaceDN w:val="0"/>
              <w:adjustRightInd w:val="0"/>
              <w:spacing w:line="360" w:lineRule="exact"/>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4.如</w:t>
            </w:r>
            <w:r>
              <w:rPr>
                <w:rFonts w:hint="eastAsia" w:asciiTheme="minorEastAsia" w:hAnsiTheme="minorEastAsia" w:eastAsiaTheme="minorEastAsia" w:cstheme="minorEastAsia"/>
                <w:szCs w:val="21"/>
                <w:lang w:val="zh-CN"/>
              </w:rPr>
              <w:t>投标人成立时间不足三个月，可提供情况说明作为佐证材料，无需提供证书和</w:t>
            </w:r>
            <w:r>
              <w:rPr>
                <w:rFonts w:hint="eastAsia" w:asciiTheme="minorEastAsia" w:hAnsiTheme="minorEastAsia" w:eastAsiaTheme="minorEastAsia" w:cstheme="minorEastAsia"/>
                <w:kern w:val="0"/>
                <w:szCs w:val="21"/>
              </w:rPr>
              <w:t>认证信息查询截图</w:t>
            </w:r>
            <w:r>
              <w:rPr>
                <w:rFonts w:hint="eastAsia" w:asciiTheme="minorEastAsia" w:hAnsiTheme="minorEastAsia" w:eastAsiaTheme="minorEastAsia" w:cstheme="minorEastAsia"/>
                <w:szCs w:val="21"/>
                <w:lang w:val="zh-CN"/>
              </w:rPr>
              <w:t>亦视为满足评分要求；</w:t>
            </w:r>
          </w:p>
          <w:p w14:paraId="42910C83">
            <w:pPr>
              <w:spacing w:after="160"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5.提供以上证明文件复印件或扫描件，如涉及网站截图或照片等证明材料,需提供清晰图片,均要求加盖投标人公章。未按要求提供有效证明材料或提供不清晰导致评委无法识别的不计得分</w:t>
            </w:r>
            <w:r>
              <w:rPr>
                <w:rFonts w:hint="eastAsia" w:asciiTheme="minorEastAsia" w:hAnsiTheme="minorEastAsia" w:eastAsiaTheme="minorEastAsia" w:cstheme="minorEastAsia"/>
                <w:szCs w:val="21"/>
                <w:lang w:val="zh-CN"/>
              </w:rPr>
              <w:t>。</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jc w:val="center"/>
              <w:rPr>
                <w:rFonts w:cs="仿宋" w:asciiTheme="minorEastAsia" w:hAnsiTheme="minorEastAsia" w:eastAsiaTheme="minorEastAsia"/>
                <w:szCs w:val="21"/>
                <w:lang w:val="zh-CN"/>
              </w:rPr>
            </w:pPr>
            <w:r>
              <w:rPr>
                <w:rFonts w:ascii="宋体" w:hAnsi="宋体"/>
                <w:szCs w:val="21"/>
              </w:rPr>
              <w:t>3</w:t>
            </w:r>
          </w:p>
        </w:tc>
        <w:tc>
          <w:tcPr>
            <w:tcW w:w="1143" w:type="dxa"/>
            <w:vAlign w:val="center"/>
          </w:tcPr>
          <w:p w14:paraId="42B13F9C">
            <w:pPr>
              <w:jc w:val="center"/>
              <w:rPr>
                <w:rFonts w:ascii="宋体" w:hAnsi="宋体" w:cs="宋体"/>
                <w:szCs w:val="21"/>
              </w:rPr>
            </w:pPr>
            <w:r>
              <w:rPr>
                <w:rFonts w:hint="eastAsia" w:ascii="宋体" w:hAnsi="宋体"/>
                <w:szCs w:val="21"/>
              </w:rPr>
              <w:t>投标人同类项目业绩情况</w:t>
            </w:r>
          </w:p>
        </w:tc>
        <w:tc>
          <w:tcPr>
            <w:tcW w:w="709" w:type="dxa"/>
            <w:vAlign w:val="center"/>
          </w:tcPr>
          <w:p w14:paraId="6BAF4B7F">
            <w:pPr>
              <w:jc w:val="center"/>
              <w:rPr>
                <w:rFonts w:ascii="宋体" w:hAnsi="宋体" w:cs="宋体"/>
                <w:szCs w:val="21"/>
              </w:rPr>
            </w:pPr>
            <w:r>
              <w:rPr>
                <w:rFonts w:ascii="宋体" w:hAnsi="宋体"/>
                <w:szCs w:val="21"/>
              </w:rPr>
              <w:t>6</w:t>
            </w:r>
          </w:p>
        </w:tc>
        <w:tc>
          <w:tcPr>
            <w:tcW w:w="5953" w:type="dxa"/>
            <w:vAlign w:val="center"/>
          </w:tcPr>
          <w:p w14:paraId="12CAFE84">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（一）评分内容：</w:t>
            </w:r>
          </w:p>
          <w:p w14:paraId="5654F943">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2021年1月1日至本项目投标截止日（以合同签订日期为准），投标人具有同类项目业绩（合同内容包括：桌面云或云桌面或超融合运维或IT运维或IT基础设施相关内容）且获得履约评价结果为“优”或“满意”或评价证明中最高等级的，或者验收结果为“合格”或“通过”或同等表述的，每提供一个项目得1.2分，满分6分。同一项目续签合同的不可重复得分。</w:t>
            </w:r>
          </w:p>
          <w:p w14:paraId="6D48B459">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5F5C23FF">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1.提供合同关键页（关键信息包括但不仅限于合同的项目名称、服务内容、合同签订日期、甲乙双方签字盖章页）且提供的材料各项信息不得有任何遮挡；</w:t>
            </w:r>
          </w:p>
          <w:p w14:paraId="21373D92">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2.通过合同关键信息无法判断是否得分的，还需提供能证明得分的其它证明资料，如项目报告或合同甲方出具的证明文件；</w:t>
            </w:r>
          </w:p>
          <w:p w14:paraId="4651D815">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3.提供加盖合同甲方公章或甲方业务章的履约评价或验收结果证明材料；</w:t>
            </w:r>
          </w:p>
          <w:p w14:paraId="614CC78C">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4.提供以上证明文件复印件或扫描件，如涉及网站截图或照片等证明材料,需提供清晰图片,均要求加盖投标人公章。未按要求提供有效证明材料或提供不清晰导致评委无法识别的不计得分。</w:t>
            </w:r>
          </w:p>
          <w:p w14:paraId="42B133FC">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注：为便于评委评审，履约评价或验收结果证明文件应附在同类项目业绩证明文件后，每个项目对应一份履约评价或验收结果证明。</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83D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3" w:hRule="atLeast"/>
          <w:jc w:val="center"/>
        </w:trPr>
        <w:tc>
          <w:tcPr>
            <w:tcW w:w="754" w:type="dxa"/>
            <w:vAlign w:val="center"/>
          </w:tcPr>
          <w:p w14:paraId="754587B2">
            <w:pPr>
              <w:jc w:val="center"/>
              <w:rPr>
                <w:rFonts w:cs="仿宋" w:asciiTheme="minorEastAsia" w:hAnsiTheme="minorEastAsia" w:eastAsiaTheme="minorEastAsia"/>
                <w:szCs w:val="21"/>
              </w:rPr>
            </w:pPr>
            <w:bookmarkStart w:id="19" w:name="_Toc44690703"/>
            <w:bookmarkStart w:id="20" w:name="_Toc135293165"/>
            <w:bookmarkStart w:id="21" w:name="_Toc44690430"/>
            <w:bookmarkStart w:id="22" w:name="_Toc44691162"/>
            <w:bookmarkStart w:id="23" w:name="_Toc44691394"/>
            <w:r>
              <w:rPr>
                <w:rFonts w:hint="eastAsia" w:cs="仿宋" w:asciiTheme="minorEastAsia" w:hAnsiTheme="minorEastAsia" w:eastAsiaTheme="minorEastAsia"/>
                <w:szCs w:val="21"/>
              </w:rPr>
              <w:t>4</w:t>
            </w:r>
          </w:p>
        </w:tc>
        <w:tc>
          <w:tcPr>
            <w:tcW w:w="1143" w:type="dxa"/>
            <w:vAlign w:val="center"/>
          </w:tcPr>
          <w:p w14:paraId="21CDBC05">
            <w:pPr>
              <w:jc w:val="center"/>
              <w:rPr>
                <w:rFonts w:ascii="宋体" w:hAnsi="宋体" w:cs="宋体"/>
                <w:szCs w:val="21"/>
              </w:rPr>
            </w:pPr>
            <w:r>
              <w:rPr>
                <w:rFonts w:hint="eastAsia" w:ascii="宋体" w:hAnsi="宋体"/>
                <w:szCs w:val="21"/>
              </w:rPr>
              <w:t>拟安排的项目负责人情况（仅限一人）</w:t>
            </w:r>
          </w:p>
        </w:tc>
        <w:tc>
          <w:tcPr>
            <w:tcW w:w="709" w:type="dxa"/>
            <w:vAlign w:val="center"/>
          </w:tcPr>
          <w:p w14:paraId="28F45005">
            <w:pPr>
              <w:jc w:val="center"/>
              <w:rPr>
                <w:rFonts w:ascii="宋体" w:hAnsi="宋体" w:cs="宋体"/>
                <w:szCs w:val="21"/>
              </w:rPr>
            </w:pPr>
            <w:r>
              <w:rPr>
                <w:rFonts w:ascii="宋体" w:hAnsi="宋体"/>
                <w:szCs w:val="21"/>
              </w:rPr>
              <w:t>7</w:t>
            </w:r>
          </w:p>
        </w:tc>
        <w:tc>
          <w:tcPr>
            <w:tcW w:w="5953" w:type="dxa"/>
            <w:vAlign w:val="center"/>
          </w:tcPr>
          <w:p w14:paraId="2EEB51C8">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（一）评分内容：</w:t>
            </w:r>
          </w:p>
          <w:p w14:paraId="2D16F182">
            <w:pPr>
              <w:pStyle w:val="94"/>
              <w:spacing w:line="360" w:lineRule="exact"/>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拟安排的项目负责人</w:t>
            </w:r>
            <w:r>
              <w:rPr>
                <w:rFonts w:hint="eastAsia" w:asciiTheme="minorEastAsia" w:hAnsiTheme="minorEastAsia" w:eastAsiaTheme="minorEastAsia" w:cstheme="minorEastAsia"/>
                <w:color w:val="000000"/>
                <w:kern w:val="0"/>
                <w:szCs w:val="21"/>
              </w:rPr>
              <w:t>(仅限1人）</w:t>
            </w:r>
            <w:r>
              <w:rPr>
                <w:rFonts w:hint="eastAsia" w:asciiTheme="minorEastAsia" w:hAnsiTheme="minorEastAsia" w:eastAsiaTheme="minorEastAsia" w:cstheme="minorEastAsia"/>
                <w:szCs w:val="21"/>
              </w:rPr>
              <w:t>需为投标人</w:t>
            </w:r>
            <w:r>
              <w:rPr>
                <w:rFonts w:hint="eastAsia" w:asciiTheme="minorEastAsia" w:hAnsiTheme="minorEastAsia" w:eastAsiaTheme="minorEastAsia" w:cstheme="minorEastAsia"/>
                <w:color w:val="000000" w:themeColor="text1"/>
                <w:szCs w:val="21"/>
                <w14:textFill>
                  <w14:solidFill>
                    <w14:schemeClr w14:val="tx1"/>
                  </w14:solidFill>
                </w14:textFill>
              </w:rPr>
              <w:t>正式聘任</w:t>
            </w:r>
            <w:r>
              <w:rPr>
                <w:rFonts w:hint="eastAsia" w:asciiTheme="minorEastAsia" w:hAnsiTheme="minorEastAsia" w:eastAsiaTheme="minorEastAsia" w:cstheme="minorEastAsia"/>
                <w:szCs w:val="21"/>
              </w:rPr>
              <w:t>员工，否则本项不得分。在此基础上，按以下标准评分：</w:t>
            </w:r>
          </w:p>
          <w:p w14:paraId="4028EC96">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1.具有IT服务项目经理证书，得3.5分；</w:t>
            </w:r>
          </w:p>
          <w:p w14:paraId="3E5B3992">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2.具有PMP项目管理认证证书，得3.5分。</w:t>
            </w:r>
          </w:p>
          <w:p w14:paraId="26B2CD7E">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（二）评分依据：</w:t>
            </w:r>
          </w:p>
          <w:p w14:paraId="31A873E7">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0A5062DE">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2.要求提供上述证书作为得分依据；</w:t>
            </w:r>
          </w:p>
          <w:p w14:paraId="60F2EE42">
            <w:pPr>
              <w:spacing w:line="360" w:lineRule="exact"/>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5749185">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646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54" w:type="dxa"/>
            <w:vAlign w:val="center"/>
          </w:tcPr>
          <w:p w14:paraId="28C5FBE7">
            <w:pPr>
              <w:jc w:val="center"/>
              <w:rPr>
                <w:rFonts w:cs="仿宋" w:asciiTheme="minorEastAsia" w:hAnsiTheme="minorEastAsia"/>
                <w:szCs w:val="21"/>
              </w:rPr>
            </w:pPr>
            <w:r>
              <w:rPr>
                <w:rFonts w:hint="eastAsia" w:ascii="宋体" w:hAnsi="宋体"/>
                <w:szCs w:val="21"/>
              </w:rPr>
              <w:t>5</w:t>
            </w:r>
          </w:p>
        </w:tc>
        <w:tc>
          <w:tcPr>
            <w:tcW w:w="1143" w:type="dxa"/>
            <w:vAlign w:val="center"/>
          </w:tcPr>
          <w:p w14:paraId="07C9E167">
            <w:pPr>
              <w:jc w:val="center"/>
              <w:rPr>
                <w:rFonts w:ascii="宋体" w:hAnsi="宋体" w:cs="宋体"/>
                <w:szCs w:val="21"/>
              </w:rPr>
            </w:pPr>
            <w:r>
              <w:rPr>
                <w:rFonts w:hint="eastAsia" w:ascii="宋体" w:hAnsi="宋体"/>
                <w:szCs w:val="21"/>
              </w:rPr>
              <w:t>拟安排的项目主要团队成员（主要技术人员）情况（项目负责人除外）</w:t>
            </w:r>
          </w:p>
        </w:tc>
        <w:tc>
          <w:tcPr>
            <w:tcW w:w="709" w:type="dxa"/>
            <w:vAlign w:val="center"/>
          </w:tcPr>
          <w:p w14:paraId="15E33A22">
            <w:pPr>
              <w:jc w:val="center"/>
              <w:rPr>
                <w:rFonts w:ascii="宋体" w:hAnsi="宋体" w:cs="宋体"/>
                <w:szCs w:val="21"/>
              </w:rPr>
            </w:pPr>
            <w:r>
              <w:rPr>
                <w:rFonts w:ascii="宋体" w:hAnsi="宋体"/>
                <w:szCs w:val="21"/>
              </w:rPr>
              <w:t>13</w:t>
            </w:r>
          </w:p>
        </w:tc>
        <w:tc>
          <w:tcPr>
            <w:tcW w:w="5953" w:type="dxa"/>
            <w:vAlign w:val="center"/>
          </w:tcPr>
          <w:p w14:paraId="571953FE">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（一）评分内容：</w:t>
            </w:r>
          </w:p>
          <w:p w14:paraId="7B11E43D">
            <w:pPr>
              <w:pStyle w:val="94"/>
              <w:spacing w:line="360" w:lineRule="exact"/>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拟安排的项目团队成员（项目负责人除外）需为投标人</w:t>
            </w:r>
            <w:r>
              <w:rPr>
                <w:rFonts w:hint="eastAsia" w:asciiTheme="minorEastAsia" w:hAnsiTheme="minorEastAsia" w:eastAsiaTheme="minorEastAsia" w:cstheme="minorEastAsia"/>
                <w:color w:val="000000" w:themeColor="text1"/>
                <w:szCs w:val="21"/>
                <w14:textFill>
                  <w14:solidFill>
                    <w14:schemeClr w14:val="tx1"/>
                  </w14:solidFill>
                </w14:textFill>
              </w:rPr>
              <w:t>正式聘任</w:t>
            </w:r>
            <w:r>
              <w:rPr>
                <w:rFonts w:hint="eastAsia" w:asciiTheme="minorEastAsia" w:hAnsiTheme="minorEastAsia" w:eastAsiaTheme="minorEastAsia" w:cstheme="minorEastAsia"/>
                <w:szCs w:val="21"/>
              </w:rPr>
              <w:t>员工，否则本项不得分。在此基础上，按以下标准评分：</w:t>
            </w:r>
          </w:p>
          <w:p w14:paraId="471B4D23">
            <w:pPr>
              <w:spacing w:line="360" w:lineRule="exact"/>
              <w:jc w:val="left"/>
              <w:rPr>
                <w:rFonts w:eastAsiaTheme="minorEastAsia"/>
              </w:rPr>
            </w:pPr>
            <w:r>
              <w:rPr>
                <w:rFonts w:hint="eastAsia" w:asciiTheme="minorEastAsia" w:hAnsiTheme="minorEastAsia" w:eastAsiaTheme="minorEastAsia" w:cstheme="minorEastAsia"/>
                <w:szCs w:val="21"/>
              </w:rPr>
              <w:t>1.项目组成员具有</w:t>
            </w:r>
            <w:r>
              <w:rPr>
                <w:rFonts w:hint="eastAsia"/>
              </w:rPr>
              <w:t>计算机技术与软件专业技术资格证书（专业：网络工程师）</w:t>
            </w:r>
            <w:r>
              <w:rPr>
                <w:rFonts w:hint="eastAsia" w:asciiTheme="minorEastAsia" w:hAnsiTheme="minorEastAsia" w:eastAsiaTheme="minorEastAsia" w:cstheme="minorEastAsia"/>
                <w:szCs w:val="21"/>
              </w:rPr>
              <w:t>的，每提供1人</w:t>
            </w:r>
            <w:r>
              <w:rPr>
                <w:rFonts w:hint="eastAsia" w:asciiTheme="minorEastAsia" w:hAnsiTheme="minorEastAsia" w:eastAsiaTheme="minorEastAsia" w:cstheme="minorEastAsia"/>
                <w:szCs w:val="21"/>
                <w:highlight w:val="none"/>
              </w:rPr>
              <w:t>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分，最高得</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rPr>
              <w:t>；</w:t>
            </w:r>
          </w:p>
          <w:p w14:paraId="0AC7F911">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2.项目组成员具有华为或思科或华三IE级专家认证（云计算方向），每提供1人得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24E5BD1B">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3.项目组成员具有华为或思科或华三IE级专家认证（存储方向），每提供1人得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7FA93C1A">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4.项目组成员具有华为或思科或华三IE级专家认证（数据通讯方向），每提供1人得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1DA1403C">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5.项目组成员具有华为或思科或华三IE级专家认证（安全方向），每提供1人得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23B147A5">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7C8805C4">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团队成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6B5B5CCF">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2.要求提供相关证书作为得分依据；</w:t>
            </w:r>
          </w:p>
          <w:p w14:paraId="68F5C324">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291376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291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0" w:hRule="atLeast"/>
          <w:jc w:val="center"/>
        </w:trPr>
        <w:tc>
          <w:tcPr>
            <w:tcW w:w="754" w:type="dxa"/>
            <w:vAlign w:val="center"/>
          </w:tcPr>
          <w:p w14:paraId="173948B4">
            <w:pPr>
              <w:jc w:val="center"/>
              <w:rPr>
                <w:rFonts w:cs="仿宋" w:asciiTheme="minorEastAsia" w:hAnsiTheme="minorEastAsia"/>
                <w:szCs w:val="21"/>
              </w:rPr>
            </w:pPr>
            <w:r>
              <w:rPr>
                <w:rFonts w:hint="eastAsia" w:ascii="宋体" w:hAnsi="宋体"/>
                <w:szCs w:val="21"/>
              </w:rPr>
              <w:t>6</w:t>
            </w:r>
          </w:p>
        </w:tc>
        <w:tc>
          <w:tcPr>
            <w:tcW w:w="1143" w:type="dxa"/>
            <w:vAlign w:val="center"/>
          </w:tcPr>
          <w:p w14:paraId="03069E27">
            <w:pPr>
              <w:jc w:val="center"/>
              <w:rPr>
                <w:rFonts w:ascii="宋体" w:hAnsi="宋体" w:cs="宋体"/>
                <w:szCs w:val="21"/>
              </w:rPr>
            </w:pPr>
            <w:r>
              <w:rPr>
                <w:rFonts w:hint="eastAsia" w:ascii="宋体" w:hAnsi="宋体"/>
                <w:szCs w:val="21"/>
              </w:rPr>
              <w:t>投标人自主知识产权产品（创新、设计）情况</w:t>
            </w:r>
          </w:p>
        </w:tc>
        <w:tc>
          <w:tcPr>
            <w:tcW w:w="709" w:type="dxa"/>
            <w:vAlign w:val="center"/>
          </w:tcPr>
          <w:p w14:paraId="108AE922">
            <w:pPr>
              <w:jc w:val="center"/>
              <w:rPr>
                <w:rFonts w:ascii="宋体" w:hAnsi="宋体" w:cs="宋体"/>
                <w:szCs w:val="21"/>
              </w:rPr>
            </w:pPr>
            <w:r>
              <w:rPr>
                <w:rFonts w:ascii="宋体" w:hAnsi="宋体"/>
                <w:szCs w:val="21"/>
              </w:rPr>
              <w:t>7</w:t>
            </w:r>
          </w:p>
        </w:tc>
        <w:tc>
          <w:tcPr>
            <w:tcW w:w="5953" w:type="dxa"/>
            <w:vAlign w:val="center"/>
          </w:tcPr>
          <w:p w14:paraId="57E5F7A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rPr>
            </w:pPr>
            <w:r>
              <w:rPr>
                <w:rFonts w:hint="eastAsia" w:ascii="宋体" w:hAnsi="宋体" w:eastAsia="宋体" w:cs="宋体"/>
                <w:b/>
                <w:bCs/>
                <w:szCs w:val="21"/>
              </w:rPr>
              <w:t>（一）评分内容：</w:t>
            </w:r>
          </w:p>
          <w:p w14:paraId="1AA3ED4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1.具有运维管理相关著作权，得</w:t>
            </w:r>
            <w:r>
              <w:rPr>
                <w:rFonts w:hint="eastAsia" w:ascii="宋体" w:hAnsi="宋体" w:eastAsia="宋体" w:cs="宋体"/>
                <w:szCs w:val="21"/>
                <w:lang w:val="en-US" w:eastAsia="zh-CN"/>
              </w:rPr>
              <w:t>3.5</w:t>
            </w:r>
            <w:r>
              <w:rPr>
                <w:rFonts w:hint="eastAsia" w:ascii="宋体" w:hAnsi="宋体" w:eastAsia="宋体" w:cs="宋体"/>
                <w:szCs w:val="21"/>
              </w:rPr>
              <w:t>分；</w:t>
            </w:r>
          </w:p>
          <w:p w14:paraId="30DF5D6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2.具有IT流程管理相关著作权，得</w:t>
            </w:r>
            <w:r>
              <w:rPr>
                <w:rFonts w:hint="eastAsia" w:ascii="宋体" w:hAnsi="宋体" w:eastAsia="宋体" w:cs="宋体"/>
                <w:szCs w:val="21"/>
                <w:lang w:val="en-US" w:eastAsia="zh-CN"/>
              </w:rPr>
              <w:t>3.5</w:t>
            </w:r>
            <w:r>
              <w:rPr>
                <w:rFonts w:hint="eastAsia" w:ascii="宋体" w:hAnsi="宋体" w:eastAsia="宋体" w:cs="宋体"/>
                <w:szCs w:val="21"/>
              </w:rPr>
              <w:t>分；</w:t>
            </w:r>
          </w:p>
          <w:p w14:paraId="0E205E5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rPr>
            </w:pPr>
            <w:r>
              <w:rPr>
                <w:rFonts w:hint="eastAsia" w:ascii="宋体" w:hAnsi="宋体" w:eastAsia="宋体" w:cs="宋体"/>
                <w:b/>
                <w:bCs/>
                <w:szCs w:val="21"/>
              </w:rPr>
              <w:t>（二）评分依据：</w:t>
            </w:r>
          </w:p>
          <w:p w14:paraId="21CF70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1.提供著作权登记证书复印件或扫描件；</w:t>
            </w:r>
          </w:p>
          <w:p w14:paraId="3C57645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2.购买或租赁的著作权需同时提供提供著作权登记证书（著作权人需为出售/出租方）、购买合同或租赁合同复印件或扫描件（体现内容页、签字盖章页、签订时间页）、购买发票或租赁发票；</w:t>
            </w:r>
          </w:p>
          <w:p w14:paraId="52DFAC4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以上</w:t>
            </w:r>
            <w:r>
              <w:rPr>
                <w:rFonts w:hint="eastAsia" w:ascii="宋体" w:hAnsi="宋体" w:eastAsia="宋体" w:cs="宋体"/>
                <w:szCs w:val="21"/>
              </w:rPr>
              <w:t>证明文件</w:t>
            </w:r>
            <w:r>
              <w:rPr>
                <w:rFonts w:hint="eastAsia" w:ascii="宋体" w:hAnsi="宋体" w:eastAsia="宋体" w:cs="宋体"/>
                <w:kern w:val="0"/>
                <w:szCs w:val="21"/>
              </w:rPr>
              <w:t>均要求加盖投标人公章，</w:t>
            </w:r>
            <w:r>
              <w:rPr>
                <w:rFonts w:hint="eastAsia" w:ascii="宋体" w:hAnsi="宋体" w:eastAsia="宋体" w:cs="宋体"/>
                <w:szCs w:val="21"/>
              </w:rPr>
              <w:t>未提供或未按要求提供或提供的证书内容不能有效证明或不清晰专家无法辨识的不得分。</w:t>
            </w:r>
          </w:p>
        </w:tc>
        <w:tc>
          <w:tcPr>
            <w:tcW w:w="1187" w:type="dxa"/>
            <w:vAlign w:val="center"/>
          </w:tcPr>
          <w:p w14:paraId="2F2F140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0B9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3" w:hRule="atLeast"/>
          <w:jc w:val="center"/>
        </w:trPr>
        <w:tc>
          <w:tcPr>
            <w:tcW w:w="754" w:type="dxa"/>
            <w:vAlign w:val="center"/>
          </w:tcPr>
          <w:p w14:paraId="182589E2">
            <w:pPr>
              <w:jc w:val="center"/>
              <w:rPr>
                <w:rFonts w:cs="仿宋" w:asciiTheme="minorEastAsia" w:hAnsiTheme="minorEastAsia"/>
                <w:szCs w:val="21"/>
              </w:rPr>
            </w:pPr>
            <w:r>
              <w:rPr>
                <w:rFonts w:hint="eastAsia" w:ascii="宋体" w:hAnsi="宋体"/>
                <w:szCs w:val="21"/>
              </w:rPr>
              <w:t>7</w:t>
            </w:r>
          </w:p>
        </w:tc>
        <w:tc>
          <w:tcPr>
            <w:tcW w:w="1143" w:type="dxa"/>
            <w:vAlign w:val="center"/>
          </w:tcPr>
          <w:p w14:paraId="32C9742B">
            <w:pPr>
              <w:jc w:val="center"/>
              <w:rPr>
                <w:rFonts w:ascii="宋体" w:hAnsi="宋体" w:cs="宋体"/>
                <w:szCs w:val="21"/>
              </w:rPr>
            </w:pPr>
            <w:r>
              <w:rPr>
                <w:rFonts w:hint="eastAsia" w:ascii="宋体" w:hAnsi="宋体"/>
                <w:szCs w:val="21"/>
              </w:rPr>
              <w:t>服务网点</w:t>
            </w:r>
          </w:p>
        </w:tc>
        <w:tc>
          <w:tcPr>
            <w:tcW w:w="709" w:type="dxa"/>
            <w:vAlign w:val="center"/>
          </w:tcPr>
          <w:p w14:paraId="28846E08">
            <w:pPr>
              <w:jc w:val="center"/>
              <w:rPr>
                <w:rFonts w:ascii="宋体" w:hAnsi="宋体" w:cs="宋体"/>
                <w:szCs w:val="21"/>
              </w:rPr>
            </w:pPr>
            <w:r>
              <w:rPr>
                <w:rFonts w:hint="eastAsia" w:ascii="宋体" w:hAnsi="宋体"/>
                <w:szCs w:val="21"/>
              </w:rPr>
              <w:t>3</w:t>
            </w:r>
          </w:p>
        </w:tc>
        <w:tc>
          <w:tcPr>
            <w:tcW w:w="5953" w:type="dxa"/>
            <w:vAlign w:val="center"/>
          </w:tcPr>
          <w:p w14:paraId="364A0A41">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（一）评分内容：</w:t>
            </w:r>
          </w:p>
          <w:p w14:paraId="782DB8CC">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投标人承诺中标后提供本地经营（服务）网点的，得3分。</w:t>
            </w:r>
          </w:p>
          <w:p w14:paraId="7B077DBD">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491C98E6">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要求提供承诺函（格式自拟）作为得分依据，未提供承诺函或承诺内容不满足要求不得分。</w:t>
            </w:r>
          </w:p>
        </w:tc>
        <w:tc>
          <w:tcPr>
            <w:tcW w:w="1187" w:type="dxa"/>
            <w:vAlign w:val="center"/>
          </w:tcPr>
          <w:p w14:paraId="6CF69E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769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3" w:hRule="atLeast"/>
          <w:jc w:val="center"/>
        </w:trPr>
        <w:tc>
          <w:tcPr>
            <w:tcW w:w="754" w:type="dxa"/>
            <w:vAlign w:val="center"/>
          </w:tcPr>
          <w:p w14:paraId="27F6A73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143" w:type="dxa"/>
            <w:vAlign w:val="center"/>
          </w:tcPr>
          <w:p w14:paraId="28541FCD">
            <w:pPr>
              <w:jc w:val="center"/>
              <w:rPr>
                <w:rFonts w:ascii="宋体" w:hAnsi="宋体" w:cs="宋体"/>
                <w:szCs w:val="21"/>
              </w:rPr>
            </w:pPr>
            <w:r>
              <w:rPr>
                <w:rFonts w:hint="eastAsia" w:ascii="宋体" w:hAnsi="宋体" w:cs="宋体"/>
                <w:szCs w:val="21"/>
              </w:rPr>
              <w:t>诚信评审</w:t>
            </w:r>
          </w:p>
        </w:tc>
        <w:tc>
          <w:tcPr>
            <w:tcW w:w="709" w:type="dxa"/>
            <w:vAlign w:val="center"/>
          </w:tcPr>
          <w:p w14:paraId="76B87F21">
            <w:pPr>
              <w:wordWrap w:val="0"/>
              <w:jc w:val="center"/>
              <w:rPr>
                <w:rFonts w:ascii="宋体" w:hAnsi="宋体" w:cs="宋体"/>
                <w:szCs w:val="21"/>
              </w:rPr>
            </w:pPr>
            <w:r>
              <w:rPr>
                <w:rFonts w:ascii="宋体" w:hAnsi="宋体"/>
                <w:szCs w:val="21"/>
              </w:rPr>
              <w:t>5</w:t>
            </w:r>
          </w:p>
        </w:tc>
        <w:tc>
          <w:tcPr>
            <w:tcW w:w="5953" w:type="dxa"/>
            <w:vAlign w:val="center"/>
          </w:tcPr>
          <w:p w14:paraId="43EBB6DE">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8E95981">
            <w:pPr>
              <w:pStyle w:val="18"/>
              <w:spacing w:line="3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B6E47C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9"/>
      <w:bookmarkEnd w:id="20"/>
      <w:bookmarkEnd w:id="21"/>
      <w:bookmarkEnd w:id="22"/>
      <w:bookmarkEnd w:id="23"/>
    </w:p>
    <w:p w14:paraId="66EDEC43">
      <w:pPr>
        <w:pStyle w:val="3"/>
        <w:spacing w:before="0" w:after="0"/>
      </w:pPr>
      <w:bookmarkStart w:id="24" w:name="_Toc135293166"/>
      <w:r>
        <w:rPr>
          <w:rFonts w:hint="eastAsia"/>
        </w:rPr>
        <w:t>1、资质证书有效期</w:t>
      </w:r>
      <w:bookmarkEnd w:id="24"/>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40B31339">
      <w:pPr>
        <w:spacing w:line="360" w:lineRule="auto"/>
        <w:ind w:firstLine="420" w:firstLineChars="200"/>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789A5C">
      <w:pPr>
        <w:widowControl/>
        <w:jc w:val="left"/>
      </w:pPr>
    </w:p>
    <w:p w14:paraId="447A91B9">
      <w:pPr>
        <w:pStyle w:val="2"/>
        <w:spacing w:before="0" w:after="0" w:line="240" w:lineRule="auto"/>
        <w:rPr>
          <w:rFonts w:hint="eastAsia"/>
        </w:rPr>
      </w:pPr>
      <w:bookmarkStart w:id="26" w:name="_Toc135293168"/>
    </w:p>
    <w:p w14:paraId="40FF5529">
      <w:pPr>
        <w:pStyle w:val="2"/>
        <w:rPr>
          <w:rFonts w:hint="eastAsia"/>
        </w:rPr>
      </w:pPr>
    </w:p>
    <w:p w14:paraId="7C81E4D8">
      <w:pPr>
        <w:rPr>
          <w:rFonts w:hint="eastAsia"/>
        </w:rPr>
      </w:pPr>
    </w:p>
    <w:p w14:paraId="00643B93">
      <w:pPr>
        <w:rPr>
          <w:rFonts w:hint="eastAsia"/>
        </w:rPr>
      </w:pPr>
    </w:p>
    <w:p w14:paraId="07DD3E5F">
      <w:pPr>
        <w:rPr>
          <w:rFonts w:hint="eastAsia"/>
        </w:rPr>
      </w:pPr>
    </w:p>
    <w:p w14:paraId="151C0A46">
      <w:pPr>
        <w:rPr>
          <w:rFonts w:hint="eastAsia"/>
        </w:rPr>
      </w:pPr>
    </w:p>
    <w:p w14:paraId="0046550A">
      <w:pPr>
        <w:rPr>
          <w:rFonts w:hint="eastAsia"/>
        </w:rPr>
      </w:pPr>
    </w:p>
    <w:p w14:paraId="069E13E3">
      <w:pPr>
        <w:rPr>
          <w:rFonts w:hint="eastAsia"/>
        </w:rPr>
      </w:pPr>
    </w:p>
    <w:p w14:paraId="3F8B6B7D">
      <w:pPr>
        <w:rPr>
          <w:rFonts w:hint="eastAsia"/>
        </w:rPr>
      </w:pPr>
    </w:p>
    <w:p w14:paraId="45312882">
      <w:pPr>
        <w:rPr>
          <w:rFonts w:hint="eastAsia"/>
        </w:rPr>
      </w:pPr>
    </w:p>
    <w:p w14:paraId="615EF64B">
      <w:pPr>
        <w:rPr>
          <w:rFonts w:hint="eastAsia"/>
        </w:rPr>
      </w:pPr>
    </w:p>
    <w:p w14:paraId="79D5A35A">
      <w:pPr>
        <w:rPr>
          <w:rFonts w:hint="eastAsia"/>
        </w:rPr>
      </w:pPr>
    </w:p>
    <w:p w14:paraId="48D11CAA">
      <w:pPr>
        <w:rPr>
          <w:rFonts w:hint="eastAsia"/>
        </w:rPr>
      </w:pPr>
    </w:p>
    <w:p w14:paraId="67BD7AC6">
      <w:pPr>
        <w:rPr>
          <w:rFonts w:hint="eastAsia"/>
        </w:rPr>
      </w:pPr>
    </w:p>
    <w:p w14:paraId="1A296558">
      <w:pPr>
        <w:rPr>
          <w:rFonts w:hint="eastAsia"/>
        </w:rPr>
      </w:pPr>
    </w:p>
    <w:p w14:paraId="53E5DEA8">
      <w:pPr>
        <w:rPr>
          <w:rFonts w:hint="eastAsia"/>
        </w:rPr>
      </w:pPr>
    </w:p>
    <w:p w14:paraId="49A85A40">
      <w:pPr>
        <w:rPr>
          <w:rFonts w:hint="eastAsia"/>
        </w:rPr>
      </w:pPr>
    </w:p>
    <w:p w14:paraId="080C0FAC">
      <w:pPr>
        <w:rPr>
          <w:rFonts w:hint="eastAsia"/>
        </w:rPr>
      </w:pPr>
    </w:p>
    <w:p w14:paraId="2F5BD07D">
      <w:pPr>
        <w:rPr>
          <w:rFonts w:hint="eastAsia"/>
        </w:rPr>
      </w:pPr>
    </w:p>
    <w:p w14:paraId="50A614D3">
      <w:pPr>
        <w:rPr>
          <w:rFonts w:hint="eastAsia"/>
        </w:rPr>
      </w:pPr>
    </w:p>
    <w:p w14:paraId="22628428">
      <w:pPr>
        <w:rPr>
          <w:rFonts w:hint="eastAsia"/>
        </w:rPr>
      </w:pPr>
    </w:p>
    <w:p w14:paraId="141EC331">
      <w:pPr>
        <w:rPr>
          <w:rFonts w:hint="eastAsia"/>
        </w:rPr>
      </w:pPr>
    </w:p>
    <w:p w14:paraId="0AD75CD2">
      <w:pPr>
        <w:rPr>
          <w:rFonts w:hint="eastAsia"/>
        </w:rPr>
      </w:pPr>
    </w:p>
    <w:p w14:paraId="71E7C821">
      <w:pPr>
        <w:rPr>
          <w:rFonts w:hint="eastAsia"/>
        </w:rPr>
      </w:pPr>
    </w:p>
    <w:p w14:paraId="3ABA1244">
      <w:pPr>
        <w:pStyle w:val="2"/>
      </w:pPr>
      <w:r>
        <w:rPr>
          <w:rFonts w:hint="eastAsia"/>
        </w:rPr>
        <w:t>第五章  投标人须知前附表</w:t>
      </w:r>
      <w:bookmarkEnd w:id="26"/>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pPr>
            <w:r>
              <w:rPr>
                <w:rFonts w:hint="eastAsia"/>
              </w:rPr>
              <w:t>IT综合运维平台及超融合平台维保服务（2025）</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napToGrid w:val="0"/>
                <w:szCs w:val="21"/>
              </w:rPr>
              <w:t>深圳职业技术大学</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2909D1DA">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16842263">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09D75C11">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2A13B36B">
      <w:pPr>
        <w:pStyle w:val="2"/>
      </w:pPr>
      <w:bookmarkStart w:id="27" w:name="_Toc135293330"/>
      <w:r>
        <w:rPr>
          <w:rFonts w:hint="eastAsia"/>
        </w:rPr>
        <w:t>第六章  投标人须知</w:t>
      </w:r>
      <w:bookmarkEnd w:id="27"/>
    </w:p>
    <w:p w14:paraId="1AD97274">
      <w:pPr>
        <w:pStyle w:val="4"/>
        <w:spacing w:before="0" w:after="0"/>
      </w:pPr>
      <w:bookmarkStart w:id="28" w:name="_Toc135293331"/>
      <w:r>
        <w:rPr>
          <w:rFonts w:hint="eastAsia"/>
        </w:rPr>
        <w:t>一、说</w:t>
      </w:r>
      <w:r>
        <w:t xml:space="preserve">  </w:t>
      </w:r>
      <w:r>
        <w:rPr>
          <w:rFonts w:hint="eastAsia"/>
        </w:rPr>
        <w:t>明</w:t>
      </w:r>
      <w:bookmarkEnd w:id="28"/>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9" w:name="q5"/>
      <w:bookmarkEnd w:id="29"/>
    </w:p>
    <w:p w14:paraId="71A536FB">
      <w:pPr>
        <w:pStyle w:val="4"/>
        <w:spacing w:before="0" w:after="0"/>
      </w:pPr>
      <w:bookmarkStart w:id="30" w:name="_Toc135293332"/>
      <w:r>
        <w:rPr>
          <w:rFonts w:hint="eastAsia"/>
        </w:rPr>
        <w:t>二、招标文件说明</w:t>
      </w:r>
      <w:bookmarkEnd w:id="30"/>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31" w:name="q6"/>
      <w:bookmarkEnd w:id="31"/>
      <w:bookmarkStart w:id="32" w:name="_Toc135293333"/>
      <w:r>
        <w:rPr>
          <w:rFonts w:hint="eastAsia"/>
        </w:rPr>
        <w:t>三、投标文件的编写</w:t>
      </w:r>
      <w:bookmarkEnd w:id="32"/>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33" w:name="q7"/>
      <w:bookmarkEnd w:id="33"/>
      <w:bookmarkStart w:id="34" w:name="_Toc135293334"/>
      <w:r>
        <w:rPr>
          <w:rFonts w:hint="eastAsia"/>
        </w:rPr>
        <w:t>四、投标文件的递交</w:t>
      </w:r>
      <w:bookmarkEnd w:id="34"/>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6" w:name="q8"/>
      <w:bookmarkEnd w:id="36"/>
      <w:bookmarkStart w:id="37" w:name="_Toc135293335"/>
      <w:r>
        <w:rPr>
          <w:rFonts w:hint="eastAsia"/>
        </w:rPr>
        <w:t>五、开标和评标</w:t>
      </w:r>
      <w:bookmarkEnd w:id="37"/>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76E40154">
      <w:pPr>
        <w:pStyle w:val="4"/>
        <w:spacing w:before="0" w:after="0"/>
      </w:pPr>
      <w:bookmarkStart w:id="39" w:name="_Toc135293336"/>
      <w:r>
        <w:rPr>
          <w:rFonts w:hint="eastAsia"/>
        </w:rPr>
        <w:t>六、授予合同</w:t>
      </w:r>
      <w:bookmarkEnd w:id="39"/>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2CDA83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2A6005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74170F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DAC04A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D4C4B01">
      <w:pPr>
        <w:spacing w:line="360" w:lineRule="auto"/>
        <w:ind w:firstLine="1044" w:firstLineChars="200"/>
        <w:rPr>
          <w:b/>
          <w:sz w:val="52"/>
          <w:szCs w:val="52"/>
        </w:rPr>
      </w:pPr>
    </w:p>
    <w:p w14:paraId="3B74FDF7">
      <w:pPr>
        <w:pStyle w:val="4"/>
        <w:spacing w:before="0" w:after="0"/>
      </w:pPr>
      <w:bookmarkStart w:id="40" w:name="_Toc135293337"/>
      <w:r>
        <w:rPr>
          <w:rFonts w:hint="eastAsia"/>
        </w:rPr>
        <w:t>七、质疑处理</w:t>
      </w:r>
      <w:bookmarkEnd w:id="40"/>
    </w:p>
    <w:p w14:paraId="0C3E0C68">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41"/>
    </w:p>
    <w:p w14:paraId="4FCA22FE">
      <w:pPr>
        <w:spacing w:line="360" w:lineRule="auto"/>
        <w:rPr>
          <w:rFonts w:asciiTheme="majorEastAsia" w:hAnsiTheme="majorEastAsia" w:eastAsiaTheme="majorEastAsia"/>
          <w:szCs w:val="21"/>
        </w:rPr>
      </w:pPr>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3" w:name="_Toc135293177"/>
      <w:r>
        <w:rPr>
          <w:rFonts w:hint="eastAsia"/>
        </w:rPr>
        <w:t>第七章  投标文件格式</w:t>
      </w:r>
      <w:bookmarkEnd w:id="43"/>
    </w:p>
    <w:p w14:paraId="6A7BFB52">
      <w:pPr>
        <w:jc w:val="center"/>
        <w:rPr>
          <w:b/>
          <w:sz w:val="52"/>
          <w:szCs w:val="52"/>
        </w:rPr>
      </w:pPr>
    </w:p>
    <w:p w14:paraId="73393E35">
      <w:pPr>
        <w:pStyle w:val="4"/>
        <w:spacing w:line="400" w:lineRule="exact"/>
        <w:rPr>
          <w:rFonts w:ascii="仿宋" w:hAnsi="仿宋" w:eastAsia="仿宋"/>
        </w:rPr>
      </w:pPr>
      <w:bookmarkStart w:id="44" w:name="_Toc14934"/>
      <w:bookmarkStart w:id="45" w:name="_Toc44691395"/>
      <w:bookmarkStart w:id="46" w:name="_Toc44691163"/>
      <w:bookmarkStart w:id="47" w:name="_Toc44690431"/>
      <w:bookmarkStart w:id="48" w:name="_Toc11772"/>
      <w:bookmarkStart w:id="49" w:name="_Toc25194"/>
      <w:bookmarkStart w:id="50" w:name="_Toc135293178"/>
      <w:bookmarkStart w:id="51" w:name="_Toc31468"/>
      <w:bookmarkStart w:id="52" w:name="_Toc44690704"/>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3" w:name="_投标文件格式（第一册）"/>
      <w:bookmarkEnd w:id="53"/>
      <w:bookmarkStart w:id="54"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5"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5"/>
    </w:p>
    <w:bookmarkEnd w:id="54"/>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6" w:name="_格式1__投标人资格证明文件"/>
      <w:bookmarkEnd w:id="56"/>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4"/>
      </w:pPr>
    </w:p>
    <w:p w14:paraId="3500744B">
      <w:pPr>
        <w:pStyle w:val="4"/>
        <w:spacing w:line="400" w:lineRule="exact"/>
        <w:rPr>
          <w:rFonts w:ascii="仿宋" w:hAnsi="仿宋" w:eastAsia="仿宋"/>
        </w:rPr>
      </w:pPr>
      <w:bookmarkStart w:id="59" w:name="_Toc135293181"/>
      <w:r>
        <w:rPr>
          <w:rFonts w:hint="eastAsia" w:ascii="仿宋" w:hAnsi="仿宋" w:eastAsia="仿宋"/>
        </w:rPr>
        <w:t>评标指引表</w:t>
      </w:r>
      <w:bookmarkEnd w:id="58"/>
      <w:bookmarkEnd w:id="59"/>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60" w:name="_Toc44690705"/>
      <w:bookmarkStart w:id="61" w:name="_Toc44690432"/>
      <w:bookmarkStart w:id="62" w:name="_Toc44691164"/>
      <w:bookmarkStart w:id="63" w:name="_Toc135293182"/>
      <w:bookmarkStart w:id="64" w:name="_Toc44691396"/>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ascii="仿宋" w:hAnsi="仿宋" w:eastAsia="仿宋"/>
        </w:rPr>
      </w:pPr>
    </w:p>
    <w:p w14:paraId="0DAC9DBC">
      <w:pPr>
        <w:pStyle w:val="4"/>
        <w:spacing w:line="400" w:lineRule="exact"/>
        <w:rPr>
          <w:rFonts w:ascii="仿宋" w:hAnsi="仿宋" w:eastAsia="仿宋"/>
        </w:rPr>
      </w:pPr>
      <w:r>
        <w:rPr>
          <w:rFonts w:hint="eastAsia" w:ascii="仿宋" w:hAnsi="仿宋" w:eastAsia="仿宋"/>
        </w:rPr>
        <w:t>供应商自查表</w:t>
      </w:r>
    </w:p>
    <w:p w14:paraId="7F47F2D5">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1703058D">
            <w:pPr>
              <w:spacing w:line="360" w:lineRule="exact"/>
              <w:jc w:val="center"/>
              <w:rPr>
                <w:rFonts w:ascii="宋体" w:hAnsi="宋体"/>
                <w:szCs w:val="21"/>
              </w:rPr>
            </w:pPr>
            <w:r>
              <w:rPr>
                <w:rFonts w:hint="eastAsia" w:ascii="宋体" w:hAnsi="宋体"/>
                <w:szCs w:val="21"/>
              </w:rPr>
              <w:t>序号</w:t>
            </w:r>
          </w:p>
        </w:tc>
        <w:tc>
          <w:tcPr>
            <w:tcW w:w="6023" w:type="dxa"/>
            <w:vAlign w:val="center"/>
          </w:tcPr>
          <w:p w14:paraId="50CFCB99">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39AD401C">
            <w:pPr>
              <w:spacing w:line="360" w:lineRule="exact"/>
              <w:jc w:val="center"/>
              <w:rPr>
                <w:rFonts w:ascii="宋体" w:hAnsi="宋体"/>
                <w:szCs w:val="21"/>
              </w:rPr>
            </w:pPr>
            <w:r>
              <w:rPr>
                <w:rFonts w:hint="eastAsia" w:ascii="宋体" w:hAnsi="宋体"/>
                <w:szCs w:val="21"/>
              </w:rPr>
              <w:t>自查情况</w:t>
            </w:r>
          </w:p>
          <w:p w14:paraId="6FB44AED">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98CEC79">
            <w:pPr>
              <w:spacing w:line="360" w:lineRule="exact"/>
              <w:jc w:val="center"/>
              <w:rPr>
                <w:rFonts w:ascii="宋体" w:hAnsi="宋体"/>
                <w:szCs w:val="21"/>
              </w:rPr>
            </w:pPr>
            <w:r>
              <w:rPr>
                <w:rFonts w:hint="eastAsia" w:ascii="宋体" w:hAnsi="宋体"/>
                <w:szCs w:val="21"/>
              </w:rPr>
              <w:t>1</w:t>
            </w:r>
          </w:p>
        </w:tc>
        <w:tc>
          <w:tcPr>
            <w:tcW w:w="6023" w:type="dxa"/>
            <w:vAlign w:val="center"/>
          </w:tcPr>
          <w:p w14:paraId="19CBAE41">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5E5FF7">
            <w:pPr>
              <w:spacing w:line="360" w:lineRule="exact"/>
              <w:jc w:val="center"/>
              <w:rPr>
                <w:rFonts w:ascii="宋体" w:hAnsi="宋体"/>
                <w:b/>
                <w:szCs w:val="21"/>
              </w:rPr>
            </w:pPr>
          </w:p>
        </w:tc>
        <w:tc>
          <w:tcPr>
            <w:tcW w:w="924" w:type="dxa"/>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559F8032">
            <w:pPr>
              <w:spacing w:line="360" w:lineRule="exact"/>
              <w:jc w:val="center"/>
              <w:rPr>
                <w:rFonts w:ascii="宋体" w:hAnsi="宋体"/>
                <w:szCs w:val="21"/>
              </w:rPr>
            </w:pPr>
            <w:r>
              <w:rPr>
                <w:rFonts w:hint="eastAsia" w:ascii="宋体" w:hAnsi="宋体"/>
                <w:szCs w:val="21"/>
              </w:rPr>
              <w:t>2</w:t>
            </w:r>
          </w:p>
        </w:tc>
        <w:tc>
          <w:tcPr>
            <w:tcW w:w="6023" w:type="dxa"/>
            <w:vAlign w:val="center"/>
          </w:tcPr>
          <w:p w14:paraId="084F9E60">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2B0DC002">
            <w:pPr>
              <w:spacing w:line="360" w:lineRule="exact"/>
              <w:jc w:val="center"/>
              <w:rPr>
                <w:rFonts w:ascii="宋体" w:hAnsi="宋体"/>
                <w:b/>
                <w:szCs w:val="21"/>
              </w:rPr>
            </w:pPr>
          </w:p>
        </w:tc>
        <w:tc>
          <w:tcPr>
            <w:tcW w:w="924" w:type="dxa"/>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27DEE6A8">
            <w:pPr>
              <w:spacing w:line="360" w:lineRule="exact"/>
              <w:jc w:val="center"/>
              <w:rPr>
                <w:rFonts w:ascii="宋体" w:hAnsi="宋体"/>
                <w:szCs w:val="21"/>
              </w:rPr>
            </w:pPr>
            <w:r>
              <w:rPr>
                <w:rFonts w:hint="eastAsia" w:ascii="宋体" w:hAnsi="宋体"/>
                <w:szCs w:val="21"/>
              </w:rPr>
              <w:t>3</w:t>
            </w:r>
          </w:p>
        </w:tc>
        <w:tc>
          <w:tcPr>
            <w:tcW w:w="6023" w:type="dxa"/>
            <w:vAlign w:val="center"/>
          </w:tcPr>
          <w:p w14:paraId="25D02EB4">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30CE9E4C">
            <w:pPr>
              <w:spacing w:line="360" w:lineRule="exact"/>
              <w:jc w:val="center"/>
              <w:rPr>
                <w:rFonts w:ascii="宋体" w:hAnsi="宋体"/>
                <w:b/>
                <w:szCs w:val="21"/>
              </w:rPr>
            </w:pPr>
          </w:p>
        </w:tc>
        <w:tc>
          <w:tcPr>
            <w:tcW w:w="924" w:type="dxa"/>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313F1282">
            <w:pPr>
              <w:spacing w:line="360" w:lineRule="exact"/>
              <w:jc w:val="center"/>
              <w:rPr>
                <w:rFonts w:ascii="宋体" w:hAnsi="宋体"/>
                <w:szCs w:val="21"/>
              </w:rPr>
            </w:pPr>
            <w:r>
              <w:rPr>
                <w:rFonts w:hint="eastAsia" w:ascii="宋体" w:hAnsi="宋体"/>
                <w:szCs w:val="21"/>
              </w:rPr>
              <w:t>4</w:t>
            </w:r>
          </w:p>
        </w:tc>
        <w:tc>
          <w:tcPr>
            <w:tcW w:w="6023" w:type="dxa"/>
            <w:vAlign w:val="center"/>
          </w:tcPr>
          <w:p w14:paraId="6CACEB33">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57689211">
            <w:pPr>
              <w:spacing w:line="360" w:lineRule="exact"/>
              <w:jc w:val="center"/>
              <w:rPr>
                <w:rFonts w:ascii="宋体" w:hAnsi="宋体"/>
                <w:b/>
                <w:szCs w:val="21"/>
              </w:rPr>
            </w:pPr>
          </w:p>
        </w:tc>
        <w:tc>
          <w:tcPr>
            <w:tcW w:w="924" w:type="dxa"/>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06B194B">
            <w:pPr>
              <w:spacing w:line="360" w:lineRule="exact"/>
              <w:jc w:val="center"/>
              <w:rPr>
                <w:rFonts w:ascii="宋体" w:hAnsi="宋体"/>
                <w:szCs w:val="21"/>
              </w:rPr>
            </w:pPr>
            <w:r>
              <w:rPr>
                <w:rFonts w:hint="eastAsia" w:ascii="宋体" w:hAnsi="宋体"/>
                <w:szCs w:val="21"/>
              </w:rPr>
              <w:t>5</w:t>
            </w:r>
          </w:p>
        </w:tc>
        <w:tc>
          <w:tcPr>
            <w:tcW w:w="6023" w:type="dxa"/>
            <w:vAlign w:val="center"/>
          </w:tcPr>
          <w:p w14:paraId="52E0852B">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211BAFD8">
            <w:pPr>
              <w:spacing w:line="360" w:lineRule="exact"/>
              <w:jc w:val="center"/>
              <w:rPr>
                <w:rFonts w:ascii="宋体" w:hAnsi="宋体"/>
                <w:b/>
                <w:szCs w:val="21"/>
              </w:rPr>
            </w:pPr>
          </w:p>
        </w:tc>
        <w:tc>
          <w:tcPr>
            <w:tcW w:w="924" w:type="dxa"/>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263778EE">
            <w:pPr>
              <w:spacing w:line="360" w:lineRule="exact"/>
              <w:jc w:val="center"/>
              <w:rPr>
                <w:rFonts w:ascii="宋体" w:hAnsi="宋体"/>
                <w:szCs w:val="21"/>
              </w:rPr>
            </w:pPr>
            <w:r>
              <w:rPr>
                <w:rFonts w:hint="eastAsia" w:ascii="宋体" w:hAnsi="宋体"/>
                <w:szCs w:val="21"/>
              </w:rPr>
              <w:t>6</w:t>
            </w:r>
          </w:p>
        </w:tc>
        <w:tc>
          <w:tcPr>
            <w:tcW w:w="6023" w:type="dxa"/>
            <w:vAlign w:val="center"/>
          </w:tcPr>
          <w:p w14:paraId="400C169F">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94F5620">
            <w:pPr>
              <w:spacing w:line="360" w:lineRule="exact"/>
              <w:jc w:val="center"/>
              <w:rPr>
                <w:rFonts w:ascii="宋体" w:hAnsi="宋体"/>
                <w:b/>
                <w:szCs w:val="21"/>
              </w:rPr>
            </w:pPr>
          </w:p>
        </w:tc>
        <w:tc>
          <w:tcPr>
            <w:tcW w:w="924" w:type="dxa"/>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6EF755ED">
            <w:pPr>
              <w:spacing w:line="360" w:lineRule="exact"/>
              <w:jc w:val="center"/>
              <w:rPr>
                <w:rFonts w:ascii="宋体" w:hAnsi="宋体"/>
                <w:szCs w:val="21"/>
              </w:rPr>
            </w:pPr>
            <w:r>
              <w:rPr>
                <w:rFonts w:hint="eastAsia" w:ascii="宋体" w:hAnsi="宋体"/>
                <w:szCs w:val="21"/>
              </w:rPr>
              <w:t>7</w:t>
            </w:r>
          </w:p>
        </w:tc>
        <w:tc>
          <w:tcPr>
            <w:tcW w:w="6023" w:type="dxa"/>
            <w:vAlign w:val="center"/>
          </w:tcPr>
          <w:p w14:paraId="7FA69194">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1B18B763">
            <w:pPr>
              <w:spacing w:line="360" w:lineRule="exact"/>
              <w:jc w:val="center"/>
              <w:rPr>
                <w:rFonts w:ascii="宋体" w:hAnsi="宋体"/>
                <w:b/>
                <w:szCs w:val="21"/>
              </w:rPr>
            </w:pPr>
          </w:p>
        </w:tc>
        <w:tc>
          <w:tcPr>
            <w:tcW w:w="924" w:type="dxa"/>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0F8B63CB">
            <w:pPr>
              <w:spacing w:line="360" w:lineRule="exact"/>
              <w:jc w:val="center"/>
              <w:rPr>
                <w:rFonts w:ascii="宋体" w:hAnsi="宋体"/>
                <w:szCs w:val="21"/>
              </w:rPr>
            </w:pPr>
            <w:r>
              <w:rPr>
                <w:rFonts w:hint="eastAsia" w:ascii="宋体" w:hAnsi="宋体"/>
                <w:szCs w:val="21"/>
              </w:rPr>
              <w:t>8</w:t>
            </w:r>
          </w:p>
        </w:tc>
        <w:tc>
          <w:tcPr>
            <w:tcW w:w="6023" w:type="dxa"/>
            <w:vAlign w:val="center"/>
          </w:tcPr>
          <w:p w14:paraId="4788799C">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475013D8">
            <w:pPr>
              <w:spacing w:line="360" w:lineRule="exact"/>
              <w:jc w:val="center"/>
              <w:rPr>
                <w:rFonts w:ascii="宋体" w:hAnsi="宋体"/>
                <w:b/>
                <w:szCs w:val="21"/>
              </w:rPr>
            </w:pPr>
          </w:p>
        </w:tc>
        <w:tc>
          <w:tcPr>
            <w:tcW w:w="924" w:type="dxa"/>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2211E3C8">
            <w:pPr>
              <w:spacing w:line="360" w:lineRule="exact"/>
              <w:jc w:val="center"/>
              <w:rPr>
                <w:rFonts w:ascii="宋体" w:hAnsi="宋体"/>
                <w:szCs w:val="21"/>
              </w:rPr>
            </w:pPr>
            <w:r>
              <w:rPr>
                <w:rFonts w:hint="eastAsia" w:ascii="宋体" w:hAnsi="宋体"/>
                <w:szCs w:val="21"/>
              </w:rPr>
              <w:t>9</w:t>
            </w:r>
          </w:p>
        </w:tc>
        <w:tc>
          <w:tcPr>
            <w:tcW w:w="6023" w:type="dxa"/>
            <w:vAlign w:val="center"/>
          </w:tcPr>
          <w:p w14:paraId="6A9B132A">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45613EA5">
            <w:pPr>
              <w:spacing w:line="360" w:lineRule="exact"/>
              <w:jc w:val="center"/>
              <w:rPr>
                <w:rFonts w:ascii="宋体" w:hAnsi="宋体"/>
                <w:b/>
                <w:szCs w:val="21"/>
              </w:rPr>
            </w:pPr>
          </w:p>
        </w:tc>
        <w:tc>
          <w:tcPr>
            <w:tcW w:w="924" w:type="dxa"/>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0EE7E6">
            <w:pPr>
              <w:spacing w:line="360" w:lineRule="exact"/>
              <w:jc w:val="center"/>
              <w:rPr>
                <w:rFonts w:ascii="宋体" w:hAnsi="宋体"/>
                <w:szCs w:val="21"/>
              </w:rPr>
            </w:pPr>
            <w:r>
              <w:rPr>
                <w:rFonts w:hint="eastAsia" w:ascii="宋体" w:hAnsi="宋体"/>
                <w:szCs w:val="21"/>
              </w:rPr>
              <w:t>10</w:t>
            </w:r>
          </w:p>
        </w:tc>
        <w:tc>
          <w:tcPr>
            <w:tcW w:w="6023" w:type="dxa"/>
            <w:vAlign w:val="center"/>
          </w:tcPr>
          <w:p w14:paraId="6C0398AD">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7AA4E48C">
            <w:pPr>
              <w:spacing w:line="360" w:lineRule="exact"/>
              <w:jc w:val="center"/>
              <w:rPr>
                <w:rFonts w:ascii="宋体" w:hAnsi="宋体"/>
                <w:b/>
                <w:szCs w:val="21"/>
              </w:rPr>
            </w:pPr>
          </w:p>
        </w:tc>
        <w:tc>
          <w:tcPr>
            <w:tcW w:w="924" w:type="dxa"/>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210DC9B">
            <w:pPr>
              <w:spacing w:line="360" w:lineRule="exact"/>
              <w:jc w:val="center"/>
              <w:rPr>
                <w:rFonts w:ascii="宋体" w:hAnsi="宋体"/>
                <w:szCs w:val="21"/>
              </w:rPr>
            </w:pPr>
            <w:r>
              <w:rPr>
                <w:rFonts w:hint="eastAsia" w:ascii="宋体" w:hAnsi="宋体"/>
                <w:szCs w:val="21"/>
              </w:rPr>
              <w:t>11</w:t>
            </w:r>
          </w:p>
        </w:tc>
        <w:tc>
          <w:tcPr>
            <w:tcW w:w="6023" w:type="dxa"/>
            <w:vAlign w:val="center"/>
          </w:tcPr>
          <w:p w14:paraId="36005607">
            <w:pPr>
              <w:jc w:val="left"/>
              <w:rPr>
                <w:rFonts w:ascii="宋体" w:hAnsi="宋体" w:cs="宋体"/>
                <w:szCs w:val="21"/>
              </w:rPr>
            </w:pPr>
            <w:r>
              <w:rPr>
                <w:rFonts w:hint="eastAsia" w:ascii="宋体" w:hAnsi="宋体"/>
                <w:szCs w:val="21"/>
              </w:rPr>
              <w:t>投标人之间约定中标人。</w:t>
            </w:r>
          </w:p>
        </w:tc>
        <w:tc>
          <w:tcPr>
            <w:tcW w:w="2921" w:type="dxa"/>
            <w:vAlign w:val="center"/>
          </w:tcPr>
          <w:p w14:paraId="57E6C6CD">
            <w:pPr>
              <w:spacing w:line="360" w:lineRule="exact"/>
              <w:jc w:val="center"/>
              <w:rPr>
                <w:rFonts w:ascii="宋体" w:hAnsi="宋体"/>
                <w:b/>
                <w:szCs w:val="21"/>
              </w:rPr>
            </w:pPr>
          </w:p>
        </w:tc>
        <w:tc>
          <w:tcPr>
            <w:tcW w:w="924" w:type="dxa"/>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D6D5745">
            <w:pPr>
              <w:spacing w:line="360" w:lineRule="exact"/>
              <w:jc w:val="center"/>
              <w:rPr>
                <w:rFonts w:ascii="宋体" w:hAnsi="宋体"/>
                <w:szCs w:val="21"/>
              </w:rPr>
            </w:pPr>
            <w:r>
              <w:rPr>
                <w:rFonts w:hint="eastAsia" w:ascii="宋体" w:hAnsi="宋体"/>
                <w:szCs w:val="21"/>
              </w:rPr>
              <w:t>12</w:t>
            </w:r>
          </w:p>
        </w:tc>
        <w:tc>
          <w:tcPr>
            <w:tcW w:w="6023" w:type="dxa"/>
            <w:vAlign w:val="center"/>
          </w:tcPr>
          <w:p w14:paraId="176885B5">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2920990">
            <w:pPr>
              <w:spacing w:line="360" w:lineRule="exact"/>
              <w:jc w:val="center"/>
              <w:rPr>
                <w:rFonts w:ascii="宋体" w:hAnsi="宋体"/>
                <w:b/>
                <w:szCs w:val="21"/>
              </w:rPr>
            </w:pPr>
          </w:p>
        </w:tc>
        <w:tc>
          <w:tcPr>
            <w:tcW w:w="924" w:type="dxa"/>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CC2570">
            <w:pPr>
              <w:spacing w:line="360" w:lineRule="exact"/>
              <w:jc w:val="center"/>
              <w:rPr>
                <w:rFonts w:ascii="宋体" w:hAnsi="宋体"/>
                <w:szCs w:val="21"/>
              </w:rPr>
            </w:pPr>
            <w:r>
              <w:rPr>
                <w:rFonts w:hint="eastAsia" w:ascii="宋体" w:hAnsi="宋体"/>
                <w:szCs w:val="21"/>
              </w:rPr>
              <w:t>13</w:t>
            </w:r>
          </w:p>
        </w:tc>
        <w:tc>
          <w:tcPr>
            <w:tcW w:w="6023" w:type="dxa"/>
            <w:vAlign w:val="center"/>
          </w:tcPr>
          <w:p w14:paraId="447EDCA3">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63769AAB">
            <w:pPr>
              <w:spacing w:line="360" w:lineRule="exact"/>
              <w:jc w:val="center"/>
              <w:rPr>
                <w:rFonts w:ascii="宋体" w:hAnsi="宋体"/>
                <w:b/>
                <w:szCs w:val="21"/>
              </w:rPr>
            </w:pPr>
          </w:p>
        </w:tc>
        <w:tc>
          <w:tcPr>
            <w:tcW w:w="924" w:type="dxa"/>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64044D9">
            <w:pPr>
              <w:spacing w:line="360" w:lineRule="exact"/>
              <w:jc w:val="center"/>
              <w:rPr>
                <w:rFonts w:ascii="宋体" w:hAnsi="宋体"/>
                <w:szCs w:val="21"/>
              </w:rPr>
            </w:pPr>
            <w:r>
              <w:rPr>
                <w:rFonts w:hint="eastAsia" w:ascii="宋体" w:hAnsi="宋体"/>
                <w:szCs w:val="21"/>
              </w:rPr>
              <w:t>14</w:t>
            </w:r>
          </w:p>
        </w:tc>
        <w:tc>
          <w:tcPr>
            <w:tcW w:w="6023" w:type="dxa"/>
            <w:vAlign w:val="center"/>
          </w:tcPr>
          <w:p w14:paraId="1B73D6D1">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7C57C23A">
            <w:pPr>
              <w:spacing w:line="360" w:lineRule="exact"/>
              <w:jc w:val="center"/>
              <w:rPr>
                <w:rFonts w:ascii="宋体" w:hAnsi="宋体"/>
                <w:b/>
                <w:szCs w:val="21"/>
              </w:rPr>
            </w:pPr>
          </w:p>
        </w:tc>
        <w:tc>
          <w:tcPr>
            <w:tcW w:w="924" w:type="dxa"/>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40A8ECF">
            <w:pPr>
              <w:spacing w:line="360" w:lineRule="exact"/>
              <w:jc w:val="center"/>
              <w:rPr>
                <w:rFonts w:ascii="宋体" w:hAnsi="宋体"/>
                <w:szCs w:val="21"/>
              </w:rPr>
            </w:pPr>
            <w:r>
              <w:rPr>
                <w:rFonts w:hint="eastAsia" w:ascii="宋体" w:hAnsi="宋体"/>
                <w:szCs w:val="21"/>
              </w:rPr>
              <w:t>15</w:t>
            </w:r>
          </w:p>
        </w:tc>
        <w:tc>
          <w:tcPr>
            <w:tcW w:w="6023" w:type="dxa"/>
            <w:vAlign w:val="center"/>
          </w:tcPr>
          <w:p w14:paraId="22EDA543">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1993F918">
            <w:pPr>
              <w:spacing w:line="360" w:lineRule="exact"/>
              <w:jc w:val="center"/>
              <w:rPr>
                <w:rFonts w:ascii="宋体" w:hAnsi="宋体"/>
                <w:b/>
                <w:szCs w:val="21"/>
              </w:rPr>
            </w:pPr>
          </w:p>
        </w:tc>
        <w:tc>
          <w:tcPr>
            <w:tcW w:w="924" w:type="dxa"/>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AABF1D9">
            <w:pPr>
              <w:spacing w:line="360" w:lineRule="exact"/>
              <w:jc w:val="center"/>
              <w:rPr>
                <w:rFonts w:ascii="宋体" w:hAnsi="宋体"/>
                <w:szCs w:val="21"/>
              </w:rPr>
            </w:pPr>
            <w:r>
              <w:rPr>
                <w:rFonts w:hint="eastAsia" w:ascii="宋体" w:hAnsi="宋体"/>
                <w:szCs w:val="21"/>
              </w:rPr>
              <w:t>16</w:t>
            </w:r>
          </w:p>
        </w:tc>
        <w:tc>
          <w:tcPr>
            <w:tcW w:w="6023" w:type="dxa"/>
            <w:vAlign w:val="center"/>
          </w:tcPr>
          <w:p w14:paraId="213375E7">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4EE9CDB5">
            <w:pPr>
              <w:spacing w:line="360" w:lineRule="exact"/>
              <w:jc w:val="center"/>
              <w:rPr>
                <w:rFonts w:ascii="宋体" w:hAnsi="宋体"/>
                <w:b/>
                <w:szCs w:val="21"/>
              </w:rPr>
            </w:pPr>
          </w:p>
        </w:tc>
        <w:tc>
          <w:tcPr>
            <w:tcW w:w="924" w:type="dxa"/>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4C3F5369">
            <w:pPr>
              <w:spacing w:line="360" w:lineRule="exact"/>
              <w:jc w:val="center"/>
              <w:rPr>
                <w:rFonts w:ascii="宋体" w:hAnsi="宋体"/>
                <w:szCs w:val="21"/>
              </w:rPr>
            </w:pPr>
            <w:r>
              <w:rPr>
                <w:rFonts w:hint="eastAsia" w:ascii="宋体" w:hAnsi="宋体"/>
                <w:szCs w:val="21"/>
              </w:rPr>
              <w:t>17</w:t>
            </w:r>
          </w:p>
        </w:tc>
        <w:tc>
          <w:tcPr>
            <w:tcW w:w="6023" w:type="dxa"/>
            <w:vAlign w:val="center"/>
          </w:tcPr>
          <w:p w14:paraId="0E0191DC">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6DCBF9F">
            <w:pPr>
              <w:spacing w:line="360" w:lineRule="exact"/>
              <w:jc w:val="center"/>
              <w:rPr>
                <w:rFonts w:ascii="宋体" w:hAnsi="宋体"/>
                <w:b/>
                <w:szCs w:val="21"/>
              </w:rPr>
            </w:pPr>
          </w:p>
        </w:tc>
        <w:tc>
          <w:tcPr>
            <w:tcW w:w="924" w:type="dxa"/>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0926A33">
            <w:pPr>
              <w:spacing w:line="360" w:lineRule="exact"/>
              <w:jc w:val="center"/>
              <w:rPr>
                <w:rFonts w:ascii="宋体" w:hAnsi="宋体"/>
                <w:szCs w:val="21"/>
              </w:rPr>
            </w:pPr>
            <w:r>
              <w:rPr>
                <w:rFonts w:hint="eastAsia" w:ascii="宋体" w:hAnsi="宋体"/>
                <w:szCs w:val="21"/>
              </w:rPr>
              <w:t>18</w:t>
            </w:r>
          </w:p>
        </w:tc>
        <w:tc>
          <w:tcPr>
            <w:tcW w:w="6023" w:type="dxa"/>
            <w:vAlign w:val="center"/>
          </w:tcPr>
          <w:p w14:paraId="33C2119D">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3072616C">
            <w:pPr>
              <w:spacing w:line="360" w:lineRule="exact"/>
              <w:jc w:val="center"/>
              <w:rPr>
                <w:rFonts w:ascii="宋体" w:hAnsi="宋体"/>
                <w:b/>
                <w:szCs w:val="21"/>
              </w:rPr>
            </w:pPr>
          </w:p>
        </w:tc>
        <w:tc>
          <w:tcPr>
            <w:tcW w:w="924" w:type="dxa"/>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411A986D">
            <w:pPr>
              <w:spacing w:line="360" w:lineRule="exact"/>
              <w:jc w:val="center"/>
              <w:rPr>
                <w:rFonts w:ascii="宋体" w:hAnsi="宋体"/>
                <w:szCs w:val="21"/>
              </w:rPr>
            </w:pPr>
            <w:r>
              <w:rPr>
                <w:rFonts w:hint="eastAsia" w:ascii="宋体" w:hAnsi="宋体"/>
                <w:szCs w:val="21"/>
              </w:rPr>
              <w:t>19</w:t>
            </w:r>
          </w:p>
        </w:tc>
        <w:tc>
          <w:tcPr>
            <w:tcW w:w="6023" w:type="dxa"/>
            <w:vAlign w:val="center"/>
          </w:tcPr>
          <w:p w14:paraId="4745A0D1">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1D6FDD0E">
            <w:pPr>
              <w:spacing w:line="360" w:lineRule="exact"/>
              <w:jc w:val="center"/>
              <w:rPr>
                <w:rFonts w:ascii="宋体" w:hAnsi="宋体"/>
                <w:b/>
                <w:szCs w:val="21"/>
              </w:rPr>
            </w:pPr>
          </w:p>
        </w:tc>
        <w:tc>
          <w:tcPr>
            <w:tcW w:w="924" w:type="dxa"/>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703208A2">
            <w:pPr>
              <w:spacing w:line="360" w:lineRule="exact"/>
              <w:jc w:val="center"/>
              <w:rPr>
                <w:rFonts w:ascii="宋体" w:hAnsi="宋体"/>
                <w:szCs w:val="21"/>
              </w:rPr>
            </w:pPr>
            <w:r>
              <w:rPr>
                <w:rFonts w:hint="eastAsia" w:ascii="宋体" w:hAnsi="宋体"/>
                <w:szCs w:val="21"/>
              </w:rPr>
              <w:t>20</w:t>
            </w:r>
          </w:p>
        </w:tc>
        <w:tc>
          <w:tcPr>
            <w:tcW w:w="6023" w:type="dxa"/>
            <w:vAlign w:val="center"/>
          </w:tcPr>
          <w:p w14:paraId="39003943">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1CA705D">
            <w:pPr>
              <w:spacing w:line="360" w:lineRule="exact"/>
              <w:jc w:val="center"/>
              <w:rPr>
                <w:rFonts w:ascii="宋体" w:hAnsi="宋体"/>
                <w:b/>
                <w:szCs w:val="21"/>
              </w:rPr>
            </w:pPr>
          </w:p>
        </w:tc>
        <w:tc>
          <w:tcPr>
            <w:tcW w:w="924" w:type="dxa"/>
            <w:vAlign w:val="center"/>
          </w:tcPr>
          <w:p w14:paraId="0474A63D">
            <w:pPr>
              <w:spacing w:line="360" w:lineRule="exact"/>
              <w:jc w:val="center"/>
              <w:rPr>
                <w:rFonts w:ascii="宋体" w:hAnsi="宋体"/>
                <w:b/>
                <w:szCs w:val="21"/>
              </w:rPr>
            </w:pPr>
          </w:p>
        </w:tc>
      </w:tr>
    </w:tbl>
    <w:p w14:paraId="2BB00BDC">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4A4FCECC">
      <w:pPr>
        <w:pStyle w:val="4"/>
        <w:spacing w:line="400" w:lineRule="exact"/>
        <w:rPr>
          <w:rFonts w:ascii="仿宋" w:hAnsi="仿宋" w:eastAsia="仿宋"/>
        </w:rPr>
      </w:pPr>
    </w:p>
    <w:p w14:paraId="7D17DD37">
      <w:pPr>
        <w:pStyle w:val="4"/>
        <w:spacing w:line="400" w:lineRule="exact"/>
        <w:rPr>
          <w:rFonts w:ascii="仿宋" w:hAnsi="仿宋" w:eastAsia="仿宋"/>
        </w:rPr>
      </w:pPr>
      <w:r>
        <w:rPr>
          <w:rFonts w:hint="eastAsia" w:ascii="仿宋" w:hAnsi="仿宋" w:eastAsia="仿宋"/>
        </w:rPr>
        <w:t>供应商基本情况表</w:t>
      </w:r>
    </w:p>
    <w:p w14:paraId="7CFE18BD">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11E84207">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8C7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7A58F55D">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6C43291">
            <w:pPr>
              <w:jc w:val="center"/>
              <w:rPr>
                <w:rFonts w:ascii="宋体" w:hAnsi="宋体" w:cs="宋体"/>
                <w:szCs w:val="21"/>
              </w:rPr>
            </w:pPr>
          </w:p>
        </w:tc>
        <w:tc>
          <w:tcPr>
            <w:tcW w:w="1990" w:type="dxa"/>
            <w:gridSpan w:val="2"/>
          </w:tcPr>
          <w:p w14:paraId="4F8CB7C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95EBEE9">
            <w:pPr>
              <w:jc w:val="center"/>
              <w:rPr>
                <w:rFonts w:ascii="宋体" w:hAnsi="宋体" w:cs="宋体"/>
                <w:szCs w:val="21"/>
              </w:rPr>
            </w:pPr>
          </w:p>
        </w:tc>
      </w:tr>
      <w:tr w14:paraId="51DE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6E80879C">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B3D8F2C">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7DD403B">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7B5EFD13">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18BE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F7FD91F">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033A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87C175B">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58091FDC">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6570AE4">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1ED3994">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026F851B">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36B8C8F0">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5AA18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7A4BC7">
            <w:pPr>
              <w:spacing w:line="252" w:lineRule="auto"/>
              <w:rPr>
                <w:rFonts w:ascii="宋体" w:hAnsi="宋体" w:cs="宋体"/>
                <w:szCs w:val="21"/>
              </w:rPr>
            </w:pPr>
          </w:p>
          <w:p w14:paraId="6CD6A18E">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042C74B">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1D62D81">
            <w:pPr>
              <w:jc w:val="center"/>
              <w:rPr>
                <w:rFonts w:ascii="宋体" w:hAnsi="宋体" w:cs="宋体"/>
                <w:szCs w:val="21"/>
              </w:rPr>
            </w:pPr>
          </w:p>
        </w:tc>
        <w:tc>
          <w:tcPr>
            <w:tcW w:w="1990" w:type="dxa"/>
            <w:gridSpan w:val="2"/>
            <w:vAlign w:val="center"/>
          </w:tcPr>
          <w:p w14:paraId="6AF57036">
            <w:pPr>
              <w:jc w:val="center"/>
              <w:rPr>
                <w:rFonts w:ascii="宋体" w:hAnsi="宋体" w:cs="宋体"/>
                <w:szCs w:val="21"/>
              </w:rPr>
            </w:pPr>
          </w:p>
        </w:tc>
        <w:tc>
          <w:tcPr>
            <w:tcW w:w="1499" w:type="dxa"/>
            <w:vAlign w:val="center"/>
          </w:tcPr>
          <w:p w14:paraId="06C06CFA">
            <w:pPr>
              <w:jc w:val="center"/>
              <w:rPr>
                <w:rFonts w:ascii="宋体" w:hAnsi="宋体" w:cs="宋体"/>
                <w:szCs w:val="21"/>
              </w:rPr>
            </w:pPr>
          </w:p>
        </w:tc>
        <w:tc>
          <w:tcPr>
            <w:tcW w:w="1489" w:type="dxa"/>
            <w:vAlign w:val="center"/>
          </w:tcPr>
          <w:p w14:paraId="50CD7C66">
            <w:pPr>
              <w:jc w:val="center"/>
              <w:rPr>
                <w:rFonts w:ascii="宋体" w:hAnsi="宋体" w:cs="宋体"/>
                <w:szCs w:val="21"/>
              </w:rPr>
            </w:pPr>
          </w:p>
        </w:tc>
      </w:tr>
      <w:tr w14:paraId="7FA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9F57786">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9AF0B99">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3E91EDAE">
            <w:pPr>
              <w:jc w:val="center"/>
              <w:rPr>
                <w:rFonts w:ascii="宋体" w:hAnsi="宋体" w:cs="宋体"/>
                <w:szCs w:val="21"/>
              </w:rPr>
            </w:pPr>
          </w:p>
        </w:tc>
        <w:tc>
          <w:tcPr>
            <w:tcW w:w="1990" w:type="dxa"/>
            <w:gridSpan w:val="2"/>
            <w:vAlign w:val="center"/>
          </w:tcPr>
          <w:p w14:paraId="2036BE49">
            <w:pPr>
              <w:jc w:val="center"/>
              <w:rPr>
                <w:rFonts w:ascii="宋体" w:hAnsi="宋体" w:cs="宋体"/>
                <w:szCs w:val="21"/>
              </w:rPr>
            </w:pPr>
          </w:p>
        </w:tc>
        <w:tc>
          <w:tcPr>
            <w:tcW w:w="1499" w:type="dxa"/>
            <w:vAlign w:val="center"/>
          </w:tcPr>
          <w:p w14:paraId="5CB233A1">
            <w:pPr>
              <w:jc w:val="center"/>
              <w:rPr>
                <w:rFonts w:ascii="宋体" w:hAnsi="宋体" w:cs="宋体"/>
                <w:szCs w:val="21"/>
              </w:rPr>
            </w:pPr>
          </w:p>
        </w:tc>
        <w:tc>
          <w:tcPr>
            <w:tcW w:w="1489" w:type="dxa"/>
            <w:vAlign w:val="center"/>
          </w:tcPr>
          <w:p w14:paraId="6ED66DB4">
            <w:pPr>
              <w:jc w:val="center"/>
              <w:rPr>
                <w:rFonts w:ascii="宋体" w:hAnsi="宋体" w:cs="宋体"/>
                <w:szCs w:val="21"/>
              </w:rPr>
            </w:pPr>
          </w:p>
        </w:tc>
      </w:tr>
      <w:tr w14:paraId="0A04C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F927639">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18A2928F">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10D2362">
            <w:pPr>
              <w:jc w:val="center"/>
              <w:rPr>
                <w:rFonts w:ascii="宋体" w:hAnsi="宋体" w:cs="宋体"/>
                <w:szCs w:val="21"/>
              </w:rPr>
            </w:pPr>
          </w:p>
        </w:tc>
        <w:tc>
          <w:tcPr>
            <w:tcW w:w="1990" w:type="dxa"/>
            <w:gridSpan w:val="2"/>
            <w:vAlign w:val="center"/>
          </w:tcPr>
          <w:p w14:paraId="123E1D0C">
            <w:pPr>
              <w:jc w:val="center"/>
              <w:rPr>
                <w:rFonts w:ascii="宋体" w:hAnsi="宋体" w:cs="宋体"/>
                <w:szCs w:val="21"/>
              </w:rPr>
            </w:pPr>
          </w:p>
        </w:tc>
        <w:tc>
          <w:tcPr>
            <w:tcW w:w="1499" w:type="dxa"/>
            <w:vAlign w:val="center"/>
          </w:tcPr>
          <w:p w14:paraId="091EE7A7">
            <w:pPr>
              <w:jc w:val="center"/>
              <w:rPr>
                <w:rFonts w:ascii="宋体" w:hAnsi="宋体" w:cs="宋体"/>
                <w:szCs w:val="21"/>
              </w:rPr>
            </w:pPr>
          </w:p>
        </w:tc>
        <w:tc>
          <w:tcPr>
            <w:tcW w:w="1489" w:type="dxa"/>
            <w:vAlign w:val="center"/>
          </w:tcPr>
          <w:p w14:paraId="44B8F1DA">
            <w:pPr>
              <w:jc w:val="center"/>
              <w:rPr>
                <w:rFonts w:ascii="宋体" w:hAnsi="宋体" w:cs="宋体"/>
                <w:szCs w:val="21"/>
              </w:rPr>
            </w:pPr>
          </w:p>
        </w:tc>
      </w:tr>
      <w:tr w14:paraId="11C6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37997CB">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64EF55DE">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420EBC26">
            <w:pPr>
              <w:jc w:val="center"/>
              <w:rPr>
                <w:rFonts w:ascii="宋体" w:hAnsi="宋体" w:cs="宋体"/>
                <w:szCs w:val="21"/>
              </w:rPr>
            </w:pPr>
          </w:p>
        </w:tc>
        <w:tc>
          <w:tcPr>
            <w:tcW w:w="1990" w:type="dxa"/>
            <w:gridSpan w:val="2"/>
            <w:vAlign w:val="center"/>
          </w:tcPr>
          <w:p w14:paraId="7143538A">
            <w:pPr>
              <w:jc w:val="center"/>
              <w:rPr>
                <w:rFonts w:ascii="宋体" w:hAnsi="宋体" w:cs="宋体"/>
                <w:szCs w:val="21"/>
              </w:rPr>
            </w:pPr>
          </w:p>
        </w:tc>
        <w:tc>
          <w:tcPr>
            <w:tcW w:w="1499" w:type="dxa"/>
            <w:vAlign w:val="center"/>
          </w:tcPr>
          <w:p w14:paraId="4C6D4A8E">
            <w:pPr>
              <w:jc w:val="center"/>
              <w:rPr>
                <w:rFonts w:ascii="宋体" w:hAnsi="宋体" w:cs="宋体"/>
                <w:szCs w:val="21"/>
              </w:rPr>
            </w:pPr>
          </w:p>
        </w:tc>
        <w:tc>
          <w:tcPr>
            <w:tcW w:w="1489" w:type="dxa"/>
            <w:vAlign w:val="center"/>
          </w:tcPr>
          <w:p w14:paraId="05924941">
            <w:pPr>
              <w:jc w:val="center"/>
              <w:rPr>
                <w:rFonts w:ascii="宋体" w:hAnsi="宋体" w:cs="宋体"/>
                <w:szCs w:val="21"/>
              </w:rPr>
            </w:pPr>
          </w:p>
        </w:tc>
      </w:tr>
      <w:tr w14:paraId="4D956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CAFB4F9">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85DC1AF">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4A60682D">
            <w:pPr>
              <w:jc w:val="center"/>
              <w:rPr>
                <w:rFonts w:ascii="宋体" w:hAnsi="宋体" w:cs="宋体"/>
                <w:szCs w:val="21"/>
              </w:rPr>
            </w:pPr>
          </w:p>
        </w:tc>
        <w:tc>
          <w:tcPr>
            <w:tcW w:w="1990" w:type="dxa"/>
            <w:gridSpan w:val="2"/>
            <w:vAlign w:val="center"/>
          </w:tcPr>
          <w:p w14:paraId="4713FA30">
            <w:pPr>
              <w:jc w:val="center"/>
              <w:rPr>
                <w:rFonts w:ascii="宋体" w:hAnsi="宋体" w:cs="宋体"/>
                <w:szCs w:val="21"/>
              </w:rPr>
            </w:pPr>
          </w:p>
        </w:tc>
        <w:tc>
          <w:tcPr>
            <w:tcW w:w="1499" w:type="dxa"/>
            <w:vAlign w:val="center"/>
          </w:tcPr>
          <w:p w14:paraId="01199C45">
            <w:pPr>
              <w:jc w:val="center"/>
              <w:rPr>
                <w:rFonts w:ascii="宋体" w:hAnsi="宋体" w:cs="宋体"/>
                <w:szCs w:val="21"/>
              </w:rPr>
            </w:pPr>
          </w:p>
        </w:tc>
        <w:tc>
          <w:tcPr>
            <w:tcW w:w="1489" w:type="dxa"/>
            <w:vAlign w:val="center"/>
          </w:tcPr>
          <w:p w14:paraId="46971795">
            <w:pPr>
              <w:jc w:val="center"/>
              <w:rPr>
                <w:rFonts w:ascii="宋体" w:hAnsi="宋体" w:cs="宋体"/>
                <w:szCs w:val="21"/>
              </w:rPr>
            </w:pPr>
          </w:p>
        </w:tc>
      </w:tr>
      <w:tr w14:paraId="420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8C607CF">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1BA8E690">
            <w:pPr>
              <w:pStyle w:val="509"/>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同一人员可以担任多个职务。上述项目负责人、主要技术人员必须为供应商本单位人员人员，主要技术人员不等同于项目团队成员。</w:t>
            </w:r>
          </w:p>
          <w:p w14:paraId="5998D3B6">
            <w:pPr>
              <w:pStyle w:val="509"/>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6273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4952A04">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766F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B2A0B07">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4FFCEBDD">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0FA2F459">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2762714A">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2AB4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0AD95E46">
            <w:pPr>
              <w:spacing w:line="290" w:lineRule="auto"/>
              <w:rPr>
                <w:rFonts w:ascii="宋体" w:hAnsi="宋体" w:cs="宋体"/>
                <w:szCs w:val="21"/>
              </w:rPr>
            </w:pPr>
          </w:p>
          <w:p w14:paraId="7AB1C2BF">
            <w:pPr>
              <w:spacing w:line="290" w:lineRule="auto"/>
              <w:rPr>
                <w:rFonts w:ascii="宋体" w:hAnsi="宋体" w:cs="宋体"/>
                <w:szCs w:val="21"/>
              </w:rPr>
            </w:pPr>
          </w:p>
          <w:p w14:paraId="6CC6AA2E">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C601F59">
            <w:pPr>
              <w:spacing w:line="274" w:lineRule="auto"/>
              <w:rPr>
                <w:rFonts w:ascii="宋体" w:hAnsi="宋体" w:cs="宋体"/>
                <w:szCs w:val="21"/>
              </w:rPr>
            </w:pPr>
          </w:p>
          <w:p w14:paraId="6E7659AF">
            <w:pPr>
              <w:spacing w:line="274" w:lineRule="auto"/>
              <w:rPr>
                <w:rFonts w:ascii="宋体" w:hAnsi="宋体" w:cs="宋体"/>
                <w:szCs w:val="21"/>
              </w:rPr>
            </w:pPr>
          </w:p>
          <w:p w14:paraId="0E0625AD">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AE2974A">
            <w:pPr>
              <w:jc w:val="center"/>
              <w:rPr>
                <w:rFonts w:ascii="宋体" w:hAnsi="宋体" w:cs="宋体"/>
                <w:szCs w:val="21"/>
              </w:rPr>
            </w:pPr>
          </w:p>
        </w:tc>
        <w:tc>
          <w:tcPr>
            <w:tcW w:w="4187" w:type="dxa"/>
            <w:gridSpan w:val="3"/>
            <w:vAlign w:val="center"/>
          </w:tcPr>
          <w:p w14:paraId="73A9F4DF">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5045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6B25A30F">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2E64FFD8">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21E0364">
            <w:pPr>
              <w:jc w:val="center"/>
              <w:rPr>
                <w:rFonts w:ascii="宋体" w:hAnsi="宋体" w:cs="宋体"/>
                <w:szCs w:val="21"/>
              </w:rPr>
            </w:pPr>
          </w:p>
        </w:tc>
        <w:tc>
          <w:tcPr>
            <w:tcW w:w="4187" w:type="dxa"/>
            <w:gridSpan w:val="3"/>
          </w:tcPr>
          <w:p w14:paraId="7AA5A413">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880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763EFB3D">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32AD3ACA">
      <w:pPr>
        <w:spacing w:line="360" w:lineRule="auto"/>
        <w:rPr>
          <w:rFonts w:ascii="宋体" w:hAnsi="宋体" w:cs="宋体"/>
        </w:rPr>
      </w:pPr>
    </w:p>
    <w:p w14:paraId="72BA5428">
      <w:pPr>
        <w:spacing w:line="360" w:lineRule="auto"/>
        <w:rPr>
          <w:rFonts w:ascii="宋体" w:hAnsi="宋体" w:cs="宋体"/>
          <w:b/>
          <w:bCs/>
        </w:rPr>
      </w:pPr>
      <w:r>
        <w:rPr>
          <w:rFonts w:hint="eastAsia" w:ascii="宋体" w:hAnsi="宋体" w:cs="宋体"/>
          <w:b/>
          <w:bCs/>
        </w:rPr>
        <w:t>填报要求：</w:t>
      </w:r>
    </w:p>
    <w:p w14:paraId="1CC955DD">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150C20EF">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748517F6">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2151573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73ACD7D">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6B78E26C">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13CD0CCC">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46464EA0">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C54B825">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6FE8EB4">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7B5B1BFB">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1D2D230">
      <w:pPr>
        <w:spacing w:line="360" w:lineRule="auto"/>
        <w:rPr>
          <w:rFonts w:ascii="宋体" w:hAnsi="宋体" w:cs="宋体"/>
          <w:b/>
          <w:bCs/>
          <w:highlight w:val="yellow"/>
        </w:rPr>
      </w:pPr>
    </w:p>
    <w:p w14:paraId="513BC7FC">
      <w:pPr>
        <w:pStyle w:val="4"/>
        <w:spacing w:line="400" w:lineRule="exact"/>
        <w:rPr>
          <w:rFonts w:ascii="仿宋" w:hAnsi="仿宋" w:eastAsia="仿宋"/>
        </w:rPr>
      </w:pPr>
      <w:r>
        <w:rPr>
          <w:rFonts w:hint="eastAsia" w:ascii="仿宋" w:hAnsi="仿宋" w:eastAsia="仿宋"/>
        </w:rPr>
        <w:t>个人社保缴纳明细截图</w:t>
      </w:r>
    </w:p>
    <w:p w14:paraId="471A321E">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72A863B3">
      <w:pPr>
        <w:spacing w:line="560" w:lineRule="exact"/>
        <w:rPr>
          <w:rFonts w:ascii="宋体" w:hAnsi="宋体" w:cs="宋体"/>
          <w:szCs w:val="21"/>
        </w:rPr>
      </w:pPr>
    </w:p>
    <w:p w14:paraId="3D0DC2CE">
      <w:pPr>
        <w:spacing w:line="560" w:lineRule="exact"/>
        <w:rPr>
          <w:rFonts w:ascii="宋体" w:hAnsi="宋体" w:cs="宋体"/>
          <w:szCs w:val="21"/>
        </w:rPr>
      </w:pPr>
    </w:p>
    <w:p w14:paraId="032DFD50">
      <w:pPr>
        <w:spacing w:line="560" w:lineRule="exact"/>
        <w:rPr>
          <w:rFonts w:ascii="宋体" w:hAnsi="宋体" w:cs="宋体"/>
          <w:szCs w:val="21"/>
        </w:rPr>
      </w:pPr>
      <w:r>
        <w:rPr>
          <w:rFonts w:hint="eastAsia" w:ascii="宋体" w:hAnsi="宋体" w:cs="宋体"/>
          <w:szCs w:val="21"/>
        </w:rPr>
        <w:t>2、项目投标授权代表人</w:t>
      </w:r>
    </w:p>
    <w:p w14:paraId="0671BB56">
      <w:pPr>
        <w:spacing w:line="560" w:lineRule="exact"/>
        <w:rPr>
          <w:rFonts w:ascii="宋体" w:hAnsi="宋体" w:cs="宋体"/>
          <w:szCs w:val="21"/>
        </w:rPr>
      </w:pPr>
    </w:p>
    <w:p w14:paraId="4D93A18E">
      <w:pPr>
        <w:spacing w:line="560" w:lineRule="exact"/>
        <w:rPr>
          <w:rFonts w:ascii="宋体" w:hAnsi="宋体" w:cs="宋体"/>
          <w:szCs w:val="21"/>
        </w:rPr>
      </w:pPr>
    </w:p>
    <w:p w14:paraId="7C141E3D">
      <w:pPr>
        <w:spacing w:line="560" w:lineRule="exact"/>
        <w:rPr>
          <w:rFonts w:ascii="宋体" w:hAnsi="宋体" w:cs="宋体"/>
          <w:szCs w:val="21"/>
        </w:rPr>
      </w:pPr>
      <w:r>
        <w:rPr>
          <w:rFonts w:hint="eastAsia" w:ascii="宋体" w:hAnsi="宋体" w:cs="宋体"/>
          <w:szCs w:val="21"/>
        </w:rPr>
        <w:t>3、项目负责人</w:t>
      </w:r>
    </w:p>
    <w:p w14:paraId="78AE1DB5">
      <w:pPr>
        <w:spacing w:line="560" w:lineRule="exact"/>
        <w:rPr>
          <w:rFonts w:ascii="宋体" w:hAnsi="宋体" w:cs="宋体"/>
          <w:szCs w:val="21"/>
        </w:rPr>
      </w:pPr>
    </w:p>
    <w:p w14:paraId="5ED17568">
      <w:pPr>
        <w:spacing w:line="560" w:lineRule="exact"/>
        <w:rPr>
          <w:rFonts w:ascii="宋体" w:hAnsi="宋体" w:cs="宋体"/>
          <w:szCs w:val="21"/>
        </w:rPr>
      </w:pPr>
    </w:p>
    <w:p w14:paraId="7882974D">
      <w:pPr>
        <w:spacing w:line="560" w:lineRule="exact"/>
        <w:rPr>
          <w:rFonts w:ascii="宋体" w:hAnsi="宋体" w:cs="宋体"/>
          <w:szCs w:val="21"/>
        </w:rPr>
      </w:pPr>
      <w:r>
        <w:rPr>
          <w:rFonts w:hint="eastAsia" w:ascii="宋体" w:hAnsi="宋体" w:cs="宋体"/>
          <w:szCs w:val="21"/>
        </w:rPr>
        <w:t>4、主要技术人员</w:t>
      </w:r>
    </w:p>
    <w:p w14:paraId="20AB67F4">
      <w:pPr>
        <w:spacing w:line="560" w:lineRule="exact"/>
        <w:rPr>
          <w:rFonts w:ascii="宋体" w:hAnsi="宋体" w:cs="宋体"/>
          <w:szCs w:val="21"/>
        </w:rPr>
      </w:pPr>
    </w:p>
    <w:p w14:paraId="1D94195C">
      <w:pPr>
        <w:spacing w:line="560" w:lineRule="exact"/>
        <w:rPr>
          <w:rFonts w:ascii="宋体" w:hAnsi="宋体" w:cs="宋体"/>
          <w:szCs w:val="21"/>
        </w:rPr>
      </w:pPr>
    </w:p>
    <w:p w14:paraId="03A4D346">
      <w:pPr>
        <w:numPr>
          <w:ilvl w:val="0"/>
          <w:numId w:val="7"/>
        </w:numPr>
        <w:spacing w:line="560" w:lineRule="exact"/>
        <w:rPr>
          <w:rFonts w:ascii="宋体" w:hAnsi="宋体" w:cs="宋体"/>
          <w:spacing w:val="-2"/>
          <w:szCs w:val="21"/>
        </w:rPr>
      </w:pPr>
      <w:r>
        <w:rPr>
          <w:rFonts w:hint="eastAsia" w:ascii="宋体" w:hAnsi="宋体" w:cs="宋体"/>
          <w:spacing w:val="-2"/>
          <w:szCs w:val="21"/>
        </w:rPr>
        <w:t>投标文件编制人员</w:t>
      </w:r>
    </w:p>
    <w:p w14:paraId="3DFBA3E4">
      <w:pPr>
        <w:spacing w:line="560" w:lineRule="exact"/>
        <w:rPr>
          <w:rFonts w:ascii="宋体" w:hAnsi="宋体" w:cs="宋体"/>
          <w:spacing w:val="-2"/>
          <w:szCs w:val="21"/>
        </w:rPr>
      </w:pPr>
    </w:p>
    <w:p w14:paraId="2D7F3E1D">
      <w:pPr>
        <w:spacing w:line="560" w:lineRule="exact"/>
        <w:rPr>
          <w:rFonts w:ascii="宋体" w:hAnsi="宋体" w:cs="宋体"/>
          <w:szCs w:val="21"/>
        </w:rPr>
      </w:pPr>
    </w:p>
    <w:p w14:paraId="158AB117">
      <w:pPr>
        <w:spacing w:line="560" w:lineRule="exact"/>
        <w:rPr>
          <w:rFonts w:ascii="宋体" w:hAnsi="宋体" w:cs="宋体"/>
          <w:szCs w:val="21"/>
        </w:rPr>
      </w:pPr>
      <w:r>
        <w:rPr>
          <w:rFonts w:hint="eastAsia" w:ascii="宋体" w:hAnsi="宋体" w:cs="宋体"/>
          <w:szCs w:val="21"/>
        </w:rPr>
        <w:t>其他说明材料：(可以根据项目情况增添附件)</w:t>
      </w:r>
    </w:p>
    <w:p w14:paraId="14BFF2CA">
      <w:pPr>
        <w:pStyle w:val="4"/>
      </w:pPr>
    </w:p>
    <w:p w14:paraId="32A5FFE7">
      <w:r>
        <w:rPr>
          <w:rFonts w:hint="eastAsia" w:ascii="宋体" w:hAnsi="宋体" w:cs="宋体"/>
          <w:szCs w:val="21"/>
        </w:rPr>
        <w:t>注：同一人员兼任不同职务的，可以合并提供社保等证明材料，本格式仅供参考。</w:t>
      </w:r>
    </w:p>
    <w:p w14:paraId="21BBEEA0">
      <w:pPr>
        <w:rPr>
          <w:rFonts w:asciiTheme="minorEastAsia" w:hAnsiTheme="minorEastAsia" w:eastAsiaTheme="minorEastAsia"/>
        </w:rPr>
      </w:pPr>
      <w:r>
        <w:rPr>
          <w:rFonts w:hint="eastAsia" w:asciiTheme="minorEastAsia" w:hAnsiTheme="minorEastAsia" w:eastAsiaTheme="minorEastAsia"/>
        </w:rPr>
        <w:br w:type="page"/>
      </w:r>
    </w:p>
    <w:bookmarkEnd w:id="60"/>
    <w:bookmarkEnd w:id="61"/>
    <w:bookmarkEnd w:id="62"/>
    <w:bookmarkEnd w:id="63"/>
    <w:bookmarkEnd w:id="64"/>
    <w:p w14:paraId="55D80A0C">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314D6B2F">
      <w:pPr>
        <w:adjustRightInd w:val="0"/>
        <w:snapToGrid w:val="0"/>
        <w:spacing w:line="360" w:lineRule="auto"/>
        <w:ind w:firstLine="424" w:firstLineChars="202"/>
        <w:rPr>
          <w:rFonts w:ascii="宋体" w:hAnsi="宋体"/>
          <w:bCs/>
          <w:snapToGrid w:val="0"/>
          <w:kern w:val="0"/>
          <w:szCs w:val="21"/>
        </w:rPr>
      </w:pPr>
    </w:p>
    <w:p w14:paraId="58CE0F48">
      <w:pPr>
        <w:adjustRightInd w:val="0"/>
        <w:snapToGrid w:val="0"/>
        <w:spacing w:line="360" w:lineRule="auto"/>
        <w:ind w:firstLine="424" w:firstLineChars="202"/>
        <w:rPr>
          <w:szCs w:val="21"/>
        </w:rPr>
      </w:pPr>
      <w:r>
        <w:rPr>
          <w:rFonts w:hint="eastAsia"/>
          <w:szCs w:val="21"/>
        </w:rPr>
        <w:t>1、营业执照或法人证书等证明材料</w:t>
      </w:r>
    </w:p>
    <w:p w14:paraId="3CC6988B">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ascii="宋体" w:hAnsi="宋体" w:cs="Courier New"/>
          <w:snapToGrid w:val="0"/>
          <w:szCs w:val="18"/>
        </w:rPr>
      </w:pPr>
    </w:p>
    <w:p w14:paraId="5CEB536D">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3A9C6A36"/>
    <w:p w14:paraId="70DCBBE3">
      <w:pPr>
        <w:adjustRightInd w:val="0"/>
        <w:snapToGrid w:val="0"/>
        <w:spacing w:line="360" w:lineRule="auto"/>
        <w:ind w:firstLine="424" w:firstLineChars="202"/>
        <w:rPr>
          <w:rFonts w:ascii="宋体" w:hAnsi="宋体"/>
          <w:bCs/>
          <w:snapToGrid w:val="0"/>
          <w:kern w:val="0"/>
          <w:szCs w:val="21"/>
        </w:rPr>
      </w:pPr>
    </w:p>
    <w:p w14:paraId="13C299D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0CC2FBC9"/>
    <w:p w14:paraId="5D64DB19">
      <w:pPr>
        <w:adjustRightInd w:val="0"/>
        <w:spacing w:line="300" w:lineRule="auto"/>
        <w:ind w:hanging="2"/>
        <w:jc w:val="center"/>
      </w:pPr>
      <w:r>
        <w:rPr>
          <w:rFonts w:hint="eastAsia"/>
          <w:b/>
          <w:snapToGrid w:val="0"/>
          <w:kern w:val="0"/>
          <w:sz w:val="28"/>
        </w:rPr>
        <w:t>政府采购投标及履约承诺函</w:t>
      </w:r>
    </w:p>
    <w:p w14:paraId="57326FA9">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8FE920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C6896B9">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139E36AF">
      <w:pPr>
        <w:spacing w:line="400" w:lineRule="exact"/>
        <w:ind w:firstLine="420" w:firstLineChars="200"/>
        <w:rPr>
          <w:rFonts w:ascii="宋体" w:hAnsi="宋体"/>
          <w:szCs w:val="21"/>
        </w:rPr>
      </w:pPr>
      <w:r>
        <w:rPr>
          <w:rFonts w:hint="eastAsia" w:ascii="宋体" w:hAnsi="宋体"/>
          <w:szCs w:val="21"/>
        </w:rPr>
        <w:t>（一）具有独立承担民事责任的能力；</w:t>
      </w:r>
    </w:p>
    <w:p w14:paraId="0C1D128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FF9EB8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AF633B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0FD05E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B0ED980">
      <w:pPr>
        <w:spacing w:line="400" w:lineRule="exact"/>
        <w:ind w:firstLine="420" w:firstLineChars="200"/>
        <w:rPr>
          <w:rFonts w:ascii="宋体" w:hAnsi="宋体"/>
          <w:szCs w:val="21"/>
        </w:rPr>
      </w:pPr>
      <w:r>
        <w:rPr>
          <w:rFonts w:hint="eastAsia" w:ascii="宋体" w:hAnsi="宋体"/>
          <w:szCs w:val="21"/>
        </w:rPr>
        <w:t>（六）法律、行政法规规定的其他条件。</w:t>
      </w:r>
    </w:p>
    <w:p w14:paraId="09F8512F">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F1B7CE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72DFDB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F817CA4">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D96C266">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5C903D8">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93574C6">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A4BF783">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59C7BAE">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AC2190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4F135D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3CFF784">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A6819E2">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B14916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A72A9F2">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BDBAC0B">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762BF90">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05D50F4">
      <w:pPr>
        <w:spacing w:line="360" w:lineRule="auto"/>
        <w:ind w:firstLine="600"/>
        <w:rPr>
          <w:rFonts w:cs="Courier New"/>
          <w:snapToGrid w:val="0"/>
          <w:szCs w:val="18"/>
        </w:rPr>
      </w:pPr>
    </w:p>
    <w:p w14:paraId="7B5AE023">
      <w:pPr>
        <w:adjustRightInd w:val="0"/>
        <w:snapToGrid w:val="0"/>
        <w:spacing w:line="300" w:lineRule="auto"/>
        <w:rPr>
          <w:snapToGrid w:val="0"/>
          <w:kern w:val="0"/>
        </w:rPr>
      </w:pPr>
      <w:r>
        <w:rPr>
          <w:rFonts w:hint="eastAsia"/>
          <w:snapToGrid w:val="0"/>
          <w:kern w:val="0"/>
        </w:rPr>
        <w:t>投标单位：（加盖公章）</w:t>
      </w:r>
    </w:p>
    <w:p w14:paraId="3029576D">
      <w:pPr>
        <w:adjustRightInd w:val="0"/>
        <w:snapToGrid w:val="0"/>
        <w:spacing w:line="300" w:lineRule="auto"/>
        <w:rPr>
          <w:snapToGrid w:val="0"/>
          <w:kern w:val="0"/>
        </w:rPr>
      </w:pPr>
    </w:p>
    <w:p w14:paraId="3956A3F6">
      <w:pPr>
        <w:adjustRightInd w:val="0"/>
        <w:snapToGrid w:val="0"/>
        <w:spacing w:line="360" w:lineRule="auto"/>
        <w:ind w:firstLine="600"/>
        <w:jc w:val="right"/>
      </w:pPr>
      <w:r>
        <w:rPr>
          <w:rFonts w:hint="eastAsia"/>
        </w:rPr>
        <w:t>年     月    日</w:t>
      </w:r>
    </w:p>
    <w:p w14:paraId="020EF7B8">
      <w:pPr>
        <w:adjustRightInd w:val="0"/>
        <w:snapToGrid w:val="0"/>
        <w:spacing w:line="360" w:lineRule="auto"/>
        <w:ind w:firstLine="600"/>
        <w:jc w:val="right"/>
      </w:pPr>
    </w:p>
    <w:p w14:paraId="2DF77160">
      <w:pPr>
        <w:adjustRightInd w:val="0"/>
        <w:snapToGrid w:val="0"/>
        <w:spacing w:line="360" w:lineRule="auto"/>
        <w:ind w:firstLine="600"/>
        <w:jc w:val="right"/>
      </w:pPr>
    </w:p>
    <w:p w14:paraId="2B2BD7E6">
      <w:pPr>
        <w:adjustRightInd w:val="0"/>
        <w:snapToGrid w:val="0"/>
        <w:spacing w:line="360" w:lineRule="auto"/>
        <w:ind w:firstLine="424" w:firstLineChars="202"/>
        <w:rPr>
          <w:rFonts w:ascii="宋体" w:hAnsi="宋体"/>
        </w:rPr>
      </w:pPr>
      <w:r>
        <w:rPr>
          <w:rFonts w:hint="eastAsia" w:ascii="宋体" w:hAnsi="宋体"/>
        </w:rPr>
        <w:t>3、其它资格证明材料</w:t>
      </w:r>
    </w:p>
    <w:p w14:paraId="16492016">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4F3C6C14">
      <w:pPr>
        <w:adjustRightInd w:val="0"/>
        <w:snapToGrid w:val="0"/>
        <w:spacing w:line="360" w:lineRule="auto"/>
        <w:ind w:firstLine="600"/>
        <w:jc w:val="right"/>
      </w:pPr>
    </w:p>
    <w:p w14:paraId="4DC4C8B6">
      <w:pPr>
        <w:adjustRightInd w:val="0"/>
        <w:snapToGrid w:val="0"/>
        <w:spacing w:line="360" w:lineRule="auto"/>
        <w:ind w:firstLine="600"/>
        <w:jc w:val="right"/>
      </w:pPr>
    </w:p>
    <w:p w14:paraId="5286059D">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5EFEDF1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5" w:name="_Toc135293183"/>
      <w:r>
        <w:rPr>
          <w:rFonts w:hint="eastAsia" w:asciiTheme="minorEastAsia" w:hAnsiTheme="minorEastAsia" w:eastAsiaTheme="minorEastAsia"/>
        </w:rPr>
        <w:t>格式2  法定代表人（负责人）证明书及授权委托书</w:t>
      </w:r>
      <w:bookmarkEnd w:id="65"/>
    </w:p>
    <w:p w14:paraId="65192C1D">
      <w:pPr>
        <w:widowControl/>
        <w:jc w:val="left"/>
        <w:rPr>
          <w:rFonts w:ascii="宋体" w:hAnsi="宋体"/>
          <w:b/>
          <w:sz w:val="28"/>
          <w:szCs w:val="28"/>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4"/>
      </w:pPr>
    </w:p>
    <w:p w14:paraId="309A7EFB">
      <w:pPr>
        <w:rPr>
          <w:rFonts w:ascii="宋体" w:hAnsi="宋体"/>
          <w:b/>
          <w:sz w:val="28"/>
          <w:szCs w:val="28"/>
        </w:rPr>
      </w:pPr>
      <w:r>
        <w:rPr>
          <w:rFonts w:hint="eastAsia" w:ascii="宋体" w:hAnsi="宋体"/>
          <w:b/>
          <w:sz w:val="28"/>
          <w:szCs w:val="28"/>
        </w:rPr>
        <w:br w:type="page"/>
      </w:r>
    </w:p>
    <w:p w14:paraId="62FC7172">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4B954082">
      <w:pPr>
        <w:spacing w:line="360" w:lineRule="auto"/>
        <w:ind w:firstLine="539" w:firstLineChars="257"/>
        <w:rPr>
          <w:highlight w:val="yellow"/>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b/>
          <w:bCs/>
          <w:sz w:val="28"/>
        </w:rPr>
      </w:pPr>
    </w:p>
    <w:p w14:paraId="3EF0D02B">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投标单位名称：（公章）</w:t>
      </w:r>
    </w:p>
    <w:p w14:paraId="7C2D8CF3">
      <w:pPr>
        <w:ind w:firstLine="630"/>
      </w:pPr>
    </w:p>
    <w:p w14:paraId="4902E904">
      <w:pPr>
        <w:ind w:firstLine="630"/>
      </w:pPr>
      <w:r>
        <w:rPr>
          <w:rFonts w:hint="eastAsia"/>
        </w:rPr>
        <w:t>法定代表人（单位负责人）：（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6"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6"/>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7"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7"/>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8" w:name="_Toc135293185"/>
      <w:r>
        <w:rPr>
          <w:rFonts w:hint="eastAsia" w:asciiTheme="minorEastAsia" w:hAnsiTheme="minorEastAsia" w:eastAsiaTheme="minorEastAsia"/>
        </w:rPr>
        <w:t>格式4  评分中涉及的承诺及声明函</w:t>
      </w:r>
      <w:bookmarkEnd w:id="68"/>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9" w:name="_Hlk71925120"/>
      <w:r>
        <w:rPr>
          <w:rFonts w:hint="eastAsia" w:asciiTheme="minorEastAsia" w:hAnsiTheme="minorEastAsia" w:eastAsiaTheme="minorEastAsia"/>
          <w:kern w:val="0"/>
          <w:szCs w:val="21"/>
        </w:rPr>
        <w:t>《关于印发中小企业划型标准规定的通知》（工信部联企业〔2011〕300 号</w:t>
      </w:r>
      <w:bookmarkEnd w:id="69"/>
      <w:r>
        <w:rPr>
          <w:rFonts w:hint="eastAsia" w:asciiTheme="minorEastAsia" w:hAnsiTheme="minorEastAsia" w:eastAsiaTheme="minorEastAsia"/>
          <w:kern w:val="0"/>
          <w:szCs w:val="21"/>
        </w:rPr>
        <w:t>）</w:t>
      </w:r>
    </w:p>
    <w:p w14:paraId="5C999ED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70" w:name="_Toc44691397"/>
      <w:bookmarkStart w:id="71" w:name="_Toc44690433"/>
      <w:bookmarkStart w:id="72" w:name="_Toc135293186"/>
      <w:bookmarkStart w:id="73" w:name="_Toc44691165"/>
      <w:bookmarkStart w:id="74" w:name="_Toc4469070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pPr>
            <w:r>
              <w:rPr>
                <w:rFonts w:hint="eastAsia" w:asciiTheme="minorEastAsia" w:hAnsiTheme="minorEastAsia" w:eastAsiaTheme="minorEastAsia"/>
              </w:rPr>
              <w:t>IT综合运维平台及超融合平台维保服务（2025）</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5" w:name="_Toc44691398"/>
      <w:bookmarkStart w:id="76" w:name="_Toc135293187"/>
      <w:bookmarkStart w:id="77" w:name="_Toc44691166"/>
      <w:bookmarkStart w:id="78" w:name="_Toc44690707"/>
      <w:bookmarkStart w:id="79" w:name="_Toc44690434"/>
      <w:r>
        <w:rPr>
          <w:rFonts w:hint="eastAsia" w:asciiTheme="minorEastAsia" w:hAnsiTheme="minorEastAsia" w:eastAsiaTheme="minorEastAsia"/>
        </w:rPr>
        <w:t>格式6  报价表</w:t>
      </w:r>
      <w:bookmarkEnd w:id="75"/>
      <w:bookmarkEnd w:id="76"/>
      <w:bookmarkEnd w:id="77"/>
      <w:bookmarkEnd w:id="78"/>
      <w:bookmarkEnd w:id="79"/>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投标单位：（加盖公章）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80" w:name="_Toc44691167"/>
      <w:bookmarkStart w:id="81" w:name="_Toc135293188"/>
      <w:bookmarkStart w:id="82" w:name="_Toc44690435"/>
      <w:bookmarkStart w:id="83" w:name="_Toc44691399"/>
      <w:bookmarkStart w:id="84" w:name="_Toc44690708"/>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0"/>
      <w:bookmarkEnd w:id="81"/>
      <w:bookmarkEnd w:id="82"/>
      <w:bookmarkEnd w:id="83"/>
      <w:bookmarkEnd w:id="84"/>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rPr>
        <w:t>服务要求响应情况</w:t>
      </w:r>
    </w:p>
    <w:p w14:paraId="3F278BC1">
      <w:pPr>
        <w:spacing w:line="360" w:lineRule="auto"/>
        <w:ind w:firstLine="420" w:firstLineChars="200"/>
        <w:rPr>
          <w:rFonts w:ascii="宋体" w:hAnsi="宋体"/>
          <w:szCs w:val="21"/>
        </w:rPr>
      </w:pPr>
      <w:r>
        <w:rPr>
          <w:rFonts w:hint="eastAsia" w:ascii="宋体" w:hAnsi="宋体"/>
          <w:szCs w:val="21"/>
        </w:rPr>
        <w:t>2、</w:t>
      </w:r>
      <w:r>
        <w:rPr>
          <w:rFonts w:hint="eastAsia" w:ascii="Courier New" w:hAnsi="Courier New"/>
          <w:color w:val="000000"/>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rPr>
        <w:t>3、项目重点难点分析、应对措施及相关的合理化建议</w:t>
      </w:r>
    </w:p>
    <w:p w14:paraId="7F640091">
      <w:pPr>
        <w:spacing w:line="360" w:lineRule="auto"/>
        <w:ind w:firstLine="420" w:firstLineChars="200"/>
        <w:rPr>
          <w:rFonts w:ascii="宋体" w:hAnsi="宋体" w:cs="宋体"/>
          <w:szCs w:val="21"/>
        </w:rPr>
      </w:pPr>
      <w:r>
        <w:rPr>
          <w:rFonts w:hint="eastAsia" w:ascii="宋体" w:hAnsi="宋体" w:cs="宋体"/>
          <w:szCs w:val="21"/>
        </w:rPr>
        <w:t>4、</w:t>
      </w:r>
      <w:r>
        <w:rPr>
          <w:rFonts w:hint="eastAsia" w:ascii="Courier New" w:hAnsi="Courier New"/>
          <w:color w:val="000000"/>
          <w:szCs w:val="21"/>
        </w:rPr>
        <w:t>质量保障措施及方案</w:t>
      </w:r>
    </w:p>
    <w:p w14:paraId="1DD75486">
      <w:pPr>
        <w:spacing w:line="360" w:lineRule="auto"/>
        <w:ind w:firstLine="420" w:firstLineChars="200"/>
        <w:rPr>
          <w:rFonts w:ascii="Courier New" w:hAnsi="Courier New" w:cs="Courier New"/>
          <w:color w:val="000000"/>
          <w:szCs w:val="21"/>
        </w:rPr>
      </w:pPr>
      <w:r>
        <w:rPr>
          <w:rFonts w:hint="eastAsia" w:ascii="宋体" w:hAnsi="宋体"/>
          <w:szCs w:val="21"/>
        </w:rPr>
        <w:t>5、</w:t>
      </w:r>
      <w:r>
        <w:rPr>
          <w:rFonts w:hint="eastAsia" w:ascii="Courier New" w:hAnsi="Courier New" w:cs="Courier New"/>
          <w:color w:val="000000"/>
          <w:szCs w:val="21"/>
        </w:rPr>
        <w:t>商务</w:t>
      </w:r>
      <w:r>
        <w:rPr>
          <w:rFonts w:hint="eastAsia" w:ascii="Courier New" w:hAnsi="Courier New" w:cs="Courier New"/>
          <w:bCs/>
          <w:color w:val="000000"/>
          <w:szCs w:val="21"/>
        </w:rPr>
        <w:t>条款</w:t>
      </w:r>
      <w:r>
        <w:rPr>
          <w:rFonts w:hint="eastAsia" w:ascii="Courier New" w:hAnsi="Courier New" w:cs="Courier New"/>
          <w:color w:val="000000"/>
          <w:szCs w:val="21"/>
        </w:rPr>
        <w:t>响应情况</w:t>
      </w:r>
    </w:p>
    <w:p w14:paraId="7B7AB5DA">
      <w:pPr>
        <w:spacing w:line="360" w:lineRule="auto"/>
        <w:ind w:firstLine="420" w:firstLineChars="200"/>
        <w:rPr>
          <w:rFonts w:ascii="Courier New" w:hAnsi="Courier New" w:cs="Courier New"/>
          <w:color w:val="000000"/>
          <w:szCs w:val="21"/>
        </w:rPr>
      </w:pPr>
      <w:r>
        <w:rPr>
          <w:rFonts w:hint="eastAsia" w:asciiTheme="minorEastAsia" w:hAnsiTheme="minorEastAsia" w:eastAsiaTheme="minorEastAsia" w:cstheme="minorEastAsia"/>
          <w:color w:val="000000"/>
          <w:szCs w:val="21"/>
        </w:rPr>
        <w:t>6、</w:t>
      </w:r>
      <w:r>
        <w:rPr>
          <w:rFonts w:hint="eastAsia" w:asciiTheme="minorEastAsia" w:hAnsiTheme="minorEastAsia" w:eastAsiaTheme="minorEastAsia" w:cstheme="minorEastAsia"/>
          <w:szCs w:val="21"/>
        </w:rPr>
        <w:t>投标</w:t>
      </w:r>
      <w:r>
        <w:rPr>
          <w:rFonts w:hint="eastAsia" w:ascii="宋体" w:hAnsi="宋体"/>
          <w:szCs w:val="21"/>
        </w:rPr>
        <w:t>人通过相关认证情况</w:t>
      </w:r>
    </w:p>
    <w:p w14:paraId="42066D9D">
      <w:pPr>
        <w:spacing w:line="360" w:lineRule="auto"/>
        <w:ind w:firstLine="420" w:firstLineChars="200"/>
        <w:rPr>
          <w:rFonts w:ascii="宋体" w:hAnsi="宋体" w:cs="宋体"/>
          <w:szCs w:val="21"/>
        </w:rPr>
      </w:pPr>
      <w:r>
        <w:rPr>
          <w:rFonts w:hint="eastAsia" w:ascii="宋体" w:hAnsi="宋体" w:cs="宋体"/>
          <w:szCs w:val="21"/>
        </w:rPr>
        <w:t>7、</w:t>
      </w:r>
      <w:r>
        <w:rPr>
          <w:rFonts w:hint="eastAsia" w:ascii="Courier New" w:hAnsi="Courier New"/>
          <w:color w:val="000000"/>
          <w:szCs w:val="21"/>
        </w:rPr>
        <w:t>投标人同类项目业绩情况</w:t>
      </w:r>
    </w:p>
    <w:p w14:paraId="5D4F00B9">
      <w:pPr>
        <w:spacing w:line="360" w:lineRule="auto"/>
        <w:ind w:firstLine="420" w:firstLineChars="200"/>
        <w:rPr>
          <w:rFonts w:ascii="宋体" w:hAnsi="宋体"/>
          <w:szCs w:val="21"/>
        </w:rPr>
      </w:pPr>
      <w:r>
        <w:rPr>
          <w:rFonts w:hint="eastAsia" w:ascii="宋体" w:hAnsi="宋体"/>
          <w:szCs w:val="21"/>
        </w:rPr>
        <w:t>8、拟投入人员情况：包括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0F9E90B7">
      <w:pPr>
        <w:spacing w:line="360" w:lineRule="auto"/>
        <w:ind w:left="420"/>
        <w:rPr>
          <w:rFonts w:ascii="宋体" w:hAnsi="宋体"/>
          <w:szCs w:val="21"/>
        </w:rPr>
      </w:pPr>
      <w:r>
        <w:rPr>
          <w:rFonts w:hint="eastAsia" w:ascii="宋体" w:hAnsi="宋体"/>
          <w:bCs/>
        </w:rPr>
        <w:t>9、</w:t>
      </w:r>
      <w:r>
        <w:rPr>
          <w:rFonts w:hint="eastAsia" w:ascii="宋体" w:hAnsi="宋体"/>
          <w:szCs w:val="21"/>
        </w:rPr>
        <w:t>投标人自主知识产权产品（创新、设计）情况</w:t>
      </w:r>
    </w:p>
    <w:p w14:paraId="160BF48E">
      <w:pPr>
        <w:spacing w:line="360" w:lineRule="auto"/>
        <w:ind w:left="420"/>
        <w:rPr>
          <w:rFonts w:ascii="宋体" w:hAnsi="宋体"/>
          <w:szCs w:val="21"/>
        </w:rPr>
      </w:pPr>
      <w:r>
        <w:rPr>
          <w:rFonts w:hint="eastAsia" w:ascii="宋体" w:hAnsi="宋体"/>
          <w:szCs w:val="21"/>
        </w:rPr>
        <w:t>10、服务网点</w:t>
      </w:r>
    </w:p>
    <w:p w14:paraId="62D8E219">
      <w:pPr>
        <w:spacing w:line="360" w:lineRule="auto"/>
        <w:ind w:left="420"/>
        <w:rPr>
          <w:rFonts w:ascii="宋体" w:hAnsi="宋体"/>
          <w:bCs/>
        </w:rPr>
      </w:pPr>
      <w:r>
        <w:rPr>
          <w:rFonts w:hint="eastAsia" w:ascii="宋体" w:hAnsi="宋体"/>
          <w:bCs/>
        </w:rPr>
        <w:t>11、投标人认为必要的其他方案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11214BA1">
      <w:pPr>
        <w:tabs>
          <w:tab w:val="left" w:pos="8248"/>
          <w:tab w:val="left" w:pos="9368"/>
        </w:tabs>
        <w:spacing w:line="360" w:lineRule="auto"/>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投标单位：（加盖公章）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5" w:name="_Toc135293189"/>
    </w:p>
    <w:p w14:paraId="354E825C"/>
    <w:p w14:paraId="5F4697AB">
      <w:pPr>
        <w:pStyle w:val="4"/>
      </w:pPr>
    </w:p>
    <w:p w14:paraId="241FDC79"/>
    <w:p w14:paraId="3CEF99C1">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5"/>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6" w:name="_Toc44691168"/>
      <w:bookmarkStart w:id="87" w:name="_Toc44690709"/>
      <w:bookmarkStart w:id="88" w:name="_Toc135293190"/>
      <w:bookmarkStart w:id="89" w:name="_Toc44691400"/>
      <w:bookmarkStart w:id="90" w:name="_Toc44690436"/>
      <w:r>
        <w:rPr>
          <w:rFonts w:hint="eastAsia" w:asciiTheme="minorEastAsia" w:hAnsiTheme="minorEastAsia" w:eastAsiaTheme="minorEastAsia"/>
        </w:rPr>
        <w:t>格式9  偏离表</w:t>
      </w:r>
      <w:bookmarkEnd w:id="86"/>
      <w:bookmarkEnd w:id="87"/>
      <w:bookmarkEnd w:id="88"/>
      <w:bookmarkEnd w:id="89"/>
      <w:bookmarkEnd w:id="90"/>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546FFD48">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snapToGrid w:val="0"/>
          <w:kern w:val="0"/>
        </w:rPr>
      </w:pPr>
    </w:p>
    <w:p w14:paraId="659C70D4">
      <w:pPr>
        <w:adjustRightInd w:val="0"/>
        <w:snapToGrid w:val="0"/>
        <w:spacing w:line="300" w:lineRule="auto"/>
        <w:rPr>
          <w:snapToGrid w:val="0"/>
          <w:kern w:val="0"/>
        </w:rPr>
      </w:pPr>
      <w:r>
        <w:rPr>
          <w:rFonts w:hint="eastAsia"/>
          <w:snapToGrid w:val="0"/>
          <w:kern w:val="0"/>
        </w:rPr>
        <w:t>投标单位：（加盖公章）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3"/>
        <w:tabs>
          <w:tab w:val="left" w:pos="371"/>
        </w:tabs>
        <w:spacing w:before="120" w:after="120"/>
        <w:ind w:left="-1" w:leftChars="-1" w:hanging="1"/>
        <w:jc w:val="center"/>
        <w:rPr>
          <w:rFonts w:asciiTheme="minorEastAsia" w:hAnsiTheme="minorEastAsia" w:eastAsiaTheme="minorEastAsia"/>
        </w:rPr>
      </w:pPr>
      <w:bookmarkStart w:id="91" w:name="q15"/>
      <w:bookmarkEnd w:id="91"/>
      <w:bookmarkStart w:id="92" w:name="_格式3__"/>
      <w:bookmarkEnd w:id="92"/>
      <w:bookmarkStart w:id="93" w:name="_格式5__"/>
      <w:bookmarkEnd w:id="93"/>
      <w:bookmarkStart w:id="94" w:name="q16"/>
      <w:bookmarkEnd w:id="94"/>
      <w:bookmarkStart w:id="95" w:name="_格式4__"/>
      <w:bookmarkEnd w:id="95"/>
      <w:bookmarkStart w:id="96" w:name="q17"/>
      <w:bookmarkEnd w:id="96"/>
      <w:bookmarkStart w:id="97" w:name="_格式2__投标保证金凭证"/>
      <w:bookmarkEnd w:id="97"/>
      <w:r>
        <w:rPr>
          <w:rFonts w:asciiTheme="minorEastAsia" w:hAnsiTheme="minorEastAsia" w:eastAsiaTheme="minorEastAsia"/>
        </w:rPr>
        <w:tab/>
      </w:r>
      <w:bookmarkStart w:id="98" w:name="_Toc44691169"/>
      <w:bookmarkStart w:id="99" w:name="_Toc44690710"/>
      <w:bookmarkStart w:id="100" w:name="_Toc44690437"/>
      <w:bookmarkStart w:id="101" w:name="_Toc44691401"/>
      <w:bookmarkStart w:id="102"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8"/>
      <w:bookmarkEnd w:id="99"/>
      <w:bookmarkEnd w:id="100"/>
      <w:bookmarkEnd w:id="101"/>
      <w:r>
        <w:rPr>
          <w:rFonts w:hint="eastAsia" w:asciiTheme="minorEastAsia" w:hAnsiTheme="minorEastAsia" w:eastAsiaTheme="minorEastAsia"/>
        </w:rPr>
        <w:t>招标文件要求的其他资料或投标人认为需要补充的资料</w:t>
      </w:r>
      <w:bookmarkEnd w:id="102"/>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3" w:name="_Toc135293192"/>
      <w:r>
        <w:rPr>
          <w:rFonts w:hint="eastAsia"/>
        </w:rPr>
        <w:t>第八章  合同条款</w:t>
      </w:r>
      <w:bookmarkEnd w:id="103"/>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4" w:name="_Toc73610161"/>
      <w:bookmarkStart w:id="105" w:name="_Toc135293193"/>
      <w:r>
        <w:rPr>
          <w:rFonts w:hint="eastAsia"/>
        </w:rPr>
        <w:t>第九章  附件</w:t>
      </w:r>
      <w:bookmarkEnd w:id="104"/>
      <w:bookmarkEnd w:id="105"/>
    </w:p>
    <w:p w14:paraId="3C84BC95">
      <w:pPr>
        <w:pStyle w:val="4"/>
        <w:spacing w:before="0" w:after="0"/>
      </w:pPr>
      <w:bookmarkStart w:id="106" w:name="_Toc135293194"/>
      <w:bookmarkStart w:id="107" w:name="_Toc73610162"/>
      <w:bookmarkStart w:id="108" w:name="_Toc73613644"/>
      <w:r>
        <w:rPr>
          <w:rFonts w:hint="eastAsia"/>
        </w:rPr>
        <w:t>一、财政部 工业和信息化部关于印发《政府采购促进中小企业发展管理办法》的通知</w:t>
      </w:r>
      <w:bookmarkEnd w:id="106"/>
      <w:bookmarkEnd w:id="107"/>
      <w:bookmarkEnd w:id="108"/>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9" w:name="_Toc73613645"/>
      <w:bookmarkStart w:id="110" w:name="_Toc135293195"/>
      <w:bookmarkStart w:id="111" w:name="_Toc73610163"/>
      <w:r>
        <w:rPr>
          <w:rFonts w:hint="eastAsia"/>
        </w:rPr>
        <w:t>二、关于印发中小企业划型标准规定的通知</w:t>
      </w:r>
      <w:bookmarkEnd w:id="109"/>
      <w:bookmarkEnd w:id="110"/>
      <w:bookmarkEnd w:id="111"/>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12" w:name="_Toc73610164"/>
      <w:bookmarkStart w:id="113" w:name="_Toc73613646"/>
      <w:bookmarkStart w:id="114" w:name="_Toc135293196"/>
      <w:r>
        <w:rPr>
          <w:rFonts w:hint="eastAsia"/>
        </w:rPr>
        <w:t>三、</w:t>
      </w:r>
      <w:r>
        <w:t>国家统计局关于印发《统计上大中小微型企业划分办法 （2017）》的通知</w:t>
      </w:r>
      <w:bookmarkEnd w:id="112"/>
      <w:bookmarkEnd w:id="113"/>
      <w:bookmarkEnd w:id="114"/>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5" w:name="_Toc73613647"/>
      <w:bookmarkStart w:id="116" w:name="_Toc135293197"/>
      <w:bookmarkStart w:id="117" w:name="_Toc73610165"/>
      <w:r>
        <w:rPr>
          <w:rFonts w:hint="eastAsia"/>
        </w:rPr>
        <w:t>四、</w:t>
      </w:r>
      <w:r>
        <w:t>财政部 民政部 中国残疾人联合会关于促进残疾人就业 政府采购政策的通知</w:t>
      </w:r>
      <w:bookmarkEnd w:id="115"/>
      <w:bookmarkEnd w:id="116"/>
      <w:bookmarkEnd w:id="117"/>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8" w:name="_Toc135293198"/>
      <w:r>
        <w:rPr>
          <w:rFonts w:hint="eastAsia"/>
        </w:rPr>
        <w:t>五、财政部 司法部关于政府采购支持监狱企业发展有关问题的通知</w:t>
      </w:r>
      <w:bookmarkEnd w:id="118"/>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23</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项目名称：IT综合运维平台及超融合平台维保服务（2025）                            项目编号：</w:t>
    </w:r>
    <w:r>
      <w:rPr>
        <w:rFonts w:hint="eastAsia" w:asciiTheme="minorEastAsia" w:hAnsiTheme="minorEastAsia" w:eastAsiaTheme="minorEastAsia"/>
      </w:rPr>
      <w:t>CGXM-2024-005914</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AE5E123"/>
    <w:multiLevelType w:val="singleLevel"/>
    <w:tmpl w:val="AAE5E123"/>
    <w:lvl w:ilvl="0" w:tentative="0">
      <w:start w:val="2"/>
      <w:numFmt w:val="chineseCounting"/>
      <w:suff w:val="nothing"/>
      <w:lvlText w:val="（%1）"/>
      <w:lvlJc w:val="left"/>
      <w:rPr>
        <w:rFonts w:hint="eastAsia"/>
      </w:rPr>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49D"/>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4FFB"/>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024"/>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0F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096"/>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A31"/>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3F9"/>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2B17"/>
    <w:rsid w:val="00D43193"/>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2CC"/>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3FA"/>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279E7"/>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07DCC"/>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6F56C0"/>
    <w:rsid w:val="01E813FA"/>
    <w:rsid w:val="01F0299B"/>
    <w:rsid w:val="02181129"/>
    <w:rsid w:val="02323801"/>
    <w:rsid w:val="02352754"/>
    <w:rsid w:val="026E4F91"/>
    <w:rsid w:val="02C77214"/>
    <w:rsid w:val="02CB1CF7"/>
    <w:rsid w:val="02E226C9"/>
    <w:rsid w:val="030B2A3C"/>
    <w:rsid w:val="03675DAC"/>
    <w:rsid w:val="041D095D"/>
    <w:rsid w:val="04DD5D12"/>
    <w:rsid w:val="054247C4"/>
    <w:rsid w:val="05C87DB9"/>
    <w:rsid w:val="06471FDD"/>
    <w:rsid w:val="06A6250E"/>
    <w:rsid w:val="07C7298C"/>
    <w:rsid w:val="07ED6E65"/>
    <w:rsid w:val="08425EAC"/>
    <w:rsid w:val="08646E76"/>
    <w:rsid w:val="08DC4C5E"/>
    <w:rsid w:val="0961739E"/>
    <w:rsid w:val="098E6083"/>
    <w:rsid w:val="09D354E6"/>
    <w:rsid w:val="09E35745"/>
    <w:rsid w:val="09EF276F"/>
    <w:rsid w:val="0AD6392F"/>
    <w:rsid w:val="0ADA4400"/>
    <w:rsid w:val="0B106CF7"/>
    <w:rsid w:val="0B205B2B"/>
    <w:rsid w:val="0B3D0378"/>
    <w:rsid w:val="0B782559"/>
    <w:rsid w:val="0BFD483A"/>
    <w:rsid w:val="0C5B67E0"/>
    <w:rsid w:val="0C670CE3"/>
    <w:rsid w:val="0CE57E5A"/>
    <w:rsid w:val="0D256CBB"/>
    <w:rsid w:val="0D344BB7"/>
    <w:rsid w:val="0D49488C"/>
    <w:rsid w:val="0D566BC9"/>
    <w:rsid w:val="0D7C1890"/>
    <w:rsid w:val="0D8B597D"/>
    <w:rsid w:val="0DB241E0"/>
    <w:rsid w:val="0E180322"/>
    <w:rsid w:val="0E5928AD"/>
    <w:rsid w:val="0E715E49"/>
    <w:rsid w:val="0E8C4995"/>
    <w:rsid w:val="0EF27BFB"/>
    <w:rsid w:val="0F0D2BA7"/>
    <w:rsid w:val="0F1E55F5"/>
    <w:rsid w:val="0F6A604F"/>
    <w:rsid w:val="0F9D2C6D"/>
    <w:rsid w:val="0FB104C7"/>
    <w:rsid w:val="0FBC50EF"/>
    <w:rsid w:val="10050C09"/>
    <w:rsid w:val="10571CE9"/>
    <w:rsid w:val="107E3805"/>
    <w:rsid w:val="10F24DDB"/>
    <w:rsid w:val="10F42D61"/>
    <w:rsid w:val="11080DB5"/>
    <w:rsid w:val="115F3FD7"/>
    <w:rsid w:val="11834124"/>
    <w:rsid w:val="11A259DD"/>
    <w:rsid w:val="11D90C91"/>
    <w:rsid w:val="11F9269A"/>
    <w:rsid w:val="120474A0"/>
    <w:rsid w:val="123F687E"/>
    <w:rsid w:val="1272218F"/>
    <w:rsid w:val="12AA1929"/>
    <w:rsid w:val="12C32C8D"/>
    <w:rsid w:val="12ED5EA4"/>
    <w:rsid w:val="13102ABE"/>
    <w:rsid w:val="13A46CB7"/>
    <w:rsid w:val="13BE6A0A"/>
    <w:rsid w:val="14CF5677"/>
    <w:rsid w:val="14F03C41"/>
    <w:rsid w:val="154F67B8"/>
    <w:rsid w:val="167D280D"/>
    <w:rsid w:val="16B92412"/>
    <w:rsid w:val="17047766"/>
    <w:rsid w:val="170A4C85"/>
    <w:rsid w:val="174A5413"/>
    <w:rsid w:val="17566A1E"/>
    <w:rsid w:val="17935895"/>
    <w:rsid w:val="17BC6D09"/>
    <w:rsid w:val="17EB6CC4"/>
    <w:rsid w:val="17F52C18"/>
    <w:rsid w:val="1807166C"/>
    <w:rsid w:val="184530EF"/>
    <w:rsid w:val="18544D1A"/>
    <w:rsid w:val="187842FE"/>
    <w:rsid w:val="18C474BD"/>
    <w:rsid w:val="18D21BDA"/>
    <w:rsid w:val="19227A4B"/>
    <w:rsid w:val="195245FA"/>
    <w:rsid w:val="1981715C"/>
    <w:rsid w:val="19BA4B0D"/>
    <w:rsid w:val="19C71013"/>
    <w:rsid w:val="19C77265"/>
    <w:rsid w:val="19D92AF4"/>
    <w:rsid w:val="1A120E31"/>
    <w:rsid w:val="1A3B761A"/>
    <w:rsid w:val="1A4E7B88"/>
    <w:rsid w:val="1B3E182A"/>
    <w:rsid w:val="1B4B5195"/>
    <w:rsid w:val="1B8A679C"/>
    <w:rsid w:val="1C174C6F"/>
    <w:rsid w:val="1C592E11"/>
    <w:rsid w:val="1C7C020D"/>
    <w:rsid w:val="1C8F78BA"/>
    <w:rsid w:val="1C983248"/>
    <w:rsid w:val="1C9B0D84"/>
    <w:rsid w:val="1CA53701"/>
    <w:rsid w:val="1CDD3F3B"/>
    <w:rsid w:val="1CEF3CEA"/>
    <w:rsid w:val="1D4D6869"/>
    <w:rsid w:val="1D6B6159"/>
    <w:rsid w:val="1D7414B2"/>
    <w:rsid w:val="1DD01078"/>
    <w:rsid w:val="1DD45AAC"/>
    <w:rsid w:val="1DF42FCA"/>
    <w:rsid w:val="1E37603B"/>
    <w:rsid w:val="1E5170FD"/>
    <w:rsid w:val="1E876FC3"/>
    <w:rsid w:val="1E9F430C"/>
    <w:rsid w:val="1EFB7701"/>
    <w:rsid w:val="1EFC175F"/>
    <w:rsid w:val="1F3D18D5"/>
    <w:rsid w:val="20252FDD"/>
    <w:rsid w:val="20707345"/>
    <w:rsid w:val="20887022"/>
    <w:rsid w:val="20C22534"/>
    <w:rsid w:val="20FD7003"/>
    <w:rsid w:val="212F207F"/>
    <w:rsid w:val="21760101"/>
    <w:rsid w:val="219F72F5"/>
    <w:rsid w:val="221A1EFC"/>
    <w:rsid w:val="22342FBD"/>
    <w:rsid w:val="22B25284"/>
    <w:rsid w:val="22C07D9F"/>
    <w:rsid w:val="22E5075C"/>
    <w:rsid w:val="23056CBA"/>
    <w:rsid w:val="2309269C"/>
    <w:rsid w:val="232B2612"/>
    <w:rsid w:val="234C1E42"/>
    <w:rsid w:val="2369320B"/>
    <w:rsid w:val="23900222"/>
    <w:rsid w:val="23922FD4"/>
    <w:rsid w:val="239643B6"/>
    <w:rsid w:val="23B1286A"/>
    <w:rsid w:val="23C6059E"/>
    <w:rsid w:val="23C95079"/>
    <w:rsid w:val="23FE5D77"/>
    <w:rsid w:val="24031A53"/>
    <w:rsid w:val="24307C26"/>
    <w:rsid w:val="24322559"/>
    <w:rsid w:val="248E5D4C"/>
    <w:rsid w:val="24C47897"/>
    <w:rsid w:val="24CE594B"/>
    <w:rsid w:val="24D521C3"/>
    <w:rsid w:val="24E337F8"/>
    <w:rsid w:val="252C71BA"/>
    <w:rsid w:val="258D3B57"/>
    <w:rsid w:val="259E0197"/>
    <w:rsid w:val="2604539D"/>
    <w:rsid w:val="26094761"/>
    <w:rsid w:val="262336EE"/>
    <w:rsid w:val="269E4C0C"/>
    <w:rsid w:val="27024D1A"/>
    <w:rsid w:val="277B4E47"/>
    <w:rsid w:val="278F0C96"/>
    <w:rsid w:val="27AA0910"/>
    <w:rsid w:val="27AA4F6F"/>
    <w:rsid w:val="28823097"/>
    <w:rsid w:val="288E0F4E"/>
    <w:rsid w:val="289B3D96"/>
    <w:rsid w:val="28F7242D"/>
    <w:rsid w:val="29076E89"/>
    <w:rsid w:val="29086F52"/>
    <w:rsid w:val="297A7E50"/>
    <w:rsid w:val="29A30A29"/>
    <w:rsid w:val="29D84B76"/>
    <w:rsid w:val="29EB48A9"/>
    <w:rsid w:val="29F00112"/>
    <w:rsid w:val="2A161A99"/>
    <w:rsid w:val="2A7615AE"/>
    <w:rsid w:val="2AD85037"/>
    <w:rsid w:val="2B002AD1"/>
    <w:rsid w:val="2BC03B14"/>
    <w:rsid w:val="2BC2788C"/>
    <w:rsid w:val="2BD0253B"/>
    <w:rsid w:val="2BE75544"/>
    <w:rsid w:val="2C125A58"/>
    <w:rsid w:val="2C187060"/>
    <w:rsid w:val="2C444480"/>
    <w:rsid w:val="2C564DC3"/>
    <w:rsid w:val="2C7E7C57"/>
    <w:rsid w:val="2CA927FA"/>
    <w:rsid w:val="2CAB47C4"/>
    <w:rsid w:val="2CE90E48"/>
    <w:rsid w:val="2D0D4B37"/>
    <w:rsid w:val="2D5531EF"/>
    <w:rsid w:val="2D6C141D"/>
    <w:rsid w:val="2D940DB4"/>
    <w:rsid w:val="2DEA2B8B"/>
    <w:rsid w:val="2E063012"/>
    <w:rsid w:val="2E980D64"/>
    <w:rsid w:val="2EB64B4B"/>
    <w:rsid w:val="2EDB590A"/>
    <w:rsid w:val="2F0A29E3"/>
    <w:rsid w:val="2F8135BA"/>
    <w:rsid w:val="30601421"/>
    <w:rsid w:val="30817D6A"/>
    <w:rsid w:val="3157114E"/>
    <w:rsid w:val="315D7CF4"/>
    <w:rsid w:val="31F2037F"/>
    <w:rsid w:val="32096215"/>
    <w:rsid w:val="326D44E9"/>
    <w:rsid w:val="329B11F6"/>
    <w:rsid w:val="32AC6BA0"/>
    <w:rsid w:val="336008AB"/>
    <w:rsid w:val="336E087E"/>
    <w:rsid w:val="337E22EA"/>
    <w:rsid w:val="33A85DA6"/>
    <w:rsid w:val="33C3087D"/>
    <w:rsid w:val="33FB1B8D"/>
    <w:rsid w:val="344C0413"/>
    <w:rsid w:val="344F5E45"/>
    <w:rsid w:val="34842E9F"/>
    <w:rsid w:val="34B7742E"/>
    <w:rsid w:val="34D16D92"/>
    <w:rsid w:val="34FA7B3A"/>
    <w:rsid w:val="350F28AA"/>
    <w:rsid w:val="354B6B44"/>
    <w:rsid w:val="35883ABF"/>
    <w:rsid w:val="35961B12"/>
    <w:rsid w:val="35DB68E3"/>
    <w:rsid w:val="364523AD"/>
    <w:rsid w:val="36700D38"/>
    <w:rsid w:val="368636C2"/>
    <w:rsid w:val="36C24BE4"/>
    <w:rsid w:val="36C4673D"/>
    <w:rsid w:val="37612D37"/>
    <w:rsid w:val="377C6DA9"/>
    <w:rsid w:val="37A97B52"/>
    <w:rsid w:val="37B10B63"/>
    <w:rsid w:val="37C404E8"/>
    <w:rsid w:val="37D17C49"/>
    <w:rsid w:val="37DC0287"/>
    <w:rsid w:val="387624AA"/>
    <w:rsid w:val="388A1731"/>
    <w:rsid w:val="388C7258"/>
    <w:rsid w:val="38950836"/>
    <w:rsid w:val="38AA134A"/>
    <w:rsid w:val="38FF3ECD"/>
    <w:rsid w:val="3900628A"/>
    <w:rsid w:val="390721D7"/>
    <w:rsid w:val="393B510C"/>
    <w:rsid w:val="393E7417"/>
    <w:rsid w:val="393F4767"/>
    <w:rsid w:val="39A97E97"/>
    <w:rsid w:val="3A260C29"/>
    <w:rsid w:val="3A651F6E"/>
    <w:rsid w:val="3A980471"/>
    <w:rsid w:val="3AA53060"/>
    <w:rsid w:val="3AD26068"/>
    <w:rsid w:val="3B023801"/>
    <w:rsid w:val="3B57268D"/>
    <w:rsid w:val="3B6176CE"/>
    <w:rsid w:val="3BE850ED"/>
    <w:rsid w:val="3BF9504C"/>
    <w:rsid w:val="3C872BFA"/>
    <w:rsid w:val="3C9D3F8B"/>
    <w:rsid w:val="3CA60B04"/>
    <w:rsid w:val="3CCF5E45"/>
    <w:rsid w:val="3CF11603"/>
    <w:rsid w:val="3D5129F3"/>
    <w:rsid w:val="3D515A8A"/>
    <w:rsid w:val="3D623CEE"/>
    <w:rsid w:val="3D7507FB"/>
    <w:rsid w:val="3DE56C57"/>
    <w:rsid w:val="3E432AAE"/>
    <w:rsid w:val="3EB5127A"/>
    <w:rsid w:val="3EF341BE"/>
    <w:rsid w:val="3F1735F3"/>
    <w:rsid w:val="3F2A1578"/>
    <w:rsid w:val="3F393ECB"/>
    <w:rsid w:val="3F4355C6"/>
    <w:rsid w:val="3F503E5E"/>
    <w:rsid w:val="3F812CA8"/>
    <w:rsid w:val="3FB547D5"/>
    <w:rsid w:val="3FC16214"/>
    <w:rsid w:val="3FC76DC7"/>
    <w:rsid w:val="3FF81676"/>
    <w:rsid w:val="401C5365"/>
    <w:rsid w:val="401C6633"/>
    <w:rsid w:val="40A84E4B"/>
    <w:rsid w:val="41405083"/>
    <w:rsid w:val="41576FF8"/>
    <w:rsid w:val="418F600A"/>
    <w:rsid w:val="41D9164E"/>
    <w:rsid w:val="41DD521D"/>
    <w:rsid w:val="42064962"/>
    <w:rsid w:val="421870CD"/>
    <w:rsid w:val="423B7022"/>
    <w:rsid w:val="428E6A43"/>
    <w:rsid w:val="429A23DC"/>
    <w:rsid w:val="42A87124"/>
    <w:rsid w:val="42C972FA"/>
    <w:rsid w:val="42D633EC"/>
    <w:rsid w:val="430239C6"/>
    <w:rsid w:val="435E5C94"/>
    <w:rsid w:val="43607C5E"/>
    <w:rsid w:val="4389060E"/>
    <w:rsid w:val="438A79C3"/>
    <w:rsid w:val="43C8028A"/>
    <w:rsid w:val="43D51667"/>
    <w:rsid w:val="441D78FE"/>
    <w:rsid w:val="443B2C25"/>
    <w:rsid w:val="444A6219"/>
    <w:rsid w:val="448421F1"/>
    <w:rsid w:val="44B931B7"/>
    <w:rsid w:val="44DC50C3"/>
    <w:rsid w:val="452F651C"/>
    <w:rsid w:val="455235D7"/>
    <w:rsid w:val="45D37D9B"/>
    <w:rsid w:val="46113492"/>
    <w:rsid w:val="462C02CC"/>
    <w:rsid w:val="464053BE"/>
    <w:rsid w:val="464851B4"/>
    <w:rsid w:val="467C732F"/>
    <w:rsid w:val="474642BA"/>
    <w:rsid w:val="47637D1D"/>
    <w:rsid w:val="478D4D9A"/>
    <w:rsid w:val="48194FD5"/>
    <w:rsid w:val="484514CB"/>
    <w:rsid w:val="487675DC"/>
    <w:rsid w:val="48C86EE1"/>
    <w:rsid w:val="4972249A"/>
    <w:rsid w:val="498272AD"/>
    <w:rsid w:val="49A34BDC"/>
    <w:rsid w:val="49BF4FB3"/>
    <w:rsid w:val="49FA6EF8"/>
    <w:rsid w:val="4A0701BA"/>
    <w:rsid w:val="4A17094B"/>
    <w:rsid w:val="4A5751EC"/>
    <w:rsid w:val="4A64512B"/>
    <w:rsid w:val="4A784961"/>
    <w:rsid w:val="4A7B35D0"/>
    <w:rsid w:val="4ACF3A3C"/>
    <w:rsid w:val="4B1700DF"/>
    <w:rsid w:val="4B4B11F4"/>
    <w:rsid w:val="4B754894"/>
    <w:rsid w:val="4B9C1A50"/>
    <w:rsid w:val="4BA95F1B"/>
    <w:rsid w:val="4BD96800"/>
    <w:rsid w:val="4C085898"/>
    <w:rsid w:val="4C3677AE"/>
    <w:rsid w:val="4C373527"/>
    <w:rsid w:val="4CD90E2A"/>
    <w:rsid w:val="4D1473C4"/>
    <w:rsid w:val="4D5C3245"/>
    <w:rsid w:val="4DA71FF5"/>
    <w:rsid w:val="4DBC3CE3"/>
    <w:rsid w:val="4E055E94"/>
    <w:rsid w:val="4E1910C7"/>
    <w:rsid w:val="4EAA3D64"/>
    <w:rsid w:val="4EB175C0"/>
    <w:rsid w:val="4EBB21ED"/>
    <w:rsid w:val="4F0F6A19"/>
    <w:rsid w:val="4FCC3F86"/>
    <w:rsid w:val="50DB26D2"/>
    <w:rsid w:val="515D3A2F"/>
    <w:rsid w:val="51AF590D"/>
    <w:rsid w:val="51BC69A8"/>
    <w:rsid w:val="51C615D4"/>
    <w:rsid w:val="51D10A66"/>
    <w:rsid w:val="528A390F"/>
    <w:rsid w:val="528C6991"/>
    <w:rsid w:val="52C27FEE"/>
    <w:rsid w:val="52C3297B"/>
    <w:rsid w:val="53C02053"/>
    <w:rsid w:val="53CC09F8"/>
    <w:rsid w:val="54054633"/>
    <w:rsid w:val="540605E4"/>
    <w:rsid w:val="54136627"/>
    <w:rsid w:val="545A4256"/>
    <w:rsid w:val="547F0032"/>
    <w:rsid w:val="54A02A20"/>
    <w:rsid w:val="55B24F8F"/>
    <w:rsid w:val="55BD502A"/>
    <w:rsid w:val="55C87B3E"/>
    <w:rsid w:val="56017F1B"/>
    <w:rsid w:val="56A4413A"/>
    <w:rsid w:val="56C105BC"/>
    <w:rsid w:val="56EE3382"/>
    <w:rsid w:val="57142FA7"/>
    <w:rsid w:val="57286ECF"/>
    <w:rsid w:val="5797131D"/>
    <w:rsid w:val="57F33150"/>
    <w:rsid w:val="57FE558C"/>
    <w:rsid w:val="581B1F4E"/>
    <w:rsid w:val="58677DAE"/>
    <w:rsid w:val="586D1575"/>
    <w:rsid w:val="58D67D8C"/>
    <w:rsid w:val="58E10577"/>
    <w:rsid w:val="59165EF7"/>
    <w:rsid w:val="591A2206"/>
    <w:rsid w:val="592461EB"/>
    <w:rsid w:val="59702A12"/>
    <w:rsid w:val="59CF1242"/>
    <w:rsid w:val="59E44CEE"/>
    <w:rsid w:val="59EE5FB9"/>
    <w:rsid w:val="5AE46F75"/>
    <w:rsid w:val="5AED2A9C"/>
    <w:rsid w:val="5B597015"/>
    <w:rsid w:val="5B891CFC"/>
    <w:rsid w:val="5BC746C9"/>
    <w:rsid w:val="5C642116"/>
    <w:rsid w:val="5CC61F72"/>
    <w:rsid w:val="5CDA23D8"/>
    <w:rsid w:val="5CF206F7"/>
    <w:rsid w:val="5D440F45"/>
    <w:rsid w:val="5D6121B1"/>
    <w:rsid w:val="5DA764EE"/>
    <w:rsid w:val="5EA0340D"/>
    <w:rsid w:val="5ED66C3C"/>
    <w:rsid w:val="5EE017FC"/>
    <w:rsid w:val="5F7A468D"/>
    <w:rsid w:val="5F9E76ED"/>
    <w:rsid w:val="5FC66C44"/>
    <w:rsid w:val="5FDD643B"/>
    <w:rsid w:val="607249AE"/>
    <w:rsid w:val="60BA3E42"/>
    <w:rsid w:val="60E05AE3"/>
    <w:rsid w:val="6109503A"/>
    <w:rsid w:val="61181E1C"/>
    <w:rsid w:val="6155072E"/>
    <w:rsid w:val="6194383B"/>
    <w:rsid w:val="61A415C7"/>
    <w:rsid w:val="61C71D9F"/>
    <w:rsid w:val="61CB5375"/>
    <w:rsid w:val="61D4389A"/>
    <w:rsid w:val="61EA4E6B"/>
    <w:rsid w:val="61F21F72"/>
    <w:rsid w:val="623348CA"/>
    <w:rsid w:val="625421DB"/>
    <w:rsid w:val="62652744"/>
    <w:rsid w:val="62B40FD5"/>
    <w:rsid w:val="62EA2801"/>
    <w:rsid w:val="63462575"/>
    <w:rsid w:val="636D5D54"/>
    <w:rsid w:val="63A454EE"/>
    <w:rsid w:val="63D11B11"/>
    <w:rsid w:val="64124205"/>
    <w:rsid w:val="64395C36"/>
    <w:rsid w:val="646D768E"/>
    <w:rsid w:val="64966BE4"/>
    <w:rsid w:val="64B37F11"/>
    <w:rsid w:val="64C2650A"/>
    <w:rsid w:val="65492532"/>
    <w:rsid w:val="65687212"/>
    <w:rsid w:val="657D5FF6"/>
    <w:rsid w:val="658254E1"/>
    <w:rsid w:val="659A1AD6"/>
    <w:rsid w:val="65BF03BD"/>
    <w:rsid w:val="65C05392"/>
    <w:rsid w:val="65CA685B"/>
    <w:rsid w:val="65CF34A7"/>
    <w:rsid w:val="65DC0E29"/>
    <w:rsid w:val="65F660EF"/>
    <w:rsid w:val="6618187B"/>
    <w:rsid w:val="661E1452"/>
    <w:rsid w:val="663C7C5F"/>
    <w:rsid w:val="6673798C"/>
    <w:rsid w:val="66A03D4A"/>
    <w:rsid w:val="66F83B86"/>
    <w:rsid w:val="672901E4"/>
    <w:rsid w:val="673905B6"/>
    <w:rsid w:val="681C3942"/>
    <w:rsid w:val="68460AAC"/>
    <w:rsid w:val="68AC1CFE"/>
    <w:rsid w:val="68EC626C"/>
    <w:rsid w:val="68F650DE"/>
    <w:rsid w:val="69036813"/>
    <w:rsid w:val="6905484B"/>
    <w:rsid w:val="69227F4C"/>
    <w:rsid w:val="696C085C"/>
    <w:rsid w:val="69DA0037"/>
    <w:rsid w:val="6AC65D4A"/>
    <w:rsid w:val="6B0A032C"/>
    <w:rsid w:val="6B405AFC"/>
    <w:rsid w:val="6BCD1DE6"/>
    <w:rsid w:val="6BEA3CBA"/>
    <w:rsid w:val="6BF07722"/>
    <w:rsid w:val="6C4443B0"/>
    <w:rsid w:val="6C505023"/>
    <w:rsid w:val="6CCE7457"/>
    <w:rsid w:val="6CF41368"/>
    <w:rsid w:val="6CFE5C6F"/>
    <w:rsid w:val="6D14299F"/>
    <w:rsid w:val="6D4C69DA"/>
    <w:rsid w:val="6D5E2269"/>
    <w:rsid w:val="6D672A1E"/>
    <w:rsid w:val="6DC237D1"/>
    <w:rsid w:val="6E100405"/>
    <w:rsid w:val="6E2F4B86"/>
    <w:rsid w:val="6E681EA9"/>
    <w:rsid w:val="6E8421A4"/>
    <w:rsid w:val="6EB56801"/>
    <w:rsid w:val="6F286FD3"/>
    <w:rsid w:val="6F3C482C"/>
    <w:rsid w:val="6F40725E"/>
    <w:rsid w:val="6F4C2770"/>
    <w:rsid w:val="6F745D74"/>
    <w:rsid w:val="6F8F2BAE"/>
    <w:rsid w:val="6FC70A59"/>
    <w:rsid w:val="704D7B76"/>
    <w:rsid w:val="705D0EFE"/>
    <w:rsid w:val="70AE175A"/>
    <w:rsid w:val="711172CF"/>
    <w:rsid w:val="71FD54DD"/>
    <w:rsid w:val="72035AD5"/>
    <w:rsid w:val="729A3A97"/>
    <w:rsid w:val="72A93942"/>
    <w:rsid w:val="72CA287C"/>
    <w:rsid w:val="730833A3"/>
    <w:rsid w:val="732267F0"/>
    <w:rsid w:val="7329331A"/>
    <w:rsid w:val="738E7E4C"/>
    <w:rsid w:val="739A7F5B"/>
    <w:rsid w:val="73C51294"/>
    <w:rsid w:val="73C66DBA"/>
    <w:rsid w:val="7400407A"/>
    <w:rsid w:val="7410294D"/>
    <w:rsid w:val="74275AAB"/>
    <w:rsid w:val="749E3893"/>
    <w:rsid w:val="74C62A79"/>
    <w:rsid w:val="74D177C5"/>
    <w:rsid w:val="750464B4"/>
    <w:rsid w:val="75096F5F"/>
    <w:rsid w:val="752B4572"/>
    <w:rsid w:val="75491385"/>
    <w:rsid w:val="754E7067"/>
    <w:rsid w:val="75815055"/>
    <w:rsid w:val="75B07D22"/>
    <w:rsid w:val="75B82733"/>
    <w:rsid w:val="75D27C98"/>
    <w:rsid w:val="76373F9F"/>
    <w:rsid w:val="76611729"/>
    <w:rsid w:val="76B31608"/>
    <w:rsid w:val="76D71644"/>
    <w:rsid w:val="76EE69B8"/>
    <w:rsid w:val="770135F9"/>
    <w:rsid w:val="77106CCA"/>
    <w:rsid w:val="772347AB"/>
    <w:rsid w:val="776C2FB6"/>
    <w:rsid w:val="77D90A2D"/>
    <w:rsid w:val="785A6A91"/>
    <w:rsid w:val="786372CE"/>
    <w:rsid w:val="78FD646B"/>
    <w:rsid w:val="790C34C1"/>
    <w:rsid w:val="796450AB"/>
    <w:rsid w:val="79982284"/>
    <w:rsid w:val="7998662D"/>
    <w:rsid w:val="79F820B0"/>
    <w:rsid w:val="7A2F2846"/>
    <w:rsid w:val="7A305A34"/>
    <w:rsid w:val="7A4035DE"/>
    <w:rsid w:val="7A8C5878"/>
    <w:rsid w:val="7A9E418F"/>
    <w:rsid w:val="7AE975DE"/>
    <w:rsid w:val="7AFB559C"/>
    <w:rsid w:val="7B364826"/>
    <w:rsid w:val="7B471854"/>
    <w:rsid w:val="7BB87930"/>
    <w:rsid w:val="7BDC1EC1"/>
    <w:rsid w:val="7BDF4EBD"/>
    <w:rsid w:val="7C552333"/>
    <w:rsid w:val="7CA86C55"/>
    <w:rsid w:val="7CB4634A"/>
    <w:rsid w:val="7CDA5B60"/>
    <w:rsid w:val="7CF019C1"/>
    <w:rsid w:val="7D0365C6"/>
    <w:rsid w:val="7D341239"/>
    <w:rsid w:val="7D34485C"/>
    <w:rsid w:val="7D461CAD"/>
    <w:rsid w:val="7D8E0949"/>
    <w:rsid w:val="7DB4261D"/>
    <w:rsid w:val="7DBA173E"/>
    <w:rsid w:val="7DCC76C3"/>
    <w:rsid w:val="7E28286A"/>
    <w:rsid w:val="7E290672"/>
    <w:rsid w:val="7E3E4D75"/>
    <w:rsid w:val="7E4515FE"/>
    <w:rsid w:val="7E7C115E"/>
    <w:rsid w:val="7EAD59B2"/>
    <w:rsid w:val="7EBF11BA"/>
    <w:rsid w:val="7F596B88"/>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87</Pages>
  <Words>5235</Words>
  <Characters>5661</Characters>
  <Lines>2335</Lines>
  <Paragraphs>2269</Paragraphs>
  <TotalTime>33</TotalTime>
  <ScaleCrop>false</ScaleCrop>
  <LinksUpToDate>false</LinksUpToDate>
  <CharactersWithSpaces>5807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2025-04-15T03:11:00Z</dcterms:created>
  <dc:creator>微软用户</dc:creator>
  <cp:lastModifiedBy>中正招标-梁工</cp:lastModifiedBy>
  <cp:lastPrinted>2020-05-26T01:03:00Z</cp:lastPrinted>
  <dcterms:modified xsi:type="dcterms:W3CDTF">2025-04-16T06:46:49Z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AD84E5E0E2A248B09A0397DB62BAF2A4_13</vt:lpwstr>
  </property>
  <property fmtid="{D5CDD505-2E9C-101B-9397-08002B2CF9AE}" pid="4" name="KSOTemplateDocerSaveRecord">
    <vt:lpwstr>eyJoZGlkIjoiNzFmODkyYTJhYTc0NDU2NmYyMGFlOTA5ZWRiNzRhY2IiLCJ1c2VySWQiOiIxNTIxNDE1MzI1In0=</vt:lpwstr>
  </property>
</Properties>
</file>