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cs="仿宋" w:asciiTheme="minorEastAsia" w:hAnsiTheme="minorEastAsia" w:eastAsiaTheme="minorEastAsia"/>
          <w:b/>
          <w:bCs/>
          <w:snapToGrid w:val="0"/>
          <w:kern w:val="0"/>
          <w:sz w:val="28"/>
          <w:szCs w:val="28"/>
        </w:rPr>
      </w:pPr>
      <w:r>
        <w:rPr>
          <w:rFonts w:cs="仿宋" w:asciiTheme="minorEastAsia" w:hAnsiTheme="minorEastAsia" w:eastAsiaTheme="minorEastAsia"/>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mc:Fallback>
        </mc:AlternateContent>
      </w:r>
      <w:r>
        <w:rPr>
          <w:rFonts w:hint="eastAsia" w:cs="仿宋" w:asciiTheme="minorEastAsia" w:hAnsiTheme="minorEastAsia" w:eastAsiaTheme="minorEastAsia"/>
          <w:b/>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rPr>
      </w:pPr>
    </w:p>
    <w:p>
      <w:pPr>
        <w:jc w:val="center"/>
        <w:rPr>
          <w:rFonts w:cs="仿宋" w:asciiTheme="minorEastAsia" w:hAnsiTheme="minorEastAsia" w:eastAsiaTheme="minorEastAsia"/>
          <w:sz w:val="22"/>
          <w:szCs w:val="24"/>
        </w:rPr>
      </w:pPr>
      <w:r>
        <w:rPr>
          <w:rFonts w:hint="eastAsia" w:cs="仿宋" w:asciiTheme="minorEastAsia" w:hAnsiTheme="minorEastAsia" w:eastAsiaTheme="minorEastAsia"/>
          <w:b/>
          <w:bCs/>
          <w:snapToGrid w:val="0"/>
          <w:kern w:val="0"/>
          <w:sz w:val="96"/>
          <w:szCs w:val="96"/>
        </w:rPr>
        <w:t>电子脚扣采购</w:t>
      </w:r>
    </w:p>
    <w:p>
      <w:pPr>
        <w:rPr>
          <w:rFonts w:cs="仿宋" w:asciiTheme="minorEastAsia" w:hAnsiTheme="minorEastAsia" w:eastAsiaTheme="minorEastAsia"/>
        </w:rPr>
      </w:pPr>
    </w:p>
    <w:p>
      <w:pPr>
        <w:rPr>
          <w:rFonts w:cs="仿宋" w:asciiTheme="minorEastAsia" w:hAnsiTheme="minorEastAsia" w:eastAsiaTheme="minorEastAsia"/>
        </w:rPr>
      </w:pPr>
    </w:p>
    <w:p>
      <w:pPr>
        <w:pStyle w:val="2"/>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90"/>
        </w:rPr>
      </w:pPr>
      <w:r>
        <w:rPr>
          <w:rFonts w:hint="eastAsia" w:cs="仿宋" w:asciiTheme="minorEastAsia" w:hAnsiTheme="minorEastAsia" w:eastAsiaTheme="minorEastAsia"/>
          <w:b/>
          <w:snapToGrid w:val="0"/>
          <w:kern w:val="0"/>
          <w:sz w:val="90"/>
        </w:rPr>
        <w:t>征  集　文　件</w:t>
      </w:r>
    </w:p>
    <w:p>
      <w:pPr>
        <w:adjustRightInd w:val="0"/>
        <w:snapToGrid w:val="0"/>
        <w:spacing w:line="300" w:lineRule="auto"/>
        <w:jc w:val="center"/>
        <w:rPr>
          <w:rFonts w:cs="仿宋" w:asciiTheme="minorEastAsia" w:hAnsiTheme="minorEastAsia" w:eastAsiaTheme="minorEastAsia"/>
          <w:b/>
          <w:snapToGrid w:val="0"/>
          <w:kern w:val="0"/>
          <w:sz w:val="32"/>
        </w:rPr>
      </w:pPr>
    </w:p>
    <w:p>
      <w:pPr>
        <w:adjustRightInd w:val="0"/>
        <w:snapToGrid w:val="0"/>
        <w:spacing w:line="300" w:lineRule="auto"/>
        <w:jc w:val="center"/>
        <w:rPr>
          <w:rFonts w:cs="仿宋" w:asciiTheme="minorEastAsia" w:hAnsiTheme="minorEastAsia" w:eastAsiaTheme="minorEastAsia"/>
          <w:b/>
          <w:snapToGrid w:val="0"/>
          <w:kern w:val="0"/>
          <w:sz w:val="32"/>
        </w:rPr>
      </w:pPr>
    </w:p>
    <w:p>
      <w:pPr>
        <w:adjustRightInd w:val="0"/>
        <w:snapToGrid w:val="0"/>
        <w:spacing w:line="300" w:lineRule="auto"/>
        <w:jc w:val="center"/>
        <w:rPr>
          <w:rFonts w:cs="仿宋" w:asciiTheme="minorEastAsia" w:hAnsiTheme="minorEastAsia" w:eastAsiaTheme="minorEastAsia"/>
          <w:b/>
          <w:snapToGrid w:val="0"/>
          <w:kern w:val="0"/>
          <w:sz w:val="32"/>
        </w:rPr>
      </w:pPr>
    </w:p>
    <w:p>
      <w:pPr>
        <w:adjustRightInd w:val="0"/>
        <w:snapToGrid w:val="0"/>
        <w:spacing w:line="300" w:lineRule="auto"/>
        <w:jc w:val="center"/>
        <w:rPr>
          <w:rFonts w:cs="仿宋" w:asciiTheme="minorEastAsia" w:hAnsiTheme="minorEastAsia" w:eastAsiaTheme="minorEastAsia"/>
          <w:b/>
          <w:snapToGrid w:val="0"/>
          <w:kern w:val="0"/>
          <w:sz w:val="32"/>
        </w:rPr>
      </w:pPr>
    </w:p>
    <w:p>
      <w:pPr>
        <w:adjustRightInd w:val="0"/>
        <w:snapToGrid w:val="0"/>
        <w:spacing w:line="300" w:lineRule="auto"/>
        <w:jc w:val="center"/>
        <w:rPr>
          <w:rFonts w:hint="eastAsia" w:cs="仿宋" w:asciiTheme="minorEastAsia" w:hAnsiTheme="minorEastAsia" w:eastAsiaTheme="minorEastAsia"/>
          <w:b/>
          <w:snapToGrid w:val="0"/>
          <w:kern w:val="0"/>
          <w:sz w:val="44"/>
          <w:lang w:eastAsia="zh-CN"/>
        </w:rPr>
      </w:pPr>
      <w:r>
        <w:rPr>
          <w:rFonts w:hint="eastAsia" w:cs="仿宋" w:asciiTheme="minorEastAsia" w:hAnsiTheme="minorEastAsia" w:eastAsiaTheme="minorEastAsia"/>
          <w:b/>
          <w:snapToGrid w:val="0"/>
          <w:kern w:val="0"/>
          <w:sz w:val="32"/>
        </w:rPr>
        <w:t>项目编号：</w:t>
      </w:r>
      <w:r>
        <w:rPr>
          <w:rFonts w:hint="eastAsia" w:cs="仿宋" w:asciiTheme="minorEastAsia" w:hAnsiTheme="minorEastAsia" w:eastAsiaTheme="minorEastAsia"/>
          <w:b/>
          <w:snapToGrid w:val="0"/>
          <w:kern w:val="0"/>
          <w:sz w:val="32"/>
          <w:lang w:eastAsia="zh-CN"/>
        </w:rPr>
        <w:t>SZZZ2023-QA0030</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pStyle w:val="2"/>
      </w:pPr>
    </w:p>
    <w:p>
      <w:pPr>
        <w:pStyle w:val="2"/>
      </w:pPr>
    </w:p>
    <w:p>
      <w:pPr>
        <w:rPr>
          <w:rFonts w:cs="仿宋" w:asciiTheme="minorEastAsia" w:hAnsiTheme="minorEastAsia" w:eastAsiaTheme="minorEastAsia"/>
        </w:rPr>
      </w:pPr>
    </w:p>
    <w:p>
      <w:pPr>
        <w:pStyle w:val="11"/>
        <w:adjustRightInd w:val="0"/>
        <w:snapToGrid w:val="0"/>
        <w:spacing w:line="300" w:lineRule="auto"/>
        <w:jc w:val="center"/>
        <w:rPr>
          <w:rFonts w:cs="仿宋" w:asciiTheme="minorEastAsia" w:hAnsiTheme="minorEastAsia" w:eastAsiaTheme="minorEastAsia"/>
          <w:b/>
          <w:snapToGrid w:val="0"/>
          <w:sz w:val="30"/>
        </w:rPr>
      </w:pPr>
      <w:r>
        <w:rPr>
          <w:rFonts w:hint="eastAsia" w:cs="仿宋" w:asciiTheme="minorEastAsia" w:hAnsiTheme="minorEastAsia" w:eastAsiaTheme="minorEastAsia"/>
          <w:b/>
          <w:snapToGrid w:val="0"/>
          <w:sz w:val="30"/>
        </w:rPr>
        <w:t>二〇二</w:t>
      </w:r>
      <w:r>
        <w:rPr>
          <w:rFonts w:hint="eastAsia" w:cs="仿宋" w:asciiTheme="minorEastAsia" w:hAnsiTheme="minorEastAsia" w:eastAsiaTheme="minorEastAsia"/>
          <w:b/>
          <w:snapToGrid w:val="0"/>
          <w:sz w:val="30"/>
          <w:lang w:val="en-US" w:eastAsia="zh-CN"/>
        </w:rPr>
        <w:t>三</w:t>
      </w:r>
      <w:r>
        <w:rPr>
          <w:rFonts w:hint="eastAsia" w:cs="仿宋" w:asciiTheme="minorEastAsia" w:hAnsiTheme="minorEastAsia" w:eastAsiaTheme="minorEastAsia"/>
          <w:b/>
          <w:snapToGrid w:val="0"/>
          <w:sz w:val="30"/>
        </w:rPr>
        <w:t>年二月</w:t>
      </w:r>
    </w:p>
    <w:p>
      <w:pPr>
        <w:widowControl/>
        <w:jc w:val="center"/>
        <w:rPr>
          <w:rFonts w:cs="仿宋" w:asciiTheme="minorEastAsia" w:hAnsiTheme="minorEastAsia" w:eastAsiaTheme="minorEastAsia"/>
          <w:snapToGrid w:val="0"/>
        </w:rPr>
      </w:pPr>
      <w:r>
        <w:rPr>
          <w:rFonts w:hint="eastAsia" w:cs="仿宋" w:asciiTheme="minorEastAsia" w:hAnsiTheme="minorEastAsia" w:eastAsiaTheme="minorEastAsia"/>
          <w:snapToGrid w:val="0"/>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一、《深圳经济特区政府采购条例》第五十七条</w:t>
      </w:r>
      <w:r>
        <w:rPr>
          <w:rFonts w:ascii="仿宋" w:hAnsi="仿宋" w:eastAsia="仿宋"/>
          <w:sz w:val="24"/>
          <w:szCs w:val="24"/>
        </w:rPr>
        <w:t xml:space="preserve"> </w:t>
      </w:r>
      <w:r>
        <w:rPr>
          <w:rFonts w:hint="eastAsia" w:ascii="仿宋" w:hAnsi="仿宋" w:eastAsia="仿宋"/>
          <w:sz w:val="24"/>
          <w:szCs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（一）在采购活动中应当回避而未回避的；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（二）未按本条例规定签订、履行采购合同，造成严重后果的；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（三）隐瞒真实情况，提供虚假资料的；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（四）以非法手段排斥其他供应商参与竞争的；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（五）与其他采购参加人串通投标的；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（六）恶意投诉的；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（七）向采购项目相关人行贿或者提供其他不当利益的；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（八）阻碍、抗拒主管部门监督检查的；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（九）其他违反本条例规定的行为。</w:t>
      </w: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（一）投标供应商之间相互约定给予未中标的供应商利益补偿；</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（四）不同投标供应商的投标文件或部分投标文件相互混装；</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（五）不同投标供应商的投标文件内容存在非正常一致；</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（六）由同一单位工作人员为两家以上（含两家）供应商进行同一项投标活动的；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（七）主管部门依照法律、法规认定的其他情形。</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（一）通过转让或者租借等方式从其他单位获取资格或者资质证书投标的；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（三）项目负责人或者主要技术人员不是本单位人员的；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（四）投标保证金不是从投标供应商基本账户转出的；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（五）其他隐瞒真实情况、提供虚假资料的行为。</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szCs w:val="24"/>
        </w:rPr>
      </w:pPr>
    </w:p>
    <w:p>
      <w:pPr>
        <w:spacing w:line="440" w:lineRule="exact"/>
        <w:ind w:firstLine="426" w:firstLineChars="177"/>
        <w:rPr>
          <w:rFonts w:ascii="仿宋_GB2312" w:eastAsia="仿宋_GB2312" w:hAnsiTheme="minorEastAsia"/>
          <w:b/>
          <w:color w:val="FF0000"/>
          <w:sz w:val="24"/>
          <w:szCs w:val="24"/>
        </w:rPr>
      </w:pPr>
      <w:r>
        <w:rPr>
          <w:rFonts w:hint="eastAsia" w:ascii="仿宋_GB2312" w:eastAsia="仿宋_GB2312" w:hAnsiTheme="minorEastAsia"/>
          <w:b/>
          <w:color w:val="FF0000"/>
          <w:sz w:val="24"/>
          <w:szCs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szCs w:val="24"/>
        </w:rPr>
      </w:pPr>
      <w:r>
        <w:rPr>
          <w:rFonts w:hint="eastAsia" w:ascii="仿宋_GB2312" w:eastAsia="仿宋_GB2312" w:hAnsiTheme="minorEastAsia"/>
          <w:b/>
          <w:color w:val="FF0000"/>
          <w:sz w:val="24"/>
          <w:szCs w:val="24"/>
        </w:rPr>
        <w:t>投标供应商涉嫌存在串通投标等违法行为的，将书面报告财政主管部门依法处理。</w:t>
      </w:r>
    </w:p>
    <w:p>
      <w:pPr>
        <w:widowControl/>
        <w:rPr>
          <w:rFonts w:cs="仿宋" w:asciiTheme="minorEastAsia" w:hAnsiTheme="minorEastAsia" w:eastAsiaTheme="minorEastAsia"/>
          <w:snapToGrid w:val="0"/>
        </w:rPr>
      </w:pPr>
    </w:p>
    <w:p>
      <w:pPr>
        <w:widowControl/>
        <w:jc w:val="left"/>
        <w:rPr>
          <w:rFonts w:cs="仿宋" w:asciiTheme="minorEastAsia" w:hAnsiTheme="minorEastAsia" w:eastAsiaTheme="minorEastAsia"/>
          <w:snapToGrid w:val="0"/>
        </w:rPr>
      </w:pPr>
      <w:r>
        <w:rPr>
          <w:rFonts w:cs="仿宋" w:asciiTheme="minorEastAsia" w:hAnsiTheme="minorEastAsia" w:eastAsiaTheme="minorEastAsia"/>
          <w:snapToGrid w:val="0"/>
        </w:rPr>
        <w:br w:type="page"/>
      </w:r>
    </w:p>
    <w:p>
      <w:pPr>
        <w:widowControl/>
        <w:jc w:val="center"/>
        <w:rPr>
          <w:rFonts w:cs="仿宋" w:asciiTheme="minorEastAsia" w:hAnsiTheme="minorEastAsia" w:eastAsiaTheme="minorEastAsia"/>
          <w:snapToGrid w:val="0"/>
        </w:rPr>
      </w:pPr>
    </w:p>
    <w:p>
      <w:pPr>
        <w:widowControl/>
        <w:jc w:val="center"/>
        <w:rPr>
          <w:rFonts w:cs="仿宋" w:asciiTheme="minorEastAsia" w:hAnsiTheme="minorEastAsia" w:eastAsiaTheme="minorEastAsia"/>
          <w:b/>
          <w:snapToGrid w:val="0"/>
          <w:sz w:val="48"/>
          <w:szCs w:val="48"/>
        </w:rPr>
      </w:pPr>
      <w:r>
        <w:rPr>
          <w:rFonts w:hint="eastAsia" w:cs="仿宋" w:asciiTheme="minorEastAsia" w:hAnsiTheme="minorEastAsia" w:eastAsiaTheme="minorEastAsia"/>
          <w:b/>
          <w:snapToGrid w:val="0"/>
          <w:sz w:val="48"/>
          <w:szCs w:val="48"/>
        </w:rPr>
        <w:t>征集文件信息</w:t>
      </w:r>
    </w:p>
    <w:p>
      <w:pPr>
        <w:widowControl/>
        <w:jc w:val="left"/>
        <w:rPr>
          <w:rFonts w:cs="仿宋" w:asciiTheme="minorEastAsia" w:hAnsiTheme="minorEastAsia" w:eastAsiaTheme="minorEastAsia"/>
          <w:sz w:val="28"/>
        </w:rPr>
      </w:pPr>
    </w:p>
    <w:tbl>
      <w:tblPr>
        <w:tblStyle w:val="17"/>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项目名称</w:t>
            </w:r>
          </w:p>
        </w:tc>
        <w:tc>
          <w:tcPr>
            <w:tcW w:w="6555" w:type="dxa"/>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szCs w:val="21"/>
              </w:rPr>
              <w:t>电子脚扣采购</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项目编号</w:t>
            </w:r>
          </w:p>
        </w:tc>
        <w:tc>
          <w:tcPr>
            <w:tcW w:w="6555" w:type="dxa"/>
            <w:vAlign w:val="center"/>
          </w:tcPr>
          <w:p>
            <w:pPr>
              <w:widowControl/>
              <w:spacing w:line="480" w:lineRule="auto"/>
              <w:jc w:val="center"/>
              <w:rPr>
                <w:rFonts w:hint="eastAsia" w:cs="仿宋" w:asciiTheme="minorEastAsia" w:hAnsiTheme="minorEastAsia" w:eastAsiaTheme="minorEastAsia"/>
                <w:szCs w:val="21"/>
                <w:lang w:eastAsia="zh-CN"/>
              </w:rPr>
            </w:pPr>
            <w:r>
              <w:rPr>
                <w:rFonts w:hint="eastAsia" w:cs="仿宋" w:asciiTheme="minorEastAsia" w:hAnsiTheme="minorEastAsia" w:eastAsiaTheme="minorEastAsia"/>
                <w:szCs w:val="21"/>
                <w:lang w:eastAsia="zh-CN"/>
              </w:rPr>
              <w:t>SZZZ2023-QA0030</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项目类型</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货物类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采购方式</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公开征集</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是否评定分离</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否</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评审方法</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综合评分法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定标方法</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无</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中标候选供应商</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1家</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中标供应商</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1家</w:t>
            </w:r>
          </w:p>
        </w:tc>
      </w:tr>
    </w:tbl>
    <w:p>
      <w:pPr>
        <w:widowControl/>
        <w:jc w:val="left"/>
        <w:rPr>
          <w:rFonts w:cs="仿宋" w:asciiTheme="minorEastAsia" w:hAnsiTheme="minorEastAsia" w:eastAsiaTheme="minorEastAsia"/>
          <w:b/>
          <w:sz w:val="36"/>
        </w:rPr>
      </w:pPr>
      <w:r>
        <w:rPr>
          <w:rFonts w:hint="eastAsia" w:cs="仿宋" w:asciiTheme="minorEastAsia" w:hAnsiTheme="minorEastAsia" w:eastAsiaTheme="minorEastAsia"/>
          <w:b/>
          <w:sz w:val="36"/>
        </w:rPr>
        <w:br w:type="page"/>
      </w:r>
    </w:p>
    <w:p>
      <w:pPr>
        <w:spacing w:line="360" w:lineRule="auto"/>
        <w:jc w:val="center"/>
        <w:rPr>
          <w:rFonts w:cs="仿宋" w:asciiTheme="minorEastAsia" w:hAnsiTheme="minorEastAsia" w:eastAsiaTheme="minorEastAsia"/>
          <w:b/>
          <w:sz w:val="48"/>
          <w:szCs w:val="48"/>
        </w:rPr>
      </w:pPr>
      <w:r>
        <w:rPr>
          <w:rFonts w:hint="eastAsia" w:cs="仿宋" w:asciiTheme="minorEastAsia" w:hAnsiTheme="minorEastAsia" w:eastAsiaTheme="minorEastAsia"/>
          <w:b/>
          <w:sz w:val="48"/>
          <w:szCs w:val="48"/>
        </w:rPr>
        <w:t>征集文件目录</w:t>
      </w:r>
    </w:p>
    <w:p>
      <w:pPr>
        <w:jc w:val="center"/>
        <w:rPr>
          <w:rFonts w:cs="仿宋" w:asciiTheme="minorEastAsia" w:hAnsiTheme="minorEastAsia" w:eastAsiaTheme="minorEastAsia"/>
          <w:b/>
          <w:sz w:val="20"/>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第一部分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投标须知前附表及评审信息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第二部分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第三部分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格式1 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格式2 投标供应商资格证明文件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格式3评分中涉及的承诺及声明函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格式4 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格式5 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格式6 技术规格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格式7 交付进度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格式8 售后服务和质量承诺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格式9 偏离表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格式10 其他征集文件要求的资料或投标供应商认为需要补充的资料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第四部分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第五部分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通用条款（投标须知）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A、说明；B、征集文件说明；C、投标文件的编写；</w:t>
            </w:r>
          </w:p>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D、投标文件递交；E、开标和评审；F、授予合同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第六部分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spacing w:line="360" w:lineRule="auto"/>
              <w:rPr>
                <w:rFonts w:ascii="仿宋_GB2312" w:eastAsia="仿宋_GB2312" w:cs="仿宋" w:hAnsiTheme="minorEastAsia"/>
                <w:sz w:val="24"/>
              </w:rPr>
            </w:pPr>
            <w:r>
              <w:rPr>
                <w:rFonts w:hint="eastAsia" w:ascii="仿宋_GB2312" w:eastAsia="仿宋_GB2312" w:cs="仿宋" w:hAnsiTheme="minorEastAsia"/>
                <w:sz w:val="24"/>
              </w:rPr>
              <w:t>附件</w:t>
            </w:r>
            <w:bookmarkStart w:id="0" w:name="_Hlt229371809"/>
            <w:r>
              <w:rPr>
                <w:rFonts w:hint="eastAsia" w:ascii="仿宋_GB2312" w:eastAsia="仿宋_GB2312" w:cs="仿宋" w:hAnsiTheme="minorEastAsia"/>
                <w:sz w:val="24"/>
              </w:rPr>
              <w:t>1</w:t>
            </w:r>
            <w:bookmarkEnd w:id="0"/>
            <w:r>
              <w:rPr>
                <w:rFonts w:hint="eastAsia" w:ascii="仿宋_GB2312" w:eastAsia="仿宋_GB2312" w:cs="仿宋" w:hAnsiTheme="minorEastAsia"/>
                <w:sz w:val="24"/>
              </w:rPr>
              <w:t xml:space="preserve">  履</w:t>
            </w:r>
            <w:bookmarkStart w:id="1" w:name="_Hlt358023691"/>
            <w:r>
              <w:rPr>
                <w:rFonts w:hint="eastAsia" w:ascii="仿宋_GB2312" w:eastAsia="仿宋_GB2312" w:cs="仿宋" w:hAnsiTheme="minorEastAsia"/>
                <w:sz w:val="24"/>
              </w:rPr>
              <w:t>约</w:t>
            </w:r>
            <w:bookmarkEnd w:id="1"/>
            <w:r>
              <w:rPr>
                <w:rFonts w:hint="eastAsia" w:ascii="仿宋_GB2312" w:eastAsia="仿宋_GB2312" w:cs="仿宋" w:hAnsiTheme="minorEastAsia"/>
                <w:sz w:val="24"/>
              </w:rPr>
              <w:t>保</w:t>
            </w:r>
            <w:bookmarkStart w:id="2" w:name="_Hlt356375840"/>
            <w:bookmarkStart w:id="3" w:name="_Hlt356375839"/>
            <w:r>
              <w:rPr>
                <w:rFonts w:hint="eastAsia" w:ascii="仿宋_GB2312" w:eastAsia="仿宋_GB2312" w:cs="仿宋" w:hAnsiTheme="minorEastAsia"/>
                <w:sz w:val="24"/>
              </w:rPr>
              <w:t>证</w:t>
            </w:r>
            <w:bookmarkEnd w:id="2"/>
            <w:bookmarkEnd w:id="3"/>
            <w:r>
              <w:rPr>
                <w:rFonts w:hint="eastAsia" w:ascii="仿宋_GB2312" w:eastAsia="仿宋_GB2312" w:cs="仿宋" w:hAnsiTheme="minorEastAsia"/>
                <w:sz w:val="24"/>
              </w:rPr>
              <w:t>金</w:t>
            </w:r>
          </w:p>
        </w:tc>
      </w:tr>
    </w:tbl>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left"/>
        <w:rPr>
          <w:rFonts w:cs="仿宋" w:asciiTheme="minorEastAsia" w:hAnsiTheme="minorEastAsia" w:eastAsiaTheme="minorEastAsia"/>
        </w:rPr>
      </w:pPr>
    </w:p>
    <w:p>
      <w:pPr>
        <w:rPr>
          <w:rFonts w:cs="仿宋" w:asciiTheme="minorEastAsia" w:hAnsiTheme="minorEastAsia" w:eastAsiaTheme="minorEastAsia"/>
        </w:rPr>
      </w:pPr>
    </w:p>
    <w:p>
      <w:pPr>
        <w:pStyle w:val="4"/>
        <w:keepNext w:val="0"/>
        <w:rPr>
          <w:rFonts w:cs="仿宋" w:asciiTheme="minorEastAsia" w:hAnsiTheme="minorEastAsia" w:eastAsiaTheme="minorEastAsia"/>
          <w:b/>
          <w:snapToGrid w:val="0"/>
          <w:color w:val="auto"/>
          <w:kern w:val="0"/>
          <w:sz w:val="72"/>
        </w:rPr>
      </w:pPr>
    </w:p>
    <w:p>
      <w:pPr>
        <w:pStyle w:val="4"/>
        <w:keepNext w:val="0"/>
        <w:rPr>
          <w:rFonts w:cs="仿宋" w:asciiTheme="minorEastAsia" w:hAnsiTheme="minorEastAsia" w:eastAsiaTheme="minorEastAsia"/>
          <w:b/>
          <w:snapToGrid w:val="0"/>
          <w:color w:val="auto"/>
          <w:kern w:val="0"/>
          <w:sz w:val="72"/>
        </w:rPr>
      </w:pPr>
    </w:p>
    <w:p>
      <w:pPr>
        <w:pStyle w:val="4"/>
        <w:keepNext w:val="0"/>
        <w:rPr>
          <w:rFonts w:cs="仿宋" w:asciiTheme="minorEastAsia" w:hAnsiTheme="minorEastAsia" w:eastAsiaTheme="minorEastAsia"/>
          <w:b/>
          <w:snapToGrid w:val="0"/>
          <w:color w:val="auto"/>
          <w:kern w:val="0"/>
          <w:sz w:val="72"/>
        </w:rPr>
      </w:pPr>
    </w:p>
    <w:p>
      <w:pPr>
        <w:pStyle w:val="4"/>
        <w:keepNext w:val="0"/>
        <w:rPr>
          <w:rFonts w:cs="仿宋" w:asciiTheme="minorEastAsia" w:hAnsiTheme="minorEastAsia" w:eastAsiaTheme="minorEastAsia"/>
          <w:b/>
          <w:snapToGrid w:val="0"/>
          <w:color w:val="auto"/>
          <w:kern w:val="0"/>
          <w:sz w:val="72"/>
        </w:rPr>
      </w:pPr>
    </w:p>
    <w:p>
      <w:pPr>
        <w:pStyle w:val="4"/>
        <w:keepNext w:val="0"/>
        <w:rPr>
          <w:rFonts w:cs="仿宋" w:asciiTheme="minorEastAsia" w:hAnsiTheme="minorEastAsia" w:eastAsiaTheme="minorEastAsia"/>
          <w:b/>
          <w:snapToGrid w:val="0"/>
          <w:color w:val="auto"/>
          <w:kern w:val="0"/>
          <w:sz w:val="72"/>
        </w:rPr>
      </w:pPr>
    </w:p>
    <w:p>
      <w:pPr>
        <w:pStyle w:val="4"/>
        <w:keepNext w:val="0"/>
        <w:rPr>
          <w:rFonts w:cs="仿宋" w:asciiTheme="minorEastAsia" w:hAnsiTheme="minorEastAsia" w:eastAsiaTheme="minorEastAsia"/>
          <w:b/>
          <w:snapToGrid w:val="0"/>
          <w:color w:val="auto"/>
          <w:kern w:val="0"/>
          <w:sz w:val="72"/>
        </w:rPr>
      </w:pPr>
      <w:r>
        <w:rPr>
          <w:rFonts w:hint="eastAsia" w:cs="仿宋" w:asciiTheme="minorEastAsia" w:hAnsiTheme="minorEastAsia" w:eastAsiaTheme="minorEastAsia"/>
          <w:b/>
          <w:snapToGrid w:val="0"/>
          <w:color w:val="auto"/>
          <w:kern w:val="0"/>
          <w:sz w:val="96"/>
        </w:rPr>
        <w:t>采购公告</w:t>
      </w:r>
    </w:p>
    <w:p>
      <w:pPr>
        <w:rPr>
          <w:rFonts w:cs="仿宋" w:asciiTheme="minorEastAsia" w:hAnsiTheme="minorEastAsia" w:eastAsiaTheme="minorEastAsia"/>
          <w:snapToGrid w:val="0"/>
          <w:kern w:val="0"/>
          <w:szCs w:val="20"/>
        </w:rPr>
      </w:pPr>
      <w:r>
        <w:rPr>
          <w:rFonts w:hint="eastAsia" w:cs="仿宋" w:asciiTheme="minorEastAsia" w:hAnsiTheme="minorEastAsia" w:eastAsiaTheme="minorEastAsia"/>
          <w:snapToGrid w:val="0"/>
          <w:kern w:val="0"/>
        </w:rPr>
        <w:br w:type="page"/>
      </w:r>
    </w:p>
    <w:p>
      <w:pPr>
        <w:jc w:val="center"/>
        <w:rPr>
          <w:rFonts w:ascii="仿宋_GB2312" w:hAnsi="黑体" w:eastAsia="仿宋_GB2312" w:cs="仿宋"/>
          <w:b/>
          <w:bCs/>
          <w:snapToGrid w:val="0"/>
          <w:kern w:val="0"/>
          <w:sz w:val="32"/>
          <w:szCs w:val="32"/>
        </w:rPr>
      </w:pPr>
      <w:r>
        <w:rPr>
          <w:rFonts w:hint="eastAsia" w:ascii="仿宋_GB2312" w:hAnsi="黑体" w:eastAsia="仿宋_GB2312" w:cs="仿宋"/>
          <w:b/>
          <w:bCs/>
          <w:snapToGrid w:val="0"/>
          <w:kern w:val="0"/>
          <w:sz w:val="32"/>
          <w:szCs w:val="32"/>
        </w:rPr>
        <w:t>电子脚扣采购项目采购公告</w:t>
      </w:r>
    </w:p>
    <w:p>
      <w:pPr>
        <w:spacing w:line="360" w:lineRule="auto"/>
        <w:rPr>
          <w:rFonts w:cs="仿宋" w:asciiTheme="minorEastAsia" w:hAnsiTheme="minorEastAsia" w:eastAsiaTheme="minorEastAsia"/>
          <w:b/>
          <w:sz w:val="24"/>
          <w:szCs w:val="24"/>
        </w:rPr>
      </w:pPr>
    </w:p>
    <w:p>
      <w:pPr>
        <w:spacing w:line="360" w:lineRule="auto"/>
        <w:rPr>
          <w:rFonts w:cs="仿宋" w:asciiTheme="minorEastAsia" w:hAnsiTheme="minorEastAsia" w:eastAsiaTheme="minorEastAsia"/>
          <w:b/>
          <w:szCs w:val="21"/>
        </w:rPr>
      </w:pPr>
      <w:r>
        <w:rPr>
          <w:rFonts w:hint="eastAsia" w:cs="仿宋" w:asciiTheme="minorEastAsia" w:hAnsiTheme="minorEastAsia" w:eastAsiaTheme="minorEastAsia"/>
          <w:b/>
          <w:szCs w:val="21"/>
        </w:rPr>
        <w:t>一、项目概况</w:t>
      </w:r>
    </w:p>
    <w:p>
      <w:pPr>
        <w:spacing w:line="360" w:lineRule="auto"/>
        <w:ind w:firstLine="424" w:firstLineChars="202"/>
        <w:rPr>
          <w:rFonts w:cs="仿宋" w:asciiTheme="minorEastAsia" w:hAnsiTheme="minorEastAsia" w:eastAsiaTheme="minorEastAsia"/>
          <w:bCs/>
          <w:szCs w:val="21"/>
        </w:rPr>
      </w:pPr>
      <w:r>
        <w:rPr>
          <w:rFonts w:hint="eastAsia" w:cs="仿宋" w:asciiTheme="minorEastAsia" w:hAnsiTheme="minorEastAsia" w:eastAsiaTheme="minorEastAsia"/>
          <w:bCs/>
          <w:szCs w:val="21"/>
          <w:u w:val="single"/>
        </w:rPr>
        <w:t>电子脚扣采购</w:t>
      </w:r>
      <w:r>
        <w:rPr>
          <w:rFonts w:hint="eastAsia" w:cs="仿宋" w:asciiTheme="minorEastAsia" w:hAnsiTheme="minorEastAsia" w:eastAsiaTheme="minorEastAsia"/>
          <w:bCs/>
          <w:szCs w:val="21"/>
        </w:rPr>
        <w:t>项目</w:t>
      </w:r>
      <w:r>
        <w:rPr>
          <w:rFonts w:hint="eastAsia" w:cs="仿宋" w:asciiTheme="minorEastAsia" w:hAnsiTheme="minorEastAsia" w:eastAsiaTheme="minorEastAsia"/>
          <w:szCs w:val="21"/>
        </w:rPr>
        <w:t>的潜在投标供应商应在</w:t>
      </w:r>
      <w:r>
        <w:rPr>
          <w:rFonts w:hint="eastAsia" w:cs="仿宋" w:asciiTheme="minorEastAsia" w:hAnsiTheme="minorEastAsia" w:eastAsiaTheme="minorEastAsia"/>
          <w:szCs w:val="21"/>
          <w:u w:val="single"/>
        </w:rPr>
        <w:t>深圳市中正招标有限公司</w:t>
      </w:r>
      <w:r>
        <w:rPr>
          <w:rFonts w:hint="eastAsia" w:cs="仿宋" w:asciiTheme="minorEastAsia" w:hAnsiTheme="minorEastAsia" w:eastAsiaTheme="minorEastAsia"/>
          <w:szCs w:val="21"/>
        </w:rPr>
        <w:t>获取征集文件，并于</w:t>
      </w:r>
      <w:r>
        <w:rPr>
          <w:rFonts w:hint="eastAsia" w:cs="仿宋" w:asciiTheme="minorEastAsia" w:hAnsiTheme="minorEastAsia" w:eastAsiaTheme="minorEastAsia"/>
          <w:szCs w:val="21"/>
          <w:u w:val="single"/>
        </w:rPr>
        <w:t>202</w:t>
      </w:r>
      <w:r>
        <w:rPr>
          <w:rFonts w:hint="eastAsia" w:cs="仿宋" w:asciiTheme="minorEastAsia" w:hAnsiTheme="minorEastAsia" w:eastAsiaTheme="minorEastAsia"/>
          <w:szCs w:val="21"/>
          <w:u w:val="single"/>
          <w:lang w:val="en-US" w:eastAsia="zh-CN"/>
        </w:rPr>
        <w:t>3</w:t>
      </w:r>
      <w:r>
        <w:rPr>
          <w:rFonts w:hint="eastAsia" w:cs="仿宋" w:asciiTheme="minorEastAsia" w:hAnsiTheme="minorEastAsia" w:eastAsiaTheme="minorEastAsia"/>
          <w:bCs/>
          <w:szCs w:val="21"/>
        </w:rPr>
        <w:t>年</w:t>
      </w:r>
      <w:r>
        <w:rPr>
          <w:rFonts w:hint="eastAsia" w:cs="仿宋" w:asciiTheme="minorEastAsia" w:hAnsiTheme="minorEastAsia" w:eastAsiaTheme="minorEastAsia"/>
          <w:bCs/>
          <w:szCs w:val="21"/>
          <w:u w:val="single"/>
          <w:lang w:val="en-US" w:eastAsia="zh-CN"/>
        </w:rPr>
        <w:t>02</w:t>
      </w:r>
      <w:r>
        <w:rPr>
          <w:rFonts w:hint="eastAsia" w:cs="仿宋" w:asciiTheme="minorEastAsia" w:hAnsiTheme="minorEastAsia" w:eastAsiaTheme="minorEastAsia"/>
          <w:bCs/>
          <w:szCs w:val="21"/>
        </w:rPr>
        <w:t>月</w:t>
      </w:r>
      <w:r>
        <w:rPr>
          <w:rFonts w:hint="eastAsia" w:cs="仿宋" w:asciiTheme="minorEastAsia" w:hAnsiTheme="minorEastAsia" w:eastAsiaTheme="minorEastAsia"/>
          <w:bCs/>
          <w:szCs w:val="21"/>
          <w:u w:val="single"/>
          <w:lang w:val="en-US" w:eastAsia="zh-CN"/>
        </w:rPr>
        <w:t>22</w:t>
      </w:r>
      <w:r>
        <w:rPr>
          <w:rFonts w:hint="eastAsia" w:cs="仿宋" w:asciiTheme="minorEastAsia" w:hAnsiTheme="minorEastAsia" w:eastAsiaTheme="minorEastAsia"/>
          <w:bCs/>
          <w:szCs w:val="21"/>
        </w:rPr>
        <w:t>日</w:t>
      </w:r>
      <w:bookmarkStart w:id="12" w:name="_GoBack"/>
      <w:bookmarkEnd w:id="12"/>
      <w:r>
        <w:rPr>
          <w:rFonts w:hint="eastAsia" w:cs="仿宋" w:asciiTheme="minorEastAsia" w:hAnsiTheme="minorEastAsia" w:eastAsiaTheme="minorEastAsia"/>
          <w:bCs/>
          <w:szCs w:val="21"/>
          <w:u w:val="single"/>
          <w:lang w:val="en-US" w:eastAsia="zh-CN"/>
        </w:rPr>
        <w:t>9</w:t>
      </w:r>
      <w:r>
        <w:rPr>
          <w:rFonts w:hint="eastAsia" w:cs="仿宋" w:asciiTheme="minorEastAsia" w:hAnsiTheme="minorEastAsia" w:eastAsiaTheme="minorEastAsia"/>
          <w:bCs/>
          <w:szCs w:val="21"/>
        </w:rPr>
        <w:t>点</w:t>
      </w:r>
      <w:r>
        <w:rPr>
          <w:rFonts w:hint="eastAsia" w:cs="仿宋" w:asciiTheme="minorEastAsia" w:hAnsiTheme="minorEastAsia" w:eastAsiaTheme="minorEastAsia"/>
          <w:bCs/>
          <w:szCs w:val="21"/>
          <w:u w:val="single"/>
          <w:lang w:val="en-US" w:eastAsia="zh-CN"/>
        </w:rPr>
        <w:t>3</w:t>
      </w:r>
      <w:r>
        <w:rPr>
          <w:rFonts w:hint="eastAsia" w:cs="仿宋" w:asciiTheme="minorEastAsia" w:hAnsiTheme="minorEastAsia" w:eastAsiaTheme="minorEastAsia"/>
          <w:bCs/>
          <w:szCs w:val="21"/>
          <w:u w:val="single"/>
        </w:rPr>
        <w:t>0</w:t>
      </w:r>
      <w:r>
        <w:rPr>
          <w:rFonts w:hint="eastAsia" w:cs="仿宋" w:asciiTheme="minorEastAsia" w:hAnsiTheme="minorEastAsia" w:eastAsiaTheme="minorEastAsia"/>
          <w:bCs/>
          <w:szCs w:val="21"/>
        </w:rPr>
        <w:t>分（北京时间）前递交投标文件。</w:t>
      </w:r>
    </w:p>
    <w:p>
      <w:pPr>
        <w:spacing w:line="360" w:lineRule="auto"/>
        <w:rPr>
          <w:rFonts w:cs="仿宋" w:asciiTheme="minorEastAsia" w:hAnsiTheme="minorEastAsia" w:eastAsiaTheme="minorEastAsia"/>
          <w:b/>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二、项目基本情况</w:t>
      </w:r>
    </w:p>
    <w:p>
      <w:pPr>
        <w:spacing w:line="360" w:lineRule="auto"/>
        <w:ind w:firstLine="371" w:firstLineChars="177"/>
        <w:rPr>
          <w:rFonts w:hint="eastAsia" w:cs="仿宋" w:asciiTheme="minorEastAsia" w:hAnsiTheme="minorEastAsia" w:eastAsiaTheme="minorEastAsia"/>
          <w:bCs/>
          <w:szCs w:val="21"/>
          <w:lang w:eastAsia="zh-CN"/>
        </w:rPr>
      </w:pPr>
      <w:r>
        <w:rPr>
          <w:rFonts w:hint="eastAsia" w:cs="仿宋" w:asciiTheme="minorEastAsia" w:hAnsiTheme="minorEastAsia" w:eastAsiaTheme="minorEastAsia"/>
          <w:bCs/>
          <w:szCs w:val="21"/>
        </w:rPr>
        <w:t>1、项目编号：</w:t>
      </w:r>
      <w:r>
        <w:rPr>
          <w:rFonts w:hint="eastAsia" w:cs="仿宋" w:asciiTheme="minorEastAsia" w:hAnsiTheme="minorEastAsia" w:eastAsiaTheme="minorEastAsia"/>
          <w:bCs/>
          <w:szCs w:val="21"/>
          <w:lang w:eastAsia="zh-CN"/>
        </w:rPr>
        <w:t>SZZZ2023-QA0030</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2、项目名称：电子脚扣采购</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3、预算金额：人民币39.2万元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4、最高限价：人民币39.2万元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5、采购方式：公开征集</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6、采购需求：</w:t>
      </w:r>
    </w:p>
    <w:tbl>
      <w:tblPr>
        <w:tblStyle w:val="16"/>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4388"/>
        <w:gridCol w:w="934"/>
        <w:gridCol w:w="20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序号</w:t>
            </w:r>
          </w:p>
        </w:tc>
        <w:tc>
          <w:tcPr>
            <w:tcW w:w="2574"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标的名称</w:t>
            </w:r>
          </w:p>
        </w:tc>
        <w:tc>
          <w:tcPr>
            <w:tcW w:w="548"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数量</w:t>
            </w:r>
          </w:p>
        </w:tc>
        <w:tc>
          <w:tcPr>
            <w:tcW w:w="1189"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86"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1</w:t>
            </w:r>
          </w:p>
        </w:tc>
        <w:tc>
          <w:tcPr>
            <w:tcW w:w="2574"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电子脚扣采购</w:t>
            </w:r>
          </w:p>
        </w:tc>
        <w:tc>
          <w:tcPr>
            <w:tcW w:w="548"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14套</w:t>
            </w:r>
          </w:p>
        </w:tc>
        <w:tc>
          <w:tcPr>
            <w:tcW w:w="1189"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详见附件内容</w:t>
            </w:r>
          </w:p>
        </w:tc>
      </w:tr>
    </w:tbl>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7、合同履行期限：详见征集文件。</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8、是否联合体：本项目不接受联合体投标。</w:t>
      </w:r>
    </w:p>
    <w:p>
      <w:pPr>
        <w:spacing w:line="360" w:lineRule="auto"/>
        <w:rPr>
          <w:rFonts w:cs="仿宋" w:asciiTheme="minorEastAsia" w:hAnsiTheme="minorEastAsia" w:eastAsiaTheme="minorEastAsia"/>
          <w:b/>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三、申请人的资格要求</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1、须是在中华人民共和国境内注册的法人或其他组织【须提供合法有效的营业执照或法人证书等证明材料的扫描件或复印件加盖投标供应商公章，原件备查】；</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2、参与本项目的投标供应商须满足《中华人民共和国政府采购法》第二十二条规定【由投标供应商按征集文件规定的格式在《承诺函》中作出声明】；</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3、参与本项目采购活动前三年内，在经营活动中没有重大违法记录【由投标供应商按征集文件规定的格式在《承诺函》中作出声明】；</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4、参与本项目政府采购活动时不存在被有关部门禁止参与政府采购活动且在有效期内的情况【由投标供应商按征集文件规定的格式在《承诺函》中作出声明】；</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5、除单一来源采购项目外，为采购项目提供整体设计、规范编制或者项目管理、监理、检测等服务的供应商，不得再参加该采购项目的其他采购活动【须按本项目征集文件格式要求提供《承诺函》加盖投标供应商公章】；</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6、单位负责人为同一人或者存在直接控股、管理关系的不同投标供应商，不得参加同一合同项下的采购活动【须</w:t>
      </w:r>
      <w:r>
        <w:rPr>
          <w:rFonts w:hint="eastAsia" w:asciiTheme="minorEastAsia" w:hAnsiTheme="minorEastAsia" w:eastAsiaTheme="minorEastAsia"/>
          <w:snapToGrid w:val="0"/>
        </w:rPr>
        <w:t>提供国家企业信用信息公示系统（https://www.gsxt.gov.cn/index.html）或机关赋码和事业单位登记管理网（http://www.gjsy.gov.cn/sydwfrxxcx/）或全国社会组织信用信息公示平台（https://xxgs.chinanpo.mca.gov.cn/gsxt/newList）网站供应商信息查询截图，并</w:t>
      </w:r>
      <w:r>
        <w:rPr>
          <w:rFonts w:hint="eastAsia" w:cs="仿宋" w:asciiTheme="minorEastAsia" w:hAnsiTheme="minorEastAsia" w:eastAsiaTheme="minorEastAsia"/>
          <w:bCs/>
          <w:szCs w:val="21"/>
        </w:rPr>
        <w:t>按本项目征集文件格式要求提供《承诺函》加盖投标供应商公章】；</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7、参与本项目的投标供应商未被列入失信被执行人、重大税收违法案件当事人名单和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http://zfcg.sz.gov.cn）为信用信息查询渠道。投标供应商自行查询并提供查询结果截图，查询时间为本项目采购公告发布之日起至投标截止时间前】；</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8、本项目不接受联合体投标，不允许分包或转包；</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9、本项目不接受进口产品投标（进口产品是指通过中国海关报关验放进入中国境内且产自关境外的产品，相关内容以“财库【2007】119号文”和“财办库【2008】248号文”的相关规定为准）。</w:t>
      </w:r>
    </w:p>
    <w:p>
      <w:pPr>
        <w:pStyle w:val="2"/>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四、获取征集文件</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1、时间：</w:t>
      </w:r>
      <w:r>
        <w:rPr>
          <w:rFonts w:hint="eastAsia" w:cs="仿宋" w:asciiTheme="minorEastAsia" w:hAnsiTheme="minorEastAsia" w:eastAsiaTheme="minorEastAsia"/>
          <w:b/>
          <w:bCs/>
          <w:szCs w:val="21"/>
          <w:highlight w:val="none"/>
          <w:u w:val="single"/>
        </w:rPr>
        <w:t>202</w:t>
      </w:r>
      <w:r>
        <w:rPr>
          <w:rFonts w:hint="eastAsia" w:cs="仿宋" w:asciiTheme="minorEastAsia" w:hAnsiTheme="minorEastAsia" w:eastAsiaTheme="minorEastAsia"/>
          <w:b/>
          <w:bCs/>
          <w:szCs w:val="21"/>
          <w:highlight w:val="none"/>
          <w:u w:val="single"/>
          <w:lang w:val="en-US" w:eastAsia="zh-CN"/>
        </w:rPr>
        <w:t>3</w:t>
      </w:r>
      <w:r>
        <w:rPr>
          <w:rFonts w:hint="eastAsia" w:cs="仿宋" w:asciiTheme="minorEastAsia" w:hAnsiTheme="minorEastAsia" w:eastAsiaTheme="minorEastAsia"/>
          <w:b/>
          <w:bCs/>
          <w:szCs w:val="21"/>
          <w:highlight w:val="none"/>
        </w:rPr>
        <w:t>年</w:t>
      </w:r>
      <w:r>
        <w:rPr>
          <w:rFonts w:hint="eastAsia" w:cs="仿宋" w:asciiTheme="minorEastAsia" w:hAnsiTheme="minorEastAsia" w:eastAsiaTheme="minorEastAsia"/>
          <w:b/>
          <w:bCs/>
          <w:szCs w:val="21"/>
          <w:highlight w:val="none"/>
          <w:u w:val="single"/>
          <w:lang w:val="en-US" w:eastAsia="zh-CN"/>
        </w:rPr>
        <w:t>02</w:t>
      </w:r>
      <w:r>
        <w:rPr>
          <w:rFonts w:hint="eastAsia" w:cs="仿宋" w:asciiTheme="minorEastAsia" w:hAnsiTheme="minorEastAsia" w:eastAsiaTheme="minorEastAsia"/>
          <w:b/>
          <w:bCs/>
          <w:szCs w:val="21"/>
          <w:highlight w:val="none"/>
        </w:rPr>
        <w:t>月</w:t>
      </w:r>
      <w:r>
        <w:rPr>
          <w:rFonts w:hint="eastAsia" w:cs="仿宋" w:asciiTheme="minorEastAsia" w:hAnsiTheme="minorEastAsia" w:eastAsiaTheme="minorEastAsia"/>
          <w:b/>
          <w:bCs/>
          <w:szCs w:val="21"/>
          <w:highlight w:val="none"/>
          <w:u w:val="single"/>
          <w:lang w:val="en-US" w:eastAsia="zh-CN"/>
        </w:rPr>
        <w:t>14</w:t>
      </w:r>
      <w:r>
        <w:rPr>
          <w:rFonts w:hint="eastAsia" w:cs="仿宋" w:asciiTheme="minorEastAsia" w:hAnsiTheme="minorEastAsia" w:eastAsiaTheme="minorEastAsia"/>
          <w:b/>
          <w:bCs/>
          <w:szCs w:val="21"/>
          <w:highlight w:val="none"/>
        </w:rPr>
        <w:t>日至</w:t>
      </w:r>
      <w:r>
        <w:rPr>
          <w:rFonts w:hint="eastAsia" w:cs="仿宋" w:asciiTheme="minorEastAsia" w:hAnsiTheme="minorEastAsia" w:eastAsiaTheme="minorEastAsia"/>
          <w:b/>
          <w:bCs/>
          <w:szCs w:val="21"/>
          <w:highlight w:val="none"/>
          <w:u w:val="single"/>
        </w:rPr>
        <w:t>202</w:t>
      </w:r>
      <w:r>
        <w:rPr>
          <w:rFonts w:hint="eastAsia" w:cs="仿宋" w:asciiTheme="minorEastAsia" w:hAnsiTheme="minorEastAsia" w:eastAsiaTheme="minorEastAsia"/>
          <w:b/>
          <w:bCs/>
          <w:szCs w:val="21"/>
          <w:highlight w:val="none"/>
          <w:u w:val="single"/>
          <w:lang w:val="en-US" w:eastAsia="zh-CN"/>
        </w:rPr>
        <w:t>3</w:t>
      </w:r>
      <w:r>
        <w:rPr>
          <w:rFonts w:hint="eastAsia" w:cs="仿宋" w:asciiTheme="minorEastAsia" w:hAnsiTheme="minorEastAsia" w:eastAsiaTheme="minorEastAsia"/>
          <w:b/>
          <w:bCs/>
          <w:szCs w:val="21"/>
          <w:highlight w:val="none"/>
        </w:rPr>
        <w:t>年</w:t>
      </w:r>
      <w:r>
        <w:rPr>
          <w:rFonts w:hint="eastAsia" w:cs="仿宋" w:asciiTheme="minorEastAsia" w:hAnsiTheme="minorEastAsia" w:eastAsiaTheme="minorEastAsia"/>
          <w:b/>
          <w:bCs/>
          <w:szCs w:val="21"/>
          <w:highlight w:val="none"/>
          <w:u w:val="single"/>
          <w:lang w:val="en-US" w:eastAsia="zh-CN"/>
        </w:rPr>
        <w:t>02</w:t>
      </w:r>
      <w:r>
        <w:rPr>
          <w:rFonts w:hint="eastAsia" w:cs="仿宋" w:asciiTheme="minorEastAsia" w:hAnsiTheme="minorEastAsia" w:eastAsiaTheme="minorEastAsia"/>
          <w:b/>
          <w:bCs/>
          <w:szCs w:val="21"/>
          <w:highlight w:val="none"/>
        </w:rPr>
        <w:t>月</w:t>
      </w:r>
      <w:r>
        <w:rPr>
          <w:rFonts w:hint="eastAsia" w:cs="仿宋" w:asciiTheme="minorEastAsia" w:hAnsiTheme="minorEastAsia" w:eastAsiaTheme="minorEastAsia"/>
          <w:b/>
          <w:bCs/>
          <w:szCs w:val="21"/>
          <w:highlight w:val="none"/>
          <w:u w:val="single"/>
          <w:lang w:val="en-US" w:eastAsia="zh-CN"/>
        </w:rPr>
        <w:t>21</w:t>
      </w:r>
      <w:r>
        <w:rPr>
          <w:rFonts w:hint="eastAsia" w:cs="仿宋" w:asciiTheme="minorEastAsia" w:hAnsiTheme="minorEastAsia" w:eastAsiaTheme="minorEastAsia"/>
          <w:b/>
          <w:bCs/>
          <w:szCs w:val="21"/>
          <w:highlight w:val="none"/>
        </w:rPr>
        <w:t>日</w:t>
      </w:r>
      <w:r>
        <w:rPr>
          <w:rFonts w:hint="eastAsia" w:cs="仿宋" w:asciiTheme="minorEastAsia" w:hAnsiTheme="minorEastAsia" w:eastAsiaTheme="minorEastAsia"/>
          <w:b/>
          <w:bCs/>
          <w:szCs w:val="21"/>
          <w:highlight w:val="none"/>
          <w:lang w:val="en-US" w:eastAsia="zh-CN"/>
        </w:rPr>
        <w:t>中午12时</w:t>
      </w:r>
      <w:r>
        <w:rPr>
          <w:rFonts w:hint="eastAsia" w:cs="仿宋" w:asciiTheme="minorEastAsia" w:hAnsiTheme="minorEastAsia" w:eastAsiaTheme="minorEastAsia"/>
          <w:b/>
          <w:bCs/>
          <w:szCs w:val="21"/>
          <w:highlight w:val="none"/>
        </w:rPr>
        <w:t>截止</w:t>
      </w:r>
      <w:r>
        <w:rPr>
          <w:rFonts w:hint="eastAsia" w:cs="仿宋" w:asciiTheme="minorEastAsia" w:hAnsiTheme="minorEastAsia" w:eastAsiaTheme="minorEastAsia"/>
          <w:bCs/>
          <w:szCs w:val="21"/>
        </w:rPr>
        <w:t>，每天上午</w:t>
      </w:r>
      <w:r>
        <w:rPr>
          <w:rFonts w:hint="eastAsia" w:cs="仿宋" w:asciiTheme="minorEastAsia" w:hAnsiTheme="minorEastAsia" w:eastAsiaTheme="minorEastAsia"/>
          <w:bCs/>
          <w:szCs w:val="21"/>
          <w:u w:val="single"/>
        </w:rPr>
        <w:t>09</w:t>
      </w:r>
      <w:r>
        <w:rPr>
          <w:rFonts w:hint="eastAsia" w:cs="仿宋" w:asciiTheme="minorEastAsia" w:hAnsiTheme="minorEastAsia" w:eastAsiaTheme="minorEastAsia"/>
          <w:bCs/>
          <w:szCs w:val="21"/>
        </w:rPr>
        <w:t>时至</w:t>
      </w:r>
      <w:r>
        <w:rPr>
          <w:rFonts w:hint="eastAsia" w:cs="仿宋" w:asciiTheme="minorEastAsia" w:hAnsiTheme="minorEastAsia" w:eastAsiaTheme="minorEastAsia"/>
          <w:bCs/>
          <w:szCs w:val="21"/>
          <w:u w:val="single"/>
        </w:rPr>
        <w:t>11</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分，下午</w:t>
      </w:r>
      <w:r>
        <w:rPr>
          <w:rFonts w:hint="eastAsia" w:cs="仿宋" w:asciiTheme="minorEastAsia" w:hAnsiTheme="minorEastAsia" w:eastAsiaTheme="minorEastAsia"/>
          <w:bCs/>
          <w:szCs w:val="21"/>
          <w:u w:val="single"/>
        </w:rPr>
        <w:t>02</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分至</w:t>
      </w:r>
      <w:r>
        <w:rPr>
          <w:rFonts w:hint="eastAsia" w:cs="仿宋" w:asciiTheme="minorEastAsia" w:hAnsiTheme="minorEastAsia" w:eastAsiaTheme="minorEastAsia"/>
          <w:bCs/>
          <w:szCs w:val="21"/>
          <w:u w:val="single"/>
        </w:rPr>
        <w:t>05</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分（北京时间，法定节假日除外）</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2、地点：深圳市福田区民田路171号新华保险大厦903中正招标（中正官网www.szzzt.com）</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3、方式：现场报名投标或网上报名投标</w:t>
      </w:r>
    </w:p>
    <w:p>
      <w:pPr>
        <w:spacing w:line="360" w:lineRule="auto"/>
        <w:ind w:left="2" w:firstLine="365" w:firstLineChars="174"/>
        <w:rPr>
          <w:rFonts w:cs="仿宋" w:asciiTheme="minorEastAsia" w:hAnsiTheme="minorEastAsia" w:eastAsiaTheme="minorEastAsia"/>
          <w:bCs/>
          <w:szCs w:val="21"/>
        </w:rPr>
      </w:pPr>
      <w:r>
        <w:rPr>
          <w:rFonts w:hint="eastAsia" w:cs="仿宋" w:asciiTheme="minorEastAsia" w:hAnsiTheme="minorEastAsia" w:eastAsiaTheme="minorEastAsia"/>
          <w:bCs/>
          <w:szCs w:val="21"/>
        </w:rPr>
        <w:t>备注：① 现场报名投标：须携带营业执照复印件或扫描件和法人授权委托书原件（均加盖公章）。</w:t>
      </w:r>
    </w:p>
    <w:p>
      <w:pPr>
        <w:spacing w:line="360" w:lineRule="auto"/>
        <w:ind w:left="2" w:firstLine="365" w:firstLineChars="174"/>
        <w:rPr>
          <w:rFonts w:cs="仿宋" w:asciiTheme="minorEastAsia" w:hAnsiTheme="minorEastAsia" w:eastAsiaTheme="minorEastAsia"/>
          <w:bCs/>
          <w:szCs w:val="21"/>
        </w:rPr>
      </w:pPr>
      <w:r>
        <w:rPr>
          <w:rFonts w:hint="eastAsia" w:cs="仿宋" w:asciiTheme="minorEastAsia" w:hAnsiTheme="minorEastAsia" w:eastAsiaTheme="minorEastAsia"/>
          <w:bCs/>
          <w:szCs w:val="21"/>
        </w:rPr>
        <w:t>② 网上报名投标：发送报名资料至我司邮箱进行报名登记及获取征集文件，邮箱地址：qtszzzzb@163.com。</w:t>
      </w:r>
    </w:p>
    <w:p>
      <w:pPr>
        <w:spacing w:line="360" w:lineRule="auto"/>
        <w:ind w:left="2" w:firstLine="365" w:firstLineChars="174"/>
        <w:rPr>
          <w:rFonts w:cs="仿宋" w:asciiTheme="minorEastAsia" w:hAnsiTheme="minorEastAsia" w:eastAsiaTheme="minorEastAsia"/>
          <w:bCs/>
          <w:szCs w:val="21"/>
        </w:rPr>
      </w:pPr>
      <w:r>
        <w:rPr>
          <w:rFonts w:hint="eastAsia" w:cs="仿宋" w:asciiTheme="minorEastAsia" w:hAnsiTheme="minorEastAsia" w:eastAsiaTheme="minorEastAsia"/>
          <w:bCs/>
          <w:szCs w:val="21"/>
        </w:rPr>
        <w:t>报名投标邮件需附以下资料: 1）加盖公章的《购买标书登记表》（下载地址：“www.szzzt.com”首页“下载中心”）；2）加盖公章的营业执照复印件扫描件；3）法人授权委托书扫描件；4）购买征集文件费用银行转帐凭证。报名时间以邮件发出时间为准，工作人员将在第二个工作日与报名投标资料完整的投标供应商联系。</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4、售价：人民币600元，征集文件售后不退。</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购买征集文件账号信息如下：</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银行账号：03003729353</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开户名称：深圳市中正招标有限公司</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开户银行：上海银行深圳天安支行</w:t>
      </w:r>
    </w:p>
    <w:p>
      <w:pPr>
        <w:spacing w:line="360" w:lineRule="auto"/>
        <w:ind w:firstLine="371" w:firstLineChars="177"/>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五、提交投标文件截止时间、开标时间和地点</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1、时间</w:t>
      </w:r>
      <w:r>
        <w:rPr>
          <w:rFonts w:hint="eastAsia" w:cs="仿宋" w:asciiTheme="minorEastAsia" w:hAnsiTheme="minorEastAsia" w:eastAsiaTheme="minorEastAsia"/>
          <w:bCs/>
          <w:szCs w:val="21"/>
          <w:highlight w:val="none"/>
        </w:rPr>
        <w:t>：</w:t>
      </w:r>
      <w:r>
        <w:rPr>
          <w:rFonts w:hint="eastAsia" w:cs="仿宋" w:asciiTheme="minorEastAsia" w:hAnsiTheme="minorEastAsia" w:eastAsiaTheme="minorEastAsia"/>
          <w:b/>
          <w:bCs/>
          <w:szCs w:val="21"/>
          <w:highlight w:val="none"/>
          <w:u w:val="single"/>
        </w:rPr>
        <w:t>202</w:t>
      </w:r>
      <w:r>
        <w:rPr>
          <w:rFonts w:hint="eastAsia" w:cs="仿宋" w:asciiTheme="minorEastAsia" w:hAnsiTheme="minorEastAsia" w:eastAsiaTheme="minorEastAsia"/>
          <w:b/>
          <w:bCs/>
          <w:szCs w:val="21"/>
          <w:highlight w:val="none"/>
          <w:u w:val="single"/>
          <w:lang w:val="en-US" w:eastAsia="zh-CN"/>
        </w:rPr>
        <w:t>3</w:t>
      </w:r>
      <w:r>
        <w:rPr>
          <w:rFonts w:hint="eastAsia" w:cs="仿宋" w:asciiTheme="minorEastAsia" w:hAnsiTheme="minorEastAsia" w:eastAsiaTheme="minorEastAsia"/>
          <w:b/>
          <w:bCs/>
          <w:szCs w:val="21"/>
          <w:highlight w:val="none"/>
        </w:rPr>
        <w:t>年</w:t>
      </w:r>
      <w:r>
        <w:rPr>
          <w:rFonts w:hint="eastAsia" w:cs="仿宋" w:asciiTheme="minorEastAsia" w:hAnsiTheme="minorEastAsia" w:eastAsiaTheme="minorEastAsia"/>
          <w:b/>
          <w:bCs/>
          <w:szCs w:val="21"/>
          <w:highlight w:val="none"/>
          <w:u w:val="single"/>
          <w:lang w:val="en-US" w:eastAsia="zh-CN"/>
        </w:rPr>
        <w:t>02</w:t>
      </w:r>
      <w:r>
        <w:rPr>
          <w:rFonts w:hint="eastAsia" w:cs="仿宋" w:asciiTheme="minorEastAsia" w:hAnsiTheme="minorEastAsia" w:eastAsiaTheme="minorEastAsia"/>
          <w:b/>
          <w:bCs/>
          <w:szCs w:val="21"/>
          <w:highlight w:val="none"/>
        </w:rPr>
        <w:t>月</w:t>
      </w:r>
      <w:r>
        <w:rPr>
          <w:rFonts w:hint="eastAsia" w:cs="仿宋" w:asciiTheme="minorEastAsia" w:hAnsiTheme="minorEastAsia" w:eastAsiaTheme="minorEastAsia"/>
          <w:b/>
          <w:bCs/>
          <w:szCs w:val="21"/>
          <w:highlight w:val="none"/>
          <w:u w:val="single"/>
          <w:lang w:val="en-US" w:eastAsia="zh-CN"/>
        </w:rPr>
        <w:t>22</w:t>
      </w:r>
      <w:r>
        <w:rPr>
          <w:rFonts w:hint="eastAsia" w:cs="仿宋" w:asciiTheme="minorEastAsia" w:hAnsiTheme="minorEastAsia" w:eastAsiaTheme="minorEastAsia"/>
          <w:b/>
          <w:bCs/>
          <w:szCs w:val="21"/>
          <w:highlight w:val="none"/>
        </w:rPr>
        <w:t>日</w:t>
      </w:r>
      <w:r>
        <w:rPr>
          <w:rFonts w:hint="eastAsia" w:cs="仿宋" w:asciiTheme="minorEastAsia" w:hAnsiTheme="minorEastAsia" w:eastAsiaTheme="minorEastAsia"/>
          <w:b/>
          <w:bCs/>
          <w:szCs w:val="21"/>
          <w:highlight w:val="none"/>
          <w:u w:val="single"/>
          <w:lang w:val="en-US" w:eastAsia="zh-CN"/>
        </w:rPr>
        <w:t>9</w:t>
      </w:r>
      <w:r>
        <w:rPr>
          <w:rFonts w:hint="eastAsia" w:cs="仿宋" w:asciiTheme="minorEastAsia" w:hAnsiTheme="minorEastAsia" w:eastAsiaTheme="minorEastAsia"/>
          <w:b/>
          <w:bCs/>
          <w:szCs w:val="21"/>
          <w:highlight w:val="none"/>
        </w:rPr>
        <w:t>点</w:t>
      </w:r>
      <w:r>
        <w:rPr>
          <w:rFonts w:hint="eastAsia" w:cs="仿宋" w:asciiTheme="minorEastAsia" w:hAnsiTheme="minorEastAsia" w:eastAsiaTheme="minorEastAsia"/>
          <w:b/>
          <w:bCs/>
          <w:szCs w:val="21"/>
          <w:highlight w:val="none"/>
          <w:u w:val="single"/>
          <w:lang w:val="en-US" w:eastAsia="zh-CN"/>
        </w:rPr>
        <w:t>30</w:t>
      </w:r>
      <w:r>
        <w:rPr>
          <w:rFonts w:hint="eastAsia" w:cs="仿宋" w:asciiTheme="minorEastAsia" w:hAnsiTheme="minorEastAsia" w:eastAsiaTheme="minorEastAsia"/>
          <w:b/>
          <w:bCs/>
          <w:szCs w:val="21"/>
          <w:highlight w:val="none"/>
        </w:rPr>
        <w:t>分</w:t>
      </w:r>
      <w:r>
        <w:rPr>
          <w:rFonts w:hint="eastAsia" w:cs="仿宋" w:asciiTheme="minorEastAsia" w:hAnsiTheme="minorEastAsia" w:eastAsiaTheme="minorEastAsia"/>
          <w:bCs/>
          <w:szCs w:val="21"/>
        </w:rPr>
        <w:t>（北京时间）</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2、地点：深圳市福田区民田路171号新华保险大厦903中正招标</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备注：投标供应商可以通过快递方式在投标截止时间前将《投标文件》送达到我司，快递单上应清晰写明投标供应商名称、项目编号和项目名称，递交时间为送达我司由我司工作人员签收的时间；投标供应商未参加现场开标的，视同认可开标结果。</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六、公告期限</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自本公告发布之日起5个工作日</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七、其他补充事宜</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本项目需要落实的政府采购政策：《财政部工业和信息化部关于印发《政府采购促进中小企业发展管理办法》的通知》(财库〔2020〕46号)、《关于政府采购支持监狱企业发展有关问题的通知》(财库〔2014〕68号)、《关于促进残疾人就业政府采购政策的通知》（财库〔2017〕141号)。</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2、本项目相关公告在以下媒体发布：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① 深圳公共资源交易中心网（www.szzfcg.cn）</w:t>
      </w:r>
    </w:p>
    <w:p>
      <w:pPr>
        <w:spacing w:line="360" w:lineRule="auto"/>
        <w:ind w:firstLine="371" w:firstLineChars="177"/>
        <w:rPr>
          <w:rFonts w:cs="仿宋" w:asciiTheme="minorEastAsia" w:hAnsiTheme="minorEastAsia" w:eastAsiaTheme="minorEastAsia"/>
          <w:bCs/>
          <w:szCs w:val="21"/>
        </w:rPr>
      </w:pPr>
      <w:r>
        <w:rPr>
          <w:rFonts w:cs="仿宋" w:asciiTheme="minorEastAsia" w:hAnsiTheme="minorEastAsia" w:eastAsiaTheme="minorEastAsia"/>
          <w:bCs/>
          <w:szCs w:val="21"/>
        </w:rPr>
        <w:fldChar w:fldCharType="begin"/>
      </w:r>
      <w:r>
        <w:rPr>
          <w:rFonts w:cs="仿宋" w:asciiTheme="minorEastAsia" w:hAnsiTheme="minorEastAsia" w:eastAsiaTheme="minorEastAsia"/>
          <w:bCs/>
          <w:szCs w:val="21"/>
        </w:rPr>
        <w:instrText xml:space="preserve"> </w:instrText>
      </w:r>
      <w:r>
        <w:rPr>
          <w:rFonts w:hint="eastAsia" w:cs="仿宋" w:asciiTheme="minorEastAsia" w:hAnsiTheme="minorEastAsia" w:eastAsiaTheme="minorEastAsia"/>
          <w:bCs/>
          <w:szCs w:val="21"/>
        </w:rPr>
        <w:instrText xml:space="preserve">= 2 \* GB3</w:instrText>
      </w:r>
      <w:r>
        <w:rPr>
          <w:rFonts w:cs="仿宋" w:asciiTheme="minorEastAsia" w:hAnsiTheme="minorEastAsia" w:eastAsiaTheme="minorEastAsia"/>
          <w:bCs/>
          <w:szCs w:val="21"/>
        </w:rPr>
        <w:instrText xml:space="preserve"> </w:instrText>
      </w:r>
      <w:r>
        <w:rPr>
          <w:rFonts w:cs="仿宋" w:asciiTheme="minorEastAsia" w:hAnsiTheme="minorEastAsia" w:eastAsiaTheme="minorEastAsia"/>
          <w:bCs/>
          <w:szCs w:val="21"/>
        </w:rPr>
        <w:fldChar w:fldCharType="separate"/>
      </w:r>
      <w:r>
        <w:rPr>
          <w:rFonts w:hint="eastAsia" w:cs="仿宋" w:asciiTheme="minorEastAsia" w:hAnsiTheme="minorEastAsia" w:eastAsiaTheme="minorEastAsia"/>
          <w:bCs/>
          <w:szCs w:val="21"/>
        </w:rPr>
        <w:t>②</w:t>
      </w:r>
      <w:r>
        <w:rPr>
          <w:rFonts w:cs="仿宋" w:asciiTheme="minorEastAsia" w:hAnsiTheme="minorEastAsia" w:eastAsiaTheme="minorEastAsia"/>
          <w:bCs/>
          <w:szCs w:val="21"/>
        </w:rPr>
        <w:fldChar w:fldCharType="end"/>
      </w:r>
      <w:r>
        <w:rPr>
          <w:rFonts w:hint="eastAsia" w:cs="仿宋" w:asciiTheme="minorEastAsia" w:hAnsiTheme="minorEastAsia" w:eastAsiaTheme="minorEastAsia"/>
          <w:bCs/>
          <w:szCs w:val="21"/>
        </w:rPr>
        <w:t xml:space="preserve"> 采购代理机构网站（www.szzzt.com）</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相关公告在以上媒体上公布之日即视为有效送达，不再另行通知。</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八、本项目联系方式</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1、采购人信息</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名　    称：深圳市公安局光明分局</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地　    址：广东省深圳市光明区科林路333号</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2、采购代理机构信息</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名　   称：深圳市中正招标有限公司</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地　   址：深圳市福田区民田路171号新华保险大厦903</w:t>
      </w:r>
    </w:p>
    <w:p>
      <w:pPr>
        <w:spacing w:line="360" w:lineRule="auto"/>
        <w:ind w:firstLine="371" w:firstLineChars="177"/>
        <w:rPr>
          <w:rFonts w:cs="仿宋" w:asciiTheme="minorEastAsia" w:hAnsiTheme="minorEastAsia" w:eastAsiaTheme="minorEastAsia"/>
          <w:b/>
          <w:bCs/>
          <w:szCs w:val="21"/>
        </w:rPr>
      </w:pPr>
      <w:r>
        <w:rPr>
          <w:rFonts w:hint="eastAsia" w:cs="仿宋" w:asciiTheme="minorEastAsia" w:hAnsiTheme="minorEastAsia" w:eastAsiaTheme="minorEastAsia"/>
          <w:bCs/>
          <w:szCs w:val="21"/>
        </w:rPr>
        <w:t>联系 方式：杨工，0755-83026699</w:t>
      </w:r>
    </w:p>
    <w:p>
      <w:pPr>
        <w:spacing w:line="360" w:lineRule="auto"/>
        <w:jc w:val="left"/>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九、附件</w:t>
      </w:r>
    </w:p>
    <w:p>
      <w:pPr>
        <w:spacing w:line="360" w:lineRule="auto"/>
        <w:ind w:firstLine="411" w:firstLineChars="196"/>
        <w:jc w:val="left"/>
        <w:rPr>
          <w:rFonts w:cs="仿宋" w:asciiTheme="minorEastAsia" w:hAnsiTheme="minorEastAsia" w:eastAsiaTheme="minorEastAsia"/>
          <w:bCs/>
          <w:szCs w:val="21"/>
        </w:rPr>
      </w:pPr>
      <w:r>
        <w:rPr>
          <w:rFonts w:hint="eastAsia" w:cs="仿宋" w:asciiTheme="minorEastAsia" w:hAnsiTheme="minorEastAsia" w:eastAsiaTheme="minorEastAsia"/>
          <w:bCs/>
          <w:szCs w:val="21"/>
        </w:rPr>
        <w:t>征集文件</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（附件内容请登陆采购代理机构官网下载查阅）</w:t>
      </w:r>
    </w:p>
    <w:p>
      <w:pPr>
        <w:spacing w:line="360" w:lineRule="auto"/>
        <w:rPr>
          <w:rFonts w:cs="仿宋" w:asciiTheme="minorEastAsia" w:hAnsiTheme="minorEastAsia" w:eastAsiaTheme="minorEastAsia"/>
          <w:bCs/>
          <w:szCs w:val="21"/>
        </w:rPr>
      </w:pPr>
    </w:p>
    <w:p>
      <w:pPr>
        <w:spacing w:line="360" w:lineRule="auto"/>
        <w:ind w:firstLine="743" w:firstLineChars="354"/>
        <w:jc w:val="right"/>
        <w:rPr>
          <w:rFonts w:cs="仿宋" w:asciiTheme="minorEastAsia" w:hAnsiTheme="minorEastAsia" w:eastAsiaTheme="minorEastAsia"/>
          <w:bCs/>
          <w:szCs w:val="21"/>
        </w:rPr>
      </w:pPr>
      <w:r>
        <w:rPr>
          <w:rFonts w:hint="eastAsia" w:cs="仿宋" w:asciiTheme="minorEastAsia" w:hAnsiTheme="minorEastAsia" w:eastAsiaTheme="minorEastAsia"/>
          <w:bCs/>
          <w:szCs w:val="21"/>
        </w:rPr>
        <w:t>深圳市中正招标有限公司</w:t>
      </w:r>
    </w:p>
    <w:p>
      <w:pPr>
        <w:spacing w:line="360" w:lineRule="auto"/>
        <w:ind w:firstLine="743" w:firstLineChars="354"/>
        <w:jc w:val="right"/>
        <w:rPr>
          <w:rFonts w:cs="仿宋" w:asciiTheme="minorEastAsia" w:hAnsiTheme="minorEastAsia" w:eastAsiaTheme="minorEastAsia"/>
          <w:bCs/>
          <w:szCs w:val="21"/>
        </w:rPr>
      </w:pPr>
      <w:r>
        <w:rPr>
          <w:rFonts w:hint="eastAsia" w:cs="仿宋" w:asciiTheme="minorEastAsia" w:hAnsiTheme="minorEastAsia" w:eastAsiaTheme="minorEastAsia"/>
          <w:bCs/>
          <w:szCs w:val="21"/>
        </w:rPr>
        <w:t>202</w:t>
      </w:r>
      <w:r>
        <w:rPr>
          <w:rFonts w:hint="eastAsia" w:cs="仿宋" w:asciiTheme="minorEastAsia" w:hAnsiTheme="minorEastAsia" w:eastAsiaTheme="minorEastAsia"/>
          <w:bCs/>
          <w:szCs w:val="21"/>
          <w:lang w:val="en-US" w:eastAsia="zh-CN"/>
        </w:rPr>
        <w:t>3</w:t>
      </w:r>
      <w:r>
        <w:rPr>
          <w:rFonts w:hint="eastAsia" w:cs="仿宋" w:asciiTheme="minorEastAsia" w:hAnsiTheme="minorEastAsia" w:eastAsiaTheme="minorEastAsia"/>
          <w:bCs/>
          <w:szCs w:val="21"/>
        </w:rPr>
        <w:t>年</w:t>
      </w:r>
      <w:r>
        <w:rPr>
          <w:rFonts w:hint="eastAsia" w:cs="仿宋" w:asciiTheme="minorEastAsia" w:hAnsiTheme="minorEastAsia" w:eastAsiaTheme="minorEastAsia"/>
          <w:bCs/>
          <w:szCs w:val="21"/>
          <w:lang w:val="en-US" w:eastAsia="zh-CN"/>
        </w:rPr>
        <w:t>02</w:t>
      </w:r>
      <w:r>
        <w:rPr>
          <w:rFonts w:hint="eastAsia" w:cs="仿宋" w:asciiTheme="minorEastAsia" w:hAnsiTheme="minorEastAsia" w:eastAsiaTheme="minorEastAsia"/>
          <w:bCs/>
          <w:szCs w:val="21"/>
        </w:rPr>
        <w:t>月</w:t>
      </w:r>
      <w:r>
        <w:rPr>
          <w:rFonts w:hint="eastAsia" w:cs="仿宋" w:asciiTheme="minorEastAsia" w:hAnsiTheme="minorEastAsia" w:eastAsiaTheme="minorEastAsia"/>
          <w:bCs/>
          <w:szCs w:val="21"/>
          <w:lang w:val="en-US" w:eastAsia="zh-CN"/>
        </w:rPr>
        <w:t>14</w:t>
      </w:r>
      <w:r>
        <w:rPr>
          <w:rFonts w:hint="eastAsia" w:cs="仿宋" w:asciiTheme="minorEastAsia" w:hAnsiTheme="minorEastAsia" w:eastAsiaTheme="minorEastAsia"/>
          <w:bCs/>
          <w:szCs w:val="21"/>
        </w:rPr>
        <w:t>日</w:t>
      </w:r>
    </w:p>
    <w:p>
      <w:pPr>
        <w:widowControl/>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第一部分</w:t>
      </w:r>
    </w:p>
    <w:p>
      <w:pPr>
        <w:spacing w:line="36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投标须知前附表及评审信息</w:t>
      </w:r>
    </w:p>
    <w:p>
      <w:pPr>
        <w:widowControl/>
        <w:jc w:val="left"/>
        <w:rPr>
          <w:rFonts w:cs="仿宋" w:asciiTheme="minorEastAsia" w:hAnsiTheme="minorEastAsia" w:eastAsiaTheme="minorEastAsia"/>
          <w:b/>
          <w:snapToGrid w:val="0"/>
          <w:kern w:val="0"/>
          <w:sz w:val="72"/>
        </w:rPr>
      </w:pPr>
      <w:r>
        <w:rPr>
          <w:rFonts w:hint="eastAsia" w:cs="仿宋" w:asciiTheme="minorEastAsia" w:hAnsiTheme="minorEastAsia" w:eastAsiaTheme="minorEastAsia"/>
          <w:b/>
          <w:snapToGrid w:val="0"/>
          <w:kern w:val="0"/>
          <w:sz w:val="72"/>
        </w:rPr>
        <w:br w:type="page"/>
      </w:r>
    </w:p>
    <w:p>
      <w:pPr>
        <w:spacing w:line="360" w:lineRule="auto"/>
        <w:jc w:val="center"/>
        <w:rPr>
          <w:rFonts w:cs="仿宋" w:asciiTheme="minorEastAsia" w:hAnsiTheme="minorEastAsia" w:eastAsiaTheme="minorEastAsia"/>
          <w:b/>
          <w:bCs/>
          <w:sz w:val="36"/>
        </w:rPr>
      </w:pPr>
      <w:r>
        <w:rPr>
          <w:rFonts w:hint="eastAsia" w:cs="仿宋" w:asciiTheme="minorEastAsia" w:hAnsiTheme="minorEastAsia" w:eastAsiaTheme="minorEastAsia"/>
          <w:b/>
          <w:bCs/>
          <w:sz w:val="36"/>
        </w:rPr>
        <w:t>投标须知前附表</w:t>
      </w:r>
    </w:p>
    <w:tbl>
      <w:tblPr>
        <w:tblStyle w:val="16"/>
        <w:tblW w:w="5385"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731"/>
        <w:gridCol w:w="1773"/>
        <w:gridCol w:w="602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356" w:type="pct"/>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cs="仿宋" w:asciiTheme="minorEastAsia" w:hAnsiTheme="minorEastAsia"/>
                <w:b/>
              </w:rPr>
            </w:pPr>
            <w:r>
              <w:rPr>
                <w:rFonts w:hint="eastAsia" w:cs="仿宋" w:asciiTheme="minorEastAsia" w:hAnsiTheme="minorEastAsia"/>
                <w:b/>
              </w:rPr>
              <w:t>项号</w:t>
            </w:r>
          </w:p>
        </w:tc>
        <w:tc>
          <w:tcPr>
            <w:tcW w:w="398" w:type="pct"/>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cs="仿宋" w:asciiTheme="minorEastAsia" w:hAnsiTheme="minorEastAsia"/>
                <w:b/>
              </w:rPr>
            </w:pPr>
            <w:r>
              <w:rPr>
                <w:rFonts w:hint="eastAsia" w:cs="仿宋" w:asciiTheme="minorEastAsia" w:hAnsiTheme="minorEastAsia"/>
                <w:b/>
              </w:rPr>
              <w:t>条款号</w:t>
            </w:r>
          </w:p>
        </w:tc>
        <w:tc>
          <w:tcPr>
            <w:tcW w:w="966" w:type="pct"/>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cs="仿宋" w:asciiTheme="minorEastAsia" w:hAnsiTheme="minorEastAsia"/>
                <w:b/>
              </w:rPr>
            </w:pPr>
            <w:r>
              <w:rPr>
                <w:rFonts w:hint="eastAsia" w:cs="仿宋" w:asciiTheme="minorEastAsia" w:hAnsiTheme="minorEastAsia"/>
                <w:b/>
              </w:rPr>
              <w:t>内容</w:t>
            </w:r>
          </w:p>
        </w:tc>
        <w:tc>
          <w:tcPr>
            <w:tcW w:w="3280" w:type="pct"/>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cs="仿宋" w:asciiTheme="minorEastAsia" w:hAnsiTheme="minorEastAsia"/>
                <w:b/>
              </w:rPr>
            </w:pPr>
            <w:r>
              <w:rPr>
                <w:rFonts w:hint="eastAsia" w:cs="仿宋" w:asciiTheme="minorEastAsia" w:hAnsiTheme="minorEastAsia"/>
                <w:b/>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tcBorders>
              <w:top w:val="single" w:color="auto" w:sz="4" w:space="0"/>
            </w:tcBorders>
            <w:vAlign w:val="center"/>
          </w:tcPr>
          <w:p>
            <w:pPr>
              <w:pStyle w:val="10"/>
              <w:spacing w:line="360" w:lineRule="auto"/>
              <w:jc w:val="center"/>
              <w:rPr>
                <w:rFonts w:cs="仿宋" w:asciiTheme="minorEastAsia" w:hAnsiTheme="minorEastAsia"/>
              </w:rPr>
            </w:pPr>
            <w:r>
              <w:rPr>
                <w:rFonts w:hint="eastAsia" w:cs="仿宋" w:asciiTheme="minorEastAsia" w:hAnsiTheme="minorEastAsia"/>
              </w:rPr>
              <w:t>1</w:t>
            </w:r>
          </w:p>
        </w:tc>
        <w:tc>
          <w:tcPr>
            <w:tcW w:w="398" w:type="pct"/>
            <w:tcBorders>
              <w:top w:val="single" w:color="auto" w:sz="4" w:space="0"/>
            </w:tcBorders>
            <w:vAlign w:val="center"/>
          </w:tcPr>
          <w:p>
            <w:pPr>
              <w:pStyle w:val="10"/>
              <w:spacing w:line="360" w:lineRule="auto"/>
              <w:jc w:val="center"/>
              <w:rPr>
                <w:rFonts w:cs="仿宋" w:asciiTheme="minorEastAsia" w:hAnsiTheme="minorEastAsia"/>
              </w:rPr>
            </w:pPr>
            <w:r>
              <w:rPr>
                <w:rFonts w:hint="eastAsia" w:cs="仿宋" w:asciiTheme="minorEastAsia" w:hAnsiTheme="minorEastAsia"/>
              </w:rPr>
              <w:t>1.1</w:t>
            </w:r>
          </w:p>
        </w:tc>
        <w:tc>
          <w:tcPr>
            <w:tcW w:w="966" w:type="pct"/>
            <w:tcBorders>
              <w:top w:val="single" w:color="auto" w:sz="4" w:space="0"/>
            </w:tcBorders>
            <w:vAlign w:val="center"/>
          </w:tcPr>
          <w:p>
            <w:pPr>
              <w:pStyle w:val="10"/>
              <w:spacing w:line="360" w:lineRule="auto"/>
              <w:jc w:val="center"/>
              <w:rPr>
                <w:rFonts w:cs="仿宋" w:asciiTheme="minorEastAsia" w:hAnsiTheme="minorEastAsia"/>
              </w:rPr>
            </w:pPr>
            <w:r>
              <w:rPr>
                <w:rFonts w:hint="eastAsia" w:cs="仿宋" w:asciiTheme="minorEastAsia" w:hAnsiTheme="minorEastAsia"/>
              </w:rPr>
              <w:t>项目名称</w:t>
            </w:r>
          </w:p>
        </w:tc>
        <w:tc>
          <w:tcPr>
            <w:tcW w:w="3280" w:type="pct"/>
            <w:tcBorders>
              <w:top w:val="single" w:color="auto" w:sz="4" w:space="0"/>
            </w:tcBorders>
            <w:vAlign w:val="center"/>
          </w:tcPr>
          <w:p>
            <w:pPr>
              <w:pStyle w:val="10"/>
              <w:spacing w:line="360" w:lineRule="auto"/>
              <w:rPr>
                <w:rFonts w:cs="仿宋" w:asciiTheme="minorEastAsia" w:hAnsiTheme="minorEastAsia"/>
              </w:rPr>
            </w:pPr>
            <w:r>
              <w:rPr>
                <w:rFonts w:hint="eastAsia" w:cs="仿宋" w:asciiTheme="minorEastAsia" w:hAnsiTheme="minorEastAsia"/>
              </w:rPr>
              <w:t>电子脚扣采购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2</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2.1</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bCs/>
              </w:rPr>
              <w:t>采购人</w:t>
            </w:r>
            <w:r>
              <w:rPr>
                <w:rFonts w:hint="eastAsia" w:cs="仿宋" w:asciiTheme="minorEastAsia" w:hAnsiTheme="minorEastAsia"/>
              </w:rPr>
              <w:t>名称</w:t>
            </w:r>
          </w:p>
        </w:tc>
        <w:tc>
          <w:tcPr>
            <w:tcW w:w="3280" w:type="pct"/>
            <w:vAlign w:val="center"/>
          </w:tcPr>
          <w:p>
            <w:pPr>
              <w:rPr>
                <w:rFonts w:cs="仿宋" w:asciiTheme="minorEastAsia" w:hAnsiTheme="minorEastAsia" w:eastAsiaTheme="minorEastAsia"/>
              </w:rPr>
            </w:pPr>
            <w:r>
              <w:rPr>
                <w:rFonts w:hint="eastAsia" w:cs="仿宋" w:asciiTheme="minorEastAsia" w:hAnsiTheme="minorEastAsia" w:eastAsiaTheme="minorEastAsia"/>
              </w:rPr>
              <w:t>深圳市公安局光明分局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3</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2.2</w:t>
            </w:r>
          </w:p>
        </w:tc>
        <w:tc>
          <w:tcPr>
            <w:tcW w:w="966" w:type="pct"/>
            <w:vAlign w:val="center"/>
          </w:tcPr>
          <w:p>
            <w:pPr>
              <w:pStyle w:val="10"/>
              <w:spacing w:line="360" w:lineRule="auto"/>
              <w:jc w:val="center"/>
              <w:rPr>
                <w:rFonts w:cs="仿宋" w:asciiTheme="minorEastAsia" w:hAnsiTheme="minorEastAsia"/>
                <w:bCs/>
              </w:rPr>
            </w:pPr>
            <w:r>
              <w:rPr>
                <w:rFonts w:hint="eastAsia" w:cs="仿宋" w:asciiTheme="minorEastAsia" w:hAnsiTheme="minorEastAsia"/>
                <w:bCs/>
              </w:rPr>
              <w:t>采购代理机构</w:t>
            </w:r>
          </w:p>
        </w:tc>
        <w:tc>
          <w:tcPr>
            <w:tcW w:w="3280" w:type="pct"/>
            <w:vAlign w:val="center"/>
          </w:tcPr>
          <w:p>
            <w:pPr>
              <w:pStyle w:val="10"/>
              <w:spacing w:line="360" w:lineRule="auto"/>
              <w:rPr>
                <w:rFonts w:cs="仿宋" w:asciiTheme="minorEastAsia" w:hAnsiTheme="minorEastAsia"/>
              </w:rPr>
            </w:pPr>
            <w:r>
              <w:rPr>
                <w:rFonts w:hint="eastAsia" w:cs="仿宋" w:asciiTheme="minorEastAsia" w:hAnsiTheme="minorEastAsia"/>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4</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3.1</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资金来源</w:t>
            </w:r>
          </w:p>
        </w:tc>
        <w:tc>
          <w:tcPr>
            <w:tcW w:w="3280" w:type="pct"/>
            <w:vAlign w:val="center"/>
          </w:tcPr>
          <w:p>
            <w:pPr>
              <w:pStyle w:val="10"/>
              <w:spacing w:line="360" w:lineRule="auto"/>
              <w:rPr>
                <w:rFonts w:cs="仿宋" w:asciiTheme="minorEastAsia" w:hAnsiTheme="minorEastAsia"/>
              </w:rPr>
            </w:pPr>
            <w:r>
              <w:rPr>
                <w:rFonts w:hint="eastAsia" w:cs="仿宋" w:asciiTheme="minorEastAsia" w:hAnsiTheme="minorEastAsia"/>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5</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4.7</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投标供应商资格要求</w:t>
            </w:r>
          </w:p>
        </w:tc>
        <w:tc>
          <w:tcPr>
            <w:tcW w:w="3280" w:type="pct"/>
            <w:vAlign w:val="center"/>
          </w:tcPr>
          <w:p>
            <w:pPr>
              <w:spacing w:line="300" w:lineRule="auto"/>
              <w:rPr>
                <w:rFonts w:ascii="宋体" w:hAnsi="宋体"/>
                <w:szCs w:val="21"/>
              </w:rPr>
            </w:pPr>
            <w:r>
              <w:rPr>
                <w:rFonts w:hint="eastAsia" w:ascii="宋体" w:hAnsi="宋体"/>
                <w:szCs w:val="21"/>
              </w:rPr>
              <w:t>详见采购公告“申请人的资格要求”</w:t>
            </w:r>
            <w:r>
              <w:rPr>
                <w:rFonts w:ascii="宋体" w:hAnsi="宋体"/>
                <w:szCs w:val="21"/>
              </w:rPr>
              <w:t xml:space="preserve"> </w:t>
            </w:r>
          </w:p>
          <w:p>
            <w:pPr>
              <w:spacing w:line="400" w:lineRule="exact"/>
              <w:rPr>
                <w:rFonts w:cs="仿宋" w:asciiTheme="minorEastAsia" w:hAnsiTheme="minorEastAsia"/>
                <w:szCs w:val="21"/>
              </w:rPr>
            </w:pPr>
            <w:r>
              <w:rPr>
                <w:rFonts w:hint="eastAsia" w:ascii="Times New Roman" w:hAnsi="宋体"/>
                <w:b/>
                <w:bCs/>
                <w:szCs w:val="21"/>
              </w:rPr>
              <w:t>（资格证明文件详见第三部分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6</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6.1</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踏勘现场</w:t>
            </w:r>
          </w:p>
        </w:tc>
        <w:tc>
          <w:tcPr>
            <w:tcW w:w="3280" w:type="pct"/>
            <w:vAlign w:val="center"/>
          </w:tcPr>
          <w:p>
            <w:pPr>
              <w:pStyle w:val="10"/>
              <w:spacing w:line="360" w:lineRule="auto"/>
              <w:rPr>
                <w:rFonts w:cs="仿宋" w:asciiTheme="minorEastAsia" w:hAnsiTheme="minorEastAsia"/>
              </w:rPr>
            </w:pPr>
            <w:r>
              <w:rPr>
                <w:rFonts w:hint="eastAsia" w:cs="仿宋" w:asciiTheme="minorEastAsia" w:hAnsiTheme="minorEastAsia"/>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7</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14.1</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bCs/>
              </w:rPr>
              <w:t>投标文件</w:t>
            </w:r>
            <w:r>
              <w:rPr>
                <w:rFonts w:hint="eastAsia" w:cs="仿宋" w:asciiTheme="minorEastAsia" w:hAnsiTheme="minorEastAsia"/>
              </w:rPr>
              <w:t>有效期</w:t>
            </w:r>
          </w:p>
        </w:tc>
        <w:tc>
          <w:tcPr>
            <w:tcW w:w="3280" w:type="pct"/>
            <w:vAlign w:val="center"/>
          </w:tcPr>
          <w:p>
            <w:pPr>
              <w:pStyle w:val="10"/>
              <w:spacing w:line="360" w:lineRule="auto"/>
              <w:rPr>
                <w:rFonts w:cs="仿宋" w:asciiTheme="minorEastAsia" w:hAnsiTheme="minorEastAsia"/>
              </w:rPr>
            </w:pPr>
            <w:r>
              <w:rPr>
                <w:rFonts w:hint="eastAsia" w:cs="仿宋" w:asciiTheme="minorEastAsia" w:hAnsiTheme="minorEastAsia"/>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8</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15.2</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项目保证金</w:t>
            </w:r>
          </w:p>
        </w:tc>
        <w:tc>
          <w:tcPr>
            <w:tcW w:w="3280" w:type="pct"/>
            <w:vAlign w:val="center"/>
          </w:tcPr>
          <w:p>
            <w:pPr>
              <w:pStyle w:val="10"/>
              <w:spacing w:line="360" w:lineRule="auto"/>
              <w:rPr>
                <w:rFonts w:cs="仿宋" w:asciiTheme="minorEastAsia" w:hAnsiTheme="minorEastAsia"/>
              </w:rPr>
            </w:pPr>
            <w:r>
              <w:rPr>
                <w:rFonts w:hint="eastAsia" w:cs="仿宋" w:asciiTheme="minorEastAsia" w:hAnsiTheme="minorEastAsia"/>
              </w:rPr>
              <w:t>本项目不收取项目保证金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10</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17.1</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bCs/>
              </w:rPr>
              <w:t>投标文件</w:t>
            </w:r>
            <w:r>
              <w:rPr>
                <w:rFonts w:hint="eastAsia" w:cs="仿宋" w:asciiTheme="minorEastAsia" w:hAnsiTheme="minorEastAsia"/>
              </w:rPr>
              <w:t>份数</w:t>
            </w:r>
          </w:p>
        </w:tc>
        <w:tc>
          <w:tcPr>
            <w:tcW w:w="3280" w:type="pct"/>
            <w:vAlign w:val="center"/>
          </w:tcPr>
          <w:p>
            <w:pPr>
              <w:pStyle w:val="10"/>
              <w:rPr>
                <w:rFonts w:cs="仿宋" w:asciiTheme="minorEastAsia" w:hAnsiTheme="minorEastAsia"/>
              </w:rPr>
            </w:pPr>
            <w:r>
              <w:rPr>
                <w:rFonts w:hint="eastAsia" w:cs="仿宋" w:asciiTheme="minorEastAsia" w:hAnsiTheme="minorEastAsia"/>
              </w:rPr>
              <w:t>正本2份，副本 4 份，投标文件正文扫描件电子档1份。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11</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18.8</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开标</w:t>
            </w:r>
          </w:p>
        </w:tc>
        <w:tc>
          <w:tcPr>
            <w:tcW w:w="3280" w:type="pct"/>
            <w:vAlign w:val="center"/>
          </w:tcPr>
          <w:p>
            <w:pPr>
              <w:pStyle w:val="10"/>
              <w:rPr>
                <w:rFonts w:cs="仿宋" w:asciiTheme="minorEastAsia" w:hAnsiTheme="minorEastAsia"/>
                <w:highlight w:val="none"/>
              </w:rPr>
            </w:pPr>
            <w:r>
              <w:rPr>
                <w:rFonts w:hint="eastAsia" w:cs="仿宋" w:asciiTheme="minorEastAsia" w:hAnsiTheme="minorEastAsia"/>
                <w:highlight w:val="none"/>
              </w:rPr>
              <w:t>时间：</w:t>
            </w:r>
            <w:r>
              <w:rPr>
                <w:rFonts w:hint="eastAsia" w:cs="仿宋" w:asciiTheme="minorEastAsia" w:hAnsiTheme="minorEastAsia"/>
                <w:b/>
                <w:snapToGrid w:val="0"/>
                <w:highlight w:val="none"/>
              </w:rPr>
              <w:t>202</w:t>
            </w:r>
            <w:r>
              <w:rPr>
                <w:rFonts w:hint="eastAsia" w:cs="仿宋" w:asciiTheme="minorEastAsia" w:hAnsiTheme="minorEastAsia"/>
                <w:b/>
                <w:snapToGrid w:val="0"/>
                <w:highlight w:val="none"/>
                <w:lang w:val="en-US" w:eastAsia="zh-CN"/>
              </w:rPr>
              <w:t>3</w:t>
            </w:r>
            <w:r>
              <w:rPr>
                <w:rFonts w:hint="eastAsia" w:cs="仿宋" w:asciiTheme="minorEastAsia" w:hAnsiTheme="minorEastAsia"/>
                <w:b/>
                <w:snapToGrid w:val="0"/>
                <w:highlight w:val="none"/>
              </w:rPr>
              <w:t>年</w:t>
            </w:r>
            <w:r>
              <w:rPr>
                <w:rFonts w:hint="eastAsia" w:cs="仿宋" w:asciiTheme="minorEastAsia" w:hAnsiTheme="minorEastAsia"/>
                <w:b/>
                <w:snapToGrid w:val="0"/>
                <w:highlight w:val="none"/>
                <w:lang w:val="en-US" w:eastAsia="zh-CN"/>
              </w:rPr>
              <w:t>2</w:t>
            </w:r>
            <w:r>
              <w:rPr>
                <w:rFonts w:hint="eastAsia" w:cs="仿宋" w:asciiTheme="minorEastAsia" w:hAnsiTheme="minorEastAsia"/>
                <w:b/>
                <w:snapToGrid w:val="0"/>
                <w:highlight w:val="none"/>
              </w:rPr>
              <w:t>月</w:t>
            </w:r>
            <w:r>
              <w:rPr>
                <w:rFonts w:hint="eastAsia" w:cs="仿宋" w:asciiTheme="minorEastAsia" w:hAnsiTheme="minorEastAsia"/>
                <w:b/>
                <w:snapToGrid w:val="0"/>
                <w:highlight w:val="none"/>
                <w:lang w:val="en-US" w:eastAsia="zh-CN"/>
              </w:rPr>
              <w:t>22</w:t>
            </w:r>
            <w:r>
              <w:rPr>
                <w:rFonts w:hint="eastAsia" w:cs="仿宋" w:asciiTheme="minorEastAsia" w:hAnsiTheme="minorEastAsia"/>
                <w:b/>
                <w:snapToGrid w:val="0"/>
                <w:highlight w:val="none"/>
              </w:rPr>
              <w:t>日</w:t>
            </w:r>
            <w:r>
              <w:rPr>
                <w:rFonts w:hint="eastAsia" w:cs="仿宋" w:asciiTheme="minorEastAsia" w:hAnsiTheme="minorEastAsia"/>
                <w:b/>
                <w:snapToGrid w:val="0"/>
                <w:highlight w:val="none"/>
                <w:lang w:val="en-US" w:eastAsia="zh-CN"/>
              </w:rPr>
              <w:t>9</w:t>
            </w:r>
            <w:r>
              <w:rPr>
                <w:rFonts w:hint="eastAsia" w:cs="仿宋" w:asciiTheme="minorEastAsia" w:hAnsiTheme="minorEastAsia"/>
                <w:b/>
                <w:snapToGrid w:val="0"/>
                <w:highlight w:val="none"/>
              </w:rPr>
              <w:t>：</w:t>
            </w:r>
            <w:r>
              <w:rPr>
                <w:rFonts w:hint="eastAsia" w:cs="仿宋" w:asciiTheme="minorEastAsia" w:hAnsiTheme="minorEastAsia"/>
                <w:b/>
                <w:snapToGrid w:val="0"/>
                <w:highlight w:val="none"/>
                <w:lang w:val="en-US" w:eastAsia="zh-CN"/>
              </w:rPr>
              <w:t>30</w:t>
            </w:r>
            <w:r>
              <w:rPr>
                <w:rFonts w:hint="eastAsia" w:cs="仿宋" w:asciiTheme="minorEastAsia" w:hAnsiTheme="minorEastAsia"/>
                <w:b/>
                <w:snapToGrid w:val="0"/>
                <w:highlight w:val="none"/>
              </w:rPr>
              <w:t>时（北京时间）</w:t>
            </w:r>
          </w:p>
          <w:p>
            <w:pPr>
              <w:pStyle w:val="10"/>
              <w:spacing w:line="360" w:lineRule="auto"/>
              <w:ind w:left="4" w:hanging="4" w:hangingChars="2"/>
              <w:rPr>
                <w:rFonts w:cs="仿宋" w:asciiTheme="minorEastAsia" w:hAnsiTheme="minorEastAsia"/>
                <w:highlight w:val="none"/>
              </w:rPr>
            </w:pPr>
            <w:r>
              <w:rPr>
                <w:rFonts w:hint="eastAsia" w:cs="仿宋" w:asciiTheme="minorEastAsia" w:hAnsiTheme="minorEastAsia"/>
                <w:highlight w:val="none"/>
              </w:rPr>
              <w:t>地点：深圳市福田区民田路171号新华保险大厦903中正招标开标室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12</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19.2</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bCs/>
              </w:rPr>
              <w:t>投标文件</w:t>
            </w:r>
            <w:r>
              <w:rPr>
                <w:rFonts w:hint="eastAsia" w:cs="仿宋" w:asciiTheme="minorEastAsia" w:hAnsiTheme="minorEastAsia"/>
              </w:rPr>
              <w:t>截止时间</w:t>
            </w:r>
          </w:p>
        </w:tc>
        <w:tc>
          <w:tcPr>
            <w:tcW w:w="3280" w:type="pct"/>
            <w:vAlign w:val="center"/>
          </w:tcPr>
          <w:p>
            <w:pPr>
              <w:pStyle w:val="10"/>
              <w:spacing w:line="360" w:lineRule="auto"/>
              <w:rPr>
                <w:rFonts w:cs="仿宋" w:asciiTheme="minorEastAsia" w:hAnsiTheme="minorEastAsia"/>
                <w:b/>
                <w:highlight w:val="none"/>
              </w:rPr>
            </w:pPr>
            <w:r>
              <w:rPr>
                <w:rFonts w:hint="eastAsia" w:cs="仿宋" w:asciiTheme="minorEastAsia" w:hAnsiTheme="minorEastAsia"/>
                <w:b/>
                <w:snapToGrid w:val="0"/>
                <w:highlight w:val="none"/>
              </w:rPr>
              <w:t>202</w:t>
            </w:r>
            <w:r>
              <w:rPr>
                <w:rFonts w:hint="eastAsia" w:cs="仿宋" w:asciiTheme="minorEastAsia" w:hAnsiTheme="minorEastAsia"/>
                <w:b/>
                <w:snapToGrid w:val="0"/>
                <w:highlight w:val="none"/>
                <w:lang w:val="en-US" w:eastAsia="zh-CN"/>
              </w:rPr>
              <w:t>3</w:t>
            </w:r>
            <w:r>
              <w:rPr>
                <w:rFonts w:hint="eastAsia" w:cs="仿宋" w:asciiTheme="minorEastAsia" w:hAnsiTheme="minorEastAsia"/>
                <w:b/>
                <w:snapToGrid w:val="0"/>
                <w:highlight w:val="none"/>
              </w:rPr>
              <w:t>年</w:t>
            </w:r>
            <w:r>
              <w:rPr>
                <w:rFonts w:hint="eastAsia" w:cs="仿宋" w:asciiTheme="minorEastAsia" w:hAnsiTheme="minorEastAsia"/>
                <w:b/>
                <w:snapToGrid w:val="0"/>
                <w:highlight w:val="none"/>
                <w:lang w:val="en-US" w:eastAsia="zh-CN"/>
              </w:rPr>
              <w:t>2</w:t>
            </w:r>
            <w:r>
              <w:rPr>
                <w:rFonts w:hint="eastAsia" w:cs="仿宋" w:asciiTheme="minorEastAsia" w:hAnsiTheme="minorEastAsia"/>
                <w:b/>
                <w:snapToGrid w:val="0"/>
                <w:highlight w:val="none"/>
              </w:rPr>
              <w:t>月</w:t>
            </w:r>
            <w:r>
              <w:rPr>
                <w:rFonts w:hint="eastAsia" w:cs="仿宋" w:asciiTheme="minorEastAsia" w:hAnsiTheme="minorEastAsia"/>
                <w:b/>
                <w:snapToGrid w:val="0"/>
                <w:highlight w:val="none"/>
                <w:lang w:val="en-US" w:eastAsia="zh-CN"/>
              </w:rPr>
              <w:t>22</w:t>
            </w:r>
            <w:r>
              <w:rPr>
                <w:rFonts w:hint="eastAsia" w:cs="仿宋" w:asciiTheme="minorEastAsia" w:hAnsiTheme="minorEastAsia"/>
                <w:b/>
                <w:snapToGrid w:val="0"/>
                <w:highlight w:val="none"/>
              </w:rPr>
              <w:t>日</w:t>
            </w:r>
            <w:r>
              <w:rPr>
                <w:rFonts w:hint="eastAsia" w:cs="仿宋" w:asciiTheme="minorEastAsia" w:hAnsiTheme="minorEastAsia"/>
                <w:b/>
                <w:snapToGrid w:val="0"/>
                <w:highlight w:val="none"/>
                <w:lang w:val="en-US" w:eastAsia="zh-CN"/>
              </w:rPr>
              <w:t>9</w:t>
            </w:r>
            <w:r>
              <w:rPr>
                <w:rFonts w:hint="eastAsia" w:cs="仿宋" w:asciiTheme="minorEastAsia" w:hAnsiTheme="minorEastAsia"/>
                <w:b/>
                <w:snapToGrid w:val="0"/>
                <w:highlight w:val="none"/>
              </w:rPr>
              <w:t>：</w:t>
            </w:r>
            <w:r>
              <w:rPr>
                <w:rFonts w:hint="eastAsia" w:cs="仿宋" w:asciiTheme="minorEastAsia" w:hAnsiTheme="minorEastAsia"/>
                <w:b/>
                <w:snapToGrid w:val="0"/>
                <w:highlight w:val="none"/>
                <w:lang w:val="en-US" w:eastAsia="zh-CN"/>
              </w:rPr>
              <w:t>30</w:t>
            </w:r>
            <w:r>
              <w:rPr>
                <w:rFonts w:hint="eastAsia" w:cs="仿宋" w:asciiTheme="minorEastAsia" w:hAnsiTheme="minorEastAsia"/>
                <w:b/>
                <w:snapToGrid w:val="0"/>
                <w:highlight w:val="none"/>
              </w:rPr>
              <w:t>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13</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26.5</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评审方法</w:t>
            </w:r>
          </w:p>
        </w:tc>
        <w:tc>
          <w:tcPr>
            <w:tcW w:w="3280" w:type="pct"/>
            <w:vAlign w:val="center"/>
          </w:tcPr>
          <w:p>
            <w:pPr>
              <w:pStyle w:val="10"/>
              <w:spacing w:line="360" w:lineRule="auto"/>
              <w:rPr>
                <w:rFonts w:cs="仿宋" w:asciiTheme="minorEastAsia" w:hAnsiTheme="minorEastAsia"/>
              </w:rPr>
            </w:pPr>
            <w:r>
              <w:rPr>
                <w:rFonts w:hint="eastAsia" w:cs="仿宋" w:asciiTheme="minorEastAsia" w:hAnsiTheme="minorEastAsia"/>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14</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33.1</w:t>
            </w:r>
          </w:p>
        </w:tc>
        <w:tc>
          <w:tcPr>
            <w:tcW w:w="966" w:type="pct"/>
            <w:vAlign w:val="center"/>
          </w:tcPr>
          <w:p>
            <w:pPr>
              <w:pStyle w:val="10"/>
              <w:spacing w:line="340" w:lineRule="exact"/>
              <w:jc w:val="center"/>
              <w:rPr>
                <w:rFonts w:cs="仿宋" w:asciiTheme="minorEastAsia" w:hAnsiTheme="minorEastAsia"/>
              </w:rPr>
            </w:pPr>
            <w:r>
              <w:rPr>
                <w:rFonts w:hint="eastAsia" w:cs="仿宋" w:asciiTheme="minorEastAsia" w:hAnsiTheme="minorEastAsia"/>
              </w:rPr>
              <w:t>采购代理服务费</w:t>
            </w:r>
          </w:p>
        </w:tc>
        <w:tc>
          <w:tcPr>
            <w:tcW w:w="3280" w:type="pct"/>
            <w:vAlign w:val="center"/>
          </w:tcPr>
          <w:p>
            <w:pPr>
              <w:pStyle w:val="10"/>
              <w:spacing w:line="340" w:lineRule="exact"/>
              <w:rPr>
                <w:rFonts w:cs="仿宋" w:asciiTheme="minorEastAsia" w:hAnsiTheme="minorEastAsia"/>
              </w:rPr>
            </w:pPr>
            <w:r>
              <w:rPr>
                <w:rFonts w:hint="eastAsia" w:cs="仿宋" w:asciiTheme="minorEastAsia" w:hAnsiTheme="minorEastAsia"/>
              </w:rPr>
              <w:t>采购代理机构按中标金额的一定比例向中标供应商收取，最低收取人民币5000元。</w:t>
            </w:r>
          </w:p>
          <w:p>
            <w:pPr>
              <w:pStyle w:val="10"/>
              <w:spacing w:line="340" w:lineRule="exact"/>
              <w:rPr>
                <w:rFonts w:cs="仿宋" w:asciiTheme="minorEastAsia" w:hAnsiTheme="minorEastAsia"/>
              </w:rPr>
            </w:pPr>
            <w:r>
              <w:rPr>
                <w:rFonts w:hint="eastAsia" w:cs="仿宋" w:asciiTheme="minorEastAsia" w:hAnsiTheme="minorEastAsia"/>
              </w:rPr>
              <w:t>（详见“第五部分-通用条款（投标须知）第33条款”）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15</w:t>
            </w:r>
          </w:p>
        </w:tc>
        <w:tc>
          <w:tcPr>
            <w:tcW w:w="398" w:type="pct"/>
            <w:vAlign w:val="center"/>
          </w:tcPr>
          <w:p>
            <w:pPr>
              <w:pStyle w:val="10"/>
              <w:spacing w:line="360" w:lineRule="auto"/>
              <w:jc w:val="center"/>
              <w:rPr>
                <w:rFonts w:cs="仿宋" w:asciiTheme="minorEastAsia" w:hAnsiTheme="minorEastAsia"/>
              </w:rPr>
            </w:pPr>
          </w:p>
        </w:tc>
        <w:tc>
          <w:tcPr>
            <w:tcW w:w="966" w:type="pct"/>
            <w:vAlign w:val="center"/>
          </w:tcPr>
          <w:p>
            <w:pPr>
              <w:pStyle w:val="10"/>
              <w:spacing w:line="340" w:lineRule="exact"/>
              <w:jc w:val="center"/>
              <w:rPr>
                <w:rFonts w:cs="仿宋" w:asciiTheme="minorEastAsia" w:hAnsiTheme="minorEastAsia"/>
              </w:rPr>
            </w:pPr>
            <w:r>
              <w:rPr>
                <w:rFonts w:hint="eastAsia" w:cs="仿宋" w:asciiTheme="minorEastAsia" w:hAnsiTheme="minorEastAsia"/>
              </w:rPr>
              <w:t>采购控制金额</w:t>
            </w:r>
          </w:p>
          <w:p>
            <w:pPr>
              <w:pStyle w:val="10"/>
              <w:spacing w:line="340" w:lineRule="exact"/>
              <w:jc w:val="center"/>
              <w:rPr>
                <w:rFonts w:cs="仿宋" w:asciiTheme="minorEastAsia" w:hAnsiTheme="minorEastAsia"/>
              </w:rPr>
            </w:pPr>
            <w:r>
              <w:rPr>
                <w:rFonts w:hint="eastAsia" w:cs="仿宋" w:asciiTheme="minorEastAsia" w:hAnsiTheme="minorEastAsia"/>
              </w:rPr>
              <w:t>（最高限价）</w:t>
            </w:r>
          </w:p>
        </w:tc>
        <w:tc>
          <w:tcPr>
            <w:tcW w:w="3280" w:type="pct"/>
            <w:vAlign w:val="center"/>
          </w:tcPr>
          <w:p>
            <w:pPr>
              <w:pStyle w:val="10"/>
              <w:spacing w:line="340" w:lineRule="exact"/>
              <w:rPr>
                <w:rFonts w:cs="仿宋" w:asciiTheme="minorEastAsia" w:hAnsiTheme="minorEastAsia"/>
                <w:b/>
                <w:highlight w:val="none"/>
              </w:rPr>
            </w:pPr>
            <w:r>
              <w:rPr>
                <w:rFonts w:hint="eastAsia" w:cs="仿宋" w:asciiTheme="minorEastAsia" w:hAnsiTheme="minorEastAsia"/>
                <w:b/>
                <w:highlight w:val="none"/>
              </w:rPr>
              <w:t>人民币39.2万元</w:t>
            </w:r>
          </w:p>
        </w:tc>
      </w:tr>
    </w:tbl>
    <w:p>
      <w:pPr>
        <w:jc w:val="center"/>
        <w:rPr>
          <w:rFonts w:cs="仿宋" w:asciiTheme="minorEastAsia" w:hAnsiTheme="minorEastAsia" w:eastAsiaTheme="minorEastAsia"/>
          <w:b/>
          <w:sz w:val="36"/>
          <w:szCs w:val="32"/>
        </w:rPr>
      </w:pPr>
      <w:r>
        <w:rPr>
          <w:rFonts w:hint="eastAsia" w:cs="仿宋" w:asciiTheme="minorEastAsia" w:hAnsiTheme="minorEastAsia" w:eastAsiaTheme="minorEastAsia"/>
        </w:rPr>
        <w:br w:type="page"/>
      </w:r>
      <w:r>
        <w:rPr>
          <w:rFonts w:hint="eastAsia" w:cs="仿宋" w:asciiTheme="minorEastAsia" w:hAnsiTheme="minorEastAsia" w:eastAsiaTheme="minorEastAsia"/>
          <w:b/>
          <w:sz w:val="36"/>
          <w:szCs w:val="32"/>
        </w:rPr>
        <w:t>投标须知前附件</w:t>
      </w:r>
    </w:p>
    <w:p>
      <w:pPr>
        <w:adjustRightInd w:val="0"/>
        <w:spacing w:line="360" w:lineRule="auto"/>
        <w:ind w:firstLine="420" w:firstLineChars="200"/>
        <w:rPr>
          <w:rFonts w:cs="仿宋" w:asciiTheme="minorEastAsia" w:hAnsiTheme="minorEastAsia" w:eastAsiaTheme="minorEastAsia"/>
          <w:snapToGrid w:val="0"/>
          <w:kern w:val="0"/>
        </w:rPr>
      </w:pPr>
    </w:p>
    <w:p>
      <w:pPr>
        <w:adjustRightInd w:val="0"/>
        <w:spacing w:line="360" w:lineRule="auto"/>
        <w:ind w:firstLine="420" w:firstLineChars="200"/>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本章是本征集文件中涉及的所有无效标和废标情形的摘要，除法律法规另有规定外，投标文件的其他任何情形均不得作无效标和废标处理。征集文件中有关无效标和废标与本章节不一致的，以本章节内容为准。</w:t>
      </w:r>
    </w:p>
    <w:p>
      <w:pPr>
        <w:adjustRightInd w:val="0"/>
        <w:spacing w:line="360" w:lineRule="auto"/>
        <w:rPr>
          <w:rFonts w:cs="仿宋" w:asciiTheme="minorEastAsia" w:hAnsiTheme="minorEastAsia" w:eastAsiaTheme="minorEastAsia"/>
          <w:snapToGrid w:val="0"/>
          <w:kern w:val="0"/>
        </w:rPr>
      </w:pPr>
    </w:p>
    <w:p>
      <w:p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一、资格性审查</w:t>
      </w:r>
    </w:p>
    <w:p>
      <w:pPr>
        <w:numPr>
          <w:ilvl w:val="0"/>
          <w:numId w:val="1"/>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bCs/>
          <w:szCs w:val="21"/>
        </w:rPr>
        <w:t>投标供应商</w:t>
      </w:r>
      <w:r>
        <w:rPr>
          <w:rFonts w:hint="eastAsia" w:cs="仿宋" w:asciiTheme="minorEastAsia" w:hAnsiTheme="minorEastAsia" w:eastAsiaTheme="minorEastAsia"/>
          <w:snapToGrid w:val="0"/>
          <w:kern w:val="0"/>
        </w:rPr>
        <w:t>的资格不符合征集文件要求或资格证明文件提供不全。</w:t>
      </w:r>
    </w:p>
    <w:p>
      <w:pPr>
        <w:pStyle w:val="2"/>
      </w:pPr>
    </w:p>
    <w:p>
      <w:p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二、符合性审查</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投标供应商提供的投标文件数量不符合征集文件要求。</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投标文件未按照征集文件要求制作、密封和标记。</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投标文件有关内容未按征集文件要求加盖投标供应商印章、或未经法定代表人或其委托代理人签字（或盖章）。</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投标文件的关键内容字迹模糊、无法辨认的。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投标报价有严重缺漏项的。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未实质性响应征集文件要求的。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任一项带★的指标未投标或不满足要求。（如有带★号条款）</w:t>
      </w:r>
    </w:p>
    <w:p>
      <w:pPr>
        <w:numPr>
          <w:ilvl w:val="0"/>
          <w:numId w:val="2"/>
        </w:numPr>
        <w:adjustRightInd w:val="0"/>
        <w:spacing w:line="360" w:lineRule="auto"/>
        <w:rPr>
          <w:rFonts w:cs="仿宋" w:asciiTheme="minorEastAsia" w:hAnsiTheme="minorEastAsia" w:eastAsiaTheme="minorEastAsia"/>
          <w:snapToGrid w:val="0"/>
          <w:color w:val="FF0000"/>
          <w:kern w:val="0"/>
        </w:rPr>
      </w:pPr>
      <w:r>
        <w:rPr>
          <w:rFonts w:hint="eastAsia" w:cs="仿宋" w:asciiTheme="minorEastAsia" w:hAnsiTheme="minorEastAsia" w:eastAsiaTheme="minorEastAsia"/>
          <w:snapToGrid w:val="0"/>
          <w:kern w:val="0"/>
        </w:rPr>
        <w:t>未按征集文件所提供的样式填写《声明函》。</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将一个项目包拆分投标，对同一货物及服务投标时，同时提供两套或以上的投标方案。</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投标文件附有采购人不能接受的条件。</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出现违规行为：如以他人名义竞标、串通投标或者以其他弄虚作假方式投标的。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投标总价或单个采购条目的分项报价超过采购控制金额或最高限价的。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法律、法规规定的其他情形。</w:t>
      </w:r>
    </w:p>
    <w:p>
      <w:pPr>
        <w:spacing w:line="360" w:lineRule="auto"/>
        <w:jc w:val="center"/>
        <w:rPr>
          <w:rFonts w:cs="仿宋" w:asciiTheme="minorEastAsia" w:hAnsiTheme="minorEastAsia" w:eastAsiaTheme="minorEastAsia"/>
          <w:b/>
          <w:bCs/>
          <w:sz w:val="32"/>
        </w:rPr>
      </w:pPr>
    </w:p>
    <w:p>
      <w:pPr>
        <w:widowControl/>
        <w:jc w:val="left"/>
        <w:rPr>
          <w:rFonts w:cs="仿宋" w:asciiTheme="minorEastAsia" w:hAnsiTheme="minorEastAsia" w:eastAsiaTheme="minorEastAsia"/>
          <w:b/>
          <w:bCs/>
          <w:sz w:val="32"/>
        </w:rPr>
      </w:pPr>
      <w:r>
        <w:rPr>
          <w:rFonts w:hint="eastAsia" w:cs="仿宋" w:asciiTheme="minorEastAsia" w:hAnsiTheme="minorEastAsia" w:eastAsiaTheme="minorEastAsia"/>
          <w:b/>
          <w:bCs/>
          <w:sz w:val="32"/>
        </w:rPr>
        <w:br w:type="page"/>
      </w:r>
    </w:p>
    <w:p>
      <w:pPr>
        <w:spacing w:line="360" w:lineRule="auto"/>
        <w:jc w:val="center"/>
        <w:rPr>
          <w:rFonts w:cs="仿宋" w:asciiTheme="minorEastAsia" w:hAnsiTheme="minorEastAsia" w:eastAsiaTheme="minorEastAsia"/>
          <w:b/>
          <w:sz w:val="36"/>
        </w:rPr>
      </w:pPr>
      <w:r>
        <w:rPr>
          <w:rFonts w:hint="eastAsia" w:cs="仿宋" w:asciiTheme="minorEastAsia" w:hAnsiTheme="minorEastAsia" w:eastAsiaTheme="minorEastAsia"/>
          <w:b/>
          <w:sz w:val="36"/>
        </w:rPr>
        <w:t>评审信息</w:t>
      </w:r>
    </w:p>
    <w:p>
      <w:pPr>
        <w:spacing w:line="360" w:lineRule="auto"/>
        <w:jc w:val="left"/>
        <w:rPr>
          <w:rFonts w:cs="仿宋" w:asciiTheme="minorEastAsia" w:hAnsiTheme="minorEastAsia" w:eastAsiaTheme="minorEastAsia"/>
          <w:b/>
          <w:szCs w:val="21"/>
        </w:rPr>
      </w:pPr>
    </w:p>
    <w:p>
      <w:pPr>
        <w:spacing w:line="360" w:lineRule="auto"/>
        <w:jc w:val="left"/>
        <w:rPr>
          <w:rFonts w:cs="仿宋" w:asciiTheme="minorEastAsia" w:hAnsiTheme="minorEastAsia" w:eastAsiaTheme="minorEastAsia"/>
          <w:szCs w:val="21"/>
        </w:rPr>
      </w:pPr>
      <w:r>
        <w:rPr>
          <w:rFonts w:hint="eastAsia" w:cs="仿宋" w:asciiTheme="minorEastAsia" w:hAnsiTheme="minorEastAsia" w:eastAsiaTheme="minorEastAsia"/>
          <w:b/>
          <w:szCs w:val="21"/>
        </w:rPr>
        <w:t>评审方法;</w:t>
      </w:r>
      <w:r>
        <w:rPr>
          <w:rFonts w:hint="eastAsia" w:cs="仿宋" w:asciiTheme="minorEastAsia" w:hAnsiTheme="minorEastAsia" w:eastAsiaTheme="minorEastAsia"/>
          <w:szCs w:val="21"/>
        </w:rPr>
        <w:t>综合评分法。</w:t>
      </w:r>
    </w:p>
    <w:p>
      <w:pPr>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综合评分法，是指投标文件满足征集文件全部实质性要求，且按照评审因素的量化指标评审得分最高的投标供应商为中标候选供应商的评审方法。</w:t>
      </w:r>
    </w:p>
    <w:p>
      <w:pPr>
        <w:spacing w:line="360" w:lineRule="auto"/>
        <w:ind w:firstLine="422" w:firstLineChars="200"/>
        <w:jc w:val="left"/>
        <w:rPr>
          <w:rFonts w:cs="仿宋" w:asciiTheme="minorEastAsia" w:hAnsiTheme="minorEastAsia" w:eastAsiaTheme="minorEastAsia"/>
          <w:szCs w:val="21"/>
        </w:rPr>
      </w:pPr>
      <w:r>
        <w:rPr>
          <w:rFonts w:hint="eastAsia" w:cs="仿宋" w:asciiTheme="minorEastAsia" w:hAnsiTheme="minorEastAsia" w:eastAsiaTheme="minorEastAsia"/>
          <w:b/>
          <w:bCs/>
          <w:szCs w:val="21"/>
        </w:rPr>
        <w:t>公开征集采购方式说明：</w:t>
      </w:r>
      <w:r>
        <w:rPr>
          <w:rFonts w:hint="eastAsia" w:cs="仿宋" w:asciiTheme="minorEastAsia" w:hAnsiTheme="minorEastAsia" w:eastAsiaTheme="minorEastAsia"/>
          <w:szCs w:val="21"/>
        </w:rPr>
        <w:t>因有效投标供应商不足三家而致公开征集失败的，采购单位可结合实际需要，重新实施采购或依据有效投标供应商数量，在评标现场即转为邀请竞标或直接采购。</w:t>
      </w:r>
    </w:p>
    <w:p>
      <w:pPr>
        <w:spacing w:line="360" w:lineRule="auto"/>
        <w:ind w:firstLine="422" w:firstLineChars="200"/>
        <w:jc w:val="left"/>
        <w:rPr>
          <w:rFonts w:cs="仿宋" w:asciiTheme="minorEastAsia" w:hAnsiTheme="minorEastAsia" w:eastAsiaTheme="minorEastAsia"/>
          <w:szCs w:val="21"/>
        </w:rPr>
      </w:pPr>
      <w:r>
        <w:rPr>
          <w:rFonts w:hint="eastAsia" w:cs="仿宋" w:asciiTheme="minorEastAsia" w:hAnsiTheme="minorEastAsia" w:eastAsiaTheme="minorEastAsia"/>
          <w:b/>
          <w:bCs/>
          <w:szCs w:val="21"/>
        </w:rPr>
        <w:t>邀请竞标采购方式说明</w:t>
      </w:r>
      <w:r>
        <w:rPr>
          <w:rFonts w:hint="eastAsia" w:cs="仿宋" w:asciiTheme="minorEastAsia" w:hAnsiTheme="minorEastAsia" w:eastAsiaTheme="minorEastAsia"/>
          <w:szCs w:val="21"/>
        </w:rPr>
        <w:t xml:space="preserve">：是指邀请特定范围内 2家以上供应商参加投标，由采购单位代表、评审专家成立评审组根据本项目评审信息评审并确定中标供应商的采购方式。            </w:t>
      </w:r>
    </w:p>
    <w:p>
      <w:pPr>
        <w:spacing w:line="360" w:lineRule="auto"/>
        <w:ind w:firstLine="422" w:firstLineChars="200"/>
        <w:jc w:val="left"/>
        <w:rPr>
          <w:rFonts w:asciiTheme="minorEastAsia" w:hAnsiTheme="minorEastAsia" w:eastAsiaTheme="minorEastAsia"/>
          <w:szCs w:val="21"/>
        </w:rPr>
      </w:pPr>
      <w:r>
        <w:rPr>
          <w:rFonts w:hint="eastAsia" w:cs="仿宋" w:asciiTheme="minorEastAsia" w:hAnsiTheme="minorEastAsia" w:eastAsiaTheme="minorEastAsia"/>
          <w:b/>
          <w:bCs/>
          <w:szCs w:val="21"/>
        </w:rPr>
        <w:t>直接采购采购方式说明</w:t>
      </w:r>
      <w:r>
        <w:rPr>
          <w:rFonts w:hint="eastAsia" w:cs="仿宋" w:asciiTheme="minorEastAsia" w:hAnsiTheme="minorEastAsia" w:eastAsiaTheme="minorEastAsia"/>
          <w:szCs w:val="21"/>
        </w:rPr>
        <w:t>：是指采购单位自行与唯一供应商通过谈判确定成交的采购方式。</w:t>
      </w:r>
    </w:p>
    <w:tbl>
      <w:tblPr>
        <w:tblStyle w:val="16"/>
        <w:tblW w:w="54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144"/>
        <w:gridCol w:w="850"/>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71" w:type="pct"/>
            <w:tcBorders>
              <w:top w:val="double" w:color="auto" w:sz="4" w:space="0"/>
              <w:left w:val="double" w:color="auto" w:sz="4" w:space="0"/>
              <w:bottom w:val="single" w:color="auto" w:sz="4" w:space="0"/>
            </w:tcBorders>
            <w:shd w:val="clear" w:color="auto" w:fill="8DB3E2"/>
            <w:vAlign w:val="center"/>
          </w:tcPr>
          <w:p>
            <w:pPr>
              <w:adjustRightInd w:val="0"/>
              <w:snapToGrid w:val="0"/>
              <w:spacing w:line="44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类别</w:t>
            </w:r>
          </w:p>
        </w:tc>
        <w:tc>
          <w:tcPr>
            <w:tcW w:w="613" w:type="pct"/>
            <w:tcBorders>
              <w:top w:val="double" w:color="auto" w:sz="4" w:space="0"/>
            </w:tcBorders>
            <w:shd w:val="clear" w:color="auto" w:fill="8DB3E2"/>
            <w:vAlign w:val="center"/>
          </w:tcPr>
          <w:p>
            <w:pPr>
              <w:adjustRightInd w:val="0"/>
              <w:snapToGrid w:val="0"/>
              <w:spacing w:line="44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评分项目</w:t>
            </w:r>
          </w:p>
        </w:tc>
        <w:tc>
          <w:tcPr>
            <w:tcW w:w="456" w:type="pct"/>
            <w:tcBorders>
              <w:top w:val="double" w:color="auto" w:sz="4" w:space="0"/>
            </w:tcBorders>
            <w:shd w:val="clear" w:color="auto" w:fill="8DB3E2"/>
            <w:vAlign w:val="center"/>
          </w:tcPr>
          <w:p>
            <w:pPr>
              <w:widowControl/>
              <w:adjustRightInd w:val="0"/>
              <w:snapToGrid w:val="0"/>
              <w:spacing w:line="440" w:lineRule="exact"/>
              <w:jc w:val="center"/>
              <w:rPr>
                <w:rFonts w:cs="仿宋" w:asciiTheme="minorEastAsia" w:hAnsiTheme="minorEastAsia" w:eastAsiaTheme="minorEastAsia"/>
                <w:snapToGrid w:val="0"/>
                <w:kern w:val="0"/>
                <w:szCs w:val="21"/>
              </w:rPr>
            </w:pPr>
            <w:r>
              <w:rPr>
                <w:rFonts w:hint="eastAsia" w:cs="仿宋" w:asciiTheme="minorEastAsia" w:hAnsiTheme="minorEastAsia" w:eastAsiaTheme="minorEastAsia"/>
                <w:b/>
                <w:bCs/>
                <w:snapToGrid w:val="0"/>
                <w:kern w:val="0"/>
                <w:szCs w:val="21"/>
              </w:rPr>
              <w:t>分值</w:t>
            </w:r>
          </w:p>
        </w:tc>
        <w:tc>
          <w:tcPr>
            <w:tcW w:w="3358" w:type="pct"/>
            <w:tcBorders>
              <w:top w:val="double" w:color="auto" w:sz="4" w:space="0"/>
              <w:right w:val="double" w:color="auto" w:sz="4" w:space="0"/>
            </w:tcBorders>
            <w:shd w:val="clear" w:color="auto" w:fill="8DB3E2"/>
            <w:vAlign w:val="center"/>
          </w:tcPr>
          <w:p>
            <w:pPr>
              <w:adjustRightInd w:val="0"/>
              <w:snapToGrid w:val="0"/>
              <w:spacing w:line="44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tcBorders>
              <w:left w:val="double" w:color="auto" w:sz="4" w:space="0"/>
            </w:tcBorders>
            <w:vAlign w:val="center"/>
          </w:tcPr>
          <w:p>
            <w:pPr>
              <w:adjustRightInd w:val="0"/>
              <w:spacing w:line="44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价格部分（G）</w:t>
            </w:r>
          </w:p>
          <w:p>
            <w:pPr>
              <w:adjustRightInd w:val="0"/>
              <w:spacing w:line="44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（总分30分）</w:t>
            </w:r>
          </w:p>
        </w:tc>
        <w:tc>
          <w:tcPr>
            <w:tcW w:w="613" w:type="pct"/>
            <w:vAlign w:val="center"/>
          </w:tcPr>
          <w:p>
            <w:pPr>
              <w:adjustRightInd w:val="0"/>
              <w:spacing w:line="440" w:lineRule="exact"/>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投标报价</w:t>
            </w:r>
          </w:p>
        </w:tc>
        <w:tc>
          <w:tcPr>
            <w:tcW w:w="456" w:type="pct"/>
            <w:vAlign w:val="center"/>
          </w:tcPr>
          <w:p>
            <w:pPr>
              <w:adjustRightInd w:val="0"/>
              <w:spacing w:line="440" w:lineRule="exact"/>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30</w:t>
            </w:r>
          </w:p>
        </w:tc>
        <w:tc>
          <w:tcPr>
            <w:tcW w:w="3358" w:type="pct"/>
            <w:tcBorders>
              <w:right w:val="double" w:color="auto" w:sz="4" w:space="0"/>
            </w:tcBorders>
            <w:vAlign w:val="center"/>
          </w:tcPr>
          <w:p>
            <w:pPr>
              <w:adjustRightInd w:val="0"/>
              <w:spacing w:line="44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价格分按以下方案计算：</w:t>
            </w:r>
          </w:p>
          <w:p>
            <w:pPr>
              <w:adjustRightInd w:val="0"/>
              <w:spacing w:line="44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投标报价得分= Z/Sn×权重</w:t>
            </w:r>
          </w:p>
          <w:p>
            <w:pPr>
              <w:adjustRightInd w:val="0"/>
              <w:spacing w:line="44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其中： Z --评审基准价，即通过资格性审查和符合性审查且价格最低的投标报价</w:t>
            </w:r>
          </w:p>
          <w:p>
            <w:pPr>
              <w:adjustRightInd w:val="0"/>
              <w:spacing w:line="44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ab/>
            </w:r>
            <w:r>
              <w:rPr>
                <w:rFonts w:hint="eastAsia" w:cs="仿宋" w:asciiTheme="minorEastAsia" w:hAnsiTheme="minorEastAsia" w:eastAsiaTheme="minorEastAsia"/>
                <w:kern w:val="0"/>
                <w:szCs w:val="21"/>
              </w:rPr>
              <w:t xml:space="preserve">  Sn ---投标报价，即通过资格性审查和符合性审查的投标报价。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vMerge w:val="restart"/>
            <w:tcBorders>
              <w:left w:val="double" w:color="auto" w:sz="4" w:space="0"/>
            </w:tcBorders>
            <w:vAlign w:val="center"/>
          </w:tcPr>
          <w:p>
            <w:pPr>
              <w:adjustRightInd w:val="0"/>
              <w:spacing w:line="44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技术部分（J）</w:t>
            </w:r>
          </w:p>
          <w:p>
            <w:pPr>
              <w:adjustRightInd w:val="0"/>
              <w:spacing w:line="44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（总分60分）</w:t>
            </w:r>
          </w:p>
        </w:tc>
        <w:tc>
          <w:tcPr>
            <w:tcW w:w="613" w:type="pct"/>
            <w:vAlign w:val="center"/>
          </w:tcPr>
          <w:p>
            <w:pPr>
              <w:adjustRightInd w:val="0"/>
              <w:spacing w:line="440" w:lineRule="exact"/>
              <w:jc w:val="center"/>
              <w:rPr>
                <w:rFonts w:cs="仿宋" w:asciiTheme="minorEastAsia" w:hAnsiTheme="minorEastAsia" w:eastAsiaTheme="minorEastAsia"/>
                <w:kern w:val="0"/>
                <w:szCs w:val="21"/>
              </w:rPr>
            </w:pPr>
            <w:r>
              <w:rPr>
                <w:rFonts w:hint="eastAsia" w:ascii="宋体" w:hAnsi="宋体" w:cs="宋体"/>
                <w:kern w:val="0"/>
                <w:szCs w:val="21"/>
              </w:rPr>
              <w:t>技术规格偏离情况</w:t>
            </w:r>
          </w:p>
        </w:tc>
        <w:tc>
          <w:tcPr>
            <w:tcW w:w="456" w:type="pct"/>
            <w:vAlign w:val="center"/>
          </w:tcPr>
          <w:p>
            <w:pPr>
              <w:spacing w:line="440" w:lineRule="exact"/>
              <w:jc w:val="center"/>
              <w:rPr>
                <w:rFonts w:hint="default" w:cs="仿宋" w:asciiTheme="minorEastAsia" w:hAnsiTheme="minorEastAsia" w:eastAsiaTheme="minorEastAsia"/>
                <w:kern w:val="0"/>
                <w:szCs w:val="21"/>
                <w:lang w:val="en-US" w:eastAsia="zh-CN"/>
              </w:rPr>
            </w:pPr>
            <w:r>
              <w:rPr>
                <w:rFonts w:hint="eastAsia" w:cs="仿宋" w:asciiTheme="minorEastAsia" w:hAnsiTheme="minorEastAsia" w:eastAsiaTheme="minorEastAsia"/>
                <w:kern w:val="0"/>
                <w:szCs w:val="21"/>
                <w:lang w:val="en-US" w:eastAsia="zh-CN"/>
              </w:rPr>
              <w:t>36</w:t>
            </w:r>
          </w:p>
        </w:tc>
        <w:tc>
          <w:tcPr>
            <w:tcW w:w="3358" w:type="pct"/>
            <w:tcBorders>
              <w:right w:val="double" w:color="auto" w:sz="4" w:space="0"/>
            </w:tcBorders>
            <w:vAlign w:val="center"/>
          </w:tcPr>
          <w:p>
            <w:pPr>
              <w:adjustRightInd w:val="0"/>
              <w:spacing w:line="44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（一）评分内容：</w:t>
            </w:r>
          </w:p>
          <w:p>
            <w:pPr>
              <w:adjustRightInd w:val="0"/>
              <w:spacing w:line="44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投标供应商应如实填写《技术规格偏离表》，各项技术参数指标及要求全部满足的得</w:t>
            </w:r>
            <w:r>
              <w:rPr>
                <w:rFonts w:hint="eastAsia" w:cs="仿宋" w:asciiTheme="minorEastAsia" w:hAnsiTheme="minorEastAsia" w:eastAsiaTheme="minorEastAsia"/>
                <w:kern w:val="0"/>
                <w:szCs w:val="21"/>
                <w:lang w:val="en-US" w:eastAsia="zh-CN"/>
              </w:rPr>
              <w:t>36</w:t>
            </w:r>
            <w:r>
              <w:rPr>
                <w:rFonts w:hint="eastAsia" w:cs="仿宋" w:asciiTheme="minorEastAsia" w:hAnsiTheme="minorEastAsia" w:eastAsiaTheme="minorEastAsia"/>
                <w:kern w:val="0"/>
                <w:szCs w:val="21"/>
              </w:rPr>
              <w:t>分，“▲”参数为重要指标，每负偏离一项扣3分；其余指标每负偏离一项扣 0.5分，最低0分。</w:t>
            </w:r>
          </w:p>
          <w:p>
            <w:pPr>
              <w:adjustRightInd w:val="0"/>
              <w:spacing w:line="44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（二）评分依据：</w:t>
            </w:r>
          </w:p>
          <w:p>
            <w:pPr>
              <w:adjustRightInd w:val="0"/>
              <w:spacing w:line="44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以投标文件《技术规格偏离表》为评分依据，投标供应商按征集文件要求提供相应的证明材料复印件或扫描件加盖投标供应商公章（原件备查），并注明证明材料在投标文件中的具体位置。未提供有效证明材料或未注明证明材料在投标文件中的具体位置或提供的证明资料显示不符合征集文件要求、模糊不清无法判断或未显示是否满足征集文件参数的，该项技术指标按负偏离处理。对于不同货物的技术要求中的相同项不满足时按一项不满足进行扣分，不对某一项技术要求重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vMerge w:val="continue"/>
            <w:tcBorders>
              <w:left w:val="double" w:color="auto" w:sz="4" w:space="0"/>
            </w:tcBorders>
            <w:vAlign w:val="center"/>
          </w:tcPr>
          <w:p>
            <w:pPr>
              <w:adjustRightInd w:val="0"/>
              <w:spacing w:line="440" w:lineRule="exact"/>
              <w:jc w:val="center"/>
              <w:rPr>
                <w:rFonts w:cs="仿宋" w:asciiTheme="minorEastAsia" w:hAnsiTheme="minorEastAsia" w:eastAsiaTheme="minorEastAsia"/>
                <w:b/>
                <w:bCs/>
                <w:snapToGrid w:val="0"/>
                <w:kern w:val="0"/>
                <w:szCs w:val="21"/>
              </w:rPr>
            </w:pPr>
          </w:p>
        </w:tc>
        <w:tc>
          <w:tcPr>
            <w:tcW w:w="613" w:type="pct"/>
            <w:vAlign w:val="center"/>
          </w:tcPr>
          <w:p>
            <w:pPr>
              <w:adjustRightInd w:val="0"/>
              <w:spacing w:line="440" w:lineRule="exact"/>
              <w:jc w:val="center"/>
              <w:rPr>
                <w:rFonts w:cs="仿宋" w:asciiTheme="minorEastAsia" w:hAnsiTheme="minorEastAsia" w:eastAsiaTheme="minorEastAsia"/>
                <w:kern w:val="0"/>
                <w:szCs w:val="21"/>
              </w:rPr>
            </w:pPr>
            <w:r>
              <w:rPr>
                <w:rFonts w:hint="eastAsia" w:ascii="宋体" w:hAnsi="宋体" w:cs="宋体"/>
                <w:kern w:val="0"/>
                <w:szCs w:val="21"/>
              </w:rPr>
              <w:t>技术保障措施</w:t>
            </w:r>
          </w:p>
        </w:tc>
        <w:tc>
          <w:tcPr>
            <w:tcW w:w="456" w:type="pct"/>
            <w:vAlign w:val="center"/>
          </w:tcPr>
          <w:p>
            <w:pPr>
              <w:spacing w:line="440" w:lineRule="exact"/>
              <w:jc w:val="center"/>
              <w:rPr>
                <w:rFonts w:hint="eastAsia" w:cs="仿宋" w:asciiTheme="minorEastAsia" w:hAnsiTheme="minorEastAsia" w:eastAsiaTheme="minorEastAsia"/>
                <w:kern w:val="0"/>
                <w:szCs w:val="21"/>
                <w:lang w:eastAsia="zh-CN"/>
              </w:rPr>
            </w:pPr>
            <w:r>
              <w:rPr>
                <w:rFonts w:hint="eastAsia" w:cs="仿宋" w:asciiTheme="minorEastAsia" w:hAnsiTheme="minorEastAsia" w:eastAsiaTheme="minorEastAsia"/>
                <w:kern w:val="0"/>
                <w:szCs w:val="21"/>
              </w:rPr>
              <w:t>1</w:t>
            </w:r>
            <w:r>
              <w:rPr>
                <w:rFonts w:hint="eastAsia" w:cs="仿宋" w:asciiTheme="minorEastAsia" w:hAnsiTheme="minorEastAsia" w:eastAsiaTheme="minorEastAsia"/>
                <w:kern w:val="0"/>
                <w:szCs w:val="21"/>
                <w:lang w:val="en-US" w:eastAsia="zh-CN"/>
              </w:rPr>
              <w:t>2</w:t>
            </w:r>
          </w:p>
        </w:tc>
        <w:tc>
          <w:tcPr>
            <w:tcW w:w="3358" w:type="pct"/>
            <w:tcBorders>
              <w:right w:val="double" w:color="auto" w:sz="4" w:space="0"/>
            </w:tcBorders>
            <w:vAlign w:val="center"/>
          </w:tcPr>
          <w:p>
            <w:pPr>
              <w:pStyle w:val="2"/>
              <w:numPr>
                <w:ilvl w:val="255"/>
                <w:numId w:val="0"/>
              </w:numPr>
              <w:spacing w:after="0" w:line="4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（一）评分内容：</w:t>
            </w:r>
          </w:p>
          <w:p>
            <w:pPr>
              <w:pStyle w:val="2"/>
              <w:numPr>
                <w:ilvl w:val="255"/>
                <w:numId w:val="0"/>
              </w:numPr>
              <w:spacing w:after="0" w:line="4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投标供应商</w:t>
            </w:r>
            <w:r>
              <w:rPr>
                <w:rFonts w:cs="仿宋" w:asciiTheme="minorEastAsia" w:hAnsiTheme="minorEastAsia" w:eastAsiaTheme="minorEastAsia"/>
                <w:szCs w:val="21"/>
              </w:rPr>
              <w:t>在投标文件中详细说明</w:t>
            </w:r>
            <w:r>
              <w:rPr>
                <w:rFonts w:hint="eastAsia" w:cs="仿宋" w:asciiTheme="minorEastAsia" w:hAnsiTheme="minorEastAsia" w:eastAsiaTheme="minorEastAsia"/>
                <w:szCs w:val="21"/>
              </w:rPr>
              <w:t>技术</w:t>
            </w:r>
            <w:r>
              <w:rPr>
                <w:rFonts w:cs="仿宋" w:asciiTheme="minorEastAsia" w:hAnsiTheme="minorEastAsia" w:eastAsiaTheme="minorEastAsia"/>
                <w:szCs w:val="21"/>
              </w:rPr>
              <w:t>保障措施（</w:t>
            </w:r>
            <w:r>
              <w:rPr>
                <w:rFonts w:hint="eastAsia" w:cs="仿宋" w:asciiTheme="minorEastAsia" w:hAnsiTheme="minorEastAsia" w:eastAsiaTheme="minorEastAsia"/>
                <w:szCs w:val="21"/>
              </w:rPr>
              <w:t>包括但不限于技术团队和技术方案</w:t>
            </w:r>
            <w:r>
              <w:rPr>
                <w:rFonts w:cs="仿宋" w:asciiTheme="minorEastAsia" w:hAnsiTheme="minorEastAsia" w:eastAsiaTheme="minorEastAsia"/>
                <w:szCs w:val="21"/>
              </w:rPr>
              <w:t>）</w:t>
            </w:r>
            <w:r>
              <w:rPr>
                <w:rFonts w:hint="eastAsia" w:cs="仿宋" w:asciiTheme="minorEastAsia" w:hAnsiTheme="minorEastAsia" w:eastAsiaTheme="minorEastAsia"/>
                <w:szCs w:val="21"/>
              </w:rPr>
              <w:t>，根据响应情况进行评审：</w:t>
            </w:r>
          </w:p>
          <w:p>
            <w:pPr>
              <w:pStyle w:val="2"/>
              <w:numPr>
                <w:ilvl w:val="255"/>
                <w:numId w:val="0"/>
              </w:numPr>
              <w:spacing w:after="0" w:line="4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（1）技术方案科学、严谨，能有效把控产品质量；</w:t>
            </w:r>
          </w:p>
          <w:p>
            <w:pPr>
              <w:pStyle w:val="2"/>
              <w:numPr>
                <w:ilvl w:val="255"/>
                <w:numId w:val="0"/>
              </w:numPr>
              <w:spacing w:after="0" w:line="4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（2）产品生产规范，符合国家及相关行业要求；</w:t>
            </w:r>
          </w:p>
          <w:p>
            <w:pPr>
              <w:pStyle w:val="2"/>
              <w:numPr>
                <w:ilvl w:val="255"/>
                <w:numId w:val="0"/>
              </w:numPr>
              <w:spacing w:after="0" w:line="4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（3）生产及供货进度计划详细、可实施性强。</w:t>
            </w:r>
          </w:p>
          <w:p>
            <w:pPr>
              <w:pStyle w:val="2"/>
              <w:numPr>
                <w:ilvl w:val="255"/>
                <w:numId w:val="0"/>
              </w:numPr>
              <w:spacing w:after="0" w:line="4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（二）评分标准：</w:t>
            </w:r>
          </w:p>
          <w:p>
            <w:pPr>
              <w:pStyle w:val="2"/>
              <w:numPr>
                <w:ilvl w:val="255"/>
                <w:numId w:val="0"/>
              </w:numPr>
              <w:spacing w:after="0" w:line="4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满足以上三项要求得1</w:t>
            </w:r>
            <w:r>
              <w:rPr>
                <w:rFonts w:hint="eastAsia" w:cs="仿宋" w:asciiTheme="minorEastAsia" w:hAnsiTheme="minorEastAsia" w:eastAsiaTheme="minorEastAsia"/>
                <w:szCs w:val="21"/>
                <w:lang w:val="en-US" w:eastAsia="zh-CN"/>
              </w:rPr>
              <w:t>2</w:t>
            </w:r>
            <w:r>
              <w:rPr>
                <w:rFonts w:hint="eastAsia" w:cs="仿宋" w:asciiTheme="minorEastAsia" w:hAnsiTheme="minorEastAsia" w:eastAsiaTheme="minorEastAsia"/>
                <w:szCs w:val="21"/>
              </w:rPr>
              <w:t>分，满足以上两项要求得</w:t>
            </w:r>
            <w:r>
              <w:rPr>
                <w:rFonts w:hint="eastAsia" w:cs="仿宋" w:asciiTheme="minorEastAsia" w:hAnsiTheme="minorEastAsia" w:eastAsiaTheme="minorEastAsia"/>
                <w:szCs w:val="21"/>
                <w:lang w:val="en-US" w:eastAsia="zh-CN"/>
              </w:rPr>
              <w:t>7</w:t>
            </w:r>
            <w:r>
              <w:rPr>
                <w:rFonts w:hint="eastAsia" w:cs="仿宋" w:asciiTheme="minorEastAsia" w:hAnsiTheme="minorEastAsia" w:eastAsiaTheme="minorEastAsia"/>
                <w:szCs w:val="21"/>
              </w:rPr>
              <w:t>分，满足以上一项要求得</w:t>
            </w:r>
            <w:r>
              <w:rPr>
                <w:rFonts w:hint="eastAsia" w:cs="仿宋" w:asciiTheme="minorEastAsia" w:hAnsiTheme="minorEastAsia" w:eastAsiaTheme="minorEastAsia"/>
                <w:szCs w:val="21"/>
                <w:lang w:val="en-US" w:eastAsia="zh-CN"/>
              </w:rPr>
              <w:t>2</w:t>
            </w:r>
            <w:r>
              <w:rPr>
                <w:rFonts w:hint="eastAsia" w:cs="仿宋" w:asciiTheme="minorEastAsia" w:hAnsiTheme="minorEastAsia" w:eastAsiaTheme="minorEastAsia"/>
                <w:szCs w:val="21"/>
              </w:rPr>
              <w:t>分，其它情况不得分。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vMerge w:val="continue"/>
            <w:tcBorders>
              <w:left w:val="double" w:color="auto" w:sz="4" w:space="0"/>
            </w:tcBorders>
            <w:vAlign w:val="center"/>
          </w:tcPr>
          <w:p>
            <w:pPr>
              <w:adjustRightInd w:val="0"/>
              <w:spacing w:line="440" w:lineRule="exact"/>
              <w:jc w:val="center"/>
              <w:rPr>
                <w:rFonts w:cs="仿宋" w:asciiTheme="minorEastAsia" w:hAnsiTheme="minorEastAsia" w:eastAsiaTheme="minorEastAsia"/>
                <w:b/>
                <w:bCs/>
                <w:snapToGrid w:val="0"/>
                <w:kern w:val="0"/>
                <w:szCs w:val="21"/>
              </w:rPr>
            </w:pPr>
          </w:p>
        </w:tc>
        <w:tc>
          <w:tcPr>
            <w:tcW w:w="613" w:type="pct"/>
            <w:vAlign w:val="center"/>
          </w:tcPr>
          <w:p>
            <w:pPr>
              <w:adjustRightInd w:val="0"/>
              <w:spacing w:line="440" w:lineRule="exact"/>
              <w:jc w:val="center"/>
              <w:rPr>
                <w:rFonts w:cs="仿宋" w:asciiTheme="minorEastAsia" w:hAnsiTheme="minorEastAsia" w:eastAsiaTheme="minorEastAsia"/>
                <w:kern w:val="0"/>
                <w:szCs w:val="21"/>
              </w:rPr>
            </w:pPr>
            <w:r>
              <w:rPr>
                <w:rFonts w:hint="eastAsia"/>
              </w:rPr>
              <w:t>售后服务方案</w:t>
            </w:r>
          </w:p>
        </w:tc>
        <w:tc>
          <w:tcPr>
            <w:tcW w:w="456" w:type="pct"/>
            <w:vAlign w:val="center"/>
          </w:tcPr>
          <w:p>
            <w:pPr>
              <w:spacing w:line="440" w:lineRule="exact"/>
              <w:jc w:val="center"/>
              <w:rPr>
                <w:rFonts w:hint="eastAsia" w:cs="仿宋" w:asciiTheme="minorEastAsia" w:hAnsiTheme="minorEastAsia" w:eastAsiaTheme="minorEastAsia"/>
                <w:kern w:val="0"/>
                <w:szCs w:val="21"/>
                <w:lang w:eastAsia="zh-CN"/>
              </w:rPr>
            </w:pPr>
            <w:r>
              <w:rPr>
                <w:rFonts w:hint="eastAsia" w:cs="仿宋" w:asciiTheme="minorEastAsia" w:hAnsiTheme="minorEastAsia" w:eastAsiaTheme="minorEastAsia"/>
                <w:kern w:val="0"/>
                <w:szCs w:val="21"/>
              </w:rPr>
              <w:t>1</w:t>
            </w:r>
            <w:r>
              <w:rPr>
                <w:rFonts w:hint="eastAsia" w:cs="仿宋" w:asciiTheme="minorEastAsia" w:hAnsiTheme="minorEastAsia" w:eastAsiaTheme="minorEastAsia"/>
                <w:kern w:val="0"/>
                <w:szCs w:val="21"/>
                <w:lang w:val="en-US" w:eastAsia="zh-CN"/>
              </w:rPr>
              <w:t>2</w:t>
            </w:r>
          </w:p>
        </w:tc>
        <w:tc>
          <w:tcPr>
            <w:tcW w:w="3358" w:type="pct"/>
            <w:tcBorders>
              <w:right w:val="double" w:color="auto" w:sz="4" w:space="0"/>
            </w:tcBorders>
            <w:vAlign w:val="center"/>
          </w:tcPr>
          <w:p>
            <w:pPr>
              <w:adjustRightInd w:val="0"/>
              <w:spacing w:line="44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（一）评分内容：</w:t>
            </w:r>
          </w:p>
          <w:p>
            <w:pPr>
              <w:adjustRightInd w:val="0"/>
              <w:spacing w:line="44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投标供应商根据本项目的需求制定售后服务方案（包括但不限于售后服务机构及维护人员配置、技术培训方案、故障响应时间及备品备件支持计划），根据响应情况进行评审：</w:t>
            </w:r>
          </w:p>
          <w:p>
            <w:pPr>
              <w:adjustRightInd w:val="0"/>
              <w:spacing w:line="44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（1）售后服务机构及维护人员配置合理；</w:t>
            </w:r>
          </w:p>
          <w:p>
            <w:pPr>
              <w:adjustRightInd w:val="0"/>
              <w:spacing w:line="44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（2）故障响应时间满足项目需求；</w:t>
            </w:r>
          </w:p>
          <w:p>
            <w:pPr>
              <w:adjustRightInd w:val="0"/>
              <w:spacing w:line="44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（3）技术培训及备品备件支持计划内容具体，可行性高。</w:t>
            </w:r>
          </w:p>
          <w:p>
            <w:pPr>
              <w:adjustRightInd w:val="0"/>
              <w:spacing w:line="44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（二）评分标准：</w:t>
            </w:r>
          </w:p>
          <w:p>
            <w:pPr>
              <w:adjustRightInd w:val="0"/>
              <w:spacing w:line="44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满足以上三项要求得</w:t>
            </w:r>
            <w:r>
              <w:rPr>
                <w:rFonts w:hint="eastAsia" w:cs="仿宋" w:asciiTheme="minorEastAsia" w:hAnsiTheme="minorEastAsia" w:eastAsiaTheme="minorEastAsia"/>
                <w:szCs w:val="21"/>
              </w:rPr>
              <w:t>1</w:t>
            </w:r>
            <w:r>
              <w:rPr>
                <w:rFonts w:hint="eastAsia" w:cs="仿宋" w:asciiTheme="minorEastAsia" w:hAnsiTheme="minorEastAsia" w:eastAsiaTheme="minorEastAsia"/>
                <w:szCs w:val="21"/>
                <w:lang w:val="en-US" w:eastAsia="zh-CN"/>
              </w:rPr>
              <w:t>2</w:t>
            </w:r>
            <w:r>
              <w:rPr>
                <w:rFonts w:hint="eastAsia" w:cs="仿宋" w:asciiTheme="minorEastAsia" w:hAnsiTheme="minorEastAsia" w:eastAsiaTheme="minorEastAsia"/>
                <w:szCs w:val="21"/>
              </w:rPr>
              <w:t>分，满足以上两项要求得</w:t>
            </w:r>
            <w:r>
              <w:rPr>
                <w:rFonts w:hint="eastAsia" w:cs="仿宋" w:asciiTheme="minorEastAsia" w:hAnsiTheme="minorEastAsia" w:eastAsiaTheme="minorEastAsia"/>
                <w:szCs w:val="21"/>
                <w:lang w:val="en-US" w:eastAsia="zh-CN"/>
              </w:rPr>
              <w:t>7</w:t>
            </w:r>
            <w:r>
              <w:rPr>
                <w:rFonts w:hint="eastAsia" w:cs="仿宋" w:asciiTheme="minorEastAsia" w:hAnsiTheme="minorEastAsia" w:eastAsiaTheme="minorEastAsia"/>
                <w:szCs w:val="21"/>
              </w:rPr>
              <w:t>分，满足以上一项要求得</w:t>
            </w:r>
            <w:r>
              <w:rPr>
                <w:rFonts w:hint="eastAsia" w:cs="仿宋" w:asciiTheme="minorEastAsia" w:hAnsiTheme="minorEastAsia" w:eastAsiaTheme="minorEastAsia"/>
                <w:szCs w:val="21"/>
                <w:lang w:val="en-US" w:eastAsia="zh-CN"/>
              </w:rPr>
              <w:t>2</w:t>
            </w:r>
            <w:r>
              <w:rPr>
                <w:rFonts w:hint="eastAsia" w:cs="仿宋" w:asciiTheme="minorEastAsia" w:hAnsiTheme="minorEastAsia" w:eastAsiaTheme="minorEastAsia"/>
                <w:szCs w:val="21"/>
              </w:rPr>
              <w:t>分，其它情况不得分</w:t>
            </w:r>
            <w:r>
              <w:rPr>
                <w:rFonts w:hint="eastAsia" w:cs="仿宋"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571" w:type="pct"/>
            <w:vMerge w:val="restart"/>
            <w:tcBorders>
              <w:left w:val="double" w:color="auto" w:sz="4" w:space="0"/>
            </w:tcBorders>
            <w:vAlign w:val="center"/>
          </w:tcPr>
          <w:p>
            <w:pPr>
              <w:adjustRightInd w:val="0"/>
              <w:spacing w:line="44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商务部分（S）</w:t>
            </w:r>
          </w:p>
          <w:p>
            <w:pPr>
              <w:adjustRightInd w:val="0"/>
              <w:spacing w:line="44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（总分10分）</w:t>
            </w:r>
          </w:p>
        </w:tc>
        <w:tc>
          <w:tcPr>
            <w:tcW w:w="613" w:type="pct"/>
            <w:vAlign w:val="center"/>
          </w:tcPr>
          <w:p>
            <w:pPr>
              <w:spacing w:line="440" w:lineRule="exact"/>
              <w:jc w:val="center"/>
              <w:rPr>
                <w:rFonts w:cs="仿宋" w:asciiTheme="minorEastAsia" w:hAnsiTheme="minorEastAsia" w:eastAsiaTheme="minorEastAsia"/>
                <w:szCs w:val="21"/>
              </w:rPr>
            </w:pPr>
            <w:r>
              <w:rPr>
                <w:rFonts w:hint="eastAsia"/>
              </w:rPr>
              <w:t>商务条款偏离情况</w:t>
            </w:r>
          </w:p>
        </w:tc>
        <w:tc>
          <w:tcPr>
            <w:tcW w:w="456" w:type="pct"/>
            <w:tcBorders>
              <w:right w:val="single" w:color="auto" w:sz="4" w:space="0"/>
            </w:tcBorders>
            <w:vAlign w:val="center"/>
          </w:tcPr>
          <w:p>
            <w:pPr>
              <w:widowControl/>
              <w:adjustRightInd w:val="0"/>
              <w:spacing w:line="44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3358" w:type="pct"/>
            <w:tcBorders>
              <w:left w:val="single" w:color="auto" w:sz="4" w:space="0"/>
              <w:right w:val="double" w:color="auto" w:sz="4" w:space="0"/>
            </w:tcBorders>
            <w:vAlign w:val="center"/>
          </w:tcPr>
          <w:p>
            <w:pPr>
              <w:pStyle w:val="2"/>
              <w:numPr>
                <w:ilvl w:val="255"/>
                <w:numId w:val="0"/>
              </w:numPr>
              <w:spacing w:after="0" w:line="440" w:lineRule="exact"/>
              <w:rPr>
                <w:rFonts w:asciiTheme="minorEastAsia" w:hAnsiTheme="minorEastAsia" w:eastAsiaTheme="minorEastAsia"/>
                <w:szCs w:val="21"/>
              </w:rPr>
            </w:pPr>
            <w:r>
              <w:rPr>
                <w:rFonts w:hint="eastAsia" w:cs="仿宋" w:asciiTheme="minorEastAsia" w:hAnsiTheme="minorEastAsia" w:eastAsiaTheme="minorEastAsia"/>
                <w:szCs w:val="21"/>
              </w:rPr>
              <w:t>投标供应商应如实填写《商务条款偏离表》，评审委员会根据商务条款响应情况进行打分。全部满足要求的得3分，每1小项负偏离扣1分，最低得0分。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vMerge w:val="continue"/>
            <w:tcBorders>
              <w:left w:val="double" w:color="auto" w:sz="4" w:space="0"/>
            </w:tcBorders>
            <w:vAlign w:val="center"/>
          </w:tcPr>
          <w:p>
            <w:pPr>
              <w:adjustRightInd w:val="0"/>
              <w:spacing w:line="440" w:lineRule="exact"/>
              <w:jc w:val="center"/>
              <w:rPr>
                <w:rFonts w:cs="仿宋" w:asciiTheme="minorEastAsia" w:hAnsiTheme="minorEastAsia" w:eastAsiaTheme="minorEastAsia"/>
                <w:b/>
                <w:bCs/>
                <w:snapToGrid w:val="0"/>
                <w:kern w:val="0"/>
                <w:szCs w:val="21"/>
              </w:rPr>
            </w:pPr>
          </w:p>
        </w:tc>
        <w:tc>
          <w:tcPr>
            <w:tcW w:w="613" w:type="pct"/>
            <w:vAlign w:val="center"/>
          </w:tcPr>
          <w:p>
            <w:pPr>
              <w:widowControl/>
              <w:spacing w:before="100" w:beforeAutospacing="1" w:line="440" w:lineRule="exact"/>
              <w:jc w:val="center"/>
              <w:rPr>
                <w:rFonts w:cs="仿宋" w:asciiTheme="minorEastAsia" w:hAnsiTheme="minorEastAsia" w:eastAsiaTheme="minorEastAsia"/>
                <w:szCs w:val="21"/>
              </w:rPr>
            </w:pPr>
            <w:r>
              <w:rPr>
                <w:rFonts w:hint="eastAsia" w:ascii="宋体" w:hAnsi="宋体" w:cs="宋体"/>
                <w:color w:val="000000"/>
                <w:kern w:val="0"/>
                <w:szCs w:val="21"/>
              </w:rPr>
              <w:t>同类项目业绩情况</w:t>
            </w:r>
          </w:p>
        </w:tc>
        <w:tc>
          <w:tcPr>
            <w:tcW w:w="456" w:type="pct"/>
            <w:tcBorders>
              <w:right w:val="single" w:color="auto" w:sz="4" w:space="0"/>
            </w:tcBorders>
            <w:vAlign w:val="center"/>
          </w:tcPr>
          <w:p>
            <w:pPr>
              <w:widowControl/>
              <w:spacing w:line="440" w:lineRule="exact"/>
              <w:jc w:val="center"/>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w:t>
            </w:r>
          </w:p>
        </w:tc>
        <w:tc>
          <w:tcPr>
            <w:tcW w:w="3358" w:type="pct"/>
            <w:tcBorders>
              <w:left w:val="single" w:color="auto" w:sz="4" w:space="0"/>
              <w:right w:val="double" w:color="auto" w:sz="4" w:space="0"/>
            </w:tcBorders>
            <w:vAlign w:val="center"/>
          </w:tcPr>
          <w:p>
            <w:pPr>
              <w:snapToGrid w:val="0"/>
              <w:spacing w:line="44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（一）评分内容：</w:t>
            </w:r>
          </w:p>
          <w:p>
            <w:pPr>
              <w:snapToGrid w:val="0"/>
              <w:spacing w:line="44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2019年1月1日至本项目投标截止日（以合同签订日期为准），投标供应商具有同类项目（</w:t>
            </w:r>
            <w:r>
              <w:rPr>
                <w:rFonts w:hint="eastAsia" w:cs="仿宋" w:asciiTheme="minorEastAsia" w:hAnsiTheme="minorEastAsia" w:eastAsiaTheme="minorEastAsia"/>
                <w:b/>
                <w:bCs/>
                <w:kern w:val="0"/>
                <w:szCs w:val="21"/>
              </w:rPr>
              <w:t>警用设备</w:t>
            </w:r>
            <w:r>
              <w:rPr>
                <w:rFonts w:hint="eastAsia" w:cs="仿宋" w:asciiTheme="minorEastAsia" w:hAnsiTheme="minorEastAsia" w:eastAsiaTheme="minorEastAsia"/>
                <w:kern w:val="0"/>
                <w:szCs w:val="21"/>
              </w:rPr>
              <w:t>）业绩的，每提供1个项目得1分，最高得2分。</w:t>
            </w:r>
          </w:p>
          <w:p>
            <w:pPr>
              <w:snapToGrid w:val="0"/>
              <w:spacing w:line="44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（二）评分依据：</w:t>
            </w:r>
          </w:p>
          <w:p>
            <w:pPr>
              <w:snapToGrid w:val="0"/>
              <w:spacing w:line="44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1.提供合同关键页（需体现签订日期）且各项信息不得有任何遮挡；</w:t>
            </w:r>
          </w:p>
          <w:p>
            <w:pPr>
              <w:snapToGrid w:val="0"/>
              <w:spacing w:line="44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 以上证明文件均提供复印件或扫描件加盖投标供应商公章，原件备查。未按要求提供有效证明材料或提供不清晰导致评委无法识别的不计得分。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vMerge w:val="continue"/>
            <w:tcBorders>
              <w:left w:val="double" w:color="auto" w:sz="4" w:space="0"/>
            </w:tcBorders>
            <w:vAlign w:val="center"/>
          </w:tcPr>
          <w:p>
            <w:pPr>
              <w:adjustRightInd w:val="0"/>
              <w:spacing w:line="440" w:lineRule="exact"/>
              <w:jc w:val="center"/>
              <w:rPr>
                <w:rFonts w:cs="仿宋" w:asciiTheme="minorEastAsia" w:hAnsiTheme="minorEastAsia" w:eastAsiaTheme="minorEastAsia"/>
                <w:b/>
                <w:bCs/>
                <w:snapToGrid w:val="0"/>
                <w:kern w:val="0"/>
                <w:szCs w:val="21"/>
              </w:rPr>
            </w:pPr>
          </w:p>
        </w:tc>
        <w:tc>
          <w:tcPr>
            <w:tcW w:w="613" w:type="pct"/>
            <w:vAlign w:val="center"/>
          </w:tcPr>
          <w:p>
            <w:pPr>
              <w:widowControl/>
              <w:spacing w:before="100" w:beforeAutospacing="1" w:line="440" w:lineRule="exact"/>
              <w:jc w:val="center"/>
              <w:rPr>
                <w:rFonts w:cs="仿宋" w:asciiTheme="minorEastAsia" w:hAnsiTheme="minorEastAsia" w:eastAsiaTheme="minorEastAsia"/>
                <w:szCs w:val="21"/>
              </w:rPr>
            </w:pPr>
            <w:r>
              <w:rPr>
                <w:rFonts w:hint="eastAsia" w:ascii="宋体" w:hAnsi="宋体" w:cs="仿宋"/>
                <w:szCs w:val="21"/>
              </w:rPr>
              <w:t>诚信评审</w:t>
            </w:r>
          </w:p>
        </w:tc>
        <w:tc>
          <w:tcPr>
            <w:tcW w:w="456" w:type="pct"/>
            <w:tcBorders>
              <w:right w:val="single" w:color="auto" w:sz="4" w:space="0"/>
            </w:tcBorders>
            <w:vAlign w:val="center"/>
          </w:tcPr>
          <w:p>
            <w:pPr>
              <w:widowControl/>
              <w:spacing w:line="440" w:lineRule="exact"/>
              <w:jc w:val="center"/>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w:t>
            </w:r>
          </w:p>
        </w:tc>
        <w:tc>
          <w:tcPr>
            <w:tcW w:w="3358" w:type="pct"/>
            <w:tcBorders>
              <w:left w:val="single" w:color="auto" w:sz="4" w:space="0"/>
              <w:right w:val="double" w:color="auto" w:sz="4" w:space="0"/>
            </w:tcBorders>
            <w:vAlign w:val="center"/>
          </w:tcPr>
          <w:p>
            <w:pPr>
              <w:pStyle w:val="2"/>
              <w:spacing w:after="0" w:line="440" w:lineRule="exact"/>
              <w:ind w:left="0" w:leftChars="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（一）评分内容：</w:t>
            </w:r>
          </w:p>
          <w:p>
            <w:pPr>
              <w:pStyle w:val="2"/>
              <w:spacing w:after="0" w:line="440" w:lineRule="exact"/>
              <w:ind w:left="0" w:leftChars="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投标供应商参与政府采购活动在诚信管理中受过主管部门通报处理且仍在实施期限内的本项不得分，否则得5分。</w:t>
            </w:r>
          </w:p>
          <w:p>
            <w:pPr>
              <w:pStyle w:val="2"/>
              <w:spacing w:after="0" w:line="440" w:lineRule="exact"/>
              <w:ind w:left="0" w:leftChars="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（二）评分依据：</w:t>
            </w:r>
          </w:p>
          <w:p>
            <w:pPr>
              <w:pStyle w:val="2"/>
              <w:spacing w:after="0" w:line="440" w:lineRule="exact"/>
              <w:ind w:left="0" w:leftChars="0" w:firstLine="0" w:firstLineChars="0"/>
              <w:rPr>
                <w:rFonts w:asciiTheme="minorEastAsia" w:hAnsiTheme="minorEastAsia" w:eastAsiaTheme="minorEastAsia"/>
                <w:szCs w:val="21"/>
              </w:rPr>
            </w:pPr>
            <w:r>
              <w:rPr>
                <w:rFonts w:hint="eastAsia" w:cs="仿宋" w:asciiTheme="minorEastAsia" w:hAnsiTheme="minorEastAsia" w:eastAsiaTheme="minorEastAsia"/>
                <w:szCs w:val="21"/>
              </w:rPr>
              <w:t>按征集文件格式如实提供《诚信承诺函》原件加盖投标供应商公章，且承诺函格式及内容不得修改，否则不得分。如若投标供应商承诺与实际情况不相符，将按虚假应标报相关主管部门处理。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tcBorders>
              <w:left w:val="double" w:color="auto" w:sz="4" w:space="0"/>
              <w:bottom w:val="double" w:color="auto" w:sz="4" w:space="0"/>
            </w:tcBorders>
            <w:vAlign w:val="center"/>
          </w:tcPr>
          <w:p>
            <w:pPr>
              <w:spacing w:line="440" w:lineRule="exact"/>
              <w:jc w:val="center"/>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总得分（N）</w:t>
            </w:r>
          </w:p>
          <w:p>
            <w:pPr>
              <w:adjustRightInd w:val="0"/>
              <w:snapToGrid w:val="0"/>
              <w:spacing w:line="440" w:lineRule="exact"/>
              <w:jc w:val="center"/>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（总分100分）</w:t>
            </w:r>
          </w:p>
        </w:tc>
        <w:tc>
          <w:tcPr>
            <w:tcW w:w="613" w:type="pct"/>
            <w:tcBorders>
              <w:bottom w:val="double" w:color="auto" w:sz="4" w:space="0"/>
            </w:tcBorders>
            <w:vAlign w:val="center"/>
          </w:tcPr>
          <w:p>
            <w:pPr>
              <w:adjustRightInd w:val="0"/>
              <w:snapToGrid w:val="0"/>
              <w:spacing w:line="440" w:lineRule="exact"/>
              <w:jc w:val="center"/>
              <w:rPr>
                <w:rFonts w:cs="仿宋" w:asciiTheme="minorEastAsia" w:hAnsiTheme="minorEastAsia" w:eastAsiaTheme="minorEastAsia"/>
                <w:b/>
                <w:snapToGrid w:val="0"/>
                <w:kern w:val="0"/>
                <w:szCs w:val="21"/>
              </w:rPr>
            </w:pPr>
          </w:p>
        </w:tc>
        <w:tc>
          <w:tcPr>
            <w:tcW w:w="456" w:type="pct"/>
            <w:tcBorders>
              <w:bottom w:val="double" w:color="auto" w:sz="4" w:space="0"/>
            </w:tcBorders>
            <w:vAlign w:val="center"/>
          </w:tcPr>
          <w:p>
            <w:pPr>
              <w:adjustRightInd w:val="0"/>
              <w:snapToGrid w:val="0"/>
              <w:spacing w:line="440" w:lineRule="exact"/>
              <w:jc w:val="center"/>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100</w:t>
            </w:r>
          </w:p>
        </w:tc>
        <w:tc>
          <w:tcPr>
            <w:tcW w:w="3358" w:type="pct"/>
            <w:tcBorders>
              <w:bottom w:val="double" w:color="auto" w:sz="4" w:space="0"/>
              <w:right w:val="double" w:color="auto" w:sz="4" w:space="0"/>
            </w:tcBorders>
            <w:vAlign w:val="center"/>
          </w:tcPr>
          <w:p>
            <w:pPr>
              <w:spacing w:line="440" w:lineRule="exact"/>
              <w:jc w:val="center"/>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N=J+G+S</w:t>
            </w:r>
          </w:p>
        </w:tc>
      </w:tr>
    </w:tbl>
    <w:p>
      <w:pPr>
        <w:widowControl/>
        <w:jc w:val="left"/>
        <w:rPr>
          <w:rFonts w:cs="仿宋" w:asciiTheme="minorEastAsia" w:hAnsiTheme="minorEastAsia" w:eastAsiaTheme="minorEastAsia"/>
          <w:b/>
          <w:color w:val="FF0000"/>
          <w:sz w:val="28"/>
          <w:szCs w:val="28"/>
        </w:rPr>
      </w:pPr>
    </w:p>
    <w:p>
      <w:pPr>
        <w:widowControl/>
        <w:jc w:val="left"/>
        <w:rPr>
          <w:rFonts w:cs="仿宋" w:asciiTheme="minorEastAsia" w:hAnsiTheme="minorEastAsia" w:eastAsiaTheme="minorEastAsia"/>
          <w:b/>
          <w:color w:val="FF0000"/>
          <w:sz w:val="28"/>
          <w:szCs w:val="28"/>
        </w:rPr>
      </w:pPr>
      <w:r>
        <w:rPr>
          <w:rFonts w:hint="eastAsia" w:cs="仿宋" w:asciiTheme="minorEastAsia" w:hAnsiTheme="minorEastAsia" w:eastAsiaTheme="minorEastAsia"/>
          <w:b/>
          <w:color w:val="FF0000"/>
          <w:sz w:val="28"/>
          <w:szCs w:val="28"/>
        </w:rPr>
        <w:t>注：</w:t>
      </w:r>
    </w:p>
    <w:p>
      <w:pPr>
        <w:widowControl/>
        <w:spacing w:line="360" w:lineRule="auto"/>
        <w:jc w:val="center"/>
        <w:rPr>
          <w:rFonts w:cs="仿宋" w:asciiTheme="minorEastAsia" w:hAnsiTheme="minorEastAsia" w:eastAsiaTheme="minorEastAsia"/>
          <w:b/>
          <w:sz w:val="28"/>
        </w:rPr>
      </w:pPr>
      <w:r>
        <w:rPr>
          <w:rFonts w:hint="eastAsia" w:cs="仿宋" w:asciiTheme="minorEastAsia" w:hAnsiTheme="minorEastAsia" w:eastAsiaTheme="minorEastAsia"/>
          <w:b/>
          <w:sz w:val="28"/>
        </w:rPr>
        <w:t>政府采购优惠政策</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供应商，其</w:t>
      </w:r>
      <w:r>
        <w:rPr>
          <w:rFonts w:hint="eastAsia" w:cs="仿宋" w:asciiTheme="minorEastAsia" w:hAnsiTheme="minorEastAsia" w:eastAsiaTheme="minorEastAsia"/>
          <w:b/>
          <w:szCs w:val="21"/>
        </w:rPr>
        <w:t>投标报价扣除</w:t>
      </w:r>
      <w:r>
        <w:rPr>
          <w:rFonts w:hint="eastAsia" w:cs="仿宋" w:asciiTheme="minorEastAsia" w:hAnsiTheme="minorEastAsia" w:eastAsiaTheme="minorEastAsia"/>
          <w:b/>
          <w:szCs w:val="21"/>
          <w:u w:val="single"/>
        </w:rPr>
        <w:t xml:space="preserve"> 10 </w:t>
      </w:r>
      <w:r>
        <w:rPr>
          <w:rFonts w:hint="eastAsia" w:cs="仿宋" w:asciiTheme="minorEastAsia" w:hAnsiTheme="minorEastAsia" w:eastAsiaTheme="minorEastAsia"/>
          <w:b/>
          <w:szCs w:val="21"/>
        </w:rPr>
        <w:t>%（请在10%-20%范围内选择）后参与评审</w:t>
      </w:r>
      <w:r>
        <w:rPr>
          <w:rFonts w:hint="eastAsia" w:cs="仿宋" w:asciiTheme="minorEastAsia" w:hAnsiTheme="minorEastAsia" w:eastAsiaTheme="minorEastAsia"/>
          <w:szCs w:val="21"/>
        </w:rPr>
        <w:t>。对于同时属于小微企业、监狱企业或残疾人福利性单位的，不重复进行投标报价扣除。</w:t>
      </w:r>
    </w:p>
    <w:p>
      <w:pPr>
        <w:spacing w:line="360" w:lineRule="auto"/>
        <w:ind w:firstLine="373" w:firstLineChars="177"/>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本项目所属行业为</w:t>
      </w:r>
      <w:r>
        <w:rPr>
          <w:rFonts w:hint="eastAsia" w:cs="仿宋" w:asciiTheme="minorEastAsia" w:hAnsiTheme="minorEastAsia" w:eastAsiaTheme="minorEastAsia"/>
          <w:b/>
          <w:bCs/>
          <w:szCs w:val="21"/>
          <w:u w:val="single"/>
        </w:rPr>
        <w:t xml:space="preserve">  工业  </w:t>
      </w:r>
      <w:r>
        <w:rPr>
          <w:rFonts w:hint="eastAsia" w:cs="仿宋" w:asciiTheme="minorEastAsia" w:hAnsiTheme="minorEastAsia" w:eastAsiaTheme="minorEastAsia"/>
          <w:b/>
          <w:bCs/>
          <w:szCs w:val="21"/>
        </w:rPr>
        <w:t>，投标供应商应根据《工业和信息化部、国家统计局、国家发展和改革委员会、财政部关于印发中小企业划型标准规定的通知》(工信部联企业〔2011〕300号)规定的中小企业划型标准填写《中小企业声明函》。</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（2）联合协议中约定，小型、微型企业的协议合同金额占到联合体协议合同总金额30%以上的，</w:t>
      </w:r>
      <w:r>
        <w:rPr>
          <w:rFonts w:hint="eastAsia" w:cs="仿宋" w:asciiTheme="minorEastAsia" w:hAnsiTheme="minorEastAsia" w:eastAsiaTheme="minorEastAsia"/>
          <w:b/>
          <w:szCs w:val="21"/>
        </w:rPr>
        <w:t>可给予联合体__/__% （请在4%-6%范围内选择）</w:t>
      </w:r>
      <w:r>
        <w:rPr>
          <w:rFonts w:hint="eastAsia" w:cs="仿宋" w:asciiTheme="minorEastAsia" w:hAnsiTheme="minorEastAsia" w:eastAsiaTheme="minorEastAsia"/>
          <w:szCs w:val="21"/>
        </w:rPr>
        <w:t>的价格扣除。</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联合体各方均为小型、微型企业、监狱企业和残疾人福利性单位的，联合体视同为小型、微型企业、监狱企业和残疾人福利性单位，均享受政府采购优惠政策第一款的优惠政策。</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3）优惠主体资格的认定资料为《中小企业声明函》、《残疾人福利性单位声明函》以及《监狱企业声明函》等承诺性质的资料（格式详见征集文件第三章）；监狱企业或者代理提供监狱企业货物的投标供应商如需享受优惠政策，除上述资料外，还须提供省级以上监狱管理局、戒毒管理局出具的监狱企业证明文件。</w:t>
      </w:r>
    </w:p>
    <w:p>
      <w:pPr>
        <w:spacing w:line="360" w:lineRule="auto"/>
        <w:ind w:firstLine="405" w:firstLineChars="193"/>
        <w:jc w:val="left"/>
        <w:rPr>
          <w:rFonts w:cs="仿宋" w:asciiTheme="minorEastAsia" w:hAnsiTheme="minorEastAsia" w:eastAsiaTheme="minorEastAsia"/>
          <w:b/>
          <w:snapToGrid w:val="0"/>
          <w:kern w:val="0"/>
          <w:szCs w:val="21"/>
        </w:rPr>
      </w:pPr>
      <w:r>
        <w:rPr>
          <w:rFonts w:hint="eastAsia" w:cs="仿宋" w:asciiTheme="minorEastAsia" w:hAnsiTheme="minorEastAsia" w:eastAsiaTheme="minorEastAsia"/>
          <w:szCs w:val="21"/>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Pr>
          <w:rFonts w:hint="eastAsia" w:cs="仿宋" w:asciiTheme="minorEastAsia" w:hAnsiTheme="minorEastAsia" w:eastAsiaTheme="minorEastAsia"/>
          <w:b/>
          <w:szCs w:val="21"/>
        </w:rPr>
        <w:t>对符合条件的获证产品（强制采购产品除外），根据该投标产品报价给予</w:t>
      </w:r>
      <w:r>
        <w:rPr>
          <w:rFonts w:hint="eastAsia" w:cs="仿宋" w:asciiTheme="minorEastAsia" w:hAnsiTheme="minorEastAsia" w:eastAsiaTheme="minorEastAsia"/>
          <w:b/>
          <w:szCs w:val="21"/>
          <w:u w:val="single"/>
        </w:rPr>
        <w:t xml:space="preserve"> 1 </w:t>
      </w:r>
      <w:r>
        <w:rPr>
          <w:rFonts w:hint="eastAsia" w:cs="仿宋" w:asciiTheme="minorEastAsia" w:hAnsiTheme="minorEastAsia" w:eastAsiaTheme="minorEastAsia"/>
          <w:b/>
          <w:szCs w:val="21"/>
        </w:rPr>
        <w:t>%的价格扣除，用扣除后的价格参与价格分的评审</w:t>
      </w:r>
      <w:r>
        <w:rPr>
          <w:rFonts w:hint="eastAsia" w:cs="仿宋" w:asciiTheme="minorEastAsia" w:hAnsiTheme="minorEastAsia" w:eastAsiaTheme="minorEastAsia"/>
          <w:szCs w:val="21"/>
        </w:rPr>
        <w:t>（需按投标文件格式部分“列入政府优先采购清单的投标产品一览表”的要求提供证明材料，否则不予价格扣除）。</w:t>
      </w: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rPr>
          <w:rFonts w:hint="eastAsia"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br w:type="page"/>
      </w:r>
    </w:p>
    <w:p>
      <w:pPr>
        <w:adjustRightInd w:val="0"/>
        <w:snapToGrid w:val="0"/>
        <w:spacing w:line="300" w:lineRule="auto"/>
        <w:jc w:val="center"/>
        <w:rPr>
          <w:rFonts w:hint="eastAsia" w:cs="仿宋" w:asciiTheme="minorEastAsia" w:hAnsiTheme="minorEastAsia" w:eastAsiaTheme="minorEastAsia"/>
          <w:b/>
          <w:snapToGrid w:val="0"/>
          <w:kern w:val="0"/>
          <w:sz w:val="56"/>
          <w:szCs w:val="96"/>
        </w:rPr>
      </w:pPr>
    </w:p>
    <w:p>
      <w:pPr>
        <w:adjustRightInd w:val="0"/>
        <w:snapToGrid w:val="0"/>
        <w:spacing w:line="300" w:lineRule="auto"/>
        <w:jc w:val="center"/>
        <w:rPr>
          <w:rFonts w:hint="eastAsia" w:cs="仿宋" w:asciiTheme="minorEastAsia" w:hAnsiTheme="minorEastAsia" w:eastAsiaTheme="minorEastAsia"/>
          <w:b/>
          <w:snapToGrid w:val="0"/>
          <w:kern w:val="0"/>
          <w:sz w:val="56"/>
          <w:szCs w:val="96"/>
        </w:rPr>
      </w:pPr>
    </w:p>
    <w:p>
      <w:pPr>
        <w:adjustRightInd w:val="0"/>
        <w:snapToGrid w:val="0"/>
        <w:spacing w:line="300" w:lineRule="auto"/>
        <w:jc w:val="center"/>
        <w:rPr>
          <w:rFonts w:hint="eastAsia" w:cs="仿宋" w:asciiTheme="minorEastAsia" w:hAnsiTheme="minorEastAsia" w:eastAsiaTheme="minorEastAsia"/>
          <w:b/>
          <w:snapToGrid w:val="0"/>
          <w:kern w:val="0"/>
          <w:sz w:val="56"/>
          <w:szCs w:val="96"/>
        </w:rPr>
      </w:pPr>
    </w:p>
    <w:p>
      <w:pPr>
        <w:adjustRightInd w:val="0"/>
        <w:snapToGrid w:val="0"/>
        <w:spacing w:line="300" w:lineRule="auto"/>
        <w:jc w:val="center"/>
        <w:rPr>
          <w:rFonts w:hint="eastAsia" w:cs="仿宋" w:asciiTheme="minorEastAsia" w:hAnsiTheme="minorEastAsia" w:eastAsiaTheme="minorEastAsia"/>
          <w:b/>
          <w:snapToGrid w:val="0"/>
          <w:kern w:val="0"/>
          <w:sz w:val="56"/>
          <w:szCs w:val="96"/>
        </w:rPr>
      </w:pPr>
    </w:p>
    <w:p>
      <w:pPr>
        <w:adjustRightInd w:val="0"/>
        <w:snapToGrid w:val="0"/>
        <w:spacing w:line="300" w:lineRule="auto"/>
        <w:jc w:val="center"/>
        <w:rPr>
          <w:rFonts w:hint="eastAsia" w:cs="仿宋" w:asciiTheme="minorEastAsia" w:hAnsiTheme="minorEastAsia" w:eastAsiaTheme="minorEastAsia"/>
          <w:b/>
          <w:snapToGrid w:val="0"/>
          <w:kern w:val="0"/>
          <w:sz w:val="56"/>
          <w:szCs w:val="96"/>
        </w:rPr>
      </w:pPr>
    </w:p>
    <w:p>
      <w:pPr>
        <w:adjustRightInd w:val="0"/>
        <w:snapToGrid w:val="0"/>
        <w:spacing w:line="300" w:lineRule="auto"/>
        <w:jc w:val="center"/>
        <w:rPr>
          <w:rFonts w:hint="eastAsia"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第二部分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采购项目需求</w:t>
      </w:r>
    </w:p>
    <w:p>
      <w:pPr>
        <w:widowControl/>
        <w:jc w:val="left"/>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br w:type="page"/>
      </w:r>
    </w:p>
    <w:p>
      <w:pPr>
        <w:spacing w:after="156"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1、采购项目需求中所出现的工艺、材料、设备或参照的品牌等仅为方便描述而没有限制性，投标供应商可以在其提供的文件资料中选用替代标准，但这些替代标准要优于或相当于采购项目需求中要求的标准。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采购项目需求中要求提供证明材料的，投标文件需提供相应证明材料复印件或扫描件或截图等并注明证明材料在投标文件中的具体位置，未按要求提供证明材料或未注明证明材料的具体位置或提供的证明资料显示不符合征集文件要求、模糊不清无法判断或未显示是否满足征集文件要求的，均视为负偏离；未要求提供相应证明材料的，投标供应商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投标供应商提供证书或检测报告等证明材料的，颁发证书、出具报告的机构须是合法设立的机构，且具有颁发相应证书或者出具相应报告的资质。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），投标产品参数区间与征集要求不完全一致的均视为负偏离。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4、对于定制类产品，投标供应商需在投标文件“分项价格表”中明确注明“定制”，否则该产品技术参数按负偏离处理。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5、加注▲的条款为重要条款要求，如不满足将按照第一部分“评审信息”进行扣分。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rPr>
          <w:rFonts w:cs="仿宋" w:asciiTheme="minorEastAsia" w:hAnsiTheme="minorEastAsia" w:eastAsiaTheme="minorEastAsia"/>
          <w:b/>
          <w:sz w:val="36"/>
          <w:szCs w:val="36"/>
        </w:rPr>
      </w:pPr>
    </w:p>
    <w:p>
      <w:pP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br w:type="page"/>
      </w:r>
    </w:p>
    <w:p>
      <w:pPr>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采购项目需求</w:t>
      </w:r>
    </w:p>
    <w:p>
      <w:pPr>
        <w:widowControl/>
        <w:jc w:val="left"/>
        <w:rPr>
          <w:rFonts w:cs="仿宋" w:asciiTheme="minorEastAsia" w:hAnsiTheme="minorEastAsia" w:eastAsiaTheme="minorEastAsia"/>
        </w:rPr>
      </w:pPr>
      <w:r>
        <w:rPr>
          <w:rFonts w:hint="eastAsia" w:cs="仿宋" w:asciiTheme="minorEastAsia" w:hAnsiTheme="minorEastAsia" w:eastAsiaTheme="minorEastAsia"/>
          <w:b/>
          <w:bCs/>
          <w:sz w:val="28"/>
          <w:szCs w:val="21"/>
        </w:rPr>
        <w:t>一、货物总清单</w:t>
      </w:r>
    </w:p>
    <w:tbl>
      <w:tblPr>
        <w:tblStyle w:val="16"/>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3211"/>
        <w:gridCol w:w="784"/>
        <w:gridCol w:w="631"/>
        <w:gridCol w:w="1686"/>
        <w:gridCol w:w="139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74"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序号</w:t>
            </w:r>
          </w:p>
        </w:tc>
        <w:tc>
          <w:tcPr>
            <w:tcW w:w="1884"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项目名称</w:t>
            </w:r>
          </w:p>
        </w:tc>
        <w:tc>
          <w:tcPr>
            <w:tcW w:w="460"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数量</w:t>
            </w:r>
          </w:p>
        </w:tc>
        <w:tc>
          <w:tcPr>
            <w:tcW w:w="370"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单位</w:t>
            </w:r>
          </w:p>
        </w:tc>
        <w:tc>
          <w:tcPr>
            <w:tcW w:w="989"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项目支付上限（人民币元）</w:t>
            </w:r>
          </w:p>
        </w:tc>
        <w:tc>
          <w:tcPr>
            <w:tcW w:w="821"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74"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84"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rPr>
              <w:t>电子脚扣采购</w:t>
            </w:r>
          </w:p>
        </w:tc>
        <w:tc>
          <w:tcPr>
            <w:tcW w:w="460"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14</w:t>
            </w:r>
          </w:p>
        </w:tc>
        <w:tc>
          <w:tcPr>
            <w:tcW w:w="370"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套</w:t>
            </w:r>
          </w:p>
        </w:tc>
        <w:tc>
          <w:tcPr>
            <w:tcW w:w="989"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392,000.00</w:t>
            </w:r>
          </w:p>
        </w:tc>
        <w:tc>
          <w:tcPr>
            <w:tcW w:w="821"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highlight w:val="yellow"/>
              </w:rPr>
              <w:t>拒绝进口</w:t>
            </w:r>
          </w:p>
        </w:tc>
      </w:tr>
    </w:tbl>
    <w:p>
      <w:pPr>
        <w:widowControl/>
        <w:spacing w:before="156" w:beforeLines="50"/>
        <w:jc w:val="left"/>
        <w:rPr>
          <w:rFonts w:cs="仿宋" w:asciiTheme="minorEastAsia" w:hAnsiTheme="minorEastAsia" w:eastAsiaTheme="minorEastAsia"/>
          <w:b/>
          <w:bCs/>
          <w:color w:val="FF0000"/>
          <w:sz w:val="24"/>
          <w:szCs w:val="21"/>
        </w:rPr>
      </w:pPr>
      <w:r>
        <w:rPr>
          <w:rFonts w:hint="eastAsia" w:cs="仿宋" w:asciiTheme="minorEastAsia" w:hAnsiTheme="minorEastAsia" w:eastAsiaTheme="minorEastAsia"/>
          <w:b/>
          <w:bCs/>
          <w:color w:val="FF0000"/>
          <w:sz w:val="24"/>
          <w:szCs w:val="21"/>
        </w:rPr>
        <w:t>注：</w:t>
      </w:r>
      <w:r>
        <w:rPr>
          <w:rFonts w:hint="eastAsia" w:cs="仿宋" w:asciiTheme="minorEastAsia" w:hAnsiTheme="minorEastAsia" w:eastAsiaTheme="minorEastAsia"/>
          <w:b/>
          <w:bCs/>
          <w:sz w:val="24"/>
          <w:szCs w:val="21"/>
          <w:highlight w:val="yellow"/>
        </w:rPr>
        <w:t>★</w:t>
      </w:r>
      <w:r>
        <w:rPr>
          <w:rFonts w:hint="eastAsia" w:cs="仿宋" w:asciiTheme="minorEastAsia" w:hAnsiTheme="minorEastAsia" w:eastAsiaTheme="minorEastAsia"/>
          <w:bCs/>
          <w:sz w:val="24"/>
          <w:szCs w:val="21"/>
          <w:highlight w:val="yellow"/>
        </w:rPr>
        <w:t>投标供应商的投标报价超过项目支付上限的将导致投标无效。</w:t>
      </w:r>
    </w:p>
    <w:p>
      <w:pPr>
        <w:widowControl/>
        <w:jc w:val="left"/>
        <w:rPr>
          <w:rFonts w:cs="仿宋" w:asciiTheme="minorEastAsia" w:hAnsiTheme="minorEastAsia" w:eastAsiaTheme="minorEastAsia"/>
          <w:b/>
          <w:bCs/>
          <w:sz w:val="28"/>
          <w:szCs w:val="21"/>
        </w:rPr>
      </w:pPr>
    </w:p>
    <w:p>
      <w:pPr>
        <w:widowControl/>
        <w:jc w:val="left"/>
        <w:rPr>
          <w:rFonts w:cs="仿宋" w:asciiTheme="minorEastAsia" w:hAnsiTheme="minorEastAsia" w:eastAsiaTheme="minorEastAsia"/>
          <w:b/>
          <w:bCs/>
          <w:sz w:val="28"/>
          <w:szCs w:val="21"/>
        </w:rPr>
      </w:pPr>
      <w:r>
        <w:rPr>
          <w:rFonts w:hint="eastAsia" w:cs="仿宋" w:asciiTheme="minorEastAsia" w:hAnsiTheme="minorEastAsia" w:eastAsiaTheme="minorEastAsia"/>
          <w:b/>
          <w:bCs/>
          <w:sz w:val="28"/>
          <w:szCs w:val="21"/>
        </w:rPr>
        <w:t>二、货物清单明细</w:t>
      </w:r>
    </w:p>
    <w:tbl>
      <w:tblPr>
        <w:tblStyle w:val="16"/>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4"/>
        <w:gridCol w:w="1697"/>
        <w:gridCol w:w="2235"/>
        <w:gridCol w:w="1869"/>
        <w:gridCol w:w="1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01" w:type="pct"/>
            <w:tcBorders>
              <w:tl2br w:val="nil"/>
              <w:tr2bl w:val="nil"/>
            </w:tcBorders>
            <w:shd w:val="clear" w:color="auto" w:fill="FFFFFF"/>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序号</w:t>
            </w:r>
          </w:p>
        </w:tc>
        <w:tc>
          <w:tcPr>
            <w:tcW w:w="996" w:type="pct"/>
            <w:tcBorders>
              <w:tl2br w:val="nil"/>
              <w:tr2bl w:val="nil"/>
            </w:tcBorders>
            <w:shd w:val="clear" w:color="auto" w:fill="FFFFFF"/>
            <w:noWrap/>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名称</w:t>
            </w:r>
          </w:p>
        </w:tc>
        <w:tc>
          <w:tcPr>
            <w:tcW w:w="1312" w:type="pct"/>
            <w:tcBorders>
              <w:tl2br w:val="nil"/>
              <w:tr2bl w:val="nil"/>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数量</w:t>
            </w:r>
          </w:p>
        </w:tc>
        <w:tc>
          <w:tcPr>
            <w:tcW w:w="1865" w:type="dxa"/>
            <w:tcBorders>
              <w:tl2br w:val="nil"/>
              <w:tr2bl w:val="nil"/>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单位</w:t>
            </w:r>
          </w:p>
        </w:tc>
        <w:tc>
          <w:tcPr>
            <w:tcW w:w="1094" w:type="pct"/>
            <w:tcBorders>
              <w:tl2br w:val="nil"/>
              <w:tr2bl w:val="nil"/>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01" w:type="pct"/>
            <w:tcBorders>
              <w:tl2br w:val="nil"/>
              <w:tr2bl w:val="nil"/>
            </w:tcBorders>
            <w:shd w:val="clear" w:color="auto" w:fill="FFFFFF"/>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996" w:type="pct"/>
            <w:tcBorders>
              <w:tl2br w:val="nil"/>
              <w:tr2bl w:val="nil"/>
            </w:tcBorders>
            <w:shd w:val="clear" w:color="auto" w:fill="FFFFFF"/>
            <w:noWrap/>
            <w:vAlign w:val="center"/>
          </w:tcPr>
          <w:p>
            <w:pPr>
              <w:widowControl/>
              <w:jc w:val="center"/>
              <w:textAlignment w:val="center"/>
              <w:rPr>
                <w:rFonts w:cs="宋体" w:asciiTheme="minorEastAsia" w:hAnsiTheme="minorEastAsia" w:eastAsiaTheme="minorEastAsia"/>
                <w:color w:val="000000"/>
                <w:kern w:val="0"/>
                <w:szCs w:val="21"/>
              </w:rPr>
            </w:pPr>
            <w:r>
              <w:rPr>
                <w:rFonts w:hint="eastAsia" w:cs="仿宋" w:asciiTheme="minorEastAsia" w:hAnsiTheme="minorEastAsia" w:eastAsiaTheme="minorEastAsia"/>
              </w:rPr>
              <w:t>电子脚扣</w:t>
            </w:r>
          </w:p>
        </w:tc>
        <w:tc>
          <w:tcPr>
            <w:tcW w:w="1312" w:type="pct"/>
            <w:tcBorders>
              <w:tl2br w:val="nil"/>
              <w:tr2bl w:val="nil"/>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14</w:t>
            </w:r>
          </w:p>
        </w:tc>
        <w:tc>
          <w:tcPr>
            <w:tcW w:w="1865" w:type="dxa"/>
            <w:tcBorders>
              <w:tl2br w:val="nil"/>
              <w:tr2bl w:val="nil"/>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套</w:t>
            </w:r>
          </w:p>
        </w:tc>
        <w:tc>
          <w:tcPr>
            <w:tcW w:w="1094" w:type="pct"/>
            <w:tcBorders>
              <w:tl2br w:val="nil"/>
              <w:tr2bl w:val="nil"/>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拒绝进口</w:t>
            </w:r>
          </w:p>
        </w:tc>
      </w:tr>
    </w:tbl>
    <w:p>
      <w:pPr>
        <w:pStyle w:val="43"/>
        <w:adjustRightInd w:val="0"/>
        <w:snapToGrid w:val="0"/>
        <w:spacing w:before="0" w:beforeAutospacing="0" w:after="0" w:afterAutospacing="0" w:line="440" w:lineRule="exact"/>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p>
    <w:p>
      <w:pPr>
        <w:pStyle w:val="8"/>
        <w:spacing w:line="440" w:lineRule="exact"/>
        <w:rPr>
          <w:rFonts w:ascii="宋体" w:hAnsi="宋体"/>
          <w:bCs/>
          <w:snapToGrid w:val="0"/>
          <w:kern w:val="0"/>
          <w:szCs w:val="21"/>
        </w:rPr>
      </w:pPr>
      <w:r>
        <w:rPr>
          <w:rFonts w:hint="eastAsia" w:ascii="宋体" w:hAnsi="宋体"/>
          <w:bCs/>
          <w:snapToGrid w:val="0"/>
          <w:kern w:val="0"/>
          <w:szCs w:val="21"/>
          <w:highlight w:val="yellow"/>
        </w:rPr>
        <w:t>（1）如同时有两家或两家以上（均为制造商的合法代理商）通过资格审查及符合性审查的合格投标人</w:t>
      </w:r>
      <w:r>
        <w:rPr>
          <w:rFonts w:hint="eastAsia" w:ascii="宋体" w:hAnsi="宋体"/>
          <w:b/>
          <w:bCs/>
          <w:snapToGrid w:val="0"/>
          <w:kern w:val="0"/>
          <w:szCs w:val="21"/>
          <w:highlight w:val="yellow"/>
        </w:rPr>
        <w:t>所投产品为相同品牌的，按一家投标人计算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440" w:lineRule="exact"/>
        <w:ind w:firstLine="422" w:firstLineChars="201"/>
        <w:rPr>
          <w:rFonts w:ascii="宋体" w:hAnsi="宋体"/>
          <w:b/>
          <w:bCs/>
          <w:snapToGrid w:val="0"/>
          <w:kern w:val="0"/>
          <w:szCs w:val="21"/>
        </w:rPr>
      </w:pPr>
      <w:r>
        <w:rPr>
          <w:rFonts w:hint="eastAsia" w:ascii="宋体" w:hAnsi="宋体"/>
          <w:bCs/>
          <w:snapToGrid w:val="0"/>
          <w:kern w:val="0"/>
          <w:szCs w:val="21"/>
        </w:rPr>
        <w:t>（2）</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440" w:lineRule="exact"/>
        <w:ind w:firstLine="422" w:firstLineChars="201"/>
        <w:rPr>
          <w:rFonts w:ascii="宋体" w:hAnsi="宋体"/>
          <w:bCs/>
          <w:snapToGrid w:val="0"/>
          <w:kern w:val="0"/>
          <w:szCs w:val="21"/>
        </w:rPr>
      </w:pPr>
      <w:r>
        <w:rPr>
          <w:rFonts w:hint="eastAsia" w:ascii="宋体" w:hAnsi="宋体"/>
          <w:bCs/>
          <w:snapToGrid w:val="0"/>
          <w:kern w:val="0"/>
          <w:szCs w:val="21"/>
        </w:rPr>
        <w:t xml:space="preserve">（3）备注栏注明“拒绝进口”的产品不接受投标人选用进口产品参与投标；注明“接受进口”的产品允许投标人选用进口产品参与投标，但不排斥国内产品。 </w:t>
      </w:r>
    </w:p>
    <w:p>
      <w:pPr>
        <w:adjustRightInd w:val="0"/>
        <w:snapToGrid w:val="0"/>
        <w:spacing w:line="440" w:lineRule="exact"/>
        <w:ind w:firstLine="422" w:firstLineChars="201"/>
      </w:pPr>
      <w:r>
        <w:rPr>
          <w:rFonts w:hint="eastAsia" w:ascii="宋体" w:hAnsi="宋体"/>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widowControl/>
        <w:numPr>
          <w:ilvl w:val="0"/>
          <w:numId w:val="3"/>
        </w:numPr>
        <w:jc w:val="left"/>
        <w:rPr>
          <w:rFonts w:cs="仿宋" w:asciiTheme="minorEastAsia" w:hAnsiTheme="minorEastAsia" w:eastAsiaTheme="minorEastAsia"/>
          <w:b/>
          <w:bCs/>
          <w:sz w:val="28"/>
          <w:szCs w:val="21"/>
        </w:rPr>
      </w:pPr>
      <w:r>
        <w:rPr>
          <w:rFonts w:hint="eastAsia" w:cs="仿宋" w:asciiTheme="minorEastAsia" w:hAnsiTheme="minorEastAsia" w:eastAsiaTheme="minorEastAsia"/>
          <w:b/>
          <w:bCs/>
          <w:sz w:val="28"/>
          <w:szCs w:val="21"/>
        </w:rPr>
        <w:t>技术要求</w:t>
      </w:r>
    </w:p>
    <w:p>
      <w:pPr>
        <w:pStyle w:val="2"/>
        <w:numPr>
          <w:ilvl w:val="0"/>
          <w:numId w:val="4"/>
        </w:numPr>
        <w:ind w:left="0" w:leftChars="0" w:firstLine="0" w:firstLineChars="0"/>
        <w:rPr>
          <w:rFonts w:hint="eastAsia"/>
          <w:lang w:val="en-US" w:eastAsia="zh-CN"/>
        </w:rPr>
      </w:pPr>
      <w:r>
        <w:rPr>
          <w:rFonts w:hint="eastAsia"/>
          <w:lang w:val="en-US" w:eastAsia="zh-CN"/>
        </w:rPr>
        <w:t>组成</w:t>
      </w:r>
    </w:p>
    <w:p>
      <w:pPr>
        <w:pStyle w:val="2"/>
        <w:numPr>
          <w:ilvl w:val="0"/>
          <w:numId w:val="0"/>
        </w:numPr>
        <w:ind w:leftChars="0"/>
        <w:rPr>
          <w:rFonts w:hint="eastAsia"/>
        </w:rPr>
      </w:pPr>
      <w:r>
        <w:rPr>
          <w:rFonts w:hint="eastAsia"/>
          <w:lang w:val="en-US" w:eastAsia="zh-CN"/>
        </w:rPr>
        <w:t>1、</w:t>
      </w:r>
      <w:r>
        <w:rPr>
          <w:rFonts w:hint="eastAsia"/>
        </w:rPr>
        <w:t>电子脚扣系统由电子脚扣、手持监控终端、指挥管理中心等组成。</w:t>
      </w:r>
    </w:p>
    <w:p>
      <w:pPr>
        <w:pStyle w:val="2"/>
        <w:spacing w:line="440" w:lineRule="exact"/>
        <w:ind w:left="0" w:leftChars="0" w:firstLine="0" w:firstLineChars="0"/>
      </w:pPr>
      <w:r>
        <w:rPr>
          <w:rFonts w:hint="eastAsia"/>
          <w:lang w:val="en-US" w:eastAsia="zh-CN"/>
        </w:rPr>
        <w:t>2、</w:t>
      </w:r>
      <w:r>
        <w:rPr>
          <w:rFonts w:hint="eastAsia"/>
        </w:rPr>
        <w:t>电子脚扣应包含报警装置、定位装置、锁扣、固定带和内置电池等。</w:t>
      </w:r>
    </w:p>
    <w:p>
      <w:pPr>
        <w:pStyle w:val="2"/>
        <w:spacing w:line="440" w:lineRule="exact"/>
        <w:ind w:left="0" w:leftChars="0" w:firstLine="0" w:firstLineChars="0"/>
        <w:rPr>
          <w:rFonts w:hint="eastAsia"/>
          <w:lang w:val="en-US" w:eastAsia="zh-CN"/>
        </w:rPr>
      </w:pPr>
      <w:r>
        <w:rPr>
          <w:rFonts w:hint="eastAsia"/>
        </w:rPr>
        <w:t>（二）</w:t>
      </w:r>
      <w:r>
        <w:rPr>
          <w:rFonts w:hint="eastAsia"/>
          <w:lang w:val="en-US" w:eastAsia="zh-CN"/>
        </w:rPr>
        <w:t>外观</w:t>
      </w:r>
    </w:p>
    <w:p>
      <w:pPr>
        <w:pStyle w:val="2"/>
        <w:spacing w:line="440" w:lineRule="exact"/>
        <w:ind w:left="0" w:leftChars="0" w:firstLine="0" w:firstLineChars="0"/>
        <w:rPr>
          <w:rFonts w:hint="eastAsia"/>
          <w:lang w:val="en-US" w:eastAsia="zh-CN"/>
        </w:rPr>
      </w:pPr>
      <w:r>
        <w:rPr>
          <w:rFonts w:hint="eastAsia"/>
          <w:lang w:val="en-US" w:eastAsia="zh-CN"/>
        </w:rPr>
        <w:t>1、电子脚扣外壳表面应光滑无毛刺、无裂纹、永久性污渍及不应有明显变形和划痕等缺陷，金属材料应进行防锈处理，不应有起泡、腐蚀、划痕、涂层脱落等。</w:t>
      </w:r>
    </w:p>
    <w:p>
      <w:pPr>
        <w:pStyle w:val="2"/>
        <w:spacing w:line="440" w:lineRule="exact"/>
        <w:ind w:left="0" w:leftChars="0" w:firstLine="0" w:firstLineChars="0"/>
        <w:rPr>
          <w:rFonts w:hint="eastAsia" w:ascii="Calibri" w:hAnsi="Calibri" w:eastAsia="宋体" w:cs="Times New Roman"/>
          <w:kern w:val="2"/>
          <w:sz w:val="21"/>
          <w:szCs w:val="22"/>
          <w:highlight w:val="yellow"/>
          <w:lang w:val="en-US" w:eastAsia="zh-CN" w:bidi="ar-SA"/>
        </w:rPr>
      </w:pPr>
      <w:r>
        <w:rPr>
          <w:rFonts w:hint="eastAsia" w:ascii="Calibri" w:hAnsi="Calibri" w:eastAsia="宋体" w:cs="Times New Roman"/>
          <w:kern w:val="2"/>
          <w:sz w:val="21"/>
          <w:szCs w:val="22"/>
          <w:highlight w:val="yellow"/>
          <w:lang w:val="en-US" w:eastAsia="zh-CN" w:bidi="ar-SA"/>
        </w:rPr>
        <w:t>▲2、电子脚扣应无可见和可触及的开关、充电连接口、电极和数据接口。【</w:t>
      </w:r>
      <w:r>
        <w:rPr>
          <w:rFonts w:hint="eastAsia" w:ascii="Calibri" w:hAnsi="Calibri" w:eastAsia="宋体" w:cs="Times New Roman"/>
          <w:b/>
          <w:bCs/>
          <w:color w:val="FF0000"/>
          <w:kern w:val="2"/>
          <w:sz w:val="21"/>
          <w:szCs w:val="22"/>
          <w:highlight w:val="yellow"/>
          <w:lang w:val="en-US" w:eastAsia="zh-CN" w:bidi="ar-SA"/>
        </w:rPr>
        <w:t>需提供第三方检测机构出具的检验报告证明文件复印件或扫描件，并加盖投标供应商公章，原件备查</w:t>
      </w:r>
      <w:r>
        <w:rPr>
          <w:rFonts w:hint="eastAsia" w:ascii="Calibri" w:hAnsi="Calibri" w:eastAsia="宋体" w:cs="Times New Roman"/>
          <w:kern w:val="2"/>
          <w:sz w:val="21"/>
          <w:szCs w:val="22"/>
          <w:highlight w:val="yellow"/>
          <w:lang w:val="en-US" w:eastAsia="zh-CN" w:bidi="ar-SA"/>
        </w:rPr>
        <w:t>】。</w:t>
      </w:r>
    </w:p>
    <w:p>
      <w:pPr>
        <w:widowControl/>
        <w:spacing w:line="360" w:lineRule="auto"/>
        <w:rPr>
          <w:rFonts w:hint="eastAsia"/>
          <w:lang w:val="en-US" w:eastAsia="zh-CN"/>
        </w:rPr>
      </w:pPr>
      <w:r>
        <w:rPr>
          <w:rFonts w:hint="eastAsia" w:ascii="宋体" w:hAnsi="宋体" w:cs="宋体"/>
          <w:szCs w:val="21"/>
          <w:highlight w:val="yellow"/>
        </w:rPr>
        <w:t>▲</w:t>
      </w:r>
      <w:r>
        <w:rPr>
          <w:rFonts w:hint="eastAsia"/>
          <w:highlight w:val="yellow"/>
          <w:lang w:val="en-US" w:eastAsia="zh-CN"/>
        </w:rPr>
        <w:t>3、电子脚扣的外壳防护等级：符合GB 4208—2008中IP57等级的要求</w:t>
      </w:r>
      <w:r>
        <w:rPr>
          <w:rFonts w:hint="eastAsia" w:cs="宋体" w:asciiTheme="minorEastAsia" w:hAnsiTheme="minorEastAsia" w:eastAsiaTheme="minorEastAsia"/>
          <w:kern w:val="0"/>
          <w:szCs w:val="21"/>
          <w:highlight w:val="yellow"/>
        </w:rPr>
        <w:t>【</w:t>
      </w:r>
      <w:r>
        <w:rPr>
          <w:rFonts w:hint="eastAsia"/>
          <w:b/>
          <w:bCs/>
          <w:color w:val="FF0000"/>
          <w:highlight w:val="yellow"/>
        </w:rPr>
        <w:t>需提供</w:t>
      </w:r>
      <w:r>
        <w:rPr>
          <w:rFonts w:hint="eastAsia"/>
          <w:b/>
          <w:bCs/>
          <w:color w:val="FF0000"/>
          <w:highlight w:val="yellow"/>
          <w:lang w:val="en-US" w:eastAsia="zh-CN"/>
        </w:rPr>
        <w:t>第三方</w:t>
      </w:r>
      <w:r>
        <w:rPr>
          <w:rFonts w:hint="eastAsia"/>
          <w:b/>
          <w:bCs/>
          <w:color w:val="FF0000"/>
          <w:highlight w:val="yellow"/>
        </w:rPr>
        <w:t>检测</w:t>
      </w:r>
      <w:r>
        <w:rPr>
          <w:rFonts w:hint="eastAsia"/>
          <w:b/>
          <w:bCs/>
          <w:color w:val="FF0000"/>
          <w:highlight w:val="yellow"/>
          <w:lang w:val="en-US" w:eastAsia="zh-CN"/>
        </w:rPr>
        <w:t>机构出具的检验</w:t>
      </w:r>
      <w:r>
        <w:rPr>
          <w:rFonts w:hint="eastAsia"/>
          <w:b/>
          <w:bCs/>
          <w:color w:val="FF0000"/>
          <w:highlight w:val="yellow"/>
        </w:rPr>
        <w:t>报告</w:t>
      </w:r>
      <w:r>
        <w:rPr>
          <w:rFonts w:hint="eastAsia"/>
          <w:b/>
          <w:bCs/>
          <w:color w:val="FF0000"/>
          <w:highlight w:val="yellow"/>
          <w:lang w:val="en-US" w:eastAsia="zh-CN"/>
        </w:rPr>
        <w:t>证明文件</w:t>
      </w:r>
      <w:r>
        <w:rPr>
          <w:rFonts w:hint="eastAsia"/>
          <w:b/>
          <w:bCs/>
          <w:color w:val="FF0000"/>
          <w:highlight w:val="yellow"/>
        </w:rPr>
        <w:t>复印件或扫描件，并加盖投标供应商公章，原件备查</w:t>
      </w:r>
      <w:r>
        <w:rPr>
          <w:rFonts w:hint="eastAsia"/>
          <w:b/>
          <w:bCs/>
          <w:color w:val="FF0000"/>
          <w:highlight w:val="yellow"/>
          <w:lang w:eastAsia="zh-CN"/>
        </w:rPr>
        <w:t>】</w:t>
      </w:r>
      <w:r>
        <w:rPr>
          <w:rFonts w:hint="eastAsia" w:cs="宋体" w:asciiTheme="minorEastAsia" w:hAnsiTheme="minorEastAsia" w:eastAsiaTheme="minorEastAsia"/>
          <w:kern w:val="0"/>
          <w:szCs w:val="21"/>
          <w:highlight w:val="yellow"/>
        </w:rPr>
        <w:t>。</w:t>
      </w:r>
    </w:p>
    <w:p>
      <w:pPr>
        <w:pStyle w:val="2"/>
        <w:spacing w:line="440" w:lineRule="exact"/>
        <w:ind w:left="0" w:leftChars="0" w:firstLine="0" w:firstLineChars="0"/>
        <w:rPr>
          <w:rFonts w:hint="eastAsia"/>
          <w:lang w:val="en-US" w:eastAsia="zh-CN"/>
        </w:rPr>
      </w:pPr>
      <w:r>
        <w:rPr>
          <w:rFonts w:hint="eastAsia"/>
          <w:lang w:val="en-US" w:eastAsia="zh-CN"/>
        </w:rPr>
        <w:t>4、电子脚扣上应有清晰永久性的产品标志，标志内容应包括：</w:t>
      </w:r>
    </w:p>
    <w:p>
      <w:pPr>
        <w:pStyle w:val="2"/>
        <w:spacing w:line="440" w:lineRule="exact"/>
        <w:ind w:left="0" w:leftChars="0" w:firstLine="0" w:firstLineChars="0"/>
        <w:rPr>
          <w:rFonts w:hint="eastAsia"/>
          <w:lang w:val="en-US" w:eastAsia="zh-CN"/>
        </w:rPr>
      </w:pPr>
      <w:r>
        <w:rPr>
          <w:rFonts w:hint="eastAsia"/>
          <w:lang w:val="en-US" w:eastAsia="zh-CN"/>
        </w:rPr>
        <w:t>1)  制造厂名称或商标；</w:t>
      </w:r>
    </w:p>
    <w:p>
      <w:pPr>
        <w:pStyle w:val="2"/>
        <w:spacing w:line="440" w:lineRule="exact"/>
        <w:ind w:left="0" w:leftChars="0" w:firstLine="0" w:firstLineChars="0"/>
        <w:rPr>
          <w:rFonts w:hint="eastAsia"/>
          <w:lang w:val="en-US" w:eastAsia="zh-CN"/>
        </w:rPr>
      </w:pPr>
      <w:r>
        <w:rPr>
          <w:rFonts w:hint="eastAsia"/>
          <w:lang w:val="en-US" w:eastAsia="zh-CN"/>
        </w:rPr>
        <w:t>2)  产品代号；</w:t>
      </w:r>
    </w:p>
    <w:p>
      <w:pPr>
        <w:pStyle w:val="2"/>
        <w:spacing w:line="440" w:lineRule="exact"/>
        <w:ind w:left="0" w:leftChars="0" w:firstLine="0" w:firstLineChars="0"/>
        <w:rPr>
          <w:rFonts w:hint="eastAsia"/>
          <w:lang w:val="en-US" w:eastAsia="zh-CN"/>
        </w:rPr>
      </w:pPr>
      <w:r>
        <w:rPr>
          <w:rFonts w:hint="eastAsia"/>
          <w:lang w:val="en-US" w:eastAsia="zh-CN"/>
        </w:rPr>
        <w:t>3)  执行标准号。</w:t>
      </w:r>
    </w:p>
    <w:p>
      <w:pPr>
        <w:pStyle w:val="2"/>
        <w:spacing w:line="440" w:lineRule="exact"/>
        <w:ind w:left="0" w:leftChars="0" w:firstLine="0" w:firstLineChars="0"/>
        <w:rPr>
          <w:rFonts w:hint="eastAsia"/>
          <w:lang w:val="en-US" w:eastAsia="zh-CN"/>
        </w:rPr>
      </w:pPr>
      <w:r>
        <w:rPr>
          <w:rFonts w:hint="eastAsia"/>
          <w:lang w:val="en-US" w:eastAsia="zh-CN"/>
        </w:rPr>
        <w:t>（三）锁扣</w:t>
      </w:r>
    </w:p>
    <w:p>
      <w:pPr>
        <w:pStyle w:val="2"/>
        <w:spacing w:line="440" w:lineRule="exact"/>
        <w:ind w:left="0" w:leftChars="0" w:firstLine="0" w:firstLineChars="0"/>
        <w:rPr>
          <w:rFonts w:hint="default"/>
          <w:lang w:val="en-US" w:eastAsia="zh-CN"/>
        </w:rPr>
      </w:pPr>
      <w:r>
        <w:rPr>
          <w:rFonts w:hint="eastAsia"/>
          <w:lang w:val="en-US" w:eastAsia="zh-CN"/>
        </w:rPr>
        <w:t>1、</w:t>
      </w:r>
      <w:r>
        <w:rPr>
          <w:rFonts w:hint="default"/>
          <w:lang w:val="en-US" w:eastAsia="zh-CN"/>
        </w:rPr>
        <w:t>电子脚扣的锁扣在锁启闭时应灵活、可靠。</w:t>
      </w:r>
    </w:p>
    <w:p>
      <w:pPr>
        <w:pStyle w:val="2"/>
        <w:spacing w:line="440" w:lineRule="exact"/>
        <w:ind w:left="0" w:leftChars="0" w:firstLine="0" w:firstLineChars="0"/>
        <w:rPr>
          <w:rFonts w:hint="default"/>
          <w:lang w:val="en-US" w:eastAsia="zh-CN"/>
        </w:rPr>
      </w:pPr>
      <w:r>
        <w:rPr>
          <w:rFonts w:hint="eastAsia"/>
          <w:lang w:val="en-US" w:eastAsia="zh-CN"/>
        </w:rPr>
        <w:t>2、</w:t>
      </w:r>
      <w:r>
        <w:rPr>
          <w:rFonts w:hint="default"/>
          <w:lang w:val="en-US" w:eastAsia="zh-CN"/>
        </w:rPr>
        <w:t>电子脚扣的锁扣防拨净工作时间</w:t>
      </w:r>
      <w:r>
        <w:rPr>
          <w:rFonts w:hint="eastAsia" w:cs="宋体" w:asciiTheme="minorEastAsia" w:hAnsiTheme="minorEastAsia" w:eastAsiaTheme="minorEastAsia"/>
          <w:kern w:val="0"/>
          <w:szCs w:val="21"/>
          <w:highlight w:val="none"/>
        </w:rPr>
        <w:t>≥</w:t>
      </w:r>
      <w:r>
        <w:rPr>
          <w:rFonts w:hint="default"/>
          <w:lang w:val="en-US" w:eastAsia="zh-CN"/>
        </w:rPr>
        <w:t>20 min</w:t>
      </w:r>
      <w:r>
        <w:rPr>
          <w:rFonts w:hint="eastAsia"/>
          <w:lang w:val="en-US" w:eastAsia="zh-CN"/>
        </w:rPr>
        <w:t>。</w:t>
      </w:r>
      <w:r>
        <w:rPr>
          <w:rFonts w:hint="default"/>
          <w:lang w:val="en-US" w:eastAsia="zh-CN"/>
        </w:rPr>
        <w:t xml:space="preserve">  </w:t>
      </w:r>
    </w:p>
    <w:p>
      <w:pPr>
        <w:pStyle w:val="2"/>
        <w:spacing w:line="440" w:lineRule="exact"/>
        <w:ind w:left="0" w:leftChars="0" w:firstLine="0" w:firstLineChars="0"/>
        <w:rPr>
          <w:rFonts w:hint="eastAsia"/>
          <w:lang w:val="en-US" w:eastAsia="zh-CN"/>
        </w:rPr>
      </w:pPr>
      <w:r>
        <w:rPr>
          <w:rFonts w:hint="eastAsia"/>
          <w:lang w:val="en-US" w:eastAsia="zh-CN"/>
        </w:rPr>
        <w:t xml:space="preserve">3、支持手持监控终端APP发出开锁指令。  </w:t>
      </w:r>
    </w:p>
    <w:p>
      <w:pPr>
        <w:pStyle w:val="2"/>
        <w:numPr>
          <w:ilvl w:val="0"/>
          <w:numId w:val="5"/>
        </w:numPr>
        <w:spacing w:line="440" w:lineRule="exact"/>
        <w:ind w:left="0" w:leftChars="0" w:firstLine="0" w:firstLineChars="0"/>
        <w:rPr>
          <w:rFonts w:hint="eastAsia"/>
          <w:lang w:val="en-US" w:eastAsia="zh-CN"/>
        </w:rPr>
      </w:pPr>
      <w:r>
        <w:rPr>
          <w:rFonts w:hint="eastAsia"/>
          <w:lang w:val="en-US" w:eastAsia="zh-CN"/>
        </w:rPr>
        <w:t>固定带长度可大于12挡调节。</w:t>
      </w:r>
    </w:p>
    <w:p>
      <w:pPr>
        <w:pStyle w:val="2"/>
        <w:numPr>
          <w:ilvl w:val="0"/>
          <w:numId w:val="0"/>
        </w:numPr>
        <w:spacing w:line="440" w:lineRule="exact"/>
        <w:ind w:leftChars="0"/>
        <w:rPr>
          <w:rFonts w:hint="default"/>
          <w:lang w:val="en-US" w:eastAsia="zh-CN"/>
        </w:rPr>
      </w:pPr>
      <w:r>
        <w:rPr>
          <w:rFonts w:hint="eastAsia"/>
          <w:lang w:val="en-US" w:eastAsia="zh-CN"/>
        </w:rPr>
        <w:t>（四）</w:t>
      </w:r>
      <w:r>
        <w:rPr>
          <w:rFonts w:hint="default"/>
          <w:lang w:val="en-US" w:eastAsia="zh-CN"/>
        </w:rPr>
        <w:t>固定装置</w:t>
      </w:r>
    </w:p>
    <w:p>
      <w:pPr>
        <w:widowControl/>
        <w:spacing w:line="360" w:lineRule="auto"/>
        <w:rPr>
          <w:rFonts w:hint="eastAsia"/>
          <w:lang w:val="en-US" w:eastAsia="zh-CN"/>
        </w:rPr>
      </w:pPr>
      <w:r>
        <w:rPr>
          <w:rFonts w:hint="default"/>
          <w:lang w:val="en-US" w:eastAsia="zh-CN"/>
        </w:rPr>
        <w:t>电子脚扣的任意部件与固定带之间的连接应能承受1000 N的静拉力。</w:t>
      </w:r>
    </w:p>
    <w:p>
      <w:pPr>
        <w:pStyle w:val="2"/>
        <w:spacing w:line="440" w:lineRule="exact"/>
        <w:ind w:left="0" w:leftChars="0" w:firstLine="0" w:firstLineChars="0"/>
        <w:rPr>
          <w:rFonts w:hint="eastAsia"/>
          <w:lang w:eastAsia="zh-CN"/>
        </w:rPr>
      </w:pPr>
      <w:r>
        <w:rPr>
          <w:rFonts w:hint="eastAsia"/>
          <w:lang w:eastAsia="zh-CN"/>
        </w:rPr>
        <w:t>（</w:t>
      </w:r>
      <w:r>
        <w:rPr>
          <w:rFonts w:hint="eastAsia"/>
          <w:lang w:val="en-US" w:eastAsia="zh-CN"/>
        </w:rPr>
        <w:t>五</w:t>
      </w:r>
      <w:r>
        <w:rPr>
          <w:rFonts w:hint="eastAsia"/>
          <w:lang w:eastAsia="zh-CN"/>
        </w:rPr>
        <w:t>）电子脚扣</w:t>
      </w:r>
    </w:p>
    <w:p>
      <w:pPr>
        <w:pStyle w:val="2"/>
        <w:spacing w:line="440" w:lineRule="exact"/>
        <w:ind w:left="0" w:leftChars="0" w:firstLine="0" w:firstLineChars="0"/>
        <w:rPr>
          <w:rFonts w:hint="eastAsia"/>
          <w:lang w:eastAsia="zh-CN"/>
        </w:rPr>
      </w:pPr>
      <w:r>
        <w:rPr>
          <w:rFonts w:hint="eastAsia"/>
          <w:lang w:val="en-US" w:eastAsia="zh-CN"/>
        </w:rPr>
        <w:t>1、</w:t>
      </w:r>
      <w:r>
        <w:rPr>
          <w:rFonts w:hint="eastAsia"/>
          <w:lang w:eastAsia="zh-CN"/>
        </w:rPr>
        <w:t>电子脚扣安装电池后应进行自检。自检时间</w:t>
      </w:r>
      <w:r>
        <w:rPr>
          <w:rFonts w:hint="eastAsia" w:cs="宋体" w:asciiTheme="minorEastAsia" w:hAnsiTheme="minorEastAsia" w:eastAsiaTheme="minorEastAsia"/>
          <w:kern w:val="0"/>
          <w:szCs w:val="21"/>
          <w:highlight w:val="none"/>
        </w:rPr>
        <w:t>≤</w:t>
      </w:r>
      <w:r>
        <w:rPr>
          <w:rFonts w:hint="eastAsia"/>
          <w:lang w:eastAsia="zh-CN"/>
        </w:rPr>
        <w:t>3s。自检完成后应给出提示。</w:t>
      </w:r>
    </w:p>
    <w:p>
      <w:pPr>
        <w:pStyle w:val="2"/>
        <w:spacing w:line="440" w:lineRule="exact"/>
        <w:ind w:left="0" w:leftChars="0" w:firstLine="0" w:firstLineChars="0"/>
        <w:rPr>
          <w:rFonts w:hint="eastAsia"/>
          <w:highlight w:val="yellow"/>
        </w:rPr>
      </w:pPr>
      <w:r>
        <w:rPr>
          <w:rFonts w:hint="eastAsia" w:ascii="宋体" w:hAnsi="宋体" w:cs="宋体"/>
          <w:szCs w:val="21"/>
          <w:highlight w:val="yellow"/>
        </w:rPr>
        <w:t>▲</w:t>
      </w:r>
      <w:r>
        <w:rPr>
          <w:rFonts w:hint="eastAsia"/>
          <w:highlight w:val="yellow"/>
          <w:lang w:val="en-US" w:eastAsia="zh-CN"/>
        </w:rPr>
        <w:t>2、</w:t>
      </w:r>
      <w:r>
        <w:rPr>
          <w:rFonts w:hint="eastAsia"/>
          <w:highlight w:val="yellow"/>
          <w:lang w:eastAsia="zh-CN"/>
        </w:rPr>
        <w:t>电子脚扣应采用CNSS或GPS定位，并满足以下要求：</w:t>
      </w:r>
      <w:r>
        <w:rPr>
          <w:rFonts w:hint="eastAsia"/>
          <w:highlight w:val="yellow"/>
        </w:rPr>
        <w:t>水平定位误差</w:t>
      </w:r>
      <w:r>
        <w:rPr>
          <w:rFonts w:hint="eastAsia" w:cs="宋体" w:asciiTheme="minorEastAsia" w:hAnsiTheme="minorEastAsia" w:eastAsiaTheme="minorEastAsia"/>
          <w:kern w:val="0"/>
          <w:szCs w:val="21"/>
          <w:highlight w:val="yellow"/>
        </w:rPr>
        <w:t>≤</w:t>
      </w:r>
      <w:r>
        <w:rPr>
          <w:rFonts w:hint="eastAsia"/>
          <w:highlight w:val="yellow"/>
        </w:rPr>
        <w:t>15 m</w:t>
      </w:r>
      <w:r>
        <w:rPr>
          <w:rFonts w:hint="eastAsia"/>
          <w:highlight w:val="yellow"/>
          <w:lang w:eastAsia="zh-CN"/>
        </w:rPr>
        <w:t>；</w:t>
      </w:r>
      <w:r>
        <w:rPr>
          <w:rFonts w:hint="eastAsia"/>
          <w:highlight w:val="yellow"/>
        </w:rPr>
        <w:t>最小位置更新频率≤0.1 Hz【</w:t>
      </w:r>
      <w:r>
        <w:rPr>
          <w:rFonts w:hint="eastAsia"/>
          <w:b/>
          <w:bCs/>
          <w:color w:val="FF0000"/>
          <w:highlight w:val="yellow"/>
        </w:rPr>
        <w:t>需提供</w:t>
      </w:r>
      <w:r>
        <w:rPr>
          <w:rFonts w:hint="eastAsia"/>
          <w:b/>
          <w:bCs/>
          <w:color w:val="FF0000"/>
          <w:highlight w:val="yellow"/>
          <w:lang w:val="en-US" w:eastAsia="zh-CN"/>
        </w:rPr>
        <w:t>第三方</w:t>
      </w:r>
      <w:r>
        <w:rPr>
          <w:rFonts w:hint="eastAsia"/>
          <w:b/>
          <w:bCs/>
          <w:color w:val="FF0000"/>
          <w:highlight w:val="yellow"/>
        </w:rPr>
        <w:t>检测</w:t>
      </w:r>
      <w:r>
        <w:rPr>
          <w:rFonts w:hint="eastAsia"/>
          <w:b/>
          <w:bCs/>
          <w:color w:val="FF0000"/>
          <w:highlight w:val="yellow"/>
          <w:lang w:val="en-US" w:eastAsia="zh-CN"/>
        </w:rPr>
        <w:t>机构出具的检验</w:t>
      </w:r>
      <w:r>
        <w:rPr>
          <w:rFonts w:hint="eastAsia"/>
          <w:b/>
          <w:bCs/>
          <w:color w:val="FF0000"/>
          <w:highlight w:val="yellow"/>
        </w:rPr>
        <w:t>报告</w:t>
      </w:r>
      <w:r>
        <w:rPr>
          <w:rFonts w:hint="eastAsia"/>
          <w:b/>
          <w:bCs/>
          <w:color w:val="FF0000"/>
          <w:highlight w:val="yellow"/>
          <w:lang w:val="en-US" w:eastAsia="zh-CN"/>
        </w:rPr>
        <w:t>证明文件</w:t>
      </w:r>
      <w:r>
        <w:rPr>
          <w:rFonts w:hint="eastAsia"/>
          <w:b/>
          <w:bCs/>
          <w:color w:val="FF0000"/>
          <w:highlight w:val="yellow"/>
        </w:rPr>
        <w:t>复印件或扫描件，并加盖投标供应商公章，原件备查</w:t>
      </w:r>
      <w:r>
        <w:rPr>
          <w:rFonts w:hint="eastAsia"/>
          <w:highlight w:val="yellow"/>
        </w:rPr>
        <w:t>】。</w:t>
      </w:r>
    </w:p>
    <w:p>
      <w:pPr>
        <w:pStyle w:val="2"/>
        <w:spacing w:line="440" w:lineRule="exact"/>
        <w:ind w:left="0" w:leftChars="0" w:firstLine="0" w:firstLineChars="0"/>
        <w:rPr>
          <w:rFonts w:hint="eastAsia"/>
        </w:rPr>
      </w:pPr>
      <w:r>
        <w:rPr>
          <w:rFonts w:hint="eastAsia"/>
          <w:lang w:val="en-US" w:eastAsia="zh-CN"/>
        </w:rPr>
        <w:t>3、</w:t>
      </w:r>
      <w:r>
        <w:rPr>
          <w:rFonts w:hint="eastAsia"/>
        </w:rPr>
        <w:t>电子脚扣启用后，最长应以60s为时间间隔，自动向指挥管理中心发送位置信息。</w:t>
      </w:r>
    </w:p>
    <w:p>
      <w:pPr>
        <w:pStyle w:val="2"/>
        <w:spacing w:line="440" w:lineRule="exact"/>
        <w:ind w:left="0" w:leftChars="0" w:firstLine="0" w:firstLineChars="0"/>
        <w:rPr>
          <w:rFonts w:hint="eastAsia"/>
        </w:rPr>
      </w:pPr>
      <w:r>
        <w:rPr>
          <w:rFonts w:hint="eastAsia"/>
          <w:lang w:val="en-US" w:eastAsia="zh-CN"/>
        </w:rPr>
        <w:t>4、</w:t>
      </w:r>
      <w:r>
        <w:rPr>
          <w:rFonts w:hint="eastAsia"/>
        </w:rPr>
        <w:t>电子脚扣锁扣被非正常打开、固定带被剪断、脱离监管区域、与手持监控终端的距离超过(20±5)m或电池电量不足时，应在3s内发出报警声，并每10s向手持监控终端及指挥管理中心发送相应报警及其位置信息，报警声级≥80 dB(A)。</w:t>
      </w:r>
    </w:p>
    <w:p>
      <w:pPr>
        <w:pStyle w:val="2"/>
        <w:spacing w:line="440" w:lineRule="exact"/>
        <w:ind w:left="0" w:leftChars="0" w:firstLine="0" w:firstLineChars="0"/>
        <w:rPr>
          <w:rFonts w:hint="eastAsia"/>
          <w:lang w:val="en-US" w:eastAsia="zh-CN"/>
        </w:rPr>
      </w:pPr>
      <w:r>
        <w:rPr>
          <w:rFonts w:hint="eastAsia" w:cs="宋体" w:asciiTheme="minorEastAsia" w:hAnsiTheme="minorEastAsia" w:eastAsiaTheme="minorEastAsia"/>
          <w:kern w:val="0"/>
          <w:sz w:val="21"/>
          <w:szCs w:val="21"/>
          <w:highlight w:val="none"/>
          <w:lang w:val="en-US" w:eastAsia="zh-CN" w:bidi="ar-SA"/>
        </w:rPr>
        <w:t>5、电子脚扣</w:t>
      </w:r>
      <w:r>
        <w:rPr>
          <w:rFonts w:hint="eastAsia"/>
          <w:lang w:val="en-US" w:eastAsia="zh-CN"/>
        </w:rPr>
        <w:t>接收到手持监控终端及指挥管理中心发出的报警复位、回复位置指令后，应在3s内复位或向手持监控终端及指挥管理中心发出位置信息。</w:t>
      </w:r>
    </w:p>
    <w:p>
      <w:pPr>
        <w:widowControl/>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lang w:val="en-US" w:eastAsia="zh-CN"/>
        </w:rPr>
        <w:t>6</w:t>
      </w:r>
      <w:r>
        <w:rPr>
          <w:rFonts w:hint="eastAsia" w:cs="宋体" w:asciiTheme="minorEastAsia" w:hAnsiTheme="minorEastAsia" w:eastAsiaTheme="minorEastAsia"/>
          <w:kern w:val="0"/>
          <w:szCs w:val="21"/>
          <w:highlight w:val="none"/>
        </w:rPr>
        <w:t>、抗跌落性能：高度≥1m，带包装，6个面各1次，电子脚扣的外观无损坏，能正常工作。</w:t>
      </w:r>
    </w:p>
    <w:p>
      <w:pPr>
        <w:widowControl/>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lang w:val="en-US" w:eastAsia="zh-CN"/>
        </w:rPr>
        <w:t>7</w:t>
      </w:r>
      <w:r>
        <w:rPr>
          <w:rFonts w:hint="eastAsia" w:cs="宋体" w:asciiTheme="minorEastAsia" w:hAnsiTheme="minorEastAsia" w:eastAsiaTheme="minorEastAsia"/>
          <w:kern w:val="0"/>
          <w:szCs w:val="21"/>
          <w:highlight w:val="none"/>
        </w:rPr>
        <w:t>、抗低温性能：温度-10ºC±3ºC，持续时间≥16h，电子脚扣能正常工作。</w:t>
      </w:r>
    </w:p>
    <w:p>
      <w:pPr>
        <w:widowControl/>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lang w:val="en-US" w:eastAsia="zh-CN"/>
        </w:rPr>
        <w:t>8</w:t>
      </w:r>
      <w:r>
        <w:rPr>
          <w:rFonts w:hint="eastAsia" w:cs="宋体" w:asciiTheme="minorEastAsia" w:hAnsiTheme="minorEastAsia" w:eastAsiaTheme="minorEastAsia"/>
          <w:kern w:val="0"/>
          <w:szCs w:val="21"/>
          <w:highlight w:val="none"/>
        </w:rPr>
        <w:t>、抗高温性能：温度+55ºC±2ºC，持续时间≥16h，电子脚扣能正常工作。</w:t>
      </w:r>
    </w:p>
    <w:p>
      <w:pPr>
        <w:widowControl/>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lang w:val="en-US" w:eastAsia="zh-CN"/>
        </w:rPr>
        <w:t>9</w:t>
      </w:r>
      <w:r>
        <w:rPr>
          <w:rFonts w:hint="eastAsia" w:cs="宋体" w:asciiTheme="minorEastAsia" w:hAnsiTheme="minorEastAsia" w:eastAsiaTheme="minorEastAsia"/>
          <w:kern w:val="0"/>
          <w:szCs w:val="21"/>
          <w:highlight w:val="none"/>
        </w:rPr>
        <w:t>、恒定湿热性能：相对湿度9</w:t>
      </w:r>
      <w:r>
        <w:rPr>
          <w:rFonts w:hint="eastAsia" w:cs="宋体" w:asciiTheme="minorEastAsia" w:hAnsiTheme="minorEastAsia" w:eastAsiaTheme="minorEastAsia"/>
          <w:kern w:val="0"/>
          <w:szCs w:val="21"/>
          <w:highlight w:val="none"/>
          <w:lang w:val="en-US" w:eastAsia="zh-CN"/>
        </w:rPr>
        <w:t>3</w:t>
      </w:r>
      <w:r>
        <w:rPr>
          <w:rFonts w:hint="eastAsia" w:cs="宋体" w:asciiTheme="minorEastAsia" w:hAnsiTheme="minorEastAsia" w:eastAsiaTheme="minorEastAsia"/>
          <w:kern w:val="0"/>
          <w:szCs w:val="21"/>
          <w:highlight w:val="none"/>
        </w:rPr>
        <w:t>%±</w:t>
      </w:r>
      <w:r>
        <w:rPr>
          <w:rFonts w:hint="eastAsia" w:cs="宋体" w:asciiTheme="minorEastAsia" w:hAnsiTheme="minorEastAsia" w:eastAsiaTheme="minorEastAsia"/>
          <w:kern w:val="0"/>
          <w:szCs w:val="21"/>
          <w:highlight w:val="none"/>
          <w:lang w:val="en-US" w:eastAsia="zh-CN"/>
        </w:rPr>
        <w:t>2</w:t>
      </w:r>
      <w:r>
        <w:rPr>
          <w:rFonts w:hint="eastAsia" w:cs="宋体" w:asciiTheme="minorEastAsia" w:hAnsiTheme="minorEastAsia" w:eastAsiaTheme="minorEastAsia"/>
          <w:kern w:val="0"/>
          <w:szCs w:val="21"/>
          <w:highlight w:val="none"/>
        </w:rPr>
        <w:t>%，温度40ºC±2 ºC，持续时间≥</w:t>
      </w:r>
      <w:r>
        <w:rPr>
          <w:rFonts w:hint="eastAsia" w:cs="宋体" w:asciiTheme="minorEastAsia" w:hAnsiTheme="minorEastAsia" w:eastAsiaTheme="minorEastAsia"/>
          <w:kern w:val="0"/>
          <w:szCs w:val="21"/>
          <w:highlight w:val="none"/>
          <w:lang w:val="en-US" w:eastAsia="zh-CN"/>
        </w:rPr>
        <w:t>48</w:t>
      </w:r>
      <w:r>
        <w:rPr>
          <w:rFonts w:hint="eastAsia" w:cs="宋体" w:asciiTheme="minorEastAsia" w:hAnsiTheme="minorEastAsia" w:eastAsiaTheme="minorEastAsia"/>
          <w:kern w:val="0"/>
          <w:szCs w:val="21"/>
          <w:highlight w:val="none"/>
        </w:rPr>
        <w:t>h， 电子脚扣能正常工作。</w:t>
      </w:r>
    </w:p>
    <w:p>
      <w:pPr>
        <w:widowControl/>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lang w:val="en-US" w:eastAsia="zh-CN"/>
        </w:rPr>
        <w:t>10</w:t>
      </w:r>
      <w:r>
        <w:rPr>
          <w:rFonts w:hint="eastAsia" w:cs="宋体" w:asciiTheme="minorEastAsia" w:hAnsiTheme="minorEastAsia" w:eastAsiaTheme="minorEastAsia"/>
          <w:kern w:val="0"/>
          <w:szCs w:val="21"/>
          <w:highlight w:val="none"/>
        </w:rPr>
        <w:t>、振动性能：频率（10-150）HZ、1倍频程/min、加速度0.98m²/s， X、Y、Z方向各5min，设备能正常工作。</w:t>
      </w:r>
    </w:p>
    <w:p>
      <w:pPr>
        <w:widowControl/>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lang w:val="en-US" w:eastAsia="zh-CN"/>
        </w:rPr>
        <w:t>11</w:t>
      </w:r>
      <w:r>
        <w:rPr>
          <w:rFonts w:hint="eastAsia" w:cs="宋体" w:asciiTheme="minorEastAsia" w:hAnsiTheme="minorEastAsia" w:eastAsiaTheme="minorEastAsia"/>
          <w:kern w:val="0"/>
          <w:szCs w:val="21"/>
          <w:highlight w:val="none"/>
        </w:rPr>
        <w:t>、抗冲击性能：冲击加速度为15g，持续时间11ms， X 、Y、Z各3 次，设备能正常工作。</w:t>
      </w:r>
    </w:p>
    <w:p>
      <w:pPr>
        <w:widowControl/>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lang w:val="en-US" w:eastAsia="zh-CN"/>
        </w:rPr>
        <w:t>12</w:t>
      </w:r>
      <w:r>
        <w:rPr>
          <w:rFonts w:hint="eastAsia" w:cs="宋体" w:asciiTheme="minorEastAsia" w:hAnsiTheme="minorEastAsia" w:eastAsiaTheme="minorEastAsia"/>
          <w:kern w:val="0"/>
          <w:szCs w:val="21"/>
          <w:highlight w:val="none"/>
        </w:rPr>
        <w:t>、静电放电抗扰度性能：设备处于工作状态，空气放电±8000V，接触放电±6000V，在实验</w:t>
      </w:r>
      <w:r>
        <w:rPr>
          <w:rFonts w:hint="eastAsia" w:cs="宋体" w:asciiTheme="minorEastAsia" w:hAnsiTheme="minorEastAsia" w:eastAsiaTheme="minorEastAsia"/>
          <w:kern w:val="0"/>
          <w:szCs w:val="21"/>
          <w:highlight w:val="none"/>
          <w:lang w:val="en-US" w:eastAsia="zh-CN"/>
        </w:rPr>
        <w:t>期</w:t>
      </w:r>
      <w:r>
        <w:rPr>
          <w:rFonts w:hint="eastAsia" w:cs="宋体" w:asciiTheme="minorEastAsia" w:hAnsiTheme="minorEastAsia" w:eastAsiaTheme="minorEastAsia"/>
          <w:kern w:val="0"/>
          <w:szCs w:val="21"/>
          <w:highlight w:val="none"/>
        </w:rPr>
        <w:t>间和试验后，不发出报警和故障信号及启动声警报装置。</w:t>
      </w:r>
    </w:p>
    <w:p>
      <w:pPr>
        <w:pStyle w:val="2"/>
        <w:spacing w:line="440" w:lineRule="exact"/>
        <w:ind w:left="0" w:leftChars="0" w:firstLine="0" w:firstLineChars="0"/>
        <w:rPr>
          <w:rFonts w:hint="eastAsia"/>
          <w:lang w:eastAsia="zh-CN"/>
        </w:rPr>
      </w:pPr>
      <w:r>
        <w:rPr>
          <w:rFonts w:hint="eastAsia"/>
          <w:lang w:eastAsia="zh-CN"/>
        </w:rPr>
        <w:t>（</w:t>
      </w:r>
      <w:r>
        <w:rPr>
          <w:rFonts w:hint="eastAsia"/>
          <w:lang w:val="en-US" w:eastAsia="zh-CN"/>
        </w:rPr>
        <w:t>六</w:t>
      </w:r>
      <w:r>
        <w:rPr>
          <w:rFonts w:hint="eastAsia"/>
          <w:lang w:eastAsia="zh-CN"/>
        </w:rPr>
        <w:t>）手持监控终端</w:t>
      </w:r>
    </w:p>
    <w:p>
      <w:pPr>
        <w:pStyle w:val="2"/>
        <w:spacing w:line="440" w:lineRule="exact"/>
        <w:ind w:left="0" w:leftChars="0" w:firstLine="0" w:firstLineChars="0"/>
        <w:rPr>
          <w:rFonts w:hint="eastAsia"/>
        </w:rPr>
      </w:pPr>
      <w:r>
        <w:rPr>
          <w:rFonts w:hint="eastAsia"/>
          <w:lang w:val="en-US" w:eastAsia="zh-CN"/>
        </w:rPr>
        <w:t>1、</w:t>
      </w:r>
      <w:r>
        <w:rPr>
          <w:rFonts w:hint="eastAsia"/>
        </w:rPr>
        <w:t>手持监控终端应能接收与其配套使用的电子脚扣的位置信息。</w:t>
      </w:r>
    </w:p>
    <w:p>
      <w:pPr>
        <w:pStyle w:val="2"/>
        <w:spacing w:line="440" w:lineRule="exact"/>
        <w:ind w:left="0" w:leftChars="0" w:firstLine="0" w:firstLineChars="0"/>
        <w:rPr>
          <w:rFonts w:hint="eastAsia" w:ascii="宋体" w:hAnsi="宋体" w:cs="宋体"/>
          <w:szCs w:val="21"/>
          <w:highlight w:val="yellow"/>
        </w:rPr>
      </w:pPr>
      <w:r>
        <w:rPr>
          <w:rFonts w:hint="eastAsia" w:ascii="宋体" w:hAnsi="宋体" w:cs="宋体"/>
          <w:szCs w:val="21"/>
          <w:highlight w:val="yellow"/>
        </w:rPr>
        <w:t>▲2、支持手持监控终端APP发出开锁指令【需提供第三方检测机构出具的检验报告证明文件复印件或扫描件，并加盖投标供应商公章，原件备查】。</w:t>
      </w:r>
    </w:p>
    <w:p>
      <w:pPr>
        <w:pStyle w:val="2"/>
        <w:spacing w:line="440" w:lineRule="exact"/>
        <w:ind w:left="0" w:leftChars="0" w:firstLine="0" w:firstLineChars="0"/>
        <w:rPr>
          <w:rFonts w:hint="eastAsia"/>
          <w:highlight w:val="yellow"/>
        </w:rPr>
      </w:pPr>
      <w:r>
        <w:rPr>
          <w:rFonts w:hint="eastAsia" w:ascii="宋体" w:hAnsi="宋体" w:cs="宋体"/>
          <w:szCs w:val="21"/>
          <w:highlight w:val="yellow"/>
        </w:rPr>
        <w:t>▲</w:t>
      </w:r>
      <w:r>
        <w:rPr>
          <w:rFonts w:hint="eastAsia"/>
          <w:highlight w:val="yellow"/>
          <w:lang w:val="en-US" w:eastAsia="zh-CN"/>
        </w:rPr>
        <w:t>3、</w:t>
      </w:r>
      <w:r>
        <w:rPr>
          <w:rFonts w:hint="eastAsia"/>
          <w:highlight w:val="yellow"/>
        </w:rPr>
        <w:t>手持监控终端在发生下列情况时，应能发出声音或振动报警：</w:t>
      </w:r>
    </w:p>
    <w:p>
      <w:pPr>
        <w:pStyle w:val="2"/>
        <w:spacing w:line="440" w:lineRule="exact"/>
        <w:ind w:left="0" w:leftChars="0" w:firstLine="0" w:firstLineChars="0"/>
        <w:rPr>
          <w:rFonts w:hint="eastAsia"/>
          <w:highlight w:val="yellow"/>
        </w:rPr>
      </w:pPr>
      <w:r>
        <w:rPr>
          <w:rFonts w:hint="eastAsia"/>
          <w:highlight w:val="yellow"/>
          <w:lang w:val="en-US" w:eastAsia="zh-CN"/>
        </w:rPr>
        <w:t>1</w:t>
      </w:r>
      <w:r>
        <w:rPr>
          <w:rFonts w:hint="eastAsia"/>
          <w:highlight w:val="yellow"/>
        </w:rPr>
        <w:t>)</w:t>
      </w:r>
      <w:r>
        <w:rPr>
          <w:rFonts w:hint="eastAsia"/>
          <w:highlight w:val="yellow"/>
          <w:lang w:val="en-US" w:eastAsia="zh-CN"/>
        </w:rPr>
        <w:t xml:space="preserve">  </w:t>
      </w:r>
      <w:r>
        <w:rPr>
          <w:rFonts w:hint="eastAsia"/>
          <w:highlight w:val="yellow"/>
        </w:rPr>
        <w:t>超过60s未接收到与其配套使用的电子脚扣的位置信息；</w:t>
      </w:r>
    </w:p>
    <w:p>
      <w:pPr>
        <w:pStyle w:val="2"/>
        <w:spacing w:line="440" w:lineRule="exact"/>
        <w:ind w:left="0" w:leftChars="0" w:firstLine="0" w:firstLineChars="0"/>
        <w:rPr>
          <w:rFonts w:hint="eastAsia"/>
          <w:highlight w:val="yellow"/>
        </w:rPr>
      </w:pPr>
      <w:r>
        <w:rPr>
          <w:rFonts w:hint="eastAsia"/>
          <w:highlight w:val="yellow"/>
          <w:lang w:val="en-US" w:eastAsia="zh-CN"/>
        </w:rPr>
        <w:t>2</w:t>
      </w:r>
      <w:r>
        <w:rPr>
          <w:rFonts w:hint="eastAsia"/>
          <w:highlight w:val="yellow"/>
        </w:rPr>
        <w:t>)  与电子脚扣的距离超过(</w:t>
      </w:r>
      <w:r>
        <w:rPr>
          <w:rFonts w:hint="eastAsia"/>
          <w:highlight w:val="yellow"/>
          <w:lang w:val="en-US" w:eastAsia="zh-CN"/>
        </w:rPr>
        <w:t>20</w:t>
      </w:r>
      <w:r>
        <w:rPr>
          <w:rFonts w:hint="eastAsia"/>
          <w:highlight w:val="yellow"/>
        </w:rPr>
        <w:t>±</w:t>
      </w:r>
      <w:r>
        <w:rPr>
          <w:rFonts w:hint="eastAsia"/>
          <w:highlight w:val="yellow"/>
          <w:lang w:val="en-US" w:eastAsia="zh-CN"/>
        </w:rPr>
        <w:t>5</w:t>
      </w:r>
      <w:r>
        <w:rPr>
          <w:rFonts w:hint="eastAsia"/>
          <w:highlight w:val="yellow"/>
        </w:rPr>
        <w:t>)m;</w:t>
      </w:r>
    </w:p>
    <w:p>
      <w:pPr>
        <w:pStyle w:val="2"/>
        <w:spacing w:line="440" w:lineRule="exact"/>
        <w:ind w:left="0" w:leftChars="0" w:firstLine="0" w:firstLineChars="0"/>
        <w:rPr>
          <w:rFonts w:hint="eastAsia"/>
          <w:highlight w:val="yellow"/>
        </w:rPr>
      </w:pPr>
      <w:r>
        <w:rPr>
          <w:rFonts w:hint="eastAsia"/>
          <w:highlight w:val="yellow"/>
          <w:lang w:val="en-US" w:eastAsia="zh-CN"/>
        </w:rPr>
        <w:t>3</w:t>
      </w:r>
      <w:r>
        <w:rPr>
          <w:rFonts w:hint="eastAsia"/>
          <w:highlight w:val="yellow"/>
        </w:rPr>
        <w:t>)  电量不足。</w:t>
      </w:r>
    </w:p>
    <w:p>
      <w:pPr>
        <w:widowControl/>
        <w:spacing w:line="360" w:lineRule="auto"/>
        <w:rPr>
          <w:rFonts w:hint="eastAsia"/>
        </w:rPr>
      </w:pPr>
      <w:r>
        <w:rPr>
          <w:rFonts w:hint="eastAsia"/>
          <w:highlight w:val="yellow"/>
        </w:rPr>
        <w:t>【</w:t>
      </w:r>
      <w:r>
        <w:rPr>
          <w:rFonts w:hint="eastAsia"/>
          <w:b/>
          <w:bCs/>
          <w:color w:val="FF0000"/>
          <w:highlight w:val="yellow"/>
        </w:rPr>
        <w:t>需提供</w:t>
      </w:r>
      <w:r>
        <w:rPr>
          <w:rFonts w:hint="eastAsia"/>
          <w:b/>
          <w:bCs/>
          <w:color w:val="FF0000"/>
          <w:highlight w:val="yellow"/>
          <w:lang w:val="en-US" w:eastAsia="zh-CN"/>
        </w:rPr>
        <w:t>第三方</w:t>
      </w:r>
      <w:r>
        <w:rPr>
          <w:rFonts w:hint="eastAsia"/>
          <w:b/>
          <w:bCs/>
          <w:color w:val="FF0000"/>
          <w:highlight w:val="yellow"/>
        </w:rPr>
        <w:t>检测</w:t>
      </w:r>
      <w:r>
        <w:rPr>
          <w:rFonts w:hint="eastAsia"/>
          <w:b/>
          <w:bCs/>
          <w:color w:val="FF0000"/>
          <w:highlight w:val="yellow"/>
          <w:lang w:val="en-US" w:eastAsia="zh-CN"/>
        </w:rPr>
        <w:t>机构出具的检验</w:t>
      </w:r>
      <w:r>
        <w:rPr>
          <w:rFonts w:hint="eastAsia"/>
          <w:b/>
          <w:bCs/>
          <w:color w:val="FF0000"/>
          <w:highlight w:val="yellow"/>
        </w:rPr>
        <w:t>报告</w:t>
      </w:r>
      <w:r>
        <w:rPr>
          <w:rFonts w:hint="eastAsia"/>
          <w:b/>
          <w:bCs/>
          <w:color w:val="FF0000"/>
          <w:highlight w:val="yellow"/>
          <w:lang w:val="en-US" w:eastAsia="zh-CN"/>
        </w:rPr>
        <w:t>证明文件</w:t>
      </w:r>
      <w:r>
        <w:rPr>
          <w:rFonts w:hint="eastAsia"/>
          <w:b/>
          <w:bCs/>
          <w:color w:val="FF0000"/>
          <w:highlight w:val="yellow"/>
        </w:rPr>
        <w:t>复印件或扫描件，并加盖投标供应商公章，原件备查</w:t>
      </w:r>
      <w:r>
        <w:rPr>
          <w:rFonts w:hint="eastAsia"/>
          <w:highlight w:val="yellow"/>
        </w:rPr>
        <w:t>】</w:t>
      </w:r>
      <w:r>
        <w:rPr>
          <w:rFonts w:hint="eastAsia" w:cs="宋体" w:asciiTheme="minorEastAsia" w:hAnsiTheme="minorEastAsia" w:eastAsiaTheme="minorEastAsia"/>
          <w:kern w:val="0"/>
          <w:szCs w:val="21"/>
          <w:highlight w:val="yellow"/>
        </w:rPr>
        <w:t>。</w:t>
      </w:r>
    </w:p>
    <w:p>
      <w:pPr>
        <w:pStyle w:val="2"/>
        <w:spacing w:line="440" w:lineRule="exact"/>
        <w:ind w:left="0" w:leftChars="0" w:firstLine="0" w:firstLineChars="0"/>
        <w:rPr>
          <w:rFonts w:hint="eastAsia" w:cs="宋体" w:asciiTheme="minorEastAsia" w:hAnsiTheme="minorEastAsia" w:eastAsiaTheme="minorEastAsia"/>
          <w:kern w:val="0"/>
          <w:szCs w:val="21"/>
          <w:highlight w:val="yellow"/>
        </w:rPr>
      </w:pPr>
      <w:r>
        <w:rPr>
          <w:rFonts w:hint="eastAsia" w:ascii="宋体" w:hAnsi="宋体" w:cs="宋体"/>
          <w:szCs w:val="21"/>
          <w:highlight w:val="yellow"/>
        </w:rPr>
        <w:t>▲</w:t>
      </w:r>
      <w:r>
        <w:rPr>
          <w:rFonts w:hint="eastAsia"/>
          <w:highlight w:val="yellow"/>
          <w:lang w:val="en-US" w:eastAsia="zh-CN"/>
        </w:rPr>
        <w:t>4、</w:t>
      </w:r>
      <w:r>
        <w:rPr>
          <w:rFonts w:hint="eastAsia"/>
          <w:highlight w:val="yellow"/>
        </w:rPr>
        <w:t>手持监控终端应能在电子地图上显示与其配套使用的电子脚扣所在位置。</w:t>
      </w:r>
      <w:r>
        <w:rPr>
          <w:rFonts w:hint="eastAsia" w:cs="宋体" w:asciiTheme="minorEastAsia" w:hAnsiTheme="minorEastAsia" w:eastAsiaTheme="minorEastAsia"/>
          <w:kern w:val="0"/>
          <w:szCs w:val="21"/>
          <w:highlight w:val="yellow"/>
        </w:rPr>
        <w:t>【</w:t>
      </w:r>
      <w:r>
        <w:rPr>
          <w:rFonts w:hint="eastAsia"/>
          <w:b/>
          <w:bCs/>
          <w:color w:val="FF0000"/>
          <w:highlight w:val="yellow"/>
        </w:rPr>
        <w:t>需提供</w:t>
      </w:r>
      <w:r>
        <w:rPr>
          <w:rFonts w:hint="eastAsia"/>
          <w:b/>
          <w:bCs/>
          <w:color w:val="FF0000"/>
          <w:highlight w:val="yellow"/>
          <w:lang w:val="en-US" w:eastAsia="zh-CN"/>
        </w:rPr>
        <w:t>第三方</w:t>
      </w:r>
      <w:r>
        <w:rPr>
          <w:rFonts w:hint="eastAsia"/>
          <w:b/>
          <w:bCs/>
          <w:color w:val="FF0000"/>
          <w:highlight w:val="yellow"/>
        </w:rPr>
        <w:t>检测</w:t>
      </w:r>
      <w:r>
        <w:rPr>
          <w:rFonts w:hint="eastAsia"/>
          <w:b/>
          <w:bCs/>
          <w:color w:val="FF0000"/>
          <w:highlight w:val="yellow"/>
          <w:lang w:val="en-US" w:eastAsia="zh-CN"/>
        </w:rPr>
        <w:t>机构出具的检验</w:t>
      </w:r>
      <w:r>
        <w:rPr>
          <w:rFonts w:hint="eastAsia"/>
          <w:b/>
          <w:bCs/>
          <w:color w:val="FF0000"/>
          <w:highlight w:val="yellow"/>
        </w:rPr>
        <w:t>报告</w:t>
      </w:r>
      <w:r>
        <w:rPr>
          <w:rFonts w:hint="eastAsia"/>
          <w:b/>
          <w:bCs/>
          <w:color w:val="FF0000"/>
          <w:highlight w:val="yellow"/>
          <w:lang w:val="en-US" w:eastAsia="zh-CN"/>
        </w:rPr>
        <w:t>证明文件</w:t>
      </w:r>
      <w:r>
        <w:rPr>
          <w:rFonts w:hint="eastAsia"/>
          <w:b/>
          <w:bCs/>
          <w:color w:val="FF0000"/>
          <w:highlight w:val="yellow"/>
        </w:rPr>
        <w:t>复印件或扫描件，并加盖投标供应商公章，原件备查</w:t>
      </w:r>
      <w:r>
        <w:rPr>
          <w:rFonts w:hint="eastAsia" w:cs="宋体" w:asciiTheme="minorEastAsia" w:hAnsiTheme="minorEastAsia" w:eastAsiaTheme="minorEastAsia"/>
          <w:kern w:val="0"/>
          <w:szCs w:val="21"/>
          <w:highlight w:val="yellow"/>
        </w:rPr>
        <w:t>】。</w:t>
      </w:r>
    </w:p>
    <w:p>
      <w:pPr>
        <w:pStyle w:val="2"/>
        <w:spacing w:line="440" w:lineRule="exact"/>
        <w:ind w:left="0" w:leftChars="0" w:firstLine="0" w:firstLineChars="0"/>
        <w:rPr>
          <w:rFonts w:hint="eastAsia"/>
        </w:rPr>
      </w:pPr>
      <w:r>
        <w:rPr>
          <w:rFonts w:hint="eastAsia"/>
          <w:lang w:val="en-US" w:eastAsia="zh-CN"/>
        </w:rPr>
        <w:t>5、</w:t>
      </w:r>
      <w:r>
        <w:rPr>
          <w:rFonts w:hint="eastAsia"/>
        </w:rPr>
        <w:t>手持监控终端应能向电子脚扣发出报警复位、回复位置查询指令。</w:t>
      </w:r>
    </w:p>
    <w:p>
      <w:pPr>
        <w:pStyle w:val="2"/>
        <w:spacing w:line="440" w:lineRule="exact"/>
        <w:ind w:left="0" w:leftChars="0" w:firstLine="0" w:firstLineChars="0"/>
        <w:rPr>
          <w:rFonts w:hint="eastAsia"/>
          <w:lang w:val="en-US" w:eastAsia="zh-CN"/>
        </w:rPr>
      </w:pPr>
      <w:r>
        <w:rPr>
          <w:rFonts w:hint="eastAsia"/>
          <w:lang w:val="en-US" w:eastAsia="zh-CN"/>
        </w:rPr>
        <w:t>6、电池容量大于8000mA。</w:t>
      </w:r>
    </w:p>
    <w:p>
      <w:pPr>
        <w:pStyle w:val="2"/>
        <w:spacing w:line="440" w:lineRule="exact"/>
        <w:ind w:left="0" w:leftChars="0" w:firstLine="0" w:firstLineChars="0"/>
        <w:rPr>
          <w:rFonts w:hint="eastAsia"/>
        </w:rPr>
      </w:pPr>
      <w:r>
        <w:rPr>
          <w:rFonts w:hint="eastAsia"/>
          <w:lang w:val="en-US" w:eastAsia="zh-CN"/>
        </w:rPr>
        <w:t>7、</w:t>
      </w:r>
      <w:r>
        <w:rPr>
          <w:rFonts w:hint="eastAsia"/>
        </w:rPr>
        <w:t>手持监控终端应能接入公共电话网络，拨打语音电话。</w:t>
      </w:r>
    </w:p>
    <w:p>
      <w:pPr>
        <w:pStyle w:val="2"/>
        <w:spacing w:line="440" w:lineRule="exact"/>
        <w:ind w:left="0" w:leftChars="0" w:firstLine="0" w:firstLineChars="0"/>
        <w:rPr>
          <w:rFonts w:hint="eastAsia"/>
        </w:rPr>
      </w:pPr>
      <w:r>
        <w:rPr>
          <w:rFonts w:hint="eastAsia"/>
          <w:lang w:eastAsia="zh-CN"/>
        </w:rPr>
        <w:t>（</w:t>
      </w:r>
      <w:r>
        <w:rPr>
          <w:rFonts w:hint="eastAsia"/>
          <w:lang w:val="en-US" w:eastAsia="zh-CN"/>
        </w:rPr>
        <w:t>七</w:t>
      </w:r>
      <w:r>
        <w:rPr>
          <w:rFonts w:hint="eastAsia"/>
          <w:lang w:eastAsia="zh-CN"/>
        </w:rPr>
        <w:t>）</w:t>
      </w:r>
      <w:r>
        <w:rPr>
          <w:rFonts w:hint="eastAsia"/>
        </w:rPr>
        <w:t>指挥管理中心</w:t>
      </w:r>
    </w:p>
    <w:p>
      <w:pPr>
        <w:pStyle w:val="2"/>
        <w:spacing w:after="0" w:line="440" w:lineRule="exact"/>
        <w:ind w:left="0" w:leftChars="0" w:firstLine="0" w:firstLineChars="0"/>
        <w:rPr>
          <w:rFonts w:hint="eastAsia"/>
          <w:highlight w:val="yellow"/>
        </w:rPr>
      </w:pPr>
      <w:r>
        <w:rPr>
          <w:rFonts w:hint="eastAsia" w:ascii="宋体" w:hAnsi="宋体" w:cs="宋体"/>
          <w:szCs w:val="21"/>
          <w:highlight w:val="yellow"/>
        </w:rPr>
        <w:t>▲</w:t>
      </w:r>
      <w:r>
        <w:rPr>
          <w:rFonts w:hint="eastAsia"/>
          <w:highlight w:val="yellow"/>
          <w:lang w:val="en-US" w:eastAsia="zh-CN"/>
        </w:rPr>
        <w:t>1、</w:t>
      </w:r>
      <w:r>
        <w:rPr>
          <w:rFonts w:hint="eastAsia"/>
          <w:highlight w:val="yellow"/>
        </w:rPr>
        <w:t>指挥管理中心应能在电子地图上实时、形象显示全部在用的电子脚扣位置信息。【</w:t>
      </w:r>
      <w:r>
        <w:rPr>
          <w:rFonts w:hint="eastAsia"/>
          <w:b/>
          <w:bCs/>
          <w:color w:val="FF0000"/>
          <w:highlight w:val="yellow"/>
        </w:rPr>
        <w:t>需提供</w:t>
      </w:r>
      <w:r>
        <w:rPr>
          <w:rFonts w:hint="eastAsia"/>
          <w:b/>
          <w:bCs/>
          <w:color w:val="FF0000"/>
          <w:highlight w:val="yellow"/>
          <w:lang w:val="en-US" w:eastAsia="zh-CN"/>
        </w:rPr>
        <w:t>第三方</w:t>
      </w:r>
      <w:r>
        <w:rPr>
          <w:rFonts w:hint="eastAsia"/>
          <w:b/>
          <w:bCs/>
          <w:color w:val="FF0000"/>
          <w:highlight w:val="yellow"/>
        </w:rPr>
        <w:t>检测</w:t>
      </w:r>
      <w:r>
        <w:rPr>
          <w:rFonts w:hint="eastAsia"/>
          <w:b/>
          <w:bCs/>
          <w:color w:val="FF0000"/>
          <w:highlight w:val="yellow"/>
          <w:lang w:val="en-US" w:eastAsia="zh-CN"/>
        </w:rPr>
        <w:t>机构出具的检验</w:t>
      </w:r>
      <w:r>
        <w:rPr>
          <w:rFonts w:hint="eastAsia"/>
          <w:b/>
          <w:bCs/>
          <w:color w:val="FF0000"/>
          <w:highlight w:val="yellow"/>
        </w:rPr>
        <w:t>报告</w:t>
      </w:r>
      <w:r>
        <w:rPr>
          <w:rFonts w:hint="eastAsia"/>
          <w:b/>
          <w:bCs/>
          <w:color w:val="FF0000"/>
          <w:highlight w:val="yellow"/>
          <w:lang w:val="en-US" w:eastAsia="zh-CN"/>
        </w:rPr>
        <w:t>证明文件</w:t>
      </w:r>
      <w:r>
        <w:rPr>
          <w:rFonts w:hint="eastAsia"/>
          <w:b/>
          <w:bCs/>
          <w:color w:val="FF0000"/>
          <w:highlight w:val="yellow"/>
        </w:rPr>
        <w:t>复印件或扫描件，并加盖投标供应商公章，原件备查</w:t>
      </w:r>
      <w:r>
        <w:rPr>
          <w:rFonts w:hint="eastAsia"/>
          <w:highlight w:val="yellow"/>
        </w:rPr>
        <w:t>】。</w:t>
      </w:r>
    </w:p>
    <w:p>
      <w:pPr>
        <w:pStyle w:val="2"/>
        <w:spacing w:line="440" w:lineRule="exact"/>
        <w:ind w:left="0" w:leftChars="0" w:firstLine="0" w:firstLineChars="0"/>
        <w:rPr>
          <w:rFonts w:hint="eastAsia"/>
        </w:rPr>
      </w:pPr>
      <w:r>
        <w:rPr>
          <w:rFonts w:hint="eastAsia"/>
          <w:lang w:val="en-US" w:eastAsia="zh-CN"/>
        </w:rPr>
        <w:t>2、</w:t>
      </w:r>
      <w:r>
        <w:rPr>
          <w:rFonts w:hint="eastAsia"/>
        </w:rPr>
        <w:t>指挥管理中心应能存贮并在电子地图上显示指定电子脚扣活动轨迹。存贮时间应大于一年。</w:t>
      </w:r>
    </w:p>
    <w:p>
      <w:pPr>
        <w:pStyle w:val="2"/>
        <w:spacing w:after="0" w:line="440" w:lineRule="exact"/>
        <w:ind w:left="0" w:leftChars="0" w:firstLine="0" w:firstLineChars="0"/>
        <w:rPr>
          <w:rFonts w:hint="eastAsia"/>
          <w:highlight w:val="yellow"/>
        </w:rPr>
      </w:pPr>
      <w:r>
        <w:rPr>
          <w:rFonts w:hint="eastAsia" w:ascii="宋体" w:hAnsi="宋体" w:cs="宋体"/>
          <w:szCs w:val="21"/>
          <w:highlight w:val="yellow"/>
        </w:rPr>
        <w:t>▲</w:t>
      </w:r>
      <w:r>
        <w:rPr>
          <w:rFonts w:hint="eastAsia"/>
          <w:highlight w:val="yellow"/>
          <w:lang w:val="en-US" w:eastAsia="zh-CN"/>
        </w:rPr>
        <w:t>3、</w:t>
      </w:r>
      <w:r>
        <w:rPr>
          <w:rFonts w:hint="eastAsia"/>
          <w:highlight w:val="yellow"/>
        </w:rPr>
        <w:t>指挥管理中心接收到电子脚扣上的锁扣被非正常打开、固定带被剪断、脱离监管区域、手持监控终端与其配套使用的电子脚扣距离超过(20±5)m、电池电量不足时，应迅速发出声音及图文报警。报警信息应包括电子脚扣佩戴者姓名、监管人员姓名及其手机号码。【</w:t>
      </w:r>
      <w:r>
        <w:rPr>
          <w:rFonts w:hint="eastAsia"/>
          <w:b/>
          <w:bCs/>
          <w:color w:val="FF0000"/>
          <w:highlight w:val="yellow"/>
        </w:rPr>
        <w:t>需提供</w:t>
      </w:r>
      <w:r>
        <w:rPr>
          <w:rFonts w:hint="eastAsia"/>
          <w:b/>
          <w:bCs/>
          <w:color w:val="FF0000"/>
          <w:highlight w:val="yellow"/>
          <w:lang w:val="en-US" w:eastAsia="zh-CN"/>
        </w:rPr>
        <w:t>第三方</w:t>
      </w:r>
      <w:r>
        <w:rPr>
          <w:rFonts w:hint="eastAsia"/>
          <w:b/>
          <w:bCs/>
          <w:color w:val="FF0000"/>
          <w:highlight w:val="yellow"/>
        </w:rPr>
        <w:t>检测</w:t>
      </w:r>
      <w:r>
        <w:rPr>
          <w:rFonts w:hint="eastAsia"/>
          <w:b/>
          <w:bCs/>
          <w:color w:val="FF0000"/>
          <w:highlight w:val="yellow"/>
          <w:lang w:val="en-US" w:eastAsia="zh-CN"/>
        </w:rPr>
        <w:t>机构出具的检验</w:t>
      </w:r>
      <w:r>
        <w:rPr>
          <w:rFonts w:hint="eastAsia"/>
          <w:b/>
          <w:bCs/>
          <w:color w:val="FF0000"/>
          <w:highlight w:val="yellow"/>
        </w:rPr>
        <w:t>报告</w:t>
      </w:r>
      <w:r>
        <w:rPr>
          <w:rFonts w:hint="eastAsia"/>
          <w:b/>
          <w:bCs/>
          <w:color w:val="FF0000"/>
          <w:highlight w:val="yellow"/>
          <w:lang w:val="en-US" w:eastAsia="zh-CN"/>
        </w:rPr>
        <w:t>证明文件</w:t>
      </w:r>
      <w:r>
        <w:rPr>
          <w:rFonts w:hint="eastAsia"/>
          <w:b/>
          <w:bCs/>
          <w:color w:val="FF0000"/>
          <w:highlight w:val="yellow"/>
        </w:rPr>
        <w:t>复印件或扫描件，并加盖投标供应商公章，原件备查</w:t>
      </w:r>
      <w:r>
        <w:rPr>
          <w:rFonts w:hint="eastAsia"/>
          <w:highlight w:val="yellow"/>
        </w:rPr>
        <w:t>】。</w:t>
      </w:r>
    </w:p>
    <w:p>
      <w:pPr>
        <w:pStyle w:val="2"/>
        <w:spacing w:line="440" w:lineRule="exact"/>
        <w:ind w:left="0" w:leftChars="0" w:firstLine="0" w:firstLineChars="0"/>
        <w:rPr>
          <w:rFonts w:hint="eastAsia"/>
        </w:rPr>
      </w:pPr>
      <w:r>
        <w:rPr>
          <w:rFonts w:hint="eastAsia"/>
          <w:lang w:val="en-US" w:eastAsia="zh-CN"/>
        </w:rPr>
        <w:t>4、</w:t>
      </w:r>
      <w:r>
        <w:rPr>
          <w:rFonts w:hint="eastAsia"/>
        </w:rPr>
        <w:t>指挥管理中心应能对报警信息进行查询、统计。</w:t>
      </w:r>
    </w:p>
    <w:p>
      <w:pPr>
        <w:pStyle w:val="2"/>
        <w:spacing w:line="440" w:lineRule="exact"/>
        <w:ind w:left="0" w:leftChars="0" w:firstLine="0" w:firstLineChars="0"/>
        <w:rPr>
          <w:rFonts w:hint="eastAsia"/>
        </w:rPr>
      </w:pPr>
      <w:r>
        <w:rPr>
          <w:rFonts w:hint="eastAsia"/>
          <w:lang w:val="en-US" w:eastAsia="zh-CN"/>
        </w:rPr>
        <w:t>5、</w:t>
      </w:r>
      <w:r>
        <w:rPr>
          <w:rFonts w:hint="eastAsia"/>
        </w:rPr>
        <w:t>指挥管理中心应能对电子脚扣及其手持监控终端实施启用、监管区域设置与调整、停用。应能对佩戴者姓名、监管人员姓名及其手持监控终端联网通讯的电话号码进行设置。</w:t>
      </w:r>
    </w:p>
    <w:p>
      <w:pPr>
        <w:pStyle w:val="2"/>
        <w:spacing w:line="440" w:lineRule="exact"/>
        <w:ind w:left="0" w:leftChars="0" w:firstLine="0" w:firstLineChars="0"/>
        <w:rPr>
          <w:rFonts w:hint="eastAsia"/>
        </w:rPr>
      </w:pPr>
      <w:r>
        <w:rPr>
          <w:rFonts w:hint="eastAsia"/>
          <w:lang w:val="en-US" w:eastAsia="zh-CN"/>
        </w:rPr>
        <w:t>6、</w:t>
      </w:r>
      <w:r>
        <w:rPr>
          <w:rFonts w:hint="eastAsia"/>
        </w:rPr>
        <w:t>指挥管理中心应具有权限管理功能。</w:t>
      </w:r>
    </w:p>
    <w:p>
      <w:pPr>
        <w:pStyle w:val="2"/>
        <w:spacing w:line="440" w:lineRule="exact"/>
        <w:ind w:left="0" w:leftChars="0" w:firstLine="0" w:firstLineChars="0"/>
        <w:rPr>
          <w:rFonts w:hint="eastAsia"/>
        </w:rPr>
      </w:pPr>
      <w:r>
        <w:rPr>
          <w:rFonts w:hint="eastAsia"/>
          <w:lang w:eastAsia="zh-CN"/>
        </w:rPr>
        <w:t>（</w:t>
      </w:r>
      <w:r>
        <w:rPr>
          <w:rFonts w:hint="eastAsia"/>
          <w:lang w:val="en-US" w:eastAsia="zh-CN"/>
        </w:rPr>
        <w:t>八</w:t>
      </w:r>
      <w:r>
        <w:rPr>
          <w:rFonts w:hint="eastAsia"/>
          <w:lang w:eastAsia="zh-CN"/>
        </w:rPr>
        <w:t>）</w:t>
      </w:r>
      <w:r>
        <w:rPr>
          <w:rFonts w:hint="eastAsia"/>
        </w:rPr>
        <w:t>电源</w:t>
      </w:r>
    </w:p>
    <w:p>
      <w:pPr>
        <w:pStyle w:val="2"/>
        <w:spacing w:line="440" w:lineRule="exact"/>
        <w:ind w:left="0" w:leftChars="0" w:firstLine="0" w:firstLineChars="0"/>
        <w:rPr>
          <w:rFonts w:hint="eastAsia"/>
        </w:rPr>
      </w:pPr>
      <w:r>
        <w:rPr>
          <w:rFonts w:hint="eastAsia"/>
          <w:lang w:val="en-US" w:eastAsia="zh-CN"/>
        </w:rPr>
        <w:t>1、</w:t>
      </w:r>
      <w:r>
        <w:rPr>
          <w:rFonts w:hint="eastAsia"/>
        </w:rPr>
        <w:t>电子脚扣应采用可更换充电电池。</w:t>
      </w:r>
    </w:p>
    <w:p>
      <w:pPr>
        <w:pStyle w:val="2"/>
        <w:spacing w:line="440" w:lineRule="exact"/>
        <w:ind w:left="0" w:leftChars="0" w:firstLine="0" w:firstLineChars="0"/>
        <w:rPr>
          <w:rFonts w:hint="eastAsia"/>
        </w:rPr>
      </w:pPr>
      <w:r>
        <w:rPr>
          <w:rFonts w:hint="eastAsia"/>
          <w:lang w:val="en-US" w:eastAsia="zh-CN"/>
        </w:rPr>
        <w:t>2、</w:t>
      </w:r>
      <w:r>
        <w:rPr>
          <w:rFonts w:hint="eastAsia"/>
        </w:rPr>
        <w:t>电子脚扣电池更换应采用专门工具。</w:t>
      </w:r>
    </w:p>
    <w:p>
      <w:pPr>
        <w:pStyle w:val="2"/>
        <w:spacing w:line="440" w:lineRule="exact"/>
        <w:ind w:left="0" w:leftChars="0" w:firstLine="0" w:firstLineChars="0"/>
        <w:rPr>
          <w:rFonts w:hint="eastAsia"/>
        </w:rPr>
      </w:pPr>
      <w:r>
        <w:rPr>
          <w:rFonts w:hint="eastAsia"/>
          <w:lang w:val="en-US" w:eastAsia="zh-CN"/>
        </w:rPr>
        <w:t>3、</w:t>
      </w:r>
      <w:r>
        <w:rPr>
          <w:rFonts w:hint="eastAsia"/>
        </w:rPr>
        <w:t>随机应配备一个充电器和各一块备用电池。</w:t>
      </w:r>
    </w:p>
    <w:p>
      <w:pPr>
        <w:pStyle w:val="2"/>
        <w:spacing w:line="440" w:lineRule="exact"/>
        <w:ind w:left="0" w:leftChars="0" w:firstLine="0" w:firstLineChars="0"/>
        <w:rPr>
          <w:rFonts w:hint="eastAsia"/>
        </w:rPr>
      </w:pPr>
      <w:r>
        <w:rPr>
          <w:rFonts w:hint="eastAsia"/>
          <w:lang w:eastAsia="zh-CN"/>
        </w:rPr>
        <w:t>（</w:t>
      </w:r>
      <w:r>
        <w:rPr>
          <w:rFonts w:hint="eastAsia"/>
          <w:lang w:val="en-US" w:eastAsia="zh-CN"/>
        </w:rPr>
        <w:t>九</w:t>
      </w:r>
      <w:r>
        <w:rPr>
          <w:rFonts w:hint="eastAsia"/>
          <w:lang w:eastAsia="zh-CN"/>
        </w:rPr>
        <w:t>）</w:t>
      </w:r>
      <w:r>
        <w:rPr>
          <w:rFonts w:hint="eastAsia"/>
        </w:rPr>
        <w:t>工作时间</w:t>
      </w:r>
    </w:p>
    <w:p>
      <w:pPr>
        <w:pStyle w:val="2"/>
        <w:spacing w:line="440" w:lineRule="exact"/>
        <w:ind w:left="0" w:leftChars="0" w:firstLine="0" w:firstLineChars="0"/>
        <w:rPr>
          <w:rFonts w:hint="eastAsia"/>
        </w:rPr>
      </w:pPr>
      <w:r>
        <w:rPr>
          <w:rFonts w:hint="eastAsia"/>
          <w:lang w:val="en-US" w:eastAsia="zh-CN"/>
        </w:rPr>
        <w:t>1、</w:t>
      </w:r>
      <w:r>
        <w:rPr>
          <w:rFonts w:hint="eastAsia"/>
        </w:rPr>
        <w:t>电子脚扣电池应能保证工作状态下工作</w:t>
      </w:r>
      <w:r>
        <w:rPr>
          <w:rFonts w:hint="eastAsia"/>
          <w:lang w:val="en-US" w:eastAsia="zh-CN"/>
        </w:rPr>
        <w:t>≥</w:t>
      </w:r>
      <w:r>
        <w:rPr>
          <w:rFonts w:hint="eastAsia"/>
        </w:rPr>
        <w:t>72 h。</w:t>
      </w:r>
    </w:p>
    <w:p>
      <w:pPr>
        <w:pStyle w:val="2"/>
        <w:spacing w:line="440" w:lineRule="exact"/>
        <w:ind w:left="0" w:leftChars="0" w:firstLine="0" w:firstLineChars="0"/>
        <w:rPr>
          <w:rFonts w:hint="eastAsia"/>
        </w:rPr>
      </w:pPr>
      <w:r>
        <w:rPr>
          <w:rFonts w:hint="eastAsia"/>
          <w:lang w:val="en-US" w:eastAsia="zh-CN"/>
        </w:rPr>
        <w:t>2、</w:t>
      </w:r>
      <w:r>
        <w:rPr>
          <w:rFonts w:hint="eastAsia"/>
        </w:rPr>
        <w:t>电子脚扣、手持监控终端电池电量不足发出电源欠压报警后应能保证工作状态30 min以上。</w:t>
      </w:r>
    </w:p>
    <w:p>
      <w:pPr>
        <w:pStyle w:val="2"/>
        <w:spacing w:line="440" w:lineRule="exact"/>
        <w:ind w:left="0" w:leftChars="0" w:firstLine="0" w:firstLineChars="0"/>
        <w:rPr>
          <w:rFonts w:hint="eastAsia"/>
        </w:rPr>
      </w:pPr>
    </w:p>
    <w:p>
      <w:pPr>
        <w:spacing w:line="360" w:lineRule="auto"/>
        <w:rPr>
          <w:rFonts w:ascii="宋体" w:hAnsi="宋体"/>
          <w:b/>
          <w:bCs/>
          <w:snapToGrid w:val="0"/>
          <w:kern w:val="0"/>
          <w:sz w:val="28"/>
          <w:szCs w:val="24"/>
        </w:rPr>
      </w:pPr>
      <w:r>
        <w:rPr>
          <w:rFonts w:hint="eastAsia" w:ascii="宋体" w:hAnsi="宋体"/>
          <w:b/>
          <w:bCs/>
          <w:snapToGrid w:val="0"/>
          <w:kern w:val="0"/>
          <w:sz w:val="28"/>
          <w:szCs w:val="24"/>
        </w:rPr>
        <w:t>四、商务要求</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377"/>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6" w:type="pc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808" w:type="pc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目录</w:t>
            </w:r>
          </w:p>
        </w:tc>
        <w:tc>
          <w:tcPr>
            <w:tcW w:w="3775" w:type="pc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16" w:type="pc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808" w:type="pct"/>
            <w:vAlign w:val="center"/>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交货期</w:t>
            </w:r>
          </w:p>
        </w:tc>
        <w:tc>
          <w:tcPr>
            <w:tcW w:w="3775" w:type="pct"/>
            <w:vAlign w:val="center"/>
          </w:tcPr>
          <w:p>
            <w:pPr>
              <w:spacing w:line="360" w:lineRule="auto"/>
              <w:jc w:val="left"/>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kern w:val="0"/>
                <w:szCs w:val="21"/>
                <w:highlight w:val="yellow"/>
              </w:rPr>
              <w:t>1.1</w:t>
            </w:r>
            <w:r>
              <w:rPr>
                <w:rFonts w:hint="eastAsia" w:ascii="宋体" w:hAnsi="宋体"/>
                <w:b/>
                <w:kern w:val="0"/>
                <w:szCs w:val="21"/>
                <w:highlight w:val="yellow"/>
              </w:rPr>
              <w:t>在接到采购人送货通知后14天（日历日）内交货。指合同生效后，中标供应商将全部货物运抵采购单位指定地点并安装调试完成，经验收合格，正式交付采购单位使用所需的时间。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416" w:type="pc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808" w:type="pct"/>
            <w:vAlign w:val="center"/>
          </w:tcPr>
          <w:p>
            <w:pPr>
              <w:spacing w:line="360" w:lineRule="auto"/>
              <w:jc w:val="center"/>
              <w:rPr>
                <w:rFonts w:asciiTheme="minorEastAsia" w:hAnsiTheme="minorEastAsia" w:eastAsiaTheme="minorEastAsia"/>
                <w:b/>
                <w:bCs/>
                <w:szCs w:val="21"/>
              </w:rPr>
            </w:pPr>
            <w:r>
              <w:rPr>
                <w:rFonts w:hint="eastAsia" w:ascii="宋体" w:hAnsi="宋体"/>
                <w:b/>
                <w:bCs/>
                <w:kern w:val="0"/>
                <w:szCs w:val="21"/>
              </w:rPr>
              <w:t>交货地点</w:t>
            </w:r>
          </w:p>
        </w:tc>
        <w:tc>
          <w:tcPr>
            <w:tcW w:w="3775" w:type="pct"/>
          </w:tcPr>
          <w:p>
            <w:pPr>
              <w:widowControl/>
              <w:spacing w:line="360" w:lineRule="auto"/>
              <w:jc w:val="left"/>
              <w:outlineLvl w:val="0"/>
              <w:rPr>
                <w:rFonts w:asciiTheme="minorEastAsia" w:hAnsiTheme="minorEastAsia" w:eastAsiaTheme="minorEastAsia"/>
                <w:color w:val="FF0000"/>
                <w:kern w:val="0"/>
                <w:szCs w:val="21"/>
              </w:rPr>
            </w:pPr>
            <w:r>
              <w:rPr>
                <w:rFonts w:hint="eastAsia" w:asciiTheme="minorEastAsia" w:hAnsiTheme="minorEastAsia" w:eastAsiaTheme="minorEastAsia"/>
                <w:kern w:val="0"/>
                <w:szCs w:val="21"/>
              </w:rPr>
              <w:t>2.1</w:t>
            </w:r>
            <w:r>
              <w:rPr>
                <w:rFonts w:hint="eastAsia" w:ascii="宋体" w:hAnsi="宋体"/>
                <w:kern w:val="0"/>
                <w:szCs w:val="21"/>
              </w:rPr>
              <w:t>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16" w:type="pc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808" w:type="pct"/>
            <w:vAlign w:val="center"/>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报价要求</w:t>
            </w:r>
          </w:p>
        </w:tc>
        <w:tc>
          <w:tcPr>
            <w:tcW w:w="3775" w:type="pct"/>
          </w:tcPr>
          <w:p>
            <w:pPr>
              <w:spacing w:line="360" w:lineRule="auto"/>
              <w:rPr>
                <w:rFonts w:asciiTheme="minorEastAsia" w:hAnsiTheme="minorEastAsia" w:eastAsiaTheme="minorEastAsia"/>
                <w:kern w:val="0"/>
                <w:szCs w:val="21"/>
              </w:rPr>
            </w:pPr>
            <w:r>
              <w:rPr>
                <w:rFonts w:hint="eastAsia" w:ascii="宋体" w:hAnsi="宋体"/>
                <w:kern w:val="0"/>
                <w:szCs w:val="21"/>
                <w:highlight w:val="yellow"/>
              </w:rPr>
              <w:t>★</w:t>
            </w:r>
            <w:r>
              <w:rPr>
                <w:rFonts w:hint="eastAsia" w:asciiTheme="minorEastAsia" w:hAnsiTheme="minorEastAsia" w:eastAsiaTheme="minorEastAsia"/>
                <w:kern w:val="0"/>
                <w:szCs w:val="21"/>
                <w:highlight w:val="yellow"/>
              </w:rPr>
              <w:t>3.1投标报价必须是完成该项目的一切费用总和，包括设备费、运输费、装卸费、调试费、保险费、售后服务费、国家规定的各项税费等全部费用，未按要求报价的将导致投标无效。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16" w:type="pc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4</w:t>
            </w:r>
          </w:p>
        </w:tc>
        <w:tc>
          <w:tcPr>
            <w:tcW w:w="808" w:type="pct"/>
            <w:vAlign w:val="center"/>
          </w:tcPr>
          <w:p>
            <w:pPr>
              <w:spacing w:line="360" w:lineRule="auto"/>
              <w:jc w:val="center"/>
              <w:rPr>
                <w:rFonts w:asciiTheme="minorEastAsia" w:hAnsiTheme="minorEastAsia" w:eastAsiaTheme="minorEastAsia"/>
                <w:b/>
                <w:bCs/>
                <w:szCs w:val="21"/>
              </w:rPr>
            </w:pPr>
            <w:r>
              <w:rPr>
                <w:rFonts w:hint="eastAsia" w:ascii="宋体" w:hAnsi="宋体"/>
                <w:b/>
                <w:bCs/>
                <w:szCs w:val="21"/>
              </w:rPr>
              <w:t>付款方式</w:t>
            </w:r>
          </w:p>
        </w:tc>
        <w:tc>
          <w:tcPr>
            <w:tcW w:w="3775" w:type="pct"/>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5.1</w:t>
            </w:r>
            <w:r>
              <w:rPr>
                <w:color w:val="000000"/>
                <w:szCs w:val="21"/>
              </w:rPr>
              <w:t>全部货物交货完毕，经</w:t>
            </w:r>
            <w:r>
              <w:rPr>
                <w:rFonts w:hint="eastAsia"/>
                <w:color w:val="000000"/>
                <w:szCs w:val="21"/>
              </w:rPr>
              <w:t>采购人</w:t>
            </w:r>
            <w:r>
              <w:rPr>
                <w:color w:val="000000"/>
                <w:szCs w:val="21"/>
              </w:rPr>
              <w:t>验收合格，同时</w:t>
            </w:r>
            <w:r>
              <w:rPr>
                <w:rFonts w:hint="eastAsia" w:hAnsi="宋体"/>
                <w:szCs w:val="21"/>
              </w:rPr>
              <w:t>中标方</w:t>
            </w:r>
            <w:r>
              <w:rPr>
                <w:rFonts w:hAnsi="宋体"/>
                <w:szCs w:val="21"/>
              </w:rPr>
              <w:t>提供全额发票</w:t>
            </w:r>
            <w:r>
              <w:rPr>
                <w:rFonts w:hint="eastAsia" w:hAnsi="宋体"/>
                <w:szCs w:val="21"/>
              </w:rPr>
              <w:t>后</w:t>
            </w:r>
            <w:r>
              <w:rPr>
                <w:rFonts w:hint="eastAsia"/>
                <w:szCs w:val="21"/>
              </w:rPr>
              <w:t>，</w:t>
            </w:r>
            <w:r>
              <w:rPr>
                <w:rFonts w:hint="eastAsia"/>
                <w:color w:val="000000"/>
                <w:szCs w:val="21"/>
              </w:rPr>
              <w:t>采购人</w:t>
            </w:r>
            <w:r>
              <w:rPr>
                <w:rFonts w:hint="eastAsia"/>
                <w:szCs w:val="21"/>
              </w:rPr>
              <w:t>全额</w:t>
            </w:r>
            <w:r>
              <w:rPr>
                <w:rFonts w:hint="eastAsia" w:asciiTheme="minorEastAsia" w:hAnsiTheme="minorEastAsia" w:eastAsiaTheme="minorEastAsia"/>
                <w:kern w:val="0"/>
                <w:szCs w:val="21"/>
              </w:rPr>
              <w:t>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16" w:type="pct"/>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808" w:type="pct"/>
            <w:vMerge w:val="restart"/>
            <w:vAlign w:val="center"/>
          </w:tcPr>
          <w:p>
            <w:pPr>
              <w:spacing w:line="360" w:lineRule="auto"/>
              <w:jc w:val="center"/>
              <w:rPr>
                <w:rFonts w:ascii="宋体" w:hAnsi="宋体"/>
                <w:b/>
                <w:bCs/>
                <w:szCs w:val="21"/>
              </w:rPr>
            </w:pPr>
          </w:p>
          <w:p>
            <w:pPr>
              <w:spacing w:line="360" w:lineRule="auto"/>
              <w:jc w:val="center"/>
              <w:rPr>
                <w:rFonts w:ascii="宋体" w:hAnsi="宋体"/>
                <w:b/>
                <w:bCs/>
                <w:szCs w:val="21"/>
              </w:rPr>
            </w:pPr>
            <w:r>
              <w:rPr>
                <w:rFonts w:hint="eastAsia" w:ascii="宋体" w:hAnsi="宋体"/>
                <w:b/>
                <w:bCs/>
                <w:szCs w:val="21"/>
              </w:rPr>
              <w:t>验收方式</w:t>
            </w:r>
          </w:p>
          <w:p>
            <w:pPr>
              <w:tabs>
                <w:tab w:val="left" w:pos="1260"/>
              </w:tabs>
              <w:spacing w:line="360" w:lineRule="auto"/>
              <w:jc w:val="center"/>
              <w:rPr>
                <w:rFonts w:asciiTheme="minorEastAsia" w:hAnsiTheme="minorEastAsia" w:eastAsiaTheme="minorEastAsia"/>
                <w:b/>
                <w:bCs/>
                <w:kern w:val="0"/>
                <w:szCs w:val="21"/>
              </w:rPr>
            </w:pPr>
          </w:p>
        </w:tc>
        <w:tc>
          <w:tcPr>
            <w:tcW w:w="3775" w:type="pct"/>
          </w:tcPr>
          <w:p>
            <w:pPr>
              <w:spacing w:line="360" w:lineRule="auto"/>
              <w:rPr>
                <w:rFonts w:asciiTheme="minorEastAsia" w:hAnsiTheme="minorEastAsia" w:eastAsiaTheme="minorEastAsia"/>
                <w:b/>
                <w:szCs w:val="21"/>
              </w:rPr>
            </w:pPr>
            <w:r>
              <w:rPr>
                <w:rFonts w:hint="eastAsia" w:asciiTheme="minorEastAsia" w:hAnsiTheme="minorEastAsia" w:eastAsiaTheme="minorEastAsia"/>
                <w:bCs/>
                <w:kern w:val="0"/>
                <w:szCs w:val="21"/>
              </w:rPr>
              <w:t>6.1</w:t>
            </w:r>
            <w:r>
              <w:rPr>
                <w:rFonts w:hint="eastAsia" w:ascii="宋体" w:hAnsi="宋体"/>
                <w:szCs w:val="21"/>
              </w:rPr>
              <w:t>交货时采购人有权要求中标供应商提供相关合格的原材料、配件及成品检验报告、合格证、进货单等资料，经采购人签字同意后进入验收阶段。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16" w:type="pct"/>
            <w:vMerge w:val="continue"/>
            <w:vAlign w:val="center"/>
          </w:tcPr>
          <w:p>
            <w:pPr>
              <w:spacing w:line="360" w:lineRule="auto"/>
              <w:jc w:val="center"/>
              <w:rPr>
                <w:rFonts w:asciiTheme="minorEastAsia" w:hAnsiTheme="minorEastAsia" w:eastAsiaTheme="minorEastAsia"/>
                <w:b/>
                <w:kern w:val="0"/>
                <w:szCs w:val="21"/>
              </w:rPr>
            </w:pPr>
          </w:p>
        </w:tc>
        <w:tc>
          <w:tcPr>
            <w:tcW w:w="808" w:type="pct"/>
            <w:vMerge w:val="continue"/>
            <w:vAlign w:val="center"/>
          </w:tcPr>
          <w:p>
            <w:pPr>
              <w:tabs>
                <w:tab w:val="left" w:pos="1260"/>
              </w:tabs>
              <w:spacing w:line="360" w:lineRule="auto"/>
              <w:jc w:val="center"/>
              <w:rPr>
                <w:rFonts w:asciiTheme="minorEastAsia" w:hAnsiTheme="minorEastAsia" w:eastAsiaTheme="minorEastAsia"/>
                <w:b/>
                <w:bCs/>
                <w:kern w:val="0"/>
                <w:szCs w:val="21"/>
              </w:rPr>
            </w:pPr>
          </w:p>
        </w:tc>
        <w:tc>
          <w:tcPr>
            <w:tcW w:w="3775" w:type="pct"/>
          </w:tcPr>
          <w:p>
            <w:pPr>
              <w:tabs>
                <w:tab w:val="left" w:pos="1260"/>
              </w:tabs>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6.2</w:t>
            </w:r>
            <w:r>
              <w:rPr>
                <w:rFonts w:hint="eastAsia" w:ascii="宋体" w:hAnsi="宋体"/>
                <w:szCs w:val="21"/>
              </w:rPr>
              <w:t>采购人在中标供应商生产过程中有权抽查、检验生产产品的质量及加工厂地。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416" w:type="pct"/>
            <w:vMerge w:val="continue"/>
            <w:vAlign w:val="center"/>
          </w:tcPr>
          <w:p>
            <w:pPr>
              <w:spacing w:line="360" w:lineRule="auto"/>
              <w:jc w:val="center"/>
              <w:rPr>
                <w:rFonts w:asciiTheme="minorEastAsia" w:hAnsiTheme="minorEastAsia" w:eastAsiaTheme="minorEastAsia"/>
                <w:b/>
                <w:kern w:val="0"/>
                <w:szCs w:val="21"/>
              </w:rPr>
            </w:pPr>
          </w:p>
        </w:tc>
        <w:tc>
          <w:tcPr>
            <w:tcW w:w="808" w:type="pct"/>
            <w:vMerge w:val="continue"/>
            <w:vAlign w:val="center"/>
          </w:tcPr>
          <w:p>
            <w:pPr>
              <w:spacing w:line="360" w:lineRule="auto"/>
              <w:jc w:val="center"/>
              <w:rPr>
                <w:rFonts w:asciiTheme="minorEastAsia" w:hAnsiTheme="minorEastAsia" w:eastAsiaTheme="minorEastAsia"/>
                <w:b/>
                <w:bCs/>
                <w:kern w:val="0"/>
                <w:szCs w:val="21"/>
              </w:rPr>
            </w:pPr>
          </w:p>
        </w:tc>
        <w:tc>
          <w:tcPr>
            <w:tcW w:w="3775" w:type="pct"/>
            <w:vAlign w:val="center"/>
          </w:tcPr>
          <w:p>
            <w:pPr>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w:t>
            </w:r>
            <w:r>
              <w:rPr>
                <w:rFonts w:hint="eastAsia" w:ascii="宋体" w:hAnsi="宋体"/>
                <w:szCs w:val="21"/>
              </w:rPr>
              <w:t>出现质量问题或不合格等情况予以返修或调换。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416" w:type="pct"/>
            <w:vMerge w:val="continue"/>
            <w:vAlign w:val="center"/>
          </w:tcPr>
          <w:p>
            <w:pPr>
              <w:spacing w:line="360" w:lineRule="auto"/>
              <w:jc w:val="center"/>
              <w:rPr>
                <w:rFonts w:asciiTheme="minorEastAsia" w:hAnsiTheme="minorEastAsia" w:eastAsiaTheme="minorEastAsia"/>
                <w:b/>
                <w:szCs w:val="21"/>
              </w:rPr>
            </w:pPr>
          </w:p>
        </w:tc>
        <w:tc>
          <w:tcPr>
            <w:tcW w:w="808" w:type="pct"/>
            <w:vMerge w:val="continue"/>
            <w:vAlign w:val="center"/>
          </w:tcPr>
          <w:p>
            <w:pPr>
              <w:spacing w:line="360" w:lineRule="auto"/>
              <w:jc w:val="center"/>
              <w:rPr>
                <w:rFonts w:asciiTheme="minorEastAsia" w:hAnsiTheme="minorEastAsia" w:eastAsiaTheme="minorEastAsia"/>
                <w:b/>
                <w:bCs/>
                <w:kern w:val="0"/>
                <w:szCs w:val="21"/>
              </w:rPr>
            </w:pPr>
          </w:p>
        </w:tc>
        <w:tc>
          <w:tcPr>
            <w:tcW w:w="3775" w:type="pct"/>
            <w:vAlign w:val="center"/>
          </w:tcPr>
          <w:p>
            <w:pPr>
              <w:tabs>
                <w:tab w:val="left" w:pos="1260"/>
              </w:tabs>
              <w:spacing w:line="360" w:lineRule="auto"/>
              <w:jc w:val="left"/>
              <w:rPr>
                <w:rFonts w:asciiTheme="minorEastAsia" w:hAnsiTheme="minorEastAsia" w:eastAsiaTheme="minorEastAsia"/>
                <w:bCs/>
                <w:szCs w:val="21"/>
              </w:rPr>
            </w:pPr>
            <w:r>
              <w:rPr>
                <w:rFonts w:hint="eastAsia" w:ascii="宋体" w:hAnsi="宋体"/>
                <w:szCs w:val="21"/>
              </w:rPr>
              <w:t>6.4中标供应商货物经过双方检验认可后，签署验收报告，产品保修期自验收合格之日起算，由中标供应商提供产品保修文件。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416" w:type="pct"/>
            <w:vMerge w:val="continue"/>
            <w:vAlign w:val="center"/>
          </w:tcPr>
          <w:p>
            <w:pPr>
              <w:spacing w:line="360" w:lineRule="auto"/>
              <w:jc w:val="center"/>
              <w:rPr>
                <w:rFonts w:asciiTheme="minorEastAsia" w:hAnsiTheme="minorEastAsia" w:eastAsiaTheme="minorEastAsia"/>
                <w:b/>
                <w:szCs w:val="21"/>
              </w:rPr>
            </w:pPr>
          </w:p>
        </w:tc>
        <w:tc>
          <w:tcPr>
            <w:tcW w:w="808" w:type="pct"/>
            <w:vMerge w:val="continue"/>
            <w:vAlign w:val="center"/>
          </w:tcPr>
          <w:p>
            <w:pPr>
              <w:tabs>
                <w:tab w:val="left" w:pos="1260"/>
              </w:tabs>
              <w:spacing w:line="360" w:lineRule="auto"/>
              <w:jc w:val="center"/>
              <w:rPr>
                <w:rFonts w:asciiTheme="minorEastAsia" w:hAnsiTheme="minorEastAsia" w:eastAsiaTheme="minorEastAsia"/>
                <w:b/>
                <w:bCs/>
                <w:kern w:val="0"/>
                <w:szCs w:val="21"/>
              </w:rPr>
            </w:pPr>
          </w:p>
        </w:tc>
        <w:tc>
          <w:tcPr>
            <w:tcW w:w="3775" w:type="pct"/>
          </w:tcPr>
          <w:p>
            <w:pPr>
              <w:spacing w:line="360" w:lineRule="auto"/>
              <w:jc w:val="left"/>
              <w:rPr>
                <w:rFonts w:ascii="宋体" w:hAnsi="宋体"/>
                <w:szCs w:val="21"/>
              </w:rPr>
            </w:pPr>
            <w:r>
              <w:rPr>
                <w:rFonts w:hint="eastAsia" w:asciiTheme="minorEastAsia" w:hAnsiTheme="minorEastAsia" w:eastAsiaTheme="minorEastAsia"/>
                <w:bCs/>
                <w:kern w:val="0"/>
                <w:szCs w:val="21"/>
              </w:rPr>
              <w:t>6.5</w:t>
            </w:r>
            <w:r>
              <w:rPr>
                <w:rFonts w:hint="eastAsia" w:ascii="宋体" w:hAnsi="宋体"/>
                <w:szCs w:val="21"/>
              </w:rPr>
              <w:t>当满足以下条件时，采购人才向中标供应商签发货物验收报告。</w:t>
            </w:r>
          </w:p>
          <w:p>
            <w:pPr>
              <w:spacing w:line="360" w:lineRule="auto"/>
              <w:jc w:val="left"/>
              <w:rPr>
                <w:rFonts w:ascii="宋体" w:hAnsi="宋体"/>
                <w:szCs w:val="21"/>
              </w:rPr>
            </w:pPr>
            <w:r>
              <w:rPr>
                <w:rFonts w:hint="eastAsia" w:ascii="宋体" w:hAnsi="宋体"/>
                <w:szCs w:val="21"/>
              </w:rPr>
              <w:t>（1）中标供应商已按照合同规定提供了全部产品及完整的技术资料。</w:t>
            </w:r>
          </w:p>
          <w:p>
            <w:pPr>
              <w:spacing w:line="360" w:lineRule="auto"/>
              <w:jc w:val="left"/>
              <w:rPr>
                <w:rFonts w:ascii="宋体" w:hAnsi="宋体"/>
                <w:szCs w:val="21"/>
              </w:rPr>
            </w:pPr>
            <w:r>
              <w:rPr>
                <w:rFonts w:hint="eastAsia" w:ascii="宋体" w:hAnsi="宋体"/>
                <w:szCs w:val="21"/>
              </w:rPr>
              <w:t>（2）货物符合征集文件技术规格书的要求，性能满足要求。</w:t>
            </w:r>
          </w:p>
          <w:p>
            <w:pPr>
              <w:spacing w:line="360" w:lineRule="auto"/>
              <w:jc w:val="left"/>
              <w:rPr>
                <w:rFonts w:asciiTheme="minorEastAsia" w:hAnsiTheme="minorEastAsia" w:eastAsiaTheme="minorEastAsia"/>
                <w:bCs/>
                <w:kern w:val="0"/>
                <w:szCs w:val="21"/>
              </w:rPr>
            </w:pPr>
            <w:r>
              <w:rPr>
                <w:rFonts w:hint="eastAsia" w:ascii="宋体" w:hAnsi="宋体"/>
                <w:szCs w:val="21"/>
              </w:rPr>
              <w:t>（3）货物具备产品合格证。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16" w:type="pc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c>
          <w:tcPr>
            <w:tcW w:w="808" w:type="pct"/>
            <w:vAlign w:val="center"/>
          </w:tcPr>
          <w:p>
            <w:pPr>
              <w:spacing w:line="360" w:lineRule="auto"/>
              <w:jc w:val="center"/>
              <w:rPr>
                <w:rFonts w:asciiTheme="minorEastAsia" w:hAnsiTheme="minorEastAsia" w:eastAsiaTheme="minorEastAsia"/>
                <w:b/>
                <w:bCs/>
                <w:kern w:val="0"/>
                <w:szCs w:val="21"/>
              </w:rPr>
            </w:pPr>
            <w:r>
              <w:rPr>
                <w:rFonts w:hint="eastAsia" w:ascii="宋体" w:hAnsi="宋体"/>
                <w:b/>
                <w:bCs/>
                <w:szCs w:val="21"/>
              </w:rPr>
              <w:t>包装及运输要求</w:t>
            </w:r>
          </w:p>
        </w:tc>
        <w:tc>
          <w:tcPr>
            <w:tcW w:w="3775" w:type="pct"/>
            <w:vAlign w:val="center"/>
          </w:tcPr>
          <w:p>
            <w:pPr>
              <w:spacing w:line="360" w:lineRule="auto"/>
              <w:jc w:val="left"/>
              <w:rPr>
                <w:rFonts w:asciiTheme="minorEastAsia" w:hAnsiTheme="minorEastAsia" w:eastAsiaTheme="minorEastAsia"/>
                <w:bCs/>
                <w:szCs w:val="21"/>
              </w:rPr>
            </w:pPr>
            <w:r>
              <w:rPr>
                <w:rFonts w:hint="eastAsia" w:asciiTheme="minorEastAsia" w:hAnsiTheme="minorEastAsia" w:eastAsiaTheme="minorEastAsia"/>
                <w:bCs/>
                <w:szCs w:val="21"/>
              </w:rPr>
              <w:t>7.1</w:t>
            </w:r>
            <w:r>
              <w:rPr>
                <w:rFonts w:hint="eastAsia" w:ascii="宋体" w:hAnsi="宋体"/>
                <w:szCs w:val="21"/>
              </w:rPr>
              <w:t>本次采购的设备和材料必须是全新的，所有设备运输到达施工场地时的包装必须是原厂完整的。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16" w:type="pct"/>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8</w:t>
            </w:r>
          </w:p>
        </w:tc>
        <w:tc>
          <w:tcPr>
            <w:tcW w:w="808" w:type="pct"/>
            <w:vMerge w:val="restart"/>
            <w:vAlign w:val="center"/>
          </w:tcPr>
          <w:p>
            <w:pPr>
              <w:spacing w:line="360" w:lineRule="auto"/>
              <w:jc w:val="center"/>
              <w:rPr>
                <w:rFonts w:asciiTheme="minorEastAsia" w:hAnsiTheme="minorEastAsia" w:eastAsiaTheme="minorEastAsia"/>
                <w:b/>
                <w:bCs/>
                <w:kern w:val="0"/>
                <w:szCs w:val="21"/>
              </w:rPr>
            </w:pPr>
            <w:r>
              <w:rPr>
                <w:rFonts w:hint="eastAsia" w:ascii="宋体" w:hAnsi="宋体"/>
                <w:b/>
                <w:bCs/>
                <w:szCs w:val="21"/>
              </w:rPr>
              <w:t>售后服务</w:t>
            </w:r>
          </w:p>
        </w:tc>
        <w:tc>
          <w:tcPr>
            <w:tcW w:w="3775" w:type="pct"/>
            <w:vAlign w:val="center"/>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8.1</w:t>
            </w:r>
            <w:r>
              <w:rPr>
                <w:rFonts w:hint="eastAsia" w:ascii="宋体" w:hAnsi="宋体"/>
                <w:szCs w:val="21"/>
              </w:rPr>
              <w:t>提供详细的售后服务方案及故障响应方案等。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16" w:type="pct"/>
            <w:vMerge w:val="continue"/>
            <w:vAlign w:val="center"/>
          </w:tcPr>
          <w:p>
            <w:pPr>
              <w:spacing w:line="360" w:lineRule="auto"/>
              <w:jc w:val="center"/>
              <w:rPr>
                <w:rFonts w:asciiTheme="minorEastAsia" w:hAnsiTheme="minorEastAsia" w:eastAsiaTheme="minorEastAsia"/>
                <w:b/>
                <w:szCs w:val="21"/>
              </w:rPr>
            </w:pPr>
          </w:p>
        </w:tc>
        <w:tc>
          <w:tcPr>
            <w:tcW w:w="808" w:type="pct"/>
            <w:vMerge w:val="continue"/>
            <w:vAlign w:val="center"/>
          </w:tcPr>
          <w:p>
            <w:pPr>
              <w:spacing w:line="360" w:lineRule="auto"/>
              <w:jc w:val="center"/>
              <w:rPr>
                <w:rFonts w:ascii="宋体" w:hAnsi="宋体"/>
                <w:szCs w:val="21"/>
              </w:rPr>
            </w:pPr>
          </w:p>
        </w:tc>
        <w:tc>
          <w:tcPr>
            <w:tcW w:w="3775" w:type="pct"/>
            <w:vAlign w:val="center"/>
          </w:tcPr>
          <w:p>
            <w:pPr>
              <w:spacing w:line="360" w:lineRule="auto"/>
              <w:rPr>
                <w:rFonts w:asciiTheme="minorEastAsia" w:hAnsiTheme="minorEastAsia" w:eastAsiaTheme="minorEastAsia"/>
                <w:bCs/>
                <w:szCs w:val="21"/>
              </w:rPr>
            </w:pPr>
            <w:r>
              <w:rPr>
                <w:rFonts w:hint="eastAsia" w:ascii="宋体" w:hAnsi="宋体"/>
                <w:kern w:val="0"/>
                <w:szCs w:val="21"/>
                <w:highlight w:val="yellow"/>
              </w:rPr>
              <w:t>★</w:t>
            </w:r>
            <w:r>
              <w:rPr>
                <w:rFonts w:hint="eastAsia" w:asciiTheme="minorEastAsia" w:hAnsiTheme="minorEastAsia" w:eastAsiaTheme="minorEastAsia"/>
                <w:bCs/>
                <w:szCs w:val="21"/>
                <w:highlight w:val="yellow"/>
              </w:rPr>
              <w:t>8.2</w:t>
            </w:r>
            <w:r>
              <w:rPr>
                <w:rFonts w:hint="eastAsia" w:ascii="宋体" w:hAnsi="宋体"/>
                <w:b/>
                <w:szCs w:val="21"/>
                <w:highlight w:val="yellow"/>
              </w:rPr>
              <w:t>本项目免费质保期不少于</w:t>
            </w:r>
            <w:r>
              <w:rPr>
                <w:rFonts w:hint="eastAsia" w:ascii="宋体" w:hAnsi="宋体"/>
                <w:b/>
                <w:szCs w:val="21"/>
                <w:highlight w:val="yellow"/>
                <w:u w:val="single"/>
              </w:rPr>
              <w:t xml:space="preserve"> 2 </w:t>
            </w:r>
            <w:r>
              <w:rPr>
                <w:rFonts w:hint="eastAsia" w:ascii="宋体" w:hAnsi="宋体"/>
                <w:b/>
                <w:szCs w:val="21"/>
                <w:highlight w:val="yellow"/>
              </w:rPr>
              <w:t>年，自验收合格之日起开始计算，终身维护。在质保期内，设备零配件及其维修、人工等有关费用全免。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16" w:type="pct"/>
            <w:vMerge w:val="continue"/>
            <w:vAlign w:val="center"/>
          </w:tcPr>
          <w:p>
            <w:pPr>
              <w:spacing w:line="360" w:lineRule="auto"/>
              <w:jc w:val="center"/>
              <w:rPr>
                <w:rFonts w:asciiTheme="minorEastAsia" w:hAnsiTheme="minorEastAsia" w:eastAsiaTheme="minorEastAsia"/>
                <w:b/>
                <w:szCs w:val="21"/>
              </w:rPr>
            </w:pPr>
          </w:p>
        </w:tc>
        <w:tc>
          <w:tcPr>
            <w:tcW w:w="808" w:type="pct"/>
            <w:vMerge w:val="continue"/>
            <w:vAlign w:val="center"/>
          </w:tcPr>
          <w:p>
            <w:pPr>
              <w:spacing w:line="360" w:lineRule="auto"/>
              <w:jc w:val="center"/>
              <w:rPr>
                <w:rFonts w:ascii="宋体" w:hAnsi="宋体"/>
                <w:szCs w:val="21"/>
              </w:rPr>
            </w:pPr>
          </w:p>
        </w:tc>
        <w:tc>
          <w:tcPr>
            <w:tcW w:w="3775" w:type="pct"/>
            <w:vAlign w:val="center"/>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8.3</w:t>
            </w:r>
            <w:r>
              <w:rPr>
                <w:rFonts w:hint="eastAsia" w:ascii="宋体" w:hAnsi="宋体"/>
                <w:szCs w:val="21"/>
              </w:rPr>
              <w:t>备品备件：要求中标供应商有可靠的售后服务保障，并具有固定的维修服务点、能够提供正常的技术、备品备件服务。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16" w:type="pct"/>
            <w:vMerge w:val="continue"/>
            <w:vAlign w:val="center"/>
          </w:tcPr>
          <w:p>
            <w:pPr>
              <w:spacing w:line="360" w:lineRule="auto"/>
              <w:jc w:val="center"/>
              <w:rPr>
                <w:rFonts w:asciiTheme="minorEastAsia" w:hAnsiTheme="minorEastAsia" w:eastAsiaTheme="minorEastAsia"/>
                <w:b/>
                <w:szCs w:val="21"/>
              </w:rPr>
            </w:pPr>
          </w:p>
        </w:tc>
        <w:tc>
          <w:tcPr>
            <w:tcW w:w="808" w:type="pct"/>
            <w:vMerge w:val="continue"/>
            <w:vAlign w:val="center"/>
          </w:tcPr>
          <w:p>
            <w:pPr>
              <w:spacing w:line="360" w:lineRule="auto"/>
              <w:jc w:val="center"/>
              <w:rPr>
                <w:rFonts w:ascii="宋体" w:hAnsi="宋体"/>
                <w:szCs w:val="21"/>
              </w:rPr>
            </w:pPr>
          </w:p>
        </w:tc>
        <w:tc>
          <w:tcPr>
            <w:tcW w:w="3775" w:type="pct"/>
            <w:vAlign w:val="center"/>
          </w:tcPr>
          <w:p>
            <w:pPr>
              <w:spacing w:line="360" w:lineRule="auto"/>
              <w:jc w:val="left"/>
              <w:rPr>
                <w:rFonts w:asciiTheme="minorEastAsia" w:hAnsiTheme="minorEastAsia" w:eastAsiaTheme="minorEastAsia"/>
                <w:bCs/>
                <w:szCs w:val="21"/>
              </w:rPr>
            </w:pPr>
            <w:r>
              <w:rPr>
                <w:rFonts w:hint="eastAsia" w:asciiTheme="minorEastAsia" w:hAnsiTheme="minorEastAsia" w:eastAsiaTheme="minorEastAsia"/>
                <w:bCs/>
                <w:szCs w:val="21"/>
              </w:rPr>
              <w:t>8.4</w:t>
            </w:r>
            <w:r>
              <w:rPr>
                <w:rFonts w:hint="eastAsia" w:ascii="宋体" w:hAnsi="宋体"/>
                <w:szCs w:val="21"/>
              </w:rPr>
              <w:t>技术文件：随同设备提供完整的使用及安装、调试、维修手册等技术资料。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16" w:type="pct"/>
            <w:vMerge w:val="continue"/>
            <w:vAlign w:val="center"/>
          </w:tcPr>
          <w:p>
            <w:pPr>
              <w:spacing w:line="360" w:lineRule="auto"/>
              <w:jc w:val="center"/>
              <w:rPr>
                <w:rFonts w:asciiTheme="minorEastAsia" w:hAnsiTheme="minorEastAsia" w:eastAsiaTheme="minorEastAsia"/>
                <w:b/>
                <w:szCs w:val="21"/>
              </w:rPr>
            </w:pPr>
          </w:p>
        </w:tc>
        <w:tc>
          <w:tcPr>
            <w:tcW w:w="808" w:type="pct"/>
            <w:vMerge w:val="continue"/>
            <w:vAlign w:val="center"/>
          </w:tcPr>
          <w:p>
            <w:pPr>
              <w:spacing w:line="360" w:lineRule="auto"/>
              <w:jc w:val="center"/>
              <w:rPr>
                <w:rFonts w:ascii="宋体" w:hAnsi="宋体"/>
                <w:szCs w:val="21"/>
              </w:rPr>
            </w:pPr>
          </w:p>
        </w:tc>
        <w:tc>
          <w:tcPr>
            <w:tcW w:w="3775" w:type="pct"/>
            <w:vAlign w:val="center"/>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8.5</w:t>
            </w:r>
            <w:r>
              <w:rPr>
                <w:rFonts w:hint="eastAsia" w:ascii="宋体" w:hAnsi="宋体"/>
                <w:szCs w:val="21"/>
              </w:rPr>
              <w:t>响应时间：服务响应时间为1小时，紧急情况下赶到现场不应超过2小时，1天内解决故障。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16" w:type="pct"/>
            <w:vMerge w:val="continue"/>
            <w:vAlign w:val="center"/>
          </w:tcPr>
          <w:p>
            <w:pPr>
              <w:spacing w:line="360" w:lineRule="auto"/>
              <w:jc w:val="center"/>
              <w:rPr>
                <w:rFonts w:asciiTheme="minorEastAsia" w:hAnsiTheme="minorEastAsia" w:eastAsiaTheme="minorEastAsia"/>
                <w:b/>
                <w:szCs w:val="21"/>
              </w:rPr>
            </w:pPr>
          </w:p>
        </w:tc>
        <w:tc>
          <w:tcPr>
            <w:tcW w:w="808" w:type="pct"/>
            <w:vMerge w:val="continue"/>
            <w:vAlign w:val="center"/>
          </w:tcPr>
          <w:p>
            <w:pPr>
              <w:spacing w:line="360" w:lineRule="auto"/>
              <w:jc w:val="center"/>
              <w:rPr>
                <w:rFonts w:ascii="宋体" w:hAnsi="宋体"/>
                <w:szCs w:val="21"/>
              </w:rPr>
            </w:pPr>
          </w:p>
        </w:tc>
        <w:tc>
          <w:tcPr>
            <w:tcW w:w="3775" w:type="pct"/>
            <w:vAlign w:val="center"/>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8.6</w:t>
            </w:r>
            <w:r>
              <w:rPr>
                <w:rFonts w:hint="eastAsia" w:ascii="宋体" w:hAnsi="宋体"/>
                <w:szCs w:val="21"/>
              </w:rPr>
              <w:t>中标供应商需提供质保期内，每年不少于2次装备上门养护服务，并由采购人确认。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16" w:type="pc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9</w:t>
            </w:r>
          </w:p>
        </w:tc>
        <w:tc>
          <w:tcPr>
            <w:tcW w:w="808" w:type="pct"/>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其他</w:t>
            </w:r>
          </w:p>
        </w:tc>
        <w:tc>
          <w:tcPr>
            <w:tcW w:w="3775" w:type="pct"/>
            <w:vAlign w:val="center"/>
          </w:tcPr>
          <w:p>
            <w:pPr>
              <w:spacing w:line="360" w:lineRule="auto"/>
              <w:rPr>
                <w:rFonts w:asciiTheme="minorEastAsia" w:hAnsiTheme="minorEastAsia" w:eastAsiaTheme="minorEastAsia"/>
                <w:b/>
                <w:szCs w:val="21"/>
              </w:rPr>
            </w:pPr>
            <w:r>
              <w:rPr>
                <w:rFonts w:hint="eastAsia" w:asciiTheme="minorEastAsia" w:hAnsiTheme="minorEastAsia" w:eastAsiaTheme="minorEastAsia"/>
                <w:bCs/>
                <w:szCs w:val="21"/>
              </w:rPr>
              <w:t>9.1投标供应商应按其投标文件中的承诺，进行其他售后服务工作。</w:t>
            </w:r>
          </w:p>
        </w:tc>
      </w:tr>
    </w:tbl>
    <w:p>
      <w:pPr>
        <w:widowControl/>
        <w:jc w:val="left"/>
      </w:pPr>
    </w:p>
    <w:p>
      <w:pPr>
        <w:spacing w:line="360" w:lineRule="auto"/>
        <w:rPr>
          <w:rFonts w:ascii="宋体" w:hAnsi="宋体"/>
          <w:b/>
          <w:bCs/>
          <w:snapToGrid w:val="0"/>
          <w:kern w:val="0"/>
          <w:sz w:val="24"/>
        </w:rPr>
      </w:pPr>
    </w:p>
    <w:p/>
    <w:p/>
    <w:p>
      <w:pPr>
        <w:pStyle w:val="4"/>
      </w:pPr>
    </w:p>
    <w:p>
      <w:pPr>
        <w:widowControl/>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第三部分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投标文件格式</w:t>
      </w:r>
    </w:p>
    <w:p>
      <w:pP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br w:type="page"/>
      </w:r>
    </w:p>
    <w:p>
      <w:pPr>
        <w:widowControl/>
        <w:jc w:val="left"/>
        <w:rPr>
          <w:rFonts w:cs="仿宋" w:asciiTheme="minorEastAsia" w:hAnsiTheme="minorEastAsia" w:eastAsiaTheme="minorEastAsia"/>
        </w:rPr>
      </w:pPr>
    </w:p>
    <w:p>
      <w:pPr>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投标文件格式</w:t>
      </w:r>
    </w:p>
    <w:tbl>
      <w:tblPr>
        <w:tblStyle w:val="17"/>
        <w:tblpPr w:leftFromText="180" w:rightFromText="180" w:vertAnchor="text" w:horzAnchor="page" w:tblpX="1785" w:tblpY="301"/>
        <w:tblOverlap w:val="never"/>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spacing w:line="360" w:lineRule="auto"/>
              <w:rPr>
                <w:rFonts w:asciiTheme="minorEastAsia" w:hAnsiTheme="minorEastAsia" w:eastAsiaTheme="minorEastAsia"/>
              </w:rPr>
            </w:pPr>
            <w:r>
              <w:rPr>
                <w:rFonts w:hint="eastAsia" w:cs="仿宋" w:asciiTheme="minorEastAsia" w:hAnsiTheme="minorEastAsia" w:eastAsiaTheme="minorEastAsia"/>
                <w:sz w:val="24"/>
              </w:rPr>
              <w:t>一、投标文件目录（自拟）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二、政府采购违法行为风险知悉确认书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三、评审指引表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四、声明函（格式1）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五、投标供应商资格证明文件（格式2）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六、评分中涉及的承诺及声明函（格式3）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七、开标一览表（格式4）</w:t>
            </w:r>
          </w:p>
          <w:p>
            <w:pPr>
              <w:widowControl/>
              <w:spacing w:line="360" w:lineRule="auto"/>
              <w:rPr>
                <w:rFonts w:cs="仿宋" w:asciiTheme="minorEastAsia" w:hAnsiTheme="minorEastAsia" w:eastAsiaTheme="minorEastAsia"/>
                <w:b/>
                <w:color w:val="FF0000"/>
                <w:sz w:val="24"/>
              </w:rPr>
            </w:pP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b/>
                <w:color w:val="FF0000"/>
              </w:rPr>
              <w:t>注：此表应与“法定代表人（负责人）证明书、法定代表人（负责人）授权委托书”一起密封于一信封，在递交投标文件时单独交与采购代理机构。（如法定代表人递交，则无需法定代表人（负责人）授权委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八、报价表（格式5）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九、技术规格（格式6）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十、交付进度（格式7）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十一、售后服务和质量承诺（格式8）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十二、偏离表（格式9）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十三、其他征集文件要求的资料或投标供应商认为需要补充的资料（格式10）</w:t>
            </w:r>
          </w:p>
        </w:tc>
      </w:tr>
    </w:tbl>
    <w:p>
      <w:pPr>
        <w:rPr>
          <w:rFonts w:cs="仿宋" w:asciiTheme="minorEastAsia" w:hAnsiTheme="minorEastAsia" w:eastAsiaTheme="minorEastAsia"/>
        </w:rPr>
      </w:pPr>
    </w:p>
    <w:p>
      <w:pPr>
        <w:rPr>
          <w:rFonts w:cs="仿宋" w:asciiTheme="minorEastAsia" w:hAnsiTheme="minorEastAsia" w:eastAsiaTheme="minorEastAsia"/>
        </w:rPr>
      </w:pPr>
    </w:p>
    <w:p>
      <w:pPr>
        <w:jc w:val="left"/>
        <w:rPr>
          <w:rFonts w:cs="仿宋" w:asciiTheme="minorEastAsia" w:hAnsiTheme="minorEastAsia" w:eastAsiaTheme="minorEastAsia"/>
        </w:rPr>
      </w:pPr>
      <w:r>
        <w:rPr>
          <w:rFonts w:hint="eastAsia" w:cs="仿宋" w:asciiTheme="minorEastAsia" w:hAnsiTheme="minorEastAsia" w:eastAsiaTheme="minorEastAsia"/>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b/>
          <w:sz w:val="56"/>
          <w:szCs w:val="56"/>
        </w:rPr>
      </w:pPr>
      <w:r>
        <w:rPr>
          <w:rFonts w:hint="eastAsia" w:cs="仿宋" w:asciiTheme="minorEastAsia" w:hAnsiTheme="minorEastAsia" w:eastAsiaTheme="minorEastAsia"/>
          <w:b/>
          <w:sz w:val="56"/>
          <w:szCs w:val="56"/>
        </w:rPr>
        <w:t>投 标 文 件</w:t>
      </w: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（正本/副本）</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tbl>
      <w:tblPr>
        <w:tblStyle w:val="1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项 目 名 称：</w:t>
            </w:r>
          </w:p>
        </w:tc>
        <w:tc>
          <w:tcPr>
            <w:tcW w:w="4774" w:type="dxa"/>
            <w:vAlign w:val="center"/>
          </w:tcPr>
          <w:p>
            <w:pPr>
              <w:widowControl/>
              <w:spacing w:line="48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法定代表人：</w:t>
            </w:r>
          </w:p>
          <w:p>
            <w:pPr>
              <w:widowControl/>
              <w:spacing w:line="276"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（授权代理人）</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投标供应商：</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日       期：</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bl>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keepNext/>
        <w:keepLines/>
        <w:spacing w:before="260" w:after="260" w:line="400" w:lineRule="exact"/>
        <w:jc w:val="center"/>
        <w:outlineLvl w:val="1"/>
        <w:rPr>
          <w:rFonts w:asciiTheme="minorEastAsia" w:hAnsiTheme="minorEastAsia" w:eastAsiaTheme="minorEastAsia"/>
          <w:b/>
          <w:bCs/>
          <w:sz w:val="28"/>
          <w:szCs w:val="32"/>
        </w:rPr>
      </w:pPr>
      <w:bookmarkStart w:id="4" w:name="_Toc110410380"/>
      <w:r>
        <w:rPr>
          <w:rFonts w:hint="eastAsia" w:asciiTheme="minorEastAsia" w:hAnsiTheme="minorEastAsia" w:eastAsiaTheme="minorEastAsia"/>
          <w:b/>
          <w:bCs/>
          <w:sz w:val="28"/>
          <w:szCs w:val="32"/>
        </w:rPr>
        <w:t>政府采购违法行为风险知悉确认书</w:t>
      </w:r>
      <w:bookmarkEnd w:id="4"/>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一、本公司已充分知悉“隐瞒真实情况，提供虚假资料”的法定情形，相关情形包括但不限于：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（一）通过转让或者租借等方式从其他单位获取资格或者资质证书投标的。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（二）由其他单位或者其他单位负责人在投标供应商编制的投标文件上加盖印章或者签字的。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（三）项目负责人或者主要技术人员不是本单位人员的。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（四）投标保证金不是从投标供应商基本账户转出的。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（五）其他隐瞒真实情况、提供虚假资料的行为。</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二、本公司已充分知悉“与其他采购参加人串通投标”的法定情形，相关情形包括但不限于：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（一）投标供应商之间相互约定给予未中标的供应商利益补偿。</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（三）不同投标供应商的投标文件由同一单位或者同一人编制，或者由同一人分阶段参与编制的。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（四）不同投标供应商的投标文件或部分投标文件相互混装。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（五）不同投标供应商的投标文件内容存在非正常一致。</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（六）由同一单位工作人员为两家以上（含两家）供应商进行同一项投标活动的。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（七）不同投标人的投标报价呈规律性差异。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（八）不同投标人的投标保证金从同一单位或者个人的账户转出。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（九）主管部门依照法律、法规认定的其他情形。</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三、本公司已充分知悉下列情形所对应的法律风险，并在投标前已对相关风险事项进行排查。</w:t>
      </w:r>
    </w:p>
    <w:p>
      <w:pPr>
        <w:spacing w:line="360" w:lineRule="auto"/>
        <w:ind w:firstLine="420" w:firstLineChars="200"/>
        <w:rPr>
          <w:rFonts w:asciiTheme="minorEastAsia" w:hAnsiTheme="minorEastAsia" w:eastAsiaTheme="minorEastAsia"/>
          <w:b/>
          <w:szCs w:val="21"/>
        </w:rPr>
      </w:pPr>
      <w:r>
        <w:rPr>
          <w:rFonts w:hint="eastAsia" w:asciiTheme="minorEastAsia" w:hAnsiTheme="minorEastAsia" w:eastAsiaTheme="minorEastAsia"/>
          <w:szCs w:val="21"/>
        </w:rPr>
        <w:t>（一）对于从其他主体获取的投标资料，供应商应审慎核查，确保投标资料的真实性。</w:t>
      </w:r>
      <w:r>
        <w:rPr>
          <w:rFonts w:hint="eastAsia" w:asciiTheme="minorEastAsia" w:hAnsiTheme="minorEastAsia" w:eastAsiaTheme="minorEastAsia"/>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四、本公司已充分知悉政府采购违法、违规行为的法律后果。</w:t>
      </w:r>
      <w:r>
        <w:rPr>
          <w:rFonts w:hint="eastAsia" w:asciiTheme="minorEastAsia" w:hAnsiTheme="minorEastAsia" w:eastAsiaTheme="minorEastAsia"/>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ind w:firstLine="420" w:firstLineChars="200"/>
        <w:rPr>
          <w:rFonts w:asciiTheme="minorEastAsia" w:hAnsiTheme="minorEastAsia" w:eastAsiaTheme="minorEastAsia"/>
          <w:szCs w:val="21"/>
          <w:u w:val="single"/>
        </w:rPr>
      </w:pP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负责人</w:t>
      </w:r>
      <w:r>
        <w:rPr>
          <w:rFonts w:asciiTheme="minorEastAsia" w:hAnsiTheme="minorEastAsia" w:eastAsiaTheme="minorEastAsia"/>
          <w:szCs w:val="21"/>
        </w:rPr>
        <w:t>/</w:t>
      </w:r>
      <w:r>
        <w:rPr>
          <w:rFonts w:hint="eastAsia" w:asciiTheme="minorEastAsia" w:hAnsiTheme="minorEastAsia" w:eastAsiaTheme="minorEastAsia"/>
          <w:szCs w:val="21"/>
        </w:rPr>
        <w:t>投标授权代表签名：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知悉人（公章）：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日期：</w:t>
      </w:r>
    </w:p>
    <w:p>
      <w:pPr>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评审指引表</w:t>
      </w:r>
    </w:p>
    <w:p>
      <w:pPr>
        <w:ind w:left="424" w:leftChars="202" w:firstLine="424" w:firstLineChars="202"/>
        <w:rPr>
          <w:rFonts w:cs="仿宋" w:asciiTheme="minorEastAsia" w:hAnsiTheme="minorEastAsia" w:eastAsiaTheme="minorEastAsia"/>
        </w:rPr>
      </w:pPr>
    </w:p>
    <w:p>
      <w:pPr>
        <w:ind w:left="424" w:leftChars="202" w:right="792" w:rightChars="377" w:firstLine="424" w:firstLineChars="202"/>
        <w:rPr>
          <w:rFonts w:cs="仿宋" w:asciiTheme="minorEastAsia" w:hAnsiTheme="minorEastAsia" w:eastAsiaTheme="minorEastAsia"/>
          <w:sz w:val="22"/>
        </w:rPr>
      </w:pPr>
      <w:r>
        <w:rPr>
          <w:rFonts w:hint="eastAsia" w:cs="仿宋" w:asciiTheme="minorEastAsia" w:hAnsiTheme="minorEastAsia" w:eastAsiaTheme="minorEastAsia"/>
        </w:rPr>
        <w:t>为方便参与该项目的评委专家的评审，快速找到评审事项与该项目投标文件所对应的位置，请投标供应商参照下表格式，编制本项目评审指引表。</w:t>
      </w:r>
    </w:p>
    <w:p>
      <w:pPr>
        <w:ind w:left="424" w:leftChars="202" w:right="792" w:rightChars="377" w:firstLine="444" w:firstLineChars="202"/>
        <w:rPr>
          <w:rFonts w:cs="仿宋" w:asciiTheme="minorEastAsia" w:hAnsiTheme="minorEastAsia" w:eastAsiaTheme="minorEastAsia"/>
          <w:sz w:val="22"/>
        </w:rPr>
      </w:pPr>
    </w:p>
    <w:tbl>
      <w:tblPr>
        <w:tblStyle w:val="1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0"/>
        <w:gridCol w:w="3544"/>
        <w:gridCol w:w="1559"/>
        <w:gridCol w:w="1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38" w:type="dxa"/>
            <w:gridSpan w:val="4"/>
            <w:shd w:val="clear" w:color="auto" w:fill="C6D9F0" w:themeFill="text2" w:themeFillTint="33"/>
            <w:vAlign w:val="center"/>
          </w:tcPr>
          <w:p>
            <w:pPr>
              <w:spacing w:line="360" w:lineRule="auto"/>
              <w:jc w:val="center"/>
              <w:rPr>
                <w:rFonts w:cs="仿宋" w:asciiTheme="minorEastAsia" w:hAnsiTheme="minorEastAsia" w:eastAsiaTheme="minorEastAsia"/>
                <w:b/>
                <w:sz w:val="22"/>
              </w:rPr>
            </w:pPr>
            <w:r>
              <w:rPr>
                <w:rFonts w:hint="eastAsia" w:cs="仿宋" w:asciiTheme="minorEastAsia" w:hAnsiTheme="minorEastAsia" w:eastAsiaTheme="minorEastAsia"/>
                <w:b/>
              </w:rPr>
              <w:t>综合评分指引（参见评审方法和详细评审）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评分类型</w:t>
            </w:r>
          </w:p>
        </w:tc>
        <w:tc>
          <w:tcPr>
            <w:tcW w:w="3544"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评分项目</w:t>
            </w:r>
          </w:p>
        </w:tc>
        <w:tc>
          <w:tcPr>
            <w:tcW w:w="1559"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分值</w:t>
            </w:r>
          </w:p>
          <w:p>
            <w:pPr>
              <w:jc w:val="center"/>
              <w:rPr>
                <w:rFonts w:cs="仿宋" w:asciiTheme="minorEastAsia" w:hAnsiTheme="minorEastAsia" w:eastAsiaTheme="minorEastAsia"/>
              </w:rPr>
            </w:pPr>
            <w:r>
              <w:rPr>
                <w:rFonts w:hint="eastAsia" w:cs="仿宋" w:asciiTheme="minorEastAsia" w:hAnsiTheme="minorEastAsia" w:eastAsiaTheme="minorEastAsia"/>
              </w:rPr>
              <w:t>（或权重）</w:t>
            </w:r>
          </w:p>
        </w:tc>
        <w:tc>
          <w:tcPr>
            <w:tcW w:w="1685"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对应页码</w:t>
            </w:r>
          </w:p>
          <w:p>
            <w:pPr>
              <w:jc w:val="center"/>
              <w:rPr>
                <w:rFonts w:cs="仿宋" w:asciiTheme="minorEastAsia" w:hAnsiTheme="minorEastAsia" w:eastAsiaTheme="minorEastAsia"/>
              </w:rPr>
            </w:pPr>
            <w:r>
              <w:rPr>
                <w:rFonts w:hint="eastAsia" w:cs="仿宋" w:asciiTheme="minorEastAsia" w:hAnsiTheme="minorEastAsia" w:eastAsiaTheme="minorEastAsia"/>
              </w:rPr>
              <w:t>（对应章节）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价格部分</w:t>
            </w:r>
          </w:p>
        </w:tc>
        <w:tc>
          <w:tcPr>
            <w:tcW w:w="3544" w:type="dxa"/>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sz w:val="16"/>
              </w:rPr>
              <w:t>小型企业、微型企业、监狱企业、残疾人福利性单位声明、节能产品、环境标志产品等 ，详见评审信息政府采购</w:t>
            </w:r>
            <w:r>
              <w:rPr>
                <w:rFonts w:hint="eastAsia" w:cs="仿宋" w:asciiTheme="minorEastAsia" w:hAnsiTheme="minorEastAsia" w:eastAsiaTheme="minorEastAsia"/>
                <w:bCs/>
                <w:sz w:val="16"/>
              </w:rPr>
              <w:t>优惠政策</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商务部分</w:t>
            </w: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1...</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2...</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3...</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技术部分</w:t>
            </w: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1...</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2...</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3...</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bl>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格式1  声 明 函</w:t>
      </w:r>
    </w:p>
    <w:p>
      <w:pPr>
        <w:jc w:val="center"/>
        <w:rPr>
          <w:rFonts w:cs="仿宋" w:asciiTheme="minorEastAsia" w:hAnsiTheme="minorEastAsia" w:eastAsiaTheme="minorEastAsia"/>
          <w:b/>
          <w:sz w:val="36"/>
          <w:szCs w:val="36"/>
        </w:rPr>
      </w:pPr>
    </w:p>
    <w:p>
      <w:pPr>
        <w:adjustRightInd w:val="0"/>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深圳市中正招标有限公司：</w:t>
      </w:r>
    </w:p>
    <w:p>
      <w:pPr>
        <w:adjustRightInd w:val="0"/>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我们收到你们组织的 （</w:t>
      </w:r>
      <w:r>
        <w:rPr>
          <w:rFonts w:hint="eastAsia" w:cs="仿宋" w:asciiTheme="minorEastAsia" w:hAnsiTheme="minorEastAsia" w:eastAsiaTheme="minorEastAsia"/>
          <w:u w:val="single"/>
        </w:rPr>
        <w:t xml:space="preserve">项目名称：    </w:t>
      </w:r>
      <w:r>
        <w:rPr>
          <w:rFonts w:hint="eastAsia" w:cs="仿宋" w:asciiTheme="minorEastAsia" w:hAnsiTheme="minorEastAsia" w:eastAsiaTheme="minorEastAsia"/>
        </w:rPr>
        <w:t>）征集文件，经详细研究，我们决定参加该项目 （</w:t>
      </w:r>
      <w:r>
        <w:rPr>
          <w:rFonts w:hint="eastAsia" w:cs="仿宋" w:asciiTheme="minorEastAsia" w:hAnsiTheme="minorEastAsia" w:eastAsiaTheme="minorEastAsia"/>
          <w:u w:val="single"/>
        </w:rPr>
        <w:t xml:space="preserve">项目编号：    </w:t>
      </w:r>
      <w:r>
        <w:rPr>
          <w:rFonts w:hint="eastAsia" w:cs="仿宋" w:asciiTheme="minorEastAsia" w:hAnsiTheme="minorEastAsia" w:eastAsiaTheme="minorEastAsia"/>
        </w:rPr>
        <w:t>）采购的有关活动并投标。为此，我方谨郑重声明以下诸点，并对之负法律责任。</w:t>
      </w:r>
    </w:p>
    <w:p>
      <w:pPr>
        <w:spacing w:line="360" w:lineRule="auto"/>
        <w:ind w:firstLine="424" w:firstLineChars="202"/>
        <w:jc w:val="left"/>
        <w:rPr>
          <w:rFonts w:cs="仿宋" w:asciiTheme="minorEastAsia" w:hAnsiTheme="minorEastAsia" w:eastAsiaTheme="minorEastAsia"/>
        </w:rPr>
      </w:pPr>
      <w:r>
        <w:rPr>
          <w:rFonts w:hint="eastAsia" w:cs="仿宋" w:asciiTheme="minorEastAsia" w:hAnsiTheme="minorEastAsia" w:eastAsiaTheme="minorEastAsia"/>
        </w:rPr>
        <w:t>1．我方愿以《开标一览表》中填写的投标总价并按照征集文件中的一切要求，承担上述项目的全部工作。</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2．我方提交的投标文件为：投标书正本两份，副本四份，电子档文件（正本彩色扫描件PDF格式）一份。</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3．如果我们投标文件被接受，我们将履行征集文件中规定的每一项要求，按期、按质、按量完成任务。</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4．我们愿意提供采购代理机构在征集文件中要求的所有资料，且所递交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5．我们理解，最低报价不是中标的唯一条件。我们认为你们有选择或拒绝任何投标者中标的权利。</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6．我方愿按《中华人民共和国民法典》履行自己的全部责任。</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7．我们同意征集文件之规定，遵守有关采购的各项规定。</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8. 我们同意中标后向采购代理机构支付征集文件要求数额的采购代理服务费。</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9．所有有关本标书的函电，请按下列地址联系：</w:t>
      </w:r>
    </w:p>
    <w:p>
      <w:pPr>
        <w:adjustRightInd w:val="0"/>
        <w:snapToGrid w:val="0"/>
        <w:spacing w:line="360" w:lineRule="auto"/>
        <w:ind w:firstLine="600"/>
        <w:rPr>
          <w:rFonts w:cs="仿宋" w:asciiTheme="minorEastAsia" w:hAnsiTheme="minorEastAsia" w:eastAsiaTheme="minorEastAsia"/>
        </w:rPr>
      </w:pP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单    位： （盖章）</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授权代表或法定代表人： （签字）</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地    址：</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电    话：</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联 系 人：</w:t>
      </w:r>
    </w:p>
    <w:p>
      <w:pPr>
        <w:jc w:val="right"/>
        <w:rPr>
          <w:rFonts w:cs="仿宋" w:asciiTheme="minorEastAsia" w:hAnsiTheme="minorEastAsia" w:eastAsiaTheme="minorEastAsia"/>
        </w:rPr>
      </w:pPr>
      <w:r>
        <w:rPr>
          <w:rFonts w:hint="eastAsia" w:cs="仿宋" w:asciiTheme="minorEastAsia" w:hAnsiTheme="minorEastAsia" w:eastAsiaTheme="minorEastAsia"/>
        </w:rPr>
        <w:t>年    月    日</w:t>
      </w:r>
    </w:p>
    <w:p>
      <w:pPr>
        <w:jc w:val="left"/>
        <w:rPr>
          <w:rFonts w:cs="仿宋" w:asciiTheme="minorEastAsia" w:hAnsiTheme="minorEastAsia" w:eastAsiaTheme="minorEastAsia"/>
        </w:rPr>
      </w:pPr>
    </w:p>
    <w:p>
      <w:pPr>
        <w:widowControl/>
        <w:jc w:val="left"/>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br w:type="page"/>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格式2  投标供应商资格证明文件</w:t>
      </w:r>
    </w:p>
    <w:p>
      <w:pPr>
        <w:ind w:firstLine="1274" w:firstLineChars="607"/>
        <w:rPr>
          <w:rFonts w:cs="仿宋" w:asciiTheme="minorEastAsia" w:hAnsiTheme="minorEastAsia" w:eastAsiaTheme="minorEastAsia"/>
        </w:rPr>
      </w:pPr>
    </w:p>
    <w:p>
      <w:pPr>
        <w:jc w:val="center"/>
        <w:rPr>
          <w:rFonts w:cs="仿宋" w:asciiTheme="minorEastAsia" w:hAnsiTheme="minorEastAsia" w:eastAsiaTheme="minorEastAsia"/>
        </w:rPr>
      </w:pP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1、</w:t>
      </w:r>
      <w:r>
        <w:rPr>
          <w:rFonts w:hint="eastAsia" w:cs="仿宋" w:asciiTheme="minorEastAsia" w:hAnsiTheme="minorEastAsia" w:eastAsiaTheme="minorEastAsia"/>
          <w:bCs/>
        </w:rPr>
        <w:t>营业执照或法人证书等证明文件【扫描件或复印件】</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2、</w:t>
      </w:r>
      <w:r>
        <w:rPr>
          <w:rFonts w:hint="eastAsia" w:cs="仿宋" w:asciiTheme="minorEastAsia" w:hAnsiTheme="minorEastAsia" w:eastAsiaTheme="minorEastAsia"/>
          <w:bCs/>
        </w:rPr>
        <w:t>法定代表人（负责人）证明书【原件】</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rPr>
        <w:t>3、</w:t>
      </w:r>
      <w:r>
        <w:rPr>
          <w:rFonts w:hint="eastAsia" w:cs="仿宋" w:asciiTheme="minorEastAsia" w:hAnsiTheme="minorEastAsia" w:eastAsiaTheme="minorEastAsia"/>
          <w:bCs/>
        </w:rPr>
        <w:t>法定代表人（负责人）授权委托书【原件】</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bCs/>
        </w:rPr>
        <w:t>4、承诺函【详见格式《承诺函》】</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bCs/>
        </w:rPr>
        <w:t>5、</w:t>
      </w:r>
      <w:r>
        <w:rPr>
          <w:rFonts w:hint="eastAsia" w:cs="仿宋" w:asciiTheme="minorEastAsia" w:hAnsiTheme="minorEastAsia" w:eastAsiaTheme="minorEastAsia"/>
          <w:bCs/>
          <w:szCs w:val="21"/>
        </w:rPr>
        <w:t>未被列入失信被执行人、重大税收违法案件当事人名单和政府采购严重违法失信行为记录名单</w:t>
      </w:r>
      <w:r>
        <w:rPr>
          <w:rFonts w:hint="eastAsia" w:cs="仿宋" w:asciiTheme="minorEastAsia" w:hAnsiTheme="minorEastAsia" w:eastAsiaTheme="minorEastAsia"/>
          <w:bCs/>
        </w:rPr>
        <w:t>信用查询截图</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bCs/>
        </w:rPr>
        <w:t>6、国家企业信用信息公示系统（https://www.gsxt.gov.cn/index.html）或机关赋码和事业单位登记管理网（http://www.gjsy.gov.cn/sydwfrxxcx/）或全国社会组织信用信息公示平台（https://xxgs.chinanpo.mca.gov.cn/gsxt/newList）网站供应商信息查询截图</w:t>
      </w:r>
    </w:p>
    <w:p>
      <w:pPr>
        <w:spacing w:line="360" w:lineRule="auto"/>
        <w:ind w:left="424" w:leftChars="202" w:firstLine="2"/>
        <w:rPr>
          <w:rFonts w:cs="仿宋" w:asciiTheme="minorEastAsia" w:hAnsiTheme="minorEastAsia" w:eastAsiaTheme="minorEastAsia"/>
          <w:bCs/>
        </w:rPr>
      </w:pPr>
      <w:r>
        <w:rPr>
          <w:rFonts w:hint="eastAsia" w:cs="仿宋" w:asciiTheme="minorEastAsia" w:hAnsiTheme="minorEastAsia" w:eastAsiaTheme="minorEastAsia"/>
          <w:bCs/>
        </w:rPr>
        <w:t>7、其他【如有，按采购公告“申请人的资格要求”提供】</w:t>
      </w:r>
    </w:p>
    <w:p>
      <w:pPr>
        <w:adjustRightInd w:val="0"/>
        <w:snapToGrid w:val="0"/>
        <w:spacing w:line="360" w:lineRule="auto"/>
        <w:ind w:firstLine="2"/>
        <w:rPr>
          <w:rFonts w:cs="仿宋" w:asciiTheme="minorEastAsia" w:hAnsiTheme="minorEastAsia" w:eastAsiaTheme="minorEastAsia"/>
          <w:bCs/>
        </w:rPr>
      </w:pPr>
    </w:p>
    <w:p>
      <w:pPr>
        <w:spacing w:line="360" w:lineRule="auto"/>
        <w:ind w:left="995" w:leftChars="474" w:firstLine="2"/>
        <w:rPr>
          <w:rFonts w:cs="仿宋" w:asciiTheme="minorEastAsia" w:hAnsiTheme="minorEastAsia" w:eastAsiaTheme="minorEastAsia"/>
          <w:bCs/>
        </w:rPr>
      </w:pPr>
    </w:p>
    <w:p>
      <w:pPr>
        <w:spacing w:line="360" w:lineRule="auto"/>
        <w:ind w:left="995" w:leftChars="203" w:hanging="569"/>
        <w:rPr>
          <w:rFonts w:cs="仿宋" w:asciiTheme="minorEastAsia" w:hAnsiTheme="minorEastAsia" w:eastAsiaTheme="minorEastAsia"/>
          <w:b/>
          <w:bCs/>
          <w:color w:val="FF0000"/>
          <w:sz w:val="22"/>
        </w:rPr>
      </w:pPr>
      <w:r>
        <w:rPr>
          <w:rFonts w:hint="eastAsia" w:cs="仿宋" w:asciiTheme="minorEastAsia" w:hAnsiTheme="minorEastAsia" w:eastAsiaTheme="minorEastAsia"/>
          <w:b/>
          <w:bCs/>
          <w:color w:val="FF0000"/>
          <w:sz w:val="22"/>
        </w:rPr>
        <w:t>注：以上资料均须加盖投标供应商公章，原件备查</w:t>
      </w:r>
    </w:p>
    <w:p>
      <w:pPr>
        <w:spacing w:line="360" w:lineRule="auto"/>
        <w:ind w:left="1415" w:leftChars="474" w:hanging="420" w:hangingChars="190"/>
        <w:rPr>
          <w:rFonts w:cs="仿宋" w:asciiTheme="minorEastAsia" w:hAnsiTheme="minorEastAsia" w:eastAsiaTheme="minorEastAsia"/>
          <w:b/>
          <w:bCs/>
          <w:color w:val="FF0000"/>
          <w:sz w:val="22"/>
        </w:rPr>
      </w:pPr>
    </w:p>
    <w:p>
      <w:pPr>
        <w:widowControl/>
        <w:jc w:val="left"/>
        <w:rPr>
          <w:rFonts w:cs="仿宋" w:asciiTheme="minorEastAsia" w:hAnsiTheme="minorEastAsia" w:eastAsiaTheme="minorEastAsia"/>
          <w:b/>
          <w:bCs/>
          <w:color w:val="FF0000"/>
          <w:sz w:val="22"/>
        </w:rPr>
      </w:pPr>
      <w:r>
        <w:rPr>
          <w:rFonts w:hint="eastAsia" w:cs="仿宋" w:asciiTheme="minorEastAsia" w:hAnsiTheme="minorEastAsia" w:eastAsiaTheme="minorEastAsia"/>
          <w:b/>
          <w:bCs/>
          <w:color w:val="FF0000"/>
          <w:sz w:val="22"/>
        </w:rPr>
        <w:br w:type="page"/>
      </w:r>
    </w:p>
    <w:p>
      <w:pPr>
        <w:adjustRightInd w:val="0"/>
        <w:spacing w:line="300" w:lineRule="auto"/>
        <w:ind w:hanging="2"/>
        <w:jc w:val="center"/>
        <w:rPr>
          <w:rFonts w:cs="仿宋" w:asciiTheme="minorEastAsia" w:hAnsiTheme="minorEastAsia" w:eastAsiaTheme="minorEastAsia"/>
        </w:rPr>
      </w:pPr>
      <w:r>
        <w:rPr>
          <w:rFonts w:hint="eastAsia" w:cs="仿宋" w:asciiTheme="minorEastAsia" w:hAnsiTheme="minorEastAsia" w:eastAsiaTheme="minorEastAsia"/>
          <w:b/>
          <w:snapToGrid w:val="0"/>
          <w:kern w:val="0"/>
          <w:sz w:val="28"/>
        </w:rPr>
        <w:t>承诺函</w:t>
      </w:r>
    </w:p>
    <w:p>
      <w:pPr>
        <w:spacing w:line="400" w:lineRule="exac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400" w:lineRule="exact"/>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我单位承诺：</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1.我单位参与本项目</w:t>
      </w:r>
      <w:r>
        <w:rPr>
          <w:rFonts w:hint="eastAsia" w:cs="仿宋" w:asciiTheme="minorEastAsia" w:hAnsiTheme="minorEastAsia" w:eastAsiaTheme="minorEastAsia"/>
          <w:snapToGrid w:val="0"/>
        </w:rPr>
        <w:t>采购活动</w:t>
      </w:r>
      <w:r>
        <w:rPr>
          <w:rFonts w:hint="eastAsia" w:cs="仿宋" w:asciiTheme="minorEastAsia" w:hAnsiTheme="minorEastAsia" w:eastAsiaTheme="minorEastAsia"/>
          <w:szCs w:val="21"/>
        </w:rPr>
        <w:t>前三年内，在经营活动中没有重大违法记录。</w:t>
      </w:r>
    </w:p>
    <w:p>
      <w:pPr>
        <w:spacing w:line="40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szCs w:val="21"/>
        </w:rPr>
        <w:t>2.我单位参与本项目</w:t>
      </w:r>
      <w:r>
        <w:rPr>
          <w:rFonts w:hint="eastAsia" w:cs="仿宋" w:asciiTheme="minorEastAsia" w:hAnsiTheme="minorEastAsia" w:eastAsiaTheme="minorEastAsia"/>
        </w:rPr>
        <w:t>采购活动时不存在被有关部门禁止参与政府采购活动且在有效期内的情况。</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3.我单位满足《中华人民共和国政府采购法》第二十二条规定</w:t>
      </w:r>
      <w:r>
        <w:rPr>
          <w:rFonts w:hint="eastAsia" w:cs="仿宋" w:asciiTheme="minorEastAsia" w:hAnsiTheme="minorEastAsia" w:eastAsiaTheme="minorEastAsia"/>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4.我单位</w:t>
      </w:r>
      <w:r>
        <w:rPr>
          <w:rFonts w:hint="eastAsia" w:cs="仿宋" w:asciiTheme="minorEastAsia" w:hAnsiTheme="minorEastAsia" w:eastAsiaTheme="minorEastAsia"/>
          <w:snapToGrid w:val="0"/>
          <w:szCs w:val="18"/>
        </w:rPr>
        <w:t>与其他投标供应商不存在“单位负责人为同一人或者存在直接控股、管理关系”的情况；</w:t>
      </w:r>
      <w:r>
        <w:rPr>
          <w:rFonts w:hint="eastAsia" w:cs="仿宋" w:asciiTheme="minorEastAsia" w:hAnsiTheme="minorEastAsia" w:eastAsiaTheme="minorEastAsia"/>
          <w:bCs/>
          <w:szCs w:val="21"/>
        </w:rPr>
        <w:t>除单一来源采购项目外，如为采购项目提供整体设计、规范编制或者项目管理、监理、检测等服务，不再参加该采购项目的其他采购活动</w:t>
      </w:r>
      <w:r>
        <w:rPr>
          <w:rFonts w:hint="eastAsia" w:cs="仿宋" w:asciiTheme="minorEastAsia" w:hAnsiTheme="minorEastAsia" w:eastAsiaTheme="minorEastAsia"/>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5.我单位承诺非联合体投标，不非法转包或分包。</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6.我单位参与本项目所提供的货物或服务未侵犯知识产权。</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7.我单位参与该项目投标，严格遵循公平竞争的原则，不恶意串通，不妨碍其他投标供应商的竞争行为，不损害采购人或者其他投标供应商的合法权益。我单位已清楚，如违反上述要求，将作投标无效处理。</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8.我单位如果中标，做到守信，不偷工减料，依照本项目征集文件需求内容、签署的采购合同及本单位在投标中所作的一切承诺履约。</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以上承诺，如有违反，愿依照相关法律法规处理，并承担由此给采购人带来的损失。</w:t>
      </w:r>
    </w:p>
    <w:p>
      <w:pPr>
        <w:spacing w:line="360" w:lineRule="auto"/>
        <w:ind w:firstLine="600"/>
        <w:rPr>
          <w:rFonts w:cs="仿宋" w:asciiTheme="minorEastAsia" w:hAnsiTheme="minorEastAsia" w:eastAsiaTheme="minorEastAsia"/>
          <w:snapToGrid w:val="0"/>
          <w:szCs w:val="18"/>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投标供应商：（盖章）</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ind w:right="420"/>
        <w:rPr>
          <w:rFonts w:cs="仿宋" w:asciiTheme="minorEastAsia" w:hAnsiTheme="minorEastAsia" w:eastAsiaTheme="minorEastAsia"/>
          <w:snapToGrid w:val="0"/>
          <w:kern w:val="0"/>
        </w:rPr>
      </w:pPr>
    </w:p>
    <w:p>
      <w:pPr>
        <w:snapToGrid w:val="0"/>
        <w:spacing w:line="360" w:lineRule="auto"/>
        <w:ind w:left="560"/>
        <w:jc w:val="right"/>
        <w:rPr>
          <w:rFonts w:cs="仿宋" w:asciiTheme="minorEastAsia" w:hAnsiTheme="minorEastAsia" w:eastAsiaTheme="minorEastAsia"/>
          <w:bCs/>
        </w:rPr>
      </w:pPr>
      <w:r>
        <w:rPr>
          <w:rFonts w:hint="eastAsia" w:cs="仿宋" w:asciiTheme="minorEastAsia" w:hAnsiTheme="minorEastAsia" w:eastAsiaTheme="minorEastAsia"/>
        </w:rPr>
        <w:t>年     月    日</w:t>
      </w:r>
    </w:p>
    <w:p>
      <w:pPr>
        <w:rPr>
          <w:rFonts w:cs="仿宋" w:asciiTheme="minorEastAsia" w:hAnsiTheme="minorEastAsia" w:eastAsiaTheme="minorEastAsia"/>
          <w:bCs/>
        </w:rPr>
      </w:pPr>
      <w:r>
        <w:rPr>
          <w:rFonts w:hint="eastAsia" w:cs="仿宋" w:asciiTheme="minorEastAsia" w:hAnsiTheme="minorEastAsia" w:eastAsiaTheme="minorEastAsia"/>
          <w:bCs/>
        </w:rPr>
        <w:br w:type="page"/>
      </w:r>
    </w:p>
    <w:p>
      <w:pPr>
        <w:widowControl/>
        <w:jc w:val="left"/>
        <w:rPr>
          <w:rFonts w:cs="仿宋" w:asciiTheme="minorEastAsia" w:hAnsiTheme="minorEastAsia" w:eastAsiaTheme="minorEastAsia"/>
        </w:rPr>
      </w:pP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法定代表人（负责人）证明书（格式）</w:t>
      </w:r>
    </w:p>
    <w:p>
      <w:pPr>
        <w:jc w:val="center"/>
        <w:rPr>
          <w:rFonts w:cs="仿宋" w:asciiTheme="minorEastAsia" w:hAnsiTheme="minorEastAsia" w:eastAsiaTheme="minorEastAsia"/>
          <w:b/>
          <w:sz w:val="32"/>
          <w:szCs w:val="36"/>
        </w:rPr>
      </w:pPr>
    </w:p>
    <w:p>
      <w:pPr>
        <w:tabs>
          <w:tab w:val="left" w:pos="900"/>
        </w:tabs>
        <w:spacing w:line="360" w:lineRule="auto"/>
        <w:ind w:firstLine="630" w:firstLineChars="300"/>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同志，现任我单位</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职务，为法定代表人（负责人），特此证明。</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有效日期与本公司投标文件中标注的投标有效期相同。签发日期：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月</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附：</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 xml:space="preserve">营业执照（注册号）： </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经济性质：</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主营（产）：</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兼营（产）：</w:t>
      </w:r>
    </w:p>
    <w:p>
      <w:pPr>
        <w:spacing w:line="360" w:lineRule="auto"/>
        <w:jc w:val="right"/>
        <w:rPr>
          <w:rFonts w:cs="仿宋" w:asciiTheme="minorEastAsia" w:hAnsiTheme="minorEastAsia" w:eastAsiaTheme="minorEastAsia"/>
        </w:rPr>
      </w:pPr>
      <w:r>
        <w:rPr>
          <w:rFonts w:hint="eastAsia" w:cs="仿宋" w:asciiTheme="minorEastAsia" w:hAnsiTheme="minorEastAsia" w:eastAsiaTheme="minorEastAsia"/>
        </w:rPr>
        <w:t>单位名称：（公章）：</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w:t>
      </w:r>
    </w:p>
    <w:p>
      <w:pPr>
        <w:spacing w:line="360" w:lineRule="auto"/>
        <w:ind w:firstLine="743" w:firstLineChars="354"/>
        <w:jc w:val="right"/>
        <w:rPr>
          <w:rFonts w:cs="仿宋" w:asciiTheme="minorEastAsia" w:hAnsiTheme="minorEastAsia" w:eastAsiaTheme="minorEastAsia"/>
        </w:rPr>
      </w:pPr>
      <w:r>
        <w:rPr>
          <w:rFonts w:hint="eastAsia" w:cs="仿宋" w:asciiTheme="minorEastAsia" w:hAnsiTheme="minorEastAsia" w:eastAsiaTheme="minorEastAsia"/>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ind w:firstLine="849" w:firstLineChars="354"/>
        <w:jc w:val="right"/>
        <w:rPr>
          <w:rFonts w:cs="仿宋" w:asciiTheme="minorEastAsia" w:hAnsiTheme="minorEastAsia" w:eastAsiaTheme="minorEastAsia"/>
          <w:sz w:val="24"/>
        </w:rPr>
      </w:pPr>
    </w:p>
    <w:p>
      <w:pPr>
        <w:spacing w:line="360" w:lineRule="auto"/>
        <w:rPr>
          <w:rFonts w:cs="仿宋" w:asciiTheme="minorEastAsia" w:hAnsiTheme="minorEastAsia" w:eastAsiaTheme="minorEastAsia"/>
          <w:b/>
          <w:bCs/>
        </w:rPr>
      </w:pPr>
      <w:r>
        <w:rPr>
          <w:rFonts w:cs="仿宋" w:asciiTheme="minorEastAsia" w:hAnsiTheme="minorEastAsia" w:eastAsiaTheme="minorEastAsia"/>
          <w:b/>
          <w:bCs/>
        </w:rPr>
        <mc:AlternateContent>
          <mc:Choice Requires="wps">
            <w:drawing>
              <wp:anchor distT="0" distB="0" distL="114300" distR="114300" simplePos="0" relativeHeight="251661312" behindDoc="0" locked="0" layoutInCell="1" allowOverlap="1">
                <wp:simplePos x="0" y="0"/>
                <wp:positionH relativeFrom="column">
                  <wp:posOffset>2840355</wp:posOffset>
                </wp:positionH>
                <wp:positionV relativeFrom="paragraph">
                  <wp:posOffset>136525</wp:posOffset>
                </wp:positionV>
                <wp:extent cx="2705100" cy="1981200"/>
                <wp:effectExtent l="4445" t="5080" r="14605" b="13970"/>
                <wp:wrapNone/>
                <wp:docPr id="4" name="Rectangle 5"/>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wps:txbx>
                      <wps:bodyPr upright="1"/>
                    </wps:wsp>
                  </a:graphicData>
                </a:graphic>
              </wp:anchor>
            </w:drawing>
          </mc:Choice>
          <mc:Fallback>
            <w:pict>
              <v:rect id="Rectangle 5" o:spid="_x0000_s1026" o:spt="1" style="position:absolute;left:0pt;margin-left:223.65pt;margin-top:10.75pt;height:156pt;width:213pt;z-index:251661312;mso-width-relative:page;mso-height-relative:page;" fillcolor="#FFFFFF" filled="t" stroked="t" coordsize="21600,21600" o:gfxdata="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cT0NvZAAAACgEAAA8AAAAAAAAAAQAgAAAAIgAAAGRycy9kb3ducmV2&#10;LnhtbFBLAQIUABQAAAAIAIdO4kCS8KSI+wEAADsEAAAOAAAAAAAAAAEAIAAAACgBAABkcnMvZTJv&#10;RG9jLnhtbFBLBQYAAAAABgAGAFkBAACVBQAAAAA=&#10;">
                <v:fill on="t" focussize="0,0"/>
                <v:stroke color="#000000" joinstyle="miter"/>
                <v:imagedata o:title=""/>
                <o:lock v:ext="edit" aspectratio="f"/>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mc:Fallback>
        </mc:AlternateContent>
      </w:r>
      <w:r>
        <w:rPr>
          <w:rFonts w:cs="仿宋" w:asciiTheme="minorEastAsia" w:hAnsiTheme="minorEastAsia" w:eastAsiaTheme="minorEastAsia"/>
          <w:b/>
          <w:bCs/>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136525</wp:posOffset>
                </wp:positionV>
                <wp:extent cx="2705100" cy="1981200"/>
                <wp:effectExtent l="4445" t="5080" r="14605" b="13970"/>
                <wp:wrapNone/>
                <wp:docPr id="3" name="Rectangle 4"/>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4" o:spid="_x0000_s1026" o:spt="1" style="position:absolute;left:0pt;margin-left:-8.85pt;margin-top:10.75pt;height:156pt;width:213pt;z-index:251660288;mso-width-relative:page;mso-height-relative:page;" fillcolor="#FFFFFF" filled="t" stroked="t" coordsize="21600,21600" o:gfxdata="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E3ErvZAAAACgEAAA8AAAAAAAAAAQAgAAAAIgAAAGRycy9kb3ducmV2&#10;LnhtbFBLAQIUABQAAAAIAIdO4kAPKIls+wEAADsEAAAOAAAAAAAAAAEAIAAAACgBAABkcnMvZTJv&#10;RG9jLnhtbFBLBQYAAAAABgAGAFkBAACVBQ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r>
        <w:rPr>
          <w:rFonts w:hint="eastAsia" w:cs="仿宋" w:asciiTheme="minorEastAsia" w:hAnsiTheme="minorEastAsia" w:eastAsiaTheme="minorEastAsia"/>
          <w:b/>
          <w:bCs/>
        </w:rPr>
        <w:t xml:space="preserve">                         </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法定代表人（负责人）授权委托书（格式）</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深圳市中正招标有限公司：</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现委派</w:t>
      </w:r>
      <w:r>
        <w:rPr>
          <w:rFonts w:hint="eastAsia" w:cs="仿宋" w:asciiTheme="minorEastAsia" w:hAnsiTheme="minorEastAsia" w:eastAsiaTheme="minorEastAsia"/>
          <w:u w:val="single"/>
        </w:rPr>
        <w:t>（姓名、职务）</w:t>
      </w:r>
      <w:r>
        <w:rPr>
          <w:rFonts w:hint="eastAsia" w:cs="仿宋" w:asciiTheme="minorEastAsia" w:hAnsiTheme="minorEastAsia" w:eastAsiaTheme="minorEastAsia"/>
        </w:rPr>
        <w:t>参加贵公司组织的</w:t>
      </w:r>
      <w:r>
        <w:rPr>
          <w:rFonts w:hint="eastAsia" w:cs="仿宋" w:asciiTheme="minorEastAsia" w:hAnsiTheme="minorEastAsia" w:eastAsiaTheme="minorEastAsia"/>
          <w:u w:val="single"/>
        </w:rPr>
        <w:t>（采购项目名称、编号）</w:t>
      </w:r>
      <w:r>
        <w:rPr>
          <w:rFonts w:hint="eastAsia" w:cs="仿宋" w:asciiTheme="minorEastAsia" w:hAnsiTheme="minorEastAsia" w:eastAsiaTheme="minorEastAsia"/>
        </w:rPr>
        <w:t>采购活动，全权代表我单位处理投标的有关事宜。</w:t>
      </w:r>
    </w:p>
    <w:p>
      <w:pPr>
        <w:spacing w:line="360" w:lineRule="auto"/>
        <w:rPr>
          <w:rFonts w:cs="仿宋" w:asciiTheme="minorEastAsia" w:hAnsiTheme="minorEastAsia" w:eastAsiaTheme="minorEastAsia"/>
        </w:rPr>
      </w:pPr>
    </w:p>
    <w:p>
      <w:pPr>
        <w:adjustRightInd w:val="0"/>
        <w:snapToGrid w:val="0"/>
        <w:spacing w:line="360" w:lineRule="auto"/>
        <w:ind w:firstLine="629"/>
        <w:rPr>
          <w:rFonts w:cs="仿宋" w:asciiTheme="minorEastAsia" w:hAnsiTheme="minorEastAsia" w:eastAsiaTheme="minorEastAsia"/>
          <w:b/>
        </w:rPr>
      </w:pPr>
      <w:r>
        <w:rPr>
          <w:rFonts w:hint="eastAsia" w:cs="仿宋" w:asciiTheme="minorEastAsia" w:hAnsiTheme="minorEastAsia" w:eastAsiaTheme="minorEastAsia"/>
          <w:b/>
        </w:rPr>
        <w:t>附授权代表情况：</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姓       名：</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性       别：</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年       龄：</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职       务：</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身 份证号码：</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 xml:space="preserve">通 讯 地 址： </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 xml:space="preserve">联 系 方 式： </w:t>
      </w:r>
    </w:p>
    <w:p>
      <w:pPr>
        <w:spacing w:line="360" w:lineRule="auto"/>
        <w:ind w:firstLine="630"/>
        <w:rPr>
          <w:rFonts w:cs="仿宋" w:asciiTheme="minorEastAsia" w:hAnsiTheme="minorEastAsia" w:eastAsiaTheme="minorEastAsia"/>
        </w:rPr>
      </w:pPr>
      <w:r>
        <w:rPr>
          <w:rFonts w:hint="eastAsia" w:cs="仿宋" w:asciiTheme="minorEastAsia" w:hAnsiTheme="minorEastAsia" w:eastAsiaTheme="minorEastAsia"/>
        </w:rPr>
        <w:t>单 位 名 称：（公章）</w:t>
      </w:r>
    </w:p>
    <w:p>
      <w:pPr>
        <w:spacing w:line="360" w:lineRule="auto"/>
        <w:ind w:firstLine="630"/>
        <w:rPr>
          <w:rFonts w:cs="仿宋" w:asciiTheme="minorEastAsia" w:hAnsiTheme="minorEastAsia" w:eastAsiaTheme="minorEastAsia"/>
        </w:rPr>
      </w:pPr>
      <w:r>
        <w:rPr>
          <w:rFonts w:hint="eastAsia" w:cs="仿宋" w:asciiTheme="minorEastAsia" w:hAnsiTheme="minorEastAsia" w:eastAsiaTheme="minorEastAsia"/>
        </w:rPr>
        <w:t>法 人 代 表：（签章）</w:t>
      </w:r>
    </w:p>
    <w:p>
      <w:pPr>
        <w:spacing w:line="360" w:lineRule="auto"/>
        <w:ind w:firstLine="630"/>
        <w:rPr>
          <w:rFonts w:cs="仿宋" w:asciiTheme="minorEastAsia" w:hAnsiTheme="minorEastAsia" w:eastAsiaTheme="minorEastAsia"/>
        </w:rPr>
      </w:pPr>
    </w:p>
    <w:p>
      <w:pPr>
        <w:adjustRightInd w:val="0"/>
        <w:snapToGrid w:val="0"/>
        <w:spacing w:line="360" w:lineRule="auto"/>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rPr>
          <w:rFonts w:cs="仿宋" w:asciiTheme="minorEastAsia" w:hAnsiTheme="minorEastAsia" w:eastAsiaTheme="minorEastAsia"/>
        </w:rPr>
      </w:pPr>
      <w:bookmarkStart w:id="5" w:name="_Toc226217114"/>
      <w:r>
        <w:rPr>
          <w:rFonts w:cs="仿宋" w:asciiTheme="minorEastAsia" w:hAnsiTheme="minorEastAsia" w:eastAsiaTheme="minorEastAsia"/>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71120</wp:posOffset>
                </wp:positionV>
                <wp:extent cx="2619375" cy="1722755"/>
                <wp:effectExtent l="4445" t="4445" r="5080" b="6350"/>
                <wp:wrapNone/>
                <wp:docPr id="5" name="Rectangle 2"/>
                <wp:cNvGraphicFramePr/>
                <a:graphic xmlns:a="http://schemas.openxmlformats.org/drawingml/2006/main">
                  <a:graphicData uri="http://schemas.microsoft.com/office/word/2010/wordprocessingShape">
                    <wps:wsp>
                      <wps:cNvSpPr/>
                      <wps:spPr>
                        <a:xfrm>
                          <a:off x="0" y="0"/>
                          <a:ext cx="2619375"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2" o:spid="_x0000_s1026" o:spt="1" style="position:absolute;left:0pt;margin-left:-1.35pt;margin-top:5.6pt;height:135.65pt;width:206.25pt;z-index:251662336;mso-width-relative:page;mso-height-relative:page;" fillcolor="#FFFFFF" filled="t" stroked="t" coordsize="21600,21600" o:gfxdata="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d5BW1wAAAAkBAAAPAAAAAAAAAAEAIAAAACIAAABkcnMvZG93bnJldi54&#10;bWxQSwECFAAUAAAACACHTuJAFOp7MfsBAAA7BAAADgAAAAAAAAABACAAAAAmAQAAZHJzL2Uyb0Rv&#10;Yy54bWxQSwUGAAAAAAYABgBZAQAAkwUAAAAA&#10;">
                <v:fill on="t" focussize="0,0"/>
                <v:stroke color="#000000" joinstyle="miter"/>
                <v:imagedata o:title=""/>
                <o:lock v:ext="edit" aspectratio="f"/>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r>
        <w:rPr>
          <w:rFonts w:cs="仿宋" w:asciiTheme="minorEastAsia" w:hAnsiTheme="minorEastAsia" w:eastAsiaTheme="minorEastAsia"/>
        </w:rPr>
        <mc:AlternateContent>
          <mc:Choice Requires="wps">
            <w:drawing>
              <wp:anchor distT="0" distB="0" distL="114300" distR="114300" simplePos="0" relativeHeight="251663360" behindDoc="0" locked="0" layoutInCell="1" allowOverlap="1">
                <wp:simplePos x="0" y="0"/>
                <wp:positionH relativeFrom="column">
                  <wp:posOffset>2821305</wp:posOffset>
                </wp:positionH>
                <wp:positionV relativeFrom="paragraph">
                  <wp:posOffset>71120</wp:posOffset>
                </wp:positionV>
                <wp:extent cx="2533650" cy="1722755"/>
                <wp:effectExtent l="4445" t="4445" r="14605" b="6350"/>
                <wp:wrapNone/>
                <wp:docPr id="6" name="Rectangle 3"/>
                <wp:cNvGraphicFramePr/>
                <a:graphic xmlns:a="http://schemas.openxmlformats.org/drawingml/2006/main">
                  <a:graphicData uri="http://schemas.microsoft.com/office/word/2010/wordprocessingShape">
                    <wps:wsp>
                      <wps:cNvSpPr/>
                      <wps:spPr>
                        <a:xfrm>
                          <a:off x="0" y="0"/>
                          <a:ext cx="2533650"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wps:txbx>
                      <wps:bodyPr upright="1"/>
                    </wps:wsp>
                  </a:graphicData>
                </a:graphic>
              </wp:anchor>
            </w:drawing>
          </mc:Choice>
          <mc:Fallback>
            <w:pict>
              <v:rect id="Rectangle 3" o:spid="_x0000_s1026" o:spt="1" style="position:absolute;left:0pt;margin-left:222.15pt;margin-top:5.6pt;height:135.65pt;width:199.5pt;z-index:251663360;mso-width-relative:page;mso-height-relative:page;" fillcolor="#FFFFFF" filled="t" stroked="t" coordsize="21600,21600" o:gfxdata="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tOyHU1wAAAAoBAAAPAAAAAAAAAAEAIAAAACIAAABkcnMvZG93bnJldi54&#10;bWxQSwECFAAUAAAACACHTuJApfSqi/sBAAA7BAAADgAAAAAAAAABACAAAAAmAQAAZHJzL2Uyb0Rv&#10;Yy54bWxQSwUGAAAAAAYABgBZAQAAkwU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mc:Fallback>
        </mc:AlternateContent>
      </w:r>
      <w:bookmarkEnd w:id="5"/>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tabs>
          <w:tab w:val="left" w:pos="5115"/>
        </w:tabs>
        <w:spacing w:line="360" w:lineRule="auto"/>
        <w:rPr>
          <w:rFonts w:cs="仿宋" w:asciiTheme="minorEastAsia" w:hAnsiTheme="minorEastAsia" w:eastAsiaTheme="minorEastAsia"/>
        </w:rPr>
      </w:pPr>
      <w:r>
        <w:rPr>
          <w:rFonts w:hint="eastAsia" w:cs="仿宋" w:asciiTheme="minorEastAsia" w:hAnsiTheme="minorEastAsia" w:eastAsiaTheme="minorEastAsia"/>
        </w:rPr>
        <w:tab/>
      </w:r>
    </w:p>
    <w:p>
      <w:pPr>
        <w:spacing w:line="360" w:lineRule="auto"/>
        <w:rPr>
          <w:rFonts w:cs="仿宋" w:asciiTheme="minorEastAsia" w:hAnsiTheme="minorEastAsia" w:eastAsiaTheme="minorEastAsia"/>
        </w:rPr>
      </w:pPr>
    </w:p>
    <w:p>
      <w:pPr>
        <w:adjustRightInd w:val="0"/>
        <w:snapToGrid w:val="0"/>
        <w:spacing w:line="360" w:lineRule="auto"/>
        <w:ind w:firstLine="5008" w:firstLineChars="2385"/>
        <w:rPr>
          <w:rFonts w:cs="仿宋" w:asciiTheme="minorEastAsia" w:hAnsiTheme="minorEastAsia" w:eastAsiaTheme="minorEastAsia"/>
        </w:rPr>
      </w:pPr>
    </w:p>
    <w:p>
      <w:pPr>
        <w:ind w:left="433" w:hanging="433" w:hangingChars="196"/>
        <w:rPr>
          <w:rFonts w:cs="仿宋" w:asciiTheme="minorEastAsia" w:hAnsiTheme="minorEastAsia" w:eastAsiaTheme="minorEastAsia"/>
          <w:color w:val="FF0000"/>
          <w:sz w:val="22"/>
        </w:rPr>
      </w:pPr>
      <w:r>
        <w:rPr>
          <w:rFonts w:hint="eastAsia" w:cs="仿宋" w:asciiTheme="minorEastAsia" w:hAnsiTheme="minorEastAsia" w:eastAsiaTheme="minorEastAsia"/>
          <w:b/>
          <w:color w:val="FF0000"/>
          <w:sz w:val="22"/>
        </w:rPr>
        <w:t>注：</w:t>
      </w:r>
      <w:r>
        <w:rPr>
          <w:rFonts w:hint="eastAsia" w:cs="仿宋" w:asciiTheme="minorEastAsia" w:hAnsiTheme="minorEastAsia" w:eastAsiaTheme="minorEastAsia"/>
          <w:b/>
          <w:bCs/>
          <w:color w:val="FF0000"/>
          <w:sz w:val="22"/>
        </w:rPr>
        <w:t>法定代表人（负责人）授权委托书</w:t>
      </w:r>
      <w:r>
        <w:rPr>
          <w:rFonts w:hint="eastAsia" w:cs="仿宋" w:asciiTheme="minorEastAsia" w:hAnsiTheme="minorEastAsia" w:eastAsiaTheme="minorEastAsia"/>
          <w:b/>
          <w:color w:val="FF0000"/>
          <w:sz w:val="22"/>
        </w:rPr>
        <w:t>除装订于投标文件中外，还须另置一份按“投标须知”18.5项要求单独密封。</w:t>
      </w:r>
    </w:p>
    <w:p>
      <w:pPr>
        <w:widowControl/>
        <w:jc w:val="center"/>
        <w:rPr>
          <w:rFonts w:cs="仿宋" w:asciiTheme="minorEastAsia" w:hAnsiTheme="minorEastAsia" w:eastAsiaTheme="minorEastAsia"/>
        </w:rPr>
      </w:pPr>
      <w:r>
        <w:rPr>
          <w:rFonts w:hint="eastAsia" w:cs="仿宋" w:asciiTheme="minorEastAsia" w:hAnsiTheme="minorEastAsia" w:eastAsiaTheme="minorEastAsia"/>
          <w:b/>
          <w:sz w:val="32"/>
          <w:szCs w:val="36"/>
        </w:rPr>
        <w:t xml:space="preserve"> </w:t>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rPr>
        <w:br w:type="page"/>
      </w:r>
      <w:r>
        <w:rPr>
          <w:rFonts w:hint="eastAsia" w:cs="仿宋" w:asciiTheme="minorEastAsia" w:hAnsiTheme="minorEastAsia" w:eastAsiaTheme="minorEastAsia"/>
          <w:b/>
          <w:sz w:val="32"/>
          <w:szCs w:val="36"/>
        </w:rPr>
        <w:t>格式3  评分中涉及的承诺及声明函</w:t>
      </w:r>
    </w:p>
    <w:p>
      <w:pPr>
        <w:jc w:val="center"/>
        <w:rPr>
          <w:rFonts w:cs="仿宋" w:asciiTheme="minorEastAsia" w:hAnsiTheme="minorEastAsia" w:eastAsiaTheme="minorEastAsia"/>
          <w:b/>
          <w:sz w:val="32"/>
          <w:szCs w:val="36"/>
        </w:rPr>
      </w:pP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诚信承诺函</w:t>
      </w:r>
    </w:p>
    <w:p>
      <w:pPr>
        <w:spacing w:line="360" w:lineRule="auto"/>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公司承诺，在参与政府采购活动中不存在出现诚信相关问题且在相关主管部门处理措施实施期限内，如若投标文件与事实情况不符，我司自愿承担“隐瞒真实情况，提供虚假资料”以及其他一切不利的法律后果。</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我公司承诺，在参加政府采购活动中没有出现下列行为之一：</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（一）投标截止后，无正当理由撤销其投标行为，导致项目无法正常开评审的；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（二）未按《采购条例》规定签订、履行采购合同，严重影响采购人日常工作的；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（三）在投标文件中未说明且未经采购人同意，将中标项目分包给他人，情节严重的；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（四）严重违反合同约定，擅自降低货物质量等次和售后服务，货物、工程或者服务存在严重质量问题的；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（五）严重违反合同约定，未能完成全部货物、服务或工程项目，中途停止配送或者变相增加费用的；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（六）捏造事实、提供虚假材料进行质疑的；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（七）假冒他人名义质疑的；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（八）无正当理由拒不配合进行质疑调查的。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特此承诺。</w:t>
      </w:r>
    </w:p>
    <w:p>
      <w:pPr>
        <w:spacing w:line="360" w:lineRule="auto"/>
        <w:ind w:firstLine="420" w:firstLineChars="200"/>
        <w:rPr>
          <w:rFonts w:cs="仿宋" w:asciiTheme="minorEastAsia" w:hAnsiTheme="minorEastAsia" w:eastAsiaTheme="minorEastAsia"/>
          <w:snapToGrid w:val="0"/>
          <w:szCs w:val="18"/>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投标供应商：（盖章）</w:t>
      </w:r>
    </w:p>
    <w:p>
      <w:pPr>
        <w:rPr>
          <w:rFonts w:cs="仿宋" w:asciiTheme="minorEastAsia" w:hAnsiTheme="minorEastAsia" w:eastAsiaTheme="minorEastAsia"/>
          <w:snapToGrid w:val="0"/>
          <w:kern w:val="0"/>
        </w:rPr>
      </w:pPr>
    </w:p>
    <w:p>
      <w:pP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rPr>
          <w:rFonts w:cs="仿宋" w:asciiTheme="minorEastAsia" w:hAnsiTheme="minorEastAsia" w:eastAsiaTheme="minorEastAsia"/>
          <w:snapToGrid w:val="0"/>
          <w:kern w:val="0"/>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中小企业声明函</w:t>
      </w:r>
    </w:p>
    <w:p>
      <w:pPr>
        <w:spacing w:after="120"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spacing w:after="120"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spacing w:after="120"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spacing w:before="11" w:after="120"/>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spacing w:before="108" w:after="120"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keepNext/>
        <w:keepLines/>
        <w:tabs>
          <w:tab w:val="left" w:pos="0"/>
        </w:tabs>
        <w:spacing w:before="280" w:after="290" w:line="376" w:lineRule="auto"/>
        <w:jc w:val="center"/>
        <w:outlineLvl w:val="3"/>
        <w:rPr>
          <w:rFonts w:ascii="宋体" w:hAnsi="宋体"/>
          <w:b/>
          <w:bCs/>
          <w:sz w:val="28"/>
          <w:szCs w:val="28"/>
        </w:rPr>
      </w:pPr>
      <w:r>
        <w:rPr>
          <w:rFonts w:hint="eastAsia" w:ascii="宋体" w:hAnsi="宋体"/>
          <w:b/>
          <w:bCs/>
          <w:sz w:val="28"/>
          <w:szCs w:val="28"/>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rFonts w:ascii="Times New Roman" w:hAnsi="Times New Roman"/>
          <w:b/>
          <w:sz w:val="24"/>
          <w:szCs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keepNext/>
        <w:keepLines/>
        <w:tabs>
          <w:tab w:val="left" w:pos="0"/>
        </w:tabs>
        <w:spacing w:before="280" w:after="290" w:line="376" w:lineRule="auto"/>
        <w:jc w:val="center"/>
        <w:outlineLvl w:val="3"/>
        <w:rPr>
          <w:rFonts w:ascii="宋体" w:hAnsi="宋体"/>
          <w:b/>
          <w:bCs/>
          <w:sz w:val="28"/>
          <w:szCs w:val="28"/>
        </w:rPr>
      </w:pPr>
      <w:r>
        <w:rPr>
          <w:rFonts w:hint="eastAsia" w:ascii="宋体" w:hAnsi="宋体"/>
          <w:b/>
          <w:bCs/>
          <w:sz w:val="28"/>
          <w:szCs w:val="28"/>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spacing w:line="360" w:lineRule="auto"/>
        <w:jc w:val="left"/>
        <w:rPr>
          <w:rFonts w:ascii="宋体" w:hAnsi="宋体"/>
          <w:szCs w:val="21"/>
        </w:rPr>
      </w:pPr>
    </w:p>
    <w:p>
      <w:pPr>
        <w:spacing w:line="360" w:lineRule="auto"/>
        <w:jc w:val="center"/>
        <w:rPr>
          <w:rFonts w:ascii="宋体" w:hAnsi="宋体"/>
          <w:b/>
          <w:sz w:val="28"/>
          <w:szCs w:val="28"/>
        </w:rPr>
      </w:pPr>
      <w:r>
        <w:rPr>
          <w:rFonts w:hint="eastAsia" w:ascii="宋体" w:hAnsi="宋体"/>
          <w:b/>
          <w:sz w:val="28"/>
          <w:szCs w:val="28"/>
        </w:rPr>
        <w:t>列入政府优先采购清单的投标产品一览表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rFonts w:ascii="Times New Roman" w:hAnsi="Times New Roman"/>
                <w:b/>
                <w:szCs w:val="21"/>
              </w:rPr>
            </w:pPr>
            <w:r>
              <w:rPr>
                <w:rFonts w:hint="eastAsia" w:ascii="Times New Roman" w:hAnsi="Times New Roman"/>
                <w:b/>
                <w:szCs w:val="21"/>
              </w:rPr>
              <w:t>序号</w:t>
            </w:r>
          </w:p>
        </w:tc>
        <w:tc>
          <w:tcPr>
            <w:tcW w:w="1213" w:type="dxa"/>
            <w:vMerge w:val="restart"/>
            <w:vAlign w:val="center"/>
          </w:tcPr>
          <w:p>
            <w:pPr>
              <w:jc w:val="center"/>
              <w:rPr>
                <w:rFonts w:ascii="Times New Roman" w:hAnsi="Times New Roman"/>
                <w:b/>
                <w:szCs w:val="21"/>
              </w:rPr>
            </w:pPr>
            <w:r>
              <w:rPr>
                <w:rFonts w:hint="eastAsia" w:ascii="Times New Roman" w:hAnsi="Times New Roman"/>
                <w:b/>
                <w:szCs w:val="21"/>
              </w:rPr>
              <w:t>投标产品名称</w:t>
            </w:r>
          </w:p>
        </w:tc>
        <w:tc>
          <w:tcPr>
            <w:tcW w:w="1840" w:type="dxa"/>
            <w:vMerge w:val="restart"/>
            <w:vAlign w:val="center"/>
          </w:tcPr>
          <w:p>
            <w:pPr>
              <w:jc w:val="center"/>
              <w:rPr>
                <w:rFonts w:ascii="Times New Roman" w:hAnsi="Times New Roman"/>
                <w:b/>
                <w:szCs w:val="21"/>
              </w:rPr>
            </w:pPr>
            <w:r>
              <w:rPr>
                <w:rFonts w:hint="eastAsia" w:ascii="Times New Roman" w:hAnsi="Times New Roman"/>
                <w:b/>
                <w:szCs w:val="21"/>
              </w:rPr>
              <w:t>规格及型号</w:t>
            </w:r>
          </w:p>
        </w:tc>
        <w:tc>
          <w:tcPr>
            <w:tcW w:w="4351" w:type="dxa"/>
            <w:gridSpan w:val="4"/>
          </w:tcPr>
          <w:p>
            <w:pPr>
              <w:jc w:val="center"/>
              <w:rPr>
                <w:rFonts w:ascii="Times New Roman" w:hAnsi="Times New Roman"/>
                <w:b/>
                <w:szCs w:val="21"/>
              </w:rPr>
            </w:pPr>
            <w:r>
              <w:rPr>
                <w:rFonts w:hint="eastAsia" w:ascii="Times New Roman" w:hAnsi="Times New Roman"/>
                <w:b/>
                <w:szCs w:val="21"/>
              </w:rPr>
              <w:t>该投标产品报价及占投标总价的比例</w:t>
            </w:r>
          </w:p>
        </w:tc>
        <w:tc>
          <w:tcPr>
            <w:tcW w:w="1503" w:type="dxa"/>
            <w:vMerge w:val="restart"/>
            <w:vAlign w:val="center"/>
          </w:tcPr>
          <w:p>
            <w:pPr>
              <w:rPr>
                <w:rFonts w:ascii="Times New Roman" w:hAnsi="Times New Roman"/>
                <w:b/>
                <w:szCs w:val="21"/>
              </w:rPr>
            </w:pPr>
            <w:r>
              <w:rPr>
                <w:rFonts w:hint="eastAsia" w:ascii="Times New Roman" w:hAnsi="Times New Roman"/>
                <w:b/>
                <w:szCs w:val="21"/>
              </w:rPr>
              <w:t>属于优先采购清单的类别</w:t>
            </w:r>
          </w:p>
        </w:tc>
        <w:tc>
          <w:tcPr>
            <w:tcW w:w="720" w:type="dxa"/>
            <w:vMerge w:val="restart"/>
            <w:vAlign w:val="center"/>
          </w:tcPr>
          <w:p>
            <w:pPr>
              <w:rPr>
                <w:rFonts w:ascii="Times New Roman" w:hAnsi="Times New Roman"/>
                <w:b/>
                <w:szCs w:val="21"/>
              </w:rPr>
            </w:pPr>
            <w:r>
              <w:rPr>
                <w:rFonts w:hint="eastAsia" w:ascii="Times New Roman" w:hAnsi="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rFonts w:ascii="Times New Roman" w:hAnsi="Times New Roman"/>
                <w:szCs w:val="21"/>
              </w:rPr>
            </w:pPr>
          </w:p>
        </w:tc>
        <w:tc>
          <w:tcPr>
            <w:tcW w:w="1213" w:type="dxa"/>
            <w:vMerge w:val="continue"/>
            <w:vAlign w:val="center"/>
          </w:tcPr>
          <w:p>
            <w:pPr>
              <w:rPr>
                <w:rFonts w:ascii="Times New Roman" w:hAnsi="Times New Roman"/>
                <w:szCs w:val="21"/>
              </w:rPr>
            </w:pPr>
          </w:p>
        </w:tc>
        <w:tc>
          <w:tcPr>
            <w:tcW w:w="1840" w:type="dxa"/>
            <w:vMerge w:val="continue"/>
            <w:vAlign w:val="center"/>
          </w:tcPr>
          <w:p>
            <w:pPr>
              <w:rPr>
                <w:rFonts w:ascii="Times New Roman" w:hAnsi="Times New Roman"/>
                <w:szCs w:val="21"/>
              </w:rPr>
            </w:pPr>
          </w:p>
        </w:tc>
        <w:tc>
          <w:tcPr>
            <w:tcW w:w="818" w:type="dxa"/>
            <w:vAlign w:val="center"/>
          </w:tcPr>
          <w:p>
            <w:pPr>
              <w:rPr>
                <w:rFonts w:ascii="Times New Roman" w:hAnsi="Times New Roman"/>
                <w:szCs w:val="21"/>
              </w:rPr>
            </w:pPr>
            <w:r>
              <w:rPr>
                <w:rFonts w:hint="eastAsia" w:ascii="Times New Roman" w:hAnsi="Times New Roman"/>
                <w:szCs w:val="21"/>
              </w:rPr>
              <w:t>数量</w:t>
            </w:r>
          </w:p>
        </w:tc>
        <w:tc>
          <w:tcPr>
            <w:tcW w:w="989" w:type="dxa"/>
            <w:vAlign w:val="center"/>
          </w:tcPr>
          <w:p>
            <w:pPr>
              <w:rPr>
                <w:rFonts w:ascii="Times New Roman" w:hAnsi="Times New Roman"/>
                <w:szCs w:val="21"/>
              </w:rPr>
            </w:pPr>
            <w:r>
              <w:rPr>
                <w:rFonts w:hint="eastAsia" w:ascii="Times New Roman" w:hAnsi="Times New Roman"/>
                <w:szCs w:val="21"/>
              </w:rPr>
              <w:t>投标单价（元）</w:t>
            </w:r>
          </w:p>
        </w:tc>
        <w:tc>
          <w:tcPr>
            <w:tcW w:w="1080" w:type="dxa"/>
            <w:vAlign w:val="center"/>
          </w:tcPr>
          <w:p>
            <w:pPr>
              <w:rPr>
                <w:rFonts w:ascii="Times New Roman" w:hAnsi="Times New Roman"/>
                <w:szCs w:val="21"/>
              </w:rPr>
            </w:pPr>
            <w:r>
              <w:rPr>
                <w:rFonts w:hint="eastAsia" w:ascii="Times New Roman" w:hAnsi="Times New Roman"/>
                <w:szCs w:val="21"/>
              </w:rPr>
              <w:t>投标合计报价（元）</w:t>
            </w:r>
          </w:p>
        </w:tc>
        <w:tc>
          <w:tcPr>
            <w:tcW w:w="1464" w:type="dxa"/>
            <w:vAlign w:val="center"/>
          </w:tcPr>
          <w:p>
            <w:pPr>
              <w:rPr>
                <w:rFonts w:ascii="Times New Roman" w:hAnsi="Times New Roman"/>
                <w:szCs w:val="21"/>
              </w:rPr>
            </w:pPr>
            <w:r>
              <w:rPr>
                <w:rFonts w:hint="eastAsia" w:ascii="Times New Roman" w:hAnsi="Times New Roman"/>
                <w:szCs w:val="21"/>
              </w:rPr>
              <w:t>占投标总价的比例（%）</w:t>
            </w:r>
          </w:p>
        </w:tc>
        <w:tc>
          <w:tcPr>
            <w:tcW w:w="1503" w:type="dxa"/>
            <w:vMerge w:val="continue"/>
            <w:vAlign w:val="center"/>
          </w:tcPr>
          <w:p>
            <w:pPr>
              <w:rPr>
                <w:rFonts w:ascii="Times New Roman" w:hAnsi="Times New Roman"/>
                <w:szCs w:val="21"/>
              </w:rPr>
            </w:pPr>
          </w:p>
        </w:tc>
        <w:tc>
          <w:tcPr>
            <w:tcW w:w="720" w:type="dxa"/>
            <w:vMerge w:val="continue"/>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rFonts w:ascii="Times New Roman" w:hAnsi="Times New Roman"/>
                <w:szCs w:val="21"/>
              </w:rPr>
            </w:pPr>
          </w:p>
        </w:tc>
        <w:tc>
          <w:tcPr>
            <w:tcW w:w="1840" w:type="dxa"/>
          </w:tcPr>
          <w:p>
            <w:pPr>
              <w:rPr>
                <w:rFonts w:ascii="Times New Roman" w:hAnsi="Times New Roman"/>
                <w:szCs w:val="21"/>
              </w:rPr>
            </w:pPr>
          </w:p>
        </w:tc>
        <w:tc>
          <w:tcPr>
            <w:tcW w:w="818" w:type="dxa"/>
          </w:tcPr>
          <w:p>
            <w:pPr>
              <w:rPr>
                <w:rFonts w:ascii="Times New Roman" w:hAnsi="Times New Roman"/>
                <w:szCs w:val="21"/>
              </w:rPr>
            </w:pPr>
          </w:p>
        </w:tc>
        <w:tc>
          <w:tcPr>
            <w:tcW w:w="989" w:type="dxa"/>
          </w:tcPr>
          <w:p>
            <w:pPr>
              <w:rPr>
                <w:rFonts w:ascii="Times New Roman" w:hAnsi="Times New Roman"/>
                <w:szCs w:val="21"/>
              </w:rPr>
            </w:pPr>
          </w:p>
        </w:tc>
        <w:tc>
          <w:tcPr>
            <w:tcW w:w="1080" w:type="dxa"/>
          </w:tcPr>
          <w:p>
            <w:pPr>
              <w:rPr>
                <w:rFonts w:ascii="Times New Roman" w:hAnsi="Times New Roman"/>
                <w:szCs w:val="21"/>
              </w:rPr>
            </w:pPr>
          </w:p>
        </w:tc>
        <w:tc>
          <w:tcPr>
            <w:tcW w:w="1464" w:type="dxa"/>
          </w:tcPr>
          <w:p>
            <w:pPr>
              <w:rPr>
                <w:rFonts w:ascii="Times New Roman" w:hAnsi="Times New Roman"/>
                <w:szCs w:val="21"/>
              </w:rPr>
            </w:pPr>
          </w:p>
        </w:tc>
        <w:tc>
          <w:tcPr>
            <w:tcW w:w="1503" w:type="dxa"/>
          </w:tcPr>
          <w:p>
            <w:pPr>
              <w:rPr>
                <w:rFonts w:ascii="Times New Roman" w:hAnsi="Times New Roman"/>
                <w:szCs w:val="21"/>
              </w:rPr>
            </w:pPr>
          </w:p>
        </w:tc>
        <w:tc>
          <w:tcPr>
            <w:tcW w:w="720" w:type="dxa"/>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rFonts w:ascii="Times New Roman" w:hAnsi="Times New Roman"/>
                <w:szCs w:val="21"/>
              </w:rPr>
            </w:pPr>
          </w:p>
        </w:tc>
        <w:tc>
          <w:tcPr>
            <w:tcW w:w="1840" w:type="dxa"/>
          </w:tcPr>
          <w:p>
            <w:pPr>
              <w:rPr>
                <w:rFonts w:ascii="Times New Roman" w:hAnsi="Times New Roman"/>
                <w:szCs w:val="21"/>
              </w:rPr>
            </w:pPr>
          </w:p>
        </w:tc>
        <w:tc>
          <w:tcPr>
            <w:tcW w:w="818" w:type="dxa"/>
          </w:tcPr>
          <w:p>
            <w:pPr>
              <w:rPr>
                <w:rFonts w:ascii="Times New Roman" w:hAnsi="Times New Roman"/>
                <w:szCs w:val="21"/>
              </w:rPr>
            </w:pPr>
          </w:p>
        </w:tc>
        <w:tc>
          <w:tcPr>
            <w:tcW w:w="989" w:type="dxa"/>
          </w:tcPr>
          <w:p>
            <w:pPr>
              <w:rPr>
                <w:rFonts w:ascii="Times New Roman" w:hAnsi="Times New Roman"/>
                <w:szCs w:val="21"/>
              </w:rPr>
            </w:pPr>
          </w:p>
        </w:tc>
        <w:tc>
          <w:tcPr>
            <w:tcW w:w="1080" w:type="dxa"/>
          </w:tcPr>
          <w:p>
            <w:pPr>
              <w:rPr>
                <w:rFonts w:ascii="Times New Roman" w:hAnsi="Times New Roman"/>
                <w:szCs w:val="21"/>
              </w:rPr>
            </w:pPr>
          </w:p>
        </w:tc>
        <w:tc>
          <w:tcPr>
            <w:tcW w:w="1464" w:type="dxa"/>
          </w:tcPr>
          <w:p>
            <w:pPr>
              <w:rPr>
                <w:rFonts w:ascii="Times New Roman" w:hAnsi="Times New Roman"/>
                <w:szCs w:val="21"/>
              </w:rPr>
            </w:pPr>
          </w:p>
        </w:tc>
        <w:tc>
          <w:tcPr>
            <w:tcW w:w="1503" w:type="dxa"/>
          </w:tcPr>
          <w:p>
            <w:pPr>
              <w:rPr>
                <w:rFonts w:ascii="Times New Roman" w:hAnsi="Times New Roman"/>
                <w:szCs w:val="21"/>
              </w:rPr>
            </w:pPr>
          </w:p>
        </w:tc>
        <w:tc>
          <w:tcPr>
            <w:tcW w:w="720" w:type="dxa"/>
          </w:tcPr>
          <w:p>
            <w:pPr>
              <w:rPr>
                <w:rFonts w:ascii="Times New Roman" w:hAnsi="Times New Roman"/>
                <w:szCs w:val="21"/>
              </w:rPr>
            </w:pPr>
          </w:p>
        </w:tc>
      </w:tr>
    </w:tbl>
    <w:p>
      <w:pPr>
        <w:spacing w:line="360" w:lineRule="auto"/>
        <w:rPr>
          <w:rFonts w:ascii="Times New Roman" w:hAnsi="Times New Roman"/>
          <w:szCs w:val="21"/>
        </w:rPr>
      </w:pPr>
      <w:r>
        <w:rPr>
          <w:rFonts w:hint="eastAsia" w:ascii="Times New Roman" w:hAnsi="Times New Roman"/>
          <w:szCs w:val="21"/>
        </w:rPr>
        <w:t>注</w:t>
      </w:r>
      <w:r>
        <w:rPr>
          <w:rFonts w:hint="eastAsia" w:ascii="宋体" w:hAnsi="宋体"/>
          <w:szCs w:val="21"/>
        </w:rPr>
        <w:t xml:space="preserve">：1. </w:t>
      </w:r>
      <w:r>
        <w:rPr>
          <w:rFonts w:hint="eastAsia" w:ascii="Times New Roman" w:hAnsi="Times New Roman"/>
          <w:szCs w:val="21"/>
        </w:rPr>
        <w:t>投标人的投标产品若不属于招标文件第四章“政府采购扶持政策</w:t>
      </w:r>
      <w:r>
        <w:rPr>
          <w:rFonts w:hint="eastAsia" w:ascii="Times New Roman" w:hAnsi="Times New Roman"/>
          <w:bCs/>
          <w:szCs w:val="21"/>
        </w:rPr>
        <w:t>”</w:t>
      </w:r>
      <w:r>
        <w:rPr>
          <w:rFonts w:hint="eastAsia" w:ascii="Times New Roman" w:hAnsi="Times New Roman"/>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ascii="Times New Roman" w:hAnsi="Times New Roman"/>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widowControl/>
        <w:spacing w:line="360" w:lineRule="auto"/>
        <w:jc w:val="left"/>
        <w:rPr>
          <w:rFonts w:cs="仿宋" w:asciiTheme="minorEastAsia" w:hAnsiTheme="minorEastAsia" w:eastAsiaTheme="minorEastAsia"/>
          <w:snapToGrid w:val="0"/>
          <w:szCs w:val="18"/>
        </w:rPr>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p>
    <w:p>
      <w:pPr>
        <w:jc w:val="center"/>
        <w:rPr>
          <w:rFonts w:cs="仿宋" w:asciiTheme="minorEastAsia" w:hAnsiTheme="minorEastAsia" w:eastAsiaTheme="minorEastAsia"/>
          <w:snapToGrid w:val="0"/>
          <w:szCs w:val="18"/>
        </w:rPr>
      </w:pPr>
    </w:p>
    <w:p>
      <w:pPr>
        <w:jc w:val="center"/>
        <w:rPr>
          <w:rFonts w:cs="仿宋" w:asciiTheme="minorEastAsia" w:hAnsiTheme="minorEastAsia" w:eastAsiaTheme="minorEastAsia"/>
          <w:snapToGrid w:val="0"/>
          <w:szCs w:val="18"/>
        </w:rPr>
      </w:pPr>
    </w:p>
    <w:p>
      <w:pPr>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sz w:val="32"/>
          <w:szCs w:val="32"/>
        </w:rPr>
        <w:t xml:space="preserve">格式4  </w:t>
      </w:r>
      <w:r>
        <w:rPr>
          <w:rFonts w:hint="eastAsia" w:cs="仿宋" w:asciiTheme="minorEastAsia" w:hAnsiTheme="minorEastAsia" w:eastAsiaTheme="minorEastAsia"/>
          <w:b/>
          <w:bCs/>
          <w:sz w:val="32"/>
          <w:szCs w:val="32"/>
        </w:rPr>
        <w:t>开标一览表</w:t>
      </w:r>
    </w:p>
    <w:p>
      <w:pPr>
        <w:rPr>
          <w:rFonts w:cs="仿宋" w:asciiTheme="minorEastAsia" w:hAnsiTheme="minorEastAsia" w:eastAsiaTheme="minorEastAsia"/>
        </w:rPr>
      </w:pP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项目名称：</w:t>
      </w:r>
      <w:r>
        <w:rPr>
          <w:rFonts w:hint="eastAsia" w:cs="仿宋" w:asciiTheme="minorEastAsia" w:hAnsiTheme="minorEastAsia" w:eastAsiaTheme="minorEastAsia"/>
          <w:u w:val="single"/>
        </w:rPr>
        <w:t xml:space="preserve">                </w:t>
      </w: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项目编号：</w:t>
      </w:r>
      <w:r>
        <w:rPr>
          <w:rFonts w:hint="eastAsia" w:cs="仿宋" w:asciiTheme="minorEastAsia" w:hAnsiTheme="minorEastAsia" w:eastAsiaTheme="minorEastAsia"/>
          <w:u w:val="single"/>
        </w:rPr>
        <w:t xml:space="preserve">                </w:t>
      </w:r>
    </w:p>
    <w:tbl>
      <w:tblPr>
        <w:tblStyle w:val="17"/>
        <w:tblW w:w="4999" w:type="pct"/>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73"/>
        <w:gridCol w:w="3914"/>
        <w:gridCol w:w="1533"/>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3" w:type="pct"/>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项目名称</w:t>
            </w:r>
          </w:p>
        </w:tc>
        <w:tc>
          <w:tcPr>
            <w:tcW w:w="2296" w:type="pct"/>
            <w:shd w:val="clear" w:color="auto" w:fill="C6D9F0" w:themeFill="text2" w:themeFillTint="33"/>
            <w:vAlign w:val="center"/>
          </w:tcPr>
          <w:p>
            <w:pPr>
              <w:jc w:val="center"/>
              <w:rPr>
                <w:b/>
                <w:bCs/>
              </w:rPr>
            </w:pPr>
            <w:r>
              <w:rPr>
                <w:rFonts w:hint="eastAsia"/>
                <w:b/>
                <w:bCs/>
              </w:rPr>
              <w:t>投标总价</w:t>
            </w:r>
          </w:p>
          <w:p>
            <w:pPr>
              <w:pStyle w:val="2"/>
              <w:ind w:firstLine="843" w:firstLineChars="400"/>
              <w:rPr>
                <w:rFonts w:eastAsiaTheme="minorEastAsia"/>
              </w:rPr>
            </w:pPr>
            <w:r>
              <w:rPr>
                <w:rFonts w:hint="eastAsia" w:eastAsiaTheme="minorEastAsia"/>
                <w:b/>
                <w:bCs/>
              </w:rPr>
              <w:t>（人民币元）</w:t>
            </w:r>
          </w:p>
        </w:tc>
        <w:tc>
          <w:tcPr>
            <w:tcW w:w="899" w:type="pct"/>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备注</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9" w:hRule="atLeast"/>
          <w:jc w:val="center"/>
        </w:trPr>
        <w:tc>
          <w:tcPr>
            <w:tcW w:w="1803" w:type="pct"/>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电子脚扣采购</w:t>
            </w:r>
          </w:p>
        </w:tc>
        <w:tc>
          <w:tcPr>
            <w:tcW w:w="2296" w:type="pct"/>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spacing w:line="360" w:lineRule="auto"/>
              <w:rPr>
                <w:rFonts w:cs="仿宋" w:asciiTheme="minorEastAsia" w:hAnsiTheme="minorEastAsia" w:eastAsiaTheme="minorEastAsia"/>
                <w:u w:val="single"/>
              </w:rPr>
            </w:pPr>
            <w:r>
              <w:rPr>
                <w:snapToGrid w:val="0"/>
                <w:kern w:val="0"/>
              </w:rPr>
              <w:t>小写：</w:t>
            </w:r>
            <w:r>
              <w:rPr>
                <w:snapToGrid w:val="0"/>
                <w:kern w:val="0"/>
                <w:u w:val="single"/>
              </w:rPr>
              <w:t xml:space="preserve">                   </w:t>
            </w:r>
            <w:r>
              <w:rPr>
                <w:rFonts w:hint="eastAsia"/>
                <w:snapToGrid w:val="0"/>
                <w:kern w:val="0"/>
                <w:u w:val="single"/>
              </w:rPr>
              <w:t xml:space="preserve">             </w:t>
            </w:r>
            <w:r>
              <w:rPr>
                <w:rFonts w:hint="eastAsia" w:cs="仿宋" w:asciiTheme="minorEastAsia" w:hAnsiTheme="minorEastAsia" w:eastAsiaTheme="minorEastAsia"/>
                <w:b/>
              </w:rPr>
              <w:t xml:space="preserve">                          </w:t>
            </w:r>
          </w:p>
        </w:tc>
        <w:tc>
          <w:tcPr>
            <w:tcW w:w="899" w:type="pct"/>
            <w:vAlign w:val="center"/>
          </w:tcPr>
          <w:p>
            <w:pPr>
              <w:spacing w:line="360" w:lineRule="auto"/>
              <w:jc w:val="center"/>
              <w:rPr>
                <w:rFonts w:cs="仿宋" w:asciiTheme="minorEastAsia" w:hAnsiTheme="minorEastAsia" w:eastAsiaTheme="minorEastAsia"/>
              </w:rPr>
            </w:pPr>
          </w:p>
        </w:tc>
      </w:tr>
    </w:tbl>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投标供应商：（公章）</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spacing w:line="440" w:lineRule="exact"/>
        <w:ind w:firstLine="422" w:firstLineChars="200"/>
        <w:jc w:val="left"/>
        <w:rPr>
          <w:rFonts w:cs="仿宋" w:asciiTheme="minorEastAsia" w:hAnsiTheme="minorEastAsia" w:eastAsiaTheme="minorEastAsia"/>
          <w:b/>
          <w:color w:val="FF0000"/>
        </w:rPr>
      </w:pPr>
      <w:r>
        <w:rPr>
          <w:rFonts w:hint="eastAsia" w:cs="仿宋" w:asciiTheme="minorEastAsia" w:hAnsiTheme="minorEastAsia" w:eastAsiaTheme="minorEastAsia"/>
          <w:b/>
          <w:color w:val="FF0000"/>
        </w:rPr>
        <w:t>注：</w:t>
      </w:r>
    </w:p>
    <w:p>
      <w:pPr>
        <w:spacing w:line="440" w:lineRule="exact"/>
        <w:ind w:firstLine="420" w:firstLineChars="200"/>
        <w:jc w:val="left"/>
        <w:rPr>
          <w:rFonts w:cs="仿宋" w:asciiTheme="minorEastAsia" w:hAnsiTheme="minorEastAsia" w:eastAsiaTheme="minorEastAsia"/>
          <w:bCs/>
        </w:rPr>
      </w:pPr>
      <w:r>
        <w:rPr>
          <w:rFonts w:hint="eastAsia" w:cs="仿宋" w:asciiTheme="minorEastAsia" w:hAnsiTheme="minorEastAsia" w:eastAsiaTheme="minorEastAsia"/>
        </w:rPr>
        <w:t>1、价格应按“征集文件”中规定</w:t>
      </w:r>
      <w:r>
        <w:rPr>
          <w:rFonts w:hint="eastAsia" w:cs="仿宋" w:asciiTheme="minorEastAsia" w:hAnsiTheme="minorEastAsia" w:eastAsiaTheme="minorEastAsia"/>
          <w:bCs/>
        </w:rPr>
        <w:t>的货币单位填写。</w:t>
      </w:r>
    </w:p>
    <w:p>
      <w:pPr>
        <w:spacing w:line="440" w:lineRule="exact"/>
        <w:ind w:firstLine="420" w:firstLineChars="200"/>
        <w:jc w:val="left"/>
        <w:rPr>
          <w:rFonts w:cs="仿宋" w:asciiTheme="minorEastAsia" w:hAnsiTheme="minorEastAsia" w:eastAsiaTheme="minorEastAsia"/>
        </w:rPr>
      </w:pPr>
      <w:r>
        <w:rPr>
          <w:rFonts w:hint="eastAsia" w:cs="仿宋" w:asciiTheme="minorEastAsia" w:hAnsiTheme="minorEastAsia" w:eastAsiaTheme="minorEastAsia"/>
          <w:bCs/>
        </w:rPr>
        <w:t>2、</w:t>
      </w:r>
      <w:r>
        <w:rPr>
          <w:rFonts w:hint="eastAsia" w:cs="仿宋" w:asciiTheme="minorEastAsia" w:hAnsiTheme="minorEastAsia" w:eastAsiaTheme="minorEastAsia"/>
        </w:rPr>
        <w:t>本项目投标总价必须是完成该项目的一切费用总和，包含设备费、运输费、装卸费、安装费、调试费、保险费、技术培训费、售后服务费、国家规定的各项税费等全部费用。</w:t>
      </w:r>
    </w:p>
    <w:p>
      <w:pPr>
        <w:spacing w:line="440" w:lineRule="exact"/>
        <w:ind w:firstLine="420" w:firstLineChars="200"/>
        <w:jc w:val="left"/>
        <w:rPr>
          <w:rFonts w:cs="仿宋" w:asciiTheme="minorEastAsia" w:hAnsiTheme="minorEastAsia" w:eastAsiaTheme="minorEastAsia"/>
        </w:rPr>
      </w:pPr>
      <w:r>
        <w:rPr>
          <w:rFonts w:hint="eastAsia" w:cs="仿宋" w:asciiTheme="minorEastAsia" w:hAnsiTheme="minorEastAsia" w:eastAsiaTheme="minorEastAsia"/>
        </w:rPr>
        <w:t>3、此表应经法定代表人或其授权委托人签名，并加盖投标供应商公章。</w:t>
      </w:r>
    </w:p>
    <w:p>
      <w:pPr>
        <w:spacing w:line="440" w:lineRule="exact"/>
        <w:ind w:firstLine="482" w:firstLineChars="200"/>
        <w:jc w:val="left"/>
        <w:rPr>
          <w:rFonts w:cs="仿宋" w:asciiTheme="minorEastAsia" w:hAnsiTheme="minorEastAsia" w:eastAsiaTheme="minorEastAsia"/>
          <w:b/>
          <w:sz w:val="24"/>
          <w:szCs w:val="24"/>
        </w:rPr>
      </w:pPr>
      <w:r>
        <w:rPr>
          <w:rFonts w:cs="仿宋" w:asciiTheme="minorEastAsia" w:hAnsiTheme="minorEastAsia" w:eastAsiaTheme="minorEastAsia"/>
          <w:b/>
          <w:sz w:val="24"/>
          <w:szCs w:val="24"/>
        </w:rPr>
        <w:t>4、此表毋需装订于正副本内，应按“</w:t>
      </w:r>
      <w:r>
        <w:rPr>
          <w:rFonts w:hint="eastAsia" w:cs="仿宋" w:asciiTheme="minorEastAsia" w:hAnsiTheme="minorEastAsia" w:eastAsiaTheme="minorEastAsia"/>
          <w:b/>
          <w:sz w:val="24"/>
          <w:szCs w:val="24"/>
        </w:rPr>
        <w:t>投标须知”</w:t>
      </w:r>
      <w:r>
        <w:rPr>
          <w:rFonts w:cs="仿宋" w:asciiTheme="minorEastAsia" w:hAnsiTheme="minorEastAsia" w:eastAsiaTheme="minorEastAsia"/>
          <w:b/>
          <w:sz w:val="24"/>
          <w:szCs w:val="24"/>
        </w:rPr>
        <w:t>18.5项要求，与“法定代表人（负责人）证明书、法定代表人（负责人）授权委托书”一起单独密封提交</w:t>
      </w:r>
      <w:r>
        <w:rPr>
          <w:rFonts w:hint="eastAsia" w:cs="仿宋" w:asciiTheme="minorEastAsia" w:hAnsiTheme="minorEastAsia" w:eastAsiaTheme="minorEastAsia"/>
          <w:b/>
          <w:sz w:val="24"/>
          <w:szCs w:val="24"/>
        </w:rPr>
        <w:t>。</w:t>
      </w:r>
    </w:p>
    <w:p>
      <w:pPr>
        <w:spacing w:line="440" w:lineRule="exact"/>
        <w:ind w:firstLine="422" w:firstLineChars="200"/>
        <w:jc w:val="left"/>
        <w:rPr>
          <w:rFonts w:cs="仿宋" w:asciiTheme="minorEastAsia" w:hAnsiTheme="minorEastAsia" w:eastAsiaTheme="minorEastAsia"/>
          <w:b/>
        </w:rPr>
      </w:pPr>
    </w:p>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sz w:val="32"/>
          <w:szCs w:val="32"/>
        </w:rPr>
        <w:t xml:space="preserve">格式5  </w:t>
      </w:r>
      <w:r>
        <w:rPr>
          <w:rFonts w:hint="eastAsia" w:cs="仿宋" w:asciiTheme="minorEastAsia" w:hAnsiTheme="minorEastAsia" w:eastAsiaTheme="minorEastAsia"/>
          <w:b/>
          <w:bCs/>
          <w:sz w:val="32"/>
          <w:szCs w:val="32"/>
        </w:rPr>
        <w:t>报价表</w:t>
      </w:r>
    </w:p>
    <w:p>
      <w:pPr>
        <w:rPr>
          <w:rFonts w:cs="仿宋" w:asciiTheme="minorEastAsia" w:hAnsiTheme="minorEastAsia" w:eastAsiaTheme="minorEastAsia"/>
        </w:rPr>
      </w:pPr>
    </w:p>
    <w:p>
      <w:pPr>
        <w:spacing w:line="440" w:lineRule="exact"/>
        <w:rPr>
          <w:rFonts w:cs="仿宋" w:asciiTheme="minorEastAsia" w:hAnsiTheme="minorEastAsia" w:eastAsiaTheme="minorEastAsia"/>
        </w:rPr>
      </w:pPr>
      <w:r>
        <w:rPr>
          <w:rFonts w:hint="eastAsia" w:cs="仿宋" w:asciiTheme="minorEastAsia" w:hAnsiTheme="minorEastAsia" w:eastAsiaTheme="minorEastAsia"/>
        </w:rPr>
        <w:t>一、报价要求</w:t>
      </w:r>
    </w:p>
    <w:p>
      <w:pPr>
        <w:spacing w:line="44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rPr>
        <w:t>1、所有价格应按“征集文件”中规定的货币单位填写。</w:t>
      </w:r>
    </w:p>
    <w:p>
      <w:pPr>
        <w:pStyle w:val="2"/>
        <w:spacing w:after="0" w:line="440" w:lineRule="exact"/>
        <w:ind w:left="0" w:leftChars="0" w:firstLine="0" w:firstLineChars="0"/>
        <w:rPr>
          <w:rFonts w:eastAsiaTheme="minorEastAsia"/>
        </w:rPr>
      </w:pPr>
      <w:r>
        <w:rPr>
          <w:rFonts w:hint="eastAsia" w:cs="仿宋" w:asciiTheme="minorEastAsia" w:hAnsiTheme="minorEastAsia" w:eastAsiaTheme="minorEastAsia"/>
        </w:rPr>
        <w:t xml:space="preserve">    2、报价包含设备费、运输费、装卸费、安装费、调试费、保险费、技术培训费、售后服务费、国家规定的各项税费等全部费用。</w:t>
      </w:r>
    </w:p>
    <w:p>
      <w:pPr>
        <w:spacing w:line="44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rPr>
        <w:t>3、“分项价格表”应将所有设备报价，并分别列出“品牌、型号、产地及制造厂商”。</w:t>
      </w:r>
    </w:p>
    <w:p>
      <w:pPr>
        <w:spacing w:line="44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rPr>
        <w:t>4、</w:t>
      </w:r>
      <w:r>
        <w:rPr>
          <w:rFonts w:hint="eastAsia" w:cs="仿宋" w:asciiTheme="minorEastAsia" w:hAnsiTheme="minorEastAsia" w:eastAsiaTheme="minorEastAsia"/>
          <w:bCs/>
        </w:rPr>
        <w:t>此表应经法定代表人或授权委托人签名，并加盖公章。</w:t>
      </w:r>
    </w:p>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二、报价表</w:t>
      </w:r>
    </w:p>
    <w:p>
      <w:pPr>
        <w:pStyle w:val="2"/>
        <w:ind w:left="0" w:leftChars="0" w:firstLine="0" w:firstLineChars="0"/>
        <w:jc w:val="center"/>
        <w:rPr>
          <w:rFonts w:eastAsiaTheme="minorEastAsia"/>
          <w:sz w:val="18"/>
          <w:szCs w:val="21"/>
        </w:rPr>
      </w:pPr>
      <w:r>
        <w:rPr>
          <w:rFonts w:hint="eastAsia" w:cs="仿宋" w:asciiTheme="minorEastAsia" w:hAnsiTheme="minorEastAsia" w:eastAsiaTheme="minorEastAsia"/>
          <w:sz w:val="24"/>
        </w:rPr>
        <w:t>（一）报价总表</w:t>
      </w: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项目名称：</w:t>
      </w:r>
      <w:r>
        <w:rPr>
          <w:rFonts w:hint="eastAsia" w:cs="仿宋" w:asciiTheme="minorEastAsia" w:hAnsiTheme="minorEastAsia" w:eastAsiaTheme="minorEastAsia"/>
          <w:u w:val="single"/>
        </w:rPr>
        <w:t xml:space="preserve">                </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项目编号：</w:t>
      </w:r>
      <w:r>
        <w:rPr>
          <w:rFonts w:hint="eastAsia" w:cs="仿宋" w:asciiTheme="minorEastAsia" w:hAnsiTheme="minorEastAsia" w:eastAsiaTheme="minorEastAsia"/>
          <w:u w:val="single"/>
        </w:rPr>
        <w:t xml:space="preserve">                </w:t>
      </w:r>
    </w:p>
    <w:tbl>
      <w:tblPr>
        <w:tblStyle w:val="16"/>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2877"/>
        <w:gridCol w:w="503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42" w:type="pct"/>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bl>
    <w:p>
      <w:pPr>
        <w:spacing w:line="360" w:lineRule="auto"/>
        <w:rPr>
          <w:rFonts w:cs="仿宋" w:asciiTheme="minorEastAsia" w:hAnsiTheme="minorEastAsia" w:eastAsiaTheme="minorEastAsia"/>
        </w:rPr>
      </w:pPr>
      <w:r>
        <w:rPr>
          <w:rFonts w:hint="eastAsia" w:cs="仿宋" w:asciiTheme="minorEastAsia" w:hAnsiTheme="minorEastAsia" w:eastAsiaTheme="minorEastAsia"/>
        </w:rPr>
        <w:t>注：1、本表格仅为指导性范本，供应商可根据项目具体情况对各分项内容进行调整。</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2、开标一览表中的投标总价应与本表中的报价合计金额一致。</w:t>
      </w:r>
    </w:p>
    <w:p>
      <w:pPr>
        <w:pStyle w:val="2"/>
        <w:rPr>
          <w:rFonts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投标供应商：（公章）</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pStyle w:val="2"/>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16"/>
        <w:tblW w:w="4995"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1468"/>
        <w:gridCol w:w="570"/>
        <w:gridCol w:w="684"/>
        <w:gridCol w:w="1141"/>
        <w:gridCol w:w="799"/>
        <w:gridCol w:w="524"/>
        <w:gridCol w:w="582"/>
        <w:gridCol w:w="570"/>
        <w:gridCol w:w="621"/>
        <w:gridCol w:w="101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 w:type="pct"/>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862"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402"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670" w:type="pct"/>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469"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308" w:type="pct"/>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342"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365"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590" w:type="pct"/>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 w:type="pct"/>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862" w:type="pct"/>
            <w:vAlign w:val="center"/>
          </w:tcPr>
          <w:p>
            <w:pPr>
              <w:widowControl/>
              <w:spacing w:line="360" w:lineRule="auto"/>
              <w:jc w:val="center"/>
              <w:rPr>
                <w:rFonts w:cs="宋体" w:asciiTheme="minorEastAsia" w:hAnsiTheme="minorEastAsia" w:eastAsiaTheme="minorEastAsia"/>
                <w:kern w:val="0"/>
                <w:szCs w:val="21"/>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0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670"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69"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08"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4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65" w:type="pct"/>
          </w:tcPr>
          <w:p>
            <w:pPr>
              <w:adjustRightInd w:val="0"/>
              <w:snapToGrid w:val="0"/>
              <w:spacing w:line="300" w:lineRule="auto"/>
              <w:jc w:val="center"/>
              <w:rPr>
                <w:rFonts w:asciiTheme="minorEastAsia" w:hAnsiTheme="minorEastAsia" w:eastAsiaTheme="minorEastAsia"/>
                <w:snapToGrid w:val="0"/>
                <w:kern w:val="0"/>
              </w:rPr>
            </w:pPr>
          </w:p>
        </w:tc>
        <w:tc>
          <w:tcPr>
            <w:tcW w:w="590" w:type="pct"/>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 w:type="pct"/>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862" w:type="pct"/>
            <w:vAlign w:val="center"/>
          </w:tcPr>
          <w:p>
            <w:pPr>
              <w:widowControl/>
              <w:spacing w:line="360" w:lineRule="auto"/>
              <w:jc w:val="center"/>
              <w:rPr>
                <w:rFonts w:cs="宋体" w:asciiTheme="minorEastAsia" w:hAnsiTheme="minorEastAsia" w:eastAsiaTheme="minorEastAsia"/>
                <w:kern w:val="0"/>
                <w:szCs w:val="21"/>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0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670"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69"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08"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4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65" w:type="pct"/>
          </w:tcPr>
          <w:p>
            <w:pPr>
              <w:adjustRightInd w:val="0"/>
              <w:snapToGrid w:val="0"/>
              <w:spacing w:line="300" w:lineRule="auto"/>
              <w:jc w:val="center"/>
              <w:rPr>
                <w:rFonts w:asciiTheme="minorEastAsia" w:hAnsiTheme="minorEastAsia" w:eastAsiaTheme="minorEastAsia"/>
                <w:snapToGrid w:val="0"/>
                <w:kern w:val="0"/>
              </w:rPr>
            </w:pPr>
          </w:p>
        </w:tc>
        <w:tc>
          <w:tcPr>
            <w:tcW w:w="590" w:type="pct"/>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 w:type="pct"/>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862" w:type="pct"/>
            <w:vAlign w:val="center"/>
          </w:tcPr>
          <w:p>
            <w:pPr>
              <w:widowControl/>
              <w:spacing w:line="360" w:lineRule="auto"/>
              <w:jc w:val="center"/>
              <w:rPr>
                <w:rFonts w:cs="宋体" w:asciiTheme="minorEastAsia" w:hAnsiTheme="minorEastAsia" w:eastAsiaTheme="minorEastAsia"/>
                <w:kern w:val="0"/>
                <w:szCs w:val="21"/>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0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670"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69"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08"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4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65" w:type="pct"/>
          </w:tcPr>
          <w:p>
            <w:pPr>
              <w:adjustRightInd w:val="0"/>
              <w:snapToGrid w:val="0"/>
              <w:spacing w:line="300" w:lineRule="auto"/>
              <w:jc w:val="center"/>
              <w:rPr>
                <w:rFonts w:asciiTheme="minorEastAsia" w:hAnsiTheme="minorEastAsia" w:eastAsiaTheme="minorEastAsia"/>
                <w:snapToGrid w:val="0"/>
                <w:kern w:val="0"/>
              </w:rPr>
            </w:pPr>
          </w:p>
        </w:tc>
        <w:tc>
          <w:tcPr>
            <w:tcW w:w="590" w:type="pct"/>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 w:type="pct"/>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862" w:type="pct"/>
            <w:vAlign w:val="center"/>
          </w:tcPr>
          <w:p>
            <w:pPr>
              <w:widowControl/>
              <w:spacing w:line="360" w:lineRule="auto"/>
              <w:jc w:val="center"/>
              <w:rPr>
                <w:rFonts w:cs="宋体" w:asciiTheme="minorEastAsia" w:hAnsiTheme="minorEastAsia" w:eastAsiaTheme="minorEastAsia"/>
                <w:kern w:val="0"/>
                <w:szCs w:val="21"/>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0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670"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69"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08"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4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65" w:type="pct"/>
          </w:tcPr>
          <w:p>
            <w:pPr>
              <w:adjustRightInd w:val="0"/>
              <w:snapToGrid w:val="0"/>
              <w:spacing w:line="300" w:lineRule="auto"/>
              <w:jc w:val="center"/>
              <w:rPr>
                <w:rFonts w:asciiTheme="minorEastAsia" w:hAnsiTheme="minorEastAsia" w:eastAsiaTheme="minorEastAsia"/>
                <w:snapToGrid w:val="0"/>
                <w:kern w:val="0"/>
              </w:rPr>
            </w:pPr>
          </w:p>
        </w:tc>
        <w:tc>
          <w:tcPr>
            <w:tcW w:w="590" w:type="pct"/>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 w:type="pct"/>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862" w:type="pct"/>
            <w:vAlign w:val="center"/>
          </w:tcPr>
          <w:p>
            <w:pPr>
              <w:widowControl/>
              <w:spacing w:line="360" w:lineRule="auto"/>
              <w:jc w:val="center"/>
              <w:rPr>
                <w:rFonts w:cs="宋体" w:asciiTheme="minorEastAsia" w:hAnsiTheme="minorEastAsia" w:eastAsiaTheme="minorEastAsia"/>
                <w:kern w:val="0"/>
                <w:szCs w:val="21"/>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0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670"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69"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08"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4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65" w:type="pct"/>
          </w:tcPr>
          <w:p>
            <w:pPr>
              <w:adjustRightInd w:val="0"/>
              <w:snapToGrid w:val="0"/>
              <w:spacing w:line="300" w:lineRule="auto"/>
              <w:jc w:val="center"/>
              <w:rPr>
                <w:rFonts w:asciiTheme="minorEastAsia" w:hAnsiTheme="minorEastAsia" w:eastAsiaTheme="minorEastAsia"/>
                <w:snapToGrid w:val="0"/>
                <w:kern w:val="0"/>
              </w:rPr>
            </w:pPr>
          </w:p>
        </w:tc>
        <w:tc>
          <w:tcPr>
            <w:tcW w:w="590" w:type="pct"/>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eastAsiaTheme="minorEastAsia"/>
          <w:bCs/>
          <w:szCs w:val="21"/>
        </w:rPr>
        <w:t>征集</w:t>
      </w:r>
      <w:r>
        <w:rPr>
          <w:rFonts w:hint="eastAsia" w:ascii="宋体" w:hAnsi="宋体" w:cs="Arial"/>
          <w:bCs/>
          <w:szCs w:val="21"/>
        </w:rPr>
        <w:t>文件第二部分《采购项目需求》中</w:t>
      </w:r>
      <w:r>
        <w:rPr>
          <w:rFonts w:hint="eastAsia" w:ascii="宋体" w:hAnsi="宋体" w:cs="Arial"/>
          <w:b/>
          <w:szCs w:val="21"/>
        </w:rPr>
        <w:t>“二、货物清单明细”</w:t>
      </w:r>
      <w:r>
        <w:rPr>
          <w:rFonts w:hint="eastAsia" w:ascii="宋体" w:hAnsi="宋体" w:cs="Arial"/>
          <w:bCs/>
          <w:szCs w:val="21"/>
        </w:rPr>
        <w:t>填写</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供应商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16"/>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16"/>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sz w:val="32"/>
          <w:szCs w:val="32"/>
        </w:rPr>
        <w:t xml:space="preserve">格式6  </w:t>
      </w:r>
      <w:r>
        <w:rPr>
          <w:rFonts w:hint="eastAsia" w:cs="仿宋" w:asciiTheme="minorEastAsia" w:hAnsiTheme="minorEastAsia" w:eastAsiaTheme="minorEastAsia"/>
          <w:b/>
          <w:bCs/>
          <w:sz w:val="32"/>
          <w:szCs w:val="32"/>
        </w:rPr>
        <w:t>技术规格</w:t>
      </w:r>
    </w:p>
    <w:p>
      <w:pPr>
        <w:rPr>
          <w:rFonts w:cs="仿宋" w:asciiTheme="minorEastAsia" w:hAnsiTheme="minorEastAsia" w:eastAsiaTheme="minorEastAsia"/>
          <w:highlight w:val="yellow"/>
        </w:rPr>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rPr>
          <w:rFonts w:cs="仿宋" w:asciiTheme="minorEastAsia" w:hAnsiTheme="minorEastAsia" w:eastAsiaTheme="minorEastAsia"/>
          <w:highlight w:val="yellow"/>
        </w:rPr>
      </w:pPr>
    </w:p>
    <w:p>
      <w:pPr>
        <w:widowControl/>
        <w:jc w:val="left"/>
        <w:rPr>
          <w:rFonts w:cs="仿宋" w:asciiTheme="minorEastAsia" w:hAnsiTheme="minorEastAsia" w:eastAsiaTheme="minorEastAsia"/>
        </w:rPr>
      </w:pPr>
      <w:r>
        <w:rPr>
          <w:rFonts w:cs="仿宋" w:asciiTheme="minorEastAsia" w:hAnsiTheme="minorEastAsia" w:eastAsiaTheme="minorEastAsia"/>
        </w:rPr>
        <w:br w:type="page"/>
      </w:r>
    </w:p>
    <w:p>
      <w:pPr>
        <w:widowControl/>
        <w:jc w:val="left"/>
        <w:rPr>
          <w:rFonts w:cs="仿宋" w:asciiTheme="minorEastAsia" w:hAnsiTheme="minorEastAsia" w:eastAsiaTheme="minorEastAsia"/>
        </w:rPr>
      </w:pPr>
    </w:p>
    <w:p>
      <w:pPr>
        <w:tabs>
          <w:tab w:val="left" w:pos="170"/>
        </w:tabs>
        <w:autoSpaceDE w:val="0"/>
        <w:autoSpaceDN w:val="0"/>
        <w:adjustRightInd w:val="0"/>
        <w:spacing w:line="360" w:lineRule="auto"/>
        <w:ind w:firstLine="321" w:firstLineChars="100"/>
        <w:jc w:val="center"/>
        <w:rPr>
          <w:rFonts w:cs="仿宋" w:asciiTheme="minorEastAsia" w:hAnsiTheme="minorEastAsia" w:eastAsiaTheme="minorEastAsia"/>
        </w:rPr>
      </w:pPr>
      <w:r>
        <w:rPr>
          <w:rFonts w:hint="eastAsia" w:cs="仿宋" w:asciiTheme="minorEastAsia" w:hAnsiTheme="minorEastAsia" w:eastAsiaTheme="minorEastAsia"/>
          <w:b/>
          <w:sz w:val="32"/>
          <w:szCs w:val="32"/>
        </w:rPr>
        <w:t xml:space="preserve">格式7  </w:t>
      </w:r>
      <w:r>
        <w:rPr>
          <w:rFonts w:hint="eastAsia" w:cs="仿宋" w:asciiTheme="minorEastAsia" w:hAnsiTheme="minorEastAsia" w:eastAsiaTheme="minorEastAsia"/>
          <w:b/>
          <w:bCs/>
          <w:sz w:val="32"/>
          <w:szCs w:val="32"/>
        </w:rPr>
        <w:t>交付进度</w:t>
      </w:r>
    </w:p>
    <w:p>
      <w:pPr>
        <w:rPr>
          <w:rFonts w:cs="仿宋" w:asciiTheme="minorEastAsia" w:hAnsiTheme="minorEastAsia" w:eastAsiaTheme="minorEastAsia"/>
        </w:rPr>
      </w:pPr>
    </w:p>
    <w:p>
      <w:pPr>
        <w:jc w:val="center"/>
      </w:pPr>
      <w:r>
        <w:t>货物交付进度表</w:t>
      </w:r>
    </w:p>
    <w:p/>
    <w:tbl>
      <w:tblPr>
        <w:tblStyle w:val="1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630" w:type="dxa"/>
          </w:tcPr>
          <w:p>
            <w:pPr>
              <w:autoSpaceDE w:val="0"/>
              <w:autoSpaceDN w:val="0"/>
              <w:adjustRightInd w:val="0"/>
              <w:spacing w:before="120" w:after="120" w:line="240" w:lineRule="atLeast"/>
              <w:ind w:left="28" w:right="28"/>
              <w:jc w:val="center"/>
              <w:rPr>
                <w:kern w:val="0"/>
                <w:sz w:val="18"/>
              </w:rPr>
            </w:pPr>
            <w:r>
              <w:rPr>
                <w:kern w:val="0"/>
                <w:sz w:val="18"/>
              </w:rPr>
              <w:t>序号</w:t>
            </w:r>
          </w:p>
        </w:tc>
        <w:tc>
          <w:tcPr>
            <w:tcW w:w="2520" w:type="dxa"/>
          </w:tcPr>
          <w:p>
            <w:pPr>
              <w:autoSpaceDE w:val="0"/>
              <w:autoSpaceDN w:val="0"/>
              <w:adjustRightInd w:val="0"/>
              <w:spacing w:before="120" w:after="120" w:line="240" w:lineRule="atLeast"/>
              <w:ind w:left="15" w:right="28"/>
              <w:jc w:val="center"/>
              <w:rPr>
                <w:kern w:val="0"/>
                <w:sz w:val="18"/>
              </w:rPr>
            </w:pPr>
            <w:r>
              <w:rPr>
                <w:kern w:val="0"/>
                <w:sz w:val="18"/>
              </w:rPr>
              <w:t>名    称</w:t>
            </w:r>
          </w:p>
        </w:tc>
        <w:tc>
          <w:tcPr>
            <w:tcW w:w="735" w:type="dxa"/>
          </w:tcPr>
          <w:p>
            <w:pPr>
              <w:autoSpaceDE w:val="0"/>
              <w:autoSpaceDN w:val="0"/>
              <w:adjustRightInd w:val="0"/>
              <w:spacing w:before="120" w:after="120" w:line="240" w:lineRule="atLeast"/>
              <w:ind w:left="15" w:right="28"/>
              <w:jc w:val="center"/>
              <w:rPr>
                <w:kern w:val="0"/>
                <w:sz w:val="18"/>
              </w:rPr>
            </w:pPr>
            <w:r>
              <w:rPr>
                <w:kern w:val="0"/>
                <w:sz w:val="18"/>
              </w:rPr>
              <w:t>单位</w:t>
            </w:r>
          </w:p>
        </w:tc>
        <w:tc>
          <w:tcPr>
            <w:tcW w:w="735" w:type="dxa"/>
          </w:tcPr>
          <w:p>
            <w:pPr>
              <w:autoSpaceDE w:val="0"/>
              <w:autoSpaceDN w:val="0"/>
              <w:adjustRightInd w:val="0"/>
              <w:spacing w:before="120" w:after="120" w:line="240" w:lineRule="atLeast"/>
              <w:ind w:left="15" w:right="28"/>
              <w:jc w:val="center"/>
              <w:rPr>
                <w:kern w:val="0"/>
                <w:sz w:val="18"/>
              </w:rPr>
            </w:pPr>
            <w:r>
              <w:rPr>
                <w:kern w:val="0"/>
                <w:sz w:val="18"/>
              </w:rPr>
              <w:t>数量</w:t>
            </w:r>
          </w:p>
        </w:tc>
        <w:tc>
          <w:tcPr>
            <w:tcW w:w="1500" w:type="dxa"/>
          </w:tcPr>
          <w:p>
            <w:pPr>
              <w:autoSpaceDE w:val="0"/>
              <w:autoSpaceDN w:val="0"/>
              <w:adjustRightInd w:val="0"/>
              <w:spacing w:before="120" w:after="120" w:line="240" w:lineRule="atLeast"/>
              <w:ind w:left="15" w:right="28"/>
              <w:jc w:val="center"/>
              <w:rPr>
                <w:kern w:val="0"/>
                <w:sz w:val="18"/>
              </w:rPr>
            </w:pPr>
            <w:r>
              <w:rPr>
                <w:kern w:val="0"/>
                <w:sz w:val="18"/>
              </w:rPr>
              <w:t>日期</w:t>
            </w:r>
          </w:p>
        </w:tc>
        <w:tc>
          <w:tcPr>
            <w:tcW w:w="1530" w:type="dxa"/>
          </w:tcPr>
          <w:p>
            <w:pPr>
              <w:autoSpaceDE w:val="0"/>
              <w:autoSpaceDN w:val="0"/>
              <w:adjustRightInd w:val="0"/>
              <w:spacing w:before="120" w:after="120" w:line="240" w:lineRule="atLeast"/>
              <w:ind w:left="15" w:right="28"/>
              <w:jc w:val="center"/>
              <w:rPr>
                <w:kern w:val="0"/>
                <w:sz w:val="18"/>
              </w:rPr>
            </w:pPr>
            <w:r>
              <w:rPr>
                <w:kern w:val="0"/>
                <w:sz w:val="18"/>
              </w:rPr>
              <w:t>交付地点</w:t>
            </w:r>
          </w:p>
        </w:tc>
        <w:tc>
          <w:tcPr>
            <w:tcW w:w="1530" w:type="dxa"/>
          </w:tcPr>
          <w:p>
            <w:pPr>
              <w:autoSpaceDE w:val="0"/>
              <w:autoSpaceDN w:val="0"/>
              <w:adjustRightInd w:val="0"/>
              <w:spacing w:before="120" w:after="120" w:line="240" w:lineRule="atLeast"/>
              <w:ind w:left="15" w:right="28"/>
              <w:jc w:val="center"/>
              <w:rPr>
                <w:kern w:val="0"/>
                <w:sz w:val="18"/>
              </w:rPr>
            </w:pPr>
            <w:r>
              <w:rPr>
                <w:kern w:val="0"/>
                <w:sz w:val="18"/>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630" w:type="dxa"/>
          </w:tcPr>
          <w:p>
            <w:pPr>
              <w:autoSpaceDE w:val="0"/>
              <w:autoSpaceDN w:val="0"/>
              <w:adjustRightInd w:val="0"/>
              <w:spacing w:before="120" w:after="120" w:line="240" w:lineRule="atLeast"/>
              <w:ind w:left="28" w:right="28"/>
              <w:jc w:val="center"/>
              <w:rPr>
                <w:kern w:val="0"/>
                <w:sz w:val="18"/>
              </w:rPr>
            </w:pPr>
          </w:p>
        </w:tc>
        <w:tc>
          <w:tcPr>
            <w:tcW w:w="2520" w:type="dxa"/>
          </w:tcPr>
          <w:p>
            <w:pPr>
              <w:autoSpaceDE w:val="0"/>
              <w:autoSpaceDN w:val="0"/>
              <w:adjustRightInd w:val="0"/>
              <w:spacing w:before="120" w:after="120" w:line="240" w:lineRule="atLeast"/>
              <w:ind w:left="15" w:right="28"/>
              <w:jc w:val="center"/>
              <w:rPr>
                <w:kern w:val="0"/>
                <w:sz w:val="18"/>
              </w:rPr>
            </w:pPr>
          </w:p>
        </w:tc>
        <w:tc>
          <w:tcPr>
            <w:tcW w:w="735" w:type="dxa"/>
          </w:tcPr>
          <w:p>
            <w:pPr>
              <w:autoSpaceDE w:val="0"/>
              <w:autoSpaceDN w:val="0"/>
              <w:adjustRightInd w:val="0"/>
              <w:spacing w:before="120" w:after="120" w:line="240" w:lineRule="atLeast"/>
              <w:ind w:left="15" w:right="28"/>
              <w:jc w:val="center"/>
              <w:rPr>
                <w:kern w:val="0"/>
                <w:sz w:val="18"/>
              </w:rPr>
            </w:pPr>
          </w:p>
        </w:tc>
        <w:tc>
          <w:tcPr>
            <w:tcW w:w="735" w:type="dxa"/>
          </w:tcPr>
          <w:p>
            <w:pPr>
              <w:autoSpaceDE w:val="0"/>
              <w:autoSpaceDN w:val="0"/>
              <w:adjustRightInd w:val="0"/>
              <w:spacing w:before="120" w:after="120" w:line="240" w:lineRule="atLeast"/>
              <w:ind w:left="15" w:right="28"/>
              <w:jc w:val="center"/>
              <w:rPr>
                <w:kern w:val="0"/>
                <w:sz w:val="18"/>
              </w:rPr>
            </w:pPr>
          </w:p>
        </w:tc>
        <w:tc>
          <w:tcPr>
            <w:tcW w:w="1500" w:type="dxa"/>
          </w:tcPr>
          <w:p>
            <w:pPr>
              <w:autoSpaceDE w:val="0"/>
              <w:autoSpaceDN w:val="0"/>
              <w:adjustRightInd w:val="0"/>
              <w:spacing w:before="120" w:after="120" w:line="240" w:lineRule="atLeast"/>
              <w:ind w:left="15" w:right="28"/>
              <w:jc w:val="center"/>
              <w:rPr>
                <w:kern w:val="0"/>
                <w:sz w:val="18"/>
              </w:rPr>
            </w:pPr>
          </w:p>
        </w:tc>
        <w:tc>
          <w:tcPr>
            <w:tcW w:w="1530" w:type="dxa"/>
          </w:tcPr>
          <w:p>
            <w:pPr>
              <w:autoSpaceDE w:val="0"/>
              <w:autoSpaceDN w:val="0"/>
              <w:adjustRightInd w:val="0"/>
              <w:spacing w:before="120" w:after="120" w:line="240" w:lineRule="atLeast"/>
              <w:ind w:left="15" w:right="28"/>
              <w:jc w:val="center"/>
              <w:rPr>
                <w:kern w:val="0"/>
                <w:sz w:val="18"/>
              </w:rPr>
            </w:pPr>
          </w:p>
        </w:tc>
        <w:tc>
          <w:tcPr>
            <w:tcW w:w="1530" w:type="dxa"/>
          </w:tcPr>
          <w:p>
            <w:pPr>
              <w:autoSpaceDE w:val="0"/>
              <w:autoSpaceDN w:val="0"/>
              <w:adjustRightInd w:val="0"/>
              <w:spacing w:before="120" w:after="120" w:line="240" w:lineRule="atLeast"/>
              <w:ind w:left="15" w:right="28"/>
              <w:jc w:val="center"/>
              <w:rPr>
                <w:kern w:val="0"/>
                <w:sz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rPr>
            </w:pPr>
          </w:p>
        </w:tc>
        <w:tc>
          <w:tcPr>
            <w:tcW w:w="2520" w:type="dxa"/>
          </w:tcPr>
          <w:p>
            <w:pPr>
              <w:autoSpaceDE w:val="0"/>
              <w:autoSpaceDN w:val="0"/>
              <w:adjustRightInd w:val="0"/>
              <w:spacing w:before="120" w:after="120" w:line="240" w:lineRule="atLeast"/>
              <w:ind w:left="15" w:right="28"/>
              <w:jc w:val="center"/>
              <w:rPr>
                <w:kern w:val="0"/>
                <w:sz w:val="18"/>
              </w:rPr>
            </w:pPr>
          </w:p>
        </w:tc>
        <w:tc>
          <w:tcPr>
            <w:tcW w:w="735" w:type="dxa"/>
          </w:tcPr>
          <w:p>
            <w:pPr>
              <w:autoSpaceDE w:val="0"/>
              <w:autoSpaceDN w:val="0"/>
              <w:adjustRightInd w:val="0"/>
              <w:spacing w:before="120" w:after="120" w:line="240" w:lineRule="atLeast"/>
              <w:ind w:left="15" w:right="28"/>
              <w:jc w:val="center"/>
              <w:rPr>
                <w:kern w:val="0"/>
                <w:sz w:val="18"/>
              </w:rPr>
            </w:pPr>
          </w:p>
        </w:tc>
        <w:tc>
          <w:tcPr>
            <w:tcW w:w="735" w:type="dxa"/>
          </w:tcPr>
          <w:p>
            <w:pPr>
              <w:autoSpaceDE w:val="0"/>
              <w:autoSpaceDN w:val="0"/>
              <w:adjustRightInd w:val="0"/>
              <w:spacing w:before="120" w:after="120" w:line="240" w:lineRule="atLeast"/>
              <w:ind w:left="15" w:right="28"/>
              <w:jc w:val="center"/>
              <w:rPr>
                <w:kern w:val="0"/>
                <w:sz w:val="18"/>
              </w:rPr>
            </w:pPr>
          </w:p>
        </w:tc>
        <w:tc>
          <w:tcPr>
            <w:tcW w:w="1500" w:type="dxa"/>
          </w:tcPr>
          <w:p>
            <w:pPr>
              <w:autoSpaceDE w:val="0"/>
              <w:autoSpaceDN w:val="0"/>
              <w:adjustRightInd w:val="0"/>
              <w:spacing w:before="120" w:after="120" w:line="240" w:lineRule="atLeast"/>
              <w:ind w:left="15" w:right="28"/>
              <w:jc w:val="center"/>
              <w:rPr>
                <w:kern w:val="0"/>
                <w:sz w:val="18"/>
              </w:rPr>
            </w:pPr>
          </w:p>
        </w:tc>
        <w:tc>
          <w:tcPr>
            <w:tcW w:w="1530" w:type="dxa"/>
          </w:tcPr>
          <w:p>
            <w:pPr>
              <w:autoSpaceDE w:val="0"/>
              <w:autoSpaceDN w:val="0"/>
              <w:adjustRightInd w:val="0"/>
              <w:spacing w:before="120" w:after="120" w:line="240" w:lineRule="atLeast"/>
              <w:ind w:left="15" w:right="28"/>
              <w:jc w:val="center"/>
              <w:rPr>
                <w:kern w:val="0"/>
                <w:sz w:val="18"/>
              </w:rPr>
            </w:pPr>
          </w:p>
        </w:tc>
        <w:tc>
          <w:tcPr>
            <w:tcW w:w="1530" w:type="dxa"/>
          </w:tcPr>
          <w:p>
            <w:pPr>
              <w:autoSpaceDE w:val="0"/>
              <w:autoSpaceDN w:val="0"/>
              <w:adjustRightInd w:val="0"/>
              <w:spacing w:before="120" w:after="120" w:line="240" w:lineRule="atLeast"/>
              <w:ind w:left="15" w:right="28"/>
              <w:jc w:val="center"/>
              <w:rPr>
                <w:kern w:val="0"/>
                <w:sz w:val="18"/>
              </w:rPr>
            </w:pPr>
          </w:p>
        </w:tc>
      </w:tr>
    </w:tbl>
    <w:p/>
    <w:p/>
    <w:p>
      <w:pPr>
        <w:jc w:val="center"/>
      </w:pPr>
      <w:r>
        <w:t>安装调试进度表</w:t>
      </w:r>
    </w:p>
    <w:p>
      <w:pPr>
        <w:jc w:val="center"/>
      </w:pPr>
    </w:p>
    <w:tbl>
      <w:tblPr>
        <w:tblStyle w:val="1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rPr>
            </w:pPr>
            <w:r>
              <w:rPr>
                <w:kern w:val="0"/>
                <w:sz w:val="18"/>
              </w:rPr>
              <w:t>序号</w:t>
            </w:r>
          </w:p>
        </w:tc>
        <w:tc>
          <w:tcPr>
            <w:tcW w:w="2520" w:type="dxa"/>
          </w:tcPr>
          <w:p>
            <w:pPr>
              <w:autoSpaceDE w:val="0"/>
              <w:autoSpaceDN w:val="0"/>
              <w:adjustRightInd w:val="0"/>
              <w:spacing w:before="120" w:after="120" w:line="240" w:lineRule="atLeast"/>
              <w:ind w:left="15" w:right="28"/>
              <w:jc w:val="center"/>
              <w:rPr>
                <w:kern w:val="0"/>
                <w:sz w:val="18"/>
              </w:rPr>
            </w:pPr>
            <w:r>
              <w:rPr>
                <w:kern w:val="0"/>
                <w:sz w:val="18"/>
              </w:rPr>
              <w:t>名    称</w:t>
            </w:r>
          </w:p>
        </w:tc>
        <w:tc>
          <w:tcPr>
            <w:tcW w:w="735" w:type="dxa"/>
          </w:tcPr>
          <w:p>
            <w:pPr>
              <w:autoSpaceDE w:val="0"/>
              <w:autoSpaceDN w:val="0"/>
              <w:adjustRightInd w:val="0"/>
              <w:spacing w:before="120" w:after="120" w:line="240" w:lineRule="atLeast"/>
              <w:ind w:left="15" w:right="28"/>
              <w:jc w:val="center"/>
              <w:rPr>
                <w:kern w:val="0"/>
                <w:sz w:val="18"/>
              </w:rPr>
            </w:pPr>
            <w:r>
              <w:rPr>
                <w:kern w:val="0"/>
                <w:sz w:val="18"/>
              </w:rPr>
              <w:t>单位</w:t>
            </w:r>
          </w:p>
        </w:tc>
        <w:tc>
          <w:tcPr>
            <w:tcW w:w="735" w:type="dxa"/>
          </w:tcPr>
          <w:p>
            <w:pPr>
              <w:autoSpaceDE w:val="0"/>
              <w:autoSpaceDN w:val="0"/>
              <w:adjustRightInd w:val="0"/>
              <w:spacing w:before="120" w:after="120" w:line="240" w:lineRule="atLeast"/>
              <w:ind w:left="15" w:right="28"/>
              <w:jc w:val="center"/>
              <w:rPr>
                <w:kern w:val="0"/>
                <w:sz w:val="18"/>
              </w:rPr>
            </w:pPr>
            <w:r>
              <w:rPr>
                <w:kern w:val="0"/>
                <w:sz w:val="18"/>
              </w:rPr>
              <w:t>数量</w:t>
            </w:r>
          </w:p>
        </w:tc>
        <w:tc>
          <w:tcPr>
            <w:tcW w:w="1500" w:type="dxa"/>
          </w:tcPr>
          <w:p>
            <w:pPr>
              <w:autoSpaceDE w:val="0"/>
              <w:autoSpaceDN w:val="0"/>
              <w:adjustRightInd w:val="0"/>
              <w:spacing w:before="120" w:after="120" w:line="240" w:lineRule="atLeast"/>
              <w:ind w:left="15" w:right="28"/>
              <w:jc w:val="center"/>
              <w:rPr>
                <w:kern w:val="0"/>
                <w:sz w:val="18"/>
              </w:rPr>
            </w:pPr>
            <w:r>
              <w:rPr>
                <w:kern w:val="0"/>
                <w:sz w:val="18"/>
              </w:rPr>
              <w:t>日期</w:t>
            </w:r>
          </w:p>
        </w:tc>
        <w:tc>
          <w:tcPr>
            <w:tcW w:w="1851" w:type="dxa"/>
          </w:tcPr>
          <w:p>
            <w:pPr>
              <w:autoSpaceDE w:val="0"/>
              <w:autoSpaceDN w:val="0"/>
              <w:adjustRightInd w:val="0"/>
              <w:spacing w:before="120" w:after="120" w:line="240" w:lineRule="atLeast"/>
              <w:ind w:left="15" w:right="28"/>
              <w:jc w:val="center"/>
              <w:rPr>
                <w:kern w:val="0"/>
                <w:sz w:val="18"/>
              </w:rPr>
            </w:pPr>
            <w:r>
              <w:rPr>
                <w:kern w:val="0"/>
                <w:sz w:val="18"/>
              </w:rPr>
              <w:t>安装调试地点</w:t>
            </w:r>
          </w:p>
        </w:tc>
        <w:tc>
          <w:tcPr>
            <w:tcW w:w="1209" w:type="dxa"/>
          </w:tcPr>
          <w:p>
            <w:pPr>
              <w:autoSpaceDE w:val="0"/>
              <w:autoSpaceDN w:val="0"/>
              <w:adjustRightInd w:val="0"/>
              <w:spacing w:before="120" w:after="120" w:line="240" w:lineRule="atLeast"/>
              <w:ind w:left="15" w:right="28"/>
              <w:jc w:val="center"/>
              <w:rPr>
                <w:kern w:val="0"/>
                <w:sz w:val="18"/>
              </w:rPr>
            </w:pPr>
            <w:r>
              <w:rPr>
                <w:kern w:val="0"/>
                <w:sz w:val="18"/>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rPr>
            </w:pPr>
          </w:p>
        </w:tc>
        <w:tc>
          <w:tcPr>
            <w:tcW w:w="2520" w:type="dxa"/>
          </w:tcPr>
          <w:p>
            <w:pPr>
              <w:autoSpaceDE w:val="0"/>
              <w:autoSpaceDN w:val="0"/>
              <w:adjustRightInd w:val="0"/>
              <w:spacing w:before="120" w:after="120" w:line="240" w:lineRule="atLeast"/>
              <w:ind w:left="15" w:right="28"/>
              <w:jc w:val="center"/>
              <w:rPr>
                <w:kern w:val="0"/>
                <w:sz w:val="18"/>
              </w:rPr>
            </w:pPr>
          </w:p>
        </w:tc>
        <w:tc>
          <w:tcPr>
            <w:tcW w:w="735" w:type="dxa"/>
          </w:tcPr>
          <w:p>
            <w:pPr>
              <w:autoSpaceDE w:val="0"/>
              <w:autoSpaceDN w:val="0"/>
              <w:adjustRightInd w:val="0"/>
              <w:spacing w:before="120" w:after="120" w:line="240" w:lineRule="atLeast"/>
              <w:ind w:left="15" w:right="28"/>
              <w:jc w:val="center"/>
              <w:rPr>
                <w:kern w:val="0"/>
                <w:sz w:val="18"/>
              </w:rPr>
            </w:pPr>
          </w:p>
        </w:tc>
        <w:tc>
          <w:tcPr>
            <w:tcW w:w="735" w:type="dxa"/>
          </w:tcPr>
          <w:p>
            <w:pPr>
              <w:autoSpaceDE w:val="0"/>
              <w:autoSpaceDN w:val="0"/>
              <w:adjustRightInd w:val="0"/>
              <w:spacing w:before="120" w:after="120" w:line="240" w:lineRule="atLeast"/>
              <w:ind w:left="15" w:right="28"/>
              <w:jc w:val="center"/>
              <w:rPr>
                <w:kern w:val="0"/>
                <w:sz w:val="18"/>
              </w:rPr>
            </w:pPr>
          </w:p>
        </w:tc>
        <w:tc>
          <w:tcPr>
            <w:tcW w:w="1500" w:type="dxa"/>
          </w:tcPr>
          <w:p>
            <w:pPr>
              <w:autoSpaceDE w:val="0"/>
              <w:autoSpaceDN w:val="0"/>
              <w:adjustRightInd w:val="0"/>
              <w:spacing w:before="120" w:after="120" w:line="240" w:lineRule="atLeast"/>
              <w:ind w:left="15" w:right="28"/>
              <w:jc w:val="center"/>
              <w:rPr>
                <w:kern w:val="0"/>
                <w:sz w:val="18"/>
              </w:rPr>
            </w:pPr>
          </w:p>
        </w:tc>
        <w:tc>
          <w:tcPr>
            <w:tcW w:w="1851" w:type="dxa"/>
          </w:tcPr>
          <w:p>
            <w:pPr>
              <w:autoSpaceDE w:val="0"/>
              <w:autoSpaceDN w:val="0"/>
              <w:adjustRightInd w:val="0"/>
              <w:spacing w:before="120" w:after="120" w:line="240" w:lineRule="atLeast"/>
              <w:ind w:left="15" w:right="28"/>
              <w:jc w:val="center"/>
              <w:rPr>
                <w:kern w:val="0"/>
                <w:sz w:val="18"/>
              </w:rPr>
            </w:pPr>
          </w:p>
        </w:tc>
        <w:tc>
          <w:tcPr>
            <w:tcW w:w="1209" w:type="dxa"/>
          </w:tcPr>
          <w:p>
            <w:pPr>
              <w:autoSpaceDE w:val="0"/>
              <w:autoSpaceDN w:val="0"/>
              <w:adjustRightInd w:val="0"/>
              <w:spacing w:before="120" w:after="120" w:line="240" w:lineRule="atLeast"/>
              <w:ind w:left="15" w:right="28"/>
              <w:jc w:val="center"/>
              <w:rPr>
                <w:kern w:val="0"/>
                <w:sz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rPr>
            </w:pPr>
          </w:p>
        </w:tc>
        <w:tc>
          <w:tcPr>
            <w:tcW w:w="2520" w:type="dxa"/>
          </w:tcPr>
          <w:p>
            <w:pPr>
              <w:autoSpaceDE w:val="0"/>
              <w:autoSpaceDN w:val="0"/>
              <w:adjustRightInd w:val="0"/>
              <w:spacing w:before="120" w:after="120" w:line="240" w:lineRule="atLeast"/>
              <w:ind w:left="15" w:right="28"/>
              <w:jc w:val="center"/>
              <w:rPr>
                <w:kern w:val="0"/>
                <w:sz w:val="18"/>
              </w:rPr>
            </w:pPr>
          </w:p>
        </w:tc>
        <w:tc>
          <w:tcPr>
            <w:tcW w:w="735" w:type="dxa"/>
          </w:tcPr>
          <w:p>
            <w:pPr>
              <w:autoSpaceDE w:val="0"/>
              <w:autoSpaceDN w:val="0"/>
              <w:adjustRightInd w:val="0"/>
              <w:spacing w:before="120" w:after="120" w:line="240" w:lineRule="atLeast"/>
              <w:ind w:left="15" w:right="28"/>
              <w:jc w:val="center"/>
              <w:rPr>
                <w:kern w:val="0"/>
                <w:sz w:val="18"/>
              </w:rPr>
            </w:pPr>
          </w:p>
        </w:tc>
        <w:tc>
          <w:tcPr>
            <w:tcW w:w="735" w:type="dxa"/>
          </w:tcPr>
          <w:p>
            <w:pPr>
              <w:autoSpaceDE w:val="0"/>
              <w:autoSpaceDN w:val="0"/>
              <w:adjustRightInd w:val="0"/>
              <w:spacing w:before="120" w:after="120" w:line="240" w:lineRule="atLeast"/>
              <w:ind w:left="15" w:right="28"/>
              <w:jc w:val="center"/>
              <w:rPr>
                <w:kern w:val="0"/>
                <w:sz w:val="18"/>
              </w:rPr>
            </w:pPr>
          </w:p>
        </w:tc>
        <w:tc>
          <w:tcPr>
            <w:tcW w:w="1500" w:type="dxa"/>
          </w:tcPr>
          <w:p>
            <w:pPr>
              <w:autoSpaceDE w:val="0"/>
              <w:autoSpaceDN w:val="0"/>
              <w:adjustRightInd w:val="0"/>
              <w:spacing w:before="120" w:after="120" w:line="240" w:lineRule="atLeast"/>
              <w:ind w:left="15" w:right="28"/>
              <w:jc w:val="center"/>
              <w:rPr>
                <w:kern w:val="0"/>
                <w:sz w:val="18"/>
              </w:rPr>
            </w:pPr>
          </w:p>
        </w:tc>
        <w:tc>
          <w:tcPr>
            <w:tcW w:w="1851" w:type="dxa"/>
          </w:tcPr>
          <w:p>
            <w:pPr>
              <w:autoSpaceDE w:val="0"/>
              <w:autoSpaceDN w:val="0"/>
              <w:adjustRightInd w:val="0"/>
              <w:spacing w:before="120" w:after="120" w:line="240" w:lineRule="atLeast"/>
              <w:ind w:left="15" w:right="28"/>
              <w:jc w:val="center"/>
              <w:rPr>
                <w:kern w:val="0"/>
                <w:sz w:val="18"/>
              </w:rPr>
            </w:pPr>
          </w:p>
        </w:tc>
        <w:tc>
          <w:tcPr>
            <w:tcW w:w="1209" w:type="dxa"/>
          </w:tcPr>
          <w:p>
            <w:pPr>
              <w:autoSpaceDE w:val="0"/>
              <w:autoSpaceDN w:val="0"/>
              <w:adjustRightInd w:val="0"/>
              <w:spacing w:before="120" w:after="120" w:line="240" w:lineRule="atLeast"/>
              <w:ind w:left="15" w:right="28"/>
              <w:jc w:val="center"/>
              <w:rPr>
                <w:kern w:val="0"/>
                <w:sz w:val="18"/>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5880" w:firstLineChars="2800"/>
        <w:rPr>
          <w:snapToGrid w:val="0"/>
          <w:kern w:val="0"/>
        </w:rPr>
      </w:pPr>
      <w:r>
        <w:rPr>
          <w:rFonts w:hint="eastAsia"/>
          <w:snapToGrid w:val="0"/>
          <w:kern w:val="0"/>
        </w:rPr>
        <w:t>年       月      日</w:t>
      </w:r>
    </w:p>
    <w:p>
      <w:pPr>
        <w:pStyle w:val="6"/>
        <w:spacing w:before="0"/>
        <w:rPr>
          <w:rFonts w:ascii="宋体" w:hAnsi="宋体"/>
          <w:sz w:val="28"/>
        </w:rPr>
      </w:pPr>
    </w:p>
    <w:p>
      <w:pPr>
        <w:rPr>
          <w:rFonts w:cs="仿宋" w:asciiTheme="minorEastAsia" w:hAnsiTheme="minorEastAsia" w:eastAsiaTheme="minorEastAsia"/>
          <w:b/>
          <w:sz w:val="28"/>
          <w:szCs w:val="32"/>
        </w:rPr>
      </w:pPr>
      <w:r>
        <w:rPr>
          <w:rFonts w:hint="eastAsia" w:cs="仿宋" w:asciiTheme="minorEastAsia" w:hAnsiTheme="minorEastAsia" w:eastAsiaTheme="minorEastAsia"/>
          <w:b/>
          <w:sz w:val="28"/>
          <w:szCs w:val="32"/>
        </w:rPr>
        <w:br w:type="page"/>
      </w:r>
    </w:p>
    <w:p>
      <w:pPr>
        <w:jc w:val="center"/>
        <w:rPr>
          <w:rFonts w:cs="仿宋" w:asciiTheme="minorEastAsia" w:hAnsiTheme="minorEastAsia" w:eastAsiaTheme="minorEastAsia"/>
          <w:b/>
          <w:sz w:val="28"/>
          <w:szCs w:val="32"/>
        </w:rPr>
      </w:pPr>
      <w:r>
        <w:rPr>
          <w:rFonts w:hint="eastAsia" w:cs="仿宋" w:asciiTheme="minorEastAsia" w:hAnsiTheme="minorEastAsia" w:eastAsiaTheme="minorEastAsia"/>
          <w:b/>
          <w:sz w:val="28"/>
          <w:szCs w:val="32"/>
        </w:rPr>
        <w:t>格式8  售后服务和质量承诺</w:t>
      </w:r>
    </w:p>
    <w:p>
      <w:pPr>
        <w:pStyle w:val="2"/>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pStyle w:val="2"/>
      </w:pPr>
    </w:p>
    <w:p>
      <w:pPr>
        <w:rPr>
          <w:rFonts w:cs="仿宋" w:asciiTheme="minorEastAsia" w:hAnsiTheme="minorEastAsia" w:eastAsiaTheme="minorEastAsia"/>
          <w:b/>
          <w:bCs/>
          <w:sz w:val="28"/>
          <w:szCs w:val="32"/>
        </w:rPr>
      </w:pPr>
      <w:r>
        <w:rPr>
          <w:rFonts w:hint="eastAsia" w:cs="仿宋" w:asciiTheme="minorEastAsia" w:hAnsiTheme="minorEastAsia" w:eastAsiaTheme="minorEastAsia"/>
          <w:b/>
          <w:bCs/>
          <w:sz w:val="28"/>
          <w:szCs w:val="32"/>
        </w:rPr>
        <w:br w:type="page"/>
      </w:r>
    </w:p>
    <w:p>
      <w:pPr>
        <w:jc w:val="center"/>
        <w:rPr>
          <w:rFonts w:cs="仿宋" w:asciiTheme="minorEastAsia" w:hAnsiTheme="minorEastAsia" w:eastAsiaTheme="minorEastAsia"/>
          <w:b/>
          <w:bCs/>
          <w:sz w:val="28"/>
          <w:szCs w:val="32"/>
        </w:rPr>
      </w:pPr>
      <w:r>
        <w:rPr>
          <w:rFonts w:hint="eastAsia" w:cs="仿宋" w:asciiTheme="minorEastAsia" w:hAnsiTheme="minorEastAsia" w:eastAsiaTheme="minorEastAsia"/>
          <w:b/>
          <w:bCs/>
          <w:sz w:val="28"/>
          <w:szCs w:val="32"/>
        </w:rPr>
        <w:t>格式9 偏离表</w:t>
      </w:r>
    </w:p>
    <w:p>
      <w:pPr>
        <w:snapToGrid w:val="0"/>
        <w:spacing w:line="360" w:lineRule="auto"/>
        <w:jc w:val="center"/>
        <w:rPr>
          <w:b/>
        </w:rPr>
      </w:pPr>
      <w:r>
        <w:rPr>
          <w:rFonts w:hint="eastAsia"/>
          <w:b/>
        </w:rPr>
        <w:t>技术规格偏离表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1204"/>
        <w:gridCol w:w="1942"/>
        <w:gridCol w:w="1613"/>
        <w:gridCol w:w="1083"/>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22" w:type="pct"/>
            <w:vAlign w:val="center"/>
          </w:tcPr>
          <w:p>
            <w:pPr>
              <w:spacing w:line="360" w:lineRule="auto"/>
              <w:jc w:val="center"/>
              <w:rPr>
                <w:rFonts w:ascii="宋体" w:hAnsi="宋体"/>
                <w:szCs w:val="21"/>
              </w:rPr>
            </w:pPr>
            <w:r>
              <w:rPr>
                <w:rFonts w:hint="eastAsia" w:ascii="宋体" w:hAnsi="宋体"/>
                <w:szCs w:val="21"/>
              </w:rPr>
              <w:t>序号</w:t>
            </w:r>
          </w:p>
        </w:tc>
        <w:tc>
          <w:tcPr>
            <w:tcW w:w="706" w:type="pct"/>
            <w:vAlign w:val="center"/>
          </w:tcPr>
          <w:p>
            <w:pPr>
              <w:spacing w:line="360" w:lineRule="auto"/>
              <w:jc w:val="center"/>
              <w:rPr>
                <w:rFonts w:ascii="宋体" w:hAnsi="宋体"/>
                <w:szCs w:val="21"/>
              </w:rPr>
            </w:pPr>
            <w:r>
              <w:rPr>
                <w:rFonts w:hint="eastAsia" w:ascii="宋体" w:hAnsi="宋体"/>
                <w:szCs w:val="21"/>
              </w:rPr>
              <w:t>货物名称</w:t>
            </w:r>
          </w:p>
        </w:tc>
        <w:tc>
          <w:tcPr>
            <w:tcW w:w="1139" w:type="pct"/>
            <w:vAlign w:val="center"/>
          </w:tcPr>
          <w:p>
            <w:pPr>
              <w:spacing w:line="360" w:lineRule="auto"/>
              <w:jc w:val="center"/>
              <w:rPr>
                <w:rFonts w:ascii="宋体" w:hAnsi="宋体"/>
                <w:szCs w:val="21"/>
              </w:rPr>
            </w:pPr>
            <w:r>
              <w:rPr>
                <w:rFonts w:hint="eastAsia" w:ascii="宋体" w:hAnsi="宋体"/>
                <w:szCs w:val="21"/>
              </w:rPr>
              <w:t>征集技术要求</w:t>
            </w:r>
          </w:p>
        </w:tc>
        <w:tc>
          <w:tcPr>
            <w:tcW w:w="946" w:type="pct"/>
            <w:vAlign w:val="center"/>
          </w:tcPr>
          <w:p>
            <w:pPr>
              <w:spacing w:line="360" w:lineRule="auto"/>
              <w:jc w:val="center"/>
              <w:rPr>
                <w:rFonts w:ascii="宋体" w:hAnsi="宋体"/>
                <w:szCs w:val="21"/>
              </w:rPr>
            </w:pPr>
            <w:r>
              <w:rPr>
                <w:rFonts w:hint="eastAsia" w:ascii="宋体" w:hAnsi="宋体"/>
                <w:szCs w:val="21"/>
              </w:rPr>
              <w:t>投标技术响应</w:t>
            </w:r>
          </w:p>
        </w:tc>
        <w:tc>
          <w:tcPr>
            <w:tcW w:w="635" w:type="pct"/>
            <w:vAlign w:val="center"/>
          </w:tcPr>
          <w:p>
            <w:pPr>
              <w:spacing w:line="360" w:lineRule="auto"/>
              <w:jc w:val="center"/>
              <w:rPr>
                <w:rFonts w:ascii="宋体" w:hAnsi="宋体"/>
                <w:szCs w:val="21"/>
              </w:rPr>
            </w:pPr>
            <w:r>
              <w:rPr>
                <w:rFonts w:hint="eastAsia" w:ascii="宋体" w:hAnsi="宋体"/>
                <w:szCs w:val="21"/>
              </w:rPr>
              <w:t>偏离情况</w:t>
            </w:r>
          </w:p>
        </w:tc>
        <w:tc>
          <w:tcPr>
            <w:tcW w:w="1148" w:type="pct"/>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22" w:type="pct"/>
            <w:vAlign w:val="center"/>
          </w:tcPr>
          <w:p>
            <w:pPr>
              <w:spacing w:line="360" w:lineRule="auto"/>
              <w:jc w:val="center"/>
              <w:rPr>
                <w:rFonts w:ascii="宋体" w:hAnsi="宋体"/>
                <w:szCs w:val="21"/>
              </w:rPr>
            </w:pPr>
          </w:p>
        </w:tc>
        <w:tc>
          <w:tcPr>
            <w:tcW w:w="706" w:type="pct"/>
            <w:vAlign w:val="center"/>
          </w:tcPr>
          <w:p>
            <w:pPr>
              <w:spacing w:line="360" w:lineRule="auto"/>
              <w:jc w:val="center"/>
              <w:rPr>
                <w:rFonts w:ascii="宋体" w:hAnsi="宋体"/>
                <w:szCs w:val="21"/>
              </w:rPr>
            </w:pPr>
          </w:p>
        </w:tc>
        <w:tc>
          <w:tcPr>
            <w:tcW w:w="1139" w:type="pct"/>
            <w:vAlign w:val="center"/>
          </w:tcPr>
          <w:p>
            <w:pPr>
              <w:spacing w:line="360" w:lineRule="auto"/>
              <w:jc w:val="center"/>
              <w:rPr>
                <w:rFonts w:ascii="宋体" w:hAnsi="宋体"/>
                <w:szCs w:val="21"/>
              </w:rPr>
            </w:pPr>
          </w:p>
        </w:tc>
        <w:tc>
          <w:tcPr>
            <w:tcW w:w="946" w:type="pct"/>
            <w:vAlign w:val="center"/>
          </w:tcPr>
          <w:p>
            <w:pPr>
              <w:spacing w:line="360" w:lineRule="auto"/>
              <w:jc w:val="center"/>
              <w:rPr>
                <w:rFonts w:ascii="宋体" w:hAnsi="宋体"/>
                <w:szCs w:val="21"/>
              </w:rPr>
            </w:pPr>
          </w:p>
        </w:tc>
        <w:tc>
          <w:tcPr>
            <w:tcW w:w="635" w:type="pct"/>
            <w:vAlign w:val="center"/>
          </w:tcPr>
          <w:p>
            <w:pPr>
              <w:spacing w:line="360" w:lineRule="auto"/>
              <w:jc w:val="center"/>
              <w:rPr>
                <w:rFonts w:ascii="宋体" w:hAnsi="宋体"/>
                <w:szCs w:val="21"/>
              </w:rPr>
            </w:pPr>
          </w:p>
        </w:tc>
        <w:tc>
          <w:tcPr>
            <w:tcW w:w="1148" w:type="pct"/>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22" w:type="pct"/>
            <w:vAlign w:val="center"/>
          </w:tcPr>
          <w:p>
            <w:pPr>
              <w:spacing w:line="360" w:lineRule="auto"/>
              <w:jc w:val="center"/>
              <w:rPr>
                <w:rFonts w:ascii="宋体" w:hAnsi="宋体"/>
                <w:szCs w:val="21"/>
              </w:rPr>
            </w:pPr>
          </w:p>
        </w:tc>
        <w:tc>
          <w:tcPr>
            <w:tcW w:w="706" w:type="pct"/>
            <w:vAlign w:val="center"/>
          </w:tcPr>
          <w:p>
            <w:pPr>
              <w:spacing w:line="360" w:lineRule="auto"/>
              <w:jc w:val="center"/>
              <w:rPr>
                <w:rFonts w:ascii="宋体" w:hAnsi="宋体"/>
                <w:szCs w:val="21"/>
              </w:rPr>
            </w:pPr>
          </w:p>
        </w:tc>
        <w:tc>
          <w:tcPr>
            <w:tcW w:w="1139" w:type="pct"/>
            <w:vAlign w:val="center"/>
          </w:tcPr>
          <w:p>
            <w:pPr>
              <w:spacing w:line="360" w:lineRule="auto"/>
              <w:jc w:val="center"/>
              <w:rPr>
                <w:rFonts w:ascii="宋体" w:hAnsi="宋体"/>
                <w:szCs w:val="21"/>
              </w:rPr>
            </w:pPr>
          </w:p>
        </w:tc>
        <w:tc>
          <w:tcPr>
            <w:tcW w:w="946" w:type="pct"/>
            <w:vAlign w:val="center"/>
          </w:tcPr>
          <w:p>
            <w:pPr>
              <w:spacing w:line="360" w:lineRule="auto"/>
              <w:jc w:val="center"/>
              <w:rPr>
                <w:rFonts w:ascii="宋体" w:hAnsi="宋体"/>
                <w:szCs w:val="21"/>
              </w:rPr>
            </w:pPr>
          </w:p>
        </w:tc>
        <w:tc>
          <w:tcPr>
            <w:tcW w:w="635" w:type="pct"/>
            <w:vAlign w:val="center"/>
          </w:tcPr>
          <w:p>
            <w:pPr>
              <w:spacing w:line="360" w:lineRule="auto"/>
              <w:jc w:val="center"/>
              <w:rPr>
                <w:rFonts w:ascii="宋体" w:hAnsi="宋体"/>
                <w:szCs w:val="21"/>
              </w:rPr>
            </w:pPr>
          </w:p>
        </w:tc>
        <w:tc>
          <w:tcPr>
            <w:tcW w:w="1148" w:type="pc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22" w:type="pct"/>
            <w:vAlign w:val="center"/>
          </w:tcPr>
          <w:p>
            <w:pPr>
              <w:spacing w:line="360" w:lineRule="auto"/>
              <w:jc w:val="center"/>
              <w:rPr>
                <w:rFonts w:ascii="宋体" w:hAnsi="宋体"/>
                <w:szCs w:val="21"/>
              </w:rPr>
            </w:pPr>
          </w:p>
        </w:tc>
        <w:tc>
          <w:tcPr>
            <w:tcW w:w="706" w:type="pct"/>
            <w:vAlign w:val="center"/>
          </w:tcPr>
          <w:p>
            <w:pPr>
              <w:spacing w:line="360" w:lineRule="auto"/>
              <w:jc w:val="center"/>
              <w:rPr>
                <w:rFonts w:ascii="宋体" w:hAnsi="宋体"/>
                <w:szCs w:val="21"/>
              </w:rPr>
            </w:pPr>
          </w:p>
        </w:tc>
        <w:tc>
          <w:tcPr>
            <w:tcW w:w="1139" w:type="pct"/>
            <w:vAlign w:val="center"/>
          </w:tcPr>
          <w:p>
            <w:pPr>
              <w:spacing w:line="360" w:lineRule="auto"/>
              <w:jc w:val="center"/>
              <w:rPr>
                <w:rFonts w:ascii="宋体" w:hAnsi="宋体"/>
                <w:szCs w:val="21"/>
              </w:rPr>
            </w:pPr>
          </w:p>
        </w:tc>
        <w:tc>
          <w:tcPr>
            <w:tcW w:w="946" w:type="pct"/>
            <w:vAlign w:val="center"/>
          </w:tcPr>
          <w:p>
            <w:pPr>
              <w:spacing w:line="360" w:lineRule="auto"/>
              <w:jc w:val="center"/>
              <w:rPr>
                <w:rFonts w:ascii="宋体" w:hAnsi="宋体"/>
                <w:szCs w:val="21"/>
              </w:rPr>
            </w:pPr>
          </w:p>
        </w:tc>
        <w:tc>
          <w:tcPr>
            <w:tcW w:w="635" w:type="pct"/>
            <w:vAlign w:val="center"/>
          </w:tcPr>
          <w:p>
            <w:pPr>
              <w:spacing w:line="360" w:lineRule="auto"/>
              <w:jc w:val="center"/>
              <w:rPr>
                <w:rFonts w:ascii="宋体" w:hAnsi="宋体"/>
                <w:szCs w:val="21"/>
              </w:rPr>
            </w:pPr>
          </w:p>
        </w:tc>
        <w:tc>
          <w:tcPr>
            <w:tcW w:w="1148" w:type="pc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22" w:type="pct"/>
            <w:vAlign w:val="center"/>
          </w:tcPr>
          <w:p>
            <w:pPr>
              <w:spacing w:line="360" w:lineRule="auto"/>
              <w:jc w:val="center"/>
              <w:rPr>
                <w:rFonts w:ascii="宋体" w:hAnsi="宋体"/>
                <w:szCs w:val="21"/>
              </w:rPr>
            </w:pPr>
          </w:p>
        </w:tc>
        <w:tc>
          <w:tcPr>
            <w:tcW w:w="706" w:type="pct"/>
            <w:vAlign w:val="center"/>
          </w:tcPr>
          <w:p>
            <w:pPr>
              <w:spacing w:line="360" w:lineRule="auto"/>
              <w:jc w:val="center"/>
              <w:rPr>
                <w:rFonts w:ascii="宋体" w:hAnsi="宋体"/>
                <w:szCs w:val="21"/>
              </w:rPr>
            </w:pPr>
          </w:p>
        </w:tc>
        <w:tc>
          <w:tcPr>
            <w:tcW w:w="1139" w:type="pct"/>
            <w:vAlign w:val="center"/>
          </w:tcPr>
          <w:p>
            <w:pPr>
              <w:spacing w:line="360" w:lineRule="auto"/>
              <w:jc w:val="center"/>
              <w:rPr>
                <w:rFonts w:ascii="宋体" w:hAnsi="宋体"/>
                <w:szCs w:val="21"/>
              </w:rPr>
            </w:pPr>
          </w:p>
        </w:tc>
        <w:tc>
          <w:tcPr>
            <w:tcW w:w="946" w:type="pct"/>
            <w:vAlign w:val="center"/>
          </w:tcPr>
          <w:p>
            <w:pPr>
              <w:spacing w:line="360" w:lineRule="auto"/>
              <w:jc w:val="center"/>
              <w:rPr>
                <w:rFonts w:ascii="宋体" w:hAnsi="宋体"/>
                <w:szCs w:val="21"/>
              </w:rPr>
            </w:pPr>
          </w:p>
        </w:tc>
        <w:tc>
          <w:tcPr>
            <w:tcW w:w="635" w:type="pct"/>
            <w:vAlign w:val="center"/>
          </w:tcPr>
          <w:p>
            <w:pPr>
              <w:spacing w:line="360" w:lineRule="auto"/>
              <w:jc w:val="center"/>
              <w:rPr>
                <w:rFonts w:ascii="宋体" w:hAnsi="宋体"/>
                <w:szCs w:val="21"/>
              </w:rPr>
            </w:pPr>
          </w:p>
        </w:tc>
        <w:tc>
          <w:tcPr>
            <w:tcW w:w="1148" w:type="pct"/>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征集技术要求</w:t>
      </w:r>
      <w:r>
        <w:rPr>
          <w:rFonts w:hint="eastAsia" w:ascii="宋体" w:hAnsi="宋体" w:cs="Arial"/>
          <w:bCs/>
          <w:szCs w:val="21"/>
        </w:rPr>
        <w:t>”一栏逐一列出</w:t>
      </w:r>
      <w:r>
        <w:rPr>
          <w:rFonts w:hint="eastAsia" w:ascii="宋体" w:hAnsi="宋体" w:cs="Arial"/>
          <w:bCs/>
          <w:szCs w:val="21"/>
          <w:highlight w:val="yellow"/>
        </w:rPr>
        <w:t>征集文件第二部分《采购项目需求》中“</w:t>
      </w:r>
      <w:r>
        <w:rPr>
          <w:rFonts w:hint="eastAsia" w:ascii="宋体" w:hAnsi="宋体" w:cs="Arial"/>
          <w:b/>
          <w:bCs/>
          <w:szCs w:val="21"/>
          <w:highlight w:val="yellow"/>
        </w:rPr>
        <w:t>三、</w:t>
      </w:r>
      <w:r>
        <w:rPr>
          <w:rFonts w:hint="eastAsia" w:ascii="宋体" w:hAnsi="宋体"/>
          <w:b/>
          <w:bCs/>
          <w:snapToGrid w:val="0"/>
          <w:szCs w:val="21"/>
          <w:highlight w:val="yellow"/>
        </w:rPr>
        <w:t>技术要求</w:t>
      </w:r>
      <w:r>
        <w:rPr>
          <w:rFonts w:hint="eastAsia" w:ascii="宋体" w:hAnsi="宋体" w:cs="Arial"/>
          <w:bCs/>
          <w:szCs w:val="21"/>
          <w:highlight w:val="yellow"/>
        </w:rPr>
        <w:t>”的内容；</w:t>
      </w:r>
      <w:r>
        <w:rPr>
          <w:rFonts w:hint="eastAsia" w:ascii="宋体" w:hAnsi="宋体" w:cs="Arial"/>
          <w:bCs/>
          <w:szCs w:val="21"/>
        </w:rPr>
        <w:t>“</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highlight w:val="yellow"/>
        </w:rPr>
        <w:t>征集文件第二部分《采购项目需求》中“三、技术要求”</w:t>
      </w:r>
      <w:r>
        <w:rPr>
          <w:rFonts w:hint="eastAsia" w:asciiTheme="minorEastAsia" w:hAnsiTheme="minorEastAsia" w:eastAsiaTheme="minorEastAsia"/>
          <w:b/>
          <w:szCs w:val="21"/>
          <w:highlight w:val="yellow"/>
        </w:rPr>
        <w:t>中的要求提供相应的</w:t>
      </w:r>
      <w:r>
        <w:rPr>
          <w:rFonts w:hint="eastAsia" w:asciiTheme="minorEastAsia" w:hAnsiTheme="minorEastAsia" w:eastAsiaTheme="minorEastAsia"/>
          <w:b/>
          <w:szCs w:val="21"/>
        </w:rPr>
        <w:t>证明资料，以证明投标供应商响应的真实性。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供应商应在“说明”一栏中列出技术参数的证明资料名称，并注明该证明资料在投标文件中的具体位置，未按要求提供证明材料或未注明证明材料的具体位置或提供的证明资料显示不符合征集文件要求、模糊不清无法判断或未显示是否满足征集文件要求的，均视为负偏离。未要求提供相应证明材料的，投标供应商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2666"/>
        <w:gridCol w:w="2369"/>
        <w:gridCol w:w="1560"/>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9" w:type="pct"/>
            <w:vAlign w:val="center"/>
          </w:tcPr>
          <w:p>
            <w:pPr>
              <w:spacing w:line="360" w:lineRule="auto"/>
              <w:jc w:val="center"/>
              <w:rPr>
                <w:rFonts w:ascii="宋体" w:hAnsi="宋体"/>
                <w:szCs w:val="21"/>
              </w:rPr>
            </w:pPr>
            <w:r>
              <w:rPr>
                <w:rFonts w:hint="eastAsia" w:ascii="宋体" w:hAnsi="宋体"/>
                <w:szCs w:val="21"/>
              </w:rPr>
              <w:t>序号</w:t>
            </w:r>
          </w:p>
        </w:tc>
        <w:tc>
          <w:tcPr>
            <w:tcW w:w="1564" w:type="pct"/>
            <w:vAlign w:val="center"/>
          </w:tcPr>
          <w:p>
            <w:pPr>
              <w:spacing w:line="360" w:lineRule="auto"/>
              <w:jc w:val="center"/>
              <w:rPr>
                <w:rFonts w:ascii="宋体" w:hAnsi="宋体"/>
                <w:szCs w:val="21"/>
              </w:rPr>
            </w:pPr>
            <w:r>
              <w:rPr>
                <w:rFonts w:hint="eastAsia" w:ascii="宋体" w:hAnsi="宋体"/>
                <w:szCs w:val="21"/>
              </w:rPr>
              <w:t>征集商务需求</w:t>
            </w:r>
          </w:p>
        </w:tc>
        <w:tc>
          <w:tcPr>
            <w:tcW w:w="1390" w:type="pct"/>
            <w:vAlign w:val="center"/>
          </w:tcPr>
          <w:p>
            <w:pPr>
              <w:spacing w:line="360" w:lineRule="auto"/>
              <w:jc w:val="center"/>
              <w:rPr>
                <w:rFonts w:ascii="宋体" w:hAnsi="宋体"/>
                <w:szCs w:val="21"/>
              </w:rPr>
            </w:pPr>
            <w:r>
              <w:rPr>
                <w:rFonts w:hint="eastAsia" w:ascii="宋体" w:hAnsi="宋体"/>
                <w:szCs w:val="21"/>
              </w:rPr>
              <w:t>投标商务响应</w:t>
            </w:r>
          </w:p>
        </w:tc>
        <w:tc>
          <w:tcPr>
            <w:tcW w:w="915" w:type="pct"/>
            <w:vAlign w:val="center"/>
          </w:tcPr>
          <w:p>
            <w:pPr>
              <w:spacing w:line="360" w:lineRule="auto"/>
              <w:jc w:val="center"/>
              <w:rPr>
                <w:rFonts w:ascii="宋体" w:hAnsi="宋体"/>
                <w:szCs w:val="21"/>
              </w:rPr>
            </w:pPr>
            <w:r>
              <w:rPr>
                <w:rFonts w:hint="eastAsia" w:ascii="宋体" w:hAnsi="宋体"/>
                <w:szCs w:val="21"/>
              </w:rPr>
              <w:t>偏离情况</w:t>
            </w:r>
          </w:p>
        </w:tc>
        <w:tc>
          <w:tcPr>
            <w:tcW w:w="770" w:type="pct"/>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59" w:type="pct"/>
            <w:vAlign w:val="center"/>
          </w:tcPr>
          <w:p>
            <w:pPr>
              <w:spacing w:line="360" w:lineRule="auto"/>
              <w:jc w:val="center"/>
              <w:rPr>
                <w:rFonts w:ascii="宋体" w:hAnsi="宋体" w:cs="宋体"/>
                <w:bCs/>
                <w:szCs w:val="21"/>
              </w:rPr>
            </w:pPr>
          </w:p>
        </w:tc>
        <w:tc>
          <w:tcPr>
            <w:tcW w:w="1564" w:type="pct"/>
          </w:tcPr>
          <w:p>
            <w:pPr>
              <w:spacing w:line="360" w:lineRule="auto"/>
              <w:rPr>
                <w:rFonts w:ascii="宋体" w:hAnsi="宋体"/>
                <w:bCs/>
                <w:szCs w:val="21"/>
              </w:rPr>
            </w:pPr>
          </w:p>
        </w:tc>
        <w:tc>
          <w:tcPr>
            <w:tcW w:w="1390" w:type="pct"/>
          </w:tcPr>
          <w:p>
            <w:pPr>
              <w:spacing w:line="360" w:lineRule="auto"/>
              <w:rPr>
                <w:rFonts w:ascii="宋体" w:hAnsi="宋体" w:cs="宋体"/>
                <w:szCs w:val="21"/>
              </w:rPr>
            </w:pPr>
          </w:p>
        </w:tc>
        <w:tc>
          <w:tcPr>
            <w:tcW w:w="915" w:type="pct"/>
          </w:tcPr>
          <w:p>
            <w:pPr>
              <w:spacing w:line="360" w:lineRule="auto"/>
              <w:rPr>
                <w:rFonts w:ascii="宋体" w:hAnsi="宋体" w:cs="宋体"/>
                <w:szCs w:val="21"/>
              </w:rPr>
            </w:pPr>
          </w:p>
        </w:tc>
        <w:tc>
          <w:tcPr>
            <w:tcW w:w="770" w:type="pct"/>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9" w:type="pct"/>
            <w:vAlign w:val="center"/>
          </w:tcPr>
          <w:p>
            <w:pPr>
              <w:spacing w:line="360" w:lineRule="auto"/>
              <w:jc w:val="center"/>
              <w:rPr>
                <w:rFonts w:ascii="宋体" w:hAnsi="宋体" w:cs="宋体"/>
                <w:bCs/>
                <w:szCs w:val="21"/>
              </w:rPr>
            </w:pPr>
          </w:p>
        </w:tc>
        <w:tc>
          <w:tcPr>
            <w:tcW w:w="1564" w:type="pct"/>
          </w:tcPr>
          <w:p>
            <w:pPr>
              <w:spacing w:line="360" w:lineRule="auto"/>
              <w:rPr>
                <w:rFonts w:ascii="宋体" w:hAnsi="宋体" w:cs="宋体"/>
                <w:b/>
                <w:szCs w:val="21"/>
              </w:rPr>
            </w:pPr>
          </w:p>
        </w:tc>
        <w:tc>
          <w:tcPr>
            <w:tcW w:w="1390" w:type="pct"/>
          </w:tcPr>
          <w:p>
            <w:pPr>
              <w:spacing w:line="360" w:lineRule="auto"/>
              <w:rPr>
                <w:rFonts w:ascii="宋体" w:hAnsi="宋体" w:cs="宋体"/>
                <w:szCs w:val="21"/>
              </w:rPr>
            </w:pPr>
          </w:p>
        </w:tc>
        <w:tc>
          <w:tcPr>
            <w:tcW w:w="915" w:type="pct"/>
          </w:tcPr>
          <w:p>
            <w:pPr>
              <w:spacing w:line="360" w:lineRule="auto"/>
              <w:rPr>
                <w:rFonts w:ascii="宋体" w:hAnsi="宋体" w:cs="宋体"/>
                <w:szCs w:val="21"/>
              </w:rPr>
            </w:pPr>
          </w:p>
        </w:tc>
        <w:tc>
          <w:tcPr>
            <w:tcW w:w="770" w:type="pct"/>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59" w:type="pct"/>
            <w:vAlign w:val="center"/>
          </w:tcPr>
          <w:p>
            <w:pPr>
              <w:spacing w:line="360" w:lineRule="auto"/>
              <w:jc w:val="center"/>
              <w:rPr>
                <w:rFonts w:ascii="宋体" w:hAnsi="宋体" w:cs="宋体"/>
                <w:bCs/>
                <w:szCs w:val="21"/>
              </w:rPr>
            </w:pPr>
          </w:p>
        </w:tc>
        <w:tc>
          <w:tcPr>
            <w:tcW w:w="1564" w:type="pct"/>
          </w:tcPr>
          <w:p>
            <w:pPr>
              <w:spacing w:line="360" w:lineRule="auto"/>
              <w:rPr>
                <w:rFonts w:ascii="宋体" w:hAnsi="宋体"/>
                <w:bCs/>
                <w:szCs w:val="21"/>
              </w:rPr>
            </w:pPr>
          </w:p>
        </w:tc>
        <w:tc>
          <w:tcPr>
            <w:tcW w:w="1390" w:type="pct"/>
          </w:tcPr>
          <w:p>
            <w:pPr>
              <w:spacing w:line="360" w:lineRule="auto"/>
              <w:rPr>
                <w:rFonts w:ascii="宋体" w:hAnsi="宋体" w:cs="宋体"/>
                <w:szCs w:val="21"/>
              </w:rPr>
            </w:pPr>
          </w:p>
        </w:tc>
        <w:tc>
          <w:tcPr>
            <w:tcW w:w="915" w:type="pct"/>
          </w:tcPr>
          <w:p>
            <w:pPr>
              <w:spacing w:line="360" w:lineRule="auto"/>
              <w:rPr>
                <w:rFonts w:ascii="宋体" w:hAnsi="宋体" w:cs="宋体"/>
                <w:szCs w:val="21"/>
              </w:rPr>
            </w:pPr>
          </w:p>
        </w:tc>
        <w:tc>
          <w:tcPr>
            <w:tcW w:w="770" w:type="pct"/>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9" w:type="pct"/>
            <w:vAlign w:val="center"/>
          </w:tcPr>
          <w:p>
            <w:pPr>
              <w:spacing w:line="360" w:lineRule="auto"/>
              <w:jc w:val="center"/>
              <w:rPr>
                <w:rFonts w:ascii="宋体" w:hAnsi="宋体" w:cs="宋体"/>
                <w:bCs/>
                <w:szCs w:val="21"/>
              </w:rPr>
            </w:pPr>
          </w:p>
        </w:tc>
        <w:tc>
          <w:tcPr>
            <w:tcW w:w="1564" w:type="pct"/>
          </w:tcPr>
          <w:p>
            <w:pPr>
              <w:spacing w:line="360" w:lineRule="auto"/>
              <w:rPr>
                <w:rFonts w:ascii="宋体" w:hAnsi="宋体" w:cs="宋体"/>
                <w:b/>
                <w:szCs w:val="21"/>
              </w:rPr>
            </w:pPr>
          </w:p>
        </w:tc>
        <w:tc>
          <w:tcPr>
            <w:tcW w:w="1390" w:type="pct"/>
          </w:tcPr>
          <w:p>
            <w:pPr>
              <w:spacing w:line="360" w:lineRule="auto"/>
              <w:rPr>
                <w:rFonts w:ascii="宋体" w:hAnsi="宋体" w:cs="宋体"/>
                <w:szCs w:val="21"/>
              </w:rPr>
            </w:pPr>
          </w:p>
        </w:tc>
        <w:tc>
          <w:tcPr>
            <w:tcW w:w="915" w:type="pct"/>
          </w:tcPr>
          <w:p>
            <w:pPr>
              <w:spacing w:line="360" w:lineRule="auto"/>
              <w:rPr>
                <w:rFonts w:ascii="宋体" w:hAnsi="宋体" w:cs="宋体"/>
                <w:szCs w:val="21"/>
              </w:rPr>
            </w:pPr>
          </w:p>
        </w:tc>
        <w:tc>
          <w:tcPr>
            <w:tcW w:w="770" w:type="pct"/>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征集商务需求</w:t>
      </w:r>
      <w:r>
        <w:rPr>
          <w:rFonts w:hint="eastAsia" w:ascii="宋体" w:hAnsi="宋体" w:cs="Arial"/>
          <w:bCs/>
          <w:szCs w:val="21"/>
        </w:rPr>
        <w:t>”一栏逐一列出</w:t>
      </w:r>
      <w:r>
        <w:rPr>
          <w:rFonts w:hint="eastAsia" w:ascii="宋体" w:hAnsi="宋体" w:cs="Arial"/>
          <w:bCs/>
          <w:szCs w:val="21"/>
          <w:highlight w:val="yellow"/>
        </w:rPr>
        <w:t>征集文件第二部分《采购项目需求》中“</w:t>
      </w:r>
      <w:r>
        <w:rPr>
          <w:rFonts w:hint="eastAsia" w:ascii="宋体" w:hAnsi="宋体" w:cs="Arial"/>
          <w:b/>
          <w:bCs/>
          <w:szCs w:val="21"/>
          <w:highlight w:val="yellow"/>
        </w:rPr>
        <w:t>四、商务要求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供应商应在“说明”一栏中列出商务条款的证明资料名称，并注明该证明资料在投标文件中的具体位置，未按要求提供证明材料或未注明证明材料的具体位置或提供的证明资料显示不符合征集文件要求、模糊不清无法判断或未显示是否满足征集文件要求的，均视为负偏离。未要求提供相应证明材料的，投标供应商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rPr>
          <w:rFonts w:cs="仿宋" w:asciiTheme="minorEastAsia" w:hAnsiTheme="minorEastAsia" w:eastAsiaTheme="minorEastAsia"/>
          <w:b/>
          <w:bCs/>
          <w:sz w:val="28"/>
          <w:szCs w:val="32"/>
        </w:rPr>
      </w:pPr>
      <w:r>
        <w:rPr>
          <w:rFonts w:hint="eastAsia"/>
          <w:snapToGrid w:val="0"/>
          <w:kern w:val="0"/>
        </w:rPr>
        <w:t xml:space="preserve">                                                            年    月    日</w:t>
      </w:r>
      <w:r>
        <w:rPr>
          <w:rFonts w:hint="eastAsia" w:cs="仿宋" w:asciiTheme="minorEastAsia" w:hAnsiTheme="minorEastAsia" w:eastAsiaTheme="minorEastAsia"/>
          <w:b/>
          <w:bCs/>
          <w:sz w:val="28"/>
          <w:szCs w:val="32"/>
        </w:rPr>
        <w:br w:type="page"/>
      </w:r>
    </w:p>
    <w:p>
      <w:pPr>
        <w:rPr>
          <w:rFonts w:cs="仿宋" w:asciiTheme="minorEastAsia" w:hAnsiTheme="minorEastAsia" w:eastAsiaTheme="minorEastAsia"/>
          <w:b/>
          <w:bCs/>
          <w:sz w:val="28"/>
          <w:szCs w:val="32"/>
        </w:rPr>
      </w:pPr>
      <w:r>
        <w:rPr>
          <w:rFonts w:hint="eastAsia" w:cs="仿宋" w:asciiTheme="minorEastAsia" w:hAnsiTheme="minorEastAsia" w:eastAsiaTheme="minorEastAsia"/>
          <w:b/>
          <w:bCs/>
          <w:sz w:val="28"/>
          <w:szCs w:val="32"/>
        </w:rPr>
        <w:t>格式10其他征集文件要求的资料或投标供应商认为需要补充的资料</w:t>
      </w:r>
    </w:p>
    <w:p>
      <w:pPr>
        <w:rPr>
          <w:rFonts w:cs="仿宋" w:asciiTheme="minorEastAsia" w:hAnsiTheme="minorEastAsia" w:eastAsiaTheme="minorEastAsia"/>
        </w:rPr>
      </w:pPr>
    </w:p>
    <w:p>
      <w:pPr>
        <w:ind w:firstLine="420" w:firstLineChars="200"/>
        <w:rPr>
          <w:rFonts w:cs="仿宋" w:asciiTheme="minorEastAsia" w:hAnsiTheme="minorEastAsia" w:eastAsiaTheme="minorEastAsia"/>
          <w:bCs/>
        </w:rPr>
      </w:pPr>
      <w:r>
        <w:rPr>
          <w:rFonts w:hint="eastAsia" w:cs="仿宋" w:asciiTheme="minorEastAsia" w:hAnsiTheme="minorEastAsia" w:eastAsiaTheme="minorEastAsia"/>
          <w:bCs/>
        </w:rPr>
        <w:t>投标供应商须按要求编制投标文件，提供的内容要详细、真实、可靠。若提供的资料不齐，将导致扣分；若严重缺项、漏项，其投标将被拒绝。</w:t>
      </w:r>
    </w:p>
    <w:p>
      <w:pPr>
        <w:rPr>
          <w:rFonts w:cs="仿宋" w:asciiTheme="minorEastAsia" w:hAnsiTheme="minorEastAsia" w:eastAsiaTheme="minorEastAsia"/>
          <w:bCs/>
        </w:rPr>
      </w:pPr>
    </w:p>
    <w:p>
      <w:pPr>
        <w:rPr>
          <w:rFonts w:cs="仿宋" w:asciiTheme="minorEastAsia" w:hAnsiTheme="minorEastAsia" w:eastAsiaTheme="minorEastAsia"/>
          <w:bCs/>
        </w:rPr>
      </w:pPr>
      <w:r>
        <w:rPr>
          <w:rFonts w:hint="eastAsia" w:cs="仿宋" w:asciiTheme="minorEastAsia" w:hAnsiTheme="minorEastAsia" w:eastAsiaTheme="minorEastAsia"/>
          <w:b/>
          <w:bCs/>
          <w:color w:val="FF0000"/>
        </w:rPr>
        <w:t>注：</w:t>
      </w:r>
      <w:r>
        <w:rPr>
          <w:rFonts w:hint="eastAsia" w:cs="仿宋" w:asciiTheme="minorEastAsia" w:hAnsiTheme="minorEastAsia" w:eastAsiaTheme="minorEastAsia"/>
          <w:bCs/>
        </w:rPr>
        <w:t>如需提供补充资料，本部分资料格式不做统一规定，由投标供应商自行设计。</w:t>
      </w:r>
    </w:p>
    <w:p>
      <w:pPr>
        <w:widowControl/>
        <w:jc w:val="left"/>
        <w:rPr>
          <w:rFonts w:cs="仿宋" w:asciiTheme="minorEastAsia" w:hAnsiTheme="minorEastAsia" w:eastAsiaTheme="minorEastAsia"/>
          <w:bCs/>
        </w:rPr>
      </w:pPr>
      <w:r>
        <w:rPr>
          <w:rFonts w:hint="eastAsia" w:cs="仿宋" w:asciiTheme="minorEastAsia" w:hAnsiTheme="minorEastAsia" w:eastAsiaTheme="minorEastAsia"/>
          <w:bCs/>
        </w:rPr>
        <w:br w:type="page"/>
      </w:r>
    </w:p>
    <w:p>
      <w:pPr>
        <w:widowControl/>
        <w:jc w:val="left"/>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第四部分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合同条款</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adjustRightInd w:val="0"/>
        <w:snapToGrid w:val="0"/>
        <w:spacing w:line="300" w:lineRule="auto"/>
        <w:ind w:left="2"/>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合同条款</w:t>
      </w:r>
    </w:p>
    <w:p>
      <w:pPr>
        <w:pStyle w:val="35"/>
        <w:widowControl w:val="0"/>
        <w:pBdr>
          <w:bottom w:val="none" w:color="auto" w:sz="0" w:space="0"/>
        </w:pBdr>
        <w:adjustRightInd w:val="0"/>
        <w:snapToGrid w:val="0"/>
        <w:spacing w:before="0" w:beforeAutospacing="0" w:after="0" w:afterAutospacing="0" w:line="360" w:lineRule="auto"/>
        <w:textAlignment w:val="auto"/>
        <w:rPr>
          <w:rFonts w:cs="仿宋" w:asciiTheme="minorEastAsia" w:hAnsiTheme="minorEastAsia" w:eastAsiaTheme="minorEastAsia"/>
          <w:b/>
          <w:bCs/>
          <w:snapToGrid w:val="0"/>
          <w:sz w:val="32"/>
          <w:szCs w:val="32"/>
        </w:rPr>
      </w:pPr>
      <w:r>
        <w:rPr>
          <w:rFonts w:hint="eastAsia" w:cs="仿宋" w:asciiTheme="minorEastAsia" w:hAnsiTheme="minorEastAsia" w:eastAsiaTheme="minorEastAsia"/>
          <w:b/>
          <w:bCs/>
          <w:snapToGrid w:val="0"/>
          <w:sz w:val="32"/>
          <w:szCs w:val="32"/>
        </w:rPr>
        <w:t>（仅供参考）</w:t>
      </w:r>
    </w:p>
    <w:p>
      <w:pPr>
        <w:jc w:val="center"/>
        <w:rPr>
          <w:b/>
          <w:szCs w:val="21"/>
        </w:rPr>
      </w:pPr>
    </w:p>
    <w:p>
      <w:pPr>
        <w:pStyle w:val="10"/>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重要说明：采购人在签订合同前有权依据征集文件要求和项目实际情况对以下合同内容进行删改或补充。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乙方（中标供应商）：</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征集项目（项目编号__________________）的成交结果，由_______________________单位为中标供应商。</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，经_______________________（以下简称采购人）和_______________________（以下简称中标供应商）协商，就_______________________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征集文件、答疑及补充通知；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10"/>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1、《成交结果通知书》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3、《征集文件》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中标供应商</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日期：   年     月    日</w:t>
      </w:r>
    </w:p>
    <w:p>
      <w:pPr>
        <w:jc w:val="center"/>
        <w:rPr>
          <w:b/>
          <w:sz w:val="52"/>
          <w:szCs w:val="52"/>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第五部分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通用条款（投标须知）</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通用条款（投标须知）</w:t>
      </w:r>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Ａ  说  明</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 适用范围</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  本征集文件仅适用于投标须知前附表（以下简称“前附表”）第1项所叙述项目的货物、工程及服务采购。</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  上述采购按照采购单位内部管控制度，参考《中华人民共和国政府采购法》和《深圳经济特区政府采购条例》及有关招投标法规、规章、规定，择优选定投标供应商。</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 定义</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  “</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”系指前附表第2项所述。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  “</w:t>
      </w:r>
      <w:r>
        <w:rPr>
          <w:rFonts w:hint="eastAsia" w:cs="仿宋" w:asciiTheme="minorEastAsia" w:hAnsiTheme="minorEastAsia" w:eastAsiaTheme="minorEastAsia"/>
          <w:bCs/>
          <w:snapToGrid w:val="0"/>
          <w:kern w:val="0"/>
          <w:szCs w:val="21"/>
        </w:rPr>
        <w:t>采购代理机构</w:t>
      </w:r>
      <w:r>
        <w:rPr>
          <w:rFonts w:hint="eastAsia" w:cs="仿宋" w:asciiTheme="minorEastAsia" w:hAnsiTheme="minorEastAsia" w:eastAsiaTheme="minorEastAsia"/>
          <w:snapToGrid w:val="0"/>
          <w:kern w:val="0"/>
          <w:szCs w:val="21"/>
        </w:rPr>
        <w:t>”系前附表第3项所述。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  “投标供应商”系指向</w:t>
      </w:r>
      <w:r>
        <w:rPr>
          <w:rFonts w:hint="eastAsia" w:cs="仿宋" w:asciiTheme="minorEastAsia" w:hAnsiTheme="minorEastAsia" w:eastAsiaTheme="minorEastAsia"/>
          <w:bCs/>
          <w:snapToGrid w:val="0"/>
          <w:kern w:val="0"/>
          <w:szCs w:val="21"/>
        </w:rPr>
        <w:t>采购代理机构</w:t>
      </w:r>
      <w:r>
        <w:rPr>
          <w:rFonts w:hint="eastAsia" w:cs="仿宋" w:asciiTheme="minorEastAsia" w:hAnsiTheme="minorEastAsia" w:eastAsiaTheme="minorEastAsia"/>
          <w:snapToGrid w:val="0"/>
          <w:kern w:val="0"/>
          <w:szCs w:val="21"/>
        </w:rPr>
        <w:t>提交投标文件的投标供应商。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  “货物”系指投标供应商按征集文件规定，须向</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提供的设备及材料。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  “工程”系指投标供应商按征集文件规定，须向</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提供的设备及材料的安装。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  “服务”系指征集文件规定卖方须承担设计和其它类似的义务。</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 资金来源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  采购资金通过前附表第4 项的方式获得，并用于采购合同下的合格支付。</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4. 合格的投标供应商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4.1  具有独立承担民事责任的能力。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4.2  具有良好的商业信誉和健全的财务会计制度。</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4.3  具有履行合同所必需的设备和专业技术能力。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4.4  有依法缴纳税收和社会保障资金的良好记录。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4.5  参加政府采购活动近三年内，在经营活动中没有重大违法记录。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4.6  法律、行政法规规定的其他条件。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4.7  符合前附表第5项规定的条件。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  联合体投标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4.8.1　以下有关联合体投标的条款仅适用于允许投标供应商组成联合体投标的项目。是否允许联合体投标以“前附表”中的规定或说明为准。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4.8.2  由两个或两个以上的自然人、法人或者其他组织可以组成一个联合体，以一个投标供应商的身份共同投标时，应符合以下原则：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（1）投标联合体各方参加政府采购活动应当具备下列条件：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1、具有独立承担民事责任的能力；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2、具有良好的商业信誉和健全的财务会计制度；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3、具有履行合同所必需的设备和专业技术能力；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4、有依法缴纳税收和社会保障资金的良好记录；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5、参加政府采购活动前三年内，在经营活动中没有重大违法记录；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6、法律、行政法规规定的其他条件。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（2）投标联合体各方必须有一方先行注册成深圳公共资源交易中心投标供应商；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（3）联合体中有同类资质的投标供应商按照联合体分工承担相同工作的，应当按照资质等级较低的投标供应商确定资质等级。</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（4）是否允许联合体参加投标，应当由采购人和采购代理机构根据项目的实际情况和潜在投标供应商的数量自主决定，如果决定接受联合体投标则应当在采购公告中明示。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采购人根据采购项目的特殊要求规定投标供应商特定条件的，联合体各方中至少应当有一方符合采购人规定的特定条件。对于采购公告对投标供应商某一资格有要求的，按照联合体各方中最低资质等级确定联合体的资质等级；联合体各方的不同资质可优势互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（6）投标供应商的投标文件及中标后签署的合同协议对联合体各方均具法律约束力；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（7）联合体各方应当签订共同投标协议，明确约定各方拟承担的工作和责任，该共同投标协议应作为投标文件不可缺的组成部分；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（8）联合体中标后，联合体各方应当共同与采购人签订合同，就中标项目向采购人承担连带责任；</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以联合体形式参加政府采购活动的，联合体各方不得再单独参加或者与其他投标供应商另外组成联合体参加同一合同项下的政府采购活动，出现上述情况者，其投标和与此有关的联合体、总包单位的投标将被拒绝；</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（11）本次采购中“投标供应商”一词亦指联合体各方，“前附表”另有规定或说明的除外。</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5. 采购活动费用的承担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5.1  无论采购过程中的做法和结果如何，投标供应商自行承担所有与参加采购活动有关的全部费用。</w:t>
      </w:r>
    </w:p>
    <w:p>
      <w:pPr>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6.  踏勘现场</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6.1  </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将按前附表第6项的规定，组织投标供应商对现场及周围环境进行踏勘，以便投标供应商获取须自己负责的有关编制投标文件和签署合同所需的所有资料。踏勘现场所发生的费用由投标供应商自己承担。</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6.2 </w:t>
      </w:r>
      <w:r>
        <w:rPr>
          <w:rFonts w:hint="eastAsia" w:cs="仿宋" w:asciiTheme="minorEastAsia" w:hAnsiTheme="minorEastAsia" w:eastAsiaTheme="minorEastAsia"/>
          <w:bCs/>
          <w:szCs w:val="21"/>
        </w:rPr>
        <w:t xml:space="preserve"> 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向投标供应商提供的有关现场的资料和数据，是</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现有的能使投标供应商利用的资料。</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对投标供应商由此而做出的推论、理解和结论概不负责。</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6.3  投标供应商及其人员经过</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的允许，可为踏勘目的进入</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zCs w:val="21"/>
        </w:rPr>
        <w:t>的现场，但投标供应商及其人员不得因此使</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及其人员承担有关的责任和蒙受损失。投标供应商并应对由此次踏勘现场面造成的死亡、人身伤害、财产损失、损害以及任何其它损失、损害和引起的费用和开支承担责任。</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6.4   如果投标供应商认为需要再次进行现场踏勘，</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将予以支持，费用自理。</w:t>
      </w:r>
    </w:p>
    <w:p>
      <w:pPr>
        <w:rPr>
          <w:rFonts w:cs="仿宋" w:asciiTheme="minorEastAsia" w:hAnsiTheme="minorEastAsia" w:eastAsiaTheme="minorEastAsia"/>
        </w:rPr>
      </w:pPr>
      <w:bookmarkStart w:id="6" w:name="q5"/>
      <w:bookmarkEnd w:id="6"/>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Ｂ　征集文件说明</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7. 征集文件的构成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7.1  征集文件是用以阐明所需设备及服务的情况，以及采购、投标程序和相应的合同条款。征集文件由下述部份组成：</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（1）采购公告</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（2）投标须知前附表及评审信息</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（3）采购项目需求</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（4）投标文件格式</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（5）合同条款</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（6）通用条款（投标须知）</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（7）附件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8.  征集文件的澄清及修改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8.1  投标供应商对征集文件如有疑点，可要求澄清，应在投标截止日5日前按采购公告中载明的地址以书面形式（包括信函、传真，下同）通知到采购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将视情况确定采用适当方式予以澄清或以书面形式予以答复，并在其认为必要时，将不标明查询来源的书面答复发给已购买征集文件的每一投标供应商。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8.2  在投标截止日3日前，采购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可依据投标供应商要求澄清的问题修改征集文件，并以书面形式通知所有购买征集文件的每一投标供应商，对方在收到该通知后应立即以书面的形式予以确认。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8.3  为了使投标供应商在准备投标文件时有合理的时间考虑征集文件的修改，采购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可酌情推迟投标截止时间和开标时间，并以书面形式通知已购买征集文件的每一投标供应商。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8.4  征集文件的修改将构成征集文件的一部分，对投标供应商有约束力。</w:t>
      </w:r>
    </w:p>
    <w:p>
      <w:pPr>
        <w:adjustRightInd w:val="0"/>
        <w:spacing w:line="360" w:lineRule="auto"/>
        <w:rPr>
          <w:rFonts w:cs="仿宋" w:asciiTheme="minorEastAsia" w:hAnsiTheme="minorEastAsia" w:eastAsiaTheme="minorEastAsia"/>
          <w:snapToGrid w:val="0"/>
          <w:kern w:val="0"/>
          <w:szCs w:val="21"/>
        </w:rPr>
      </w:pPr>
    </w:p>
    <w:p>
      <w:pPr>
        <w:adjustRightInd w:val="0"/>
        <w:spacing w:line="360" w:lineRule="auto"/>
        <w:ind w:firstLine="600"/>
        <w:jc w:val="center"/>
        <w:rPr>
          <w:rFonts w:cs="仿宋" w:asciiTheme="minorEastAsia" w:hAnsiTheme="minorEastAsia" w:eastAsiaTheme="minorEastAsia"/>
          <w:b/>
          <w:snapToGrid w:val="0"/>
          <w:kern w:val="0"/>
          <w:sz w:val="32"/>
          <w:szCs w:val="32"/>
        </w:rPr>
      </w:pPr>
      <w:bookmarkStart w:id="7" w:name="q6"/>
      <w:bookmarkEnd w:id="7"/>
      <w:r>
        <w:rPr>
          <w:rFonts w:hint="eastAsia" w:cs="仿宋" w:asciiTheme="minorEastAsia" w:hAnsiTheme="minorEastAsia" w:eastAsiaTheme="minorEastAsia"/>
          <w:b/>
          <w:snapToGrid w:val="0"/>
          <w:kern w:val="0"/>
          <w:sz w:val="32"/>
          <w:szCs w:val="32"/>
        </w:rPr>
        <w:t>Ｃ  投标文件的编写</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9. 投标语言及计量单位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9.1  投标文件及投标供应商和采购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就投标交换的文件和往来的信件，应以中文书写。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9.2  除在征集文件的设计思路和方案中另有规定外，计量单位应使用中华人民共和国法定计量单位（国际单位制和国家选定的其他计量单位）。</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10. 投标文件的组成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  投标文件应包括下列部份：</w:t>
      </w:r>
    </w:p>
    <w:p>
      <w:pPr>
        <w:adjustRightInd w:val="0"/>
        <w:spacing w:line="360" w:lineRule="auto"/>
        <w:ind w:left="945" w:leftChars="100" w:hanging="735" w:hangingChars="3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10.1.1 开标信封：装有“法定代表人（负责人）证明书、法定代表人（负责人）授权委托书”和“开标一览表”单独密封的信封。</w:t>
      </w:r>
    </w:p>
    <w:p>
      <w:pPr>
        <w:adjustRightInd w:val="0"/>
        <w:spacing w:line="360" w:lineRule="auto"/>
        <w:ind w:firstLine="210" w:firstLineChars="1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10.1.2 投标文件：</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（1）目录</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（2）政府采购违法行为风险知悉确认书</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（3）评审指引表</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（4）声明函（格式1）</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（5）投标供应商资格证明文件（格式2）</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（6）评分中涉及的承诺及声明函（格式3）</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w:t>
      </w:r>
      <w:r>
        <w:fldChar w:fldCharType="begin"/>
      </w:r>
      <w:r>
        <w:instrText xml:space="preserve"> HYPERLINK \l "q24" </w:instrText>
      </w:r>
      <w:r>
        <w:fldChar w:fldCharType="separate"/>
      </w:r>
      <w:r>
        <w:rPr>
          <w:rFonts w:hint="eastAsia" w:cs="仿宋" w:asciiTheme="minorEastAsia" w:hAnsiTheme="minorEastAsia" w:eastAsiaTheme="minorEastAsia"/>
          <w:szCs w:val="21"/>
        </w:rPr>
        <w:t>开标一览表</w:t>
      </w:r>
      <w:r>
        <w:rPr>
          <w:rFonts w:hint="eastAsia" w:cs="仿宋" w:asciiTheme="minorEastAsia" w:hAnsiTheme="minorEastAsia" w:eastAsiaTheme="minorEastAsia"/>
          <w:szCs w:val="21"/>
        </w:rPr>
        <w:fldChar w:fldCharType="end"/>
      </w:r>
      <w:r>
        <w:rPr>
          <w:rFonts w:hint="eastAsia" w:cs="仿宋" w:asciiTheme="minorEastAsia" w:hAnsiTheme="minorEastAsia" w:eastAsiaTheme="minorEastAsia"/>
          <w:snapToGrid w:val="0"/>
          <w:kern w:val="0"/>
          <w:szCs w:val="21"/>
        </w:rPr>
        <w:t>（格式4）</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（8）报价表（格式5）</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（9）技术规格（格式6）</w:t>
      </w:r>
    </w:p>
    <w:p>
      <w:pPr>
        <w:adjustRightInd w:val="0"/>
        <w:spacing w:line="360" w:lineRule="auto"/>
        <w:ind w:firstLine="315" w:firstLineChars="150"/>
      </w:pPr>
      <w:r>
        <w:rPr>
          <w:rFonts w:hint="eastAsia" w:cs="仿宋" w:asciiTheme="minorEastAsia" w:hAnsiTheme="minorEastAsia" w:eastAsiaTheme="minorEastAsia"/>
          <w:snapToGrid w:val="0"/>
          <w:kern w:val="0"/>
          <w:szCs w:val="21"/>
        </w:rPr>
        <w:t>（10）</w:t>
      </w:r>
      <w:r>
        <w:rPr>
          <w:rFonts w:hint="eastAsia"/>
        </w:rPr>
        <w:t>交付进度</w:t>
      </w:r>
      <w:r>
        <w:rPr>
          <w:rFonts w:hint="eastAsia" w:cs="仿宋" w:asciiTheme="minorEastAsia" w:hAnsiTheme="minorEastAsia" w:eastAsiaTheme="minorEastAsia"/>
          <w:snapToGrid w:val="0"/>
          <w:kern w:val="0"/>
          <w:szCs w:val="21"/>
        </w:rPr>
        <w:t>（格式7）</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w:t>
      </w:r>
      <w:r>
        <w:rPr>
          <w:rFonts w:hint="eastAsia"/>
        </w:rPr>
        <w:t>售后服务和质量承诺</w:t>
      </w:r>
      <w:r>
        <w:rPr>
          <w:rFonts w:hint="eastAsia" w:cs="仿宋" w:asciiTheme="minorEastAsia" w:hAnsiTheme="minorEastAsia" w:eastAsiaTheme="minorEastAsia"/>
          <w:snapToGrid w:val="0"/>
          <w:kern w:val="0"/>
          <w:szCs w:val="21"/>
        </w:rPr>
        <w:t>（格式8）</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（12）偏离表（格式9）</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bCs/>
          <w:snapToGrid w:val="0"/>
          <w:kern w:val="0"/>
          <w:szCs w:val="21"/>
        </w:rPr>
        <w:t>（13）其他</w:t>
      </w:r>
      <w:r>
        <w:rPr>
          <w:rFonts w:hint="eastAsia" w:cs="仿宋" w:asciiTheme="minorEastAsia" w:hAnsiTheme="minorEastAsia" w:eastAsiaTheme="minorEastAsia"/>
          <w:snapToGrid w:val="0"/>
          <w:kern w:val="0"/>
          <w:szCs w:val="21"/>
        </w:rPr>
        <w:t>征集文件</w:t>
      </w:r>
      <w:r>
        <w:rPr>
          <w:rFonts w:hint="eastAsia" w:cs="仿宋" w:asciiTheme="minorEastAsia" w:hAnsiTheme="minorEastAsia" w:eastAsiaTheme="minorEastAsia"/>
          <w:bCs/>
          <w:snapToGrid w:val="0"/>
          <w:kern w:val="0"/>
          <w:szCs w:val="21"/>
        </w:rPr>
        <w:t>要求的资料或投标供应商认为需要补充的资料</w:t>
      </w:r>
      <w:r>
        <w:rPr>
          <w:rFonts w:hint="eastAsia" w:cs="仿宋" w:asciiTheme="minorEastAsia" w:hAnsiTheme="minorEastAsia" w:eastAsiaTheme="minorEastAsia"/>
          <w:snapToGrid w:val="0"/>
          <w:kern w:val="0"/>
          <w:szCs w:val="21"/>
        </w:rPr>
        <w:t>（格式10）</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b/>
          <w:snapToGrid w:val="0"/>
          <w:kern w:val="0"/>
          <w:szCs w:val="21"/>
        </w:rPr>
        <w:t>11. 投标文件格式</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11.1  投标文件必须毫无遗漏地包括本须知第10条规定的内容，投标供应商提交的投标文件必须毫无例外地使用征集文件所提供投标文件格式（表格可以按同样格式扩展）。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b/>
          <w:snapToGrid w:val="0"/>
          <w:color w:val="FF0000"/>
          <w:kern w:val="0"/>
          <w:szCs w:val="21"/>
          <w:highlight w:val="yellow"/>
        </w:rPr>
        <w:t>注：如征集文件第三部分投标格式与本须知第10条规定的内容不一致，以投标文件第三部分投标格式为准。</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12. 投标报价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12.1  投标报价应为到指定地点价，以人民币为结算单位。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12.2  投标供应商应在征集文件所附的“开标一览表”（格式3）和“报价表”（格式4）上写明投标货物的单价和投标总价。投标供应商对每种项目只允许有一个报价，采购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不接受有任何选择的报价。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12.3  此报价作为评审委员会评审标准，但不能限制</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以其它方式签订合同的权力。</w:t>
      </w:r>
    </w:p>
    <w:p>
      <w:pPr>
        <w:adjustRightInd w:val="0"/>
        <w:spacing w:line="440" w:lineRule="exact"/>
        <w:ind w:firstLine="422" w:firstLineChars="200"/>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13. 投标供应商资格的证明文件</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13.1  投标供应商必须提交证明其有资格进行投标，和中标后有能力履行合同的证明文件（格式1与格式2），作为投标文件的一部份。</w:t>
      </w:r>
    </w:p>
    <w:p>
      <w:pPr>
        <w:adjustRightInd w:val="0"/>
        <w:spacing w:line="440" w:lineRule="exact"/>
        <w:ind w:firstLine="422" w:firstLineChars="200"/>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14. 投标有效期</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14.1  投标文件的有效期按前附表第7项规定。</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14.2  特殊情况下，采购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可于投标有效期期满之前，要求投标供应商同意延长投标有效期。投标供应商可以拒绝或同意上述要求，但要求与答复均须是书面文件。对于同意该要求的投标供应商，采购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既不要求也不允许其修改投标文件。</w:t>
      </w:r>
    </w:p>
    <w:p>
      <w:pPr>
        <w:adjustRightInd w:val="0"/>
        <w:spacing w:line="440" w:lineRule="exact"/>
        <w:ind w:firstLine="422" w:firstLineChars="200"/>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15. 项目保证金</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15.1  以下有关项目保证金的条款仅适用于需要缴纳项目保证金的项目。是否需要缴纳项目保证金以《投标须知前附表》中的规定或说明为准。</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15.2  投标供应商应向采购代理机构提交一笔不少于前附表第8项所规定的项目保证金，以到账为准。</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15.3  项目保证金用于保护本次采购免受投标供应商的行为而引起的风险。</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15.4  项目保证金应以支票、汇票、本票或采购机构能够接受的银行保函等其它非现金形式提交。（注：必须从投标供应商基本账户转出，否则其投标无效。）</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15.5  未按规定提交项目保证金的投标，将被视为无效投标。</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15.6  未中标的投标供应商的项目保证金，采购代理机构将在中标通知书发出且收到投标供应商的《项目保证金退还申请表》后5个工作日内退还。</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15.7  中标方的项目保证金，采购代理机构将在中标方签订合同并支付采购代理服务费后5个工作日内退还。</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15.8  发生以下情况项目保证金将被没收：</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（1）投标供应商在投标有效期内撤销投标文件；</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（3）投标供应商串通投标或者以其他弄虚作假方式投标；</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（4）如果中标方未能做到：</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按本须知第32条规定签订合同；或</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按本须知第33条规定提供履约保证金；或</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按本须知第34条规定缴纳采购代理服务费。</w:t>
      </w:r>
    </w:p>
    <w:p>
      <w:pPr>
        <w:pStyle w:val="8"/>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（5） 法律法规规定的其它情况。</w:t>
      </w:r>
    </w:p>
    <w:p>
      <w:pPr>
        <w:tabs>
          <w:tab w:val="left" w:pos="330"/>
        </w:tabs>
        <w:spacing w:line="440" w:lineRule="exact"/>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16. 投标预备会（</w:t>
      </w:r>
      <w:r>
        <w:rPr>
          <w:rFonts w:hint="eastAsia" w:cs="仿宋" w:asciiTheme="minorEastAsia" w:hAnsiTheme="minorEastAsia" w:eastAsiaTheme="minorEastAsia"/>
          <w:b/>
          <w:snapToGrid w:val="0"/>
          <w:kern w:val="0"/>
          <w:szCs w:val="21"/>
        </w:rPr>
        <w:t>答疑会）</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16.1  投标预备会（答疑会），如采购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认为有必要召开投标预备会，投标供应商应按照前附表第9项规定的或采购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另行书面通知的时间和地点，派出代表出席采购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主持的投标预备会。</w:t>
      </w:r>
    </w:p>
    <w:p>
      <w:pPr>
        <w:adjustRightIn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16.2  投标预备会的目的是澄清、解答投标供应商在查阅征集文件后和现场踏勘中可能提出的任何方面的问题。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16.3  投标供应商提出的与投标有关的任何采购问题须以书面形式给采购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。在投标预备会上，采购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将做出澄清和解答。</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16.4  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在投标预备会上所做出的澄清和解答，以书面答复为准，投标供应商在收到投标答疑纪要时应以书面形式予以确认。答疑纪要的有效性规定按照本须知第8.2、8.4款规定执行。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16.5  未出席投标预备会不作为否定投标供应商资格的理由。</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17. 投标文件的份数和签署</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17.1  投标文件数量按前附表第10项所述，须在每一份投标文件上明确注明“正本”或“副本”字样。一旦正本和副本有差异，以正本为准。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17.2  为了便于投标文件保存，需提交一份投标文件正文盖章扫描件（.pdf）电子档一份。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17.3  投标文件正本及开标一览表须打印，并经法定代表人或其授权代表签字和盖章，投标文件的副本可采用正本复印件。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17.4  除投标供应商对错处做必要修改外，投标文件中不许有加行、涂抹或改写，如有修改遗漏处，必须由投标供应商法定代表人或其授权代表签字和盖章。</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17.5  电报、电话、传真形式的投标概不接受。</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17.6  投标文件不符合上述规定，为无效投标。</w:t>
      </w:r>
    </w:p>
    <w:p>
      <w:pPr>
        <w:pStyle w:val="2"/>
      </w:pPr>
    </w:p>
    <w:p>
      <w:pPr>
        <w:adjustRightInd w:val="0"/>
        <w:spacing w:line="360" w:lineRule="auto"/>
        <w:jc w:val="center"/>
        <w:rPr>
          <w:rFonts w:cs="仿宋" w:asciiTheme="minorEastAsia" w:hAnsiTheme="minorEastAsia" w:eastAsiaTheme="minorEastAsia"/>
          <w:b/>
          <w:snapToGrid w:val="0"/>
          <w:kern w:val="0"/>
          <w:sz w:val="32"/>
          <w:szCs w:val="32"/>
        </w:rPr>
      </w:pPr>
      <w:bookmarkStart w:id="8" w:name="q7"/>
      <w:bookmarkEnd w:id="8"/>
      <w:r>
        <w:rPr>
          <w:rFonts w:hint="eastAsia" w:cs="仿宋" w:asciiTheme="minorEastAsia" w:hAnsiTheme="minorEastAsia" w:eastAsiaTheme="minorEastAsia"/>
          <w:b/>
          <w:snapToGrid w:val="0"/>
          <w:kern w:val="0"/>
          <w:sz w:val="32"/>
          <w:szCs w:val="32"/>
        </w:rPr>
        <w:t>Ｄ   投标文件的递交</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18. 投标文件的密封和标记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18.1须在每一份投标文件封面上明确注明“正本”或“副本”字样。一旦正本和副本有差异，以正本为准。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18.2投标文件完整密封（包含两份正本和四份副本）。</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18.3投标供应商应将投标文件正文扫描件电子档单独密封于一信封，在信封上注明“备份电子档”。</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18.4 将按本须知第18.2、18.3款密封好的“投标文件”和“备份电子档”一起封装在一个外层包封中，同时还应：</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写明采购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名称；</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注明下列识别标志：</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A、项目编号；</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B、项目名称；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C、投标供应商名称；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D、</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年</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月</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日</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时</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分（开标时间）前不得开封。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18.5  投标供应商应将“法定代表人（负责人）证明书、法定代表人（负责人）授权委托书”和“开标一览表”密封于一信封，在递交投标文件时单独交与采购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，在信封上应：</w:t>
      </w:r>
    </w:p>
    <w:p>
      <w:pPr>
        <w:tabs>
          <w:tab w:val="left" w:pos="1470"/>
        </w:tabs>
        <w:adjustRightInd w:val="0"/>
        <w:spacing w:line="360" w:lineRule="auto"/>
        <w:ind w:left="629" w:leftChars="172" w:hanging="268" w:hangingChars="128"/>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写明采购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名称；</w:t>
      </w:r>
    </w:p>
    <w:p>
      <w:pPr>
        <w:tabs>
          <w:tab w:val="left" w:pos="1470"/>
        </w:tabs>
        <w:adjustRightInd w:val="0"/>
        <w:spacing w:line="360" w:lineRule="auto"/>
        <w:ind w:left="629" w:leftChars="172" w:hanging="268" w:hangingChars="128"/>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注明下列识别标志：</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A、项目编号；</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B、项目名称；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C、投标供应商名称；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D、注明：“开标一览表”和“法定代表人（负责人）证明书、法定代表人（负责人）授权委托书”</w:t>
      </w:r>
    </w:p>
    <w:p>
      <w:pPr>
        <w:adjustRightInd w:val="0"/>
        <w:spacing w:line="360" w:lineRule="auto"/>
        <w:ind w:firstLine="525" w:firstLineChars="2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E、</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年</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月</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日</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时</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分（开标时间）前不得开封。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18.6  除了按本须知第18.4、18.5款所要求的识别字样外，在所有投标文件密封袋上还应写明投标供应商的名称与地址、邮政编码，以便投标按本须知第20条宣布“迟到”时，投标文件可以原封退回；</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18.7  如果投标文件没有按本投标须知第18.1至18.6款规定加写标记和密封，采购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将拒收或者告知投标供应商，采购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将不承担投标文件错放或提前开封的责任。对由此造成的提前开封的投标文件将予以拒绝，并退还给投标供应商；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18.8  所有投标文件的密封袋的封口处应加盖投标供应商印章。</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18.9  投标文件需由专人送交。投标供应商应按本投标须知第18.1至18.8款中的规定进行密封和标记后，将投标文件按照前附表第11项中注明的地址送至采购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18.10  投标供应商按征集文件要求如需提供实物，应随投标文件一起递交。</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19. 递交投标文件的时间、地点以及截止时间</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19.1  递交投标文件的地点与开标仪式的地点相同。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19.2  所有投标文件都必须按采购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在前附表第</w:t>
      </w:r>
      <w:bookmarkStart w:id="9" w:name="_Hlt35050056"/>
      <w:bookmarkEnd w:id="9"/>
      <w:r>
        <w:rPr>
          <w:rFonts w:hint="eastAsia" w:cs="仿宋" w:asciiTheme="minorEastAsia" w:hAnsiTheme="minorEastAsia" w:eastAsiaTheme="minorEastAsia"/>
          <w:snapToGrid w:val="0"/>
          <w:kern w:val="0"/>
          <w:szCs w:val="21"/>
        </w:rPr>
        <w:t>12项中规定的投标截止时间之前送至采购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19.3  出现第8.3款因征集文件修改或其他原因推迟投标截止时，则按采购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修改通知规定的时间递交。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19.4  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在投标截止时间前30分钟开始接收投标文件。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20. 迟交的投标文件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20.1  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将拒绝接收在投标截止时间后递交的投标文件。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21. 投标文件的修改和撤回</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21.1  投标供应商在提交投标文件后可对其投标文件进行修改或撤回，但采购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须在投标截止时间之前收到该修改或撤回的书面通知，该通知须有经正式授权的投标供应商代表签字。</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21.2  投标供应商对投标文件修改的书面材料或撤回的通知应按本须知第17条和第18条规定进行编写、密封、标注和递交，并注明“修改投标文件”或“撤回投标”字样。</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21.3  投标截止时间以后不得修改投标文件。</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21.4  投标供应商不得在开标时间起到投标文件有效期满前撤销投标文件。</w:t>
      </w:r>
    </w:p>
    <w:p>
      <w:pPr>
        <w:rPr>
          <w:rFonts w:cs="仿宋" w:asciiTheme="minorEastAsia" w:hAnsiTheme="minorEastAsia" w:eastAsiaTheme="minorEastAsia"/>
        </w:rPr>
      </w:pPr>
      <w:bookmarkStart w:id="10" w:name="q8"/>
      <w:bookmarkEnd w:id="10"/>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Ｅ   开标和评审</w:t>
      </w:r>
    </w:p>
    <w:p>
      <w:pPr>
        <w:tabs>
          <w:tab w:val="left" w:pos="0"/>
        </w:tabs>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22. 开标</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22.1  采购代理机构在前附表第11项规定的时间和地点公开开标。</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22.2  所有投标供应商法定代表人（负责人）或授权代表都须按时参加开标会，否则不接受其投标。【</w:t>
      </w:r>
      <w:r>
        <w:rPr>
          <w:rFonts w:hint="eastAsia" w:cs="仿宋" w:asciiTheme="minorEastAsia" w:hAnsiTheme="minorEastAsia" w:eastAsiaTheme="minorEastAsia"/>
          <w:b/>
          <w:bCs/>
          <w:snapToGrid w:val="0"/>
          <w:color w:val="FF0000"/>
          <w:kern w:val="0"/>
          <w:szCs w:val="21"/>
          <w:highlight w:val="yellow"/>
        </w:rPr>
        <w:t>如是邮寄标书，可以不用到现场参与</w:t>
      </w:r>
      <w:r>
        <w:rPr>
          <w:rFonts w:hint="eastAsia" w:cs="仿宋" w:asciiTheme="minorEastAsia" w:hAnsiTheme="minorEastAsia" w:eastAsiaTheme="minorEastAsia"/>
          <w:snapToGrid w:val="0"/>
          <w:kern w:val="0"/>
          <w:szCs w:val="21"/>
        </w:rPr>
        <w:t>】</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  开标时，采购代理机构将检查投标文件的密封情况，在确认无误后拆封唱标。唱标主要内容为下面几点并做好唱标记录。</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22.3.1  核对法定代表人（负责人）或其授权代表身份证明，若不能提供相应的身份证明或不相符，则视为无效投标。 </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22.3.2  投标文件中“开标一览表”的内容。</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22.3.3  采购代理机构认为合适的其他内容。</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23. 评审委员会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23.1采购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将根据采购货物的特点组建评审委员会，其成员由</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代表</w:t>
      </w:r>
      <w:r>
        <w:rPr>
          <w:rFonts w:hint="eastAsia" w:cs="仿宋" w:asciiTheme="minorEastAsia" w:hAnsiTheme="minorEastAsia" w:eastAsiaTheme="minorEastAsia"/>
          <w:bCs/>
          <w:snapToGrid w:val="0"/>
          <w:kern w:val="0"/>
          <w:szCs w:val="21"/>
        </w:rPr>
        <w:t>和有关技术、经济等方面的</w:t>
      </w:r>
      <w:r>
        <w:rPr>
          <w:rFonts w:hint="eastAsia" w:cs="仿宋" w:asciiTheme="minorEastAsia" w:hAnsiTheme="minorEastAsia" w:eastAsiaTheme="minorEastAsia"/>
          <w:snapToGrid w:val="0"/>
          <w:kern w:val="0"/>
          <w:szCs w:val="21"/>
        </w:rPr>
        <w:t>专家组成。评审委员会对投标文件进行审查、质疑、评估和比较。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23.2 评审期间，投标供应商应由法定代表人或其授权代表参加询标。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23.3评审委员会成员对需要共同认定的事项存在争议的，应当按照少数服从多数的原则作出结论。持不同意见的评审委员会成员应当在评审报告上签署不同意见及理由，否则视为同意评审报告。</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24. 对投标文件的审查和投标性的确定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24.1  采购机构就投标文件中的资格证明文件内容对投标供应商进行资格核查：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24.1.1采购机构就投标文件中的资格证明等内容对投标供应商进行资格核查，核查不合格的，认定其投标无效。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  评审委员会将投标文件进行符合性审查：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24.2.1  评审委员会将审查投标文件是否完整、总体编排是否有序、文件签署是否合格、有无计算上的错误等。</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24.2.2  算术错误将按以下方法更正（次序排先者优先）：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 （1）开标一览表内容与投标文件中相应内容不一致的，以开标一览表为准；</w:t>
      </w:r>
    </w:p>
    <w:p>
      <w:pPr>
        <w:adjustRightInd w:val="0"/>
        <w:spacing w:line="360" w:lineRule="auto"/>
        <w:ind w:firstLine="105" w:firstLineChars="5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（2）</w:t>
      </w:r>
      <w:r>
        <w:rPr>
          <w:rFonts w:hint="eastAsia" w:cs="仿宋" w:asciiTheme="minorEastAsia" w:hAnsiTheme="minorEastAsia" w:eastAsiaTheme="minorEastAsia"/>
          <w:szCs w:val="21"/>
        </w:rPr>
        <w:t>大写金额和小写金额不一致的，以大写金额为准；</w:t>
      </w:r>
    </w:p>
    <w:p>
      <w:pPr>
        <w:adjustRightInd w:val="0"/>
        <w:spacing w:line="360" w:lineRule="auto"/>
        <w:ind w:firstLine="105" w:firstLineChars="5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（3）</w:t>
      </w:r>
      <w:r>
        <w:rPr>
          <w:rFonts w:hint="eastAsia" w:cs="仿宋" w:asciiTheme="minorEastAsia" w:hAnsiTheme="minorEastAsia" w:eastAsiaTheme="minorEastAsia"/>
          <w:szCs w:val="21"/>
        </w:rPr>
        <w:t>单价金额小数点或者百分比有明显错位的，以开标一览表的总价为准，并修改单价；</w:t>
      </w:r>
    </w:p>
    <w:p>
      <w:pPr>
        <w:adjustRightInd w:val="0"/>
        <w:spacing w:line="360" w:lineRule="auto"/>
        <w:ind w:firstLine="105" w:firstLineChars="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w:t>
      </w:r>
      <w:r>
        <w:rPr>
          <w:rFonts w:hint="eastAsia" w:cs="仿宋" w:asciiTheme="minorEastAsia" w:hAnsiTheme="minorEastAsia" w:eastAsiaTheme="minorEastAsia"/>
          <w:szCs w:val="21"/>
        </w:rPr>
        <w:t>总价金额与按单价汇总金额不一致的，以单价金额计算结果为准。</w:t>
      </w:r>
    </w:p>
    <w:p>
      <w:pPr>
        <w:adjustRightInd w:val="0"/>
        <w:spacing w:line="360" w:lineRule="auto"/>
        <w:ind w:left="210" w:hanging="210" w:hangingChars="100"/>
        <w:rPr>
          <w:rFonts w:cs="仿宋" w:asciiTheme="minorEastAsia" w:hAnsiTheme="minorEastAsia" w:eastAsiaTheme="minorEastAsia"/>
          <w:snapToGrid w:val="0"/>
          <w:kern w:val="0"/>
          <w:szCs w:val="21"/>
        </w:rPr>
      </w:pPr>
      <w:r>
        <w:rPr>
          <w:rFonts w:hint="eastAsia" w:cs="仿宋" w:asciiTheme="minorEastAsia" w:hAnsiTheme="minorEastAsia" w:eastAsiaTheme="minorEastAsia"/>
          <w:szCs w:val="21"/>
        </w:rPr>
        <w:t xml:space="preserve">     同时出现两种以上不一致的，按照前款规定的顺序修正。修正后的报价按照本须知25.2条的规定，经投标供应商确认后产生约束力，投标供应商不确认的，其投标无效。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24.2.3  在对投标文件进行详细评估之前，评审委员会将依据投标供应商提供的“资格证明或声明文件”审查投标供应商的财务、技术和生产能力。如果确定投标供应商无资格履行合同，其投标将被拒绝。</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24.2.4  评审委员会将确定每份投标是否对征集文件的要求，作出了实质性的响应而没有重大偏离。实质性响应的投标是指符合征集文件的所有条款、条件和规定，且没有重大偏离或保留。重大偏离或保留系指影响到征集文件规定的范围、质量和性能，或限制了</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的权力和投标供应商的义务的规定。而纠正这些偏离将影响到其它提交实质性响应的投标供应商的公平竞争地位。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24.2.5  评审委员会判断投标文件的投标性，仅基于征集文件和投标文件本身而不靠外部证据。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24.2.6  评审委员会将拒绝被确定为非实质性投标的投标供应商。投标供应商不能通过修正或撤销不符之处，而使其投标成为实质性投标的投标。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24.2.7  评审委员会允许修改投标中不构成重大偏离的、微小的、非正规、不一致或不规则的地方。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24.2.8  评审委员会认为投标供应商的报价明显低于其他通过符合性审查投标供应商的报价，有可能影响产品质量或者不能诚信履约的，应当要求其在评审现场合理的时间内提供书面说明，必要时提交相关证明材料；投标供应商不能证明其报价合理性的，评审委员会应当将其作为无效投标处理。若评审委员会成员对是否须由投标供应商作出报价合理性说明，以及书面说明是否采纳等判断不一致的，按照“少数服从多数”的原则确定评审委员会的意见。</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25. 投标文件的澄清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25.1  为了有助于对投标文件进行审查、评估和比较，</w:t>
      </w:r>
      <w:r>
        <w:rPr>
          <w:rFonts w:hint="eastAsia" w:cs="仿宋" w:asciiTheme="minorEastAsia" w:hAnsiTheme="minorEastAsia" w:eastAsiaTheme="minorEastAsia"/>
          <w:bCs/>
          <w:snapToGrid w:val="0"/>
          <w:kern w:val="0"/>
          <w:szCs w:val="21"/>
        </w:rPr>
        <w:t>评审委员会</w:t>
      </w:r>
      <w:r>
        <w:rPr>
          <w:rFonts w:hint="eastAsia" w:cs="仿宋" w:asciiTheme="minorEastAsia" w:hAnsiTheme="minorEastAsia" w:eastAsiaTheme="minorEastAsia"/>
          <w:snapToGrid w:val="0"/>
          <w:kern w:val="0"/>
          <w:szCs w:val="21"/>
        </w:rPr>
        <w:t>有权向投标供应商提出质疑，并请投标供应商澄清其投标内容。投标供应商有责任，按照采购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通知的时间、地点，指派专人进行答疑和澄清。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25.2  澄清、答复应是书面的，但不得对投标内容进行实质性修改。</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26. 评审方法和详细评审</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26.1 评委会将按照本须知第24条规定只对确定为实质上投标的投标文件进行评价和比较。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26.2 评审的基础应是本须知第12条规定的投标报价。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26.3 评审委员会将对低于成本价格的投标作无效投标处理。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26.4 评委会在评审时，应按照评审信息量化的评审因素，对各投标文件进行分析和评审。</w:t>
      </w:r>
    </w:p>
    <w:p>
      <w:pPr>
        <w:adjustRightInd w:val="0"/>
        <w:spacing w:line="360" w:lineRule="auto"/>
        <w:rPr>
          <w:rFonts w:cs="仿宋" w:asciiTheme="minorEastAsia" w:hAnsiTheme="minorEastAsia" w:eastAsiaTheme="minorEastAsia"/>
          <w:szCs w:val="21"/>
        </w:rPr>
      </w:pPr>
      <w:bookmarkStart w:id="11" w:name="q9"/>
      <w:bookmarkEnd w:id="11"/>
      <w:r>
        <w:rPr>
          <w:rFonts w:hint="eastAsia" w:cs="仿宋" w:asciiTheme="minorEastAsia" w:hAnsiTheme="minorEastAsia" w:eastAsiaTheme="minorEastAsia"/>
          <w:snapToGrid w:val="0"/>
          <w:kern w:val="0"/>
          <w:szCs w:val="21"/>
        </w:rPr>
        <w:t>26.4.2</w:t>
      </w:r>
      <w:r>
        <w:rPr>
          <w:rFonts w:hint="eastAsia" w:cs="仿宋" w:asciiTheme="minorEastAsia" w:hAnsiTheme="minorEastAsia" w:eastAsiaTheme="minorEastAsia"/>
          <w:szCs w:val="21"/>
        </w:rPr>
        <w:t>本项目涉及提供的有关资质证书，若原有资质证书处于年审期间，须提供证书颁发部门提供的回执，并且回执须证明该证书依然有效（若在法规范围不需提供的，投标供应商应做书面说明并提供证明文件，否则该证书无效），则该投标供应商提供年审证明的可按原资质投标；若投标供应商正在申报上一级别资质，在未获批准之前，仍按原级别资质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26.5综合以上分析比较按前附表第13项所述的评审方法，评委会将按照征集文件规定的各项因素对各投标文件进行量化打分并加权汇总，对各评委的总评分取算术平均值确定该投标供应商的评审总得分(精确至小数点后二位)，评审总得分最高者将被推荐为中标供应商，并作出评审结论。若得分相同的，按投标报价由低到高顺序排列；得分且投标报价相同的，按技术服务优劣顺序（即技术分由高到低排序）排列。</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26.5.1公开征集采购方式说明：因有效投标供应商不足三家而致公开征集、公开竞价失败的，采购单位可结合实际需要，重新实施采购或依据有效投标供应商数量，在评标现场即转为邀请竞标或直接采购。</w:t>
      </w:r>
    </w:p>
    <w:p>
      <w:pPr>
        <w:pStyle w:val="2"/>
        <w:spacing w:after="0" w:line="360" w:lineRule="auto"/>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邀请竞标</w:t>
      </w:r>
      <w:r>
        <w:rPr>
          <w:rFonts w:hint="eastAsia" w:cs="仿宋" w:asciiTheme="minorEastAsia" w:hAnsiTheme="minorEastAsia" w:eastAsiaTheme="minorEastAsia"/>
          <w:snapToGrid w:val="0"/>
          <w:kern w:val="0"/>
          <w:szCs w:val="21"/>
        </w:rPr>
        <w:t>采购方式说明</w:t>
      </w:r>
      <w:r>
        <w:rPr>
          <w:rFonts w:hint="eastAsia" w:cs="仿宋" w:asciiTheme="minorEastAsia" w:hAnsiTheme="minorEastAsia" w:eastAsiaTheme="minorEastAsia"/>
        </w:rPr>
        <w:t>：是指在社会招标代理机构服务（或政府集中采购机构）平台发布采购需求信息，邀请特定范围内2家以上供应商参加投标，按最低价中标原则确定成交供应商，或由社会招标代理机构组织采购单位代表、评审专家成立评审组评审并确定中标供应商的采购方式。</w:t>
      </w:r>
    </w:p>
    <w:p>
      <w:pPr>
        <w:pStyle w:val="2"/>
        <w:spacing w:after="0" w:line="360" w:lineRule="auto"/>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snapToGrid w:val="0"/>
          <w:kern w:val="0"/>
          <w:szCs w:val="21"/>
        </w:rPr>
        <w:t>直接采购采购方式说明：是指经批准由采购单位自行与唯一供应商通过谈判确定成交的采购方式。</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26.6评审报告是评审委员会根据全体评审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在案。</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27. 保密及其它注意事项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27.1  评审是采购工作的重要环节，评审工作在评委会内独立进行。评委会将遵照评审原则，公正、平等地对待所有投标供应商。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27.2  评审期间，评委会将对投标文件中有关问题分别向投标供应商进行询问。各投标供应商应予以认真答复。重要或复杂问题的答复需以书面形式，并经法定代表人或授权人签署。澄清文件将作为投标文件的组成部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27.3  在开标、投标期间，投标供应商不得向评委询问评审情况，不得进行旨在影响评审结果的活动。</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27.4  为保证定标的公正性，在评审过程中，评委不得与投标供应商私下交换意见。在采购工作结束后，凡与评审情况有接触的任何人，不得也不应将评审情况扩散出评委人员之外。</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27.5  评委会不向落标方解释落标原因，不退还投标文件。</w:t>
      </w:r>
    </w:p>
    <w:p>
      <w:pPr>
        <w:rPr>
          <w:rFonts w:cs="仿宋" w:asciiTheme="minorEastAsia" w:hAnsiTheme="minorEastAsia" w:eastAsiaTheme="minorEastAsia"/>
        </w:rPr>
      </w:pPr>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Ｆ　　授予合同</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28．合同授予标准</w:t>
      </w:r>
    </w:p>
    <w:p>
      <w:pPr>
        <w:tabs>
          <w:tab w:val="left" w:pos="5688"/>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    本项目采购合同授予本须知26.5款所确定的中标供应商。</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29. 中标通知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29.1  采购机构在发出《中标通知书》之前，将中标结果通过政府采购指定网站进行公示。中标结果公示期满无异议或者异议不成立的，采购机构将发出《中标通知书》。《中标通知书》一经发出即发生法律效力。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29.2 《中标通知书》将作为签订合同的重要依据。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29.3  中标方向采购代理机构支付采购代理服务费后，采购代理机构发出《中标通知书》。</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30. 授予合同时变更数量的权力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30.1  </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在签订合同时，有权对征集文件中列明的货物或服务的数量，在法定范围内，依法定程序予以增加或减少。</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31. 签订合同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31.1  中标方应按《中标通知书》或按</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指定的时间、地点与</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签订合同。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31.2  征集文件、中标方的投标文件及其澄清文件等，均为签订合同的依据。</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32.  履约保证金</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32.1  中标供应商须按征集文件的规定或根据合同的规定向</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提交履约保证金。</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33. 采购代理服务费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33.1  采购代理服务费按前附表第14项所述，最低收取人民币5000元。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33.2  采购代理服务费金额按下列方法下浮20%计算：</w:t>
      </w:r>
    </w:p>
    <w:tbl>
      <w:tblPr>
        <w:tblStyle w:val="16"/>
        <w:tblW w:w="0" w:type="auto"/>
        <w:tblInd w:w="64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661"/>
        <w:gridCol w:w="1661"/>
        <w:gridCol w:w="16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trPr>
        <w:tc>
          <w:tcPr>
            <w:tcW w:w="2131" w:type="dxa"/>
          </w:tcPr>
          <w:p>
            <w:pPr>
              <w:spacing w:line="360" w:lineRule="auto"/>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mc:AlternateContent>
                <mc:Choice Requires="wps">
                  <w:drawing>
                    <wp:anchor distT="0" distB="0" distL="114300" distR="114300" simplePos="0" relativeHeight="251678720"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33"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a:effectLst/>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8720;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wITS9gAAAAKAQAADwAAAAAAAAABACAAAAAiAAAAZHJzL2Rvd25yZXYueG1sUEsBAhQAFAAAAAgA&#10;h07iQPIBj5WzAQAAfgMAAA4AAAAAAAAAAQAgAAAAJwEAAGRycy9lMm9Eb2MueG1sUEsFBgAAAAAG&#10;AAYAWQEAAEwFA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7696"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32"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7696;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aAzudcAAAAJAQAADwAAAAAAAAABACAAAAAiAAAAZHJzL2Rvd25yZXYueG1sUEsBAhQAFAAAAAgA&#10;h07iQAxTngK0AQAAfwMAAA4AAAAAAAAAAQAgAAAAJgEAAGRycy9lMm9Eb2MueG1sUEsFBgAAAAAG&#10;AAYAWQEAAEwFA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6672"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31"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a:effectLst/>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6672;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5ldetgAAAAIAQAADwAAAAAAAAABACAAAAAiAAAAZHJzL2Rvd25yZXYueG1sUEsBAhQAFAAAAAgA&#10;h07iQC5w/OuzAQAAfgMAAA4AAAAAAAAAAQAgAAAAJwEAAGRycy9lMm9Eb2MueG1sUEsFBgAAAAAG&#10;AAYAWQEAAEwFA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5648"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30"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5648;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1q&#10;SHHXAAAABwEAAA8AAAAAAAAAAQAgAAAAIgAAAGRycy9kb3ducmV2LnhtbFBLAQIUABQAAAAIAIdO&#10;4kCme4A8sgEAAH8DAAAOAAAAAAAAAAEAIAAAACYBAABkcnMvZTJvRG9jLnhtbFBLBQYAAAAABgAG&#10;AFkBAABKBQ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4624"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29"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74624;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Z1PIdcAAAAHAQAADwAAAAAAAAABACAAAAAiAAAAZHJzL2Rvd25yZXYueG1sUEsBAhQAFAAAAAgA&#10;h07iQFT4tB20AQAAfwMAAA4AAAAAAAAAAQAgAAAAJgEAAGRycy9lMm9Eb2MueG1sUEsFBgAAAAAG&#10;AAYAWQEAAEwFA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3600"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28"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73600;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bW&#10;dhPWAAAABwEAAA8AAAAAAAAAAQAgAAAAIgAAAGRycy9kb3ducmV2LnhtbFBLAQIUABQAAAAIAIdO&#10;4kARRirDswEAAH8DAAAOAAAAAAAAAAEAIAAAACUBAABkcnMvZTJvRG9jLnhtbFBLBQYAAAAABgAG&#10;AFkBAABKBQ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2576"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27"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72576;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4&#10;3oM01gAAAAcBAAAPAAAAAAAAAAEAIAAAACIAAABkcnMvZG93bnJldi54bWxQSwECFAAUAAAACACH&#10;TuJAHWibGLQBAAB/AwAADgAAAAAAAAABACAAAAAlAQAAZHJzL2Uyb0RvYy54bWxQSwUGAAAAAAYA&#10;BgBZAQAASwU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1552"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26"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71552;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F&#10;rSrU1wAAAAkBAAAPAAAAAAAAAAEAIAAAACIAAABkcnMvZG93bnJldi54bWxQSwECFAAUAAAACACH&#10;TuJAPeX7n7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0528"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13"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70528;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3Hk&#10;NdUAAAAHAQAADwAAAAAAAAABACAAAAAiAAAAZHJzL2Rvd25yZXYueG1sUEsBAhQAFAAAAAgAh07i&#10;QOtxLGKzAQAAfwMAAA4AAAAAAAAAAQAgAAAAJAEAAGRycy9lMm9Eb2MueG1sUEsFBgAAAAAGAAYA&#10;WQEAAEkFA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9504"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12"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9504;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1MkA2AAAAAkBAAAPAAAAAAAAAAEAIAAAACIAAABkcnMvZG93bnJldi54bWxQSwECFAAUAAAACACH&#10;TuJA/cpUVbIBAAB/AwAADgAAAAAAAAABACAAAAAnAQAAZHJzL2Uyb0RvYy54bWxQSwUGAAAAAAYA&#10;BgBZAQAASwU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8480"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11"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8480;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upVmdgAAAAJAQAADwAAAAAAAAABACAAAAAiAAAAZHJzL2Rvd25yZXYueG1sUEsBAhQAFAAAAAgA&#10;h07iQMu1DXqzAQAAfwMAAA4AAAAAAAAAAQAgAAAAJwEAAGRycy9lMm9Eb2MueG1sUEsFBgAAAAAG&#10;AAYAWQEAAEwFA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7456"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10"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7456;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j&#10;XzaP2AAAAAkBAAAPAAAAAAAAAAEAIAAAACIAAABkcnMvZG93bnJldi54bWxQSwECFAAUAAAACACH&#10;TuJAUTpdk7IBAAB/AwAADgAAAAAAAAABACAAAAAnAQAAZHJzL2Uyb0RvYy54bWxQSwUGAAAAAAYA&#10;BgBZAQAASwU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6432"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9"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6432;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x&#10;2So/1wAAAAgBAAAPAAAAAAAAAAEAIAAAACIAAABkcnMvZG93bnJldi54bWxQSwECFAAUAAAACACH&#10;TuJAk/EplL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8"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20" o:spid="_x0000_s1026" o:spt="20" style="position:absolute;left:0pt;margin-left:-5.15pt;margin-top:26.85pt;height:26.8pt;width:106pt;z-index:251665408;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uoAAtYAAAAKAQAADwAA&#10;AAAAAAABACAAAAAiAAAAZHJzL2Rvd25yZXYueG1sUEsBAhQAFAAAAAgAh07iQIYtgRffAQAA4gMA&#10;AA4AAAAAAAAAAQAgAAAAJQEAAGRycy9lMm9Eb2MueG1sUEsFBgAAAAAGAAYAWQEAAHYFAAAAAA==&#10;">
                      <v:fill on="f" focussize="0,0"/>
                      <v:stroke weight="0.5pt" color="#000000" joinstyle="round"/>
                      <v:imagedata o:title=""/>
                      <o:lock v:ext="edit" aspectratio="f"/>
                    </v:lin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4384"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7"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19" o:spid="_x0000_s1026" o:spt="20" style="position:absolute;left:0pt;margin-left:47.85pt;margin-top:0pt;height:53.65pt;width:53pt;z-index:251664384;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3G1tN0wAAAAcBAAAPAAAAAAAA&#10;AAEAIAAAACIAAABkcnMvZG93bnJldi54bWxQSwECFAAUAAAACACHTuJALzrNBt4BAADhAwAADgAA&#10;AAAAAAABACAAAAAiAQAAZHJzL2Uyb0RvYy54bWxQSwUGAAAAAAYABgBZAQAAcgUAAAAA&#10;">
                      <v:fill on="f" focussize="0,0"/>
                      <v:stroke weight="0.5pt" color="#000000" joinstyle="round"/>
                      <v:imagedata o:title=""/>
                      <o:lock v:ext="edit" aspectratio="f"/>
                    </v:line>
                  </w:pict>
                </mc:Fallback>
              </mc:AlternateConten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服务采购</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货物采购</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工程采购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1.50%</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1.50%</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100-500</w: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0.80%</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1.10%</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0.70%</w:t>
            </w:r>
          </w:p>
        </w:tc>
      </w:tr>
    </w:tbl>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注：1、采购代理服务费按差额定率累进法计算。例如：某服务类项目中标金额为200万元，计算采购代理服务费额如下：</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100万元×1.5%=1.5万元</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（200-100）万元×0.8%=0.8万元</w:t>
      </w:r>
    </w:p>
    <w:p>
      <w:pPr>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合计收费=1.5+0.8＝2.3*0.8=1.84（万元）</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第六部分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附件</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附件1</w:t>
      </w: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履约保证金</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银行保函（格式）</w:t>
      </w:r>
    </w:p>
    <w:p>
      <w:pPr>
        <w:rPr>
          <w:rFonts w:cs="仿宋" w:asciiTheme="minorEastAsia" w:hAnsiTheme="minorEastAsia" w:eastAsiaTheme="minorEastAsia"/>
        </w:rPr>
      </w:pP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rPr>
        <w:t xml:space="preserve">  </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本保函是为</w:t>
      </w:r>
      <w:r>
        <w:rPr>
          <w:rFonts w:hint="eastAsia" w:cs="仿宋" w:asciiTheme="minorEastAsia" w:hAnsiTheme="minorEastAsia" w:eastAsiaTheme="minorEastAsia"/>
          <w:sz w:val="22"/>
          <w:u w:val="single"/>
        </w:rPr>
        <w:t>(卖方名称)</w:t>
      </w:r>
      <w:r>
        <w:rPr>
          <w:rFonts w:hint="eastAsia" w:cs="仿宋" w:asciiTheme="minorEastAsia" w:hAnsiTheme="minorEastAsia" w:eastAsiaTheme="minorEastAsia"/>
          <w:sz w:val="22"/>
        </w:rPr>
        <w:t>(以下简称卖方)于</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年</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月</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日与</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(以下简称买方)签订的第</w:t>
      </w:r>
      <w:r>
        <w:rPr>
          <w:rFonts w:hint="eastAsia" w:cs="仿宋" w:asciiTheme="minorEastAsia" w:hAnsiTheme="minorEastAsia" w:eastAsiaTheme="minorEastAsia"/>
          <w:sz w:val="22"/>
          <w:u w:val="single"/>
        </w:rPr>
        <w:t>(合同编号)</w:t>
      </w:r>
      <w:r>
        <w:rPr>
          <w:rFonts w:hint="eastAsia" w:cs="仿宋" w:asciiTheme="minorEastAsia" w:hAnsiTheme="minorEastAsia" w:eastAsiaTheme="minorEastAsia"/>
          <w:sz w:val="22"/>
        </w:rPr>
        <w:t>号供货合同而提供的履约担保。</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r>
        <w:rPr>
          <w:rFonts w:hint="eastAsia" w:cs="仿宋" w:asciiTheme="minorEastAsia" w:hAnsiTheme="minorEastAsia" w:eastAsiaTheme="minorEastAsia"/>
          <w:sz w:val="22"/>
          <w:u w:val="single"/>
        </w:rPr>
        <w:t>(银行名称)</w:t>
      </w:r>
      <w:r>
        <w:rPr>
          <w:rFonts w:hint="eastAsia" w:cs="仿宋" w:asciiTheme="minorEastAsia" w:hAnsiTheme="minorEastAsia" w:eastAsiaTheme="minorEastAsia"/>
          <w:sz w:val="22"/>
        </w:rPr>
        <w:t>以及他的继承人和受让人无条件地、不可撤销地约束本行，一旦收到</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书面提出卖方不能履行合同约定，发生下列违约条件之一的通知时，我行保证付给</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金额为</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万元人民币的保证金。</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(一)违约条件：</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·在合同有效期内，卖方拒绝履行合同；</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·在合同有效期内，卖方未经买方同意，变更供货合同的主要条款；</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·产品质量在质保期内，经省级质量检验、监督机关鉴定产品质量发生问题；</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(二)在合同执行期间，供需双方发生了纠纷，履约保函有效期限可延长到纠纷得到最终解决完毕后。</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(三)本保函自开立之日起有效，在接到买方的《验收合格的通知》后7日内予以退还。</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(卖方银行名称)：</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(公章)</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37"/>
        <w:adjustRightInd w:val="0"/>
        <w:snapToGrid w:val="0"/>
        <w:spacing w:line="360" w:lineRule="auto"/>
        <w:ind w:firstLine="420"/>
        <w:rPr>
          <w:rFonts w:cs="仿宋" w:asciiTheme="minorEastAsia" w:hAnsiTheme="minorEastAsia" w:eastAsiaTheme="minorEastAsia"/>
        </w:rPr>
      </w:pPr>
      <w:r>
        <w:rPr>
          <w:rFonts w:hint="eastAsia" w:cs="仿宋" w:asciiTheme="minorEastAsia" w:hAnsiTheme="minorEastAsia" w:eastAsiaTheme="minorEastAsia"/>
          <w:sz w:val="22"/>
        </w:rPr>
        <w:t xml:space="preserve">                                   签 发 人 签 字：</w:t>
      </w:r>
      <w:r>
        <w:rPr>
          <w:rFonts w:hint="eastAsia" w:cs="仿宋" w:asciiTheme="minorEastAsia" w:hAnsiTheme="minorEastAsia" w:eastAsiaTheme="minorEastAsia"/>
          <w:sz w:val="22"/>
          <w:u w:val="single"/>
        </w:rPr>
        <w:t xml:space="preserve">            </w:t>
      </w:r>
    </w:p>
    <w:p>
      <w:pPr>
        <w:pStyle w:val="38"/>
        <w:adjustRightInd w:val="0"/>
        <w:spacing w:line="360" w:lineRule="auto"/>
        <w:rPr>
          <w:rFonts w:cs="仿宋" w:asciiTheme="minorEastAsia" w:hAnsiTheme="minorEastAsia" w:eastAsiaTheme="minorEastAsia"/>
        </w:rPr>
      </w:pPr>
      <w:r>
        <w:rPr>
          <w:rFonts w:hint="eastAsia" w:cs="宋体" w:asciiTheme="minorEastAsia" w:hAnsiTheme="minorEastAsia" w:eastAsiaTheme="minorEastAsia"/>
        </w:rPr>
        <w:t> </w:t>
      </w:r>
    </w:p>
    <w:p>
      <w:pPr>
        <w:rPr>
          <w:rFonts w:cs="仿宋" w:asciiTheme="minorEastAsia" w:hAnsiTheme="minorEastAsia" w:eastAsiaTheme="minorEastAsia"/>
        </w:rPr>
      </w:pPr>
    </w:p>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3"/>
    </w:sdtPr>
    <w:sdtContent>
      <w:p>
        <w:pPr>
          <w:pStyle w:val="13"/>
          <w:jc w:val="center"/>
        </w:pPr>
        <w:r>
          <w:fldChar w:fldCharType="begin"/>
        </w:r>
        <w:r>
          <w:instrText xml:space="preserve"> PAGE   \* MERGEFORMAT </w:instrText>
        </w:r>
        <w:r>
          <w:fldChar w:fldCharType="separate"/>
        </w:r>
        <w:r>
          <w:rPr>
            <w:lang w:val="zh-CN"/>
          </w:rPr>
          <w:t>38</w:t>
        </w:r>
        <w:r>
          <w:rPr>
            <w:lang w:val="zh-CN"/>
          </w:rP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4"/>
    </w:sdtPr>
    <w:sdtContent>
      <w:p>
        <w:pPr>
          <w:pStyle w:val="13"/>
          <w:jc w:val="center"/>
        </w:pP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hint="eastAsia" w:eastAsia="宋体"/>
        <w:sz w:val="16"/>
        <w:szCs w:val="16"/>
        <w:lang w:eastAsia="zh-CN"/>
      </w:rPr>
    </w:pPr>
    <w:r>
      <w:rPr>
        <w:rFonts w:hint="eastAsia"/>
        <w:sz w:val="16"/>
        <w:szCs w:val="16"/>
      </w:rPr>
      <w:t>项目名称：</w:t>
    </w:r>
    <w:r>
      <w:rPr>
        <w:rFonts w:hint="eastAsia" w:ascii="宋体" w:hAnsi="宋体"/>
        <w:sz w:val="16"/>
        <w:szCs w:val="16"/>
      </w:rPr>
      <w:t xml:space="preserve">电子脚扣采购 </w:t>
    </w:r>
    <w:r>
      <w:rPr>
        <w:rFonts w:hint="eastAsia"/>
        <w:sz w:val="16"/>
        <w:szCs w:val="16"/>
      </w:rPr>
      <w:t xml:space="preserve">                                                       项目编号：</w:t>
    </w:r>
    <w:r>
      <w:rPr>
        <w:rFonts w:hint="eastAsia" w:asciiTheme="minorEastAsia" w:hAnsiTheme="minorEastAsia" w:eastAsiaTheme="minorEastAsia"/>
        <w:sz w:val="16"/>
        <w:szCs w:val="16"/>
        <w:lang w:eastAsia="zh-CN"/>
      </w:rPr>
      <w:t>SZZZ2023-QA0030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5BE31D9"/>
    <w:multiLevelType w:val="singleLevel"/>
    <w:tmpl w:val="15BE31D9"/>
    <w:lvl w:ilvl="0" w:tentative="0">
      <w:start w:val="4"/>
      <w:numFmt w:val="decimal"/>
      <w:suff w:val="nothing"/>
      <w:lvlText w:val="%1、"/>
      <w:lvlJc w:val="left"/>
    </w:lvl>
  </w:abstractNum>
  <w:abstractNum w:abstractNumId="2">
    <w:nsid w:val="363735C5"/>
    <w:multiLevelType w:val="singleLevel"/>
    <w:tmpl w:val="363735C5"/>
    <w:lvl w:ilvl="0" w:tentative="0">
      <w:start w:val="3"/>
      <w:numFmt w:val="chineseCounting"/>
      <w:suff w:val="nothing"/>
      <w:lvlText w:val="%1、"/>
      <w:lvlJc w:val="left"/>
      <w:rPr>
        <w:rFonts w:hint="eastAsia"/>
      </w:rPr>
    </w:lvl>
  </w:abstractNum>
  <w:abstractNum w:abstractNumId="3">
    <w:nsid w:val="41552B68"/>
    <w:multiLevelType w:val="singleLevel"/>
    <w:tmpl w:val="41552B68"/>
    <w:lvl w:ilvl="0" w:tentative="0">
      <w:start w:val="1"/>
      <w:numFmt w:val="chineseCounting"/>
      <w:suff w:val="nothing"/>
      <w:lvlText w:val="（%1）"/>
      <w:lvlJc w:val="left"/>
      <w:rPr>
        <w:rFonts w:hint="eastAsia"/>
      </w:rPr>
    </w:lvl>
  </w:abstractNum>
  <w:abstractNum w:abstractNumId="4">
    <w:nsid w:val="518D6364"/>
    <w:multiLevelType w:val="multilevel"/>
    <w:tmpl w:val="518D6364"/>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N2Q5ZWYzZmU2ZTJhYTUyNTFkY2ZlNDdjMWVkMWEifQ=="/>
    <w:docVar w:name="KSO_WPS_MARK_KEY" w:val="162569fd-2f02-4ccb-85f7-6ffbcc1c724f"/>
  </w:docVars>
  <w:rsids>
    <w:rsidRoot w:val="00081812"/>
    <w:rsid w:val="00000DEE"/>
    <w:rsid w:val="00000FB1"/>
    <w:rsid w:val="00001625"/>
    <w:rsid w:val="000042A9"/>
    <w:rsid w:val="0000490F"/>
    <w:rsid w:val="00007ECB"/>
    <w:rsid w:val="000111D4"/>
    <w:rsid w:val="00012B85"/>
    <w:rsid w:val="00014E98"/>
    <w:rsid w:val="000159CF"/>
    <w:rsid w:val="0002500E"/>
    <w:rsid w:val="00027833"/>
    <w:rsid w:val="000309C1"/>
    <w:rsid w:val="00031BF4"/>
    <w:rsid w:val="00032DB0"/>
    <w:rsid w:val="00036165"/>
    <w:rsid w:val="00037412"/>
    <w:rsid w:val="00037D52"/>
    <w:rsid w:val="00042A65"/>
    <w:rsid w:val="00044855"/>
    <w:rsid w:val="00046786"/>
    <w:rsid w:val="00050F57"/>
    <w:rsid w:val="0005394E"/>
    <w:rsid w:val="00053B8A"/>
    <w:rsid w:val="000550D9"/>
    <w:rsid w:val="00055193"/>
    <w:rsid w:val="00056E7C"/>
    <w:rsid w:val="000600D8"/>
    <w:rsid w:val="00060560"/>
    <w:rsid w:val="00060B4F"/>
    <w:rsid w:val="0006220B"/>
    <w:rsid w:val="000679AB"/>
    <w:rsid w:val="00072AAB"/>
    <w:rsid w:val="00072F2B"/>
    <w:rsid w:val="00075875"/>
    <w:rsid w:val="00076401"/>
    <w:rsid w:val="000771B0"/>
    <w:rsid w:val="00080FB8"/>
    <w:rsid w:val="00081812"/>
    <w:rsid w:val="00081C0F"/>
    <w:rsid w:val="000851F4"/>
    <w:rsid w:val="00090B60"/>
    <w:rsid w:val="00091819"/>
    <w:rsid w:val="00094CF9"/>
    <w:rsid w:val="000A02CF"/>
    <w:rsid w:val="000A1CFD"/>
    <w:rsid w:val="000B12D8"/>
    <w:rsid w:val="000B3159"/>
    <w:rsid w:val="000B44BC"/>
    <w:rsid w:val="000B59B4"/>
    <w:rsid w:val="000B61F1"/>
    <w:rsid w:val="000B7A52"/>
    <w:rsid w:val="000C05F3"/>
    <w:rsid w:val="000C1AEC"/>
    <w:rsid w:val="000C2FC4"/>
    <w:rsid w:val="000C4E01"/>
    <w:rsid w:val="000C7610"/>
    <w:rsid w:val="000C7E05"/>
    <w:rsid w:val="000D3053"/>
    <w:rsid w:val="000D4339"/>
    <w:rsid w:val="000D4C91"/>
    <w:rsid w:val="000D74FE"/>
    <w:rsid w:val="000E1731"/>
    <w:rsid w:val="000E647C"/>
    <w:rsid w:val="000E6F68"/>
    <w:rsid w:val="000F2D90"/>
    <w:rsid w:val="000F3049"/>
    <w:rsid w:val="000F4536"/>
    <w:rsid w:val="000F47BD"/>
    <w:rsid w:val="000F4EBB"/>
    <w:rsid w:val="000F5214"/>
    <w:rsid w:val="000F547E"/>
    <w:rsid w:val="000F5791"/>
    <w:rsid w:val="0010276A"/>
    <w:rsid w:val="001036FB"/>
    <w:rsid w:val="0010378A"/>
    <w:rsid w:val="00103A07"/>
    <w:rsid w:val="00103BD6"/>
    <w:rsid w:val="00103D0B"/>
    <w:rsid w:val="00103E57"/>
    <w:rsid w:val="00105AE0"/>
    <w:rsid w:val="00106334"/>
    <w:rsid w:val="001071FF"/>
    <w:rsid w:val="001075BE"/>
    <w:rsid w:val="0011046C"/>
    <w:rsid w:val="0011120F"/>
    <w:rsid w:val="00112047"/>
    <w:rsid w:val="001120AB"/>
    <w:rsid w:val="00113460"/>
    <w:rsid w:val="00113EC5"/>
    <w:rsid w:val="0011733C"/>
    <w:rsid w:val="001206C4"/>
    <w:rsid w:val="00120905"/>
    <w:rsid w:val="00120DDA"/>
    <w:rsid w:val="001235DF"/>
    <w:rsid w:val="001253C1"/>
    <w:rsid w:val="001300A8"/>
    <w:rsid w:val="001307EF"/>
    <w:rsid w:val="00130FFD"/>
    <w:rsid w:val="00131B9B"/>
    <w:rsid w:val="00132477"/>
    <w:rsid w:val="0013247D"/>
    <w:rsid w:val="0013568E"/>
    <w:rsid w:val="0013577A"/>
    <w:rsid w:val="0013596A"/>
    <w:rsid w:val="001451A4"/>
    <w:rsid w:val="00151DFD"/>
    <w:rsid w:val="0015310D"/>
    <w:rsid w:val="00155BE9"/>
    <w:rsid w:val="0016076C"/>
    <w:rsid w:val="00161DC5"/>
    <w:rsid w:val="00165708"/>
    <w:rsid w:val="001667AC"/>
    <w:rsid w:val="00166E7A"/>
    <w:rsid w:val="001713CD"/>
    <w:rsid w:val="00173F4B"/>
    <w:rsid w:val="001746A8"/>
    <w:rsid w:val="00174A8D"/>
    <w:rsid w:val="00180273"/>
    <w:rsid w:val="001802AD"/>
    <w:rsid w:val="001807E0"/>
    <w:rsid w:val="00180DC2"/>
    <w:rsid w:val="0018134E"/>
    <w:rsid w:val="00182643"/>
    <w:rsid w:val="001830D7"/>
    <w:rsid w:val="00183156"/>
    <w:rsid w:val="00185010"/>
    <w:rsid w:val="001850C4"/>
    <w:rsid w:val="001906D1"/>
    <w:rsid w:val="0019175D"/>
    <w:rsid w:val="00192E27"/>
    <w:rsid w:val="00194764"/>
    <w:rsid w:val="00194B76"/>
    <w:rsid w:val="00197685"/>
    <w:rsid w:val="0019777D"/>
    <w:rsid w:val="001A0D90"/>
    <w:rsid w:val="001A0EB6"/>
    <w:rsid w:val="001A1302"/>
    <w:rsid w:val="001A4995"/>
    <w:rsid w:val="001A529F"/>
    <w:rsid w:val="001A7897"/>
    <w:rsid w:val="001B0736"/>
    <w:rsid w:val="001B14D5"/>
    <w:rsid w:val="001B4B65"/>
    <w:rsid w:val="001B4C23"/>
    <w:rsid w:val="001C0532"/>
    <w:rsid w:val="001C1A99"/>
    <w:rsid w:val="001C1FFB"/>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0D8A"/>
    <w:rsid w:val="00201055"/>
    <w:rsid w:val="00204553"/>
    <w:rsid w:val="00210328"/>
    <w:rsid w:val="00211E1C"/>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5A7C"/>
    <w:rsid w:val="002366EC"/>
    <w:rsid w:val="00240B70"/>
    <w:rsid w:val="00241247"/>
    <w:rsid w:val="00241A35"/>
    <w:rsid w:val="00244EDA"/>
    <w:rsid w:val="002463C2"/>
    <w:rsid w:val="0024707D"/>
    <w:rsid w:val="00251EE6"/>
    <w:rsid w:val="00252A0E"/>
    <w:rsid w:val="00256F3C"/>
    <w:rsid w:val="0026095A"/>
    <w:rsid w:val="00260974"/>
    <w:rsid w:val="00264F5D"/>
    <w:rsid w:val="00265825"/>
    <w:rsid w:val="002666B6"/>
    <w:rsid w:val="00270AB4"/>
    <w:rsid w:val="0027125F"/>
    <w:rsid w:val="0027386D"/>
    <w:rsid w:val="00273CE7"/>
    <w:rsid w:val="00274BCF"/>
    <w:rsid w:val="00281900"/>
    <w:rsid w:val="00282D0F"/>
    <w:rsid w:val="00284440"/>
    <w:rsid w:val="00285487"/>
    <w:rsid w:val="00290049"/>
    <w:rsid w:val="0029352A"/>
    <w:rsid w:val="002938FD"/>
    <w:rsid w:val="00293E95"/>
    <w:rsid w:val="00294665"/>
    <w:rsid w:val="002965F8"/>
    <w:rsid w:val="002A06F5"/>
    <w:rsid w:val="002A179B"/>
    <w:rsid w:val="002A3990"/>
    <w:rsid w:val="002A78DB"/>
    <w:rsid w:val="002B11F2"/>
    <w:rsid w:val="002B306C"/>
    <w:rsid w:val="002C3E2A"/>
    <w:rsid w:val="002C54D8"/>
    <w:rsid w:val="002C5B23"/>
    <w:rsid w:val="002C5F7F"/>
    <w:rsid w:val="002D285F"/>
    <w:rsid w:val="002D4AE6"/>
    <w:rsid w:val="002D51A5"/>
    <w:rsid w:val="002D6413"/>
    <w:rsid w:val="002D78BD"/>
    <w:rsid w:val="002E071E"/>
    <w:rsid w:val="002E6738"/>
    <w:rsid w:val="002F30E6"/>
    <w:rsid w:val="002F323B"/>
    <w:rsid w:val="002F49D2"/>
    <w:rsid w:val="002F5D8F"/>
    <w:rsid w:val="002F5DF7"/>
    <w:rsid w:val="003007E9"/>
    <w:rsid w:val="00300F63"/>
    <w:rsid w:val="00302A03"/>
    <w:rsid w:val="00302EF1"/>
    <w:rsid w:val="00303151"/>
    <w:rsid w:val="0030484B"/>
    <w:rsid w:val="00305E56"/>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66C3"/>
    <w:rsid w:val="00341029"/>
    <w:rsid w:val="00341DF6"/>
    <w:rsid w:val="003467AA"/>
    <w:rsid w:val="00347DED"/>
    <w:rsid w:val="0035266A"/>
    <w:rsid w:val="003533CB"/>
    <w:rsid w:val="003566C5"/>
    <w:rsid w:val="00357198"/>
    <w:rsid w:val="00360E2B"/>
    <w:rsid w:val="00362130"/>
    <w:rsid w:val="003625D9"/>
    <w:rsid w:val="00362685"/>
    <w:rsid w:val="00362FDA"/>
    <w:rsid w:val="0036371B"/>
    <w:rsid w:val="00363840"/>
    <w:rsid w:val="00363D01"/>
    <w:rsid w:val="00364104"/>
    <w:rsid w:val="00365175"/>
    <w:rsid w:val="00365C3E"/>
    <w:rsid w:val="00365C92"/>
    <w:rsid w:val="00366870"/>
    <w:rsid w:val="00367676"/>
    <w:rsid w:val="003679CE"/>
    <w:rsid w:val="00371507"/>
    <w:rsid w:val="00372A41"/>
    <w:rsid w:val="00373358"/>
    <w:rsid w:val="003734A9"/>
    <w:rsid w:val="003749D0"/>
    <w:rsid w:val="003817C2"/>
    <w:rsid w:val="003821BD"/>
    <w:rsid w:val="00385F8F"/>
    <w:rsid w:val="00394101"/>
    <w:rsid w:val="003961A8"/>
    <w:rsid w:val="00397B90"/>
    <w:rsid w:val="003A0AF8"/>
    <w:rsid w:val="003A2361"/>
    <w:rsid w:val="003A2D80"/>
    <w:rsid w:val="003A2EE6"/>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5DF4"/>
    <w:rsid w:val="003D6A99"/>
    <w:rsid w:val="003D7227"/>
    <w:rsid w:val="003D76AD"/>
    <w:rsid w:val="003E0109"/>
    <w:rsid w:val="003E0447"/>
    <w:rsid w:val="003E21AD"/>
    <w:rsid w:val="003E2E33"/>
    <w:rsid w:val="003E7DA3"/>
    <w:rsid w:val="003F2113"/>
    <w:rsid w:val="003F35A5"/>
    <w:rsid w:val="003F5A49"/>
    <w:rsid w:val="00400065"/>
    <w:rsid w:val="00410FE8"/>
    <w:rsid w:val="00414963"/>
    <w:rsid w:val="00415251"/>
    <w:rsid w:val="0041630C"/>
    <w:rsid w:val="004164C2"/>
    <w:rsid w:val="004168DC"/>
    <w:rsid w:val="00417BA6"/>
    <w:rsid w:val="00417C44"/>
    <w:rsid w:val="0042116F"/>
    <w:rsid w:val="00421DAD"/>
    <w:rsid w:val="00422693"/>
    <w:rsid w:val="00422C44"/>
    <w:rsid w:val="0042569B"/>
    <w:rsid w:val="0042757A"/>
    <w:rsid w:val="00427866"/>
    <w:rsid w:val="0043223F"/>
    <w:rsid w:val="004369DE"/>
    <w:rsid w:val="004430A5"/>
    <w:rsid w:val="0044367E"/>
    <w:rsid w:val="00446C65"/>
    <w:rsid w:val="004501AD"/>
    <w:rsid w:val="0045273A"/>
    <w:rsid w:val="00453647"/>
    <w:rsid w:val="0045369C"/>
    <w:rsid w:val="00453EAF"/>
    <w:rsid w:val="00454312"/>
    <w:rsid w:val="00454F13"/>
    <w:rsid w:val="00454FF9"/>
    <w:rsid w:val="00460AA2"/>
    <w:rsid w:val="00462399"/>
    <w:rsid w:val="004625C3"/>
    <w:rsid w:val="00465C8A"/>
    <w:rsid w:val="00466085"/>
    <w:rsid w:val="0046668A"/>
    <w:rsid w:val="00466DE8"/>
    <w:rsid w:val="00467D37"/>
    <w:rsid w:val="00475AAD"/>
    <w:rsid w:val="00476772"/>
    <w:rsid w:val="004807D8"/>
    <w:rsid w:val="0048492A"/>
    <w:rsid w:val="00485BF2"/>
    <w:rsid w:val="00486360"/>
    <w:rsid w:val="004870E5"/>
    <w:rsid w:val="00487AC8"/>
    <w:rsid w:val="00490108"/>
    <w:rsid w:val="00492ED3"/>
    <w:rsid w:val="00492EE9"/>
    <w:rsid w:val="00494A35"/>
    <w:rsid w:val="0049518C"/>
    <w:rsid w:val="004A008B"/>
    <w:rsid w:val="004A17F8"/>
    <w:rsid w:val="004A2A14"/>
    <w:rsid w:val="004A3B17"/>
    <w:rsid w:val="004A3ED8"/>
    <w:rsid w:val="004A44E9"/>
    <w:rsid w:val="004A4D27"/>
    <w:rsid w:val="004B2C1C"/>
    <w:rsid w:val="004B3011"/>
    <w:rsid w:val="004B3E4E"/>
    <w:rsid w:val="004B5B8D"/>
    <w:rsid w:val="004B702D"/>
    <w:rsid w:val="004B7A5D"/>
    <w:rsid w:val="004C01E3"/>
    <w:rsid w:val="004C1824"/>
    <w:rsid w:val="004C1F8C"/>
    <w:rsid w:val="004C267E"/>
    <w:rsid w:val="004C2C97"/>
    <w:rsid w:val="004C3BFC"/>
    <w:rsid w:val="004C4655"/>
    <w:rsid w:val="004C5A96"/>
    <w:rsid w:val="004D1E7C"/>
    <w:rsid w:val="004D21F9"/>
    <w:rsid w:val="004D3C88"/>
    <w:rsid w:val="004D3EFD"/>
    <w:rsid w:val="004D5193"/>
    <w:rsid w:val="004D6C39"/>
    <w:rsid w:val="004E30ED"/>
    <w:rsid w:val="004E34DF"/>
    <w:rsid w:val="004E4A56"/>
    <w:rsid w:val="004E6514"/>
    <w:rsid w:val="004F0013"/>
    <w:rsid w:val="004F037B"/>
    <w:rsid w:val="004F1964"/>
    <w:rsid w:val="004F2741"/>
    <w:rsid w:val="004F2776"/>
    <w:rsid w:val="004F4A43"/>
    <w:rsid w:val="004F57EA"/>
    <w:rsid w:val="004F5A1F"/>
    <w:rsid w:val="0050673A"/>
    <w:rsid w:val="00507910"/>
    <w:rsid w:val="005101D8"/>
    <w:rsid w:val="005115F1"/>
    <w:rsid w:val="00513405"/>
    <w:rsid w:val="00516927"/>
    <w:rsid w:val="00517508"/>
    <w:rsid w:val="00520B5C"/>
    <w:rsid w:val="00524AB5"/>
    <w:rsid w:val="0052553C"/>
    <w:rsid w:val="00530955"/>
    <w:rsid w:val="00530EBB"/>
    <w:rsid w:val="00531594"/>
    <w:rsid w:val="005339CE"/>
    <w:rsid w:val="0053608D"/>
    <w:rsid w:val="00536394"/>
    <w:rsid w:val="00536771"/>
    <w:rsid w:val="0054086A"/>
    <w:rsid w:val="00541820"/>
    <w:rsid w:val="00541912"/>
    <w:rsid w:val="00541962"/>
    <w:rsid w:val="00544A1E"/>
    <w:rsid w:val="005454F7"/>
    <w:rsid w:val="00546FF3"/>
    <w:rsid w:val="00552EA1"/>
    <w:rsid w:val="0055372B"/>
    <w:rsid w:val="0055628A"/>
    <w:rsid w:val="00556603"/>
    <w:rsid w:val="00561EBC"/>
    <w:rsid w:val="00562A80"/>
    <w:rsid w:val="005659BA"/>
    <w:rsid w:val="00565F47"/>
    <w:rsid w:val="00571D74"/>
    <w:rsid w:val="00571DC0"/>
    <w:rsid w:val="005725CF"/>
    <w:rsid w:val="00574D07"/>
    <w:rsid w:val="00580DD1"/>
    <w:rsid w:val="00581D61"/>
    <w:rsid w:val="00583885"/>
    <w:rsid w:val="0058457D"/>
    <w:rsid w:val="00584C51"/>
    <w:rsid w:val="0059165F"/>
    <w:rsid w:val="00593709"/>
    <w:rsid w:val="00594812"/>
    <w:rsid w:val="00597492"/>
    <w:rsid w:val="005977CD"/>
    <w:rsid w:val="005A198A"/>
    <w:rsid w:val="005A2D99"/>
    <w:rsid w:val="005A556A"/>
    <w:rsid w:val="005A6A03"/>
    <w:rsid w:val="005B1387"/>
    <w:rsid w:val="005B39F5"/>
    <w:rsid w:val="005B3CF3"/>
    <w:rsid w:val="005B4677"/>
    <w:rsid w:val="005B6672"/>
    <w:rsid w:val="005C038C"/>
    <w:rsid w:val="005C1F40"/>
    <w:rsid w:val="005C26E6"/>
    <w:rsid w:val="005C297C"/>
    <w:rsid w:val="005C50DE"/>
    <w:rsid w:val="005C669E"/>
    <w:rsid w:val="005C6BAF"/>
    <w:rsid w:val="005D120E"/>
    <w:rsid w:val="005D2420"/>
    <w:rsid w:val="005E0B51"/>
    <w:rsid w:val="005E18E3"/>
    <w:rsid w:val="005E3AA1"/>
    <w:rsid w:val="005E3DDF"/>
    <w:rsid w:val="005E5481"/>
    <w:rsid w:val="005E5539"/>
    <w:rsid w:val="005E72A8"/>
    <w:rsid w:val="005F13C2"/>
    <w:rsid w:val="005F37DF"/>
    <w:rsid w:val="005F3B95"/>
    <w:rsid w:val="005F559B"/>
    <w:rsid w:val="006013DE"/>
    <w:rsid w:val="00602310"/>
    <w:rsid w:val="00603E1C"/>
    <w:rsid w:val="00605DB1"/>
    <w:rsid w:val="00606E51"/>
    <w:rsid w:val="0061010F"/>
    <w:rsid w:val="0061385D"/>
    <w:rsid w:val="00614576"/>
    <w:rsid w:val="00615303"/>
    <w:rsid w:val="006163F2"/>
    <w:rsid w:val="00617AA3"/>
    <w:rsid w:val="00620D63"/>
    <w:rsid w:val="006231AA"/>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60043"/>
    <w:rsid w:val="006658FD"/>
    <w:rsid w:val="0067037C"/>
    <w:rsid w:val="006705E0"/>
    <w:rsid w:val="00670BEC"/>
    <w:rsid w:val="006724DC"/>
    <w:rsid w:val="0067485A"/>
    <w:rsid w:val="006755C2"/>
    <w:rsid w:val="00675C13"/>
    <w:rsid w:val="00680CAD"/>
    <w:rsid w:val="00681F30"/>
    <w:rsid w:val="00682237"/>
    <w:rsid w:val="00682B9C"/>
    <w:rsid w:val="0068357D"/>
    <w:rsid w:val="00683EB7"/>
    <w:rsid w:val="0068713A"/>
    <w:rsid w:val="0069583C"/>
    <w:rsid w:val="006968E4"/>
    <w:rsid w:val="006A0A50"/>
    <w:rsid w:val="006A3169"/>
    <w:rsid w:val="006A5038"/>
    <w:rsid w:val="006A535A"/>
    <w:rsid w:val="006A7A1E"/>
    <w:rsid w:val="006B36EE"/>
    <w:rsid w:val="006B752A"/>
    <w:rsid w:val="006B7F97"/>
    <w:rsid w:val="006C29E2"/>
    <w:rsid w:val="006C3937"/>
    <w:rsid w:val="006C57C7"/>
    <w:rsid w:val="006C5E75"/>
    <w:rsid w:val="006C7615"/>
    <w:rsid w:val="006D0A65"/>
    <w:rsid w:val="006D0B4B"/>
    <w:rsid w:val="006D0B9C"/>
    <w:rsid w:val="006D0CD7"/>
    <w:rsid w:val="006D125F"/>
    <w:rsid w:val="006D5C23"/>
    <w:rsid w:val="006D609F"/>
    <w:rsid w:val="006E0808"/>
    <w:rsid w:val="006E0C83"/>
    <w:rsid w:val="006E0F6E"/>
    <w:rsid w:val="006E26F4"/>
    <w:rsid w:val="006E561B"/>
    <w:rsid w:val="006E6138"/>
    <w:rsid w:val="006E7E40"/>
    <w:rsid w:val="006F0048"/>
    <w:rsid w:val="006F0C30"/>
    <w:rsid w:val="006F1F29"/>
    <w:rsid w:val="006F6DFA"/>
    <w:rsid w:val="007031AC"/>
    <w:rsid w:val="007045A7"/>
    <w:rsid w:val="007056CF"/>
    <w:rsid w:val="00707AC6"/>
    <w:rsid w:val="007101BF"/>
    <w:rsid w:val="00710E18"/>
    <w:rsid w:val="00711D73"/>
    <w:rsid w:val="00712437"/>
    <w:rsid w:val="00712AB9"/>
    <w:rsid w:val="00712FBB"/>
    <w:rsid w:val="007202B8"/>
    <w:rsid w:val="007204CB"/>
    <w:rsid w:val="00725DCC"/>
    <w:rsid w:val="007264E7"/>
    <w:rsid w:val="00731470"/>
    <w:rsid w:val="00731E75"/>
    <w:rsid w:val="00733A4C"/>
    <w:rsid w:val="0073473A"/>
    <w:rsid w:val="00734C96"/>
    <w:rsid w:val="00734FEE"/>
    <w:rsid w:val="00736877"/>
    <w:rsid w:val="00740C34"/>
    <w:rsid w:val="007421A3"/>
    <w:rsid w:val="007458E4"/>
    <w:rsid w:val="00747A74"/>
    <w:rsid w:val="007516CF"/>
    <w:rsid w:val="00752B5B"/>
    <w:rsid w:val="00753B18"/>
    <w:rsid w:val="0075484D"/>
    <w:rsid w:val="00761B09"/>
    <w:rsid w:val="00762130"/>
    <w:rsid w:val="0076307E"/>
    <w:rsid w:val="00770D90"/>
    <w:rsid w:val="00772F41"/>
    <w:rsid w:val="0077521B"/>
    <w:rsid w:val="00776554"/>
    <w:rsid w:val="007811AB"/>
    <w:rsid w:val="00785E4F"/>
    <w:rsid w:val="0078680E"/>
    <w:rsid w:val="0079173E"/>
    <w:rsid w:val="00792109"/>
    <w:rsid w:val="007928C7"/>
    <w:rsid w:val="00793E36"/>
    <w:rsid w:val="00794D26"/>
    <w:rsid w:val="007A0AF9"/>
    <w:rsid w:val="007A1673"/>
    <w:rsid w:val="007A458B"/>
    <w:rsid w:val="007A47AB"/>
    <w:rsid w:val="007A47D0"/>
    <w:rsid w:val="007A7404"/>
    <w:rsid w:val="007B00AD"/>
    <w:rsid w:val="007B0760"/>
    <w:rsid w:val="007B58FB"/>
    <w:rsid w:val="007B6A98"/>
    <w:rsid w:val="007B7EE3"/>
    <w:rsid w:val="007C035E"/>
    <w:rsid w:val="007C0EC0"/>
    <w:rsid w:val="007C6BBE"/>
    <w:rsid w:val="007C75FA"/>
    <w:rsid w:val="007D0F9A"/>
    <w:rsid w:val="007D4329"/>
    <w:rsid w:val="007D4552"/>
    <w:rsid w:val="007D49B8"/>
    <w:rsid w:val="007D57B6"/>
    <w:rsid w:val="007D6457"/>
    <w:rsid w:val="007D759B"/>
    <w:rsid w:val="007E1CC4"/>
    <w:rsid w:val="007E2D1B"/>
    <w:rsid w:val="007E377A"/>
    <w:rsid w:val="007E422B"/>
    <w:rsid w:val="007E6064"/>
    <w:rsid w:val="007E6F85"/>
    <w:rsid w:val="007F0A36"/>
    <w:rsid w:val="007F5B57"/>
    <w:rsid w:val="007F707C"/>
    <w:rsid w:val="0080097C"/>
    <w:rsid w:val="00803317"/>
    <w:rsid w:val="008050C5"/>
    <w:rsid w:val="008134A8"/>
    <w:rsid w:val="00816305"/>
    <w:rsid w:val="0081690D"/>
    <w:rsid w:val="008227C0"/>
    <w:rsid w:val="00822F18"/>
    <w:rsid w:val="008237AE"/>
    <w:rsid w:val="008245C9"/>
    <w:rsid w:val="00831DA8"/>
    <w:rsid w:val="008338E9"/>
    <w:rsid w:val="0083456A"/>
    <w:rsid w:val="00836C91"/>
    <w:rsid w:val="00837E5D"/>
    <w:rsid w:val="008400A9"/>
    <w:rsid w:val="00844881"/>
    <w:rsid w:val="00851111"/>
    <w:rsid w:val="0085139E"/>
    <w:rsid w:val="00851BAA"/>
    <w:rsid w:val="00854839"/>
    <w:rsid w:val="00855CDD"/>
    <w:rsid w:val="00857895"/>
    <w:rsid w:val="00860209"/>
    <w:rsid w:val="00861447"/>
    <w:rsid w:val="00862F1A"/>
    <w:rsid w:val="00866DC9"/>
    <w:rsid w:val="00867868"/>
    <w:rsid w:val="00867964"/>
    <w:rsid w:val="00867F26"/>
    <w:rsid w:val="00870B1C"/>
    <w:rsid w:val="00871FDA"/>
    <w:rsid w:val="00875E76"/>
    <w:rsid w:val="008760F4"/>
    <w:rsid w:val="00876C9B"/>
    <w:rsid w:val="00880E46"/>
    <w:rsid w:val="00884EE0"/>
    <w:rsid w:val="00885021"/>
    <w:rsid w:val="008857F3"/>
    <w:rsid w:val="0089097C"/>
    <w:rsid w:val="008913F6"/>
    <w:rsid w:val="00893234"/>
    <w:rsid w:val="008978BC"/>
    <w:rsid w:val="00897B8F"/>
    <w:rsid w:val="008A00DE"/>
    <w:rsid w:val="008A1135"/>
    <w:rsid w:val="008A5579"/>
    <w:rsid w:val="008A7105"/>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2F3"/>
    <w:rsid w:val="008E66A7"/>
    <w:rsid w:val="008F0027"/>
    <w:rsid w:val="008F13F4"/>
    <w:rsid w:val="008F2248"/>
    <w:rsid w:val="008F429A"/>
    <w:rsid w:val="008F4809"/>
    <w:rsid w:val="008F4885"/>
    <w:rsid w:val="008F69B0"/>
    <w:rsid w:val="008F6DFC"/>
    <w:rsid w:val="00900FA9"/>
    <w:rsid w:val="00901C9D"/>
    <w:rsid w:val="0090254E"/>
    <w:rsid w:val="0090397D"/>
    <w:rsid w:val="00903B8A"/>
    <w:rsid w:val="0090531F"/>
    <w:rsid w:val="00907535"/>
    <w:rsid w:val="00907F35"/>
    <w:rsid w:val="0091449C"/>
    <w:rsid w:val="00915C0A"/>
    <w:rsid w:val="00916394"/>
    <w:rsid w:val="00916C61"/>
    <w:rsid w:val="00920BE6"/>
    <w:rsid w:val="00920D54"/>
    <w:rsid w:val="00922E91"/>
    <w:rsid w:val="00924A4D"/>
    <w:rsid w:val="009253A2"/>
    <w:rsid w:val="009260F9"/>
    <w:rsid w:val="00926811"/>
    <w:rsid w:val="009328BD"/>
    <w:rsid w:val="0093469C"/>
    <w:rsid w:val="00940D53"/>
    <w:rsid w:val="00942081"/>
    <w:rsid w:val="009447BD"/>
    <w:rsid w:val="0095085C"/>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3A52"/>
    <w:rsid w:val="00984B13"/>
    <w:rsid w:val="00986AE7"/>
    <w:rsid w:val="00987773"/>
    <w:rsid w:val="00987A32"/>
    <w:rsid w:val="00987DB5"/>
    <w:rsid w:val="00993600"/>
    <w:rsid w:val="0099428B"/>
    <w:rsid w:val="00997D11"/>
    <w:rsid w:val="009A0526"/>
    <w:rsid w:val="009A0A96"/>
    <w:rsid w:val="009A271D"/>
    <w:rsid w:val="009A44F9"/>
    <w:rsid w:val="009A70D5"/>
    <w:rsid w:val="009B2507"/>
    <w:rsid w:val="009B2E8E"/>
    <w:rsid w:val="009B3004"/>
    <w:rsid w:val="009B348C"/>
    <w:rsid w:val="009B482A"/>
    <w:rsid w:val="009B7712"/>
    <w:rsid w:val="009B7B83"/>
    <w:rsid w:val="009C0636"/>
    <w:rsid w:val="009C08BA"/>
    <w:rsid w:val="009C6F0A"/>
    <w:rsid w:val="009C6F32"/>
    <w:rsid w:val="009C797B"/>
    <w:rsid w:val="009D02E8"/>
    <w:rsid w:val="009D0C05"/>
    <w:rsid w:val="009D4274"/>
    <w:rsid w:val="009D461F"/>
    <w:rsid w:val="009D5C53"/>
    <w:rsid w:val="009D5D74"/>
    <w:rsid w:val="009D622C"/>
    <w:rsid w:val="009E1268"/>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5C5A"/>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44A6C"/>
    <w:rsid w:val="00A45819"/>
    <w:rsid w:val="00A4687A"/>
    <w:rsid w:val="00A47350"/>
    <w:rsid w:val="00A47C08"/>
    <w:rsid w:val="00A517BC"/>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CC9"/>
    <w:rsid w:val="00A846DD"/>
    <w:rsid w:val="00A8789C"/>
    <w:rsid w:val="00A90111"/>
    <w:rsid w:val="00A90331"/>
    <w:rsid w:val="00A91528"/>
    <w:rsid w:val="00A95196"/>
    <w:rsid w:val="00A9738A"/>
    <w:rsid w:val="00AA1EFF"/>
    <w:rsid w:val="00AA5115"/>
    <w:rsid w:val="00AB14C7"/>
    <w:rsid w:val="00AB2264"/>
    <w:rsid w:val="00AB4E47"/>
    <w:rsid w:val="00AB67F7"/>
    <w:rsid w:val="00AC054F"/>
    <w:rsid w:val="00AC0715"/>
    <w:rsid w:val="00AC146C"/>
    <w:rsid w:val="00AC1F76"/>
    <w:rsid w:val="00AC2615"/>
    <w:rsid w:val="00AC5AB5"/>
    <w:rsid w:val="00AC64D8"/>
    <w:rsid w:val="00AD12D2"/>
    <w:rsid w:val="00AD1729"/>
    <w:rsid w:val="00AD2774"/>
    <w:rsid w:val="00AD3941"/>
    <w:rsid w:val="00AD5261"/>
    <w:rsid w:val="00AE0009"/>
    <w:rsid w:val="00AE357A"/>
    <w:rsid w:val="00AE38B2"/>
    <w:rsid w:val="00AE5A4E"/>
    <w:rsid w:val="00AE76F9"/>
    <w:rsid w:val="00AF3694"/>
    <w:rsid w:val="00AF4B9E"/>
    <w:rsid w:val="00AF6636"/>
    <w:rsid w:val="00B11692"/>
    <w:rsid w:val="00B12F6E"/>
    <w:rsid w:val="00B14116"/>
    <w:rsid w:val="00B1486E"/>
    <w:rsid w:val="00B15BDD"/>
    <w:rsid w:val="00B20443"/>
    <w:rsid w:val="00B2550B"/>
    <w:rsid w:val="00B259CE"/>
    <w:rsid w:val="00B25B50"/>
    <w:rsid w:val="00B30680"/>
    <w:rsid w:val="00B31DD7"/>
    <w:rsid w:val="00B32CAF"/>
    <w:rsid w:val="00B33432"/>
    <w:rsid w:val="00B336D5"/>
    <w:rsid w:val="00B35D3C"/>
    <w:rsid w:val="00B35F18"/>
    <w:rsid w:val="00B3657C"/>
    <w:rsid w:val="00B42372"/>
    <w:rsid w:val="00B423A4"/>
    <w:rsid w:val="00B437D6"/>
    <w:rsid w:val="00B43AB0"/>
    <w:rsid w:val="00B4446B"/>
    <w:rsid w:val="00B523FB"/>
    <w:rsid w:val="00B52E8F"/>
    <w:rsid w:val="00B5525E"/>
    <w:rsid w:val="00B55377"/>
    <w:rsid w:val="00B57738"/>
    <w:rsid w:val="00B63137"/>
    <w:rsid w:val="00B63604"/>
    <w:rsid w:val="00B63FA9"/>
    <w:rsid w:val="00B650CC"/>
    <w:rsid w:val="00B707BD"/>
    <w:rsid w:val="00B71457"/>
    <w:rsid w:val="00B750BF"/>
    <w:rsid w:val="00B75217"/>
    <w:rsid w:val="00B776B5"/>
    <w:rsid w:val="00B81AFD"/>
    <w:rsid w:val="00B85442"/>
    <w:rsid w:val="00B90851"/>
    <w:rsid w:val="00B91090"/>
    <w:rsid w:val="00B926B7"/>
    <w:rsid w:val="00B94A3A"/>
    <w:rsid w:val="00B95094"/>
    <w:rsid w:val="00BA3D7B"/>
    <w:rsid w:val="00BA5FF1"/>
    <w:rsid w:val="00BA7533"/>
    <w:rsid w:val="00BC04BD"/>
    <w:rsid w:val="00BC4096"/>
    <w:rsid w:val="00BC65BA"/>
    <w:rsid w:val="00BD55FE"/>
    <w:rsid w:val="00BD75D2"/>
    <w:rsid w:val="00BE0383"/>
    <w:rsid w:val="00BE07A0"/>
    <w:rsid w:val="00BE1C3A"/>
    <w:rsid w:val="00BE611C"/>
    <w:rsid w:val="00BE70FF"/>
    <w:rsid w:val="00BF1079"/>
    <w:rsid w:val="00BF1D2D"/>
    <w:rsid w:val="00BF2768"/>
    <w:rsid w:val="00BF5859"/>
    <w:rsid w:val="00BF6DFF"/>
    <w:rsid w:val="00C00048"/>
    <w:rsid w:val="00C00239"/>
    <w:rsid w:val="00C00828"/>
    <w:rsid w:val="00C068F5"/>
    <w:rsid w:val="00C06D3E"/>
    <w:rsid w:val="00C11842"/>
    <w:rsid w:val="00C12994"/>
    <w:rsid w:val="00C1363B"/>
    <w:rsid w:val="00C14D24"/>
    <w:rsid w:val="00C1538F"/>
    <w:rsid w:val="00C15926"/>
    <w:rsid w:val="00C16139"/>
    <w:rsid w:val="00C17609"/>
    <w:rsid w:val="00C177ED"/>
    <w:rsid w:val="00C2265C"/>
    <w:rsid w:val="00C23420"/>
    <w:rsid w:val="00C30985"/>
    <w:rsid w:val="00C33BB9"/>
    <w:rsid w:val="00C3464B"/>
    <w:rsid w:val="00C35140"/>
    <w:rsid w:val="00C35A34"/>
    <w:rsid w:val="00C3715A"/>
    <w:rsid w:val="00C421FF"/>
    <w:rsid w:val="00C425BE"/>
    <w:rsid w:val="00C44F2B"/>
    <w:rsid w:val="00C545D3"/>
    <w:rsid w:val="00C54A8C"/>
    <w:rsid w:val="00C56388"/>
    <w:rsid w:val="00C5675C"/>
    <w:rsid w:val="00C571C0"/>
    <w:rsid w:val="00C61233"/>
    <w:rsid w:val="00C61911"/>
    <w:rsid w:val="00C627D8"/>
    <w:rsid w:val="00C62EB5"/>
    <w:rsid w:val="00C65EB9"/>
    <w:rsid w:val="00C718D9"/>
    <w:rsid w:val="00C72850"/>
    <w:rsid w:val="00C73632"/>
    <w:rsid w:val="00C75175"/>
    <w:rsid w:val="00C7543D"/>
    <w:rsid w:val="00C759F9"/>
    <w:rsid w:val="00C75EE7"/>
    <w:rsid w:val="00C777E7"/>
    <w:rsid w:val="00C8010C"/>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B3C62"/>
    <w:rsid w:val="00CC0138"/>
    <w:rsid w:val="00CC1F38"/>
    <w:rsid w:val="00CC4D3B"/>
    <w:rsid w:val="00CC6328"/>
    <w:rsid w:val="00CC69B1"/>
    <w:rsid w:val="00CC722D"/>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2D4"/>
    <w:rsid w:val="00CF38DA"/>
    <w:rsid w:val="00CF6B12"/>
    <w:rsid w:val="00CF6CA8"/>
    <w:rsid w:val="00CF797E"/>
    <w:rsid w:val="00D01079"/>
    <w:rsid w:val="00D018E6"/>
    <w:rsid w:val="00D02059"/>
    <w:rsid w:val="00D02D89"/>
    <w:rsid w:val="00D03B55"/>
    <w:rsid w:val="00D04D65"/>
    <w:rsid w:val="00D063F2"/>
    <w:rsid w:val="00D06DB2"/>
    <w:rsid w:val="00D10FDF"/>
    <w:rsid w:val="00D1111C"/>
    <w:rsid w:val="00D15CC8"/>
    <w:rsid w:val="00D20615"/>
    <w:rsid w:val="00D20796"/>
    <w:rsid w:val="00D2538D"/>
    <w:rsid w:val="00D268C9"/>
    <w:rsid w:val="00D301ED"/>
    <w:rsid w:val="00D313B0"/>
    <w:rsid w:val="00D319D4"/>
    <w:rsid w:val="00D32569"/>
    <w:rsid w:val="00D36569"/>
    <w:rsid w:val="00D36FBF"/>
    <w:rsid w:val="00D40062"/>
    <w:rsid w:val="00D405E7"/>
    <w:rsid w:val="00D4133A"/>
    <w:rsid w:val="00D436F6"/>
    <w:rsid w:val="00D440FF"/>
    <w:rsid w:val="00D44DD1"/>
    <w:rsid w:val="00D50BC2"/>
    <w:rsid w:val="00D515C2"/>
    <w:rsid w:val="00D53B9C"/>
    <w:rsid w:val="00D5622E"/>
    <w:rsid w:val="00D570CE"/>
    <w:rsid w:val="00D66F14"/>
    <w:rsid w:val="00D679C1"/>
    <w:rsid w:val="00D67A9D"/>
    <w:rsid w:val="00D72E7C"/>
    <w:rsid w:val="00D7638B"/>
    <w:rsid w:val="00D76DCC"/>
    <w:rsid w:val="00D77CA0"/>
    <w:rsid w:val="00D77D9E"/>
    <w:rsid w:val="00D81C8D"/>
    <w:rsid w:val="00D81D6D"/>
    <w:rsid w:val="00D8340F"/>
    <w:rsid w:val="00D86400"/>
    <w:rsid w:val="00D867D6"/>
    <w:rsid w:val="00D868DE"/>
    <w:rsid w:val="00D90503"/>
    <w:rsid w:val="00D94A33"/>
    <w:rsid w:val="00D97FE0"/>
    <w:rsid w:val="00DA1C78"/>
    <w:rsid w:val="00DA2F03"/>
    <w:rsid w:val="00DA6875"/>
    <w:rsid w:val="00DB0107"/>
    <w:rsid w:val="00DB18E3"/>
    <w:rsid w:val="00DB297D"/>
    <w:rsid w:val="00DB3943"/>
    <w:rsid w:val="00DB4314"/>
    <w:rsid w:val="00DB432A"/>
    <w:rsid w:val="00DB6163"/>
    <w:rsid w:val="00DB66A1"/>
    <w:rsid w:val="00DB75D0"/>
    <w:rsid w:val="00DB7C7C"/>
    <w:rsid w:val="00DB7D3B"/>
    <w:rsid w:val="00DC04D3"/>
    <w:rsid w:val="00DC0A19"/>
    <w:rsid w:val="00DC0C8E"/>
    <w:rsid w:val="00DC1BE6"/>
    <w:rsid w:val="00DC758E"/>
    <w:rsid w:val="00DD1317"/>
    <w:rsid w:val="00DD2F1D"/>
    <w:rsid w:val="00DD60CF"/>
    <w:rsid w:val="00DE02C0"/>
    <w:rsid w:val="00DE0C01"/>
    <w:rsid w:val="00DE3797"/>
    <w:rsid w:val="00DE5AB2"/>
    <w:rsid w:val="00DE671D"/>
    <w:rsid w:val="00DE6EFC"/>
    <w:rsid w:val="00DF4497"/>
    <w:rsid w:val="00DF4D3B"/>
    <w:rsid w:val="00DF4E4D"/>
    <w:rsid w:val="00DF715B"/>
    <w:rsid w:val="00E00C09"/>
    <w:rsid w:val="00E01840"/>
    <w:rsid w:val="00E03760"/>
    <w:rsid w:val="00E03EFD"/>
    <w:rsid w:val="00E0782E"/>
    <w:rsid w:val="00E07EFA"/>
    <w:rsid w:val="00E10D0C"/>
    <w:rsid w:val="00E10E49"/>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1009"/>
    <w:rsid w:val="00EA39E3"/>
    <w:rsid w:val="00EA50FC"/>
    <w:rsid w:val="00EA6123"/>
    <w:rsid w:val="00EB170B"/>
    <w:rsid w:val="00EB290D"/>
    <w:rsid w:val="00EB632A"/>
    <w:rsid w:val="00EC0009"/>
    <w:rsid w:val="00EC36BC"/>
    <w:rsid w:val="00ED2203"/>
    <w:rsid w:val="00ED2569"/>
    <w:rsid w:val="00ED25B1"/>
    <w:rsid w:val="00ED7FAF"/>
    <w:rsid w:val="00EE0104"/>
    <w:rsid w:val="00EE07DA"/>
    <w:rsid w:val="00EE2AD2"/>
    <w:rsid w:val="00EE324B"/>
    <w:rsid w:val="00EE56CB"/>
    <w:rsid w:val="00EE6C48"/>
    <w:rsid w:val="00EF0079"/>
    <w:rsid w:val="00EF3E79"/>
    <w:rsid w:val="00EF4E25"/>
    <w:rsid w:val="00EF771A"/>
    <w:rsid w:val="00F009EB"/>
    <w:rsid w:val="00F0365D"/>
    <w:rsid w:val="00F03DD9"/>
    <w:rsid w:val="00F06A8A"/>
    <w:rsid w:val="00F0761C"/>
    <w:rsid w:val="00F1054C"/>
    <w:rsid w:val="00F11975"/>
    <w:rsid w:val="00F1246B"/>
    <w:rsid w:val="00F2287F"/>
    <w:rsid w:val="00F243C8"/>
    <w:rsid w:val="00F24E11"/>
    <w:rsid w:val="00F26D6A"/>
    <w:rsid w:val="00F304A9"/>
    <w:rsid w:val="00F30C1A"/>
    <w:rsid w:val="00F31044"/>
    <w:rsid w:val="00F3139D"/>
    <w:rsid w:val="00F33F84"/>
    <w:rsid w:val="00F353F8"/>
    <w:rsid w:val="00F3568E"/>
    <w:rsid w:val="00F35A11"/>
    <w:rsid w:val="00F400ED"/>
    <w:rsid w:val="00F420CC"/>
    <w:rsid w:val="00F43840"/>
    <w:rsid w:val="00F43BBA"/>
    <w:rsid w:val="00F46253"/>
    <w:rsid w:val="00F50479"/>
    <w:rsid w:val="00F507CD"/>
    <w:rsid w:val="00F52083"/>
    <w:rsid w:val="00F52525"/>
    <w:rsid w:val="00F53C91"/>
    <w:rsid w:val="00F56191"/>
    <w:rsid w:val="00F6000A"/>
    <w:rsid w:val="00F64BB0"/>
    <w:rsid w:val="00F709AA"/>
    <w:rsid w:val="00F72CCB"/>
    <w:rsid w:val="00F75244"/>
    <w:rsid w:val="00F801B9"/>
    <w:rsid w:val="00F8304C"/>
    <w:rsid w:val="00F85A8C"/>
    <w:rsid w:val="00F903F4"/>
    <w:rsid w:val="00F90FCC"/>
    <w:rsid w:val="00F915F1"/>
    <w:rsid w:val="00F91721"/>
    <w:rsid w:val="00F920ED"/>
    <w:rsid w:val="00F95601"/>
    <w:rsid w:val="00FA07E3"/>
    <w:rsid w:val="00FA5879"/>
    <w:rsid w:val="00FA5CFA"/>
    <w:rsid w:val="00FB04D2"/>
    <w:rsid w:val="00FD0B60"/>
    <w:rsid w:val="00FD2335"/>
    <w:rsid w:val="00FD29BA"/>
    <w:rsid w:val="00FD2AED"/>
    <w:rsid w:val="00FD739B"/>
    <w:rsid w:val="00FE0E36"/>
    <w:rsid w:val="00FE268E"/>
    <w:rsid w:val="00FE2790"/>
    <w:rsid w:val="00FE639A"/>
    <w:rsid w:val="00FE6EA5"/>
    <w:rsid w:val="00FE76EB"/>
    <w:rsid w:val="00FE7BE9"/>
    <w:rsid w:val="00FF344D"/>
    <w:rsid w:val="00FF39E5"/>
    <w:rsid w:val="00FF3C6E"/>
    <w:rsid w:val="00FF401B"/>
    <w:rsid w:val="00FF463F"/>
    <w:rsid w:val="00FF6E5A"/>
    <w:rsid w:val="00FF7F98"/>
    <w:rsid w:val="01417ED0"/>
    <w:rsid w:val="016531D1"/>
    <w:rsid w:val="017E682C"/>
    <w:rsid w:val="02BC16B7"/>
    <w:rsid w:val="039106AD"/>
    <w:rsid w:val="04967ABA"/>
    <w:rsid w:val="04BC0CAD"/>
    <w:rsid w:val="05882E65"/>
    <w:rsid w:val="058837E9"/>
    <w:rsid w:val="060D3B23"/>
    <w:rsid w:val="06124B79"/>
    <w:rsid w:val="09383E5F"/>
    <w:rsid w:val="09AB4631"/>
    <w:rsid w:val="09D30E02"/>
    <w:rsid w:val="0ADF0F5E"/>
    <w:rsid w:val="0B291188"/>
    <w:rsid w:val="0B3A38ED"/>
    <w:rsid w:val="0B4B5358"/>
    <w:rsid w:val="0BCB5C52"/>
    <w:rsid w:val="0BE91440"/>
    <w:rsid w:val="0C54694D"/>
    <w:rsid w:val="0DDB6F15"/>
    <w:rsid w:val="0E6B37E7"/>
    <w:rsid w:val="100B7158"/>
    <w:rsid w:val="110B196B"/>
    <w:rsid w:val="11D337D5"/>
    <w:rsid w:val="12A56C4A"/>
    <w:rsid w:val="12FF7805"/>
    <w:rsid w:val="13B1126E"/>
    <w:rsid w:val="15035C84"/>
    <w:rsid w:val="15186782"/>
    <w:rsid w:val="16D2413C"/>
    <w:rsid w:val="16E11692"/>
    <w:rsid w:val="185760F5"/>
    <w:rsid w:val="1A09138C"/>
    <w:rsid w:val="1AF5395E"/>
    <w:rsid w:val="1BBC382B"/>
    <w:rsid w:val="1C744D56"/>
    <w:rsid w:val="1D1C3424"/>
    <w:rsid w:val="1D3F5CF8"/>
    <w:rsid w:val="1D500E8B"/>
    <w:rsid w:val="1DA06387"/>
    <w:rsid w:val="1F6139F7"/>
    <w:rsid w:val="1F874D8A"/>
    <w:rsid w:val="200102FD"/>
    <w:rsid w:val="207A2052"/>
    <w:rsid w:val="207F3F27"/>
    <w:rsid w:val="20A61CA3"/>
    <w:rsid w:val="20C37B32"/>
    <w:rsid w:val="213D4496"/>
    <w:rsid w:val="215D400B"/>
    <w:rsid w:val="220124C7"/>
    <w:rsid w:val="22315DA8"/>
    <w:rsid w:val="233D2346"/>
    <w:rsid w:val="241D1723"/>
    <w:rsid w:val="2526488E"/>
    <w:rsid w:val="27323D42"/>
    <w:rsid w:val="27377F25"/>
    <w:rsid w:val="2AF578DD"/>
    <w:rsid w:val="2AFB0177"/>
    <w:rsid w:val="2B7254AB"/>
    <w:rsid w:val="2B774A68"/>
    <w:rsid w:val="2BEF0B9E"/>
    <w:rsid w:val="2CDC3D8D"/>
    <w:rsid w:val="2EAB0AAB"/>
    <w:rsid w:val="2EEB6D1F"/>
    <w:rsid w:val="30FC114A"/>
    <w:rsid w:val="328E14B9"/>
    <w:rsid w:val="32A827E6"/>
    <w:rsid w:val="32F3657D"/>
    <w:rsid w:val="33590A0D"/>
    <w:rsid w:val="340622E0"/>
    <w:rsid w:val="34464414"/>
    <w:rsid w:val="34793A9D"/>
    <w:rsid w:val="35B97E0C"/>
    <w:rsid w:val="36C62A73"/>
    <w:rsid w:val="36C66E7F"/>
    <w:rsid w:val="37DD2691"/>
    <w:rsid w:val="380145D2"/>
    <w:rsid w:val="38477E80"/>
    <w:rsid w:val="38A10829"/>
    <w:rsid w:val="3A234969"/>
    <w:rsid w:val="3A692ADF"/>
    <w:rsid w:val="3A6D4E67"/>
    <w:rsid w:val="3A9E1150"/>
    <w:rsid w:val="3AB16C65"/>
    <w:rsid w:val="3AD153F6"/>
    <w:rsid w:val="3B0D1C2F"/>
    <w:rsid w:val="3B2344B0"/>
    <w:rsid w:val="3BBA45CF"/>
    <w:rsid w:val="3C434DC6"/>
    <w:rsid w:val="3D146CD2"/>
    <w:rsid w:val="3DF541A9"/>
    <w:rsid w:val="3FDD483D"/>
    <w:rsid w:val="40017D8D"/>
    <w:rsid w:val="42CE5BF8"/>
    <w:rsid w:val="436B0FC0"/>
    <w:rsid w:val="44187FD3"/>
    <w:rsid w:val="446E75ED"/>
    <w:rsid w:val="44C91833"/>
    <w:rsid w:val="45622D3C"/>
    <w:rsid w:val="484F1042"/>
    <w:rsid w:val="48A46E7C"/>
    <w:rsid w:val="492D2D74"/>
    <w:rsid w:val="49532FC9"/>
    <w:rsid w:val="499524F4"/>
    <w:rsid w:val="49BD7609"/>
    <w:rsid w:val="4B876EDE"/>
    <w:rsid w:val="4BA803F5"/>
    <w:rsid w:val="4BB02E05"/>
    <w:rsid w:val="4BCC4386"/>
    <w:rsid w:val="4C0D2006"/>
    <w:rsid w:val="4C575977"/>
    <w:rsid w:val="4C8C0BFE"/>
    <w:rsid w:val="4D9C6910"/>
    <w:rsid w:val="4DA23BF2"/>
    <w:rsid w:val="4DB200A1"/>
    <w:rsid w:val="4ECE1A55"/>
    <w:rsid w:val="50146059"/>
    <w:rsid w:val="5153670D"/>
    <w:rsid w:val="51C03C12"/>
    <w:rsid w:val="52701540"/>
    <w:rsid w:val="53D05DA1"/>
    <w:rsid w:val="5454111A"/>
    <w:rsid w:val="54656664"/>
    <w:rsid w:val="5490727E"/>
    <w:rsid w:val="55BD3B21"/>
    <w:rsid w:val="55DA35C6"/>
    <w:rsid w:val="564E1B99"/>
    <w:rsid w:val="56505911"/>
    <w:rsid w:val="56983571"/>
    <w:rsid w:val="589635DD"/>
    <w:rsid w:val="58EB1921"/>
    <w:rsid w:val="5A841270"/>
    <w:rsid w:val="5B494DFB"/>
    <w:rsid w:val="5B734C0E"/>
    <w:rsid w:val="5C9B04F9"/>
    <w:rsid w:val="5CE52AFA"/>
    <w:rsid w:val="5D111766"/>
    <w:rsid w:val="5D2D075A"/>
    <w:rsid w:val="5FCB6071"/>
    <w:rsid w:val="60BB7E2A"/>
    <w:rsid w:val="60E02F3A"/>
    <w:rsid w:val="61D830B5"/>
    <w:rsid w:val="622B7232"/>
    <w:rsid w:val="637F15E3"/>
    <w:rsid w:val="638135AD"/>
    <w:rsid w:val="63F95441"/>
    <w:rsid w:val="64084829"/>
    <w:rsid w:val="646B48B3"/>
    <w:rsid w:val="65965302"/>
    <w:rsid w:val="65EA4502"/>
    <w:rsid w:val="66A22C31"/>
    <w:rsid w:val="674A015A"/>
    <w:rsid w:val="67565A36"/>
    <w:rsid w:val="6894629D"/>
    <w:rsid w:val="68A557A6"/>
    <w:rsid w:val="68B96DFC"/>
    <w:rsid w:val="68D85DA0"/>
    <w:rsid w:val="6A236CE5"/>
    <w:rsid w:val="6B0B397E"/>
    <w:rsid w:val="6C39522C"/>
    <w:rsid w:val="6F5E73F8"/>
    <w:rsid w:val="6FF61221"/>
    <w:rsid w:val="707249A8"/>
    <w:rsid w:val="716606CE"/>
    <w:rsid w:val="71E02129"/>
    <w:rsid w:val="72A9188A"/>
    <w:rsid w:val="740C0E97"/>
    <w:rsid w:val="742C11FC"/>
    <w:rsid w:val="74E20DD2"/>
    <w:rsid w:val="76832D41"/>
    <w:rsid w:val="773C6FBA"/>
    <w:rsid w:val="77812C28"/>
    <w:rsid w:val="78054671"/>
    <w:rsid w:val="78C961F4"/>
    <w:rsid w:val="79161A91"/>
    <w:rsid w:val="7A0B19CB"/>
    <w:rsid w:val="7A2F491E"/>
    <w:rsid w:val="7A8E4AA5"/>
    <w:rsid w:val="7C18217D"/>
    <w:rsid w:val="7C443574"/>
    <w:rsid w:val="7DC964F0"/>
    <w:rsid w:val="7FE368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6"/>
    <w:qFormat/>
    <w:uiPriority w:val="0"/>
    <w:pPr>
      <w:keepNext/>
      <w:autoSpaceDE w:val="0"/>
      <w:autoSpaceDN w:val="0"/>
      <w:adjustRightInd w:val="0"/>
      <w:jc w:val="center"/>
      <w:outlineLvl w:val="0"/>
    </w:pPr>
    <w:rPr>
      <w:rFonts w:ascii="宋体"/>
      <w:color w:val="000000"/>
      <w:sz w:val="28"/>
      <w:szCs w:val="20"/>
    </w:rPr>
  </w:style>
  <w:style w:type="paragraph" w:styleId="5">
    <w:name w:val="heading 2"/>
    <w:basedOn w:val="1"/>
    <w:next w:val="1"/>
    <w:link w:val="31"/>
    <w:qFormat/>
    <w:uiPriority w:val="0"/>
    <w:pPr>
      <w:keepNext/>
      <w:keepLines/>
      <w:spacing w:before="260" w:after="260" w:line="416" w:lineRule="auto"/>
      <w:outlineLvl w:val="1"/>
    </w:pPr>
    <w:rPr>
      <w:rFonts w:ascii="Arial" w:hAnsi="Arial"/>
      <w:b/>
      <w:bCs/>
      <w:sz w:val="32"/>
      <w:szCs w:val="32"/>
    </w:rPr>
  </w:style>
  <w:style w:type="paragraph" w:styleId="6">
    <w:name w:val="heading 3"/>
    <w:basedOn w:val="1"/>
    <w:next w:val="1"/>
    <w:link w:val="33"/>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34"/>
    <w:qFormat/>
    <w:uiPriority w:val="0"/>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Cs w:val="24"/>
    </w:rPr>
  </w:style>
  <w:style w:type="paragraph" w:styleId="3">
    <w:name w:val="Body Text Indent"/>
    <w:basedOn w:val="1"/>
    <w:unhideWhenUsed/>
    <w:qFormat/>
    <w:uiPriority w:val="99"/>
    <w:pPr>
      <w:spacing w:after="120"/>
      <w:ind w:left="420" w:leftChars="200"/>
    </w:pPr>
  </w:style>
  <w:style w:type="paragraph" w:styleId="8">
    <w:name w:val="annotation text"/>
    <w:basedOn w:val="1"/>
    <w:link w:val="27"/>
    <w:unhideWhenUsed/>
    <w:qFormat/>
    <w:uiPriority w:val="99"/>
    <w:pPr>
      <w:jc w:val="left"/>
    </w:pPr>
  </w:style>
  <w:style w:type="paragraph" w:styleId="9">
    <w:name w:val="Body Text"/>
    <w:basedOn w:val="1"/>
    <w:next w:val="1"/>
    <w:unhideWhenUsed/>
    <w:qFormat/>
    <w:uiPriority w:val="99"/>
    <w:pPr>
      <w:spacing w:after="120"/>
    </w:pPr>
  </w:style>
  <w:style w:type="paragraph" w:styleId="10">
    <w:name w:val="Plain Text"/>
    <w:basedOn w:val="1"/>
    <w:link w:val="30"/>
    <w:qFormat/>
    <w:uiPriority w:val="0"/>
    <w:rPr>
      <w:rFonts w:ascii="宋体" w:hAnsi="Courier New" w:eastAsiaTheme="minorEastAsia" w:cstheme="minorBidi"/>
    </w:rPr>
  </w:style>
  <w:style w:type="paragraph" w:styleId="11">
    <w:name w:val="Date"/>
    <w:basedOn w:val="1"/>
    <w:next w:val="1"/>
    <w:link w:val="22"/>
    <w:qFormat/>
    <w:uiPriority w:val="0"/>
    <w:rPr>
      <w:rFonts w:ascii="宋体" w:hAnsi="Courier New"/>
      <w:kern w:val="0"/>
      <w:sz w:val="32"/>
      <w:szCs w:val="20"/>
    </w:rPr>
  </w:style>
  <w:style w:type="paragraph" w:styleId="12">
    <w:name w:val="Balloon Text"/>
    <w:basedOn w:val="1"/>
    <w:link w:val="23"/>
    <w:semiHidden/>
    <w:unhideWhenUsed/>
    <w:qFormat/>
    <w:uiPriority w:val="99"/>
    <w:rPr>
      <w:sz w:val="18"/>
      <w:szCs w:val="18"/>
    </w:rPr>
  </w:style>
  <w:style w:type="paragraph" w:styleId="13">
    <w:name w:val="footer"/>
    <w:basedOn w:val="1"/>
    <w:link w:val="25"/>
    <w:unhideWhenUsed/>
    <w:qFormat/>
    <w:uiPriority w:val="99"/>
    <w:pPr>
      <w:tabs>
        <w:tab w:val="center" w:pos="4153"/>
        <w:tab w:val="right" w:pos="8306"/>
      </w:tabs>
      <w:snapToGrid w:val="0"/>
      <w:jc w:val="left"/>
    </w:pPr>
    <w:rPr>
      <w:sz w:val="18"/>
      <w:szCs w:val="18"/>
    </w:rPr>
  </w:style>
  <w:style w:type="paragraph" w:styleId="14">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annotation subject"/>
    <w:basedOn w:val="8"/>
    <w:next w:val="8"/>
    <w:link w:val="28"/>
    <w:semiHidden/>
    <w:unhideWhenUsed/>
    <w:qFormat/>
    <w:uiPriority w:val="99"/>
    <w:rPr>
      <w:b/>
      <w:bCs/>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qFormat/>
    <w:uiPriority w:val="99"/>
    <w:rPr>
      <w:color w:val="0000FF"/>
      <w:u w:val="single"/>
    </w:rPr>
  </w:style>
  <w:style w:type="character" w:styleId="20">
    <w:name w:val="annotation reference"/>
    <w:basedOn w:val="18"/>
    <w:semiHidden/>
    <w:unhideWhenUsed/>
    <w:qFormat/>
    <w:uiPriority w:val="99"/>
    <w:rPr>
      <w:sz w:val="21"/>
      <w:szCs w:val="21"/>
    </w:rPr>
  </w:style>
  <w:style w:type="character" w:customStyle="1" w:styleId="21">
    <w:name w:val="日期 Char"/>
    <w:basedOn w:val="18"/>
    <w:qFormat/>
    <w:uiPriority w:val="0"/>
    <w:rPr>
      <w:rFonts w:ascii="宋体" w:hAnsi="Courier New" w:eastAsia="宋体" w:cs="Times New Roman"/>
      <w:kern w:val="0"/>
      <w:sz w:val="32"/>
      <w:szCs w:val="20"/>
    </w:rPr>
  </w:style>
  <w:style w:type="character" w:customStyle="1" w:styleId="22">
    <w:name w:val="日期 Char1"/>
    <w:basedOn w:val="18"/>
    <w:link w:val="11"/>
    <w:semiHidden/>
    <w:qFormat/>
    <w:uiPriority w:val="99"/>
    <w:rPr>
      <w:rFonts w:ascii="Calibri" w:hAnsi="Calibri" w:eastAsia="宋体" w:cs="Times New Roman"/>
    </w:rPr>
  </w:style>
  <w:style w:type="character" w:customStyle="1" w:styleId="23">
    <w:name w:val="批注框文本 Char"/>
    <w:basedOn w:val="18"/>
    <w:link w:val="12"/>
    <w:semiHidden/>
    <w:qFormat/>
    <w:uiPriority w:val="99"/>
    <w:rPr>
      <w:rFonts w:ascii="Calibri" w:hAnsi="Calibri" w:eastAsia="宋体" w:cs="Times New Roman"/>
      <w:sz w:val="18"/>
      <w:szCs w:val="18"/>
    </w:rPr>
  </w:style>
  <w:style w:type="character" w:customStyle="1" w:styleId="24">
    <w:name w:val="页眉 Char"/>
    <w:basedOn w:val="18"/>
    <w:link w:val="14"/>
    <w:semiHidden/>
    <w:qFormat/>
    <w:uiPriority w:val="99"/>
    <w:rPr>
      <w:rFonts w:ascii="Calibri" w:hAnsi="Calibri" w:eastAsia="宋体" w:cs="Times New Roman"/>
      <w:sz w:val="18"/>
      <w:szCs w:val="18"/>
    </w:rPr>
  </w:style>
  <w:style w:type="character" w:customStyle="1" w:styleId="25">
    <w:name w:val="页脚 Char"/>
    <w:basedOn w:val="18"/>
    <w:link w:val="13"/>
    <w:qFormat/>
    <w:uiPriority w:val="99"/>
    <w:rPr>
      <w:rFonts w:ascii="Calibri" w:hAnsi="Calibri" w:eastAsia="宋体" w:cs="Times New Roman"/>
      <w:sz w:val="18"/>
      <w:szCs w:val="18"/>
    </w:rPr>
  </w:style>
  <w:style w:type="character" w:customStyle="1" w:styleId="26">
    <w:name w:val="标题 1 Char"/>
    <w:basedOn w:val="18"/>
    <w:link w:val="4"/>
    <w:qFormat/>
    <w:uiPriority w:val="0"/>
    <w:rPr>
      <w:rFonts w:ascii="宋体" w:hAnsi="Calibri" w:eastAsia="宋体" w:cs="Times New Roman"/>
      <w:color w:val="000000"/>
      <w:sz w:val="28"/>
      <w:szCs w:val="20"/>
    </w:rPr>
  </w:style>
  <w:style w:type="character" w:customStyle="1" w:styleId="27">
    <w:name w:val="批注文字 Char"/>
    <w:basedOn w:val="18"/>
    <w:link w:val="8"/>
    <w:qFormat/>
    <w:uiPriority w:val="99"/>
    <w:rPr>
      <w:rFonts w:ascii="Calibri" w:hAnsi="Calibri" w:eastAsia="宋体" w:cs="Times New Roman"/>
    </w:rPr>
  </w:style>
  <w:style w:type="character" w:customStyle="1" w:styleId="28">
    <w:name w:val="批注主题 Char"/>
    <w:basedOn w:val="27"/>
    <w:link w:val="15"/>
    <w:semiHidden/>
    <w:qFormat/>
    <w:uiPriority w:val="99"/>
    <w:rPr>
      <w:rFonts w:ascii="Calibri" w:hAnsi="Calibri" w:eastAsia="宋体" w:cs="Times New Roman"/>
      <w:b/>
      <w:bCs/>
    </w:rPr>
  </w:style>
  <w:style w:type="character" w:customStyle="1" w:styleId="29">
    <w:name w:val="纯文本 Char"/>
    <w:qFormat/>
    <w:uiPriority w:val="0"/>
    <w:rPr>
      <w:rFonts w:ascii="宋体" w:hAnsi="Courier New"/>
    </w:rPr>
  </w:style>
  <w:style w:type="character" w:customStyle="1" w:styleId="30">
    <w:name w:val="纯文本 Char1"/>
    <w:basedOn w:val="18"/>
    <w:link w:val="10"/>
    <w:semiHidden/>
    <w:qFormat/>
    <w:uiPriority w:val="99"/>
    <w:rPr>
      <w:rFonts w:ascii="宋体" w:hAnsi="Courier New" w:eastAsia="宋体" w:cs="Courier New"/>
      <w:szCs w:val="21"/>
    </w:rPr>
  </w:style>
  <w:style w:type="character" w:customStyle="1" w:styleId="31">
    <w:name w:val="标题 2 Char"/>
    <w:basedOn w:val="18"/>
    <w:link w:val="5"/>
    <w:qFormat/>
    <w:uiPriority w:val="0"/>
    <w:rPr>
      <w:rFonts w:ascii="Arial" w:hAnsi="Arial" w:eastAsia="宋体" w:cs="Times New Roman"/>
      <w:b/>
      <w:bCs/>
      <w:sz w:val="32"/>
      <w:szCs w:val="32"/>
    </w:rPr>
  </w:style>
  <w:style w:type="paragraph" w:styleId="32">
    <w:name w:val="List Paragraph"/>
    <w:basedOn w:val="1"/>
    <w:qFormat/>
    <w:uiPriority w:val="34"/>
    <w:pPr>
      <w:ind w:firstLine="420" w:firstLineChars="200"/>
    </w:pPr>
  </w:style>
  <w:style w:type="character" w:customStyle="1" w:styleId="33">
    <w:name w:val="标题 3 Char"/>
    <w:basedOn w:val="18"/>
    <w:link w:val="6"/>
    <w:semiHidden/>
    <w:qFormat/>
    <w:uiPriority w:val="9"/>
    <w:rPr>
      <w:rFonts w:ascii="Calibri" w:hAnsi="Calibri" w:eastAsia="宋体" w:cs="Times New Roman"/>
      <w:b/>
      <w:bCs/>
      <w:sz w:val="32"/>
      <w:szCs w:val="32"/>
    </w:rPr>
  </w:style>
  <w:style w:type="character" w:customStyle="1" w:styleId="34">
    <w:name w:val="标题 4 Char"/>
    <w:basedOn w:val="18"/>
    <w:link w:val="7"/>
    <w:qFormat/>
    <w:uiPriority w:val="0"/>
    <w:rPr>
      <w:rFonts w:ascii="Cambria" w:hAnsi="Cambria" w:eastAsia="宋体" w:cs="Times New Roman"/>
      <w:b/>
      <w:bCs/>
      <w:sz w:val="28"/>
      <w:szCs w:val="28"/>
    </w:rPr>
  </w:style>
  <w:style w:type="paragraph" w:customStyle="1" w:styleId="35">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6">
    <w:name w:val="1"/>
    <w:basedOn w:val="1"/>
    <w:next w:val="10"/>
    <w:qFormat/>
    <w:uiPriority w:val="0"/>
    <w:rPr>
      <w:rFonts w:ascii="宋体" w:hAnsi="Courier New"/>
      <w:szCs w:val="20"/>
    </w:rPr>
  </w:style>
  <w:style w:type="paragraph" w:customStyle="1" w:styleId="37">
    <w:name w:val="8"/>
    <w:basedOn w:val="1"/>
    <w:next w:val="10"/>
    <w:qFormat/>
    <w:uiPriority w:val="0"/>
    <w:rPr>
      <w:rFonts w:ascii="宋体" w:hAnsi="Courier New"/>
      <w:szCs w:val="20"/>
    </w:rPr>
  </w:style>
  <w:style w:type="paragraph" w:customStyle="1" w:styleId="38">
    <w:name w:val="_Style 55"/>
    <w:basedOn w:val="1"/>
    <w:next w:val="10"/>
    <w:qFormat/>
    <w:uiPriority w:val="0"/>
    <w:rPr>
      <w:rFonts w:ascii="宋体" w:hAnsi="Courier New"/>
      <w:szCs w:val="20"/>
    </w:rPr>
  </w:style>
  <w:style w:type="paragraph" w:customStyle="1" w:styleId="39">
    <w:name w:val="7"/>
    <w:basedOn w:val="1"/>
    <w:next w:val="10"/>
    <w:link w:val="40"/>
    <w:qFormat/>
    <w:uiPriority w:val="0"/>
    <w:rPr>
      <w:rFonts w:ascii="宋体" w:hAnsi="Courier New"/>
      <w:szCs w:val="20"/>
    </w:rPr>
  </w:style>
  <w:style w:type="character" w:customStyle="1" w:styleId="40">
    <w:name w:val="Char1"/>
    <w:link w:val="39"/>
    <w:qFormat/>
    <w:uiPriority w:val="0"/>
    <w:rPr>
      <w:rFonts w:ascii="宋体" w:hAnsi="Courier New" w:eastAsia="宋体" w:cs="Times New Roman"/>
      <w:szCs w:val="20"/>
    </w:rPr>
  </w:style>
  <w:style w:type="paragraph" w:customStyle="1" w:styleId="41">
    <w:name w:val="列出段落1"/>
    <w:basedOn w:val="1"/>
    <w:qFormat/>
    <w:uiPriority w:val="0"/>
    <w:pPr>
      <w:ind w:firstLine="420" w:firstLineChars="200"/>
    </w:pPr>
    <w:rPr>
      <w:rFonts w:cs="Calibri"/>
      <w:szCs w:val="21"/>
    </w:rPr>
  </w:style>
  <w:style w:type="character" w:customStyle="1" w:styleId="42">
    <w:name w:val="font01"/>
    <w:basedOn w:val="18"/>
    <w:qFormat/>
    <w:uiPriority w:val="0"/>
    <w:rPr>
      <w:rFonts w:hint="eastAsia" w:ascii="宋体" w:hAnsi="宋体" w:eastAsia="宋体" w:cs="宋体"/>
      <w:color w:val="000000"/>
      <w:sz w:val="20"/>
      <w:szCs w:val="20"/>
      <w:u w:val="none"/>
    </w:rPr>
  </w:style>
  <w:style w:type="paragraph" w:customStyle="1" w:styleId="4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438F46-8768-4DB8-8906-CD30B6FEA93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72</Pages>
  <Words>32557</Words>
  <Characters>34402</Characters>
  <Lines>276</Lines>
  <Paragraphs>77</Paragraphs>
  <TotalTime>4</TotalTime>
  <ScaleCrop>false</ScaleCrop>
  <LinksUpToDate>false</LinksUpToDate>
  <CharactersWithSpaces>36342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mue祢</cp:lastModifiedBy>
  <cp:lastPrinted>2020-05-21T02:27:00Z</cp:lastPrinted>
  <dcterms:modified xsi:type="dcterms:W3CDTF">2023-02-14T11:32:57Z</dcterms:modified>
  <cp:revision>1522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9680FBF2D7AF4370B621E83BECE43429</vt:lpwstr>
  </property>
</Properties>
</file>