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cs="仿宋" w:asciiTheme="minorEastAsia" w:hAnsiTheme="minorEastAsia" w:eastAsiaTheme="minorEastAsia"/>
          <w:b/>
          <w:bCs/>
          <w:snapToGrid w:val="0"/>
          <w:kern w:val="0"/>
          <w:sz w:val="28"/>
          <w:szCs w:val="28"/>
        </w:rPr>
      </w:pPr>
      <w:r>
        <w:rPr>
          <w:rFonts w:cs="仿宋" w:asciiTheme="minorEastAsia" w:hAnsiTheme="minorEastAsia" w:eastAsiaTheme="minorEastAsia"/>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0" t="0" r="8890" b="0"/>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hint="eastAsia" w:cs="仿宋" w:asciiTheme="minorEastAsia" w:hAnsiTheme="minorEastAsia" w:eastAsiaTheme="minorEastAsia"/>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rPr>
      </w:pPr>
    </w:p>
    <w:p>
      <w:pPr>
        <w:jc w:val="center"/>
        <w:rPr>
          <w:rFonts w:cs="仿宋" w:asciiTheme="minorEastAsia" w:hAnsiTheme="minorEastAsia" w:eastAsiaTheme="minorEastAsia"/>
        </w:rPr>
      </w:pPr>
      <w:r>
        <w:rPr>
          <w:rFonts w:hint="eastAsia" w:cs="仿宋" w:asciiTheme="minorEastAsia" w:hAnsiTheme="minorEastAsia" w:eastAsiaTheme="minorEastAsia"/>
          <w:b/>
          <w:bCs/>
          <w:snapToGrid w:val="0"/>
          <w:kern w:val="0"/>
          <w:sz w:val="72"/>
          <w:szCs w:val="72"/>
        </w:rPr>
        <w:t>深圳市公安局罗湖分局电动巡逻车采购项目</w:t>
      </w:r>
    </w:p>
    <w:p>
      <w:pPr>
        <w:rPr>
          <w:rFonts w:cs="仿宋" w:asciiTheme="minorEastAsia" w:hAnsiTheme="minorEastAsia" w:eastAsiaTheme="minorEastAsia"/>
        </w:rPr>
      </w:pPr>
    </w:p>
    <w:p>
      <w:pPr>
        <w:rPr>
          <w:rFonts w:cs="仿宋" w:asciiTheme="minorEastAsia" w:hAnsiTheme="minorEastAsia" w:eastAsiaTheme="minorEastAsia"/>
        </w:rPr>
      </w:pPr>
    </w:p>
    <w:p>
      <w:pPr>
        <w:pStyle w:val="2"/>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90"/>
        </w:rPr>
      </w:pPr>
      <w:r>
        <w:rPr>
          <w:rFonts w:hint="eastAsia" w:cs="仿宋" w:asciiTheme="minorEastAsia" w:hAnsiTheme="minorEastAsia" w:eastAsiaTheme="minorEastAsia"/>
          <w:b/>
          <w:snapToGrid w:val="0"/>
          <w:kern w:val="0"/>
          <w:sz w:val="90"/>
        </w:rPr>
        <w:t>征  集　文　件</w:t>
      </w:r>
    </w:p>
    <w:p>
      <w:pPr>
        <w:adjustRightInd w:val="0"/>
        <w:snapToGrid w:val="0"/>
        <w:spacing w:line="300" w:lineRule="auto"/>
        <w:jc w:val="center"/>
        <w:rPr>
          <w:rFonts w:cs="仿宋" w:asciiTheme="minorEastAsia" w:hAnsiTheme="minorEastAsia" w:eastAsiaTheme="minorEastAsia"/>
          <w:b/>
          <w:snapToGrid w:val="0"/>
          <w:kern w:val="0"/>
          <w:sz w:val="32"/>
        </w:rPr>
      </w:pPr>
    </w:p>
    <w:p>
      <w:pPr>
        <w:adjustRightInd w:val="0"/>
        <w:snapToGrid w:val="0"/>
        <w:spacing w:line="300" w:lineRule="auto"/>
        <w:jc w:val="center"/>
        <w:rPr>
          <w:rFonts w:cs="仿宋" w:asciiTheme="minorEastAsia" w:hAnsiTheme="minorEastAsia" w:eastAsiaTheme="minorEastAsia"/>
          <w:b/>
          <w:snapToGrid w:val="0"/>
          <w:kern w:val="0"/>
          <w:sz w:val="44"/>
        </w:rPr>
      </w:pPr>
      <w:r>
        <w:rPr>
          <w:rFonts w:hint="eastAsia" w:cs="仿宋" w:asciiTheme="minorEastAsia" w:hAnsiTheme="minorEastAsia" w:eastAsiaTheme="minorEastAsia"/>
          <w:b/>
          <w:snapToGrid w:val="0"/>
          <w:kern w:val="0"/>
          <w:sz w:val="32"/>
        </w:rPr>
        <w:t>项目编号：SZZZ2022-QA0333</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pStyle w:val="2"/>
      </w:pPr>
    </w:p>
    <w:p>
      <w:pPr>
        <w:pStyle w:val="2"/>
      </w:pPr>
    </w:p>
    <w:p>
      <w:pPr>
        <w:rPr>
          <w:rFonts w:cs="仿宋" w:asciiTheme="minorEastAsia" w:hAnsiTheme="minorEastAsia" w:eastAsiaTheme="minorEastAsia"/>
        </w:rPr>
      </w:pPr>
    </w:p>
    <w:p>
      <w:pPr>
        <w:pStyle w:val="11"/>
        <w:adjustRightInd w:val="0"/>
        <w:snapToGrid w:val="0"/>
        <w:spacing w:line="300" w:lineRule="auto"/>
        <w:jc w:val="center"/>
        <w:rPr>
          <w:rFonts w:cs="仿宋" w:asciiTheme="minorEastAsia" w:hAnsiTheme="minorEastAsia" w:eastAsiaTheme="minorEastAsia"/>
          <w:b/>
          <w:snapToGrid w:val="0"/>
          <w:sz w:val="30"/>
        </w:rPr>
      </w:pPr>
      <w:r>
        <w:rPr>
          <w:rFonts w:hint="eastAsia" w:cs="仿宋" w:asciiTheme="minorEastAsia" w:hAnsiTheme="minorEastAsia" w:eastAsiaTheme="minorEastAsia"/>
          <w:b/>
          <w:snapToGrid w:val="0"/>
          <w:sz w:val="30"/>
        </w:rPr>
        <w:t>二〇二二年十一月</w:t>
      </w:r>
    </w:p>
    <w:p>
      <w:pPr>
        <w:widowControl/>
        <w:jc w:val="center"/>
        <w:rPr>
          <w:rFonts w:cs="仿宋" w:asciiTheme="minorEastAsia" w:hAnsiTheme="minorEastAsia" w:eastAsiaTheme="minorEastAsia"/>
          <w:snapToGrid w:val="0"/>
        </w:rPr>
      </w:pPr>
      <w:r>
        <w:rPr>
          <w:rFonts w:hint="eastAsia" w:cs="仿宋" w:asciiTheme="minorEastAsia" w:hAnsiTheme="minorEastAsia" w:eastAsiaTheme="minorEastAsia"/>
          <w:snapToGrid w:val="0"/>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一、《深圳经济特区政府采购条例》第五十七条</w:t>
      </w:r>
      <w:r>
        <w:rPr>
          <w:rFonts w:ascii="仿宋" w:hAnsi="仿宋" w:eastAsia="仿宋"/>
          <w:sz w:val="24"/>
          <w:szCs w:val="24"/>
        </w:rPr>
        <w:t xml:space="preserve"> </w:t>
      </w:r>
      <w:r>
        <w:rPr>
          <w:rFonts w:hint="eastAsia" w:ascii="仿宋" w:hAnsi="仿宋" w:eastAsia="仿宋"/>
          <w:sz w:val="24"/>
          <w:szCs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（一）在采购活动中应当回避而未回避的；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（二）未按本条例规定签订、履行采购合同，造成严重后果的；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（三）隐瞒真实情况，提供虚假资料的；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（四）以非法手段排斥其他供应商参与竞争的；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（五）与其他采购参加人串通投标的；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（六）恶意投诉的；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（七）向采购项目相关人行贿或者提供其他不当利益的；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（八）阻碍、抗拒主管部门监督检查的；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（九）其他违反本条例规定的行为。</w:t>
      </w:r>
    </w:p>
    <w:p>
      <w:pPr>
        <w:spacing w:line="440" w:lineRule="exact"/>
        <w:ind w:firstLine="480" w:firstLineChars="200"/>
        <w:rPr>
          <w:rFonts w:ascii="仿宋" w:hAnsi="仿宋" w:eastAsia="仿宋"/>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（一）投标供应商之间相互约定给予未中标的供应商利益补偿；</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（四）不同投标供应商的投标文件或部分投标文件相互混装；</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（五）不同投标供应商的投标文件内容存在非正常一致；</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（六）由同一单位工作人员为两家以上（含两家）供应商进行同一项投标活动的；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（七）主管部门依照法律、法规认定的其他情形。</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（一）通过转让或者租借等方式从其他单位获取资格或者资质证书投标的；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（三）项目负责人或者主要技术人员不是本单位人员的；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（四）投标保证金不是从投标供应商基本账户转出的；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（五）其他隐瞒真实情况、提供虚假资料的行为。</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szCs w:val="24"/>
        </w:rPr>
      </w:pPr>
    </w:p>
    <w:p>
      <w:pPr>
        <w:spacing w:line="440" w:lineRule="exact"/>
        <w:ind w:firstLine="426" w:firstLineChars="177"/>
        <w:rPr>
          <w:rFonts w:ascii="仿宋_GB2312" w:eastAsia="仿宋_GB2312" w:hAnsiTheme="minorEastAsia"/>
          <w:b/>
          <w:color w:val="FF0000"/>
          <w:sz w:val="24"/>
          <w:szCs w:val="24"/>
        </w:rPr>
      </w:pPr>
      <w:r>
        <w:rPr>
          <w:rFonts w:hint="eastAsia" w:ascii="仿宋_GB2312" w:eastAsia="仿宋_GB2312" w:hAnsiTheme="minorEastAsia"/>
          <w:b/>
          <w:color w:val="FF0000"/>
          <w:sz w:val="24"/>
          <w:szCs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szCs w:val="24"/>
        </w:rPr>
      </w:pPr>
      <w:r>
        <w:rPr>
          <w:rFonts w:hint="eastAsia" w:ascii="仿宋_GB2312" w:eastAsia="仿宋_GB2312" w:hAnsiTheme="minorEastAsia"/>
          <w:b/>
          <w:color w:val="FF0000"/>
          <w:sz w:val="24"/>
          <w:szCs w:val="24"/>
        </w:rPr>
        <w:t>投标供应商涉嫌存在串通投标等违法行为的，将书面报告财政主管部门依法处理。</w:t>
      </w:r>
    </w:p>
    <w:p>
      <w:pPr>
        <w:widowControl/>
        <w:rPr>
          <w:rFonts w:cs="仿宋" w:asciiTheme="minorEastAsia" w:hAnsiTheme="minorEastAsia" w:eastAsiaTheme="minorEastAsia"/>
          <w:snapToGrid w:val="0"/>
        </w:rPr>
      </w:pPr>
    </w:p>
    <w:p>
      <w:pPr>
        <w:widowControl/>
        <w:jc w:val="left"/>
        <w:rPr>
          <w:rFonts w:cs="仿宋" w:asciiTheme="minorEastAsia" w:hAnsiTheme="minorEastAsia" w:eastAsiaTheme="minorEastAsia"/>
          <w:snapToGrid w:val="0"/>
        </w:rPr>
      </w:pPr>
      <w:r>
        <w:rPr>
          <w:rFonts w:cs="仿宋" w:asciiTheme="minorEastAsia" w:hAnsiTheme="minorEastAsia" w:eastAsiaTheme="minorEastAsia"/>
          <w:snapToGrid w:val="0"/>
        </w:rPr>
        <w:br w:type="page"/>
      </w: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b/>
          <w:snapToGrid w:val="0"/>
          <w:sz w:val="48"/>
          <w:szCs w:val="48"/>
        </w:rPr>
      </w:pPr>
      <w:r>
        <w:rPr>
          <w:rFonts w:hint="eastAsia" w:cs="仿宋" w:asciiTheme="minorEastAsia" w:hAnsiTheme="minorEastAsia" w:eastAsiaTheme="minorEastAsia"/>
          <w:b/>
          <w:snapToGrid w:val="0"/>
          <w:sz w:val="48"/>
          <w:szCs w:val="48"/>
        </w:rPr>
        <w:t>征集文件信息</w:t>
      </w:r>
    </w:p>
    <w:p>
      <w:pPr>
        <w:widowControl/>
        <w:jc w:val="left"/>
        <w:rPr>
          <w:rFonts w:cs="仿宋" w:asciiTheme="minorEastAsia" w:hAnsiTheme="minorEastAsia" w:eastAsiaTheme="minorEastAsia"/>
          <w:sz w:val="28"/>
        </w:rPr>
      </w:pPr>
    </w:p>
    <w:tbl>
      <w:tblPr>
        <w:tblStyle w:val="17"/>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项目名称</w:t>
            </w:r>
          </w:p>
        </w:tc>
        <w:tc>
          <w:tcPr>
            <w:tcW w:w="6555" w:type="dxa"/>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szCs w:val="21"/>
              </w:rPr>
              <w:t>深圳市公安局罗湖分局电动巡逻车采购项目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项目编号</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SZZZ2022-QA0333</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项目类型</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货物类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采购方式</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是否评定分离</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评审方法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定标方法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无</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中标候选供应商</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中标供应商</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bl>
    <w:p>
      <w:pPr>
        <w:widowControl/>
        <w:jc w:val="left"/>
        <w:rPr>
          <w:rFonts w:cs="仿宋" w:asciiTheme="minorEastAsia" w:hAnsiTheme="minorEastAsia" w:eastAsiaTheme="minorEastAsia"/>
          <w:b/>
          <w:sz w:val="36"/>
        </w:rPr>
      </w:pPr>
      <w:r>
        <w:rPr>
          <w:rFonts w:hint="eastAsia" w:cs="仿宋" w:asciiTheme="minorEastAsia" w:hAnsiTheme="minorEastAsia" w:eastAsiaTheme="minorEastAsia"/>
          <w:b/>
          <w:sz w:val="36"/>
        </w:rPr>
        <w:br w:type="page"/>
      </w:r>
    </w:p>
    <w:p>
      <w:pPr>
        <w:spacing w:line="360" w:lineRule="auto"/>
        <w:jc w:val="center"/>
        <w:rPr>
          <w:rFonts w:cs="仿宋" w:asciiTheme="minorEastAsia" w:hAnsiTheme="minorEastAsia" w:eastAsiaTheme="minorEastAsia"/>
          <w:b/>
          <w:sz w:val="48"/>
          <w:szCs w:val="48"/>
        </w:rPr>
      </w:pPr>
      <w:r>
        <w:rPr>
          <w:rFonts w:hint="eastAsia" w:cs="仿宋" w:asciiTheme="minorEastAsia" w:hAnsiTheme="minorEastAsia" w:eastAsiaTheme="minorEastAsia"/>
          <w:b/>
          <w:sz w:val="48"/>
          <w:szCs w:val="48"/>
        </w:rPr>
        <w:t>征集文件目录</w:t>
      </w:r>
    </w:p>
    <w:p>
      <w:pPr>
        <w:jc w:val="center"/>
        <w:rPr>
          <w:rFonts w:cs="仿宋" w:asciiTheme="minorEastAsia" w:hAnsiTheme="minorEastAsia" w:eastAsiaTheme="minorEastAsia"/>
          <w:b/>
          <w:sz w:val="20"/>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第一部分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投标须知前附表及评审信息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第二部分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第三部分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格式1 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格式2 投标供应商资格证明文件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格式6 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格式7 交付进度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格式8 售后服务和质量承诺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格式9 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格式10 其他征集文件要求的资料或投标供应商认为需要补充的资料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第四部分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第五部分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通用条款（投标须知）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A、说明；B、征集文件说明；C、投标文件的编写；</w:t>
            </w:r>
          </w:p>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D、投标文件递交；E、开标和评审；F、授予合同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sz w:val="24"/>
              </w:rPr>
            </w:pPr>
            <w:r>
              <w:rPr>
                <w:rFonts w:hint="eastAsia" w:ascii="仿宋_GB2312" w:eastAsia="仿宋_GB2312" w:cs="仿宋" w:hAnsiTheme="minorEastAsia"/>
                <w:b/>
                <w:sz w:val="24"/>
              </w:rPr>
              <w:t>第六部分</w:t>
            </w:r>
          </w:p>
        </w:tc>
        <w:tc>
          <w:tcPr>
            <w:tcW w:w="6996" w:type="dxa"/>
            <w:vAlign w:val="center"/>
          </w:tcPr>
          <w:p>
            <w:pPr>
              <w:widowControl/>
              <w:spacing w:line="360" w:lineRule="auto"/>
              <w:rPr>
                <w:rFonts w:ascii="仿宋_GB2312" w:eastAsia="仿宋_GB2312" w:cs="仿宋" w:hAnsiTheme="minorEastAsia"/>
                <w:b/>
                <w:sz w:val="24"/>
              </w:rPr>
            </w:pPr>
            <w:r>
              <w:rPr>
                <w:rFonts w:hint="eastAsia" w:ascii="仿宋_GB2312" w:eastAsia="仿宋_GB2312" w:cs="仿宋" w:hAnsiTheme="minorEastAsia"/>
                <w:b/>
                <w:sz w:val="24"/>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spacing w:line="360" w:lineRule="auto"/>
              <w:rPr>
                <w:rFonts w:ascii="仿宋_GB2312" w:eastAsia="仿宋_GB2312" w:cs="仿宋" w:hAnsiTheme="minorEastAsia"/>
                <w:sz w:val="24"/>
              </w:rPr>
            </w:pPr>
            <w:r>
              <w:rPr>
                <w:rFonts w:hint="eastAsia" w:ascii="仿宋_GB2312" w:eastAsia="仿宋_GB2312" w:cs="仿宋" w:hAnsiTheme="minorEastAsia"/>
                <w:sz w:val="24"/>
              </w:rPr>
              <w:t>附件</w:t>
            </w:r>
            <w:bookmarkStart w:id="0" w:name="_Hlt229371809"/>
            <w:r>
              <w:rPr>
                <w:rFonts w:hint="eastAsia" w:ascii="仿宋_GB2312" w:eastAsia="仿宋_GB2312" w:cs="仿宋" w:hAnsiTheme="minorEastAsia"/>
                <w:sz w:val="24"/>
              </w:rPr>
              <w:t>1</w:t>
            </w:r>
            <w:bookmarkEnd w:id="0"/>
            <w:r>
              <w:rPr>
                <w:rFonts w:hint="eastAsia" w:ascii="仿宋_GB2312" w:eastAsia="仿宋_GB2312" w:cs="仿宋" w:hAnsiTheme="minorEastAsia"/>
                <w:sz w:val="24"/>
              </w:rPr>
              <w:t xml:space="preserve">  履</w:t>
            </w:r>
            <w:bookmarkStart w:id="1" w:name="_Hlt358023691"/>
            <w:r>
              <w:rPr>
                <w:rFonts w:hint="eastAsia" w:ascii="仿宋_GB2312" w:eastAsia="仿宋_GB2312" w:cs="仿宋" w:hAnsiTheme="minorEastAsia"/>
                <w:sz w:val="24"/>
              </w:rPr>
              <w:t>约</w:t>
            </w:r>
            <w:bookmarkEnd w:id="1"/>
            <w:r>
              <w:rPr>
                <w:rFonts w:hint="eastAsia" w:ascii="仿宋_GB2312" w:eastAsia="仿宋_GB2312" w:cs="仿宋" w:hAnsiTheme="minorEastAsia"/>
                <w:sz w:val="24"/>
              </w:rPr>
              <w:t>保</w:t>
            </w:r>
            <w:bookmarkStart w:id="2" w:name="_Hlt356375839"/>
            <w:bookmarkStart w:id="3" w:name="_Hlt356375840"/>
            <w:r>
              <w:rPr>
                <w:rFonts w:hint="eastAsia" w:ascii="仿宋_GB2312" w:eastAsia="仿宋_GB2312" w:cs="仿宋" w:hAnsiTheme="minorEastAsia"/>
                <w:sz w:val="24"/>
              </w:rPr>
              <w:t>证</w:t>
            </w:r>
            <w:bookmarkEnd w:id="2"/>
            <w:bookmarkEnd w:id="3"/>
            <w:r>
              <w:rPr>
                <w:rFonts w:hint="eastAsia" w:ascii="仿宋_GB2312" w:eastAsia="仿宋_GB2312" w:cs="仿宋" w:hAnsiTheme="minorEastAsia"/>
                <w:sz w:val="24"/>
              </w:rPr>
              <w:t>金</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left"/>
        <w:rPr>
          <w:rFonts w:cs="仿宋" w:asciiTheme="minorEastAsia" w:hAnsiTheme="minorEastAsia" w:eastAsiaTheme="minorEastAsia"/>
        </w:rPr>
      </w:pPr>
    </w:p>
    <w:p>
      <w:pPr>
        <w:rPr>
          <w:rFonts w:cs="仿宋" w:asciiTheme="minorEastAsia" w:hAnsiTheme="minorEastAsia" w:eastAsiaTheme="minorEastAsia"/>
        </w:rPr>
      </w:pPr>
    </w:p>
    <w:p>
      <w:pPr>
        <w:pStyle w:val="4"/>
        <w:keepNext w:val="0"/>
        <w:rPr>
          <w:rFonts w:cs="仿宋" w:asciiTheme="minorEastAsia" w:hAnsiTheme="minorEastAsia" w:eastAsiaTheme="minorEastAsia"/>
          <w:b/>
          <w:snapToGrid w:val="0"/>
          <w:color w:val="auto"/>
          <w:kern w:val="0"/>
          <w:sz w:val="72"/>
        </w:rPr>
      </w:pPr>
    </w:p>
    <w:p>
      <w:pPr>
        <w:pStyle w:val="4"/>
        <w:keepNext w:val="0"/>
        <w:rPr>
          <w:rFonts w:cs="仿宋" w:asciiTheme="minorEastAsia" w:hAnsiTheme="minorEastAsia" w:eastAsiaTheme="minorEastAsia"/>
          <w:b/>
          <w:snapToGrid w:val="0"/>
          <w:color w:val="auto"/>
          <w:kern w:val="0"/>
          <w:sz w:val="72"/>
        </w:rPr>
      </w:pPr>
    </w:p>
    <w:p>
      <w:pPr>
        <w:pStyle w:val="4"/>
        <w:keepNext w:val="0"/>
        <w:rPr>
          <w:rFonts w:cs="仿宋" w:asciiTheme="minorEastAsia" w:hAnsiTheme="minorEastAsia" w:eastAsiaTheme="minorEastAsia"/>
          <w:b/>
          <w:snapToGrid w:val="0"/>
          <w:color w:val="auto"/>
          <w:kern w:val="0"/>
          <w:sz w:val="72"/>
        </w:rPr>
      </w:pPr>
    </w:p>
    <w:p>
      <w:pPr>
        <w:pStyle w:val="4"/>
        <w:keepNext w:val="0"/>
        <w:rPr>
          <w:rFonts w:cs="仿宋" w:asciiTheme="minorEastAsia" w:hAnsiTheme="minorEastAsia" w:eastAsiaTheme="minorEastAsia"/>
          <w:b/>
          <w:snapToGrid w:val="0"/>
          <w:color w:val="auto"/>
          <w:kern w:val="0"/>
          <w:sz w:val="72"/>
        </w:rPr>
      </w:pPr>
    </w:p>
    <w:p>
      <w:pPr>
        <w:pStyle w:val="4"/>
        <w:keepNext w:val="0"/>
        <w:rPr>
          <w:rFonts w:cs="仿宋" w:asciiTheme="minorEastAsia" w:hAnsiTheme="minorEastAsia" w:eastAsiaTheme="minorEastAsia"/>
          <w:b/>
          <w:snapToGrid w:val="0"/>
          <w:color w:val="auto"/>
          <w:kern w:val="0"/>
          <w:sz w:val="72"/>
        </w:rPr>
      </w:pPr>
    </w:p>
    <w:p>
      <w:pPr>
        <w:pStyle w:val="4"/>
        <w:keepNext w:val="0"/>
        <w:rPr>
          <w:rFonts w:cs="仿宋" w:asciiTheme="minorEastAsia" w:hAnsiTheme="minorEastAsia" w:eastAsiaTheme="minorEastAsia"/>
          <w:b/>
          <w:snapToGrid w:val="0"/>
          <w:color w:val="auto"/>
          <w:kern w:val="0"/>
          <w:sz w:val="72"/>
        </w:rPr>
      </w:pPr>
      <w:r>
        <w:rPr>
          <w:rFonts w:hint="eastAsia" w:cs="仿宋" w:asciiTheme="minorEastAsia" w:hAnsiTheme="minorEastAsia" w:eastAsiaTheme="minorEastAsia"/>
          <w:b/>
          <w:snapToGrid w:val="0"/>
          <w:color w:val="auto"/>
          <w:kern w:val="0"/>
          <w:sz w:val="96"/>
        </w:rPr>
        <w:t>采购公告</w:t>
      </w:r>
    </w:p>
    <w:p>
      <w:pPr>
        <w:rPr>
          <w:rFonts w:cs="仿宋" w:asciiTheme="minorEastAsia" w:hAnsiTheme="minorEastAsia" w:eastAsiaTheme="minorEastAsia"/>
          <w:snapToGrid w:val="0"/>
          <w:kern w:val="0"/>
          <w:szCs w:val="20"/>
        </w:rPr>
      </w:pPr>
      <w:r>
        <w:rPr>
          <w:rFonts w:hint="eastAsia" w:cs="仿宋" w:asciiTheme="minorEastAsia" w:hAnsiTheme="minorEastAsia" w:eastAsiaTheme="minorEastAsia"/>
          <w:snapToGrid w:val="0"/>
          <w:kern w:val="0"/>
        </w:rPr>
        <w:br w:type="page"/>
      </w:r>
    </w:p>
    <w:p>
      <w:pPr>
        <w:jc w:val="center"/>
        <w:rPr>
          <w:rFonts w:ascii="仿宋_GB2312" w:hAnsi="黑体" w:eastAsia="仿宋_GB2312" w:cs="仿宋"/>
          <w:b/>
          <w:bCs/>
          <w:snapToGrid w:val="0"/>
          <w:kern w:val="0"/>
          <w:sz w:val="32"/>
          <w:szCs w:val="32"/>
        </w:rPr>
      </w:pPr>
      <w:r>
        <w:rPr>
          <w:rFonts w:hint="eastAsia" w:ascii="仿宋_GB2312" w:hAnsi="黑体" w:eastAsia="仿宋_GB2312" w:cs="仿宋"/>
          <w:b/>
          <w:bCs/>
          <w:snapToGrid w:val="0"/>
          <w:kern w:val="0"/>
          <w:sz w:val="32"/>
          <w:szCs w:val="32"/>
        </w:rPr>
        <w:t>深圳市公安局罗湖分局电动巡逻车采购项目项目采购公告</w:t>
      </w:r>
    </w:p>
    <w:p>
      <w:pPr>
        <w:spacing w:line="360" w:lineRule="auto"/>
        <w:rPr>
          <w:rFonts w:cs="仿宋" w:asciiTheme="minorEastAsia" w:hAnsiTheme="minorEastAsia" w:eastAsiaTheme="minorEastAsia"/>
          <w:b/>
          <w:sz w:val="24"/>
          <w:szCs w:val="24"/>
        </w:rPr>
      </w:pPr>
    </w:p>
    <w:p>
      <w:pPr>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一、项目概况</w:t>
      </w:r>
    </w:p>
    <w:p>
      <w:pPr>
        <w:spacing w:line="360" w:lineRule="auto"/>
        <w:ind w:firstLine="424" w:firstLineChars="202"/>
        <w:rPr>
          <w:rFonts w:cs="仿宋" w:asciiTheme="minorEastAsia" w:hAnsiTheme="minorEastAsia" w:eastAsiaTheme="minorEastAsia"/>
          <w:bCs/>
          <w:szCs w:val="21"/>
        </w:rPr>
      </w:pPr>
      <w:r>
        <w:rPr>
          <w:rFonts w:hint="eastAsia" w:cs="仿宋" w:asciiTheme="minorEastAsia" w:hAnsiTheme="minorEastAsia" w:eastAsiaTheme="minorEastAsia"/>
          <w:bCs/>
          <w:szCs w:val="21"/>
          <w:u w:val="single"/>
        </w:rPr>
        <w:t>深圳市公安局罗湖分局电动巡逻车采购项目</w:t>
      </w:r>
      <w:r>
        <w:rPr>
          <w:rFonts w:hint="eastAsia" w:cs="仿宋" w:asciiTheme="minorEastAsia" w:hAnsiTheme="minorEastAsia" w:eastAsiaTheme="minorEastAsia"/>
          <w:bCs/>
          <w:szCs w:val="21"/>
        </w:rPr>
        <w:t>项目</w:t>
      </w:r>
      <w:r>
        <w:rPr>
          <w:rFonts w:hint="eastAsia" w:cs="仿宋" w:asciiTheme="minorEastAsia" w:hAnsiTheme="minorEastAsia" w:eastAsiaTheme="minorEastAsia"/>
          <w:szCs w:val="21"/>
        </w:rPr>
        <w:t>的潜在投标供应商应在</w:t>
      </w:r>
      <w:r>
        <w:rPr>
          <w:rFonts w:hint="eastAsia" w:cs="仿宋" w:asciiTheme="minorEastAsia" w:hAnsiTheme="minorEastAsia" w:eastAsiaTheme="minorEastAsia"/>
          <w:szCs w:val="21"/>
          <w:u w:val="single"/>
        </w:rPr>
        <w:t>深圳市中正招标有限公司</w:t>
      </w:r>
      <w:r>
        <w:rPr>
          <w:rFonts w:hint="eastAsia" w:cs="仿宋" w:asciiTheme="minorEastAsia" w:hAnsiTheme="minorEastAsia" w:eastAsiaTheme="minorEastAsia"/>
          <w:szCs w:val="21"/>
        </w:rPr>
        <w:t>获取征集文件，并于</w:t>
      </w:r>
      <w:r>
        <w:rPr>
          <w:rFonts w:hint="eastAsia" w:cs="仿宋" w:asciiTheme="minorEastAsia" w:hAnsiTheme="minorEastAsia" w:eastAsiaTheme="minorEastAsia"/>
          <w:szCs w:val="21"/>
          <w:u w:val="single"/>
        </w:rPr>
        <w:t>2022</w:t>
      </w:r>
      <w:r>
        <w:rPr>
          <w:rFonts w:hint="eastAsia" w:cs="仿宋" w:asciiTheme="minorEastAsia" w:hAnsiTheme="minorEastAsia" w:eastAsiaTheme="minorEastAsia"/>
          <w:bCs/>
          <w:szCs w:val="21"/>
        </w:rPr>
        <w:t>年</w:t>
      </w:r>
      <w:r>
        <w:rPr>
          <w:rFonts w:hint="eastAsia" w:cs="仿宋" w:asciiTheme="minorEastAsia" w:hAnsiTheme="minorEastAsia" w:eastAsiaTheme="minorEastAsia"/>
          <w:bCs/>
          <w:szCs w:val="21"/>
          <w:u w:val="single"/>
          <w:lang w:val="en-US" w:eastAsia="zh-CN"/>
        </w:rPr>
        <w:t>11</w:t>
      </w:r>
      <w:r>
        <w:rPr>
          <w:rFonts w:hint="eastAsia" w:cs="仿宋" w:asciiTheme="minorEastAsia" w:hAnsiTheme="minorEastAsia" w:eastAsiaTheme="minorEastAsia"/>
          <w:bCs/>
          <w:szCs w:val="21"/>
        </w:rPr>
        <w:t>月</w:t>
      </w:r>
      <w:r>
        <w:rPr>
          <w:rFonts w:hint="eastAsia" w:cs="仿宋" w:asciiTheme="minorEastAsia" w:hAnsiTheme="minorEastAsia" w:eastAsiaTheme="minorEastAsia"/>
          <w:bCs/>
          <w:szCs w:val="21"/>
          <w:u w:val="single"/>
          <w:lang w:val="en-US" w:eastAsia="zh-CN"/>
        </w:rPr>
        <w:t>24</w:t>
      </w:r>
      <w:r>
        <w:rPr>
          <w:rFonts w:hint="eastAsia" w:cs="仿宋" w:asciiTheme="minorEastAsia" w:hAnsiTheme="minorEastAsia" w:eastAsiaTheme="minorEastAsia"/>
          <w:bCs/>
          <w:szCs w:val="21"/>
        </w:rPr>
        <w:t>日</w:t>
      </w:r>
      <w:r>
        <w:rPr>
          <w:rFonts w:hint="eastAsia" w:cs="仿宋" w:asciiTheme="minorEastAsia" w:hAnsiTheme="minorEastAsia" w:eastAsiaTheme="minorEastAsia"/>
          <w:bCs/>
          <w:szCs w:val="21"/>
          <w:u w:val="single"/>
          <w:lang w:val="en-US" w:eastAsia="zh-CN"/>
        </w:rPr>
        <w:t>10</w:t>
      </w:r>
      <w:r>
        <w:rPr>
          <w:rFonts w:hint="eastAsia" w:cs="仿宋" w:asciiTheme="minorEastAsia" w:hAnsiTheme="minorEastAsia" w:eastAsiaTheme="minorEastAsia"/>
          <w:bCs/>
          <w:szCs w:val="21"/>
        </w:rPr>
        <w:t>点</w:t>
      </w:r>
      <w:r>
        <w:rPr>
          <w:rFonts w:hint="eastAsia" w:cs="仿宋" w:asciiTheme="minorEastAsia" w:hAnsiTheme="minorEastAsia" w:eastAsiaTheme="minorEastAsia"/>
          <w:bCs/>
          <w:szCs w:val="21"/>
          <w:u w:val="single"/>
        </w:rPr>
        <w:t>00</w:t>
      </w:r>
      <w:r>
        <w:rPr>
          <w:rFonts w:hint="eastAsia" w:cs="仿宋" w:asciiTheme="minorEastAsia" w:hAnsiTheme="minorEastAsia" w:eastAsiaTheme="minorEastAsia"/>
          <w:bCs/>
          <w:szCs w:val="21"/>
        </w:rPr>
        <w:t>分（北京时间）前递交投标文件。</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二、项目基本情况</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1、项目编号：SZZZ2022-QA0333</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2、项目名称：深圳市公安局罗湖分局电动巡逻车采购项目</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3、预算金额：人民币99.84万元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4、最高限价：人民币99.84万元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5、采购方式：公开征集</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6、采购需求：</w:t>
      </w:r>
    </w:p>
    <w:tbl>
      <w:tblPr>
        <w:tblStyle w:val="16"/>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4388"/>
        <w:gridCol w:w="934"/>
        <w:gridCol w:w="2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序号</w:t>
            </w:r>
          </w:p>
        </w:tc>
        <w:tc>
          <w:tcPr>
            <w:tcW w:w="2574"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标的名称</w:t>
            </w:r>
          </w:p>
        </w:tc>
        <w:tc>
          <w:tcPr>
            <w:tcW w:w="548"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数量</w:t>
            </w:r>
          </w:p>
        </w:tc>
        <w:tc>
          <w:tcPr>
            <w:tcW w:w="1189" w:type="pct"/>
            <w:shd w:val="clear" w:color="auto" w:fill="C6D9F1"/>
            <w:vAlign w:val="center"/>
          </w:tcPr>
          <w:p>
            <w:pPr>
              <w:spacing w:line="36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6"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1</w:t>
            </w:r>
          </w:p>
        </w:tc>
        <w:tc>
          <w:tcPr>
            <w:tcW w:w="2574"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深圳市公安局罗湖分局电动巡逻车采购项目</w:t>
            </w:r>
          </w:p>
        </w:tc>
        <w:tc>
          <w:tcPr>
            <w:tcW w:w="548" w:type="pct"/>
            <w:vAlign w:val="center"/>
          </w:tcPr>
          <w:p>
            <w:pPr>
              <w:spacing w:line="360" w:lineRule="auto"/>
              <w:jc w:val="center"/>
              <w:rPr>
                <w:rFonts w:cs="仿宋" w:asciiTheme="minorEastAsia" w:hAnsiTheme="minorEastAsia" w:eastAsiaTheme="minorEastAsia"/>
                <w:bCs/>
                <w:szCs w:val="21"/>
              </w:rPr>
            </w:pPr>
            <w:r>
              <w:rPr>
                <w:rFonts w:cs="仿宋" w:asciiTheme="minorEastAsia" w:hAnsiTheme="minorEastAsia" w:eastAsiaTheme="minorEastAsia"/>
                <w:bCs/>
                <w:szCs w:val="21"/>
              </w:rPr>
              <w:t>13</w:t>
            </w:r>
            <w:r>
              <w:rPr>
                <w:rFonts w:hint="eastAsia" w:cs="仿宋" w:asciiTheme="minorEastAsia" w:hAnsiTheme="minorEastAsia" w:eastAsiaTheme="minorEastAsia"/>
                <w:bCs/>
                <w:szCs w:val="21"/>
              </w:rPr>
              <w:t>辆</w:t>
            </w:r>
          </w:p>
        </w:tc>
        <w:tc>
          <w:tcPr>
            <w:tcW w:w="1189" w:type="pct"/>
            <w:vAlign w:val="center"/>
          </w:tcPr>
          <w:p>
            <w:pPr>
              <w:spacing w:line="360" w:lineRule="auto"/>
              <w:jc w:val="center"/>
              <w:rPr>
                <w:rFonts w:cs="仿宋" w:asciiTheme="minorEastAsia" w:hAnsiTheme="minorEastAsia" w:eastAsiaTheme="minorEastAsia"/>
                <w:bCs/>
                <w:szCs w:val="21"/>
              </w:rPr>
            </w:pPr>
            <w:r>
              <w:rPr>
                <w:rFonts w:hint="eastAsia" w:cs="仿宋" w:asciiTheme="minorEastAsia" w:hAnsiTheme="minorEastAsia" w:eastAsiaTheme="minorEastAsia"/>
                <w:bCs/>
                <w:szCs w:val="21"/>
              </w:rPr>
              <w:t>详见附件内容</w:t>
            </w:r>
          </w:p>
        </w:tc>
      </w:tr>
    </w:tbl>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7、合同履行期限：详见征集文件。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8、是否联合体：本项目不接受联合体投标。</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三、申请人的资格要求</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1、须是在中华人民共和国境内注册的法人或其他组织【须提供合法有效的营业执照或法人证书等证明材料的扫描件或复印件加盖投标供应商公章，原件备查】；</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2、参与本项目的投标供应商须满足《中华人民共和国政府采购法》第二十二条规定【由投标供应商按征集文件规定的格式在《承诺函》中作出声明】；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3、参与本项目采购活动前三年内，在经营活动中没有重大违法记录【由投标供应商按征集文件规定的格式在《承诺函》中作出声明】；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4、参与本项目政府采购活动时不存在被有关部门禁止参与政府采购活动且在有效期内的情况【由投标供应商按征集文件规定的格式在《承诺函》中作出声明】；</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5、除单一来源采购项目外，为采购项目提供整体设计、规范编制或者项目管理、监理、检测等服务的供应商，不得再参加该采购项目的其他采购活动【须按本项目征集文件格式要求提供《承诺函》加盖投标供应商公章】；</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6、单位负责人为同一人或者存在直接控股、管理关系的不同投标供应商，不得参加同一合同项下的采购活动【须</w:t>
      </w:r>
      <w:r>
        <w:rPr>
          <w:rFonts w:hint="eastAsia" w:asciiTheme="minorEastAsia" w:hAnsiTheme="minorEastAsia" w:eastAsiaTheme="minorEastAsia"/>
          <w:snapToGrid w:val="0"/>
        </w:rPr>
        <w:t>提供国家企业信用信息公示系统（https://www.gsxt.gov.cn/index.html）或机关赋码和事业单位登记管理网（http://www.gjsy.gov.cn/sydwfrxxcx/）或全国社会组织信用信息公示平台（https://xxgs.chinanpo.mca.gov.cn/gsxt/newList）网站供应商信息查询截图，并</w:t>
      </w:r>
      <w:r>
        <w:rPr>
          <w:rFonts w:hint="eastAsia" w:cs="仿宋" w:asciiTheme="minorEastAsia" w:hAnsiTheme="minorEastAsia" w:eastAsiaTheme="minorEastAsia"/>
          <w:bCs/>
          <w:szCs w:val="21"/>
        </w:rPr>
        <w:t>按本项目征集文件格式要求提供《承诺函》加盖投标供应商公章】；</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7、参与本项目的投标供应商未被列入失信被执行人、重大税收违法案件当事人名单和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http://zfcg.sz.gov.cn）为信用信息查询渠道。投标供应商自行查询并提供查询结果截图，查询时间为本项目采购公告发布之日起至投标截止时间前】；</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8、本项目不接受联合体投标，不允许分包或转包；</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9、本项目不接受进口产品投标（进口产品是指通过中国海关报关验放进入中国境内且产自关境外的产品，相关内容以“财库【2007】119号文”和“财办库【2008】248号文”的相关规定为准）。</w:t>
      </w:r>
    </w:p>
    <w:p>
      <w:pPr>
        <w:pStyle w:val="2"/>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四、获取征集文件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
          <w:bCs/>
          <w:szCs w:val="21"/>
          <w:highlight w:val="none"/>
          <w:u w:val="single"/>
        </w:rPr>
        <w:t>2022</w:t>
      </w:r>
      <w:r>
        <w:rPr>
          <w:rFonts w:hint="eastAsia" w:cs="仿宋" w:asciiTheme="minorEastAsia" w:hAnsiTheme="minorEastAsia" w:eastAsiaTheme="minorEastAsia"/>
          <w:b/>
          <w:bCs/>
          <w:szCs w:val="21"/>
          <w:highlight w:val="none"/>
        </w:rPr>
        <w:t>年</w:t>
      </w:r>
      <w:r>
        <w:rPr>
          <w:rFonts w:hint="eastAsia" w:cs="仿宋" w:asciiTheme="minorEastAsia" w:hAnsiTheme="minorEastAsia" w:eastAsiaTheme="minorEastAsia"/>
          <w:b/>
          <w:bCs/>
          <w:szCs w:val="21"/>
          <w:highlight w:val="none"/>
          <w:u w:val="single"/>
          <w:lang w:val="en-US" w:eastAsia="zh-CN"/>
        </w:rPr>
        <w:t>11</w:t>
      </w:r>
      <w:r>
        <w:rPr>
          <w:rFonts w:hint="eastAsia" w:cs="仿宋" w:asciiTheme="minorEastAsia" w:hAnsiTheme="minorEastAsia" w:eastAsiaTheme="minorEastAsia"/>
          <w:b/>
          <w:bCs/>
          <w:szCs w:val="21"/>
          <w:highlight w:val="none"/>
        </w:rPr>
        <w:t>月</w:t>
      </w:r>
      <w:r>
        <w:rPr>
          <w:rFonts w:hint="eastAsia" w:cs="仿宋" w:asciiTheme="minorEastAsia" w:hAnsiTheme="minorEastAsia" w:eastAsiaTheme="minorEastAsia"/>
          <w:b/>
          <w:bCs/>
          <w:szCs w:val="21"/>
          <w:highlight w:val="none"/>
          <w:u w:val="single"/>
          <w:lang w:val="en-US" w:eastAsia="zh-CN"/>
        </w:rPr>
        <w:t>16</w:t>
      </w:r>
      <w:r>
        <w:rPr>
          <w:rFonts w:hint="eastAsia" w:cs="仿宋" w:asciiTheme="minorEastAsia" w:hAnsiTheme="minorEastAsia" w:eastAsiaTheme="minorEastAsia"/>
          <w:b/>
          <w:bCs/>
          <w:szCs w:val="21"/>
          <w:highlight w:val="none"/>
        </w:rPr>
        <w:t>日至</w:t>
      </w:r>
      <w:r>
        <w:rPr>
          <w:rFonts w:hint="eastAsia" w:cs="仿宋" w:asciiTheme="minorEastAsia" w:hAnsiTheme="minorEastAsia" w:eastAsiaTheme="minorEastAsia"/>
          <w:b/>
          <w:bCs/>
          <w:szCs w:val="21"/>
          <w:highlight w:val="none"/>
          <w:u w:val="single"/>
        </w:rPr>
        <w:t>2022</w:t>
      </w:r>
      <w:r>
        <w:rPr>
          <w:rFonts w:hint="eastAsia" w:cs="仿宋" w:asciiTheme="minorEastAsia" w:hAnsiTheme="minorEastAsia" w:eastAsiaTheme="minorEastAsia"/>
          <w:b/>
          <w:bCs/>
          <w:szCs w:val="21"/>
          <w:highlight w:val="none"/>
        </w:rPr>
        <w:t>年</w:t>
      </w:r>
      <w:r>
        <w:rPr>
          <w:rFonts w:hint="eastAsia" w:cs="仿宋" w:asciiTheme="minorEastAsia" w:hAnsiTheme="minorEastAsia" w:eastAsiaTheme="minorEastAsia"/>
          <w:b/>
          <w:bCs/>
          <w:szCs w:val="21"/>
          <w:highlight w:val="none"/>
          <w:u w:val="single"/>
          <w:lang w:val="en-US" w:eastAsia="zh-CN"/>
        </w:rPr>
        <w:t>11</w:t>
      </w:r>
      <w:r>
        <w:rPr>
          <w:rFonts w:hint="eastAsia" w:cs="仿宋" w:asciiTheme="minorEastAsia" w:hAnsiTheme="minorEastAsia" w:eastAsiaTheme="minorEastAsia"/>
          <w:b/>
          <w:bCs/>
          <w:szCs w:val="21"/>
          <w:highlight w:val="none"/>
        </w:rPr>
        <w:t>月</w:t>
      </w:r>
      <w:r>
        <w:rPr>
          <w:rFonts w:hint="eastAsia" w:cs="仿宋" w:asciiTheme="minorEastAsia" w:hAnsiTheme="minorEastAsia" w:eastAsiaTheme="minorEastAsia"/>
          <w:b/>
          <w:bCs/>
          <w:szCs w:val="21"/>
          <w:highlight w:val="none"/>
          <w:u w:val="single"/>
          <w:lang w:val="en-US" w:eastAsia="zh-CN"/>
        </w:rPr>
        <w:t>23</w:t>
      </w:r>
      <w:r>
        <w:rPr>
          <w:rFonts w:hint="eastAsia" w:cs="仿宋" w:asciiTheme="minorEastAsia" w:hAnsiTheme="minorEastAsia" w:eastAsiaTheme="minorEastAsia"/>
          <w:b/>
          <w:bCs/>
          <w:szCs w:val="21"/>
          <w:highlight w:val="none"/>
        </w:rPr>
        <w:t>日</w:t>
      </w:r>
      <w:r>
        <w:rPr>
          <w:rFonts w:hint="eastAsia" w:cs="仿宋" w:asciiTheme="minorEastAsia" w:hAnsiTheme="minorEastAsia" w:eastAsiaTheme="minorEastAsia"/>
          <w:b/>
          <w:bCs/>
          <w:szCs w:val="21"/>
          <w:highlight w:val="none"/>
          <w:u w:val="single"/>
          <w:lang w:val="en-US" w:eastAsia="zh-CN"/>
        </w:rPr>
        <w:t>12</w:t>
      </w:r>
      <w:r>
        <w:rPr>
          <w:rFonts w:hint="eastAsia" w:cs="仿宋" w:asciiTheme="minorEastAsia" w:hAnsiTheme="minorEastAsia" w:eastAsiaTheme="minorEastAsia"/>
          <w:b/>
          <w:bCs/>
          <w:szCs w:val="21"/>
          <w:highlight w:val="none"/>
          <w:lang w:val="en-US" w:eastAsia="zh-CN"/>
        </w:rPr>
        <w:t>时</w:t>
      </w:r>
      <w:r>
        <w:rPr>
          <w:rFonts w:hint="eastAsia" w:cs="仿宋" w:asciiTheme="minorEastAsia" w:hAnsiTheme="minorEastAsia" w:eastAsiaTheme="minorEastAsia"/>
          <w:b/>
          <w:bCs/>
          <w:szCs w:val="21"/>
          <w:highlight w:val="none"/>
          <w:u w:val="single"/>
          <w:lang w:val="en-US" w:eastAsia="zh-CN"/>
        </w:rPr>
        <w:t>00</w:t>
      </w:r>
      <w:r>
        <w:rPr>
          <w:rFonts w:hint="eastAsia" w:cs="仿宋" w:asciiTheme="minorEastAsia" w:hAnsiTheme="minorEastAsia" w:eastAsiaTheme="minorEastAsia"/>
          <w:b/>
          <w:bCs/>
          <w:szCs w:val="21"/>
          <w:highlight w:val="none"/>
          <w:lang w:val="en-US" w:eastAsia="zh-CN"/>
        </w:rPr>
        <w:t>分</w:t>
      </w:r>
      <w:r>
        <w:rPr>
          <w:rFonts w:hint="eastAsia" w:cs="仿宋" w:asciiTheme="minorEastAsia" w:hAnsiTheme="minorEastAsia" w:eastAsiaTheme="minorEastAsia"/>
          <w:b/>
          <w:bCs/>
          <w:szCs w:val="21"/>
          <w:highlight w:val="none"/>
        </w:rPr>
        <w:t>截止截止</w:t>
      </w:r>
      <w:r>
        <w:rPr>
          <w:rFonts w:hint="eastAsia" w:cs="仿宋" w:asciiTheme="minorEastAsia" w:hAnsiTheme="minorEastAsia" w:eastAsiaTheme="minorEastAsia"/>
          <w:bCs/>
          <w:szCs w:val="21"/>
          <w:highlight w:val="none"/>
        </w:rPr>
        <w:t>，每</w:t>
      </w:r>
      <w:r>
        <w:rPr>
          <w:rFonts w:hint="eastAsia" w:cs="仿宋" w:asciiTheme="minorEastAsia" w:hAnsiTheme="minorEastAsia" w:eastAsiaTheme="minorEastAsia"/>
          <w:bCs/>
          <w:szCs w:val="21"/>
        </w:rPr>
        <w:t>天上午</w:t>
      </w:r>
      <w:r>
        <w:rPr>
          <w:rFonts w:hint="eastAsia" w:cs="仿宋" w:asciiTheme="minorEastAsia" w:hAnsiTheme="minorEastAsia" w:eastAsiaTheme="minorEastAsia"/>
          <w:bCs/>
          <w:szCs w:val="21"/>
          <w:u w:val="single"/>
        </w:rPr>
        <w:t>09</w:t>
      </w:r>
      <w:r>
        <w:rPr>
          <w:rFonts w:hint="eastAsia" w:cs="仿宋" w:asciiTheme="minorEastAsia" w:hAnsiTheme="minorEastAsia" w:eastAsiaTheme="minorEastAsia"/>
          <w:bCs/>
          <w:szCs w:val="21"/>
        </w:rPr>
        <w:t>时至</w:t>
      </w:r>
      <w:r>
        <w:rPr>
          <w:rFonts w:hint="eastAsia" w:cs="仿宋" w:asciiTheme="minorEastAsia" w:hAnsiTheme="minorEastAsia" w:eastAsiaTheme="minorEastAsia"/>
          <w:bCs/>
          <w:szCs w:val="21"/>
          <w:u w:val="single"/>
        </w:rPr>
        <w:t>11</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分，下午</w:t>
      </w:r>
      <w:r>
        <w:rPr>
          <w:rFonts w:hint="eastAsia" w:cs="仿宋" w:asciiTheme="minorEastAsia" w:hAnsiTheme="minorEastAsia" w:eastAsiaTheme="minorEastAsia"/>
          <w:bCs/>
          <w:szCs w:val="21"/>
          <w:u w:val="single"/>
        </w:rPr>
        <w:t>02</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分至</w:t>
      </w:r>
      <w:r>
        <w:rPr>
          <w:rFonts w:hint="eastAsia" w:cs="仿宋" w:asciiTheme="minorEastAsia" w:hAnsiTheme="minorEastAsia" w:eastAsiaTheme="minorEastAsia"/>
          <w:bCs/>
          <w:szCs w:val="21"/>
          <w:u w:val="single"/>
        </w:rPr>
        <w:t>05</w:t>
      </w:r>
      <w:r>
        <w:rPr>
          <w:rFonts w:hint="eastAsia" w:cs="仿宋" w:asciiTheme="minorEastAsia" w:hAnsiTheme="minorEastAsia" w:eastAsiaTheme="minorEastAsia"/>
          <w:bCs/>
          <w:szCs w:val="21"/>
        </w:rPr>
        <w:t>时</w:t>
      </w:r>
      <w:r>
        <w:rPr>
          <w:rFonts w:hint="eastAsia" w:cs="仿宋" w:asciiTheme="minorEastAsia" w:hAnsiTheme="minorEastAsia" w:eastAsiaTheme="minorEastAsia"/>
          <w:bCs/>
          <w:szCs w:val="21"/>
          <w:u w:val="single"/>
        </w:rPr>
        <w:t>30</w:t>
      </w:r>
      <w:r>
        <w:rPr>
          <w:rFonts w:hint="eastAsia" w:cs="仿宋" w:asciiTheme="minorEastAsia" w:hAnsiTheme="minorEastAsia" w:eastAsiaTheme="minorEastAsia"/>
          <w:bCs/>
          <w:szCs w:val="21"/>
        </w:rPr>
        <w:t>分（北京时间，法定节假日除外）</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2、地点：深圳市福田区民田路171号新华保险大厦903中正招标（中正官网www.szzzt.com）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3、方式：现场报名投标或网上报名投标</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备注：① 现场报名投标：须携带营业执照复印件或扫描件和法人授权委托书原件（均</w:t>
      </w:r>
      <w:bookmarkStart w:id="13" w:name="_GoBack"/>
      <w:bookmarkEnd w:id="13"/>
      <w:r>
        <w:rPr>
          <w:rFonts w:hint="eastAsia" w:cs="仿宋" w:asciiTheme="minorEastAsia" w:hAnsiTheme="minorEastAsia" w:eastAsiaTheme="minorEastAsia"/>
          <w:bCs/>
          <w:szCs w:val="21"/>
        </w:rPr>
        <w:t>加盖公章）。</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② 网上报名投标：发送报名资料至我司邮箱进行报名登记及获取征集文件，邮箱地址：qtszzzzb@163.com。</w:t>
      </w:r>
    </w:p>
    <w:p>
      <w:pPr>
        <w:spacing w:line="360" w:lineRule="auto"/>
        <w:ind w:left="2" w:firstLine="365" w:firstLineChars="174"/>
        <w:rPr>
          <w:rFonts w:cs="仿宋" w:asciiTheme="minorEastAsia" w:hAnsiTheme="minorEastAsia" w:eastAsiaTheme="minorEastAsia"/>
          <w:bCs/>
          <w:szCs w:val="21"/>
        </w:rPr>
      </w:pPr>
      <w:r>
        <w:rPr>
          <w:rFonts w:hint="eastAsia" w:cs="仿宋" w:asciiTheme="minorEastAsia" w:hAnsiTheme="minorEastAsia" w:eastAsiaTheme="minorEastAsia"/>
          <w:bCs/>
          <w:szCs w:val="21"/>
        </w:rPr>
        <w:t>报名投标邮件需附以下资料: 1）加盖公章的《购买标书登记表》（下载地址：“www.szzzt.com”首页“下载中心”）；2）加盖公章的营业执照复印件扫描件；3）法人授权委托书扫描件；4）购买征集文件费用银行转帐凭证。报名时间以邮件发出时间为准，工作人员将在第二个工作日与报名投标资料完整的投标供应商联系。</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4、售价：人民币600元，征集文件售后不退。</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购买征集文件账号信息如下：</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银行账号：03003729353</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开户名称：深圳市中正招标有限公司</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开户银行：上海银行深圳天安支行</w:t>
      </w:r>
    </w:p>
    <w:p>
      <w:pPr>
        <w:spacing w:line="360" w:lineRule="auto"/>
        <w:ind w:firstLine="371" w:firstLineChars="177"/>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五、提交投标文件截止时间、开标时间和地点</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1、时间：</w:t>
      </w:r>
      <w:r>
        <w:rPr>
          <w:rFonts w:hint="eastAsia" w:cs="仿宋" w:asciiTheme="minorEastAsia" w:hAnsiTheme="minorEastAsia" w:eastAsiaTheme="minorEastAsia"/>
          <w:b/>
          <w:bCs/>
          <w:szCs w:val="21"/>
          <w:highlight w:val="none"/>
          <w:u w:val="single"/>
        </w:rPr>
        <w:t>2022</w:t>
      </w:r>
      <w:r>
        <w:rPr>
          <w:rFonts w:hint="eastAsia" w:cs="仿宋" w:asciiTheme="minorEastAsia" w:hAnsiTheme="minorEastAsia" w:eastAsiaTheme="minorEastAsia"/>
          <w:b/>
          <w:bCs/>
          <w:szCs w:val="21"/>
          <w:highlight w:val="none"/>
        </w:rPr>
        <w:t>年</w:t>
      </w:r>
      <w:r>
        <w:rPr>
          <w:rFonts w:hint="eastAsia" w:cs="仿宋" w:asciiTheme="minorEastAsia" w:hAnsiTheme="minorEastAsia" w:eastAsiaTheme="minorEastAsia"/>
          <w:b/>
          <w:bCs/>
          <w:szCs w:val="21"/>
          <w:highlight w:val="none"/>
          <w:u w:val="single"/>
          <w:lang w:val="en-US" w:eastAsia="zh-CN"/>
        </w:rPr>
        <w:t>11</w:t>
      </w:r>
      <w:r>
        <w:rPr>
          <w:rFonts w:hint="eastAsia" w:cs="仿宋" w:asciiTheme="minorEastAsia" w:hAnsiTheme="minorEastAsia" w:eastAsiaTheme="minorEastAsia"/>
          <w:b/>
          <w:bCs/>
          <w:szCs w:val="21"/>
          <w:highlight w:val="none"/>
        </w:rPr>
        <w:t>月</w:t>
      </w:r>
      <w:r>
        <w:rPr>
          <w:rFonts w:hint="eastAsia" w:cs="仿宋" w:asciiTheme="minorEastAsia" w:hAnsiTheme="minorEastAsia" w:eastAsiaTheme="minorEastAsia"/>
          <w:b/>
          <w:bCs/>
          <w:szCs w:val="21"/>
          <w:highlight w:val="none"/>
          <w:u w:val="single"/>
          <w:lang w:val="en-US" w:eastAsia="zh-CN"/>
        </w:rPr>
        <w:t>24</w:t>
      </w:r>
      <w:r>
        <w:rPr>
          <w:rFonts w:hint="eastAsia" w:cs="仿宋" w:asciiTheme="minorEastAsia" w:hAnsiTheme="minorEastAsia" w:eastAsiaTheme="minorEastAsia"/>
          <w:b/>
          <w:bCs/>
          <w:szCs w:val="21"/>
          <w:highlight w:val="none"/>
        </w:rPr>
        <w:t>日</w:t>
      </w:r>
      <w:r>
        <w:rPr>
          <w:rFonts w:hint="eastAsia" w:cs="仿宋" w:asciiTheme="minorEastAsia" w:hAnsiTheme="minorEastAsia" w:eastAsiaTheme="minorEastAsia"/>
          <w:b/>
          <w:bCs/>
          <w:szCs w:val="21"/>
          <w:highlight w:val="none"/>
          <w:u w:val="single"/>
          <w:lang w:val="en-US" w:eastAsia="zh-CN"/>
        </w:rPr>
        <w:t>10</w:t>
      </w:r>
      <w:r>
        <w:rPr>
          <w:rFonts w:hint="eastAsia" w:cs="仿宋" w:asciiTheme="minorEastAsia" w:hAnsiTheme="minorEastAsia" w:eastAsiaTheme="minorEastAsia"/>
          <w:b/>
          <w:bCs/>
          <w:szCs w:val="21"/>
          <w:highlight w:val="none"/>
        </w:rPr>
        <w:t>点</w:t>
      </w:r>
      <w:r>
        <w:rPr>
          <w:rFonts w:hint="eastAsia" w:cs="仿宋" w:asciiTheme="minorEastAsia" w:hAnsiTheme="minorEastAsia" w:eastAsiaTheme="minorEastAsia"/>
          <w:b/>
          <w:bCs/>
          <w:szCs w:val="21"/>
          <w:highlight w:val="none"/>
          <w:u w:val="single"/>
          <w:lang w:val="en-US" w:eastAsia="zh-CN"/>
        </w:rPr>
        <w:t>00</w:t>
      </w:r>
      <w:r>
        <w:rPr>
          <w:rFonts w:hint="eastAsia" w:cs="仿宋" w:asciiTheme="minorEastAsia" w:hAnsiTheme="minorEastAsia" w:eastAsiaTheme="minorEastAsia"/>
          <w:b/>
          <w:bCs/>
          <w:szCs w:val="21"/>
          <w:highlight w:val="none"/>
        </w:rPr>
        <w:t>分</w:t>
      </w:r>
      <w:r>
        <w:rPr>
          <w:rFonts w:hint="eastAsia" w:cs="仿宋" w:asciiTheme="minorEastAsia" w:hAnsiTheme="minorEastAsia" w:eastAsiaTheme="minorEastAsia"/>
          <w:bCs/>
          <w:szCs w:val="21"/>
        </w:rPr>
        <w:t>（北京时间）</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2、地点：深圳市福田区民田路171号新华保险大厦903中正招标</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备注：投标供应商可以通过快递方式在投标截止时间前将《投标文件》送达到我司，快递单上应清晰写明投标供应商名称、项目编号和项目名称，递交时间为送达我司由我司工作人员签收的时间；投标供应商未参加现场开标的，视同认可开标结果。</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六、公告期限</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自本公告发布之日起5个工作日</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七、其他补充事宜</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本项目需要落实的政府采购政策：《财政部工业和信息化部关于印发《政府采购促进中小企业发展管理办法》的通知》(财库〔2020〕46号)、《关于政府采购支持监狱企业发展有关问题的通知》(财库〔2014〕68号)、《关于促进残疾人就业政府采购政策的通知》（财库〔2017〕141号)。</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2、本项目相关公告在以下媒体发布：</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① 深圳公共资源交易中心网（www.szzfcg.cn）</w:t>
      </w:r>
    </w:p>
    <w:p>
      <w:pPr>
        <w:spacing w:line="360" w:lineRule="auto"/>
        <w:ind w:firstLine="371" w:firstLineChars="177"/>
        <w:rPr>
          <w:rFonts w:cs="仿宋" w:asciiTheme="minorEastAsia" w:hAnsiTheme="minorEastAsia" w:eastAsiaTheme="minorEastAsia"/>
          <w:bCs/>
          <w:szCs w:val="21"/>
        </w:rPr>
      </w:pPr>
      <w:r>
        <w:rPr>
          <w:rFonts w:cs="仿宋" w:asciiTheme="minorEastAsia" w:hAnsiTheme="minorEastAsia" w:eastAsiaTheme="minorEastAsia"/>
          <w:bCs/>
          <w:szCs w:val="21"/>
        </w:rPr>
        <w:fldChar w:fldCharType="begin"/>
      </w:r>
      <w:r>
        <w:rPr>
          <w:rFonts w:cs="仿宋" w:asciiTheme="minorEastAsia" w:hAnsiTheme="minorEastAsia" w:eastAsiaTheme="minorEastAsia"/>
          <w:bCs/>
          <w:szCs w:val="21"/>
        </w:rPr>
        <w:instrText xml:space="preserve"> </w:instrText>
      </w:r>
      <w:r>
        <w:rPr>
          <w:rFonts w:hint="eastAsia" w:cs="仿宋" w:asciiTheme="minorEastAsia" w:hAnsiTheme="minorEastAsia" w:eastAsiaTheme="minorEastAsia"/>
          <w:bCs/>
          <w:szCs w:val="21"/>
        </w:rPr>
        <w:instrText xml:space="preserve">= 2 \* GB3</w:instrText>
      </w:r>
      <w:r>
        <w:rPr>
          <w:rFonts w:cs="仿宋" w:asciiTheme="minorEastAsia" w:hAnsiTheme="minorEastAsia" w:eastAsiaTheme="minorEastAsia"/>
          <w:bCs/>
          <w:szCs w:val="21"/>
        </w:rPr>
        <w:instrText xml:space="preserve"> </w:instrText>
      </w:r>
      <w:r>
        <w:rPr>
          <w:rFonts w:cs="仿宋" w:asciiTheme="minorEastAsia" w:hAnsiTheme="minorEastAsia" w:eastAsiaTheme="minorEastAsia"/>
          <w:bCs/>
          <w:szCs w:val="21"/>
        </w:rPr>
        <w:fldChar w:fldCharType="separate"/>
      </w:r>
      <w:r>
        <w:rPr>
          <w:rFonts w:hint="eastAsia" w:cs="仿宋" w:asciiTheme="minorEastAsia" w:hAnsiTheme="minorEastAsia" w:eastAsiaTheme="minorEastAsia"/>
          <w:bCs/>
          <w:szCs w:val="21"/>
        </w:rPr>
        <w:t>②</w:t>
      </w:r>
      <w:r>
        <w:rPr>
          <w:rFonts w:cs="仿宋" w:asciiTheme="minorEastAsia" w:hAnsiTheme="minorEastAsia" w:eastAsiaTheme="minorEastAsia"/>
          <w:bCs/>
          <w:szCs w:val="21"/>
        </w:rPr>
        <w:fldChar w:fldCharType="end"/>
      </w:r>
      <w:r>
        <w:rPr>
          <w:rFonts w:hint="eastAsia" w:cs="仿宋" w:asciiTheme="minorEastAsia" w:hAnsiTheme="minorEastAsia" w:eastAsiaTheme="minorEastAsia"/>
          <w:bCs/>
          <w:szCs w:val="21"/>
        </w:rPr>
        <w:t xml:space="preserve"> 采购代理机构网站（www.szzzt.com）</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相关公告在以上媒体上公布之日即视为有效送达，不再另行通知。</w:t>
      </w:r>
    </w:p>
    <w:p>
      <w:pPr>
        <w:spacing w:line="360" w:lineRule="auto"/>
        <w:rPr>
          <w:rFonts w:cs="仿宋" w:asciiTheme="minorEastAsia" w:hAnsiTheme="minorEastAsia" w:eastAsiaTheme="minorEastAsia"/>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八、本项目联系方式</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1、采购人信息</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名　    称：深圳市公安局罗湖分局</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地　    址：深圳市罗湖区罗沙路2088号</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2、采购代理机构信息</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名　   称：深圳市中正招标有限公司</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地　   址：深圳市福田区民田路171号新华保险大厦903</w:t>
      </w:r>
    </w:p>
    <w:p>
      <w:pPr>
        <w:spacing w:line="360" w:lineRule="auto"/>
        <w:ind w:firstLine="371" w:firstLineChars="177"/>
        <w:rPr>
          <w:rFonts w:cs="仿宋" w:asciiTheme="minorEastAsia" w:hAnsiTheme="minorEastAsia" w:eastAsiaTheme="minorEastAsia"/>
          <w:b/>
          <w:bCs/>
          <w:szCs w:val="21"/>
        </w:rPr>
      </w:pPr>
      <w:r>
        <w:rPr>
          <w:rFonts w:hint="eastAsia" w:cs="仿宋" w:asciiTheme="minorEastAsia" w:hAnsiTheme="minorEastAsia" w:eastAsiaTheme="minorEastAsia"/>
          <w:bCs/>
          <w:szCs w:val="21"/>
        </w:rPr>
        <w:t>联系 方式：杨工，0755-83026699</w:t>
      </w:r>
    </w:p>
    <w:p>
      <w:pPr>
        <w:spacing w:line="360" w:lineRule="auto"/>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九、附件</w:t>
      </w:r>
    </w:p>
    <w:p>
      <w:pPr>
        <w:spacing w:line="360" w:lineRule="auto"/>
        <w:ind w:firstLine="411" w:firstLineChars="196"/>
        <w:jc w:val="left"/>
        <w:rPr>
          <w:rFonts w:cs="仿宋" w:asciiTheme="minorEastAsia" w:hAnsiTheme="minorEastAsia" w:eastAsiaTheme="minorEastAsia"/>
          <w:bCs/>
          <w:szCs w:val="21"/>
        </w:rPr>
      </w:pPr>
      <w:r>
        <w:rPr>
          <w:rFonts w:hint="eastAsia" w:cs="仿宋" w:asciiTheme="minorEastAsia" w:hAnsiTheme="minorEastAsia" w:eastAsiaTheme="minorEastAsia"/>
          <w:bCs/>
          <w:szCs w:val="21"/>
        </w:rPr>
        <w:t>征集文件</w:t>
      </w:r>
    </w:p>
    <w:p>
      <w:pPr>
        <w:spacing w:line="360" w:lineRule="auto"/>
        <w:ind w:firstLine="371" w:firstLineChars="177"/>
        <w:rPr>
          <w:rFonts w:cs="仿宋" w:asciiTheme="minorEastAsia" w:hAnsiTheme="minorEastAsia" w:eastAsiaTheme="minorEastAsia"/>
          <w:bCs/>
          <w:szCs w:val="21"/>
        </w:rPr>
      </w:pPr>
      <w:r>
        <w:rPr>
          <w:rFonts w:hint="eastAsia" w:cs="仿宋" w:asciiTheme="minorEastAsia" w:hAnsiTheme="minorEastAsia" w:eastAsiaTheme="minorEastAsia"/>
          <w:bCs/>
          <w:szCs w:val="21"/>
        </w:rPr>
        <w:t>（附件内容请登陆采购代理机构官网下载查阅）</w:t>
      </w:r>
    </w:p>
    <w:p>
      <w:pPr>
        <w:spacing w:line="360" w:lineRule="auto"/>
        <w:rPr>
          <w:rFonts w:cs="仿宋" w:asciiTheme="minorEastAsia" w:hAnsiTheme="minorEastAsia" w:eastAsiaTheme="minorEastAsia"/>
          <w:bCs/>
          <w:szCs w:val="21"/>
        </w:rPr>
      </w:pPr>
    </w:p>
    <w:p>
      <w:pPr>
        <w:spacing w:line="360" w:lineRule="auto"/>
        <w:ind w:firstLine="743" w:firstLineChars="354"/>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rPr>
        <w:t>深圳市中正招标有限公司</w:t>
      </w:r>
    </w:p>
    <w:p>
      <w:pPr>
        <w:spacing w:line="360" w:lineRule="auto"/>
        <w:ind w:firstLine="743" w:firstLineChars="354"/>
        <w:jc w:val="right"/>
        <w:rPr>
          <w:rFonts w:cs="仿宋" w:asciiTheme="minorEastAsia" w:hAnsiTheme="minorEastAsia" w:eastAsiaTheme="minorEastAsia"/>
          <w:bCs/>
          <w:szCs w:val="21"/>
        </w:rPr>
      </w:pPr>
      <w:r>
        <w:rPr>
          <w:rFonts w:hint="eastAsia" w:cs="仿宋" w:asciiTheme="minorEastAsia" w:hAnsiTheme="minorEastAsia" w:eastAsiaTheme="minorEastAsia"/>
          <w:bCs/>
          <w:szCs w:val="21"/>
        </w:rPr>
        <w:t>2022年</w:t>
      </w:r>
      <w:r>
        <w:rPr>
          <w:rFonts w:hint="eastAsia" w:cs="仿宋" w:asciiTheme="minorEastAsia" w:hAnsiTheme="minorEastAsia" w:eastAsiaTheme="minorEastAsia"/>
          <w:bCs/>
          <w:szCs w:val="21"/>
          <w:lang w:val="en-US" w:eastAsia="zh-CN"/>
        </w:rPr>
        <w:t>11</w:t>
      </w:r>
      <w:r>
        <w:rPr>
          <w:rFonts w:hint="eastAsia" w:cs="仿宋" w:asciiTheme="minorEastAsia" w:hAnsiTheme="minorEastAsia" w:eastAsiaTheme="minorEastAsia"/>
          <w:bCs/>
          <w:szCs w:val="21"/>
        </w:rPr>
        <w:t>月</w:t>
      </w:r>
      <w:r>
        <w:rPr>
          <w:rFonts w:hint="eastAsia" w:cs="仿宋" w:asciiTheme="minorEastAsia" w:hAnsiTheme="minorEastAsia" w:eastAsiaTheme="minorEastAsia"/>
          <w:bCs/>
          <w:szCs w:val="21"/>
          <w:lang w:val="en-US" w:eastAsia="zh-CN"/>
        </w:rPr>
        <w:t>16</w:t>
      </w:r>
      <w:r>
        <w:rPr>
          <w:rFonts w:hint="eastAsia" w:cs="仿宋" w:asciiTheme="minorEastAsia" w:hAnsiTheme="minorEastAsia" w:eastAsiaTheme="minorEastAsia"/>
          <w:bCs/>
          <w:szCs w:val="21"/>
        </w:rPr>
        <w:t>日</w:t>
      </w:r>
    </w:p>
    <w:p>
      <w:pPr>
        <w:widowControl/>
        <w:jc w:val="left"/>
        <w:rPr>
          <w:rFonts w:cs="仿宋" w:asciiTheme="minorEastAsia" w:hAnsiTheme="minorEastAsia" w:eastAsiaTheme="minorEastAsia"/>
          <w:bCs/>
          <w:sz w:val="24"/>
        </w:rPr>
      </w:pPr>
      <w:r>
        <w:rPr>
          <w:rFonts w:hint="eastAsia" w:cs="仿宋" w:asciiTheme="minorEastAsia" w:hAnsiTheme="minorEastAsia" w:eastAsiaTheme="minorEastAsia"/>
          <w:bCs/>
          <w:sz w:val="24"/>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第一部分</w:t>
      </w:r>
    </w:p>
    <w:p>
      <w:pPr>
        <w:spacing w:line="36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投标须知前附表及评审信息</w:t>
      </w:r>
    </w:p>
    <w:p>
      <w:pPr>
        <w:widowControl/>
        <w:jc w:val="left"/>
        <w:rPr>
          <w:rFonts w:cs="仿宋" w:asciiTheme="minorEastAsia" w:hAnsiTheme="minorEastAsia" w:eastAsiaTheme="minorEastAsia"/>
          <w:b/>
          <w:snapToGrid w:val="0"/>
          <w:kern w:val="0"/>
          <w:sz w:val="72"/>
        </w:rPr>
      </w:pPr>
      <w:r>
        <w:rPr>
          <w:rFonts w:hint="eastAsia" w:cs="仿宋" w:asciiTheme="minorEastAsia" w:hAnsiTheme="minorEastAsia" w:eastAsiaTheme="minorEastAsia"/>
          <w:b/>
          <w:snapToGrid w:val="0"/>
          <w:kern w:val="0"/>
          <w:sz w:val="72"/>
        </w:rPr>
        <w:br w:type="page"/>
      </w:r>
    </w:p>
    <w:p>
      <w:pPr>
        <w:spacing w:line="360" w:lineRule="auto"/>
        <w:jc w:val="center"/>
        <w:rPr>
          <w:rFonts w:cs="仿宋" w:asciiTheme="minorEastAsia" w:hAnsiTheme="minorEastAsia" w:eastAsiaTheme="minorEastAsia"/>
          <w:b/>
          <w:bCs/>
          <w:sz w:val="36"/>
        </w:rPr>
      </w:pPr>
      <w:r>
        <w:rPr>
          <w:rFonts w:hint="eastAsia" w:cs="仿宋" w:asciiTheme="minorEastAsia" w:hAnsiTheme="minorEastAsia" w:eastAsiaTheme="minorEastAsia"/>
          <w:b/>
          <w:bCs/>
          <w:sz w:val="36"/>
        </w:rPr>
        <w:t>投标须知前附表</w:t>
      </w:r>
    </w:p>
    <w:tbl>
      <w:tblPr>
        <w:tblStyle w:val="16"/>
        <w:tblW w:w="538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731"/>
        <w:gridCol w:w="1773"/>
        <w:gridCol w:w="602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56"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项号</w:t>
            </w:r>
          </w:p>
        </w:tc>
        <w:tc>
          <w:tcPr>
            <w:tcW w:w="398"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条款号</w:t>
            </w:r>
          </w:p>
        </w:tc>
        <w:tc>
          <w:tcPr>
            <w:tcW w:w="966"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内容</w:t>
            </w:r>
          </w:p>
        </w:tc>
        <w:tc>
          <w:tcPr>
            <w:tcW w:w="3280" w:type="pct"/>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cs="仿宋" w:asciiTheme="minorEastAsia" w:hAnsiTheme="minorEastAsia"/>
                <w:b/>
              </w:rPr>
            </w:pPr>
            <w:r>
              <w:rPr>
                <w:rFonts w:hint="eastAsia" w:cs="仿宋" w:asciiTheme="minorEastAsia" w:hAnsiTheme="minorEastAsia"/>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tcBorders>
              <w:top w:val="single" w:color="auto" w:sz="4" w:space="0"/>
            </w:tcBorders>
            <w:vAlign w:val="center"/>
          </w:tcPr>
          <w:p>
            <w:pPr>
              <w:pStyle w:val="10"/>
              <w:spacing w:line="360" w:lineRule="auto"/>
              <w:jc w:val="center"/>
              <w:rPr>
                <w:rFonts w:cs="仿宋" w:asciiTheme="minorEastAsia" w:hAnsiTheme="minorEastAsia"/>
              </w:rPr>
            </w:pPr>
            <w:r>
              <w:rPr>
                <w:rFonts w:hint="eastAsia" w:cs="仿宋" w:asciiTheme="minorEastAsia" w:hAnsiTheme="minorEastAsia"/>
              </w:rPr>
              <w:t>1</w:t>
            </w:r>
          </w:p>
        </w:tc>
        <w:tc>
          <w:tcPr>
            <w:tcW w:w="398" w:type="pct"/>
            <w:tcBorders>
              <w:top w:val="single" w:color="auto" w:sz="4" w:space="0"/>
            </w:tcBorders>
            <w:vAlign w:val="center"/>
          </w:tcPr>
          <w:p>
            <w:pPr>
              <w:pStyle w:val="10"/>
              <w:spacing w:line="360" w:lineRule="auto"/>
              <w:jc w:val="center"/>
              <w:rPr>
                <w:rFonts w:cs="仿宋" w:asciiTheme="minorEastAsia" w:hAnsiTheme="minorEastAsia"/>
              </w:rPr>
            </w:pPr>
            <w:r>
              <w:rPr>
                <w:rFonts w:hint="eastAsia" w:cs="仿宋" w:asciiTheme="minorEastAsia" w:hAnsiTheme="minorEastAsia"/>
              </w:rPr>
              <w:t>1.1</w:t>
            </w:r>
          </w:p>
        </w:tc>
        <w:tc>
          <w:tcPr>
            <w:tcW w:w="966" w:type="pct"/>
            <w:tcBorders>
              <w:top w:val="single" w:color="auto" w:sz="4" w:space="0"/>
            </w:tcBorders>
            <w:vAlign w:val="center"/>
          </w:tcPr>
          <w:p>
            <w:pPr>
              <w:pStyle w:val="10"/>
              <w:spacing w:line="360" w:lineRule="auto"/>
              <w:jc w:val="center"/>
              <w:rPr>
                <w:rFonts w:cs="仿宋" w:asciiTheme="minorEastAsia" w:hAnsiTheme="minorEastAsia"/>
              </w:rPr>
            </w:pPr>
            <w:r>
              <w:rPr>
                <w:rFonts w:hint="eastAsia" w:cs="仿宋" w:asciiTheme="minorEastAsia" w:hAnsiTheme="minorEastAsia"/>
              </w:rPr>
              <w:t>项目名称</w:t>
            </w:r>
          </w:p>
        </w:tc>
        <w:tc>
          <w:tcPr>
            <w:tcW w:w="3280" w:type="pct"/>
            <w:tcBorders>
              <w:top w:val="single" w:color="auto" w:sz="4" w:space="0"/>
            </w:tcBorders>
            <w:vAlign w:val="center"/>
          </w:tcPr>
          <w:p>
            <w:pPr>
              <w:pStyle w:val="10"/>
              <w:spacing w:line="360" w:lineRule="auto"/>
              <w:rPr>
                <w:rFonts w:cs="仿宋" w:asciiTheme="minorEastAsia" w:hAnsiTheme="minorEastAsia"/>
              </w:rPr>
            </w:pPr>
            <w:r>
              <w:rPr>
                <w:rFonts w:hint="eastAsia" w:cs="仿宋" w:asciiTheme="minorEastAsia" w:hAnsiTheme="minorEastAsia"/>
              </w:rPr>
              <w:t>深圳市公安局罗湖分局电动巡逻车采购项目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2.1</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采购人</w:t>
            </w:r>
            <w:r>
              <w:rPr>
                <w:rFonts w:hint="eastAsia" w:cs="仿宋" w:asciiTheme="minorEastAsia" w:hAnsiTheme="minorEastAsia"/>
              </w:rPr>
              <w:t>名称</w:t>
            </w:r>
          </w:p>
        </w:tc>
        <w:tc>
          <w:tcPr>
            <w:tcW w:w="3280" w:type="pct"/>
            <w:vAlign w:val="center"/>
          </w:tcPr>
          <w:p>
            <w:pPr>
              <w:rPr>
                <w:rFonts w:cs="仿宋" w:asciiTheme="minorEastAsia" w:hAnsiTheme="minorEastAsia" w:eastAsiaTheme="minorEastAsia"/>
              </w:rPr>
            </w:pPr>
            <w:r>
              <w:rPr>
                <w:rFonts w:hint="eastAsia" w:cs="仿宋" w:asciiTheme="minorEastAsia" w:hAnsiTheme="minorEastAsia" w:eastAsiaTheme="minorEastAsia"/>
              </w:rPr>
              <w:t>深圳市公安局罗湖分局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3</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2.2</w:t>
            </w:r>
          </w:p>
        </w:tc>
        <w:tc>
          <w:tcPr>
            <w:tcW w:w="966" w:type="pct"/>
            <w:vAlign w:val="center"/>
          </w:tcPr>
          <w:p>
            <w:pPr>
              <w:pStyle w:val="10"/>
              <w:spacing w:line="360" w:lineRule="auto"/>
              <w:jc w:val="center"/>
              <w:rPr>
                <w:rFonts w:cs="仿宋" w:asciiTheme="minorEastAsia" w:hAnsiTheme="minorEastAsia"/>
                <w:bCs/>
              </w:rPr>
            </w:pPr>
            <w:r>
              <w:rPr>
                <w:rFonts w:hint="eastAsia" w:cs="仿宋" w:asciiTheme="minorEastAsia" w:hAnsiTheme="minorEastAsia"/>
                <w:bCs/>
              </w:rPr>
              <w:t>采购代理机构</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4</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3.1</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资金来源</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5</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4.7</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投标供应商资格要求</w:t>
            </w:r>
          </w:p>
        </w:tc>
        <w:tc>
          <w:tcPr>
            <w:tcW w:w="3280" w:type="pct"/>
            <w:vAlign w:val="center"/>
          </w:tcPr>
          <w:p>
            <w:pPr>
              <w:spacing w:line="300" w:lineRule="auto"/>
              <w:rPr>
                <w:rFonts w:ascii="宋体" w:hAnsi="宋体"/>
                <w:szCs w:val="21"/>
              </w:rPr>
            </w:pPr>
            <w:r>
              <w:rPr>
                <w:rFonts w:hint="eastAsia" w:ascii="宋体" w:hAnsi="宋体"/>
                <w:szCs w:val="21"/>
              </w:rPr>
              <w:t>详见采购公告“申请人的资格要求”</w:t>
            </w:r>
            <w:r>
              <w:rPr>
                <w:rFonts w:ascii="宋体" w:hAnsi="宋体"/>
                <w:szCs w:val="21"/>
              </w:rPr>
              <w:t xml:space="preserve"> </w:t>
            </w:r>
          </w:p>
          <w:p>
            <w:pPr>
              <w:spacing w:line="400" w:lineRule="exact"/>
              <w:rPr>
                <w:rFonts w:cs="仿宋" w:asciiTheme="minorEastAsia" w:hAnsiTheme="minorEastAsia"/>
                <w:szCs w:val="21"/>
              </w:rPr>
            </w:pPr>
            <w:r>
              <w:rPr>
                <w:rFonts w:hint="eastAsia" w:ascii="Times New Roman" w:hAnsi="宋体"/>
                <w:b/>
                <w:bCs/>
                <w:szCs w:val="21"/>
              </w:rPr>
              <w:t>（资格证明文件详见第三部分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6</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6.1</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踏勘现场</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7</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14.1</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有效期</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8</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15.2</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项目保证金</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rPr>
              <w:t>本项目不收取项目保证金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10</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17.1</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份数</w:t>
            </w:r>
          </w:p>
        </w:tc>
        <w:tc>
          <w:tcPr>
            <w:tcW w:w="3280" w:type="pct"/>
            <w:vAlign w:val="center"/>
          </w:tcPr>
          <w:p>
            <w:pPr>
              <w:pStyle w:val="10"/>
              <w:rPr>
                <w:rFonts w:cs="仿宋" w:asciiTheme="minorEastAsia" w:hAnsiTheme="minorEastAsia"/>
              </w:rPr>
            </w:pPr>
            <w:r>
              <w:rPr>
                <w:rFonts w:hint="eastAsia" w:cs="仿宋" w:asciiTheme="minorEastAsia" w:hAnsiTheme="minorEastAsia"/>
              </w:rPr>
              <w:t>正本2份，副本 4 份，投标文件正文扫描件电子档2份。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11</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18.8</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开标</w:t>
            </w:r>
          </w:p>
        </w:tc>
        <w:tc>
          <w:tcPr>
            <w:tcW w:w="3280" w:type="pct"/>
            <w:vAlign w:val="center"/>
          </w:tcPr>
          <w:p>
            <w:pPr>
              <w:pStyle w:val="10"/>
              <w:rPr>
                <w:rFonts w:cs="仿宋" w:asciiTheme="minorEastAsia" w:hAnsiTheme="minorEastAsia"/>
                <w:highlight w:val="none"/>
              </w:rPr>
            </w:pPr>
            <w:r>
              <w:rPr>
                <w:rFonts w:hint="eastAsia" w:cs="仿宋" w:asciiTheme="minorEastAsia" w:hAnsiTheme="minorEastAsia"/>
                <w:highlight w:val="none"/>
              </w:rPr>
              <w:t>时间：</w:t>
            </w:r>
            <w:r>
              <w:rPr>
                <w:rFonts w:hint="eastAsia" w:cs="仿宋" w:asciiTheme="minorEastAsia" w:hAnsiTheme="minorEastAsia"/>
                <w:b/>
                <w:snapToGrid w:val="0"/>
                <w:highlight w:val="none"/>
              </w:rPr>
              <w:t>2022年</w:t>
            </w:r>
            <w:r>
              <w:rPr>
                <w:rFonts w:hint="eastAsia" w:cs="仿宋" w:asciiTheme="minorEastAsia" w:hAnsiTheme="minorEastAsia"/>
                <w:b/>
                <w:snapToGrid w:val="0"/>
                <w:highlight w:val="none"/>
                <w:lang w:val="en-US" w:eastAsia="zh-CN"/>
              </w:rPr>
              <w:t>11</w:t>
            </w:r>
            <w:r>
              <w:rPr>
                <w:rFonts w:hint="eastAsia" w:cs="仿宋" w:asciiTheme="minorEastAsia" w:hAnsiTheme="minorEastAsia"/>
                <w:b/>
                <w:snapToGrid w:val="0"/>
                <w:highlight w:val="none"/>
              </w:rPr>
              <w:t>月</w:t>
            </w:r>
            <w:r>
              <w:rPr>
                <w:rFonts w:hint="eastAsia" w:cs="仿宋" w:asciiTheme="minorEastAsia" w:hAnsiTheme="minorEastAsia"/>
                <w:b/>
                <w:snapToGrid w:val="0"/>
                <w:highlight w:val="none"/>
                <w:lang w:val="en-US" w:eastAsia="zh-CN"/>
              </w:rPr>
              <w:t>24</w:t>
            </w:r>
            <w:r>
              <w:rPr>
                <w:rFonts w:hint="eastAsia" w:cs="仿宋" w:asciiTheme="minorEastAsia" w:hAnsiTheme="minorEastAsia"/>
                <w:b/>
                <w:snapToGrid w:val="0"/>
                <w:highlight w:val="none"/>
              </w:rPr>
              <w:t>日</w:t>
            </w:r>
            <w:r>
              <w:rPr>
                <w:rFonts w:hint="eastAsia" w:cs="仿宋" w:asciiTheme="minorEastAsia" w:hAnsiTheme="minorEastAsia"/>
                <w:b/>
                <w:snapToGrid w:val="0"/>
                <w:highlight w:val="none"/>
                <w:lang w:val="en-US" w:eastAsia="zh-CN"/>
              </w:rPr>
              <w:t>10</w:t>
            </w:r>
            <w:r>
              <w:rPr>
                <w:rFonts w:hint="eastAsia" w:cs="仿宋" w:asciiTheme="minorEastAsia" w:hAnsiTheme="minorEastAsia"/>
                <w:b/>
                <w:snapToGrid w:val="0"/>
                <w:highlight w:val="none"/>
              </w:rPr>
              <w:t>：</w:t>
            </w:r>
            <w:r>
              <w:rPr>
                <w:rFonts w:hint="eastAsia" w:cs="仿宋" w:asciiTheme="minorEastAsia" w:hAnsiTheme="minorEastAsia"/>
                <w:b/>
                <w:snapToGrid w:val="0"/>
                <w:highlight w:val="none"/>
                <w:lang w:val="en-US" w:eastAsia="zh-CN"/>
              </w:rPr>
              <w:t>00</w:t>
            </w:r>
            <w:r>
              <w:rPr>
                <w:rFonts w:hint="eastAsia" w:cs="仿宋" w:asciiTheme="minorEastAsia" w:hAnsiTheme="minorEastAsia"/>
                <w:b/>
                <w:snapToGrid w:val="0"/>
                <w:highlight w:val="none"/>
              </w:rPr>
              <w:t>时（北京时间）</w:t>
            </w:r>
          </w:p>
          <w:p>
            <w:pPr>
              <w:pStyle w:val="10"/>
              <w:spacing w:line="360" w:lineRule="auto"/>
              <w:ind w:left="4" w:hanging="4" w:hangingChars="2"/>
              <w:rPr>
                <w:rFonts w:cs="仿宋" w:asciiTheme="minorEastAsia" w:hAnsiTheme="minorEastAsia"/>
                <w:highlight w:val="none"/>
              </w:rPr>
            </w:pPr>
            <w:r>
              <w:rPr>
                <w:rFonts w:hint="eastAsia" w:cs="仿宋" w:asciiTheme="minorEastAsia" w:hAnsiTheme="minorEastAsia"/>
                <w:highlight w:val="none"/>
              </w:rPr>
              <w:t>地点：深圳市福田区民田路171号新华保险大厦903中正招标开标室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12</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19.2</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bCs/>
              </w:rPr>
              <w:t>投标文件</w:t>
            </w:r>
            <w:r>
              <w:rPr>
                <w:rFonts w:hint="eastAsia" w:cs="仿宋" w:asciiTheme="minorEastAsia" w:hAnsiTheme="minorEastAsia"/>
              </w:rPr>
              <w:t>截止时间</w:t>
            </w:r>
          </w:p>
        </w:tc>
        <w:tc>
          <w:tcPr>
            <w:tcW w:w="3280" w:type="pct"/>
            <w:vAlign w:val="center"/>
          </w:tcPr>
          <w:p>
            <w:pPr>
              <w:pStyle w:val="10"/>
              <w:spacing w:line="360" w:lineRule="auto"/>
              <w:rPr>
                <w:rFonts w:cs="仿宋" w:asciiTheme="minorEastAsia" w:hAnsiTheme="minorEastAsia"/>
                <w:b/>
                <w:highlight w:val="none"/>
              </w:rPr>
            </w:pPr>
            <w:r>
              <w:rPr>
                <w:rFonts w:hint="eastAsia" w:cs="仿宋" w:asciiTheme="minorEastAsia" w:hAnsiTheme="minorEastAsia"/>
                <w:b/>
                <w:snapToGrid w:val="0"/>
                <w:highlight w:val="none"/>
              </w:rPr>
              <w:t>2022年</w:t>
            </w:r>
            <w:r>
              <w:rPr>
                <w:rFonts w:hint="eastAsia" w:cs="仿宋" w:asciiTheme="minorEastAsia" w:hAnsiTheme="minorEastAsia"/>
                <w:b/>
                <w:snapToGrid w:val="0"/>
                <w:highlight w:val="none"/>
                <w:lang w:val="en-US" w:eastAsia="zh-CN"/>
              </w:rPr>
              <w:t>11</w:t>
            </w:r>
            <w:r>
              <w:rPr>
                <w:rFonts w:hint="eastAsia" w:cs="仿宋" w:asciiTheme="minorEastAsia" w:hAnsiTheme="minorEastAsia"/>
                <w:b/>
                <w:snapToGrid w:val="0"/>
                <w:highlight w:val="none"/>
              </w:rPr>
              <w:t>月</w:t>
            </w:r>
            <w:r>
              <w:rPr>
                <w:rFonts w:hint="eastAsia" w:cs="仿宋" w:asciiTheme="minorEastAsia" w:hAnsiTheme="minorEastAsia"/>
                <w:b/>
                <w:snapToGrid w:val="0"/>
                <w:highlight w:val="none"/>
                <w:lang w:val="en-US" w:eastAsia="zh-CN"/>
              </w:rPr>
              <w:t>24</w:t>
            </w:r>
            <w:r>
              <w:rPr>
                <w:rFonts w:hint="eastAsia" w:cs="仿宋" w:asciiTheme="minorEastAsia" w:hAnsiTheme="minorEastAsia"/>
                <w:b/>
                <w:snapToGrid w:val="0"/>
                <w:highlight w:val="none"/>
              </w:rPr>
              <w:t>日</w:t>
            </w:r>
            <w:r>
              <w:rPr>
                <w:rFonts w:hint="eastAsia" w:cs="仿宋" w:asciiTheme="minorEastAsia" w:hAnsiTheme="minorEastAsia"/>
                <w:b/>
                <w:snapToGrid w:val="0"/>
                <w:highlight w:val="none"/>
                <w:lang w:val="en-US" w:eastAsia="zh-CN"/>
              </w:rPr>
              <w:t>10</w:t>
            </w:r>
            <w:r>
              <w:rPr>
                <w:rFonts w:hint="eastAsia" w:cs="仿宋" w:asciiTheme="minorEastAsia" w:hAnsiTheme="minorEastAsia"/>
                <w:b/>
                <w:snapToGrid w:val="0"/>
                <w:highlight w:val="none"/>
              </w:rPr>
              <w:t>：</w:t>
            </w:r>
            <w:r>
              <w:rPr>
                <w:rFonts w:hint="eastAsia" w:cs="仿宋" w:asciiTheme="minorEastAsia" w:hAnsiTheme="minorEastAsia"/>
                <w:b/>
                <w:snapToGrid w:val="0"/>
                <w:highlight w:val="none"/>
                <w:lang w:val="en-US" w:eastAsia="zh-CN"/>
              </w:rPr>
              <w:t>00</w:t>
            </w:r>
            <w:r>
              <w:rPr>
                <w:rFonts w:hint="eastAsia" w:cs="仿宋" w:asciiTheme="minorEastAsia" w:hAnsiTheme="minorEastAsia"/>
                <w:b/>
                <w:snapToGrid w:val="0"/>
                <w:highlight w:val="none"/>
              </w:rPr>
              <w:t>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13</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26.5</w:t>
            </w:r>
          </w:p>
        </w:tc>
        <w:tc>
          <w:tcPr>
            <w:tcW w:w="96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评审方法</w:t>
            </w:r>
          </w:p>
        </w:tc>
        <w:tc>
          <w:tcPr>
            <w:tcW w:w="3280" w:type="pct"/>
            <w:vAlign w:val="center"/>
          </w:tcPr>
          <w:p>
            <w:pPr>
              <w:pStyle w:val="10"/>
              <w:spacing w:line="360" w:lineRule="auto"/>
              <w:rPr>
                <w:rFonts w:cs="仿宋" w:asciiTheme="minorEastAsia" w:hAnsiTheme="minorEastAsia"/>
              </w:rPr>
            </w:pPr>
            <w:r>
              <w:rPr>
                <w:rFonts w:hint="eastAsia" w:cs="仿宋" w:asciiTheme="minorEastAsia" w:hAnsiTheme="minorEastAsia"/>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14</w:t>
            </w:r>
          </w:p>
        </w:tc>
        <w:tc>
          <w:tcPr>
            <w:tcW w:w="398"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33.1</w:t>
            </w:r>
          </w:p>
        </w:tc>
        <w:tc>
          <w:tcPr>
            <w:tcW w:w="966" w:type="pct"/>
            <w:vAlign w:val="center"/>
          </w:tcPr>
          <w:p>
            <w:pPr>
              <w:pStyle w:val="10"/>
              <w:spacing w:line="340" w:lineRule="exact"/>
              <w:jc w:val="center"/>
              <w:rPr>
                <w:rFonts w:cs="仿宋" w:asciiTheme="minorEastAsia" w:hAnsiTheme="minorEastAsia"/>
              </w:rPr>
            </w:pPr>
            <w:r>
              <w:rPr>
                <w:rFonts w:hint="eastAsia" w:cs="仿宋" w:asciiTheme="minorEastAsia" w:hAnsiTheme="minorEastAsia"/>
              </w:rPr>
              <w:t>采购代理服务费</w:t>
            </w:r>
          </w:p>
        </w:tc>
        <w:tc>
          <w:tcPr>
            <w:tcW w:w="3280" w:type="pct"/>
            <w:vAlign w:val="center"/>
          </w:tcPr>
          <w:p>
            <w:pPr>
              <w:pStyle w:val="10"/>
              <w:spacing w:line="340" w:lineRule="exact"/>
              <w:rPr>
                <w:rFonts w:cs="仿宋" w:asciiTheme="minorEastAsia" w:hAnsiTheme="minorEastAsia"/>
              </w:rPr>
            </w:pPr>
            <w:r>
              <w:rPr>
                <w:rFonts w:hint="eastAsia" w:cs="仿宋" w:asciiTheme="minorEastAsia" w:hAnsiTheme="minorEastAsia"/>
              </w:rPr>
              <w:t>采购代理机构按中标金额的一定比例向中标供应商收取，最低收取人民币5000元。</w:t>
            </w:r>
          </w:p>
          <w:p>
            <w:pPr>
              <w:pStyle w:val="10"/>
              <w:spacing w:line="340" w:lineRule="exact"/>
              <w:rPr>
                <w:rFonts w:cs="仿宋" w:asciiTheme="minorEastAsia" w:hAnsiTheme="minorEastAsia"/>
              </w:rPr>
            </w:pPr>
            <w:r>
              <w:rPr>
                <w:rFonts w:hint="eastAsia" w:cs="仿宋" w:asciiTheme="minorEastAsia" w:hAnsiTheme="minorEastAsia"/>
              </w:rPr>
              <w:t>（详见“第五部分-通用条款（投标须知）第33条款”）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 w:type="pct"/>
            <w:vAlign w:val="center"/>
          </w:tcPr>
          <w:p>
            <w:pPr>
              <w:pStyle w:val="10"/>
              <w:spacing w:line="360" w:lineRule="auto"/>
              <w:jc w:val="center"/>
              <w:rPr>
                <w:rFonts w:cs="仿宋" w:asciiTheme="minorEastAsia" w:hAnsiTheme="minorEastAsia"/>
              </w:rPr>
            </w:pPr>
            <w:r>
              <w:rPr>
                <w:rFonts w:hint="eastAsia" w:cs="仿宋" w:asciiTheme="minorEastAsia" w:hAnsiTheme="minorEastAsia"/>
              </w:rPr>
              <w:t>15</w:t>
            </w:r>
          </w:p>
        </w:tc>
        <w:tc>
          <w:tcPr>
            <w:tcW w:w="398" w:type="pct"/>
            <w:vAlign w:val="center"/>
          </w:tcPr>
          <w:p>
            <w:pPr>
              <w:pStyle w:val="10"/>
              <w:spacing w:line="360" w:lineRule="auto"/>
              <w:jc w:val="center"/>
              <w:rPr>
                <w:rFonts w:cs="仿宋" w:asciiTheme="minorEastAsia" w:hAnsiTheme="minorEastAsia"/>
              </w:rPr>
            </w:pPr>
          </w:p>
        </w:tc>
        <w:tc>
          <w:tcPr>
            <w:tcW w:w="966" w:type="pct"/>
            <w:vAlign w:val="center"/>
          </w:tcPr>
          <w:p>
            <w:pPr>
              <w:pStyle w:val="10"/>
              <w:spacing w:line="340" w:lineRule="exact"/>
              <w:jc w:val="center"/>
              <w:rPr>
                <w:rFonts w:cs="仿宋" w:asciiTheme="minorEastAsia" w:hAnsiTheme="minorEastAsia"/>
              </w:rPr>
            </w:pPr>
            <w:r>
              <w:rPr>
                <w:rFonts w:hint="eastAsia" w:cs="仿宋" w:asciiTheme="minorEastAsia" w:hAnsiTheme="minorEastAsia"/>
              </w:rPr>
              <w:t>采购控制金额</w:t>
            </w:r>
          </w:p>
          <w:p>
            <w:pPr>
              <w:pStyle w:val="10"/>
              <w:spacing w:line="340" w:lineRule="exact"/>
              <w:jc w:val="center"/>
              <w:rPr>
                <w:rFonts w:cs="仿宋" w:asciiTheme="minorEastAsia" w:hAnsiTheme="minorEastAsia"/>
              </w:rPr>
            </w:pPr>
            <w:r>
              <w:rPr>
                <w:rFonts w:hint="eastAsia" w:cs="仿宋" w:asciiTheme="minorEastAsia" w:hAnsiTheme="minorEastAsia"/>
              </w:rPr>
              <w:t>（最高限价）</w:t>
            </w:r>
          </w:p>
        </w:tc>
        <w:tc>
          <w:tcPr>
            <w:tcW w:w="3280" w:type="pct"/>
            <w:vAlign w:val="center"/>
          </w:tcPr>
          <w:p>
            <w:pPr>
              <w:pStyle w:val="10"/>
              <w:spacing w:line="340" w:lineRule="exact"/>
              <w:rPr>
                <w:rFonts w:cs="仿宋" w:asciiTheme="minorEastAsia" w:hAnsiTheme="minorEastAsia"/>
                <w:b/>
                <w:highlight w:val="none"/>
              </w:rPr>
            </w:pPr>
            <w:r>
              <w:rPr>
                <w:rFonts w:hint="eastAsia" w:cs="仿宋" w:asciiTheme="minorEastAsia" w:hAnsiTheme="minorEastAsia"/>
                <w:b/>
                <w:highlight w:val="none"/>
              </w:rPr>
              <w:t>人民币99.84万元</w:t>
            </w:r>
          </w:p>
        </w:tc>
      </w:tr>
    </w:tbl>
    <w:p>
      <w:pPr>
        <w:jc w:val="center"/>
        <w:rPr>
          <w:rFonts w:cs="仿宋" w:asciiTheme="minorEastAsia" w:hAnsiTheme="minorEastAsia" w:eastAsiaTheme="minorEastAsia"/>
          <w:b/>
          <w:sz w:val="36"/>
          <w:szCs w:val="32"/>
        </w:rPr>
      </w:pPr>
      <w:r>
        <w:rPr>
          <w:rFonts w:hint="eastAsia" w:cs="仿宋" w:asciiTheme="minorEastAsia" w:hAnsiTheme="minorEastAsia" w:eastAsiaTheme="minorEastAsia"/>
        </w:rPr>
        <w:br w:type="page"/>
      </w:r>
      <w:r>
        <w:rPr>
          <w:rFonts w:hint="eastAsia" w:cs="仿宋" w:asciiTheme="minorEastAsia" w:hAnsiTheme="minorEastAsia" w:eastAsiaTheme="minorEastAsia"/>
          <w:b/>
          <w:sz w:val="36"/>
          <w:szCs w:val="32"/>
        </w:rPr>
        <w:t>投标须知前附件</w:t>
      </w:r>
    </w:p>
    <w:p>
      <w:pPr>
        <w:adjustRightInd w:val="0"/>
        <w:spacing w:line="360" w:lineRule="auto"/>
        <w:ind w:firstLine="420" w:firstLineChars="200"/>
        <w:rPr>
          <w:rFonts w:cs="仿宋" w:asciiTheme="minorEastAsia" w:hAnsiTheme="minorEastAsia" w:eastAsiaTheme="minorEastAsia"/>
          <w:snapToGrid w:val="0"/>
          <w:kern w:val="0"/>
        </w:rPr>
      </w:pPr>
    </w:p>
    <w:p>
      <w:pPr>
        <w:adjustRightInd w:val="0"/>
        <w:spacing w:line="360" w:lineRule="auto"/>
        <w:ind w:firstLine="420" w:firstLineChars="200"/>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本章是本征集文件中涉及的所有无效标和废标情形的摘要，除法律法规另有规定外，投标文件的其他任何情形均不得作无效标和废标处理。征集文件中有关无效标和废标与本章节不一致的，以本章节内容为准。</w:t>
      </w:r>
    </w:p>
    <w:p>
      <w:pPr>
        <w:adjustRightInd w:val="0"/>
        <w:spacing w:line="360" w:lineRule="auto"/>
        <w:rPr>
          <w:rFonts w:cs="仿宋" w:asciiTheme="minorEastAsia" w:hAnsiTheme="minorEastAsia" w:eastAsiaTheme="minorEastAsia"/>
          <w:snapToGrid w:val="0"/>
          <w:kern w:val="0"/>
        </w:rPr>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一、资格性审查</w:t>
      </w:r>
    </w:p>
    <w:p>
      <w:pPr>
        <w:numPr>
          <w:ilvl w:val="0"/>
          <w:numId w:val="1"/>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bCs/>
          <w:szCs w:val="21"/>
        </w:rPr>
        <w:t>投标供应商</w:t>
      </w:r>
      <w:r>
        <w:rPr>
          <w:rFonts w:hint="eastAsia" w:cs="仿宋" w:asciiTheme="minorEastAsia" w:hAnsiTheme="minorEastAsia" w:eastAsiaTheme="minorEastAsia"/>
          <w:snapToGrid w:val="0"/>
          <w:kern w:val="0"/>
        </w:rPr>
        <w:t>的资格不符合征集文件要求或资格证明文件提供不全。</w:t>
      </w:r>
    </w:p>
    <w:p>
      <w:pPr>
        <w:pStyle w:val="2"/>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二、符合性审查</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投标供应商提供的投标文件数量不符合征集文件要求。</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投标文件未按照征集文件要求制作、密封和标记。</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投标文件有关内容未按征集文件要求加盖投标供应商印章、或未经法定代表人或其委托代理人签字（或盖章）。</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投标文件的关键内容字迹模糊、无法辨认的。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投标报价有严重缺漏项的。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未实质性响应征集文件要求的。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任一项带★的指标未投标或不满足要求。（如有带★号条款）</w:t>
      </w:r>
    </w:p>
    <w:p>
      <w:pPr>
        <w:numPr>
          <w:ilvl w:val="0"/>
          <w:numId w:val="2"/>
        </w:numPr>
        <w:adjustRightInd w:val="0"/>
        <w:spacing w:line="360" w:lineRule="auto"/>
        <w:rPr>
          <w:rFonts w:cs="仿宋" w:asciiTheme="minorEastAsia" w:hAnsiTheme="minorEastAsia" w:eastAsiaTheme="minorEastAsia"/>
          <w:snapToGrid w:val="0"/>
          <w:color w:val="FF0000"/>
          <w:kern w:val="0"/>
        </w:rPr>
      </w:pPr>
      <w:r>
        <w:rPr>
          <w:rFonts w:hint="eastAsia" w:cs="仿宋" w:asciiTheme="minorEastAsia" w:hAnsiTheme="minorEastAsia" w:eastAsiaTheme="minorEastAsia"/>
          <w:snapToGrid w:val="0"/>
          <w:kern w:val="0"/>
        </w:rPr>
        <w:t>未按征集文件所提供的样式填写《声明函》。</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将一个项目包拆分投标，对同一货物及服务投标时，同时提供两套或以上的投标方案。</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投标文件附有采购人不能接受的条件。</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出现违规行为：如以他人名义竞标、串通投标或者以其他弄虚作假方式投标的。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投标总价或单个采购条目的分项报价超过采购控制金额或最高限价的。</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法律、法规规定的其他情形。</w:t>
      </w:r>
    </w:p>
    <w:p>
      <w:pPr>
        <w:spacing w:line="360" w:lineRule="auto"/>
        <w:jc w:val="center"/>
        <w:rPr>
          <w:rFonts w:cs="仿宋" w:asciiTheme="minorEastAsia" w:hAnsiTheme="minorEastAsia" w:eastAsiaTheme="minorEastAsia"/>
          <w:b/>
          <w:bCs/>
          <w:sz w:val="32"/>
        </w:rPr>
      </w:pPr>
    </w:p>
    <w:p>
      <w:pPr>
        <w:widowControl/>
        <w:jc w:val="left"/>
        <w:rPr>
          <w:rFonts w:cs="仿宋" w:asciiTheme="minorEastAsia" w:hAnsiTheme="minorEastAsia" w:eastAsiaTheme="minorEastAsia"/>
          <w:b/>
          <w:bCs/>
          <w:sz w:val="32"/>
        </w:rPr>
      </w:pPr>
      <w:r>
        <w:rPr>
          <w:rFonts w:hint="eastAsia" w:cs="仿宋" w:asciiTheme="minorEastAsia" w:hAnsiTheme="minorEastAsia" w:eastAsiaTheme="minorEastAsia"/>
          <w:b/>
          <w:bCs/>
          <w:sz w:val="32"/>
        </w:rPr>
        <w:br w:type="page"/>
      </w:r>
    </w:p>
    <w:p>
      <w:pPr>
        <w:spacing w:line="360" w:lineRule="auto"/>
        <w:jc w:val="center"/>
        <w:rPr>
          <w:rFonts w:cs="仿宋" w:asciiTheme="minorEastAsia" w:hAnsiTheme="minorEastAsia" w:eastAsiaTheme="minorEastAsia"/>
          <w:b/>
          <w:sz w:val="36"/>
        </w:rPr>
      </w:pPr>
      <w:r>
        <w:rPr>
          <w:rFonts w:hint="eastAsia" w:cs="仿宋" w:asciiTheme="minorEastAsia" w:hAnsiTheme="minorEastAsia" w:eastAsiaTheme="minorEastAsia"/>
          <w:b/>
          <w:sz w:val="36"/>
        </w:rPr>
        <w:t>评审信息</w:t>
      </w:r>
    </w:p>
    <w:p>
      <w:pPr>
        <w:spacing w:line="360" w:lineRule="auto"/>
        <w:jc w:val="left"/>
        <w:rPr>
          <w:rFonts w:cs="仿宋" w:asciiTheme="minorEastAsia" w:hAnsiTheme="minorEastAsia" w:eastAsiaTheme="minorEastAsia"/>
          <w:b/>
          <w:szCs w:val="21"/>
        </w:rPr>
      </w:pPr>
    </w:p>
    <w:p>
      <w:pPr>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b/>
          <w:szCs w:val="21"/>
        </w:rPr>
        <w:t>评审方法;</w:t>
      </w:r>
      <w:r>
        <w:rPr>
          <w:rFonts w:hint="eastAsia" w:cs="仿宋" w:asciiTheme="minorEastAsia" w:hAnsiTheme="minorEastAsia" w:eastAsiaTheme="minorEastAsia"/>
          <w:szCs w:val="21"/>
        </w:rPr>
        <w:t>综合评分法。</w:t>
      </w:r>
    </w:p>
    <w:p>
      <w:pPr>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综合评分法，是指投标文件满足征集文件全部实质性要求，且按照评审因素的量化指标评审得分最高的投标供应商为中标候选供应商的评审方法。</w:t>
      </w:r>
    </w:p>
    <w:p>
      <w:pPr>
        <w:spacing w:line="360" w:lineRule="auto"/>
        <w:ind w:firstLine="422" w:firstLineChars="200"/>
        <w:jc w:val="left"/>
        <w:rPr>
          <w:rFonts w:cs="仿宋" w:asciiTheme="minorEastAsia" w:hAnsiTheme="minorEastAsia" w:eastAsiaTheme="minorEastAsia"/>
          <w:szCs w:val="21"/>
        </w:rPr>
      </w:pPr>
      <w:r>
        <w:rPr>
          <w:rFonts w:hint="eastAsia" w:cs="仿宋" w:asciiTheme="minorEastAsia" w:hAnsiTheme="minorEastAsia" w:eastAsiaTheme="minorEastAsia"/>
          <w:b/>
          <w:bCs/>
          <w:szCs w:val="21"/>
        </w:rPr>
        <w:t>公开征集采购方式说明：</w:t>
      </w:r>
      <w:r>
        <w:rPr>
          <w:rFonts w:hint="eastAsia" w:cs="仿宋" w:asciiTheme="minorEastAsia" w:hAnsiTheme="minorEastAsia" w:eastAsiaTheme="minorEastAsia"/>
          <w:szCs w:val="21"/>
        </w:rPr>
        <w:t>因有效投标供应商不足三家而致公开征集失败的，采购单位可结合实际需要，重新实施采购或依据有效投标供应商数量，在评标现场即转为邀请竞标或直接采购。</w:t>
      </w:r>
    </w:p>
    <w:p>
      <w:pPr>
        <w:spacing w:line="360" w:lineRule="auto"/>
        <w:ind w:firstLine="422" w:firstLineChars="200"/>
        <w:jc w:val="left"/>
        <w:rPr>
          <w:rFonts w:cs="仿宋" w:asciiTheme="minorEastAsia" w:hAnsiTheme="minorEastAsia" w:eastAsiaTheme="minorEastAsia"/>
          <w:szCs w:val="21"/>
        </w:rPr>
      </w:pPr>
      <w:r>
        <w:rPr>
          <w:rFonts w:hint="eastAsia" w:cs="仿宋" w:asciiTheme="minorEastAsia" w:hAnsiTheme="minorEastAsia" w:eastAsiaTheme="minorEastAsia"/>
          <w:b/>
          <w:bCs/>
          <w:szCs w:val="21"/>
        </w:rPr>
        <w:t>邀请竞标采购方式说明</w:t>
      </w:r>
      <w:r>
        <w:rPr>
          <w:rFonts w:hint="eastAsia" w:cs="仿宋" w:asciiTheme="minorEastAsia" w:hAnsiTheme="minorEastAsia" w:eastAsiaTheme="minorEastAsia"/>
          <w:szCs w:val="21"/>
        </w:rPr>
        <w:t xml:space="preserve">：是指邀请特定范围内 2家以上供应商参加投标，由采购单位代表、评审专家成立评审组根据本项目评审信息评审并确定中标供应商的采购方式。            </w:t>
      </w:r>
    </w:p>
    <w:p>
      <w:pPr>
        <w:spacing w:line="360" w:lineRule="auto"/>
        <w:ind w:firstLine="422" w:firstLineChars="200"/>
        <w:jc w:val="left"/>
        <w:rPr>
          <w:rFonts w:asciiTheme="minorEastAsia" w:hAnsiTheme="minorEastAsia" w:eastAsiaTheme="minorEastAsia"/>
          <w:szCs w:val="21"/>
        </w:rPr>
      </w:pPr>
      <w:r>
        <w:rPr>
          <w:rFonts w:hint="eastAsia" w:cs="仿宋" w:asciiTheme="minorEastAsia" w:hAnsiTheme="minorEastAsia" w:eastAsiaTheme="minorEastAsia"/>
          <w:b/>
          <w:bCs/>
          <w:szCs w:val="21"/>
        </w:rPr>
        <w:t>直接采购采购方式说明</w:t>
      </w:r>
      <w:r>
        <w:rPr>
          <w:rFonts w:hint="eastAsia" w:cs="仿宋" w:asciiTheme="minorEastAsia" w:hAnsiTheme="minorEastAsia" w:eastAsiaTheme="minorEastAsia"/>
          <w:szCs w:val="21"/>
        </w:rPr>
        <w:t>：是指采购单位自行与唯一供应商通过谈判确定成交的采购方式。</w:t>
      </w:r>
    </w:p>
    <w:tbl>
      <w:tblPr>
        <w:tblStyle w:val="16"/>
        <w:tblW w:w="54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144"/>
        <w:gridCol w:w="850"/>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72" w:type="pct"/>
            <w:tcBorders>
              <w:top w:val="double" w:color="auto" w:sz="4" w:space="0"/>
              <w:left w:val="double" w:color="auto" w:sz="4" w:space="0"/>
              <w:bottom w:val="single" w:color="auto" w:sz="4" w:space="0"/>
            </w:tcBorders>
            <w:shd w:val="clear" w:color="auto" w:fill="8DB3E2"/>
            <w:vAlign w:val="center"/>
          </w:tcPr>
          <w:p>
            <w:pPr>
              <w:keepNext w:val="0"/>
              <w:keepLines w:val="0"/>
              <w:pageBreakBefore w:val="0"/>
              <w:kinsoku/>
              <w:wordWrap/>
              <w:overflowPunct/>
              <w:topLinePunct w:val="0"/>
              <w:bidi w:val="0"/>
              <w:adjustRightInd w:val="0"/>
              <w:snapToGrid w:val="0"/>
              <w:spacing w:beforeAutospacing="0" w:line="460" w:lineRule="exact"/>
              <w:jc w:val="center"/>
              <w:textAlignment w:val="auto"/>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类别</w:t>
            </w:r>
          </w:p>
        </w:tc>
        <w:tc>
          <w:tcPr>
            <w:tcW w:w="613" w:type="pct"/>
            <w:tcBorders>
              <w:top w:val="double" w:color="auto" w:sz="4" w:space="0"/>
            </w:tcBorders>
            <w:shd w:val="clear" w:color="auto" w:fill="8DB3E2"/>
            <w:vAlign w:val="center"/>
          </w:tcPr>
          <w:p>
            <w:pPr>
              <w:keepNext w:val="0"/>
              <w:keepLines w:val="0"/>
              <w:pageBreakBefore w:val="0"/>
              <w:kinsoku/>
              <w:wordWrap/>
              <w:overflowPunct/>
              <w:topLinePunct w:val="0"/>
              <w:bidi w:val="0"/>
              <w:adjustRightInd w:val="0"/>
              <w:snapToGrid w:val="0"/>
              <w:spacing w:beforeAutospacing="0" w:line="460" w:lineRule="exact"/>
              <w:jc w:val="center"/>
              <w:textAlignment w:val="auto"/>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评分项目</w:t>
            </w:r>
          </w:p>
        </w:tc>
        <w:tc>
          <w:tcPr>
            <w:tcW w:w="456" w:type="pct"/>
            <w:tcBorders>
              <w:top w:val="double" w:color="auto" w:sz="4" w:space="0"/>
            </w:tcBorders>
            <w:shd w:val="clear" w:color="auto" w:fill="8DB3E2"/>
            <w:vAlign w:val="center"/>
          </w:tcPr>
          <w:p>
            <w:pPr>
              <w:keepNext w:val="0"/>
              <w:keepLines w:val="0"/>
              <w:pageBreakBefore w:val="0"/>
              <w:widowControl/>
              <w:kinsoku/>
              <w:wordWrap/>
              <w:overflowPunct/>
              <w:topLinePunct w:val="0"/>
              <w:bidi w:val="0"/>
              <w:adjustRightInd w:val="0"/>
              <w:snapToGrid w:val="0"/>
              <w:spacing w:beforeAutospacing="0" w:line="460" w:lineRule="exact"/>
              <w:jc w:val="center"/>
              <w:textAlignment w:val="auto"/>
              <w:rPr>
                <w:rFonts w:cs="仿宋" w:asciiTheme="minorEastAsia" w:hAnsiTheme="minorEastAsia" w:eastAsiaTheme="minorEastAsia"/>
                <w:snapToGrid w:val="0"/>
                <w:kern w:val="0"/>
                <w:szCs w:val="21"/>
              </w:rPr>
            </w:pPr>
            <w:r>
              <w:rPr>
                <w:rFonts w:hint="eastAsia" w:cs="仿宋" w:asciiTheme="minorEastAsia" w:hAnsiTheme="minorEastAsia" w:eastAsiaTheme="minorEastAsia"/>
                <w:b/>
                <w:bCs/>
                <w:snapToGrid w:val="0"/>
                <w:kern w:val="0"/>
                <w:szCs w:val="21"/>
              </w:rPr>
              <w:t>分值</w:t>
            </w:r>
          </w:p>
        </w:tc>
        <w:tc>
          <w:tcPr>
            <w:tcW w:w="3357" w:type="pct"/>
            <w:tcBorders>
              <w:top w:val="double" w:color="auto" w:sz="4" w:space="0"/>
              <w:right w:val="double" w:color="auto" w:sz="4" w:space="0"/>
            </w:tcBorders>
            <w:shd w:val="clear" w:color="auto" w:fill="8DB3E2"/>
            <w:vAlign w:val="center"/>
          </w:tcPr>
          <w:p>
            <w:pPr>
              <w:keepNext w:val="0"/>
              <w:keepLines w:val="0"/>
              <w:pageBreakBefore w:val="0"/>
              <w:kinsoku/>
              <w:wordWrap/>
              <w:overflowPunct/>
              <w:topLinePunct w:val="0"/>
              <w:bidi w:val="0"/>
              <w:adjustRightInd w:val="0"/>
              <w:snapToGrid w:val="0"/>
              <w:spacing w:beforeAutospacing="0" w:line="460" w:lineRule="exact"/>
              <w:jc w:val="center"/>
              <w:textAlignment w:val="auto"/>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tcBorders>
              <w:left w:val="double" w:color="auto" w:sz="4" w:space="0"/>
            </w:tcBorders>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价格部分（G）</w:t>
            </w:r>
          </w:p>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（总分30分）</w:t>
            </w:r>
          </w:p>
        </w:tc>
        <w:tc>
          <w:tcPr>
            <w:tcW w:w="613" w:type="pct"/>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投标报价</w:t>
            </w:r>
          </w:p>
        </w:tc>
        <w:tc>
          <w:tcPr>
            <w:tcW w:w="456" w:type="pct"/>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30</w:t>
            </w:r>
          </w:p>
        </w:tc>
        <w:tc>
          <w:tcPr>
            <w:tcW w:w="3357" w:type="pct"/>
            <w:tcBorders>
              <w:right w:val="double" w:color="auto" w:sz="4" w:space="0"/>
            </w:tcBorders>
            <w:vAlign w:val="center"/>
          </w:tcPr>
          <w:p>
            <w:pPr>
              <w:keepNext w:val="0"/>
              <w:keepLines w:val="0"/>
              <w:pageBreakBefore w:val="0"/>
              <w:kinsoku/>
              <w:wordWrap/>
              <w:overflowPunct/>
              <w:topLinePunct w:val="0"/>
              <w:bidi w:val="0"/>
              <w:adjustRightInd w:val="0"/>
              <w:spacing w:beforeAutospacing="0" w:line="460" w:lineRule="exact"/>
              <w:jc w:val="lef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价格分按以下方案计算：</w:t>
            </w:r>
          </w:p>
          <w:p>
            <w:pPr>
              <w:keepNext w:val="0"/>
              <w:keepLines w:val="0"/>
              <w:pageBreakBefore w:val="0"/>
              <w:kinsoku/>
              <w:wordWrap/>
              <w:overflowPunct/>
              <w:topLinePunct w:val="0"/>
              <w:bidi w:val="0"/>
              <w:adjustRightInd w:val="0"/>
              <w:spacing w:beforeAutospacing="0" w:line="460" w:lineRule="exact"/>
              <w:jc w:val="lef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投标报价得分= Z/Sn×权重</w:t>
            </w:r>
          </w:p>
          <w:p>
            <w:pPr>
              <w:keepNext w:val="0"/>
              <w:keepLines w:val="0"/>
              <w:pageBreakBefore w:val="0"/>
              <w:kinsoku/>
              <w:wordWrap/>
              <w:overflowPunct/>
              <w:topLinePunct w:val="0"/>
              <w:bidi w:val="0"/>
              <w:adjustRightInd w:val="0"/>
              <w:spacing w:beforeAutospacing="0" w:line="460" w:lineRule="exact"/>
              <w:jc w:val="lef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其中： Z --评审基准价，即通过资格性审查和符合性审查且价格最低的投标报价</w:t>
            </w:r>
          </w:p>
          <w:p>
            <w:pPr>
              <w:keepNext w:val="0"/>
              <w:keepLines w:val="0"/>
              <w:pageBreakBefore w:val="0"/>
              <w:kinsoku/>
              <w:wordWrap/>
              <w:overflowPunct/>
              <w:topLinePunct w:val="0"/>
              <w:bidi w:val="0"/>
              <w:adjustRightInd w:val="0"/>
              <w:spacing w:beforeAutospacing="0" w:line="460" w:lineRule="exac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ab/>
            </w:r>
            <w:r>
              <w:rPr>
                <w:rFonts w:hint="eastAsia" w:cs="仿宋" w:asciiTheme="minorEastAsia" w:hAnsiTheme="minorEastAsia" w:eastAsiaTheme="minorEastAsia"/>
                <w:kern w:val="0"/>
                <w:szCs w:val="21"/>
              </w:rPr>
              <w:t xml:space="preserve">  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restart"/>
            <w:tcBorders>
              <w:left w:val="double" w:color="auto" w:sz="4" w:space="0"/>
            </w:tcBorders>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技术部分（J）</w:t>
            </w:r>
          </w:p>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w:t>
            </w:r>
            <w:r>
              <w:rPr>
                <w:rFonts w:hint="eastAsia" w:cs="仿宋" w:asciiTheme="minorEastAsia" w:hAnsiTheme="minorEastAsia" w:eastAsiaTheme="minorEastAsia"/>
                <w:b/>
                <w:bCs/>
                <w:snapToGrid w:val="0"/>
                <w:kern w:val="0"/>
                <w:szCs w:val="21"/>
                <w:lang w:val="en-US" w:eastAsia="zh-CN"/>
              </w:rPr>
              <w:t>54</w:t>
            </w:r>
            <w:r>
              <w:rPr>
                <w:rFonts w:hint="eastAsia" w:cs="仿宋" w:asciiTheme="minorEastAsia" w:hAnsiTheme="minorEastAsia" w:eastAsiaTheme="minorEastAsia"/>
                <w:b/>
                <w:bCs/>
                <w:snapToGrid w:val="0"/>
                <w:kern w:val="0"/>
                <w:szCs w:val="21"/>
              </w:rPr>
              <w:t>分）</w:t>
            </w:r>
          </w:p>
        </w:tc>
        <w:tc>
          <w:tcPr>
            <w:tcW w:w="613" w:type="pct"/>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kern w:val="0"/>
                <w:szCs w:val="21"/>
              </w:rPr>
            </w:pPr>
            <w:r>
              <w:rPr>
                <w:rFonts w:hint="eastAsia" w:ascii="宋体" w:hAnsi="宋体" w:cs="宋体"/>
                <w:kern w:val="0"/>
                <w:szCs w:val="21"/>
              </w:rPr>
              <w:t>技术规格偏离情况</w:t>
            </w:r>
          </w:p>
        </w:tc>
        <w:tc>
          <w:tcPr>
            <w:tcW w:w="456" w:type="pct"/>
            <w:vAlign w:val="center"/>
          </w:tcPr>
          <w:p>
            <w:pPr>
              <w:keepNext w:val="0"/>
              <w:keepLines w:val="0"/>
              <w:pageBreakBefore w:val="0"/>
              <w:kinsoku/>
              <w:wordWrap/>
              <w:overflowPunct/>
              <w:topLinePunct w:val="0"/>
              <w:bidi w:val="0"/>
              <w:spacing w:beforeAutospacing="0" w:line="460" w:lineRule="exact"/>
              <w:jc w:val="center"/>
              <w:textAlignment w:val="auto"/>
              <w:rPr>
                <w:rFonts w:hint="default" w:cs="仿宋" w:asciiTheme="minorEastAsia" w:hAnsiTheme="minorEastAsia" w:eastAsiaTheme="minorEastAsia"/>
                <w:kern w:val="0"/>
                <w:szCs w:val="21"/>
                <w:lang w:val="en-US" w:eastAsia="zh-CN"/>
              </w:rPr>
            </w:pPr>
            <w:r>
              <w:rPr>
                <w:rFonts w:hint="eastAsia" w:cs="仿宋" w:asciiTheme="minorEastAsia" w:hAnsiTheme="minorEastAsia" w:eastAsiaTheme="minorEastAsia"/>
                <w:kern w:val="0"/>
                <w:szCs w:val="21"/>
                <w:lang w:val="en-US" w:eastAsia="zh-CN"/>
              </w:rPr>
              <w:t>38</w:t>
            </w:r>
          </w:p>
        </w:tc>
        <w:tc>
          <w:tcPr>
            <w:tcW w:w="3357" w:type="pct"/>
            <w:tcBorders>
              <w:right w:val="double" w:color="auto" w:sz="4" w:space="0"/>
            </w:tcBorders>
            <w:vAlign w:val="center"/>
          </w:tcPr>
          <w:p>
            <w:pPr>
              <w:keepNext w:val="0"/>
              <w:keepLines w:val="0"/>
              <w:pageBreakBefore w:val="0"/>
              <w:kinsoku/>
              <w:wordWrap/>
              <w:overflowPunct/>
              <w:topLinePunct w:val="0"/>
              <w:bidi w:val="0"/>
              <w:adjustRightInd w:val="0"/>
              <w:spacing w:beforeAutospacing="0" w:line="460" w:lineRule="exac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（一）评分内容：</w:t>
            </w:r>
          </w:p>
          <w:p>
            <w:pPr>
              <w:keepNext w:val="0"/>
              <w:keepLines w:val="0"/>
              <w:pageBreakBefore w:val="0"/>
              <w:kinsoku/>
              <w:wordWrap/>
              <w:overflowPunct/>
              <w:topLinePunct w:val="0"/>
              <w:bidi w:val="0"/>
              <w:adjustRightInd w:val="0"/>
              <w:spacing w:beforeAutospacing="0" w:line="460" w:lineRule="exac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投标供应商应如实填写《技术要求偏离表》，各项技术参数指标及要求全部满足的得</w:t>
            </w:r>
            <w:r>
              <w:rPr>
                <w:rFonts w:hint="eastAsia" w:cs="仿宋" w:asciiTheme="minorEastAsia" w:hAnsiTheme="minorEastAsia" w:eastAsiaTheme="minorEastAsia"/>
                <w:kern w:val="0"/>
                <w:szCs w:val="21"/>
                <w:lang w:val="en-US" w:eastAsia="zh-CN"/>
              </w:rPr>
              <w:t>38</w:t>
            </w:r>
            <w:r>
              <w:rPr>
                <w:rFonts w:hint="eastAsia" w:cs="仿宋" w:asciiTheme="minorEastAsia" w:hAnsiTheme="minorEastAsia" w:eastAsiaTheme="minorEastAsia"/>
                <w:kern w:val="0"/>
                <w:szCs w:val="21"/>
              </w:rPr>
              <w:t>分，“▲”重要技术参数每项负偏离扣</w:t>
            </w:r>
            <w:r>
              <w:rPr>
                <w:rFonts w:hint="eastAsia" w:cs="仿宋" w:asciiTheme="minorEastAsia" w:hAnsiTheme="minorEastAsia" w:eastAsiaTheme="minorEastAsia"/>
                <w:kern w:val="0"/>
                <w:szCs w:val="21"/>
                <w:lang w:val="en-US" w:eastAsia="zh-CN"/>
              </w:rPr>
              <w:t>3.5</w:t>
            </w:r>
            <w:r>
              <w:rPr>
                <w:rFonts w:hint="eastAsia" w:cs="仿宋" w:asciiTheme="minorEastAsia" w:hAnsiTheme="minorEastAsia" w:eastAsiaTheme="minorEastAsia"/>
                <w:kern w:val="0"/>
                <w:szCs w:val="21"/>
              </w:rPr>
              <w:t>分，一般技术参数每项负偏离扣0.</w:t>
            </w:r>
            <w:r>
              <w:rPr>
                <w:rFonts w:hint="eastAsia" w:cs="仿宋" w:asciiTheme="minorEastAsia" w:hAnsiTheme="minorEastAsia" w:eastAsiaTheme="minorEastAsia"/>
                <w:kern w:val="0"/>
                <w:szCs w:val="21"/>
                <w:lang w:val="en-US" w:eastAsia="zh-CN"/>
              </w:rPr>
              <w:t>1</w:t>
            </w:r>
            <w:r>
              <w:rPr>
                <w:rFonts w:hint="eastAsia" w:cs="仿宋" w:asciiTheme="minorEastAsia" w:hAnsiTheme="minorEastAsia" w:eastAsiaTheme="minorEastAsia"/>
                <w:kern w:val="0"/>
                <w:szCs w:val="21"/>
              </w:rPr>
              <w:t>分，最低0分。</w:t>
            </w:r>
          </w:p>
          <w:p>
            <w:pPr>
              <w:keepNext w:val="0"/>
              <w:keepLines w:val="0"/>
              <w:pageBreakBefore w:val="0"/>
              <w:kinsoku/>
              <w:wordWrap/>
              <w:overflowPunct/>
              <w:topLinePunct w:val="0"/>
              <w:bidi w:val="0"/>
              <w:adjustRightInd w:val="0"/>
              <w:spacing w:beforeAutospacing="0" w:line="460" w:lineRule="exac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（二）评分依据：</w:t>
            </w:r>
          </w:p>
          <w:p>
            <w:pPr>
              <w:keepNext w:val="0"/>
              <w:keepLines w:val="0"/>
              <w:pageBreakBefore w:val="0"/>
              <w:widowControl w:val="0"/>
              <w:kinsoku/>
              <w:wordWrap/>
              <w:overflowPunct/>
              <w:topLinePunct w:val="0"/>
              <w:autoSpaceDE/>
              <w:autoSpaceDN/>
              <w:bidi w:val="0"/>
              <w:adjustRightInd w:val="0"/>
              <w:snapToGrid/>
              <w:spacing w:beforeAutospacing="0" w:line="460" w:lineRule="exac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以投标文件《技术规格偏离表》为评分依据，投标供应商按征集文件要求提供相应的证明材料复印件或扫描件，加盖投标供应商公章（原件备查），并注明证明材料在投标文件中的具体位置。未提供有效证明材料或未注明证明材料在投标文件中的具体位置或提供的证明资料显示不符合征集文件要求、模糊不清无法判断或未显示是否满足征集文件参数的，该项技术指标按负偏离处理。对于不同货物的技术要求中的相同项不满足时按一项不满足进行扣分，不对某一项技术要求重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tcBorders>
              <w:left w:val="double" w:color="auto" w:sz="4" w:space="0"/>
            </w:tcBorders>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b/>
                <w:bCs/>
                <w:snapToGrid w:val="0"/>
                <w:kern w:val="0"/>
                <w:szCs w:val="21"/>
              </w:rPr>
            </w:pPr>
          </w:p>
        </w:tc>
        <w:tc>
          <w:tcPr>
            <w:tcW w:w="613" w:type="pct"/>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kern w:val="0"/>
                <w:szCs w:val="21"/>
              </w:rPr>
            </w:pPr>
            <w:r>
              <w:rPr>
                <w:rFonts w:hint="eastAsia"/>
              </w:rPr>
              <w:t>所投产品制造安装、质量保障</w:t>
            </w:r>
          </w:p>
        </w:tc>
        <w:tc>
          <w:tcPr>
            <w:tcW w:w="456" w:type="pct"/>
            <w:vAlign w:val="center"/>
          </w:tcPr>
          <w:p>
            <w:pPr>
              <w:keepNext w:val="0"/>
              <w:keepLines w:val="0"/>
              <w:pageBreakBefore w:val="0"/>
              <w:kinsoku/>
              <w:wordWrap/>
              <w:overflowPunct/>
              <w:topLinePunct w:val="0"/>
              <w:bidi w:val="0"/>
              <w:spacing w:beforeAutospacing="0" w:line="460" w:lineRule="exact"/>
              <w:jc w:val="center"/>
              <w:textAlignment w:val="auto"/>
              <w:rPr>
                <w:rFonts w:hint="eastAsia" w:cs="仿宋" w:asciiTheme="minorEastAsia" w:hAnsiTheme="minorEastAsia" w:eastAsiaTheme="minorEastAsia"/>
                <w:kern w:val="0"/>
                <w:szCs w:val="21"/>
                <w:lang w:eastAsia="zh-CN"/>
              </w:rPr>
            </w:pPr>
            <w:r>
              <w:rPr>
                <w:rFonts w:hint="eastAsia" w:cs="仿宋" w:asciiTheme="minorEastAsia" w:hAnsiTheme="minorEastAsia" w:eastAsiaTheme="minorEastAsia"/>
                <w:kern w:val="0"/>
                <w:szCs w:val="21"/>
                <w:lang w:val="en-US" w:eastAsia="zh-CN"/>
              </w:rPr>
              <w:t>8</w:t>
            </w:r>
          </w:p>
        </w:tc>
        <w:tc>
          <w:tcPr>
            <w:tcW w:w="3357" w:type="pct"/>
            <w:tcBorders>
              <w:right w:val="double" w:color="auto" w:sz="4" w:space="0"/>
            </w:tcBorders>
            <w:vAlign w:val="center"/>
          </w:tcPr>
          <w:p>
            <w:pPr>
              <w:pStyle w:val="8"/>
              <w:keepNext w:val="0"/>
              <w:keepLines w:val="0"/>
              <w:pageBreakBefore w:val="0"/>
              <w:kinsoku/>
              <w:wordWrap/>
              <w:overflowPunct/>
              <w:topLinePunct w:val="0"/>
              <w:bidi w:val="0"/>
              <w:spacing w:beforeAutospacing="0" w:line="460" w:lineRule="exact"/>
              <w:textAlignment w:val="auto"/>
            </w:pPr>
            <w:r>
              <w:rPr>
                <w:rFonts w:hint="eastAsia"/>
              </w:rPr>
              <w:t>建议改为：</w:t>
            </w:r>
          </w:p>
          <w:p>
            <w:pPr>
              <w:pStyle w:val="41"/>
              <w:keepNext w:val="0"/>
              <w:keepLines w:val="0"/>
              <w:pageBreakBefore w:val="0"/>
              <w:kinsoku/>
              <w:wordWrap/>
              <w:overflowPunct/>
              <w:topLinePunct w:val="0"/>
              <w:bidi w:val="0"/>
              <w:spacing w:beforeAutospacing="0" w:line="460" w:lineRule="exact"/>
              <w:ind w:firstLine="0" w:firstLineChars="0"/>
              <w:textAlignment w:val="auto"/>
              <w:rPr>
                <w:rFonts w:ascii="宋体" w:hAnsi="宋体"/>
              </w:rPr>
            </w:pPr>
            <w:r>
              <w:rPr>
                <w:rFonts w:hint="eastAsia" w:ascii="宋体" w:hAnsi="宋体"/>
              </w:rPr>
              <w:t>（一）评分内容：</w:t>
            </w:r>
          </w:p>
          <w:p>
            <w:pPr>
              <w:keepNext w:val="0"/>
              <w:keepLines w:val="0"/>
              <w:pageBreakBefore w:val="0"/>
              <w:kinsoku/>
              <w:wordWrap/>
              <w:overflowPunct/>
              <w:topLinePunct w:val="0"/>
              <w:autoSpaceDE w:val="0"/>
              <w:autoSpaceDN w:val="0"/>
              <w:bidi w:val="0"/>
              <w:adjustRightInd w:val="0"/>
              <w:spacing w:beforeAutospacing="0" w:line="460" w:lineRule="exact"/>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考察投标产品制造安装、质量保障等方面采取技术和组织措施。</w:t>
            </w:r>
          </w:p>
          <w:p>
            <w:pPr>
              <w:keepNext w:val="0"/>
              <w:keepLines w:val="0"/>
              <w:pageBreakBefore w:val="0"/>
              <w:kinsoku/>
              <w:wordWrap/>
              <w:overflowPunct/>
              <w:topLinePunct w:val="0"/>
              <w:autoSpaceDE w:val="0"/>
              <w:autoSpaceDN w:val="0"/>
              <w:bidi w:val="0"/>
              <w:adjustRightInd w:val="0"/>
              <w:spacing w:beforeAutospacing="0" w:line="460" w:lineRule="exact"/>
              <w:textAlignment w:val="auto"/>
              <w:rPr>
                <w:rFonts w:ascii="宋体" w:hAnsi="宋体"/>
                <w:kern w:val="0"/>
                <w:szCs w:val="21"/>
              </w:rPr>
            </w:pPr>
            <w:r>
              <w:rPr>
                <w:rFonts w:hint="eastAsia" w:ascii="宋体" w:hAnsi="宋体"/>
                <w:kern w:val="0"/>
                <w:szCs w:val="21"/>
              </w:rPr>
              <w:t>（二）评分标准：</w:t>
            </w:r>
          </w:p>
          <w:p>
            <w:pPr>
              <w:keepNext w:val="0"/>
              <w:keepLines w:val="0"/>
              <w:pageBreakBefore w:val="0"/>
              <w:kinsoku/>
              <w:wordWrap/>
              <w:overflowPunct/>
              <w:topLinePunct w:val="0"/>
              <w:autoSpaceDE w:val="0"/>
              <w:autoSpaceDN w:val="0"/>
              <w:bidi w:val="0"/>
              <w:adjustRightInd w:val="0"/>
              <w:spacing w:beforeAutospacing="0" w:line="460" w:lineRule="exact"/>
              <w:textAlignment w:val="auto"/>
              <w:rPr>
                <w:rFonts w:ascii="宋体" w:hAnsi="宋体" w:cs="宋体"/>
                <w:szCs w:val="21"/>
              </w:rPr>
            </w:pPr>
            <w:r>
              <w:rPr>
                <w:rFonts w:hint="eastAsia" w:ascii="宋体" w:hAnsi="宋体" w:cs="宋体"/>
                <w:szCs w:val="21"/>
              </w:rPr>
              <w:t>（1）产品的制造、安装、保障措施（包括技术团队员、组织方案、防雨防水等质量保障方案），方案内容详细、具体；</w:t>
            </w:r>
          </w:p>
          <w:p>
            <w:pPr>
              <w:keepNext w:val="0"/>
              <w:keepLines w:val="0"/>
              <w:pageBreakBefore w:val="0"/>
              <w:kinsoku/>
              <w:wordWrap/>
              <w:overflowPunct/>
              <w:topLinePunct w:val="0"/>
              <w:autoSpaceDE w:val="0"/>
              <w:autoSpaceDN w:val="0"/>
              <w:bidi w:val="0"/>
              <w:adjustRightInd w:val="0"/>
              <w:spacing w:beforeAutospacing="0" w:line="460" w:lineRule="exact"/>
              <w:textAlignment w:val="auto"/>
              <w:rPr>
                <w:rFonts w:ascii="宋体" w:hAnsi="宋体" w:cs="宋体"/>
                <w:szCs w:val="21"/>
              </w:rPr>
            </w:pPr>
            <w:r>
              <w:rPr>
                <w:rFonts w:hint="eastAsia" w:ascii="宋体" w:hAnsi="宋体" w:cs="宋体"/>
                <w:szCs w:val="21"/>
              </w:rPr>
              <w:t>（2）</w:t>
            </w:r>
            <w:r>
              <w:rPr>
                <w:rFonts w:hint="eastAsia" w:cs="宋体" w:asciiTheme="minorEastAsia" w:hAnsiTheme="minorEastAsia" w:eastAsiaTheme="minorEastAsia"/>
                <w:szCs w:val="21"/>
              </w:rPr>
              <w:t>工作措施、工作方法科学</w:t>
            </w:r>
            <w:r>
              <w:rPr>
                <w:rFonts w:hint="eastAsia" w:ascii="宋体" w:hAnsi="宋体" w:cs="宋体"/>
                <w:szCs w:val="21"/>
              </w:rPr>
              <w:t>完善，可实施性强；</w:t>
            </w:r>
          </w:p>
          <w:p>
            <w:pPr>
              <w:keepNext w:val="0"/>
              <w:keepLines w:val="0"/>
              <w:pageBreakBefore w:val="0"/>
              <w:kinsoku/>
              <w:wordWrap/>
              <w:overflowPunct/>
              <w:topLinePunct w:val="0"/>
              <w:autoSpaceDE w:val="0"/>
              <w:autoSpaceDN w:val="0"/>
              <w:bidi w:val="0"/>
              <w:adjustRightInd w:val="0"/>
              <w:spacing w:beforeAutospacing="0" w:line="460" w:lineRule="exact"/>
              <w:textAlignment w:val="auto"/>
              <w:rPr>
                <w:rFonts w:cs="仿宋" w:asciiTheme="minorEastAsia" w:hAnsiTheme="minorEastAsia"/>
                <w:kern w:val="0"/>
                <w:szCs w:val="21"/>
              </w:rPr>
            </w:pPr>
            <w:r>
              <w:rPr>
                <w:rFonts w:hint="eastAsia" w:ascii="宋体" w:hAnsi="宋体" w:cs="宋体"/>
                <w:szCs w:val="21"/>
              </w:rPr>
              <w:t>（3）</w:t>
            </w:r>
            <w:r>
              <w:rPr>
                <w:rFonts w:hint="eastAsia" w:cs="仿宋" w:asciiTheme="minorEastAsia" w:hAnsiTheme="minorEastAsia" w:eastAsiaTheme="minorEastAsia"/>
                <w:kern w:val="0"/>
                <w:szCs w:val="21"/>
              </w:rPr>
              <w:t>人</w:t>
            </w:r>
            <w:r>
              <w:rPr>
                <w:rFonts w:hint="eastAsia" w:ascii="宋体" w:hAnsi="宋体"/>
                <w:kern w:val="0"/>
                <w:szCs w:val="21"/>
              </w:rPr>
              <w:t>项目实施过程中服务人员稳定</w:t>
            </w:r>
            <w:r>
              <w:rPr>
                <w:rFonts w:hint="eastAsia" w:cs="仿宋" w:asciiTheme="minorEastAsia" w:hAnsiTheme="minorEastAsia" w:eastAsiaTheme="minorEastAsia"/>
                <w:kern w:val="0"/>
                <w:szCs w:val="21"/>
              </w:rPr>
              <w:t>；</w:t>
            </w:r>
          </w:p>
          <w:p>
            <w:pPr>
              <w:keepNext w:val="0"/>
              <w:keepLines w:val="0"/>
              <w:pageBreakBefore w:val="0"/>
              <w:kinsoku/>
              <w:wordWrap/>
              <w:overflowPunct/>
              <w:topLinePunct w:val="0"/>
              <w:autoSpaceDE w:val="0"/>
              <w:autoSpaceDN w:val="0"/>
              <w:bidi w:val="0"/>
              <w:adjustRightInd w:val="0"/>
              <w:spacing w:beforeAutospacing="0" w:line="460" w:lineRule="exact"/>
              <w:textAlignment w:val="auto"/>
              <w:rPr>
                <w:rFonts w:hint="eastAsia" w:ascii="宋体" w:hAnsi="宋体" w:eastAsia="宋体" w:cs="宋体"/>
                <w:szCs w:val="21"/>
                <w:lang w:eastAsia="zh-CN"/>
              </w:rPr>
            </w:pPr>
            <w:r>
              <w:rPr>
                <w:rFonts w:hint="eastAsia" w:cs="仿宋" w:asciiTheme="minorEastAsia" w:hAnsiTheme="minorEastAsia" w:eastAsiaTheme="minorEastAsia"/>
                <w:kern w:val="0"/>
                <w:szCs w:val="21"/>
              </w:rPr>
              <w:t>（4）项目保障措施成熟可靠，</w:t>
            </w:r>
            <w:r>
              <w:rPr>
                <w:rFonts w:hint="eastAsia" w:ascii="宋体" w:hAnsi="宋体"/>
                <w:kern w:val="0"/>
                <w:szCs w:val="21"/>
              </w:rPr>
              <w:t>能有效把控项目成果</w:t>
            </w:r>
            <w:r>
              <w:rPr>
                <w:rFonts w:hint="eastAsia" w:ascii="宋体" w:hAnsi="宋体"/>
                <w:kern w:val="0"/>
                <w:szCs w:val="21"/>
                <w:lang w:eastAsia="zh-CN"/>
              </w:rPr>
              <w:t>。</w:t>
            </w:r>
          </w:p>
          <w:p>
            <w:pPr>
              <w:keepNext w:val="0"/>
              <w:keepLines w:val="0"/>
              <w:pageBreakBefore w:val="0"/>
              <w:kinsoku/>
              <w:wordWrap/>
              <w:overflowPunct/>
              <w:topLinePunct w:val="0"/>
              <w:autoSpaceDE w:val="0"/>
              <w:autoSpaceDN w:val="0"/>
              <w:bidi w:val="0"/>
              <w:adjustRightInd w:val="0"/>
              <w:spacing w:beforeAutospacing="0" w:line="460" w:lineRule="exact"/>
              <w:textAlignment w:val="auto"/>
            </w:pPr>
            <w:r>
              <w:rPr>
                <w:rFonts w:hint="eastAsia"/>
              </w:rPr>
              <w:t>满足以</w:t>
            </w:r>
            <w:r>
              <w:rPr>
                <w:rFonts w:hint="eastAsia" w:asciiTheme="minorEastAsia" w:hAnsiTheme="minorEastAsia" w:eastAsiaTheme="minorEastAsia"/>
              </w:rPr>
              <w:t>上四项要求的得</w:t>
            </w:r>
            <w:r>
              <w:rPr>
                <w:rFonts w:hint="eastAsia" w:asciiTheme="minorEastAsia" w:hAnsiTheme="minorEastAsia" w:eastAsiaTheme="minorEastAsia"/>
                <w:lang w:val="en-US" w:eastAsia="zh-CN"/>
              </w:rPr>
              <w:t>8</w:t>
            </w:r>
            <w:r>
              <w:rPr>
                <w:rFonts w:hint="eastAsia" w:asciiTheme="minorEastAsia" w:hAnsiTheme="minorEastAsia" w:eastAsiaTheme="minorEastAsia"/>
              </w:rPr>
              <w:t>分，满足其中三项要求的得</w:t>
            </w:r>
            <w:r>
              <w:rPr>
                <w:rFonts w:hint="eastAsia" w:asciiTheme="minorEastAsia" w:hAnsiTheme="minorEastAsia" w:eastAsiaTheme="minorEastAsia"/>
                <w:lang w:val="en-US" w:eastAsia="zh-CN"/>
              </w:rPr>
              <w:t>4</w:t>
            </w:r>
            <w:r>
              <w:rPr>
                <w:rFonts w:hint="eastAsia" w:asciiTheme="minorEastAsia" w:hAnsiTheme="minorEastAsia" w:eastAsiaTheme="minorEastAsia"/>
              </w:rPr>
              <w:t>分，满足其中二项要求的得1分，其他情况不得分。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tcBorders>
              <w:left w:val="double" w:color="auto" w:sz="4" w:space="0"/>
            </w:tcBorders>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b/>
                <w:bCs/>
                <w:snapToGrid w:val="0"/>
                <w:kern w:val="0"/>
                <w:szCs w:val="21"/>
              </w:rPr>
            </w:pPr>
          </w:p>
        </w:tc>
        <w:tc>
          <w:tcPr>
            <w:tcW w:w="613" w:type="pct"/>
            <w:vAlign w:val="center"/>
          </w:tcPr>
          <w:p>
            <w:pPr>
              <w:keepNext w:val="0"/>
              <w:keepLines w:val="0"/>
              <w:pageBreakBefore w:val="0"/>
              <w:kinsoku/>
              <w:wordWrap/>
              <w:overflowPunct/>
              <w:topLinePunct w:val="0"/>
              <w:bidi w:val="0"/>
              <w:spacing w:beforeAutospacing="0" w:line="460" w:lineRule="exact"/>
              <w:jc w:val="center"/>
              <w:textAlignment w:val="auto"/>
              <w:rPr>
                <w:rFonts w:hint="eastAsia"/>
              </w:rPr>
            </w:pPr>
            <w:r>
              <w:rPr>
                <w:rFonts w:hint="eastAsia" w:ascii="宋体" w:hAnsi="宋体" w:cs="宋体"/>
                <w:kern w:val="0"/>
                <w:szCs w:val="21"/>
              </w:rPr>
              <w:t>投标供应商承诺的售后服务内容和工作方案</w:t>
            </w:r>
          </w:p>
        </w:tc>
        <w:tc>
          <w:tcPr>
            <w:tcW w:w="456" w:type="pct"/>
            <w:vAlign w:val="center"/>
          </w:tcPr>
          <w:p>
            <w:pPr>
              <w:keepNext w:val="0"/>
              <w:keepLines w:val="0"/>
              <w:pageBreakBefore w:val="0"/>
              <w:widowControl/>
              <w:kinsoku/>
              <w:wordWrap/>
              <w:overflowPunct/>
              <w:topLinePunct w:val="0"/>
              <w:bidi w:val="0"/>
              <w:adjustRightInd w:val="0"/>
              <w:spacing w:beforeAutospacing="0" w:line="460" w:lineRule="exact"/>
              <w:jc w:val="center"/>
              <w:textAlignment w:val="auto"/>
              <w:rPr>
                <w:rFonts w:hint="eastAsia" w:cs="仿宋" w:asciiTheme="minorEastAsia" w:hAnsiTheme="minorEastAsia" w:eastAsiaTheme="minorEastAsia"/>
                <w:kern w:val="0"/>
                <w:szCs w:val="21"/>
                <w:lang w:val="en-US" w:eastAsia="zh-CN"/>
              </w:rPr>
            </w:pPr>
            <w:r>
              <w:rPr>
                <w:rFonts w:hint="eastAsia" w:cs="仿宋" w:asciiTheme="minorEastAsia" w:hAnsiTheme="minorEastAsia" w:eastAsiaTheme="minorEastAsia"/>
                <w:szCs w:val="21"/>
                <w:lang w:val="en-US" w:eastAsia="zh-CN"/>
              </w:rPr>
              <w:t>8</w:t>
            </w:r>
          </w:p>
        </w:tc>
        <w:tc>
          <w:tcPr>
            <w:tcW w:w="3357" w:type="pct"/>
            <w:tcBorders>
              <w:right w:val="double" w:color="auto" w:sz="4" w:space="0"/>
            </w:tcBorders>
            <w:vAlign w:val="center"/>
          </w:tcPr>
          <w:p>
            <w:pPr>
              <w:pStyle w:val="2"/>
              <w:keepNext w:val="0"/>
              <w:keepLines w:val="0"/>
              <w:pageBreakBefore w:val="0"/>
              <w:kinsoku/>
              <w:wordWrap/>
              <w:overflowPunct/>
              <w:topLinePunct w:val="0"/>
              <w:bidi w:val="0"/>
              <w:spacing w:beforeAutospacing="0" w:after="0" w:line="460" w:lineRule="exact"/>
              <w:ind w:left="0" w:leftChars="0" w:firstLine="0" w:firstLineChars="0"/>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（一）评分内容：</w:t>
            </w:r>
          </w:p>
          <w:p>
            <w:pPr>
              <w:pStyle w:val="2"/>
              <w:keepNext w:val="0"/>
              <w:keepLines w:val="0"/>
              <w:pageBreakBefore w:val="0"/>
              <w:kinsoku/>
              <w:wordWrap/>
              <w:overflowPunct/>
              <w:topLinePunct w:val="0"/>
              <w:bidi w:val="0"/>
              <w:spacing w:beforeAutospacing="0" w:after="0" w:line="460" w:lineRule="exact"/>
              <w:ind w:left="0" w:leftChars="0" w:firstLine="0" w:firstLineChars="0"/>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根据投标供应商所提供售后服务方案是否充分考虑项目实际需求，售后服务方案应包含：售后能力及质保期、服务响应及时、故障处理措施和故障解决方案、应急处理方案、技术人员力量多少、培训方案完整性进行评审：</w:t>
            </w:r>
          </w:p>
          <w:p>
            <w:pPr>
              <w:pStyle w:val="2"/>
              <w:keepNext w:val="0"/>
              <w:keepLines w:val="0"/>
              <w:pageBreakBefore w:val="0"/>
              <w:kinsoku/>
              <w:wordWrap/>
              <w:overflowPunct/>
              <w:topLinePunct w:val="0"/>
              <w:bidi w:val="0"/>
              <w:spacing w:beforeAutospacing="0" w:after="0" w:line="460" w:lineRule="exact"/>
              <w:ind w:left="0" w:leftChars="0" w:firstLine="0" w:firstLineChars="0"/>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（二）评审标准：</w:t>
            </w:r>
          </w:p>
          <w:p>
            <w:pPr>
              <w:pStyle w:val="2"/>
              <w:keepNext w:val="0"/>
              <w:keepLines w:val="0"/>
              <w:pageBreakBefore w:val="0"/>
              <w:numPr>
                <w:ilvl w:val="0"/>
                <w:numId w:val="3"/>
              </w:numPr>
              <w:kinsoku/>
              <w:wordWrap/>
              <w:overflowPunct/>
              <w:topLinePunct w:val="0"/>
              <w:bidi w:val="0"/>
              <w:spacing w:beforeAutospacing="0" w:after="0" w:line="460" w:lineRule="exact"/>
              <w:ind w:left="0" w:leftChars="0" w:firstLine="0" w:firstLineChars="0"/>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售后服务方案详细可行、服务周到、服务响应时间快、故障处理措施和应急处理方案合理；</w:t>
            </w:r>
          </w:p>
          <w:p>
            <w:pPr>
              <w:pStyle w:val="2"/>
              <w:keepNext w:val="0"/>
              <w:keepLines w:val="0"/>
              <w:pageBreakBefore w:val="0"/>
              <w:numPr>
                <w:ilvl w:val="0"/>
                <w:numId w:val="3"/>
              </w:numPr>
              <w:kinsoku/>
              <w:wordWrap/>
              <w:overflowPunct/>
              <w:topLinePunct w:val="0"/>
              <w:bidi w:val="0"/>
              <w:spacing w:beforeAutospacing="0" w:after="0" w:line="460" w:lineRule="exact"/>
              <w:ind w:left="0" w:leftChars="0" w:firstLine="0" w:firstLineChars="0"/>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故障解决时间短；</w:t>
            </w:r>
          </w:p>
          <w:p>
            <w:pPr>
              <w:pStyle w:val="2"/>
              <w:keepNext w:val="0"/>
              <w:keepLines w:val="0"/>
              <w:pageBreakBefore w:val="0"/>
              <w:numPr>
                <w:ilvl w:val="0"/>
                <w:numId w:val="3"/>
              </w:numPr>
              <w:kinsoku/>
              <w:wordWrap/>
              <w:overflowPunct/>
              <w:topLinePunct w:val="0"/>
              <w:bidi w:val="0"/>
              <w:spacing w:beforeAutospacing="0" w:after="0" w:line="460" w:lineRule="exact"/>
              <w:ind w:left="0" w:leftChars="0" w:firstLine="0" w:firstLineChars="0"/>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培训方案完整；</w:t>
            </w:r>
          </w:p>
          <w:p>
            <w:pPr>
              <w:pStyle w:val="2"/>
              <w:keepNext w:val="0"/>
              <w:keepLines w:val="0"/>
              <w:pageBreakBefore w:val="0"/>
              <w:numPr>
                <w:ilvl w:val="0"/>
                <w:numId w:val="3"/>
              </w:numPr>
              <w:kinsoku/>
              <w:wordWrap/>
              <w:overflowPunct/>
              <w:topLinePunct w:val="0"/>
              <w:bidi w:val="0"/>
              <w:spacing w:beforeAutospacing="0" w:after="0" w:line="460" w:lineRule="exact"/>
              <w:ind w:left="0" w:leftChars="0" w:firstLine="0" w:firstLineChars="0"/>
              <w:textAlignment w:val="auto"/>
              <w:rPr>
                <w:rFonts w:hint="eastAsia" w:ascii="宋体" w:hAnsi="宋体" w:eastAsia="宋体" w:cs="宋体"/>
                <w:kern w:val="0"/>
                <w:szCs w:val="21"/>
              </w:rPr>
            </w:pPr>
            <w:r>
              <w:rPr>
                <w:rFonts w:hint="eastAsia" w:ascii="宋体" w:hAnsi="宋体" w:eastAsia="宋体" w:cs="宋体"/>
                <w:kern w:val="0"/>
                <w:szCs w:val="21"/>
              </w:rPr>
              <w:t>提供品牌或投标供应商24小时售后服务热线电话。</w:t>
            </w:r>
          </w:p>
          <w:p>
            <w:pPr>
              <w:pStyle w:val="2"/>
              <w:keepNext w:val="0"/>
              <w:keepLines w:val="0"/>
              <w:pageBreakBefore w:val="0"/>
              <w:kinsoku/>
              <w:wordWrap/>
              <w:overflowPunct/>
              <w:topLinePunct w:val="0"/>
              <w:bidi w:val="0"/>
              <w:spacing w:beforeAutospacing="0" w:after="0" w:line="460" w:lineRule="exact"/>
              <w:ind w:left="0" w:leftChars="0" w:firstLine="0" w:firstLineChars="0"/>
              <w:textAlignment w:val="auto"/>
              <w:rPr>
                <w:rFonts w:hint="eastAsia"/>
              </w:rPr>
            </w:pPr>
            <w:r>
              <w:rPr>
                <w:rFonts w:hint="eastAsia" w:ascii="宋体" w:hAnsi="宋体" w:eastAsia="宋体" w:cs="宋体"/>
              </w:rPr>
              <w:t>满足以上四项要求得</w:t>
            </w:r>
            <w:r>
              <w:rPr>
                <w:rFonts w:hint="eastAsia" w:ascii="宋体" w:hAnsi="宋体" w:eastAsia="宋体" w:cs="宋体"/>
                <w:lang w:val="en-US" w:eastAsia="zh-CN"/>
              </w:rPr>
              <w:t>8</w:t>
            </w:r>
            <w:r>
              <w:rPr>
                <w:rFonts w:hint="eastAsia" w:ascii="宋体" w:hAnsi="宋体" w:eastAsia="宋体" w:cs="宋体"/>
              </w:rPr>
              <w:t>分，满足以上三项要求得</w:t>
            </w:r>
            <w:r>
              <w:rPr>
                <w:rFonts w:hint="eastAsia" w:ascii="宋体" w:hAnsi="宋体" w:eastAsia="宋体" w:cs="宋体"/>
                <w:lang w:val="en-US" w:eastAsia="zh-CN"/>
              </w:rPr>
              <w:t>4</w:t>
            </w:r>
            <w:r>
              <w:rPr>
                <w:rFonts w:hint="eastAsia" w:ascii="宋体" w:hAnsi="宋体" w:eastAsia="宋体" w:cs="宋体"/>
              </w:rPr>
              <w:t>分，满足以上两项要求得1分，其他情况不得分。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572" w:type="pct"/>
            <w:vMerge w:val="restart"/>
            <w:tcBorders>
              <w:left w:val="double" w:color="auto" w:sz="4" w:space="0"/>
            </w:tcBorders>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商务部分（S）</w:t>
            </w:r>
          </w:p>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（总分</w:t>
            </w:r>
            <w:r>
              <w:rPr>
                <w:rFonts w:hint="eastAsia" w:cs="仿宋" w:asciiTheme="minorEastAsia" w:hAnsiTheme="minorEastAsia" w:eastAsiaTheme="minorEastAsia"/>
                <w:b/>
                <w:bCs/>
                <w:snapToGrid w:val="0"/>
                <w:kern w:val="0"/>
                <w:szCs w:val="21"/>
                <w:lang w:val="en-US" w:eastAsia="zh-CN"/>
              </w:rPr>
              <w:t>16</w:t>
            </w:r>
            <w:r>
              <w:rPr>
                <w:rFonts w:hint="eastAsia" w:cs="仿宋" w:asciiTheme="minorEastAsia" w:hAnsiTheme="minorEastAsia" w:eastAsiaTheme="minorEastAsia"/>
                <w:b/>
                <w:bCs/>
                <w:snapToGrid w:val="0"/>
                <w:kern w:val="0"/>
                <w:szCs w:val="21"/>
              </w:rPr>
              <w:t>分）</w:t>
            </w:r>
          </w:p>
        </w:tc>
        <w:tc>
          <w:tcPr>
            <w:tcW w:w="613" w:type="pct"/>
            <w:vAlign w:val="center"/>
          </w:tcPr>
          <w:p>
            <w:pPr>
              <w:keepNext w:val="0"/>
              <w:keepLines w:val="0"/>
              <w:pageBreakBefore w:val="0"/>
              <w:kinsoku/>
              <w:wordWrap/>
              <w:overflowPunct/>
              <w:topLinePunct w:val="0"/>
              <w:bidi w:val="0"/>
              <w:spacing w:beforeAutospacing="0" w:line="460" w:lineRule="exact"/>
              <w:jc w:val="center"/>
              <w:textAlignment w:val="auto"/>
              <w:rPr>
                <w:rFonts w:cs="仿宋" w:asciiTheme="minorEastAsia" w:hAnsiTheme="minorEastAsia" w:eastAsiaTheme="minorEastAsia"/>
                <w:szCs w:val="21"/>
              </w:rPr>
            </w:pPr>
            <w:r>
              <w:rPr>
                <w:rFonts w:hint="eastAsia"/>
              </w:rPr>
              <w:t>综合实力情况</w:t>
            </w:r>
          </w:p>
        </w:tc>
        <w:tc>
          <w:tcPr>
            <w:tcW w:w="456" w:type="pct"/>
            <w:tcBorders>
              <w:right w:val="single" w:color="auto" w:sz="4" w:space="0"/>
            </w:tcBorders>
            <w:vAlign w:val="center"/>
          </w:tcPr>
          <w:p>
            <w:pPr>
              <w:keepNext w:val="0"/>
              <w:keepLines w:val="0"/>
              <w:pageBreakBefore w:val="0"/>
              <w:widowControl/>
              <w:kinsoku/>
              <w:wordWrap/>
              <w:overflowPunct/>
              <w:topLinePunct w:val="0"/>
              <w:bidi w:val="0"/>
              <w:adjustRightInd w:val="0"/>
              <w:spacing w:beforeAutospacing="0" w:line="460" w:lineRule="exact"/>
              <w:jc w:val="center"/>
              <w:textAlignment w:val="auto"/>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lang w:val="en-US" w:eastAsia="zh-CN"/>
              </w:rPr>
              <w:t>5</w:t>
            </w:r>
          </w:p>
        </w:tc>
        <w:tc>
          <w:tcPr>
            <w:tcW w:w="3357" w:type="pct"/>
            <w:tcBorders>
              <w:left w:val="single" w:color="auto" w:sz="4" w:space="0"/>
              <w:right w:val="double" w:color="auto" w:sz="4" w:space="0"/>
            </w:tcBorders>
            <w:vAlign w:val="center"/>
          </w:tcPr>
          <w:p>
            <w:pPr>
              <w:pStyle w:val="2"/>
              <w:keepNext w:val="0"/>
              <w:keepLines w:val="0"/>
              <w:pageBreakBefore w:val="0"/>
              <w:numPr>
                <w:ilvl w:val="255"/>
                <w:numId w:val="0"/>
              </w:numPr>
              <w:kinsoku/>
              <w:wordWrap/>
              <w:overflowPunct/>
              <w:topLinePunct w:val="0"/>
              <w:bidi w:val="0"/>
              <w:spacing w:beforeAutospacing="0" w:after="0" w:line="460" w:lineRule="exact"/>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（一）评分内容：</w:t>
            </w:r>
          </w:p>
          <w:p>
            <w:pPr>
              <w:pStyle w:val="2"/>
              <w:keepNext w:val="0"/>
              <w:keepLines w:val="0"/>
              <w:pageBreakBefore w:val="0"/>
              <w:numPr>
                <w:ilvl w:val="255"/>
                <w:numId w:val="0"/>
              </w:numPr>
              <w:kinsoku/>
              <w:wordWrap/>
              <w:overflowPunct/>
              <w:topLinePunct w:val="0"/>
              <w:bidi w:val="0"/>
              <w:spacing w:beforeAutospacing="0" w:after="0" w:line="460" w:lineRule="exact"/>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lang w:val="en-US" w:eastAsia="zh-CN"/>
              </w:rPr>
              <w:t>1</w:t>
            </w:r>
            <w:r>
              <w:rPr>
                <w:rFonts w:hint="eastAsia" w:cs="仿宋" w:asciiTheme="minorEastAsia" w:hAnsiTheme="minorEastAsia" w:eastAsiaTheme="minorEastAsia"/>
                <w:szCs w:val="21"/>
              </w:rPr>
              <w:t>、投标供应商获得电动车省级或以上工程技术研究中心的得2分（提供牌匾照片或证书或相关网站公示截图）；</w:t>
            </w:r>
          </w:p>
          <w:p>
            <w:pPr>
              <w:pStyle w:val="2"/>
              <w:keepNext w:val="0"/>
              <w:keepLines w:val="0"/>
              <w:pageBreakBefore w:val="0"/>
              <w:numPr>
                <w:ilvl w:val="255"/>
                <w:numId w:val="0"/>
              </w:numPr>
              <w:kinsoku/>
              <w:wordWrap/>
              <w:overflowPunct/>
              <w:topLinePunct w:val="0"/>
              <w:bidi w:val="0"/>
              <w:spacing w:beforeAutospacing="0" w:after="0" w:line="460" w:lineRule="exact"/>
              <w:textAlignment w:val="auto"/>
              <w:rPr>
                <w:rFonts w:hint="eastAsia" w:eastAsia="宋体" w:cs="仿宋" w:asciiTheme="minorEastAsia" w:hAnsiTheme="minorEastAsia"/>
                <w:szCs w:val="21"/>
                <w:lang w:eastAsia="zh-CN"/>
              </w:rPr>
            </w:pPr>
            <w:r>
              <w:rPr>
                <w:rFonts w:hint="eastAsia" w:cs="仿宋" w:asciiTheme="minorEastAsia" w:hAnsiTheme="minorEastAsia" w:eastAsiaTheme="minorEastAsia"/>
                <w:szCs w:val="21"/>
                <w:lang w:val="en-US" w:eastAsia="zh-CN"/>
              </w:rPr>
              <w:t>2</w:t>
            </w:r>
            <w:r>
              <w:rPr>
                <w:rFonts w:hint="eastAsia" w:cs="仿宋" w:asciiTheme="minorEastAsia" w:hAnsiTheme="minorEastAsia" w:eastAsiaTheme="minorEastAsia"/>
                <w:szCs w:val="21"/>
              </w:rPr>
              <w:t>、投标供应商具备具有中华人民共和国特种设备生产许可证：</w:t>
            </w:r>
            <w:r>
              <w:rPr>
                <w:rFonts w:hint="eastAsia" w:cs="仿宋" w:asciiTheme="minorEastAsia" w:hAnsiTheme="minorEastAsia" w:eastAsiaTheme="minorEastAsia"/>
                <w:szCs w:val="21"/>
                <w:lang w:val="en-US" w:eastAsia="zh-CN"/>
              </w:rPr>
              <w:t>许可项目</w:t>
            </w:r>
            <w:r>
              <w:rPr>
                <w:rFonts w:hint="eastAsia" w:cs="仿宋" w:asciiTheme="minorEastAsia" w:hAnsiTheme="minorEastAsia" w:eastAsiaTheme="minorEastAsia"/>
                <w:szCs w:val="21"/>
              </w:rPr>
              <w:t>：</w:t>
            </w:r>
            <w:r>
              <w:rPr>
                <w:rFonts w:hint="eastAsia" w:cs="仿宋" w:asciiTheme="minorEastAsia" w:hAnsiTheme="minorEastAsia" w:eastAsiaTheme="minorEastAsia"/>
                <w:szCs w:val="21"/>
                <w:lang w:val="en-US" w:eastAsia="zh-CN"/>
              </w:rPr>
              <w:t>场（厂）内专用机动车辆制造（含修改、改造）</w:t>
            </w:r>
            <w:r>
              <w:rPr>
                <w:rFonts w:hint="eastAsia" w:cs="仿宋" w:asciiTheme="minorEastAsia" w:hAnsiTheme="minorEastAsia" w:eastAsiaTheme="minorEastAsia"/>
                <w:szCs w:val="21"/>
              </w:rPr>
              <w:t>的得3分</w:t>
            </w:r>
            <w:r>
              <w:rPr>
                <w:rFonts w:hint="eastAsia"/>
                <w:lang w:eastAsia="zh-CN"/>
              </w:rPr>
              <w:t>（</w:t>
            </w:r>
            <w:r>
              <w:rPr>
                <w:rFonts w:hint="eastAsia"/>
                <w:lang w:val="en-US" w:eastAsia="zh-CN"/>
              </w:rPr>
              <w:t>如证书为有效的旧版本证书，需提供相关说明</w:t>
            </w:r>
            <w:r>
              <w:rPr>
                <w:rFonts w:hint="eastAsia"/>
                <w:lang w:eastAsia="zh-CN"/>
              </w:rPr>
              <w:t>）。</w:t>
            </w:r>
          </w:p>
          <w:p>
            <w:pPr>
              <w:pStyle w:val="2"/>
              <w:keepNext w:val="0"/>
              <w:keepLines w:val="0"/>
              <w:pageBreakBefore w:val="0"/>
              <w:numPr>
                <w:ilvl w:val="255"/>
                <w:numId w:val="0"/>
              </w:numPr>
              <w:kinsoku/>
              <w:wordWrap/>
              <w:overflowPunct/>
              <w:topLinePunct w:val="0"/>
              <w:bidi w:val="0"/>
              <w:spacing w:beforeAutospacing="0" w:after="0" w:line="460" w:lineRule="exact"/>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（二）证明文件：</w:t>
            </w:r>
          </w:p>
          <w:p>
            <w:pPr>
              <w:pStyle w:val="8"/>
              <w:keepNext w:val="0"/>
              <w:keepLines w:val="0"/>
              <w:pageBreakBefore w:val="0"/>
              <w:kinsoku/>
              <w:wordWrap/>
              <w:overflowPunct/>
              <w:topLinePunct w:val="0"/>
              <w:bidi w:val="0"/>
              <w:spacing w:beforeAutospacing="0" w:line="460" w:lineRule="exact"/>
              <w:textAlignment w:val="auto"/>
            </w:pPr>
            <w:r>
              <w:rPr>
                <w:rFonts w:hint="eastAsia"/>
              </w:rPr>
              <w:t>提供上述证明材料扫描件（或截图），加盖投标供应商公章。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tcBorders>
              <w:left w:val="double" w:color="auto" w:sz="4" w:space="0"/>
            </w:tcBorders>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b/>
                <w:bCs/>
                <w:snapToGrid w:val="0"/>
                <w:kern w:val="0"/>
                <w:szCs w:val="21"/>
              </w:rPr>
            </w:pPr>
          </w:p>
        </w:tc>
        <w:tc>
          <w:tcPr>
            <w:tcW w:w="613" w:type="pct"/>
            <w:vAlign w:val="center"/>
          </w:tcPr>
          <w:p>
            <w:pPr>
              <w:keepNext w:val="0"/>
              <w:keepLines w:val="0"/>
              <w:pageBreakBefore w:val="0"/>
              <w:widowControl/>
              <w:kinsoku/>
              <w:wordWrap/>
              <w:overflowPunct/>
              <w:topLinePunct w:val="0"/>
              <w:bidi w:val="0"/>
              <w:spacing w:beforeAutospacing="0" w:line="460" w:lineRule="exact"/>
              <w:jc w:val="center"/>
              <w:textAlignment w:val="auto"/>
              <w:rPr>
                <w:rFonts w:cs="仿宋" w:asciiTheme="minorEastAsia" w:hAnsiTheme="minorEastAsia" w:eastAsiaTheme="minorEastAsia"/>
                <w:szCs w:val="21"/>
              </w:rPr>
            </w:pPr>
            <w:r>
              <w:rPr>
                <w:rFonts w:hint="eastAsia" w:ascii="宋体" w:hAnsi="宋体" w:cs="宋体"/>
                <w:color w:val="000000"/>
                <w:kern w:val="0"/>
                <w:szCs w:val="21"/>
              </w:rPr>
              <w:t>企业认证情况</w:t>
            </w:r>
          </w:p>
        </w:tc>
        <w:tc>
          <w:tcPr>
            <w:tcW w:w="456" w:type="pct"/>
            <w:tcBorders>
              <w:right w:val="single" w:color="auto" w:sz="4" w:space="0"/>
            </w:tcBorders>
            <w:vAlign w:val="center"/>
          </w:tcPr>
          <w:p>
            <w:pPr>
              <w:keepNext w:val="0"/>
              <w:keepLines w:val="0"/>
              <w:pageBreakBefore w:val="0"/>
              <w:widowControl/>
              <w:kinsoku/>
              <w:wordWrap/>
              <w:overflowPunct/>
              <w:topLinePunct w:val="0"/>
              <w:bidi w:val="0"/>
              <w:spacing w:beforeAutospacing="0" w:line="460" w:lineRule="exact"/>
              <w:jc w:val="center"/>
              <w:textAlignment w:val="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w:t>
            </w:r>
          </w:p>
        </w:tc>
        <w:tc>
          <w:tcPr>
            <w:tcW w:w="3357" w:type="pct"/>
            <w:tcBorders>
              <w:left w:val="single" w:color="auto" w:sz="4" w:space="0"/>
              <w:right w:val="double" w:color="auto" w:sz="4" w:space="0"/>
            </w:tcBorders>
            <w:vAlign w:val="center"/>
          </w:tcPr>
          <w:p>
            <w:pPr>
              <w:keepNext w:val="0"/>
              <w:keepLines w:val="0"/>
              <w:pageBreakBefore w:val="0"/>
              <w:kinsoku/>
              <w:wordWrap/>
              <w:overflowPunct/>
              <w:topLinePunct w:val="0"/>
              <w:bidi w:val="0"/>
              <w:snapToGrid w:val="0"/>
              <w:spacing w:beforeAutospacing="0" w:line="460" w:lineRule="exact"/>
              <w:jc w:val="lef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（一）评分内容：</w:t>
            </w:r>
          </w:p>
          <w:p>
            <w:pPr>
              <w:keepNext w:val="0"/>
              <w:keepLines w:val="0"/>
              <w:pageBreakBefore w:val="0"/>
              <w:kinsoku/>
              <w:wordWrap/>
              <w:overflowPunct/>
              <w:topLinePunct w:val="0"/>
              <w:bidi w:val="0"/>
              <w:snapToGrid w:val="0"/>
              <w:spacing w:beforeAutospacing="0" w:line="460" w:lineRule="exact"/>
              <w:jc w:val="lef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1、投标供应商具有环境管理体系认证证书的，得1分；</w:t>
            </w:r>
          </w:p>
          <w:p>
            <w:pPr>
              <w:keepNext w:val="0"/>
              <w:keepLines w:val="0"/>
              <w:pageBreakBefore w:val="0"/>
              <w:kinsoku/>
              <w:wordWrap/>
              <w:overflowPunct/>
              <w:topLinePunct w:val="0"/>
              <w:bidi w:val="0"/>
              <w:snapToGrid w:val="0"/>
              <w:spacing w:beforeAutospacing="0" w:line="460" w:lineRule="exact"/>
              <w:jc w:val="lef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2、投标供应商具有职业健康安全管理体系认证证书的，得1分；</w:t>
            </w:r>
          </w:p>
          <w:p>
            <w:pPr>
              <w:keepNext w:val="0"/>
              <w:keepLines w:val="0"/>
              <w:pageBreakBefore w:val="0"/>
              <w:kinsoku/>
              <w:wordWrap/>
              <w:overflowPunct/>
              <w:topLinePunct w:val="0"/>
              <w:bidi w:val="0"/>
              <w:snapToGrid w:val="0"/>
              <w:spacing w:beforeAutospacing="0" w:line="460" w:lineRule="exact"/>
              <w:jc w:val="lef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3、投标供应商具有诚信管理体系认证证书的，得1分。</w:t>
            </w:r>
          </w:p>
          <w:p>
            <w:pPr>
              <w:keepNext w:val="0"/>
              <w:keepLines w:val="0"/>
              <w:pageBreakBefore w:val="0"/>
              <w:kinsoku/>
              <w:wordWrap/>
              <w:overflowPunct/>
              <w:topLinePunct w:val="0"/>
              <w:bidi w:val="0"/>
              <w:snapToGrid w:val="0"/>
              <w:spacing w:beforeAutospacing="0" w:line="460" w:lineRule="exact"/>
              <w:jc w:val="lef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（二）证明文件：</w:t>
            </w:r>
          </w:p>
          <w:p>
            <w:pPr>
              <w:keepNext w:val="0"/>
              <w:keepLines w:val="0"/>
              <w:pageBreakBefore w:val="0"/>
              <w:kinsoku/>
              <w:wordWrap/>
              <w:overflowPunct/>
              <w:topLinePunct w:val="0"/>
              <w:bidi w:val="0"/>
              <w:snapToGrid w:val="0"/>
              <w:spacing w:beforeAutospacing="0" w:line="460" w:lineRule="exact"/>
              <w:jc w:val="lef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1.提供有效认证证书（如认证证书注明年审要求的，必须按规定年审且证书在有效期内的方为有效；如未注明年审要求的，证书必须在有效期内的方为有效）；</w:t>
            </w:r>
          </w:p>
          <w:p>
            <w:pPr>
              <w:keepNext w:val="0"/>
              <w:keepLines w:val="0"/>
              <w:pageBreakBefore w:val="0"/>
              <w:kinsoku/>
              <w:wordWrap/>
              <w:overflowPunct/>
              <w:topLinePunct w:val="0"/>
              <w:bidi w:val="0"/>
              <w:snapToGrid w:val="0"/>
              <w:spacing w:beforeAutospacing="0" w:line="460" w:lineRule="exact"/>
              <w:jc w:val="lef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2.提供证书官网或全国认证认可信息公共服务平台（cx.cnca.cn）认证信息查询截图（截图需显示证书状态为有效）。相关证书在公开渠道无法查询的，投标供应商需提供颁发部门或者监管机构的证明材料，证明证书真实有效且为合法机构颁发；</w:t>
            </w:r>
          </w:p>
          <w:p>
            <w:pPr>
              <w:keepNext w:val="0"/>
              <w:keepLines w:val="0"/>
              <w:pageBreakBefore w:val="0"/>
              <w:kinsoku/>
              <w:wordWrap/>
              <w:overflowPunct/>
              <w:topLinePunct w:val="0"/>
              <w:bidi w:val="0"/>
              <w:snapToGrid w:val="0"/>
              <w:spacing w:beforeAutospacing="0" w:line="460" w:lineRule="exact"/>
              <w:jc w:val="left"/>
              <w:textAlignment w:val="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 以上证明文件均提供复印件或扫描件（或官方网站截图）加盖投标供应商公章，原件备查。对于未提供证明文件，未提供查询记录且无其他证明材料的，或者提供不清晰导致评委无法判断的，均作不得分处理。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tcBorders>
              <w:left w:val="double" w:color="auto" w:sz="4" w:space="0"/>
            </w:tcBorders>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b/>
                <w:bCs/>
                <w:snapToGrid w:val="0"/>
                <w:kern w:val="0"/>
                <w:szCs w:val="21"/>
              </w:rPr>
            </w:pPr>
          </w:p>
        </w:tc>
        <w:tc>
          <w:tcPr>
            <w:tcW w:w="613" w:type="pct"/>
            <w:vAlign w:val="center"/>
          </w:tcPr>
          <w:p>
            <w:pPr>
              <w:keepNext w:val="0"/>
              <w:keepLines w:val="0"/>
              <w:pageBreakBefore w:val="0"/>
              <w:widowControl/>
              <w:kinsoku/>
              <w:wordWrap/>
              <w:overflowPunct/>
              <w:topLinePunct w:val="0"/>
              <w:bidi w:val="0"/>
              <w:spacing w:beforeAutospacing="0" w:line="460" w:lineRule="exact"/>
              <w:jc w:val="center"/>
              <w:textAlignment w:val="auto"/>
              <w:rPr>
                <w:rFonts w:hint="eastAsia" w:ascii="宋体" w:hAnsi="宋体" w:cs="宋体"/>
                <w:color w:val="000000"/>
                <w:kern w:val="0"/>
                <w:szCs w:val="21"/>
              </w:rPr>
            </w:pPr>
            <w:r>
              <w:rPr>
                <w:rFonts w:hint="eastAsia" w:ascii="宋体" w:hAnsi="宋体" w:cs="宋体"/>
                <w:kern w:val="0"/>
                <w:szCs w:val="21"/>
              </w:rPr>
              <w:t>投标供应商本地技术实力和服务能力</w:t>
            </w:r>
          </w:p>
        </w:tc>
        <w:tc>
          <w:tcPr>
            <w:tcW w:w="456" w:type="pct"/>
            <w:tcBorders>
              <w:right w:val="single" w:color="auto" w:sz="4" w:space="0"/>
            </w:tcBorders>
            <w:vAlign w:val="center"/>
          </w:tcPr>
          <w:p>
            <w:pPr>
              <w:keepNext w:val="0"/>
              <w:keepLines w:val="0"/>
              <w:pageBreakBefore w:val="0"/>
              <w:widowControl/>
              <w:kinsoku/>
              <w:wordWrap/>
              <w:overflowPunct/>
              <w:topLinePunct w:val="0"/>
              <w:bidi w:val="0"/>
              <w:spacing w:beforeAutospacing="0" w:line="460" w:lineRule="exact"/>
              <w:jc w:val="center"/>
              <w:textAlignment w:val="auto"/>
              <w:rPr>
                <w:rFonts w:hint="eastAsia" w:cs="仿宋" w:asciiTheme="minorEastAsia" w:hAnsiTheme="minorEastAsia" w:eastAsiaTheme="minorEastAsia"/>
                <w:snapToGrid w:val="0"/>
                <w:kern w:val="0"/>
                <w:szCs w:val="21"/>
              </w:rPr>
            </w:pPr>
            <w:r>
              <w:rPr>
                <w:rFonts w:hint="eastAsia" w:cs="仿宋" w:asciiTheme="minorEastAsia" w:hAnsiTheme="minorEastAsia" w:eastAsiaTheme="minorEastAsia"/>
                <w:kern w:val="0"/>
                <w:szCs w:val="21"/>
              </w:rPr>
              <w:t>3</w:t>
            </w:r>
          </w:p>
        </w:tc>
        <w:tc>
          <w:tcPr>
            <w:tcW w:w="3357" w:type="pct"/>
            <w:tcBorders>
              <w:left w:val="single" w:color="auto" w:sz="4" w:space="0"/>
              <w:right w:val="double" w:color="auto" w:sz="4" w:space="0"/>
            </w:tcBorders>
            <w:vAlign w:val="center"/>
          </w:tcPr>
          <w:p>
            <w:pPr>
              <w:pStyle w:val="41"/>
              <w:keepNext w:val="0"/>
              <w:keepLines w:val="0"/>
              <w:pageBreakBefore w:val="0"/>
              <w:kinsoku/>
              <w:wordWrap/>
              <w:overflowPunct/>
              <w:topLinePunct w:val="0"/>
              <w:bidi w:val="0"/>
              <w:spacing w:beforeAutospacing="0" w:line="460" w:lineRule="exact"/>
              <w:ind w:firstLine="0" w:firstLineChars="0"/>
              <w:textAlignment w:val="auto"/>
              <w:rPr>
                <w:rFonts w:ascii="宋体" w:hAnsi="宋体"/>
                <w:highlight w:val="none"/>
              </w:rPr>
            </w:pPr>
            <w:r>
              <w:rPr>
                <w:rFonts w:hint="eastAsia" w:ascii="宋体" w:hAnsi="宋体"/>
                <w:highlight w:val="none"/>
              </w:rPr>
              <w:t>（一）评分内容：</w:t>
            </w:r>
          </w:p>
          <w:p>
            <w:pPr>
              <w:pStyle w:val="41"/>
              <w:keepNext w:val="0"/>
              <w:keepLines w:val="0"/>
              <w:pageBreakBefore w:val="0"/>
              <w:kinsoku/>
              <w:wordWrap/>
              <w:overflowPunct/>
              <w:topLinePunct w:val="0"/>
              <w:bidi w:val="0"/>
              <w:spacing w:beforeAutospacing="0" w:line="460" w:lineRule="exact"/>
              <w:ind w:firstLine="0" w:firstLineChars="0"/>
              <w:textAlignment w:val="auto"/>
              <w:rPr>
                <w:rFonts w:ascii="宋体" w:hAnsi="宋体"/>
                <w:highlight w:val="none"/>
              </w:rPr>
            </w:pPr>
            <w:r>
              <w:rPr>
                <w:rFonts w:hint="eastAsia" w:ascii="宋体" w:hAnsi="宋体"/>
                <w:highlight w:val="none"/>
              </w:rPr>
              <w:t>投标供应商在深圳市设有合法注册的售后服务机构，或承诺中标后一个月内在深圳市设立售后服务机构的，得3分，其他情况不得分。</w:t>
            </w:r>
          </w:p>
          <w:p>
            <w:pPr>
              <w:pStyle w:val="41"/>
              <w:keepNext w:val="0"/>
              <w:keepLines w:val="0"/>
              <w:pageBreakBefore w:val="0"/>
              <w:kinsoku/>
              <w:wordWrap/>
              <w:overflowPunct/>
              <w:topLinePunct w:val="0"/>
              <w:bidi w:val="0"/>
              <w:spacing w:beforeAutospacing="0" w:line="460" w:lineRule="exact"/>
              <w:ind w:firstLine="0" w:firstLineChars="0"/>
              <w:textAlignment w:val="auto"/>
              <w:rPr>
                <w:rFonts w:ascii="宋体" w:hAnsi="宋体"/>
                <w:highlight w:val="none"/>
              </w:rPr>
            </w:pPr>
            <w:r>
              <w:rPr>
                <w:rFonts w:hint="eastAsia" w:ascii="宋体" w:hAnsi="宋体"/>
                <w:highlight w:val="none"/>
              </w:rPr>
              <w:t>（二）评分依据：</w:t>
            </w:r>
          </w:p>
          <w:p>
            <w:pPr>
              <w:pStyle w:val="41"/>
              <w:keepNext w:val="0"/>
              <w:keepLines w:val="0"/>
              <w:pageBreakBefore w:val="0"/>
              <w:kinsoku/>
              <w:wordWrap/>
              <w:overflowPunct/>
              <w:topLinePunct w:val="0"/>
              <w:bidi w:val="0"/>
              <w:spacing w:beforeAutospacing="0" w:line="460" w:lineRule="exact"/>
              <w:ind w:firstLine="0" w:firstLineChars="0"/>
              <w:textAlignment w:val="auto"/>
              <w:rPr>
                <w:rFonts w:ascii="宋体" w:hAnsi="宋体"/>
              </w:rPr>
            </w:pPr>
            <w:r>
              <w:rPr>
                <w:rFonts w:hint="eastAsia" w:ascii="宋体" w:hAnsi="宋体"/>
              </w:rPr>
              <w:t>1. 提供售后服务机构证明，如为与投标供应商签订合作协议的售后服务机构，还需同时提供相关协议或合同；</w:t>
            </w:r>
          </w:p>
          <w:p>
            <w:pPr>
              <w:pStyle w:val="41"/>
              <w:keepNext w:val="0"/>
              <w:keepLines w:val="0"/>
              <w:pageBreakBefore w:val="0"/>
              <w:kinsoku/>
              <w:wordWrap/>
              <w:overflowPunct/>
              <w:topLinePunct w:val="0"/>
              <w:bidi w:val="0"/>
              <w:spacing w:beforeAutospacing="0" w:line="460" w:lineRule="exact"/>
              <w:ind w:firstLine="0" w:firstLineChars="0"/>
              <w:textAlignment w:val="auto"/>
              <w:rPr>
                <w:rFonts w:ascii="宋体" w:hAnsi="宋体"/>
              </w:rPr>
            </w:pPr>
            <w:r>
              <w:rPr>
                <w:rFonts w:hint="eastAsia" w:ascii="宋体" w:hAnsi="宋体"/>
              </w:rPr>
              <w:t>2.如承诺中标后设立售后服务机构的，需提供承诺函（格式自拟）；</w:t>
            </w:r>
          </w:p>
          <w:p>
            <w:pPr>
              <w:keepNext w:val="0"/>
              <w:keepLines w:val="0"/>
              <w:pageBreakBefore w:val="0"/>
              <w:kinsoku/>
              <w:wordWrap/>
              <w:overflowPunct/>
              <w:topLinePunct w:val="0"/>
              <w:bidi w:val="0"/>
              <w:snapToGrid w:val="0"/>
              <w:spacing w:beforeAutospacing="0" w:line="460" w:lineRule="exact"/>
              <w:jc w:val="left"/>
              <w:textAlignment w:val="auto"/>
              <w:rPr>
                <w:rFonts w:hint="eastAsia" w:cs="仿宋" w:asciiTheme="minorEastAsia" w:hAnsiTheme="minorEastAsia" w:eastAsiaTheme="minorEastAsia"/>
                <w:kern w:val="0"/>
                <w:szCs w:val="21"/>
              </w:rPr>
            </w:pPr>
            <w:r>
              <w:rPr>
                <w:rFonts w:hint="eastAsia" w:ascii="宋体" w:hAnsi="宋体"/>
                <w:szCs w:val="21"/>
              </w:rPr>
              <w:t>3.以上证明文件均提供复印件或扫描件加盖投标供应商公章，原件备查。未按要求提供有效证明材料或提供不清晰导致评委无法识别的不计得分。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tcBorders>
              <w:left w:val="double" w:color="auto" w:sz="4" w:space="0"/>
            </w:tcBorders>
            <w:vAlign w:val="center"/>
          </w:tcPr>
          <w:p>
            <w:pPr>
              <w:keepNext w:val="0"/>
              <w:keepLines w:val="0"/>
              <w:pageBreakBefore w:val="0"/>
              <w:kinsoku/>
              <w:wordWrap/>
              <w:overflowPunct/>
              <w:topLinePunct w:val="0"/>
              <w:bidi w:val="0"/>
              <w:adjustRightInd w:val="0"/>
              <w:spacing w:beforeAutospacing="0" w:line="460" w:lineRule="exact"/>
              <w:jc w:val="center"/>
              <w:textAlignment w:val="auto"/>
              <w:rPr>
                <w:rFonts w:cs="仿宋" w:asciiTheme="minorEastAsia" w:hAnsiTheme="minorEastAsia" w:eastAsiaTheme="minorEastAsia"/>
                <w:b/>
                <w:bCs/>
                <w:snapToGrid w:val="0"/>
                <w:kern w:val="0"/>
                <w:szCs w:val="21"/>
              </w:rPr>
            </w:pPr>
          </w:p>
        </w:tc>
        <w:tc>
          <w:tcPr>
            <w:tcW w:w="613" w:type="pct"/>
            <w:vAlign w:val="center"/>
          </w:tcPr>
          <w:p>
            <w:pPr>
              <w:keepNext w:val="0"/>
              <w:keepLines w:val="0"/>
              <w:pageBreakBefore w:val="0"/>
              <w:widowControl/>
              <w:kinsoku/>
              <w:wordWrap/>
              <w:overflowPunct/>
              <w:topLinePunct w:val="0"/>
              <w:bidi w:val="0"/>
              <w:spacing w:beforeAutospacing="0" w:line="460" w:lineRule="exact"/>
              <w:jc w:val="center"/>
              <w:textAlignment w:val="auto"/>
              <w:rPr>
                <w:rFonts w:cs="仿宋" w:asciiTheme="minorEastAsia" w:hAnsiTheme="minorEastAsia" w:eastAsiaTheme="minorEastAsia"/>
                <w:szCs w:val="21"/>
              </w:rPr>
            </w:pPr>
            <w:r>
              <w:rPr>
                <w:rFonts w:hint="eastAsia" w:ascii="宋体" w:hAnsi="宋体" w:cs="仿宋"/>
                <w:szCs w:val="21"/>
              </w:rPr>
              <w:t>诚信情况</w:t>
            </w:r>
          </w:p>
        </w:tc>
        <w:tc>
          <w:tcPr>
            <w:tcW w:w="456" w:type="pct"/>
            <w:tcBorders>
              <w:right w:val="single" w:color="auto" w:sz="4" w:space="0"/>
            </w:tcBorders>
            <w:vAlign w:val="center"/>
          </w:tcPr>
          <w:p>
            <w:pPr>
              <w:keepNext w:val="0"/>
              <w:keepLines w:val="0"/>
              <w:pageBreakBefore w:val="0"/>
              <w:widowControl/>
              <w:kinsoku/>
              <w:wordWrap/>
              <w:overflowPunct/>
              <w:topLinePunct w:val="0"/>
              <w:bidi w:val="0"/>
              <w:spacing w:beforeAutospacing="0" w:line="460" w:lineRule="exact"/>
              <w:jc w:val="center"/>
              <w:textAlignment w:val="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w:t>
            </w:r>
          </w:p>
        </w:tc>
        <w:tc>
          <w:tcPr>
            <w:tcW w:w="3357" w:type="pct"/>
            <w:tcBorders>
              <w:left w:val="single" w:color="auto" w:sz="4" w:space="0"/>
              <w:right w:val="double" w:color="auto" w:sz="4" w:space="0"/>
            </w:tcBorders>
            <w:vAlign w:val="center"/>
          </w:tcPr>
          <w:p>
            <w:pPr>
              <w:pStyle w:val="2"/>
              <w:keepNext w:val="0"/>
              <w:keepLines w:val="0"/>
              <w:pageBreakBefore w:val="0"/>
              <w:kinsoku/>
              <w:wordWrap/>
              <w:overflowPunct/>
              <w:topLinePunct w:val="0"/>
              <w:bidi w:val="0"/>
              <w:spacing w:beforeAutospacing="0" w:after="0" w:line="460" w:lineRule="exact"/>
              <w:ind w:left="0" w:leftChars="0" w:firstLine="0" w:firstLineChars="0"/>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（一）评分内容：</w:t>
            </w:r>
          </w:p>
          <w:p>
            <w:pPr>
              <w:pStyle w:val="2"/>
              <w:keepNext w:val="0"/>
              <w:keepLines w:val="0"/>
              <w:pageBreakBefore w:val="0"/>
              <w:kinsoku/>
              <w:wordWrap/>
              <w:overflowPunct/>
              <w:topLinePunct w:val="0"/>
              <w:bidi w:val="0"/>
              <w:spacing w:beforeAutospacing="0" w:after="0" w:line="460" w:lineRule="exact"/>
              <w:ind w:left="0" w:leftChars="0" w:firstLine="0" w:firstLineChars="0"/>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投标供应商参与政府采购活动在诚信管理中受过主管部门通报处理且仍在实施期限内的本项不得分，否则得5分。</w:t>
            </w:r>
          </w:p>
          <w:p>
            <w:pPr>
              <w:pStyle w:val="2"/>
              <w:keepNext w:val="0"/>
              <w:keepLines w:val="0"/>
              <w:pageBreakBefore w:val="0"/>
              <w:kinsoku/>
              <w:wordWrap/>
              <w:overflowPunct/>
              <w:topLinePunct w:val="0"/>
              <w:bidi w:val="0"/>
              <w:spacing w:beforeAutospacing="0" w:after="0" w:line="460" w:lineRule="exact"/>
              <w:ind w:left="0" w:leftChars="0" w:firstLine="0" w:firstLineChars="0"/>
              <w:textAlignment w:val="auto"/>
              <w:rPr>
                <w:rFonts w:cs="仿宋" w:asciiTheme="minorEastAsia" w:hAnsiTheme="minorEastAsia" w:eastAsiaTheme="minorEastAsia"/>
                <w:szCs w:val="21"/>
              </w:rPr>
            </w:pPr>
            <w:r>
              <w:rPr>
                <w:rFonts w:hint="eastAsia" w:cs="仿宋" w:asciiTheme="minorEastAsia" w:hAnsiTheme="minorEastAsia" w:eastAsiaTheme="minorEastAsia"/>
                <w:szCs w:val="21"/>
              </w:rPr>
              <w:t>（二）评分依据：</w:t>
            </w:r>
          </w:p>
          <w:p>
            <w:pPr>
              <w:pStyle w:val="8"/>
              <w:keepNext w:val="0"/>
              <w:keepLines w:val="0"/>
              <w:pageBreakBefore w:val="0"/>
              <w:kinsoku/>
              <w:wordWrap/>
              <w:overflowPunct/>
              <w:topLinePunct w:val="0"/>
              <w:bidi w:val="0"/>
              <w:spacing w:beforeAutospacing="0" w:line="460" w:lineRule="exact"/>
              <w:textAlignment w:val="auto"/>
            </w:pPr>
            <w:r>
              <w:rPr>
                <w:rFonts w:hint="eastAsia" w:cs="仿宋" w:asciiTheme="minorEastAsia" w:hAnsiTheme="minorEastAsia" w:eastAsiaTheme="minorEastAsia"/>
                <w:szCs w:val="21"/>
              </w:rPr>
              <w:t>按征集文件格式如实提供《诚信承诺函》原件加盖投标供应商公章，且承诺函格式及内容不得修改，否则不得分。如若投标供应商承诺与实际情况不相符，将按虚假应标报相关主管部门处理。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tcBorders>
              <w:left w:val="double" w:color="auto" w:sz="4" w:space="0"/>
              <w:bottom w:val="double" w:color="auto" w:sz="4" w:space="0"/>
            </w:tcBorders>
            <w:vAlign w:val="center"/>
          </w:tcPr>
          <w:p>
            <w:pPr>
              <w:keepNext w:val="0"/>
              <w:keepLines w:val="0"/>
              <w:pageBreakBefore w:val="0"/>
              <w:kinsoku/>
              <w:wordWrap/>
              <w:overflowPunct/>
              <w:topLinePunct w:val="0"/>
              <w:bidi w:val="0"/>
              <w:spacing w:beforeAutospacing="0" w:line="460" w:lineRule="exact"/>
              <w:jc w:val="center"/>
              <w:textAlignment w:val="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总得分（N）</w:t>
            </w:r>
          </w:p>
          <w:p>
            <w:pPr>
              <w:keepNext w:val="0"/>
              <w:keepLines w:val="0"/>
              <w:pageBreakBefore w:val="0"/>
              <w:kinsoku/>
              <w:wordWrap/>
              <w:overflowPunct/>
              <w:topLinePunct w:val="0"/>
              <w:bidi w:val="0"/>
              <w:adjustRightInd w:val="0"/>
              <w:snapToGrid w:val="0"/>
              <w:spacing w:beforeAutospacing="0" w:line="460" w:lineRule="exact"/>
              <w:jc w:val="center"/>
              <w:textAlignment w:val="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（总分100分）</w:t>
            </w:r>
          </w:p>
        </w:tc>
        <w:tc>
          <w:tcPr>
            <w:tcW w:w="613" w:type="pct"/>
            <w:tcBorders>
              <w:bottom w:val="double" w:color="auto" w:sz="4" w:space="0"/>
            </w:tcBorders>
            <w:vAlign w:val="center"/>
          </w:tcPr>
          <w:p>
            <w:pPr>
              <w:keepNext w:val="0"/>
              <w:keepLines w:val="0"/>
              <w:pageBreakBefore w:val="0"/>
              <w:kinsoku/>
              <w:wordWrap/>
              <w:overflowPunct/>
              <w:topLinePunct w:val="0"/>
              <w:bidi w:val="0"/>
              <w:adjustRightInd w:val="0"/>
              <w:snapToGrid w:val="0"/>
              <w:spacing w:beforeAutospacing="0" w:line="460" w:lineRule="exact"/>
              <w:jc w:val="center"/>
              <w:textAlignment w:val="auto"/>
              <w:rPr>
                <w:rFonts w:cs="仿宋" w:asciiTheme="minorEastAsia" w:hAnsiTheme="minorEastAsia" w:eastAsiaTheme="minorEastAsia"/>
                <w:b/>
                <w:snapToGrid w:val="0"/>
                <w:kern w:val="0"/>
                <w:szCs w:val="21"/>
              </w:rPr>
            </w:pPr>
          </w:p>
        </w:tc>
        <w:tc>
          <w:tcPr>
            <w:tcW w:w="456" w:type="pct"/>
            <w:tcBorders>
              <w:bottom w:val="double" w:color="auto" w:sz="4" w:space="0"/>
            </w:tcBorders>
            <w:vAlign w:val="center"/>
          </w:tcPr>
          <w:p>
            <w:pPr>
              <w:keepNext w:val="0"/>
              <w:keepLines w:val="0"/>
              <w:pageBreakBefore w:val="0"/>
              <w:kinsoku/>
              <w:wordWrap/>
              <w:overflowPunct/>
              <w:topLinePunct w:val="0"/>
              <w:bidi w:val="0"/>
              <w:adjustRightInd w:val="0"/>
              <w:snapToGrid w:val="0"/>
              <w:spacing w:beforeAutospacing="0" w:line="460" w:lineRule="exact"/>
              <w:jc w:val="center"/>
              <w:textAlignment w:val="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100</w:t>
            </w:r>
          </w:p>
        </w:tc>
        <w:tc>
          <w:tcPr>
            <w:tcW w:w="3357" w:type="pct"/>
            <w:tcBorders>
              <w:bottom w:val="double" w:color="auto" w:sz="4" w:space="0"/>
              <w:right w:val="double" w:color="auto" w:sz="4" w:space="0"/>
            </w:tcBorders>
            <w:vAlign w:val="center"/>
          </w:tcPr>
          <w:p>
            <w:pPr>
              <w:keepNext w:val="0"/>
              <w:keepLines w:val="0"/>
              <w:pageBreakBefore w:val="0"/>
              <w:kinsoku/>
              <w:wordWrap/>
              <w:overflowPunct/>
              <w:topLinePunct w:val="0"/>
              <w:bidi w:val="0"/>
              <w:spacing w:beforeAutospacing="0" w:line="460" w:lineRule="exact"/>
              <w:jc w:val="center"/>
              <w:textAlignment w:val="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N=J+G+S</w:t>
            </w:r>
          </w:p>
        </w:tc>
      </w:tr>
    </w:tbl>
    <w:p>
      <w:pPr>
        <w:widowControl/>
        <w:jc w:val="left"/>
        <w:rPr>
          <w:rFonts w:cs="仿宋" w:asciiTheme="minorEastAsia" w:hAnsiTheme="minorEastAsia" w:eastAsiaTheme="minorEastAsia"/>
          <w:b/>
          <w:color w:val="FF0000"/>
          <w:sz w:val="28"/>
          <w:szCs w:val="28"/>
        </w:rPr>
      </w:pPr>
    </w:p>
    <w:p>
      <w:pPr>
        <w:widowControl/>
        <w:jc w:val="left"/>
        <w:rPr>
          <w:rFonts w:cs="仿宋" w:asciiTheme="minorEastAsia" w:hAnsiTheme="minorEastAsia" w:eastAsiaTheme="minorEastAsia"/>
          <w:b/>
          <w:color w:val="FF0000"/>
          <w:sz w:val="28"/>
          <w:szCs w:val="28"/>
        </w:rPr>
      </w:pPr>
      <w:r>
        <w:rPr>
          <w:rFonts w:hint="eastAsia" w:cs="仿宋" w:asciiTheme="minorEastAsia" w:hAnsiTheme="minorEastAsia" w:eastAsiaTheme="minorEastAsia"/>
          <w:b/>
          <w:color w:val="FF0000"/>
          <w:sz w:val="28"/>
          <w:szCs w:val="28"/>
        </w:rPr>
        <w:t>注：</w:t>
      </w:r>
    </w:p>
    <w:p>
      <w:pPr>
        <w:widowControl/>
        <w:spacing w:line="360" w:lineRule="auto"/>
        <w:jc w:val="center"/>
        <w:rPr>
          <w:rFonts w:cs="仿宋" w:asciiTheme="minorEastAsia" w:hAnsiTheme="minorEastAsia" w:eastAsiaTheme="minorEastAsia"/>
          <w:b/>
          <w:sz w:val="28"/>
        </w:rPr>
      </w:pPr>
      <w:r>
        <w:rPr>
          <w:rFonts w:hint="eastAsia" w:cs="仿宋" w:asciiTheme="minorEastAsia" w:hAnsiTheme="minorEastAsia" w:eastAsiaTheme="minorEastAsia"/>
          <w:b/>
          <w:sz w:val="28"/>
        </w:rPr>
        <w:t>政府采购优惠政策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供应商，其</w:t>
      </w:r>
      <w:r>
        <w:rPr>
          <w:rFonts w:hint="eastAsia" w:cs="仿宋" w:asciiTheme="minorEastAsia" w:hAnsiTheme="minorEastAsia" w:eastAsiaTheme="minorEastAsia"/>
          <w:b/>
          <w:szCs w:val="21"/>
        </w:rPr>
        <w:t>投标报价扣除</w:t>
      </w:r>
      <w:r>
        <w:rPr>
          <w:rFonts w:hint="eastAsia" w:cs="仿宋" w:asciiTheme="minorEastAsia" w:hAnsiTheme="minorEastAsia" w:eastAsiaTheme="minorEastAsia"/>
          <w:b/>
          <w:szCs w:val="21"/>
          <w:u w:val="single"/>
        </w:rPr>
        <w:t xml:space="preserve"> 10 </w:t>
      </w:r>
      <w:r>
        <w:rPr>
          <w:rFonts w:hint="eastAsia" w:cs="仿宋" w:asciiTheme="minorEastAsia" w:hAnsiTheme="minorEastAsia" w:eastAsiaTheme="minorEastAsia"/>
          <w:b/>
          <w:szCs w:val="21"/>
        </w:rPr>
        <w:t>%（请在10%-20%范围内选择）后参与评审</w:t>
      </w:r>
      <w:r>
        <w:rPr>
          <w:rFonts w:hint="eastAsia" w:cs="仿宋" w:asciiTheme="minorEastAsia" w:hAnsiTheme="minorEastAsia" w:eastAsiaTheme="minorEastAsia"/>
          <w:szCs w:val="21"/>
        </w:rPr>
        <w:t>。对于同时属于小微企业、监狱企业或残疾人福利性单位的，不重复进行投标报价扣除。</w:t>
      </w:r>
    </w:p>
    <w:p>
      <w:pPr>
        <w:spacing w:line="360" w:lineRule="auto"/>
        <w:ind w:firstLine="373" w:firstLineChars="177"/>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本项目所属行业为</w:t>
      </w:r>
      <w:r>
        <w:rPr>
          <w:rFonts w:hint="eastAsia" w:cs="仿宋" w:asciiTheme="minorEastAsia" w:hAnsiTheme="minorEastAsia" w:eastAsiaTheme="minorEastAsia"/>
          <w:b/>
          <w:bCs/>
          <w:szCs w:val="21"/>
          <w:u w:val="single"/>
        </w:rPr>
        <w:t xml:space="preserve">  工业  </w:t>
      </w:r>
      <w:r>
        <w:rPr>
          <w:rFonts w:hint="eastAsia" w:cs="仿宋" w:asciiTheme="minorEastAsia" w:hAnsiTheme="minorEastAsia" w:eastAsiaTheme="minorEastAsia"/>
          <w:b/>
          <w:bCs/>
          <w:szCs w:val="21"/>
        </w:rPr>
        <w:t>，投标供应商应根据《工业和信息化部、国家统计局、国家发展和改革委员会、财政部关于印发中小企业划型标准规定的通知》(工信部联企业〔2011〕300号)规定的中小企业划型标准填写《中小企业声明函》。</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（2）联合协议中约定，小型、微型企业的协议合同金额占到联合体协议合同总金额30%以上的，</w:t>
      </w:r>
      <w:r>
        <w:rPr>
          <w:rFonts w:hint="eastAsia" w:cs="仿宋" w:asciiTheme="minorEastAsia" w:hAnsiTheme="minorEastAsia" w:eastAsiaTheme="minorEastAsia"/>
          <w:b/>
          <w:szCs w:val="21"/>
        </w:rPr>
        <w:t>可给予联合体__/__% （请在4%-6%范围内选择）</w:t>
      </w:r>
      <w:r>
        <w:rPr>
          <w:rFonts w:hint="eastAsia" w:cs="仿宋" w:asciiTheme="minorEastAsia" w:hAnsiTheme="minorEastAsia" w:eastAsiaTheme="minorEastAsia"/>
          <w:szCs w:val="21"/>
        </w:rPr>
        <w:t>的价格扣除。</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3）优惠主体资格的认定资料为《中小企业声明函》、《残疾人福利性单位声明函》以及《监狱企业声明函》等承诺性质的资料（格式详见征集文件第三章）；监狱企业或者代理提供监狱企业货物的投标供应商如需享受优惠政策，除上述资料外，还须提供省级以上监狱管理局、戒毒管理局出具的监狱企业证明文件。</w:t>
      </w:r>
    </w:p>
    <w:p>
      <w:pPr>
        <w:spacing w:line="360" w:lineRule="auto"/>
        <w:ind w:firstLine="405" w:firstLineChars="193"/>
        <w:jc w:val="left"/>
        <w:rPr>
          <w:rFonts w:cs="仿宋" w:asciiTheme="minorEastAsia" w:hAnsiTheme="minorEastAsia" w:eastAsiaTheme="minorEastAsia"/>
          <w:b/>
          <w:snapToGrid w:val="0"/>
          <w:kern w:val="0"/>
          <w:szCs w:val="21"/>
        </w:rPr>
      </w:pPr>
      <w:r>
        <w:rPr>
          <w:rFonts w:hint="eastAsia" w:cs="仿宋" w:asciiTheme="minorEastAsia" w:hAnsiTheme="minorEastAsia" w:eastAsiaTheme="minorEastAsia"/>
          <w:szCs w:val="21"/>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cs="仿宋" w:asciiTheme="minorEastAsia" w:hAnsiTheme="minorEastAsia" w:eastAsiaTheme="minorEastAsia"/>
          <w:b/>
          <w:szCs w:val="21"/>
        </w:rPr>
        <w:t>对符合条件的获证产品（强制采购产品除外），根据该投标产品报价给予</w:t>
      </w:r>
      <w:r>
        <w:rPr>
          <w:rFonts w:hint="eastAsia" w:cs="仿宋" w:asciiTheme="minorEastAsia" w:hAnsiTheme="minorEastAsia" w:eastAsiaTheme="minorEastAsia"/>
          <w:b/>
          <w:szCs w:val="21"/>
          <w:u w:val="single"/>
        </w:rPr>
        <w:t xml:space="preserve"> 1 </w:t>
      </w:r>
      <w:r>
        <w:rPr>
          <w:rFonts w:hint="eastAsia" w:cs="仿宋" w:asciiTheme="minorEastAsia" w:hAnsiTheme="minorEastAsia" w:eastAsiaTheme="minorEastAsia"/>
          <w:b/>
          <w:szCs w:val="21"/>
        </w:rPr>
        <w:t>%的价格扣除，用扣除后的价格参与价格分的评审</w:t>
      </w:r>
      <w:r>
        <w:rPr>
          <w:rFonts w:hint="eastAsia" w:cs="仿宋" w:asciiTheme="minorEastAsia" w:hAnsiTheme="minorEastAsia" w:eastAsiaTheme="minorEastAsia"/>
          <w:szCs w:val="21"/>
        </w:rPr>
        <w:t>（需按投标文件格式部分“列入政府优先采购清单的投标产品一览表”的要求提供证明材料，否则不予价格扣除）。</w:t>
      </w: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p>
    <w:p>
      <w:pPr>
        <w:adjustRightInd w:val="0"/>
        <w:snapToGrid w:val="0"/>
        <w:spacing w:line="300" w:lineRule="auto"/>
        <w:jc w:val="center"/>
        <w:rPr>
          <w:rFonts w:hint="eastAsia" w:cs="仿宋" w:asciiTheme="minorEastAsia" w:hAnsiTheme="minorEastAsia" w:eastAsiaTheme="minorEastAsia"/>
          <w:b/>
          <w:snapToGrid w:val="0"/>
          <w:kern w:val="0"/>
          <w:sz w:val="56"/>
          <w:szCs w:val="96"/>
        </w:rPr>
      </w:pPr>
    </w:p>
    <w:p>
      <w:pPr>
        <w:adjustRightInd w:val="0"/>
        <w:snapToGrid w:val="0"/>
        <w:spacing w:line="300" w:lineRule="auto"/>
        <w:jc w:val="both"/>
        <w:rPr>
          <w:rFonts w:hint="eastAsia" w:cs="仿宋" w:asciiTheme="minorEastAsia" w:hAnsiTheme="minorEastAsia" w:eastAsiaTheme="minorEastAsia"/>
          <w:b/>
          <w:snapToGrid w:val="0"/>
          <w:kern w:val="0"/>
          <w:sz w:val="56"/>
          <w:szCs w:val="96"/>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第二部分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采购项目需求</w:t>
      </w:r>
    </w:p>
    <w:p>
      <w:pPr>
        <w:widowControl/>
        <w:jc w:val="left"/>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br w:type="page"/>
      </w:r>
    </w:p>
    <w:p>
      <w:pPr>
        <w:spacing w:after="156"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1、采购项目需求中所出现的工艺、材料、设备或参照的品牌等仅为方便描述而没有限制性，投标供应商可以在其提供的文件资料中选用替代标准，但这些替代标准要优于或相当于采购项目需求中要求的标准。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采购项目需求中要求提供证明材料的，投标文件需提供相应证明材料复印件或扫描件或截图等并注明证明材料在投标文件中的具体位置，未按要求提供证明材料或未注明证明材料的具体位置或提供的证明资料显示不符合征集文件要求、模糊不清无法判断或未显示是否满足征集文件要求的，均视为负偏离；未要求提供相应证明材料的，投标供应商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投标供应商提供证书或检测报告等证明材料的，颁发证书、出具报告的机构须是合法设立的机构，且具有颁发相应证书或者出具相应报告的资质。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），投标产品参数区间与征集要求不完全一致的均视为负偏离。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4、对于定制类产品，投标供应商需在投标文件“分项价格表”中明确注明“定制”，否则该产品技术参数按负偏离处理。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5、加注▲的条款为重要条款要求，如不满足将按照第一部分“评审信息”进行扣分。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rPr>
          <w:rFonts w:cs="仿宋" w:asciiTheme="minorEastAsia" w:hAnsiTheme="minorEastAsia" w:eastAsiaTheme="minorEastAsia"/>
          <w:b/>
          <w:sz w:val="36"/>
          <w:szCs w:val="36"/>
        </w:rPr>
      </w:pPr>
    </w:p>
    <w:p>
      <w:pP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br w:type="page"/>
      </w: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采购项目需求</w:t>
      </w:r>
    </w:p>
    <w:p>
      <w:pPr>
        <w:widowControl/>
        <w:jc w:val="left"/>
        <w:rPr>
          <w:rFonts w:cs="仿宋" w:asciiTheme="minorEastAsia" w:hAnsiTheme="minorEastAsia" w:eastAsiaTheme="minorEastAsia"/>
        </w:rPr>
      </w:pPr>
      <w:r>
        <w:rPr>
          <w:rFonts w:hint="eastAsia" w:cs="仿宋" w:asciiTheme="minorEastAsia" w:hAnsiTheme="minorEastAsia" w:eastAsiaTheme="minorEastAsia"/>
          <w:b/>
          <w:bCs/>
          <w:sz w:val="28"/>
          <w:szCs w:val="21"/>
        </w:rPr>
        <w:t>一、货物总清单</w:t>
      </w:r>
    </w:p>
    <w:tbl>
      <w:tblPr>
        <w:tblStyle w:val="16"/>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3211"/>
        <w:gridCol w:w="784"/>
        <w:gridCol w:w="631"/>
        <w:gridCol w:w="1686"/>
        <w:gridCol w:w="13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4"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序号</w:t>
            </w:r>
          </w:p>
        </w:tc>
        <w:tc>
          <w:tcPr>
            <w:tcW w:w="1884"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项目名称</w:t>
            </w:r>
          </w:p>
        </w:tc>
        <w:tc>
          <w:tcPr>
            <w:tcW w:w="460"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数量</w:t>
            </w:r>
          </w:p>
        </w:tc>
        <w:tc>
          <w:tcPr>
            <w:tcW w:w="370"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单位</w:t>
            </w:r>
          </w:p>
        </w:tc>
        <w:tc>
          <w:tcPr>
            <w:tcW w:w="989"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项目支付上限（人民币元）</w:t>
            </w:r>
          </w:p>
        </w:tc>
        <w:tc>
          <w:tcPr>
            <w:tcW w:w="821" w:type="pct"/>
            <w:shd w:val="clear" w:color="auto" w:fill="C6D9F1"/>
            <w:vAlign w:val="center"/>
          </w:tcPr>
          <w:p>
            <w:pPr>
              <w:jc w:val="center"/>
              <w:rPr>
                <w:rFonts w:cs="仿宋" w:asciiTheme="minorEastAsia" w:hAnsiTheme="minorEastAsia" w:eastAsiaTheme="minorEastAsia"/>
                <w:b/>
              </w:rPr>
            </w:pPr>
            <w:r>
              <w:rPr>
                <w:rFonts w:hint="eastAsia" w:cs="仿宋" w:asciiTheme="minorEastAsia" w:hAnsiTheme="minorEastAsia" w:eastAsiaTheme="minorEastAsia"/>
                <w:b/>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74"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84" w:type="pct"/>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rPr>
              <w:t>深圳市公安局罗湖分局电动巡逻车采购项目</w:t>
            </w:r>
          </w:p>
        </w:tc>
        <w:tc>
          <w:tcPr>
            <w:tcW w:w="460" w:type="pct"/>
            <w:vAlign w:val="center"/>
          </w:tcPr>
          <w:p>
            <w:pPr>
              <w:spacing w:line="360" w:lineRule="auto"/>
              <w:jc w:val="center"/>
              <w:rPr>
                <w:rFonts w:hint="default" w:cs="仿宋" w:asciiTheme="minorEastAsia" w:hAnsiTheme="minorEastAsia" w:eastAsiaTheme="minorEastAsia"/>
                <w:szCs w:val="21"/>
                <w:lang w:val="en-US" w:eastAsia="zh-CN"/>
              </w:rPr>
            </w:pPr>
            <w:r>
              <w:rPr>
                <w:rFonts w:hint="eastAsia" w:cs="仿宋" w:asciiTheme="minorEastAsia" w:hAnsiTheme="minorEastAsia" w:eastAsiaTheme="minorEastAsia"/>
                <w:szCs w:val="21"/>
                <w:lang w:val="en-US" w:eastAsia="zh-CN"/>
              </w:rPr>
              <w:t>13</w:t>
            </w:r>
          </w:p>
        </w:tc>
        <w:tc>
          <w:tcPr>
            <w:tcW w:w="370" w:type="pct"/>
            <w:vAlign w:val="center"/>
          </w:tcPr>
          <w:p>
            <w:pPr>
              <w:spacing w:line="360" w:lineRule="auto"/>
              <w:jc w:val="center"/>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lang w:val="en-US" w:eastAsia="zh-CN"/>
              </w:rPr>
              <w:t>辆</w:t>
            </w:r>
          </w:p>
        </w:tc>
        <w:tc>
          <w:tcPr>
            <w:tcW w:w="989" w:type="pct"/>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998,400.00</w:t>
            </w:r>
          </w:p>
        </w:tc>
        <w:tc>
          <w:tcPr>
            <w:tcW w:w="821" w:type="pct"/>
            <w:vAlign w:val="center"/>
          </w:tcPr>
          <w:p>
            <w:pPr>
              <w:spacing w:line="360" w:lineRule="auto"/>
              <w:jc w:val="center"/>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拒绝进口</w:t>
            </w:r>
          </w:p>
        </w:tc>
      </w:tr>
    </w:tbl>
    <w:p>
      <w:pPr>
        <w:widowControl/>
        <w:spacing w:before="156" w:beforeLines="50"/>
        <w:jc w:val="left"/>
        <w:rPr>
          <w:rFonts w:cs="仿宋" w:asciiTheme="minorEastAsia" w:hAnsiTheme="minorEastAsia" w:eastAsiaTheme="minorEastAsia"/>
          <w:b/>
          <w:bCs/>
          <w:color w:val="FF0000"/>
          <w:sz w:val="24"/>
          <w:szCs w:val="21"/>
        </w:rPr>
      </w:pPr>
      <w:r>
        <w:rPr>
          <w:rFonts w:hint="eastAsia" w:cs="仿宋" w:asciiTheme="minorEastAsia" w:hAnsiTheme="minorEastAsia" w:eastAsiaTheme="minorEastAsia"/>
          <w:b/>
          <w:bCs/>
          <w:color w:val="FF0000"/>
          <w:sz w:val="24"/>
          <w:szCs w:val="21"/>
        </w:rPr>
        <w:t>注：</w:t>
      </w:r>
      <w:r>
        <w:rPr>
          <w:rFonts w:hint="eastAsia" w:cs="仿宋" w:asciiTheme="minorEastAsia" w:hAnsiTheme="minorEastAsia" w:eastAsiaTheme="minorEastAsia"/>
          <w:b/>
          <w:bCs/>
          <w:sz w:val="24"/>
          <w:szCs w:val="21"/>
          <w:highlight w:val="yellow"/>
        </w:rPr>
        <w:t>★</w:t>
      </w:r>
      <w:r>
        <w:rPr>
          <w:rFonts w:hint="eastAsia" w:cs="仿宋" w:asciiTheme="minorEastAsia" w:hAnsiTheme="minorEastAsia" w:eastAsiaTheme="minorEastAsia"/>
          <w:bCs/>
          <w:sz w:val="24"/>
          <w:szCs w:val="21"/>
          <w:highlight w:val="yellow"/>
        </w:rPr>
        <w:t>投标供应商的投标报价超过项目支付上限的将导致投标无效。</w:t>
      </w:r>
    </w:p>
    <w:p>
      <w:pPr>
        <w:widowControl/>
        <w:jc w:val="left"/>
        <w:rPr>
          <w:rFonts w:cs="仿宋" w:asciiTheme="minorEastAsia" w:hAnsiTheme="minorEastAsia" w:eastAsiaTheme="minorEastAsia"/>
          <w:b/>
          <w:bCs/>
          <w:sz w:val="28"/>
          <w:szCs w:val="21"/>
        </w:rPr>
      </w:pPr>
    </w:p>
    <w:p>
      <w:pPr>
        <w:widowControl/>
        <w:jc w:val="left"/>
        <w:rPr>
          <w:rFonts w:cs="仿宋" w:asciiTheme="minorEastAsia" w:hAnsiTheme="minorEastAsia" w:eastAsiaTheme="minorEastAsia"/>
          <w:b/>
          <w:bCs/>
          <w:sz w:val="28"/>
          <w:szCs w:val="21"/>
        </w:rPr>
      </w:pPr>
      <w:r>
        <w:rPr>
          <w:rFonts w:hint="eastAsia" w:cs="仿宋" w:asciiTheme="minorEastAsia" w:hAnsiTheme="minorEastAsia" w:eastAsiaTheme="minorEastAsia"/>
          <w:b/>
          <w:bCs/>
          <w:sz w:val="28"/>
          <w:szCs w:val="21"/>
        </w:rPr>
        <w:t>二、货物清单明细</w:t>
      </w:r>
    </w:p>
    <w:tbl>
      <w:tblPr>
        <w:tblStyle w:val="16"/>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2"/>
        <w:gridCol w:w="2264"/>
        <w:gridCol w:w="2095"/>
        <w:gridCol w:w="1724"/>
        <w:gridCol w:w="1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501" w:type="pct"/>
            <w:tcBorders>
              <w:tl2br w:val="nil"/>
              <w:tr2bl w:val="nil"/>
            </w:tcBorders>
            <w:shd w:val="clear" w:color="auto" w:fill="FFFFFF"/>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序号</w:t>
            </w:r>
          </w:p>
        </w:tc>
        <w:tc>
          <w:tcPr>
            <w:tcW w:w="996" w:type="pct"/>
            <w:tcBorders>
              <w:tl2br w:val="nil"/>
              <w:tr2bl w:val="nil"/>
            </w:tcBorders>
            <w:shd w:val="clear" w:color="auto" w:fill="FFFFFF"/>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名称</w:t>
            </w:r>
          </w:p>
        </w:tc>
        <w:tc>
          <w:tcPr>
            <w:tcW w:w="1312" w:type="pct"/>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单位</w:t>
            </w:r>
          </w:p>
        </w:tc>
        <w:tc>
          <w:tcPr>
            <w:tcW w:w="1094" w:type="pct"/>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szCs w:val="21"/>
              </w:rPr>
              <w:t>数量</w:t>
            </w:r>
          </w:p>
        </w:tc>
        <w:tc>
          <w:tcPr>
            <w:tcW w:w="1094" w:type="pct"/>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01" w:type="pct"/>
            <w:tcBorders>
              <w:tl2br w:val="nil"/>
              <w:tr2bl w:val="nil"/>
            </w:tcBorders>
            <w:shd w:val="clear" w:color="auto" w:fill="FFFFFF"/>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996" w:type="pct"/>
            <w:tcBorders>
              <w:tl2br w:val="nil"/>
              <w:tr2bl w:val="nil"/>
            </w:tcBorders>
            <w:shd w:val="clear" w:color="auto" w:fill="FFFFFF"/>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5座带门封闭式巡逻车</w:t>
            </w:r>
          </w:p>
        </w:tc>
        <w:tc>
          <w:tcPr>
            <w:tcW w:w="1312" w:type="pct"/>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辆</w:t>
            </w:r>
          </w:p>
        </w:tc>
        <w:tc>
          <w:tcPr>
            <w:tcW w:w="1094" w:type="pct"/>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13</w:t>
            </w:r>
          </w:p>
        </w:tc>
        <w:tc>
          <w:tcPr>
            <w:tcW w:w="1094" w:type="pct"/>
            <w:tcBorders>
              <w:tl2br w:val="nil"/>
              <w:tr2bl w:val="nil"/>
            </w:tcBorders>
            <w:shd w:val="clear" w:color="auto" w:fill="auto"/>
            <w:noWrap/>
            <w:vAlign w:val="center"/>
          </w:tcPr>
          <w:p>
            <w:pPr>
              <w:widowControl/>
              <w:jc w:val="center"/>
              <w:textAlignment w:val="center"/>
              <w:rPr>
                <w:rFonts w:cs="宋体" w:asciiTheme="minorEastAsia" w:hAnsiTheme="minorEastAsia" w:eastAsiaTheme="minorEastAsia"/>
                <w:color w:val="000000"/>
                <w:kern w:val="0"/>
                <w:szCs w:val="21"/>
              </w:rPr>
            </w:pPr>
            <w:r>
              <w:rPr>
                <w:rFonts w:hint="eastAsia"/>
                <w:bCs/>
                <w:szCs w:val="21"/>
              </w:rPr>
              <w:t>拒绝进口</w:t>
            </w:r>
          </w:p>
        </w:tc>
      </w:tr>
    </w:tbl>
    <w:p>
      <w:pPr>
        <w:pStyle w:val="43"/>
        <w:adjustRightInd w:val="0"/>
        <w:snapToGrid w:val="0"/>
        <w:spacing w:before="0" w:beforeAutospacing="0" w:after="0" w:afterAutospacing="0" w:line="440" w:lineRule="exact"/>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pStyle w:val="8"/>
        <w:spacing w:line="440" w:lineRule="exact"/>
        <w:ind w:firstLine="420" w:firstLineChars="200"/>
        <w:rPr>
          <w:rFonts w:ascii="宋体" w:hAnsi="宋体"/>
          <w:bCs/>
          <w:snapToGrid w:val="0"/>
          <w:kern w:val="0"/>
          <w:szCs w:val="21"/>
        </w:rPr>
      </w:pPr>
      <w:r>
        <w:rPr>
          <w:rFonts w:hint="eastAsia" w:ascii="宋体" w:hAnsi="宋体"/>
          <w:bCs/>
          <w:snapToGrid w:val="0"/>
          <w:kern w:val="0"/>
          <w:szCs w:val="21"/>
          <w:highlight w:val="yellow"/>
        </w:rPr>
        <w:t>（1）如同时有两家或两家以上（均为制造商的合法代理商）通过资格审查及符合性审查的合格投标供应商</w:t>
      </w:r>
      <w:r>
        <w:rPr>
          <w:rFonts w:hint="eastAsia" w:ascii="宋体" w:hAnsi="宋体"/>
          <w:b/>
          <w:bCs/>
          <w:snapToGrid w:val="0"/>
          <w:kern w:val="0"/>
          <w:szCs w:val="21"/>
          <w:highlight w:val="yellow"/>
        </w:rPr>
        <w:t>所投产品为相同品牌的，按一家投标供应商计算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投标供应商获得中标人推荐资格；评审得分相同的由报价相对最低的获得中标人推荐资格；评审得分及报价均相同的由技术部分评分相对最高的获得中标人推荐资格；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，其他同品牌投标供应商不作为中标候选人。</w:t>
      </w:r>
    </w:p>
    <w:p>
      <w:pPr>
        <w:adjustRightInd w:val="0"/>
        <w:snapToGrid w:val="0"/>
        <w:spacing w:line="440" w:lineRule="exact"/>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若评标委员会成员对是否须由投标供应商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440" w:lineRule="exact"/>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（3）备注栏注明“拒绝进口”的产品不接受投标供应商选用进口产品参与投标；注明“接受进口”的产品允许投标供应商选用进口产品参与投标，但不排斥国内产品。 </w:t>
      </w:r>
    </w:p>
    <w:p>
      <w:pPr>
        <w:adjustRightInd w:val="0"/>
        <w:snapToGrid w:val="0"/>
        <w:spacing w:line="440" w:lineRule="exact"/>
        <w:ind w:firstLine="422" w:firstLineChars="201"/>
        <w:rPr>
          <w:rFonts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2"/>
      </w:pPr>
    </w:p>
    <w:p>
      <w:pPr>
        <w:widowControl/>
        <w:jc w:val="left"/>
        <w:rPr>
          <w:rFonts w:cs="仿宋" w:asciiTheme="minorEastAsia" w:hAnsiTheme="minorEastAsia" w:eastAsiaTheme="minorEastAsia"/>
          <w:b/>
          <w:bCs/>
          <w:sz w:val="28"/>
          <w:szCs w:val="21"/>
        </w:rPr>
      </w:pPr>
      <w:r>
        <w:rPr>
          <w:rFonts w:hint="eastAsia" w:cs="仿宋" w:asciiTheme="minorEastAsia" w:hAnsiTheme="minorEastAsia" w:eastAsiaTheme="minorEastAsia"/>
          <w:b/>
          <w:bCs/>
          <w:sz w:val="28"/>
          <w:szCs w:val="21"/>
        </w:rPr>
        <w:t>三、技术要求</w:t>
      </w: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cs="宋体"/>
                <w:szCs w:val="21"/>
              </w:rPr>
            </w:pPr>
            <w:r>
              <w:rPr>
                <w:rFonts w:hint="eastAsia" w:ascii="宋体" w:hAnsi="宋体" w:cs="宋体"/>
                <w:szCs w:val="21"/>
              </w:rPr>
              <w:t>货物</w:t>
            </w:r>
          </w:p>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cs="宋体"/>
                <w:szCs w:val="21"/>
              </w:rPr>
            </w:pPr>
            <w:r>
              <w:rPr>
                <w:rFonts w:hint="eastAsia" w:ascii="宋体" w:hAnsi="宋体" w:cs="宋体"/>
                <w:szCs w:val="21"/>
              </w:rPr>
              <w:t>名称</w:t>
            </w:r>
          </w:p>
        </w:tc>
        <w:tc>
          <w:tcPr>
            <w:tcW w:w="440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cs="宋体"/>
                <w:szCs w:val="21"/>
              </w:rPr>
            </w:pPr>
            <w:r>
              <w:rPr>
                <w:rFonts w:hint="eastAsia" w:ascii="宋体" w:hAnsi="宋体" w:cs="宋体"/>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59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cs="宋体"/>
                <w:szCs w:val="21"/>
              </w:rPr>
            </w:pPr>
            <w:r>
              <w:rPr>
                <w:rFonts w:hint="eastAsia" w:ascii="宋体" w:hAnsi="宋体" w:cs="宋体"/>
                <w:szCs w:val="21"/>
              </w:rPr>
              <w:t>5座带门封闭式巡逻车</w:t>
            </w:r>
          </w:p>
        </w:tc>
        <w:tc>
          <w:tcPr>
            <w:tcW w:w="4404"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highlight w:val="yellow"/>
              </w:rPr>
            </w:pPr>
            <w:r>
              <w:rPr>
                <w:rFonts w:hint="eastAsia" w:ascii="宋体" w:hAnsi="宋体" w:cs="宋体"/>
                <w:highlight w:val="yellow"/>
              </w:rPr>
              <w:t>1.▲电控：智能永磁同步控制系统72V，能对速度进行有效控制（提供具备CMA或CNAS标识的速度控制相关检测报告或其它相关证书的复印件或扫描件，加盖投标供应商公章，原件备查）；</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2.电池：≥8V180AH*9只铅酸免维护电池，电池具备智能损耗检测功能（提供具备CMA或CNAS标识的电池智能损耗检测相关检测报告或其它相关证书的复印件或扫描件，加盖投标供应商公章，原件备查）；</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3.电机：永磁同步电机≥5KW；</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lang w:eastAsia="zh-CN"/>
              </w:rPr>
            </w:pPr>
            <w:r>
              <w:rPr>
                <w:rFonts w:hint="eastAsia" w:ascii="宋体" w:hAnsi="宋体" w:cs="宋体"/>
              </w:rPr>
              <w:t>4.充电机：电脑智能化充电机。具有过充保护功能和过载保护功能，保护电池，延长电池的使用寿命</w:t>
            </w:r>
            <w:r>
              <w:rPr>
                <w:rStyle w:val="47"/>
                <w:rFonts w:hint="eastAsia" w:ascii="宋体" w:hAnsi="宋体" w:cs="宋体"/>
                <w:color w:val="000000" w:themeColor="text1"/>
                <w14:textFill>
                  <w14:solidFill>
                    <w14:schemeClr w14:val="tx1"/>
                  </w14:solidFill>
                </w14:textFill>
              </w:rPr>
              <w:t>（</w:t>
            </w:r>
            <w:r>
              <w:rPr>
                <w:rFonts w:hint="eastAsia" w:ascii="宋体" w:hAnsi="宋体" w:eastAsia="宋体" w:cs="宋体"/>
                <w:color w:val="000000" w:themeColor="text1"/>
                <w:kern w:val="0"/>
                <w14:textFill>
                  <w14:solidFill>
                    <w14:schemeClr w14:val="tx1"/>
                  </w14:solidFill>
                </w14:textFill>
              </w:rPr>
              <w:t>提供具备</w:t>
            </w:r>
            <w:r>
              <w:rPr>
                <w:rFonts w:hint="eastAsia" w:ascii="宋体" w:hAnsi="宋体" w:cs="宋体"/>
              </w:rPr>
              <w:t>CNAS标识的过充过载保护相关检测报告或其它相关证书的复印件或扫描件，加盖投标供应商公章，原件备查</w:t>
            </w:r>
            <w:r>
              <w:rPr>
                <w:rFonts w:hint="eastAsia" w:ascii="宋体" w:hAnsi="宋体" w:eastAsia="宋体" w:cs="宋体"/>
                <w:color w:val="000000" w:themeColor="text1"/>
                <w:kern w:val="0"/>
                <w14:textFill>
                  <w14:solidFill>
                    <w14:schemeClr w14:val="tx1"/>
                  </w14:solidFill>
                </w14:textFill>
              </w:rPr>
              <w:t>）</w:t>
            </w:r>
            <w:r>
              <w:rPr>
                <w:rFonts w:hint="eastAsia" w:ascii="宋体" w:hAnsi="宋体" w:cs="宋体"/>
                <w:color w:val="000000" w:themeColor="text1"/>
                <w:kern w:val="0"/>
                <w:lang w:eastAsia="zh-CN"/>
                <w14:textFill>
                  <w14:solidFill>
                    <w14:schemeClr w14:val="tx1"/>
                  </w14:solidFill>
                </w14:textFill>
              </w:rPr>
              <w:t>；</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5.前挡：钢化玻璃+汽车式雨刮器；</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6.车身顶篷：钣金前后罩+注塑顶篷+钣金座桶, 前后吸塑保险杠（提供具备CMA或CNAS标识的车身及顶蓬材质的检测报告的复印件或扫描件，加盖投标供应商公章，原件备查）；</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7.车架：钢骨架，高强度圆形钢管焊接；</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8.车门：钣金车门；</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9.仪表台：注塑仪表台、标配7寸中控屏幕、倒车影像、MP5（提供仪表台细节照片，加盖投标供应商公章，原件备查）；</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10.地板：铝花纹地板；</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11. 灯光/喇叭：前大灯、前小灯、转向灯、刹车灯；电喇叭，LED显示屏、警灯和喊话器；</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highlight w:val="yellow"/>
              </w:rPr>
            </w:pPr>
            <w:r>
              <w:rPr>
                <w:rFonts w:hint="eastAsia" w:ascii="宋体" w:hAnsi="宋体" w:cs="宋体"/>
                <w:highlight w:val="yellow"/>
              </w:rPr>
              <w:t>12.▲转向系统：齿轮齿条转向系统+方向助力，转向器耐用不生锈。（提供具备CMA或CNAS标识的的检测结果无异常的转向器总成疲劳及盐雾腐蚀检测报告复印件或扫描件，加盖投标供应商公章，原件备查）；</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highlight w:val="yellow"/>
              </w:rPr>
            </w:pPr>
            <w:r>
              <w:rPr>
                <w:rFonts w:hint="eastAsia" w:ascii="宋体" w:hAnsi="宋体" w:cs="宋体"/>
                <w:highlight w:val="yellow"/>
              </w:rPr>
              <w:t>13.▲悬挂系统：前麦弗逊独立悬架结构，后拖臂式悬架，螺旋弹簧减震器。（提供具备CMA或CNAS标识的</w:t>
            </w:r>
            <w:r>
              <w:rPr>
                <w:rFonts w:hint="eastAsia" w:ascii="宋体" w:hAnsi="宋体" w:cs="宋体"/>
                <w:caps/>
                <w:highlight w:val="yellow"/>
              </w:rPr>
              <w:t>检测结果无异常的减震器盐雾腐蚀检测报告的</w:t>
            </w:r>
            <w:r>
              <w:rPr>
                <w:rFonts w:hint="eastAsia" w:ascii="宋体" w:hAnsi="宋体" w:cs="宋体"/>
                <w:highlight w:val="yellow"/>
              </w:rPr>
              <w:t>复印件或</w:t>
            </w:r>
            <w:r>
              <w:rPr>
                <w:rFonts w:hint="eastAsia" w:ascii="宋体" w:hAnsi="宋体" w:cs="宋体"/>
                <w:caps/>
                <w:highlight w:val="yellow"/>
              </w:rPr>
              <w:t>扫描件，</w:t>
            </w:r>
            <w:r>
              <w:rPr>
                <w:rFonts w:hint="eastAsia" w:ascii="宋体" w:hAnsi="宋体" w:cs="宋体"/>
                <w:highlight w:val="yellow"/>
              </w:rPr>
              <w:t>加盖投标供应商公章，原件备查）；</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highlight w:val="yellow"/>
              </w:rPr>
            </w:pPr>
            <w:r>
              <w:rPr>
                <w:rFonts w:hint="eastAsia" w:ascii="宋体" w:hAnsi="宋体" w:cs="宋体"/>
                <w:highlight w:val="yellow"/>
              </w:rPr>
              <w:t>14.▲制动系统：前碟后鼓双回路液压制动和独立的驻车制动（手刹）。制动系统具备能量回馈再制动作用。（提供具备CMA或CNAS标识的能量回馈制动相关的检测报告或其它相关证书</w:t>
            </w:r>
            <w:r>
              <w:rPr>
                <w:rFonts w:hint="eastAsia" w:ascii="宋体" w:hAnsi="宋体" w:cs="宋体"/>
                <w:caps/>
                <w:highlight w:val="yellow"/>
              </w:rPr>
              <w:t>的</w:t>
            </w:r>
            <w:r>
              <w:rPr>
                <w:rFonts w:hint="eastAsia" w:ascii="宋体" w:hAnsi="宋体" w:cs="宋体"/>
                <w:highlight w:val="yellow"/>
              </w:rPr>
              <w:t>复印件或</w:t>
            </w:r>
            <w:r>
              <w:rPr>
                <w:rFonts w:hint="eastAsia" w:ascii="宋体" w:hAnsi="宋体" w:cs="宋体"/>
                <w:caps/>
                <w:highlight w:val="yellow"/>
              </w:rPr>
              <w:t>扫描件，</w:t>
            </w:r>
            <w:r>
              <w:rPr>
                <w:rFonts w:hint="eastAsia" w:ascii="宋体" w:hAnsi="宋体" w:cs="宋体"/>
                <w:highlight w:val="yellow"/>
              </w:rPr>
              <w:t>加盖投标供应商公章，原件备查）；</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highlight w:val="none"/>
              </w:rPr>
            </w:pPr>
            <w:r>
              <w:rPr>
                <w:rFonts w:hint="eastAsia" w:ascii="宋体" w:hAnsi="宋体" w:cs="宋体"/>
                <w:highlight w:val="none"/>
              </w:rPr>
              <w:t>15.轮胎：真空子午线胎185/70R13或者1</w:t>
            </w:r>
            <w:r>
              <w:rPr>
                <w:rFonts w:ascii="宋体" w:hAnsi="宋体" w:cs="宋体"/>
                <w:highlight w:val="none"/>
              </w:rPr>
              <w:t>95/7013</w:t>
            </w:r>
            <w:r>
              <w:rPr>
                <w:rFonts w:hint="eastAsia" w:ascii="宋体" w:hAnsi="宋体" w:cs="宋体"/>
                <w:highlight w:val="none"/>
              </w:rPr>
              <w:t>，钢轮辋；</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highlight w:val="yellow"/>
              </w:rPr>
            </w:pPr>
            <w:r>
              <w:rPr>
                <w:rFonts w:hint="eastAsia" w:ascii="宋体" w:hAnsi="宋体" w:cs="宋体"/>
                <w:highlight w:val="yellow"/>
              </w:rPr>
              <w:t>16.▲空调：隐藏式冷暖空调，内置中控台前面出风（提供空调外挂主机隐匿式设计实物细节图片，加盖投标供应商公章，原件备查）；</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highlight w:val="yellow"/>
              </w:rPr>
            </w:pPr>
            <w:r>
              <w:rPr>
                <w:rFonts w:hint="eastAsia" w:ascii="宋体" w:hAnsi="宋体" w:cs="宋体"/>
                <w:highlight w:val="yellow"/>
              </w:rPr>
              <w:t>17.▲外形尺寸（长宽高）：3280mm*1580mm*1920mm（±10mm）不含警灯后视镜及外加保险杠（提供具备CMA或CNAS标识的</w:t>
            </w:r>
            <w:r>
              <w:rPr>
                <w:rFonts w:hint="eastAsia" w:ascii="宋体" w:hAnsi="宋体" w:cs="宋体"/>
                <w:kern w:val="0"/>
                <w:highlight w:val="yellow"/>
              </w:rPr>
              <w:t>投标</w:t>
            </w:r>
            <w:r>
              <w:rPr>
                <w:rFonts w:hint="eastAsia" w:ascii="宋体" w:hAnsi="宋体" w:cs="宋体"/>
                <w:highlight w:val="yellow"/>
              </w:rPr>
              <w:t>产品检测报告的复印件或扫描件，加盖投标供应商公章，原件备查，以检测报告实测值为评判依据）；</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highlight w:val="yellow"/>
              </w:rPr>
            </w:pPr>
            <w:r>
              <w:rPr>
                <w:rFonts w:hint="eastAsia" w:ascii="宋体" w:hAnsi="宋体" w:cs="宋体"/>
                <w:highlight w:val="yellow"/>
              </w:rPr>
              <w:t>18.▲轴距：2200mm（±10mm）（提供具备CMA或CNAS标识的</w:t>
            </w:r>
            <w:r>
              <w:rPr>
                <w:rFonts w:hint="eastAsia" w:ascii="宋体" w:hAnsi="宋体" w:cs="宋体"/>
                <w:kern w:val="0"/>
                <w:highlight w:val="yellow"/>
              </w:rPr>
              <w:t>投标</w:t>
            </w:r>
            <w:r>
              <w:rPr>
                <w:rFonts w:hint="eastAsia" w:ascii="宋体" w:hAnsi="宋体" w:cs="宋体"/>
                <w:highlight w:val="yellow"/>
              </w:rPr>
              <w:t>产品检测报告的复印件或扫描件，加盖投标供应商公章，原件备查，以检测报告实测值为评判依据）；</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highlight w:val="yellow"/>
              </w:rPr>
            </w:pPr>
            <w:r>
              <w:rPr>
                <w:rFonts w:hint="eastAsia" w:ascii="宋体" w:hAnsi="宋体" w:cs="宋体"/>
                <w:highlight w:val="yellow"/>
              </w:rPr>
              <w:t>19.▲前/后轮距：1330mm/1320mm（±10mm）（提供具备CMA或CNAS标识的</w:t>
            </w:r>
            <w:r>
              <w:rPr>
                <w:rFonts w:hint="eastAsia" w:ascii="宋体" w:hAnsi="宋体" w:cs="宋体"/>
                <w:kern w:val="0"/>
                <w:highlight w:val="yellow"/>
              </w:rPr>
              <w:t>投标</w:t>
            </w:r>
            <w:r>
              <w:rPr>
                <w:rFonts w:hint="eastAsia" w:ascii="宋体" w:hAnsi="宋体" w:cs="宋体"/>
                <w:highlight w:val="yellow"/>
              </w:rPr>
              <w:t>产品检测报告的复印件或扫描件，加盖投标供应商公章，原件备查，以检测报告实测值为评判依据）；</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20.最大行驶速度：≤30km/h；</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21.最小离地间隙：≥160mm（满载）（提供具备CMA或CNAS标识的</w:t>
            </w:r>
            <w:r>
              <w:rPr>
                <w:rFonts w:hint="eastAsia" w:ascii="宋体" w:hAnsi="宋体" w:cs="宋体"/>
                <w:kern w:val="0"/>
              </w:rPr>
              <w:t>投标</w:t>
            </w:r>
            <w:r>
              <w:rPr>
                <w:rFonts w:hint="eastAsia" w:ascii="宋体" w:hAnsi="宋体" w:cs="宋体"/>
              </w:rPr>
              <w:t>产品检</w:t>
            </w:r>
            <w:r>
              <w:rPr>
                <w:rFonts w:hint="eastAsia" w:ascii="宋体" w:hAnsi="宋体" w:cs="宋体"/>
                <w:highlight w:val="none"/>
              </w:rPr>
              <w:t>测报告的复印件或扫描件，加盖投标供应商公章，原件备查，</w:t>
            </w:r>
            <w:r>
              <w:rPr>
                <w:rFonts w:hint="eastAsia" w:ascii="宋体" w:hAnsi="宋体" w:cs="宋体"/>
              </w:rPr>
              <w:t>以检测报告实测值为评判依据）；</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hint="eastAsia" w:ascii="宋体" w:hAnsi="宋体" w:cs="宋体"/>
              </w:rPr>
            </w:pPr>
            <w:r>
              <w:rPr>
                <w:rFonts w:hint="eastAsia" w:ascii="宋体" w:hAnsi="宋体" w:cs="宋体"/>
              </w:rPr>
              <w:t>22.转弯半径：≤5.3m；</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highlight w:val="yellow"/>
              </w:rPr>
            </w:pPr>
            <w:r>
              <w:rPr>
                <w:rFonts w:hint="eastAsia" w:ascii="宋体" w:hAnsi="宋体" w:cs="宋体"/>
                <w:highlight w:val="yellow"/>
              </w:rPr>
              <w:t>23.▲增力机构：加装手动驻车增力装置（提供具备CMA或CNAS标识的手动驻车增力装置机构的检测报告或相关证明以及驻车增力装置设计图纸，提供检测报告或相关证明以及设计图纸的复印件或扫描件，加盖投标供应商公章，原件备查）；</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宋体"/>
                <w:szCs w:val="21"/>
                <w:highlight w:val="none"/>
              </w:rPr>
            </w:pPr>
            <w:r>
              <w:rPr>
                <w:rFonts w:hint="eastAsia" w:ascii="宋体" w:hAnsi="宋体" w:cs="宋体"/>
                <w:szCs w:val="21"/>
                <w:highlight w:val="none"/>
              </w:rPr>
              <w:t>24.后桥：整体式钢制后桥。后桥进行疲劳检测（提供具备CMA或CNAS标识的后桥总成检测报告且检测结果外观无破损、断裂或者变形的情况出现，提供检测报告的复印件或扫描件，加盖投标供应商公章，原件备查）；</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25.制动距离：≤5m；</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Cs w:val="21"/>
                <w:lang w:eastAsia="zh-CN"/>
              </w:rPr>
            </w:pPr>
            <w:r>
              <w:rPr>
                <w:rFonts w:hint="eastAsia" w:ascii="宋体" w:hAnsi="宋体" w:cs="宋体"/>
                <w:szCs w:val="21"/>
              </w:rPr>
              <w:t>26. 最大承载重量：≥420kg</w:t>
            </w:r>
            <w:r>
              <w:rPr>
                <w:rFonts w:hint="eastAsia" w:ascii="宋体" w:hAnsi="宋体" w:cs="宋体"/>
                <w:szCs w:val="21"/>
                <w:lang w:eastAsia="zh-CN"/>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Cs w:val="21"/>
                <w:lang w:eastAsia="zh-CN"/>
              </w:rPr>
            </w:pPr>
            <w:r>
              <w:rPr>
                <w:rFonts w:hint="eastAsia" w:ascii="宋体" w:hAnsi="宋体" w:cs="宋体"/>
                <w:szCs w:val="21"/>
              </w:rPr>
              <w:t>27. 充电时间：8h-10h</w:t>
            </w:r>
            <w:r>
              <w:rPr>
                <w:rFonts w:hint="eastAsia" w:ascii="宋体" w:hAnsi="宋体" w:cs="宋体"/>
                <w:szCs w:val="21"/>
                <w:lang w:eastAsia="zh-CN"/>
              </w:rPr>
              <w:t>；</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ascii="宋体" w:hAnsi="宋体" w:cs="宋体"/>
              </w:rPr>
            </w:pPr>
            <w:r>
              <w:rPr>
                <w:rFonts w:hint="eastAsia" w:ascii="宋体" w:hAnsi="宋体" w:cs="宋体"/>
              </w:rPr>
              <w:t>26.续航里程：≥75km（满载）；</w:t>
            </w:r>
          </w:p>
          <w:p>
            <w:pPr>
              <w:pStyle w:val="44"/>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lang w:eastAsia="zh-CN"/>
              </w:rPr>
            </w:pPr>
            <w:r>
              <w:rPr>
                <w:rFonts w:hint="eastAsia" w:ascii="宋体" w:hAnsi="宋体" w:cs="宋体"/>
                <w:highlight w:val="yellow"/>
              </w:rPr>
              <w:t>27.▲车身内所用内饰材料采用阻燃材质，阻燃性符合GB8410规定（提供具备CNAS或CMA标识的车辆检测报告的复印件或扫描件，加盖投标供应商公章，原件备查）</w:t>
            </w:r>
            <w:r>
              <w:rPr>
                <w:rFonts w:hint="eastAsia" w:ascii="宋体" w:hAnsi="宋体" w:cs="宋体"/>
                <w:highlight w:val="yellow"/>
                <w:lang w:eastAsia="zh-CN"/>
              </w:rPr>
              <w:t>。</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四、商务要求</w:t>
      </w:r>
    </w:p>
    <w:p>
      <w:pPr>
        <w:widowControl/>
        <w:jc w:val="left"/>
      </w:pP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
        <w:gridCol w:w="809"/>
        <w:gridCol w:w="1176"/>
        <w:gridCol w:w="625"/>
        <w:gridCol w:w="5851"/>
        <w:gridCol w:w="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404" w:hRule="atLeast"/>
        </w:trPr>
        <w:tc>
          <w:tcPr>
            <w:tcW w:w="474" w:type="pct"/>
            <w:vAlign w:val="center"/>
          </w:tcPr>
          <w:p>
            <w:pPr>
              <w:spacing w:line="440" w:lineRule="exact"/>
              <w:jc w:val="center"/>
              <w:rPr>
                <w:b/>
                <w:color w:val="auto"/>
              </w:rPr>
            </w:pPr>
            <w:r>
              <w:rPr>
                <w:rFonts w:hint="eastAsia"/>
                <w:b/>
                <w:color w:val="auto"/>
              </w:rPr>
              <w:t>序号</w:t>
            </w:r>
          </w:p>
        </w:tc>
        <w:tc>
          <w:tcPr>
            <w:tcW w:w="1057" w:type="pct"/>
            <w:gridSpan w:val="2"/>
            <w:vAlign w:val="center"/>
          </w:tcPr>
          <w:p>
            <w:pPr>
              <w:spacing w:line="440" w:lineRule="exact"/>
              <w:jc w:val="center"/>
              <w:rPr>
                <w:b/>
                <w:color w:val="auto"/>
              </w:rPr>
            </w:pPr>
            <w:r>
              <w:rPr>
                <w:rFonts w:hint="eastAsia"/>
                <w:b/>
                <w:color w:val="auto"/>
              </w:rPr>
              <w:t>商务需求项</w:t>
            </w:r>
          </w:p>
        </w:tc>
        <w:tc>
          <w:tcPr>
            <w:tcW w:w="3459" w:type="pct"/>
            <w:gridSpan w:val="2"/>
            <w:vAlign w:val="center"/>
          </w:tcPr>
          <w:p>
            <w:pPr>
              <w:spacing w:line="440" w:lineRule="exact"/>
              <w:jc w:val="center"/>
              <w:rPr>
                <w:b/>
                <w:color w:val="auto"/>
              </w:rPr>
            </w:pPr>
            <w:r>
              <w:rPr>
                <w:rFonts w:hint="eastAsia"/>
                <w:b/>
                <w:color w:val="auto"/>
              </w:rPr>
              <w:t>招标商务要求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285" w:hRule="atLeast"/>
        </w:trPr>
        <w:tc>
          <w:tcPr>
            <w:tcW w:w="4991" w:type="pct"/>
            <w:gridSpan w:val="5"/>
            <w:vAlign w:val="center"/>
          </w:tcPr>
          <w:p>
            <w:pPr>
              <w:spacing w:line="440" w:lineRule="exact"/>
              <w:rPr>
                <w:b/>
                <w:color w:val="auto"/>
              </w:rPr>
            </w:pPr>
            <w:r>
              <w:rPr>
                <w:rFonts w:hint="eastAsia"/>
                <w:b/>
                <w:color w:val="auto"/>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326" w:hRule="atLeast"/>
        </w:trPr>
        <w:tc>
          <w:tcPr>
            <w:tcW w:w="474" w:type="pct"/>
            <w:vAlign w:val="center"/>
          </w:tcPr>
          <w:p>
            <w:pPr>
              <w:spacing w:line="440" w:lineRule="exact"/>
              <w:jc w:val="center"/>
              <w:rPr>
                <w:bCs/>
                <w:color w:val="auto"/>
              </w:rPr>
            </w:pPr>
            <w:r>
              <w:rPr>
                <w:rFonts w:hint="eastAsia"/>
                <w:bCs/>
                <w:color w:val="auto"/>
              </w:rPr>
              <w:t>1</w:t>
            </w:r>
          </w:p>
        </w:tc>
        <w:tc>
          <w:tcPr>
            <w:tcW w:w="1057" w:type="pct"/>
            <w:gridSpan w:val="2"/>
            <w:vAlign w:val="center"/>
          </w:tcPr>
          <w:p>
            <w:pPr>
              <w:spacing w:line="440" w:lineRule="exact"/>
              <w:jc w:val="center"/>
              <w:rPr>
                <w:color w:val="auto"/>
              </w:rPr>
            </w:pPr>
            <w:r>
              <w:rPr>
                <w:rFonts w:hint="eastAsia"/>
                <w:color w:val="auto"/>
              </w:rPr>
              <w:t>维修响应及故障解决时间</w:t>
            </w:r>
          </w:p>
        </w:tc>
        <w:tc>
          <w:tcPr>
            <w:tcW w:w="3459" w:type="pct"/>
            <w:gridSpan w:val="2"/>
            <w:vAlign w:val="center"/>
          </w:tcPr>
          <w:p>
            <w:pPr>
              <w:spacing w:line="440" w:lineRule="exact"/>
              <w:rPr>
                <w:b/>
                <w:color w:val="auto"/>
              </w:rPr>
            </w:pPr>
            <w:r>
              <w:rPr>
                <w:rFonts w:hint="eastAsia"/>
                <w:bCs/>
                <w:color w:val="auto"/>
                <w:szCs w:val="21"/>
              </w:rPr>
              <w:t>在保修期内，一旦发生质量问题，</w:t>
            </w:r>
            <w:r>
              <w:rPr>
                <w:rFonts w:hint="eastAsia" w:ascii="宋体" w:hAnsi="宋体"/>
                <w:color w:val="auto"/>
                <w:szCs w:val="21"/>
              </w:rPr>
              <w:t>服务响应时间为1小时，紧急情况下赶到现场不应超过4小时。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326" w:hRule="atLeast"/>
        </w:trPr>
        <w:tc>
          <w:tcPr>
            <w:tcW w:w="474" w:type="pct"/>
            <w:vAlign w:val="center"/>
          </w:tcPr>
          <w:p>
            <w:pPr>
              <w:spacing w:line="440" w:lineRule="exact"/>
              <w:jc w:val="center"/>
              <w:rPr>
                <w:color w:val="auto"/>
                <w:szCs w:val="21"/>
              </w:rPr>
            </w:pPr>
            <w:r>
              <w:rPr>
                <w:rFonts w:hint="eastAsia"/>
                <w:color w:val="auto"/>
                <w:szCs w:val="21"/>
              </w:rPr>
              <w:t>2</w:t>
            </w:r>
          </w:p>
        </w:tc>
        <w:tc>
          <w:tcPr>
            <w:tcW w:w="1057" w:type="pct"/>
            <w:gridSpan w:val="2"/>
            <w:vAlign w:val="center"/>
          </w:tcPr>
          <w:p>
            <w:pPr>
              <w:spacing w:line="440" w:lineRule="exact"/>
              <w:jc w:val="center"/>
              <w:rPr>
                <w:color w:val="auto"/>
                <w:szCs w:val="21"/>
                <w:highlight w:val="yellow"/>
              </w:rPr>
            </w:pPr>
            <w:r>
              <w:rPr>
                <w:rFonts w:hint="eastAsia"/>
                <w:color w:val="auto"/>
                <w:szCs w:val="21"/>
                <w:highlight w:val="yellow"/>
              </w:rPr>
              <w:t>免费保修期</w:t>
            </w:r>
          </w:p>
        </w:tc>
        <w:tc>
          <w:tcPr>
            <w:tcW w:w="3459" w:type="pct"/>
            <w:gridSpan w:val="2"/>
            <w:vAlign w:val="center"/>
          </w:tcPr>
          <w:p>
            <w:pPr>
              <w:spacing w:line="440" w:lineRule="exact"/>
              <w:rPr>
                <w:b/>
                <w:color w:val="auto"/>
                <w:sz w:val="20"/>
                <w:szCs w:val="21"/>
                <w:highlight w:val="yellow"/>
              </w:rPr>
            </w:pPr>
            <w:r>
              <w:rPr>
                <w:rFonts w:hint="eastAsia"/>
                <w:color w:val="auto"/>
                <w:sz w:val="20"/>
                <w:szCs w:val="21"/>
                <w:highlight w:val="yellow"/>
              </w:rPr>
              <w:t>★</w:t>
            </w:r>
            <w:r>
              <w:rPr>
                <w:rFonts w:hint="eastAsia"/>
                <w:color w:val="auto"/>
                <w:szCs w:val="21"/>
                <w:highlight w:val="yellow"/>
              </w:rPr>
              <w:t>质保期:按国家“三包”服务政策、厂家及行业保修服务标准进行保修，整车及电池自卖方开具发票之日起2年。质保期内，免费提供备品备件及服务，并免费提供正偏离免费提供日常维护保养工作。承担修理、调换或退换的所有费用。因中标供应商不能修理或不能退换的，按不能交货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33" w:hRule="atLeast"/>
        </w:trPr>
        <w:tc>
          <w:tcPr>
            <w:tcW w:w="474" w:type="pct"/>
            <w:vAlign w:val="center"/>
          </w:tcPr>
          <w:p>
            <w:pPr>
              <w:spacing w:line="440" w:lineRule="exact"/>
              <w:jc w:val="center"/>
              <w:rPr>
                <w:b/>
                <w:color w:val="auto"/>
              </w:rPr>
            </w:pPr>
            <w:r>
              <w:rPr>
                <w:rFonts w:hint="eastAsia"/>
                <w:color w:val="auto"/>
                <w:szCs w:val="21"/>
              </w:rPr>
              <w:t>3</w:t>
            </w:r>
          </w:p>
        </w:tc>
        <w:tc>
          <w:tcPr>
            <w:tcW w:w="1057" w:type="pct"/>
            <w:gridSpan w:val="2"/>
            <w:vAlign w:val="center"/>
          </w:tcPr>
          <w:p>
            <w:pPr>
              <w:spacing w:line="440" w:lineRule="exact"/>
              <w:jc w:val="center"/>
              <w:rPr>
                <w:bCs/>
                <w:color w:val="auto"/>
                <w:szCs w:val="21"/>
              </w:rPr>
            </w:pPr>
            <w:r>
              <w:rPr>
                <w:rFonts w:hint="eastAsia"/>
                <w:bCs/>
                <w:color w:val="auto"/>
                <w:szCs w:val="21"/>
              </w:rPr>
              <w:t>技术文件</w:t>
            </w:r>
          </w:p>
        </w:tc>
        <w:tc>
          <w:tcPr>
            <w:tcW w:w="3459" w:type="pct"/>
            <w:gridSpan w:val="2"/>
            <w:vAlign w:val="center"/>
          </w:tcPr>
          <w:p>
            <w:pPr>
              <w:spacing w:line="440" w:lineRule="exact"/>
              <w:rPr>
                <w:bCs/>
                <w:color w:val="auto"/>
                <w:szCs w:val="21"/>
              </w:rPr>
            </w:pPr>
            <w:r>
              <w:rPr>
                <w:rFonts w:hint="eastAsia"/>
                <w:bCs/>
                <w:color w:val="auto"/>
                <w:szCs w:val="21"/>
              </w:rPr>
              <w:t>供应商应提供全套、完整的书面技术资料，包括仪器说明书、操作手册、简单维修说明、图纸等。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33" w:hRule="atLeast"/>
        </w:trPr>
        <w:tc>
          <w:tcPr>
            <w:tcW w:w="474" w:type="pct"/>
            <w:vAlign w:val="center"/>
          </w:tcPr>
          <w:p>
            <w:pPr>
              <w:spacing w:line="440" w:lineRule="exact"/>
              <w:jc w:val="center"/>
              <w:rPr>
                <w:bCs/>
                <w:color w:val="auto"/>
              </w:rPr>
            </w:pPr>
            <w:r>
              <w:rPr>
                <w:rFonts w:hint="eastAsia"/>
                <w:bCs/>
                <w:color w:val="auto"/>
              </w:rPr>
              <w:t>4</w:t>
            </w:r>
          </w:p>
        </w:tc>
        <w:tc>
          <w:tcPr>
            <w:tcW w:w="1057" w:type="pct"/>
            <w:gridSpan w:val="2"/>
            <w:vAlign w:val="center"/>
          </w:tcPr>
          <w:p>
            <w:pPr>
              <w:spacing w:line="440" w:lineRule="exact"/>
              <w:jc w:val="center"/>
              <w:rPr>
                <w:bCs/>
                <w:color w:val="auto"/>
                <w:szCs w:val="21"/>
              </w:rPr>
            </w:pPr>
            <w:r>
              <w:rPr>
                <w:rFonts w:hint="eastAsia"/>
                <w:bCs/>
                <w:color w:val="auto"/>
                <w:szCs w:val="21"/>
              </w:rPr>
              <w:t>安装调试</w:t>
            </w:r>
          </w:p>
        </w:tc>
        <w:tc>
          <w:tcPr>
            <w:tcW w:w="3459" w:type="pct"/>
            <w:gridSpan w:val="2"/>
            <w:vAlign w:val="center"/>
          </w:tcPr>
          <w:p>
            <w:pPr>
              <w:spacing w:line="440" w:lineRule="exact"/>
              <w:rPr>
                <w:bCs/>
                <w:color w:val="auto"/>
                <w:szCs w:val="21"/>
              </w:rPr>
            </w:pPr>
            <w:r>
              <w:rPr>
                <w:rFonts w:hint="eastAsia"/>
                <w:bCs/>
                <w:color w:val="auto"/>
                <w:szCs w:val="21"/>
              </w:rPr>
              <w:t>在合同生效后应向采购人提供详细的安装要求并提供技术咨询；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33" w:hRule="atLeast"/>
        </w:trPr>
        <w:tc>
          <w:tcPr>
            <w:tcW w:w="474" w:type="pct"/>
            <w:vAlign w:val="center"/>
          </w:tcPr>
          <w:p>
            <w:pPr>
              <w:spacing w:line="440" w:lineRule="exact"/>
              <w:jc w:val="center"/>
              <w:rPr>
                <w:bCs/>
                <w:color w:val="auto"/>
              </w:rPr>
            </w:pPr>
            <w:r>
              <w:rPr>
                <w:rFonts w:hint="eastAsia"/>
                <w:bCs/>
                <w:color w:val="auto"/>
              </w:rPr>
              <w:t>5</w:t>
            </w:r>
          </w:p>
        </w:tc>
        <w:tc>
          <w:tcPr>
            <w:tcW w:w="1057" w:type="pct"/>
            <w:gridSpan w:val="2"/>
            <w:vAlign w:val="center"/>
          </w:tcPr>
          <w:p>
            <w:pPr>
              <w:spacing w:line="440" w:lineRule="exact"/>
              <w:jc w:val="center"/>
              <w:rPr>
                <w:bCs/>
                <w:color w:val="auto"/>
                <w:szCs w:val="21"/>
              </w:rPr>
            </w:pPr>
            <w:r>
              <w:rPr>
                <w:rFonts w:hint="eastAsia" w:ascii="宋体" w:hAnsi="宋体" w:cs="宋体"/>
                <w:color w:val="auto"/>
                <w:kern w:val="0"/>
              </w:rPr>
              <w:t>质量保证</w:t>
            </w:r>
          </w:p>
        </w:tc>
        <w:tc>
          <w:tcPr>
            <w:tcW w:w="3459" w:type="pct"/>
            <w:gridSpan w:val="2"/>
            <w:vAlign w:val="center"/>
          </w:tcPr>
          <w:p>
            <w:pPr>
              <w:spacing w:line="440" w:lineRule="exact"/>
              <w:rPr>
                <w:bCs/>
                <w:color w:val="auto"/>
                <w:szCs w:val="21"/>
              </w:rPr>
            </w:pPr>
            <w:r>
              <w:rPr>
                <w:rFonts w:hint="eastAsia" w:ascii="宋体" w:hAnsi="宋体"/>
                <w:color w:val="auto"/>
                <w:szCs w:val="21"/>
              </w:rPr>
              <w:t>保证所提供的产品全部采用优质材料和一流工艺制造而成，并未曾使用过的全新产品；所供产品均为原厂正品，决不使用任何劣货、假货产品。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33" w:hRule="atLeast"/>
        </w:trPr>
        <w:tc>
          <w:tcPr>
            <w:tcW w:w="474" w:type="pct"/>
            <w:vAlign w:val="center"/>
          </w:tcPr>
          <w:p>
            <w:pPr>
              <w:spacing w:line="440" w:lineRule="exact"/>
              <w:jc w:val="center"/>
              <w:rPr>
                <w:bCs/>
                <w:color w:val="auto"/>
              </w:rPr>
            </w:pPr>
            <w:r>
              <w:rPr>
                <w:rFonts w:hint="eastAsia"/>
                <w:bCs/>
                <w:color w:val="auto"/>
              </w:rPr>
              <w:t>6</w:t>
            </w:r>
          </w:p>
        </w:tc>
        <w:tc>
          <w:tcPr>
            <w:tcW w:w="1057" w:type="pct"/>
            <w:gridSpan w:val="2"/>
            <w:vAlign w:val="center"/>
          </w:tcPr>
          <w:p>
            <w:pPr>
              <w:spacing w:line="440" w:lineRule="exact"/>
              <w:jc w:val="center"/>
              <w:rPr>
                <w:rFonts w:ascii="宋体" w:hAnsi="宋体" w:cs="宋体"/>
                <w:color w:val="auto"/>
                <w:kern w:val="0"/>
              </w:rPr>
            </w:pPr>
            <w:r>
              <w:rPr>
                <w:rFonts w:hint="eastAsia" w:ascii="宋体" w:hAnsi="宋体" w:cs="宋体"/>
                <w:color w:val="auto"/>
                <w:kern w:val="0"/>
              </w:rPr>
              <w:t>培训</w:t>
            </w:r>
          </w:p>
        </w:tc>
        <w:tc>
          <w:tcPr>
            <w:tcW w:w="3459" w:type="pct"/>
            <w:gridSpan w:val="2"/>
            <w:vAlign w:val="center"/>
          </w:tcPr>
          <w:p>
            <w:pPr>
              <w:spacing w:line="440" w:lineRule="exact"/>
              <w:rPr>
                <w:rFonts w:ascii="宋体" w:hAnsi="宋体"/>
                <w:color w:val="auto"/>
                <w:szCs w:val="21"/>
              </w:rPr>
            </w:pPr>
            <w:r>
              <w:rPr>
                <w:rFonts w:hint="eastAsia" w:ascii="宋体" w:hAnsi="宋体"/>
                <w:color w:val="auto"/>
                <w:szCs w:val="21"/>
              </w:rPr>
              <w:t>投标供应商应派专业技术人员免费对采购单位指定人员进行定期培训及指导，直至其完全掌握货物的功能应用及基本故障处理技术。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 w:type="pct"/>
          <w:trHeight w:val="533" w:hRule="atLeast"/>
        </w:trPr>
        <w:tc>
          <w:tcPr>
            <w:tcW w:w="474" w:type="pct"/>
            <w:vAlign w:val="center"/>
          </w:tcPr>
          <w:p>
            <w:pPr>
              <w:spacing w:line="440" w:lineRule="exact"/>
              <w:jc w:val="center"/>
              <w:rPr>
                <w:bCs/>
                <w:color w:val="auto"/>
                <w:szCs w:val="21"/>
              </w:rPr>
            </w:pPr>
            <w:r>
              <w:rPr>
                <w:rFonts w:hint="eastAsia"/>
                <w:bCs/>
                <w:color w:val="auto"/>
                <w:szCs w:val="21"/>
              </w:rPr>
              <w:t>7</w:t>
            </w:r>
          </w:p>
        </w:tc>
        <w:tc>
          <w:tcPr>
            <w:tcW w:w="1057" w:type="pct"/>
            <w:gridSpan w:val="2"/>
            <w:vAlign w:val="center"/>
          </w:tcPr>
          <w:p>
            <w:pPr>
              <w:spacing w:line="440" w:lineRule="exact"/>
              <w:jc w:val="center"/>
              <w:rPr>
                <w:bCs/>
                <w:color w:val="auto"/>
                <w:szCs w:val="21"/>
              </w:rPr>
            </w:pPr>
            <w:r>
              <w:rPr>
                <w:rFonts w:hint="eastAsia" w:ascii="宋体" w:hAnsi="宋体"/>
                <w:color w:val="auto"/>
                <w:szCs w:val="21"/>
              </w:rPr>
              <w:t>电话响应</w:t>
            </w:r>
          </w:p>
        </w:tc>
        <w:tc>
          <w:tcPr>
            <w:tcW w:w="3459" w:type="pct"/>
            <w:gridSpan w:val="2"/>
            <w:vAlign w:val="center"/>
          </w:tcPr>
          <w:p>
            <w:pPr>
              <w:spacing w:line="440" w:lineRule="exact"/>
              <w:rPr>
                <w:rFonts w:ascii="宋体" w:hAnsi="宋体"/>
                <w:color w:val="auto"/>
              </w:rPr>
            </w:pPr>
            <w:r>
              <w:rPr>
                <w:rFonts w:hint="eastAsia" w:ascii="宋体" w:hAnsi="宋体"/>
                <w:color w:val="auto"/>
                <w:szCs w:val="21"/>
              </w:rPr>
              <w:t>24小时电话响应。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259" w:hRule="atLeast"/>
          <w:jc w:val="center"/>
        </w:trPr>
        <w:tc>
          <w:tcPr>
            <w:tcW w:w="4974" w:type="pct"/>
            <w:gridSpan w:val="5"/>
            <w:vAlign w:val="center"/>
          </w:tcPr>
          <w:p>
            <w:pPr>
              <w:spacing w:line="440" w:lineRule="exact"/>
              <w:rPr>
                <w:rFonts w:ascii="宋体" w:hAnsi="宋体"/>
                <w:b/>
                <w:color w:val="auto"/>
              </w:rPr>
            </w:pPr>
            <w:r>
              <w:rPr>
                <w:rFonts w:hint="eastAsia" w:ascii="宋体" w:hAnsi="宋体"/>
                <w:b/>
                <w:color w:val="auto"/>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462" w:hRule="atLeast"/>
          <w:jc w:val="center"/>
        </w:trPr>
        <w:tc>
          <w:tcPr>
            <w:tcW w:w="483" w:type="pct"/>
            <w:gridSpan w:val="2"/>
            <w:vAlign w:val="center"/>
          </w:tcPr>
          <w:p>
            <w:pPr>
              <w:spacing w:line="440" w:lineRule="exact"/>
              <w:jc w:val="center"/>
              <w:rPr>
                <w:bCs/>
                <w:color w:val="auto"/>
                <w:szCs w:val="21"/>
              </w:rPr>
            </w:pPr>
            <w:bookmarkStart w:id="4" w:name="_Hlk72260973"/>
            <w:r>
              <w:rPr>
                <w:rFonts w:hint="eastAsia"/>
                <w:bCs/>
                <w:color w:val="auto"/>
                <w:szCs w:val="21"/>
              </w:rPr>
              <w:t>1</w:t>
            </w:r>
          </w:p>
        </w:tc>
        <w:tc>
          <w:tcPr>
            <w:tcW w:w="690" w:type="pct"/>
            <w:vAlign w:val="center"/>
          </w:tcPr>
          <w:p>
            <w:pPr>
              <w:spacing w:line="440" w:lineRule="exact"/>
              <w:jc w:val="center"/>
              <w:rPr>
                <w:bCs/>
                <w:color w:val="auto"/>
                <w:szCs w:val="21"/>
                <w:highlight w:val="yellow"/>
              </w:rPr>
            </w:pPr>
            <w:r>
              <w:rPr>
                <w:rFonts w:hint="eastAsia"/>
                <w:color w:val="auto"/>
                <w:highlight w:val="yellow"/>
              </w:rPr>
              <w:t>交货时间和地点</w:t>
            </w:r>
          </w:p>
        </w:tc>
        <w:tc>
          <w:tcPr>
            <w:tcW w:w="3800" w:type="pct"/>
            <w:gridSpan w:val="2"/>
            <w:vAlign w:val="center"/>
          </w:tcPr>
          <w:p>
            <w:pPr>
              <w:spacing w:line="440" w:lineRule="exact"/>
              <w:jc w:val="left"/>
              <w:rPr>
                <w:rFonts w:ascii="宋体" w:hAnsi="宋体" w:cs="宋体"/>
                <w:b/>
                <w:color w:val="auto"/>
                <w:sz w:val="20"/>
                <w:szCs w:val="20"/>
                <w:highlight w:val="yellow"/>
              </w:rPr>
            </w:pPr>
            <w:r>
              <w:rPr>
                <w:rFonts w:hint="eastAsia"/>
                <w:color w:val="auto"/>
                <w:sz w:val="20"/>
                <w:szCs w:val="21"/>
                <w:highlight w:val="yellow"/>
              </w:rPr>
              <w:t>★</w:t>
            </w:r>
            <w:r>
              <w:rPr>
                <w:rFonts w:hint="eastAsia" w:ascii="宋体" w:hAnsi="宋体"/>
                <w:color w:val="auto"/>
                <w:highlight w:val="yellow"/>
              </w:rPr>
              <w:t>投标供应商在签订合同之日起7天内交货，交货地点为采购人指定地点。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462" w:hRule="atLeast"/>
          <w:jc w:val="center"/>
        </w:trPr>
        <w:tc>
          <w:tcPr>
            <w:tcW w:w="483" w:type="pct"/>
            <w:gridSpan w:val="2"/>
            <w:vAlign w:val="center"/>
          </w:tcPr>
          <w:p>
            <w:pPr>
              <w:spacing w:line="440" w:lineRule="exact"/>
              <w:jc w:val="center"/>
              <w:rPr>
                <w:bCs/>
                <w:color w:val="auto"/>
                <w:szCs w:val="21"/>
              </w:rPr>
            </w:pPr>
            <w:r>
              <w:rPr>
                <w:rFonts w:hint="eastAsia"/>
                <w:bCs/>
                <w:color w:val="auto"/>
                <w:szCs w:val="21"/>
              </w:rPr>
              <w:t>2</w:t>
            </w:r>
          </w:p>
        </w:tc>
        <w:tc>
          <w:tcPr>
            <w:tcW w:w="690" w:type="pct"/>
            <w:vAlign w:val="center"/>
          </w:tcPr>
          <w:p>
            <w:pPr>
              <w:spacing w:line="440" w:lineRule="exact"/>
              <w:jc w:val="center"/>
              <w:rPr>
                <w:bCs/>
                <w:color w:val="auto"/>
                <w:szCs w:val="21"/>
              </w:rPr>
            </w:pPr>
            <w:r>
              <w:rPr>
                <w:rFonts w:hint="eastAsia"/>
                <w:bCs/>
                <w:color w:val="auto"/>
                <w:szCs w:val="21"/>
              </w:rPr>
              <w:t>付款期限和方式</w:t>
            </w:r>
          </w:p>
        </w:tc>
        <w:tc>
          <w:tcPr>
            <w:tcW w:w="3800" w:type="pct"/>
            <w:gridSpan w:val="2"/>
            <w:vAlign w:val="center"/>
          </w:tcPr>
          <w:p>
            <w:pPr>
              <w:spacing w:line="440" w:lineRule="exact"/>
              <w:jc w:val="left"/>
              <w:rPr>
                <w:rFonts w:ascii="宋体" w:hAnsi="宋体"/>
                <w:color w:val="auto"/>
              </w:rPr>
            </w:pPr>
            <w:r>
              <w:rPr>
                <w:rFonts w:hint="eastAsia" w:ascii="宋体" w:hAnsi="宋体"/>
                <w:color w:val="auto"/>
              </w:rPr>
              <w:t>2</w:t>
            </w:r>
            <w:r>
              <w:rPr>
                <w:rFonts w:ascii="宋体" w:hAnsi="宋体"/>
                <w:color w:val="auto"/>
              </w:rPr>
              <w:t>.1</w:t>
            </w:r>
            <w:r>
              <w:rPr>
                <w:rFonts w:hint="eastAsia" w:ascii="宋体" w:hAnsi="宋体"/>
                <w:color w:val="auto"/>
              </w:rPr>
              <w:t>货到指定地点、验收合格并提供全额发票后，采购人向中标供应商支付合同总价</w:t>
            </w:r>
            <w:r>
              <w:rPr>
                <w:rFonts w:ascii="宋体" w:hAnsi="宋体"/>
                <w:color w:val="auto"/>
                <w:u w:val="single"/>
              </w:rPr>
              <w:t>100</w:t>
            </w:r>
            <w:r>
              <w:rPr>
                <w:rFonts w:hint="eastAsia" w:ascii="宋体" w:hAnsi="宋体"/>
                <w:color w:val="auto"/>
                <w:u w:val="single"/>
              </w:rPr>
              <w:t>%</w:t>
            </w:r>
            <w:r>
              <w:rPr>
                <w:rFonts w:hint="eastAsia" w:ascii="宋体" w:hAnsi="宋体"/>
                <w:color w:val="auto"/>
              </w:rPr>
              <w:t>的款项。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462" w:hRule="atLeast"/>
          <w:jc w:val="center"/>
        </w:trPr>
        <w:tc>
          <w:tcPr>
            <w:tcW w:w="483" w:type="pct"/>
            <w:gridSpan w:val="2"/>
            <w:vMerge w:val="restart"/>
            <w:vAlign w:val="center"/>
          </w:tcPr>
          <w:p>
            <w:pPr>
              <w:spacing w:line="440" w:lineRule="exact"/>
              <w:jc w:val="center"/>
              <w:rPr>
                <w:bCs/>
                <w:color w:val="auto"/>
                <w:szCs w:val="21"/>
              </w:rPr>
            </w:pPr>
            <w:r>
              <w:rPr>
                <w:rFonts w:hint="eastAsia"/>
                <w:bCs/>
                <w:color w:val="auto"/>
                <w:szCs w:val="21"/>
              </w:rPr>
              <w:t>3</w:t>
            </w:r>
          </w:p>
        </w:tc>
        <w:tc>
          <w:tcPr>
            <w:tcW w:w="690" w:type="pct"/>
            <w:vMerge w:val="restart"/>
            <w:vAlign w:val="center"/>
          </w:tcPr>
          <w:p>
            <w:pPr>
              <w:spacing w:line="440" w:lineRule="exact"/>
              <w:jc w:val="center"/>
              <w:rPr>
                <w:bCs/>
                <w:color w:val="auto"/>
                <w:szCs w:val="21"/>
              </w:rPr>
            </w:pPr>
            <w:r>
              <w:rPr>
                <w:rFonts w:hint="eastAsia"/>
                <w:bCs/>
                <w:color w:val="auto"/>
                <w:szCs w:val="21"/>
              </w:rPr>
              <w:t>验收条件</w:t>
            </w:r>
          </w:p>
        </w:tc>
        <w:tc>
          <w:tcPr>
            <w:tcW w:w="3800" w:type="pct"/>
            <w:gridSpan w:val="2"/>
            <w:vAlign w:val="center"/>
          </w:tcPr>
          <w:p>
            <w:pPr>
              <w:spacing w:line="440" w:lineRule="exact"/>
              <w:jc w:val="left"/>
              <w:rPr>
                <w:rFonts w:ascii="宋体" w:hAnsi="宋体"/>
                <w:color w:val="auto"/>
                <w:szCs w:val="21"/>
              </w:rPr>
            </w:pPr>
            <w:r>
              <w:rPr>
                <w:rFonts w:hint="eastAsia" w:ascii="宋体" w:hAnsi="宋体"/>
                <w:color w:val="auto"/>
                <w:szCs w:val="21"/>
              </w:rPr>
              <w:t>3.1投标供应商货物经过双方检验认可后，签署验收报告，产品保修期自验收合格之日起算，由投标供应商提供产品保修文件。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462" w:hRule="atLeast"/>
          <w:jc w:val="center"/>
        </w:trPr>
        <w:tc>
          <w:tcPr>
            <w:tcW w:w="483" w:type="pct"/>
            <w:gridSpan w:val="2"/>
            <w:vMerge w:val="continue"/>
            <w:vAlign w:val="center"/>
          </w:tcPr>
          <w:p>
            <w:pPr>
              <w:spacing w:line="440" w:lineRule="exact"/>
              <w:jc w:val="center"/>
              <w:rPr>
                <w:bCs/>
                <w:color w:val="auto"/>
                <w:szCs w:val="21"/>
              </w:rPr>
            </w:pPr>
          </w:p>
        </w:tc>
        <w:tc>
          <w:tcPr>
            <w:tcW w:w="690" w:type="pct"/>
            <w:vMerge w:val="continue"/>
            <w:vAlign w:val="center"/>
          </w:tcPr>
          <w:p>
            <w:pPr>
              <w:spacing w:line="440" w:lineRule="exact"/>
              <w:jc w:val="center"/>
              <w:rPr>
                <w:bCs/>
                <w:color w:val="auto"/>
                <w:szCs w:val="21"/>
              </w:rPr>
            </w:pPr>
          </w:p>
        </w:tc>
        <w:tc>
          <w:tcPr>
            <w:tcW w:w="3800" w:type="pct"/>
            <w:gridSpan w:val="2"/>
            <w:vAlign w:val="center"/>
          </w:tcPr>
          <w:p>
            <w:pPr>
              <w:spacing w:line="440" w:lineRule="exact"/>
              <w:jc w:val="left"/>
              <w:rPr>
                <w:rFonts w:ascii="宋体" w:hAnsi="宋体"/>
                <w:color w:val="auto"/>
                <w:szCs w:val="21"/>
              </w:rPr>
            </w:pPr>
            <w:r>
              <w:rPr>
                <w:rFonts w:hint="eastAsia" w:ascii="宋体" w:hAnsi="宋体"/>
                <w:color w:val="auto"/>
                <w:szCs w:val="21"/>
              </w:rPr>
              <w:t>3.2当满足以下条件时，采购人才向中标供应商签发货物验收报告：</w:t>
            </w:r>
          </w:p>
          <w:p>
            <w:pPr>
              <w:spacing w:line="440" w:lineRule="exact"/>
              <w:jc w:val="left"/>
              <w:rPr>
                <w:rFonts w:ascii="宋体" w:hAnsi="宋体"/>
                <w:color w:val="auto"/>
                <w:szCs w:val="21"/>
              </w:rPr>
            </w:pPr>
            <w:r>
              <w:rPr>
                <w:rFonts w:hint="eastAsia" w:ascii="宋体" w:hAnsi="宋体"/>
                <w:color w:val="auto"/>
                <w:szCs w:val="21"/>
              </w:rPr>
              <w:t>a、中标供应商已按照合同规定提供了全部产品及完整的技术资料，其中技术资料</w:t>
            </w:r>
            <w:r>
              <w:rPr>
                <w:rFonts w:hint="eastAsia" w:ascii="宋体" w:hAnsi="宋体"/>
                <w:color w:val="auto"/>
                <w:kern w:val="0"/>
                <w:szCs w:val="21"/>
              </w:rPr>
              <w:t>包括但不限于货物配置清单、产品说明书、图纸、操作手册、维护手册（含维修密码及接口数据）、质量保证文件、服务指南，所有外文资料须提供中文译本。</w:t>
            </w:r>
          </w:p>
          <w:p>
            <w:pPr>
              <w:spacing w:line="440" w:lineRule="exact"/>
              <w:jc w:val="left"/>
              <w:rPr>
                <w:rFonts w:ascii="宋体" w:hAnsi="宋体"/>
                <w:color w:val="auto"/>
                <w:szCs w:val="21"/>
              </w:rPr>
            </w:pPr>
            <w:r>
              <w:rPr>
                <w:rFonts w:hint="eastAsia" w:ascii="宋体" w:hAnsi="宋体"/>
                <w:color w:val="auto"/>
                <w:szCs w:val="21"/>
              </w:rPr>
              <w:t>b、货物符合招标文件技术规格书的要求，性能满足要求。</w:t>
            </w:r>
          </w:p>
          <w:p>
            <w:pPr>
              <w:spacing w:line="440" w:lineRule="exact"/>
              <w:jc w:val="left"/>
              <w:rPr>
                <w:rFonts w:ascii="宋体" w:hAnsi="宋体"/>
                <w:color w:val="auto"/>
                <w:szCs w:val="21"/>
              </w:rPr>
            </w:pPr>
            <w:r>
              <w:rPr>
                <w:rFonts w:hint="eastAsia" w:ascii="宋体" w:hAnsi="宋体"/>
                <w:color w:val="auto"/>
                <w:szCs w:val="21"/>
              </w:rPr>
              <w:t>c、货物具备产品合格证。</w:t>
            </w:r>
          </w:p>
          <w:p>
            <w:pPr>
              <w:spacing w:line="440" w:lineRule="exact"/>
              <w:jc w:val="left"/>
              <w:rPr>
                <w:rFonts w:ascii="宋体" w:hAnsi="宋体"/>
                <w:color w:val="auto"/>
                <w:spacing w:val="-3"/>
                <w:szCs w:val="21"/>
              </w:rPr>
            </w:pPr>
            <w:r>
              <w:rPr>
                <w:rFonts w:hint="eastAsia" w:ascii="宋体" w:hAnsi="宋体"/>
                <w:color w:val="auto"/>
                <w:szCs w:val="21"/>
              </w:rPr>
              <w:t>d、货物</w:t>
            </w:r>
            <w:r>
              <w:rPr>
                <w:rFonts w:hint="eastAsia" w:ascii="宋体" w:hAnsi="宋体"/>
                <w:color w:val="auto"/>
                <w:spacing w:val="-3"/>
                <w:szCs w:val="21"/>
              </w:rPr>
              <w:t>如需计量检定的应提供相关计量检定部门出具的合法检定报告。</w:t>
            </w:r>
          </w:p>
          <w:p>
            <w:pPr>
              <w:spacing w:line="440" w:lineRule="exact"/>
              <w:jc w:val="left"/>
              <w:rPr>
                <w:rFonts w:ascii="宋体" w:hAnsi="宋体"/>
                <w:color w:val="auto"/>
                <w:spacing w:val="-3"/>
                <w:szCs w:val="21"/>
              </w:rPr>
            </w:pPr>
            <w:r>
              <w:rPr>
                <w:rFonts w:hint="eastAsia" w:ascii="宋体" w:hAnsi="宋体"/>
                <w:color w:val="auto"/>
                <w:spacing w:val="-3"/>
                <w:szCs w:val="21"/>
              </w:rPr>
              <w:t>e、进口货物必须具有</w:t>
            </w:r>
            <w:r>
              <w:rPr>
                <w:rFonts w:hint="eastAsia" w:ascii="宋体" w:hAnsi="宋体"/>
                <w:color w:val="auto"/>
                <w:kern w:val="0"/>
                <w:szCs w:val="21"/>
              </w:rPr>
              <w:t>报关证明</w:t>
            </w:r>
            <w:r>
              <w:rPr>
                <w:rFonts w:hint="eastAsia" w:ascii="宋体" w:hAnsi="宋体"/>
                <w:color w:val="auto"/>
                <w:spacing w:val="-3"/>
                <w:szCs w:val="21"/>
              </w:rPr>
              <w:t>文件、</w:t>
            </w:r>
            <w:r>
              <w:rPr>
                <w:rFonts w:hint="eastAsia" w:ascii="宋体" w:hAnsi="宋体"/>
                <w:color w:val="auto"/>
                <w:kern w:val="0"/>
                <w:szCs w:val="21"/>
              </w:rPr>
              <w:t>原产地证明和</w:t>
            </w:r>
            <w:r>
              <w:rPr>
                <w:rFonts w:hint="eastAsia" w:ascii="宋体" w:hAnsi="宋体"/>
                <w:color w:val="auto"/>
                <w:spacing w:val="-3"/>
                <w:szCs w:val="21"/>
              </w:rPr>
              <w:t>商检合格证明文件。</w:t>
            </w:r>
          </w:p>
          <w:p>
            <w:pPr>
              <w:spacing w:line="440" w:lineRule="exact"/>
              <w:jc w:val="left"/>
              <w:rPr>
                <w:rFonts w:ascii="宋体" w:hAnsi="宋体"/>
                <w:color w:val="auto"/>
                <w:szCs w:val="21"/>
              </w:rPr>
            </w:pPr>
            <w:r>
              <w:rPr>
                <w:rFonts w:hint="eastAsia" w:ascii="宋体" w:hAnsi="宋体"/>
                <w:color w:val="auto"/>
                <w:spacing w:val="-3"/>
                <w:szCs w:val="21"/>
              </w:rPr>
              <w:t>f、</w:t>
            </w:r>
            <w:r>
              <w:rPr>
                <w:rFonts w:hint="eastAsia" w:ascii="宋体" w:hAnsi="宋体"/>
                <w:color w:val="auto"/>
                <w:szCs w:val="21"/>
              </w:rPr>
              <w:t>投标供应商负责将货物安全无损运抵采购人指定地点,并承担包括但不限于货物的包装、运输、保险、装卸、安装调试、培训、商检及计量检测、关税、增值税和进口代理等费用。</w:t>
            </w:r>
          </w:p>
          <w:p>
            <w:pPr>
              <w:spacing w:line="440" w:lineRule="exact"/>
              <w:jc w:val="left"/>
              <w:rPr>
                <w:rFonts w:ascii="宋体" w:hAnsi="宋体"/>
                <w:color w:val="auto"/>
                <w:szCs w:val="21"/>
              </w:rPr>
            </w:pPr>
            <w:r>
              <w:rPr>
                <w:rFonts w:hint="eastAsia" w:ascii="宋体" w:hAnsi="宋体"/>
                <w:color w:val="auto"/>
                <w:szCs w:val="21"/>
              </w:rPr>
              <w:t>g、货物安装调试完毕，能正常运行。</w:t>
            </w:r>
          </w:p>
          <w:p>
            <w:pPr>
              <w:spacing w:line="440" w:lineRule="exact"/>
              <w:jc w:val="left"/>
              <w:rPr>
                <w:rFonts w:ascii="宋体" w:hAnsi="宋体"/>
                <w:color w:val="auto"/>
                <w:szCs w:val="21"/>
              </w:rPr>
            </w:pPr>
            <w:r>
              <w:rPr>
                <w:rFonts w:hint="eastAsia" w:ascii="宋体" w:hAnsi="宋体"/>
                <w:color w:val="auto"/>
                <w:szCs w:val="21"/>
              </w:rPr>
              <w:t>h、采购人可委托第三方进行检测验收，相关费用中标供应商承担。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462" w:hRule="atLeast"/>
          <w:jc w:val="center"/>
        </w:trPr>
        <w:tc>
          <w:tcPr>
            <w:tcW w:w="483" w:type="pct"/>
            <w:gridSpan w:val="2"/>
            <w:vAlign w:val="center"/>
          </w:tcPr>
          <w:p>
            <w:pPr>
              <w:spacing w:line="440" w:lineRule="exact"/>
              <w:jc w:val="center"/>
              <w:rPr>
                <w:bCs/>
                <w:color w:val="auto"/>
                <w:szCs w:val="21"/>
              </w:rPr>
            </w:pPr>
            <w:r>
              <w:rPr>
                <w:rFonts w:hint="eastAsia"/>
                <w:bCs/>
                <w:color w:val="auto"/>
                <w:szCs w:val="21"/>
              </w:rPr>
              <w:t>4</w:t>
            </w:r>
          </w:p>
        </w:tc>
        <w:tc>
          <w:tcPr>
            <w:tcW w:w="690" w:type="pct"/>
            <w:vAlign w:val="center"/>
          </w:tcPr>
          <w:p>
            <w:pPr>
              <w:spacing w:line="440" w:lineRule="exact"/>
              <w:jc w:val="center"/>
              <w:rPr>
                <w:bCs/>
                <w:color w:val="auto"/>
                <w:szCs w:val="21"/>
              </w:rPr>
            </w:pPr>
            <w:r>
              <w:rPr>
                <w:rFonts w:hint="eastAsia"/>
                <w:bCs/>
                <w:color w:val="auto"/>
                <w:szCs w:val="21"/>
              </w:rPr>
              <w:t>违约责任</w:t>
            </w:r>
          </w:p>
        </w:tc>
        <w:tc>
          <w:tcPr>
            <w:tcW w:w="3800" w:type="pct"/>
            <w:gridSpan w:val="2"/>
            <w:vAlign w:val="center"/>
          </w:tcPr>
          <w:p>
            <w:pPr>
              <w:spacing w:line="440" w:lineRule="exact"/>
              <w:jc w:val="left"/>
              <w:rPr>
                <w:rFonts w:ascii="宋体" w:hAnsi="宋体" w:cs="宋体"/>
                <w:b/>
                <w:color w:val="auto"/>
                <w:sz w:val="20"/>
                <w:szCs w:val="20"/>
              </w:rPr>
            </w:pPr>
            <w:r>
              <w:rPr>
                <w:rFonts w:hint="eastAsia"/>
                <w:color w:val="auto"/>
              </w:rPr>
              <w:t>在约定的交货期内，如因中标单位原因未如期交货，每逾期一天，扣除合同总价的1%，违约金不足以弥补采购人损失，还应赔偿损失。逾期十天仍未交货的，采购人有权单方解除合同，中标单位应向采购人支付项目中标价的20%作为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976" w:hRule="atLeast"/>
          <w:jc w:val="center"/>
        </w:trPr>
        <w:tc>
          <w:tcPr>
            <w:tcW w:w="483" w:type="pct"/>
            <w:gridSpan w:val="2"/>
            <w:vMerge w:val="restart"/>
            <w:vAlign w:val="center"/>
          </w:tcPr>
          <w:p>
            <w:pPr>
              <w:spacing w:line="440" w:lineRule="exact"/>
              <w:jc w:val="center"/>
              <w:rPr>
                <w:bCs/>
                <w:color w:val="auto"/>
                <w:szCs w:val="21"/>
              </w:rPr>
            </w:pPr>
            <w:r>
              <w:rPr>
                <w:rFonts w:hint="eastAsia"/>
                <w:bCs/>
                <w:color w:val="auto"/>
                <w:szCs w:val="21"/>
              </w:rPr>
              <w:t>5</w:t>
            </w:r>
          </w:p>
        </w:tc>
        <w:tc>
          <w:tcPr>
            <w:tcW w:w="690" w:type="pct"/>
            <w:vMerge w:val="restart"/>
            <w:vAlign w:val="center"/>
          </w:tcPr>
          <w:p>
            <w:pPr>
              <w:spacing w:line="440" w:lineRule="exact"/>
              <w:jc w:val="center"/>
              <w:rPr>
                <w:bCs/>
                <w:color w:val="auto"/>
                <w:szCs w:val="21"/>
              </w:rPr>
            </w:pPr>
            <w:r>
              <w:rPr>
                <w:rFonts w:hint="eastAsia"/>
                <w:bCs/>
                <w:color w:val="auto"/>
                <w:szCs w:val="21"/>
              </w:rPr>
              <w:t>争议解决方法</w:t>
            </w:r>
          </w:p>
        </w:tc>
        <w:tc>
          <w:tcPr>
            <w:tcW w:w="3800" w:type="pct"/>
            <w:gridSpan w:val="2"/>
            <w:vAlign w:val="center"/>
          </w:tcPr>
          <w:p>
            <w:pPr>
              <w:spacing w:line="440" w:lineRule="exact"/>
              <w:jc w:val="left"/>
              <w:rPr>
                <w:color w:val="auto"/>
              </w:rPr>
            </w:pPr>
            <w:r>
              <w:rPr>
                <w:rFonts w:hint="eastAsia"/>
                <w:color w:val="auto"/>
              </w:rPr>
              <w:t>5.1因货物的质量问题发生争议的，应当邀请国家认可的质量检测机构对货物质量进行鉴定。货物符合标准的，鉴定费由采购人承担；货物不符合质量标准的，鉴定费由中标供应商承担。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976" w:hRule="atLeast"/>
          <w:jc w:val="center"/>
        </w:trPr>
        <w:tc>
          <w:tcPr>
            <w:tcW w:w="483" w:type="pct"/>
            <w:gridSpan w:val="2"/>
            <w:vMerge w:val="continue"/>
            <w:vAlign w:val="center"/>
          </w:tcPr>
          <w:p>
            <w:pPr>
              <w:spacing w:line="440" w:lineRule="exact"/>
              <w:jc w:val="center"/>
              <w:rPr>
                <w:bCs/>
                <w:color w:val="auto"/>
                <w:szCs w:val="21"/>
              </w:rPr>
            </w:pPr>
          </w:p>
        </w:tc>
        <w:tc>
          <w:tcPr>
            <w:tcW w:w="690" w:type="pct"/>
            <w:vMerge w:val="continue"/>
            <w:vAlign w:val="center"/>
          </w:tcPr>
          <w:p>
            <w:pPr>
              <w:spacing w:line="440" w:lineRule="exact"/>
              <w:jc w:val="center"/>
              <w:rPr>
                <w:bCs/>
                <w:color w:val="auto"/>
                <w:szCs w:val="21"/>
              </w:rPr>
            </w:pPr>
          </w:p>
        </w:tc>
        <w:tc>
          <w:tcPr>
            <w:tcW w:w="3800" w:type="pct"/>
            <w:gridSpan w:val="2"/>
            <w:vAlign w:val="center"/>
          </w:tcPr>
          <w:p>
            <w:pPr>
              <w:spacing w:line="440" w:lineRule="exact"/>
              <w:jc w:val="left"/>
              <w:rPr>
                <w:color w:val="auto"/>
              </w:rPr>
            </w:pPr>
            <w:r>
              <w:rPr>
                <w:rFonts w:hint="eastAsia"/>
                <w:color w:val="auto"/>
              </w:rPr>
              <w:t>5.2因履行本合同引起的或与本合同有关的争议，采购人、中标供应商双方应首先通过友好协商解决，如果协商不能解决争议，则向采购人所在地有管辖权的人民法院提起诉讼；</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706" w:hRule="atLeast"/>
          <w:jc w:val="center"/>
        </w:trPr>
        <w:tc>
          <w:tcPr>
            <w:tcW w:w="483" w:type="pct"/>
            <w:gridSpan w:val="2"/>
            <w:vMerge w:val="restart"/>
            <w:vAlign w:val="center"/>
          </w:tcPr>
          <w:p>
            <w:pPr>
              <w:spacing w:line="440" w:lineRule="exact"/>
              <w:jc w:val="center"/>
              <w:rPr>
                <w:bCs/>
                <w:color w:val="auto"/>
                <w:szCs w:val="21"/>
              </w:rPr>
            </w:pPr>
            <w:r>
              <w:rPr>
                <w:rFonts w:hint="eastAsia"/>
                <w:bCs/>
                <w:color w:val="auto"/>
                <w:szCs w:val="21"/>
              </w:rPr>
              <w:t>6</w:t>
            </w:r>
          </w:p>
        </w:tc>
        <w:tc>
          <w:tcPr>
            <w:tcW w:w="690" w:type="pct"/>
            <w:vMerge w:val="restart"/>
            <w:vAlign w:val="center"/>
          </w:tcPr>
          <w:p>
            <w:pPr>
              <w:spacing w:line="440" w:lineRule="exact"/>
              <w:jc w:val="center"/>
              <w:rPr>
                <w:bCs/>
                <w:color w:val="auto"/>
                <w:szCs w:val="21"/>
              </w:rPr>
            </w:pPr>
            <w:r>
              <w:rPr>
                <w:bCs/>
                <w:color w:val="auto"/>
                <w:szCs w:val="21"/>
              </w:rPr>
              <w:t>知识产权</w:t>
            </w:r>
          </w:p>
        </w:tc>
        <w:tc>
          <w:tcPr>
            <w:tcW w:w="3800" w:type="pct"/>
            <w:gridSpan w:val="2"/>
            <w:vAlign w:val="center"/>
          </w:tcPr>
          <w:p>
            <w:pPr>
              <w:spacing w:line="440" w:lineRule="exact"/>
              <w:jc w:val="left"/>
              <w:rPr>
                <w:color w:val="auto"/>
              </w:rPr>
            </w:pPr>
            <w:r>
              <w:rPr>
                <w:rFonts w:hint="eastAsia" w:ascii="宋体" w:hAnsi="宋体" w:cs="宋体"/>
                <w:color w:val="auto"/>
                <w:szCs w:val="20"/>
              </w:rPr>
              <w:t>6.1</w:t>
            </w:r>
            <w:r>
              <w:rPr>
                <w:rFonts w:hint="eastAsia"/>
                <w:color w:val="auto"/>
                <w:szCs w:val="21"/>
              </w:rPr>
              <w:t>提供的货物须是合法厂家生产和经销的原包装产品（包括零配件），须具备生产日期、厂家、厂址、产品合格证。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1695" w:hRule="atLeast"/>
          <w:jc w:val="center"/>
        </w:trPr>
        <w:tc>
          <w:tcPr>
            <w:tcW w:w="483" w:type="pct"/>
            <w:gridSpan w:val="2"/>
            <w:vMerge w:val="continue"/>
            <w:vAlign w:val="center"/>
          </w:tcPr>
          <w:p>
            <w:pPr>
              <w:spacing w:line="440" w:lineRule="exact"/>
              <w:jc w:val="center"/>
              <w:rPr>
                <w:bCs/>
                <w:color w:val="auto"/>
                <w:szCs w:val="21"/>
              </w:rPr>
            </w:pPr>
          </w:p>
        </w:tc>
        <w:tc>
          <w:tcPr>
            <w:tcW w:w="690" w:type="pct"/>
            <w:vMerge w:val="continue"/>
            <w:vAlign w:val="center"/>
          </w:tcPr>
          <w:p>
            <w:pPr>
              <w:spacing w:line="440" w:lineRule="exact"/>
              <w:jc w:val="center"/>
              <w:rPr>
                <w:bCs/>
                <w:color w:val="auto"/>
                <w:szCs w:val="21"/>
              </w:rPr>
            </w:pPr>
          </w:p>
        </w:tc>
        <w:tc>
          <w:tcPr>
            <w:tcW w:w="3800" w:type="pct"/>
            <w:gridSpan w:val="2"/>
            <w:vAlign w:val="center"/>
          </w:tcPr>
          <w:p>
            <w:pPr>
              <w:widowControl/>
              <w:spacing w:line="440" w:lineRule="exact"/>
              <w:rPr>
                <w:rFonts w:ascii="宋体" w:hAnsi="宋体" w:cs="宋体"/>
                <w:color w:val="auto"/>
                <w:szCs w:val="20"/>
              </w:rPr>
            </w:pPr>
            <w:r>
              <w:rPr>
                <w:rFonts w:hint="eastAsia" w:ascii="宋体" w:hAnsi="宋体" w:cs="宋体"/>
                <w:color w:val="auto"/>
                <w:szCs w:val="20"/>
              </w:rPr>
              <w:t>6.2</w:t>
            </w:r>
            <w:r>
              <w:rPr>
                <w:rFonts w:hint="eastAsia"/>
                <w:color w:val="auto"/>
              </w:rPr>
              <w:t>投标供应商应保证采购人在使用该货物或其任何一部分时，免受第三方提出的侵犯其专利权、商标权、著作权或其它知识产权的起诉。投标供应商保证所提供软件的合法性，所发生的任何知识产权纠纷与采购人无关。若因为知识产权纠纷造成的一切损害赔偿及损失由投标供应商承担，包括但不限于实际损失、预期损失和对方要求赔偿损失及支出的律师费、交通费和差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185" w:hRule="atLeast"/>
          <w:jc w:val="center"/>
        </w:trPr>
        <w:tc>
          <w:tcPr>
            <w:tcW w:w="483" w:type="pct"/>
            <w:gridSpan w:val="2"/>
            <w:vMerge w:val="restart"/>
            <w:vAlign w:val="center"/>
          </w:tcPr>
          <w:p>
            <w:pPr>
              <w:spacing w:line="440" w:lineRule="exact"/>
              <w:jc w:val="center"/>
              <w:rPr>
                <w:bCs/>
                <w:color w:val="auto"/>
                <w:szCs w:val="21"/>
              </w:rPr>
            </w:pPr>
            <w:r>
              <w:rPr>
                <w:rFonts w:hint="eastAsia"/>
                <w:bCs/>
                <w:color w:val="auto"/>
                <w:szCs w:val="21"/>
              </w:rPr>
              <w:t>7</w:t>
            </w:r>
          </w:p>
        </w:tc>
        <w:tc>
          <w:tcPr>
            <w:tcW w:w="690" w:type="pct"/>
            <w:vMerge w:val="restart"/>
            <w:vAlign w:val="center"/>
          </w:tcPr>
          <w:p>
            <w:pPr>
              <w:spacing w:line="440" w:lineRule="exact"/>
              <w:jc w:val="center"/>
              <w:rPr>
                <w:bCs/>
                <w:color w:val="auto"/>
                <w:szCs w:val="21"/>
              </w:rPr>
            </w:pPr>
            <w:r>
              <w:rPr>
                <w:bCs/>
                <w:color w:val="auto"/>
                <w:szCs w:val="21"/>
              </w:rPr>
              <w:t>其他</w:t>
            </w:r>
          </w:p>
        </w:tc>
        <w:tc>
          <w:tcPr>
            <w:tcW w:w="3800" w:type="pct"/>
            <w:gridSpan w:val="2"/>
            <w:vAlign w:val="center"/>
          </w:tcPr>
          <w:p>
            <w:pPr>
              <w:widowControl/>
              <w:spacing w:line="440" w:lineRule="exact"/>
              <w:rPr>
                <w:rFonts w:ascii="宋体" w:hAnsi="宋体" w:cs="宋体"/>
                <w:color w:val="auto"/>
                <w:szCs w:val="20"/>
              </w:rPr>
            </w:pPr>
            <w:r>
              <w:rPr>
                <w:rFonts w:hint="eastAsia"/>
                <w:bCs/>
                <w:color w:val="auto"/>
                <w:szCs w:val="21"/>
              </w:rPr>
              <w:t>7</w:t>
            </w:r>
            <w:r>
              <w:rPr>
                <w:bCs/>
                <w:color w:val="auto"/>
                <w:szCs w:val="21"/>
              </w:rPr>
              <w:t>.1</w:t>
            </w:r>
            <w:r>
              <w:rPr>
                <w:rFonts w:hint="eastAsia"/>
                <w:bCs/>
                <w:color w:val="auto"/>
                <w:szCs w:val="21"/>
              </w:rPr>
              <w:t>投标</w:t>
            </w:r>
            <w:r>
              <w:rPr>
                <w:rFonts w:hint="eastAsia"/>
                <w:color w:val="auto"/>
              </w:rPr>
              <w:t>供应商</w:t>
            </w:r>
            <w:r>
              <w:rPr>
                <w:rFonts w:hint="eastAsia"/>
                <w:bCs/>
                <w:color w:val="auto"/>
                <w:szCs w:val="21"/>
              </w:rPr>
              <w:t>应</w:t>
            </w:r>
            <w:r>
              <w:rPr>
                <w:rFonts w:hint="eastAsia" w:ascii="宋体" w:hAnsi="宋体"/>
                <w:color w:val="auto"/>
                <w:szCs w:val="21"/>
              </w:rPr>
              <w:t>提供投标产品彩页。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185" w:hRule="atLeast"/>
          <w:jc w:val="center"/>
        </w:trPr>
        <w:tc>
          <w:tcPr>
            <w:tcW w:w="483" w:type="pct"/>
            <w:gridSpan w:val="2"/>
            <w:vMerge w:val="continue"/>
            <w:vAlign w:val="center"/>
          </w:tcPr>
          <w:p>
            <w:pPr>
              <w:spacing w:line="440" w:lineRule="exact"/>
              <w:rPr>
                <w:bCs/>
                <w:color w:val="auto"/>
                <w:szCs w:val="21"/>
              </w:rPr>
            </w:pPr>
          </w:p>
        </w:tc>
        <w:tc>
          <w:tcPr>
            <w:tcW w:w="690" w:type="pct"/>
            <w:vMerge w:val="continue"/>
            <w:vAlign w:val="center"/>
          </w:tcPr>
          <w:p>
            <w:pPr>
              <w:spacing w:line="440" w:lineRule="exact"/>
              <w:rPr>
                <w:bCs/>
                <w:color w:val="auto"/>
                <w:szCs w:val="21"/>
              </w:rPr>
            </w:pPr>
          </w:p>
        </w:tc>
        <w:tc>
          <w:tcPr>
            <w:tcW w:w="3800" w:type="pct"/>
            <w:gridSpan w:val="2"/>
            <w:vAlign w:val="center"/>
          </w:tcPr>
          <w:p>
            <w:pPr>
              <w:widowControl/>
              <w:spacing w:line="440" w:lineRule="exact"/>
              <w:rPr>
                <w:bCs/>
                <w:color w:val="auto"/>
                <w:szCs w:val="21"/>
              </w:rPr>
            </w:pPr>
            <w:r>
              <w:rPr>
                <w:rFonts w:hint="eastAsia" w:ascii="宋体" w:hAnsi="宋体"/>
                <w:color w:val="auto"/>
                <w:szCs w:val="21"/>
              </w:rPr>
              <w:t>7</w:t>
            </w:r>
            <w:r>
              <w:rPr>
                <w:rFonts w:ascii="宋体" w:hAnsi="宋体"/>
                <w:color w:val="auto"/>
                <w:szCs w:val="21"/>
              </w:rPr>
              <w:t>.2投标</w:t>
            </w:r>
            <w:r>
              <w:rPr>
                <w:rFonts w:hint="eastAsia"/>
                <w:color w:val="auto"/>
              </w:rPr>
              <w:t>供应商</w:t>
            </w:r>
            <w:r>
              <w:rPr>
                <w:rFonts w:hint="eastAsia" w:ascii="宋体" w:hAnsi="宋体"/>
                <w:color w:val="auto"/>
                <w:szCs w:val="21"/>
              </w:rPr>
              <w:t>中标后提供电瓶车的检测报告，检测机构应具体中国合格评定国家认可委员会或</w:t>
            </w:r>
            <w:r>
              <w:rPr>
                <w:rFonts w:ascii="Helvetica" w:hAnsi="Helvetica"/>
                <w:color w:val="auto"/>
                <w:szCs w:val="21"/>
                <w:shd w:val="clear" w:color="auto" w:fill="FFFFFF"/>
              </w:rPr>
              <w:t>中国计量认证</w:t>
            </w:r>
            <w:r>
              <w:rPr>
                <w:rFonts w:hint="eastAsia" w:ascii="宋体" w:hAnsi="宋体"/>
                <w:color w:val="auto"/>
                <w:szCs w:val="21"/>
              </w:rPr>
              <w:t>电瓶车认证资质，如果不符合采购文件技术要求，将取消中标资格。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pct"/>
          <w:trHeight w:val="185" w:hRule="atLeast"/>
          <w:jc w:val="center"/>
        </w:trPr>
        <w:tc>
          <w:tcPr>
            <w:tcW w:w="483" w:type="pct"/>
            <w:gridSpan w:val="2"/>
            <w:vMerge w:val="continue"/>
            <w:vAlign w:val="center"/>
          </w:tcPr>
          <w:p>
            <w:pPr>
              <w:spacing w:line="440" w:lineRule="exact"/>
              <w:rPr>
                <w:bCs/>
                <w:color w:val="auto"/>
                <w:szCs w:val="21"/>
              </w:rPr>
            </w:pPr>
          </w:p>
        </w:tc>
        <w:tc>
          <w:tcPr>
            <w:tcW w:w="690" w:type="pct"/>
            <w:vMerge w:val="continue"/>
            <w:vAlign w:val="center"/>
          </w:tcPr>
          <w:p>
            <w:pPr>
              <w:spacing w:line="440" w:lineRule="exact"/>
              <w:rPr>
                <w:bCs/>
                <w:color w:val="auto"/>
                <w:szCs w:val="21"/>
              </w:rPr>
            </w:pPr>
          </w:p>
        </w:tc>
        <w:tc>
          <w:tcPr>
            <w:tcW w:w="3800" w:type="pct"/>
            <w:gridSpan w:val="2"/>
            <w:vAlign w:val="center"/>
          </w:tcPr>
          <w:p>
            <w:pPr>
              <w:widowControl/>
              <w:spacing w:line="440" w:lineRule="exact"/>
              <w:rPr>
                <w:bCs/>
                <w:color w:val="auto"/>
                <w:szCs w:val="21"/>
              </w:rPr>
            </w:pPr>
            <w:r>
              <w:rPr>
                <w:rFonts w:hint="eastAsia" w:ascii="宋体" w:hAnsi="宋体"/>
                <w:color w:val="auto"/>
                <w:szCs w:val="21"/>
              </w:rPr>
              <w:t>7</w:t>
            </w:r>
            <w:r>
              <w:rPr>
                <w:rFonts w:ascii="宋体" w:hAnsi="宋体"/>
                <w:color w:val="auto"/>
                <w:szCs w:val="21"/>
              </w:rPr>
              <w:t>.3投标</w:t>
            </w:r>
            <w:r>
              <w:rPr>
                <w:rFonts w:hint="eastAsia"/>
                <w:color w:val="auto"/>
              </w:rPr>
              <w:t>供应商</w:t>
            </w:r>
            <w:r>
              <w:rPr>
                <w:rFonts w:hint="eastAsia" w:ascii="宋体" w:hAnsi="宋体"/>
                <w:color w:val="auto"/>
                <w:szCs w:val="21"/>
              </w:rPr>
              <w:t>中标后提供所投产品（含随车器材）相关合格证明材料和检测报告。</w:t>
            </w:r>
          </w:p>
        </w:tc>
      </w:tr>
    </w:tbl>
    <w:p>
      <w:pPr>
        <w:spacing w:line="360" w:lineRule="auto"/>
        <w:rPr>
          <w:rFonts w:ascii="宋体" w:hAnsi="宋体"/>
          <w:b/>
          <w:bCs/>
          <w:snapToGrid w:val="0"/>
          <w:kern w:val="0"/>
          <w:sz w:val="24"/>
        </w:rPr>
      </w:pPr>
    </w:p>
    <w:p/>
    <w:p/>
    <w:p>
      <w:pPr>
        <w:pStyle w:val="4"/>
      </w:pPr>
    </w:p>
    <w:p>
      <w:pPr>
        <w:widowControl/>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第三部分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投标文件格式</w:t>
      </w: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投标文件格式</w:t>
      </w:r>
    </w:p>
    <w:tbl>
      <w:tblPr>
        <w:tblStyle w:val="17"/>
        <w:tblpPr w:leftFromText="180" w:rightFromText="180" w:vertAnchor="text" w:horzAnchor="page" w:tblpX="1785" w:tblpY="301"/>
        <w:tblOverlap w:val="never"/>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asciiTheme="minorEastAsia" w:hAnsiTheme="minorEastAsia" w:eastAsiaTheme="minorEastAsia"/>
              </w:rPr>
            </w:pPr>
            <w:r>
              <w:rPr>
                <w:rFonts w:hint="eastAsia" w:cs="仿宋" w:asciiTheme="minorEastAsia" w:hAnsiTheme="minorEastAsia" w:eastAsiaTheme="minorEastAsia"/>
                <w:sz w:val="24"/>
              </w:rPr>
              <w:t>一、投标文件目录（自拟）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三、评审指引表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四、声明函（格式1）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五、投标供应商资格证明文件（格式2）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六、评分中涉及的承诺及声明函（格式3）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七、开标一览表（格式4）</w:t>
            </w:r>
          </w:p>
          <w:p>
            <w:pPr>
              <w:widowControl/>
              <w:spacing w:line="360" w:lineRule="auto"/>
              <w:rPr>
                <w:rFonts w:cs="仿宋" w:asciiTheme="minorEastAsia" w:hAnsiTheme="minorEastAsia" w:eastAsiaTheme="minorEastAsia"/>
                <w:b/>
                <w:color w:val="FF0000"/>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b/>
                <w:color w:val="FF0000"/>
              </w:rPr>
              <w:t>注：此表应与“法定代表人（负责人）证明书、法定代表人（负责人）授权委托书”一起密封于一信封，在递交投标文件时单独交与采购代理机构。（如法定代表人递交，则无需法定代表人（负责人）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八、报价表（格式5）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九、技术规格（格式6）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十、交付进度（格式7）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十一、售后服务和质量承诺（格式8）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十二、偏离表（格式9）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十三、其他征集文件要求的资料或投标供应商认为需要补充的资料（格式10）</w:t>
            </w:r>
          </w:p>
        </w:tc>
      </w:tr>
    </w:tbl>
    <w:p>
      <w:pPr>
        <w:rPr>
          <w:rFonts w:cs="仿宋" w:asciiTheme="minorEastAsia" w:hAnsiTheme="minorEastAsia" w:eastAsiaTheme="minorEastAsia"/>
        </w:rPr>
      </w:pPr>
    </w:p>
    <w:p>
      <w:pPr>
        <w:rPr>
          <w:rFonts w:cs="仿宋" w:asciiTheme="minorEastAsia" w:hAnsiTheme="minorEastAsia" w:eastAsiaTheme="minorEastAsia"/>
        </w:rPr>
      </w:pPr>
    </w:p>
    <w:p>
      <w:pPr>
        <w:jc w:val="left"/>
        <w:rPr>
          <w:rFonts w:cs="仿宋" w:asciiTheme="minorEastAsia" w:hAnsiTheme="minorEastAsia" w:eastAsiaTheme="minorEastAsia"/>
        </w:rPr>
      </w:pPr>
      <w:r>
        <w:rPr>
          <w:rFonts w:hint="eastAsia" w:cs="仿宋" w:asciiTheme="minorEastAsia" w:hAnsiTheme="minorEastAsia" w:eastAsiaTheme="minorEastAsia"/>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b/>
          <w:sz w:val="56"/>
          <w:szCs w:val="56"/>
        </w:rPr>
      </w:pPr>
      <w:r>
        <w:rPr>
          <w:rFonts w:hint="eastAsia" w:cs="仿宋" w:asciiTheme="minorEastAsia" w:hAnsiTheme="minorEastAsia" w:eastAsiaTheme="minorEastAsia"/>
          <w:b/>
          <w:sz w:val="56"/>
          <w:szCs w:val="56"/>
        </w:rPr>
        <w:t>投 标 文 件</w:t>
      </w: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（正本/副本）</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项 目 名 称：</w:t>
            </w:r>
          </w:p>
        </w:tc>
        <w:tc>
          <w:tcPr>
            <w:tcW w:w="4774" w:type="dxa"/>
            <w:vAlign w:val="center"/>
          </w:tcPr>
          <w:p>
            <w:pPr>
              <w:widowControl/>
              <w:spacing w:line="48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法定代表人：</w:t>
            </w:r>
          </w:p>
          <w:p>
            <w:pPr>
              <w:widowControl/>
              <w:spacing w:line="276"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（授权代理人）</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投标供应商：</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b/>
                <w:sz w:val="24"/>
              </w:rPr>
            </w:pPr>
            <w:r>
              <w:rPr>
                <w:rFonts w:hint="eastAsia" w:cs="仿宋" w:asciiTheme="minorEastAsia" w:hAnsiTheme="minorEastAsia" w:eastAsiaTheme="minorEastAsia"/>
                <w:b/>
                <w:sz w:val="24"/>
              </w:rPr>
              <w:t>日       期：</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keepNext/>
        <w:keepLines/>
        <w:spacing w:before="260" w:after="260" w:line="400" w:lineRule="exact"/>
        <w:jc w:val="center"/>
        <w:outlineLvl w:val="1"/>
        <w:rPr>
          <w:rFonts w:asciiTheme="minorEastAsia" w:hAnsiTheme="minorEastAsia" w:eastAsiaTheme="minorEastAsia"/>
          <w:b/>
          <w:bCs/>
          <w:sz w:val="28"/>
          <w:szCs w:val="32"/>
        </w:rPr>
      </w:pPr>
      <w:bookmarkStart w:id="5" w:name="_Toc110410380"/>
      <w:r>
        <w:rPr>
          <w:rFonts w:hint="eastAsia" w:asciiTheme="minorEastAsia" w:hAnsiTheme="minorEastAsia" w:eastAsiaTheme="minorEastAsia"/>
          <w:b/>
          <w:bCs/>
          <w:sz w:val="28"/>
          <w:szCs w:val="32"/>
        </w:rPr>
        <w:t>政府采购违法行为风险知悉确认书</w:t>
      </w:r>
      <w:bookmarkEnd w:id="5"/>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一、本公司已充分知悉“隐瞒真实情况，提供虚假资料”的法定情形，相关情形包括但不限于：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（二）由其他单位或者其他单位负责人在投标供应商编制的投标文件上加盖印章或者签字的。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（四）投标保证金不是从投标供应商基本账户转出的。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二、本公司已充分知悉“与其他采购参加人串通投标”的法定情形，相关情形包括但不限于：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（一）投标供应商之间相互约定给予未中标的供应商利益补偿。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（三）不同投标供应商的投标文件由同一单位或者同一人编制，或者由同一人分阶段参与编制的。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（四）不同投标供应商的投标文件或部分投标文件相互混装。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（五）不同投标供应商的投标文件内容存在非正常一致。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（六）由同一单位工作人员为两家以上（含两家）供应商进行同一项投标活动的。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（七）不同投标供应商的投标报价呈规律性差异。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（八）不同投标供应商的投标保证金从同一单位或者个人的账户转出。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（九）主管部门依照法律、法规认定的其他情形。</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三、本公司已充分知悉下列情形所对应的法律风险，并在投标前已对相关风险事项进行排查。</w:t>
      </w:r>
    </w:p>
    <w:p>
      <w:pPr>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（一）对于从其他主体获取的投标资料，供应商应审慎核查，确保投标资料的真实性。</w:t>
      </w:r>
      <w:r>
        <w:rPr>
          <w:rFonts w:hint="eastAsia" w:asciiTheme="minorEastAsia" w:hAnsiTheme="minorEastAsia" w:eastAsiaTheme="minorEastAsia"/>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四、本公司已充分知悉政府采购违法、违规行为的法律后果。</w:t>
      </w:r>
      <w:r>
        <w:rPr>
          <w:rFonts w:hint="eastAsia" w:asciiTheme="minorEastAsia" w:hAnsiTheme="minorEastAsia" w:eastAsiaTheme="minorEastAsia"/>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ind w:firstLine="420" w:firstLineChars="200"/>
        <w:rPr>
          <w:rFonts w:asciiTheme="minorEastAsia" w:hAnsiTheme="minorEastAsia" w:eastAsiaTheme="minorEastAsia"/>
          <w:szCs w:val="21"/>
          <w:u w:val="single"/>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负责人</w:t>
      </w:r>
      <w:r>
        <w:rPr>
          <w:rFonts w:asciiTheme="minorEastAsia" w:hAnsiTheme="minorEastAsia" w:eastAsiaTheme="minorEastAsia"/>
          <w:szCs w:val="21"/>
        </w:rPr>
        <w:t>/</w:t>
      </w:r>
      <w:r>
        <w:rPr>
          <w:rFonts w:hint="eastAsia" w:asciiTheme="minorEastAsia" w:hAnsiTheme="minorEastAsia" w:eastAsiaTheme="minorEastAsia"/>
          <w:szCs w:val="21"/>
        </w:rPr>
        <w:t>投标授权代表签名：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知悉人（公章）：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日期：</w:t>
      </w:r>
    </w:p>
    <w:p>
      <w:pPr>
        <w:jc w:val="center"/>
        <w:rPr>
          <w:rFonts w:cs="仿宋" w:asciiTheme="minorEastAsia" w:hAnsiTheme="minorEastAsia" w:eastAsiaTheme="minorEastAsia"/>
          <w:b/>
          <w:sz w:val="36"/>
          <w:szCs w:val="36"/>
        </w:rPr>
      </w:pPr>
      <w:r>
        <w:rPr>
          <w:rFonts w:hint="eastAsia" w:cs="仿宋" w:asciiTheme="minorEastAsia" w:hAnsiTheme="minorEastAsia" w:eastAsiaTheme="minorEastAsia"/>
          <w:b/>
          <w:sz w:val="36"/>
          <w:szCs w:val="36"/>
        </w:rPr>
        <w:t>评审指引表</w:t>
      </w:r>
    </w:p>
    <w:p>
      <w:pPr>
        <w:ind w:left="424" w:leftChars="202" w:firstLine="424" w:firstLineChars="202"/>
        <w:rPr>
          <w:rFonts w:cs="仿宋" w:asciiTheme="minorEastAsia" w:hAnsiTheme="minorEastAsia" w:eastAsiaTheme="minorEastAsia"/>
        </w:rPr>
      </w:pPr>
    </w:p>
    <w:p>
      <w:pPr>
        <w:ind w:left="424" w:leftChars="202" w:right="792" w:rightChars="377" w:firstLine="424" w:firstLineChars="202"/>
        <w:rPr>
          <w:rFonts w:cs="仿宋" w:asciiTheme="minorEastAsia" w:hAnsiTheme="minorEastAsia" w:eastAsiaTheme="minorEastAsia"/>
          <w:sz w:val="22"/>
        </w:rPr>
      </w:pPr>
      <w:r>
        <w:rPr>
          <w:rFonts w:hint="eastAsia" w:cs="仿宋" w:asciiTheme="minorEastAsia" w:hAnsiTheme="minorEastAsia" w:eastAsiaTheme="minorEastAsia"/>
        </w:rPr>
        <w:t>为方便参与该项目的评委专家的评审，快速找到评审事项与该项目投标文件所对应的位置，请投标供应商参照下表格式，编制本项目评审指引表。</w:t>
      </w:r>
    </w:p>
    <w:p>
      <w:pPr>
        <w:ind w:left="424" w:leftChars="202" w:right="792" w:rightChars="377" w:firstLine="444" w:firstLineChars="202"/>
        <w:rPr>
          <w:rFonts w:cs="仿宋" w:asciiTheme="minorEastAsia" w:hAnsiTheme="minorEastAsia" w:eastAsiaTheme="minorEastAsia"/>
          <w:sz w:val="22"/>
        </w:rPr>
      </w:pPr>
    </w:p>
    <w:tbl>
      <w:tblPr>
        <w:tblStyle w:val="1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cs="仿宋" w:asciiTheme="minorEastAsia" w:hAnsiTheme="minorEastAsia" w:eastAsiaTheme="minorEastAsia"/>
                <w:b/>
                <w:sz w:val="22"/>
              </w:rPr>
            </w:pPr>
            <w:r>
              <w:rPr>
                <w:rFonts w:hint="eastAsia" w:cs="仿宋" w:asciiTheme="minorEastAsia" w:hAnsiTheme="minorEastAsia" w:eastAsiaTheme="minorEastAsia"/>
                <w:b/>
              </w:rPr>
              <w:t>综合评分指引（参见评审方法和详细评审）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评分类型</w:t>
            </w:r>
          </w:p>
        </w:tc>
        <w:tc>
          <w:tcPr>
            <w:tcW w:w="3544"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评分项目</w:t>
            </w:r>
          </w:p>
        </w:tc>
        <w:tc>
          <w:tcPr>
            <w:tcW w:w="1559"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分值</w:t>
            </w:r>
          </w:p>
          <w:p>
            <w:pPr>
              <w:jc w:val="center"/>
              <w:rPr>
                <w:rFonts w:cs="仿宋" w:asciiTheme="minorEastAsia" w:hAnsiTheme="minorEastAsia" w:eastAsiaTheme="minorEastAsia"/>
              </w:rPr>
            </w:pPr>
            <w:r>
              <w:rPr>
                <w:rFonts w:hint="eastAsia" w:cs="仿宋" w:asciiTheme="minorEastAsia" w:hAnsiTheme="minorEastAsia" w:eastAsiaTheme="minorEastAsia"/>
              </w:rPr>
              <w:t>（或权重）</w:t>
            </w:r>
          </w:p>
        </w:tc>
        <w:tc>
          <w:tcPr>
            <w:tcW w:w="1685"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对应页码</w:t>
            </w:r>
          </w:p>
          <w:p>
            <w:pPr>
              <w:jc w:val="center"/>
              <w:rPr>
                <w:rFonts w:cs="仿宋" w:asciiTheme="minorEastAsia" w:hAnsiTheme="minorEastAsia" w:eastAsiaTheme="minorEastAsia"/>
              </w:rPr>
            </w:pPr>
            <w:r>
              <w:rPr>
                <w:rFonts w:hint="eastAsia" w:cs="仿宋" w:asciiTheme="minorEastAsia" w:hAnsiTheme="minorEastAsia" w:eastAsiaTheme="minorEastAsia"/>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价格部分</w:t>
            </w:r>
          </w:p>
        </w:tc>
        <w:tc>
          <w:tcPr>
            <w:tcW w:w="3544" w:type="dxa"/>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sz w:val="16"/>
              </w:rPr>
              <w:t>小型企业、微型企业、监狱企业、残疾人福利性单位声明、节能产品、环境标志产品等 ，详见评审信息政府采购</w:t>
            </w:r>
            <w:r>
              <w:rPr>
                <w:rFonts w:hint="eastAsia" w:cs="仿宋" w:asciiTheme="minorEastAsia" w:hAnsiTheme="minorEastAsia" w:eastAsiaTheme="minorEastAsia"/>
                <w:bCs/>
                <w:sz w:val="16"/>
              </w:rPr>
              <w:t>优惠政策</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商务部分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技术部分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bl>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格式1  声 明 函</w:t>
      </w:r>
    </w:p>
    <w:p>
      <w:pPr>
        <w:jc w:val="center"/>
        <w:rPr>
          <w:rFonts w:cs="仿宋" w:asciiTheme="minorEastAsia" w:hAnsiTheme="minorEastAsia" w:eastAsiaTheme="minorEastAsia"/>
          <w:b/>
          <w:sz w:val="36"/>
          <w:szCs w:val="36"/>
        </w:rPr>
      </w:pP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我们收到你们组织的 （</w:t>
      </w:r>
      <w:r>
        <w:rPr>
          <w:rFonts w:hint="eastAsia" w:cs="仿宋" w:asciiTheme="minorEastAsia" w:hAnsiTheme="minorEastAsia" w:eastAsiaTheme="minorEastAsia"/>
          <w:u w:val="single"/>
        </w:rPr>
        <w:t xml:space="preserve">项目名称：    </w:t>
      </w:r>
      <w:r>
        <w:rPr>
          <w:rFonts w:hint="eastAsia" w:cs="仿宋" w:asciiTheme="minorEastAsia" w:hAnsiTheme="minorEastAsia" w:eastAsiaTheme="minorEastAsia"/>
        </w:rPr>
        <w:t>）征集文件，经详细研究，我们决定参加该项目 （</w:t>
      </w:r>
      <w:r>
        <w:rPr>
          <w:rFonts w:hint="eastAsia" w:cs="仿宋" w:asciiTheme="minorEastAsia" w:hAnsiTheme="minorEastAsia" w:eastAsiaTheme="minorEastAsia"/>
          <w:u w:val="single"/>
        </w:rPr>
        <w:t xml:space="preserve">项目编号：    </w:t>
      </w:r>
      <w:r>
        <w:rPr>
          <w:rFonts w:hint="eastAsia" w:cs="仿宋" w:asciiTheme="minorEastAsia" w:hAnsiTheme="minorEastAsia" w:eastAsiaTheme="minorEastAsia"/>
        </w:rPr>
        <w:t>）采购的有关活动并投标。为此，我方谨郑重声明以下诸点，并对之负法律责任。</w:t>
      </w:r>
    </w:p>
    <w:p>
      <w:pPr>
        <w:spacing w:line="360" w:lineRule="auto"/>
        <w:ind w:firstLine="424" w:firstLineChars="202"/>
        <w:jc w:val="left"/>
        <w:rPr>
          <w:rFonts w:cs="仿宋" w:asciiTheme="minorEastAsia" w:hAnsiTheme="minorEastAsia" w:eastAsiaTheme="minorEastAsia"/>
        </w:rPr>
      </w:pPr>
      <w:r>
        <w:rPr>
          <w:rFonts w:hint="eastAsia" w:cs="仿宋" w:asciiTheme="minorEastAsia" w:hAnsiTheme="minorEastAsia" w:eastAsiaTheme="minorEastAsia"/>
        </w:rPr>
        <w:t>1．我方愿以《开标一览表》中填写的投标总价并按照征集文件中的一切要求，承担上述项目的全部工作。</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2．我方提交的投标文件为：投标书正本两份，副本四份，电子档文件（正本彩色扫描件PDF格式）一份。</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3．如果我们投标文件被接受，我们将履行征集文件中规定的每一项要求，按期、按质、按量完成任务。</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4．我们愿意提供采购代理机构在征集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5．我们理解，最低报价不是中标的唯一条件。我们认为你们有选择或拒绝任何投标者中标的权利。</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6．我方愿按《中华人民共和国民法典》履行自己的全部责任。</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7．我们同意征集文件之规定，遵守有关采购的各项规定。</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8. 我们同意中标后向采购代理机构支付征集文件要求数额的采购代理服务费。</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9．所有有关本标书的函电，请按下列地址联系：</w:t>
      </w:r>
    </w:p>
    <w:p>
      <w:pPr>
        <w:adjustRightInd w:val="0"/>
        <w:snapToGrid w:val="0"/>
        <w:spacing w:line="360" w:lineRule="auto"/>
        <w:ind w:firstLine="600"/>
        <w:rPr>
          <w:rFonts w:cs="仿宋" w:asciiTheme="minorEastAsia" w:hAnsiTheme="minorEastAsia" w:eastAsiaTheme="minorEastAsia"/>
        </w:rPr>
      </w:pP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单    位： （盖章）</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授权代表或法定代表人： （签字）</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地    址：</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电    话：</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联 系 人：</w:t>
      </w:r>
    </w:p>
    <w:p>
      <w:pPr>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jc w:val="left"/>
        <w:rPr>
          <w:rFonts w:cs="仿宋" w:asciiTheme="minorEastAsia" w:hAnsiTheme="minorEastAsia" w:eastAsiaTheme="minorEastAsia"/>
        </w:rPr>
      </w:pPr>
    </w:p>
    <w:p>
      <w:pPr>
        <w:widowControl/>
        <w:jc w:val="left"/>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格式2  投标供应商资格证明文件</w:t>
      </w:r>
    </w:p>
    <w:p>
      <w:pPr>
        <w:ind w:firstLine="1274" w:firstLineChars="607"/>
        <w:rPr>
          <w:rFonts w:cs="仿宋" w:asciiTheme="minorEastAsia" w:hAnsiTheme="minorEastAsia" w:eastAsiaTheme="minorEastAsia"/>
        </w:rPr>
      </w:pPr>
    </w:p>
    <w:p>
      <w:pPr>
        <w:jc w:val="center"/>
        <w:rPr>
          <w:rFonts w:cs="仿宋" w:asciiTheme="minorEastAsia" w:hAnsiTheme="minorEastAsia" w:eastAsiaTheme="minorEastAsia"/>
        </w:rPr>
      </w:pP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1、</w:t>
      </w:r>
      <w:r>
        <w:rPr>
          <w:rFonts w:hint="eastAsia" w:cs="仿宋" w:asciiTheme="minorEastAsia" w:hAnsiTheme="minorEastAsia" w:eastAsiaTheme="minorEastAsia"/>
          <w:bCs/>
        </w:rPr>
        <w:t>营业执照或法人证书等证明文件【扫描件或复印件】</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w:t>
      </w:r>
      <w:r>
        <w:rPr>
          <w:rFonts w:hint="eastAsia" w:cs="仿宋" w:asciiTheme="minorEastAsia" w:hAnsiTheme="minorEastAsia" w:eastAsiaTheme="minorEastAsia"/>
          <w:bCs/>
        </w:rPr>
        <w:t>法定代表人（负责人）证明书【原件】</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rPr>
        <w:t>3、</w:t>
      </w:r>
      <w:r>
        <w:rPr>
          <w:rFonts w:hint="eastAsia" w:cs="仿宋" w:asciiTheme="minorEastAsia" w:hAnsiTheme="minorEastAsia" w:eastAsiaTheme="minorEastAsia"/>
          <w:bCs/>
        </w:rPr>
        <w:t>法定代表人（负责人）授权委托书【原件】</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4、承诺函【详见格式《承诺函》】</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5、</w:t>
      </w:r>
      <w:r>
        <w:rPr>
          <w:rFonts w:hint="eastAsia" w:cs="仿宋" w:asciiTheme="minorEastAsia" w:hAnsiTheme="minorEastAsia" w:eastAsiaTheme="minorEastAsia"/>
          <w:bCs/>
          <w:szCs w:val="21"/>
        </w:rPr>
        <w:t>未被列入失信被执行人、重大税收违法案件当事人名单和政府采购严重违法失信行为记录名单</w:t>
      </w:r>
      <w:r>
        <w:rPr>
          <w:rFonts w:hint="eastAsia" w:cs="仿宋" w:asciiTheme="minorEastAsia" w:hAnsiTheme="minorEastAsia" w:eastAsiaTheme="minorEastAsia"/>
          <w:bCs/>
        </w:rPr>
        <w:t>信用查询截图</w:t>
      </w:r>
    </w:p>
    <w:p>
      <w:pPr>
        <w:spacing w:line="360" w:lineRule="auto"/>
        <w:ind w:firstLine="424" w:firstLineChars="202"/>
        <w:rPr>
          <w:rFonts w:cs="仿宋" w:asciiTheme="minorEastAsia" w:hAnsiTheme="minorEastAsia" w:eastAsiaTheme="minorEastAsia"/>
          <w:bCs/>
        </w:rPr>
      </w:pPr>
      <w:r>
        <w:rPr>
          <w:rFonts w:hint="eastAsia" w:cs="仿宋" w:asciiTheme="minorEastAsia" w:hAnsiTheme="minorEastAsia" w:eastAsiaTheme="minorEastAsia"/>
          <w:bCs/>
        </w:rPr>
        <w:t>6、国家企业信用信息公示系统（https://www.gsxt.gov.cn/index.html）或机关赋码和事业单位登记管理网（http://www.gjsy.gov.cn/sydwfrxxcx/）或全国社会组织信用信息公示平台（https://xxgs.chinanpo.mca.gov.cn/gsxt/newList）网站供应商信息查询截图</w:t>
      </w:r>
    </w:p>
    <w:p>
      <w:pPr>
        <w:spacing w:line="360" w:lineRule="auto"/>
        <w:ind w:left="424" w:leftChars="202" w:firstLine="2"/>
        <w:rPr>
          <w:rFonts w:cs="仿宋" w:asciiTheme="minorEastAsia" w:hAnsiTheme="minorEastAsia" w:eastAsiaTheme="minorEastAsia"/>
          <w:bCs/>
        </w:rPr>
      </w:pPr>
      <w:r>
        <w:rPr>
          <w:rFonts w:hint="eastAsia" w:cs="仿宋" w:asciiTheme="minorEastAsia" w:hAnsiTheme="minorEastAsia" w:eastAsiaTheme="minorEastAsia"/>
          <w:bCs/>
        </w:rPr>
        <w:t>7、其他【如有，按采购公告“申请人的资格要求”提供】</w:t>
      </w:r>
    </w:p>
    <w:p>
      <w:pPr>
        <w:adjustRightInd w:val="0"/>
        <w:snapToGrid w:val="0"/>
        <w:spacing w:line="360" w:lineRule="auto"/>
        <w:ind w:firstLine="2"/>
        <w:rPr>
          <w:rFonts w:cs="仿宋" w:asciiTheme="minorEastAsia" w:hAnsiTheme="minorEastAsia" w:eastAsiaTheme="minorEastAsia"/>
          <w:bCs/>
        </w:rPr>
      </w:pPr>
    </w:p>
    <w:p>
      <w:pPr>
        <w:spacing w:line="360" w:lineRule="auto"/>
        <w:ind w:left="995" w:leftChars="474" w:firstLine="2"/>
        <w:rPr>
          <w:rFonts w:cs="仿宋" w:asciiTheme="minorEastAsia" w:hAnsiTheme="minorEastAsia" w:eastAsiaTheme="minorEastAsia"/>
          <w:bCs/>
        </w:rPr>
      </w:pPr>
    </w:p>
    <w:p>
      <w:pPr>
        <w:spacing w:line="360" w:lineRule="auto"/>
        <w:ind w:left="995" w:leftChars="203" w:hanging="569"/>
        <w:rPr>
          <w:rFonts w:cs="仿宋" w:asciiTheme="minorEastAsia" w:hAnsiTheme="minorEastAsia" w:eastAsiaTheme="minorEastAsia"/>
          <w:b/>
          <w:bCs/>
          <w:color w:val="FF0000"/>
          <w:sz w:val="22"/>
        </w:rPr>
      </w:pPr>
      <w:r>
        <w:rPr>
          <w:rFonts w:hint="eastAsia" w:cs="仿宋" w:asciiTheme="minorEastAsia" w:hAnsiTheme="minorEastAsia" w:eastAsiaTheme="minorEastAsia"/>
          <w:b/>
          <w:bCs/>
          <w:color w:val="FF0000"/>
          <w:sz w:val="22"/>
        </w:rPr>
        <w:t>注：以上资料均须加盖投标供应商公章，原件备查</w:t>
      </w:r>
    </w:p>
    <w:p>
      <w:pPr>
        <w:spacing w:line="360" w:lineRule="auto"/>
        <w:ind w:left="1415" w:leftChars="474" w:hanging="420" w:hangingChars="190"/>
        <w:rPr>
          <w:rFonts w:cs="仿宋" w:asciiTheme="minorEastAsia" w:hAnsiTheme="minorEastAsia" w:eastAsiaTheme="minorEastAsia"/>
          <w:b/>
          <w:bCs/>
          <w:color w:val="FF0000"/>
          <w:sz w:val="22"/>
        </w:rPr>
      </w:pPr>
    </w:p>
    <w:p>
      <w:pPr>
        <w:widowControl/>
        <w:jc w:val="left"/>
        <w:rPr>
          <w:rFonts w:cs="仿宋" w:asciiTheme="minorEastAsia" w:hAnsiTheme="minorEastAsia" w:eastAsiaTheme="minorEastAsia"/>
          <w:b/>
          <w:bCs/>
          <w:color w:val="FF0000"/>
          <w:sz w:val="22"/>
        </w:rPr>
      </w:pPr>
      <w:r>
        <w:rPr>
          <w:rFonts w:hint="eastAsia" w:cs="仿宋" w:asciiTheme="minorEastAsia" w:hAnsiTheme="minorEastAsia" w:eastAsiaTheme="minorEastAsia"/>
          <w:b/>
          <w:bCs/>
          <w:color w:val="FF0000"/>
          <w:sz w:val="22"/>
        </w:rPr>
        <w:br w:type="page"/>
      </w:r>
    </w:p>
    <w:p>
      <w:pPr>
        <w:adjustRightInd w:val="0"/>
        <w:spacing w:line="300" w:lineRule="auto"/>
        <w:ind w:hanging="2"/>
        <w:jc w:val="center"/>
        <w:rPr>
          <w:rFonts w:cs="仿宋" w:asciiTheme="minorEastAsia" w:hAnsiTheme="minorEastAsia" w:eastAsiaTheme="minorEastAsia"/>
        </w:rPr>
      </w:pPr>
      <w:r>
        <w:rPr>
          <w:rFonts w:hint="eastAsia" w:cs="仿宋" w:asciiTheme="minorEastAsia" w:hAnsiTheme="minorEastAsia" w:eastAsiaTheme="minorEastAsia"/>
          <w:b/>
          <w:snapToGrid w:val="0"/>
          <w:kern w:val="0"/>
          <w:sz w:val="28"/>
        </w:rPr>
        <w:t>承诺函</w:t>
      </w:r>
    </w:p>
    <w:p>
      <w:pPr>
        <w:spacing w:line="400" w:lineRule="exac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400" w:lineRule="exact"/>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我单位承诺：</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1.我单位参与本项目</w:t>
      </w:r>
      <w:r>
        <w:rPr>
          <w:rFonts w:hint="eastAsia" w:cs="仿宋" w:asciiTheme="minorEastAsia" w:hAnsiTheme="minorEastAsia" w:eastAsiaTheme="minorEastAsia"/>
          <w:snapToGrid w:val="0"/>
        </w:rPr>
        <w:t>采购活动</w:t>
      </w:r>
      <w:r>
        <w:rPr>
          <w:rFonts w:hint="eastAsia" w:cs="仿宋" w:asciiTheme="minorEastAsia" w:hAnsiTheme="minorEastAsia" w:eastAsiaTheme="minorEastAsia"/>
          <w:szCs w:val="21"/>
        </w:rPr>
        <w:t>前三年内，在经营活动中没有重大违法记录。</w:t>
      </w:r>
    </w:p>
    <w:p>
      <w:pPr>
        <w:spacing w:line="40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szCs w:val="21"/>
        </w:rPr>
        <w:t>2.我单位参与本项目</w:t>
      </w:r>
      <w:r>
        <w:rPr>
          <w:rFonts w:hint="eastAsia" w:cs="仿宋" w:asciiTheme="minorEastAsia" w:hAnsiTheme="minorEastAsia" w:eastAsiaTheme="minorEastAsia"/>
        </w:rPr>
        <w:t>采购活动时不存在被有关部门禁止参与政府采购活动且在有效期内的情况。</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3.我单位满足《中华人民共和国政府采购法》第二十二条规定</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4.我单位</w:t>
      </w:r>
      <w:r>
        <w:rPr>
          <w:rFonts w:hint="eastAsia" w:cs="仿宋" w:asciiTheme="minorEastAsia" w:hAnsiTheme="minorEastAsia" w:eastAsiaTheme="minorEastAsia"/>
          <w:snapToGrid w:val="0"/>
          <w:szCs w:val="18"/>
        </w:rPr>
        <w:t>与其他投标供应商不存在“单位负责人为同一人或者存在直接控股、管理关系”的情况；</w:t>
      </w:r>
      <w:r>
        <w:rPr>
          <w:rFonts w:hint="eastAsia" w:cs="仿宋" w:asciiTheme="minorEastAsia" w:hAnsiTheme="minorEastAsia" w:eastAsiaTheme="minorEastAsia"/>
          <w:bCs/>
          <w:szCs w:val="21"/>
        </w:rPr>
        <w:t>除单一来源采购项目外，如为采购项目提供整体设计、规范编制或者项目管理、监理、检测等服务，不再参加该采购项目的其他采购活动</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5.我单位承诺非联合体投标，不非法转包或分包。</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6.我单位参与本项目所提供的货物或服务未侵犯知识产权。</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7.我单位参与该项目投标，严格遵循公平竞争的原则，不恶意串通，不妨碍其他投标供应商的竞争行为，不损害采购人或者其他投标供应商的合法权益。我单位已清楚，如违反上述要求，将作投标无效处理。</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8.我单位如果中标，做到守信，不偷工减料，依照本项目征集文件需求内容、签署的采购合同及本单位在投标中所作的一切承诺履约。</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以上承诺，如有违反，愿依照相关法律法规处理，并承担由此给采购人带来的损失。</w:t>
      </w:r>
    </w:p>
    <w:p>
      <w:pPr>
        <w:spacing w:line="360" w:lineRule="auto"/>
        <w:ind w:firstLine="6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投标供应商：（盖章）</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ind w:right="420"/>
        <w:rPr>
          <w:rFonts w:cs="仿宋" w:asciiTheme="minorEastAsia" w:hAnsiTheme="minorEastAsia" w:eastAsiaTheme="minorEastAsia"/>
          <w:snapToGrid w:val="0"/>
          <w:kern w:val="0"/>
        </w:rPr>
      </w:pPr>
    </w:p>
    <w:p>
      <w:pPr>
        <w:snapToGrid w:val="0"/>
        <w:spacing w:line="360" w:lineRule="auto"/>
        <w:ind w:left="560"/>
        <w:jc w:val="right"/>
        <w:rPr>
          <w:rFonts w:cs="仿宋" w:asciiTheme="minorEastAsia" w:hAnsiTheme="minorEastAsia" w:eastAsiaTheme="minorEastAsia"/>
          <w:bCs/>
        </w:rPr>
      </w:pPr>
      <w:r>
        <w:rPr>
          <w:rFonts w:hint="eastAsia" w:cs="仿宋" w:asciiTheme="minorEastAsia" w:hAnsiTheme="minorEastAsia" w:eastAsiaTheme="minorEastAsia"/>
        </w:rPr>
        <w:t>年     月    日</w:t>
      </w:r>
    </w:p>
    <w:p>
      <w:pPr>
        <w:rPr>
          <w:rFonts w:cs="仿宋" w:asciiTheme="minorEastAsia" w:hAnsiTheme="minorEastAsia" w:eastAsiaTheme="minorEastAsia"/>
          <w:bCs/>
        </w:rPr>
      </w:pPr>
      <w:r>
        <w:rPr>
          <w:rFonts w:hint="eastAsia" w:cs="仿宋" w:asciiTheme="minorEastAsia" w:hAnsiTheme="minorEastAsia" w:eastAsiaTheme="minorEastAsia"/>
          <w:bCs/>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法定代表人（负责人）证明书（格式）</w:t>
      </w:r>
    </w:p>
    <w:p>
      <w:pPr>
        <w:jc w:val="center"/>
        <w:rPr>
          <w:rFonts w:cs="仿宋" w:asciiTheme="minorEastAsia" w:hAnsiTheme="minorEastAsia" w:eastAsiaTheme="minorEastAsia"/>
          <w:b/>
          <w:sz w:val="32"/>
          <w:szCs w:val="36"/>
        </w:rPr>
      </w:pPr>
    </w:p>
    <w:p>
      <w:pPr>
        <w:tabs>
          <w:tab w:val="left" w:pos="900"/>
        </w:tabs>
        <w:spacing w:line="360" w:lineRule="auto"/>
        <w:ind w:firstLine="630" w:firstLineChars="300"/>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同志，现任我单位</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职务，为法定代表人（负责人），特此证明。</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有效日期与本公司投标文件中标注的投标有效期相同。签发日期：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月</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附：</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 xml:space="preserve">营业执照（注册号）： </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经济性质：</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主营（产）：</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兼营（产）：</w:t>
      </w: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rPr>
        <w:t>单位名称：（公章）：</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w:t>
      </w:r>
    </w:p>
    <w:p>
      <w:pPr>
        <w:spacing w:line="360" w:lineRule="auto"/>
        <w:ind w:firstLine="743" w:firstLineChars="354"/>
        <w:jc w:val="right"/>
        <w:rPr>
          <w:rFonts w:cs="仿宋" w:asciiTheme="minorEastAsia" w:hAnsiTheme="minorEastAsia" w:eastAsiaTheme="minorEastAsia"/>
        </w:rPr>
      </w:pPr>
      <w:r>
        <w:rPr>
          <w:rFonts w:hint="eastAsia" w:cs="仿宋" w:asciiTheme="minorEastAsia" w:hAnsiTheme="minorEastAsia" w:eastAsiaTheme="minorEastAsia"/>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849" w:firstLineChars="354"/>
        <w:jc w:val="right"/>
        <w:rPr>
          <w:rFonts w:cs="仿宋" w:asciiTheme="minorEastAsia" w:hAnsiTheme="minorEastAsia" w:eastAsiaTheme="minorEastAsia"/>
          <w:sz w:val="24"/>
        </w:rPr>
      </w:pPr>
    </w:p>
    <w:p>
      <w:pPr>
        <w:spacing w:line="360" w:lineRule="auto"/>
        <w:rPr>
          <w:rFonts w:cs="仿宋" w:asciiTheme="minorEastAsia" w:hAnsiTheme="minorEastAsia" w:eastAsiaTheme="minorEastAsia"/>
          <w:b/>
          <w:bCs/>
        </w:rPr>
      </w:pPr>
      <w:r>
        <w:rPr>
          <w:rFonts w:cs="仿宋" w:asciiTheme="minorEastAsia" w:hAnsiTheme="minorEastAsia" w:eastAsiaTheme="minorEastAsia"/>
          <w:b/>
          <w:bCs/>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0" t="0" r="0" b="0"/>
                <wp:wrapNone/>
                <wp:docPr id="4" name="Rectangle 5"/>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JLwpIj7AQAAOwQAAA4AAABkcnMvZTJvRG9jLnhtbK1T&#10;TY/TMBC9I/EfLN9pkorCbtR0D5RyQbBi4Qe4ziSx5C953Cb994yd0u0uHHogh+Q5Hr+Z92a8fpiM&#10;ZkcIqJxteLUoOQMrXats3/BfP3fv7jjDKGwrtLPQ8BMgf9i8fbMefQ1LNzjdQmBEYrEefcOHGH1d&#10;FCgHMAIXzoOlzc4FIyItQ1+0QYzEbnSxLMsPxehC64OTgEh/t/MmPzOGWwhd1ykJWycPBmycWQNo&#10;EUkSDsoj3+Rquw5k/N51CJHphpPSmN+UhPA+vYvNWtR9EH5Q8lyCuKWEV5qMUJaSXqi2Igp2COov&#10;KqNkcOi6uJDOFLOQ7AipqMpX3jwNwkPWQlajv5iO/49Wfjs+Bqbahr/nzApDDf9Bpgnba2CrZM/o&#10;saaoJ/8YziskmLROXTDpSyrYlC09XSyFKTJJP5cfy1VVktuS9qr7u4pGILEWz8d9wPgFnGEJNDxQ&#10;+mylOH7FOIf+CUnZ0GnV7pTWeRH6/Scd2FFQf3f5ObO/CNOWjQ2/Xy1XVIigoe1oWAgaT8LR9jnf&#10;ixN4TVzm51/EqbCtwGEuIDOkMFEbFSFkNIBoP9uWxZMncy3dKZ6KMdBypoGuYEI5Mgqlb4kk77RN&#10;SSAP+Nml1Ke5MwnFaT8RaYJ7156oxwcfVD+QwVUWknZopnInzvOfhvZ6Tfj6zm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cT0NvZAAAACgEAAA8AAAAAAAAAAQAgAAAAIgAAAGRycy9kb3ducmV2&#10;LnhtbFBLAQIUABQAAAAIAIdO4kCS8KSI+wEAADsEAAAOAAAAAAAAAAEAIAAAACgBAABkcnMvZTJv&#10;RG9jLnhtbFBLBQYAAAAABgAGAFkBAACVBQ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cs="仿宋" w:asciiTheme="minorEastAsia" w:hAnsiTheme="minorEastAsia" w:eastAsiaTheme="minorEastAsia"/>
          <w:b/>
          <w:bCs/>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0" t="0" r="0" b="0"/>
                <wp:wrapNone/>
                <wp:docPr id="3" name="Rectangle 4"/>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A8oiWz7AQAAOwQAAA4AAABkcnMvZTJvRG9jLnhtbK1T&#10;TY/TMBC9I/EfLN9pkkJhN2q6B0q5IFix8ANcZ5JY8pc8bpP+e8ZuKN2FQw/kkDzH4zfz3ozXD5PR&#10;7AgBlbMNrxYlZ2Cla5XtG/7zx+7NHWcYhW2FdhYafgLkD5vXr9ajr2HpBqdbCIxILNajb/gQo6+L&#10;AuUARuDCebC02blgRKRl6Is2iJHYjS6WZfm+GF1ofXASEOnv9rzJZ8ZwC6HrOiVh6+TBgI1n1gBa&#10;RJKEg/LIN7nargMZv3UdQmS64aQ05jclIbxP72KzFnUfhB+UnEsQt5TwQpMRylLSC9VWRMEOQf1F&#10;ZZQMDl0XF9KZ4iwkO0IqqvKFN0+D8JC1kNXoL6bj/6OVX4+Pgam24W85s8JQw7+TacL2Gti7ZM/o&#10;saaoJ/8Y5hUSTFqnLpj0JRVsypaeLpbCFJmkn8sP5aoqyW1Je9X9XUUjkFiLP8d9wPgZnGEJNDxQ&#10;+mylOH7BeA79HZKyodOq3Smt8yL0+486sKOg/u7yM7M/C9OWjQ2/Xy1XVIigoe1oWAgaT8LR9jnf&#10;sxN4TVzm51/EqbCtwOFcQGZIYaI2KkLIaADRfrItiydP5lq6UzwVY6DlTANdwYRyZBRK3xJJ3mmb&#10;kkAe8Nml1KdzZxKK034i0gT3rj1Rjw8+qH4gg6ssJO3QTOVOzPOfhvZ6Tfj6zm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3ErvZAAAACgEAAA8AAAAAAAAAAQAgAAAAIgAAAGRycy9kb3ducmV2&#10;LnhtbFBLAQIUABQAAAAIAIdO4kAPKIls+wEAADsEAAAOAAAAAAAAAAEAIAAAACgBAABkcnMvZTJv&#10;RG9jLnhtbFBLBQYAAAAABgAGAFkBAACVBQ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p>
    <w:p>
      <w:pPr>
        <w:spacing w:line="360" w:lineRule="auto"/>
        <w:rPr>
          <w:rFonts w:cs="仿宋" w:asciiTheme="minorEastAsia" w:hAnsiTheme="minorEastAsia" w:eastAsiaTheme="minorEastAsia"/>
          <w:b/>
          <w:bCs/>
        </w:rPr>
      </w:pPr>
      <w:r>
        <w:rPr>
          <w:rFonts w:hint="eastAsia" w:cs="仿宋" w:asciiTheme="minorEastAsia" w:hAnsiTheme="minorEastAsia" w:eastAsiaTheme="minorEastAsia"/>
          <w:b/>
          <w:bCs/>
        </w:rPr>
        <w:t xml:space="preserve">                         </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法定代表人（负责人）授权委托书（格式）</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现委派</w:t>
      </w:r>
      <w:r>
        <w:rPr>
          <w:rFonts w:hint="eastAsia" w:cs="仿宋" w:asciiTheme="minorEastAsia" w:hAnsiTheme="minorEastAsia" w:eastAsiaTheme="minorEastAsia"/>
          <w:u w:val="single"/>
        </w:rPr>
        <w:t>（姓名、职务）</w:t>
      </w:r>
      <w:r>
        <w:rPr>
          <w:rFonts w:hint="eastAsia" w:cs="仿宋" w:asciiTheme="minorEastAsia" w:hAnsiTheme="minorEastAsia" w:eastAsiaTheme="minorEastAsia"/>
        </w:rPr>
        <w:t>参加贵公司组织的</w:t>
      </w:r>
      <w:r>
        <w:rPr>
          <w:rFonts w:hint="eastAsia" w:cs="仿宋" w:asciiTheme="minorEastAsia" w:hAnsiTheme="minorEastAsia" w:eastAsiaTheme="minorEastAsia"/>
          <w:u w:val="single"/>
        </w:rPr>
        <w:t>（采购项目名称、编号）</w:t>
      </w:r>
      <w:r>
        <w:rPr>
          <w:rFonts w:hint="eastAsia" w:cs="仿宋" w:asciiTheme="minorEastAsia" w:hAnsiTheme="minorEastAsia" w:eastAsiaTheme="minorEastAsia"/>
        </w:rPr>
        <w:t>采购活动，全权代表我单位处理投标的有关事宜。</w:t>
      </w:r>
    </w:p>
    <w:p>
      <w:pPr>
        <w:spacing w:line="360" w:lineRule="auto"/>
        <w:rPr>
          <w:rFonts w:cs="仿宋" w:asciiTheme="minorEastAsia" w:hAnsiTheme="minorEastAsia" w:eastAsiaTheme="minorEastAsia"/>
        </w:rPr>
      </w:pPr>
    </w:p>
    <w:p>
      <w:pPr>
        <w:adjustRightInd w:val="0"/>
        <w:snapToGrid w:val="0"/>
        <w:spacing w:line="360" w:lineRule="auto"/>
        <w:ind w:firstLine="629"/>
        <w:rPr>
          <w:rFonts w:cs="仿宋" w:asciiTheme="minorEastAsia" w:hAnsiTheme="minorEastAsia" w:eastAsiaTheme="minorEastAsia"/>
          <w:b/>
        </w:rPr>
      </w:pPr>
      <w:r>
        <w:rPr>
          <w:rFonts w:hint="eastAsia" w:cs="仿宋" w:asciiTheme="minorEastAsia" w:hAnsiTheme="minorEastAsia" w:eastAsiaTheme="minorEastAsia"/>
          <w:b/>
        </w:rPr>
        <w:t>附授权代表情况：</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姓       名：</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性       别：</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年       龄：</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职       务：</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身 份证号码：</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通 讯 地 址： </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联 系 方 式： </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单 位 名 称：（公章）</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法 人 代 表：（签章）</w:t>
      </w:r>
    </w:p>
    <w:p>
      <w:pPr>
        <w:spacing w:line="360" w:lineRule="auto"/>
        <w:ind w:firstLine="630"/>
        <w:rPr>
          <w:rFonts w:cs="仿宋" w:asciiTheme="minorEastAsia" w:hAnsiTheme="minorEastAsia" w:eastAsiaTheme="minorEastAsia"/>
        </w:rPr>
      </w:pPr>
    </w:p>
    <w:p>
      <w:pPr>
        <w:adjustRightInd w:val="0"/>
        <w:snapToGrid w:val="0"/>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rPr>
          <w:rFonts w:cs="仿宋" w:asciiTheme="minorEastAsia" w:hAnsiTheme="minorEastAsia" w:eastAsiaTheme="minorEastAsia"/>
        </w:rPr>
      </w:pPr>
      <w:bookmarkStart w:id="6" w:name="_Toc226217114"/>
      <w:r>
        <w:rPr>
          <w:rFonts w:cs="仿宋"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0" t="0" r="9525" b="0"/>
                <wp:wrapNone/>
                <wp:docPr id="5" name="Rectangle 2"/>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AU6nsx+wEAADsEAAAOAAAAZHJzL2Uyb0RvYy54bWytU02P&#10;0zAQvSPxHyzfadqg7rJR0z1QygXBioUf4DqTxJK/5HGb9N8zdkLpLhx6IIfkOR6/mfdmvHkcjWYn&#10;CKicrflqseQMrHSNsl3Nf/7Yv/vAGUZhG6GdhZqfAfnj9u2bzeArKF3vdAOBEYnFavA172P0VVGg&#10;7MEIXDgPljZbF4yItAxd0QQxELvRRblc3hWDC40PTgIi/d1Nm3xmDLcQurZVEnZOHg3YOLEG0CKS&#10;JOyVR77N1bYtyPitbREi0zUnpTG/KQnhQ3oX242ouiB8r+RcgrilhFeajFCWkl6odiIKdgzqLyqj&#10;ZHDo2riQzhSTkOwIqVgtX3nz3AsPWQtZjf5iOv4/Wvn19BSYamq+5swKQw3/TqYJ22lgZbJn8FhR&#10;1LN/CvMKCSatYxtM+pIKNmZLzxdLYYxM0s/ybvXw/p64Je2t7svyfr1OrMWf4z5g/AzOsARqHih9&#10;tlKcvmCcQn+HpGzotGr2Suu8CN3how7sJKi/+/zM7C/CtGVDzR/WZSpE0NC2NCwEjSfhaLuc78UJ&#10;vCZe5udfxKmwncB+KiAzpDBRGRUhZNSDaD7ZhsWzJ3Mt3SmeijHQcKaBrmBCOTIKpW+JJO+0TUkg&#10;D/jsUurT1JmE4ngYiTTBg2vO1OOjD6rryeBVFpJ2aKZyJ+b5T0N7vSZ8fee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5BW1wAAAAkBAAAPAAAAAAAAAAEAIAAAACIAAABkcnMvZG93bnJldi54&#10;bWxQSwECFAAUAAAACACHTuJAFOp7MfsBAAA7BAAADgAAAAAAAAABACAAAAAmAQAAZHJzL2Uyb0Rv&#10;Yy54bWxQSwUGAAAAAAYABgBZAQAAkwU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cs="仿宋"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0" t="0" r="0" b="0"/>
                <wp:wrapNone/>
                <wp:docPr id="6" name="Rectangle 3"/>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Cl9KqL+wEAADsEAAAOAAAAZHJzL2Uyb0RvYy54bWytU02P&#10;0zAQvSPxHyzfadpU6ULUdA+UckGwYuEHuPYkseQv2W6T/nvGTijdhUMP5JA8x+M3896Mt4+jVuQM&#10;PkhrGrpaLCkBw62Qpmvozx+Hd+8pCZEZwZQ10NALBPq4e/tmO7gaSttbJcATJDGhHlxD+xhdXRSB&#10;96BZWFgHBjdb6zWLuPRdITwbkF2rolwuN8VgvXDecggB/+6nTToz+nsIbdtKDnvLTxpMnFg9KBZR&#10;UuilC3SXq21b4PFb2waIRDUUlcb8xiSIj+ld7Las7jxzveRzCeyeEl5p0kwaTHql2rPIyMnLv6i0&#10;5N4G28YFt7qYhGRHUMVq+cqb5545yFrQ6uCupof/R8u/np88kaKhG0oM09jw72gaM50Csk72DC7U&#10;GPXsnvy8CgiT1rH1On1RBRmzpZerpTBGwvFnWa3Xmwrd5ri3eijLh6pKrMWf486H+BmsJgk01GP6&#10;bCU7fwlxCv0dkrIFq6Q4SKXywnfHj8qTM8P+HvIzs78IU4YMDf1QlRUWwnBoWxwWhNqh8GC6nO/F&#10;iXBLvMzPv4hTYXsW+qmAzJDCWK1lBJ9RD0x8MoLEi0NzDd4pmorRIChRgFcwoRwZmVT3RKJ3yqQk&#10;kAd8din1aepMQnE8jkia4NGKC/b45LzsejR4lYWkHZyp3Il5/tPQ3q4R3975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OyHU1wAAAAoBAAAPAAAAAAAAAAEAIAAAACIAAABkcnMvZG93bnJldi54&#10;bWxQSwECFAAUAAAACACHTuJApfSqi/sBAAA7BAAADgAAAAAAAAABACAAAAAmAQAAZHJzL2Uyb0Rv&#10;Yy54bWxQSwUGAAAAAAYABgBZAQAAkw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6"/>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tabs>
          <w:tab w:val="left" w:pos="5115"/>
        </w:tabs>
        <w:spacing w:line="360" w:lineRule="auto"/>
        <w:rPr>
          <w:rFonts w:cs="仿宋" w:asciiTheme="minorEastAsia" w:hAnsiTheme="minorEastAsia" w:eastAsiaTheme="minorEastAsia"/>
        </w:rPr>
      </w:pPr>
      <w:r>
        <w:rPr>
          <w:rFonts w:hint="eastAsia" w:cs="仿宋" w:asciiTheme="minorEastAsia" w:hAnsiTheme="minorEastAsia" w:eastAsiaTheme="minorEastAsia"/>
        </w:rPr>
        <w:tab/>
      </w:r>
    </w:p>
    <w:p>
      <w:pPr>
        <w:spacing w:line="360" w:lineRule="auto"/>
        <w:rPr>
          <w:rFonts w:cs="仿宋" w:asciiTheme="minorEastAsia" w:hAnsiTheme="minorEastAsia" w:eastAsiaTheme="minorEastAsia"/>
        </w:rPr>
      </w:pPr>
    </w:p>
    <w:p>
      <w:pPr>
        <w:adjustRightInd w:val="0"/>
        <w:snapToGrid w:val="0"/>
        <w:spacing w:line="360" w:lineRule="auto"/>
        <w:ind w:firstLine="5008" w:firstLineChars="2385"/>
        <w:rPr>
          <w:rFonts w:cs="仿宋" w:asciiTheme="minorEastAsia" w:hAnsiTheme="minorEastAsia" w:eastAsiaTheme="minorEastAsia"/>
        </w:rPr>
      </w:pPr>
    </w:p>
    <w:p>
      <w:pPr>
        <w:ind w:left="433" w:hanging="433" w:hangingChars="196"/>
        <w:rPr>
          <w:rFonts w:cs="仿宋" w:asciiTheme="minorEastAsia" w:hAnsiTheme="minorEastAsia" w:eastAsiaTheme="minorEastAsia"/>
          <w:color w:val="FF0000"/>
          <w:sz w:val="22"/>
        </w:rPr>
      </w:pPr>
      <w:r>
        <w:rPr>
          <w:rFonts w:hint="eastAsia" w:cs="仿宋" w:asciiTheme="minorEastAsia" w:hAnsiTheme="minorEastAsia" w:eastAsiaTheme="minorEastAsia"/>
          <w:b/>
          <w:color w:val="FF0000"/>
          <w:sz w:val="22"/>
        </w:rPr>
        <w:t>注：</w:t>
      </w:r>
      <w:r>
        <w:rPr>
          <w:rFonts w:hint="eastAsia" w:cs="仿宋" w:asciiTheme="minorEastAsia" w:hAnsiTheme="minorEastAsia" w:eastAsiaTheme="minorEastAsia"/>
          <w:b/>
          <w:bCs/>
          <w:color w:val="FF0000"/>
          <w:sz w:val="22"/>
        </w:rPr>
        <w:t>法定代表人（负责人）授权委托书</w:t>
      </w:r>
      <w:r>
        <w:rPr>
          <w:rFonts w:hint="eastAsia" w:cs="仿宋" w:asciiTheme="minorEastAsia" w:hAnsiTheme="minorEastAsia" w:eastAsiaTheme="minorEastAsia"/>
          <w:b/>
          <w:color w:val="FF0000"/>
          <w:sz w:val="22"/>
        </w:rPr>
        <w:t>除装订于投标文件中外，还须另置一份按“投标须知”18.5项要求单独密封。</w:t>
      </w:r>
    </w:p>
    <w:p>
      <w:pPr>
        <w:widowControl/>
        <w:jc w:val="center"/>
        <w:rPr>
          <w:rFonts w:cs="仿宋" w:asciiTheme="minorEastAsia" w:hAnsiTheme="minorEastAsia" w:eastAsiaTheme="minorEastAsia"/>
        </w:rPr>
      </w:pPr>
      <w:r>
        <w:rPr>
          <w:rFonts w:hint="eastAsia" w:cs="仿宋" w:asciiTheme="minorEastAsia" w:hAnsiTheme="minorEastAsia" w:eastAsiaTheme="minorEastAsia"/>
          <w:b/>
          <w:sz w:val="32"/>
          <w:szCs w:val="36"/>
        </w:rPr>
        <w:t xml:space="preserve"> </w:t>
      </w: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rPr>
        <w:br w:type="page"/>
      </w:r>
      <w:r>
        <w:rPr>
          <w:rFonts w:hint="eastAsia" w:cs="仿宋" w:asciiTheme="minorEastAsia" w:hAnsiTheme="minorEastAsia" w:eastAsiaTheme="minorEastAsia"/>
          <w:b/>
          <w:sz w:val="32"/>
          <w:szCs w:val="36"/>
        </w:rPr>
        <w:t>格式3  评分中涉及的承诺及声明函</w:t>
      </w:r>
    </w:p>
    <w:p>
      <w:pPr>
        <w:jc w:val="center"/>
        <w:rPr>
          <w:rFonts w:cs="仿宋" w:asciiTheme="minorEastAsia" w:hAnsiTheme="minorEastAsia" w:eastAsiaTheme="minorEastAsia"/>
          <w:b/>
          <w:sz w:val="32"/>
          <w:szCs w:val="36"/>
        </w:rPr>
      </w:pPr>
    </w:p>
    <w:p>
      <w:pPr>
        <w:jc w:val="center"/>
        <w:rPr>
          <w:rFonts w:cs="仿宋" w:asciiTheme="minorEastAsia" w:hAnsiTheme="minorEastAsia" w:eastAsiaTheme="minorEastAsia"/>
          <w:b/>
          <w:sz w:val="32"/>
          <w:szCs w:val="36"/>
        </w:rPr>
      </w:pPr>
      <w:r>
        <w:rPr>
          <w:rFonts w:hint="eastAsia" w:cs="仿宋" w:asciiTheme="minorEastAsia" w:hAnsiTheme="minorEastAsia" w:eastAsiaTheme="minorEastAsia"/>
          <w:b/>
          <w:sz w:val="32"/>
          <w:szCs w:val="36"/>
        </w:rPr>
        <w:t>诚信承诺函</w:t>
      </w:r>
    </w:p>
    <w:p>
      <w:pPr>
        <w:spacing w:line="360" w:lineRule="auto"/>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我公司承诺，在参加政府采购活动中没有出现下列行为之一：</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（一）投标截止后，无正当理由撤销其投标行为，导致项目无法正常开评审的；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（二）未按《采购条例》规定签订、履行采购合同，严重影响采购人日常工作的；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（三）在投标文件中未说明且未经采购人同意，将中标项目分包给他人，情节严重的；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（四）严重违反合同约定，擅自降低货物质量等次和售后服务，货物、工程或者服务存在严重质量问题的；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（五）严重违反合同约定，未能完成全部货物、服务或工程项目，中途停止配送或者变相增加费用的；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（六）捏造事实、提供虚假材料进行质疑的；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（七）假冒他人名义质疑的；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（八）无正当理由拒不配合进行质疑调查的。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特此承诺。</w:t>
      </w:r>
    </w:p>
    <w:p>
      <w:pPr>
        <w:spacing w:line="360" w:lineRule="auto"/>
        <w:ind w:firstLine="420" w:firstLineChars="2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投标供应商：（盖章）</w:t>
      </w:r>
    </w:p>
    <w:p>
      <w:pPr>
        <w:rPr>
          <w:rFonts w:cs="仿宋" w:asciiTheme="minorEastAsia" w:hAnsiTheme="minorEastAsia" w:eastAsiaTheme="minorEastAsia"/>
          <w:snapToGrid w:val="0"/>
          <w:kern w:val="0"/>
        </w:rPr>
      </w:pP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rPr>
          <w:rFonts w:cs="仿宋" w:asciiTheme="minorEastAsia" w:hAnsiTheme="minorEastAsia" w:eastAsiaTheme="minorEastAsia"/>
          <w:snapToGrid w:val="0"/>
          <w:kern w:val="0"/>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中小企业声明函</w:t>
      </w:r>
    </w:p>
    <w:p>
      <w:pPr>
        <w:spacing w:after="120"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spacing w:after="120"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spacing w:after="120"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spacing w:before="11" w:after="120"/>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spacing w:before="108" w:after="120"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rFonts w:ascii="Times New Roman" w:hAnsi="Times New Roman"/>
          <w:b/>
          <w:sz w:val="24"/>
          <w:szCs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投标供应商名称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spacing w:line="360" w:lineRule="auto"/>
        <w:jc w:val="left"/>
        <w:rPr>
          <w:rFonts w:ascii="宋体" w:hAnsi="宋体"/>
          <w:szCs w:val="21"/>
        </w:rPr>
      </w:pPr>
    </w:p>
    <w:p>
      <w:pPr>
        <w:spacing w:line="360" w:lineRule="auto"/>
        <w:jc w:val="center"/>
        <w:rPr>
          <w:rFonts w:ascii="宋体" w:hAnsi="宋体"/>
          <w:b/>
          <w:sz w:val="28"/>
          <w:szCs w:val="28"/>
        </w:rPr>
      </w:pPr>
      <w:r>
        <w:rPr>
          <w:rFonts w:hint="eastAsia" w:ascii="宋体" w:hAnsi="宋体"/>
          <w:b/>
          <w:sz w:val="28"/>
          <w:szCs w:val="28"/>
        </w:rPr>
        <w:t>列入政府优先采购清单的投标产品一览表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rFonts w:ascii="Times New Roman" w:hAnsi="Times New Roman"/>
                <w:b/>
                <w:szCs w:val="21"/>
              </w:rPr>
            </w:pPr>
            <w:r>
              <w:rPr>
                <w:rFonts w:hint="eastAsia" w:ascii="Times New Roman" w:hAnsi="Times New Roman"/>
                <w:b/>
                <w:szCs w:val="21"/>
              </w:rPr>
              <w:t>序号</w:t>
            </w:r>
          </w:p>
        </w:tc>
        <w:tc>
          <w:tcPr>
            <w:tcW w:w="1213" w:type="dxa"/>
            <w:vMerge w:val="restart"/>
            <w:vAlign w:val="center"/>
          </w:tcPr>
          <w:p>
            <w:pPr>
              <w:jc w:val="center"/>
              <w:rPr>
                <w:rFonts w:ascii="Times New Roman" w:hAnsi="Times New Roman"/>
                <w:b/>
                <w:szCs w:val="21"/>
              </w:rPr>
            </w:pPr>
            <w:r>
              <w:rPr>
                <w:rFonts w:hint="eastAsia" w:ascii="Times New Roman" w:hAnsi="Times New Roman"/>
                <w:b/>
                <w:szCs w:val="21"/>
              </w:rPr>
              <w:t>投标产品名称</w:t>
            </w:r>
          </w:p>
        </w:tc>
        <w:tc>
          <w:tcPr>
            <w:tcW w:w="1840" w:type="dxa"/>
            <w:vMerge w:val="restart"/>
            <w:vAlign w:val="center"/>
          </w:tcPr>
          <w:p>
            <w:pPr>
              <w:jc w:val="center"/>
              <w:rPr>
                <w:rFonts w:ascii="Times New Roman" w:hAnsi="Times New Roman"/>
                <w:b/>
                <w:szCs w:val="21"/>
              </w:rPr>
            </w:pPr>
            <w:r>
              <w:rPr>
                <w:rFonts w:hint="eastAsia" w:ascii="Times New Roman" w:hAnsi="Times New Roman"/>
                <w:b/>
                <w:szCs w:val="21"/>
              </w:rPr>
              <w:t>规格及型号</w:t>
            </w:r>
          </w:p>
        </w:tc>
        <w:tc>
          <w:tcPr>
            <w:tcW w:w="4351" w:type="dxa"/>
            <w:gridSpan w:val="4"/>
          </w:tcPr>
          <w:p>
            <w:pPr>
              <w:jc w:val="center"/>
              <w:rPr>
                <w:rFonts w:ascii="Times New Roman" w:hAnsi="Times New Roman"/>
                <w:b/>
                <w:szCs w:val="21"/>
              </w:rPr>
            </w:pPr>
            <w:r>
              <w:rPr>
                <w:rFonts w:hint="eastAsia" w:ascii="Times New Roman" w:hAnsi="Times New Roman"/>
                <w:b/>
                <w:szCs w:val="21"/>
              </w:rPr>
              <w:t>该投标产品报价及占投标总价的比例</w:t>
            </w:r>
          </w:p>
        </w:tc>
        <w:tc>
          <w:tcPr>
            <w:tcW w:w="1503" w:type="dxa"/>
            <w:vMerge w:val="restart"/>
            <w:vAlign w:val="center"/>
          </w:tcPr>
          <w:p>
            <w:pPr>
              <w:rPr>
                <w:rFonts w:ascii="Times New Roman" w:hAnsi="Times New Roman"/>
                <w:b/>
                <w:szCs w:val="21"/>
              </w:rPr>
            </w:pPr>
            <w:r>
              <w:rPr>
                <w:rFonts w:hint="eastAsia" w:ascii="Times New Roman" w:hAnsi="Times New Roman"/>
                <w:b/>
                <w:szCs w:val="21"/>
              </w:rPr>
              <w:t>属于优先采购清单的类别</w:t>
            </w:r>
          </w:p>
        </w:tc>
        <w:tc>
          <w:tcPr>
            <w:tcW w:w="720" w:type="dxa"/>
            <w:vMerge w:val="restart"/>
            <w:vAlign w:val="center"/>
          </w:tcPr>
          <w:p>
            <w:pPr>
              <w:rPr>
                <w:rFonts w:ascii="Times New Roman" w:hAnsi="Times New Roman"/>
                <w:b/>
                <w:szCs w:val="21"/>
              </w:rPr>
            </w:pPr>
            <w:r>
              <w:rPr>
                <w:rFonts w:hint="eastAsia" w:ascii="Times New Roman" w:hAnsi="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rFonts w:ascii="Times New Roman" w:hAnsi="Times New Roman"/>
                <w:szCs w:val="21"/>
              </w:rPr>
            </w:pPr>
          </w:p>
        </w:tc>
        <w:tc>
          <w:tcPr>
            <w:tcW w:w="1213" w:type="dxa"/>
            <w:vMerge w:val="continue"/>
            <w:vAlign w:val="center"/>
          </w:tcPr>
          <w:p>
            <w:pPr>
              <w:rPr>
                <w:rFonts w:ascii="Times New Roman" w:hAnsi="Times New Roman"/>
                <w:szCs w:val="21"/>
              </w:rPr>
            </w:pPr>
          </w:p>
        </w:tc>
        <w:tc>
          <w:tcPr>
            <w:tcW w:w="1840" w:type="dxa"/>
            <w:vMerge w:val="continue"/>
            <w:vAlign w:val="center"/>
          </w:tcPr>
          <w:p>
            <w:pPr>
              <w:rPr>
                <w:rFonts w:ascii="Times New Roman" w:hAnsi="Times New Roman"/>
                <w:szCs w:val="21"/>
              </w:rPr>
            </w:pPr>
          </w:p>
        </w:tc>
        <w:tc>
          <w:tcPr>
            <w:tcW w:w="818" w:type="dxa"/>
            <w:vAlign w:val="center"/>
          </w:tcPr>
          <w:p>
            <w:pPr>
              <w:rPr>
                <w:rFonts w:ascii="Times New Roman" w:hAnsi="Times New Roman"/>
                <w:szCs w:val="21"/>
              </w:rPr>
            </w:pPr>
            <w:r>
              <w:rPr>
                <w:rFonts w:hint="eastAsia" w:ascii="Times New Roman" w:hAnsi="Times New Roman"/>
                <w:szCs w:val="21"/>
              </w:rPr>
              <w:t>数量</w:t>
            </w:r>
          </w:p>
        </w:tc>
        <w:tc>
          <w:tcPr>
            <w:tcW w:w="989" w:type="dxa"/>
            <w:vAlign w:val="center"/>
          </w:tcPr>
          <w:p>
            <w:pPr>
              <w:rPr>
                <w:rFonts w:ascii="Times New Roman" w:hAnsi="Times New Roman"/>
                <w:szCs w:val="21"/>
              </w:rPr>
            </w:pPr>
            <w:r>
              <w:rPr>
                <w:rFonts w:hint="eastAsia" w:ascii="Times New Roman" w:hAnsi="Times New Roman"/>
                <w:szCs w:val="21"/>
              </w:rPr>
              <w:t>投标单价（元）</w:t>
            </w:r>
          </w:p>
        </w:tc>
        <w:tc>
          <w:tcPr>
            <w:tcW w:w="1080" w:type="dxa"/>
            <w:vAlign w:val="center"/>
          </w:tcPr>
          <w:p>
            <w:pPr>
              <w:rPr>
                <w:rFonts w:ascii="Times New Roman" w:hAnsi="Times New Roman"/>
                <w:szCs w:val="21"/>
              </w:rPr>
            </w:pPr>
            <w:r>
              <w:rPr>
                <w:rFonts w:hint="eastAsia" w:ascii="Times New Roman" w:hAnsi="Times New Roman"/>
                <w:szCs w:val="21"/>
              </w:rPr>
              <w:t>投标合计报价（元）</w:t>
            </w:r>
          </w:p>
        </w:tc>
        <w:tc>
          <w:tcPr>
            <w:tcW w:w="1464" w:type="dxa"/>
            <w:vAlign w:val="center"/>
          </w:tcPr>
          <w:p>
            <w:pPr>
              <w:rPr>
                <w:rFonts w:ascii="Times New Roman" w:hAnsi="Times New Roman"/>
                <w:szCs w:val="21"/>
              </w:rPr>
            </w:pPr>
            <w:r>
              <w:rPr>
                <w:rFonts w:hint="eastAsia" w:ascii="Times New Roman" w:hAnsi="Times New Roman"/>
                <w:szCs w:val="21"/>
              </w:rPr>
              <w:t>占投标总价的比例（%）</w:t>
            </w:r>
          </w:p>
        </w:tc>
        <w:tc>
          <w:tcPr>
            <w:tcW w:w="1503" w:type="dxa"/>
            <w:vMerge w:val="continue"/>
            <w:vAlign w:val="center"/>
          </w:tcPr>
          <w:p>
            <w:pPr>
              <w:rPr>
                <w:rFonts w:ascii="Times New Roman" w:hAnsi="Times New Roman"/>
                <w:szCs w:val="21"/>
              </w:rPr>
            </w:pPr>
          </w:p>
        </w:tc>
        <w:tc>
          <w:tcPr>
            <w:tcW w:w="720" w:type="dxa"/>
            <w:vMerge w:val="continue"/>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rFonts w:ascii="Times New Roman" w:hAnsi="Times New Roman"/>
                <w:szCs w:val="21"/>
              </w:rPr>
            </w:pPr>
          </w:p>
        </w:tc>
        <w:tc>
          <w:tcPr>
            <w:tcW w:w="1840" w:type="dxa"/>
          </w:tcPr>
          <w:p>
            <w:pPr>
              <w:rPr>
                <w:rFonts w:ascii="Times New Roman" w:hAnsi="Times New Roman"/>
                <w:szCs w:val="21"/>
              </w:rPr>
            </w:pPr>
          </w:p>
        </w:tc>
        <w:tc>
          <w:tcPr>
            <w:tcW w:w="818" w:type="dxa"/>
          </w:tcPr>
          <w:p>
            <w:pPr>
              <w:rPr>
                <w:rFonts w:ascii="Times New Roman" w:hAnsi="Times New Roman"/>
                <w:szCs w:val="21"/>
              </w:rPr>
            </w:pPr>
          </w:p>
        </w:tc>
        <w:tc>
          <w:tcPr>
            <w:tcW w:w="989" w:type="dxa"/>
          </w:tcPr>
          <w:p>
            <w:pPr>
              <w:rPr>
                <w:rFonts w:ascii="Times New Roman" w:hAnsi="Times New Roman"/>
                <w:szCs w:val="21"/>
              </w:rPr>
            </w:pPr>
          </w:p>
        </w:tc>
        <w:tc>
          <w:tcPr>
            <w:tcW w:w="1080" w:type="dxa"/>
          </w:tcPr>
          <w:p>
            <w:pPr>
              <w:rPr>
                <w:rFonts w:ascii="Times New Roman" w:hAnsi="Times New Roman"/>
                <w:szCs w:val="21"/>
              </w:rPr>
            </w:pPr>
          </w:p>
        </w:tc>
        <w:tc>
          <w:tcPr>
            <w:tcW w:w="1464" w:type="dxa"/>
          </w:tcPr>
          <w:p>
            <w:pPr>
              <w:rPr>
                <w:rFonts w:ascii="Times New Roman" w:hAnsi="Times New Roman"/>
                <w:szCs w:val="21"/>
              </w:rPr>
            </w:pPr>
          </w:p>
        </w:tc>
        <w:tc>
          <w:tcPr>
            <w:tcW w:w="1503" w:type="dxa"/>
          </w:tcPr>
          <w:p>
            <w:pPr>
              <w:rPr>
                <w:rFonts w:ascii="Times New Roman" w:hAnsi="Times New Roman"/>
                <w:szCs w:val="21"/>
              </w:rPr>
            </w:pPr>
          </w:p>
        </w:tc>
        <w:tc>
          <w:tcPr>
            <w:tcW w:w="720" w:type="dxa"/>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rFonts w:ascii="Times New Roman" w:hAnsi="Times New Roman"/>
                <w:szCs w:val="21"/>
              </w:rPr>
            </w:pPr>
          </w:p>
        </w:tc>
        <w:tc>
          <w:tcPr>
            <w:tcW w:w="1840" w:type="dxa"/>
          </w:tcPr>
          <w:p>
            <w:pPr>
              <w:rPr>
                <w:rFonts w:ascii="Times New Roman" w:hAnsi="Times New Roman"/>
                <w:szCs w:val="21"/>
              </w:rPr>
            </w:pPr>
          </w:p>
        </w:tc>
        <w:tc>
          <w:tcPr>
            <w:tcW w:w="818" w:type="dxa"/>
          </w:tcPr>
          <w:p>
            <w:pPr>
              <w:rPr>
                <w:rFonts w:ascii="Times New Roman" w:hAnsi="Times New Roman"/>
                <w:szCs w:val="21"/>
              </w:rPr>
            </w:pPr>
          </w:p>
        </w:tc>
        <w:tc>
          <w:tcPr>
            <w:tcW w:w="989" w:type="dxa"/>
          </w:tcPr>
          <w:p>
            <w:pPr>
              <w:rPr>
                <w:rFonts w:ascii="Times New Roman" w:hAnsi="Times New Roman"/>
                <w:szCs w:val="21"/>
              </w:rPr>
            </w:pPr>
          </w:p>
        </w:tc>
        <w:tc>
          <w:tcPr>
            <w:tcW w:w="1080" w:type="dxa"/>
          </w:tcPr>
          <w:p>
            <w:pPr>
              <w:rPr>
                <w:rFonts w:ascii="Times New Roman" w:hAnsi="Times New Roman"/>
                <w:szCs w:val="21"/>
              </w:rPr>
            </w:pPr>
          </w:p>
        </w:tc>
        <w:tc>
          <w:tcPr>
            <w:tcW w:w="1464" w:type="dxa"/>
          </w:tcPr>
          <w:p>
            <w:pPr>
              <w:rPr>
                <w:rFonts w:ascii="Times New Roman" w:hAnsi="Times New Roman"/>
                <w:szCs w:val="21"/>
              </w:rPr>
            </w:pPr>
          </w:p>
        </w:tc>
        <w:tc>
          <w:tcPr>
            <w:tcW w:w="1503" w:type="dxa"/>
          </w:tcPr>
          <w:p>
            <w:pPr>
              <w:rPr>
                <w:rFonts w:ascii="Times New Roman" w:hAnsi="Times New Roman"/>
                <w:szCs w:val="21"/>
              </w:rPr>
            </w:pPr>
          </w:p>
        </w:tc>
        <w:tc>
          <w:tcPr>
            <w:tcW w:w="720" w:type="dxa"/>
          </w:tcPr>
          <w:p>
            <w:pPr>
              <w:rPr>
                <w:rFonts w:ascii="Times New Roman" w:hAnsi="Times New Roman"/>
                <w:szCs w:val="21"/>
              </w:rPr>
            </w:pPr>
          </w:p>
        </w:tc>
      </w:tr>
    </w:tbl>
    <w:p>
      <w:pPr>
        <w:spacing w:line="360" w:lineRule="auto"/>
        <w:rPr>
          <w:rFonts w:ascii="Times New Roman" w:hAnsi="Times New Roman"/>
          <w:szCs w:val="21"/>
        </w:rPr>
      </w:pPr>
      <w:r>
        <w:rPr>
          <w:rFonts w:hint="eastAsia" w:ascii="Times New Roman" w:hAnsi="Times New Roman"/>
          <w:szCs w:val="21"/>
        </w:rPr>
        <w:t>注</w:t>
      </w:r>
      <w:r>
        <w:rPr>
          <w:rFonts w:hint="eastAsia" w:ascii="宋体" w:hAnsi="宋体"/>
          <w:szCs w:val="21"/>
        </w:rPr>
        <w:t xml:space="preserve">：1. </w:t>
      </w:r>
      <w:r>
        <w:rPr>
          <w:rFonts w:hint="eastAsia" w:ascii="Times New Roman" w:hAnsi="Times New Roman"/>
          <w:szCs w:val="21"/>
        </w:rPr>
        <w:t>投标供应商的投标产品若不属于招标文件第四章“政府采购扶持政策</w:t>
      </w:r>
      <w:r>
        <w:rPr>
          <w:rFonts w:hint="eastAsia" w:ascii="Times New Roman" w:hAnsi="Times New Roman"/>
          <w:bCs/>
          <w:szCs w:val="21"/>
        </w:rPr>
        <w:t>”</w:t>
      </w:r>
      <w:r>
        <w:rPr>
          <w:rFonts w:hint="eastAsia" w:ascii="Times New Roman" w:hAnsi="Times New Roman"/>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ascii="Times New Roman" w:hAnsi="Times New Roman"/>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widowControl/>
        <w:spacing w:line="360" w:lineRule="auto"/>
        <w:jc w:val="left"/>
        <w:rPr>
          <w:rFonts w:cs="仿宋" w:asciiTheme="minorEastAsia" w:hAnsiTheme="minorEastAsia" w:eastAsiaTheme="minorEastAsia"/>
          <w:snapToGrid w:val="0"/>
          <w:szCs w:val="18"/>
        </w:rPr>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产品，投标供应商须提供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提供以上证明材料的扫描件或复印件加盖投标供应商公章，提供的证书若存在不齐全、已过有效期或其他未被评标委员会接受的瑕疵将不予认可。</w:t>
      </w:r>
    </w:p>
    <w:p>
      <w:pPr>
        <w:jc w:val="center"/>
        <w:rPr>
          <w:rFonts w:cs="仿宋" w:asciiTheme="minorEastAsia" w:hAnsiTheme="minorEastAsia" w:eastAsiaTheme="minorEastAsia"/>
          <w:snapToGrid w:val="0"/>
          <w:szCs w:val="18"/>
        </w:rPr>
      </w:pPr>
    </w:p>
    <w:p>
      <w:pPr>
        <w:jc w:val="center"/>
        <w:rPr>
          <w:rFonts w:cs="仿宋" w:asciiTheme="minorEastAsia" w:hAnsiTheme="minorEastAsia" w:eastAsiaTheme="minorEastAsia"/>
          <w:snapToGrid w:val="0"/>
          <w:szCs w:val="18"/>
        </w:rPr>
      </w:pP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格式4  </w:t>
      </w:r>
      <w:r>
        <w:rPr>
          <w:rFonts w:hint="eastAsia" w:cs="仿宋" w:asciiTheme="minorEastAsia" w:hAnsiTheme="minorEastAsia" w:eastAsiaTheme="minorEastAsia"/>
          <w:b/>
          <w:bCs/>
          <w:sz w:val="32"/>
          <w:szCs w:val="32"/>
        </w:rPr>
        <w:t>开标一览表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17"/>
        <w:tblW w:w="4999" w:type="pct"/>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73"/>
        <w:gridCol w:w="3914"/>
        <w:gridCol w:w="1533"/>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3" w:type="pct"/>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项目名称</w:t>
            </w:r>
          </w:p>
        </w:tc>
        <w:tc>
          <w:tcPr>
            <w:tcW w:w="2296" w:type="pct"/>
            <w:shd w:val="clear" w:color="auto" w:fill="C6D9F0" w:themeFill="text2" w:themeFillTint="33"/>
            <w:vAlign w:val="center"/>
          </w:tcPr>
          <w:p>
            <w:pPr>
              <w:jc w:val="center"/>
              <w:rPr>
                <w:b/>
                <w:bCs/>
              </w:rPr>
            </w:pPr>
            <w:r>
              <w:rPr>
                <w:rFonts w:hint="eastAsia"/>
                <w:b/>
                <w:bCs/>
              </w:rPr>
              <w:t>投标总价</w:t>
            </w:r>
          </w:p>
          <w:p>
            <w:pPr>
              <w:pStyle w:val="2"/>
              <w:ind w:firstLine="843" w:firstLineChars="400"/>
              <w:rPr>
                <w:rFonts w:eastAsiaTheme="minorEastAsia"/>
              </w:rPr>
            </w:pPr>
            <w:r>
              <w:rPr>
                <w:rFonts w:hint="eastAsia" w:eastAsiaTheme="minorEastAsia"/>
                <w:b/>
                <w:bCs/>
              </w:rPr>
              <w:t>（人民币元）</w:t>
            </w:r>
          </w:p>
        </w:tc>
        <w:tc>
          <w:tcPr>
            <w:tcW w:w="899" w:type="pct"/>
            <w:shd w:val="clear" w:color="auto" w:fill="C6D9F0" w:themeFill="text2" w:themeFillTint="33"/>
            <w:vAlign w:val="center"/>
          </w:tcPr>
          <w:p>
            <w:pPr>
              <w:spacing w:line="360" w:lineRule="auto"/>
              <w:jc w:val="center"/>
              <w:rPr>
                <w:rFonts w:cs="仿宋" w:asciiTheme="minorEastAsia" w:hAnsiTheme="minorEastAsia" w:eastAsiaTheme="minorEastAsia"/>
                <w:b/>
              </w:rPr>
            </w:pPr>
            <w:r>
              <w:rPr>
                <w:rFonts w:hint="eastAsia" w:cs="仿宋" w:asciiTheme="minorEastAsia" w:hAnsiTheme="minorEastAsia" w:eastAsiaTheme="minorEastAsia"/>
                <w:b/>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9" w:hRule="atLeast"/>
          <w:jc w:val="center"/>
        </w:trPr>
        <w:tc>
          <w:tcPr>
            <w:tcW w:w="1803" w:type="pct"/>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深圳市公安局罗湖分局电动巡逻车采购项目</w:t>
            </w:r>
          </w:p>
        </w:tc>
        <w:tc>
          <w:tcPr>
            <w:tcW w:w="2296" w:type="pct"/>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spacing w:line="360" w:lineRule="auto"/>
              <w:rPr>
                <w:rFonts w:cs="仿宋" w:asciiTheme="minorEastAsia" w:hAnsiTheme="minorEastAsia" w:eastAsiaTheme="minorEastAsia"/>
                <w:u w:val="single"/>
              </w:rPr>
            </w:pPr>
            <w:r>
              <w:rPr>
                <w:snapToGrid w:val="0"/>
                <w:kern w:val="0"/>
              </w:rPr>
              <w:t>小写：</w:t>
            </w:r>
            <w:r>
              <w:rPr>
                <w:snapToGrid w:val="0"/>
                <w:kern w:val="0"/>
                <w:u w:val="single"/>
              </w:rPr>
              <w:t xml:space="preserve">                   </w:t>
            </w:r>
            <w:r>
              <w:rPr>
                <w:rFonts w:hint="eastAsia"/>
                <w:snapToGrid w:val="0"/>
                <w:kern w:val="0"/>
                <w:u w:val="single"/>
              </w:rPr>
              <w:t xml:space="preserve">             </w:t>
            </w:r>
            <w:r>
              <w:rPr>
                <w:rFonts w:hint="eastAsia" w:cs="仿宋" w:asciiTheme="minorEastAsia" w:hAnsiTheme="minorEastAsia" w:eastAsiaTheme="minorEastAsia"/>
                <w:b/>
              </w:rPr>
              <w:t xml:space="preserve">                          </w:t>
            </w:r>
          </w:p>
        </w:tc>
        <w:tc>
          <w:tcPr>
            <w:tcW w:w="899" w:type="pct"/>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spacing w:line="440" w:lineRule="exact"/>
        <w:ind w:firstLine="422" w:firstLineChars="200"/>
        <w:jc w:val="left"/>
        <w:rPr>
          <w:rFonts w:cs="仿宋" w:asciiTheme="minorEastAsia" w:hAnsiTheme="minorEastAsia" w:eastAsiaTheme="minorEastAsia"/>
          <w:b/>
          <w:color w:val="FF0000"/>
        </w:rPr>
      </w:pPr>
      <w:r>
        <w:rPr>
          <w:rFonts w:hint="eastAsia" w:cs="仿宋" w:asciiTheme="minorEastAsia" w:hAnsiTheme="minorEastAsia" w:eastAsiaTheme="minorEastAsia"/>
          <w:b/>
          <w:color w:val="FF0000"/>
        </w:rPr>
        <w:t>注：</w:t>
      </w:r>
    </w:p>
    <w:p>
      <w:pPr>
        <w:spacing w:line="440" w:lineRule="exact"/>
        <w:ind w:firstLine="420" w:firstLineChars="200"/>
        <w:jc w:val="left"/>
        <w:rPr>
          <w:rFonts w:cs="仿宋" w:asciiTheme="minorEastAsia" w:hAnsiTheme="minorEastAsia" w:eastAsiaTheme="minorEastAsia"/>
          <w:bCs/>
        </w:rPr>
      </w:pPr>
      <w:r>
        <w:rPr>
          <w:rFonts w:hint="eastAsia" w:cs="仿宋" w:asciiTheme="minorEastAsia" w:hAnsiTheme="minorEastAsia" w:eastAsiaTheme="minorEastAsia"/>
        </w:rPr>
        <w:t>1、价格应按“征集文件”中规定</w:t>
      </w:r>
      <w:r>
        <w:rPr>
          <w:rFonts w:hint="eastAsia" w:cs="仿宋" w:asciiTheme="minorEastAsia" w:hAnsiTheme="minorEastAsia" w:eastAsiaTheme="minorEastAsia"/>
          <w:bCs/>
        </w:rPr>
        <w:t>的货币单位填写。</w:t>
      </w:r>
    </w:p>
    <w:p>
      <w:pPr>
        <w:spacing w:line="440" w:lineRule="exact"/>
        <w:ind w:firstLine="420" w:firstLineChars="200"/>
        <w:jc w:val="left"/>
        <w:rPr>
          <w:rFonts w:cs="仿宋" w:asciiTheme="minorEastAsia" w:hAnsiTheme="minorEastAsia" w:eastAsiaTheme="minorEastAsia"/>
        </w:rPr>
      </w:pPr>
      <w:r>
        <w:rPr>
          <w:rFonts w:hint="eastAsia" w:cs="仿宋" w:asciiTheme="minorEastAsia" w:hAnsiTheme="minorEastAsia" w:eastAsiaTheme="minorEastAsia"/>
          <w:bCs/>
        </w:rPr>
        <w:t>2、</w:t>
      </w:r>
      <w:r>
        <w:rPr>
          <w:rFonts w:hint="eastAsia" w:cs="仿宋" w:asciiTheme="minorEastAsia" w:hAnsiTheme="minorEastAsia" w:eastAsiaTheme="minorEastAsia"/>
        </w:rPr>
        <w:t>本项目投标总价必须是完成该项目的一切费用总和，包含设备费、运输费、装卸费、安装费、调试费、保险费、技术培训费、售后服务费、国家规定的各项税费等全部费用。</w:t>
      </w:r>
    </w:p>
    <w:p>
      <w:pPr>
        <w:spacing w:line="440" w:lineRule="exact"/>
        <w:ind w:firstLine="420" w:firstLineChars="200"/>
        <w:jc w:val="left"/>
        <w:rPr>
          <w:rFonts w:cs="仿宋" w:asciiTheme="minorEastAsia" w:hAnsiTheme="minorEastAsia" w:eastAsiaTheme="minorEastAsia"/>
        </w:rPr>
      </w:pPr>
      <w:r>
        <w:rPr>
          <w:rFonts w:hint="eastAsia" w:cs="仿宋" w:asciiTheme="minorEastAsia" w:hAnsiTheme="minorEastAsia" w:eastAsiaTheme="minorEastAsia"/>
        </w:rPr>
        <w:t>3、此表应经法定代表人或其授权委托人签名，并加盖投标供应商公章。</w:t>
      </w:r>
    </w:p>
    <w:p>
      <w:pPr>
        <w:spacing w:line="440" w:lineRule="exact"/>
        <w:ind w:firstLine="482" w:firstLineChars="200"/>
        <w:jc w:val="left"/>
        <w:rPr>
          <w:rFonts w:cs="仿宋" w:asciiTheme="minorEastAsia" w:hAnsiTheme="minorEastAsia" w:eastAsiaTheme="minorEastAsia"/>
          <w:b/>
          <w:sz w:val="24"/>
          <w:szCs w:val="24"/>
        </w:rPr>
      </w:pPr>
      <w:r>
        <w:rPr>
          <w:rFonts w:cs="仿宋" w:asciiTheme="minorEastAsia" w:hAnsiTheme="minorEastAsia" w:eastAsiaTheme="minorEastAsia"/>
          <w:b/>
          <w:sz w:val="24"/>
          <w:szCs w:val="24"/>
        </w:rPr>
        <w:t>4、此表毋需装订于正副本内，应按“</w:t>
      </w:r>
      <w:r>
        <w:rPr>
          <w:rFonts w:hint="eastAsia" w:cs="仿宋" w:asciiTheme="minorEastAsia" w:hAnsiTheme="minorEastAsia" w:eastAsiaTheme="minorEastAsia"/>
          <w:b/>
          <w:sz w:val="24"/>
          <w:szCs w:val="24"/>
        </w:rPr>
        <w:t>投标须知”</w:t>
      </w:r>
      <w:r>
        <w:rPr>
          <w:rFonts w:cs="仿宋" w:asciiTheme="minorEastAsia" w:hAnsiTheme="minorEastAsia" w:eastAsiaTheme="minorEastAsia"/>
          <w:b/>
          <w:sz w:val="24"/>
          <w:szCs w:val="24"/>
        </w:rPr>
        <w:t>18.5项要求，与“法定代表人（负责人）证明书、法定代表人（负责人）授权委托书”一起单独密封提交</w:t>
      </w:r>
      <w:r>
        <w:rPr>
          <w:rFonts w:hint="eastAsia" w:cs="仿宋" w:asciiTheme="minorEastAsia" w:hAnsiTheme="minorEastAsia" w:eastAsiaTheme="minorEastAsia"/>
          <w:b/>
          <w:sz w:val="24"/>
          <w:szCs w:val="24"/>
        </w:rPr>
        <w:t>。</w:t>
      </w:r>
    </w:p>
    <w:p>
      <w:pPr>
        <w:spacing w:line="440" w:lineRule="exact"/>
        <w:ind w:firstLine="422" w:firstLineChars="200"/>
        <w:jc w:val="left"/>
        <w:rPr>
          <w:rFonts w:cs="仿宋" w:asciiTheme="minorEastAsia" w:hAnsiTheme="minorEastAsia" w:eastAsiaTheme="minorEastAsia"/>
          <w:b/>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格式5  </w:t>
      </w:r>
      <w:r>
        <w:rPr>
          <w:rFonts w:hint="eastAsia" w:cs="仿宋" w:asciiTheme="minorEastAsia" w:hAnsiTheme="minorEastAsia" w:eastAsiaTheme="minorEastAsia"/>
          <w:b/>
          <w:bCs/>
          <w:sz w:val="32"/>
          <w:szCs w:val="32"/>
        </w:rPr>
        <w:t>报价表</w:t>
      </w:r>
    </w:p>
    <w:p>
      <w:pPr>
        <w:rPr>
          <w:rFonts w:cs="仿宋" w:asciiTheme="minorEastAsia" w:hAnsiTheme="minorEastAsia" w:eastAsiaTheme="minorEastAsia"/>
        </w:rPr>
      </w:pPr>
    </w:p>
    <w:p>
      <w:pPr>
        <w:spacing w:line="440" w:lineRule="exact"/>
        <w:rPr>
          <w:rFonts w:cs="仿宋" w:asciiTheme="minorEastAsia" w:hAnsiTheme="minorEastAsia" w:eastAsiaTheme="minorEastAsia"/>
        </w:rPr>
      </w:pPr>
      <w:r>
        <w:rPr>
          <w:rFonts w:hint="eastAsia" w:cs="仿宋" w:asciiTheme="minorEastAsia" w:hAnsiTheme="minorEastAsia" w:eastAsiaTheme="minorEastAsia"/>
        </w:rPr>
        <w:t>一、报价要求</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1、所有价格应按“征集文件”中规定的货币单位填写。</w:t>
      </w:r>
    </w:p>
    <w:p>
      <w:pPr>
        <w:pStyle w:val="2"/>
        <w:spacing w:after="0" w:line="440" w:lineRule="exact"/>
        <w:ind w:left="0" w:leftChars="0" w:firstLine="0" w:firstLineChars="0"/>
        <w:rPr>
          <w:rFonts w:eastAsiaTheme="minorEastAsia"/>
        </w:rPr>
      </w:pPr>
      <w:r>
        <w:rPr>
          <w:rFonts w:hint="eastAsia" w:cs="仿宋" w:asciiTheme="minorEastAsia" w:hAnsiTheme="minorEastAsia" w:eastAsiaTheme="minorEastAsia"/>
        </w:rPr>
        <w:t xml:space="preserve">    2、报价包含设备费、运输费、装卸费、安装费、调试费、保险费、技术培训费、售后服务费、国家规定的各项税费等全部费用。</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3、“分项价格表”应将所有设备报价，并分别列出“品牌、型号、产地及制造厂商”。</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4、</w:t>
      </w:r>
      <w:r>
        <w:rPr>
          <w:rFonts w:hint="eastAsia" w:cs="仿宋" w:asciiTheme="minorEastAsia" w:hAnsiTheme="minorEastAsia" w:eastAsiaTheme="minorEastAsia"/>
          <w:bCs/>
        </w:rPr>
        <w:t>此表应经法定代表人或授权委托人签名，并加盖公章。</w:t>
      </w: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二、报价表</w:t>
      </w:r>
    </w:p>
    <w:p>
      <w:pPr>
        <w:pStyle w:val="2"/>
        <w:ind w:left="0" w:leftChars="0" w:firstLine="0" w:firstLineChars="0"/>
        <w:jc w:val="center"/>
        <w:rPr>
          <w:rFonts w:eastAsiaTheme="minorEastAsia"/>
          <w:sz w:val="18"/>
          <w:szCs w:val="21"/>
        </w:rPr>
      </w:pPr>
      <w:r>
        <w:rPr>
          <w:rFonts w:hint="eastAsia" w:cs="仿宋" w:asciiTheme="minorEastAsia" w:hAnsiTheme="minorEastAsia" w:eastAsiaTheme="minorEastAsia"/>
          <w:sz w:val="24"/>
        </w:rPr>
        <w:t>（一）报价总表</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16"/>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2877"/>
        <w:gridCol w:w="503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4"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1688"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42" w:type="pct"/>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2957" w:type="pct"/>
            <w:vAlign w:val="center"/>
          </w:tcPr>
          <w:p>
            <w:pPr>
              <w:adjustRightInd w:val="0"/>
              <w:snapToGrid w:val="0"/>
              <w:spacing w:line="300" w:lineRule="auto"/>
              <w:jc w:val="center"/>
              <w:rPr>
                <w:rFonts w:asciiTheme="minorEastAsia" w:hAnsiTheme="minorEastAsia" w:eastAsiaTheme="minorEastAsia"/>
                <w:snapToGrid w:val="0"/>
                <w:kern w:val="0"/>
              </w:rPr>
            </w:pPr>
          </w:p>
        </w:tc>
      </w:tr>
    </w:tbl>
    <w:p>
      <w:pPr>
        <w:spacing w:line="360" w:lineRule="auto"/>
        <w:rPr>
          <w:rFonts w:cs="仿宋" w:asciiTheme="minorEastAsia" w:hAnsiTheme="minorEastAsia" w:eastAsiaTheme="minorEastAsia"/>
        </w:rPr>
      </w:pPr>
      <w:r>
        <w:rPr>
          <w:rFonts w:hint="eastAsia" w:cs="仿宋" w:asciiTheme="minorEastAsia" w:hAnsiTheme="minorEastAsia" w:eastAsiaTheme="minorEastAsia"/>
        </w:rPr>
        <w:t>注：1、本表格仅为指导性范本，供应商可根据项目具体情况对各分项内容进行调整。</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2、开标一览表中的投标总价应与本表中的报价合计金额一致。</w:t>
      </w:r>
    </w:p>
    <w:p>
      <w:pPr>
        <w:pStyle w:val="2"/>
        <w:rPr>
          <w:rFonts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投标供应商：（公章）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pStyle w:val="2"/>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16"/>
        <w:tblW w:w="4995"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468"/>
        <w:gridCol w:w="570"/>
        <w:gridCol w:w="684"/>
        <w:gridCol w:w="1141"/>
        <w:gridCol w:w="799"/>
        <w:gridCol w:w="524"/>
        <w:gridCol w:w="582"/>
        <w:gridCol w:w="570"/>
        <w:gridCol w:w="621"/>
        <w:gridCol w:w="10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316" w:type="pct"/>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862"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365" w:type="pct"/>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590" w:type="pct"/>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 w:type="pct"/>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862" w:type="pct"/>
            <w:vAlign w:val="center"/>
          </w:tcPr>
          <w:p>
            <w:pPr>
              <w:widowControl/>
              <w:spacing w:line="360" w:lineRule="auto"/>
              <w:jc w:val="center"/>
              <w:rPr>
                <w:rFonts w:cs="宋体" w:asciiTheme="minorEastAsia" w:hAnsiTheme="minorEastAsia" w:eastAsiaTheme="minorEastAsia"/>
                <w:kern w:val="0"/>
                <w:szCs w:val="21"/>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65" w:type="pct"/>
          </w:tcPr>
          <w:p>
            <w:pPr>
              <w:adjustRightInd w:val="0"/>
              <w:snapToGrid w:val="0"/>
              <w:spacing w:line="300" w:lineRule="auto"/>
              <w:jc w:val="center"/>
              <w:rPr>
                <w:rFonts w:asciiTheme="minorEastAsia" w:hAnsiTheme="minorEastAsia" w:eastAsiaTheme="minorEastAsia"/>
                <w:snapToGrid w:val="0"/>
                <w:kern w:val="0"/>
              </w:rPr>
            </w:pPr>
          </w:p>
        </w:tc>
        <w:tc>
          <w:tcPr>
            <w:tcW w:w="590" w:type="pct"/>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 w:type="pct"/>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862" w:type="pct"/>
            <w:vAlign w:val="center"/>
          </w:tcPr>
          <w:p>
            <w:pPr>
              <w:widowControl/>
              <w:spacing w:line="360" w:lineRule="auto"/>
              <w:jc w:val="center"/>
              <w:rPr>
                <w:rFonts w:cs="宋体" w:asciiTheme="minorEastAsia" w:hAnsiTheme="minorEastAsia" w:eastAsiaTheme="minorEastAsia"/>
                <w:kern w:val="0"/>
                <w:szCs w:val="21"/>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65" w:type="pct"/>
          </w:tcPr>
          <w:p>
            <w:pPr>
              <w:adjustRightInd w:val="0"/>
              <w:snapToGrid w:val="0"/>
              <w:spacing w:line="300" w:lineRule="auto"/>
              <w:jc w:val="center"/>
              <w:rPr>
                <w:rFonts w:asciiTheme="minorEastAsia" w:hAnsiTheme="minorEastAsia" w:eastAsiaTheme="minorEastAsia"/>
                <w:snapToGrid w:val="0"/>
                <w:kern w:val="0"/>
              </w:rPr>
            </w:pPr>
          </w:p>
        </w:tc>
        <w:tc>
          <w:tcPr>
            <w:tcW w:w="590" w:type="pct"/>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 w:type="pct"/>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862" w:type="pct"/>
            <w:vAlign w:val="center"/>
          </w:tcPr>
          <w:p>
            <w:pPr>
              <w:widowControl/>
              <w:spacing w:line="360" w:lineRule="auto"/>
              <w:jc w:val="center"/>
              <w:rPr>
                <w:rFonts w:cs="宋体" w:asciiTheme="minorEastAsia" w:hAnsiTheme="minorEastAsia" w:eastAsiaTheme="minorEastAsia"/>
                <w:kern w:val="0"/>
                <w:szCs w:val="21"/>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65" w:type="pct"/>
          </w:tcPr>
          <w:p>
            <w:pPr>
              <w:adjustRightInd w:val="0"/>
              <w:snapToGrid w:val="0"/>
              <w:spacing w:line="300" w:lineRule="auto"/>
              <w:jc w:val="center"/>
              <w:rPr>
                <w:rFonts w:asciiTheme="minorEastAsia" w:hAnsiTheme="minorEastAsia" w:eastAsiaTheme="minorEastAsia"/>
                <w:snapToGrid w:val="0"/>
                <w:kern w:val="0"/>
              </w:rPr>
            </w:pPr>
          </w:p>
        </w:tc>
        <w:tc>
          <w:tcPr>
            <w:tcW w:w="590" w:type="pct"/>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 w:type="pct"/>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862" w:type="pct"/>
            <w:vAlign w:val="center"/>
          </w:tcPr>
          <w:p>
            <w:pPr>
              <w:widowControl/>
              <w:spacing w:line="360" w:lineRule="auto"/>
              <w:jc w:val="center"/>
              <w:rPr>
                <w:rFonts w:cs="宋体" w:asciiTheme="minorEastAsia" w:hAnsiTheme="minorEastAsia" w:eastAsiaTheme="minorEastAsia"/>
                <w:kern w:val="0"/>
                <w:szCs w:val="21"/>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65" w:type="pct"/>
          </w:tcPr>
          <w:p>
            <w:pPr>
              <w:adjustRightInd w:val="0"/>
              <w:snapToGrid w:val="0"/>
              <w:spacing w:line="300" w:lineRule="auto"/>
              <w:jc w:val="center"/>
              <w:rPr>
                <w:rFonts w:asciiTheme="minorEastAsia" w:hAnsiTheme="minorEastAsia" w:eastAsiaTheme="minorEastAsia"/>
                <w:snapToGrid w:val="0"/>
                <w:kern w:val="0"/>
              </w:rPr>
            </w:pPr>
          </w:p>
        </w:tc>
        <w:tc>
          <w:tcPr>
            <w:tcW w:w="590" w:type="pct"/>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6" w:type="pct"/>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862" w:type="pct"/>
            <w:vAlign w:val="center"/>
          </w:tcPr>
          <w:p>
            <w:pPr>
              <w:widowControl/>
              <w:spacing w:line="360" w:lineRule="auto"/>
              <w:jc w:val="center"/>
              <w:rPr>
                <w:rFonts w:cs="宋体" w:asciiTheme="minorEastAsia" w:hAnsiTheme="minorEastAsia" w:eastAsiaTheme="minorEastAsia"/>
                <w:kern w:val="0"/>
                <w:szCs w:val="21"/>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0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670"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469"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08"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42"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35" w:type="pct"/>
            <w:vAlign w:val="center"/>
          </w:tcPr>
          <w:p>
            <w:pPr>
              <w:adjustRightInd w:val="0"/>
              <w:snapToGrid w:val="0"/>
              <w:spacing w:line="300" w:lineRule="auto"/>
              <w:jc w:val="center"/>
              <w:rPr>
                <w:rFonts w:asciiTheme="minorEastAsia" w:hAnsiTheme="minorEastAsia" w:eastAsiaTheme="minorEastAsia"/>
                <w:snapToGrid w:val="0"/>
                <w:kern w:val="0"/>
              </w:rPr>
            </w:pPr>
          </w:p>
        </w:tc>
        <w:tc>
          <w:tcPr>
            <w:tcW w:w="365" w:type="pct"/>
          </w:tcPr>
          <w:p>
            <w:pPr>
              <w:adjustRightInd w:val="0"/>
              <w:snapToGrid w:val="0"/>
              <w:spacing w:line="300" w:lineRule="auto"/>
              <w:jc w:val="center"/>
              <w:rPr>
                <w:rFonts w:asciiTheme="minorEastAsia" w:hAnsiTheme="minorEastAsia" w:eastAsiaTheme="minorEastAsia"/>
                <w:snapToGrid w:val="0"/>
                <w:kern w:val="0"/>
              </w:rPr>
            </w:pPr>
          </w:p>
        </w:tc>
        <w:tc>
          <w:tcPr>
            <w:tcW w:w="590" w:type="pct"/>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eastAsiaTheme="minorEastAsia"/>
          <w:bCs/>
          <w:szCs w:val="21"/>
        </w:rPr>
        <w:t>征集</w:t>
      </w:r>
      <w:r>
        <w:rPr>
          <w:rFonts w:hint="eastAsia" w:ascii="宋体" w:hAnsi="宋体" w:cs="Arial"/>
          <w:bCs/>
          <w:szCs w:val="21"/>
        </w:rPr>
        <w:t>文件第二部分《采购项目需求》中</w:t>
      </w:r>
      <w:r>
        <w:rPr>
          <w:rFonts w:hint="eastAsia" w:ascii="宋体" w:hAnsi="宋体" w:cs="Arial"/>
          <w:b/>
          <w:szCs w:val="21"/>
        </w:rPr>
        <w:t>“二、货物清单明细”</w:t>
      </w:r>
      <w:r>
        <w:rPr>
          <w:rFonts w:hint="eastAsia" w:ascii="宋体" w:hAnsi="宋体" w:cs="Arial"/>
          <w:bCs/>
          <w:szCs w:val="21"/>
        </w:rPr>
        <w:t>填写</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供应商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16"/>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16"/>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bCs/>
          <w:sz w:val="32"/>
          <w:szCs w:val="32"/>
        </w:rPr>
      </w:pPr>
      <w:r>
        <w:rPr>
          <w:rFonts w:hint="eastAsia" w:cs="仿宋" w:asciiTheme="minorEastAsia" w:hAnsiTheme="minorEastAsia" w:eastAsiaTheme="minorEastAsia"/>
          <w:b/>
          <w:sz w:val="32"/>
          <w:szCs w:val="32"/>
        </w:rPr>
        <w:t xml:space="preserve">格式6  </w:t>
      </w:r>
      <w:r>
        <w:rPr>
          <w:rFonts w:hint="eastAsia" w:cs="仿宋" w:asciiTheme="minorEastAsia" w:hAnsiTheme="minorEastAsia" w:eastAsiaTheme="minorEastAsia"/>
          <w:b/>
          <w:bCs/>
          <w:sz w:val="32"/>
          <w:szCs w:val="32"/>
        </w:rPr>
        <w:t>技术规格</w:t>
      </w:r>
    </w:p>
    <w:p>
      <w:pPr>
        <w:rPr>
          <w:rFonts w:cs="仿宋" w:asciiTheme="minorEastAsia" w:hAnsiTheme="minorEastAsia" w:eastAsiaTheme="minorEastAsia"/>
          <w:highlight w:val="yellow"/>
        </w:rPr>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rPr>
          <w:rFonts w:cs="仿宋" w:asciiTheme="minorEastAsia" w:hAnsiTheme="minorEastAsia" w:eastAsiaTheme="minorEastAsia"/>
          <w:highlight w:val="yellow"/>
        </w:rPr>
      </w:pPr>
    </w:p>
    <w:p>
      <w:pPr>
        <w:widowControl/>
        <w:jc w:val="left"/>
        <w:rPr>
          <w:rFonts w:cs="仿宋" w:asciiTheme="minorEastAsia" w:hAnsiTheme="minorEastAsia" w:eastAsiaTheme="minorEastAsia"/>
        </w:rPr>
      </w:pPr>
      <w:r>
        <w:rPr>
          <w:rFonts w:cs="仿宋" w:asciiTheme="minorEastAsia" w:hAnsiTheme="minorEastAsia" w:eastAsiaTheme="minorEastAsia"/>
        </w:rPr>
        <w:br w:type="page"/>
      </w:r>
    </w:p>
    <w:p>
      <w:pPr>
        <w:widowControl/>
        <w:jc w:val="left"/>
        <w:rPr>
          <w:rFonts w:cs="仿宋" w:asciiTheme="minorEastAsia" w:hAnsiTheme="minorEastAsia" w:eastAsiaTheme="minorEastAsia"/>
        </w:rPr>
      </w:pPr>
    </w:p>
    <w:p>
      <w:pPr>
        <w:tabs>
          <w:tab w:val="left" w:pos="170"/>
        </w:tabs>
        <w:autoSpaceDE w:val="0"/>
        <w:autoSpaceDN w:val="0"/>
        <w:adjustRightInd w:val="0"/>
        <w:spacing w:line="360" w:lineRule="auto"/>
        <w:ind w:firstLine="321" w:firstLineChars="100"/>
        <w:jc w:val="center"/>
        <w:rPr>
          <w:rFonts w:cs="仿宋" w:asciiTheme="minorEastAsia" w:hAnsiTheme="minorEastAsia" w:eastAsiaTheme="minorEastAsia"/>
        </w:rPr>
      </w:pPr>
      <w:r>
        <w:rPr>
          <w:rFonts w:hint="eastAsia" w:cs="仿宋" w:asciiTheme="minorEastAsia" w:hAnsiTheme="minorEastAsia" w:eastAsiaTheme="minorEastAsia"/>
          <w:b/>
          <w:sz w:val="32"/>
          <w:szCs w:val="32"/>
        </w:rPr>
        <w:t xml:space="preserve">格式7  </w:t>
      </w:r>
      <w:r>
        <w:rPr>
          <w:rFonts w:hint="eastAsia" w:cs="仿宋" w:asciiTheme="minorEastAsia" w:hAnsiTheme="minorEastAsia" w:eastAsiaTheme="minorEastAsia"/>
          <w:b/>
          <w:bCs/>
          <w:sz w:val="32"/>
          <w:szCs w:val="32"/>
        </w:rPr>
        <w:t>交付进度</w:t>
      </w:r>
    </w:p>
    <w:p>
      <w:pPr>
        <w:rPr>
          <w:rFonts w:cs="仿宋" w:asciiTheme="minorEastAsia" w:hAnsiTheme="minorEastAsia" w:eastAsiaTheme="minorEastAsia"/>
        </w:rPr>
      </w:pPr>
    </w:p>
    <w:p>
      <w:pPr>
        <w:jc w:val="center"/>
      </w:pPr>
      <w:r>
        <w:t>货物交付进度表</w:t>
      </w:r>
    </w:p>
    <w:p/>
    <w:tbl>
      <w:tblPr>
        <w:tblStyle w:val="1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r>
              <w:rPr>
                <w:kern w:val="0"/>
                <w:sz w:val="18"/>
              </w:rPr>
              <w:t>序号</w:t>
            </w:r>
          </w:p>
        </w:tc>
        <w:tc>
          <w:tcPr>
            <w:tcW w:w="2520" w:type="dxa"/>
          </w:tcPr>
          <w:p>
            <w:pPr>
              <w:autoSpaceDE w:val="0"/>
              <w:autoSpaceDN w:val="0"/>
              <w:adjustRightInd w:val="0"/>
              <w:spacing w:before="120" w:after="120" w:line="240" w:lineRule="atLeast"/>
              <w:ind w:left="15" w:right="28"/>
              <w:jc w:val="center"/>
              <w:rPr>
                <w:kern w:val="0"/>
                <w:sz w:val="18"/>
              </w:rPr>
            </w:pPr>
            <w:r>
              <w:rPr>
                <w:kern w:val="0"/>
                <w:sz w:val="18"/>
              </w:rPr>
              <w:t>名    称</w:t>
            </w:r>
          </w:p>
        </w:tc>
        <w:tc>
          <w:tcPr>
            <w:tcW w:w="735" w:type="dxa"/>
          </w:tcPr>
          <w:p>
            <w:pPr>
              <w:autoSpaceDE w:val="0"/>
              <w:autoSpaceDN w:val="0"/>
              <w:adjustRightInd w:val="0"/>
              <w:spacing w:before="120" w:after="120" w:line="240" w:lineRule="atLeast"/>
              <w:ind w:left="15" w:right="28"/>
              <w:jc w:val="center"/>
              <w:rPr>
                <w:kern w:val="0"/>
                <w:sz w:val="18"/>
              </w:rPr>
            </w:pPr>
            <w:r>
              <w:rPr>
                <w:kern w:val="0"/>
                <w:sz w:val="18"/>
              </w:rPr>
              <w:t>单位</w:t>
            </w:r>
          </w:p>
        </w:tc>
        <w:tc>
          <w:tcPr>
            <w:tcW w:w="735" w:type="dxa"/>
          </w:tcPr>
          <w:p>
            <w:pPr>
              <w:autoSpaceDE w:val="0"/>
              <w:autoSpaceDN w:val="0"/>
              <w:adjustRightInd w:val="0"/>
              <w:spacing w:before="120" w:after="120" w:line="240" w:lineRule="atLeast"/>
              <w:ind w:left="15" w:right="28"/>
              <w:jc w:val="center"/>
              <w:rPr>
                <w:kern w:val="0"/>
                <w:sz w:val="18"/>
              </w:rPr>
            </w:pPr>
            <w:r>
              <w:rPr>
                <w:kern w:val="0"/>
                <w:sz w:val="18"/>
              </w:rPr>
              <w:t>数量</w:t>
            </w:r>
          </w:p>
        </w:tc>
        <w:tc>
          <w:tcPr>
            <w:tcW w:w="1500" w:type="dxa"/>
          </w:tcPr>
          <w:p>
            <w:pPr>
              <w:autoSpaceDE w:val="0"/>
              <w:autoSpaceDN w:val="0"/>
              <w:adjustRightInd w:val="0"/>
              <w:spacing w:before="120" w:after="120" w:line="240" w:lineRule="atLeast"/>
              <w:ind w:left="15" w:right="28"/>
              <w:jc w:val="center"/>
              <w:rPr>
                <w:kern w:val="0"/>
                <w:sz w:val="18"/>
              </w:rPr>
            </w:pPr>
            <w:r>
              <w:rPr>
                <w:kern w:val="0"/>
                <w:sz w:val="18"/>
              </w:rPr>
              <w:t>日期</w:t>
            </w:r>
          </w:p>
        </w:tc>
        <w:tc>
          <w:tcPr>
            <w:tcW w:w="1530" w:type="dxa"/>
          </w:tcPr>
          <w:p>
            <w:pPr>
              <w:autoSpaceDE w:val="0"/>
              <w:autoSpaceDN w:val="0"/>
              <w:adjustRightInd w:val="0"/>
              <w:spacing w:before="120" w:after="120" w:line="240" w:lineRule="atLeast"/>
              <w:ind w:left="15" w:right="28"/>
              <w:jc w:val="center"/>
              <w:rPr>
                <w:kern w:val="0"/>
                <w:sz w:val="18"/>
              </w:rPr>
            </w:pPr>
            <w:r>
              <w:rPr>
                <w:kern w:val="0"/>
                <w:sz w:val="18"/>
              </w:rPr>
              <w:t>交付地点</w:t>
            </w:r>
          </w:p>
        </w:tc>
        <w:tc>
          <w:tcPr>
            <w:tcW w:w="1530" w:type="dxa"/>
          </w:tcPr>
          <w:p>
            <w:pPr>
              <w:autoSpaceDE w:val="0"/>
              <w:autoSpaceDN w:val="0"/>
              <w:adjustRightInd w:val="0"/>
              <w:spacing w:before="120" w:after="120" w:line="240" w:lineRule="atLeast"/>
              <w:ind w:left="15" w:right="28"/>
              <w:jc w:val="center"/>
              <w:rPr>
                <w:kern w:val="0"/>
                <w:sz w:val="18"/>
              </w:rPr>
            </w:pPr>
            <w:r>
              <w:rPr>
                <w:kern w:val="0"/>
                <w:sz w:val="18"/>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p>
        </w:tc>
        <w:tc>
          <w:tcPr>
            <w:tcW w:w="2520"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1500" w:type="dxa"/>
          </w:tcPr>
          <w:p>
            <w:pPr>
              <w:autoSpaceDE w:val="0"/>
              <w:autoSpaceDN w:val="0"/>
              <w:adjustRightInd w:val="0"/>
              <w:spacing w:before="120" w:after="120" w:line="240" w:lineRule="atLeast"/>
              <w:ind w:left="15" w:right="28"/>
              <w:jc w:val="center"/>
              <w:rPr>
                <w:kern w:val="0"/>
                <w:sz w:val="18"/>
              </w:rPr>
            </w:pPr>
          </w:p>
        </w:tc>
        <w:tc>
          <w:tcPr>
            <w:tcW w:w="1530" w:type="dxa"/>
          </w:tcPr>
          <w:p>
            <w:pPr>
              <w:autoSpaceDE w:val="0"/>
              <w:autoSpaceDN w:val="0"/>
              <w:adjustRightInd w:val="0"/>
              <w:spacing w:before="120" w:after="120" w:line="240" w:lineRule="atLeast"/>
              <w:ind w:left="15" w:right="28"/>
              <w:jc w:val="center"/>
              <w:rPr>
                <w:kern w:val="0"/>
                <w:sz w:val="18"/>
              </w:rPr>
            </w:pPr>
          </w:p>
        </w:tc>
        <w:tc>
          <w:tcPr>
            <w:tcW w:w="1530" w:type="dxa"/>
          </w:tcPr>
          <w:p>
            <w:pPr>
              <w:autoSpaceDE w:val="0"/>
              <w:autoSpaceDN w:val="0"/>
              <w:adjustRightInd w:val="0"/>
              <w:spacing w:before="120" w:after="120" w:line="240" w:lineRule="atLeast"/>
              <w:ind w:left="15" w:right="28"/>
              <w:jc w:val="center"/>
              <w:rPr>
                <w:kern w:val="0"/>
                <w:sz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p>
        </w:tc>
        <w:tc>
          <w:tcPr>
            <w:tcW w:w="2520"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1500" w:type="dxa"/>
          </w:tcPr>
          <w:p>
            <w:pPr>
              <w:autoSpaceDE w:val="0"/>
              <w:autoSpaceDN w:val="0"/>
              <w:adjustRightInd w:val="0"/>
              <w:spacing w:before="120" w:after="120" w:line="240" w:lineRule="atLeast"/>
              <w:ind w:left="15" w:right="28"/>
              <w:jc w:val="center"/>
              <w:rPr>
                <w:kern w:val="0"/>
                <w:sz w:val="18"/>
              </w:rPr>
            </w:pPr>
          </w:p>
        </w:tc>
        <w:tc>
          <w:tcPr>
            <w:tcW w:w="1530" w:type="dxa"/>
          </w:tcPr>
          <w:p>
            <w:pPr>
              <w:autoSpaceDE w:val="0"/>
              <w:autoSpaceDN w:val="0"/>
              <w:adjustRightInd w:val="0"/>
              <w:spacing w:before="120" w:after="120" w:line="240" w:lineRule="atLeast"/>
              <w:ind w:left="15" w:right="28"/>
              <w:jc w:val="center"/>
              <w:rPr>
                <w:kern w:val="0"/>
                <w:sz w:val="18"/>
              </w:rPr>
            </w:pPr>
          </w:p>
        </w:tc>
        <w:tc>
          <w:tcPr>
            <w:tcW w:w="1530" w:type="dxa"/>
          </w:tcPr>
          <w:p>
            <w:pPr>
              <w:autoSpaceDE w:val="0"/>
              <w:autoSpaceDN w:val="0"/>
              <w:adjustRightInd w:val="0"/>
              <w:spacing w:before="120" w:after="120" w:line="240" w:lineRule="atLeast"/>
              <w:ind w:left="15" w:right="28"/>
              <w:jc w:val="center"/>
              <w:rPr>
                <w:kern w:val="0"/>
                <w:sz w:val="18"/>
              </w:rPr>
            </w:pPr>
          </w:p>
        </w:tc>
      </w:tr>
    </w:tbl>
    <w:p/>
    <w:p/>
    <w:p>
      <w:pPr>
        <w:jc w:val="center"/>
      </w:pPr>
      <w:r>
        <w:t>安装调试进度表</w:t>
      </w:r>
    </w:p>
    <w:p>
      <w:pPr>
        <w:jc w:val="center"/>
      </w:pPr>
    </w:p>
    <w:tbl>
      <w:tblPr>
        <w:tblStyle w:val="1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r>
              <w:rPr>
                <w:kern w:val="0"/>
                <w:sz w:val="18"/>
              </w:rPr>
              <w:t>序号</w:t>
            </w:r>
          </w:p>
        </w:tc>
        <w:tc>
          <w:tcPr>
            <w:tcW w:w="2520" w:type="dxa"/>
          </w:tcPr>
          <w:p>
            <w:pPr>
              <w:autoSpaceDE w:val="0"/>
              <w:autoSpaceDN w:val="0"/>
              <w:adjustRightInd w:val="0"/>
              <w:spacing w:before="120" w:after="120" w:line="240" w:lineRule="atLeast"/>
              <w:ind w:left="15" w:right="28"/>
              <w:jc w:val="center"/>
              <w:rPr>
                <w:kern w:val="0"/>
                <w:sz w:val="18"/>
              </w:rPr>
            </w:pPr>
            <w:r>
              <w:rPr>
                <w:kern w:val="0"/>
                <w:sz w:val="18"/>
              </w:rPr>
              <w:t>名    称</w:t>
            </w:r>
          </w:p>
        </w:tc>
        <w:tc>
          <w:tcPr>
            <w:tcW w:w="735" w:type="dxa"/>
          </w:tcPr>
          <w:p>
            <w:pPr>
              <w:autoSpaceDE w:val="0"/>
              <w:autoSpaceDN w:val="0"/>
              <w:adjustRightInd w:val="0"/>
              <w:spacing w:before="120" w:after="120" w:line="240" w:lineRule="atLeast"/>
              <w:ind w:left="15" w:right="28"/>
              <w:jc w:val="center"/>
              <w:rPr>
                <w:kern w:val="0"/>
                <w:sz w:val="18"/>
              </w:rPr>
            </w:pPr>
            <w:r>
              <w:rPr>
                <w:kern w:val="0"/>
                <w:sz w:val="18"/>
              </w:rPr>
              <w:t>单位</w:t>
            </w:r>
          </w:p>
        </w:tc>
        <w:tc>
          <w:tcPr>
            <w:tcW w:w="735" w:type="dxa"/>
          </w:tcPr>
          <w:p>
            <w:pPr>
              <w:autoSpaceDE w:val="0"/>
              <w:autoSpaceDN w:val="0"/>
              <w:adjustRightInd w:val="0"/>
              <w:spacing w:before="120" w:after="120" w:line="240" w:lineRule="atLeast"/>
              <w:ind w:left="15" w:right="28"/>
              <w:jc w:val="center"/>
              <w:rPr>
                <w:kern w:val="0"/>
                <w:sz w:val="18"/>
              </w:rPr>
            </w:pPr>
            <w:r>
              <w:rPr>
                <w:kern w:val="0"/>
                <w:sz w:val="18"/>
              </w:rPr>
              <w:t>数量</w:t>
            </w:r>
          </w:p>
        </w:tc>
        <w:tc>
          <w:tcPr>
            <w:tcW w:w="1500" w:type="dxa"/>
          </w:tcPr>
          <w:p>
            <w:pPr>
              <w:autoSpaceDE w:val="0"/>
              <w:autoSpaceDN w:val="0"/>
              <w:adjustRightInd w:val="0"/>
              <w:spacing w:before="120" w:after="120" w:line="240" w:lineRule="atLeast"/>
              <w:ind w:left="15" w:right="28"/>
              <w:jc w:val="center"/>
              <w:rPr>
                <w:kern w:val="0"/>
                <w:sz w:val="18"/>
              </w:rPr>
            </w:pPr>
            <w:r>
              <w:rPr>
                <w:kern w:val="0"/>
                <w:sz w:val="18"/>
              </w:rPr>
              <w:t>日期</w:t>
            </w:r>
          </w:p>
        </w:tc>
        <w:tc>
          <w:tcPr>
            <w:tcW w:w="1851" w:type="dxa"/>
          </w:tcPr>
          <w:p>
            <w:pPr>
              <w:autoSpaceDE w:val="0"/>
              <w:autoSpaceDN w:val="0"/>
              <w:adjustRightInd w:val="0"/>
              <w:spacing w:before="120" w:after="120" w:line="240" w:lineRule="atLeast"/>
              <w:ind w:left="15" w:right="28"/>
              <w:jc w:val="center"/>
              <w:rPr>
                <w:kern w:val="0"/>
                <w:sz w:val="18"/>
              </w:rPr>
            </w:pPr>
            <w:r>
              <w:rPr>
                <w:kern w:val="0"/>
                <w:sz w:val="18"/>
              </w:rPr>
              <w:t>安装调试地点</w:t>
            </w:r>
          </w:p>
        </w:tc>
        <w:tc>
          <w:tcPr>
            <w:tcW w:w="1209" w:type="dxa"/>
          </w:tcPr>
          <w:p>
            <w:pPr>
              <w:autoSpaceDE w:val="0"/>
              <w:autoSpaceDN w:val="0"/>
              <w:adjustRightInd w:val="0"/>
              <w:spacing w:before="120" w:after="120" w:line="240" w:lineRule="atLeast"/>
              <w:ind w:left="15" w:right="28"/>
              <w:jc w:val="center"/>
              <w:rPr>
                <w:kern w:val="0"/>
                <w:sz w:val="18"/>
              </w:rPr>
            </w:pPr>
            <w:r>
              <w:rPr>
                <w:kern w:val="0"/>
                <w:sz w:val="18"/>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p>
        </w:tc>
        <w:tc>
          <w:tcPr>
            <w:tcW w:w="2520"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1500" w:type="dxa"/>
          </w:tcPr>
          <w:p>
            <w:pPr>
              <w:autoSpaceDE w:val="0"/>
              <w:autoSpaceDN w:val="0"/>
              <w:adjustRightInd w:val="0"/>
              <w:spacing w:before="120" w:after="120" w:line="240" w:lineRule="atLeast"/>
              <w:ind w:left="15" w:right="28"/>
              <w:jc w:val="center"/>
              <w:rPr>
                <w:kern w:val="0"/>
                <w:sz w:val="18"/>
              </w:rPr>
            </w:pPr>
          </w:p>
        </w:tc>
        <w:tc>
          <w:tcPr>
            <w:tcW w:w="1851" w:type="dxa"/>
          </w:tcPr>
          <w:p>
            <w:pPr>
              <w:autoSpaceDE w:val="0"/>
              <w:autoSpaceDN w:val="0"/>
              <w:adjustRightInd w:val="0"/>
              <w:spacing w:before="120" w:after="120" w:line="240" w:lineRule="atLeast"/>
              <w:ind w:left="15" w:right="28"/>
              <w:jc w:val="center"/>
              <w:rPr>
                <w:kern w:val="0"/>
                <w:sz w:val="18"/>
              </w:rPr>
            </w:pPr>
          </w:p>
        </w:tc>
        <w:tc>
          <w:tcPr>
            <w:tcW w:w="1209" w:type="dxa"/>
          </w:tcPr>
          <w:p>
            <w:pPr>
              <w:autoSpaceDE w:val="0"/>
              <w:autoSpaceDN w:val="0"/>
              <w:adjustRightInd w:val="0"/>
              <w:spacing w:before="120" w:after="120" w:line="240" w:lineRule="atLeast"/>
              <w:ind w:left="15" w:right="28"/>
              <w:jc w:val="center"/>
              <w:rPr>
                <w:kern w:val="0"/>
                <w:sz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rPr>
            </w:pPr>
          </w:p>
        </w:tc>
        <w:tc>
          <w:tcPr>
            <w:tcW w:w="2520"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735" w:type="dxa"/>
          </w:tcPr>
          <w:p>
            <w:pPr>
              <w:autoSpaceDE w:val="0"/>
              <w:autoSpaceDN w:val="0"/>
              <w:adjustRightInd w:val="0"/>
              <w:spacing w:before="120" w:after="120" w:line="240" w:lineRule="atLeast"/>
              <w:ind w:left="15" w:right="28"/>
              <w:jc w:val="center"/>
              <w:rPr>
                <w:kern w:val="0"/>
                <w:sz w:val="18"/>
              </w:rPr>
            </w:pPr>
          </w:p>
        </w:tc>
        <w:tc>
          <w:tcPr>
            <w:tcW w:w="1500" w:type="dxa"/>
          </w:tcPr>
          <w:p>
            <w:pPr>
              <w:autoSpaceDE w:val="0"/>
              <w:autoSpaceDN w:val="0"/>
              <w:adjustRightInd w:val="0"/>
              <w:spacing w:before="120" w:after="120" w:line="240" w:lineRule="atLeast"/>
              <w:ind w:left="15" w:right="28"/>
              <w:jc w:val="center"/>
              <w:rPr>
                <w:kern w:val="0"/>
                <w:sz w:val="18"/>
              </w:rPr>
            </w:pPr>
          </w:p>
        </w:tc>
        <w:tc>
          <w:tcPr>
            <w:tcW w:w="1851" w:type="dxa"/>
          </w:tcPr>
          <w:p>
            <w:pPr>
              <w:autoSpaceDE w:val="0"/>
              <w:autoSpaceDN w:val="0"/>
              <w:adjustRightInd w:val="0"/>
              <w:spacing w:before="120" w:after="120" w:line="240" w:lineRule="atLeast"/>
              <w:ind w:left="15" w:right="28"/>
              <w:jc w:val="center"/>
              <w:rPr>
                <w:kern w:val="0"/>
                <w:sz w:val="18"/>
              </w:rPr>
            </w:pPr>
          </w:p>
        </w:tc>
        <w:tc>
          <w:tcPr>
            <w:tcW w:w="1209" w:type="dxa"/>
          </w:tcPr>
          <w:p>
            <w:pPr>
              <w:autoSpaceDE w:val="0"/>
              <w:autoSpaceDN w:val="0"/>
              <w:adjustRightInd w:val="0"/>
              <w:spacing w:before="120" w:after="120" w:line="240" w:lineRule="atLeast"/>
              <w:ind w:left="15" w:right="28"/>
              <w:jc w:val="center"/>
              <w:rPr>
                <w:kern w:val="0"/>
                <w:sz w:val="18"/>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5880" w:firstLineChars="2800"/>
        <w:rPr>
          <w:snapToGrid w:val="0"/>
          <w:kern w:val="0"/>
        </w:rPr>
      </w:pPr>
      <w:r>
        <w:rPr>
          <w:rFonts w:hint="eastAsia"/>
          <w:snapToGrid w:val="0"/>
          <w:kern w:val="0"/>
        </w:rPr>
        <w:t>年       月      日</w:t>
      </w:r>
    </w:p>
    <w:p>
      <w:pPr>
        <w:pStyle w:val="6"/>
        <w:spacing w:before="0"/>
        <w:rPr>
          <w:rFonts w:ascii="宋体" w:hAnsi="宋体"/>
          <w:sz w:val="28"/>
        </w:rPr>
      </w:pPr>
    </w:p>
    <w:p>
      <w:pPr>
        <w:rPr>
          <w:rFonts w:cs="仿宋" w:asciiTheme="minorEastAsia" w:hAnsiTheme="minorEastAsia" w:eastAsiaTheme="minorEastAsia"/>
          <w:b/>
          <w:sz w:val="28"/>
          <w:szCs w:val="32"/>
        </w:rPr>
      </w:pPr>
      <w:r>
        <w:rPr>
          <w:rFonts w:hint="eastAsia" w:cs="仿宋" w:asciiTheme="minorEastAsia" w:hAnsiTheme="minorEastAsia" w:eastAsiaTheme="minorEastAsia"/>
          <w:b/>
          <w:sz w:val="28"/>
          <w:szCs w:val="32"/>
        </w:rPr>
        <w:br w:type="page"/>
      </w:r>
    </w:p>
    <w:p>
      <w:pPr>
        <w:jc w:val="center"/>
        <w:rPr>
          <w:rFonts w:cs="仿宋" w:asciiTheme="minorEastAsia" w:hAnsiTheme="minorEastAsia" w:eastAsiaTheme="minorEastAsia"/>
          <w:b/>
          <w:sz w:val="28"/>
          <w:szCs w:val="32"/>
        </w:rPr>
      </w:pPr>
      <w:r>
        <w:rPr>
          <w:rFonts w:hint="eastAsia" w:cs="仿宋" w:asciiTheme="minorEastAsia" w:hAnsiTheme="minorEastAsia" w:eastAsiaTheme="minorEastAsia"/>
          <w:b/>
          <w:sz w:val="28"/>
          <w:szCs w:val="32"/>
        </w:rPr>
        <w:t>格式8  售后服务和质量承诺</w:t>
      </w:r>
    </w:p>
    <w:p>
      <w:pPr>
        <w:pStyle w:val="2"/>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pStyle w:val="2"/>
      </w:pPr>
    </w:p>
    <w:p>
      <w:pPr>
        <w:rPr>
          <w:rFonts w:cs="仿宋" w:asciiTheme="minorEastAsia" w:hAnsiTheme="minorEastAsia" w:eastAsiaTheme="minorEastAsia"/>
          <w:b/>
          <w:bCs/>
          <w:sz w:val="28"/>
          <w:szCs w:val="32"/>
        </w:rPr>
      </w:pPr>
      <w:r>
        <w:rPr>
          <w:rFonts w:hint="eastAsia" w:cs="仿宋" w:asciiTheme="minorEastAsia" w:hAnsiTheme="minorEastAsia" w:eastAsiaTheme="minorEastAsia"/>
          <w:b/>
          <w:bCs/>
          <w:sz w:val="28"/>
          <w:szCs w:val="32"/>
        </w:rPr>
        <w:br w:type="page"/>
      </w:r>
    </w:p>
    <w:p>
      <w:pPr>
        <w:jc w:val="center"/>
        <w:rPr>
          <w:rFonts w:cs="仿宋" w:asciiTheme="minorEastAsia" w:hAnsiTheme="minorEastAsia" w:eastAsiaTheme="minorEastAsia"/>
          <w:b/>
          <w:bCs/>
          <w:sz w:val="28"/>
          <w:szCs w:val="32"/>
        </w:rPr>
      </w:pPr>
      <w:r>
        <w:rPr>
          <w:rFonts w:hint="eastAsia" w:cs="仿宋" w:asciiTheme="minorEastAsia" w:hAnsiTheme="minorEastAsia" w:eastAsiaTheme="minorEastAsia"/>
          <w:b/>
          <w:bCs/>
          <w:sz w:val="28"/>
          <w:szCs w:val="32"/>
        </w:rPr>
        <w:t>格式9 偏离表</w:t>
      </w:r>
    </w:p>
    <w:p>
      <w:pPr>
        <w:snapToGrid w:val="0"/>
        <w:spacing w:line="360" w:lineRule="auto"/>
        <w:jc w:val="center"/>
        <w:rPr>
          <w:b/>
        </w:rPr>
      </w:pPr>
      <w:r>
        <w:rPr>
          <w:rFonts w:hint="eastAsia"/>
          <w:b/>
        </w:rPr>
        <w:t>技术规格偏离表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204"/>
        <w:gridCol w:w="1942"/>
        <w:gridCol w:w="1613"/>
        <w:gridCol w:w="1083"/>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22" w:type="pct"/>
            <w:vAlign w:val="center"/>
          </w:tcPr>
          <w:p>
            <w:pPr>
              <w:spacing w:line="360" w:lineRule="auto"/>
              <w:jc w:val="center"/>
              <w:rPr>
                <w:rFonts w:ascii="宋体" w:hAnsi="宋体"/>
                <w:szCs w:val="21"/>
              </w:rPr>
            </w:pPr>
            <w:r>
              <w:rPr>
                <w:rFonts w:hint="eastAsia" w:ascii="宋体" w:hAnsi="宋体"/>
                <w:szCs w:val="21"/>
              </w:rPr>
              <w:t>序号</w:t>
            </w:r>
          </w:p>
        </w:tc>
        <w:tc>
          <w:tcPr>
            <w:tcW w:w="706" w:type="pct"/>
            <w:vAlign w:val="center"/>
          </w:tcPr>
          <w:p>
            <w:pPr>
              <w:spacing w:line="360" w:lineRule="auto"/>
              <w:jc w:val="center"/>
              <w:rPr>
                <w:rFonts w:ascii="宋体" w:hAnsi="宋体"/>
                <w:szCs w:val="21"/>
              </w:rPr>
            </w:pPr>
            <w:r>
              <w:rPr>
                <w:rFonts w:hint="eastAsia" w:ascii="宋体" w:hAnsi="宋体"/>
                <w:szCs w:val="21"/>
              </w:rPr>
              <w:t>货物名称</w:t>
            </w:r>
          </w:p>
        </w:tc>
        <w:tc>
          <w:tcPr>
            <w:tcW w:w="1139" w:type="pct"/>
            <w:vAlign w:val="center"/>
          </w:tcPr>
          <w:p>
            <w:pPr>
              <w:spacing w:line="360" w:lineRule="auto"/>
              <w:jc w:val="center"/>
              <w:rPr>
                <w:rFonts w:ascii="宋体" w:hAnsi="宋体"/>
                <w:szCs w:val="21"/>
              </w:rPr>
            </w:pPr>
            <w:r>
              <w:rPr>
                <w:rFonts w:hint="eastAsia" w:ascii="宋体" w:hAnsi="宋体"/>
                <w:szCs w:val="21"/>
              </w:rPr>
              <w:t>征集技术要求</w:t>
            </w:r>
          </w:p>
        </w:tc>
        <w:tc>
          <w:tcPr>
            <w:tcW w:w="946" w:type="pct"/>
            <w:vAlign w:val="center"/>
          </w:tcPr>
          <w:p>
            <w:pPr>
              <w:spacing w:line="360" w:lineRule="auto"/>
              <w:jc w:val="center"/>
              <w:rPr>
                <w:rFonts w:ascii="宋体" w:hAnsi="宋体"/>
                <w:szCs w:val="21"/>
              </w:rPr>
            </w:pPr>
            <w:r>
              <w:rPr>
                <w:rFonts w:hint="eastAsia" w:ascii="宋体" w:hAnsi="宋体"/>
                <w:szCs w:val="21"/>
              </w:rPr>
              <w:t>投标技术响应</w:t>
            </w:r>
          </w:p>
        </w:tc>
        <w:tc>
          <w:tcPr>
            <w:tcW w:w="635" w:type="pct"/>
            <w:vAlign w:val="center"/>
          </w:tcPr>
          <w:p>
            <w:pPr>
              <w:spacing w:line="360" w:lineRule="auto"/>
              <w:jc w:val="center"/>
              <w:rPr>
                <w:rFonts w:ascii="宋体" w:hAnsi="宋体"/>
                <w:szCs w:val="21"/>
              </w:rPr>
            </w:pPr>
            <w:r>
              <w:rPr>
                <w:rFonts w:hint="eastAsia" w:ascii="宋体" w:hAnsi="宋体"/>
                <w:szCs w:val="21"/>
              </w:rPr>
              <w:t>偏离情况</w:t>
            </w:r>
          </w:p>
        </w:tc>
        <w:tc>
          <w:tcPr>
            <w:tcW w:w="1148" w:type="pct"/>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22" w:type="pct"/>
            <w:vAlign w:val="center"/>
          </w:tcPr>
          <w:p>
            <w:pPr>
              <w:spacing w:line="360" w:lineRule="auto"/>
              <w:jc w:val="center"/>
              <w:rPr>
                <w:rFonts w:ascii="宋体" w:hAnsi="宋体"/>
                <w:szCs w:val="21"/>
              </w:rPr>
            </w:pPr>
          </w:p>
        </w:tc>
        <w:tc>
          <w:tcPr>
            <w:tcW w:w="706" w:type="pct"/>
            <w:vAlign w:val="center"/>
          </w:tcPr>
          <w:p>
            <w:pPr>
              <w:spacing w:line="360" w:lineRule="auto"/>
              <w:jc w:val="center"/>
              <w:rPr>
                <w:rFonts w:ascii="宋体" w:hAnsi="宋体"/>
                <w:szCs w:val="21"/>
              </w:rPr>
            </w:pPr>
          </w:p>
        </w:tc>
        <w:tc>
          <w:tcPr>
            <w:tcW w:w="1139" w:type="pct"/>
            <w:vAlign w:val="center"/>
          </w:tcPr>
          <w:p>
            <w:pPr>
              <w:spacing w:line="360" w:lineRule="auto"/>
              <w:jc w:val="center"/>
              <w:rPr>
                <w:rFonts w:ascii="宋体" w:hAnsi="宋体"/>
                <w:szCs w:val="21"/>
              </w:rPr>
            </w:pPr>
          </w:p>
        </w:tc>
        <w:tc>
          <w:tcPr>
            <w:tcW w:w="946" w:type="pct"/>
            <w:vAlign w:val="center"/>
          </w:tcPr>
          <w:p>
            <w:pPr>
              <w:spacing w:line="360" w:lineRule="auto"/>
              <w:jc w:val="center"/>
              <w:rPr>
                <w:rFonts w:ascii="宋体" w:hAnsi="宋体"/>
                <w:szCs w:val="21"/>
              </w:rPr>
            </w:pPr>
          </w:p>
        </w:tc>
        <w:tc>
          <w:tcPr>
            <w:tcW w:w="635" w:type="pct"/>
            <w:vAlign w:val="center"/>
          </w:tcPr>
          <w:p>
            <w:pPr>
              <w:spacing w:line="360" w:lineRule="auto"/>
              <w:jc w:val="center"/>
              <w:rPr>
                <w:rFonts w:ascii="宋体" w:hAnsi="宋体"/>
                <w:szCs w:val="21"/>
              </w:rPr>
            </w:pPr>
          </w:p>
        </w:tc>
        <w:tc>
          <w:tcPr>
            <w:tcW w:w="1148" w:type="pct"/>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22" w:type="pct"/>
            <w:vAlign w:val="center"/>
          </w:tcPr>
          <w:p>
            <w:pPr>
              <w:spacing w:line="360" w:lineRule="auto"/>
              <w:jc w:val="center"/>
              <w:rPr>
                <w:rFonts w:ascii="宋体" w:hAnsi="宋体"/>
                <w:szCs w:val="21"/>
              </w:rPr>
            </w:pPr>
          </w:p>
        </w:tc>
        <w:tc>
          <w:tcPr>
            <w:tcW w:w="706" w:type="pct"/>
            <w:vAlign w:val="center"/>
          </w:tcPr>
          <w:p>
            <w:pPr>
              <w:spacing w:line="360" w:lineRule="auto"/>
              <w:jc w:val="center"/>
              <w:rPr>
                <w:rFonts w:ascii="宋体" w:hAnsi="宋体"/>
                <w:szCs w:val="21"/>
              </w:rPr>
            </w:pPr>
          </w:p>
        </w:tc>
        <w:tc>
          <w:tcPr>
            <w:tcW w:w="1139" w:type="pct"/>
            <w:vAlign w:val="center"/>
          </w:tcPr>
          <w:p>
            <w:pPr>
              <w:spacing w:line="360" w:lineRule="auto"/>
              <w:jc w:val="center"/>
              <w:rPr>
                <w:rFonts w:ascii="宋体" w:hAnsi="宋体"/>
                <w:szCs w:val="21"/>
              </w:rPr>
            </w:pPr>
          </w:p>
        </w:tc>
        <w:tc>
          <w:tcPr>
            <w:tcW w:w="946" w:type="pct"/>
            <w:vAlign w:val="center"/>
          </w:tcPr>
          <w:p>
            <w:pPr>
              <w:spacing w:line="360" w:lineRule="auto"/>
              <w:jc w:val="center"/>
              <w:rPr>
                <w:rFonts w:ascii="宋体" w:hAnsi="宋体"/>
                <w:szCs w:val="21"/>
              </w:rPr>
            </w:pPr>
          </w:p>
        </w:tc>
        <w:tc>
          <w:tcPr>
            <w:tcW w:w="635" w:type="pct"/>
            <w:vAlign w:val="center"/>
          </w:tcPr>
          <w:p>
            <w:pPr>
              <w:spacing w:line="360" w:lineRule="auto"/>
              <w:jc w:val="center"/>
              <w:rPr>
                <w:rFonts w:ascii="宋体" w:hAnsi="宋体"/>
                <w:szCs w:val="21"/>
              </w:rPr>
            </w:pPr>
          </w:p>
        </w:tc>
        <w:tc>
          <w:tcPr>
            <w:tcW w:w="1148" w:type="pc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22" w:type="pct"/>
            <w:vAlign w:val="center"/>
          </w:tcPr>
          <w:p>
            <w:pPr>
              <w:spacing w:line="360" w:lineRule="auto"/>
              <w:jc w:val="center"/>
              <w:rPr>
                <w:rFonts w:ascii="宋体" w:hAnsi="宋体"/>
                <w:szCs w:val="21"/>
              </w:rPr>
            </w:pPr>
          </w:p>
        </w:tc>
        <w:tc>
          <w:tcPr>
            <w:tcW w:w="706" w:type="pct"/>
            <w:vAlign w:val="center"/>
          </w:tcPr>
          <w:p>
            <w:pPr>
              <w:spacing w:line="360" w:lineRule="auto"/>
              <w:jc w:val="center"/>
              <w:rPr>
                <w:rFonts w:ascii="宋体" w:hAnsi="宋体"/>
                <w:szCs w:val="21"/>
              </w:rPr>
            </w:pPr>
          </w:p>
        </w:tc>
        <w:tc>
          <w:tcPr>
            <w:tcW w:w="1139" w:type="pct"/>
            <w:vAlign w:val="center"/>
          </w:tcPr>
          <w:p>
            <w:pPr>
              <w:spacing w:line="360" w:lineRule="auto"/>
              <w:jc w:val="center"/>
              <w:rPr>
                <w:rFonts w:ascii="宋体" w:hAnsi="宋体"/>
                <w:szCs w:val="21"/>
              </w:rPr>
            </w:pPr>
          </w:p>
        </w:tc>
        <w:tc>
          <w:tcPr>
            <w:tcW w:w="946" w:type="pct"/>
            <w:vAlign w:val="center"/>
          </w:tcPr>
          <w:p>
            <w:pPr>
              <w:spacing w:line="360" w:lineRule="auto"/>
              <w:jc w:val="center"/>
              <w:rPr>
                <w:rFonts w:ascii="宋体" w:hAnsi="宋体"/>
                <w:szCs w:val="21"/>
              </w:rPr>
            </w:pPr>
          </w:p>
        </w:tc>
        <w:tc>
          <w:tcPr>
            <w:tcW w:w="635" w:type="pct"/>
            <w:vAlign w:val="center"/>
          </w:tcPr>
          <w:p>
            <w:pPr>
              <w:spacing w:line="360" w:lineRule="auto"/>
              <w:jc w:val="center"/>
              <w:rPr>
                <w:rFonts w:ascii="宋体" w:hAnsi="宋体"/>
                <w:szCs w:val="21"/>
              </w:rPr>
            </w:pPr>
          </w:p>
        </w:tc>
        <w:tc>
          <w:tcPr>
            <w:tcW w:w="1148" w:type="pc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22" w:type="pct"/>
            <w:vAlign w:val="center"/>
          </w:tcPr>
          <w:p>
            <w:pPr>
              <w:spacing w:line="360" w:lineRule="auto"/>
              <w:jc w:val="center"/>
              <w:rPr>
                <w:rFonts w:ascii="宋体" w:hAnsi="宋体"/>
                <w:szCs w:val="21"/>
              </w:rPr>
            </w:pPr>
          </w:p>
        </w:tc>
        <w:tc>
          <w:tcPr>
            <w:tcW w:w="706" w:type="pct"/>
            <w:vAlign w:val="center"/>
          </w:tcPr>
          <w:p>
            <w:pPr>
              <w:spacing w:line="360" w:lineRule="auto"/>
              <w:jc w:val="center"/>
              <w:rPr>
                <w:rFonts w:ascii="宋体" w:hAnsi="宋体"/>
                <w:szCs w:val="21"/>
              </w:rPr>
            </w:pPr>
          </w:p>
        </w:tc>
        <w:tc>
          <w:tcPr>
            <w:tcW w:w="1139" w:type="pct"/>
            <w:vAlign w:val="center"/>
          </w:tcPr>
          <w:p>
            <w:pPr>
              <w:spacing w:line="360" w:lineRule="auto"/>
              <w:jc w:val="center"/>
              <w:rPr>
                <w:rFonts w:ascii="宋体" w:hAnsi="宋体"/>
                <w:szCs w:val="21"/>
              </w:rPr>
            </w:pPr>
          </w:p>
        </w:tc>
        <w:tc>
          <w:tcPr>
            <w:tcW w:w="946" w:type="pct"/>
            <w:vAlign w:val="center"/>
          </w:tcPr>
          <w:p>
            <w:pPr>
              <w:spacing w:line="360" w:lineRule="auto"/>
              <w:jc w:val="center"/>
              <w:rPr>
                <w:rFonts w:ascii="宋体" w:hAnsi="宋体"/>
                <w:szCs w:val="21"/>
              </w:rPr>
            </w:pPr>
          </w:p>
        </w:tc>
        <w:tc>
          <w:tcPr>
            <w:tcW w:w="635" w:type="pct"/>
            <w:vAlign w:val="center"/>
          </w:tcPr>
          <w:p>
            <w:pPr>
              <w:spacing w:line="360" w:lineRule="auto"/>
              <w:jc w:val="center"/>
              <w:rPr>
                <w:rFonts w:ascii="宋体" w:hAnsi="宋体"/>
                <w:szCs w:val="21"/>
              </w:rPr>
            </w:pPr>
          </w:p>
        </w:tc>
        <w:tc>
          <w:tcPr>
            <w:tcW w:w="1148" w:type="pct"/>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征集技术要求</w:t>
      </w:r>
      <w:r>
        <w:rPr>
          <w:rFonts w:hint="eastAsia" w:ascii="宋体" w:hAnsi="宋体" w:cs="Arial"/>
          <w:bCs/>
          <w:szCs w:val="21"/>
        </w:rPr>
        <w:t>”一栏逐一列出</w:t>
      </w:r>
      <w:r>
        <w:rPr>
          <w:rFonts w:hint="eastAsia" w:ascii="宋体" w:hAnsi="宋体" w:cs="Arial"/>
          <w:bCs/>
          <w:szCs w:val="21"/>
          <w:highlight w:val="yellow"/>
        </w:rPr>
        <w:t>征集文件第二部分《采购项目需求》中“</w:t>
      </w:r>
      <w:r>
        <w:rPr>
          <w:rFonts w:hint="eastAsia" w:ascii="宋体" w:hAnsi="宋体" w:cs="Arial"/>
          <w:b/>
          <w:bCs/>
          <w:szCs w:val="21"/>
          <w:highlight w:val="yellow"/>
        </w:rPr>
        <w:t>三、</w:t>
      </w:r>
      <w:r>
        <w:rPr>
          <w:rFonts w:hint="eastAsia" w:ascii="宋体" w:hAnsi="宋体"/>
          <w:b/>
          <w:bCs/>
          <w:snapToGrid w:val="0"/>
          <w:szCs w:val="21"/>
          <w:highlight w:val="yellow"/>
        </w:rPr>
        <w:t>技术要求</w:t>
      </w:r>
      <w:r>
        <w:rPr>
          <w:rFonts w:hint="eastAsia" w:ascii="宋体" w:hAnsi="宋体" w:cs="Arial"/>
          <w:bCs/>
          <w:szCs w:val="21"/>
          <w:highlight w:val="yellow"/>
        </w:rPr>
        <w:t>”的内容；</w:t>
      </w:r>
      <w:r>
        <w:rPr>
          <w:rFonts w:hint="eastAsia" w:ascii="宋体" w:hAnsi="宋体" w:cs="Arial"/>
          <w:bCs/>
          <w:szCs w:val="21"/>
        </w:rPr>
        <w:t>“</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highlight w:val="yellow"/>
        </w:rPr>
        <w:t>征集文件第二部分《采购项目需求》中“三、技术要求”</w:t>
      </w:r>
      <w:r>
        <w:rPr>
          <w:rFonts w:hint="eastAsia" w:asciiTheme="minorEastAsia" w:hAnsiTheme="minorEastAsia" w:eastAsiaTheme="minorEastAsia"/>
          <w:b/>
          <w:szCs w:val="21"/>
          <w:highlight w:val="yellow"/>
        </w:rPr>
        <w:t>中的要求提供相应的</w:t>
      </w:r>
      <w:r>
        <w:rPr>
          <w:rFonts w:hint="eastAsia" w:asciiTheme="minorEastAsia" w:hAnsiTheme="minorEastAsia" w:eastAsiaTheme="minorEastAsia"/>
          <w:b/>
          <w:szCs w:val="21"/>
        </w:rPr>
        <w:t>证明资料，以证明投标供应商响应的真实性。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供应商应在“说明”一栏中列出技术参数的证明资料名称，并注明该证明资料在投标文件中的具体位置，未按要求提供证明材料或未注明证明材料的具体位置或提供的证明资料显示不符合征集文件要求、模糊不清无法判断或未显示是否满足征集文件要求的，均视为负偏离。未要求提供相应证明材料的，投标供应商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2666"/>
        <w:gridCol w:w="2369"/>
        <w:gridCol w:w="1560"/>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9" w:type="pct"/>
            <w:vAlign w:val="center"/>
          </w:tcPr>
          <w:p>
            <w:pPr>
              <w:spacing w:line="360" w:lineRule="auto"/>
              <w:jc w:val="center"/>
              <w:rPr>
                <w:rFonts w:ascii="宋体" w:hAnsi="宋体"/>
                <w:szCs w:val="21"/>
              </w:rPr>
            </w:pPr>
            <w:r>
              <w:rPr>
                <w:rFonts w:hint="eastAsia" w:ascii="宋体" w:hAnsi="宋体"/>
                <w:szCs w:val="21"/>
              </w:rPr>
              <w:t>序号</w:t>
            </w:r>
          </w:p>
        </w:tc>
        <w:tc>
          <w:tcPr>
            <w:tcW w:w="1564" w:type="pct"/>
            <w:vAlign w:val="center"/>
          </w:tcPr>
          <w:p>
            <w:pPr>
              <w:spacing w:line="360" w:lineRule="auto"/>
              <w:jc w:val="center"/>
              <w:rPr>
                <w:rFonts w:ascii="宋体" w:hAnsi="宋体"/>
                <w:szCs w:val="21"/>
              </w:rPr>
            </w:pPr>
            <w:r>
              <w:rPr>
                <w:rFonts w:hint="eastAsia" w:ascii="宋体" w:hAnsi="宋体"/>
                <w:szCs w:val="21"/>
              </w:rPr>
              <w:t>征集商务需求</w:t>
            </w:r>
          </w:p>
        </w:tc>
        <w:tc>
          <w:tcPr>
            <w:tcW w:w="1390" w:type="pct"/>
            <w:vAlign w:val="center"/>
          </w:tcPr>
          <w:p>
            <w:pPr>
              <w:spacing w:line="360" w:lineRule="auto"/>
              <w:jc w:val="center"/>
              <w:rPr>
                <w:rFonts w:ascii="宋体" w:hAnsi="宋体"/>
                <w:szCs w:val="21"/>
              </w:rPr>
            </w:pPr>
            <w:r>
              <w:rPr>
                <w:rFonts w:hint="eastAsia" w:ascii="宋体" w:hAnsi="宋体"/>
                <w:szCs w:val="21"/>
              </w:rPr>
              <w:t>投标商务响应</w:t>
            </w:r>
          </w:p>
        </w:tc>
        <w:tc>
          <w:tcPr>
            <w:tcW w:w="915" w:type="pct"/>
            <w:vAlign w:val="center"/>
          </w:tcPr>
          <w:p>
            <w:pPr>
              <w:spacing w:line="360" w:lineRule="auto"/>
              <w:jc w:val="center"/>
              <w:rPr>
                <w:rFonts w:ascii="宋体" w:hAnsi="宋体"/>
                <w:szCs w:val="21"/>
              </w:rPr>
            </w:pPr>
            <w:r>
              <w:rPr>
                <w:rFonts w:hint="eastAsia" w:ascii="宋体" w:hAnsi="宋体"/>
                <w:szCs w:val="21"/>
              </w:rPr>
              <w:t>偏离情况</w:t>
            </w:r>
          </w:p>
        </w:tc>
        <w:tc>
          <w:tcPr>
            <w:tcW w:w="770" w:type="pct"/>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59" w:type="pct"/>
            <w:vAlign w:val="center"/>
          </w:tcPr>
          <w:p>
            <w:pPr>
              <w:spacing w:line="360" w:lineRule="auto"/>
              <w:jc w:val="center"/>
              <w:rPr>
                <w:rFonts w:ascii="宋体" w:hAnsi="宋体" w:cs="宋体"/>
                <w:bCs/>
                <w:szCs w:val="21"/>
              </w:rPr>
            </w:pPr>
          </w:p>
        </w:tc>
        <w:tc>
          <w:tcPr>
            <w:tcW w:w="1564" w:type="pct"/>
          </w:tcPr>
          <w:p>
            <w:pPr>
              <w:spacing w:line="360" w:lineRule="auto"/>
              <w:rPr>
                <w:rFonts w:ascii="宋体" w:hAnsi="宋体"/>
                <w:bCs/>
                <w:szCs w:val="21"/>
              </w:rPr>
            </w:pPr>
          </w:p>
        </w:tc>
        <w:tc>
          <w:tcPr>
            <w:tcW w:w="1390" w:type="pct"/>
          </w:tcPr>
          <w:p>
            <w:pPr>
              <w:spacing w:line="360" w:lineRule="auto"/>
              <w:rPr>
                <w:rFonts w:ascii="宋体" w:hAnsi="宋体" w:cs="宋体"/>
                <w:szCs w:val="21"/>
              </w:rPr>
            </w:pPr>
          </w:p>
        </w:tc>
        <w:tc>
          <w:tcPr>
            <w:tcW w:w="915" w:type="pct"/>
          </w:tcPr>
          <w:p>
            <w:pPr>
              <w:spacing w:line="360" w:lineRule="auto"/>
              <w:rPr>
                <w:rFonts w:ascii="宋体" w:hAnsi="宋体" w:cs="宋体"/>
                <w:szCs w:val="21"/>
              </w:rPr>
            </w:pPr>
          </w:p>
        </w:tc>
        <w:tc>
          <w:tcPr>
            <w:tcW w:w="770" w:type="pct"/>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9" w:type="pct"/>
            <w:vAlign w:val="center"/>
          </w:tcPr>
          <w:p>
            <w:pPr>
              <w:spacing w:line="360" w:lineRule="auto"/>
              <w:jc w:val="center"/>
              <w:rPr>
                <w:rFonts w:ascii="宋体" w:hAnsi="宋体" w:cs="宋体"/>
                <w:bCs/>
                <w:szCs w:val="21"/>
              </w:rPr>
            </w:pPr>
          </w:p>
        </w:tc>
        <w:tc>
          <w:tcPr>
            <w:tcW w:w="1564" w:type="pct"/>
          </w:tcPr>
          <w:p>
            <w:pPr>
              <w:spacing w:line="360" w:lineRule="auto"/>
              <w:rPr>
                <w:rFonts w:ascii="宋体" w:hAnsi="宋体" w:cs="宋体"/>
                <w:b/>
                <w:szCs w:val="21"/>
              </w:rPr>
            </w:pPr>
          </w:p>
        </w:tc>
        <w:tc>
          <w:tcPr>
            <w:tcW w:w="1390" w:type="pct"/>
          </w:tcPr>
          <w:p>
            <w:pPr>
              <w:spacing w:line="360" w:lineRule="auto"/>
              <w:rPr>
                <w:rFonts w:ascii="宋体" w:hAnsi="宋体" w:cs="宋体"/>
                <w:szCs w:val="21"/>
              </w:rPr>
            </w:pPr>
          </w:p>
        </w:tc>
        <w:tc>
          <w:tcPr>
            <w:tcW w:w="915" w:type="pct"/>
          </w:tcPr>
          <w:p>
            <w:pPr>
              <w:spacing w:line="360" w:lineRule="auto"/>
              <w:rPr>
                <w:rFonts w:ascii="宋体" w:hAnsi="宋体" w:cs="宋体"/>
                <w:szCs w:val="21"/>
              </w:rPr>
            </w:pPr>
          </w:p>
        </w:tc>
        <w:tc>
          <w:tcPr>
            <w:tcW w:w="770" w:type="pct"/>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59" w:type="pct"/>
            <w:vAlign w:val="center"/>
          </w:tcPr>
          <w:p>
            <w:pPr>
              <w:spacing w:line="360" w:lineRule="auto"/>
              <w:jc w:val="center"/>
              <w:rPr>
                <w:rFonts w:ascii="宋体" w:hAnsi="宋体" w:cs="宋体"/>
                <w:bCs/>
                <w:szCs w:val="21"/>
              </w:rPr>
            </w:pPr>
          </w:p>
        </w:tc>
        <w:tc>
          <w:tcPr>
            <w:tcW w:w="1564" w:type="pct"/>
          </w:tcPr>
          <w:p>
            <w:pPr>
              <w:spacing w:line="360" w:lineRule="auto"/>
              <w:rPr>
                <w:rFonts w:ascii="宋体" w:hAnsi="宋体"/>
                <w:bCs/>
                <w:szCs w:val="21"/>
              </w:rPr>
            </w:pPr>
          </w:p>
        </w:tc>
        <w:tc>
          <w:tcPr>
            <w:tcW w:w="1390" w:type="pct"/>
          </w:tcPr>
          <w:p>
            <w:pPr>
              <w:spacing w:line="360" w:lineRule="auto"/>
              <w:rPr>
                <w:rFonts w:ascii="宋体" w:hAnsi="宋体" w:cs="宋体"/>
                <w:szCs w:val="21"/>
              </w:rPr>
            </w:pPr>
          </w:p>
        </w:tc>
        <w:tc>
          <w:tcPr>
            <w:tcW w:w="915" w:type="pct"/>
          </w:tcPr>
          <w:p>
            <w:pPr>
              <w:spacing w:line="360" w:lineRule="auto"/>
              <w:rPr>
                <w:rFonts w:ascii="宋体" w:hAnsi="宋体" w:cs="宋体"/>
                <w:szCs w:val="21"/>
              </w:rPr>
            </w:pPr>
          </w:p>
        </w:tc>
        <w:tc>
          <w:tcPr>
            <w:tcW w:w="770" w:type="pct"/>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9" w:type="pct"/>
            <w:vAlign w:val="center"/>
          </w:tcPr>
          <w:p>
            <w:pPr>
              <w:spacing w:line="360" w:lineRule="auto"/>
              <w:jc w:val="center"/>
              <w:rPr>
                <w:rFonts w:ascii="宋体" w:hAnsi="宋体" w:cs="宋体"/>
                <w:bCs/>
                <w:szCs w:val="21"/>
              </w:rPr>
            </w:pPr>
          </w:p>
        </w:tc>
        <w:tc>
          <w:tcPr>
            <w:tcW w:w="1564" w:type="pct"/>
          </w:tcPr>
          <w:p>
            <w:pPr>
              <w:spacing w:line="360" w:lineRule="auto"/>
              <w:rPr>
                <w:rFonts w:ascii="宋体" w:hAnsi="宋体" w:cs="宋体"/>
                <w:b/>
                <w:szCs w:val="21"/>
              </w:rPr>
            </w:pPr>
          </w:p>
        </w:tc>
        <w:tc>
          <w:tcPr>
            <w:tcW w:w="1390" w:type="pct"/>
          </w:tcPr>
          <w:p>
            <w:pPr>
              <w:spacing w:line="360" w:lineRule="auto"/>
              <w:rPr>
                <w:rFonts w:ascii="宋体" w:hAnsi="宋体" w:cs="宋体"/>
                <w:szCs w:val="21"/>
              </w:rPr>
            </w:pPr>
          </w:p>
        </w:tc>
        <w:tc>
          <w:tcPr>
            <w:tcW w:w="915" w:type="pct"/>
          </w:tcPr>
          <w:p>
            <w:pPr>
              <w:spacing w:line="360" w:lineRule="auto"/>
              <w:rPr>
                <w:rFonts w:ascii="宋体" w:hAnsi="宋体" w:cs="宋体"/>
                <w:szCs w:val="21"/>
              </w:rPr>
            </w:pPr>
          </w:p>
        </w:tc>
        <w:tc>
          <w:tcPr>
            <w:tcW w:w="770" w:type="pct"/>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征集商务需求</w:t>
      </w:r>
      <w:r>
        <w:rPr>
          <w:rFonts w:hint="eastAsia" w:ascii="宋体" w:hAnsi="宋体" w:cs="Arial"/>
          <w:bCs/>
          <w:szCs w:val="21"/>
        </w:rPr>
        <w:t>”一栏逐一列出</w:t>
      </w:r>
      <w:r>
        <w:rPr>
          <w:rFonts w:hint="eastAsia" w:ascii="宋体" w:hAnsi="宋体" w:cs="Arial"/>
          <w:bCs/>
          <w:szCs w:val="21"/>
          <w:highlight w:val="yellow"/>
        </w:rPr>
        <w:t>征集文件第二部分《采购项目需求》中“</w:t>
      </w:r>
      <w:r>
        <w:rPr>
          <w:rFonts w:hint="eastAsia" w:ascii="宋体" w:hAnsi="宋体" w:cs="Arial"/>
          <w:b/>
          <w:bCs/>
          <w:szCs w:val="21"/>
          <w:highlight w:val="yellow"/>
        </w:rPr>
        <w:t>四、商务要求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供应商应在“说明”一栏中列出商务条款的证明资料名称，并注明该证明资料在投标文件中的具体位置，未按要求提供证明材料或未注明证明材料的具体位置或提供的证明资料显示不符合征集文件要求、模糊不清无法判断或未显示是否满足征集文件要求的，均视为负偏离。未要求提供相应证明材料的，投标供应商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rPr>
          <w:rFonts w:cs="仿宋" w:asciiTheme="minorEastAsia" w:hAnsiTheme="minorEastAsia" w:eastAsiaTheme="minorEastAsia"/>
          <w:b/>
          <w:bCs/>
          <w:sz w:val="28"/>
          <w:szCs w:val="32"/>
        </w:rPr>
      </w:pPr>
      <w:r>
        <w:rPr>
          <w:rFonts w:hint="eastAsia"/>
          <w:snapToGrid w:val="0"/>
          <w:kern w:val="0"/>
        </w:rPr>
        <w:t xml:space="preserve">                                                            年    月    日</w:t>
      </w:r>
      <w:r>
        <w:rPr>
          <w:rFonts w:hint="eastAsia" w:cs="仿宋" w:asciiTheme="minorEastAsia" w:hAnsiTheme="minorEastAsia" w:eastAsiaTheme="minorEastAsia"/>
          <w:b/>
          <w:bCs/>
          <w:sz w:val="28"/>
          <w:szCs w:val="32"/>
        </w:rPr>
        <w:br w:type="page"/>
      </w:r>
    </w:p>
    <w:p>
      <w:pPr>
        <w:rPr>
          <w:rFonts w:cs="仿宋" w:asciiTheme="minorEastAsia" w:hAnsiTheme="minorEastAsia" w:eastAsiaTheme="minorEastAsia"/>
          <w:b/>
          <w:bCs/>
          <w:sz w:val="28"/>
          <w:szCs w:val="32"/>
        </w:rPr>
      </w:pPr>
      <w:r>
        <w:rPr>
          <w:rFonts w:hint="eastAsia" w:cs="仿宋" w:asciiTheme="minorEastAsia" w:hAnsiTheme="minorEastAsia" w:eastAsiaTheme="minorEastAsia"/>
          <w:b/>
          <w:bCs/>
          <w:sz w:val="28"/>
          <w:szCs w:val="32"/>
        </w:rPr>
        <w:t>格式10其他征集文件要求的资料或投标供应商认为需要补充的资料</w:t>
      </w:r>
    </w:p>
    <w:p>
      <w:pPr>
        <w:rPr>
          <w:rFonts w:cs="仿宋" w:asciiTheme="minorEastAsia" w:hAnsiTheme="minorEastAsia" w:eastAsiaTheme="minorEastAsia"/>
        </w:rPr>
      </w:pPr>
    </w:p>
    <w:p>
      <w:pPr>
        <w:ind w:firstLine="420" w:firstLineChars="200"/>
        <w:rPr>
          <w:rFonts w:cs="仿宋" w:asciiTheme="minorEastAsia" w:hAnsiTheme="minorEastAsia" w:eastAsiaTheme="minorEastAsia"/>
          <w:bCs/>
        </w:rPr>
      </w:pPr>
      <w:r>
        <w:rPr>
          <w:rFonts w:hint="eastAsia" w:cs="仿宋" w:asciiTheme="minorEastAsia" w:hAnsiTheme="minorEastAsia" w:eastAsiaTheme="minorEastAsia"/>
          <w:bCs/>
        </w:rPr>
        <w:t>投标供应商须按要求编制投标文件，提供的内容要详细、真实、可靠。若提供的资料不齐，将导致扣分；若严重缺项、漏项，其投标将被拒绝。</w:t>
      </w:r>
    </w:p>
    <w:p>
      <w:pPr>
        <w:rPr>
          <w:rFonts w:cs="仿宋" w:asciiTheme="minorEastAsia" w:hAnsiTheme="minorEastAsia" w:eastAsiaTheme="minorEastAsia"/>
          <w:bCs/>
        </w:rPr>
      </w:pPr>
    </w:p>
    <w:p>
      <w:pPr>
        <w:rPr>
          <w:rFonts w:cs="仿宋" w:asciiTheme="minorEastAsia" w:hAnsiTheme="minorEastAsia" w:eastAsiaTheme="minorEastAsia"/>
          <w:bCs/>
        </w:rPr>
      </w:pPr>
      <w:r>
        <w:rPr>
          <w:rFonts w:hint="eastAsia" w:cs="仿宋" w:asciiTheme="minorEastAsia" w:hAnsiTheme="minorEastAsia" w:eastAsiaTheme="minorEastAsia"/>
          <w:b/>
          <w:bCs/>
          <w:color w:val="FF0000"/>
        </w:rPr>
        <w:t>注：</w:t>
      </w:r>
      <w:r>
        <w:rPr>
          <w:rFonts w:hint="eastAsia" w:cs="仿宋" w:asciiTheme="minorEastAsia" w:hAnsiTheme="minorEastAsia" w:eastAsiaTheme="minorEastAsia"/>
          <w:bCs/>
        </w:rPr>
        <w:t>如需提供补充资料，本部分资料格式不做统一规定，由投标供应商自行设计。</w:t>
      </w:r>
    </w:p>
    <w:p>
      <w:pPr>
        <w:widowControl/>
        <w:jc w:val="left"/>
        <w:rPr>
          <w:rFonts w:cs="仿宋" w:asciiTheme="minorEastAsia" w:hAnsiTheme="minorEastAsia" w:eastAsiaTheme="minorEastAsia"/>
          <w:bCs/>
        </w:rPr>
      </w:pPr>
      <w:r>
        <w:rPr>
          <w:rFonts w:hint="eastAsia" w:cs="仿宋" w:asciiTheme="minorEastAsia" w:hAnsiTheme="minorEastAsia" w:eastAsiaTheme="minorEastAsia"/>
          <w:bCs/>
        </w:rPr>
        <w:br w:type="page"/>
      </w:r>
    </w:p>
    <w:p>
      <w:pPr>
        <w:widowControl/>
        <w:jc w:val="left"/>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第四部分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合同条款</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adjustRightInd w:val="0"/>
        <w:snapToGrid w:val="0"/>
        <w:spacing w:line="300" w:lineRule="auto"/>
        <w:ind w:left="2"/>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合同条款</w:t>
      </w:r>
    </w:p>
    <w:p>
      <w:pPr>
        <w:pStyle w:val="35"/>
        <w:widowControl w:val="0"/>
        <w:pBdr>
          <w:bottom w:val="none" w:color="auto" w:sz="0" w:space="0"/>
        </w:pBdr>
        <w:adjustRightInd w:val="0"/>
        <w:snapToGrid w:val="0"/>
        <w:spacing w:before="0" w:beforeAutospacing="0" w:after="0" w:afterAutospacing="0" w:line="360" w:lineRule="auto"/>
        <w:textAlignment w:val="auto"/>
        <w:rPr>
          <w:rFonts w:cs="仿宋" w:asciiTheme="minorEastAsia" w:hAnsiTheme="minorEastAsia" w:eastAsiaTheme="minorEastAsia"/>
          <w:b/>
          <w:bCs/>
          <w:snapToGrid w:val="0"/>
          <w:sz w:val="32"/>
          <w:szCs w:val="32"/>
        </w:rPr>
      </w:pPr>
      <w:r>
        <w:rPr>
          <w:rFonts w:hint="eastAsia" w:cs="仿宋" w:asciiTheme="minorEastAsia" w:hAnsiTheme="minorEastAsia" w:eastAsiaTheme="minorEastAsia"/>
          <w:b/>
          <w:bCs/>
          <w:snapToGrid w:val="0"/>
          <w:sz w:val="32"/>
          <w:szCs w:val="32"/>
        </w:rPr>
        <w:t>（仅供参考）</w:t>
      </w:r>
    </w:p>
    <w:p>
      <w:pPr>
        <w:jc w:val="center"/>
        <w:rPr>
          <w:b/>
          <w:szCs w:val="21"/>
        </w:rPr>
      </w:pPr>
    </w:p>
    <w:p>
      <w:pPr>
        <w:pStyle w:val="10"/>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重要说明：采购人在签订合同前有权依据征集文件要求和项目实际情况对以下合同内容进行删改或补充。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乙方（中标供应商）：</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征集项目（项目编号__________________）的成交结果，由_______________________单位为中标供应商。</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，经_______________________（以下简称采购人）和_______________________（以下简称中标供应商）协商，就_______________________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征集文件、答疑及补充通知；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10"/>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1、《成交结果通知书》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3、《征集文件》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中标供应商</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日期：   年     月    日</w:t>
      </w:r>
    </w:p>
    <w:p>
      <w:pPr>
        <w:jc w:val="center"/>
        <w:rPr>
          <w:b/>
          <w:sz w:val="52"/>
          <w:szCs w:val="52"/>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第五部分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通用条款（投标须知）</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通用条款（投标须知）</w:t>
      </w:r>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Ａ  说  明</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 适用范围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  本征集文件仅适用于投标须知前附表（以下简称“前附表”）第1项所叙述项目的货物、工程及服务采购。</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  上述采购按照采购单位内部管控制度，参考《中华人民共和国政府采购法》和《深圳经济特区政府采购条例》及有关招投标法规、规章、规定，择优选定投标供应商。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 定义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  “</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”系指前附表第2项所述。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  “</w:t>
      </w:r>
      <w:r>
        <w:rPr>
          <w:rFonts w:hint="eastAsia" w:cs="仿宋" w:asciiTheme="minorEastAsia" w:hAnsiTheme="minorEastAsia" w:eastAsiaTheme="minorEastAsia"/>
          <w:bCs/>
          <w:snapToGrid w:val="0"/>
          <w:kern w:val="0"/>
          <w:szCs w:val="21"/>
        </w:rPr>
        <w:t>采购代理机构</w:t>
      </w:r>
      <w:r>
        <w:rPr>
          <w:rFonts w:hint="eastAsia" w:cs="仿宋" w:asciiTheme="minorEastAsia" w:hAnsiTheme="minorEastAsia" w:eastAsiaTheme="minorEastAsia"/>
          <w:snapToGrid w:val="0"/>
          <w:kern w:val="0"/>
          <w:szCs w:val="21"/>
        </w:rPr>
        <w:t>”系前附表第3项所述。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  “投标供应商”系指向</w:t>
      </w:r>
      <w:r>
        <w:rPr>
          <w:rFonts w:hint="eastAsia" w:cs="仿宋" w:asciiTheme="minorEastAsia" w:hAnsiTheme="minorEastAsia" w:eastAsiaTheme="minorEastAsia"/>
          <w:bCs/>
          <w:snapToGrid w:val="0"/>
          <w:kern w:val="0"/>
          <w:szCs w:val="21"/>
        </w:rPr>
        <w:t>采购代理机构</w:t>
      </w:r>
      <w:r>
        <w:rPr>
          <w:rFonts w:hint="eastAsia" w:cs="仿宋" w:asciiTheme="minorEastAsia" w:hAnsiTheme="minorEastAsia" w:eastAsiaTheme="minorEastAsia"/>
          <w:snapToGrid w:val="0"/>
          <w:kern w:val="0"/>
          <w:szCs w:val="21"/>
        </w:rPr>
        <w:t>提交投标文件的投标供应商。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  “货物”系指投标供应商按征集文件规定，须向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提供的设备及材料。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  “工程”系指投标供应商按征集文件规定，须向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提供的设备及材料的安装。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  “服务”系指征集文件规定卖方须承担设计和其它类似的义务。</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 资金来源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  采购资金通过前附表第4 项的方式获得，并用于采购合同下的合格支付。</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4. 合格的投标供应商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4.1  具有独立承担民事责任的能力。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4.2  具有良好的商业信誉和健全的财务会计制度。</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4.3  具有履行合同所必需的设备和专业技术能力。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4.4  有依法缴纳税收和社会保障资金的良好记录。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4.5  参加政府采购活动近三年内，在经营活动中没有重大违法记录。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4.6  法律、行政法规规定的其他条件。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4.7  符合前附表第5项规定的条件。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  联合体投标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4.8.1　以下有关联合体投标的条款仅适用于允许投标供应商组成联合体投标的项目。是否允许联合体投标以“前附表”中的规定或说明为准。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4.8.2  由两个或两个以上的自然人、法人或者其他组织可以组成一个联合体，以一个投标供应商的身份共同投标时，应符合以下原则：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（1）投标联合体各方参加政府采购活动应当具备下列条件：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1、具有独立承担民事责任的能力；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2、具有良好的商业信誉和健全的财务会计制度；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3、具有履行合同所必需的设备和专业技术能力；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4、有依法缴纳税收和社会保障资金的良好记录；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5、参加政府采购活动前三年内，在经营活动中没有重大违法记录；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6、法律、行政法规规定的其他条件。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（2）投标联合体各方必须有一方先行注册成深圳公共资源交易中心投标供应商；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（3）联合体中有同类资质的投标供应商按照联合体分工承担相同工作的，应当按照资质等级较低的投标供应商确定资质等级。</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（4）是否允许联合体参加投标，应当由采购人和采购代理机构根据项目的实际情况和潜在投标供应商的数量自主决定，如果决定接受联合体投标则应当在采购公告中明示。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采购人根据采购项目的特殊要求规定投标供应商特定条件的，联合体各方中至少应当有一方符合采购人规定的特定条件。对于采购公告对投标供应商某一资格有要求的，按照联合体各方中最低资质等级确定联合体的资质等级；联合体各方的不同资质可优势互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（6）投标供应商的投标文件及中标后签署的合同协议对联合体各方均具法律约束力；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（8）联合体中标后，联合体各方应当共同与采购人签订合同，就中标项目向采购人承担连带责任；</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以联合体形式参加政府采购活动的，联合体各方不得再单独参加或者与其他投标供应商另外组成联合体参加同一合同项下的政府采购活动，出现上述情况者，其投标和与此有关的联合体、总包单位的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（11）本次采购中“投标供应商”一词亦指联合体各方，“前附表”另有规定或说明的除外。</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5. 采购活动费用的承担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5.1  无论采购过程中的做法和结果如何，投标供应商自行承担所有与参加采购活动有关的全部费用。</w:t>
      </w:r>
    </w:p>
    <w:p>
      <w:pPr>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6.  踏勘现场</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6.1  </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将按前附表第6项的规定，组织投标供应商对现场及周围环境进行踏勘，以便投标供应商获取须自己负责的有关编制投标文件和签署合同所需的所有资料。踏勘现场所发生的费用由投标供应商自己承担。</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6.2 </w:t>
      </w:r>
      <w:r>
        <w:rPr>
          <w:rFonts w:hint="eastAsia" w:cs="仿宋" w:asciiTheme="minorEastAsia" w:hAnsiTheme="minorEastAsia" w:eastAsiaTheme="minorEastAsia"/>
          <w:bCs/>
          <w:szCs w:val="21"/>
        </w:rPr>
        <w:t xml:space="preserve"> 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向投标供应商提供的有关现场的资料和数据，是</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现有的能使投标供应商利用的资料。</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对投标供应商由此而做出的推论、理解和结论概不负责。</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6.3  投标供应商及其人员经过</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和</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的允许，可为踏勘目的进入</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zCs w:val="21"/>
        </w:rPr>
        <w:t>的现场，但投标供应商及其人员不得因此使</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及其人员承担有关的责任和蒙受损失。投标供应商并应对由此次踏勘现场面造成的死亡、人身伤害、财产损失、损害以及任何其它损失、损害和引起的费用和开支承担责任。</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6.4   如果投标供应商认为需要再次进行现场踏勘，</w:t>
      </w:r>
      <w:r>
        <w:rPr>
          <w:rFonts w:hint="eastAsia" w:cs="仿宋" w:asciiTheme="minorEastAsia" w:hAnsiTheme="minorEastAsia" w:eastAsiaTheme="minorEastAsia"/>
          <w:bCs/>
          <w:szCs w:val="21"/>
        </w:rPr>
        <w:t>采购人</w:t>
      </w:r>
      <w:r>
        <w:rPr>
          <w:rFonts w:hint="eastAsia" w:cs="仿宋" w:asciiTheme="minorEastAsia" w:hAnsiTheme="minorEastAsia" w:eastAsiaTheme="minorEastAsia"/>
          <w:szCs w:val="21"/>
        </w:rPr>
        <w:t>将予以支持，费用自理。</w:t>
      </w:r>
    </w:p>
    <w:p>
      <w:pPr>
        <w:rPr>
          <w:rFonts w:cs="仿宋" w:asciiTheme="minorEastAsia" w:hAnsiTheme="minorEastAsia" w:eastAsiaTheme="minorEastAsia"/>
        </w:rPr>
      </w:pPr>
      <w:bookmarkStart w:id="7" w:name="q5"/>
      <w:bookmarkEnd w:id="7"/>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Ｂ　征集文件说明</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7. 征集文件的构成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7.1  征集文件是用以阐明所需设备及服务的情况，以及采购、投标程序和相应的合同条款。征集文件由下述部份组成：</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（1）采购公告</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（2）投标须知前附表及评审信息</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（3）采购项目需求</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（4）投标文件格式</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（5）合同条款</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（6）通用条款（投标须知）</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（7）附件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8.  征集文件的澄清及修改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8.1  投标供应商对征集文件如有疑点，可要求澄清，应在投标截止日5日前按采购公告中载明的地址以书面形式（包括信函、传真，下同）通知到采购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将视情况确定采用适当方式予以澄清或以书面形式予以答复，并在其认为必要时，将不标明查询来源的书面答复发给已购买征集文件的每一投标供应商。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8.2  在投标截止日3日前，采购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可依据投标供应商要求澄清的问题修改征集文件，并以书面形式通知所有购买征集文件的每一投标供应商，对方在收到该通知后应立即以书面的形式予以确认。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8.3  为了使投标供应商在准备投标文件时有合理的时间考虑征集文件的修改，采购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可酌情推迟投标截止时间和开标时间，并以书面形式通知已购买征集文件的每一投标供应商。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8.4  征集文件的修改将构成征集文件的一部分，对投标供应商有约束力。</w:t>
      </w:r>
    </w:p>
    <w:p>
      <w:pPr>
        <w:adjustRightInd w:val="0"/>
        <w:spacing w:line="360" w:lineRule="auto"/>
        <w:rPr>
          <w:rFonts w:cs="仿宋" w:asciiTheme="minorEastAsia" w:hAnsiTheme="minorEastAsia" w:eastAsiaTheme="minorEastAsia"/>
          <w:snapToGrid w:val="0"/>
          <w:kern w:val="0"/>
          <w:szCs w:val="21"/>
        </w:rPr>
      </w:pPr>
    </w:p>
    <w:p>
      <w:pPr>
        <w:adjustRightInd w:val="0"/>
        <w:spacing w:line="360" w:lineRule="auto"/>
        <w:ind w:firstLine="600"/>
        <w:jc w:val="center"/>
        <w:rPr>
          <w:rFonts w:cs="仿宋" w:asciiTheme="minorEastAsia" w:hAnsiTheme="minorEastAsia" w:eastAsiaTheme="minorEastAsia"/>
          <w:b/>
          <w:snapToGrid w:val="0"/>
          <w:kern w:val="0"/>
          <w:sz w:val="32"/>
          <w:szCs w:val="32"/>
        </w:rPr>
      </w:pPr>
      <w:bookmarkStart w:id="8" w:name="q6"/>
      <w:bookmarkEnd w:id="8"/>
      <w:r>
        <w:rPr>
          <w:rFonts w:hint="eastAsia" w:cs="仿宋" w:asciiTheme="minorEastAsia" w:hAnsiTheme="minorEastAsia" w:eastAsiaTheme="minorEastAsia"/>
          <w:b/>
          <w:snapToGrid w:val="0"/>
          <w:kern w:val="0"/>
          <w:sz w:val="32"/>
          <w:szCs w:val="32"/>
        </w:rPr>
        <w:t>Ｃ  投标文件的编写</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9. 投标语言及计量单位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9.1  投标文件及投标供应商和采购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就投标交换的文件和往来的信件，应以中文书写。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9.2  除在征集文件的设计思路和方案中另有规定外，计量单位应使用中华人民共和国法定计量单位（国际单位制和国家选定的其他计量单位）。</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10. 投标文件的组成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  投标文件应包括下列部份：</w:t>
      </w:r>
    </w:p>
    <w:p>
      <w:pPr>
        <w:adjustRightInd w:val="0"/>
        <w:spacing w:line="360" w:lineRule="auto"/>
        <w:ind w:left="945" w:leftChars="100" w:hanging="735" w:hangingChars="3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10.1.1 开标信封：装有“法定代表人（负责人）证明书、法定代表人（负责人）授权委托书”和“开标一览表”单独密封的信封。</w:t>
      </w:r>
    </w:p>
    <w:p>
      <w:pPr>
        <w:adjustRightInd w:val="0"/>
        <w:spacing w:line="360" w:lineRule="auto"/>
        <w:ind w:firstLine="210" w:firstLine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10.1.2 投标文件：</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（1）目录</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（2）政府采购违法行为风险知悉确认书</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（3）评审指引表</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（4）声明函（格式1）</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（5）投标供应商资格证明文件（格式2）</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（6）评分中涉及的承诺及声明函（格式3）</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w:t>
      </w:r>
      <w:r>
        <w:fldChar w:fldCharType="begin"/>
      </w:r>
      <w:r>
        <w:instrText xml:space="preserve"> HYPERLINK \l "q24" </w:instrText>
      </w:r>
      <w:r>
        <w:fldChar w:fldCharType="separate"/>
      </w:r>
      <w:r>
        <w:rPr>
          <w:rFonts w:hint="eastAsia" w:cs="仿宋" w:asciiTheme="minorEastAsia" w:hAnsiTheme="minorEastAsia" w:eastAsiaTheme="minorEastAsia"/>
          <w:szCs w:val="21"/>
        </w:rPr>
        <w:t>开标一览表</w:t>
      </w:r>
      <w:r>
        <w:rPr>
          <w:rFonts w:hint="eastAsia" w:cs="仿宋" w:asciiTheme="minorEastAsia" w:hAnsiTheme="minorEastAsia" w:eastAsiaTheme="minorEastAsia"/>
          <w:szCs w:val="21"/>
        </w:rPr>
        <w:fldChar w:fldCharType="end"/>
      </w:r>
      <w:r>
        <w:rPr>
          <w:rFonts w:hint="eastAsia" w:cs="仿宋" w:asciiTheme="minorEastAsia" w:hAnsiTheme="minorEastAsia" w:eastAsiaTheme="minorEastAsia"/>
          <w:snapToGrid w:val="0"/>
          <w:kern w:val="0"/>
          <w:szCs w:val="21"/>
        </w:rPr>
        <w:t>（格式4）</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（8）报价表（格式5）</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（9）技术规格（格式6）</w:t>
      </w:r>
    </w:p>
    <w:p>
      <w:pPr>
        <w:adjustRightInd w:val="0"/>
        <w:spacing w:line="360" w:lineRule="auto"/>
        <w:ind w:firstLine="315" w:firstLineChars="150"/>
      </w:pPr>
      <w:r>
        <w:rPr>
          <w:rFonts w:hint="eastAsia" w:cs="仿宋" w:asciiTheme="minorEastAsia" w:hAnsiTheme="minorEastAsia" w:eastAsiaTheme="minorEastAsia"/>
          <w:snapToGrid w:val="0"/>
          <w:kern w:val="0"/>
          <w:szCs w:val="21"/>
        </w:rPr>
        <w:t>（10）</w:t>
      </w:r>
      <w:r>
        <w:rPr>
          <w:rFonts w:hint="eastAsia"/>
        </w:rPr>
        <w:t>交付进度</w:t>
      </w:r>
      <w:r>
        <w:rPr>
          <w:rFonts w:hint="eastAsia" w:cs="仿宋" w:asciiTheme="minorEastAsia" w:hAnsiTheme="minorEastAsia" w:eastAsiaTheme="minorEastAsia"/>
          <w:snapToGrid w:val="0"/>
          <w:kern w:val="0"/>
          <w:szCs w:val="21"/>
        </w:rPr>
        <w:t>（格式7）</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w:t>
      </w:r>
      <w:r>
        <w:rPr>
          <w:rFonts w:hint="eastAsia"/>
        </w:rPr>
        <w:t>售后服务和质量承诺</w:t>
      </w:r>
      <w:r>
        <w:rPr>
          <w:rFonts w:hint="eastAsia" w:cs="仿宋" w:asciiTheme="minorEastAsia" w:hAnsiTheme="minorEastAsia" w:eastAsiaTheme="minorEastAsia"/>
          <w:snapToGrid w:val="0"/>
          <w:kern w:val="0"/>
          <w:szCs w:val="21"/>
        </w:rPr>
        <w:t>（格式8）</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（12）偏离表（格式9）</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bCs/>
          <w:snapToGrid w:val="0"/>
          <w:kern w:val="0"/>
          <w:szCs w:val="21"/>
        </w:rPr>
        <w:t>（13）其他</w:t>
      </w:r>
      <w:r>
        <w:rPr>
          <w:rFonts w:hint="eastAsia" w:cs="仿宋" w:asciiTheme="minorEastAsia" w:hAnsiTheme="minorEastAsia" w:eastAsiaTheme="minorEastAsia"/>
          <w:snapToGrid w:val="0"/>
          <w:kern w:val="0"/>
          <w:szCs w:val="21"/>
        </w:rPr>
        <w:t>征集文件</w:t>
      </w:r>
      <w:r>
        <w:rPr>
          <w:rFonts w:hint="eastAsia" w:cs="仿宋" w:asciiTheme="minorEastAsia" w:hAnsiTheme="minorEastAsia" w:eastAsiaTheme="minorEastAsia"/>
          <w:bCs/>
          <w:snapToGrid w:val="0"/>
          <w:kern w:val="0"/>
          <w:szCs w:val="21"/>
        </w:rPr>
        <w:t>要求的资料或投标供应商认为需要补充的资料</w:t>
      </w:r>
      <w:r>
        <w:rPr>
          <w:rFonts w:hint="eastAsia" w:cs="仿宋" w:asciiTheme="minorEastAsia" w:hAnsiTheme="minorEastAsia" w:eastAsiaTheme="minorEastAsia"/>
          <w:snapToGrid w:val="0"/>
          <w:kern w:val="0"/>
          <w:szCs w:val="21"/>
        </w:rPr>
        <w:t>（格式10）</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b/>
          <w:snapToGrid w:val="0"/>
          <w:kern w:val="0"/>
          <w:szCs w:val="21"/>
        </w:rPr>
        <w:t>11. 投标文件格式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11.1  投标文件必须毫无遗漏地包括本须知第10条规定的内容，投标供应商提交的投标文件必须毫无例外地使用征集文件所提供投标文件格式（表格可以按同样格式扩展）。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b/>
          <w:snapToGrid w:val="0"/>
          <w:color w:val="FF0000"/>
          <w:kern w:val="0"/>
          <w:szCs w:val="21"/>
          <w:highlight w:val="yellow"/>
        </w:rPr>
        <w:t>注：如征集文件第三部分投标格式与本须知第10条规定的内容不一致，以投标文件第三部分投标格式为准。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12. 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12.1  投标报价应为到指定地点价，以人民币为结算单位。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12.2  投标供应商应在征集文件所附的“开标一览表”（格式3）和“报价表”（格式4）上写明投标货物的单价和投标总价。投标供应商对每种项目只允许有一个报价，采购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不接受有任何选择的报价。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12.3  此报价作为评审委员会评审标准，但不能限制</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以其它方式签订合同的权力。</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13. 投标供应商资格的证明文件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13.1  投标供应商必须提交证明其有资格进行投标，和中标后有能力履行合同的证明文件（格式1与格式2），作为投标文件的一部份。</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14. 投标有效期</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14.1  投标文件的有效期按前附表第7项规定。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14.2  特殊情况下，采购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可于投标有效期期满之前，要求投标供应商同意延长投标有效期。投标供应商可以拒绝或同意上述要求，但要求与答复均须是书面文件。对于同意该要求的投标供应商，采购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既不要求也不允许其修改投标文件。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15. 项目保证金</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15.1  以下有关项目保证金的条款仅适用于需要缴纳项目保证金的项目。是否需要缴纳项目保证金以《投标须知前附表》中的规定或说明为准。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15.2  投标供应商应向采购代理机构提交一笔不少于前附表第8项所规定的项目保证金，以到账为准。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15.3  项目保证金用于保护本次采购免受投标供应商的行为而引起的风险。</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15.4  项目保证金应以支票、汇票、本票或采购机构能够接受的银行保函等其它非现金形式提交。（注：必须从投标供应商基本账户转出，否则其投标无效。）</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15.5  未按规定提交项目保证金的投标，将被视为无效投标。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15.6  未中标的投标供应商的项目保证金，采购代理机构将在中标通知书发出且收到投标供应商的《项目保证金退还申请表》后5个工作日内退还。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15.7  中标方的项目保证金，采购代理机构将在中标方签订合同并支付采购代理服务费后5个工作日内退还。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15.8  发生以下情况项目保证金将被没收：</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（1）投标供应商在投标有效期内撤销投标文件；</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（3）投标供应商串通投标或者以其他弄虚作假方式投标；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（4）如果中标方未能做到：</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按本须知第32条规定签订合同；或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按本须知第33条规定提供履约保证金；或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按本须知第34条规定缴纳采购代理服务费。</w:t>
      </w:r>
    </w:p>
    <w:p>
      <w:pPr>
        <w:pStyle w:val="8"/>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（5） 法律法规规定的其它情况。</w:t>
      </w:r>
    </w:p>
    <w:p>
      <w:pPr>
        <w:tabs>
          <w:tab w:val="left" w:pos="330"/>
        </w:tabs>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16. 投标预备会（</w:t>
      </w:r>
      <w:r>
        <w:rPr>
          <w:rFonts w:hint="eastAsia" w:cs="仿宋" w:asciiTheme="minorEastAsia" w:hAnsiTheme="minorEastAsia" w:eastAsiaTheme="minorEastAsia"/>
          <w:b/>
          <w:snapToGrid w:val="0"/>
          <w:kern w:val="0"/>
          <w:szCs w:val="21"/>
        </w:rPr>
        <w:t>答疑会）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  投标预备会（答疑会），如采购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认为有必要召开投标预备会，投标供应商应按照前附表第9项规定的或采购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另行书面通知的时间和地点，派出代表出席采购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主持的投标预备会。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16.2  投标预备会的目的是澄清、解答投标供应商在查阅征集文件后和现场踏勘中可能提出的任何方面的问题。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  投标供应商提出的与投标有关的任何采购问题须以书面形式给采购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。在投标预备会上，采购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将做出澄清和解答。</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在投标预备会上所做出的澄清和解答，以书面答复为准，投标供应商在收到投标答疑纪要时应以书面形式予以确认。答疑纪要的有效性规定按照本须知第8.2、8.4款规定执行。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  未出席投标预备会不作为否定投标供应商资格的理由。</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17. 投标文件的份数和签署</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17.1  投标文件数量按前附表第10项所述，须在每一份投标文件上明确注明“正本”或“副本”字样。一旦正本和副本有差异，以正本为准。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17.2  为了便于投标文件保存，需提交一份投标文件正文盖章扫描件（.pdf）电子档一份。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17.3  投标文件正本及开标一览表须打印，并经法定代表人或其授权代表签字和盖章，投标文件的副本可采用正本复印件。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17.4  除投标供应商对错处做必要修改外，投标文件中不许有加行、涂抹或改写，如有修改遗漏处，必须由投标供应商法定代表人或其授权代表签字和盖章。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17.5  电报、电话、传真形式的投标概不接受。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17.6  投标文件不符合上述规定，为无效投标。</w:t>
      </w:r>
    </w:p>
    <w:p>
      <w:pPr>
        <w:pStyle w:val="2"/>
      </w:pPr>
    </w:p>
    <w:p>
      <w:pPr>
        <w:adjustRightInd w:val="0"/>
        <w:spacing w:line="360" w:lineRule="auto"/>
        <w:jc w:val="center"/>
        <w:rPr>
          <w:rFonts w:cs="仿宋" w:asciiTheme="minorEastAsia" w:hAnsiTheme="minorEastAsia" w:eastAsiaTheme="minorEastAsia"/>
          <w:b/>
          <w:snapToGrid w:val="0"/>
          <w:kern w:val="0"/>
          <w:sz w:val="32"/>
          <w:szCs w:val="32"/>
        </w:rPr>
      </w:pPr>
      <w:bookmarkStart w:id="9" w:name="q7"/>
      <w:bookmarkEnd w:id="9"/>
      <w:r>
        <w:rPr>
          <w:rFonts w:hint="eastAsia" w:cs="仿宋" w:asciiTheme="minorEastAsia" w:hAnsiTheme="minorEastAsia" w:eastAsiaTheme="minorEastAsia"/>
          <w:b/>
          <w:snapToGrid w:val="0"/>
          <w:kern w:val="0"/>
          <w:sz w:val="32"/>
          <w:szCs w:val="32"/>
        </w:rPr>
        <w:t>Ｄ   投标文件的递交</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18. 投标文件的密封和标记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18.1须在每一份投标文件封面上明确注明“正本”或“副本”字样。一旦正本和副本有差异，以正本为准。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18.2投标文件完整密封（包含两份正本和四份副本）。</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18.3投标供应商应将投标文件正文扫描件电子档单独密封于一信封，在信封上注明“备份电子档”。</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名称；</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C、投标供应商名称；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18.5  投标供应商应将“法定代表人（负责人）证明书、法定代表人（负责人）授权委托书”和“开标一览表”密封于一信封，在递交投标文件时单独交与采购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，在信封上应：</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名称；</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C、投标供应商名称；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D、注明：“开标一览表”和“法定代表人（负责人）证明书、法定代表人（负责人）授权委托书”</w:t>
      </w:r>
    </w:p>
    <w:p>
      <w:pPr>
        <w:adjustRightInd w:val="0"/>
        <w:spacing w:line="360" w:lineRule="auto"/>
        <w:ind w:firstLine="525" w:firstLineChars="2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E、</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18.6  除了按本须知第18.4、18.5款所要求的识别字样外，在所有投标文件密封袋上还应写明投标供应商的名称与地址、邮政编码，以便投标按本须知第20条宣布“迟到”时，投标文件可以原封退回；</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18.7  如果投标文件没有按本投标须知第18.1至18.6款规定加写标记和密封，采购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将拒收或者告知投标供应商，采购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将不承担投标文件错放或提前开封的责任。对由此造成的提前开封的投标文件将予以拒绝，并退还给投标供应商；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18.8  所有投标文件的密封袋的封口处应加盖投标供应商印章。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18.9  投标文件需由专人送交。投标供应商应按本投标须知第18.1至18.8款中的规定进行密封和标记后，将投标文件按照前附表第11项中注明的地址送至采购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18.10  投标供应商按征集文件要求如需提供实物，应随投标文件一起递交。</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19. 递交投标文件的时间、地点以及截止时间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19.1  递交投标文件的地点与开标仪式的地点相同。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19.2  所有投标文件都必须按采购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在前附表第</w:t>
      </w:r>
      <w:bookmarkStart w:id="10" w:name="_Hlt35050056"/>
      <w:bookmarkEnd w:id="10"/>
      <w:r>
        <w:rPr>
          <w:rFonts w:hint="eastAsia" w:cs="仿宋" w:asciiTheme="minorEastAsia" w:hAnsiTheme="minorEastAsia" w:eastAsiaTheme="minorEastAsia"/>
          <w:snapToGrid w:val="0"/>
          <w:kern w:val="0"/>
          <w:szCs w:val="21"/>
        </w:rPr>
        <w:t>12项中规定的投标截止时间之前送至采购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19.3  出现第8.3款因征集文件修改或其他原因推迟投标截止时，则按采购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修改通知规定的时间递交。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19.4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zCs w:val="21"/>
        </w:rPr>
        <w:t>在投标截止时间前30分钟开始接收投标文件。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20. 迟交的投标文件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20.1  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将拒绝接收在投标截止时间后递交的投标文件。</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21. 投标文件的修改和撤回</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21.1  投标供应商在提交投标文件后可对其投标文件进行修改或撤回，但采购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须在投标截止时间之前收到该修改或撤回的书面通知，该通知须有经正式授权的投标供应商代表签字。</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21.2  投标供应商对投标文件修改的书面材料或撤回的通知应按本须知第17条和第18条规定进行编写、密封、标注和递交，并注明“修改投标文件”或“撤回投标”字样。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21.3  投标截止时间以后不得修改投标文件。</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21.4  投标供应商不得在开标时间起到投标文件有效期满前撤销投标文件。</w:t>
      </w:r>
    </w:p>
    <w:p>
      <w:pPr>
        <w:rPr>
          <w:rFonts w:cs="仿宋" w:asciiTheme="minorEastAsia" w:hAnsiTheme="minorEastAsia" w:eastAsiaTheme="minorEastAsia"/>
        </w:rPr>
      </w:pPr>
      <w:bookmarkStart w:id="11" w:name="q8"/>
      <w:bookmarkEnd w:id="11"/>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Ｅ   开标和评审</w:t>
      </w:r>
    </w:p>
    <w:p>
      <w:pPr>
        <w:tabs>
          <w:tab w:val="left" w:pos="0"/>
        </w:tabs>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22. 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22.1  采购代理机构在前附表第11项规定的时间和地点公开开标。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22.2  所有投标供应商法定代表人（负责人）或授权代表都须按时参加开标会，否则不接受其投标。【</w:t>
      </w:r>
      <w:r>
        <w:rPr>
          <w:rFonts w:hint="eastAsia" w:cs="仿宋" w:asciiTheme="minorEastAsia" w:hAnsiTheme="minorEastAsia" w:eastAsiaTheme="minorEastAsia"/>
          <w:b/>
          <w:bCs/>
          <w:snapToGrid w:val="0"/>
          <w:color w:val="FF0000"/>
          <w:kern w:val="0"/>
          <w:szCs w:val="21"/>
          <w:highlight w:val="yellow"/>
        </w:rPr>
        <w:t>如是邮寄标书，可以不用到现场参与</w:t>
      </w:r>
      <w:r>
        <w:rPr>
          <w:rFonts w:hint="eastAsia" w:cs="仿宋" w:asciiTheme="minorEastAsia" w:hAnsiTheme="minorEastAsia" w:eastAsiaTheme="minorEastAsia"/>
          <w:snapToGrid w:val="0"/>
          <w:kern w:val="0"/>
          <w:szCs w:val="21"/>
        </w:rPr>
        <w:t>】</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22.3.1  核对法定代表人（负责人）或其授权代表身份证明，若不能提供相应的身份证明或不相符，则视为无效投标。 </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22.3.2  投标文件中“开标一览表”的内容。</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22.3.3  采购代理机构认为合适的其他内容。</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23. 评审委员会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23.1采购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将根据采购货物的特点组建评审委员会，其成员由</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代表</w:t>
      </w:r>
      <w:r>
        <w:rPr>
          <w:rFonts w:hint="eastAsia" w:cs="仿宋" w:asciiTheme="minorEastAsia" w:hAnsiTheme="minorEastAsia" w:eastAsiaTheme="minorEastAsia"/>
          <w:bCs/>
          <w:snapToGrid w:val="0"/>
          <w:kern w:val="0"/>
          <w:szCs w:val="21"/>
        </w:rPr>
        <w:t>和有关技术、经济等方面的</w:t>
      </w:r>
      <w:r>
        <w:rPr>
          <w:rFonts w:hint="eastAsia" w:cs="仿宋" w:asciiTheme="minorEastAsia" w:hAnsiTheme="minorEastAsia" w:eastAsiaTheme="minorEastAsia"/>
          <w:snapToGrid w:val="0"/>
          <w:kern w:val="0"/>
          <w:szCs w:val="21"/>
        </w:rPr>
        <w:t>专家组成。评审委员会对投标文件进行审查、质疑、评估和比较。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23.2 评审期间，投标供应商应由法定代表人或其授权代表参加询标。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23.3评审委员会成员对需要共同认定的事项存在争议的，应当按照少数服从多数的原则作出结论。持不同意见的评审委员会成员应当在评审报告上签署不同意见及理由，否则视为同意评审报告。</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24. 对投标文件的审查和投标性的确定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  采购机构就投标文件中的资格证明文件内容对投标供应商进行资格核查：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24.1.1采购机构就投标文件中的资格证明等内容对投标供应商进行资格核查，核查不合格的，认定其投标无效。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  评审委员会将投标文件进行符合性审查：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24.2.1  评审委员会将审查投标文件是否完整、总体编排是否有序、文件签署是否合格、有无计算上的错误等。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24.2.2  算术错误将按以下方法更正（次序排先者优先）：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（1）开标一览表内容与投标文件中相应内容不一致的，以开标一览表为准；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（2）</w:t>
      </w:r>
      <w:r>
        <w:rPr>
          <w:rFonts w:hint="eastAsia" w:cs="仿宋" w:asciiTheme="minorEastAsia" w:hAnsiTheme="minorEastAsia" w:eastAsiaTheme="minorEastAsia"/>
          <w:szCs w:val="21"/>
        </w:rPr>
        <w:t>大写金额和小写金额不一致的，以大写金额为准；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（3）</w:t>
      </w:r>
      <w:r>
        <w:rPr>
          <w:rFonts w:hint="eastAsia" w:cs="仿宋" w:asciiTheme="minorEastAsia" w:hAnsiTheme="minorEastAsia" w:eastAsiaTheme="minorEastAsia"/>
          <w:szCs w:val="21"/>
        </w:rPr>
        <w:t>单价金额小数点或者百分比有明显错位的，以开标一览表的总价为准，并修改单价；</w:t>
      </w:r>
    </w:p>
    <w:p>
      <w:pPr>
        <w:adjustRightInd w:val="0"/>
        <w:spacing w:line="360" w:lineRule="auto"/>
        <w:ind w:firstLine="105" w:firstLineChars="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w:t>
      </w:r>
      <w:r>
        <w:rPr>
          <w:rFonts w:hint="eastAsia" w:cs="仿宋" w:asciiTheme="minorEastAsia" w:hAnsiTheme="minorEastAsia" w:eastAsiaTheme="minorEastAsia"/>
          <w:szCs w:val="21"/>
        </w:rPr>
        <w:t>总价金额与按单价汇总金额不一致的，以单价金额计算结果为准。</w:t>
      </w:r>
    </w:p>
    <w:p>
      <w:pPr>
        <w:adjustRightInd w:val="0"/>
        <w:spacing w:line="360" w:lineRule="auto"/>
        <w:ind w:left="210" w:hanging="210" w:hanging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zCs w:val="21"/>
        </w:rPr>
        <w:t xml:space="preserve">     同时出现两种以上不一致的，按照前款规定的顺序修正。修正后的报价按照本须知25.2条的规定，经投标供应商确认后产生约束力，投标供应商不确认的，其投标无效。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24.2.3  在对投标文件进行详细评估之前，评审委员会将依据投标供应商提供的“资格证明或声明文件”审查投标供应商的财务、技术和生产能力。如果确定投标供应商无资格履行合同，其投标将被拒绝。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24.2.4  评审委员会将确定每份投标是否对征集文件的要求，作出了实质性的响应而没有重大偏离。实质性响应的投标是指符合征集文件的所有条款、条件和规定，且没有重大偏离或保留。重大偏离或保留系指影响到征集文件规定的范围、质量和性能，或限制了</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的权力和投标供应商的义务的规定。而纠正这些偏离将影响到其它提交实质性响应的投标供应商的公平竞争地位。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24.2.5  评审委员会判断投标文件的投标性，仅基于征集文件和投标文件本身而不靠外部证据。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24.2.6  评审委员会将拒绝被确定为非实质性投标的投标供应商。投标供应商不能通过修正或撤销不符之处，而使其投标成为实质性投标的投标。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24.2.7  评审委员会允许修改投标中不构成重大偏离的、微小的、非正规、不一致或不规则的地方。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24.2.8  评审委员会认为投标供应商的报价明显低于其他通过符合性审查投标供应商的报价，有可能影响产品质量或者不能诚信履约的，应当要求其在评审现场合理的时间内提供书面说明，必要时提交相关证明材料；投标供应商不能证明其报价合理性的，评审委员会应当将其作为无效投标处理。若评审委员会成员对是否须由投标供应商作出报价合理性说明，以及书面说明是否采纳等判断不一致的，按照“少数服从多数”的原则确定评审委员会的意见。</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25. 投标文件的澄清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25.1  为了有助于对投标文件进行审查、评估和比较，</w:t>
      </w:r>
      <w:r>
        <w:rPr>
          <w:rFonts w:hint="eastAsia" w:cs="仿宋" w:asciiTheme="minorEastAsia" w:hAnsiTheme="minorEastAsia" w:eastAsiaTheme="minorEastAsia"/>
          <w:bCs/>
          <w:snapToGrid w:val="0"/>
          <w:kern w:val="0"/>
          <w:szCs w:val="21"/>
        </w:rPr>
        <w:t>评审委员会</w:t>
      </w:r>
      <w:r>
        <w:rPr>
          <w:rFonts w:hint="eastAsia" w:cs="仿宋" w:asciiTheme="minorEastAsia" w:hAnsiTheme="minorEastAsia" w:eastAsiaTheme="minorEastAsia"/>
          <w:snapToGrid w:val="0"/>
          <w:kern w:val="0"/>
          <w:szCs w:val="21"/>
        </w:rPr>
        <w:t>有权向投标供应商提出质疑，并请投标供应商澄清其投标内容。投标供应商有责任，按照采购</w:t>
      </w:r>
      <w:r>
        <w:rPr>
          <w:rFonts w:hint="eastAsia" w:cs="仿宋" w:asciiTheme="minorEastAsia" w:hAnsiTheme="minorEastAsia" w:eastAsiaTheme="minorEastAsia"/>
          <w:bCs/>
          <w:snapToGrid w:val="0"/>
          <w:kern w:val="0"/>
          <w:szCs w:val="21"/>
        </w:rPr>
        <w:t>代理机构</w:t>
      </w:r>
      <w:r>
        <w:rPr>
          <w:rFonts w:hint="eastAsia" w:cs="仿宋" w:asciiTheme="minorEastAsia" w:hAnsiTheme="minorEastAsia" w:eastAsiaTheme="minorEastAsia"/>
          <w:snapToGrid w:val="0"/>
          <w:kern w:val="0"/>
          <w:szCs w:val="21"/>
        </w:rPr>
        <w:t>通知的时间、地点，指派专人进行答疑和澄清。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25.2  澄清、答复应是书面的，但不得对投标内容进行实质性修改。</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26. 评审方法和详细评审</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26.1 评委会将按照本须知第24条规定只对确定为实质上投标的投标文件进行评价和比较。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26.2 评审的基础应是本须知第12条规定的投标报价。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26.3 评审委员会将对低于成本价格的投标作无效投标处理。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26.4 评委会在评审时，应按照评审信息量化的评审因素，对各投标文件进行分析和评审。</w:t>
      </w:r>
    </w:p>
    <w:p>
      <w:pPr>
        <w:adjustRightInd w:val="0"/>
        <w:spacing w:line="360" w:lineRule="auto"/>
        <w:rPr>
          <w:rFonts w:cs="仿宋" w:asciiTheme="minorEastAsia" w:hAnsiTheme="minorEastAsia" w:eastAsiaTheme="minorEastAsia"/>
          <w:szCs w:val="21"/>
        </w:rPr>
      </w:pPr>
      <w:bookmarkStart w:id="12" w:name="q9"/>
      <w:bookmarkEnd w:id="12"/>
      <w:r>
        <w:rPr>
          <w:rFonts w:hint="eastAsia" w:cs="仿宋" w:asciiTheme="minorEastAsia" w:hAnsiTheme="minorEastAsia" w:eastAsiaTheme="minorEastAsia"/>
          <w:snapToGrid w:val="0"/>
          <w:kern w:val="0"/>
          <w:szCs w:val="21"/>
        </w:rPr>
        <w:t>26.4.2</w:t>
      </w:r>
      <w:r>
        <w:rPr>
          <w:rFonts w:hint="eastAsia" w:cs="仿宋" w:asciiTheme="minorEastAsia" w:hAnsiTheme="minorEastAsia" w:eastAsiaTheme="minorEastAsia"/>
          <w:szCs w:val="21"/>
        </w:rPr>
        <w:t>本项目涉及提供的有关资质证书，若原有资质证书处于年审期间，须提供证书颁发部门提供的回执，并且回执须证明该证书依然有效（若在法规范围不需提供的，投标供应商应做书面说明并提供证明文件，否则该证书无效），则该投标供应商提供年审证明的可按原资质投标；若投标供应商正在申报上一级别资质，在未获批准之前，仍按原级别资质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综合以上分析比较按前附表第13项所述的评审方法，评委会将按照征集文件规定的各项因素对各投标文件进行量化打分并加权汇总，对各评委的总评分取算术平均值确定该投标供应商的评审总得分(精确至小数点后二位)，评审总得分最高者将被推荐为中标供应商，并作出评审结论。若得分相同的，按投标报价由低到高顺序排列；得分且投标报价相同的，按技术服务优劣顺序（即技术分由高到低排序）排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26.5.1公开征集采购方式说明：因有效投标供应商不足三家而致公开征集、公开竞价失败的，采购单位可结合实际需要，重新实施采购或依据有效投标供应商数量，在评标现场即转为邀请竞标或直接采购。</w:t>
      </w:r>
    </w:p>
    <w:p>
      <w:pPr>
        <w:pStyle w:val="2"/>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邀请竞标</w:t>
      </w:r>
      <w:r>
        <w:rPr>
          <w:rFonts w:hint="eastAsia" w:cs="仿宋" w:asciiTheme="minorEastAsia" w:hAnsiTheme="minorEastAsia" w:eastAsiaTheme="minorEastAsia"/>
          <w:snapToGrid w:val="0"/>
          <w:kern w:val="0"/>
          <w:szCs w:val="21"/>
        </w:rPr>
        <w:t>采购方式说明</w:t>
      </w:r>
      <w:r>
        <w:rPr>
          <w:rFonts w:hint="eastAsia" w:cs="仿宋" w:asciiTheme="minorEastAsia" w:hAnsiTheme="minorEastAsia" w:eastAsiaTheme="minorEastAsia"/>
        </w:rPr>
        <w:t>：是指在社会招标代理机构服务（或政府集中采购机构）平台发布采购需求信息，邀请特定范围内2家以上供应商参加投标，按最低价中标原则确定成交供应商，或由社会招标代理机构组织采购单位代表、评审专家成立评审组评审并确定中标供应商的采购方式。</w:t>
      </w:r>
    </w:p>
    <w:p>
      <w:pPr>
        <w:pStyle w:val="2"/>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snapToGrid w:val="0"/>
          <w:kern w:val="0"/>
          <w:szCs w:val="21"/>
        </w:rPr>
        <w:t>直接采购采购方式说明：是指经批准由采购单位自行与唯一供应商通过谈判确定成交的采购方式。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26.6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27. 保密及其它注意事项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27.1  评审是采购工作的重要环节，评审工作在评委会内独立进行。评委会将遵照评审原则，公正、平等地对待所有投标供应商。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27.2  评审期间，评委会将对投标文件中有关问题分别向投标供应商进行询问。各投标供应商应予以认真答复。重要或复杂问题的答复需以书面形式，并经法定代表人或授权人签署。澄清文件将作为投标文件的组成部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27.3  在开标、投标期间，投标供应商不得向评委询问评审情况，不得进行旨在影响评审结果的活动。</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27.4  为保证定标的公正性，在评审过程中，评委不得与投标供应商私下交换意见。在采购工作结束后，凡与评审情况有接触的任何人，不得也不应将评审情况扩散出评委人员之外。</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27.5  评委会不向落标方解释落标原因，不退还投标文件。</w:t>
      </w:r>
    </w:p>
    <w:p>
      <w:pPr>
        <w:rPr>
          <w:rFonts w:cs="仿宋" w:asciiTheme="minorEastAsia" w:hAnsiTheme="minorEastAsia" w:eastAsiaTheme="minorEastAsia"/>
        </w:rPr>
      </w:pPr>
    </w:p>
    <w:p>
      <w:pPr>
        <w:adjustRightInd w:val="0"/>
        <w:spacing w:line="360" w:lineRule="auto"/>
        <w:jc w:val="center"/>
        <w:rPr>
          <w:rFonts w:cs="仿宋" w:asciiTheme="minorEastAsia" w:hAnsiTheme="minorEastAsia" w:eastAsiaTheme="minorEastAsia"/>
          <w:b/>
          <w:snapToGrid w:val="0"/>
          <w:kern w:val="0"/>
          <w:sz w:val="32"/>
          <w:szCs w:val="32"/>
        </w:rPr>
      </w:pPr>
      <w:r>
        <w:rPr>
          <w:rFonts w:hint="eastAsia" w:cs="仿宋" w:asciiTheme="minorEastAsia" w:hAnsiTheme="minorEastAsia" w:eastAsiaTheme="minorEastAsia"/>
          <w:b/>
          <w:snapToGrid w:val="0"/>
          <w:kern w:val="0"/>
          <w:sz w:val="32"/>
          <w:szCs w:val="32"/>
        </w:rPr>
        <w:t>Ｆ　　授予合同</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28．合同授予标准</w:t>
      </w:r>
    </w:p>
    <w:p>
      <w:pPr>
        <w:tabs>
          <w:tab w:val="left" w:pos="5688"/>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本项目采购合同授予本须知26.5款所确定的中标供应商。</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29. 中标通知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29.1  采购机构在发出《中标通知书》之前，将中标结果通过政府采购指定网站进行公示。中标结果公示期满无异议或者异议不成立的，采购机构将发出《中标通知书》。《中标通知书》一经发出即发生法律效力。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29.2 《中标通知书》将作为签订合同的重要依据。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29.3  中标方向采购代理机构支付采购代理服务费后，采购代理机构发出《中标通知书》。</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30. 授予合同时变更数量的权力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30.1  </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在签订合同时，有权对征集文件中列明的货物或服务的数量，在法定范围内，依法定程序予以增加或减少。</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31. 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31.1  中标方应按《中标通知书》或按</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指定的时间、地点与</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31.2  征集文件、中标方的投标文件及其澄清文件等，均为签订合同的依据。</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32.  履约保证金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32.1  中标供应商须按征集文件的规定或根据合同的规定向</w:t>
      </w:r>
      <w:r>
        <w:rPr>
          <w:rFonts w:hint="eastAsia" w:cs="仿宋" w:asciiTheme="minorEastAsia" w:hAnsiTheme="minorEastAsia" w:eastAsiaTheme="minorEastAsia"/>
          <w:bCs/>
          <w:snapToGrid w:val="0"/>
          <w:kern w:val="0"/>
          <w:szCs w:val="21"/>
        </w:rPr>
        <w:t>采购人</w:t>
      </w:r>
      <w:r>
        <w:rPr>
          <w:rFonts w:hint="eastAsia" w:cs="仿宋" w:asciiTheme="minorEastAsia" w:hAnsiTheme="minorEastAsia" w:eastAsiaTheme="minorEastAsia"/>
          <w:snapToGrid w:val="0"/>
          <w:kern w:val="0"/>
          <w:szCs w:val="21"/>
        </w:rPr>
        <w:t>提交履约保证金。</w:t>
      </w:r>
    </w:p>
    <w:p>
      <w:pPr>
        <w:adjustRightInd w:val="0"/>
        <w:spacing w:line="360" w:lineRule="auto"/>
        <w:rPr>
          <w:rFonts w:cs="仿宋" w:asciiTheme="minorEastAsia" w:hAnsiTheme="minorEastAsia" w:eastAsiaTheme="minorEastAsia"/>
          <w:b/>
          <w:snapToGrid w:val="0"/>
          <w:kern w:val="0"/>
          <w:szCs w:val="21"/>
        </w:rPr>
      </w:pPr>
      <w:r>
        <w:rPr>
          <w:rFonts w:hint="eastAsia" w:cs="仿宋" w:asciiTheme="minorEastAsia" w:hAnsiTheme="minorEastAsia" w:eastAsiaTheme="minorEastAsia"/>
          <w:b/>
          <w:snapToGrid w:val="0"/>
          <w:kern w:val="0"/>
          <w:szCs w:val="21"/>
        </w:rPr>
        <w:t>33. 采购代理服务费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33.1  采购代理服务费按前附表第14项所述，最低收取人民币6000元。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33.2  采购代理服务费金额按下列方法计算：</w:t>
      </w:r>
    </w:p>
    <w:tbl>
      <w:tblPr>
        <w:tblStyle w:val="16"/>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661"/>
        <w:gridCol w:w="1661"/>
        <w:gridCol w:w="16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33"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8gGPlbMBAAB+AwAADgAAAGRycy9lMm9Eb2MueG1srVPL&#10;btswELwX6D8QvNe04jZNBMsBAiNtgaItkORs0BRpEeALS9qS/75LSnLT9JJDL9RwdzncmaXWd4M1&#10;5CQhau8aWi2WlEgnfKvdoaHPTw8fbiiJibuWG+9kQ88y0rvN+3frPtTyynfetBIIkrhY96GhXUqh&#10;ZiyKTloeFz5Ih0nlwfKEWziwFniP7Nawq+XymvUe2gBeyBgxuh2TdGKEtxB6pbSQWy+OVro0soI0&#10;PKGk2OkQ6aZ0q5QU6adSUSZiGopKU1nxEsT7vLLNmtcH4KHTYmqBv6WFV5os1w4vvVBteeLkCPof&#10;KqsF+OhVWghv2SikOIIqquUrbx47HmTRglbHcDE9/j9a8eP0C4huG7paUeK4xYnvdk9fd/erzxhB&#10;e/oQa6x6DFiXhns/4KOZ4xGDWfWgwOYv6iGYR3PPF3PlkIjA4KeP1xUmBGaq6nZ1U7xnf84GiOmL&#10;9JZk0FDA0RVH+el7TNgHls4l+SrnH7QxZXzG/RXAwjEiy/yn01nG2G5GadgPk7a9b88ozXxzaGt+&#10;IjOAGexncAygDx02VwxgmQjHUlqbnlCe+8s94pe/ze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PIBj5WzAQAAfg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32"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AMU54CtAEAAH8DAAAOAAAAZHJzL2Uyb0RvYy54bWytU8tu&#10;2zAQvBfoPxC815RtJEgEywECI22Boi2Q9GzQ1NIiwBdI2pL/vktKctP0kkMv1HIfw53Z1eZhMJqc&#10;IUTlbEOXi4oSsMK1yh4b+uvl6dMdJTFx23LtLDT0ApE+bD9+2PS+hpXrnG4hEASxse59Q7uUfM1Y&#10;FB0YHhfOg8WgdMHwhNdwZG3gPaIbzVZVdct6F1ofnIAY0bsbg3RCDO8BdFIqATsnTgZsGlEDaJ6Q&#10;UuyUj3RbupUSRPohZYREdEORaSonPoL2IZ9su+H1MXDfKTG1wN/TwhtOhiuLj16hdjxxcgrqHyij&#10;RHDRybQQzrCRSFEEWSyrN9o8d9xD4YJSR38VPf4/WPH9/DMQ1TZ0vaLEcoMT3+9fvuwf17foQXl6&#10;H2vMevaYl4ZHN+DSzP6Izsx6kMHkL/IhGEdxL1dxYUhE5KLVTXV/Q4nA0HJ5v74r4rM/xT7E9Bmc&#10;IdloaMDZFUn5+VtM2Aimzin5LeuelNZlftr+5cDE0QNlAabqzGPsN1tpOAwTuYNrL8hNf7Woa96R&#10;2QizcZiNkw/q2GFzRQGWgXAupbVph/LgX9/Rfv3f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AxTngK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31"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a:effectLst/>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LnD867MBAAB+AwAADgAAAGRycy9lMm9Eb2MueG1srVPL&#10;btswELwX6D8QvMe04qZIBMsBAiNtgaItkPRs0BRpEeALXNqS/75LSnLT9JJDLtRwdzncmaXW94M1&#10;5CQjaO8aWi2WlEgnfKvdoaG/nx+vbimBxF3LjXeyoWcJ9H7z8cO6D7W89p03rYwESRzUfWhol1Ko&#10;GQPRScth4YN0mFQ+Wp5wGw+sjbxHdmvY9XL5mfU+tiF6IQEwuh2TdGKMbyH0Smkht14crXRpZI3S&#10;8ISSoNMB6KZ0q5QU6adSIBMxDUWlqax4CeJ9XtlmzetD5KHTYmqBv6WFV5os1w4vvVBteeLkGPV/&#10;VFaL6MGrtBDeslFIcQRVVMtX3jx1PMiiBa2GcDEd3o9W/Dj9ikS3DV1VlDhuceK73fPX3cPqBiNo&#10;Tx+gxqqngHVpePADPpo5DhjMqgcVbf6iHoJ5NPd8MVcOiQgMfrq7WWFCYKaq7la3xXv292yIkL5I&#10;b0kGDY04uuIoP32HhH1g6VySr3L+URtTxmfcPwEsHCOyzH86nWWM7WaUhv0wadv79ozSzDeHtuYn&#10;MoM4g/0MjiHqQ4fNFQNYJsKxlNamJ5Tn/nKP+OVvs/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C5w/OuzAQAAfgMAAA4AAAAAAAAAAQAgAAAAJwEAAGRycy9lMm9Eb2MueG1sUEsFBgAAAAAG&#10;AAYAWQEAAEwFA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5648"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30"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Cme4A8sgEAAH8DAAAOAAAAZHJzL2Uyb0RvYy54bWytU8lu&#10;2zAQvRfoPxC81/TSJRUsBwiMtAGKNkDSs0FTpEWAG4a0Jf99hpTkLL3k0As1HA7fvPeGWl/31pCT&#10;hKi9q+liNqdEOuEb7Q41/ft4++mKkpi4a7jxTtb0LCO93nz8sO5CJZe+9aaRQBDExaoLNW1TChVj&#10;UbTS8jjzQTo8VB4sT7iFA2uAd4huDVvO519Z56EJ4IWMEbPb4ZCOiPAeQK+UFnLrxdFKlwZUkIYn&#10;lBRbHSLdFLZKSZH+KBVlIqamqDSVFZtgvM8r26x5dQAeWi1GCvw9FN5oslw7bHqB2vLEyRH0P1BW&#10;C/DRqzQT3rJBSHEEVSzmb7x5aHmQRQtaHcPF9Pj/YMXv0z0Q3dR0hZY4bnHiu93jz93N6jNm0J4u&#10;xAqrHgLWpf7G9/hopnzEZFbdK7D5i3oIniPS+WKu7BMR+dLyy7fcQ+DRYvF9dVXQ2fPlADH9kN6S&#10;HNQUcHbFUn76FRMSwdKpJPdy/lYbU+Zn3KsEFg4ZWR7AeDvrGPjmKPX7fhS3980ZtZk7h74iwTQF&#10;MAX7KTgG0IcWyRUHWAbCuRRq4xvKg3+5x/jlf7N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Cme4A8sgEAAH8DAAAOAAAAAAAAAAEAIAAAACYBAABkcnMvZTJvRG9jLnhtbFBLBQYAAAAABgAG&#10;AFkBAABKBQ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29"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BU+LQdtAEAAH8DAAAOAAAAZHJzL2Uyb0RvYy54bWytU01v&#10;4yAQva/U/4C4N3YStWqsOJWqqO1Kq92V2j1HBEOMBAwCEjv/vgO202730sNe8DAfj3lvxuv73mhy&#10;Ej4osDWdz0pKhOXQKHuo6Z/Xx+s7SkJktmEarKjpWQR6v7n6tu5cJRbQgm6EJwhiQ9W5mrYxuqoo&#10;Am+FYWEGTlgMSvCGRbz6Q9F41iG60cWiLG+LDnzjPHARAnq3Q5COiP4rgCCl4mIL/GiEjQOqF5pF&#10;pBRa5QLd5G6lFDz+kjKISHRNkWnMJz6C9j6dxWbNqoNnrlV8bIF9pYVPnAxTFh+9QG1ZZOTo1T9Q&#10;RnEPAWSccTDFQCQrgizm5SdtXlrmROaCUgd3ET38P1j+8/TbE9XUdLGixDKDE9/tXp93D8slelCe&#10;zoUKs14c5sX+AXpcmskf0JlY99Kb9EU+BOMo7vkirugj4alocVOubijhGJrPV8u7LH7xXux8iE8C&#10;DElGTT3OLkvKTj9CxEYwdUpJb1l4VFrn+Wn7lwMTB4/ICzBWJx5Dv8mK/b4fye2hOSM3/d2irmlH&#10;JsNPxn4yjs6rQ4vNZQWKBIRzya2NO5QG//GO9sf/ZvM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Z1PIdcAAAAHAQAADwAAAAAAAAABACAAAAAiAAAAZHJzL2Rvd25yZXYueG1sUEsBAhQAFAAAAAgA&#10;h07iQFT4tB2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3600"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28"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BFGKsOzAQAAfwMAAA4AAABkcnMvZTJvRG9jLnhtbK1TTY/b&#10;IBC9V+p/QNwbEkdtt1aclVbRtpWqttJuzxHBECMBg4DEzr/vgO10u3vZw17wMB+PeW/Gm9vBGnKW&#10;IWpwDV0tlpRIJ6DV7tjQP4/3H24oiYm7lhtwsqEXGent9v27Te9rWUEHppWBIIiLde8b2qXka8ai&#10;6KTlcQFeOgwqCJYnvIYjawPvEd0aVi2Xn1gPofUBhIwRvbsxSCfE8BpAUEoLuQNxstKlETVIwxNS&#10;ip32kW5Lt0pJkX4pFWUipqHINJUTH0H7kE+23fD6GLjvtJha4K9p4Rkny7XDR69QO544OQX9Aspq&#10;ESCCSgsBlo1EiiLIYrV8ps1Dx70sXFDq6K+ix7eDFT/PvwPRbUMrnLvjFie+3z9+29+tK/SgPL2P&#10;NWY9eMxLwx0MuDSzP6Izsx5UsPmLfAjGUdzLVVw5JCJyUfXx8xojAkOr1Zf1TRGf/Sv2IaavEizJ&#10;RkMDzq5Iys8/YsJGMHVOyW85uNfGlPkZ958DE0ePLAswVWceY7/ZSsNhmMgdoL0gN/Pdoa55R2Yj&#10;zMZhNk4+6GOHzRUFWAbCuZTWph3Kg396R/vpf7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bW&#10;dhPWAAAABwEAAA8AAAAAAAAAAQAgAAAAIgAAAGRycy9kb3ducmV2LnhtbFBLAQIUABQAAAAIAIdO&#10;4kARRirDswEAAH8DAAAOAAAAAAAAAAEAIAAAACUBAABkcnMvZTJvRG9jLnhtbFBLBQYAAAAABgAG&#10;AFkBAABKBQ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27"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B1omxi0AQAAfwMAAA4AAABkcnMvZTJvRG9jLnhtbK1TyW7b&#10;MBC9F+g/ELzHkhwkTQTLAQIjbYGgLZD0bNDU0CLADSRtyX/fISU5Sy855EINZ3mc92a0uhu0Ikfw&#10;QVrT0GpRUgKG21aafUP/Pj9c3FASIjMtU9ZAQ08Q6N3665dV72pY2s6qFjxBEBPq3jW0i9HVRRF4&#10;B5qFhXVgMCis1yzi1e+L1rMe0bUqlmV5XfTWt85bDiGgdzMG6YToPwJohZAcNpYfNJg4onpQLCKl&#10;0EkX6Dp3KwTw+FuIAJGohiLTmE98BO1dOov1itV7z1wn+dQC+0gL7zhpJg0+eobasMjIwcv/oLTk&#10;3gYr4oJbXYxEsiLIoirfafPUMQeZC0od3Fn08Hmw/NfxjyeybejyGyWGaZz4dvv8Y3t/WaEH5eld&#10;qDHryWFeHO7tgEsz+wM6E+tBeJ2+yIdgHMU9ncWFIRKeipZX5e0VJRxDVXV7eZPFL16KnQ/xO1hN&#10;ktFQj7PLkrLjY4jYCKbOKektYx+kUnl+yrxxYOLogbwAU3XiMfabrDjshonczrYn5KZ+GtQ17chs&#10;+NnYzcbBebnvsLmsQJGAcC65tWmH0uBf39F+/d+s/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HWibGLQBAAB/AwAADgAAAAAAAAABACAAAAAlAQAAZHJzL2Uyb0RvYy54bWxQSwUGAAAAAAYA&#10;BgBZAQAASwU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26"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95fufswEAAH8DAAAOAAAAZHJzL2Uyb0RvYy54bWytU8tu&#10;2zAQvBfoPxC815KFOk0EywECI22BIi2Q9GzQFGkRILkESVvy32dJSc6jlxx6oZb7GO7Mrta3g9Hk&#10;JHxQYBu6XJSUCMuhVfbQ0L9P91+uKQmR2ZZpsKKhZxHo7ebzp3XvalFBB7oVniCIDXXvGtrF6Oqi&#10;CLwThoUFOGExKMEbFvHqD0XrWY/oRhdVWV4VPfjWeeAiBPRuxyCdEP1HAEFKxcUW+NEIG0dULzSL&#10;SCl0ygW6yd1KKXj8LWUQkeiGItOYT3wE7X06i82a1QfPXKf41AL7SAvvOBmmLD56gdqyyMjRq3+g&#10;jOIeAsi44GCKkUhWBFksy3faPHbMicwFpQ7uInr4f7D84fTHE9U2tLqixDKDE9/tnn7s7qoKPShP&#10;70KNWY8O8+JwBwMuzewP6EysB+lN+iIfgnEU93wRVwyR8FRUrcqbFSUcQ8vl9bevq4RSvBQ7H+J3&#10;AYYko6EeZ5clZadfIY6pc0p6y8K90jrPT9s3DsQcPSIvwFSdeIz9JisO+2Eit4f2jNz0T4u6ph2Z&#10;DT8b+9k4Oq8OHTaXFSgSEM4ls5h2KA3+9R3t1//N5h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rSrU1wAAAAkBAAAPAAAAAAAAAAEAIAAAACIAAABkcnMvZG93bnJldi54bWxQSwECFAAUAAAACACH&#10;TuJAPeX7n7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3"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63EsYrMBAAB/AwAADgAAAGRycy9lMm9Eb2MueG1srVPLbtsw&#10;ELwX6D8QvNeyZCRNBcsBAiNtgSAtkPRs0NTSIsAXSNqS/z5LSnLS9JJDL9RyH8Od2dX6dtCKnMAH&#10;aU1Dy8WSEjDcttIcGvrn+f7LDSUhMtMyZQ009AyB3m4+f1r3robKdla14AmCmFD3rqFdjK4uisA7&#10;0CwsrAODQWG9ZhGv/lC0nvWIrlVRLZfXRW9967zlEAJ6t2OQToj+I4BWCMlha/lRg4kjqgfFIlIK&#10;nXSBbnK3QgCPv4QIEIlqKDKN+cRH0N6ns9isWX3wzHWSTy2wj7TwjpNm0uCjF6gti4wcvfwHSkvu&#10;bbAiLrjVxUgkK4IsyuU7bZ465iBzQamDu4ge/h8sfzz99kS2uAkrSgzTOPHd7vnH7q4qq6skT+9C&#10;jVlPDvPicGcHTJ39AZ2J9SC8Tl/kQzCO4p4v4sIQCU9F1dXXFUY4hsry2+omi1+8Fjsf4newmiSj&#10;oR5nlyVlp4cQsRFMnVPSW8beS6Xy/JT5y4GJowfyAkzVicfYb7LisB8mcnvbnpGb+mlQ17Qjs+Fn&#10;Yz8bR+flocPmsgJFAsK55NamHUqDf3tH++1/s3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OtxLGKzAQAAfwMAAA4AAAAAAAAAAQAgAAAAJAEAAGRycy9lMm9Eb2MueG1sUEsFBgAAAAAGAAYA&#10;WQEAAEkFA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9504"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2"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cpUVbIBAAB/AwAADgAAAGRycy9lMm9Eb2MueG1srVPJ&#10;btswEL0X6D8QvMeUBDtNBMsBAiNtgaAtkPRs0BRpEeAGkrbkv++QkpyllxxyoYazPM57M1rfDVqh&#10;E/dBWtPgclFgxA2zrTSHBv99fri6wShEalqqrOENPvOA7zZfv6x7V/PKdla13CMAMaHuXYO7GF1N&#10;SGAd1zQsrOMGgsJ6TSNc/YG0nvaArhWpiuKa9Na3zlvGQwDvdgziCdF/BNAKIRnfWnbU3MQR1XNF&#10;I1AKnXQBb3K3QnAWfwsReESqwcA05hMeAXufTrJZ0/rgqeskm1qgH2nhHSdNpYFHL1BbGik6evkf&#10;lJbM22BFXDCryUgkKwIsyuKdNk8ddTxzAamDu4gePg+W/Tr98Ui2sAkVRoZqmPhu9/xjd18uq2WS&#10;p3ehhqwnB3lxuLcDpM7+AM7EehBepy/wQRAHcc8XcfkQEUtF1aq4XWHEIFSWN9+Wq4RCXoqdD/E7&#10;txolo8EeZpclpafHEMfUOSW9ZeyDVCrPT5k3DsAcPTwvwFSdeIz9JisO+2Eit7ftGbipnwZ0TTsy&#10;G3429rNxdF4eOmguK0ASEMwls5h2KA3+9R3s1//N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cpUVb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1"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y7UNerMBAAB/AwAADgAAAGRycy9lMm9Eb2MueG1srVPJ&#10;btswEL0X6D8QvNeSbKRIBMsBAiNJgaItkORs0BRpEeCGIW3Jf98hJTlLLzn0Qg1neZz3ZrS+HYwm&#10;JwFBOdvQalFSIix3rbKHhr4833+7piREZlumnRUNPYtAbzdfv6x7X4ul65xuBRAEsaHufUO7GH1d&#10;FIF3wrCwcF5YDEoHhkW8wqFogfWIbnSxLMvvRe+g9eC4CAG92zFIJ0T4DKCTUnGxdfxohI0jKgjN&#10;IlIKnfKBbnK3Ugoef0sZRCS6ocg05hMfQXufzmKzZvUBmO8Un1pgn2nhAyfDlMVHL1BbFhk5gvoH&#10;yigOLjgZF9yZYiSSFUEWVflBm6eOeZG5oNTBX0QP/w+W/zr9AaJa3ISKEssMTny3e37c3VWr5SrJ&#10;0/tQY9aTx7w43LkBU2d/QGdiPUgw6Yt8CMZR3PNFXDFEwlPR8qq8uaKEY6iqblbXWfzitdhDiA/C&#10;GZKMhgLOLkvKTj9DxEYwdU5Jb1l3r7TO89P2nQMTR4/ICzBVJx5jv8mKw36YyO1de0Zu+odFXdOO&#10;zAbMxn42jh7UocPmsgJFAsK55NamHUqDf3tH++1/s/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Mu1DXqzAQAAfw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7456"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0"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Tpdk7IBAAB/AwAADgAAAGRycy9lMm9Eb2MueG1srVNN&#10;a9wwEL0X+h+E7l3ZLgmJWW8gLGkDoS0kPS9aWV4L9MVIu/b++4xke5umlxx6kUfz8TTvzXh9NxpN&#10;ThKCcrah5aqgRFrhWmUPDf398vDlhpIQuW25dlY29CwDvdt8/rQefC0r1zvdSiAIYkM9+Ib2Mfqa&#10;sSB6aXhYOS8tBjsHhke8woG1wAdEN5pVRXHNBgetBydkCOjdTkE6I8JHAF3XKSG3ThyNtHFCBal5&#10;REqhVz7QTe6266SIP7suyEh0Q5FpzCc+gvY+nWyz5vUBuO+VmFvgH2nhHSfDlcVHL1BbHjk5gvoH&#10;yigBLrguroQzbCKSFUEWZfFOm+eee5m5oNTBX0QP/w9W/Dj9AqJa3ASUxHKDE9/tXr7v7suqqpI8&#10;gw81Zj17zIvjvRsxdfEHdCbWYwcmfZEPwTginS/iyjESkYqqq+L2ihKBobK8/XqTxWd/ij2E+E06&#10;Q5LRUMDZZUn56SlEbARTl5T0lnUPSus8P23/cmDi5JF5AebqxGPqN1lx3I8zub1rz8hNP1rUNe3I&#10;YsBi7Bfj6EEdemwuK8ASEM4ltzbvUBr82zvab/+bzS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j&#10;XzaP2AAAAAkBAAAPAAAAAAAAAAEAIAAAACIAAABkcnMvZG93bnJldi54bWxQSwECFAAUAAAACACH&#10;TuJAUTpdk7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9"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T8SmUswEAAH4DAAAOAAAAZHJzL2Uyb0RvYy54bWytU8tu&#10;2zAQvBfoPxC815IcJIgFywECI0mBoi2Q9GzQFGkR4AtL2pL/PktKctP0kkMu1HB3OdyZpdZ3g9Hk&#10;JCAoZxtaLUpKhOWuVfbQ0D8vD99uKQmR2ZZpZ0VDzyLQu83XL+ve12LpOqdbAQRJbKh739AuRl8X&#10;ReCdMCwsnBcWk9KBYRG3cChaYD2yG10sy/Km6B20HhwXIWB0OybpxAgfIXRSKi62jh+NsHFkBaFZ&#10;REmhUz7QTe5WSsHjLymDiEQ3FJXGvOIliPdpLTZrVh+A+U7xqQX2kRbeaTJMWbz0QrVlkZEjqP+o&#10;jOLggpNxwZ0pRiHZEVRRle+8ee6YF1kLWh38xfTwebT85+k3ENU2dEWJZQYHvtu9PO3uq2pZJXd6&#10;H2osevZYFod7N+CbmeMBg0n0IMGkL8ohmEdvzxdvxRAJT4eW1+XqmhKOqapaXd1m74u/hz2E+Cic&#10;IQk0FHB02VF2+hEiNoKlc0m6y7oHpXUen7b/BLBwjIg8/+l00jH2m1Ac9sMkbu/aM2rT3y3amp7I&#10;DGAG+xkcPahDh81lB4pEhGPJrU1PKM397R7x299m8wp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x&#10;2So/1wAAAAgBAAAPAAAAAAAAAAEAIAAAACIAAABkcnMvZG93bnJldi54bWxQSwECFAAUAAAACACH&#10;TuJAk/EplL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340995</wp:posOffset>
                      </wp:positionV>
                      <wp:extent cx="1346200" cy="340360"/>
                      <wp:effectExtent l="0" t="0" r="6350" b="2540"/>
                      <wp:wrapNone/>
                      <wp:docPr id="8"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20" o:spid="_x0000_s1026" o:spt="20" style="position:absolute;left:0pt;margin-left:-5.15pt;margin-top:26.85pt;height:26.8pt;width:106pt;z-index:25166540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YtgRffAQAA4gMAAA4AAABkcnMvZTJvRG9jLnhtbK1TTW/b&#10;MAy9D+h/EHRv7CRdMBhxemjW7VBsAdadA0WibQH6gqjGyb8fpWTpxy45zAeZlKhHvkdqeX+whu0h&#10;ovau5dNJzRk46ZV2fct/Pz/efuEMk3BKGO+g5UdAfr+6+bQcQwMzP3ijIDICcdiMoeVDSqGpKpQD&#10;WIETH8DRYeejFYnc2FcqipHQralmdb2oRh9ViF4CIu2uT4f8jBivAfRdpyWsvXyx4NIJNYIRiSjh&#10;oAPyVam260Cmn12HkJhpOTFNZaUkZO/yWq2WoumjCIOW5xLENSV84GSFdpT0ArUWSbCXqP+BslpG&#10;j75LE+ltdSJSFCEW0/qDNr8GEaBwIakxXETH/wcrf+w3kWnVcmq7E5Yavt0+f98+zYo2Y8CGQh7c&#10;JpJS2cOwiZnooYs2/4kCOxQ9jxc94ZCYpM3p/G5BLedM0tn8rp4vCmj1ejtETN/AW5aNlhvtMl/R&#10;iP0TJspIoX9D8rZxbGz5Yv45Ywoavo6aTqYNRABdX+6iN1o9amPyDYz97sFEthd5AMqXe06478Jy&#10;krXA4RRXjk6jMYBQX51i6RhIGkcvgucSLCjODNADylYZoiS0uSaSUhuXS4Mynmeer9Jma+fVsShe&#10;ZY9aXyo+j2merbc+2W+f5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uoAAtYAAAAKAQAADwAA&#10;AAAAAAABACAAAAAiAAAAZHJzL2Rvd25yZXYueG1sUEsBAhQAFAAAAAgAh07iQIYtgRffAQAA4gMA&#10;AA4AAAAAAAAAAQAgAAAAJQEAAGRycy9lMm9Eb2MueG1sUEsFBgAAAAAGAAYAWQEAAHYFAAAAAA==&#10;">
                      <v:fill on="f" focussize="0,0"/>
                      <v:stroke weight="0.5pt" color="#000000" joinstyle="round"/>
                      <v:imagedata o:title=""/>
                      <o:lock v:ext="edit" aspectratio="f"/>
                    </v:lin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0</wp:posOffset>
                      </wp:positionV>
                      <wp:extent cx="673100" cy="681355"/>
                      <wp:effectExtent l="0" t="0" r="12700" b="4445"/>
                      <wp:wrapNone/>
                      <wp:docPr id="7"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19" o:spid="_x0000_s1026" o:spt="20" style="position:absolute;left:0pt;margin-left:47.85pt;margin-top:0pt;height:53.65pt;width:53pt;z-index:25166438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C86zQbeAQAA4QMAAA4AAABkcnMvZTJvRG9jLnhtbK1TTW/bMAy9&#10;D9h/EHRfnDRI2hlxemjW7VBsAdadA0aSYwH6gqjGyb8fJbtZ111ymA8yKVJPfI/U6v5kDTuqiNq7&#10;hs8mU86UE15qd2j4r+fHT3ecYQInwXinGn5WyO/XHz+s+lCrG995I1VkBOKw7kPDu5RCXVUoOmUB&#10;Jz4oR8HWRwuJ3HioZISe0K2pbqbTZdX7KEP0QiHS7mYI8hExXgPo21YLtfHixSqXBtSoDCSihJ0O&#10;yNel2rZVIv1oW1SJmYYT01RWuoTsfV6r9QrqQ4TQaTGWANeU8I6TBe3o0gvUBhKwl6j/gbJaRI++&#10;TRPhbTUQKYoQi9n0nTY/OwiqcCGpMVxEx/8HK74ft5Fp2fBbzhxYavhu9/xt9zT7nLXpA9aU8uC2&#10;cfQwbGMmemqjzX+iwE5Fz/NFT3VKTNDm8nY+m5LSgkLLu9l8sciY1Z/DIWL6qrxl2Wi40S7ThRqO&#10;T5iG1NeUvG0c6wlpvsiYQLPXUs/JtIHqR3coZ9EbLR+1MfkExsP+wUR2hNz/8o0l/JWWL9kAdkNe&#10;CeU0qDsF8ouTLJ0DKePoQfBcglWSM6Po/WSrZCbQ5ppMYm9chlZlOkeeWedB2WztvTwXwavsUeeL&#10;aOOU5tF665P99mW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3G1tN0wAAAAcBAAAPAAAAAAAA&#10;AAEAIAAAACIAAABkcnMvZG93bnJldi54bWxQSwECFAAUAAAACACHTuJALzrNBt4BAADhAwAADgAA&#10;AAAAAAABACAAAAAiAQAAZHJzL2Uyb0RvYy54bWxQSwUGAAAAAAYABgBZAQAAcgUAAAAA&#10;">
                      <v:fill on="f" focussize="0,0"/>
                      <v:stroke weight="0.5pt" color="#000000" joinstyle="round"/>
                      <v:imagedata o:title=""/>
                      <o:lock v:ext="edit" aspectratio="f"/>
                    </v:line>
                  </w:pict>
                </mc:Fallback>
              </mc:AlternateConten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服务采购</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货物采购</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工程采购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100-500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0.80%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1.10%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0.70%</w:t>
            </w:r>
          </w:p>
        </w:tc>
      </w:tr>
    </w:tbl>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注：1、采购代理服务费按差额定率累进法计算。例如：某服务类项目中标金额为200万元，计算采购代理服务费额如下：</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100万元×1.5%=1.5万元</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（200-100）万元×0.8%=0.8万元</w:t>
      </w:r>
    </w:p>
    <w:p>
      <w:pP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合计收费=1.5+0.8＝2.3（万元）</w:t>
      </w:r>
    </w:p>
    <w:p>
      <w:pPr>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第六部分</w:t>
      </w:r>
    </w:p>
    <w:p>
      <w:pPr>
        <w:jc w:val="center"/>
        <w:rPr>
          <w:rFonts w:cs="仿宋" w:asciiTheme="minorEastAsia" w:hAnsiTheme="minorEastAsia" w:eastAsiaTheme="minorEastAsia"/>
          <w:b/>
          <w:snapToGrid w:val="0"/>
          <w:kern w:val="0"/>
          <w:sz w:val="56"/>
          <w:szCs w:val="96"/>
        </w:rPr>
      </w:pPr>
      <w:r>
        <w:rPr>
          <w:rFonts w:hint="eastAsia" w:cs="仿宋" w:asciiTheme="minorEastAsia" w:hAnsiTheme="minorEastAsia" w:eastAsiaTheme="minorEastAsia"/>
          <w:b/>
          <w:snapToGrid w:val="0"/>
          <w:kern w:val="0"/>
          <w:sz w:val="56"/>
          <w:szCs w:val="96"/>
        </w:rPr>
        <w:t>附件</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附件1</w:t>
      </w:r>
    </w:p>
    <w:p>
      <w:pPr>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履约保证金</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jc w:val="center"/>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银行保函（格式）</w:t>
      </w:r>
    </w:p>
    <w:p>
      <w:pPr>
        <w:rPr>
          <w:rFonts w:cs="仿宋" w:asciiTheme="minorEastAsia" w:hAnsiTheme="minorEastAsia" w:eastAsiaTheme="minorEastAsia"/>
        </w:rPr>
      </w:pP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rPr>
        <w:t xml:space="preserve">  </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本保函是为</w:t>
      </w:r>
      <w:r>
        <w:rPr>
          <w:rFonts w:hint="eastAsia" w:cs="仿宋" w:asciiTheme="minorEastAsia" w:hAnsiTheme="minorEastAsia" w:eastAsiaTheme="minorEastAsia"/>
          <w:sz w:val="22"/>
          <w:u w:val="single"/>
        </w:rPr>
        <w:t>(卖方名称)</w:t>
      </w:r>
      <w:r>
        <w:rPr>
          <w:rFonts w:hint="eastAsia" w:cs="仿宋" w:asciiTheme="minorEastAsia" w:hAnsiTheme="minorEastAsia" w:eastAsiaTheme="minorEastAsia"/>
          <w:sz w:val="22"/>
        </w:rPr>
        <w:t>(以下简称卖方)于</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年</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月</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日与</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(以下简称买方)签订的第</w:t>
      </w:r>
      <w:r>
        <w:rPr>
          <w:rFonts w:hint="eastAsia" w:cs="仿宋" w:asciiTheme="minorEastAsia" w:hAnsiTheme="minorEastAsia" w:eastAsiaTheme="minorEastAsia"/>
          <w:sz w:val="22"/>
          <w:u w:val="single"/>
        </w:rPr>
        <w:t>(合同编号)</w:t>
      </w:r>
      <w:r>
        <w:rPr>
          <w:rFonts w:hint="eastAsia" w:cs="仿宋" w:asciiTheme="minorEastAsia" w:hAnsiTheme="minorEastAsia" w:eastAsiaTheme="minorEastAsia"/>
          <w:sz w:val="22"/>
        </w:rPr>
        <w:t>号供货合同而提供的履约担保。</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r>
        <w:rPr>
          <w:rFonts w:hint="eastAsia" w:cs="仿宋" w:asciiTheme="minorEastAsia" w:hAnsiTheme="minorEastAsia" w:eastAsiaTheme="minorEastAsia"/>
          <w:sz w:val="22"/>
          <w:u w:val="single"/>
        </w:rPr>
        <w:t>(银行名称)</w:t>
      </w:r>
      <w:r>
        <w:rPr>
          <w:rFonts w:hint="eastAsia" w:cs="仿宋" w:asciiTheme="minorEastAsia" w:hAnsiTheme="minorEastAsia" w:eastAsiaTheme="minorEastAsia"/>
          <w:sz w:val="22"/>
        </w:rPr>
        <w:t>以及他的继承人和受让人无条件地、不可撤销地约束本行，一旦收到</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书面提出卖方不能履行合同约定，发生下列违约条件之一的通知时，我行保证付给</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金额为</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万元人民币的保证金。</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(一)违约条件：</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·在合同有效期内，卖方拒绝履行合同；</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·在合同有效期内，卖方未经买方同意，变更供货合同的主要条款；</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·产品质量在质保期内，经省级质量检验、监督机关鉴定产品质量发生问题；</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(二)在合同执行期间，供需双方发生了纠纷，履约保函有效期限可延长到纠纷得到最终解决完毕后。</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(三)本保函自开立之日起有效，在接到买方的《验收合格的通知》后7日内予以退还。</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(卖方银行名称)：</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(公章)</w:t>
      </w:r>
    </w:p>
    <w:p>
      <w:pPr>
        <w:pStyle w:val="37"/>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37"/>
        <w:adjustRightInd w:val="0"/>
        <w:snapToGrid w:val="0"/>
        <w:spacing w:line="360" w:lineRule="auto"/>
        <w:ind w:firstLine="420"/>
        <w:rPr>
          <w:rFonts w:cs="仿宋" w:asciiTheme="minorEastAsia" w:hAnsiTheme="minorEastAsia" w:eastAsiaTheme="minorEastAsia"/>
        </w:rPr>
      </w:pPr>
      <w:r>
        <w:rPr>
          <w:rFonts w:hint="eastAsia" w:cs="仿宋" w:asciiTheme="minorEastAsia" w:hAnsiTheme="minorEastAsia" w:eastAsiaTheme="minorEastAsia"/>
          <w:sz w:val="22"/>
        </w:rPr>
        <w:t xml:space="preserve">                                   签 发 人 签 字：</w:t>
      </w:r>
      <w:r>
        <w:rPr>
          <w:rFonts w:hint="eastAsia" w:cs="仿宋" w:asciiTheme="minorEastAsia" w:hAnsiTheme="minorEastAsia" w:eastAsiaTheme="minorEastAsia"/>
          <w:sz w:val="22"/>
          <w:u w:val="single"/>
        </w:rPr>
        <w:t xml:space="preserve">            </w:t>
      </w:r>
    </w:p>
    <w:p>
      <w:pPr>
        <w:pStyle w:val="38"/>
        <w:adjustRightInd w:val="0"/>
        <w:spacing w:line="360" w:lineRule="auto"/>
        <w:rPr>
          <w:rFonts w:cs="仿宋" w:asciiTheme="minorEastAsia" w:hAnsiTheme="minorEastAsia" w:eastAsiaTheme="minorEastAsia"/>
        </w:rPr>
      </w:pPr>
      <w:r>
        <w:rPr>
          <w:rFonts w:hint="eastAsia" w:cs="宋体" w:asciiTheme="minorEastAsia" w:hAnsiTheme="minorEastAsia" w:eastAsiaTheme="minorEastAsia"/>
        </w:rPr>
        <w:t> </w:t>
      </w:r>
    </w:p>
    <w:p>
      <w:pPr>
        <w:rPr>
          <w:rFonts w:cs="仿宋" w:asciiTheme="minorEastAsia" w:hAnsiTheme="minorEastAsia" w:eastAsiaTheme="minorEastAsia"/>
        </w:rPr>
      </w:pP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sdtPr>
    <w:sdtContent>
      <w:p>
        <w:pPr>
          <w:pStyle w:val="13"/>
          <w:jc w:val="center"/>
        </w:pPr>
        <w:r>
          <w:fldChar w:fldCharType="begin"/>
        </w:r>
        <w:r>
          <w:instrText xml:space="preserve"> PAGE   \* MERGEFORMAT </w:instrText>
        </w:r>
        <w:r>
          <w:fldChar w:fldCharType="separate"/>
        </w:r>
        <w:r>
          <w:rPr>
            <w:lang w:val="zh-CN"/>
          </w:rPr>
          <w:t>35</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sdtPr>
    <w:sdtContent>
      <w:p>
        <w:pPr>
          <w:pStyle w:val="13"/>
          <w:jc w:val="center"/>
        </w:pP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sz w:val="16"/>
        <w:szCs w:val="16"/>
      </w:rPr>
    </w:pPr>
    <w:r>
      <w:rPr>
        <w:rFonts w:hint="eastAsia"/>
        <w:sz w:val="16"/>
        <w:szCs w:val="16"/>
      </w:rPr>
      <w:t>项目名称：</w:t>
    </w:r>
    <w:r>
      <w:rPr>
        <w:rFonts w:hint="eastAsia" w:ascii="宋体" w:hAnsi="宋体"/>
        <w:sz w:val="16"/>
        <w:szCs w:val="16"/>
      </w:rPr>
      <w:t xml:space="preserve">深圳市公安局罗湖分局电动巡逻车采购项目 </w:t>
    </w:r>
    <w:r>
      <w:rPr>
        <w:rFonts w:hint="eastAsia"/>
        <w:sz w:val="16"/>
        <w:szCs w:val="16"/>
      </w:rPr>
      <w:t xml:space="preserve">                              项目编号：</w:t>
    </w:r>
    <w:r>
      <w:rPr>
        <w:rFonts w:hint="eastAsia" w:asciiTheme="minorEastAsia" w:hAnsiTheme="minorEastAsia" w:eastAsiaTheme="minorEastAsia"/>
        <w:sz w:val="16"/>
        <w:szCs w:val="16"/>
      </w:rPr>
      <w:t>SZZZ2022-QA0333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FE2DB"/>
    <w:multiLevelType w:val="singleLevel"/>
    <w:tmpl w:val="972FE2DB"/>
    <w:lvl w:ilvl="0" w:tentative="0">
      <w:start w:val="1"/>
      <w:numFmt w:val="decimal"/>
      <w:suff w:val="nothing"/>
      <w:lvlText w:val="%1、"/>
      <w:lvlJc w:val="left"/>
    </w:lvl>
  </w:abstractNum>
  <w:abstractNum w:abstractNumId="1">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18D6364"/>
    <w:multiLevelType w:val="multilevel"/>
    <w:tmpl w:val="518D6364"/>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iYjY1MDhkNjhjZDQwM2U0MzdkMTA3NjhhZTk5ZmEifQ=="/>
  </w:docVars>
  <w:rsids>
    <w:rsidRoot w:val="00081812"/>
    <w:rsid w:val="00000DEE"/>
    <w:rsid w:val="00000FB1"/>
    <w:rsid w:val="00001625"/>
    <w:rsid w:val="000042A9"/>
    <w:rsid w:val="0000490F"/>
    <w:rsid w:val="00007ECB"/>
    <w:rsid w:val="000111D4"/>
    <w:rsid w:val="00012B85"/>
    <w:rsid w:val="00014E98"/>
    <w:rsid w:val="000159CF"/>
    <w:rsid w:val="0002500E"/>
    <w:rsid w:val="00027833"/>
    <w:rsid w:val="000309C1"/>
    <w:rsid w:val="00031BF4"/>
    <w:rsid w:val="00032DB0"/>
    <w:rsid w:val="00036165"/>
    <w:rsid w:val="00037412"/>
    <w:rsid w:val="00037D52"/>
    <w:rsid w:val="00042A65"/>
    <w:rsid w:val="00044855"/>
    <w:rsid w:val="00046786"/>
    <w:rsid w:val="00050F57"/>
    <w:rsid w:val="0005394E"/>
    <w:rsid w:val="00053B8A"/>
    <w:rsid w:val="000550D9"/>
    <w:rsid w:val="00055193"/>
    <w:rsid w:val="00056E7C"/>
    <w:rsid w:val="000600D8"/>
    <w:rsid w:val="00060560"/>
    <w:rsid w:val="00060B4F"/>
    <w:rsid w:val="0006220B"/>
    <w:rsid w:val="000679AB"/>
    <w:rsid w:val="00072AAB"/>
    <w:rsid w:val="00072F2B"/>
    <w:rsid w:val="00075875"/>
    <w:rsid w:val="00076401"/>
    <w:rsid w:val="000771B0"/>
    <w:rsid w:val="00080FB8"/>
    <w:rsid w:val="00081812"/>
    <w:rsid w:val="00081C0F"/>
    <w:rsid w:val="000851F4"/>
    <w:rsid w:val="00090B60"/>
    <w:rsid w:val="00091819"/>
    <w:rsid w:val="00094CF9"/>
    <w:rsid w:val="000A02CF"/>
    <w:rsid w:val="000A1CFD"/>
    <w:rsid w:val="000B12D8"/>
    <w:rsid w:val="000B3159"/>
    <w:rsid w:val="000B44BC"/>
    <w:rsid w:val="000B59B4"/>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3049"/>
    <w:rsid w:val="000F4536"/>
    <w:rsid w:val="000F47BD"/>
    <w:rsid w:val="000F4EBB"/>
    <w:rsid w:val="000F5214"/>
    <w:rsid w:val="000F547E"/>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1DFD"/>
    <w:rsid w:val="0015310D"/>
    <w:rsid w:val="00155BE9"/>
    <w:rsid w:val="0016076C"/>
    <w:rsid w:val="00161DC5"/>
    <w:rsid w:val="00165708"/>
    <w:rsid w:val="001667AC"/>
    <w:rsid w:val="00166E7A"/>
    <w:rsid w:val="001713CD"/>
    <w:rsid w:val="001746A8"/>
    <w:rsid w:val="00174A8D"/>
    <w:rsid w:val="00180273"/>
    <w:rsid w:val="001802AD"/>
    <w:rsid w:val="001807E0"/>
    <w:rsid w:val="00180DC2"/>
    <w:rsid w:val="0018134E"/>
    <w:rsid w:val="00182643"/>
    <w:rsid w:val="001830D7"/>
    <w:rsid w:val="00183156"/>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A7897"/>
    <w:rsid w:val="001B0736"/>
    <w:rsid w:val="001B14D5"/>
    <w:rsid w:val="001B4B65"/>
    <w:rsid w:val="001B4C23"/>
    <w:rsid w:val="001C0532"/>
    <w:rsid w:val="001C1A99"/>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0D8A"/>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74BCF"/>
    <w:rsid w:val="00281900"/>
    <w:rsid w:val="00282D0F"/>
    <w:rsid w:val="00284440"/>
    <w:rsid w:val="00285487"/>
    <w:rsid w:val="00290049"/>
    <w:rsid w:val="0029352A"/>
    <w:rsid w:val="002938FD"/>
    <w:rsid w:val="00293E95"/>
    <w:rsid w:val="00294665"/>
    <w:rsid w:val="002965F8"/>
    <w:rsid w:val="002A06F5"/>
    <w:rsid w:val="002A179B"/>
    <w:rsid w:val="002A3990"/>
    <w:rsid w:val="002A78DB"/>
    <w:rsid w:val="002B11F2"/>
    <w:rsid w:val="002B306C"/>
    <w:rsid w:val="002C3E2A"/>
    <w:rsid w:val="002C54D8"/>
    <w:rsid w:val="002C5B23"/>
    <w:rsid w:val="002C5F7F"/>
    <w:rsid w:val="002D285F"/>
    <w:rsid w:val="002D4AE6"/>
    <w:rsid w:val="002D51A5"/>
    <w:rsid w:val="002D6413"/>
    <w:rsid w:val="002D78BD"/>
    <w:rsid w:val="002E071E"/>
    <w:rsid w:val="002E6738"/>
    <w:rsid w:val="002F30E6"/>
    <w:rsid w:val="002F323B"/>
    <w:rsid w:val="002F49D2"/>
    <w:rsid w:val="002F5D8F"/>
    <w:rsid w:val="002F5DF7"/>
    <w:rsid w:val="003007E9"/>
    <w:rsid w:val="00300F63"/>
    <w:rsid w:val="00302A03"/>
    <w:rsid w:val="00302EF1"/>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5D9"/>
    <w:rsid w:val="00362685"/>
    <w:rsid w:val="00362FDA"/>
    <w:rsid w:val="0036371B"/>
    <w:rsid w:val="00363840"/>
    <w:rsid w:val="00363D01"/>
    <w:rsid w:val="00364104"/>
    <w:rsid w:val="00365175"/>
    <w:rsid w:val="00365C3E"/>
    <w:rsid w:val="00365C92"/>
    <w:rsid w:val="00366870"/>
    <w:rsid w:val="00367676"/>
    <w:rsid w:val="003679CE"/>
    <w:rsid w:val="00371507"/>
    <w:rsid w:val="00372A41"/>
    <w:rsid w:val="00373358"/>
    <w:rsid w:val="003734A9"/>
    <w:rsid w:val="003749D0"/>
    <w:rsid w:val="003817C2"/>
    <w:rsid w:val="003821BD"/>
    <w:rsid w:val="00385F8F"/>
    <w:rsid w:val="00394101"/>
    <w:rsid w:val="003961A8"/>
    <w:rsid w:val="00397B90"/>
    <w:rsid w:val="003A0AF8"/>
    <w:rsid w:val="003A2361"/>
    <w:rsid w:val="003A2D80"/>
    <w:rsid w:val="003A2EE6"/>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5DF4"/>
    <w:rsid w:val="003D6A99"/>
    <w:rsid w:val="003D7227"/>
    <w:rsid w:val="003D76AD"/>
    <w:rsid w:val="003E0109"/>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17BA6"/>
    <w:rsid w:val="00417C44"/>
    <w:rsid w:val="0042116F"/>
    <w:rsid w:val="00421DAD"/>
    <w:rsid w:val="00422693"/>
    <w:rsid w:val="00422C44"/>
    <w:rsid w:val="0042569B"/>
    <w:rsid w:val="0042757A"/>
    <w:rsid w:val="00427866"/>
    <w:rsid w:val="0043223F"/>
    <w:rsid w:val="004369DE"/>
    <w:rsid w:val="004430A5"/>
    <w:rsid w:val="0044367E"/>
    <w:rsid w:val="00446C65"/>
    <w:rsid w:val="004501AD"/>
    <w:rsid w:val="0045273A"/>
    <w:rsid w:val="00453647"/>
    <w:rsid w:val="0045369C"/>
    <w:rsid w:val="00453EAF"/>
    <w:rsid w:val="00454312"/>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B17"/>
    <w:rsid w:val="004A3ED8"/>
    <w:rsid w:val="004A44E9"/>
    <w:rsid w:val="004A4D27"/>
    <w:rsid w:val="004B0F8B"/>
    <w:rsid w:val="004B2C1C"/>
    <w:rsid w:val="004B3011"/>
    <w:rsid w:val="004B3E4E"/>
    <w:rsid w:val="004B5B8D"/>
    <w:rsid w:val="004B702D"/>
    <w:rsid w:val="004B7A5D"/>
    <w:rsid w:val="004C01E3"/>
    <w:rsid w:val="004C1824"/>
    <w:rsid w:val="004C1F8C"/>
    <w:rsid w:val="004C267E"/>
    <w:rsid w:val="004C2C97"/>
    <w:rsid w:val="004C3BFC"/>
    <w:rsid w:val="004C4655"/>
    <w:rsid w:val="004C5A96"/>
    <w:rsid w:val="004D1E7C"/>
    <w:rsid w:val="004D21F9"/>
    <w:rsid w:val="004D3C88"/>
    <w:rsid w:val="004D3EFD"/>
    <w:rsid w:val="004D5193"/>
    <w:rsid w:val="004D6C39"/>
    <w:rsid w:val="004E301A"/>
    <w:rsid w:val="004E30ED"/>
    <w:rsid w:val="004E34DF"/>
    <w:rsid w:val="004E4A56"/>
    <w:rsid w:val="004E6514"/>
    <w:rsid w:val="004F0013"/>
    <w:rsid w:val="004F037B"/>
    <w:rsid w:val="004F1964"/>
    <w:rsid w:val="004F2741"/>
    <w:rsid w:val="004F2776"/>
    <w:rsid w:val="004F4A43"/>
    <w:rsid w:val="004F57EA"/>
    <w:rsid w:val="004F5A1F"/>
    <w:rsid w:val="0050673A"/>
    <w:rsid w:val="00507910"/>
    <w:rsid w:val="005101D8"/>
    <w:rsid w:val="005115F1"/>
    <w:rsid w:val="00513405"/>
    <w:rsid w:val="00516927"/>
    <w:rsid w:val="00517508"/>
    <w:rsid w:val="00520B5C"/>
    <w:rsid w:val="00524AB5"/>
    <w:rsid w:val="0052553C"/>
    <w:rsid w:val="00530955"/>
    <w:rsid w:val="00530EBB"/>
    <w:rsid w:val="00531594"/>
    <w:rsid w:val="005339CE"/>
    <w:rsid w:val="0053608D"/>
    <w:rsid w:val="00536394"/>
    <w:rsid w:val="00536771"/>
    <w:rsid w:val="0054086A"/>
    <w:rsid w:val="00541820"/>
    <w:rsid w:val="00541912"/>
    <w:rsid w:val="00541962"/>
    <w:rsid w:val="00544A1E"/>
    <w:rsid w:val="005454F7"/>
    <w:rsid w:val="00546FF3"/>
    <w:rsid w:val="00552EA1"/>
    <w:rsid w:val="0055372B"/>
    <w:rsid w:val="0055628A"/>
    <w:rsid w:val="00556603"/>
    <w:rsid w:val="00561EBC"/>
    <w:rsid w:val="00562A80"/>
    <w:rsid w:val="005659BA"/>
    <w:rsid w:val="00565F47"/>
    <w:rsid w:val="00571D74"/>
    <w:rsid w:val="00571DC0"/>
    <w:rsid w:val="005725CF"/>
    <w:rsid w:val="00574D07"/>
    <w:rsid w:val="00580DD1"/>
    <w:rsid w:val="00581D61"/>
    <w:rsid w:val="00583885"/>
    <w:rsid w:val="0058457D"/>
    <w:rsid w:val="00584C51"/>
    <w:rsid w:val="0059165F"/>
    <w:rsid w:val="00593709"/>
    <w:rsid w:val="00594812"/>
    <w:rsid w:val="00597492"/>
    <w:rsid w:val="005977CD"/>
    <w:rsid w:val="005A198A"/>
    <w:rsid w:val="005A2D99"/>
    <w:rsid w:val="005A556A"/>
    <w:rsid w:val="005A6A03"/>
    <w:rsid w:val="005B1387"/>
    <w:rsid w:val="005B39F5"/>
    <w:rsid w:val="005B3CF3"/>
    <w:rsid w:val="005B4677"/>
    <w:rsid w:val="005B6672"/>
    <w:rsid w:val="005C038C"/>
    <w:rsid w:val="005C09DF"/>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E72A8"/>
    <w:rsid w:val="005F13C2"/>
    <w:rsid w:val="005F37DF"/>
    <w:rsid w:val="005F3B95"/>
    <w:rsid w:val="005F559B"/>
    <w:rsid w:val="006013DE"/>
    <w:rsid w:val="00602310"/>
    <w:rsid w:val="00603E1C"/>
    <w:rsid w:val="00606E51"/>
    <w:rsid w:val="0061010F"/>
    <w:rsid w:val="0061385D"/>
    <w:rsid w:val="00614576"/>
    <w:rsid w:val="00615303"/>
    <w:rsid w:val="006163F2"/>
    <w:rsid w:val="00617AA3"/>
    <w:rsid w:val="00620D6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0BEC"/>
    <w:rsid w:val="006724DC"/>
    <w:rsid w:val="0067485A"/>
    <w:rsid w:val="006755C2"/>
    <w:rsid w:val="00675C13"/>
    <w:rsid w:val="00680CAD"/>
    <w:rsid w:val="00681F30"/>
    <w:rsid w:val="00682237"/>
    <w:rsid w:val="00682B9C"/>
    <w:rsid w:val="0068357D"/>
    <w:rsid w:val="00683EB7"/>
    <w:rsid w:val="0068713A"/>
    <w:rsid w:val="0069583C"/>
    <w:rsid w:val="006968E4"/>
    <w:rsid w:val="006A0A50"/>
    <w:rsid w:val="006A3169"/>
    <w:rsid w:val="006A5038"/>
    <w:rsid w:val="006A535A"/>
    <w:rsid w:val="006A7A1E"/>
    <w:rsid w:val="006B36EE"/>
    <w:rsid w:val="006B752A"/>
    <w:rsid w:val="006B7F97"/>
    <w:rsid w:val="006C29E2"/>
    <w:rsid w:val="006C3937"/>
    <w:rsid w:val="006C57C7"/>
    <w:rsid w:val="006C5E75"/>
    <w:rsid w:val="006C7615"/>
    <w:rsid w:val="006D0A65"/>
    <w:rsid w:val="006D0B4B"/>
    <w:rsid w:val="006D0B9C"/>
    <w:rsid w:val="006D0CD7"/>
    <w:rsid w:val="006D125F"/>
    <w:rsid w:val="006D5C23"/>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15DA5"/>
    <w:rsid w:val="007202B8"/>
    <w:rsid w:val="007204CB"/>
    <w:rsid w:val="00725DCC"/>
    <w:rsid w:val="007264E7"/>
    <w:rsid w:val="00731470"/>
    <w:rsid w:val="00731E75"/>
    <w:rsid w:val="00733A4C"/>
    <w:rsid w:val="0073473A"/>
    <w:rsid w:val="00734C96"/>
    <w:rsid w:val="00734FEE"/>
    <w:rsid w:val="00736877"/>
    <w:rsid w:val="00740C34"/>
    <w:rsid w:val="007421A3"/>
    <w:rsid w:val="007458E4"/>
    <w:rsid w:val="00747A74"/>
    <w:rsid w:val="007516CF"/>
    <w:rsid w:val="00752B5B"/>
    <w:rsid w:val="00753B18"/>
    <w:rsid w:val="00761B09"/>
    <w:rsid w:val="00762130"/>
    <w:rsid w:val="0076307E"/>
    <w:rsid w:val="00770D90"/>
    <w:rsid w:val="00772F41"/>
    <w:rsid w:val="0077521B"/>
    <w:rsid w:val="00776554"/>
    <w:rsid w:val="007811AB"/>
    <w:rsid w:val="00785E4F"/>
    <w:rsid w:val="0078680E"/>
    <w:rsid w:val="0079173E"/>
    <w:rsid w:val="00792109"/>
    <w:rsid w:val="007928C7"/>
    <w:rsid w:val="00793E36"/>
    <w:rsid w:val="00794D26"/>
    <w:rsid w:val="007A0AF9"/>
    <w:rsid w:val="007A1673"/>
    <w:rsid w:val="007A458B"/>
    <w:rsid w:val="007A47AB"/>
    <w:rsid w:val="007A47D0"/>
    <w:rsid w:val="007A7404"/>
    <w:rsid w:val="007B00AD"/>
    <w:rsid w:val="007B0760"/>
    <w:rsid w:val="007B58FB"/>
    <w:rsid w:val="007B6A98"/>
    <w:rsid w:val="007B7EE3"/>
    <w:rsid w:val="007C035E"/>
    <w:rsid w:val="007C0EC0"/>
    <w:rsid w:val="007C6BBE"/>
    <w:rsid w:val="007C75FA"/>
    <w:rsid w:val="007D0F9A"/>
    <w:rsid w:val="007D4329"/>
    <w:rsid w:val="007D4552"/>
    <w:rsid w:val="007D49B8"/>
    <w:rsid w:val="007D57B6"/>
    <w:rsid w:val="007D6457"/>
    <w:rsid w:val="007D759B"/>
    <w:rsid w:val="007E1CC4"/>
    <w:rsid w:val="007E2D1B"/>
    <w:rsid w:val="007E377A"/>
    <w:rsid w:val="007E422B"/>
    <w:rsid w:val="007E6064"/>
    <w:rsid w:val="007E6F85"/>
    <w:rsid w:val="007F0A36"/>
    <w:rsid w:val="007F5B57"/>
    <w:rsid w:val="007F707C"/>
    <w:rsid w:val="0080097C"/>
    <w:rsid w:val="00803317"/>
    <w:rsid w:val="008050C5"/>
    <w:rsid w:val="008134A8"/>
    <w:rsid w:val="00816305"/>
    <w:rsid w:val="0081690D"/>
    <w:rsid w:val="008227C0"/>
    <w:rsid w:val="00822F18"/>
    <w:rsid w:val="008237AE"/>
    <w:rsid w:val="008241B7"/>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3234"/>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2F3"/>
    <w:rsid w:val="008E66A7"/>
    <w:rsid w:val="008F0027"/>
    <w:rsid w:val="008F13F4"/>
    <w:rsid w:val="008F2248"/>
    <w:rsid w:val="008F429A"/>
    <w:rsid w:val="008F4809"/>
    <w:rsid w:val="008F4885"/>
    <w:rsid w:val="008F69B0"/>
    <w:rsid w:val="008F6DFC"/>
    <w:rsid w:val="00900FA9"/>
    <w:rsid w:val="00901030"/>
    <w:rsid w:val="00901C9D"/>
    <w:rsid w:val="0090254E"/>
    <w:rsid w:val="0090397D"/>
    <w:rsid w:val="00903B8A"/>
    <w:rsid w:val="0090531F"/>
    <w:rsid w:val="00907535"/>
    <w:rsid w:val="00907F35"/>
    <w:rsid w:val="0091449C"/>
    <w:rsid w:val="00915C0A"/>
    <w:rsid w:val="00916394"/>
    <w:rsid w:val="00916C61"/>
    <w:rsid w:val="00920BE6"/>
    <w:rsid w:val="00920D54"/>
    <w:rsid w:val="00922E91"/>
    <w:rsid w:val="00924A4D"/>
    <w:rsid w:val="009253A2"/>
    <w:rsid w:val="009260F9"/>
    <w:rsid w:val="00926811"/>
    <w:rsid w:val="009328BD"/>
    <w:rsid w:val="0093469C"/>
    <w:rsid w:val="00940D53"/>
    <w:rsid w:val="00942081"/>
    <w:rsid w:val="009447BD"/>
    <w:rsid w:val="0095085C"/>
    <w:rsid w:val="00950D6C"/>
    <w:rsid w:val="00952B8F"/>
    <w:rsid w:val="00954FE6"/>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87DB5"/>
    <w:rsid w:val="00993600"/>
    <w:rsid w:val="0099428B"/>
    <w:rsid w:val="00997D11"/>
    <w:rsid w:val="009A0526"/>
    <w:rsid w:val="009A0A96"/>
    <w:rsid w:val="009A271D"/>
    <w:rsid w:val="009A44F9"/>
    <w:rsid w:val="009A70D5"/>
    <w:rsid w:val="009B2507"/>
    <w:rsid w:val="009B2E8E"/>
    <w:rsid w:val="009B3004"/>
    <w:rsid w:val="009B348C"/>
    <w:rsid w:val="009B482A"/>
    <w:rsid w:val="009B59D4"/>
    <w:rsid w:val="009B7712"/>
    <w:rsid w:val="009B7B83"/>
    <w:rsid w:val="009C0636"/>
    <w:rsid w:val="009C08BA"/>
    <w:rsid w:val="009C6F0A"/>
    <w:rsid w:val="009C6F32"/>
    <w:rsid w:val="009C797B"/>
    <w:rsid w:val="009D02E8"/>
    <w:rsid w:val="009D0C05"/>
    <w:rsid w:val="009D4274"/>
    <w:rsid w:val="009D461F"/>
    <w:rsid w:val="009D5C53"/>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5C5A"/>
    <w:rsid w:val="00A173F9"/>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04FB"/>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46DD"/>
    <w:rsid w:val="00A8789C"/>
    <w:rsid w:val="00A90111"/>
    <w:rsid w:val="00A90331"/>
    <w:rsid w:val="00A91528"/>
    <w:rsid w:val="00A95196"/>
    <w:rsid w:val="00A9738A"/>
    <w:rsid w:val="00AA1EFF"/>
    <w:rsid w:val="00AA5115"/>
    <w:rsid w:val="00AB14C7"/>
    <w:rsid w:val="00AB2264"/>
    <w:rsid w:val="00AB4E47"/>
    <w:rsid w:val="00AB67F7"/>
    <w:rsid w:val="00AC054F"/>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5CCC"/>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525E"/>
    <w:rsid w:val="00B55377"/>
    <w:rsid w:val="00B57738"/>
    <w:rsid w:val="00B63137"/>
    <w:rsid w:val="00B63604"/>
    <w:rsid w:val="00B63FA9"/>
    <w:rsid w:val="00B650CC"/>
    <w:rsid w:val="00B707BD"/>
    <w:rsid w:val="00B71457"/>
    <w:rsid w:val="00B750BF"/>
    <w:rsid w:val="00B75217"/>
    <w:rsid w:val="00B776B5"/>
    <w:rsid w:val="00B81AFD"/>
    <w:rsid w:val="00B85442"/>
    <w:rsid w:val="00B90851"/>
    <w:rsid w:val="00B91090"/>
    <w:rsid w:val="00B926B7"/>
    <w:rsid w:val="00B9362B"/>
    <w:rsid w:val="00B94A3A"/>
    <w:rsid w:val="00B95094"/>
    <w:rsid w:val="00BA5FF1"/>
    <w:rsid w:val="00BA7533"/>
    <w:rsid w:val="00BC04BD"/>
    <w:rsid w:val="00BC4096"/>
    <w:rsid w:val="00BC65BA"/>
    <w:rsid w:val="00BD55FE"/>
    <w:rsid w:val="00BD75D2"/>
    <w:rsid w:val="00BE0383"/>
    <w:rsid w:val="00BE07A0"/>
    <w:rsid w:val="00BE1C3A"/>
    <w:rsid w:val="00BE611C"/>
    <w:rsid w:val="00BE70FF"/>
    <w:rsid w:val="00BF1079"/>
    <w:rsid w:val="00BF1D2D"/>
    <w:rsid w:val="00BF2768"/>
    <w:rsid w:val="00BF5859"/>
    <w:rsid w:val="00BF6DFF"/>
    <w:rsid w:val="00C00048"/>
    <w:rsid w:val="00C00239"/>
    <w:rsid w:val="00C00828"/>
    <w:rsid w:val="00C068F5"/>
    <w:rsid w:val="00C06D3E"/>
    <w:rsid w:val="00C11842"/>
    <w:rsid w:val="00C12994"/>
    <w:rsid w:val="00C1363B"/>
    <w:rsid w:val="00C14D24"/>
    <w:rsid w:val="00C1538F"/>
    <w:rsid w:val="00C15926"/>
    <w:rsid w:val="00C16139"/>
    <w:rsid w:val="00C17609"/>
    <w:rsid w:val="00C177ED"/>
    <w:rsid w:val="00C2265C"/>
    <w:rsid w:val="00C23420"/>
    <w:rsid w:val="00C30985"/>
    <w:rsid w:val="00C33BB9"/>
    <w:rsid w:val="00C3464B"/>
    <w:rsid w:val="00C35140"/>
    <w:rsid w:val="00C35A34"/>
    <w:rsid w:val="00C3715A"/>
    <w:rsid w:val="00C421FF"/>
    <w:rsid w:val="00C425BE"/>
    <w:rsid w:val="00C44418"/>
    <w:rsid w:val="00C44F2B"/>
    <w:rsid w:val="00C545D3"/>
    <w:rsid w:val="00C54A8C"/>
    <w:rsid w:val="00C56388"/>
    <w:rsid w:val="00C5675C"/>
    <w:rsid w:val="00C571C0"/>
    <w:rsid w:val="00C61233"/>
    <w:rsid w:val="00C61911"/>
    <w:rsid w:val="00C627D8"/>
    <w:rsid w:val="00C62EB5"/>
    <w:rsid w:val="00C65EB9"/>
    <w:rsid w:val="00C70334"/>
    <w:rsid w:val="00C718D9"/>
    <w:rsid w:val="00C72850"/>
    <w:rsid w:val="00C73632"/>
    <w:rsid w:val="00C74A85"/>
    <w:rsid w:val="00C75175"/>
    <w:rsid w:val="00C7543D"/>
    <w:rsid w:val="00C759F9"/>
    <w:rsid w:val="00C75EE7"/>
    <w:rsid w:val="00C777E7"/>
    <w:rsid w:val="00C8010C"/>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B696B"/>
    <w:rsid w:val="00CC0138"/>
    <w:rsid w:val="00CC1F38"/>
    <w:rsid w:val="00CC4D3B"/>
    <w:rsid w:val="00CC6328"/>
    <w:rsid w:val="00CC69B1"/>
    <w:rsid w:val="00CC722D"/>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2D4"/>
    <w:rsid w:val="00CF38DA"/>
    <w:rsid w:val="00CF6B12"/>
    <w:rsid w:val="00CF6CA8"/>
    <w:rsid w:val="00CF797E"/>
    <w:rsid w:val="00D01079"/>
    <w:rsid w:val="00D018E6"/>
    <w:rsid w:val="00D02059"/>
    <w:rsid w:val="00D02D89"/>
    <w:rsid w:val="00D03B55"/>
    <w:rsid w:val="00D04D65"/>
    <w:rsid w:val="00D063F2"/>
    <w:rsid w:val="00D06DB2"/>
    <w:rsid w:val="00D10FDF"/>
    <w:rsid w:val="00D1111C"/>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2E7C"/>
    <w:rsid w:val="00D7638B"/>
    <w:rsid w:val="00D76DCC"/>
    <w:rsid w:val="00D77CA0"/>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3943"/>
    <w:rsid w:val="00DB4314"/>
    <w:rsid w:val="00DB432A"/>
    <w:rsid w:val="00DB6163"/>
    <w:rsid w:val="00DB66A1"/>
    <w:rsid w:val="00DB75D0"/>
    <w:rsid w:val="00DB7C7C"/>
    <w:rsid w:val="00DB7D3B"/>
    <w:rsid w:val="00DC04D3"/>
    <w:rsid w:val="00DC0A19"/>
    <w:rsid w:val="00DC0C8E"/>
    <w:rsid w:val="00DC1BE6"/>
    <w:rsid w:val="00DC758E"/>
    <w:rsid w:val="00DD1317"/>
    <w:rsid w:val="00DD2F1D"/>
    <w:rsid w:val="00DD60CF"/>
    <w:rsid w:val="00DE02C0"/>
    <w:rsid w:val="00DE0C01"/>
    <w:rsid w:val="00DE3797"/>
    <w:rsid w:val="00DE5AB2"/>
    <w:rsid w:val="00DE671D"/>
    <w:rsid w:val="00DE6EFC"/>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39E3"/>
    <w:rsid w:val="00EA50FC"/>
    <w:rsid w:val="00EA6123"/>
    <w:rsid w:val="00EB170B"/>
    <w:rsid w:val="00EB290D"/>
    <w:rsid w:val="00EB632A"/>
    <w:rsid w:val="00EC0009"/>
    <w:rsid w:val="00EC36BC"/>
    <w:rsid w:val="00ED2203"/>
    <w:rsid w:val="00ED2569"/>
    <w:rsid w:val="00ED25B1"/>
    <w:rsid w:val="00ED7FAF"/>
    <w:rsid w:val="00EE0104"/>
    <w:rsid w:val="00EE07DA"/>
    <w:rsid w:val="00EE2AD2"/>
    <w:rsid w:val="00EE324B"/>
    <w:rsid w:val="00EE56CB"/>
    <w:rsid w:val="00EE6C48"/>
    <w:rsid w:val="00EF0079"/>
    <w:rsid w:val="00EF3E79"/>
    <w:rsid w:val="00EF4E25"/>
    <w:rsid w:val="00EF771A"/>
    <w:rsid w:val="00F009EB"/>
    <w:rsid w:val="00F0365D"/>
    <w:rsid w:val="00F03DD9"/>
    <w:rsid w:val="00F06A8A"/>
    <w:rsid w:val="00F0761C"/>
    <w:rsid w:val="00F1054C"/>
    <w:rsid w:val="00F11975"/>
    <w:rsid w:val="00F1246B"/>
    <w:rsid w:val="00F22238"/>
    <w:rsid w:val="00F243C8"/>
    <w:rsid w:val="00F24E11"/>
    <w:rsid w:val="00F26D6A"/>
    <w:rsid w:val="00F304A9"/>
    <w:rsid w:val="00F30C1A"/>
    <w:rsid w:val="00F31044"/>
    <w:rsid w:val="00F3139D"/>
    <w:rsid w:val="00F33F84"/>
    <w:rsid w:val="00F353F8"/>
    <w:rsid w:val="00F3568E"/>
    <w:rsid w:val="00F35A11"/>
    <w:rsid w:val="00F400ED"/>
    <w:rsid w:val="00F420CC"/>
    <w:rsid w:val="00F43840"/>
    <w:rsid w:val="00F43BBA"/>
    <w:rsid w:val="00F46253"/>
    <w:rsid w:val="00F50479"/>
    <w:rsid w:val="00F507CD"/>
    <w:rsid w:val="00F52083"/>
    <w:rsid w:val="00F52525"/>
    <w:rsid w:val="00F53C91"/>
    <w:rsid w:val="00F56191"/>
    <w:rsid w:val="00F6000A"/>
    <w:rsid w:val="00F64BB0"/>
    <w:rsid w:val="00F709AA"/>
    <w:rsid w:val="00F72CCB"/>
    <w:rsid w:val="00F75244"/>
    <w:rsid w:val="00F801B9"/>
    <w:rsid w:val="00F8304C"/>
    <w:rsid w:val="00F85A8C"/>
    <w:rsid w:val="00F903F4"/>
    <w:rsid w:val="00F90FCC"/>
    <w:rsid w:val="00F915F1"/>
    <w:rsid w:val="00F91721"/>
    <w:rsid w:val="00F920ED"/>
    <w:rsid w:val="00F95601"/>
    <w:rsid w:val="00FA07E3"/>
    <w:rsid w:val="00FA5879"/>
    <w:rsid w:val="00FA5CFA"/>
    <w:rsid w:val="00FB04D2"/>
    <w:rsid w:val="00FD0B60"/>
    <w:rsid w:val="00FD2335"/>
    <w:rsid w:val="00FD29BA"/>
    <w:rsid w:val="00FD2AED"/>
    <w:rsid w:val="00FD739B"/>
    <w:rsid w:val="00FE0E36"/>
    <w:rsid w:val="00FE268E"/>
    <w:rsid w:val="00FE2790"/>
    <w:rsid w:val="00FE639A"/>
    <w:rsid w:val="00FE6EA5"/>
    <w:rsid w:val="00FE76EB"/>
    <w:rsid w:val="00FE7BE9"/>
    <w:rsid w:val="00FF344D"/>
    <w:rsid w:val="00FF39E5"/>
    <w:rsid w:val="00FF3C6E"/>
    <w:rsid w:val="00FF401B"/>
    <w:rsid w:val="00FF463F"/>
    <w:rsid w:val="00FF6E5A"/>
    <w:rsid w:val="00FF7F98"/>
    <w:rsid w:val="01417ED0"/>
    <w:rsid w:val="016531D1"/>
    <w:rsid w:val="04967ABA"/>
    <w:rsid w:val="06124B79"/>
    <w:rsid w:val="0B4B5358"/>
    <w:rsid w:val="0BE91440"/>
    <w:rsid w:val="0DDB6F15"/>
    <w:rsid w:val="100B7158"/>
    <w:rsid w:val="12192EC0"/>
    <w:rsid w:val="12A56C4A"/>
    <w:rsid w:val="15186782"/>
    <w:rsid w:val="16D2413C"/>
    <w:rsid w:val="185760F5"/>
    <w:rsid w:val="18F953B8"/>
    <w:rsid w:val="1D1C3424"/>
    <w:rsid w:val="1D3F5CF8"/>
    <w:rsid w:val="1F874D8A"/>
    <w:rsid w:val="20C37B32"/>
    <w:rsid w:val="26646A25"/>
    <w:rsid w:val="27323D42"/>
    <w:rsid w:val="29A91DE3"/>
    <w:rsid w:val="29E91B90"/>
    <w:rsid w:val="2AF578DD"/>
    <w:rsid w:val="2AFB0177"/>
    <w:rsid w:val="2B7254AB"/>
    <w:rsid w:val="2B774A68"/>
    <w:rsid w:val="328E14B9"/>
    <w:rsid w:val="32A827E6"/>
    <w:rsid w:val="33590A0D"/>
    <w:rsid w:val="380145D2"/>
    <w:rsid w:val="3A9E1150"/>
    <w:rsid w:val="3AB16C65"/>
    <w:rsid w:val="3B2344B0"/>
    <w:rsid w:val="3FDD483D"/>
    <w:rsid w:val="40017D8D"/>
    <w:rsid w:val="436B0FC0"/>
    <w:rsid w:val="44187FD3"/>
    <w:rsid w:val="446E75ED"/>
    <w:rsid w:val="44C91833"/>
    <w:rsid w:val="492D2D74"/>
    <w:rsid w:val="499524F4"/>
    <w:rsid w:val="4B876EDE"/>
    <w:rsid w:val="4DA23BF2"/>
    <w:rsid w:val="4DB200A1"/>
    <w:rsid w:val="4ECE1A55"/>
    <w:rsid w:val="53D05DA1"/>
    <w:rsid w:val="54656664"/>
    <w:rsid w:val="55BD3B21"/>
    <w:rsid w:val="589635DD"/>
    <w:rsid w:val="58971FDE"/>
    <w:rsid w:val="5B494DFB"/>
    <w:rsid w:val="5B734C0E"/>
    <w:rsid w:val="5D111766"/>
    <w:rsid w:val="5FCB6071"/>
    <w:rsid w:val="61D830B5"/>
    <w:rsid w:val="64084829"/>
    <w:rsid w:val="646B48B3"/>
    <w:rsid w:val="65965302"/>
    <w:rsid w:val="67565A36"/>
    <w:rsid w:val="68B96DFC"/>
    <w:rsid w:val="6A236CE5"/>
    <w:rsid w:val="6C39522C"/>
    <w:rsid w:val="716606CE"/>
    <w:rsid w:val="71E02129"/>
    <w:rsid w:val="740C0E97"/>
    <w:rsid w:val="77812C28"/>
    <w:rsid w:val="78054671"/>
    <w:rsid w:val="7A57639C"/>
    <w:rsid w:val="7DC964F0"/>
    <w:rsid w:val="7FE36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6"/>
    <w:qFormat/>
    <w:uiPriority w:val="0"/>
    <w:pPr>
      <w:keepNext/>
      <w:autoSpaceDE w:val="0"/>
      <w:autoSpaceDN w:val="0"/>
      <w:adjustRightInd w:val="0"/>
      <w:jc w:val="center"/>
      <w:outlineLvl w:val="0"/>
    </w:pPr>
    <w:rPr>
      <w:rFonts w:ascii="宋体"/>
      <w:color w:val="000000"/>
      <w:sz w:val="28"/>
      <w:szCs w:val="20"/>
    </w:rPr>
  </w:style>
  <w:style w:type="paragraph" w:styleId="5">
    <w:name w:val="heading 2"/>
    <w:basedOn w:val="1"/>
    <w:next w:val="1"/>
    <w:link w:val="31"/>
    <w:qFormat/>
    <w:uiPriority w:val="0"/>
    <w:pPr>
      <w:keepNext/>
      <w:keepLines/>
      <w:spacing w:before="260" w:after="260" w:line="416" w:lineRule="auto"/>
      <w:outlineLvl w:val="1"/>
    </w:pPr>
    <w:rPr>
      <w:rFonts w:ascii="Arial" w:hAnsi="Arial"/>
      <w:b/>
      <w:bCs/>
      <w:sz w:val="32"/>
      <w:szCs w:val="32"/>
    </w:rPr>
  </w:style>
  <w:style w:type="paragraph" w:styleId="6">
    <w:name w:val="heading 3"/>
    <w:basedOn w:val="1"/>
    <w:next w:val="1"/>
    <w:link w:val="33"/>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4"/>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4"/>
    </w:rPr>
  </w:style>
  <w:style w:type="paragraph" w:styleId="3">
    <w:name w:val="Body Text Indent"/>
    <w:basedOn w:val="1"/>
    <w:link w:val="46"/>
    <w:unhideWhenUsed/>
    <w:qFormat/>
    <w:uiPriority w:val="99"/>
    <w:pPr>
      <w:spacing w:after="120"/>
      <w:ind w:left="420" w:leftChars="200"/>
    </w:pPr>
  </w:style>
  <w:style w:type="paragraph" w:styleId="8">
    <w:name w:val="annotation text"/>
    <w:basedOn w:val="1"/>
    <w:link w:val="27"/>
    <w:unhideWhenUsed/>
    <w:qFormat/>
    <w:uiPriority w:val="99"/>
    <w:pPr>
      <w:jc w:val="left"/>
    </w:pPr>
  </w:style>
  <w:style w:type="paragraph" w:styleId="9">
    <w:name w:val="Body Text"/>
    <w:basedOn w:val="1"/>
    <w:next w:val="1"/>
    <w:unhideWhenUsed/>
    <w:qFormat/>
    <w:uiPriority w:val="99"/>
    <w:pPr>
      <w:spacing w:after="120"/>
    </w:pPr>
  </w:style>
  <w:style w:type="paragraph" w:styleId="10">
    <w:name w:val="Plain Text"/>
    <w:basedOn w:val="1"/>
    <w:link w:val="30"/>
    <w:qFormat/>
    <w:uiPriority w:val="0"/>
    <w:rPr>
      <w:rFonts w:ascii="宋体" w:hAnsi="Courier New" w:eastAsiaTheme="minorEastAsia" w:cstheme="minorBidi"/>
    </w:rPr>
  </w:style>
  <w:style w:type="paragraph" w:styleId="11">
    <w:name w:val="Date"/>
    <w:basedOn w:val="1"/>
    <w:next w:val="1"/>
    <w:link w:val="22"/>
    <w:qFormat/>
    <w:uiPriority w:val="0"/>
    <w:rPr>
      <w:rFonts w:ascii="宋体" w:hAnsi="Courier New"/>
      <w:kern w:val="0"/>
      <w:sz w:val="32"/>
      <w:szCs w:val="20"/>
    </w:rPr>
  </w:style>
  <w:style w:type="paragraph" w:styleId="12">
    <w:name w:val="Balloon Text"/>
    <w:basedOn w:val="1"/>
    <w:link w:val="23"/>
    <w:semiHidden/>
    <w:unhideWhenUsed/>
    <w:qFormat/>
    <w:uiPriority w:val="99"/>
    <w:rPr>
      <w:sz w:val="18"/>
      <w:szCs w:val="18"/>
    </w:rPr>
  </w:style>
  <w:style w:type="paragraph" w:styleId="13">
    <w:name w:val="footer"/>
    <w:basedOn w:val="1"/>
    <w:link w:val="25"/>
    <w:unhideWhenUsed/>
    <w:qFormat/>
    <w:uiPriority w:val="99"/>
    <w:pPr>
      <w:tabs>
        <w:tab w:val="center" w:pos="4153"/>
        <w:tab w:val="right" w:pos="8306"/>
      </w:tabs>
      <w:snapToGrid w:val="0"/>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annotation subject"/>
    <w:basedOn w:val="8"/>
    <w:next w:val="8"/>
    <w:link w:val="28"/>
    <w:semiHidden/>
    <w:unhideWhenUsed/>
    <w:qFormat/>
    <w:uiPriority w:val="99"/>
    <w:rPr>
      <w:b/>
      <w:bCs/>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Hyperlink"/>
    <w:qFormat/>
    <w:uiPriority w:val="99"/>
    <w:rPr>
      <w:color w:val="0000FF"/>
      <w:u w:val="single"/>
    </w:rPr>
  </w:style>
  <w:style w:type="character" w:styleId="20">
    <w:name w:val="annotation reference"/>
    <w:basedOn w:val="18"/>
    <w:semiHidden/>
    <w:unhideWhenUsed/>
    <w:qFormat/>
    <w:uiPriority w:val="99"/>
    <w:rPr>
      <w:sz w:val="21"/>
      <w:szCs w:val="21"/>
    </w:rPr>
  </w:style>
  <w:style w:type="character" w:customStyle="1" w:styleId="21">
    <w:name w:val="日期 Char"/>
    <w:basedOn w:val="18"/>
    <w:qFormat/>
    <w:uiPriority w:val="0"/>
    <w:rPr>
      <w:rFonts w:ascii="宋体" w:hAnsi="Courier New" w:eastAsia="宋体" w:cs="Times New Roman"/>
      <w:kern w:val="0"/>
      <w:sz w:val="32"/>
      <w:szCs w:val="20"/>
    </w:rPr>
  </w:style>
  <w:style w:type="character" w:customStyle="1" w:styleId="22">
    <w:name w:val="日期 字符"/>
    <w:basedOn w:val="18"/>
    <w:link w:val="11"/>
    <w:semiHidden/>
    <w:qFormat/>
    <w:uiPriority w:val="99"/>
    <w:rPr>
      <w:rFonts w:ascii="Calibri" w:hAnsi="Calibri" w:eastAsia="宋体" w:cs="Times New Roman"/>
    </w:rPr>
  </w:style>
  <w:style w:type="character" w:customStyle="1" w:styleId="23">
    <w:name w:val="批注框文本 字符"/>
    <w:basedOn w:val="18"/>
    <w:link w:val="12"/>
    <w:semiHidden/>
    <w:qFormat/>
    <w:uiPriority w:val="99"/>
    <w:rPr>
      <w:rFonts w:ascii="Calibri" w:hAnsi="Calibri" w:eastAsia="宋体" w:cs="Times New Roman"/>
      <w:sz w:val="18"/>
      <w:szCs w:val="18"/>
    </w:rPr>
  </w:style>
  <w:style w:type="character" w:customStyle="1" w:styleId="24">
    <w:name w:val="页眉 字符"/>
    <w:basedOn w:val="18"/>
    <w:link w:val="14"/>
    <w:qFormat/>
    <w:uiPriority w:val="99"/>
    <w:rPr>
      <w:rFonts w:ascii="Calibri" w:hAnsi="Calibri" w:eastAsia="宋体" w:cs="Times New Roman"/>
      <w:sz w:val="18"/>
      <w:szCs w:val="18"/>
    </w:rPr>
  </w:style>
  <w:style w:type="character" w:customStyle="1" w:styleId="25">
    <w:name w:val="页脚 字符"/>
    <w:basedOn w:val="18"/>
    <w:link w:val="13"/>
    <w:qFormat/>
    <w:uiPriority w:val="99"/>
    <w:rPr>
      <w:rFonts w:ascii="Calibri" w:hAnsi="Calibri" w:eastAsia="宋体" w:cs="Times New Roman"/>
      <w:sz w:val="18"/>
      <w:szCs w:val="18"/>
    </w:rPr>
  </w:style>
  <w:style w:type="character" w:customStyle="1" w:styleId="26">
    <w:name w:val="标题 1 字符"/>
    <w:basedOn w:val="18"/>
    <w:link w:val="4"/>
    <w:qFormat/>
    <w:uiPriority w:val="0"/>
    <w:rPr>
      <w:rFonts w:ascii="宋体" w:hAnsi="Calibri" w:eastAsia="宋体" w:cs="Times New Roman"/>
      <w:color w:val="000000"/>
      <w:sz w:val="28"/>
      <w:szCs w:val="20"/>
    </w:rPr>
  </w:style>
  <w:style w:type="character" w:customStyle="1" w:styleId="27">
    <w:name w:val="批注文字 字符"/>
    <w:basedOn w:val="18"/>
    <w:link w:val="8"/>
    <w:qFormat/>
    <w:uiPriority w:val="99"/>
    <w:rPr>
      <w:rFonts w:ascii="Calibri" w:hAnsi="Calibri" w:eastAsia="宋体" w:cs="Times New Roman"/>
    </w:rPr>
  </w:style>
  <w:style w:type="character" w:customStyle="1" w:styleId="28">
    <w:name w:val="批注主题 字符"/>
    <w:basedOn w:val="27"/>
    <w:link w:val="15"/>
    <w:semiHidden/>
    <w:qFormat/>
    <w:uiPriority w:val="99"/>
    <w:rPr>
      <w:rFonts w:ascii="Calibri" w:hAnsi="Calibri" w:eastAsia="宋体" w:cs="Times New Roman"/>
      <w:b/>
      <w:bCs/>
    </w:rPr>
  </w:style>
  <w:style w:type="character" w:customStyle="1" w:styleId="29">
    <w:name w:val="纯文本 Char"/>
    <w:qFormat/>
    <w:uiPriority w:val="0"/>
    <w:rPr>
      <w:rFonts w:ascii="宋体" w:hAnsi="Courier New"/>
    </w:rPr>
  </w:style>
  <w:style w:type="character" w:customStyle="1" w:styleId="30">
    <w:name w:val="纯文本 字符"/>
    <w:basedOn w:val="18"/>
    <w:link w:val="10"/>
    <w:semiHidden/>
    <w:qFormat/>
    <w:uiPriority w:val="99"/>
    <w:rPr>
      <w:rFonts w:ascii="宋体" w:hAnsi="Courier New" w:eastAsia="宋体" w:cs="Courier New"/>
      <w:szCs w:val="21"/>
    </w:rPr>
  </w:style>
  <w:style w:type="character" w:customStyle="1" w:styleId="31">
    <w:name w:val="标题 2 字符"/>
    <w:basedOn w:val="18"/>
    <w:link w:val="5"/>
    <w:qFormat/>
    <w:uiPriority w:val="0"/>
    <w:rPr>
      <w:rFonts w:ascii="Arial" w:hAnsi="Arial" w:eastAsia="宋体" w:cs="Times New Roman"/>
      <w:b/>
      <w:bCs/>
      <w:sz w:val="32"/>
      <w:szCs w:val="32"/>
    </w:rPr>
  </w:style>
  <w:style w:type="paragraph" w:styleId="32">
    <w:name w:val="List Paragraph"/>
    <w:basedOn w:val="1"/>
    <w:qFormat/>
    <w:uiPriority w:val="34"/>
    <w:pPr>
      <w:ind w:firstLine="420" w:firstLineChars="200"/>
    </w:pPr>
  </w:style>
  <w:style w:type="character" w:customStyle="1" w:styleId="33">
    <w:name w:val="标题 3 字符"/>
    <w:basedOn w:val="18"/>
    <w:link w:val="6"/>
    <w:semiHidden/>
    <w:qFormat/>
    <w:uiPriority w:val="9"/>
    <w:rPr>
      <w:rFonts w:ascii="Calibri" w:hAnsi="Calibri" w:eastAsia="宋体" w:cs="Times New Roman"/>
      <w:b/>
      <w:bCs/>
      <w:sz w:val="32"/>
      <w:szCs w:val="32"/>
    </w:rPr>
  </w:style>
  <w:style w:type="character" w:customStyle="1" w:styleId="34">
    <w:name w:val="标题 4 字符"/>
    <w:basedOn w:val="18"/>
    <w:link w:val="7"/>
    <w:qFormat/>
    <w:uiPriority w:val="0"/>
    <w:rPr>
      <w:rFonts w:ascii="Cambria" w:hAnsi="Cambria" w:eastAsia="宋体" w:cs="Times New Roman"/>
      <w:b/>
      <w:bCs/>
      <w:sz w:val="28"/>
      <w:szCs w:val="28"/>
    </w:rPr>
  </w:style>
  <w:style w:type="paragraph" w:customStyle="1" w:styleId="35">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6">
    <w:name w:val="1"/>
    <w:basedOn w:val="1"/>
    <w:next w:val="10"/>
    <w:qFormat/>
    <w:uiPriority w:val="0"/>
    <w:rPr>
      <w:rFonts w:ascii="宋体" w:hAnsi="Courier New"/>
      <w:szCs w:val="20"/>
    </w:rPr>
  </w:style>
  <w:style w:type="paragraph" w:customStyle="1" w:styleId="37">
    <w:name w:val="8"/>
    <w:basedOn w:val="1"/>
    <w:next w:val="10"/>
    <w:qFormat/>
    <w:uiPriority w:val="0"/>
    <w:rPr>
      <w:rFonts w:ascii="宋体" w:hAnsi="Courier New"/>
      <w:szCs w:val="20"/>
    </w:rPr>
  </w:style>
  <w:style w:type="paragraph" w:customStyle="1" w:styleId="38">
    <w:name w:val="_Style 55"/>
    <w:basedOn w:val="1"/>
    <w:next w:val="10"/>
    <w:qFormat/>
    <w:uiPriority w:val="0"/>
    <w:rPr>
      <w:rFonts w:ascii="宋体" w:hAnsi="Courier New"/>
      <w:szCs w:val="20"/>
    </w:rPr>
  </w:style>
  <w:style w:type="paragraph" w:customStyle="1" w:styleId="39">
    <w:name w:val="7"/>
    <w:basedOn w:val="1"/>
    <w:next w:val="10"/>
    <w:link w:val="40"/>
    <w:qFormat/>
    <w:uiPriority w:val="0"/>
    <w:rPr>
      <w:rFonts w:ascii="宋体" w:hAnsi="Courier New"/>
      <w:szCs w:val="20"/>
    </w:rPr>
  </w:style>
  <w:style w:type="character" w:customStyle="1" w:styleId="40">
    <w:name w:val="Char1"/>
    <w:link w:val="39"/>
    <w:qFormat/>
    <w:uiPriority w:val="0"/>
    <w:rPr>
      <w:rFonts w:ascii="宋体" w:hAnsi="Courier New" w:eastAsia="宋体" w:cs="Times New Roman"/>
      <w:szCs w:val="20"/>
    </w:rPr>
  </w:style>
  <w:style w:type="paragraph" w:customStyle="1" w:styleId="41">
    <w:name w:val="列出段落1"/>
    <w:basedOn w:val="1"/>
    <w:qFormat/>
    <w:uiPriority w:val="0"/>
    <w:pPr>
      <w:ind w:firstLine="420" w:firstLineChars="200"/>
    </w:pPr>
    <w:rPr>
      <w:rFonts w:cs="Calibri"/>
      <w:szCs w:val="21"/>
    </w:rPr>
  </w:style>
  <w:style w:type="character" w:customStyle="1" w:styleId="42">
    <w:name w:val="font01"/>
    <w:basedOn w:val="18"/>
    <w:qFormat/>
    <w:uiPriority w:val="0"/>
    <w:rPr>
      <w:rFonts w:hint="eastAsia" w:ascii="宋体" w:hAnsi="宋体" w:eastAsia="宋体" w:cs="宋体"/>
      <w:color w:val="000000"/>
      <w:sz w:val="20"/>
      <w:szCs w:val="20"/>
      <w:u w:val="none"/>
    </w:rPr>
  </w:style>
  <w:style w:type="paragraph" w:customStyle="1" w:styleId="4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paragraph" w:customStyle="1" w:styleId="44">
    <w:name w:val="_Style 475"/>
    <w:basedOn w:val="1"/>
    <w:next w:val="32"/>
    <w:qFormat/>
    <w:uiPriority w:val="34"/>
    <w:pPr>
      <w:ind w:firstLine="420" w:firstLineChars="200"/>
    </w:pPr>
    <w:rPr>
      <w:szCs w:val="21"/>
    </w:rPr>
  </w:style>
  <w:style w:type="paragraph" w:customStyle="1" w:styleId="45">
    <w:name w:val="Revision"/>
    <w:hidden/>
    <w:semiHidden/>
    <w:qFormat/>
    <w:uiPriority w:val="99"/>
    <w:rPr>
      <w:rFonts w:ascii="Calibri" w:hAnsi="Calibri" w:eastAsia="宋体" w:cs="Times New Roman"/>
      <w:kern w:val="2"/>
      <w:sz w:val="21"/>
      <w:szCs w:val="22"/>
      <w:lang w:val="en-US" w:eastAsia="zh-CN" w:bidi="ar-SA"/>
    </w:rPr>
  </w:style>
  <w:style w:type="character" w:customStyle="1" w:styleId="46">
    <w:name w:val="正文文本缩进 字符"/>
    <w:basedOn w:val="18"/>
    <w:link w:val="3"/>
    <w:qFormat/>
    <w:uiPriority w:val="99"/>
    <w:rPr>
      <w:rFonts w:ascii="Calibri" w:hAnsi="Calibri"/>
      <w:kern w:val="2"/>
      <w:sz w:val="21"/>
      <w:szCs w:val="22"/>
    </w:rPr>
  </w:style>
  <w:style w:type="character" w:customStyle="1" w:styleId="4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BEC3A0-9456-416E-A739-B0A6306C75F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73</Pages>
  <Words>5886</Words>
  <Characters>33556</Characters>
  <Lines>279</Lines>
  <Paragraphs>78</Paragraphs>
  <TotalTime>0</TotalTime>
  <ScaleCrop>false</ScaleCrop>
  <LinksUpToDate>false</LinksUpToDate>
  <CharactersWithSpaces>39364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2022-11-15T08:45:00Z</dcterms:created>
  <dc:creator>User</dc:creator>
  <cp:lastModifiedBy>mue祢</cp:lastModifiedBy>
  <cp:lastPrinted>2020-05-21T02:27:00Z</cp:lastPrinted>
  <dcterms:modified xsi:type="dcterms:W3CDTF">2022-11-16T14:09:24Z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D8B7EC752BA4407DA00FEACEC47DBFCA</vt:lpwstr>
  </property>
</Properties>
</file>