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420" w:firstLineChars="0"/>
        <w:jc w:val="left"/>
        <w:rPr>
          <w:rFonts w:cs="仿宋" w:asciiTheme="minorEastAsia" w:hAnsiTheme="minorEastAsia" w:eastAsiaTheme="minorEastAsia"/>
          <w:b/>
          <w:bCs/>
          <w:snapToGrid w:val="0"/>
          <w:kern w:val="0"/>
          <w:sz w:val="28"/>
          <w:szCs w:val="28"/>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cs="仿宋" w:asciiTheme="minorEastAsia" w:hAnsiTheme="minorEastAsia" w:eastAsiaTheme="minorEastAsia"/>
        </w:rPr>
      </w:pPr>
      <w:r>
        <w:rPr>
          <w:rFonts w:hint="eastAsia" w:cs="仿宋" w:asciiTheme="minorEastAsia" w:hAnsiTheme="minorEastAsia" w:eastAsiaTheme="minorEastAsia"/>
          <w:b/>
          <w:bCs/>
          <w:snapToGrid w:val="0"/>
          <w:kern w:val="0"/>
          <w:sz w:val="72"/>
          <w:szCs w:val="70"/>
        </w:rPr>
        <w:t>市局金稻田路1128号围墙修复重建工程全过程造价咨询</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90"/>
        </w:rPr>
      </w:pPr>
      <w:r>
        <w:rPr>
          <w:rFonts w:hint="eastAsia" w:cs="仿宋" w:asciiTheme="minorEastAsia" w:hAnsiTheme="minorEastAsia" w:eastAsiaTheme="minorEastAsia"/>
          <w:b/>
          <w:snapToGrid w:val="0"/>
          <w:kern w:val="0"/>
          <w:sz w:val="90"/>
        </w:rPr>
        <w:t>征  集　文　件</w:t>
      </w: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44"/>
        </w:rPr>
      </w:pPr>
      <w:r>
        <w:rPr>
          <w:rFonts w:hint="eastAsia" w:cs="仿宋" w:asciiTheme="minorEastAsia" w:hAnsiTheme="minorEastAsia" w:eastAsiaTheme="minorEastAsia"/>
          <w:b/>
          <w:snapToGrid w:val="0"/>
          <w:kern w:val="0"/>
          <w:sz w:val="32"/>
        </w:rPr>
        <w:t>项目编号：SZZZ2023-QC0079</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12"/>
        <w:adjustRightInd w:val="0"/>
        <w:snapToGrid w:val="0"/>
        <w:spacing w:line="300" w:lineRule="auto"/>
        <w:jc w:val="center"/>
        <w:rPr>
          <w:rFonts w:cs="仿宋" w:asciiTheme="minorEastAsia" w:hAnsiTheme="minorEastAsia" w:eastAsiaTheme="minorEastAsia"/>
          <w:b/>
          <w:snapToGrid w:val="0"/>
          <w:sz w:val="30"/>
        </w:rPr>
      </w:pPr>
      <w:r>
        <w:rPr>
          <w:rFonts w:hint="eastAsia" w:cs="仿宋" w:asciiTheme="minorEastAsia" w:hAnsiTheme="minorEastAsia" w:eastAsiaTheme="minorEastAsia"/>
          <w:b/>
          <w:snapToGrid w:val="0"/>
          <w:sz w:val="30"/>
        </w:rPr>
        <w:t>二〇二三年三月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w:t>
      </w:r>
      <w:r>
        <w:rPr>
          <w:rFonts w:ascii="仿宋" w:hAnsi="仿宋" w:eastAsia="仿宋"/>
          <w:sz w:val="24"/>
          <w:szCs w:val="24"/>
        </w:rPr>
        <w:t xml:space="preserve"> </w:t>
      </w:r>
      <w:r>
        <w:rPr>
          <w:rFonts w:hint="eastAsia" w:ascii="仿宋" w:hAnsi="仿宋" w:eastAsia="仿宋"/>
          <w:sz w:val="24"/>
          <w:szCs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（一）投标供应商之间相互约定给予未中标的供应商利益补偿；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（四）不同投标供应商的投标文件或部分投标文件相互混装；</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（五）不同投标供应商的投标文件内容存在非正常一致；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（六）由同一单位工作人员为两家以上（含两家）供应商进行同一项投标活动的；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（七）主管部门依照法律、法规认定的其他情形。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szCs w:val="24"/>
        </w:rPr>
      </w:pP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投标供应商涉嫌存在串通投标等违法行为的，将书面报告财政主管部门依法处理。</w:t>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left"/>
        <w:rPr>
          <w:rFonts w:cs="仿宋" w:asciiTheme="minorEastAsia" w:hAnsiTheme="minorEastAsia" w:eastAsiaTheme="minorEastAsia"/>
          <w:snapToGrid w:val="0"/>
        </w:rPr>
      </w:pPr>
      <w:r>
        <w:rPr>
          <w:rFonts w:cs="仿宋" w:asciiTheme="minorEastAsia" w:hAnsiTheme="minorEastAsia" w:eastAsiaTheme="minorEastAsia"/>
          <w:snapToGrid w:val="0"/>
        </w:rPr>
        <w:br w:type="page"/>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snapToGrid w:val="0"/>
          <w:sz w:val="48"/>
          <w:szCs w:val="48"/>
        </w:rPr>
      </w:pPr>
      <w:r>
        <w:rPr>
          <w:rFonts w:hint="eastAsia" w:cs="仿宋" w:asciiTheme="minorEastAsia" w:hAnsiTheme="minorEastAsia" w:eastAsiaTheme="minorEastAsia"/>
          <w:b/>
          <w:snapToGrid w:val="0"/>
          <w:sz w:val="48"/>
          <w:szCs w:val="48"/>
        </w:rPr>
        <w:t>征集文件信息</w:t>
      </w:r>
    </w:p>
    <w:p>
      <w:pPr>
        <w:widowControl/>
        <w:jc w:val="left"/>
        <w:rPr>
          <w:rFonts w:cs="仿宋" w:asciiTheme="minorEastAsia" w:hAnsiTheme="minorEastAsia" w:eastAsiaTheme="minorEastAsia"/>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项目名称</w:t>
            </w:r>
          </w:p>
        </w:tc>
        <w:tc>
          <w:tcPr>
            <w:tcW w:w="6555" w:type="dxa"/>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szCs w:val="21"/>
              </w:rPr>
              <w:t>市局金稻田路1128号围墙修复重建工程全过程造价咨询</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项目编号</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SZZZ2023-QC0079</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中标候选供应商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b/>
          <w:sz w:val="36"/>
        </w:rPr>
      </w:pPr>
      <w:r>
        <w:rPr>
          <w:rFonts w:hint="eastAsia" w:cs="仿宋" w:asciiTheme="minorEastAsia" w:hAnsiTheme="minorEastAsia" w:eastAsiaTheme="minorEastAsia"/>
          <w:b/>
          <w:sz w:val="36"/>
        </w:rPr>
        <w:br w:type="page"/>
      </w:r>
    </w:p>
    <w:p>
      <w:pPr>
        <w:spacing w:line="360" w:lineRule="auto"/>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征集文件目录</w:t>
      </w:r>
    </w:p>
    <w:p>
      <w:pPr>
        <w:jc w:val="center"/>
        <w:rPr>
          <w:rFonts w:cs="仿宋" w:asciiTheme="minorEastAsia" w:hAnsiTheme="minorEastAsia" w:eastAsiaTheme="minorEastAsia"/>
          <w:b/>
          <w:sz w:val="20"/>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第一部分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第二部分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第三部分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格式7 差异表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其他征集文件要求的资料或投标供应商认为需要补充的资料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第四部分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第五部分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A、说明；B、征集文件说明；C、投标文件的编写；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第六部分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39"/>
            <w:bookmarkStart w:id="3" w:name="_Hlt356375840"/>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r>
        <w:rPr>
          <w:rFonts w:hint="eastAsia" w:cs="仿宋" w:asciiTheme="minorEastAsia" w:hAnsiTheme="minorEastAsia" w:eastAsiaTheme="minorEastAsia"/>
          <w:b/>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hint="eastAsia"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市局金稻田路1128号围墙修复重建工程全过程造价咨询</w:t>
      </w:r>
    </w:p>
    <w:p>
      <w:pPr>
        <w:jc w:val="center"/>
        <w:rPr>
          <w:rFonts w:ascii="仿宋_GB2312" w:hAnsi="黑体" w:eastAsia="仿宋_GB2312" w:cs="仿宋"/>
          <w:b/>
          <w:bCs/>
          <w:snapToGrid w:val="0"/>
          <w:kern w:val="0"/>
          <w:sz w:val="32"/>
          <w:szCs w:val="32"/>
        </w:rPr>
      </w:pPr>
      <w:bookmarkStart w:id="12" w:name="_GoBack"/>
      <w:bookmarkEnd w:id="12"/>
      <w:r>
        <w:rPr>
          <w:rFonts w:hint="eastAsia" w:ascii="仿宋_GB2312" w:hAnsi="黑体" w:eastAsia="仿宋_GB2312" w:cs="仿宋"/>
          <w:b/>
          <w:bCs/>
          <w:snapToGrid w:val="0"/>
          <w:kern w:val="0"/>
          <w:sz w:val="32"/>
          <w:szCs w:val="32"/>
        </w:rPr>
        <w:t>采购公告</w:t>
      </w:r>
    </w:p>
    <w:p>
      <w:pPr>
        <w:spacing w:line="360" w:lineRule="auto"/>
        <w:rPr>
          <w:rFonts w:cs="仿宋" w:asciiTheme="minorEastAsia" w:hAnsiTheme="minorEastAsia" w:eastAsiaTheme="minorEastAsia"/>
          <w:b/>
          <w:sz w:val="24"/>
          <w:szCs w:val="24"/>
        </w:rPr>
      </w:pPr>
    </w:p>
    <w:p>
      <w:p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一、项目概况</w:t>
      </w:r>
    </w:p>
    <w:p>
      <w:pPr>
        <w:spacing w:line="360" w:lineRule="auto"/>
        <w:ind w:firstLine="424" w:firstLineChars="202"/>
        <w:rPr>
          <w:rFonts w:cs="仿宋" w:asciiTheme="minorEastAsia" w:hAnsiTheme="minorEastAsia" w:eastAsiaTheme="minorEastAsia"/>
          <w:bCs/>
          <w:szCs w:val="21"/>
        </w:rPr>
      </w:pPr>
      <w:r>
        <w:rPr>
          <w:rFonts w:hint="eastAsia" w:cs="仿宋" w:asciiTheme="minorEastAsia" w:hAnsiTheme="minorEastAsia" w:eastAsiaTheme="minorEastAsia"/>
          <w:bCs/>
          <w:szCs w:val="21"/>
          <w:u w:val="single"/>
        </w:rPr>
        <w:t>市局金稻田路1128号围墙修复重建工程全过程造价咨询</w:t>
      </w:r>
      <w:r>
        <w:rPr>
          <w:rFonts w:hint="eastAsia" w:cs="仿宋" w:asciiTheme="minorEastAsia" w:hAnsiTheme="minorEastAsia" w:eastAsiaTheme="minorEastAsia"/>
          <w:szCs w:val="21"/>
        </w:rPr>
        <w:t>的潜在投标供应商应在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获取征集文件，并于</w:t>
      </w:r>
      <w:r>
        <w:rPr>
          <w:rFonts w:hint="eastAsia" w:cs="仿宋" w:asciiTheme="minorEastAsia" w:hAnsiTheme="minorEastAsia" w:eastAsiaTheme="minorEastAsia"/>
          <w:szCs w:val="21"/>
          <w:u w:val="single"/>
        </w:rPr>
        <w:t>2023</w:t>
      </w:r>
      <w:r>
        <w:rPr>
          <w:rFonts w:hint="eastAsia" w:cs="仿宋" w:asciiTheme="minorEastAsia" w:hAnsiTheme="minorEastAsia" w:eastAsiaTheme="minorEastAsia"/>
          <w:bCs/>
          <w:szCs w:val="21"/>
        </w:rPr>
        <w:t>年</w:t>
      </w:r>
      <w:r>
        <w:rPr>
          <w:rFonts w:hint="eastAsia" w:cs="仿宋" w:asciiTheme="minorEastAsia" w:hAnsiTheme="minorEastAsia" w:eastAsiaTheme="minorEastAsia"/>
          <w:bCs/>
          <w:szCs w:val="21"/>
          <w:u w:val="single"/>
          <w:lang w:val="en-US" w:eastAsia="zh-CN"/>
        </w:rPr>
        <w:t>03</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u w:val="single"/>
          <w:lang w:val="en-US" w:eastAsia="zh-CN"/>
        </w:rPr>
        <w:t>27</w:t>
      </w:r>
      <w:r>
        <w:rPr>
          <w:rFonts w:hint="eastAsia" w:cs="仿宋" w:asciiTheme="minorEastAsia" w:hAnsiTheme="minorEastAsia" w:eastAsiaTheme="minorEastAsia"/>
          <w:bCs/>
          <w:szCs w:val="21"/>
        </w:rPr>
        <w:t>日</w:t>
      </w:r>
      <w:r>
        <w:rPr>
          <w:rFonts w:hint="eastAsia" w:cs="仿宋" w:asciiTheme="minorEastAsia" w:hAnsiTheme="minorEastAsia" w:eastAsiaTheme="minorEastAsia"/>
          <w:bCs/>
          <w:szCs w:val="21"/>
          <w:u w:val="single"/>
        </w:rPr>
        <w:t>15</w:t>
      </w:r>
      <w:r>
        <w:rPr>
          <w:rFonts w:hint="eastAsia" w:cs="仿宋" w:asciiTheme="minorEastAsia" w:hAnsiTheme="minorEastAsia" w:eastAsiaTheme="minorEastAsia"/>
          <w:bCs/>
          <w:szCs w:val="21"/>
        </w:rPr>
        <w:t>点</w:t>
      </w:r>
      <w:r>
        <w:rPr>
          <w:rFonts w:hint="eastAsia" w:cs="仿宋" w:asciiTheme="minorEastAsia" w:hAnsiTheme="minorEastAsia" w:eastAsiaTheme="minorEastAsia"/>
          <w:bCs/>
          <w:szCs w:val="21"/>
          <w:u w:val="single"/>
        </w:rPr>
        <w:t>00</w:t>
      </w:r>
      <w:r>
        <w:rPr>
          <w:rFonts w:hint="eastAsia" w:cs="仿宋" w:asciiTheme="minorEastAsia" w:hAnsiTheme="minorEastAsia" w:eastAsiaTheme="minorEastAsia"/>
          <w:bCs/>
          <w:szCs w:val="21"/>
        </w:rPr>
        <w:t>分（北京时间）前递交投标文件。</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1、项目编号：SZZZ2023-QC0079</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2、项目名称：市局金稻田路1128号围墙修复重建工程全过程造价咨询</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3、预算金额：人民币32.83万元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4、最高限价：人民币32.83万元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5、采购方式：公开征集</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序号</w:t>
            </w:r>
          </w:p>
        </w:tc>
        <w:tc>
          <w:tcPr>
            <w:tcW w:w="2574"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标的名称</w:t>
            </w:r>
          </w:p>
        </w:tc>
        <w:tc>
          <w:tcPr>
            <w:tcW w:w="548"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数量</w:t>
            </w:r>
          </w:p>
        </w:tc>
        <w:tc>
          <w:tcPr>
            <w:tcW w:w="1189"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2574"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市局金稻田路1128号围墙修复重建工程全过程造价咨询</w:t>
            </w:r>
          </w:p>
        </w:tc>
        <w:tc>
          <w:tcPr>
            <w:tcW w:w="548"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1项</w:t>
            </w:r>
          </w:p>
        </w:tc>
        <w:tc>
          <w:tcPr>
            <w:tcW w:w="1189"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详见附件内容</w:t>
            </w:r>
          </w:p>
        </w:tc>
      </w:tr>
    </w:tbl>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7、合同履行期限：详见征集文件。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8、是否联合体：本项目不接受联合体投标。</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须是在中华人民共和国境内注册的法人或其他组织，分公司投标的，需提供总公司授权证明【须提供合法有效的营业执照或法人证书等证明材料的扫描件或复印件加盖投标供应商公章或总公司授权证明，原件备查】；</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2、参与本项目的投标供应商须满足《中华人民共和国政府采购法》第二十二条规定【由投标供应商按征集文件规定的格式在《承诺函》中作出声明】；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3、参与本项目采购活动前三年内，在经营活动中没有重大违法记录【由投标供应商按征集文件规定的格式在《承诺函》中作出声明】；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4、参与本项目政府采购活动时不存在被有关部门禁止参与政府采购活动且在有效期内的情况【由投标供应商按征集文件规定的格式在《承诺函》中作出声明】；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除单一来源采购项目外，为采购项目提供整体设计、规范编制或者项目管理、监理、检测等服务的供应商，不得再参加该采购项目的其他采购活动【须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6、单位负责人为同一人或者存在直接控股、管理关系的不同投标供应商，不得参加同一合同项下的采购活动【须</w:t>
      </w:r>
      <w:r>
        <w:rPr>
          <w:rFonts w:hint="eastAsia" w:asciiTheme="minorEastAsia" w:hAnsiTheme="minorEastAsia" w:eastAsiaTheme="minorEastAsia"/>
          <w:snapToGrid w:val="0"/>
        </w:rPr>
        <w:t>提供国家企业信用信息公示系统（https://www.gsxt.gov.cn/index.html）或机关赋码和事业单位登记管理网（http://www.gjsy.gov.cn/sydwfrxxcx/）或全国社会组织信用信息公示平台（https://xxgs.chinanpo.mca.gov.cn/gsxt/newList）网站供应商信息查询截图，并</w:t>
      </w:r>
      <w:r>
        <w:rPr>
          <w:rFonts w:hint="eastAsia" w:cs="仿宋" w:asciiTheme="minorEastAsia" w:hAnsiTheme="minorEastAsia" w:eastAsiaTheme="minorEastAsia"/>
          <w:bCs/>
          <w:szCs w:val="21"/>
        </w:rPr>
        <w:t>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参与本项目的投标供应商未被列入失信被执行人、重大税收违法案件当事人名单和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供应商自行查询并提供查询结果截图，查询时间为本项目采购公告发布之日起至投标截止时间前】；</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8、本项目不接受联合体投标，不允许分包或转包。</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yellow"/>
          <w:u w:val="single"/>
        </w:rPr>
        <w:t>2023</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lang w:val="en-US" w:eastAsia="zh-CN"/>
        </w:rPr>
        <w:t>03</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17</w:t>
      </w:r>
      <w:r>
        <w:rPr>
          <w:rFonts w:hint="eastAsia" w:cs="仿宋" w:asciiTheme="minorEastAsia" w:hAnsiTheme="minorEastAsia" w:eastAsiaTheme="minorEastAsia"/>
          <w:b/>
          <w:bCs/>
          <w:szCs w:val="21"/>
          <w:highlight w:val="yellow"/>
        </w:rPr>
        <w:t>日至</w:t>
      </w:r>
      <w:r>
        <w:rPr>
          <w:rFonts w:hint="eastAsia" w:cs="仿宋" w:asciiTheme="minorEastAsia" w:hAnsiTheme="minorEastAsia" w:eastAsiaTheme="minorEastAsia"/>
          <w:b/>
          <w:bCs/>
          <w:szCs w:val="21"/>
          <w:highlight w:val="yellow"/>
          <w:u w:val="single"/>
        </w:rPr>
        <w:t>2023</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lang w:val="en-US" w:eastAsia="zh-CN"/>
        </w:rPr>
        <w:t>03</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24</w:t>
      </w:r>
      <w:r>
        <w:rPr>
          <w:rFonts w:hint="eastAsia" w:cs="仿宋" w:asciiTheme="minorEastAsia" w:hAnsiTheme="minorEastAsia" w:eastAsiaTheme="minorEastAsia"/>
          <w:b/>
          <w:bCs/>
          <w:szCs w:val="21"/>
          <w:highlight w:val="yellow"/>
        </w:rPr>
        <w:t>日</w:t>
      </w:r>
      <w:r>
        <w:rPr>
          <w:rFonts w:hint="eastAsia" w:cs="仿宋" w:asciiTheme="minorEastAsia" w:hAnsiTheme="minorEastAsia" w:eastAsiaTheme="minorEastAsia"/>
          <w:b/>
          <w:bCs/>
          <w:szCs w:val="21"/>
          <w:highlight w:val="yellow"/>
          <w:u w:val="single"/>
        </w:rPr>
        <w:t>17</w:t>
      </w:r>
      <w:r>
        <w:rPr>
          <w:rFonts w:hint="eastAsia" w:cs="仿宋" w:asciiTheme="minorEastAsia" w:hAnsiTheme="minorEastAsia" w:eastAsiaTheme="minorEastAsia"/>
          <w:b/>
          <w:bCs/>
          <w:szCs w:val="21"/>
          <w:highlight w:val="yellow"/>
        </w:rPr>
        <w:t>点</w:t>
      </w:r>
      <w:r>
        <w:rPr>
          <w:rFonts w:hint="eastAsia" w:cs="仿宋" w:asciiTheme="minorEastAsia" w:hAnsiTheme="minorEastAsia" w:eastAsiaTheme="minorEastAsia"/>
          <w:b/>
          <w:bCs/>
          <w:szCs w:val="21"/>
          <w:highlight w:val="yellow"/>
          <w:u w:val="single"/>
        </w:rPr>
        <w:t>30</w:t>
      </w:r>
      <w:r>
        <w:rPr>
          <w:rFonts w:hint="eastAsia" w:cs="仿宋" w:asciiTheme="minorEastAsia" w:hAnsiTheme="minorEastAsia" w:eastAsiaTheme="minorEastAsia"/>
          <w:b/>
          <w:bCs/>
          <w:szCs w:val="21"/>
          <w:highlight w:val="yellow"/>
        </w:rPr>
        <w:t>分截止</w:t>
      </w:r>
      <w:r>
        <w:rPr>
          <w:rFonts w:hint="eastAsia" w:cs="仿宋" w:asciiTheme="minorEastAsia" w:hAnsiTheme="minorEastAsia" w:eastAsiaTheme="minorEastAsia"/>
          <w:bCs/>
          <w:szCs w:val="21"/>
        </w:rPr>
        <w:t>，每天上午</w:t>
      </w:r>
      <w:r>
        <w:rPr>
          <w:rFonts w:hint="eastAsia" w:cs="仿宋" w:asciiTheme="minorEastAsia" w:hAnsiTheme="minorEastAsia" w:eastAsiaTheme="minorEastAsia"/>
          <w:bCs/>
          <w:szCs w:val="21"/>
          <w:u w:val="single"/>
        </w:rPr>
        <w:t>09</w:t>
      </w:r>
      <w:r>
        <w:rPr>
          <w:rFonts w:hint="eastAsia" w:cs="仿宋" w:asciiTheme="minorEastAsia" w:hAnsiTheme="minorEastAsia" w:eastAsiaTheme="minorEastAsia"/>
          <w:bCs/>
          <w:szCs w:val="21"/>
        </w:rPr>
        <w:t>时至</w:t>
      </w:r>
      <w:r>
        <w:rPr>
          <w:rFonts w:hint="eastAsia" w:cs="仿宋" w:asciiTheme="minorEastAsia" w:hAnsiTheme="minorEastAsia" w:eastAsiaTheme="minorEastAsia"/>
          <w:bCs/>
          <w:szCs w:val="21"/>
          <w:u w:val="single"/>
        </w:rPr>
        <w:t>11</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分，下午</w:t>
      </w:r>
      <w:r>
        <w:rPr>
          <w:rFonts w:hint="eastAsia" w:cs="仿宋" w:asciiTheme="minorEastAsia" w:hAnsiTheme="minorEastAsia" w:eastAsiaTheme="minorEastAsia"/>
          <w:bCs/>
          <w:szCs w:val="21"/>
          <w:u w:val="single"/>
        </w:rPr>
        <w:t>02</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分至</w:t>
      </w:r>
      <w:r>
        <w:rPr>
          <w:rFonts w:hint="eastAsia" w:cs="仿宋" w:asciiTheme="minorEastAsia" w:hAnsiTheme="minorEastAsia" w:eastAsiaTheme="minorEastAsia"/>
          <w:bCs/>
          <w:szCs w:val="21"/>
          <w:u w:val="single"/>
        </w:rPr>
        <w:t>05</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分（北京时间，法定节假日除外）</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3、方式：现场报名投标或网上报名投标</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② 网上报名投标：发送报名资料至我司邮箱进行报名登记及获取征集文件，邮箱地址：qtszzzzb@163.com。</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报名投标邮件需附以下资料: 1）加盖公章的《购买标书登记表》（下载地址：“www.szzzt.com”首页“下载中心”）；2）加盖公章的营业执照复印件扫描件；3）法人授权委托书扫描件；4）购买征集文件费用银行转帐凭证。报名时间以邮件发出时间为准，工作人员将在第二个工作日与报名投标资料完整的投标供应商联系。</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4、售价：人民币600元，征集文件售后不退。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购买征集文件账号信息如下：</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银行账号：03003729353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开户名称：深圳市中正招标有限公司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开户银行：上海银行深圳天安支行</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yellow"/>
          <w:u w:val="single"/>
        </w:rPr>
        <w:t>2023</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lang w:val="en-US" w:eastAsia="zh-CN"/>
        </w:rPr>
        <w:t>03</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27</w:t>
      </w:r>
      <w:r>
        <w:rPr>
          <w:rFonts w:hint="eastAsia" w:cs="仿宋" w:asciiTheme="minorEastAsia" w:hAnsiTheme="minorEastAsia" w:eastAsiaTheme="minorEastAsia"/>
          <w:b/>
          <w:bCs/>
          <w:szCs w:val="21"/>
          <w:highlight w:val="yellow"/>
        </w:rPr>
        <w:t>日</w:t>
      </w:r>
      <w:r>
        <w:rPr>
          <w:rFonts w:hint="eastAsia" w:cs="仿宋" w:asciiTheme="minorEastAsia" w:hAnsiTheme="minorEastAsia" w:eastAsiaTheme="minorEastAsia"/>
          <w:b/>
          <w:bCs/>
          <w:szCs w:val="21"/>
          <w:highlight w:val="yellow"/>
          <w:u w:val="single"/>
        </w:rPr>
        <w:t>15</w:t>
      </w:r>
      <w:r>
        <w:rPr>
          <w:rFonts w:hint="eastAsia" w:cs="仿宋" w:asciiTheme="minorEastAsia" w:hAnsiTheme="minorEastAsia" w:eastAsiaTheme="minorEastAsia"/>
          <w:b/>
          <w:bCs/>
          <w:szCs w:val="21"/>
          <w:highlight w:val="yellow"/>
        </w:rPr>
        <w:t>点</w:t>
      </w:r>
      <w:r>
        <w:rPr>
          <w:rFonts w:hint="eastAsia" w:cs="仿宋" w:asciiTheme="minorEastAsia" w:hAnsiTheme="minorEastAsia" w:eastAsiaTheme="minorEastAsia"/>
          <w:b/>
          <w:bCs/>
          <w:szCs w:val="21"/>
          <w:highlight w:val="yellow"/>
          <w:u w:val="single"/>
        </w:rPr>
        <w:t>00</w:t>
      </w:r>
      <w:r>
        <w:rPr>
          <w:rFonts w:hint="eastAsia" w:cs="仿宋" w:asciiTheme="minorEastAsia" w:hAnsiTheme="minorEastAsia" w:eastAsiaTheme="minorEastAsia"/>
          <w:b/>
          <w:bCs/>
          <w:szCs w:val="21"/>
          <w:highlight w:val="yellow"/>
        </w:rPr>
        <w:t>分</w:t>
      </w:r>
      <w:r>
        <w:rPr>
          <w:rFonts w:hint="eastAsia" w:cs="仿宋" w:asciiTheme="minorEastAsia" w:hAnsiTheme="minorEastAsia" w:eastAsiaTheme="minorEastAsia"/>
          <w:b/>
          <w:szCs w:val="21"/>
          <w:highlight w:val="yellow"/>
        </w:rPr>
        <w:t>（北京时间）</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备注：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征集文件要求密封或者邮寄过程中出现包装密封破损等可能导致投标无效情形的责任与后果。投标人未参加开标会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自本公告发布之日起5个工作日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2、本项目相关公告在以下媒体发布：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① 深圳公共资源交易中心网（www.szzfcg.cn）</w:t>
      </w:r>
    </w:p>
    <w:p>
      <w:pPr>
        <w:spacing w:line="360" w:lineRule="auto"/>
        <w:ind w:firstLine="371" w:firstLineChars="177"/>
        <w:rPr>
          <w:rFonts w:cs="仿宋" w:asciiTheme="minorEastAsia" w:hAnsiTheme="minorEastAsia" w:eastAsiaTheme="minorEastAsia"/>
          <w:bCs/>
          <w:szCs w:val="21"/>
        </w:rPr>
      </w:pPr>
      <w:r>
        <w:rPr>
          <w:rFonts w:cs="仿宋" w:asciiTheme="minorEastAsia" w:hAnsiTheme="minorEastAsia" w:eastAsiaTheme="minorEastAsia"/>
          <w:bCs/>
          <w:szCs w:val="21"/>
        </w:rPr>
        <w:fldChar w:fldCharType="begin"/>
      </w:r>
      <w:r>
        <w:rPr>
          <w:rFonts w:cs="仿宋" w:asciiTheme="minorEastAsia" w:hAnsiTheme="minorEastAsia" w:eastAsiaTheme="minorEastAsia"/>
          <w:bCs/>
          <w:szCs w:val="21"/>
        </w:rPr>
        <w:instrText xml:space="preserve"> </w:instrText>
      </w:r>
      <w:r>
        <w:rPr>
          <w:rFonts w:hint="eastAsia" w:cs="仿宋" w:asciiTheme="minorEastAsia" w:hAnsiTheme="minorEastAsia" w:eastAsiaTheme="minorEastAsia"/>
          <w:bCs/>
          <w:szCs w:val="21"/>
        </w:rPr>
        <w:instrText xml:space="preserve">= 2 \* GB3</w:instrText>
      </w:r>
      <w:r>
        <w:rPr>
          <w:rFonts w:cs="仿宋" w:asciiTheme="minorEastAsia" w:hAnsiTheme="minorEastAsia" w:eastAsiaTheme="minorEastAsia"/>
          <w:bCs/>
          <w:szCs w:val="21"/>
        </w:rPr>
        <w:instrText xml:space="preserve"> </w:instrText>
      </w:r>
      <w:r>
        <w:rPr>
          <w:rFonts w:cs="仿宋" w:asciiTheme="minorEastAsia" w:hAnsiTheme="minorEastAsia" w:eastAsiaTheme="minorEastAsia"/>
          <w:bCs/>
          <w:szCs w:val="21"/>
        </w:rPr>
        <w:fldChar w:fldCharType="separate"/>
      </w:r>
      <w:r>
        <w:rPr>
          <w:rFonts w:hint="eastAsia" w:cs="仿宋" w:asciiTheme="minorEastAsia" w:hAnsiTheme="minorEastAsia" w:eastAsiaTheme="minorEastAsia"/>
          <w:bCs/>
          <w:szCs w:val="21"/>
        </w:rPr>
        <w:t>②</w:t>
      </w:r>
      <w:r>
        <w:rPr>
          <w:rFonts w:cs="仿宋" w:asciiTheme="minorEastAsia" w:hAnsiTheme="minorEastAsia" w:eastAsiaTheme="minorEastAsia"/>
          <w:bCs/>
          <w:szCs w:val="21"/>
        </w:rPr>
        <w:fldChar w:fldCharType="end"/>
      </w:r>
      <w:r>
        <w:rPr>
          <w:rFonts w:hint="eastAsia" w:cs="仿宋" w:asciiTheme="minorEastAsia" w:hAnsiTheme="minorEastAsia" w:eastAsiaTheme="minorEastAsia"/>
          <w:bCs/>
          <w:szCs w:val="21"/>
        </w:rPr>
        <w:t xml:space="preserve"> 采购代理机构网站（www.szzzt.com）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相关公告在以上媒体上公布之日即视为有效送达，不再另行通知。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1、采购人信息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称：深圳市公安局警务保障部</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2、采购代理机构信息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址：深圳市福田区民田路171号新华保险大厦903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联系 方式：李工，0755-83026699</w:t>
      </w:r>
    </w:p>
    <w:p>
      <w:pPr>
        <w:spacing w:line="360" w:lineRule="auto"/>
        <w:jc w:val="left"/>
        <w:rPr>
          <w:rFonts w:cs="仿宋" w:asciiTheme="minorEastAsia" w:hAnsiTheme="minorEastAsia" w:eastAsiaTheme="minorEastAsia"/>
          <w:b/>
          <w:bCs/>
          <w:szCs w:val="21"/>
        </w:rPr>
      </w:pP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（附件内容请登陆采购代理机构官网下载查阅）</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Cs/>
          <w:szCs w:val="21"/>
        </w:rPr>
      </w:pP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深圳市中正招标有限公司</w:t>
      </w: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2023年</w:t>
      </w:r>
      <w:r>
        <w:rPr>
          <w:rFonts w:hint="eastAsia" w:cs="仿宋" w:asciiTheme="minorEastAsia" w:hAnsiTheme="minorEastAsia" w:eastAsiaTheme="minorEastAsia"/>
          <w:bCs/>
          <w:szCs w:val="21"/>
          <w:lang w:val="en-US" w:eastAsia="zh-CN"/>
        </w:rPr>
        <w:t>03</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lang w:val="en-US" w:eastAsia="zh-CN"/>
        </w:rPr>
        <w:t>17</w:t>
      </w:r>
      <w:r>
        <w:rPr>
          <w:rFonts w:hint="eastAsia" w:cs="仿宋" w:asciiTheme="minorEastAsia" w:hAnsiTheme="minorEastAsia" w:eastAsiaTheme="minorEastAsia"/>
          <w:bCs/>
          <w:szCs w:val="21"/>
        </w:rPr>
        <w:t>日</w:t>
      </w:r>
    </w:p>
    <w:p>
      <w:pPr>
        <w:widowControl/>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第一部分</w:t>
      </w:r>
    </w:p>
    <w:p>
      <w:pPr>
        <w:spacing w:line="36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投标须知前附表及评审信息</w:t>
      </w:r>
    </w:p>
    <w:p>
      <w:pPr>
        <w:widowControl/>
        <w:jc w:val="left"/>
        <w:rPr>
          <w:rFonts w:cs="仿宋" w:asciiTheme="minorEastAsia" w:hAnsiTheme="minorEastAsia" w:eastAsiaTheme="minorEastAsia"/>
          <w:b/>
          <w:snapToGrid w:val="0"/>
          <w:kern w:val="0"/>
          <w:sz w:val="72"/>
        </w:rPr>
      </w:pPr>
      <w:r>
        <w:rPr>
          <w:rFonts w:hint="eastAsia" w:cs="仿宋" w:asciiTheme="minorEastAsia" w:hAnsiTheme="minorEastAsia" w:eastAsiaTheme="minorEastAsia"/>
          <w:b/>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81"/>
        <w:gridCol w:w="1987"/>
        <w:gridCol w:w="5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13" w:type="pct"/>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rPr>
            </w:pPr>
            <w:r>
              <w:rPr>
                <w:rFonts w:hint="eastAsia" w:cs="仿宋" w:asciiTheme="minorEastAsia" w:hAnsiTheme="minorEastAsia"/>
                <w:b/>
              </w:rPr>
              <w:t>项号</w:t>
            </w:r>
          </w:p>
        </w:tc>
        <w:tc>
          <w:tcPr>
            <w:tcW w:w="458" w:type="pct"/>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rPr>
            </w:pPr>
            <w:r>
              <w:rPr>
                <w:rFonts w:hint="eastAsia" w:cs="仿宋" w:asciiTheme="minorEastAsia" w:hAnsiTheme="minorEastAsia"/>
                <w:b/>
              </w:rPr>
              <w:t>条款号</w:t>
            </w:r>
          </w:p>
        </w:tc>
        <w:tc>
          <w:tcPr>
            <w:tcW w:w="1166" w:type="pct"/>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rPr>
            </w:pPr>
            <w:r>
              <w:rPr>
                <w:rFonts w:hint="eastAsia" w:cs="仿宋" w:asciiTheme="minorEastAsia" w:hAnsiTheme="minorEastAsia"/>
                <w:b/>
              </w:rPr>
              <w:t>内容</w:t>
            </w:r>
          </w:p>
        </w:tc>
        <w:tc>
          <w:tcPr>
            <w:tcW w:w="2961" w:type="pct"/>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rPr>
            </w:pPr>
            <w:r>
              <w:rPr>
                <w:rFonts w:hint="eastAsia" w:cs="仿宋" w:asciiTheme="minorEastAsia" w:hAnsiTheme="minorEastAsia"/>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tcBorders>
              <w:top w:val="single" w:color="auto" w:sz="4" w:space="0"/>
            </w:tcBorders>
            <w:vAlign w:val="center"/>
          </w:tcPr>
          <w:p>
            <w:pPr>
              <w:pStyle w:val="11"/>
              <w:spacing w:line="360" w:lineRule="auto"/>
              <w:jc w:val="center"/>
              <w:rPr>
                <w:rFonts w:cs="仿宋" w:asciiTheme="minorEastAsia" w:hAnsiTheme="minorEastAsia"/>
              </w:rPr>
            </w:pPr>
            <w:r>
              <w:rPr>
                <w:rFonts w:hint="eastAsia" w:cs="仿宋" w:asciiTheme="minorEastAsia" w:hAnsiTheme="minorEastAsia"/>
              </w:rPr>
              <w:t>1</w:t>
            </w:r>
          </w:p>
        </w:tc>
        <w:tc>
          <w:tcPr>
            <w:tcW w:w="458" w:type="pct"/>
            <w:tcBorders>
              <w:top w:val="single" w:color="auto" w:sz="4" w:space="0"/>
            </w:tcBorders>
            <w:vAlign w:val="center"/>
          </w:tcPr>
          <w:p>
            <w:pPr>
              <w:pStyle w:val="11"/>
              <w:spacing w:line="360" w:lineRule="auto"/>
              <w:jc w:val="center"/>
              <w:rPr>
                <w:rFonts w:cs="仿宋" w:asciiTheme="minorEastAsia" w:hAnsiTheme="minorEastAsia"/>
              </w:rPr>
            </w:pPr>
            <w:r>
              <w:rPr>
                <w:rFonts w:hint="eastAsia" w:cs="仿宋" w:asciiTheme="minorEastAsia" w:hAnsiTheme="minorEastAsia"/>
              </w:rPr>
              <w:t>1.1</w:t>
            </w:r>
          </w:p>
        </w:tc>
        <w:tc>
          <w:tcPr>
            <w:tcW w:w="1166" w:type="pct"/>
            <w:tcBorders>
              <w:top w:val="single" w:color="auto" w:sz="4" w:space="0"/>
            </w:tcBorders>
            <w:vAlign w:val="center"/>
          </w:tcPr>
          <w:p>
            <w:pPr>
              <w:pStyle w:val="11"/>
              <w:spacing w:line="360" w:lineRule="auto"/>
              <w:jc w:val="center"/>
              <w:rPr>
                <w:rFonts w:cs="仿宋" w:asciiTheme="minorEastAsia" w:hAnsiTheme="minorEastAsia"/>
              </w:rPr>
            </w:pPr>
            <w:r>
              <w:rPr>
                <w:rFonts w:hint="eastAsia" w:cs="仿宋" w:asciiTheme="minorEastAsia" w:hAnsiTheme="minorEastAsia"/>
              </w:rPr>
              <w:t>项目名称</w:t>
            </w:r>
          </w:p>
        </w:tc>
        <w:tc>
          <w:tcPr>
            <w:tcW w:w="2961" w:type="pct"/>
            <w:tcBorders>
              <w:top w:val="single" w:color="auto" w:sz="4" w:space="0"/>
            </w:tcBorders>
            <w:vAlign w:val="center"/>
          </w:tcPr>
          <w:p>
            <w:pPr>
              <w:pStyle w:val="11"/>
              <w:spacing w:line="360" w:lineRule="auto"/>
              <w:rPr>
                <w:rFonts w:cs="仿宋" w:asciiTheme="minorEastAsia" w:hAnsiTheme="minorEastAsia"/>
              </w:rPr>
            </w:pPr>
            <w:r>
              <w:rPr>
                <w:rFonts w:hint="eastAsia" w:cs="仿宋" w:asciiTheme="minorEastAsia" w:hAnsiTheme="minorEastAsia"/>
              </w:rPr>
              <w:t>市局金稻田路1128号围墙修复重建工程全过程造价咨询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2</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2.1</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bCs/>
              </w:rPr>
              <w:t>采购人</w:t>
            </w:r>
            <w:r>
              <w:rPr>
                <w:rFonts w:hint="eastAsia" w:cs="仿宋" w:asciiTheme="minorEastAsia" w:hAnsiTheme="minorEastAsia"/>
              </w:rPr>
              <w:t>名称</w:t>
            </w:r>
          </w:p>
        </w:tc>
        <w:tc>
          <w:tcPr>
            <w:tcW w:w="2961" w:type="pct"/>
            <w:vAlign w:val="center"/>
          </w:tcPr>
          <w:p>
            <w:pPr>
              <w:rPr>
                <w:rFonts w:cs="仿宋" w:asciiTheme="minorEastAsia" w:hAnsiTheme="minorEastAsia" w:eastAsiaTheme="minorEastAsia"/>
              </w:rPr>
            </w:pPr>
            <w:r>
              <w:rPr>
                <w:rFonts w:hint="eastAsia" w:cs="仿宋" w:asciiTheme="minorEastAsia" w:hAnsiTheme="minorEastAsia" w:eastAsiaTheme="minorEastAsia"/>
              </w:rPr>
              <w:t>深圳市公安局警务保障部基建科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3</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2.2</w:t>
            </w:r>
          </w:p>
        </w:tc>
        <w:tc>
          <w:tcPr>
            <w:tcW w:w="1166" w:type="pct"/>
            <w:vAlign w:val="center"/>
          </w:tcPr>
          <w:p>
            <w:pPr>
              <w:pStyle w:val="11"/>
              <w:spacing w:line="360" w:lineRule="auto"/>
              <w:jc w:val="center"/>
              <w:rPr>
                <w:rFonts w:cs="仿宋" w:asciiTheme="minorEastAsia" w:hAnsiTheme="minorEastAsia"/>
                <w:bCs/>
              </w:rPr>
            </w:pPr>
            <w:r>
              <w:rPr>
                <w:rFonts w:hint="eastAsia" w:cs="仿宋" w:asciiTheme="minorEastAsia" w:hAnsiTheme="minorEastAsia"/>
                <w:bCs/>
              </w:rPr>
              <w:t>采购代理机构</w:t>
            </w:r>
          </w:p>
        </w:tc>
        <w:tc>
          <w:tcPr>
            <w:tcW w:w="2961" w:type="pct"/>
            <w:vAlign w:val="center"/>
          </w:tcPr>
          <w:p>
            <w:pPr>
              <w:pStyle w:val="11"/>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4</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3.1</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资金来源</w:t>
            </w:r>
          </w:p>
        </w:tc>
        <w:tc>
          <w:tcPr>
            <w:tcW w:w="2961" w:type="pct"/>
            <w:vAlign w:val="center"/>
          </w:tcPr>
          <w:p>
            <w:pPr>
              <w:pStyle w:val="11"/>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5</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4.7</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投标供应商资格要求</w:t>
            </w:r>
          </w:p>
        </w:tc>
        <w:tc>
          <w:tcPr>
            <w:tcW w:w="2961" w:type="pct"/>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pStyle w:val="11"/>
              <w:spacing w:line="360" w:lineRule="auto"/>
              <w:rPr>
                <w:rFonts w:cs="仿宋" w:asciiTheme="minorEastAsia" w:hAnsiTheme="minorEastAsia"/>
                <w:szCs w:val="21"/>
              </w:rPr>
            </w:pPr>
            <w:r>
              <w:rPr>
                <w:rFonts w:hint="eastAsia" w:ascii="Times New Roman" w:hAnsi="宋体" w:eastAsia="宋体" w:cs="Times New Roman"/>
                <w:b/>
                <w:bCs/>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6</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6.1</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踏勘现场</w:t>
            </w:r>
          </w:p>
        </w:tc>
        <w:tc>
          <w:tcPr>
            <w:tcW w:w="2961" w:type="pct"/>
            <w:vAlign w:val="center"/>
          </w:tcPr>
          <w:p>
            <w:pPr>
              <w:pStyle w:val="11"/>
              <w:spacing w:line="360" w:lineRule="auto"/>
              <w:rPr>
                <w:rFonts w:cs="仿宋" w:asciiTheme="minorEastAsia" w:hAnsiTheme="minorEastAsia"/>
              </w:rPr>
            </w:pPr>
            <w:r>
              <w:rPr>
                <w:rFonts w:hint="eastAsia" w:cs="仿宋" w:asciiTheme="minorEastAsia" w:hAnsiTheme="minorEastAsia"/>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7</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14.1</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有效期</w:t>
            </w:r>
          </w:p>
        </w:tc>
        <w:tc>
          <w:tcPr>
            <w:tcW w:w="2961" w:type="pct"/>
            <w:vAlign w:val="center"/>
          </w:tcPr>
          <w:p>
            <w:pPr>
              <w:pStyle w:val="11"/>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8</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15.2</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项目保证金</w:t>
            </w:r>
          </w:p>
        </w:tc>
        <w:tc>
          <w:tcPr>
            <w:tcW w:w="2961" w:type="pct"/>
            <w:vAlign w:val="center"/>
          </w:tcPr>
          <w:p>
            <w:pPr>
              <w:pStyle w:val="11"/>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10</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17.1</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份数</w:t>
            </w:r>
          </w:p>
        </w:tc>
        <w:tc>
          <w:tcPr>
            <w:tcW w:w="2961" w:type="pct"/>
            <w:vAlign w:val="center"/>
          </w:tcPr>
          <w:p>
            <w:pPr>
              <w:pStyle w:val="11"/>
              <w:rPr>
                <w:rFonts w:cs="仿宋" w:asciiTheme="minorEastAsia" w:hAnsiTheme="minorEastAsia"/>
              </w:rPr>
            </w:pPr>
            <w:r>
              <w:rPr>
                <w:rFonts w:hint="eastAsia" w:cs="仿宋" w:asciiTheme="minorEastAsia" w:hAnsiTheme="minorEastAsia"/>
              </w:rPr>
              <w:t>正本2份，副本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11</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18.8</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开标</w:t>
            </w:r>
          </w:p>
        </w:tc>
        <w:tc>
          <w:tcPr>
            <w:tcW w:w="2961" w:type="pct"/>
            <w:vAlign w:val="center"/>
          </w:tcPr>
          <w:p>
            <w:pPr>
              <w:pStyle w:val="11"/>
              <w:rPr>
                <w:rFonts w:cs="仿宋" w:asciiTheme="minorEastAsia" w:hAnsiTheme="minorEastAsia"/>
              </w:rPr>
            </w:pPr>
            <w:r>
              <w:rPr>
                <w:rFonts w:hint="eastAsia" w:cs="仿宋" w:asciiTheme="minorEastAsia" w:hAnsiTheme="minorEastAsia"/>
              </w:rPr>
              <w:t>时间：</w:t>
            </w:r>
            <w:r>
              <w:rPr>
                <w:rFonts w:hint="eastAsia" w:cs="仿宋" w:asciiTheme="minorEastAsia" w:hAnsiTheme="minorEastAsia"/>
                <w:b/>
                <w:snapToGrid w:val="0"/>
                <w:highlight w:val="yellow"/>
              </w:rPr>
              <w:t>2023年</w:t>
            </w:r>
            <w:r>
              <w:rPr>
                <w:rFonts w:hint="eastAsia" w:cs="仿宋" w:asciiTheme="minorEastAsia" w:hAnsiTheme="minorEastAsia"/>
                <w:b/>
                <w:snapToGrid w:val="0"/>
                <w:highlight w:val="yellow"/>
                <w:lang w:val="en-US" w:eastAsia="zh-CN"/>
              </w:rPr>
              <w:t>03</w:t>
            </w:r>
            <w:r>
              <w:rPr>
                <w:rFonts w:hint="eastAsia" w:cs="仿宋" w:asciiTheme="minorEastAsia" w:hAnsiTheme="minorEastAsia"/>
                <w:b/>
                <w:snapToGrid w:val="0"/>
                <w:highlight w:val="yellow"/>
              </w:rPr>
              <w:t>月</w:t>
            </w:r>
            <w:r>
              <w:rPr>
                <w:rFonts w:hint="eastAsia" w:cs="仿宋" w:asciiTheme="minorEastAsia" w:hAnsiTheme="minorEastAsia"/>
                <w:b/>
                <w:snapToGrid w:val="0"/>
                <w:highlight w:val="yellow"/>
                <w:lang w:val="en-US" w:eastAsia="zh-CN"/>
              </w:rPr>
              <w:t>27</w:t>
            </w:r>
            <w:r>
              <w:rPr>
                <w:rFonts w:hint="eastAsia" w:cs="仿宋" w:asciiTheme="minorEastAsia" w:hAnsiTheme="minorEastAsia"/>
                <w:b/>
                <w:snapToGrid w:val="0"/>
                <w:highlight w:val="yellow"/>
              </w:rPr>
              <w:t>日15点00分（北京时间）</w:t>
            </w:r>
          </w:p>
          <w:p>
            <w:pPr>
              <w:pStyle w:val="11"/>
              <w:spacing w:line="360" w:lineRule="auto"/>
              <w:rPr>
                <w:rFonts w:cs="仿宋" w:asciiTheme="minorEastAsia" w:hAnsiTheme="minorEastAsia"/>
              </w:rPr>
            </w:pPr>
            <w:r>
              <w:rPr>
                <w:rFonts w:hint="eastAsia" w:cs="仿宋" w:asciiTheme="minorEastAsia" w:hAnsiTheme="minorEastAsia"/>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12</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19.2</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截止时间</w:t>
            </w:r>
          </w:p>
        </w:tc>
        <w:tc>
          <w:tcPr>
            <w:tcW w:w="2961" w:type="pct"/>
            <w:vAlign w:val="center"/>
          </w:tcPr>
          <w:p>
            <w:pPr>
              <w:pStyle w:val="11"/>
              <w:spacing w:line="360" w:lineRule="auto"/>
              <w:rPr>
                <w:rFonts w:cs="仿宋" w:asciiTheme="minorEastAsia" w:hAnsiTheme="minorEastAsia"/>
                <w:b/>
              </w:rPr>
            </w:pPr>
            <w:r>
              <w:rPr>
                <w:rFonts w:hint="eastAsia" w:cs="仿宋" w:asciiTheme="minorEastAsia" w:hAnsiTheme="minorEastAsia"/>
                <w:b/>
                <w:snapToGrid w:val="0"/>
                <w:highlight w:val="yellow"/>
              </w:rPr>
              <w:t>2023年</w:t>
            </w:r>
            <w:r>
              <w:rPr>
                <w:rFonts w:hint="eastAsia" w:cs="仿宋" w:asciiTheme="minorEastAsia" w:hAnsiTheme="minorEastAsia"/>
                <w:b/>
                <w:snapToGrid w:val="0"/>
                <w:highlight w:val="yellow"/>
                <w:lang w:val="en-US" w:eastAsia="zh-CN"/>
              </w:rPr>
              <w:t>03</w:t>
            </w:r>
            <w:r>
              <w:rPr>
                <w:rFonts w:hint="eastAsia" w:cs="仿宋" w:asciiTheme="minorEastAsia" w:hAnsiTheme="minorEastAsia"/>
                <w:b/>
                <w:snapToGrid w:val="0"/>
                <w:highlight w:val="yellow"/>
              </w:rPr>
              <w:t>月</w:t>
            </w:r>
            <w:r>
              <w:rPr>
                <w:rFonts w:hint="eastAsia" w:cs="仿宋" w:asciiTheme="minorEastAsia" w:hAnsiTheme="minorEastAsia"/>
                <w:b/>
                <w:snapToGrid w:val="0"/>
                <w:highlight w:val="yellow"/>
                <w:lang w:val="en-US" w:eastAsia="zh-CN"/>
              </w:rPr>
              <w:t>27</w:t>
            </w:r>
            <w:r>
              <w:rPr>
                <w:rFonts w:hint="eastAsia" w:cs="仿宋" w:asciiTheme="minorEastAsia" w:hAnsiTheme="minorEastAsia"/>
                <w:b/>
                <w:snapToGrid w:val="0"/>
                <w:highlight w:val="yellow"/>
              </w:rPr>
              <w:t>日15点00分（北京时间）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13</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26.5</w:t>
            </w:r>
          </w:p>
        </w:tc>
        <w:tc>
          <w:tcPr>
            <w:tcW w:w="1166"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评审方法</w:t>
            </w:r>
          </w:p>
        </w:tc>
        <w:tc>
          <w:tcPr>
            <w:tcW w:w="2961" w:type="pct"/>
            <w:vAlign w:val="center"/>
          </w:tcPr>
          <w:p>
            <w:pPr>
              <w:pStyle w:val="11"/>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14</w:t>
            </w:r>
          </w:p>
        </w:tc>
        <w:tc>
          <w:tcPr>
            <w:tcW w:w="458"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33.1</w:t>
            </w:r>
          </w:p>
        </w:tc>
        <w:tc>
          <w:tcPr>
            <w:tcW w:w="1166" w:type="pct"/>
            <w:vAlign w:val="center"/>
          </w:tcPr>
          <w:p>
            <w:pPr>
              <w:pStyle w:val="11"/>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2961" w:type="pct"/>
            <w:vAlign w:val="center"/>
          </w:tcPr>
          <w:p>
            <w:pPr>
              <w:pStyle w:val="11"/>
              <w:spacing w:line="340" w:lineRule="exact"/>
              <w:rPr>
                <w:rFonts w:cs="仿宋" w:asciiTheme="minorEastAsia" w:hAnsiTheme="minorEastAsia"/>
              </w:rPr>
            </w:pPr>
            <w:r>
              <w:rPr>
                <w:rFonts w:hint="eastAsia" w:cs="仿宋" w:asciiTheme="minorEastAsia" w:hAnsiTheme="minorEastAsia"/>
              </w:rPr>
              <w:t>采购代理机构按中标金额的一定比例向中标供应商收取，最低收取人民币5000元。</w:t>
            </w:r>
          </w:p>
          <w:p>
            <w:pPr>
              <w:pStyle w:val="11"/>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vAlign w:val="center"/>
          </w:tcPr>
          <w:p>
            <w:pPr>
              <w:pStyle w:val="11"/>
              <w:spacing w:line="360" w:lineRule="auto"/>
              <w:jc w:val="center"/>
              <w:rPr>
                <w:rFonts w:cs="仿宋" w:asciiTheme="minorEastAsia" w:hAnsiTheme="minorEastAsia"/>
              </w:rPr>
            </w:pPr>
            <w:r>
              <w:rPr>
                <w:rFonts w:hint="eastAsia" w:cs="仿宋" w:asciiTheme="minorEastAsia" w:hAnsiTheme="minorEastAsia"/>
              </w:rPr>
              <w:t>15</w:t>
            </w:r>
          </w:p>
        </w:tc>
        <w:tc>
          <w:tcPr>
            <w:tcW w:w="458" w:type="pct"/>
            <w:vAlign w:val="center"/>
          </w:tcPr>
          <w:p>
            <w:pPr>
              <w:pStyle w:val="11"/>
              <w:spacing w:line="360" w:lineRule="auto"/>
              <w:jc w:val="center"/>
              <w:rPr>
                <w:rFonts w:cs="仿宋" w:asciiTheme="minorEastAsia" w:hAnsiTheme="minorEastAsia"/>
              </w:rPr>
            </w:pPr>
          </w:p>
        </w:tc>
        <w:tc>
          <w:tcPr>
            <w:tcW w:w="1166" w:type="pct"/>
            <w:vAlign w:val="center"/>
          </w:tcPr>
          <w:p>
            <w:pPr>
              <w:pStyle w:val="11"/>
              <w:spacing w:line="340" w:lineRule="exact"/>
              <w:jc w:val="center"/>
              <w:rPr>
                <w:rFonts w:cs="仿宋" w:asciiTheme="minorEastAsia" w:hAnsiTheme="minorEastAsia"/>
              </w:rPr>
            </w:pPr>
            <w:r>
              <w:rPr>
                <w:rFonts w:hint="eastAsia" w:cs="仿宋" w:asciiTheme="minorEastAsia" w:hAnsiTheme="minorEastAsia"/>
              </w:rPr>
              <w:t>采购控制金额</w:t>
            </w:r>
          </w:p>
          <w:p>
            <w:pPr>
              <w:pStyle w:val="11"/>
              <w:spacing w:line="340" w:lineRule="exact"/>
              <w:jc w:val="center"/>
              <w:rPr>
                <w:rFonts w:cs="仿宋" w:asciiTheme="minorEastAsia" w:hAnsiTheme="minorEastAsia"/>
              </w:rPr>
            </w:pPr>
            <w:r>
              <w:rPr>
                <w:rFonts w:hint="eastAsia" w:cs="仿宋" w:asciiTheme="minorEastAsia" w:hAnsiTheme="minorEastAsia"/>
              </w:rPr>
              <w:t>（最高限价）</w:t>
            </w:r>
          </w:p>
        </w:tc>
        <w:tc>
          <w:tcPr>
            <w:tcW w:w="2961" w:type="pct"/>
            <w:vAlign w:val="center"/>
          </w:tcPr>
          <w:p>
            <w:pPr>
              <w:pStyle w:val="11"/>
              <w:spacing w:line="340" w:lineRule="exact"/>
              <w:rPr>
                <w:rFonts w:cs="仿宋" w:asciiTheme="minorEastAsia" w:hAnsiTheme="minorEastAsia"/>
                <w:b/>
              </w:rPr>
            </w:pPr>
            <w:r>
              <w:rPr>
                <w:rFonts w:hint="eastAsia" w:cs="仿宋" w:asciiTheme="minorEastAsia" w:hAnsiTheme="minorEastAsia"/>
                <w:b/>
                <w:highlight w:val="yellow"/>
              </w:rPr>
              <w:t>人民币32.83万元</w:t>
            </w:r>
          </w:p>
        </w:tc>
      </w:tr>
    </w:tbl>
    <w:p>
      <w:pPr>
        <w:jc w:val="center"/>
        <w:rPr>
          <w:rFonts w:cs="仿宋" w:asciiTheme="minorEastAsia" w:hAnsiTheme="minorEastAsia" w:eastAsiaTheme="minorEastAsia"/>
          <w:b/>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本章是本征集文件中涉及的所有无效标和废标情形的摘要，除法律法规另有规定外，投标文件的其他任何情形均不得作无效标和废标处理。征集文件中有关无效标和废标与本章节不一致的，以本章节内容为准。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1"/>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bCs/>
          <w:szCs w:val="21"/>
        </w:rPr>
        <w:t>投标供应商</w:t>
      </w:r>
      <w:r>
        <w:rPr>
          <w:rFonts w:hint="eastAsia" w:cs="仿宋" w:asciiTheme="minorEastAsia" w:hAnsiTheme="minorEastAsia" w:eastAsiaTheme="minorEastAsia"/>
          <w:snapToGrid w:val="0"/>
          <w:kern w:val="0"/>
        </w:rPr>
        <w:t>的资格不符合征集文件要求或资格证明文件提供不全。</w:t>
      </w:r>
    </w:p>
    <w:p>
      <w:pPr>
        <w:pStyle w:val="18"/>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投标供应商提供的投标文件数量不符合征集文件要求。</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投标文件未按照征集文件要求制作、密封和标记。</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投标文件有关内容未按征集文件要求加盖投标供应商印章、或未经法定代表人或其委托代理人签字（或盖章）。</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未实质性响应征集文件要求的。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2"/>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未按征集文件所提供的样式填写《声明函》。</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b/>
          <w:bCs/>
          <w:sz w:val="32"/>
        </w:rPr>
      </w:pPr>
    </w:p>
    <w:p>
      <w:pPr>
        <w:widowControl/>
        <w:jc w:val="left"/>
        <w:rPr>
          <w:rFonts w:cs="仿宋" w:asciiTheme="minorEastAsia" w:hAnsiTheme="minorEastAsia" w:eastAsiaTheme="minorEastAsia"/>
          <w:b/>
          <w:bCs/>
          <w:sz w:val="32"/>
        </w:rPr>
      </w:pPr>
      <w:r>
        <w:rPr>
          <w:rFonts w:hint="eastAsia" w:cs="仿宋" w:asciiTheme="minorEastAsia" w:hAnsiTheme="minorEastAsia" w:eastAsiaTheme="minorEastAsia"/>
          <w:b/>
          <w:bCs/>
          <w:sz w:val="32"/>
        </w:rPr>
        <w:br w:type="page"/>
      </w:r>
    </w:p>
    <w:p>
      <w:pPr>
        <w:spacing w:line="360" w:lineRule="auto"/>
        <w:jc w:val="center"/>
        <w:rPr>
          <w:rFonts w:cs="仿宋" w:asciiTheme="minorEastAsia" w:hAnsiTheme="minorEastAsia" w:eastAsiaTheme="minorEastAsia"/>
          <w:b/>
          <w:sz w:val="36"/>
        </w:rPr>
      </w:pPr>
      <w:r>
        <w:rPr>
          <w:rFonts w:hint="eastAsia" w:cs="仿宋" w:asciiTheme="minorEastAsia" w:hAnsiTheme="minorEastAsia" w:eastAsiaTheme="minorEastAsia"/>
          <w:b/>
          <w:sz w:val="36"/>
        </w:rPr>
        <w:t>评审信息</w:t>
      </w:r>
    </w:p>
    <w:p>
      <w:pPr>
        <w:spacing w:line="360" w:lineRule="auto"/>
        <w:jc w:val="left"/>
        <w:rPr>
          <w:rFonts w:cs="仿宋" w:asciiTheme="minorEastAsia" w:hAnsiTheme="minorEastAsia" w:eastAsiaTheme="minorEastAsia"/>
          <w:b/>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b/>
          <w:szCs w:val="21"/>
        </w:rPr>
        <w:t>评审方法：</w:t>
      </w:r>
      <w:r>
        <w:rPr>
          <w:rFonts w:hint="eastAsia" w:cs="仿宋" w:asciiTheme="minorEastAsia" w:hAnsiTheme="minorEastAsia" w:eastAsiaTheme="minorEastAsia"/>
          <w:szCs w:val="21"/>
        </w:rPr>
        <w:t>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综合评分法，是指投标文件满足征集文件全部实质性要求，且按照评审因素的量化指标评审得分最高的投标供应商为中标候选供应商的评审方法。</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公开征集采购方式说明：</w:t>
      </w:r>
      <w:r>
        <w:rPr>
          <w:rFonts w:hint="eastAsia" w:cs="仿宋" w:asciiTheme="minorEastAsia" w:hAnsiTheme="minorEastAsia" w:eastAsiaTheme="minorEastAsia"/>
          <w:szCs w:val="21"/>
        </w:rPr>
        <w:t>因有效投标供应商不足三家而致公开征集失败的，采购单位可结合实际需要，重新实施采购或依据有效投标供应商数量，在评标现场即转为邀请竞标或直接采购。</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邀请竞标采购方式说明</w:t>
      </w:r>
      <w:r>
        <w:rPr>
          <w:rFonts w:hint="eastAsia" w:cs="仿宋" w:asciiTheme="minorEastAsia" w:hAnsiTheme="minorEastAsia" w:eastAsiaTheme="minorEastAsia"/>
          <w:szCs w:val="21"/>
        </w:rPr>
        <w:t xml:space="preserve">：是指邀请特定范围内 2家以上供应商参加投标，由采购单位代表、评审专家成立评审组根据本项目评审信息评审并确定中标供应商的采购方式。            </w:t>
      </w:r>
    </w:p>
    <w:p>
      <w:pPr>
        <w:spacing w:line="360" w:lineRule="auto"/>
        <w:ind w:firstLine="422" w:firstLineChars="200"/>
        <w:jc w:val="left"/>
        <w:rPr>
          <w:rFonts w:asciiTheme="minorEastAsia" w:hAnsiTheme="minorEastAsia" w:eastAsiaTheme="minorEastAsia"/>
          <w:szCs w:val="21"/>
        </w:rPr>
      </w:pPr>
      <w:r>
        <w:rPr>
          <w:rFonts w:hint="eastAsia" w:cs="仿宋" w:asciiTheme="minorEastAsia" w:hAnsiTheme="minorEastAsia" w:eastAsiaTheme="minorEastAsia"/>
          <w:b/>
          <w:bCs/>
          <w:szCs w:val="21"/>
        </w:rPr>
        <w:t>直接采购采购方式说明</w:t>
      </w:r>
      <w:r>
        <w:rPr>
          <w:rFonts w:hint="eastAsia" w:cs="仿宋" w:asciiTheme="minorEastAsia" w:hAnsiTheme="minorEastAsia" w:eastAsiaTheme="minorEastAsia"/>
          <w:szCs w:val="21"/>
        </w:rPr>
        <w:t>：是指采购单位自行与唯一供应商通过谈判确定成交的采购方式。</w:t>
      </w:r>
    </w:p>
    <w:tbl>
      <w:tblPr>
        <w:tblStyle w:val="1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095"/>
        <w:gridCol w:w="720"/>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7" w:type="dxa"/>
            <w:tcBorders>
              <w:top w:val="double" w:color="auto" w:sz="4" w:space="0"/>
              <w:left w:val="double" w:color="auto" w:sz="4" w:space="0"/>
              <w:bottom w:val="single" w:color="auto" w:sz="4" w:space="0"/>
            </w:tcBorders>
            <w:shd w:val="clear" w:color="auto" w:fill="8DB3E2"/>
            <w:vAlign w:val="center"/>
          </w:tcPr>
          <w:p>
            <w:pPr>
              <w:keepNext w:val="0"/>
              <w:keepLines w:val="0"/>
              <w:pageBreakBefore w:val="0"/>
              <w:kinsoku/>
              <w:wordWrap/>
              <w:overflowPunct/>
              <w:topLinePunct w:val="0"/>
              <w:bidi w:val="0"/>
              <w:adjustRightInd w:val="0"/>
              <w:snapToGri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类别</w:t>
            </w:r>
          </w:p>
        </w:tc>
        <w:tc>
          <w:tcPr>
            <w:tcW w:w="1095" w:type="dxa"/>
            <w:tcBorders>
              <w:top w:val="double" w:color="auto" w:sz="4" w:space="0"/>
            </w:tcBorders>
            <w:shd w:val="clear" w:color="auto" w:fill="8DB3E2"/>
            <w:vAlign w:val="center"/>
          </w:tcPr>
          <w:p>
            <w:pPr>
              <w:keepNext w:val="0"/>
              <w:keepLines w:val="0"/>
              <w:pageBreakBefore w:val="0"/>
              <w:kinsoku/>
              <w:wordWrap/>
              <w:overflowPunct/>
              <w:topLinePunct w:val="0"/>
              <w:bidi w:val="0"/>
              <w:adjustRightInd w:val="0"/>
              <w:snapToGri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评分项目</w:t>
            </w:r>
          </w:p>
        </w:tc>
        <w:tc>
          <w:tcPr>
            <w:tcW w:w="720" w:type="dxa"/>
            <w:tcBorders>
              <w:top w:val="double" w:color="auto" w:sz="4" w:space="0"/>
            </w:tcBorders>
            <w:shd w:val="clear" w:color="auto" w:fill="8DB3E2"/>
            <w:vAlign w:val="center"/>
          </w:tcPr>
          <w:p>
            <w:pPr>
              <w:keepNext w:val="0"/>
              <w:keepLines w:val="0"/>
              <w:pageBreakBefore w:val="0"/>
              <w:widowControl/>
              <w:kinsoku/>
              <w:wordWrap/>
              <w:overflowPunct/>
              <w:topLinePunct w:val="0"/>
              <w:bidi w:val="0"/>
              <w:adjustRightInd w:val="0"/>
              <w:snapToGrid w:val="0"/>
              <w:spacing w:after="60" w:line="360" w:lineRule="auto"/>
              <w:jc w:val="center"/>
              <w:rPr>
                <w:rFonts w:ascii="宋体" w:hAnsi="宋体" w:cs="宋体"/>
                <w:snapToGrid w:val="0"/>
                <w:kern w:val="0"/>
                <w:szCs w:val="21"/>
              </w:rPr>
            </w:pPr>
            <w:r>
              <w:rPr>
                <w:rFonts w:hint="eastAsia" w:ascii="宋体" w:hAnsi="宋体" w:cs="宋体"/>
                <w:b/>
                <w:bCs/>
                <w:snapToGrid w:val="0"/>
                <w:kern w:val="0"/>
                <w:szCs w:val="21"/>
              </w:rPr>
              <w:t>分值</w:t>
            </w:r>
          </w:p>
        </w:tc>
        <w:tc>
          <w:tcPr>
            <w:tcW w:w="6796" w:type="dxa"/>
            <w:tcBorders>
              <w:top w:val="double" w:color="auto" w:sz="4" w:space="0"/>
              <w:right w:val="double" w:color="auto" w:sz="4" w:space="0"/>
            </w:tcBorders>
            <w:shd w:val="clear" w:color="auto" w:fill="8DB3E2"/>
            <w:vAlign w:val="center"/>
          </w:tcPr>
          <w:p>
            <w:pPr>
              <w:keepNext w:val="0"/>
              <w:keepLines w:val="0"/>
              <w:pageBreakBefore w:val="0"/>
              <w:kinsoku/>
              <w:wordWrap/>
              <w:overflowPunct/>
              <w:topLinePunct w:val="0"/>
              <w:bidi w:val="0"/>
              <w:adjustRightInd w:val="0"/>
              <w:snapToGri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价格标（G）</w:t>
            </w:r>
          </w:p>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（总分10分）</w:t>
            </w: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投标报价</w:t>
            </w:r>
          </w:p>
        </w:tc>
        <w:tc>
          <w:tcPr>
            <w:tcW w:w="720"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10</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jc w:val="left"/>
              <w:rPr>
                <w:rFonts w:ascii="宋体" w:hAnsi="宋体" w:cs="宋体"/>
                <w:kern w:val="0"/>
                <w:szCs w:val="21"/>
              </w:rPr>
            </w:pPr>
            <w:r>
              <w:rPr>
                <w:rFonts w:hint="eastAsia" w:ascii="宋体" w:hAnsi="宋体" w:cs="宋体"/>
                <w:kern w:val="0"/>
                <w:szCs w:val="21"/>
              </w:rPr>
              <w:t>价格分按以下方案计算：</w:t>
            </w:r>
          </w:p>
          <w:p>
            <w:pPr>
              <w:keepNext w:val="0"/>
              <w:keepLines w:val="0"/>
              <w:pageBreakBefore w:val="0"/>
              <w:kinsoku/>
              <w:wordWrap/>
              <w:overflowPunct/>
              <w:topLinePunct w:val="0"/>
              <w:bidi w:val="0"/>
              <w:adjustRightInd w:val="0"/>
              <w:spacing w:line="360" w:lineRule="auto"/>
              <w:jc w:val="left"/>
              <w:rPr>
                <w:rFonts w:ascii="宋体" w:hAnsi="宋体" w:cs="宋体"/>
                <w:kern w:val="0"/>
                <w:szCs w:val="21"/>
              </w:rPr>
            </w:pPr>
            <w:r>
              <w:rPr>
                <w:rFonts w:hint="eastAsia" w:ascii="宋体" w:hAnsi="宋体" w:cs="宋体"/>
                <w:kern w:val="0"/>
                <w:szCs w:val="21"/>
              </w:rPr>
              <w:t>投标报价得分= Z/Sn×10</w:t>
            </w:r>
          </w:p>
          <w:p>
            <w:pPr>
              <w:keepNext w:val="0"/>
              <w:keepLines w:val="0"/>
              <w:pageBreakBefore w:val="0"/>
              <w:kinsoku/>
              <w:wordWrap/>
              <w:overflowPunct/>
              <w:topLinePunct w:val="0"/>
              <w:bidi w:val="0"/>
              <w:adjustRightInd w:val="0"/>
              <w:spacing w:line="360" w:lineRule="auto"/>
              <w:jc w:val="left"/>
              <w:rPr>
                <w:rFonts w:ascii="宋体" w:hAnsi="宋体" w:cs="宋体"/>
                <w:kern w:val="0"/>
                <w:szCs w:val="21"/>
              </w:rPr>
            </w:pPr>
            <w:r>
              <w:rPr>
                <w:rFonts w:hint="eastAsia" w:ascii="宋体" w:hAnsi="宋体" w:cs="宋体"/>
                <w:kern w:val="0"/>
                <w:szCs w:val="21"/>
              </w:rPr>
              <w:t>其中： Z --评标基准价，即通过资格性审查和符合性审查且投标价格最低的投标报价</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ab/>
            </w:r>
            <w:r>
              <w:rPr>
                <w:rFonts w:hint="eastAsia" w:ascii="宋体" w:hAnsi="宋体" w:cs="宋体"/>
                <w:kern w:val="0"/>
                <w:szCs w:val="21"/>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restart"/>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技术标（J）</w:t>
            </w:r>
          </w:p>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（总分65分）</w:t>
            </w: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实施方案</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15</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(1)考察投标单位对本项目服务内容、范围及业务需求的理解。</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(2)考察投标单位对项目实施方案中工作措施、工作方法、工作手段、工作流程和项目管理服务承诺情况。</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评审标准：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（1）实施方案根据征集文件服务需求编写，方案内容详细、具体；</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（2）工作措施、工作方法科学完善，可实施性强；</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（3）工作手段、工作流程能根据各阶段工作计划编写，各阶段工作计划衔接性强；</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（4）根据项目需求提供切实可行的项目管理服务承诺。</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满足以上四项要求的得15分，满足其中三项要求的得10分，满足其中二项要求的得5分，其他情况不得分。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项目重点难点分析、应对措施及相关的合理化建议</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15</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分析本项目工作的重点、难点，并根据分析的结果制定相应的工作规划和应对措施，制定的规划、措施能够对后续开展本项目工作进行有针对性的指导。</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评审标准：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（1）对项目重点难点分析全面、清晰到位；</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（2）能针对项目重点难点逐项提出应对措施及相关的合理化建议；</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（3）应对措施针对性强、可操作性强；</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（4）相关的合理化建议可实施性强。</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满足以上四项要求的得15分，满足其中三项要求的得10分，满足其中二项要求的得5分，其他情况不得分。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质量（完成时间、安全、环保）保障措施及方案</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10</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阐述项目质量管理制度措施；阐述项目资料、保证服务人员的稳定、保证服务的质量、成果安全性保障措施。</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评审标准：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（1）投标人具备保障项目质量的相关管理制度；</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（2）服务质量检查、整改方案详细，且能有效把控项目成果；</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（3）项目实施过程中服务人员稳定；</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（4）项目成果安全性保障措施成熟可靠。</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kern w:val="0"/>
                <w:szCs w:val="21"/>
              </w:rPr>
              <w:t>满足以上四项要求的得10分，满足其中三项要求的得6分，满足其中二项要求的得3分，其他情况不得分。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项目完成（服务期满）后的服务承诺</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5</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投标人承诺以下全部三项的，得5分，否则不得分。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1.服务期满后主动离岗；</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2.与后续服务公司进行交接；</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3.服务期满，后续服务公司未到位前仍按原合同服务承诺提供服务。</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提供《项目完成（服务期满）后的服务承诺函》（格式自拟）并加盖投标人公章，</w:t>
            </w:r>
            <w:r>
              <w:rPr>
                <w:rFonts w:hint="eastAsia" w:ascii="宋体" w:hAnsi="宋体" w:cs="宋体"/>
                <w:szCs w:val="21"/>
              </w:rPr>
              <w:t>未提供承诺或承诺内容不满足要求不得分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违约承诺</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5</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投标人承诺，</w:t>
            </w:r>
            <w:r>
              <w:rPr>
                <w:rFonts w:hint="eastAsia" w:ascii="宋体" w:hAnsi="宋体" w:cs="宋体"/>
                <w:b/>
                <w:bCs/>
                <w:kern w:val="0"/>
                <w:szCs w:val="21"/>
              </w:rPr>
              <w:t>在服务期间遵守合同约定条款及违约后接受处罚的，</w:t>
            </w:r>
            <w:r>
              <w:rPr>
                <w:rFonts w:hint="eastAsia" w:ascii="宋体" w:hAnsi="宋体" w:cs="宋体"/>
                <w:kern w:val="0"/>
                <w:szCs w:val="21"/>
              </w:rPr>
              <w:t>得5分，否则不得分。</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提供《违约承诺函》（格式自拟）并加盖投标人公章，</w:t>
            </w:r>
            <w:r>
              <w:rPr>
                <w:rFonts w:hint="eastAsia" w:ascii="宋体" w:hAnsi="宋体" w:cs="宋体"/>
                <w:szCs w:val="21"/>
              </w:rPr>
              <w:t>未提供承诺或承诺内容不满足要求不得分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kern w:val="0"/>
                <w:szCs w:val="21"/>
              </w:rPr>
              <w:t>项目负责人情况（仅限一人）</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5</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员工且</w:t>
            </w:r>
            <w:r>
              <w:rPr>
                <w:rFonts w:hint="eastAsia" w:ascii="宋体" w:hAnsi="宋体" w:cs="宋体"/>
                <w:kern w:val="0"/>
                <w:szCs w:val="21"/>
              </w:rPr>
              <w:t>具有本科或以上学历</w:t>
            </w:r>
            <w:r>
              <w:rPr>
                <w:rFonts w:hint="eastAsia" w:ascii="宋体" w:hAnsi="宋体"/>
                <w:szCs w:val="21"/>
              </w:rPr>
              <w:t>，否则本项不得分。在此基础上，按以下标准评分：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1.具有住建部</w:t>
            </w:r>
            <w:r>
              <w:rPr>
                <w:rFonts w:ascii="宋体" w:hAnsi="宋体" w:cs="宋体"/>
                <w:kern w:val="0"/>
                <w:szCs w:val="21"/>
              </w:rPr>
              <w:t>颁发的</w:t>
            </w:r>
            <w:r>
              <w:rPr>
                <w:rFonts w:hint="eastAsia" w:ascii="宋体" w:hAnsi="宋体" w:cs="宋体"/>
                <w:kern w:val="0"/>
                <w:szCs w:val="21"/>
              </w:rPr>
              <w:t>一级</w:t>
            </w:r>
            <w:r>
              <w:rPr>
                <w:rFonts w:ascii="宋体" w:hAnsi="宋体" w:cs="宋体"/>
                <w:kern w:val="0"/>
                <w:szCs w:val="21"/>
              </w:rPr>
              <w:t>注册造价工程师</w:t>
            </w:r>
            <w:r>
              <w:rPr>
                <w:rFonts w:hint="eastAsia" w:ascii="宋体" w:hAnsi="宋体"/>
                <w:szCs w:val="21"/>
              </w:rPr>
              <w:t>资格证书</w:t>
            </w:r>
            <w:r>
              <w:rPr>
                <w:rFonts w:hint="eastAsia" w:ascii="宋体" w:hAnsi="宋体" w:cs="宋体"/>
                <w:kern w:val="0"/>
                <w:szCs w:val="21"/>
              </w:rPr>
              <w:t>且从业</w:t>
            </w:r>
            <w:r>
              <w:rPr>
                <w:rFonts w:ascii="宋体" w:hAnsi="宋体" w:cs="宋体"/>
                <w:kern w:val="0"/>
                <w:szCs w:val="21"/>
              </w:rPr>
              <w:t>经验满</w:t>
            </w:r>
            <w:r>
              <w:rPr>
                <w:rFonts w:hint="eastAsia" w:ascii="宋体" w:hAnsi="宋体" w:cs="宋体"/>
                <w:kern w:val="0"/>
                <w:szCs w:val="21"/>
              </w:rPr>
              <w:t>5年</w:t>
            </w:r>
            <w:r>
              <w:rPr>
                <w:rFonts w:ascii="宋体" w:hAnsi="宋体" w:cs="宋体"/>
                <w:kern w:val="0"/>
                <w:szCs w:val="21"/>
              </w:rPr>
              <w:t>或以上（</w:t>
            </w:r>
            <w:r>
              <w:rPr>
                <w:rFonts w:hint="eastAsia" w:ascii="宋体" w:hAnsi="宋体" w:cs="宋体"/>
                <w:kern w:val="0"/>
                <w:szCs w:val="21"/>
              </w:rPr>
              <w:t>从</w:t>
            </w:r>
            <w:r>
              <w:rPr>
                <w:rFonts w:ascii="宋体" w:hAnsi="宋体" w:cs="宋体"/>
                <w:kern w:val="0"/>
                <w:szCs w:val="21"/>
              </w:rPr>
              <w:t>业经验以注册造价工程师</w:t>
            </w:r>
            <w:r>
              <w:rPr>
                <w:rFonts w:hint="eastAsia" w:ascii="宋体" w:hAnsi="宋体"/>
                <w:szCs w:val="21"/>
              </w:rPr>
              <w:t>资格证书</w:t>
            </w:r>
            <w:r>
              <w:rPr>
                <w:rFonts w:hint="eastAsia" w:ascii="宋体" w:hAnsi="宋体" w:cs="宋体"/>
                <w:kern w:val="0"/>
                <w:szCs w:val="21"/>
              </w:rPr>
              <w:t>发证</w:t>
            </w:r>
            <w:r>
              <w:rPr>
                <w:rFonts w:ascii="宋体" w:hAnsi="宋体" w:cs="宋体"/>
                <w:kern w:val="0"/>
                <w:szCs w:val="21"/>
              </w:rPr>
              <w:t>日期开始计算）</w:t>
            </w:r>
            <w:r>
              <w:rPr>
                <w:rFonts w:hint="eastAsia" w:ascii="宋体" w:hAnsi="宋体" w:cs="宋体"/>
                <w:kern w:val="0"/>
                <w:szCs w:val="21"/>
              </w:rPr>
              <w:t>的，得3分；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2.具有高级</w:t>
            </w:r>
            <w:r>
              <w:rPr>
                <w:rFonts w:ascii="宋体" w:hAnsi="宋体" w:cs="宋体"/>
                <w:kern w:val="0"/>
                <w:szCs w:val="21"/>
              </w:rPr>
              <w:t>工程师资格证书</w:t>
            </w:r>
            <w:r>
              <w:rPr>
                <w:rFonts w:hint="eastAsia" w:ascii="宋体" w:hAnsi="宋体" w:cs="宋体"/>
                <w:kern w:val="0"/>
                <w:szCs w:val="21"/>
              </w:rPr>
              <w:t>的，</w:t>
            </w:r>
            <w:r>
              <w:rPr>
                <w:rFonts w:ascii="宋体" w:hAnsi="宋体" w:cs="宋体"/>
                <w:kern w:val="0"/>
                <w:szCs w:val="21"/>
              </w:rPr>
              <w:t>得</w:t>
            </w:r>
            <w:r>
              <w:rPr>
                <w:rFonts w:hint="eastAsia" w:ascii="宋体" w:hAnsi="宋体" w:cs="宋体"/>
                <w:kern w:val="0"/>
                <w:szCs w:val="21"/>
              </w:rPr>
              <w:t>2分。</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注：以上累计最高得5分。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1.要求提供项目负责人通过投标人缴纳的近三个月的任意一个月的社保证明作为</w:t>
            </w:r>
            <w:r>
              <w:rPr>
                <w:rFonts w:hint="eastAsia" w:ascii="宋体" w:hAnsi="宋体"/>
                <w:szCs w:val="21"/>
              </w:rPr>
              <w:t>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w:t>
            </w:r>
            <w:r>
              <w:rPr>
                <w:rFonts w:hint="eastAsia" w:ascii="宋体" w:hAnsi="宋体" w:cs="宋体"/>
                <w:kern w:val="0"/>
                <w:szCs w:val="21"/>
              </w:rPr>
              <w:t>的证明依据。若供应商成立不足三个月的，需提供成立情况说明函（格式自拟），无需提供相关人员社保，亦可得分；若为退休返聘人员，需提供说明函（格式自拟），无需提供相关人员社保，亦可得分；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2.提供项目负责人上述相对应证书作为得分依据，</w:t>
            </w:r>
            <w:r>
              <w:rPr>
                <w:rFonts w:ascii="宋体" w:hAnsi="宋体" w:cs="宋体"/>
                <w:kern w:val="0"/>
                <w:szCs w:val="21"/>
              </w:rPr>
              <w:t>注册造价工程师</w:t>
            </w:r>
            <w:r>
              <w:rPr>
                <w:rFonts w:hint="eastAsia" w:ascii="宋体" w:hAnsi="宋体"/>
                <w:szCs w:val="21"/>
              </w:rPr>
              <w:t>资格证书</w:t>
            </w:r>
            <w:r>
              <w:rPr>
                <w:rFonts w:hint="eastAsia" w:ascii="宋体" w:hAnsi="宋体" w:cs="宋体"/>
                <w:kern w:val="0"/>
                <w:szCs w:val="21"/>
              </w:rPr>
              <w:t>需体现出发证日期；</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4.以上证明文件均提供复印件或扫描件（或官方网站截图）加盖投标人公章，原件备查。未按要求提供有效证明材料或提供不清晰导致评委无法识别的不计得分。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adjustRightInd w:val="0"/>
              <w:spacing w:line="360" w:lineRule="auto"/>
              <w:jc w:val="center"/>
              <w:rPr>
                <w:rFonts w:ascii="宋体" w:hAnsi="宋体" w:cs="宋体"/>
                <w:kern w:val="0"/>
                <w:szCs w:val="21"/>
              </w:rPr>
            </w:pPr>
            <w:r>
              <w:rPr>
                <w:rFonts w:hint="eastAsia" w:ascii="宋体" w:hAnsi="宋体" w:cs="宋体"/>
                <w:szCs w:val="21"/>
              </w:rPr>
              <w:t>拟安排的项目主要团队成员（主要技术人员）情况（项目负责人除外）</w:t>
            </w:r>
          </w:p>
        </w:tc>
        <w:tc>
          <w:tcPr>
            <w:tcW w:w="720" w:type="dxa"/>
            <w:vAlign w:val="center"/>
          </w:tcPr>
          <w:p>
            <w:pPr>
              <w:keepNext w:val="0"/>
              <w:keepLines w:val="0"/>
              <w:pageBreakBefore w:val="0"/>
              <w:kinsoku/>
              <w:wordWrap/>
              <w:overflowPunct/>
              <w:topLinePunct w:val="0"/>
              <w:bidi w:val="0"/>
              <w:spacing w:line="360" w:lineRule="auto"/>
              <w:jc w:val="center"/>
              <w:rPr>
                <w:rFonts w:ascii="宋体" w:hAnsi="宋体" w:cs="宋体"/>
                <w:kern w:val="0"/>
                <w:szCs w:val="21"/>
              </w:rPr>
            </w:pPr>
            <w:r>
              <w:rPr>
                <w:rFonts w:hint="eastAsia" w:ascii="宋体" w:hAnsi="宋体" w:cs="宋体"/>
                <w:kern w:val="0"/>
                <w:szCs w:val="21"/>
              </w:rPr>
              <w:t>10</w:t>
            </w:r>
          </w:p>
        </w:tc>
        <w:tc>
          <w:tcPr>
            <w:tcW w:w="6796" w:type="dxa"/>
            <w:tcBorders>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员工，否则本项不得分。在此基础上，团队成员具备住建部颁发的注册造价工程师资格证书或中级职称（含以上），每提供一人得1分，最高得10分。</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注：同一人员具有多个证书的按1次计算，不重复得分。</w:t>
            </w:r>
          </w:p>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1.要求提供</w:t>
            </w:r>
            <w:r>
              <w:rPr>
                <w:rFonts w:hint="eastAsia" w:ascii="宋体" w:hAnsi="宋体" w:cs="宋体"/>
                <w:szCs w:val="21"/>
              </w:rPr>
              <w:t>项目团队成员</w:t>
            </w:r>
            <w:r>
              <w:rPr>
                <w:rFonts w:hint="eastAsia" w:ascii="宋体" w:hAnsi="宋体" w:cs="宋体"/>
                <w:kern w:val="0"/>
                <w:szCs w:val="21"/>
              </w:rPr>
              <w:t>通过投标人缴纳的近三个月的任意一个月的社保证明作为</w:t>
            </w:r>
            <w:r>
              <w:rPr>
                <w:rFonts w:hint="eastAsia" w:ascii="宋体" w:hAnsi="宋体"/>
                <w:szCs w:val="21"/>
              </w:rPr>
              <w:t>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w:t>
            </w:r>
            <w:r>
              <w:rPr>
                <w:rFonts w:hint="eastAsia" w:ascii="宋体" w:hAnsi="宋体" w:cs="宋体"/>
                <w:kern w:val="0"/>
                <w:szCs w:val="21"/>
              </w:rPr>
              <w:t>的证明依据。若供应商成立不足三个月的，需提供成立情况说明函（格式自拟），无需提供相关人员社保，亦可得分；若为退休返聘人员，需提供说明函（格式自拟），无需提供相关人员社保，亦可得分；</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2.提供上述项目团队成员相对应证书作为得分依据；</w:t>
            </w:r>
          </w:p>
          <w:p>
            <w:pPr>
              <w:keepNext w:val="0"/>
              <w:keepLines w:val="0"/>
              <w:pageBreakBefore w:val="0"/>
              <w:kinsoku/>
              <w:wordWrap/>
              <w:overflowPunct/>
              <w:topLinePunct w:val="0"/>
              <w:bidi w:val="0"/>
              <w:adjustRightInd w:val="0"/>
              <w:spacing w:line="360" w:lineRule="auto"/>
              <w:rPr>
                <w:rFonts w:ascii="宋体" w:hAnsi="宋体" w:cs="宋体"/>
                <w:kern w:val="0"/>
                <w:szCs w:val="21"/>
              </w:rPr>
            </w:pPr>
            <w:r>
              <w:rPr>
                <w:rFonts w:hint="eastAsia" w:ascii="宋体" w:hAnsi="宋体" w:cs="宋体"/>
                <w:kern w:val="0"/>
                <w:szCs w:val="21"/>
              </w:rPr>
              <w:t>3.以上证明文件均提供复印件或扫描件加盖投标人公章，原件备查。未按要求提供有效证明材料或提供不清晰导致评委无法识别的不计得分。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restart"/>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商务标（S）</w:t>
            </w:r>
          </w:p>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（总分25分）</w:t>
            </w:r>
          </w:p>
        </w:tc>
        <w:tc>
          <w:tcPr>
            <w:tcW w:w="1095" w:type="dxa"/>
            <w:vAlign w:val="center"/>
          </w:tcPr>
          <w:p>
            <w:pPr>
              <w:keepNext w:val="0"/>
              <w:keepLines w:val="0"/>
              <w:pageBreakBefore w:val="0"/>
              <w:kinsoku/>
              <w:wordWrap/>
              <w:overflowPunct/>
              <w:topLinePunct w:val="0"/>
              <w:bidi w:val="0"/>
              <w:spacing w:line="360" w:lineRule="auto"/>
              <w:jc w:val="center"/>
              <w:rPr>
                <w:rFonts w:ascii="宋体" w:hAnsi="宋体" w:cs="宋体"/>
                <w:szCs w:val="21"/>
              </w:rPr>
            </w:pPr>
            <w:r>
              <w:rPr>
                <w:rFonts w:hint="eastAsia" w:ascii="宋体" w:hAnsi="宋体" w:cs="宋体"/>
                <w:szCs w:val="21"/>
              </w:rPr>
              <w:t>认证情况</w:t>
            </w:r>
          </w:p>
        </w:tc>
        <w:tc>
          <w:tcPr>
            <w:tcW w:w="720" w:type="dxa"/>
            <w:tcBorders>
              <w:right w:val="single" w:color="auto" w:sz="4" w:space="0"/>
            </w:tcBorders>
            <w:vAlign w:val="center"/>
          </w:tcPr>
          <w:p>
            <w:pPr>
              <w:keepNext w:val="0"/>
              <w:keepLines w:val="0"/>
              <w:pageBreakBefore w:val="0"/>
              <w:widowControl/>
              <w:kinsoku/>
              <w:wordWrap/>
              <w:overflowPunct/>
              <w:topLinePunct w:val="0"/>
              <w:bidi w:val="0"/>
              <w:adjustRightInd w:val="0"/>
              <w:spacing w:line="360" w:lineRule="auto"/>
              <w:jc w:val="center"/>
              <w:rPr>
                <w:rFonts w:ascii="宋体" w:hAnsi="宋体" w:cs="宋体"/>
                <w:szCs w:val="21"/>
              </w:rPr>
            </w:pPr>
            <w:r>
              <w:rPr>
                <w:rFonts w:hint="eastAsia" w:ascii="宋体" w:hAnsi="宋体" w:cs="宋体"/>
                <w:szCs w:val="21"/>
              </w:rPr>
              <w:t>5</w:t>
            </w:r>
          </w:p>
        </w:tc>
        <w:tc>
          <w:tcPr>
            <w:tcW w:w="6796" w:type="dxa"/>
            <w:tcBorders>
              <w:left w:val="single" w:color="auto" w:sz="4" w:space="0"/>
              <w:right w:val="double" w:color="auto" w:sz="4" w:space="0"/>
            </w:tcBorders>
            <w:vAlign w:val="center"/>
          </w:tcPr>
          <w:p>
            <w:pPr>
              <w:keepNext w:val="0"/>
              <w:keepLines w:val="0"/>
              <w:pageBreakBefore w:val="0"/>
              <w:widowControl/>
              <w:kinsoku/>
              <w:wordWrap/>
              <w:overflowPunct/>
              <w:topLinePunct w:val="0"/>
              <w:bidi w:val="0"/>
              <w:spacing w:line="360" w:lineRule="auto"/>
              <w:jc w:val="left"/>
              <w:textAlignment w:val="center"/>
              <w:rPr>
                <w:rFonts w:ascii="宋体" w:hAnsi="宋体" w:cs="宋体"/>
                <w:b/>
                <w:bCs/>
                <w:szCs w:val="21"/>
              </w:rPr>
            </w:pPr>
            <w:r>
              <w:rPr>
                <w:rFonts w:hint="eastAsia" w:ascii="宋体" w:hAnsi="宋体" w:cs="宋体"/>
                <w:b/>
                <w:bCs/>
                <w:szCs w:val="21"/>
              </w:rPr>
              <w:t>评审</w:t>
            </w:r>
            <w:r>
              <w:rPr>
                <w:rFonts w:ascii="宋体" w:hAnsi="宋体" w:cs="宋体"/>
                <w:b/>
                <w:bCs/>
                <w:szCs w:val="21"/>
              </w:rPr>
              <w:t>内容：</w:t>
            </w:r>
          </w:p>
          <w:p>
            <w:pPr>
              <w:keepNext w:val="0"/>
              <w:keepLines w:val="0"/>
              <w:pageBreakBefore w:val="0"/>
              <w:widowControl/>
              <w:kinsoku/>
              <w:wordWrap/>
              <w:overflowPunct/>
              <w:topLinePunct w:val="0"/>
              <w:bidi w:val="0"/>
              <w:spacing w:line="360" w:lineRule="auto"/>
              <w:jc w:val="left"/>
              <w:textAlignment w:val="center"/>
              <w:rPr>
                <w:rFonts w:ascii="宋体" w:hAnsi="宋体" w:cs="宋体"/>
                <w:szCs w:val="21"/>
              </w:rPr>
            </w:pPr>
            <w:r>
              <w:rPr>
                <w:rFonts w:ascii="宋体" w:hAnsi="宋体" w:cs="宋体"/>
                <w:szCs w:val="21"/>
              </w:rPr>
              <w:t>1.投标人具有质量管理体系认证证书的，得</w:t>
            </w:r>
            <w:r>
              <w:rPr>
                <w:rFonts w:hint="eastAsia" w:ascii="宋体" w:hAnsi="宋体" w:cs="宋体"/>
                <w:szCs w:val="21"/>
              </w:rPr>
              <w:t>3分</w:t>
            </w:r>
            <w:r>
              <w:rPr>
                <w:rFonts w:ascii="宋体" w:hAnsi="宋体" w:cs="宋体"/>
                <w:szCs w:val="21"/>
              </w:rPr>
              <w:t>；</w:t>
            </w:r>
          </w:p>
          <w:p>
            <w:pPr>
              <w:keepNext w:val="0"/>
              <w:keepLines w:val="0"/>
              <w:pageBreakBefore w:val="0"/>
              <w:widowControl/>
              <w:kinsoku/>
              <w:wordWrap/>
              <w:overflowPunct/>
              <w:topLinePunct w:val="0"/>
              <w:bidi w:val="0"/>
              <w:spacing w:line="360" w:lineRule="auto"/>
              <w:jc w:val="left"/>
              <w:textAlignment w:val="center"/>
              <w:rPr>
                <w:rFonts w:ascii="宋体" w:hAnsi="宋体" w:cs="宋体"/>
                <w:szCs w:val="21"/>
              </w:rPr>
            </w:pPr>
            <w:r>
              <w:rPr>
                <w:rFonts w:ascii="宋体" w:hAnsi="宋体" w:cs="宋体"/>
                <w:szCs w:val="21"/>
              </w:rPr>
              <w:t>2.投标人具有</w:t>
            </w:r>
            <w:r>
              <w:rPr>
                <w:rFonts w:hint="eastAsia" w:ascii="宋体" w:hAnsi="宋体" w:cs="宋体"/>
                <w:szCs w:val="21"/>
              </w:rPr>
              <w:t>环境管理体系认证</w:t>
            </w:r>
            <w:r>
              <w:rPr>
                <w:rFonts w:ascii="宋体" w:hAnsi="宋体" w:cs="宋体"/>
                <w:szCs w:val="21"/>
              </w:rPr>
              <w:t>证书</w:t>
            </w:r>
            <w:r>
              <w:rPr>
                <w:rFonts w:hint="eastAsia" w:ascii="宋体" w:hAnsi="宋体" w:cs="宋体"/>
                <w:szCs w:val="21"/>
              </w:rPr>
              <w:t>的</w:t>
            </w:r>
            <w:r>
              <w:rPr>
                <w:rFonts w:ascii="宋体" w:hAnsi="宋体" w:cs="宋体"/>
                <w:szCs w:val="21"/>
              </w:rPr>
              <w:t>，得</w:t>
            </w:r>
            <w:r>
              <w:rPr>
                <w:rFonts w:hint="eastAsia" w:ascii="宋体" w:hAnsi="宋体" w:cs="宋体"/>
                <w:szCs w:val="21"/>
              </w:rPr>
              <w:t>1分</w:t>
            </w:r>
            <w:r>
              <w:rPr>
                <w:rFonts w:ascii="宋体" w:hAnsi="宋体" w:cs="宋体"/>
                <w:szCs w:val="21"/>
              </w:rPr>
              <w:t>；</w:t>
            </w:r>
          </w:p>
          <w:p>
            <w:pPr>
              <w:keepNext w:val="0"/>
              <w:keepLines w:val="0"/>
              <w:pageBreakBefore w:val="0"/>
              <w:widowControl/>
              <w:kinsoku/>
              <w:wordWrap/>
              <w:overflowPunct/>
              <w:topLinePunct w:val="0"/>
              <w:bidi w:val="0"/>
              <w:spacing w:line="360" w:lineRule="auto"/>
              <w:jc w:val="left"/>
              <w:textAlignment w:val="center"/>
              <w:rPr>
                <w:rFonts w:ascii="宋体" w:hAnsi="宋体" w:cs="宋体"/>
                <w:szCs w:val="21"/>
              </w:rPr>
            </w:pPr>
            <w:r>
              <w:rPr>
                <w:rFonts w:ascii="宋体" w:hAnsi="宋体" w:cs="宋体"/>
                <w:szCs w:val="21"/>
              </w:rPr>
              <w:t>3.投标人具有</w:t>
            </w:r>
            <w:r>
              <w:rPr>
                <w:rFonts w:hint="eastAsia" w:ascii="宋体" w:hAnsi="宋体" w:cs="宋体"/>
                <w:szCs w:val="21"/>
              </w:rPr>
              <w:t>职业健康管理体系认证</w:t>
            </w:r>
            <w:r>
              <w:rPr>
                <w:rFonts w:ascii="宋体" w:hAnsi="宋体" w:cs="宋体"/>
                <w:szCs w:val="21"/>
              </w:rPr>
              <w:t>证书的，得</w:t>
            </w:r>
            <w:r>
              <w:rPr>
                <w:rFonts w:hint="eastAsia" w:ascii="宋体" w:hAnsi="宋体" w:cs="宋体"/>
                <w:szCs w:val="21"/>
              </w:rPr>
              <w:t>1分。</w:t>
            </w:r>
          </w:p>
          <w:p>
            <w:pPr>
              <w:keepNext w:val="0"/>
              <w:keepLines w:val="0"/>
              <w:pageBreakBefore w:val="0"/>
              <w:widowControl/>
              <w:kinsoku/>
              <w:wordWrap/>
              <w:overflowPunct/>
              <w:topLinePunct w:val="0"/>
              <w:bidi w:val="0"/>
              <w:spacing w:line="360" w:lineRule="auto"/>
              <w:jc w:val="left"/>
              <w:textAlignment w:val="center"/>
              <w:rPr>
                <w:rFonts w:ascii="宋体" w:hAnsi="宋体" w:cs="宋体"/>
                <w:b/>
                <w:bCs/>
                <w:szCs w:val="21"/>
              </w:rPr>
            </w:pPr>
            <w:r>
              <w:rPr>
                <w:rFonts w:hint="eastAsia" w:ascii="宋体" w:hAnsi="宋体" w:cs="宋体"/>
                <w:b/>
                <w:bCs/>
                <w:szCs w:val="21"/>
              </w:rPr>
              <w:t>注：以上累计最高得5分。</w:t>
            </w:r>
          </w:p>
          <w:p>
            <w:pPr>
              <w:keepNext w:val="0"/>
              <w:keepLines w:val="0"/>
              <w:pageBreakBefore w:val="0"/>
              <w:kinsoku/>
              <w:wordWrap/>
              <w:overflowPunct/>
              <w:topLinePunct w:val="0"/>
              <w:bidi w:val="0"/>
              <w:adjustRightInd w:val="0"/>
              <w:spacing w:line="360" w:lineRule="auto"/>
              <w:rPr>
                <w:rFonts w:ascii="宋体" w:hAnsi="宋体" w:cs="宋体"/>
                <w:b/>
                <w:bCs/>
                <w:szCs w:val="21"/>
              </w:rPr>
            </w:pPr>
            <w:r>
              <w:rPr>
                <w:rFonts w:hint="eastAsia" w:ascii="宋体" w:hAnsi="宋体" w:cs="宋体"/>
                <w:b/>
                <w:bCs/>
                <w:kern w:val="0"/>
                <w:szCs w:val="21"/>
              </w:rPr>
              <w:t>评审依据:</w:t>
            </w:r>
          </w:p>
          <w:p>
            <w:pPr>
              <w:keepNext w:val="0"/>
              <w:keepLines w:val="0"/>
              <w:pageBreakBefore w:val="0"/>
              <w:widowControl/>
              <w:kinsoku/>
              <w:wordWrap/>
              <w:overflowPunct/>
              <w:topLinePunct w:val="0"/>
              <w:bidi w:val="0"/>
              <w:spacing w:line="360" w:lineRule="auto"/>
              <w:jc w:val="left"/>
              <w:textAlignment w:val="center"/>
              <w:rPr>
                <w:rFonts w:ascii="宋体" w:hAnsi="宋体" w:cs="宋体"/>
                <w:szCs w:val="21"/>
              </w:rPr>
            </w:pPr>
            <w:r>
              <w:rPr>
                <w:rFonts w:hint="eastAsia" w:ascii="宋体" w:hAnsi="宋体" w:cs="宋体"/>
                <w:szCs w:val="21"/>
              </w:rPr>
              <w:t>1.提供有效认证证书（如认证证书注明年审要求的，必须按规定年审且证书在有效期内的方为有效；如未注明年审要求的，证书必须在有效期内的方为有效）；</w:t>
            </w:r>
          </w:p>
          <w:p>
            <w:pPr>
              <w:keepNext w:val="0"/>
              <w:keepLines w:val="0"/>
              <w:pageBreakBefore w:val="0"/>
              <w:widowControl/>
              <w:kinsoku/>
              <w:wordWrap/>
              <w:overflowPunct/>
              <w:topLinePunct w:val="0"/>
              <w:bidi w:val="0"/>
              <w:spacing w:line="360" w:lineRule="auto"/>
              <w:jc w:val="left"/>
              <w:textAlignment w:val="center"/>
              <w:rPr>
                <w:rFonts w:ascii="宋体" w:hAnsi="宋体" w:cs="宋体"/>
                <w:szCs w:val="21"/>
              </w:rPr>
            </w:pPr>
            <w:r>
              <w:rPr>
                <w:rFonts w:hint="eastAsia" w:ascii="宋体" w:hAnsi="宋体" w:cs="宋体"/>
                <w:szCs w:val="21"/>
              </w:rPr>
              <w:t>2.认证证书还需同时提供证书官网或权威机构【如：全国认证认可信息公共服务平台（cx.cnca.cn）】认证信息查询截图（截图需显示</w:t>
            </w:r>
            <w:r>
              <w:rPr>
                <w:rFonts w:hint="eastAsia" w:ascii="宋体" w:hAnsi="宋体" w:cs="宋体"/>
                <w:b/>
                <w:bCs/>
                <w:color w:val="FF0000"/>
                <w:szCs w:val="21"/>
              </w:rPr>
              <w:t>证书状态为有效</w:t>
            </w:r>
            <w:r>
              <w:rPr>
                <w:rFonts w:hint="eastAsia" w:ascii="宋体" w:hAnsi="宋体" w:cs="宋体"/>
                <w:szCs w:val="21"/>
              </w:rPr>
              <w:t>）。相关证书在公开渠道无法查询的，投标人需提供颁发部门或者监管机构的证明材料，证明证书真实有效且为合法机构颁发；</w:t>
            </w:r>
          </w:p>
          <w:p>
            <w:pPr>
              <w:keepNext w:val="0"/>
              <w:keepLines w:val="0"/>
              <w:pageBreakBefore w:val="0"/>
              <w:widowControl/>
              <w:kinsoku/>
              <w:wordWrap/>
              <w:overflowPunct/>
              <w:topLinePunct w:val="0"/>
              <w:bidi w:val="0"/>
              <w:spacing w:line="360" w:lineRule="auto"/>
              <w:jc w:val="left"/>
              <w:textAlignment w:val="center"/>
              <w:rPr>
                <w:rFonts w:ascii="宋体" w:hAnsi="宋体" w:cs="宋体"/>
                <w:szCs w:val="21"/>
              </w:rPr>
            </w:pPr>
            <w:r>
              <w:rPr>
                <w:rFonts w:hint="eastAsia" w:ascii="宋体" w:hAnsi="宋体" w:cs="宋体"/>
                <w:szCs w:val="21"/>
              </w:rPr>
              <w:t>3.以上证明文件均提供复印件或扫描件（或官方网站截图）加盖投标人公章，原件备查。对于未提供证明文件，未提供查询记录且无其他证明材料的，或者提供不清晰导致评委无法判断的，均作不得分处理。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widowControl/>
              <w:kinsoku/>
              <w:wordWrap/>
              <w:overflowPunct/>
              <w:topLinePunct w:val="0"/>
              <w:bidi w:val="0"/>
              <w:spacing w:before="100" w:beforeAutospacing="1" w:line="360" w:lineRule="auto"/>
              <w:jc w:val="center"/>
              <w:textAlignment w:val="center"/>
              <w:rPr>
                <w:rFonts w:ascii="宋体" w:hAnsi="宋体" w:cs="宋体"/>
                <w:szCs w:val="21"/>
              </w:rPr>
            </w:pPr>
            <w:r>
              <w:rPr>
                <w:rFonts w:hint="eastAsia" w:ascii="宋体" w:hAnsi="宋体" w:cs="宋体"/>
                <w:szCs w:val="21"/>
              </w:rPr>
              <w:t>同类业绩</w:t>
            </w:r>
          </w:p>
        </w:tc>
        <w:tc>
          <w:tcPr>
            <w:tcW w:w="720" w:type="dxa"/>
            <w:tcBorders>
              <w:right w:val="single" w:color="auto" w:sz="4" w:space="0"/>
            </w:tcBorders>
            <w:vAlign w:val="center"/>
          </w:tcPr>
          <w:p>
            <w:pPr>
              <w:keepNext w:val="0"/>
              <w:keepLines w:val="0"/>
              <w:pageBreakBefore w:val="0"/>
              <w:widowControl/>
              <w:kinsoku/>
              <w:wordWrap/>
              <w:overflowPunct/>
              <w:topLinePunct w:val="0"/>
              <w:bidi w:val="0"/>
              <w:spacing w:line="360" w:lineRule="auto"/>
              <w:jc w:val="center"/>
              <w:rPr>
                <w:rFonts w:ascii="宋体" w:hAnsi="宋体" w:cs="宋体"/>
                <w:snapToGrid w:val="0"/>
                <w:kern w:val="0"/>
                <w:szCs w:val="21"/>
              </w:rPr>
            </w:pPr>
            <w:r>
              <w:rPr>
                <w:rFonts w:hint="eastAsia" w:ascii="宋体" w:hAnsi="宋体" w:cs="宋体"/>
                <w:snapToGrid w:val="0"/>
                <w:kern w:val="0"/>
                <w:szCs w:val="21"/>
              </w:rPr>
              <w:t>10</w:t>
            </w:r>
          </w:p>
        </w:tc>
        <w:tc>
          <w:tcPr>
            <w:tcW w:w="6796" w:type="dxa"/>
            <w:tcBorders>
              <w:left w:val="single" w:color="auto" w:sz="4" w:space="0"/>
              <w:right w:val="double" w:color="auto" w:sz="4" w:space="0"/>
            </w:tcBorders>
            <w:vAlign w:val="center"/>
          </w:tcPr>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snapToGrid w:val="0"/>
              <w:spacing w:line="360" w:lineRule="auto"/>
              <w:jc w:val="left"/>
              <w:rPr>
                <w:rFonts w:ascii="宋体" w:hAnsi="宋体" w:cs="宋体"/>
                <w:szCs w:val="21"/>
              </w:rPr>
            </w:pPr>
            <w:r>
              <w:rPr>
                <w:rFonts w:hint="eastAsia" w:ascii="宋体" w:hAnsi="宋体" w:cs="宋体"/>
                <w:szCs w:val="21"/>
              </w:rPr>
              <w:t>1.2020年</w:t>
            </w:r>
            <w:r>
              <w:rPr>
                <w:rFonts w:hint="eastAsia" w:ascii="宋体" w:hAnsi="宋体" w:cs="宋体"/>
                <w:szCs w:val="21"/>
                <w:lang w:val="en-US" w:eastAsia="zh-CN"/>
              </w:rPr>
              <w:t>3</w:t>
            </w:r>
            <w:r>
              <w:rPr>
                <w:rFonts w:hint="eastAsia" w:ascii="宋体" w:hAnsi="宋体" w:cs="宋体"/>
                <w:szCs w:val="21"/>
              </w:rPr>
              <w:t>月1日</w:t>
            </w:r>
            <w:r>
              <w:rPr>
                <w:rFonts w:hint="eastAsia" w:ascii="宋体" w:hAnsi="宋体" w:cs="宋体"/>
                <w:kern w:val="0"/>
                <w:szCs w:val="21"/>
              </w:rPr>
              <w:t>至本项目投标截止日（</w:t>
            </w:r>
            <w:r>
              <w:rPr>
                <w:rFonts w:hint="eastAsia" w:ascii="宋体" w:hAnsi="宋体" w:cs="宋体"/>
                <w:szCs w:val="21"/>
              </w:rPr>
              <w:t>以合同落款时间为准</w:t>
            </w:r>
            <w:r>
              <w:rPr>
                <w:rFonts w:hint="eastAsia" w:ascii="宋体" w:hAnsi="宋体" w:cs="宋体"/>
                <w:kern w:val="0"/>
                <w:szCs w:val="21"/>
              </w:rPr>
              <w:t>），</w:t>
            </w:r>
            <w:r>
              <w:rPr>
                <w:rFonts w:hint="eastAsia" w:ascii="宋体" w:hAnsi="宋体" w:cs="宋体"/>
                <w:szCs w:val="21"/>
              </w:rPr>
              <w:t>投标人具有同类项目业绩的，每提供一个有效业绩的</w:t>
            </w:r>
            <w:r>
              <w:rPr>
                <w:rFonts w:ascii="宋体" w:hAnsi="宋体" w:cs="宋体"/>
                <w:szCs w:val="21"/>
              </w:rPr>
              <w:t>2</w:t>
            </w:r>
            <w:r>
              <w:rPr>
                <w:rFonts w:hint="eastAsia" w:ascii="宋体" w:hAnsi="宋体" w:cs="宋体"/>
                <w:szCs w:val="21"/>
              </w:rPr>
              <w:t>分，最高得6分。</w:t>
            </w:r>
          </w:p>
          <w:p>
            <w:pPr>
              <w:keepNext w:val="0"/>
              <w:keepLines w:val="0"/>
              <w:pageBreakBefore w:val="0"/>
              <w:kinsoku/>
              <w:wordWrap/>
              <w:overflowPunct/>
              <w:topLinePunct w:val="0"/>
              <w:bidi w:val="0"/>
              <w:snapToGrid w:val="0"/>
              <w:spacing w:line="360" w:lineRule="auto"/>
              <w:jc w:val="left"/>
              <w:rPr>
                <w:rFonts w:ascii="宋体" w:hAnsi="宋体" w:cs="宋体"/>
                <w:b/>
                <w:bCs/>
                <w:kern w:val="0"/>
                <w:szCs w:val="21"/>
              </w:rPr>
            </w:pPr>
            <w:r>
              <w:rPr>
                <w:rFonts w:hint="eastAsia" w:ascii="宋体" w:hAnsi="宋体" w:cs="宋体"/>
                <w:b/>
                <w:bCs/>
                <w:kern w:val="0"/>
                <w:szCs w:val="21"/>
              </w:rPr>
              <w:t>注：同一项目续签合同的不可重复得分。</w:t>
            </w:r>
          </w:p>
          <w:p>
            <w:pPr>
              <w:pStyle w:val="2"/>
              <w:keepNext w:val="0"/>
              <w:keepLines w:val="0"/>
              <w:pageBreakBefore w:val="0"/>
              <w:kinsoku/>
              <w:wordWrap/>
              <w:overflowPunct/>
              <w:topLinePunct w:val="0"/>
              <w:bidi w:val="0"/>
              <w:spacing w:line="360" w:lineRule="auto"/>
              <w:ind w:firstLine="0"/>
              <w:rPr>
                <w:rFonts w:ascii="宋体" w:hAnsi="宋体" w:cs="宋体"/>
                <w:sz w:val="21"/>
                <w:szCs w:val="21"/>
              </w:rPr>
            </w:pPr>
            <w:r>
              <w:rPr>
                <w:rFonts w:hint="eastAsia" w:ascii="宋体" w:hAnsi="宋体" w:cs="宋体"/>
                <w:sz w:val="21"/>
                <w:szCs w:val="21"/>
              </w:rPr>
              <w:t>2.2020年</w:t>
            </w:r>
            <w:r>
              <w:rPr>
                <w:rFonts w:hint="eastAsia" w:ascii="宋体" w:hAnsi="宋体" w:cs="宋体"/>
                <w:sz w:val="21"/>
                <w:szCs w:val="21"/>
                <w:lang w:val="en-US" w:eastAsia="zh-CN"/>
              </w:rPr>
              <w:t>3</w:t>
            </w:r>
            <w:r>
              <w:rPr>
                <w:rFonts w:hint="eastAsia" w:ascii="宋体" w:hAnsi="宋体" w:cs="宋体"/>
                <w:sz w:val="21"/>
                <w:szCs w:val="21"/>
              </w:rPr>
              <w:t>月1日至本项目投标截止日（以履约评价落款时间为准），上述有效同类业绩的履约评价经采购单位考核评价为优或优秀或满意的，每提供一个得2分，最高得4分。</w:t>
            </w:r>
          </w:p>
          <w:p>
            <w:pPr>
              <w:keepNext w:val="0"/>
              <w:keepLines w:val="0"/>
              <w:pageBreakBefore w:val="0"/>
              <w:kinsoku/>
              <w:wordWrap/>
              <w:overflowPunct/>
              <w:topLinePunct w:val="0"/>
              <w:bidi w:val="0"/>
              <w:snapToGrid w:val="0"/>
              <w:spacing w:line="360" w:lineRule="auto"/>
              <w:jc w:val="left"/>
              <w:rPr>
                <w:rFonts w:ascii="宋体" w:hAnsi="宋体" w:cs="宋体"/>
                <w:b/>
                <w:bCs/>
                <w:kern w:val="0"/>
                <w:szCs w:val="21"/>
              </w:rPr>
            </w:pPr>
            <w:r>
              <w:rPr>
                <w:rFonts w:hint="eastAsia" w:ascii="宋体" w:hAnsi="宋体" w:cs="宋体"/>
                <w:b/>
                <w:bCs/>
                <w:kern w:val="0"/>
                <w:szCs w:val="21"/>
              </w:rPr>
              <w:t>注：以上累计最高得10分。</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1.要求同时提供合同关键页信息（关键信息包括但不仅限于</w:t>
            </w:r>
            <w:r>
              <w:rPr>
                <w:rFonts w:hint="eastAsia" w:ascii="宋体" w:hAnsi="宋体" w:cs="宋体"/>
                <w:szCs w:val="21"/>
              </w:rPr>
              <w:t>工程造价书封面和相应合同主要条款，造价书封面须包含建设单位名称、工程项目名称、工程造价额度、编制人或审核人签章和证书号、公司签章等</w:t>
            </w:r>
            <w:r>
              <w:rPr>
                <w:rFonts w:hint="eastAsia" w:ascii="宋体" w:hAnsi="宋体" w:cs="宋体"/>
                <w:kern w:val="0"/>
                <w:szCs w:val="21"/>
              </w:rPr>
              <w:t>）作为得分依据；</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2.提供加盖采购单位公章或业务章的履约评价证明材料；</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3.以上证明文件均提供复印件或扫描件加盖投标人公章，原件备查。未按要求提供有效证明材料或提供不清晰导致评委无法识别的不计得分。</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b/>
                <w:bCs/>
                <w:szCs w:val="21"/>
              </w:rPr>
              <w:t>注：为便于评委评审，履约评价证明材料应附在 “同类业绩”证明文件后，每个项目对应一份履约评价材料（如有）。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kinsoku/>
              <w:wordWrap/>
              <w:overflowPunct/>
              <w:topLinePunct w:val="0"/>
              <w:bidi w:val="0"/>
              <w:spacing w:line="360" w:lineRule="auto"/>
              <w:jc w:val="center"/>
              <w:rPr>
                <w:rFonts w:ascii="宋体" w:hAnsi="宋体" w:cs="宋体"/>
                <w:szCs w:val="21"/>
              </w:rPr>
            </w:pPr>
            <w:r>
              <w:rPr>
                <w:rFonts w:hint="eastAsia" w:ascii="宋体" w:hAnsi="宋体"/>
                <w:kern w:val="0"/>
                <w:szCs w:val="21"/>
                <w:lang w:val="zh-CN"/>
              </w:rPr>
              <w:t>获奖（荣誉）情况</w:t>
            </w:r>
          </w:p>
        </w:tc>
        <w:tc>
          <w:tcPr>
            <w:tcW w:w="720" w:type="dxa"/>
            <w:tcBorders>
              <w:right w:val="single" w:color="auto" w:sz="4" w:space="0"/>
            </w:tcBorders>
            <w:vAlign w:val="center"/>
          </w:tcPr>
          <w:p>
            <w:pPr>
              <w:keepNext w:val="0"/>
              <w:keepLines w:val="0"/>
              <w:pageBreakBefore w:val="0"/>
              <w:kinsoku/>
              <w:wordWrap/>
              <w:overflowPunct/>
              <w:topLinePunct w:val="0"/>
              <w:bidi w:val="0"/>
              <w:spacing w:line="360" w:lineRule="auto"/>
              <w:jc w:val="center"/>
              <w:rPr>
                <w:rFonts w:ascii="宋体" w:hAnsi="宋体" w:cs="宋体"/>
                <w:snapToGrid w:val="0"/>
                <w:kern w:val="0"/>
                <w:szCs w:val="21"/>
              </w:rPr>
            </w:pPr>
            <w:r>
              <w:rPr>
                <w:rFonts w:hint="eastAsia" w:ascii="宋体" w:hAnsi="宋体" w:cs="仿宋"/>
                <w:szCs w:val="21"/>
              </w:rPr>
              <w:t>2</w:t>
            </w:r>
          </w:p>
        </w:tc>
        <w:tc>
          <w:tcPr>
            <w:tcW w:w="6796" w:type="dxa"/>
            <w:tcBorders>
              <w:left w:val="single" w:color="auto" w:sz="4" w:space="0"/>
              <w:right w:val="double" w:color="auto" w:sz="4" w:space="0"/>
            </w:tcBorders>
            <w:vAlign w:val="center"/>
          </w:tcPr>
          <w:p>
            <w:pPr>
              <w:keepNext w:val="0"/>
              <w:keepLines w:val="0"/>
              <w:pageBreakBefore w:val="0"/>
              <w:kinsoku/>
              <w:wordWrap/>
              <w:overflowPunct/>
              <w:topLinePunct w:val="0"/>
              <w:bidi w:val="0"/>
              <w:snapToGrid w:val="0"/>
              <w:spacing w:line="360" w:lineRule="auto"/>
              <w:jc w:val="left"/>
              <w:rPr>
                <w:rFonts w:ascii="宋体" w:hAnsi="宋体"/>
                <w:szCs w:val="21"/>
              </w:rPr>
            </w:pPr>
            <w:r>
              <w:rPr>
                <w:rFonts w:hint="eastAsia" w:ascii="宋体" w:hAnsi="宋体" w:cs="宋体"/>
                <w:b/>
                <w:bCs/>
                <w:kern w:val="0"/>
                <w:szCs w:val="21"/>
              </w:rPr>
              <w:t>评审内容：</w:t>
            </w:r>
          </w:p>
          <w:p>
            <w:pPr>
              <w:keepNext w:val="0"/>
              <w:keepLines w:val="0"/>
              <w:pageBreakBefore w:val="0"/>
              <w:tabs>
                <w:tab w:val="left" w:pos="175"/>
              </w:tabs>
              <w:kinsoku/>
              <w:wordWrap/>
              <w:overflowPunct/>
              <w:topLinePunct w:val="0"/>
              <w:bidi w:val="0"/>
              <w:spacing w:line="360" w:lineRule="auto"/>
              <w:ind w:left="33"/>
              <w:jc w:val="left"/>
              <w:rPr>
                <w:rFonts w:ascii="宋体" w:hAnsi="宋体" w:cs="宋体"/>
                <w:bCs/>
                <w:kern w:val="0"/>
                <w:szCs w:val="21"/>
              </w:rPr>
            </w:pPr>
            <w:r>
              <w:rPr>
                <w:rFonts w:hint="eastAsia" w:ascii="宋体" w:hAnsi="宋体" w:cs="宋体"/>
                <w:bCs/>
                <w:kern w:val="0"/>
                <w:szCs w:val="21"/>
              </w:rPr>
              <w:t>20</w:t>
            </w:r>
            <w:r>
              <w:rPr>
                <w:rFonts w:hint="eastAsia" w:ascii="宋体" w:hAnsi="宋体" w:cs="宋体"/>
                <w:bCs/>
                <w:kern w:val="0"/>
                <w:szCs w:val="21"/>
                <w:lang w:val="en-US" w:eastAsia="zh-CN"/>
              </w:rPr>
              <w:t>20</w:t>
            </w:r>
            <w:r>
              <w:rPr>
                <w:rFonts w:hint="eastAsia" w:ascii="宋体" w:hAnsi="宋体" w:cs="宋体"/>
                <w:bCs/>
                <w:kern w:val="0"/>
                <w:szCs w:val="21"/>
              </w:rPr>
              <w:t>年</w:t>
            </w:r>
            <w:r>
              <w:rPr>
                <w:rFonts w:hint="eastAsia" w:ascii="宋体" w:hAnsi="宋体" w:cs="宋体"/>
                <w:bCs/>
                <w:kern w:val="0"/>
                <w:szCs w:val="21"/>
                <w:lang w:val="en-US" w:eastAsia="zh-CN"/>
              </w:rPr>
              <w:t>3</w:t>
            </w:r>
            <w:r>
              <w:rPr>
                <w:rFonts w:hint="eastAsia" w:ascii="宋体" w:hAnsi="宋体" w:cs="宋体"/>
                <w:bCs/>
                <w:kern w:val="0"/>
                <w:szCs w:val="21"/>
              </w:rPr>
              <w:t>月1日至</w:t>
            </w:r>
            <w:r>
              <w:rPr>
                <w:rFonts w:hint="eastAsia" w:ascii="宋体" w:hAnsi="宋体" w:cs="宋体"/>
                <w:szCs w:val="21"/>
              </w:rPr>
              <w:t>本项目投标截止日</w:t>
            </w:r>
            <w:r>
              <w:rPr>
                <w:rFonts w:hint="eastAsia" w:ascii="宋体" w:hAnsi="宋体" w:cs="宋体"/>
                <w:bCs/>
                <w:kern w:val="0"/>
                <w:szCs w:val="21"/>
              </w:rPr>
              <w:t>（以证书颁发日期为准），投标人获得以下荣誉或奖项：</w:t>
            </w:r>
          </w:p>
          <w:p>
            <w:pPr>
              <w:keepNext w:val="0"/>
              <w:keepLines w:val="0"/>
              <w:pageBreakBefore w:val="0"/>
              <w:tabs>
                <w:tab w:val="left" w:pos="175"/>
              </w:tabs>
              <w:kinsoku/>
              <w:wordWrap/>
              <w:overflowPunct/>
              <w:topLinePunct w:val="0"/>
              <w:bidi w:val="0"/>
              <w:spacing w:line="360" w:lineRule="auto"/>
              <w:ind w:left="33"/>
              <w:jc w:val="left"/>
              <w:rPr>
                <w:rFonts w:ascii="宋体" w:hAnsi="宋体" w:cs="宋体"/>
                <w:bCs/>
                <w:kern w:val="0"/>
                <w:szCs w:val="21"/>
              </w:rPr>
            </w:pPr>
            <w:r>
              <w:rPr>
                <w:rFonts w:hint="eastAsia" w:ascii="宋体" w:hAnsi="宋体" w:cs="宋体"/>
                <w:bCs/>
                <w:kern w:val="0"/>
                <w:szCs w:val="21"/>
              </w:rPr>
              <w:t>1）国家级奖项每个得2分；</w:t>
            </w:r>
          </w:p>
          <w:p>
            <w:pPr>
              <w:keepNext w:val="0"/>
              <w:keepLines w:val="0"/>
              <w:pageBreakBefore w:val="0"/>
              <w:tabs>
                <w:tab w:val="left" w:pos="175"/>
              </w:tabs>
              <w:kinsoku/>
              <w:wordWrap/>
              <w:overflowPunct/>
              <w:topLinePunct w:val="0"/>
              <w:bidi w:val="0"/>
              <w:spacing w:line="360" w:lineRule="auto"/>
              <w:ind w:left="33"/>
              <w:jc w:val="left"/>
              <w:rPr>
                <w:rFonts w:ascii="宋体" w:hAnsi="宋体" w:cs="宋体"/>
                <w:bCs/>
                <w:kern w:val="0"/>
                <w:szCs w:val="21"/>
              </w:rPr>
            </w:pPr>
            <w:r>
              <w:rPr>
                <w:rFonts w:hint="eastAsia" w:ascii="宋体" w:hAnsi="宋体" w:cs="宋体"/>
                <w:bCs/>
                <w:kern w:val="0"/>
                <w:szCs w:val="21"/>
              </w:rPr>
              <w:t>2）省级或以上奖项每个得</w:t>
            </w:r>
            <w:r>
              <w:rPr>
                <w:rFonts w:hint="eastAsia" w:ascii="宋体" w:hAnsi="宋体" w:cs="宋体"/>
                <w:bCs/>
                <w:kern w:val="0"/>
                <w:szCs w:val="21"/>
                <w:lang w:val="en-US" w:eastAsia="zh-CN"/>
              </w:rPr>
              <w:t>1</w:t>
            </w:r>
            <w:r>
              <w:rPr>
                <w:rFonts w:hint="eastAsia" w:ascii="宋体" w:hAnsi="宋体" w:cs="宋体"/>
                <w:bCs/>
                <w:kern w:val="0"/>
                <w:szCs w:val="21"/>
              </w:rPr>
              <w:t>分；</w:t>
            </w:r>
          </w:p>
          <w:p>
            <w:pPr>
              <w:keepNext w:val="0"/>
              <w:keepLines w:val="0"/>
              <w:pageBreakBefore w:val="0"/>
              <w:tabs>
                <w:tab w:val="left" w:pos="175"/>
              </w:tabs>
              <w:kinsoku/>
              <w:wordWrap/>
              <w:overflowPunct/>
              <w:topLinePunct w:val="0"/>
              <w:bidi w:val="0"/>
              <w:spacing w:line="360" w:lineRule="auto"/>
              <w:ind w:left="33"/>
              <w:jc w:val="left"/>
              <w:rPr>
                <w:rFonts w:ascii="宋体" w:hAnsi="宋体" w:cs="宋体"/>
                <w:bCs/>
                <w:kern w:val="0"/>
                <w:szCs w:val="21"/>
              </w:rPr>
            </w:pPr>
            <w:r>
              <w:rPr>
                <w:rFonts w:hint="eastAsia" w:ascii="宋体" w:hAnsi="宋体" w:cs="宋体"/>
                <w:bCs/>
                <w:kern w:val="0"/>
                <w:szCs w:val="21"/>
              </w:rPr>
              <w:t>3）市级或以上奖项每个得</w:t>
            </w:r>
            <w:r>
              <w:rPr>
                <w:rFonts w:hint="eastAsia" w:ascii="宋体" w:hAnsi="宋体" w:cs="宋体"/>
                <w:bCs/>
                <w:kern w:val="0"/>
                <w:szCs w:val="21"/>
                <w:lang w:val="en-US" w:eastAsia="zh-CN"/>
              </w:rPr>
              <w:t>0.5</w:t>
            </w:r>
            <w:r>
              <w:rPr>
                <w:rFonts w:hint="eastAsia" w:ascii="宋体" w:hAnsi="宋体" w:cs="宋体"/>
                <w:bCs/>
                <w:kern w:val="0"/>
                <w:szCs w:val="21"/>
              </w:rPr>
              <w:t>分；</w:t>
            </w:r>
          </w:p>
          <w:p>
            <w:pPr>
              <w:keepNext w:val="0"/>
              <w:keepLines w:val="0"/>
              <w:pageBreakBefore w:val="0"/>
              <w:tabs>
                <w:tab w:val="left" w:pos="175"/>
              </w:tabs>
              <w:kinsoku/>
              <w:wordWrap/>
              <w:overflowPunct/>
              <w:topLinePunct w:val="0"/>
              <w:bidi w:val="0"/>
              <w:spacing w:line="360" w:lineRule="auto"/>
              <w:ind w:left="33"/>
              <w:jc w:val="left"/>
              <w:rPr>
                <w:rFonts w:ascii="宋体" w:hAnsi="宋体" w:cs="宋体"/>
                <w:bCs/>
                <w:kern w:val="0"/>
                <w:szCs w:val="21"/>
              </w:rPr>
            </w:pPr>
            <w:r>
              <w:rPr>
                <w:rFonts w:hint="eastAsia" w:ascii="宋体" w:hAnsi="宋体" w:cs="宋体"/>
                <w:bCs/>
                <w:kern w:val="0"/>
                <w:szCs w:val="21"/>
              </w:rPr>
              <w:t>4）其他不得分，累计最高得2分。</w:t>
            </w:r>
          </w:p>
          <w:p>
            <w:pPr>
              <w:keepNext w:val="0"/>
              <w:keepLines w:val="0"/>
              <w:pageBreakBefore w:val="0"/>
              <w:kinsoku/>
              <w:wordWrap/>
              <w:overflowPunct/>
              <w:topLinePunct w:val="0"/>
              <w:autoSpaceDE w:val="0"/>
              <w:autoSpaceDN w:val="0"/>
              <w:bidi w:val="0"/>
              <w:adjustRightInd w:val="0"/>
              <w:spacing w:line="360" w:lineRule="auto"/>
              <w:jc w:val="left"/>
              <w:rPr>
                <w:rFonts w:ascii="宋体" w:hAnsi="宋体" w:cs="宋体"/>
                <w:bCs/>
                <w:kern w:val="0"/>
                <w:szCs w:val="21"/>
              </w:rPr>
            </w:pPr>
            <w:r>
              <w:rPr>
                <w:rFonts w:hint="eastAsia" w:ascii="宋体" w:hAnsi="宋体" w:cs="宋体"/>
                <w:bCs/>
                <w:kern w:val="0"/>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w:t>
            </w:r>
          </w:p>
          <w:p>
            <w:pPr>
              <w:keepNext w:val="0"/>
              <w:keepLines w:val="0"/>
              <w:pageBreakBefore w:val="0"/>
              <w:kinsoku/>
              <w:wordWrap/>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cs="宋体"/>
                <w:b/>
                <w:bCs/>
                <w:kern w:val="0"/>
                <w:szCs w:val="21"/>
              </w:rPr>
              <w:t>评审依据：</w:t>
            </w:r>
          </w:p>
          <w:p>
            <w:pPr>
              <w:keepNext w:val="0"/>
              <w:keepLines w:val="0"/>
              <w:pageBreakBefore w:val="0"/>
              <w:tabs>
                <w:tab w:val="left" w:pos="175"/>
              </w:tabs>
              <w:kinsoku/>
              <w:wordWrap/>
              <w:overflowPunct/>
              <w:topLinePunct w:val="0"/>
              <w:bidi w:val="0"/>
              <w:spacing w:line="360" w:lineRule="auto"/>
              <w:ind w:left="33"/>
              <w:jc w:val="left"/>
              <w:rPr>
                <w:rFonts w:asciiTheme="minorEastAsia" w:hAnsiTheme="minorEastAsia" w:eastAsiaTheme="minorEastAsia"/>
                <w:szCs w:val="21"/>
              </w:rPr>
            </w:pPr>
            <w:r>
              <w:rPr>
                <w:rFonts w:hint="eastAsia" w:asciiTheme="minorEastAsia" w:hAnsiTheme="minorEastAsia" w:eastAsiaTheme="minorEastAsia"/>
                <w:szCs w:val="21"/>
              </w:rPr>
              <w:t>1.要求提供奖项照片或获奖（荣誉）证书作为得分依据；</w:t>
            </w:r>
          </w:p>
          <w:p>
            <w:pPr>
              <w:keepNext w:val="0"/>
              <w:keepLines w:val="0"/>
              <w:pageBreakBefore w:val="0"/>
              <w:tabs>
                <w:tab w:val="left" w:pos="175"/>
              </w:tabs>
              <w:kinsoku/>
              <w:wordWrap/>
              <w:overflowPunct/>
              <w:topLinePunct w:val="0"/>
              <w:bidi w:val="0"/>
              <w:spacing w:line="360" w:lineRule="auto"/>
              <w:ind w:left="33"/>
              <w:jc w:val="left"/>
              <w:rPr>
                <w:rFonts w:ascii="宋体" w:hAnsi="宋体" w:cs="宋体"/>
                <w:szCs w:val="21"/>
              </w:rPr>
            </w:pPr>
            <w:r>
              <w:rPr>
                <w:rFonts w:hint="eastAsia" w:asciiTheme="minorEastAsia" w:hAnsiTheme="minorEastAsia" w:eastAsiaTheme="minorEastAsia"/>
                <w:szCs w:val="21"/>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widowControl/>
              <w:kinsoku/>
              <w:wordWrap/>
              <w:overflowPunct/>
              <w:topLinePunct w:val="0"/>
              <w:bidi w:val="0"/>
              <w:spacing w:before="100" w:beforeAutospacing="1" w:line="360" w:lineRule="auto"/>
              <w:jc w:val="center"/>
              <w:textAlignment w:val="center"/>
              <w:rPr>
                <w:rFonts w:ascii="宋体" w:hAnsi="宋体" w:cs="宋体"/>
                <w:szCs w:val="21"/>
              </w:rPr>
            </w:pPr>
            <w:r>
              <w:rPr>
                <w:rFonts w:hint="eastAsia" w:ascii="宋体" w:hAnsi="宋体" w:cs="宋体"/>
                <w:szCs w:val="21"/>
              </w:rPr>
              <w:t>售后服务机构</w:t>
            </w:r>
          </w:p>
        </w:tc>
        <w:tc>
          <w:tcPr>
            <w:tcW w:w="720" w:type="dxa"/>
            <w:tcBorders>
              <w:right w:val="single" w:color="auto" w:sz="4" w:space="0"/>
            </w:tcBorders>
            <w:vAlign w:val="center"/>
          </w:tcPr>
          <w:p>
            <w:pPr>
              <w:keepNext w:val="0"/>
              <w:keepLines w:val="0"/>
              <w:pageBreakBefore w:val="0"/>
              <w:widowControl/>
              <w:kinsoku/>
              <w:wordWrap/>
              <w:overflowPunct/>
              <w:topLinePunct w:val="0"/>
              <w:bidi w:val="0"/>
              <w:spacing w:line="360" w:lineRule="auto"/>
              <w:jc w:val="center"/>
              <w:rPr>
                <w:rFonts w:ascii="宋体" w:hAnsi="宋体" w:cs="宋体"/>
                <w:snapToGrid w:val="0"/>
                <w:kern w:val="0"/>
                <w:szCs w:val="21"/>
              </w:rPr>
            </w:pPr>
            <w:r>
              <w:rPr>
                <w:rFonts w:hint="eastAsia" w:ascii="宋体" w:hAnsi="宋体" w:cs="宋体"/>
                <w:snapToGrid w:val="0"/>
                <w:kern w:val="0"/>
                <w:szCs w:val="21"/>
              </w:rPr>
              <w:t>3</w:t>
            </w:r>
          </w:p>
        </w:tc>
        <w:tc>
          <w:tcPr>
            <w:tcW w:w="6796" w:type="dxa"/>
            <w:tcBorders>
              <w:left w:val="single" w:color="auto" w:sz="4" w:space="0"/>
              <w:right w:val="double" w:color="auto" w:sz="4" w:space="0"/>
            </w:tcBorders>
            <w:vAlign w:val="center"/>
          </w:tcPr>
          <w:p>
            <w:pPr>
              <w:keepNext w:val="0"/>
              <w:keepLines w:val="0"/>
              <w:pageBreakBefore w:val="0"/>
              <w:kinsoku/>
              <w:wordWrap/>
              <w:overflowPunct/>
              <w:topLinePunct w:val="0"/>
              <w:bidi w:val="0"/>
              <w:snapToGrid w:val="0"/>
              <w:spacing w:line="360" w:lineRule="auto"/>
              <w:jc w:val="left"/>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投标人在深圳市设有合法注册的售后服务机构，或承诺中标后一个月内在深圳市设立售后服务机构的，得3分，其他情况不得分。</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（1）提供售后服务机构证明，如为与投标人签订合作协议的售后服务机构，还需同时提供相关协议或合同；</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（2）如承诺中标后设立售后服务机构的，需提供承诺函（格式自拟）；</w:t>
            </w:r>
          </w:p>
          <w:p>
            <w:pPr>
              <w:keepNext w:val="0"/>
              <w:keepLines w:val="0"/>
              <w:pageBreakBefore w:val="0"/>
              <w:kinsoku/>
              <w:wordWrap/>
              <w:overflowPunct/>
              <w:topLinePunct w:val="0"/>
              <w:bidi w:val="0"/>
              <w:snapToGrid w:val="0"/>
              <w:spacing w:line="360" w:lineRule="auto"/>
              <w:jc w:val="left"/>
              <w:rPr>
                <w:rFonts w:ascii="宋体" w:hAnsi="宋体" w:cs="宋体"/>
                <w:kern w:val="0"/>
                <w:szCs w:val="21"/>
              </w:rPr>
            </w:pPr>
            <w:r>
              <w:rPr>
                <w:rFonts w:hint="eastAsia" w:ascii="宋体" w:hAnsi="宋体" w:cs="宋体"/>
                <w:kern w:val="0"/>
                <w:szCs w:val="21"/>
              </w:rPr>
              <w:t>（3）以上证明文件均提供扫描件，原件备查。未按要求提供有效证明材料或提供不清晰导致评委无法识别的不计得分。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keepNext w:val="0"/>
              <w:keepLines w:val="0"/>
              <w:pageBreakBefore w:val="0"/>
              <w:kinsoku/>
              <w:wordWrap/>
              <w:overflowPunct/>
              <w:topLinePunct w:val="0"/>
              <w:bidi w:val="0"/>
              <w:adjustRightInd w:val="0"/>
              <w:spacing w:line="360" w:lineRule="auto"/>
              <w:jc w:val="center"/>
              <w:rPr>
                <w:rFonts w:ascii="宋体" w:hAnsi="宋体" w:cs="宋体"/>
                <w:b/>
                <w:bCs/>
                <w:snapToGrid w:val="0"/>
                <w:kern w:val="0"/>
                <w:szCs w:val="21"/>
              </w:rPr>
            </w:pPr>
          </w:p>
        </w:tc>
        <w:tc>
          <w:tcPr>
            <w:tcW w:w="1095" w:type="dxa"/>
            <w:vAlign w:val="center"/>
          </w:tcPr>
          <w:p>
            <w:pPr>
              <w:keepNext w:val="0"/>
              <w:keepLines w:val="0"/>
              <w:pageBreakBefore w:val="0"/>
              <w:widowControl/>
              <w:kinsoku/>
              <w:wordWrap/>
              <w:overflowPunct/>
              <w:topLinePunct w:val="0"/>
              <w:bidi w:val="0"/>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诚信情况</w:t>
            </w:r>
          </w:p>
        </w:tc>
        <w:tc>
          <w:tcPr>
            <w:tcW w:w="720" w:type="dxa"/>
            <w:tcBorders>
              <w:right w:val="single" w:color="auto" w:sz="4" w:space="0"/>
            </w:tcBorders>
            <w:vAlign w:val="center"/>
          </w:tcPr>
          <w:p>
            <w:pPr>
              <w:keepNext w:val="0"/>
              <w:keepLines w:val="0"/>
              <w:pageBreakBefore w:val="0"/>
              <w:widowControl/>
              <w:kinsoku/>
              <w:wordWrap/>
              <w:overflowPunct/>
              <w:topLinePunct w:val="0"/>
              <w:bidi w:val="0"/>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5</w:t>
            </w:r>
          </w:p>
        </w:tc>
        <w:tc>
          <w:tcPr>
            <w:tcW w:w="6796" w:type="dxa"/>
            <w:tcBorders>
              <w:left w:val="single" w:color="auto" w:sz="4" w:space="0"/>
              <w:right w:val="double" w:color="auto" w:sz="4" w:space="0"/>
            </w:tcBorders>
            <w:vAlign w:val="center"/>
          </w:tcPr>
          <w:p>
            <w:pPr>
              <w:keepNext w:val="0"/>
              <w:keepLines w:val="0"/>
              <w:pageBreakBefore w:val="0"/>
              <w:kinsoku/>
              <w:wordWrap/>
              <w:overflowPunct/>
              <w:topLinePunct w:val="0"/>
              <w:bidi w:val="0"/>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keepNext w:val="0"/>
              <w:keepLines w:val="0"/>
              <w:pageBreakBefore w:val="0"/>
              <w:kinsoku/>
              <w:wordWrap/>
              <w:overflowPunct/>
              <w:topLinePunct w:val="0"/>
              <w:bidi w:val="0"/>
              <w:adjustRightInd w:val="0"/>
              <w:spacing w:line="360" w:lineRule="auto"/>
              <w:rPr>
                <w:rFonts w:ascii="宋体" w:hAnsi="宋体" w:cs="宋体"/>
                <w:szCs w:val="21"/>
              </w:rPr>
            </w:pPr>
            <w:r>
              <w:rPr>
                <w:rFonts w:hint="eastAsia" w:ascii="宋体" w:hAnsi="宋体" w:cs="宋体"/>
                <w:szCs w:val="21"/>
              </w:rPr>
              <w:t xml:space="preserve">投标人参与政府采购活动在诚信管理中受过主管部门通报处理且仍在实施期限内的本项不得分，否则得5分。 </w:t>
            </w:r>
          </w:p>
          <w:p>
            <w:pPr>
              <w:keepNext w:val="0"/>
              <w:keepLines w:val="0"/>
              <w:pageBreakBefore w:val="0"/>
              <w:kinsoku/>
              <w:wordWrap/>
              <w:overflowPunct/>
              <w:topLinePunct w:val="0"/>
              <w:bidi w:val="0"/>
              <w:adjustRightInd w:val="0"/>
              <w:spacing w:line="360" w:lineRule="auto"/>
              <w:rPr>
                <w:rFonts w:ascii="宋体" w:hAnsi="宋体" w:cs="宋体"/>
                <w:szCs w:val="21"/>
              </w:rPr>
            </w:pPr>
            <w:r>
              <w:rPr>
                <w:rFonts w:hint="eastAsia" w:ascii="宋体" w:hAnsi="宋体" w:cs="宋体"/>
                <w:b/>
                <w:bCs/>
                <w:kern w:val="0"/>
                <w:szCs w:val="21"/>
              </w:rPr>
              <w:t>评审依据：</w:t>
            </w:r>
          </w:p>
          <w:p>
            <w:pPr>
              <w:keepNext w:val="0"/>
              <w:keepLines w:val="0"/>
              <w:pageBreakBefore w:val="0"/>
              <w:kinsoku/>
              <w:wordWrap/>
              <w:overflowPunct/>
              <w:topLinePunct w:val="0"/>
              <w:bidi w:val="0"/>
              <w:adjustRightInd w:val="0"/>
              <w:spacing w:line="360" w:lineRule="auto"/>
              <w:rPr>
                <w:rFonts w:ascii="宋体" w:hAnsi="宋体" w:cs="宋体"/>
                <w:szCs w:val="21"/>
              </w:rPr>
            </w:pPr>
            <w:r>
              <w:rPr>
                <w:rFonts w:hint="eastAsia" w:ascii="宋体" w:hAnsi="宋体" w:cs="宋体"/>
                <w:szCs w:val="21"/>
              </w:rPr>
              <w:t>投标人按采购文件格式如实提供《诚信承诺函》，承诺函格式及内容不得修改，否则不得分。如若响应投标人承诺与实际情况不相符，将按虚假响应报相关主管部门处理。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7" w:type="dxa"/>
            <w:tcBorders>
              <w:left w:val="double" w:color="auto" w:sz="4" w:space="0"/>
              <w:bottom w:val="double" w:color="auto" w:sz="4" w:space="0"/>
            </w:tcBorders>
            <w:vAlign w:val="center"/>
          </w:tcPr>
          <w:p>
            <w:pPr>
              <w:keepNext w:val="0"/>
              <w:keepLines w:val="0"/>
              <w:pageBreakBefore w:val="0"/>
              <w:kinsoku/>
              <w:wordWrap/>
              <w:overflowPunct/>
              <w:topLinePunct w:val="0"/>
              <w:bidi w:val="0"/>
              <w:spacing w:line="360" w:lineRule="auto"/>
              <w:jc w:val="center"/>
              <w:rPr>
                <w:rFonts w:ascii="宋体" w:hAnsi="宋体" w:cs="宋体"/>
                <w:b/>
                <w:snapToGrid w:val="0"/>
                <w:kern w:val="0"/>
                <w:szCs w:val="21"/>
              </w:rPr>
            </w:pPr>
            <w:r>
              <w:rPr>
                <w:rFonts w:hint="eastAsia" w:ascii="宋体" w:hAnsi="宋体" w:cs="宋体"/>
                <w:b/>
                <w:snapToGrid w:val="0"/>
                <w:kern w:val="0"/>
                <w:szCs w:val="21"/>
              </w:rPr>
              <w:t>总得分（N）</w:t>
            </w:r>
          </w:p>
          <w:p>
            <w:pPr>
              <w:keepNext w:val="0"/>
              <w:keepLines w:val="0"/>
              <w:pageBreakBefore w:val="0"/>
              <w:kinsoku/>
              <w:wordWrap/>
              <w:overflowPunct/>
              <w:topLinePunct w:val="0"/>
              <w:bidi w:val="0"/>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（总分100分）</w:t>
            </w:r>
          </w:p>
        </w:tc>
        <w:tc>
          <w:tcPr>
            <w:tcW w:w="1095" w:type="dxa"/>
            <w:tcBorders>
              <w:bottom w:val="doub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ascii="宋体" w:hAnsi="宋体" w:cs="宋体"/>
                <w:b/>
                <w:snapToGrid w:val="0"/>
                <w:kern w:val="0"/>
                <w:szCs w:val="21"/>
              </w:rPr>
            </w:pPr>
          </w:p>
        </w:tc>
        <w:tc>
          <w:tcPr>
            <w:tcW w:w="720" w:type="dxa"/>
            <w:tcBorders>
              <w:bottom w:val="doub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100</w:t>
            </w:r>
          </w:p>
        </w:tc>
        <w:tc>
          <w:tcPr>
            <w:tcW w:w="6796" w:type="dxa"/>
            <w:tcBorders>
              <w:bottom w:val="double" w:color="auto" w:sz="4" w:space="0"/>
              <w:right w:val="double" w:color="auto" w:sz="4" w:space="0"/>
            </w:tcBorders>
            <w:vAlign w:val="center"/>
          </w:tcPr>
          <w:p>
            <w:pPr>
              <w:keepNext w:val="0"/>
              <w:keepLines w:val="0"/>
              <w:pageBreakBefore w:val="0"/>
              <w:kinsoku/>
              <w:wordWrap/>
              <w:overflowPunct/>
              <w:topLinePunct w:val="0"/>
              <w:bidi w:val="0"/>
              <w:spacing w:line="360" w:lineRule="auto"/>
              <w:jc w:val="center"/>
              <w:rPr>
                <w:rFonts w:ascii="宋体" w:hAnsi="宋体" w:cs="宋体"/>
                <w:snapToGrid w:val="0"/>
                <w:kern w:val="0"/>
                <w:szCs w:val="21"/>
              </w:rPr>
            </w:pPr>
            <w:r>
              <w:rPr>
                <w:rFonts w:hint="eastAsia" w:ascii="宋体" w:hAnsi="宋体" w:cs="宋体"/>
                <w:snapToGrid w:val="0"/>
                <w:kern w:val="0"/>
                <w:szCs w:val="21"/>
              </w:rPr>
              <w:t>N=J+G+S</w:t>
            </w:r>
          </w:p>
        </w:tc>
      </w:tr>
    </w:tbl>
    <w:p>
      <w:pPr>
        <w:widowControl/>
        <w:jc w:val="left"/>
        <w:rPr>
          <w:rFonts w:cs="仿宋" w:asciiTheme="minorEastAsia" w:hAnsiTheme="minorEastAsia" w:eastAsiaTheme="minorEastAsia"/>
          <w:b/>
          <w:color w:val="FF0000"/>
          <w:sz w:val="28"/>
          <w:szCs w:val="28"/>
        </w:rPr>
      </w:pPr>
    </w:p>
    <w:p>
      <w:pPr>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br w:type="page"/>
      </w:r>
    </w:p>
    <w:p>
      <w:pPr>
        <w:widowControl/>
        <w:jc w:val="left"/>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t>注：</w:t>
      </w:r>
    </w:p>
    <w:p>
      <w:pPr>
        <w:widowControl/>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cs="仿宋" w:asciiTheme="minorEastAsia" w:hAnsiTheme="minorEastAsia" w:eastAsiaTheme="minorEastAsia"/>
          <w:b/>
          <w:szCs w:val="21"/>
        </w:rPr>
        <w:t>投标报价扣除</w:t>
      </w:r>
      <w:r>
        <w:rPr>
          <w:rFonts w:hint="eastAsia" w:cs="仿宋" w:asciiTheme="minorEastAsia" w:hAnsiTheme="minorEastAsia" w:eastAsiaTheme="minorEastAsia"/>
          <w:b/>
          <w:szCs w:val="21"/>
          <w:u w:val="single"/>
        </w:rPr>
        <w:t xml:space="preserve"> 10 </w:t>
      </w:r>
      <w:r>
        <w:rPr>
          <w:rFonts w:hint="eastAsia" w:cs="仿宋" w:asciiTheme="minorEastAsia" w:hAnsiTheme="minorEastAsia" w:eastAsiaTheme="minorEastAsia"/>
          <w:b/>
          <w:szCs w:val="21"/>
        </w:rPr>
        <w:t>%（请在10%-20%范围内选择）后参与评审</w:t>
      </w:r>
      <w:r>
        <w:rPr>
          <w:rFonts w:hint="eastAsia" w:cs="仿宋" w:asciiTheme="minorEastAsia" w:hAnsiTheme="minorEastAsia" w:eastAsiaTheme="minorEastAsia"/>
          <w:szCs w:val="21"/>
        </w:rPr>
        <w:t>。对于同时属于小微企业、监狱企业或残疾人福利性单位的，不重复进行投标报价扣除。</w:t>
      </w:r>
    </w:p>
    <w:p>
      <w:pPr>
        <w:spacing w:line="360" w:lineRule="auto"/>
        <w:ind w:firstLine="373" w:firstLineChars="177"/>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本项目所属行业为</w:t>
      </w:r>
      <w:r>
        <w:rPr>
          <w:rFonts w:hint="eastAsia" w:cs="仿宋" w:asciiTheme="minorEastAsia" w:hAnsiTheme="minorEastAsia" w:eastAsiaTheme="minorEastAsia"/>
          <w:b/>
          <w:bCs/>
          <w:szCs w:val="21"/>
          <w:u w:val="single"/>
        </w:rPr>
        <w:t xml:space="preserve"> </w:t>
      </w:r>
      <w:r>
        <w:rPr>
          <w:rFonts w:hint="eastAsia" w:cs="仿宋" w:asciiTheme="minorEastAsia" w:hAnsiTheme="minorEastAsia" w:eastAsiaTheme="minorEastAsia"/>
          <w:b/>
          <w:bCs/>
          <w:szCs w:val="21"/>
          <w:highlight w:val="yellow"/>
          <w:u w:val="single"/>
        </w:rPr>
        <w:t xml:space="preserve"> 其他未列明行业 </w:t>
      </w:r>
      <w:r>
        <w:rPr>
          <w:rFonts w:hint="eastAsia" w:cs="仿宋" w:asciiTheme="minorEastAsia" w:hAnsiTheme="minorEastAsia" w:eastAsiaTheme="minorEastAsia"/>
          <w:b/>
          <w:bCs/>
          <w:szCs w:val="21"/>
          <w:u w:val="single"/>
        </w:rPr>
        <w:t xml:space="preserve">  </w:t>
      </w:r>
      <w:r>
        <w:rPr>
          <w:rFonts w:hint="eastAsia" w:cs="仿宋" w:asciiTheme="minorEastAsia" w:hAnsiTheme="minorEastAsia" w:eastAsiaTheme="minorEastAsia"/>
          <w:b/>
          <w:bCs/>
          <w:szCs w:val="21"/>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w:t>
      </w:r>
      <w:r>
        <w:rPr>
          <w:rFonts w:hint="eastAsia" w:cs="仿宋" w:asciiTheme="minorEastAsia" w:hAnsiTheme="minorEastAsia" w:eastAsiaTheme="minorEastAsia"/>
          <w:b/>
          <w:szCs w:val="21"/>
        </w:rPr>
        <w:t>可给予联合体__/__% （请在4%-6%范围内选择）</w:t>
      </w:r>
      <w:r>
        <w:rPr>
          <w:rFonts w:hint="eastAsia" w:cs="仿宋" w:asciiTheme="minorEastAsia" w:hAnsiTheme="minorEastAsia" w:eastAsiaTheme="minorEastAsia"/>
          <w:szCs w:val="21"/>
        </w:rPr>
        <w:t>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征集文件第三章）；监狱企业或者代理提供监狱企业货物的投标供应商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b/>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cs="仿宋" w:asciiTheme="minorEastAsia" w:hAnsiTheme="minorEastAsia" w:eastAsiaTheme="minorEastAsia"/>
          <w:b/>
          <w:szCs w:val="21"/>
        </w:rPr>
        <w:t>对符合条件的获证产品（强制采购产品除外），根据该投标产品报价给予</w:t>
      </w:r>
      <w:r>
        <w:rPr>
          <w:rFonts w:hint="eastAsia" w:cs="仿宋" w:asciiTheme="minorEastAsia" w:hAnsiTheme="minorEastAsia" w:eastAsiaTheme="minorEastAsia"/>
          <w:b/>
          <w:szCs w:val="21"/>
          <w:u w:val="single"/>
        </w:rPr>
        <w:t xml:space="preserve"> 1 </w:t>
      </w:r>
      <w:r>
        <w:rPr>
          <w:rFonts w:hint="eastAsia" w:cs="仿宋" w:asciiTheme="minorEastAsia" w:hAnsiTheme="minorEastAsia" w:eastAsiaTheme="minorEastAsia"/>
          <w:b/>
          <w:szCs w:val="21"/>
        </w:rPr>
        <w:t>%的价格扣除，用扣除后的价格参与价格分的评审</w:t>
      </w:r>
      <w:r>
        <w:rPr>
          <w:rFonts w:hint="eastAsia" w:cs="仿宋" w:asciiTheme="minorEastAsia" w:hAnsiTheme="minorEastAsia" w:eastAsiaTheme="minorEastAsia"/>
          <w:szCs w:val="21"/>
        </w:rPr>
        <w:t>（需按投标文件格式部分“列入政府优先采购清单的投标产品一览表”的要求提供证明材料，否则不予价格扣除）。</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17"/>
        <w:ind w:firstLine="0" w:firstLineChars="0"/>
        <w:rPr>
          <w:rFonts w:cs="仿宋" w:asciiTheme="minorEastAsia" w:hAnsiTheme="minorEastAsia" w:eastAsiaTheme="minorEastAsia"/>
          <w:b/>
          <w:snapToGrid w:val="0"/>
          <w:kern w:val="0"/>
          <w:sz w:val="56"/>
          <w:szCs w:val="96"/>
        </w:rPr>
      </w:pPr>
    </w:p>
    <w:p>
      <w:pPr>
        <w:pStyle w:val="17"/>
        <w:ind w:firstLine="562"/>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第二部分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采购项目需求</w:t>
      </w: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征集项目需求</w:t>
      </w:r>
    </w:p>
    <w:p>
      <w:pPr>
        <w:widowControl/>
        <w:jc w:val="left"/>
        <w:rPr>
          <w:rFonts w:ascii="仿宋_GB2312" w:eastAsia="仿宋_GB2312"/>
          <w:b/>
          <w:sz w:val="24"/>
          <w:highlight w:val="yellow"/>
        </w:rPr>
      </w:pPr>
    </w:p>
    <w:p>
      <w:pPr>
        <w:widowControl/>
        <w:jc w:val="left"/>
        <w:rPr>
          <w:rFonts w:ascii="仿宋_GB2312" w:eastAsia="仿宋_GB2312"/>
          <w:b/>
          <w:sz w:val="24"/>
        </w:rPr>
      </w:pPr>
      <w:r>
        <w:rPr>
          <w:rFonts w:hint="eastAsia" w:ascii="仿宋_GB2312" w:eastAsia="仿宋_GB2312"/>
          <w:b/>
          <w:sz w:val="24"/>
          <w:highlight w:val="yellow"/>
        </w:rPr>
        <w:t>注：需求中加注★的条款为不可负偏离条款，任一项未响应或不满足要求的，将导致投标无效。</w:t>
      </w:r>
    </w:p>
    <w:p>
      <w:pPr>
        <w:pStyle w:val="18"/>
      </w:pPr>
    </w:p>
    <w:p>
      <w:pPr>
        <w:widowControl/>
        <w:jc w:val="left"/>
        <w:rPr>
          <w:rFonts w:cs="仿宋" w:asciiTheme="minorEastAsia" w:hAnsiTheme="minorEastAsia" w:eastAsiaTheme="minorEastAsia"/>
        </w:rPr>
      </w:pPr>
      <w:r>
        <w:rPr>
          <w:rFonts w:hint="eastAsia" w:cs="仿宋" w:asciiTheme="minorEastAsia" w:hAnsiTheme="minorEastAsia" w:eastAsiaTheme="minorEastAsia"/>
          <w:b/>
          <w:bCs/>
          <w:sz w:val="28"/>
          <w:szCs w:val="21"/>
        </w:rPr>
        <w:t>一、项目预算</w:t>
      </w:r>
    </w:p>
    <w:tbl>
      <w:tblPr>
        <w:tblStyle w:val="19"/>
        <w:tblW w:w="4997"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2522"/>
        <w:gridCol w:w="1249"/>
        <w:gridCol w:w="2580"/>
        <w:gridCol w:w="11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7" w:hRule="atLeast"/>
          <w:jc w:val="center"/>
        </w:trPr>
        <w:tc>
          <w:tcPr>
            <w:tcW w:w="569"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1480"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733"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1514"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采购控制金额</w:t>
            </w:r>
          </w:p>
        </w:tc>
        <w:tc>
          <w:tcPr>
            <w:tcW w:w="702"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9"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480"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rPr>
              <w:t>市局金稻田路1128号围墙修复重建工程全过程造价咨询</w:t>
            </w:r>
          </w:p>
        </w:tc>
        <w:tc>
          <w:tcPr>
            <w:tcW w:w="733"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1项</w:t>
            </w:r>
          </w:p>
        </w:tc>
        <w:tc>
          <w:tcPr>
            <w:tcW w:w="1514"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人民币32.83万元</w:t>
            </w:r>
          </w:p>
        </w:tc>
        <w:tc>
          <w:tcPr>
            <w:tcW w:w="702"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bl>
    <w:p>
      <w:pPr>
        <w:widowControl/>
        <w:spacing w:beforeLines="50"/>
        <w:jc w:val="left"/>
        <w:rPr>
          <w:rFonts w:cs="仿宋" w:asciiTheme="minorEastAsia" w:hAnsiTheme="minorEastAsia" w:eastAsiaTheme="minorEastAsia"/>
          <w:b/>
          <w:bCs/>
          <w:color w:val="FF0000"/>
          <w:sz w:val="24"/>
          <w:szCs w:val="21"/>
        </w:rPr>
      </w:pPr>
      <w:r>
        <w:rPr>
          <w:rFonts w:hint="eastAsia" w:cs="仿宋" w:asciiTheme="minorEastAsia" w:hAnsiTheme="minorEastAsia" w:eastAsiaTheme="minorEastAsia"/>
          <w:b/>
          <w:bCs/>
          <w:color w:val="FF0000"/>
          <w:sz w:val="24"/>
          <w:szCs w:val="21"/>
        </w:rPr>
        <w:t>注：</w:t>
      </w:r>
      <w:r>
        <w:rPr>
          <w:rFonts w:hint="eastAsia" w:cs="仿宋" w:asciiTheme="minorEastAsia" w:hAnsiTheme="minorEastAsia" w:eastAsiaTheme="minorEastAsia"/>
          <w:b/>
          <w:bCs/>
          <w:sz w:val="24"/>
          <w:szCs w:val="21"/>
          <w:highlight w:val="yellow"/>
        </w:rPr>
        <w:t>★</w:t>
      </w:r>
      <w:r>
        <w:rPr>
          <w:rFonts w:hint="eastAsia" w:cs="仿宋" w:asciiTheme="minorEastAsia" w:hAnsiTheme="minorEastAsia" w:eastAsiaTheme="minorEastAsia"/>
          <w:bCs/>
          <w:sz w:val="24"/>
          <w:szCs w:val="21"/>
          <w:highlight w:val="yellow"/>
        </w:rPr>
        <w:t>投标供应商的投标报价超过采购控制金额的将导致投标无效。</w:t>
      </w:r>
    </w:p>
    <w:p>
      <w:pPr>
        <w:widowControl/>
        <w:jc w:val="left"/>
        <w:rPr>
          <w:rFonts w:ascii="仿宋" w:hAnsi="仿宋" w:eastAsia="仿宋"/>
          <w:b/>
          <w:bCs/>
          <w:sz w:val="28"/>
          <w:szCs w:val="21"/>
        </w:rPr>
      </w:pPr>
    </w:p>
    <w:p>
      <w:pPr>
        <w:widowControl/>
        <w:spacing w:line="300" w:lineRule="auto"/>
        <w:jc w:val="left"/>
        <w:rPr>
          <w:rFonts w:ascii="仿宋" w:hAnsi="仿宋" w:eastAsia="仿宋"/>
          <w:b/>
          <w:bCs/>
          <w:sz w:val="28"/>
          <w:szCs w:val="21"/>
        </w:rPr>
      </w:pPr>
      <w:r>
        <w:rPr>
          <w:rFonts w:hint="eastAsia" w:ascii="仿宋" w:hAnsi="仿宋" w:eastAsia="仿宋"/>
          <w:b/>
          <w:bCs/>
          <w:sz w:val="28"/>
          <w:szCs w:val="21"/>
        </w:rPr>
        <w:t>二、项目概况</w:t>
      </w:r>
    </w:p>
    <w:p>
      <w:pPr>
        <w:widowControl/>
        <w:spacing w:line="300" w:lineRule="auto"/>
        <w:ind w:firstLine="480" w:firstLineChars="200"/>
        <w:jc w:val="left"/>
        <w:rPr>
          <w:rFonts w:ascii="仿宋" w:hAnsi="仿宋" w:eastAsia="仿宋"/>
          <w:sz w:val="24"/>
          <w:szCs w:val="24"/>
        </w:rPr>
      </w:pPr>
      <w:r>
        <w:rPr>
          <w:rFonts w:hint="eastAsia" w:ascii="仿宋" w:hAnsi="仿宋" w:eastAsia="仿宋"/>
          <w:sz w:val="24"/>
          <w:szCs w:val="24"/>
        </w:rPr>
        <w:t>本项目用于对市局金稻田路1128号围墙修复重建工程全过程造价咨询服务，包括但不限于工程概算编制或审核、预算（含标底）编制、结算</w:t>
      </w:r>
      <w:r>
        <w:rPr>
          <w:rFonts w:hint="eastAsia" w:ascii="仿宋" w:hAnsi="仿宋" w:eastAsia="仿宋"/>
          <w:sz w:val="24"/>
          <w:szCs w:val="24"/>
          <w:lang w:eastAsia="zh-CN"/>
        </w:rPr>
        <w:t>（</w:t>
      </w:r>
      <w:r>
        <w:rPr>
          <w:rFonts w:hint="eastAsia" w:ascii="仿宋" w:hAnsi="仿宋" w:eastAsia="仿宋"/>
          <w:sz w:val="24"/>
          <w:szCs w:val="24"/>
          <w:lang w:val="en-US" w:eastAsia="zh-CN"/>
        </w:rPr>
        <w:t>决算</w:t>
      </w:r>
      <w:r>
        <w:rPr>
          <w:rFonts w:hint="eastAsia" w:ascii="仿宋" w:hAnsi="仿宋" w:eastAsia="仿宋"/>
          <w:sz w:val="24"/>
          <w:szCs w:val="24"/>
          <w:lang w:eastAsia="zh-CN"/>
        </w:rPr>
        <w:t>）</w:t>
      </w:r>
      <w:r>
        <w:rPr>
          <w:rFonts w:hint="eastAsia" w:ascii="仿宋" w:hAnsi="仿宋" w:eastAsia="仿宋"/>
          <w:sz w:val="24"/>
          <w:szCs w:val="24"/>
        </w:rPr>
        <w:t>审核及工程施工过程中的其他造价咨询服务等。</w:t>
      </w:r>
    </w:p>
    <w:p>
      <w:pPr>
        <w:widowControl/>
        <w:spacing w:line="300" w:lineRule="auto"/>
        <w:jc w:val="left"/>
        <w:rPr>
          <w:rFonts w:ascii="仿宋" w:hAnsi="仿宋" w:eastAsia="仿宋"/>
          <w:b/>
          <w:bCs/>
          <w:sz w:val="28"/>
          <w:szCs w:val="21"/>
        </w:rPr>
      </w:pPr>
    </w:p>
    <w:p>
      <w:pPr>
        <w:widowControl/>
        <w:spacing w:line="300" w:lineRule="auto"/>
        <w:jc w:val="left"/>
        <w:rPr>
          <w:rFonts w:ascii="仿宋" w:hAnsi="仿宋" w:eastAsia="仿宋"/>
          <w:b/>
          <w:bCs/>
          <w:sz w:val="28"/>
          <w:szCs w:val="21"/>
        </w:rPr>
      </w:pPr>
      <w:r>
        <w:rPr>
          <w:rFonts w:hint="eastAsia" w:ascii="仿宋" w:hAnsi="仿宋" w:eastAsia="仿宋"/>
          <w:b/>
          <w:bCs/>
          <w:sz w:val="28"/>
          <w:szCs w:val="21"/>
        </w:rPr>
        <w:t>三、服务需求</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（一）造价文件的编制原则和依据</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1、初步设计文件及图纸</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2、施工招标文件；中标单位投标文件</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3、施工项目</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4、施工图（或竣工图）及有关设计文件</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5、施工记录；工程变更及签证</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6、材料及设备价格参考相应时期的《深圳建设工程价格信息》及市场价格</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7、其它</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8、造价文件的编制依据按造价咨询不同阶段的要求进行调整，以具体项目委托书要求为准</w:t>
      </w:r>
    </w:p>
    <w:p>
      <w:pPr>
        <w:widowControl/>
        <w:spacing w:line="360" w:lineRule="auto"/>
        <w:jc w:val="left"/>
        <w:rPr>
          <w:rFonts w:ascii="仿宋" w:hAnsi="仿宋" w:eastAsia="仿宋" w:cs="仿宋"/>
          <w:sz w:val="24"/>
          <w:szCs w:val="24"/>
        </w:rPr>
      </w:pP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（二）项目服务工作内容</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根据造价咨询阶段，分为以下内容：</w:t>
      </w:r>
    </w:p>
    <w:p>
      <w:pPr>
        <w:widowControl/>
        <w:spacing w:line="360" w:lineRule="auto"/>
        <w:jc w:val="left"/>
        <w:rPr>
          <w:rFonts w:ascii="仿宋" w:hAnsi="仿宋" w:eastAsia="仿宋" w:cs="仿宋"/>
          <w:b/>
          <w:sz w:val="24"/>
          <w:szCs w:val="24"/>
        </w:rPr>
      </w:pPr>
      <w:r>
        <w:rPr>
          <w:rFonts w:hint="eastAsia" w:ascii="仿宋" w:hAnsi="仿宋" w:eastAsia="仿宋" w:cs="仿宋"/>
          <w:b/>
          <w:bCs/>
          <w:sz w:val="24"/>
          <w:szCs w:val="24"/>
        </w:rPr>
        <w:t>1、概算</w:t>
      </w:r>
      <w:r>
        <w:rPr>
          <w:rFonts w:hint="eastAsia" w:ascii="仿宋" w:hAnsi="仿宋" w:eastAsia="仿宋" w:cs="仿宋"/>
          <w:b/>
          <w:sz w:val="24"/>
          <w:szCs w:val="24"/>
        </w:rPr>
        <w:t>造价咨询工作内容</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编制或审核概算、协助完成概算评审工作（根据具体项目，可能没有此项内容）；进行报送概算和批复概算的对比分析，书面提出批复概算中未包含的工程内容，以及下一步造价控制中应注意的事项。</w:t>
      </w:r>
    </w:p>
    <w:p>
      <w:pPr>
        <w:widowControl/>
        <w:spacing w:line="360" w:lineRule="auto"/>
        <w:jc w:val="left"/>
        <w:rPr>
          <w:rFonts w:ascii="仿宋" w:hAnsi="仿宋" w:eastAsia="仿宋" w:cs="仿宋"/>
          <w:b/>
          <w:sz w:val="24"/>
          <w:szCs w:val="24"/>
        </w:rPr>
      </w:pPr>
      <w:r>
        <w:rPr>
          <w:rFonts w:hint="eastAsia" w:ascii="仿宋" w:hAnsi="仿宋" w:eastAsia="仿宋" w:cs="仿宋"/>
          <w:b/>
          <w:bCs/>
          <w:sz w:val="24"/>
          <w:szCs w:val="24"/>
        </w:rPr>
        <w:t>2、标底</w:t>
      </w:r>
      <w:r>
        <w:rPr>
          <w:rFonts w:hint="eastAsia" w:ascii="仿宋" w:hAnsi="仿宋" w:eastAsia="仿宋" w:cs="仿宋"/>
          <w:b/>
          <w:sz w:val="24"/>
          <w:szCs w:val="24"/>
        </w:rPr>
        <w:t>、预算造价咨询工作内容</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1）编制或审核工程预算。</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2）协助招标人审核招标文件和设计图纸。</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3）编制工程量清单及标底，计算标准工期，并提供综合单价分析表、措施费项目分析表、主要材料设备的数量、价格（包括暂定价）清单及定价依据；按采购单位要求到现场踏勘。</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4）协助完成标底、预算审计工作，进行报送标底、预算和批复概算、审定标底、预算的对比分析，书面说明报送标底、预算和批复概算、审定标底、预算的差额原因，以及下一步造价控制中应注意的事项。</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5）协助招标人进行招标答疑。</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6）复核中标候选人的商务标，并提出详细的造价分析报告；核对中标单位投标文件商务标电子版并打印纸质文件。</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7）协助招标人签订项目合同。</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8）施工过程中，参与工程量计量及工程进度款支付的复核工作。</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9）参与暂定价定价工作，及时按招标人要求进行工程变更及现场签证的计量、计价复核工作，负责无信息价材料、产品及设备的市场询价定价工作，确保询价定价依据全面充分。</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10）按需要与招标人一起到工地现场解决有关造价事宜，主动、及时地发现并向招标人汇报任何可能影响成本的事项，提出相关改善建议。</w:t>
      </w:r>
    </w:p>
    <w:p>
      <w:pPr>
        <w:widowControl/>
        <w:spacing w:line="360" w:lineRule="auto"/>
        <w:jc w:val="left"/>
        <w:rPr>
          <w:rFonts w:ascii="仿宋" w:hAnsi="仿宋" w:eastAsia="仿宋" w:cs="仿宋"/>
          <w:sz w:val="24"/>
          <w:szCs w:val="24"/>
        </w:rPr>
      </w:pPr>
      <w:r>
        <w:rPr>
          <w:rFonts w:hint="eastAsia" w:ascii="仿宋" w:hAnsi="仿宋" w:eastAsia="仿宋" w:cs="仿宋"/>
          <w:b/>
          <w:bCs/>
          <w:sz w:val="24"/>
          <w:szCs w:val="24"/>
        </w:rPr>
        <w:t>3、结算</w:t>
      </w:r>
      <w:r>
        <w:rPr>
          <w:rFonts w:hint="eastAsia" w:ascii="仿宋" w:hAnsi="仿宋" w:eastAsia="仿宋" w:cs="仿宋"/>
          <w:b/>
          <w:sz w:val="24"/>
          <w:szCs w:val="24"/>
        </w:rPr>
        <w:t>造价咨询工作内容</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审核工程竣工结算，完成结算审计及协助工程财务审计工作；进行报送结算和批复概算、审定标底、审定结算的对比分析，书面说明报送结算和批复概算、审定标底、审定结算的差额原因，以及今后类似工程项目造价控制中应注意的事项。</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2）结算完成后，协助招标人进行经济技术指标分析。</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3）配合招标人对设计、监理等单位进行履约评价，由于设计或监理单位的原因造成造价咨询工作量增加的，须及时提交书面的绩效意见。</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（三）造价文件的质量要求</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1、工程量清单项目编制齐全，分类清楚，不得漏项，标底价格合理；编制说明需详细。</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2、工程量计算准确，准确率在95%以上（包括95%）。</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3、预算或标底造价、结算造价与审计局审定价相差应在5%以内（不含5%）。</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4、造价文件必须文字清晰整齐。必须有相关专业造价工程师盖注册章、公司负责人签字盖章，并盖公司章。</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5、项目实际结算总造价应控制在批复概算内。</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6、计价文件格式应符合深圳市相关计价要求，其中工程量清单格式应满足深圳市建设工程电子标书编制的要求。</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（四）应提交的资料</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根据造价咨询阶段及内容提供相应的成果资料：</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1、工程概算书四份。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2、概算分析报告书四份。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3、工程预算书四份。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4、工程量计算底稿两份。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5、工程量清单三份。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6、标底造价书四份。标底造价书应附项目综合单价分析表、措施项目分析表、主要材料数量及价格（参考价格）清单及定价依据、主要设备数量及价格（参考价格）清单及定价依据、标准工期计算书。</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7、标底分析报告书四份。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8、中标单位商务标复核分析报告四份。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9、暂定价及无信息价材料设备询价定价报告四份。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10、工程变更及现场签证计量、计价报告四份。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11、工程结算书及计算书四份。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12、结算分析报告书四份。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13、经济技术指标分析报告四份。</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以上文件均应提供电子光盘两张。</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（五）其他要求</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中标单位须按国家工程造价的相关规范和采购单位工程结算管理流程实施工程结算工作。按照相关规定及本招标文件质量要求，及时、准确地编制或审核造价文件；向采购单位提供专业的、客观的造价咨询意见。</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委托的造价业务有保密要求时，必须严格保密，不得向任何无关人员透露有关内容及资料。中标单位应对提交和接收资料的真实性和完整性负责，所有资料均以采购单位委托人提交和接收为准，工作完成后，中标单位应原样退还采购单位提供的有关资料。</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3、协助采购单位编制、审核招标文件。</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4、协助采购单位进行招标答疑。</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5、根据需要派人参加重大变更相关会议，进行施工现场计量工作，及时办理变更及签证造价审核工作。</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6、按审计局等上级主管部门或造价管理站有关要求整理汇总工程概算、预算、标底、结算资料，配合审计局等上级主管部门或造价管理站审核工程概算、预算、标底、竣工结算及其它相关事宜。</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7、项目拟派人员不得随意更换，如需更换，须提前征得采购单位同意，否则，将记入不良履约行为记录；采购单位有权要求更换不合格的承作人员。</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8、项目负责人必须是注册造价工程师，且必须做到：完全了解该工程全过程造价控制情况；直接与采购单位联系；按时参加工程例会，不得随意缺席。</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9、工程概算、预算及结算的编制（含暂定价、工程变更等）和审核前，应从造价咨询角度对采购单位提交的图纸等相关资料进行全面会审复核并在1～3天提出书面的复核意见。同时根据项目不同情况须针对性地组织安排对现场进行核实了解。</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10、若采购单位连续三次通知分派任务，中标单位均未参加，采购单位将有权拒绝其参加其他任何项目。</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11、中标单位若在工作中出现重大错误，采购单位将有权收回该项目并委托他人完成。</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12、中标单位参与本项目的工作人员若与本项目承包单位的员工有亲属关系的，必须主动提出回避，若被采购单位发现，将记入不良履约行为记录。</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13、中标单位应自行准备造价审核的办公场所、用品、设备、软件及国家、部委、省市颁布的有关定额及工程造价规定。</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14、未经采购单位书面同意，中标单位不得部分或全部转让其应履行的项目义务。</w:t>
      </w:r>
    </w:p>
    <w:p>
      <w:pPr>
        <w:widowControl/>
        <w:spacing w:line="360" w:lineRule="auto"/>
        <w:jc w:val="left"/>
        <w:rPr>
          <w:rFonts w:hint="default" w:ascii="仿宋" w:hAnsi="仿宋" w:eastAsia="仿宋" w:cs="仿宋"/>
          <w:b/>
          <w:sz w:val="24"/>
          <w:szCs w:val="24"/>
          <w:lang w:val="en-US" w:eastAsia="zh-CN"/>
        </w:rPr>
      </w:pPr>
      <w:r>
        <w:rPr>
          <w:rFonts w:hint="eastAsia" w:ascii="仿宋" w:hAnsi="仿宋" w:eastAsia="仿宋" w:cs="仿宋"/>
          <w:b w:val="0"/>
          <w:bCs/>
          <w:sz w:val="24"/>
          <w:szCs w:val="24"/>
          <w:lang w:val="en-US" w:eastAsia="zh-CN"/>
        </w:rPr>
        <w:t>15、采购人提供完整的结算、决算资料后，投标人需在1个月内出具审核报告，超出1天按合同额 0.8%扣取罚金。</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（六）项目服务人员要求</w:t>
      </w:r>
    </w:p>
    <w:p>
      <w:pPr>
        <w:spacing w:line="360" w:lineRule="auto"/>
        <w:jc w:val="left"/>
        <w:rPr>
          <w:rFonts w:ascii="仿宋" w:hAnsi="仿宋" w:eastAsia="仿宋" w:cs="仿宋"/>
          <w:sz w:val="24"/>
          <w:szCs w:val="24"/>
        </w:rPr>
      </w:pPr>
      <w:r>
        <w:rPr>
          <w:rFonts w:hint="eastAsia" w:ascii="仿宋" w:hAnsi="仿宋" w:eastAsia="仿宋" w:cs="仿宋"/>
          <w:sz w:val="24"/>
          <w:szCs w:val="24"/>
        </w:rPr>
        <w:t>1、中标单位须成立项目小组，成员不少于7人，包括1名项目经理、6名工作人员，配合完成采购范围内的工程结算任务及采购单位安排的其他任务，包括信息化建设、运维及外场设备安装、土建工程、水电工程、光纤通讯等。</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2、承诺并根据工期要求等实际情况增派咨询服务人员。</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3、办公室由采购单位提供，办公设备及用品中标单位自理。</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4、中标单位通过自有或第三方系统平台，对采购单位信息化项目进行全过程造价管理。</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5、中标单位应严格遵守公安机关计算机保密技术防范系统管理有关规定，包括但不限于：一是严禁涉密信息外泄；二是杜绝违规使用“两用U盘”、“一机两用”等情况。</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（七）违约责任</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1、如采购单位未能按约定时间提供图纸、相关资料，则中标单位提交造价文件的时间相应顺延，不予经济补偿。</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2、中标单位出具的工程量清单中造价所占比例达1%以上的项目，每漏一项，罚款5000元。</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3、中标单位预算造价、标底造价或结算造价与审计局审定价偏差超过5%，按超过部分造价的</w:t>
      </w:r>
      <w:r>
        <w:rPr>
          <w:rFonts w:hint="eastAsia" w:ascii="仿宋" w:hAnsi="仿宋" w:eastAsia="仿宋" w:cs="仿宋"/>
          <w:sz w:val="24"/>
          <w:szCs w:val="24"/>
          <w:u w:val="single"/>
        </w:rPr>
        <w:t>10</w:t>
      </w:r>
      <w:r>
        <w:rPr>
          <w:rFonts w:hint="eastAsia" w:ascii="仿宋" w:hAnsi="仿宋" w:eastAsia="仿宋" w:cs="仿宋"/>
          <w:sz w:val="24"/>
          <w:szCs w:val="24"/>
        </w:rPr>
        <w:t>‰罚款。</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4、中标单位由于自身原因未按约定时间提交造价文件，每延误一天，罚款</w:t>
      </w:r>
      <w:r>
        <w:rPr>
          <w:rFonts w:hint="eastAsia" w:ascii="仿宋" w:hAnsi="仿宋" w:eastAsia="仿宋" w:cs="仿宋"/>
          <w:sz w:val="24"/>
          <w:szCs w:val="24"/>
          <w:u w:val="single"/>
        </w:rPr>
        <w:t>1000</w:t>
      </w:r>
      <w:r>
        <w:rPr>
          <w:rFonts w:hint="eastAsia" w:ascii="仿宋" w:hAnsi="仿宋" w:eastAsia="仿宋" w:cs="仿宋"/>
          <w:sz w:val="24"/>
          <w:szCs w:val="24"/>
        </w:rPr>
        <w:t>元。</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5、中标单位违反公安机关保密管理规定的，处</w:t>
      </w:r>
      <w:r>
        <w:rPr>
          <w:rFonts w:hint="eastAsia" w:ascii="仿宋" w:hAnsi="仿宋" w:eastAsia="仿宋" w:cs="仿宋"/>
          <w:sz w:val="24"/>
          <w:szCs w:val="24"/>
          <w:u w:val="single"/>
        </w:rPr>
        <w:t>10000</w:t>
      </w:r>
      <w:r>
        <w:rPr>
          <w:rFonts w:hint="eastAsia" w:ascii="仿宋" w:hAnsi="仿宋" w:eastAsia="仿宋" w:cs="仿宋"/>
          <w:sz w:val="24"/>
          <w:szCs w:val="24"/>
        </w:rPr>
        <w:t>元罚款；造成影响的，追究相关法律责任。</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6、中标单位未经采购单位同意更换项目负责人或项目组成员，处以</w:t>
      </w:r>
      <w:r>
        <w:rPr>
          <w:rFonts w:hint="eastAsia" w:ascii="仿宋" w:hAnsi="仿宋" w:eastAsia="仿宋" w:cs="仿宋"/>
          <w:sz w:val="24"/>
          <w:szCs w:val="24"/>
          <w:u w:val="single"/>
        </w:rPr>
        <w:t>2000</w:t>
      </w:r>
      <w:r>
        <w:rPr>
          <w:rFonts w:hint="eastAsia" w:ascii="仿宋" w:hAnsi="仿宋" w:eastAsia="仿宋" w:cs="仿宋"/>
          <w:sz w:val="24"/>
          <w:szCs w:val="24"/>
        </w:rPr>
        <w:t>元/人/次罚款。</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7、若中标单位或其人员违背职业道德或与第三人串通弄虚作假，骗取国家建设资金的，一经查出，除追回全部咨询费用外，中标单位或其人员应承担相应的法律责任。</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 xml:space="preserve">8、中标单位提供的造价审核资料有恶意错误，造成采购单位多支多付时,中标单位应按本项目造价咨询费的两倍向采购单位支付违约金，并承担由此给采购单位造成的一切损失。  </w:t>
      </w:r>
    </w:p>
    <w:p>
      <w:pPr>
        <w:rPr>
          <w:rFonts w:ascii="仿宋" w:hAnsi="仿宋" w:eastAsia="仿宋"/>
          <w:b/>
          <w:bCs/>
          <w:sz w:val="28"/>
          <w:szCs w:val="21"/>
        </w:rPr>
      </w:pPr>
    </w:p>
    <w:p>
      <w:pPr>
        <w:spacing w:line="300" w:lineRule="auto"/>
        <w:jc w:val="left"/>
        <w:rPr>
          <w:rFonts w:ascii="仿宋" w:hAnsi="仿宋" w:eastAsia="仿宋"/>
          <w:b/>
          <w:bCs/>
          <w:sz w:val="28"/>
          <w:szCs w:val="21"/>
        </w:rPr>
      </w:pPr>
      <w:r>
        <w:rPr>
          <w:rFonts w:hint="eastAsia" w:ascii="仿宋" w:hAnsi="仿宋" w:eastAsia="仿宋"/>
          <w:b/>
          <w:bCs/>
          <w:sz w:val="28"/>
          <w:szCs w:val="21"/>
        </w:rPr>
        <w:t>四、商务需求</w:t>
      </w:r>
    </w:p>
    <w:p>
      <w:pPr>
        <w:spacing w:line="360" w:lineRule="auto"/>
        <w:jc w:val="left"/>
        <w:rPr>
          <w:rFonts w:ascii="仿宋" w:hAnsi="仿宋" w:eastAsia="仿宋" w:cs="仿宋"/>
          <w:sz w:val="24"/>
          <w:szCs w:val="24"/>
        </w:rPr>
      </w:pPr>
      <w:r>
        <w:rPr>
          <w:rFonts w:hint="eastAsia" w:ascii="仿宋" w:hAnsi="仿宋" w:eastAsia="仿宋" w:cs="仿宋"/>
          <w:b/>
          <w:bCs/>
          <w:sz w:val="24"/>
          <w:szCs w:val="24"/>
        </w:rPr>
        <w:t>★（一）服务期限：</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自合同签订之日起至完成项目工程决算。</w:t>
      </w:r>
    </w:p>
    <w:p>
      <w:pPr>
        <w:spacing w:line="360" w:lineRule="auto"/>
        <w:jc w:val="left"/>
        <w:rPr>
          <w:rFonts w:ascii="仿宋" w:hAnsi="仿宋" w:eastAsia="仿宋" w:cs="仿宋"/>
          <w:sz w:val="24"/>
          <w:szCs w:val="24"/>
        </w:rPr>
      </w:pPr>
      <w:r>
        <w:rPr>
          <w:rFonts w:hint="eastAsia" w:ascii="仿宋" w:hAnsi="仿宋" w:eastAsia="仿宋" w:cs="仿宋"/>
          <w:b/>
          <w:bCs/>
          <w:sz w:val="24"/>
          <w:szCs w:val="24"/>
        </w:rPr>
        <w:t>（二）付款方式：</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1、本工程无预付；预算编制完成后并出具正式报告，支付合同价的40%；结算审核完成后出具正式报告，支付至合同价80%，剩余待审计完成后付清。</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2、采购单位办理付款手续时，中标单位需提供相关必要资料。</w:t>
      </w:r>
    </w:p>
    <w:p>
      <w:pPr>
        <w:spacing w:line="360" w:lineRule="auto"/>
        <w:rPr>
          <w:rFonts w:cs="仿宋" w:asciiTheme="minorEastAsia" w:hAnsiTheme="minorEastAsia" w:eastAsiaTheme="minorEastAsia"/>
        </w:rPr>
      </w:pPr>
      <w:r>
        <w:rPr>
          <w:rFonts w:hint="eastAsia" w:ascii="仿宋" w:hAnsi="仿宋" w:eastAsia="仿宋" w:cs="仿宋"/>
          <w:b/>
          <w:bCs/>
          <w:sz w:val="24"/>
          <w:szCs w:val="24"/>
        </w:rPr>
        <w:t>（三）投标报价：</w:t>
      </w:r>
    </w:p>
    <w:p>
      <w:pPr>
        <w:spacing w:line="360" w:lineRule="auto"/>
        <w:ind w:firstLine="480" w:firstLineChars="200"/>
        <w:rPr>
          <w:rFonts w:cs="仿宋" w:asciiTheme="minorEastAsia" w:hAnsiTheme="minorEastAsia" w:eastAsiaTheme="minorEastAsia"/>
        </w:rPr>
      </w:pPr>
      <w:r>
        <w:rPr>
          <w:rFonts w:hint="eastAsia" w:ascii="仿宋" w:hAnsi="仿宋" w:eastAsia="仿宋" w:cs="仿宋"/>
          <w:sz w:val="24"/>
          <w:szCs w:val="24"/>
        </w:rPr>
        <w:t>项目合同价暂定为中标人</w:t>
      </w:r>
      <w:r>
        <w:rPr>
          <w:rFonts w:hint="eastAsia" w:ascii="仿宋" w:hAnsi="仿宋" w:eastAsia="仿宋" w:cs="仿宋"/>
          <w:sz w:val="24"/>
          <w:szCs w:val="24"/>
          <w:lang w:val="en-US" w:eastAsia="zh-CN"/>
        </w:rPr>
        <w:t>的</w:t>
      </w:r>
      <w:r>
        <w:rPr>
          <w:rFonts w:hint="eastAsia" w:ascii="仿宋" w:hAnsi="仿宋" w:eastAsia="仿宋" w:cs="仿宋"/>
          <w:sz w:val="24"/>
          <w:szCs w:val="24"/>
        </w:rPr>
        <w:t>投标</w:t>
      </w:r>
      <w:r>
        <w:rPr>
          <w:rFonts w:hint="eastAsia" w:ascii="仿宋" w:hAnsi="仿宋" w:eastAsia="仿宋" w:cs="仿宋"/>
          <w:sz w:val="24"/>
          <w:szCs w:val="24"/>
          <w:lang w:val="en-US" w:eastAsia="zh-CN"/>
        </w:rPr>
        <w:t>报</w:t>
      </w:r>
      <w:r>
        <w:rPr>
          <w:rFonts w:hint="eastAsia" w:ascii="仿宋" w:hAnsi="仿宋" w:eastAsia="仿宋" w:cs="仿宋"/>
          <w:sz w:val="24"/>
          <w:szCs w:val="24"/>
        </w:rPr>
        <w:t>价，应包括成本、法定税费和相应的利润，应涵盖本项目采购范围和征集文件所列的各项内容中所述的全部。由投标人根据采购需求自行测算投标报价；一经中标，投标报价即作为中标单位与采购人签订的合同金额，最终金额以发改委批复为准及审计结果为准将调整合同价。</w:t>
      </w:r>
    </w:p>
    <w:p>
      <w:pPr>
        <w:spacing w:line="360" w:lineRule="auto"/>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第三部分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投标文件格式</w:t>
      </w:r>
    </w:p>
    <w:p>
      <w:pPr>
        <w:rPr>
          <w:rFonts w:cs="仿宋" w:asciiTheme="minorEastAsia" w:hAnsiTheme="minorEastAsia" w:eastAsiaTheme="minorEastAsia"/>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五、投标供应商资格证明文件（格式2）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b/>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十、差异表（格式7）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十一、其他征集文件要求的资料或投标供应商认为需要补充的资料（格式8）</w:t>
            </w:r>
          </w:p>
        </w:tc>
      </w:tr>
    </w:tbl>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b/>
          <w:sz w:val="56"/>
          <w:szCs w:val="56"/>
        </w:rPr>
      </w:pPr>
      <w:r>
        <w:rPr>
          <w:rFonts w:hint="eastAsia" w:cs="仿宋" w:asciiTheme="minorEastAsia" w:hAnsiTheme="minorEastAsia" w:eastAsiaTheme="minorEastAsia"/>
          <w:b/>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法定代表人：</w:t>
            </w:r>
          </w:p>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投标供应商：</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b/>
          <w:bCs/>
          <w:sz w:val="28"/>
          <w:szCs w:val="32"/>
        </w:rPr>
      </w:pPr>
      <w:bookmarkStart w:id="4" w:name="_Toc110410380"/>
      <w:r>
        <w:rPr>
          <w:rFonts w:hint="eastAsia" w:asciiTheme="minorEastAsia" w:hAnsiTheme="minorEastAsia" w:eastAsiaTheme="minorEastAsia"/>
          <w:b/>
          <w:bCs/>
          <w:sz w:val="28"/>
          <w:szCs w:val="32"/>
        </w:rPr>
        <w:t>政府采购违法行为风险知悉确认书</w:t>
      </w:r>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（七）不同投标人的投标报价呈规律性差异。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（八）不同投标人的投标保证金从同一单位或者个人的账户转出。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（一）对于从其他主体获取的投标资料，供应商应审慎核查，确保投标资料的真实性。</w:t>
      </w:r>
      <w:r>
        <w:rPr>
          <w:rFonts w:hint="eastAsia" w:asciiTheme="minorEastAsia" w:hAnsiTheme="minorEastAsia" w:eastAsiaTheme="minor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四、本公司已充分知悉政府采购违法、违规行为的法律后果。</w:t>
      </w:r>
      <w:r>
        <w:rPr>
          <w:rFonts w:hint="eastAsia" w:asciiTheme="minorEastAsia" w:hAnsiTheme="minorEastAsia" w:eastAsiaTheme="minor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为方便参与该项目的评委专家的评审，快速找到评审事项与该项目投标文件所对应的位置，请投标供应商参照下表格式，编制本项目评审指引表。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2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b/>
                <w:sz w:val="22"/>
              </w:rPr>
            </w:pPr>
            <w:r>
              <w:rPr>
                <w:rFonts w:hint="eastAsia" w:cs="仿宋" w:asciiTheme="minorEastAsia" w:hAnsiTheme="minorEastAsia" w:eastAsiaTheme="minorEastAsia"/>
                <w:b/>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left"/>
              <w:rPr>
                <w:rFonts w:cs="仿宋" w:asciiTheme="minorEastAsia" w:hAnsiTheme="minorEastAsia" w:eastAsiaTheme="minorEastAsia"/>
                <w:sz w:val="20"/>
                <w:szCs w:val="20"/>
              </w:rPr>
            </w:pPr>
            <w:r>
              <w:rPr>
                <w:rFonts w:hint="eastAsia" w:cs="仿宋" w:asciiTheme="minorEastAsia" w:hAnsiTheme="minorEastAsia" w:eastAsiaTheme="minorEastAsia"/>
                <w:sz w:val="20"/>
                <w:szCs w:val="20"/>
              </w:rPr>
              <w:t>小型企业、微型企业、监狱企业、残疾人福利性单位声明等 ，详见评审信息政府采购</w:t>
            </w:r>
            <w:r>
              <w:rPr>
                <w:rFonts w:hint="eastAsia" w:cs="仿宋" w:asciiTheme="minorEastAsia" w:hAnsiTheme="minorEastAsia" w:eastAsiaTheme="minorEastAsia"/>
                <w:bCs/>
                <w:sz w:val="20"/>
                <w:szCs w:val="20"/>
              </w:rPr>
              <w:t>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格式1  声 明 函</w:t>
      </w:r>
    </w:p>
    <w:p>
      <w:pPr>
        <w:jc w:val="center"/>
        <w:rPr>
          <w:rFonts w:cs="仿宋" w:asciiTheme="minorEastAsia" w:hAnsiTheme="minorEastAsia" w:eastAsiaTheme="minorEastAsia"/>
          <w:b/>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）征集文件，经详细研究，我们决定参加该项目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1．我方愿以《开标一览表》中填写的投标总价并按照征集文件中的一切要求，承担上述项目的全部工作。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3．如果我们投标文件被接受，我们将履行征集文件中规定的每一项要求，按期、按质、按量完成任务。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征集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7．我们同意征集文件之规定，遵守有关采购的各项规定。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我们同意中标后向采购代理机构支付征集文件要求数额的采购代理服务费。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格式2  投标供应商资格证明文件</w:t>
      </w:r>
    </w:p>
    <w:p>
      <w:pPr>
        <w:ind w:firstLine="1274" w:firstLineChars="607"/>
        <w:rPr>
          <w:rFonts w:cs="仿宋" w:asciiTheme="minorEastAsia" w:hAnsiTheme="minorEastAsia" w:eastAsiaTheme="minorEastAsia"/>
        </w:rPr>
      </w:pPr>
    </w:p>
    <w:p>
      <w:pPr>
        <w:spacing w:line="360" w:lineRule="auto"/>
        <w:ind w:firstLine="1279" w:firstLineChars="455"/>
        <w:rPr>
          <w:rFonts w:cs="仿宋" w:asciiTheme="minorEastAsia" w:hAnsiTheme="minorEastAsia" w:eastAsiaTheme="minorEastAsia"/>
          <w:b/>
          <w:sz w:val="28"/>
        </w:rPr>
      </w:pP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1、</w:t>
      </w:r>
      <w:r>
        <w:rPr>
          <w:rFonts w:hint="eastAsia" w:cs="仿宋" w:asciiTheme="minorEastAsia" w:hAnsiTheme="minorEastAsia" w:eastAsiaTheme="minorEastAsia"/>
          <w:bCs/>
        </w:rPr>
        <w:t>营业执照或法人证书</w:t>
      </w:r>
      <w:r>
        <w:rPr>
          <w:rFonts w:hint="eastAsia" w:cs="仿宋" w:asciiTheme="minorEastAsia" w:hAnsiTheme="minorEastAsia" w:eastAsiaTheme="minorEastAsia"/>
          <w:bCs/>
          <w:szCs w:val="21"/>
        </w:rPr>
        <w:t>或总公司授权证明</w:t>
      </w:r>
      <w:r>
        <w:rPr>
          <w:rFonts w:hint="eastAsia" w:cs="仿宋" w:asciiTheme="minorEastAsia" w:hAnsiTheme="minorEastAsia" w:eastAsiaTheme="minorEastAsia"/>
          <w:bCs/>
        </w:rPr>
        <w:t>等证明文件【扫描件或复印件】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w:t>
      </w:r>
      <w:r>
        <w:rPr>
          <w:rFonts w:hint="eastAsia" w:cs="仿宋" w:asciiTheme="minorEastAsia" w:hAnsiTheme="minorEastAsia" w:eastAsiaTheme="minorEastAsia"/>
          <w:bCs/>
        </w:rPr>
        <w:t>法定代表人（负责人）证明书【原件】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rPr>
        <w:t>3、</w:t>
      </w:r>
      <w:r>
        <w:rPr>
          <w:rFonts w:hint="eastAsia" w:cs="仿宋" w:asciiTheme="minorEastAsia" w:hAnsiTheme="minorEastAsia" w:eastAsiaTheme="minorEastAsia"/>
          <w:bCs/>
        </w:rPr>
        <w:t>法定代表人（负责人）授权委托书【原件】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4、承诺函【详见格式《承诺函》】</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5、</w:t>
      </w:r>
      <w:r>
        <w:rPr>
          <w:rFonts w:hint="eastAsia" w:cs="仿宋" w:asciiTheme="minorEastAsia" w:hAnsiTheme="minorEastAsia" w:eastAsiaTheme="minorEastAsia"/>
          <w:bCs/>
          <w:szCs w:val="21"/>
        </w:rPr>
        <w:t>未被列入失信被执行人、重大税收违法案件当事人名单和政府采购严重违法失信行为记录名单</w:t>
      </w:r>
      <w:r>
        <w:rPr>
          <w:rFonts w:hint="eastAsia" w:cs="仿宋" w:asciiTheme="minorEastAsia" w:hAnsiTheme="minorEastAsia" w:eastAsiaTheme="minorEastAsia"/>
          <w:bCs/>
        </w:rPr>
        <w:t>信用查询截图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6、国家企业信用信息公示系统（https://www.gsxt.gov.cn/index.html）或机关赋码和事业单位登记管理网（http://www.gjsy.gov.cn/sydwfrxxcx/）或全国社会组织信用信息公示平台（https://xxgs.chinanpo.mca.gov.cn/gsxt/newList）网站供应商信息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7、其他【如有，按采购公告“申请人的资格要求”提供】</w:t>
      </w:r>
    </w:p>
    <w:p>
      <w:pPr>
        <w:adjustRightInd w:val="0"/>
        <w:snapToGrid w:val="0"/>
        <w:spacing w:line="360" w:lineRule="auto"/>
        <w:ind w:firstLine="991" w:firstLineChars="472"/>
        <w:rPr>
          <w:rFonts w:cs="仿宋" w:asciiTheme="minorEastAsia" w:hAnsiTheme="minorEastAsia" w:eastAsiaTheme="minorEastAsia"/>
          <w:bCs/>
        </w:rPr>
      </w:pPr>
    </w:p>
    <w:p>
      <w:pPr>
        <w:spacing w:line="360" w:lineRule="auto"/>
        <w:ind w:left="1394" w:leftChars="474" w:hanging="399" w:hangingChars="190"/>
        <w:rPr>
          <w:rFonts w:cs="仿宋" w:asciiTheme="minorEastAsia" w:hAnsiTheme="minorEastAsia" w:eastAsiaTheme="minorEastAsia"/>
          <w:bCs/>
        </w:rPr>
      </w:pPr>
    </w:p>
    <w:p>
      <w:pPr>
        <w:spacing w:line="360" w:lineRule="auto"/>
        <w:ind w:left="1415" w:leftChars="204" w:hanging="987" w:hangingChars="447"/>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t>注：以上资料均须加盖投标供应商公章，原件备查</w:t>
      </w:r>
    </w:p>
    <w:p>
      <w:pPr>
        <w:spacing w:line="360" w:lineRule="auto"/>
        <w:ind w:left="1415" w:leftChars="474" w:hanging="420" w:hangingChars="190"/>
        <w:rPr>
          <w:rFonts w:cs="仿宋" w:asciiTheme="minorEastAsia" w:hAnsiTheme="minorEastAsia" w:eastAsiaTheme="minorEastAsia"/>
          <w:b/>
          <w:bCs/>
          <w:color w:val="FF0000"/>
          <w:sz w:val="22"/>
        </w:rPr>
      </w:pPr>
    </w:p>
    <w:p>
      <w:pPr>
        <w:widowControl/>
        <w:jc w:val="left"/>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b/>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与其他投标供应商不存在“单位负责人为同一人或者存在直接控股、管理关系”的情况；</w:t>
      </w:r>
      <w:r>
        <w:rPr>
          <w:rFonts w:hint="eastAsia" w:cs="仿宋" w:asciiTheme="minorEastAsia" w:hAnsiTheme="minorEastAsia" w:eastAsiaTheme="minorEastAsia"/>
          <w:bCs/>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7.我单位参与该项目投标，严格遵循公平竞争的原则，不恶意串通，不妨碍其他投标供应商的竞争行为，不损害采购人或者其他投标供应商的合法权益。我单位已清楚，如违反上述要求，将作投标无效处理。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8.我单位如果中标，做到守信，不偷工减料，依照本项目征集文件需求内容、签署的采购合同及本单位在投标中所作的一切承诺履约。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bCs/>
        </w:rPr>
      </w:pPr>
      <w:r>
        <w:rPr>
          <w:rFonts w:hint="eastAsia" w:cs="仿宋" w:asciiTheme="minorEastAsia" w:hAnsiTheme="minorEastAsia" w:eastAsiaTheme="minorEastAsia"/>
        </w:rPr>
        <w:t>年     月    日</w:t>
      </w:r>
    </w:p>
    <w:p>
      <w:pPr>
        <w:rPr>
          <w:rFonts w:cs="仿宋" w:asciiTheme="minorEastAsia" w:hAnsiTheme="minorEastAsia" w:eastAsiaTheme="minorEastAsia"/>
          <w:bCs/>
        </w:rPr>
      </w:pPr>
      <w:r>
        <w:rPr>
          <w:rFonts w:hint="eastAsia" w:cs="仿宋" w:asciiTheme="minorEastAsia" w:hAnsiTheme="minorEastAsia" w:eastAsiaTheme="minorEastAsia"/>
          <w:bCs/>
        </w:rPr>
        <w:br w:type="page"/>
      </w:r>
    </w:p>
    <w:p>
      <w:pPr>
        <w:adjustRightInd w:val="0"/>
        <w:snapToGrid w:val="0"/>
        <w:spacing w:line="360" w:lineRule="auto"/>
        <w:ind w:firstLine="991" w:firstLineChars="472"/>
        <w:jc w:val="right"/>
        <w:rPr>
          <w:rFonts w:cs="仿宋" w:asciiTheme="minorEastAsia" w:hAnsiTheme="minorEastAsia" w:eastAsiaTheme="minorEastAsia"/>
          <w:bCs/>
        </w:rPr>
      </w:pP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法定代表人（负责人）证明书（格式）</w:t>
      </w:r>
    </w:p>
    <w:p>
      <w:pPr>
        <w:jc w:val="center"/>
        <w:rPr>
          <w:rFonts w:cs="仿宋" w:asciiTheme="minorEastAsia" w:hAnsiTheme="minorEastAsia" w:eastAsiaTheme="minorEastAsia"/>
          <w:b/>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b/>
          <w:bCs/>
        </w:rPr>
      </w:pPr>
      <w:r>
        <w:rPr>
          <w:rFonts w:cs="仿宋" w:asciiTheme="minorEastAsia" w:hAnsiTheme="minorEastAsia" w:eastAsiaTheme="minorEastAsia"/>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b/>
        </w:rPr>
      </w:pPr>
      <w:r>
        <w:rPr>
          <w:rFonts w:hint="eastAsia" w:cs="仿宋" w:asciiTheme="minorEastAsia" w:hAnsiTheme="minorEastAsia" w:eastAsiaTheme="minorEastAsia"/>
          <w:b/>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5"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3" w:hanging="433" w:hangingChars="196"/>
        <w:rPr>
          <w:rFonts w:cs="仿宋" w:asciiTheme="minorEastAsia" w:hAnsiTheme="minorEastAsia" w:eastAsiaTheme="minorEastAsia"/>
          <w:color w:val="FF0000"/>
          <w:sz w:val="22"/>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bCs/>
          <w:color w:val="FF0000"/>
          <w:sz w:val="22"/>
        </w:rPr>
        <w:t>法定代表人（负责人）授权委托书</w:t>
      </w:r>
      <w:r>
        <w:rPr>
          <w:rFonts w:hint="eastAsia" w:cs="仿宋" w:asciiTheme="minorEastAsia" w:hAnsiTheme="minorEastAsia" w:eastAsiaTheme="minorEastAsia"/>
          <w:b/>
          <w:color w:val="FF0000"/>
          <w:sz w:val="22"/>
        </w:rPr>
        <w:t>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b/>
          <w:sz w:val="32"/>
          <w:szCs w:val="36"/>
        </w:rPr>
        <w:t xml:space="preserve"> </w:t>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2"/>
          <w:szCs w:val="36"/>
        </w:rPr>
        <w:t>格式3  评分中涉及的承诺及声明函</w:t>
      </w:r>
    </w:p>
    <w:p>
      <w:pPr>
        <w:jc w:val="center"/>
        <w:rPr>
          <w:rFonts w:cs="仿宋" w:asciiTheme="minorEastAsia" w:hAnsiTheme="minorEastAsia" w:eastAsiaTheme="minorEastAsia"/>
          <w:b/>
          <w:sz w:val="32"/>
          <w:szCs w:val="36"/>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中小企业声明函</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本公司（联合体）郑重声明，根据《政府采购促进中小企业发展管理办法》（财库﹝2020﹞46 号）的规定，本公司（联合体）参加（</w:t>
      </w:r>
      <w:r>
        <w:rPr>
          <w:rFonts w:hint="eastAsia" w:cs="仿宋" w:asciiTheme="minorEastAsia" w:hAnsiTheme="minorEastAsia" w:eastAsiaTheme="minorEastAsia"/>
          <w:snapToGrid w:val="0"/>
          <w:szCs w:val="18"/>
          <w:u w:val="single"/>
        </w:rPr>
        <w:t>单位名称</w:t>
      </w:r>
      <w:r>
        <w:rPr>
          <w:rFonts w:hint="eastAsia" w:cs="仿宋" w:asciiTheme="minorEastAsia" w:hAnsiTheme="minorEastAsia" w:eastAsiaTheme="minorEastAsia"/>
          <w:snapToGrid w:val="0"/>
          <w:szCs w:val="18"/>
        </w:rPr>
        <w:t>）的（</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）采购活动，服务全部由符合政策要求的中小企业承接。相关企业（含联合体中的中小企业、签订分包意向协议的中小企业）的具体情况如下：</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1、（</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），属于（</w:t>
      </w:r>
      <w:r>
        <w:rPr>
          <w:rFonts w:hint="eastAsia" w:cs="仿宋" w:asciiTheme="minorEastAsia" w:hAnsiTheme="minorEastAsia" w:eastAsiaTheme="minorEastAsia"/>
          <w:snapToGrid w:val="0"/>
          <w:szCs w:val="18"/>
          <w:u w:val="single"/>
        </w:rPr>
        <w:t>采购文件中明确的所属行业</w:t>
      </w:r>
      <w:r>
        <w:rPr>
          <w:rFonts w:hint="eastAsia" w:cs="仿宋" w:asciiTheme="minorEastAsia" w:hAnsiTheme="minorEastAsia" w:eastAsiaTheme="minorEastAsia"/>
          <w:snapToGrid w:val="0"/>
          <w:szCs w:val="18"/>
        </w:rPr>
        <w:t>）；承接企业为（</w:t>
      </w:r>
      <w:r>
        <w:rPr>
          <w:rFonts w:hint="eastAsia" w:cs="仿宋" w:asciiTheme="minorEastAsia" w:hAnsiTheme="minorEastAsia" w:eastAsiaTheme="minorEastAsia"/>
          <w:snapToGrid w:val="0"/>
          <w:szCs w:val="18"/>
          <w:u w:val="single"/>
        </w:rPr>
        <w:t>企业名称</w:t>
      </w:r>
      <w:r>
        <w:rPr>
          <w:rFonts w:hint="eastAsia" w:cs="仿宋" w:asciiTheme="minorEastAsia" w:hAnsiTheme="minorEastAsia" w:eastAsiaTheme="minorEastAsia"/>
          <w:snapToGrid w:val="0"/>
          <w:szCs w:val="18"/>
        </w:rPr>
        <w:t>），从业人员</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人，营业收入为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万元，资产总额为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万元，属于（</w:t>
      </w:r>
      <w:r>
        <w:rPr>
          <w:rFonts w:hint="eastAsia" w:cs="仿宋" w:asciiTheme="minorEastAsia" w:hAnsiTheme="minorEastAsia" w:eastAsiaTheme="minorEastAsia"/>
          <w:snapToGrid w:val="0"/>
          <w:szCs w:val="18"/>
          <w:u w:val="single"/>
        </w:rPr>
        <w:t>中型企业、小型企业、微型企业</w:t>
      </w: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2、（</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），属于（</w:t>
      </w:r>
      <w:r>
        <w:rPr>
          <w:rFonts w:hint="eastAsia" w:cs="仿宋" w:asciiTheme="minorEastAsia" w:hAnsiTheme="minorEastAsia" w:eastAsiaTheme="minorEastAsia"/>
          <w:snapToGrid w:val="0"/>
          <w:szCs w:val="18"/>
          <w:u w:val="single"/>
        </w:rPr>
        <w:t>采购文件中明确的所属行业</w:t>
      </w:r>
      <w:r>
        <w:rPr>
          <w:rFonts w:hint="eastAsia" w:cs="仿宋" w:asciiTheme="minorEastAsia" w:hAnsiTheme="minorEastAsia" w:eastAsiaTheme="minorEastAsia"/>
          <w:snapToGrid w:val="0"/>
          <w:szCs w:val="18"/>
        </w:rPr>
        <w:t>）；承接企业为（</w:t>
      </w:r>
      <w:r>
        <w:rPr>
          <w:rFonts w:hint="eastAsia" w:cs="仿宋" w:asciiTheme="minorEastAsia" w:hAnsiTheme="minorEastAsia" w:eastAsiaTheme="minorEastAsia"/>
          <w:snapToGrid w:val="0"/>
          <w:szCs w:val="18"/>
          <w:u w:val="single"/>
        </w:rPr>
        <w:t>企业名称</w:t>
      </w:r>
      <w:r>
        <w:rPr>
          <w:rFonts w:hint="eastAsia" w:cs="仿宋" w:asciiTheme="minorEastAsia" w:hAnsiTheme="minorEastAsia" w:eastAsiaTheme="minorEastAsia"/>
          <w:snapToGrid w:val="0"/>
          <w:szCs w:val="18"/>
        </w:rPr>
        <w:t>），从业人员</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人，营业收入为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万元，资产总额为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万元，属于（</w:t>
      </w:r>
      <w:r>
        <w:rPr>
          <w:rFonts w:hint="eastAsia" w:cs="仿宋" w:asciiTheme="minorEastAsia" w:hAnsiTheme="minorEastAsia" w:eastAsiaTheme="minorEastAsia"/>
          <w:snapToGrid w:val="0"/>
          <w:szCs w:val="18"/>
          <w:u w:val="single"/>
        </w:rPr>
        <w:t>中型企业、小型企业、微型企业</w:t>
      </w: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本公司对上述声明的真实性负责。如有虚假，将依法承担相应责任。</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企业名称(公章)：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jc w:val="right"/>
        <w:rPr>
          <w:rFonts w:cs="仿宋" w:asciiTheme="minorEastAsia" w:hAnsiTheme="minorEastAsia" w:eastAsiaTheme="minorEastAsia"/>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w:t>
      </w:r>
    </w:p>
    <w:p>
      <w:pPr>
        <w:ind w:firstLine="630" w:firstLineChars="3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2、从业人员、营业收入、资产总额填报上一年度数据，无上一年度数据的新成立企业可不填报。</w:t>
      </w: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p>
    <w:p>
      <w:pPr>
        <w:widowControl/>
        <w:jc w:val="lef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br w:type="page"/>
      </w:r>
    </w:p>
    <w:p>
      <w:pPr>
        <w:jc w:val="center"/>
        <w:rPr>
          <w:rFonts w:cs="仿宋" w:asciiTheme="minorEastAsia" w:hAnsiTheme="minorEastAsia" w:eastAsiaTheme="minorEastAsia"/>
          <w:snapToGrid w:val="0"/>
          <w:szCs w:val="18"/>
        </w:rPr>
      </w:pPr>
      <w:r>
        <w:rPr>
          <w:rFonts w:hint="eastAsia" w:cs="仿宋" w:asciiTheme="minorEastAsia" w:hAnsiTheme="minorEastAsia" w:eastAsiaTheme="minorEastAsia"/>
          <w:b/>
          <w:sz w:val="32"/>
          <w:szCs w:val="32"/>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ind w:firstLine="420" w:firstLineChars="200"/>
        <w:rPr>
          <w:rFonts w:cs="仿宋" w:asciiTheme="minorEastAsia" w:hAnsiTheme="minorEastAsia" w:eastAsiaTheme="minorEastAsia"/>
          <w:snapToGrid w:val="0"/>
          <w:szCs w:val="18"/>
        </w:rPr>
      </w:pPr>
      <w:r>
        <w:rPr>
          <w:rFonts w:hint="eastAsia" w:ascii="宋体" w:hAnsi="宋体"/>
          <w:szCs w:val="21"/>
        </w:rPr>
        <w:t>本单位对上述声明的真实性负责。如有虚假，将依法承担相应责任</w:t>
      </w:r>
      <w:r>
        <w:rPr>
          <w:rFonts w:hint="eastAsia" w:cs="仿宋" w:asciiTheme="minorEastAsia" w:hAnsiTheme="minorEastAsia" w:eastAsiaTheme="minorEastAsia"/>
          <w:snapToGrid w:val="0"/>
          <w:szCs w:val="18"/>
        </w:rPr>
        <w:t>。</w:t>
      </w:r>
    </w:p>
    <w:p>
      <w:pPr>
        <w:pStyle w:val="17"/>
        <w:ind w:firstLine="210"/>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投标供应商(公章)：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ind w:firstLine="420" w:firstLineChars="200"/>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b/>
          <w:snapToGrid w:val="0"/>
          <w:szCs w:val="18"/>
        </w:rPr>
      </w:pPr>
      <w:r>
        <w:rPr>
          <w:rFonts w:hint="eastAsia" w:cs="仿宋" w:asciiTheme="minorEastAsia" w:hAnsiTheme="minorEastAsia" w:eastAsiaTheme="minorEastAsia"/>
          <w:b/>
          <w:snapToGrid w:val="0"/>
          <w:szCs w:val="18"/>
        </w:rPr>
        <w:t>附：省级以上监狱管理局、戒毒管理局（含新疆生产建设兵团）出具的监狱企业证明文件。</w:t>
      </w:r>
    </w:p>
    <w:p>
      <w:pPr>
        <w:ind w:firstLine="420" w:firstLineChars="200"/>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widowControl/>
        <w:jc w:val="left"/>
        <w:rPr>
          <w:rFonts w:cs="仿宋" w:asciiTheme="minorEastAsia" w:hAnsiTheme="minorEastAsia" w:eastAsiaTheme="minorEastAsia"/>
          <w:b/>
          <w:sz w:val="32"/>
          <w:szCs w:val="32"/>
        </w:rPr>
      </w:pP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残疾人福利性单位声明函</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本单位郑重声明，根据《财政部 民政部 中国残疾人联合会关于促进残疾人就业政府采购政策的通知》（财库〔2017〕141号）的规定，本单位为符合条件的残疾人福利性单位，且本单位参加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单位的</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项目采购活动，由本单位提供服务。</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本单位对上述声明的真实性负责。如有虚假，将依法承担相应责任。</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投标供应商(公章)：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 xml:space="preserve">    </w:t>
      </w:r>
    </w:p>
    <w:p>
      <w:pPr>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填写前请认真阅读《财政部、民政部、中国残疾人联合会关于促进残疾人就业政府采购政策的通知》(财库〔2017〕141号)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jc w:val="center"/>
        <w:rPr>
          <w:rFonts w:cs="仿宋" w:asciiTheme="minorEastAsia" w:hAnsiTheme="minorEastAsia" w:eastAsiaTheme="minorEastAsia"/>
          <w:b/>
          <w:sz w:val="32"/>
          <w:szCs w:val="32"/>
        </w:rPr>
      </w:pP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格式4  </w:t>
      </w:r>
      <w:r>
        <w:rPr>
          <w:rFonts w:hint="eastAsia" w:cs="仿宋" w:asciiTheme="minorEastAsia" w:hAnsiTheme="minorEastAsia" w:eastAsiaTheme="minorEastAsia"/>
          <w:b/>
          <w:bCs/>
          <w:sz w:val="32"/>
          <w:szCs w:val="32"/>
        </w:rPr>
        <w:t>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4999" w:type="pct"/>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73"/>
        <w:gridCol w:w="3914"/>
        <w:gridCol w:w="1533"/>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3"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2296" w:type="pct"/>
            <w:shd w:val="clear" w:color="auto" w:fill="C6D9F0" w:themeFill="text2" w:themeFillTint="33"/>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投标报价</w:t>
            </w:r>
          </w:p>
        </w:tc>
        <w:tc>
          <w:tcPr>
            <w:tcW w:w="899"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1803" w:type="pc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市局金稻田路1128号围墙修复重建工程全过程造价咨询</w:t>
            </w:r>
          </w:p>
        </w:tc>
        <w:tc>
          <w:tcPr>
            <w:tcW w:w="2296" w:type="pct"/>
            <w:vAlign w:val="center"/>
          </w:tcPr>
          <w:p>
            <w:pPr>
              <w:spacing w:line="360" w:lineRule="auto"/>
              <w:ind w:firstLine="211" w:firstLineChars="100"/>
              <w:jc w:val="center"/>
              <w:rPr>
                <w:rFonts w:cs="仿宋" w:asciiTheme="minorEastAsia" w:hAnsiTheme="minorEastAsia" w:eastAsiaTheme="minorEastAsia"/>
                <w:u w:val="single"/>
              </w:rPr>
            </w:pPr>
            <w:r>
              <w:rPr>
                <w:rFonts w:hint="eastAsia" w:cs="仿宋" w:asciiTheme="minorEastAsia" w:hAnsiTheme="minorEastAsia" w:eastAsiaTheme="minorEastAsia"/>
                <w:b/>
              </w:rPr>
              <w:t>人民币</w:t>
            </w:r>
            <w:r>
              <w:rPr>
                <w:rFonts w:hint="eastAsia" w:cs="仿宋" w:asciiTheme="minorEastAsia" w:hAnsiTheme="minorEastAsia" w:eastAsiaTheme="minorEastAsia"/>
                <w:b/>
                <w:u w:val="single"/>
              </w:rPr>
              <w:t xml:space="preserve">          </w:t>
            </w:r>
            <w:r>
              <w:rPr>
                <w:rFonts w:hint="eastAsia" w:cs="仿宋" w:asciiTheme="minorEastAsia" w:hAnsiTheme="minorEastAsia" w:eastAsiaTheme="minorEastAsia"/>
                <w:b/>
              </w:rPr>
              <w:t>元</w:t>
            </w:r>
          </w:p>
        </w:tc>
        <w:tc>
          <w:tcPr>
            <w:tcW w:w="899" w:type="pct"/>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bCs/>
        </w:rPr>
      </w:pPr>
      <w:r>
        <w:rPr>
          <w:rFonts w:hint="eastAsia" w:cs="仿宋" w:asciiTheme="minorEastAsia" w:hAnsiTheme="minorEastAsia" w:eastAsiaTheme="minorEastAsia"/>
          <w:b/>
          <w:color w:val="FF0000"/>
        </w:rPr>
        <w:t>注：</w:t>
      </w:r>
      <w:r>
        <w:rPr>
          <w:rFonts w:hint="eastAsia" w:cs="仿宋" w:asciiTheme="minorEastAsia" w:hAnsiTheme="minorEastAsia" w:eastAsiaTheme="minorEastAsia"/>
        </w:rPr>
        <w:t>1、价格应按“征集文件”中规定</w:t>
      </w:r>
      <w:r>
        <w:rPr>
          <w:rFonts w:hint="eastAsia" w:cs="仿宋" w:asciiTheme="minorEastAsia" w:hAnsiTheme="minorEastAsia" w:eastAsiaTheme="minorEastAsia"/>
          <w:bCs/>
        </w:rPr>
        <w:t>的货币单位填写。</w:t>
      </w:r>
    </w:p>
    <w:p>
      <w:pPr>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bCs/>
        </w:rPr>
        <w:t>2、</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价为综合报价，包含完成本项目所需的全部费用</w:t>
      </w:r>
      <w:r>
        <w:rPr>
          <w:rFonts w:hint="eastAsia" w:cs="仿宋" w:asciiTheme="minorEastAsia" w:hAnsiTheme="minorEastAsia" w:eastAsiaTheme="minorEastAsia"/>
        </w:rPr>
        <w:t>。</w:t>
      </w:r>
    </w:p>
    <w:p>
      <w:pPr>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rPr>
        <w:t>3、此表应经法定代表人或其授权委托人签名，并加盖投标供应商公章。</w:t>
      </w:r>
    </w:p>
    <w:p>
      <w:pPr>
        <w:ind w:firstLine="424" w:firstLineChars="176"/>
        <w:jc w:val="left"/>
        <w:rPr>
          <w:rFonts w:cs="仿宋" w:asciiTheme="minorEastAsia" w:hAnsiTheme="minorEastAsia" w:eastAsiaTheme="minorEastAsia"/>
          <w:b/>
          <w:sz w:val="24"/>
          <w:szCs w:val="24"/>
        </w:rPr>
      </w:pPr>
      <w:r>
        <w:rPr>
          <w:rFonts w:cs="仿宋" w:asciiTheme="minorEastAsia" w:hAnsiTheme="minorEastAsia" w:eastAsiaTheme="minorEastAsia"/>
          <w:b/>
          <w:sz w:val="24"/>
          <w:szCs w:val="24"/>
        </w:rPr>
        <w:t>4、此表毋需装订于正副本内，应按“</w:t>
      </w:r>
      <w:r>
        <w:rPr>
          <w:rFonts w:hint="eastAsia" w:cs="仿宋" w:asciiTheme="minorEastAsia" w:hAnsiTheme="minorEastAsia" w:eastAsiaTheme="minorEastAsia"/>
          <w:b/>
          <w:sz w:val="24"/>
          <w:szCs w:val="24"/>
        </w:rPr>
        <w:t>投标须知”</w:t>
      </w:r>
      <w:r>
        <w:rPr>
          <w:rFonts w:cs="仿宋" w:asciiTheme="minorEastAsia" w:hAnsiTheme="minorEastAsia" w:eastAsiaTheme="minorEastAsia"/>
          <w:b/>
          <w:sz w:val="24"/>
          <w:szCs w:val="24"/>
        </w:rPr>
        <w:t>18.5项要求，与“法定代表人（负责人）证明书、法定代表人（负责人）授权委托书”一起单独密封提交</w:t>
      </w:r>
    </w:p>
    <w:p>
      <w:pPr>
        <w:ind w:firstLine="413" w:firstLineChars="196"/>
        <w:jc w:val="left"/>
        <w:rPr>
          <w:rFonts w:cs="仿宋" w:asciiTheme="minorEastAsia" w:hAnsiTheme="minorEastAsia" w:eastAsiaTheme="minorEastAsia"/>
          <w:b/>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格式5  </w:t>
      </w:r>
      <w:r>
        <w:rPr>
          <w:rFonts w:hint="eastAsia" w:cs="仿宋" w:asciiTheme="minorEastAsia" w:hAnsiTheme="minorEastAsia" w:eastAsiaTheme="minorEastAsia"/>
          <w:b/>
          <w:bCs/>
          <w:sz w:val="32"/>
          <w:szCs w:val="32"/>
        </w:rPr>
        <w:t>报价表</w:t>
      </w:r>
    </w:p>
    <w:p>
      <w:pPr>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一、报价要求</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1、所有价格应按“征集文件”中规定的货币单位填写。</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2、此表应经法定代表人或授权委托人签名，并加盖公章。</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3、</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价为综合报价，包含完成本项目所需的全部费用</w:t>
      </w:r>
      <w:r>
        <w:rPr>
          <w:rFonts w:hint="eastAsia" w:cs="仿宋" w:asciiTheme="minorEastAsia" w:hAnsiTheme="minorEastAsia" w:eastAsiaTheme="minorEastAsia"/>
        </w:rPr>
        <w:t>。</w:t>
      </w:r>
    </w:p>
    <w:p>
      <w:pPr>
        <w:spacing w:line="360" w:lineRule="auto"/>
        <w:ind w:firstLine="420" w:firstLineChars="200"/>
        <w:rPr>
          <w:rFonts w:cs="仿宋" w:asciiTheme="minorEastAsia" w:hAnsiTheme="minorEastAsia" w:eastAsiaTheme="minorEastAsia"/>
        </w:rPr>
      </w:pPr>
    </w:p>
    <w:p>
      <w:pPr>
        <w:spacing w:line="360" w:lineRule="auto"/>
        <w:ind w:firstLine="643" w:firstLineChars="200"/>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报价表</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410"/>
        <w:gridCol w:w="1576"/>
        <w:gridCol w:w="1576"/>
        <w:gridCol w:w="1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410"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服务内容</w:t>
            </w:r>
          </w:p>
        </w:tc>
        <w:tc>
          <w:tcPr>
            <w:tcW w:w="1576"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1576"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单位</w:t>
            </w:r>
          </w:p>
        </w:tc>
        <w:tc>
          <w:tcPr>
            <w:tcW w:w="1576" w:type="dxa"/>
            <w:tcBorders>
              <w:top w:val="double" w:color="auto" w:sz="4" w:space="0"/>
              <w:right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2</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3</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bottom w:val="single" w:color="000000" w:themeColor="text1"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w:t>
            </w:r>
          </w:p>
        </w:tc>
        <w:tc>
          <w:tcPr>
            <w:tcW w:w="2410" w:type="dxa"/>
            <w:tcBorders>
              <w:bottom w:val="single" w:color="000000" w:themeColor="text1" w:sz="4" w:space="0"/>
            </w:tcBorders>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合  计：</w:t>
            </w:r>
          </w:p>
        </w:tc>
        <w:tc>
          <w:tcPr>
            <w:tcW w:w="4728" w:type="dxa"/>
            <w:gridSpan w:val="3"/>
            <w:tcBorders>
              <w:bottom w:val="double" w:color="auto" w:sz="4" w:space="0"/>
              <w:right w:val="double" w:color="auto" w:sz="4" w:space="0"/>
            </w:tcBorders>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r>
        <w:rPr>
          <w:rFonts w:hint="eastAsia" w:cs="仿宋" w:asciiTheme="minorEastAsia" w:hAnsiTheme="minorEastAsia" w:eastAsiaTheme="minorEastAsia"/>
        </w:rPr>
        <w:t>注：本表格式可调整，报价表上的合计金额应与开标一览表的投标报价金额一致。</w:t>
      </w:r>
    </w:p>
    <w:p>
      <w:pPr>
        <w:pStyle w:val="18"/>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格式6  </w:t>
      </w:r>
      <w:r>
        <w:rPr>
          <w:rFonts w:hint="eastAsia" w:cs="仿宋" w:asciiTheme="minorEastAsia" w:hAnsiTheme="minorEastAsia" w:eastAsiaTheme="minorEastAsia"/>
          <w:b/>
          <w:bCs/>
          <w:sz w:val="32"/>
          <w:szCs w:val="32"/>
        </w:rPr>
        <w:t>服务方案</w:t>
      </w:r>
    </w:p>
    <w:p>
      <w:pPr>
        <w:rPr>
          <w:rFonts w:cs="仿宋" w:asciiTheme="minorEastAsia" w:hAnsiTheme="minorEastAsia" w:eastAsiaTheme="minorEastAsia"/>
          <w:highlight w:val="yellow"/>
        </w:rPr>
      </w:pP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1、实施方案</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2、项目重点难点分析、应对措施及相关的合理化建议</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3、</w:t>
      </w:r>
      <w:r>
        <w:rPr>
          <w:rFonts w:hint="eastAsia" w:cs="仿宋" w:asciiTheme="minorEastAsia" w:hAnsiTheme="minorEastAsia" w:eastAsiaTheme="minorEastAsia"/>
          <w:kern w:val="0"/>
          <w:sz w:val="22"/>
        </w:rPr>
        <w:t>质量（完成时间、安全、环保）保障措施及方案</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4、</w:t>
      </w:r>
      <w:r>
        <w:rPr>
          <w:rFonts w:hint="eastAsia" w:cs="仿宋" w:asciiTheme="minorEastAsia" w:hAnsiTheme="minorEastAsia" w:eastAsiaTheme="minorEastAsia"/>
          <w:kern w:val="0"/>
          <w:sz w:val="22"/>
        </w:rPr>
        <w:t>项目完成（服务期满）后的服务承</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5、违约承诺</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6、项目负责人情况（仅限一人）</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7、拟安排的项目主要团队成员（主要技术人员）情况（项目负责人除外</w:t>
      </w:r>
    </w:p>
    <w:p>
      <w:pPr>
        <w:spacing w:line="360" w:lineRule="auto"/>
        <w:rPr>
          <w:rFonts w:cs="仿宋" w:asciiTheme="minorEastAsia" w:hAnsiTheme="minorEastAsia" w:eastAsiaTheme="minorEastAsia"/>
          <w:sz w:val="22"/>
          <w:szCs w:val="21"/>
        </w:rPr>
      </w:pPr>
      <w:r>
        <w:rPr>
          <w:rFonts w:hint="eastAsia" w:cs="仿宋" w:asciiTheme="minorEastAsia" w:hAnsiTheme="minorEastAsia" w:eastAsiaTheme="minorEastAsia"/>
          <w:sz w:val="22"/>
        </w:rPr>
        <w:t>8、</w:t>
      </w:r>
      <w:r>
        <w:rPr>
          <w:rFonts w:hint="eastAsia" w:cs="仿宋" w:asciiTheme="minorEastAsia" w:hAnsiTheme="minorEastAsia" w:eastAsiaTheme="minorEastAsia"/>
          <w:sz w:val="22"/>
          <w:szCs w:val="21"/>
        </w:rPr>
        <w:t>认证情况</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9、同类业绩</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10、履约评价</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11、售后服务机构</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12、诚信情况</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13、投标供应商认为必要的其他方案</w:t>
      </w: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rPr>
          <w:rFonts w:cs="仿宋" w:asciiTheme="minorEastAsia" w:hAnsiTheme="minorEastAsia" w:eastAsiaTheme="minorEastAsia"/>
        </w:rPr>
      </w:pPr>
      <w:r>
        <w:rPr>
          <w:rFonts w:hint="eastAsia" w:cs="仿宋" w:asciiTheme="minorEastAsia" w:hAnsiTheme="minorEastAsia" w:eastAsiaTheme="minorEastAsia"/>
        </w:rPr>
        <w:t>附表1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项目人员情况一览表</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921"/>
        <w:gridCol w:w="922"/>
        <w:gridCol w:w="1417"/>
        <w:gridCol w:w="1276"/>
        <w:gridCol w:w="11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top w:val="double" w:color="auto" w:sz="4" w:space="0"/>
              <w:left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851"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类别</w:t>
            </w:r>
          </w:p>
        </w:tc>
        <w:tc>
          <w:tcPr>
            <w:tcW w:w="921"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姓名</w:t>
            </w:r>
          </w:p>
        </w:tc>
        <w:tc>
          <w:tcPr>
            <w:tcW w:w="922"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学历</w:t>
            </w:r>
          </w:p>
        </w:tc>
        <w:tc>
          <w:tcPr>
            <w:tcW w:w="1417"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岗位及职务</w:t>
            </w:r>
          </w:p>
        </w:tc>
        <w:tc>
          <w:tcPr>
            <w:tcW w:w="1276" w:type="dxa"/>
            <w:tcBorders>
              <w:top w:val="double" w:color="auto" w:sz="4" w:space="0"/>
            </w:tcBorders>
            <w:shd w:val="clear" w:color="auto" w:fill="C6D9F0" w:themeFill="text2" w:themeFillTint="33"/>
            <w:vAlign w:val="center"/>
          </w:tcPr>
          <w:p>
            <w:pPr>
              <w:spacing w:line="276" w:lineRule="auto"/>
              <w:ind w:right="-53" w:rightChars="-25"/>
              <w:jc w:val="center"/>
              <w:rPr>
                <w:rFonts w:cs="仿宋" w:asciiTheme="minorEastAsia" w:hAnsiTheme="minorEastAsia" w:eastAsiaTheme="minorEastAsia"/>
                <w:b/>
              </w:rPr>
            </w:pPr>
            <w:r>
              <w:rPr>
                <w:rFonts w:hint="eastAsia" w:cs="仿宋" w:asciiTheme="minorEastAsia" w:hAnsiTheme="minorEastAsia" w:eastAsiaTheme="minorEastAsia"/>
                <w:b/>
              </w:rPr>
              <w:t>持何种资格证件</w:t>
            </w:r>
          </w:p>
        </w:tc>
        <w:tc>
          <w:tcPr>
            <w:tcW w:w="1134"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发证时间</w:t>
            </w:r>
          </w:p>
        </w:tc>
        <w:tc>
          <w:tcPr>
            <w:tcW w:w="1326" w:type="dxa"/>
            <w:tcBorders>
              <w:top w:val="double" w:color="auto" w:sz="4" w:space="0"/>
              <w:right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851"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项目负责人</w:t>
            </w: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2</w:t>
            </w:r>
          </w:p>
        </w:tc>
        <w:tc>
          <w:tcPr>
            <w:tcW w:w="851" w:type="dxa"/>
            <w:vMerge w:val="restar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项目团队成员</w:t>
            </w: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3</w:t>
            </w:r>
          </w:p>
        </w:tc>
        <w:tc>
          <w:tcPr>
            <w:tcW w:w="851" w:type="dxa"/>
            <w:vMerge w:val="continue"/>
            <w:vAlign w:val="center"/>
          </w:tcPr>
          <w:p>
            <w:pPr>
              <w:spacing w:line="360" w:lineRule="auto"/>
              <w:jc w:val="center"/>
              <w:rPr>
                <w:rFonts w:cs="仿宋" w:asciiTheme="minorEastAsia" w:hAnsiTheme="minorEastAsia" w:eastAsiaTheme="minorEastAsia"/>
              </w:rPr>
            </w:pP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4</w:t>
            </w:r>
          </w:p>
        </w:tc>
        <w:tc>
          <w:tcPr>
            <w:tcW w:w="851" w:type="dxa"/>
            <w:vMerge w:val="continue"/>
            <w:vAlign w:val="center"/>
          </w:tcPr>
          <w:p>
            <w:pPr>
              <w:spacing w:line="360" w:lineRule="auto"/>
              <w:jc w:val="center"/>
              <w:rPr>
                <w:rFonts w:cs="仿宋" w:asciiTheme="minorEastAsia" w:hAnsiTheme="minorEastAsia" w:eastAsiaTheme="minorEastAsia"/>
              </w:rPr>
            </w:pP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bottom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5</w:t>
            </w:r>
          </w:p>
        </w:tc>
        <w:tc>
          <w:tcPr>
            <w:tcW w:w="851" w:type="dxa"/>
            <w:vMerge w:val="continue"/>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921"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922"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417"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276"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134"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326" w:type="dxa"/>
            <w:tcBorders>
              <w:bottom w:val="double" w:color="auto" w:sz="4" w:space="0"/>
              <w:right w:val="double" w:color="auto" w:sz="4" w:space="0"/>
            </w:tcBorders>
            <w:vAlign w:val="center"/>
          </w:tcPr>
          <w:p>
            <w:pPr>
              <w:spacing w:line="360" w:lineRule="auto"/>
              <w:jc w:val="center"/>
              <w:rPr>
                <w:rFonts w:cs="仿宋" w:asciiTheme="minorEastAsia" w:hAnsiTheme="minorEastAsia" w:eastAsiaTheme="minorEastAsia"/>
              </w:rPr>
            </w:pPr>
          </w:p>
        </w:tc>
      </w:tr>
    </w:tbl>
    <w:p>
      <w:pPr>
        <w:jc w:val="center"/>
        <w:rPr>
          <w:rFonts w:cs="仿宋" w:asciiTheme="minorEastAsia" w:hAnsiTheme="minorEastAsia" w:eastAsiaTheme="minorEastAsia"/>
          <w:b/>
          <w:sz w:val="32"/>
          <w:szCs w:val="32"/>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autoSpaceDE w:val="0"/>
        <w:autoSpaceDN w:val="0"/>
        <w:adjustRightInd w:val="0"/>
        <w:spacing w:line="360" w:lineRule="auto"/>
        <w:rPr>
          <w:rFonts w:cs="仿宋" w:asciiTheme="minorEastAsia" w:hAnsiTheme="minorEastAsia" w:eastAsiaTheme="minorEastAsia"/>
          <w:b/>
          <w:color w:val="FF0000"/>
          <w:sz w:val="22"/>
        </w:rPr>
      </w:pPr>
    </w:p>
    <w:p>
      <w:pPr>
        <w:autoSpaceDE w:val="0"/>
        <w:autoSpaceDN w:val="0"/>
        <w:adjustRightInd w:val="0"/>
        <w:spacing w:line="360" w:lineRule="auto"/>
        <w:rPr>
          <w:rFonts w:cs="仿宋" w:asciiTheme="minorEastAsia" w:hAnsiTheme="minorEastAsia" w:eastAsiaTheme="minorEastAsia"/>
          <w:b/>
          <w:color w:val="FF0000"/>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color w:val="FF0000"/>
        </w:rPr>
        <w:t xml:space="preserve"> </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2、有关人员简历及身份证、资格证书及其它证明材料（复印件）需附在本表之后。</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3、本表格所要求填写的人员是指投标单位将安排在此项目的具体人员。</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tabs>
          <w:tab w:val="left" w:pos="170"/>
        </w:tabs>
        <w:autoSpaceDE w:val="0"/>
        <w:autoSpaceDN w:val="0"/>
        <w:adjustRightInd w:val="0"/>
        <w:spacing w:line="360" w:lineRule="auto"/>
        <w:ind w:firstLine="321" w:firstLineChars="100"/>
        <w:jc w:val="center"/>
        <w:rPr>
          <w:rFonts w:cs="仿宋" w:asciiTheme="minorEastAsia" w:hAnsiTheme="minorEastAsia" w:eastAsiaTheme="minorEastAsia"/>
        </w:rPr>
      </w:pPr>
      <w:r>
        <w:rPr>
          <w:rFonts w:hint="eastAsia" w:cs="仿宋" w:asciiTheme="minorEastAsia" w:hAnsiTheme="minorEastAsia" w:eastAsiaTheme="minorEastAsia"/>
          <w:b/>
          <w:sz w:val="32"/>
          <w:szCs w:val="32"/>
        </w:rPr>
        <w:t xml:space="preserve">格式7  </w:t>
      </w:r>
      <w:r>
        <w:rPr>
          <w:rFonts w:hint="eastAsia" w:cs="仿宋" w:asciiTheme="minorEastAsia" w:hAnsiTheme="minorEastAsia" w:eastAsiaTheme="minorEastAsia"/>
          <w:b/>
          <w:bCs/>
          <w:sz w:val="32"/>
          <w:szCs w:val="32"/>
        </w:rPr>
        <w:t>差异表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u w:val="single"/>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835"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征集文件条款</w:t>
            </w:r>
          </w:p>
        </w:tc>
        <w:tc>
          <w:tcPr>
            <w:tcW w:w="2126"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投标文件投标情况</w:t>
            </w:r>
          </w:p>
        </w:tc>
        <w:tc>
          <w:tcPr>
            <w:tcW w:w="2602"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说明</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835"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 xml:space="preserve"> “第二部分采购项目需求”全部采购项目需求条款</w:t>
            </w:r>
          </w:p>
        </w:tc>
        <w:tc>
          <w:tcPr>
            <w:tcW w:w="2126"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全部满足</w:t>
            </w:r>
          </w:p>
        </w:tc>
        <w:tc>
          <w:tcPr>
            <w:tcW w:w="2602"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如采购需求要求提供证明材料的，请附在本表后面</w:t>
            </w:r>
          </w:p>
        </w:tc>
      </w:tr>
    </w:tbl>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投标文件的技术与商务部分与征集文件有偏差（甚至是细微偏差），都需在本表中列出。</w:t>
      </w:r>
    </w:p>
    <w:p>
      <w:pPr>
        <w:rPr>
          <w:rFonts w:cs="仿宋" w:asciiTheme="minorEastAsia" w:hAnsiTheme="minorEastAsia" w:eastAsiaTheme="minorEastAsia"/>
          <w:bCs/>
        </w:rPr>
      </w:pPr>
    </w:p>
    <w:p>
      <w:pPr>
        <w:rPr>
          <w:rFonts w:cs="仿宋" w:asciiTheme="minorEastAsia" w:hAnsiTheme="minorEastAsia" w:eastAsiaTheme="minorEastAsia"/>
          <w:bCs/>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pStyle w:val="18"/>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rPr>
      </w:pPr>
    </w:p>
    <w:p>
      <w:pPr>
        <w:widowControl/>
        <w:jc w:val="left"/>
        <w:rPr>
          <w:rFonts w:cs="仿宋" w:asciiTheme="minorEastAsia" w:hAnsiTheme="minorEastAsia" w:eastAsiaTheme="minorEastAsia"/>
        </w:rPr>
      </w:pPr>
    </w:p>
    <w:p>
      <w:pPr>
        <w:pStyle w:val="18"/>
        <w:rPr>
          <w:rFonts w:cs="仿宋" w:asciiTheme="minorEastAsia" w:hAnsiTheme="minorEastAsia" w:eastAsiaTheme="minorEastAsia"/>
        </w:rPr>
      </w:pPr>
    </w:p>
    <w:p>
      <w:pPr>
        <w:pStyle w:val="18"/>
        <w:rPr>
          <w:rFonts w:cs="仿宋" w:asciiTheme="minorEastAsia" w:hAnsiTheme="minorEastAsia" w:eastAsiaTheme="minorEastAsia"/>
        </w:rPr>
      </w:pPr>
    </w:p>
    <w:p>
      <w:pPr>
        <w:pStyle w:val="18"/>
        <w:rPr>
          <w:rFonts w:cs="仿宋" w:asciiTheme="minorEastAsia" w:hAnsiTheme="minorEastAsia" w:eastAsiaTheme="minorEastAsia"/>
        </w:rPr>
      </w:pPr>
    </w:p>
    <w:p>
      <w:pP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br w:type="page"/>
      </w:r>
    </w:p>
    <w:p>
      <w:pPr>
        <w:jc w:val="center"/>
        <w:rPr>
          <w:rFonts w:cs="仿宋" w:asciiTheme="minorEastAsia" w:hAnsiTheme="minorEastAsia" w:eastAsiaTheme="minorEastAsia"/>
          <w:b/>
          <w:bCs/>
          <w:sz w:val="28"/>
          <w:szCs w:val="32"/>
        </w:rPr>
      </w:pPr>
      <w:r>
        <w:rPr>
          <w:rFonts w:hint="eastAsia" w:cs="仿宋" w:asciiTheme="minorEastAsia" w:hAnsiTheme="minorEastAsia" w:eastAsiaTheme="minorEastAsia"/>
          <w:b/>
          <w:sz w:val="28"/>
          <w:szCs w:val="32"/>
        </w:rPr>
        <w:t xml:space="preserve">格式8  </w:t>
      </w:r>
      <w:r>
        <w:rPr>
          <w:rFonts w:hint="eastAsia" w:cs="仿宋" w:asciiTheme="minorEastAsia" w:hAnsiTheme="minorEastAsia" w:eastAsiaTheme="minorEastAsia"/>
          <w:b/>
          <w:bCs/>
          <w:sz w:val="28"/>
          <w:szCs w:val="32"/>
        </w:rPr>
        <w:t>其他征集文件要求的资料或投标供应商认为需要补充的资料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bCs/>
        </w:rPr>
      </w:pPr>
      <w:r>
        <w:rPr>
          <w:rFonts w:hint="eastAsia" w:cs="仿宋" w:asciiTheme="minorEastAsia" w:hAnsiTheme="minorEastAsia" w:eastAsiaTheme="minorEastAsia"/>
          <w:bCs/>
        </w:rPr>
        <w:t>投标供应商须按要求编制投标文件，提供的内容要详细、真实、可靠。若提供的资料不齐，将导致扣分；若严重缺项、漏项，其投标将被拒绝。</w:t>
      </w:r>
    </w:p>
    <w:p>
      <w:pPr>
        <w:rPr>
          <w:rFonts w:cs="仿宋" w:asciiTheme="minorEastAsia" w:hAnsiTheme="minorEastAsia" w:eastAsiaTheme="minorEastAsia"/>
          <w:bCs/>
        </w:rPr>
      </w:pPr>
    </w:p>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如需提供补充资料，本部分资料格式不做统一规定，由投标供应商自行设计。</w:t>
      </w:r>
    </w:p>
    <w:p>
      <w:pPr>
        <w:widowControl/>
        <w:jc w:val="left"/>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第四部分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合同条款</w:t>
      </w:r>
    </w:p>
    <w:p>
      <w:pPr>
        <w:pStyle w:val="39"/>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b/>
          <w:bCs/>
          <w:snapToGrid w:val="0"/>
          <w:sz w:val="32"/>
          <w:szCs w:val="32"/>
        </w:rPr>
      </w:pPr>
      <w:r>
        <w:rPr>
          <w:rFonts w:hint="eastAsia" w:cs="仿宋" w:asciiTheme="minorEastAsia" w:hAnsiTheme="minorEastAsia" w:eastAsiaTheme="minorEastAsia"/>
          <w:b/>
          <w:bCs/>
          <w:snapToGrid w:val="0"/>
          <w:sz w:val="32"/>
          <w:szCs w:val="32"/>
        </w:rPr>
        <w:t>（仅供参考）</w:t>
      </w:r>
    </w:p>
    <w:p>
      <w:pPr>
        <w:spacing w:line="360" w:lineRule="auto"/>
        <w:ind w:firstLine="482" w:firstLineChars="200"/>
        <w:rPr>
          <w:rFonts w:ascii="Times New Roman" w:hAnsi="Times New Roman"/>
          <w:b/>
          <w:sz w:val="24"/>
          <w:szCs w:val="20"/>
        </w:rPr>
      </w:pPr>
      <w:r>
        <w:rPr>
          <w:rFonts w:hint="eastAsia" w:ascii="Times New Roman" w:hAnsi="Times New Roman"/>
          <w:b/>
          <w:sz w:val="24"/>
          <w:szCs w:val="20"/>
        </w:rPr>
        <w:t>重要说明：采购人在签订合同前有权依据征集文件要求和项目实际情况对以下合同内容进行删改或补充。</w:t>
      </w:r>
    </w:p>
    <w:p>
      <w:pPr>
        <w:spacing w:line="360" w:lineRule="auto"/>
        <w:ind w:firstLine="482" w:firstLineChars="200"/>
        <w:rPr>
          <w:rFonts w:ascii="Times New Roman" w:hAnsi="Times New Roman"/>
          <w:b/>
          <w:sz w:val="24"/>
          <w:szCs w:val="20"/>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采购项目（项目编号__________________）的中标结果，由_______________________单位为中标人。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napToGrid w:val="0"/>
        <w:spacing w:line="360" w:lineRule="auto"/>
        <w:ind w:firstLine="422" w:firstLineChars="200"/>
        <w:rPr>
          <w:rFonts w:ascii="宋体" w:hAnsi="宋体"/>
          <w:b/>
          <w:szCs w:val="21"/>
        </w:rPr>
      </w:pPr>
      <w:r>
        <w:rPr>
          <w:rFonts w:hint="eastAsia" w:ascii="宋体"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snapToGrid w:val="0"/>
        <w:spacing w:line="360" w:lineRule="auto"/>
        <w:ind w:firstLine="422" w:firstLineChars="200"/>
        <w:rPr>
          <w:rFonts w:ascii="宋体" w:hAnsi="宋体"/>
          <w:b/>
          <w:szCs w:val="21"/>
        </w:rPr>
      </w:pPr>
      <w:r>
        <w:rPr>
          <w:rFonts w:hint="eastAsia" w:ascii="宋体" w:hAnsi="宋体"/>
          <w:b/>
          <w:szCs w:val="21"/>
        </w:rPr>
        <w:t>二、合同金额</w:t>
      </w:r>
    </w:p>
    <w:p>
      <w:pPr>
        <w:snapToGrid w:val="0"/>
        <w:spacing w:line="360" w:lineRule="auto"/>
        <w:ind w:firstLine="420" w:firstLineChars="200"/>
        <w:rPr>
          <w:rFonts w:ascii="宋体" w:hAnsi="宋体"/>
          <w:szCs w:val="21"/>
        </w:rPr>
      </w:pPr>
      <w:r>
        <w:rPr>
          <w:rFonts w:hint="eastAsia" w:ascii="宋体" w:hAnsi="宋体"/>
          <w:szCs w:val="21"/>
        </w:rPr>
        <w:t>本合同金额为（大写）：____________________________________元（￥_______________元）人民币。</w:t>
      </w:r>
    </w:p>
    <w:p>
      <w:pPr>
        <w:snapToGrid w:val="0"/>
        <w:spacing w:line="360" w:lineRule="auto"/>
        <w:ind w:firstLine="422" w:firstLineChars="200"/>
        <w:rPr>
          <w:rFonts w:ascii="宋体" w:hAnsi="宋体"/>
          <w:b/>
          <w:szCs w:val="21"/>
        </w:rPr>
      </w:pPr>
      <w:r>
        <w:rPr>
          <w:rFonts w:hint="eastAsia" w:ascii="宋体" w:hAnsi="宋体"/>
          <w:b/>
          <w:szCs w:val="21"/>
        </w:rPr>
        <w:t>三、技术资料</w:t>
      </w:r>
    </w:p>
    <w:p>
      <w:pPr>
        <w:snapToGrid w:val="0"/>
        <w:spacing w:line="360" w:lineRule="auto"/>
        <w:ind w:firstLine="420" w:firstLineChars="200"/>
        <w:rPr>
          <w:rFonts w:ascii="宋体" w:hAnsi="宋体"/>
          <w:szCs w:val="21"/>
        </w:rPr>
      </w:pPr>
      <w:r>
        <w:rPr>
          <w:rFonts w:hint="eastAsia" w:ascii="宋体" w:hAnsi="宋体"/>
          <w:szCs w:val="21"/>
        </w:rPr>
        <w:t>1、中标人应按征集文件规定的时间向采购人提供有关技术资料。</w:t>
      </w:r>
    </w:p>
    <w:p>
      <w:pPr>
        <w:snapToGrid w:val="0"/>
        <w:spacing w:line="360" w:lineRule="auto"/>
        <w:ind w:firstLine="420" w:firstLineChars="200"/>
        <w:rPr>
          <w:rFonts w:ascii="宋体" w:hAnsi="宋体"/>
          <w:szCs w:val="21"/>
        </w:rPr>
      </w:pPr>
      <w:r>
        <w:rPr>
          <w:rFonts w:hint="eastAsia" w:ascii="宋体"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Cs w:val="21"/>
        </w:rPr>
      </w:pPr>
      <w:r>
        <w:rPr>
          <w:rFonts w:hint="eastAsia" w:ascii="宋体" w:hAnsi="宋体"/>
          <w:szCs w:val="21"/>
        </w:rPr>
        <w:t>3、合同履行完毕，未经采购人的书面同意，中标人不得保存在履行合同过程中所获得或接触到的任何内部数据资料。</w:t>
      </w:r>
    </w:p>
    <w:p>
      <w:pPr>
        <w:snapToGrid w:val="0"/>
        <w:spacing w:line="360" w:lineRule="auto"/>
        <w:ind w:firstLine="422" w:firstLineChars="200"/>
        <w:rPr>
          <w:rFonts w:ascii="宋体" w:hAnsi="宋体"/>
          <w:b/>
          <w:szCs w:val="21"/>
        </w:rPr>
      </w:pPr>
      <w:r>
        <w:rPr>
          <w:rFonts w:hint="eastAsia" w:ascii="宋体" w:hAnsi="宋体"/>
          <w:b/>
          <w:szCs w:val="21"/>
        </w:rPr>
        <w:t>四、知识产权</w:t>
      </w:r>
    </w:p>
    <w:p>
      <w:pPr>
        <w:snapToGrid w:val="0"/>
        <w:spacing w:line="360" w:lineRule="auto"/>
        <w:ind w:firstLine="420" w:firstLineChars="200"/>
        <w:rPr>
          <w:rFonts w:ascii="宋体" w:hAnsi="宋体"/>
          <w:bCs/>
          <w:szCs w:val="21"/>
        </w:rPr>
      </w:pPr>
      <w:r>
        <w:rPr>
          <w:rFonts w:hint="eastAsia" w:ascii="宋体" w:hAnsi="宋体"/>
          <w:szCs w:val="21"/>
        </w:rPr>
        <w:t>中标人应保证提供服务过程中不会侵犯任何第三方的知识产权</w:t>
      </w:r>
      <w:r>
        <w:rPr>
          <w:rFonts w:hint="eastAsia" w:ascii="宋体" w:hAnsi="宋体"/>
          <w:bCs/>
          <w:szCs w:val="21"/>
        </w:rPr>
        <w:t>。</w:t>
      </w:r>
    </w:p>
    <w:p>
      <w:pPr>
        <w:snapToGrid w:val="0"/>
        <w:spacing w:line="360" w:lineRule="auto"/>
        <w:ind w:firstLine="422" w:firstLineChars="200"/>
        <w:rPr>
          <w:rFonts w:ascii="宋体" w:hAnsi="宋体"/>
          <w:b/>
          <w:szCs w:val="21"/>
        </w:rPr>
      </w:pPr>
      <w:r>
        <w:rPr>
          <w:rFonts w:hint="eastAsia" w:ascii="宋体"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八、合同履行时间、履行方式及履行地点</w:t>
      </w:r>
    </w:p>
    <w:p>
      <w:pPr>
        <w:snapToGrid w:val="0"/>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履行时间</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履行方式</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履行地点</w:t>
      </w:r>
      <w:r>
        <w:rPr>
          <w:rFonts w:hint="eastAsia" w:ascii="宋体" w:hAnsi="宋体"/>
          <w:bCs/>
          <w:szCs w:val="21"/>
        </w:rPr>
        <w:t>：</w:t>
      </w:r>
      <w:r>
        <w:rPr>
          <w:rFonts w:hint="eastAsia" w:ascii="宋体"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3、验收依据为征集文件、中标人投标文件，国家和行业有关规范、规程和标准。</w:t>
      </w:r>
    </w:p>
    <w:p>
      <w:pPr>
        <w:snapToGrid w:val="0"/>
        <w:spacing w:line="360" w:lineRule="auto"/>
        <w:ind w:firstLine="422" w:firstLineChars="200"/>
        <w:rPr>
          <w:rFonts w:ascii="宋体" w:hAnsi="宋体"/>
          <w:b/>
          <w:szCs w:val="21"/>
        </w:rPr>
      </w:pPr>
      <w:r>
        <w:rPr>
          <w:rFonts w:hint="eastAsia" w:ascii="宋体" w:hAnsi="宋体"/>
          <w:b/>
          <w:szCs w:val="21"/>
        </w:rPr>
        <w:t>十、付款方式和税费</w:t>
      </w:r>
    </w:p>
    <w:p>
      <w:pPr>
        <w:snapToGrid w:val="0"/>
        <w:spacing w:line="360" w:lineRule="auto"/>
        <w:ind w:firstLine="420" w:firstLineChars="200"/>
        <w:rPr>
          <w:rFonts w:ascii="宋体" w:hAnsi="宋体"/>
          <w:bCs/>
          <w:szCs w:val="21"/>
        </w:rPr>
      </w:pPr>
      <w:r>
        <w:rPr>
          <w:rFonts w:ascii="宋体" w:hAnsi="宋体" w:cs="宋体"/>
          <w:szCs w:val="21"/>
        </w:rPr>
        <w:t>本合同付款方式为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snapToGrid w:val="0"/>
        <w:spacing w:line="360" w:lineRule="auto"/>
        <w:ind w:firstLine="422" w:firstLineChars="200"/>
        <w:rPr>
          <w:rFonts w:ascii="宋体" w:hAnsi="宋体"/>
          <w:b/>
          <w:szCs w:val="21"/>
        </w:rPr>
      </w:pPr>
      <w:r>
        <w:rPr>
          <w:rFonts w:hint="eastAsia" w:ascii="宋体" w:hAnsi="宋体"/>
          <w:b/>
          <w:szCs w:val="21"/>
        </w:rPr>
        <w:t>十二、违约责任</w:t>
      </w:r>
    </w:p>
    <w:p>
      <w:pPr>
        <w:snapToGrid w:val="0"/>
        <w:spacing w:line="360" w:lineRule="auto"/>
        <w:ind w:firstLine="420" w:firstLineChars="200"/>
        <w:rPr>
          <w:rFonts w:ascii="宋体" w:hAnsi="宋体"/>
          <w:szCs w:val="21"/>
        </w:rPr>
      </w:pPr>
      <w:r>
        <w:rPr>
          <w:rFonts w:hint="eastAsia" w:ascii="宋体" w:hAnsi="宋体"/>
          <w:szCs w:val="21"/>
        </w:rPr>
        <w:t>1、因中标人原因，未能按规定完成本项目有关工作的，采购人可在支付合同余款中扣除合同价款</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1、本合同与征集文件、中标人投标文件如有抵触之处，以本合同条款为准。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（1）征集文件、答疑及补充通知；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snapToGrid w:val="0"/>
        <w:spacing w:line="360" w:lineRule="auto"/>
        <w:ind w:firstLine="420" w:firstLineChars="200"/>
        <w:rPr>
          <w:rFonts w:ascii="宋体" w:hAnsi="宋体"/>
          <w:szCs w:val="21"/>
        </w:rPr>
      </w:pPr>
      <w:r>
        <w:rPr>
          <w:rFonts w:hint="eastAsia" w:ascii="宋体"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3、《征集文件》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spacing w:line="360" w:lineRule="auto"/>
        <w:ind w:firstLine="420" w:firstLineChars="200"/>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第五部分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通用条款（投标须知）</w:t>
      </w:r>
    </w:p>
    <w:p>
      <w:pPr>
        <w:adjustRightInd w:val="0"/>
        <w:spacing w:line="360" w:lineRule="auto"/>
        <w:jc w:val="center"/>
        <w:rPr>
          <w:rFonts w:cs="仿宋" w:asciiTheme="minorEastAsia" w:hAnsiTheme="minorEastAsia" w:eastAsiaTheme="minorEastAsia"/>
          <w:b/>
          <w:snapToGrid w:val="0"/>
          <w:kern w:val="0"/>
          <w:sz w:val="32"/>
          <w:szCs w:val="32"/>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Ａ  说  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本征集文件仅适用于投标须知前附表（以下简称“前附表”）第1项所叙述项目的货物、工程及服务采购。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“投标供应商”系指向</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提交投标文件的投标供应商。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“服务”系指征集文件规定卖方须承担设计和其它类似的义务。</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4. 合格的投标供应商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以下有关联合体投标的条款仅适用于允许投标供应商组成联合体投标的项目。是否允许联合体投标以“前附表”中的规定或说明为准。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由两个或两个以上的自然人、法人或者其他组织可以组成一个联合体，以一个投标供应商的身份共同投标时，应符合以下原则：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（3）联合体中有同类资质的投标供应商按照联合体分工承担相同工作的，应当按照资质等级较低的投标供应商确定资质等级。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（4）是否允许联合体参加投标，应当由采购人和采购代理机构根据项目的实际情况和潜在投标供应商的数量自主决定，如果决定接受联合体投标则应当在采购公告中明示。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供应商特定条件的，联合体各方中至少应当有一方符合采购人规定的特定条件。对于采购公告对投标供应商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（6）投标供应商的投标文件及中标后签署的合同协议对联合体各方均具法律约束力；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供应商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（11）本次采购中“投标供应商”一词亦指联合体各方，“前附表”另有规定或说明的除外。</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无论采购过程中的做法和结果如何，投标供应商自行承担所有与参加采购活动有关的全部费用。</w:t>
      </w:r>
    </w:p>
    <w:p>
      <w:pPr>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将按前附表第6项的规定，组织投标供应商对现场及周围环境进行踏勘，以便投标供应商获取须自己负责的有关编制投标文件和签署合同所需的所有资料。踏勘现场所发生的费用由投标供应商自己承担。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6.2 </w:t>
      </w:r>
      <w:r>
        <w:rPr>
          <w:rFonts w:hint="eastAsia" w:cs="仿宋" w:asciiTheme="minorEastAsia" w:hAnsiTheme="minorEastAsia" w:eastAsiaTheme="minorEastAsia"/>
          <w:bCs/>
          <w:szCs w:val="21"/>
        </w:rPr>
        <w:t xml:space="preserve"> 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向投标供应商提供的有关现场的资料和数据，是</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现有的能使投标供应商利用的资料。</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对投标供应商由此而做出的推论、理解和结论概不负责。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投标供应商及其人员经过</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zCs w:val="21"/>
        </w:rPr>
        <w:t>的现场，但投标供应商及其人员不得因此使</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及其人员承担有关的责任和蒙受损失。投标供应商并应对由此次踏勘现场面造成的死亡、人身伤害、财产损失、损害以及任何其它损失、损害和引起的费用和开支承担责任。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如果投标供应商认为需要再次进行现场踏勘，</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将予以支持，费用自理。</w:t>
      </w:r>
    </w:p>
    <w:p>
      <w:pPr>
        <w:rPr>
          <w:rFonts w:cs="仿宋" w:asciiTheme="minorEastAsia" w:hAnsiTheme="minorEastAsia" w:eastAsiaTheme="minorEastAsia"/>
        </w:rPr>
      </w:pPr>
      <w:bookmarkStart w:id="6" w:name="q5"/>
      <w:bookmarkEnd w:id="6"/>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Ｂ　征集文件说明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7. 征集文件的构成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征集文件是用以阐明所需设备及服务的情况，以及采购、投标程序和相应的合同条款。征集文件由下述部份组成：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8.  征集文件的澄清及修改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投标供应商对征集文件如有疑点，可要求澄清，应在投标截止日5日前按采购公告中载明的地址以书面形式（包括信函、传真，下同）通知到采购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将视情况确定采用适当方式予以澄清或以书面形式予以答复，并在其认为必要时，将不标明查询来源的书面答复发给已购买征集文件的每一投标供应商。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可依据投标供应商要求澄清的问题修改征集文件，并以书面形式通知所有购买征集文件的每一投标供应商，对方在收到该通知后应立即以书面的形式予以确认。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为了使投标供应商在准备投标文件时有合理的时间考虑征集文件的修改，采购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可酌情推迟投标截止时间和开标时间，并以书面形式通知已购买征集文件的每一投标供应商。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征集文件的修改将构成征集文件的一部分，对投标供应商有约束力。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b/>
          <w:snapToGrid w:val="0"/>
          <w:kern w:val="0"/>
          <w:sz w:val="32"/>
          <w:szCs w:val="32"/>
        </w:rPr>
      </w:pPr>
      <w:bookmarkStart w:id="7" w:name="q6"/>
      <w:bookmarkEnd w:id="7"/>
      <w:r>
        <w:rPr>
          <w:rFonts w:hint="eastAsia" w:cs="仿宋" w:asciiTheme="minorEastAsia" w:hAnsiTheme="minorEastAsia" w:eastAsiaTheme="minorEastAsia"/>
          <w:b/>
          <w:snapToGrid w:val="0"/>
          <w:kern w:val="0"/>
          <w:sz w:val="32"/>
          <w:szCs w:val="32"/>
        </w:rPr>
        <w:t>Ｃ  投标文件的编写</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投标文件及投标供应商和采购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除在征集文件的设计思路和方案中另有规定外，计量单位应使用中华人民共和国法定计量单位（国际单位制和国家选定的其他计量单位）。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（5）投标供应商资格证明文件（格式2）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（9）服务方案（格式6）</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（10）差异表（格式7）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bCs/>
          <w:snapToGrid w:val="0"/>
          <w:kern w:val="0"/>
          <w:szCs w:val="21"/>
        </w:rPr>
        <w:t>（11）其他</w:t>
      </w:r>
      <w:r>
        <w:rPr>
          <w:rFonts w:hint="eastAsia" w:cs="仿宋" w:asciiTheme="minorEastAsia" w:hAnsiTheme="minorEastAsia" w:eastAsiaTheme="minorEastAsia"/>
          <w:snapToGrid w:val="0"/>
          <w:kern w:val="0"/>
          <w:szCs w:val="21"/>
        </w:rPr>
        <w:t>征集文件</w:t>
      </w:r>
      <w:r>
        <w:rPr>
          <w:rFonts w:hint="eastAsia" w:cs="仿宋" w:asciiTheme="minorEastAsia" w:hAnsiTheme="minorEastAsia" w:eastAsiaTheme="minorEastAsia"/>
          <w:bCs/>
          <w:snapToGrid w:val="0"/>
          <w:kern w:val="0"/>
          <w:szCs w:val="21"/>
        </w:rPr>
        <w:t>要求的资料或投标供应商认为需要补充的资料</w:t>
      </w:r>
      <w:r>
        <w:rPr>
          <w:rFonts w:hint="eastAsia" w:cs="仿宋" w:asciiTheme="minorEastAsia" w:hAnsiTheme="minorEastAsia" w:eastAsiaTheme="minorEastAsia"/>
          <w:snapToGrid w:val="0"/>
          <w:kern w:val="0"/>
          <w:szCs w:val="21"/>
        </w:rPr>
        <w:t>（格式8）</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投标文件必须毫无遗漏地包括本须知第10条规定的内容，投标供应商提交的投标文件必须毫无例外地使用征集文件所提供投标文件格式（表格可以按同样格式扩展）。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color w:val="FF0000"/>
          <w:kern w:val="0"/>
          <w:szCs w:val="21"/>
          <w:highlight w:val="yellow"/>
        </w:rPr>
        <w:t>注：如征集文件第三部分投标格式与本须知第10条规定的内容不一致，以投标文件第三部分投标格式为准。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投标供应商应在征集文件所附的“开标一览表”（格式3）和“报价表”（格式4）上写明投标货物的单价和投标总价。投标供应商对每种项目只允许有一个报价，采购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以其它方式签订合同的权力。</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13. 投标供应商资格的证明文件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投标供应商必须提交证明其有资格进行投标，和中标后有能力履行合同的证明文件（格式1与格式2），作为投标文件的一部份。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可于投标有效期期满之前，要求投标供应商同意延长投标有效期。投标供应商可以拒绝或同意上述要求，但要求与答复均须是书面文件。对于同意该要求的投标供应商，采购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既不要求也不允许其修改投标文件。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投标供应商应向采购代理机构提交一笔不少于前附表第8项所规定的项目保证金，以到账为准。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项目保证金用于保护本次采购免受投标供应商的行为而引起的风险。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项目保证金应以支票、汇票、本票或采购机构能够接受的银行保函等其它非现金形式提交。（注：必须从投标供应商基本账户转出，否则其投标无效。）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未中标的投标供应商的项目保证金，采购代理机构将在中标通知书发出且收到投标供应商的《项目保证金退还申请表》后5个工作日内退还。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（1）投标供应商在投标有效期内撤销投标文件；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（3）投标供应商串通投标或者以其他弄虚作假方式投标；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7"/>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16. 投标预备会（</w:t>
      </w:r>
      <w:r>
        <w:rPr>
          <w:rFonts w:hint="eastAsia" w:cs="仿宋" w:asciiTheme="minorEastAsia" w:hAnsiTheme="minorEastAsia" w:eastAsiaTheme="minorEastAsia"/>
          <w:b/>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认为有必要召开投标预备会，投标供应商应按照前附表第9项规定的或采购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另行书面通知的时间和地点，派出代表出席采购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投标预备会的目的是澄清、解答投标供应商在查阅征集文件后和现场踏勘中可能提出的任何方面的问题。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投标供应商提出的与投标有关的任何采购问题须以书面形式给采购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在投标预备会上所做出的澄清和解答，以书面答复为准，投标供应商在收到投标答疑纪要时应以书面形式予以确认。答疑纪要的有效性规定按照本须知第8.2、8.4款规定执行。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未出席投标预备会不作为否定投标供应商资格的理由。</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除投标供应商对错处做必要修改外，投标文件中不许有加行、涂抹或改写，如有修改遗漏处，必须由投标供应商法定代表人或其授权代表签字和盖章。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jc w:val="center"/>
        <w:rPr>
          <w:rFonts w:cs="仿宋" w:asciiTheme="minorEastAsia" w:hAnsiTheme="minorEastAsia" w:eastAsiaTheme="minorEastAsia"/>
          <w:b/>
          <w:snapToGrid w:val="0"/>
          <w:kern w:val="0"/>
          <w:sz w:val="32"/>
          <w:szCs w:val="32"/>
        </w:rPr>
      </w:pPr>
      <w:bookmarkStart w:id="8" w:name="q7"/>
      <w:bookmarkEnd w:id="8"/>
      <w:r>
        <w:rPr>
          <w:rFonts w:hint="eastAsia" w:cs="仿宋" w:asciiTheme="minorEastAsia" w:hAnsiTheme="minorEastAsia" w:eastAsiaTheme="minorEastAsia"/>
          <w:b/>
          <w:snapToGrid w:val="0"/>
          <w:kern w:val="0"/>
          <w:sz w:val="32"/>
          <w:szCs w:val="32"/>
        </w:rPr>
        <w:t>Ｄ   投标文件的递交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18.3投标供应商应将投标文件正文扫描件电子档单独密封于一信封，在信封上注明“备份电子档”。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投标供应商应将“法定代表人（负责人）证明书、法定代表人（负责人）授权委托书”和“开标一览表”密封于一信封，在递交投标文件时单独交与采购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除了按本须知第18.4、18.5款所要求的识别字样外，在所有投标文件密封袋上还应写明投标供应商的名称与地址、邮政编码，以便投标按本须知第20条宣布“迟到”时，投标文件可以原封退回；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将拒收或者告知投标供应商，采购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将不承担投标文件错放或提前开封的责任。对由此造成的提前开封的投标文件将予以拒绝，并退还给投标供应商；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所有投标文件的密封袋的封口处应加盖投标供应商印章。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投标文件需由专人送交。投标供应商应按本投标须知第18.1至18.8款中的规定进行密封和标记后，将投标文件按照前附表第11项中注明的地址送至采购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投标供应商按征集文件要求如需提供实物，应随投标文件一起递交。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在前附表第</w:t>
      </w:r>
      <w:bookmarkStart w:id="9" w:name="_Hlt35050056"/>
      <w:bookmarkEnd w:id="9"/>
      <w:r>
        <w:rPr>
          <w:rFonts w:hint="eastAsia" w:cs="仿宋" w:asciiTheme="minorEastAsia" w:hAnsiTheme="minorEastAsia" w:eastAsiaTheme="minorEastAsia"/>
          <w:snapToGrid w:val="0"/>
          <w:kern w:val="0"/>
          <w:szCs w:val="21"/>
        </w:rPr>
        <w:t>12项中规定的投标截止时间之前送至采购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出现第8.3款因征集文件修改或其他原因推迟投标截止时，则按采购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将拒绝接收在投标截止时间后递交的投标文件。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投标供应商在提交投标文件后可对其投标文件进行修改或撤回，但采购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须在投标截止时间之前收到该修改或撤回的书面通知，该通知须有经正式授权的投标供应商代表签字。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投标供应商对投标文件修改的书面材料或撤回的通知应按本须知第17条和第18条规定进行编写、密封、标注和递交，并注明“修改投标文件”或“撤回投标”字样。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投标供应商不得在开标时间起到投标文件有效期满前撤销投标文件。</w:t>
      </w:r>
    </w:p>
    <w:p>
      <w:pPr>
        <w:rPr>
          <w:rFonts w:cs="仿宋" w:asciiTheme="minorEastAsia" w:hAnsiTheme="minorEastAsia" w:eastAsiaTheme="minorEastAsia"/>
        </w:rPr>
      </w:pPr>
      <w:bookmarkStart w:id="10" w:name="q8"/>
      <w:bookmarkEnd w:id="10"/>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所有投标供应商法定代表人（负责人）或授权代表都须按时参加开标会，否则不接受其投标。【</w:t>
      </w:r>
      <w:r>
        <w:rPr>
          <w:rFonts w:hint="eastAsia" w:cs="仿宋" w:asciiTheme="minorEastAsia" w:hAnsiTheme="minorEastAsia" w:eastAsiaTheme="minorEastAsia"/>
          <w:b/>
          <w:bCs/>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将根据采购货物的特点组建评审委员会，其成员由</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代表</w:t>
      </w:r>
      <w:r>
        <w:rPr>
          <w:rFonts w:hint="eastAsia" w:cs="仿宋" w:asciiTheme="minorEastAsia" w:hAnsiTheme="minorEastAsia" w:eastAsiaTheme="minorEastAsia"/>
          <w:bCs/>
          <w:snapToGrid w:val="0"/>
          <w:kern w:val="0"/>
          <w:szCs w:val="21"/>
        </w:rPr>
        <w:t>和有关技术、经济等方面的</w:t>
      </w:r>
      <w:r>
        <w:rPr>
          <w:rFonts w:hint="eastAsia" w:cs="仿宋" w:asciiTheme="minorEastAsia" w:hAnsiTheme="minorEastAsia" w:eastAsiaTheme="minorEastAsia"/>
          <w:snapToGrid w:val="0"/>
          <w:kern w:val="0"/>
          <w:szCs w:val="21"/>
        </w:rPr>
        <w:t>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评审期间，投标供应商应由法定代表人或其授权代表参加询标。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采购机构就投标文件中的资格证明文件内容对投标供应商进行资格核查：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24.1.1采购机构就投标文件中的资格证明等内容对投标供应商进行资格核查，核查不合格的，认定其投标无效。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同时出现两种以上不一致的，按照前款规定的顺序修正。修正后的报价按照本须知25.2条的规定，经投标供应商确认后产生约束力，投标供应商不确认的，其投标无效。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在对投标文件进行详细评估之前，评审委员会将依据投标供应商提供的“资格证明或声明文件”审查投标供应商的财务、技术和生产能力。如果确定投标供应商无资格履行合同，其投标将被拒绝。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征集文件的要求，作出了实质性的响应而没有重大偏离。实质性响应的投标是指符合征集文件的所有条款、条件和规定，且没有重大偏离或保留。重大偏离或保留系指影响到征集文件规定的范围、质量和性能，或限制了</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的权力和投标供应商的义务的规定。而纠正这些偏离将影响到其它提交实质性响应的投标供应商的公平竞争地位。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评审委员会判断投标文件的投标性，仅基于征集文件和投标文件本身而不靠外部证据。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评审委员会将拒绝被确定为非实质性投标的投标供应商。投标供应商不能通过修正或撤销不符之处，而使其投标成为实质性投标的投标。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供应商的报价明显低于其他通过符合性审查投标供应商的报价，有可能影响产品质量或者不能诚信履约的，应当要求其在评审现场合理的时间内提供书面说明，必要时提交相关证明材料；投标供应商不能证明其报价合理性的，评审委员会应当将其作为无效投标处理。若评审委员会成员对是否须由投标供应商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w:t>
      </w:r>
      <w:r>
        <w:rPr>
          <w:rFonts w:hint="eastAsia" w:cs="仿宋" w:asciiTheme="minorEastAsia" w:hAnsiTheme="minorEastAsia" w:eastAsiaTheme="minorEastAsia"/>
          <w:bCs/>
          <w:snapToGrid w:val="0"/>
          <w:kern w:val="0"/>
          <w:szCs w:val="21"/>
        </w:rPr>
        <w:t>评审委员会</w:t>
      </w:r>
      <w:r>
        <w:rPr>
          <w:rFonts w:hint="eastAsia" w:cs="仿宋" w:asciiTheme="minorEastAsia" w:hAnsiTheme="minorEastAsia" w:eastAsiaTheme="minorEastAsia"/>
          <w:snapToGrid w:val="0"/>
          <w:kern w:val="0"/>
          <w:szCs w:val="21"/>
        </w:rPr>
        <w:t>有权向投标供应商提出质疑，并请投标供应商澄清其投标内容。投标供应商有责任，按照采购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1" w:name="q9"/>
      <w:bookmarkEnd w:id="11"/>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供应商应做书面说明并提供证明文件，否则该证书无效），则该投标供应商提供年审证明的可按原资质投标；若投标供应商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征集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26.5.1公开征集采购方式说明：因有效投标供应商不足三家而致公开征集、公开竞价失败的，采购单位可结合实际需要，重新实施采购或依据有效投标供应商数量，在评标现场即转为邀请竞标或直接采购。</w:t>
      </w:r>
    </w:p>
    <w:p>
      <w:pPr>
        <w:pStyle w:val="18"/>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供应商参加投标，按最低价中标原则确定成交供应商，或由社会招标代理机构组织采购单位代表、评审专家成立评审组评审并确定中标供应商的采购方式。</w:t>
      </w:r>
    </w:p>
    <w:p>
      <w:pPr>
        <w:pStyle w:val="18"/>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直接采购采购方式说明：是指经批准由采购单位自行与唯一供应商通过谈判确定成交的采购方式。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供应商进行询问。各投标供应商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在开标、投标期间，投标供应商不得向评委询问评审情况，不得进行旨在影响评审结果的活动。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为保证定标的公正性，在评审过程中，评委不得与投标供应商私下交换意见。在采购工作结束后，凡与评审情况有接触的任何人，不得也不应将评审情况扩散出评委人员之外。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Ｆ　　授予合同</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30.1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在签订合同时，有权对征集文件中列明的货物或服务的数量，在法定范围内，依法定程序予以增加或减少。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指定的时间、地点与</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征集文件、中标方的投标文件及其澄清文件等，均为签订合同的依据。</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中标供应商须按征集文件的规定或根据合同的规定向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提交履约保证金。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采购代理服务费按前附表第14项所述，最低收取人民币5000元。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9"/>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21"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Jm2vgC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20"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Gvaa9i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9"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MLr2Vy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WpI&#10;cdcAAAAHAQAADwAAAAAAAAABACAAAAAiAAAAZHJzL2Rvd25yZXYueG1sUEsBAhQAFAAAAAgAh07i&#10;QG7wi5WxAQAAfwMAAA4AAAAAAAAAAQAgAAAAJgEAAGRycy9lMm9Eb2MueG1sUEsFBgAAAAAGAAYA&#10;WQEAAEkFA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7"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MaPxSy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6"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CDMVvy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5"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yIB77r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4"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6A0bab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第六部分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银行保函（格式）</w:t>
      </w:r>
    </w:p>
    <w:p>
      <w:pPr>
        <w:rPr>
          <w:rFonts w:cs="仿宋" w:asciiTheme="minorEastAsia" w:hAnsiTheme="minorEastAsia" w:eastAsiaTheme="minorEastAsia"/>
        </w:rPr>
      </w:pP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1"/>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42"/>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4"/>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4"/>
          <w:jc w:val="center"/>
        </w:pP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sz w:val="16"/>
        <w:szCs w:val="16"/>
      </w:rPr>
    </w:pPr>
    <w:r>
      <w:rPr>
        <w:rFonts w:hint="eastAsia"/>
        <w:sz w:val="16"/>
        <w:szCs w:val="16"/>
      </w:rPr>
      <w:t>项目名称：</w:t>
    </w:r>
    <w:r>
      <w:rPr>
        <w:rFonts w:hint="eastAsia" w:cs="仿宋" w:asciiTheme="minorEastAsia" w:hAnsiTheme="minorEastAsia" w:eastAsiaTheme="minorEastAsia"/>
        <w:bCs/>
        <w:szCs w:val="21"/>
      </w:rPr>
      <w:t>市局金稻田路1128号围墙修复重建工程全过程造价咨询</w:t>
    </w:r>
    <w:r>
      <w:rPr>
        <w:rFonts w:hint="eastAsia" w:ascii="宋体" w:hAnsi="宋体"/>
        <w:sz w:val="16"/>
        <w:szCs w:val="16"/>
      </w:rPr>
      <w:t xml:space="preserve"> </w:t>
    </w:r>
    <w:r>
      <w:rPr>
        <w:rFonts w:hint="eastAsia"/>
        <w:sz w:val="16"/>
        <w:szCs w:val="16"/>
      </w:rPr>
      <w:t xml:space="preserve">             项目编号：</w:t>
    </w:r>
    <w:r>
      <w:rPr>
        <w:rFonts w:hint="eastAsia" w:cs="仿宋" w:asciiTheme="minorEastAsia" w:hAnsiTheme="minorEastAsia" w:eastAsiaTheme="minorEastAsia"/>
        <w:bCs/>
        <w:szCs w:val="21"/>
      </w:rPr>
      <w:t>SZZZ2023-QC0079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cs="仿宋" w:asciiTheme="minorEastAsia" w:hAnsiTheme="minorEastAsia" w:eastAsiaTheme="minorEastAsia"/>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-114935</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9.05pt;height:46.8pt;width:294.8pt;z-index:251659264;mso-width-relative:page;mso-height-relative:page;" fillcolor="#FFFFFF" filled="t" stroked="t" coordsize="21600,21600" o:gfxdata="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FVnE2AAAAAkBAAAPAAAAAAAAAAEAIAAA&#10;ACIAAABkcnMvZG93bnJldi54bWxQSwECFAAUAAAACACHTuJAPOwx8QwCAABGBAAADgAAAAAAAAAB&#10;ACAAAAAnAQAAZHJzL2Uyb0RvYy54bWxQSwUGAAAAAAYABgBZAQAApQU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b/>
        <w:kern w:val="0"/>
        <w:sz w:val="28"/>
        <w:szCs w:val="28"/>
      </w:rPr>
      <w:drawing>
        <wp:inline distT="0" distB="0" distL="0" distR="0">
          <wp:extent cx="552450" cy="476250"/>
          <wp:effectExtent l="6350" t="6350" r="1270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34F52D1"/>
    <w:multiLevelType w:val="multilevel"/>
    <w:tmpl w:val="234F52D1"/>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081812"/>
    <w:rsid w:val="00000DEE"/>
    <w:rsid w:val="00000FB1"/>
    <w:rsid w:val="00001625"/>
    <w:rsid w:val="000042A9"/>
    <w:rsid w:val="0000490F"/>
    <w:rsid w:val="00007ECB"/>
    <w:rsid w:val="000111D4"/>
    <w:rsid w:val="00012B85"/>
    <w:rsid w:val="00014E98"/>
    <w:rsid w:val="000159CF"/>
    <w:rsid w:val="0002500E"/>
    <w:rsid w:val="00027833"/>
    <w:rsid w:val="000309C1"/>
    <w:rsid w:val="00031BF4"/>
    <w:rsid w:val="00032DB0"/>
    <w:rsid w:val="00036165"/>
    <w:rsid w:val="00037412"/>
    <w:rsid w:val="00037D52"/>
    <w:rsid w:val="00042A65"/>
    <w:rsid w:val="00044855"/>
    <w:rsid w:val="00046786"/>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2AEF"/>
    <w:rsid w:val="00094CF9"/>
    <w:rsid w:val="000A02CF"/>
    <w:rsid w:val="000A1CFD"/>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B4D"/>
    <w:rsid w:val="00120DDA"/>
    <w:rsid w:val="001235DF"/>
    <w:rsid w:val="001253C1"/>
    <w:rsid w:val="001300A8"/>
    <w:rsid w:val="001307EF"/>
    <w:rsid w:val="00130FFD"/>
    <w:rsid w:val="00131B9B"/>
    <w:rsid w:val="00132477"/>
    <w:rsid w:val="0013247D"/>
    <w:rsid w:val="0013568E"/>
    <w:rsid w:val="0013577A"/>
    <w:rsid w:val="0013596A"/>
    <w:rsid w:val="0014049D"/>
    <w:rsid w:val="001426B3"/>
    <w:rsid w:val="001451A4"/>
    <w:rsid w:val="00151DFD"/>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4553"/>
    <w:rsid w:val="00210328"/>
    <w:rsid w:val="00211E1C"/>
    <w:rsid w:val="0021223A"/>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6B7"/>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3E2A"/>
    <w:rsid w:val="002C54D8"/>
    <w:rsid w:val="002C5B23"/>
    <w:rsid w:val="002C5F7F"/>
    <w:rsid w:val="002D285F"/>
    <w:rsid w:val="002D4AE6"/>
    <w:rsid w:val="002D51A5"/>
    <w:rsid w:val="002D6413"/>
    <w:rsid w:val="002D78BD"/>
    <w:rsid w:val="002E071E"/>
    <w:rsid w:val="002E6738"/>
    <w:rsid w:val="002F30E6"/>
    <w:rsid w:val="002F323B"/>
    <w:rsid w:val="002F463F"/>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4A45"/>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5862"/>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32"/>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369C"/>
    <w:rsid w:val="00453EAF"/>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B7FFC"/>
    <w:rsid w:val="004C01E3"/>
    <w:rsid w:val="004C1824"/>
    <w:rsid w:val="004C1F8C"/>
    <w:rsid w:val="004C267E"/>
    <w:rsid w:val="004C2C97"/>
    <w:rsid w:val="004C3BFC"/>
    <w:rsid w:val="004C4655"/>
    <w:rsid w:val="004C5A96"/>
    <w:rsid w:val="004D1E7C"/>
    <w:rsid w:val="004D21F9"/>
    <w:rsid w:val="004D3C88"/>
    <w:rsid w:val="004D3EFD"/>
    <w:rsid w:val="004D4540"/>
    <w:rsid w:val="004D6C39"/>
    <w:rsid w:val="004E30ED"/>
    <w:rsid w:val="004E34DF"/>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17F47"/>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671EF"/>
    <w:rsid w:val="00571D74"/>
    <w:rsid w:val="00571DC0"/>
    <w:rsid w:val="00574D07"/>
    <w:rsid w:val="00580DD1"/>
    <w:rsid w:val="00581D61"/>
    <w:rsid w:val="00583885"/>
    <w:rsid w:val="0058457D"/>
    <w:rsid w:val="005849C6"/>
    <w:rsid w:val="00584C51"/>
    <w:rsid w:val="0059165F"/>
    <w:rsid w:val="0059180A"/>
    <w:rsid w:val="00594812"/>
    <w:rsid w:val="00597492"/>
    <w:rsid w:val="005977CD"/>
    <w:rsid w:val="005A198A"/>
    <w:rsid w:val="005A2D99"/>
    <w:rsid w:val="005A556A"/>
    <w:rsid w:val="005A6A03"/>
    <w:rsid w:val="005B1387"/>
    <w:rsid w:val="005B39F5"/>
    <w:rsid w:val="005B3CF3"/>
    <w:rsid w:val="005B45D9"/>
    <w:rsid w:val="005B4677"/>
    <w:rsid w:val="005B6672"/>
    <w:rsid w:val="005C038C"/>
    <w:rsid w:val="005C09C3"/>
    <w:rsid w:val="005C1F40"/>
    <w:rsid w:val="005C26E6"/>
    <w:rsid w:val="005C297C"/>
    <w:rsid w:val="005C50DE"/>
    <w:rsid w:val="005C669E"/>
    <w:rsid w:val="005C6BAF"/>
    <w:rsid w:val="005D120E"/>
    <w:rsid w:val="005D2420"/>
    <w:rsid w:val="005E0B51"/>
    <w:rsid w:val="005E18E3"/>
    <w:rsid w:val="005E3AA1"/>
    <w:rsid w:val="005E3DDF"/>
    <w:rsid w:val="005E4F8C"/>
    <w:rsid w:val="005E5481"/>
    <w:rsid w:val="005E5539"/>
    <w:rsid w:val="005E72A8"/>
    <w:rsid w:val="005F13C2"/>
    <w:rsid w:val="005F37DF"/>
    <w:rsid w:val="005F3B95"/>
    <w:rsid w:val="005F559B"/>
    <w:rsid w:val="005F62F0"/>
    <w:rsid w:val="005F695B"/>
    <w:rsid w:val="006013DE"/>
    <w:rsid w:val="00602310"/>
    <w:rsid w:val="00603E1C"/>
    <w:rsid w:val="00606E51"/>
    <w:rsid w:val="0061010F"/>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0BEC"/>
    <w:rsid w:val="006724DC"/>
    <w:rsid w:val="0067485A"/>
    <w:rsid w:val="006755C2"/>
    <w:rsid w:val="00680CAD"/>
    <w:rsid w:val="00681F30"/>
    <w:rsid w:val="00682237"/>
    <w:rsid w:val="00682B9C"/>
    <w:rsid w:val="0068357D"/>
    <w:rsid w:val="00683EB7"/>
    <w:rsid w:val="0068713A"/>
    <w:rsid w:val="006875E1"/>
    <w:rsid w:val="0069583C"/>
    <w:rsid w:val="006A0A50"/>
    <w:rsid w:val="006A5038"/>
    <w:rsid w:val="006A535A"/>
    <w:rsid w:val="006A7A1E"/>
    <w:rsid w:val="006B36EE"/>
    <w:rsid w:val="006B752A"/>
    <w:rsid w:val="006B7F97"/>
    <w:rsid w:val="006C29E2"/>
    <w:rsid w:val="006C3937"/>
    <w:rsid w:val="006C57C7"/>
    <w:rsid w:val="006C5E75"/>
    <w:rsid w:val="006C6C5C"/>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26549"/>
    <w:rsid w:val="00731470"/>
    <w:rsid w:val="00731E75"/>
    <w:rsid w:val="0073473A"/>
    <w:rsid w:val="00734C96"/>
    <w:rsid w:val="00734FEE"/>
    <w:rsid w:val="00740C34"/>
    <w:rsid w:val="007421A3"/>
    <w:rsid w:val="007458E4"/>
    <w:rsid w:val="00747A74"/>
    <w:rsid w:val="007516CF"/>
    <w:rsid w:val="00752B5B"/>
    <w:rsid w:val="00753B18"/>
    <w:rsid w:val="00761B09"/>
    <w:rsid w:val="00762130"/>
    <w:rsid w:val="0076307E"/>
    <w:rsid w:val="00772F41"/>
    <w:rsid w:val="0077521B"/>
    <w:rsid w:val="00776554"/>
    <w:rsid w:val="0077707D"/>
    <w:rsid w:val="007811AB"/>
    <w:rsid w:val="00785E4F"/>
    <w:rsid w:val="0078680E"/>
    <w:rsid w:val="00792109"/>
    <w:rsid w:val="007928C7"/>
    <w:rsid w:val="007928D4"/>
    <w:rsid w:val="00793E36"/>
    <w:rsid w:val="00793EE0"/>
    <w:rsid w:val="007948D9"/>
    <w:rsid w:val="00794D26"/>
    <w:rsid w:val="0079588C"/>
    <w:rsid w:val="007A0AF9"/>
    <w:rsid w:val="007A1673"/>
    <w:rsid w:val="007A33CF"/>
    <w:rsid w:val="007A458B"/>
    <w:rsid w:val="007A47AB"/>
    <w:rsid w:val="007A47D0"/>
    <w:rsid w:val="007B00AD"/>
    <w:rsid w:val="007B0760"/>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6F85"/>
    <w:rsid w:val="007F0A36"/>
    <w:rsid w:val="007F5B57"/>
    <w:rsid w:val="007F707C"/>
    <w:rsid w:val="0080097C"/>
    <w:rsid w:val="00803317"/>
    <w:rsid w:val="008050C5"/>
    <w:rsid w:val="008134A8"/>
    <w:rsid w:val="00816305"/>
    <w:rsid w:val="0081690D"/>
    <w:rsid w:val="008227C0"/>
    <w:rsid w:val="00822F18"/>
    <w:rsid w:val="008237AE"/>
    <w:rsid w:val="008245C9"/>
    <w:rsid w:val="00831DA8"/>
    <w:rsid w:val="008338E9"/>
    <w:rsid w:val="0083456A"/>
    <w:rsid w:val="00836C91"/>
    <w:rsid w:val="00837E5D"/>
    <w:rsid w:val="008400A9"/>
    <w:rsid w:val="00844881"/>
    <w:rsid w:val="008463B9"/>
    <w:rsid w:val="00851111"/>
    <w:rsid w:val="0085139E"/>
    <w:rsid w:val="00851BAA"/>
    <w:rsid w:val="00854839"/>
    <w:rsid w:val="00855CDD"/>
    <w:rsid w:val="00857895"/>
    <w:rsid w:val="00860209"/>
    <w:rsid w:val="00861447"/>
    <w:rsid w:val="00862F1A"/>
    <w:rsid w:val="008661D3"/>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2C3E"/>
    <w:rsid w:val="00893234"/>
    <w:rsid w:val="008978BC"/>
    <w:rsid w:val="00897B8F"/>
    <w:rsid w:val="008A00DE"/>
    <w:rsid w:val="008A1135"/>
    <w:rsid w:val="008A5579"/>
    <w:rsid w:val="008A7105"/>
    <w:rsid w:val="008B23ED"/>
    <w:rsid w:val="008B2687"/>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E7BD2"/>
    <w:rsid w:val="008F0027"/>
    <w:rsid w:val="008F13F4"/>
    <w:rsid w:val="008F2248"/>
    <w:rsid w:val="008F429A"/>
    <w:rsid w:val="008F4809"/>
    <w:rsid w:val="008F4885"/>
    <w:rsid w:val="008F69B0"/>
    <w:rsid w:val="008F6DFC"/>
    <w:rsid w:val="00900546"/>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E8E"/>
    <w:rsid w:val="009B3004"/>
    <w:rsid w:val="009B348C"/>
    <w:rsid w:val="009B482A"/>
    <w:rsid w:val="009B7712"/>
    <w:rsid w:val="009B7B83"/>
    <w:rsid w:val="009C0636"/>
    <w:rsid w:val="009C08BA"/>
    <w:rsid w:val="009C6F0A"/>
    <w:rsid w:val="009C6F32"/>
    <w:rsid w:val="009C797B"/>
    <w:rsid w:val="009D02E8"/>
    <w:rsid w:val="009D0C05"/>
    <w:rsid w:val="009D2B82"/>
    <w:rsid w:val="009D4274"/>
    <w:rsid w:val="009D461F"/>
    <w:rsid w:val="009D5C53"/>
    <w:rsid w:val="009D5D74"/>
    <w:rsid w:val="009D622C"/>
    <w:rsid w:val="009D661E"/>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6B62"/>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172A"/>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465F"/>
    <w:rsid w:val="00AA5115"/>
    <w:rsid w:val="00AB14C7"/>
    <w:rsid w:val="00AB2264"/>
    <w:rsid w:val="00AB4E47"/>
    <w:rsid w:val="00AB5719"/>
    <w:rsid w:val="00AB67F7"/>
    <w:rsid w:val="00AC054F"/>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413F"/>
    <w:rsid w:val="00B5525E"/>
    <w:rsid w:val="00B57738"/>
    <w:rsid w:val="00B62E05"/>
    <w:rsid w:val="00B63137"/>
    <w:rsid w:val="00B63604"/>
    <w:rsid w:val="00B63FA9"/>
    <w:rsid w:val="00B64379"/>
    <w:rsid w:val="00B650CC"/>
    <w:rsid w:val="00B707BD"/>
    <w:rsid w:val="00B71457"/>
    <w:rsid w:val="00B72997"/>
    <w:rsid w:val="00B750BF"/>
    <w:rsid w:val="00B75217"/>
    <w:rsid w:val="00B776B5"/>
    <w:rsid w:val="00B81AFD"/>
    <w:rsid w:val="00B85442"/>
    <w:rsid w:val="00B85EAC"/>
    <w:rsid w:val="00B90851"/>
    <w:rsid w:val="00B91090"/>
    <w:rsid w:val="00B926B7"/>
    <w:rsid w:val="00B94A3A"/>
    <w:rsid w:val="00B95094"/>
    <w:rsid w:val="00BA0EC1"/>
    <w:rsid w:val="00BA5FF1"/>
    <w:rsid w:val="00BA7533"/>
    <w:rsid w:val="00BB281A"/>
    <w:rsid w:val="00BC04BD"/>
    <w:rsid w:val="00BC4096"/>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5982"/>
    <w:rsid w:val="00C068F5"/>
    <w:rsid w:val="00C11842"/>
    <w:rsid w:val="00C12994"/>
    <w:rsid w:val="00C1363B"/>
    <w:rsid w:val="00C14D24"/>
    <w:rsid w:val="00C1538F"/>
    <w:rsid w:val="00C15926"/>
    <w:rsid w:val="00C16139"/>
    <w:rsid w:val="00C16B14"/>
    <w:rsid w:val="00C17609"/>
    <w:rsid w:val="00C177ED"/>
    <w:rsid w:val="00C2265C"/>
    <w:rsid w:val="00C23420"/>
    <w:rsid w:val="00C30985"/>
    <w:rsid w:val="00C33BB9"/>
    <w:rsid w:val="00C3464B"/>
    <w:rsid w:val="00C35140"/>
    <w:rsid w:val="00C35A34"/>
    <w:rsid w:val="00C3715A"/>
    <w:rsid w:val="00C421FF"/>
    <w:rsid w:val="00C425BE"/>
    <w:rsid w:val="00C44387"/>
    <w:rsid w:val="00C44F2B"/>
    <w:rsid w:val="00C545D3"/>
    <w:rsid w:val="00C54A8C"/>
    <w:rsid w:val="00C56388"/>
    <w:rsid w:val="00C5675C"/>
    <w:rsid w:val="00C571C0"/>
    <w:rsid w:val="00C61233"/>
    <w:rsid w:val="00C61911"/>
    <w:rsid w:val="00C627D8"/>
    <w:rsid w:val="00C62EB5"/>
    <w:rsid w:val="00C65EB9"/>
    <w:rsid w:val="00C718D9"/>
    <w:rsid w:val="00C72850"/>
    <w:rsid w:val="00C73632"/>
    <w:rsid w:val="00C75175"/>
    <w:rsid w:val="00C7543D"/>
    <w:rsid w:val="00C759F9"/>
    <w:rsid w:val="00C75EE7"/>
    <w:rsid w:val="00C766E1"/>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56C4"/>
    <w:rsid w:val="00CD6CA5"/>
    <w:rsid w:val="00CE0A40"/>
    <w:rsid w:val="00CE0C33"/>
    <w:rsid w:val="00CE2480"/>
    <w:rsid w:val="00CE3871"/>
    <w:rsid w:val="00CE39D5"/>
    <w:rsid w:val="00CE5C29"/>
    <w:rsid w:val="00CE7671"/>
    <w:rsid w:val="00CF1043"/>
    <w:rsid w:val="00CF1336"/>
    <w:rsid w:val="00CF2265"/>
    <w:rsid w:val="00CF32D4"/>
    <w:rsid w:val="00CF38DA"/>
    <w:rsid w:val="00CF68C2"/>
    <w:rsid w:val="00CF6B12"/>
    <w:rsid w:val="00CF6CA8"/>
    <w:rsid w:val="00CF797E"/>
    <w:rsid w:val="00D01079"/>
    <w:rsid w:val="00D018E6"/>
    <w:rsid w:val="00D02059"/>
    <w:rsid w:val="00D02D89"/>
    <w:rsid w:val="00D03B55"/>
    <w:rsid w:val="00D04D65"/>
    <w:rsid w:val="00D063F2"/>
    <w:rsid w:val="00D06DB2"/>
    <w:rsid w:val="00D10FDF"/>
    <w:rsid w:val="00D1111C"/>
    <w:rsid w:val="00D15CC8"/>
    <w:rsid w:val="00D20615"/>
    <w:rsid w:val="00D20796"/>
    <w:rsid w:val="00D2538D"/>
    <w:rsid w:val="00D268C9"/>
    <w:rsid w:val="00D300A3"/>
    <w:rsid w:val="00D301ED"/>
    <w:rsid w:val="00D313B0"/>
    <w:rsid w:val="00D319D4"/>
    <w:rsid w:val="00D32569"/>
    <w:rsid w:val="00D33B92"/>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2E7C"/>
    <w:rsid w:val="00D7638B"/>
    <w:rsid w:val="00D76DCC"/>
    <w:rsid w:val="00D77D9E"/>
    <w:rsid w:val="00D81C8D"/>
    <w:rsid w:val="00D81D6D"/>
    <w:rsid w:val="00D8340F"/>
    <w:rsid w:val="00D85D70"/>
    <w:rsid w:val="00D86400"/>
    <w:rsid w:val="00D867D6"/>
    <w:rsid w:val="00D868DE"/>
    <w:rsid w:val="00D90503"/>
    <w:rsid w:val="00D94A33"/>
    <w:rsid w:val="00D97FE0"/>
    <w:rsid w:val="00DA1C78"/>
    <w:rsid w:val="00DA2F03"/>
    <w:rsid w:val="00DA6875"/>
    <w:rsid w:val="00DB0107"/>
    <w:rsid w:val="00DB0723"/>
    <w:rsid w:val="00DB18E3"/>
    <w:rsid w:val="00DB297D"/>
    <w:rsid w:val="00DB4314"/>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10B2"/>
    <w:rsid w:val="00DE3797"/>
    <w:rsid w:val="00DE5AB2"/>
    <w:rsid w:val="00DE671D"/>
    <w:rsid w:val="00DE6EFC"/>
    <w:rsid w:val="00DF4497"/>
    <w:rsid w:val="00DF4D3B"/>
    <w:rsid w:val="00DF4E4D"/>
    <w:rsid w:val="00DF715B"/>
    <w:rsid w:val="00E00C09"/>
    <w:rsid w:val="00E01840"/>
    <w:rsid w:val="00E03760"/>
    <w:rsid w:val="00E03EFD"/>
    <w:rsid w:val="00E0782E"/>
    <w:rsid w:val="00E07EFA"/>
    <w:rsid w:val="00E10D0C"/>
    <w:rsid w:val="00E10E49"/>
    <w:rsid w:val="00E117DB"/>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0422"/>
    <w:rsid w:val="00E81DDF"/>
    <w:rsid w:val="00E82791"/>
    <w:rsid w:val="00E8332D"/>
    <w:rsid w:val="00E85DFB"/>
    <w:rsid w:val="00E85F74"/>
    <w:rsid w:val="00E865C1"/>
    <w:rsid w:val="00E87CCD"/>
    <w:rsid w:val="00E92BD8"/>
    <w:rsid w:val="00E92C08"/>
    <w:rsid w:val="00E94054"/>
    <w:rsid w:val="00E94B32"/>
    <w:rsid w:val="00E94F48"/>
    <w:rsid w:val="00E95A5B"/>
    <w:rsid w:val="00EA02B6"/>
    <w:rsid w:val="00EA1009"/>
    <w:rsid w:val="00EA39E3"/>
    <w:rsid w:val="00EA50FC"/>
    <w:rsid w:val="00EA6123"/>
    <w:rsid w:val="00EB170B"/>
    <w:rsid w:val="00EB290D"/>
    <w:rsid w:val="00EB50D9"/>
    <w:rsid w:val="00EB632A"/>
    <w:rsid w:val="00EC36BC"/>
    <w:rsid w:val="00ED2203"/>
    <w:rsid w:val="00ED2569"/>
    <w:rsid w:val="00ED25B1"/>
    <w:rsid w:val="00ED7FAF"/>
    <w:rsid w:val="00EE0104"/>
    <w:rsid w:val="00EE07DA"/>
    <w:rsid w:val="00EE2AD2"/>
    <w:rsid w:val="00EE324B"/>
    <w:rsid w:val="00EE56CB"/>
    <w:rsid w:val="00EE6C48"/>
    <w:rsid w:val="00EE7FDD"/>
    <w:rsid w:val="00EF0079"/>
    <w:rsid w:val="00EF3E79"/>
    <w:rsid w:val="00EF4E25"/>
    <w:rsid w:val="00EF771A"/>
    <w:rsid w:val="00F009EB"/>
    <w:rsid w:val="00F03DD9"/>
    <w:rsid w:val="00F04E9A"/>
    <w:rsid w:val="00F06A8A"/>
    <w:rsid w:val="00F0761C"/>
    <w:rsid w:val="00F1054C"/>
    <w:rsid w:val="00F11975"/>
    <w:rsid w:val="00F1246B"/>
    <w:rsid w:val="00F243C8"/>
    <w:rsid w:val="00F24E11"/>
    <w:rsid w:val="00F26D6A"/>
    <w:rsid w:val="00F304A9"/>
    <w:rsid w:val="00F30C1A"/>
    <w:rsid w:val="00F3139D"/>
    <w:rsid w:val="00F33F84"/>
    <w:rsid w:val="00F3568E"/>
    <w:rsid w:val="00F35A11"/>
    <w:rsid w:val="00F400ED"/>
    <w:rsid w:val="00F420CC"/>
    <w:rsid w:val="00F43840"/>
    <w:rsid w:val="00F43BBA"/>
    <w:rsid w:val="00F46253"/>
    <w:rsid w:val="00F50479"/>
    <w:rsid w:val="00F507CD"/>
    <w:rsid w:val="00F52083"/>
    <w:rsid w:val="00F52525"/>
    <w:rsid w:val="00F53C91"/>
    <w:rsid w:val="00F56191"/>
    <w:rsid w:val="00F6000A"/>
    <w:rsid w:val="00F64BB0"/>
    <w:rsid w:val="00F709AA"/>
    <w:rsid w:val="00F72CA9"/>
    <w:rsid w:val="00F72CCB"/>
    <w:rsid w:val="00F73A79"/>
    <w:rsid w:val="00F75244"/>
    <w:rsid w:val="00F801B9"/>
    <w:rsid w:val="00F8304C"/>
    <w:rsid w:val="00F85A8C"/>
    <w:rsid w:val="00F903F4"/>
    <w:rsid w:val="00F90FCC"/>
    <w:rsid w:val="00F915F1"/>
    <w:rsid w:val="00F91721"/>
    <w:rsid w:val="00F920ED"/>
    <w:rsid w:val="00F95601"/>
    <w:rsid w:val="00FA07E3"/>
    <w:rsid w:val="00FA5879"/>
    <w:rsid w:val="00FA5CFA"/>
    <w:rsid w:val="00FB04D2"/>
    <w:rsid w:val="00FB3F05"/>
    <w:rsid w:val="00FC56DF"/>
    <w:rsid w:val="00FC5E7E"/>
    <w:rsid w:val="00FD0B60"/>
    <w:rsid w:val="00FD2335"/>
    <w:rsid w:val="00FD29BA"/>
    <w:rsid w:val="00FD2AED"/>
    <w:rsid w:val="00FD2F78"/>
    <w:rsid w:val="00FD739B"/>
    <w:rsid w:val="00FE0E36"/>
    <w:rsid w:val="00FE268E"/>
    <w:rsid w:val="00FE2790"/>
    <w:rsid w:val="00FE639A"/>
    <w:rsid w:val="00FE6EA5"/>
    <w:rsid w:val="00FE76EB"/>
    <w:rsid w:val="00FE7BE9"/>
    <w:rsid w:val="00FF344D"/>
    <w:rsid w:val="00FF39E5"/>
    <w:rsid w:val="00FF3C6E"/>
    <w:rsid w:val="00FF401B"/>
    <w:rsid w:val="00FF463F"/>
    <w:rsid w:val="00FF7F98"/>
    <w:rsid w:val="01417ED0"/>
    <w:rsid w:val="01606258"/>
    <w:rsid w:val="016531D1"/>
    <w:rsid w:val="017862CA"/>
    <w:rsid w:val="03D11C43"/>
    <w:rsid w:val="04967ABA"/>
    <w:rsid w:val="06124B79"/>
    <w:rsid w:val="07D33263"/>
    <w:rsid w:val="08CA35E8"/>
    <w:rsid w:val="08CF5B2D"/>
    <w:rsid w:val="0B4B5358"/>
    <w:rsid w:val="0BE91440"/>
    <w:rsid w:val="0D210971"/>
    <w:rsid w:val="0DDB6F15"/>
    <w:rsid w:val="0E927B6D"/>
    <w:rsid w:val="0F8E0A11"/>
    <w:rsid w:val="100B7158"/>
    <w:rsid w:val="114A472F"/>
    <w:rsid w:val="12104073"/>
    <w:rsid w:val="1260229D"/>
    <w:rsid w:val="12A56C4A"/>
    <w:rsid w:val="143C0CA7"/>
    <w:rsid w:val="147B275D"/>
    <w:rsid w:val="14942891"/>
    <w:rsid w:val="15186782"/>
    <w:rsid w:val="15652E85"/>
    <w:rsid w:val="16D2413C"/>
    <w:rsid w:val="185760F5"/>
    <w:rsid w:val="18FB61F4"/>
    <w:rsid w:val="1B4927D3"/>
    <w:rsid w:val="1D1C3424"/>
    <w:rsid w:val="1D3F5CF8"/>
    <w:rsid w:val="1E8C78EE"/>
    <w:rsid w:val="1EFA3C38"/>
    <w:rsid w:val="1F874D8A"/>
    <w:rsid w:val="20382140"/>
    <w:rsid w:val="20C37B32"/>
    <w:rsid w:val="23EA427B"/>
    <w:rsid w:val="249809B4"/>
    <w:rsid w:val="24DD2A62"/>
    <w:rsid w:val="272F13E2"/>
    <w:rsid w:val="27323D42"/>
    <w:rsid w:val="274C5480"/>
    <w:rsid w:val="276939BD"/>
    <w:rsid w:val="2AF578DD"/>
    <w:rsid w:val="2AFB0177"/>
    <w:rsid w:val="2B7254AB"/>
    <w:rsid w:val="2B774A68"/>
    <w:rsid w:val="2C9A6113"/>
    <w:rsid w:val="2FD30076"/>
    <w:rsid w:val="309F1F4A"/>
    <w:rsid w:val="328E14B9"/>
    <w:rsid w:val="32935F4F"/>
    <w:rsid w:val="32A827E6"/>
    <w:rsid w:val="33590A0D"/>
    <w:rsid w:val="33D947E3"/>
    <w:rsid w:val="340E5BF8"/>
    <w:rsid w:val="352F6560"/>
    <w:rsid w:val="35664574"/>
    <w:rsid w:val="360B5E16"/>
    <w:rsid w:val="36473304"/>
    <w:rsid w:val="3656155B"/>
    <w:rsid w:val="37B400A6"/>
    <w:rsid w:val="380145D2"/>
    <w:rsid w:val="38D06447"/>
    <w:rsid w:val="39790D27"/>
    <w:rsid w:val="39F71049"/>
    <w:rsid w:val="3A12378C"/>
    <w:rsid w:val="3A7B3698"/>
    <w:rsid w:val="3A9E1150"/>
    <w:rsid w:val="3AB16C65"/>
    <w:rsid w:val="3B2344B0"/>
    <w:rsid w:val="3C184783"/>
    <w:rsid w:val="3CCE4A7B"/>
    <w:rsid w:val="3E17189D"/>
    <w:rsid w:val="3FDD483D"/>
    <w:rsid w:val="40017D8D"/>
    <w:rsid w:val="436B0FC0"/>
    <w:rsid w:val="44187FD3"/>
    <w:rsid w:val="446E75ED"/>
    <w:rsid w:val="44C91833"/>
    <w:rsid w:val="44FF5255"/>
    <w:rsid w:val="45B002FD"/>
    <w:rsid w:val="46CE0DE5"/>
    <w:rsid w:val="48001477"/>
    <w:rsid w:val="485B09F4"/>
    <w:rsid w:val="48C705C9"/>
    <w:rsid w:val="49133987"/>
    <w:rsid w:val="492D2D74"/>
    <w:rsid w:val="499524F4"/>
    <w:rsid w:val="49C138FC"/>
    <w:rsid w:val="4B876EDE"/>
    <w:rsid w:val="4CD40D75"/>
    <w:rsid w:val="4DA23BF2"/>
    <w:rsid w:val="4DB200A1"/>
    <w:rsid w:val="4DD07D4C"/>
    <w:rsid w:val="4ECE1A55"/>
    <w:rsid w:val="4F3A4AD2"/>
    <w:rsid w:val="537F081D"/>
    <w:rsid w:val="53D05DA1"/>
    <w:rsid w:val="54656664"/>
    <w:rsid w:val="54720713"/>
    <w:rsid w:val="55BD3B21"/>
    <w:rsid w:val="589635DD"/>
    <w:rsid w:val="58A15E9B"/>
    <w:rsid w:val="5B1F3F3A"/>
    <w:rsid w:val="5B494DFB"/>
    <w:rsid w:val="5B734C0E"/>
    <w:rsid w:val="5D111766"/>
    <w:rsid w:val="5DE45D57"/>
    <w:rsid w:val="5EC0771C"/>
    <w:rsid w:val="5FCB6071"/>
    <w:rsid w:val="60B223EA"/>
    <w:rsid w:val="626E1D1B"/>
    <w:rsid w:val="631657EC"/>
    <w:rsid w:val="631A3196"/>
    <w:rsid w:val="64084829"/>
    <w:rsid w:val="646B48B3"/>
    <w:rsid w:val="65965302"/>
    <w:rsid w:val="67565A36"/>
    <w:rsid w:val="67567154"/>
    <w:rsid w:val="68614B44"/>
    <w:rsid w:val="68B96DFC"/>
    <w:rsid w:val="68D90BAE"/>
    <w:rsid w:val="69404DAA"/>
    <w:rsid w:val="697274F4"/>
    <w:rsid w:val="6A236CE5"/>
    <w:rsid w:val="6A303637"/>
    <w:rsid w:val="6A721EA2"/>
    <w:rsid w:val="6C39522C"/>
    <w:rsid w:val="6F954EAA"/>
    <w:rsid w:val="716606CE"/>
    <w:rsid w:val="71E02129"/>
    <w:rsid w:val="740C0E97"/>
    <w:rsid w:val="759727BC"/>
    <w:rsid w:val="77812C28"/>
    <w:rsid w:val="783271EC"/>
    <w:rsid w:val="7CD32C7D"/>
    <w:rsid w:val="7CDB518C"/>
    <w:rsid w:val="7D2E7EAA"/>
    <w:rsid w:val="7DC964F0"/>
    <w:rsid w:val="7DDF4142"/>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5"/>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7"/>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tLeast"/>
      <w:ind w:firstLine="420"/>
      <w:jc w:val="left"/>
      <w:textAlignment w:val="baseline"/>
    </w:pPr>
    <w:rPr>
      <w:kern w:val="0"/>
      <w:sz w:val="24"/>
    </w:rPr>
  </w:style>
  <w:style w:type="paragraph" w:styleId="7">
    <w:name w:val="annotation text"/>
    <w:basedOn w:val="1"/>
    <w:link w:val="31"/>
    <w:unhideWhenUsed/>
    <w:qFormat/>
    <w:uiPriority w:val="99"/>
    <w:pPr>
      <w:jc w:val="left"/>
    </w:pPr>
  </w:style>
  <w:style w:type="paragraph" w:styleId="8">
    <w:name w:val="Body Text"/>
    <w:basedOn w:val="1"/>
    <w:next w:val="9"/>
    <w:unhideWhenUsed/>
    <w:qFormat/>
    <w:uiPriority w:val="99"/>
    <w:pPr>
      <w:spacing w:after="120"/>
    </w:pPr>
  </w:style>
  <w:style w:type="paragraph" w:styleId="9">
    <w:name w:val="Body Text 2"/>
    <w:basedOn w:val="1"/>
    <w:qFormat/>
    <w:uiPriority w:val="0"/>
    <w:pPr>
      <w:spacing w:line="360" w:lineRule="auto"/>
    </w:pPr>
    <w:rPr>
      <w:sz w:val="24"/>
    </w:rPr>
  </w:style>
  <w:style w:type="paragraph" w:styleId="10">
    <w:name w:val="Body Text Indent"/>
    <w:basedOn w:val="1"/>
    <w:unhideWhenUsed/>
    <w:qFormat/>
    <w:uiPriority w:val="99"/>
    <w:pPr>
      <w:spacing w:after="120"/>
      <w:ind w:left="420" w:leftChars="200"/>
    </w:pPr>
  </w:style>
  <w:style w:type="paragraph" w:styleId="11">
    <w:name w:val="Plain Text"/>
    <w:basedOn w:val="1"/>
    <w:link w:val="34"/>
    <w:qFormat/>
    <w:uiPriority w:val="0"/>
    <w:rPr>
      <w:rFonts w:ascii="宋体" w:hAnsi="Courier New" w:eastAsiaTheme="minorEastAsia" w:cstheme="minorBidi"/>
    </w:rPr>
  </w:style>
  <w:style w:type="paragraph" w:styleId="12">
    <w:name w:val="Date"/>
    <w:basedOn w:val="1"/>
    <w:next w:val="1"/>
    <w:link w:val="26"/>
    <w:qFormat/>
    <w:uiPriority w:val="0"/>
    <w:rPr>
      <w:rFonts w:ascii="宋体" w:hAnsi="Courier New"/>
      <w:kern w:val="0"/>
      <w:sz w:val="32"/>
      <w:szCs w:val="20"/>
    </w:rPr>
  </w:style>
  <w:style w:type="paragraph" w:styleId="13">
    <w:name w:val="Balloon Text"/>
    <w:basedOn w:val="1"/>
    <w:link w:val="27"/>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7"/>
    <w:next w:val="7"/>
    <w:link w:val="32"/>
    <w:semiHidden/>
    <w:unhideWhenUsed/>
    <w:qFormat/>
    <w:uiPriority w:val="99"/>
    <w:rPr>
      <w:b/>
      <w:bCs/>
    </w:rPr>
  </w:style>
  <w:style w:type="paragraph" w:styleId="17">
    <w:name w:val="Body Text First Indent"/>
    <w:basedOn w:val="8"/>
    <w:qFormat/>
    <w:uiPriority w:val="0"/>
    <w:pPr>
      <w:ind w:firstLine="420" w:firstLineChars="100"/>
    </w:pPr>
    <w:rPr>
      <w:rFonts w:eastAsia="微软雅黑"/>
    </w:rPr>
  </w:style>
  <w:style w:type="paragraph" w:styleId="18">
    <w:name w:val="Body Text First Indent 2"/>
    <w:basedOn w:val="10"/>
    <w:qFormat/>
    <w:uiPriority w:val="0"/>
    <w:pPr>
      <w:ind w:firstLine="420" w:firstLineChars="200"/>
    </w:pPr>
    <w:rPr>
      <w:szCs w:val="24"/>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Hyperlink"/>
    <w:qFormat/>
    <w:uiPriority w:val="99"/>
    <w:rPr>
      <w:color w:val="0000FF"/>
      <w:u w:val="single"/>
    </w:rPr>
  </w:style>
  <w:style w:type="character" w:styleId="24">
    <w:name w:val="annotation reference"/>
    <w:basedOn w:val="21"/>
    <w:semiHidden/>
    <w:unhideWhenUsed/>
    <w:qFormat/>
    <w:uiPriority w:val="99"/>
    <w:rPr>
      <w:sz w:val="21"/>
      <w:szCs w:val="21"/>
    </w:rPr>
  </w:style>
  <w:style w:type="character" w:customStyle="1" w:styleId="25">
    <w:name w:val="日期 Char"/>
    <w:basedOn w:val="21"/>
    <w:qFormat/>
    <w:uiPriority w:val="0"/>
    <w:rPr>
      <w:rFonts w:ascii="宋体" w:hAnsi="Courier New" w:eastAsia="宋体" w:cs="Times New Roman"/>
      <w:kern w:val="0"/>
      <w:sz w:val="32"/>
      <w:szCs w:val="20"/>
    </w:rPr>
  </w:style>
  <w:style w:type="character" w:customStyle="1" w:styleId="26">
    <w:name w:val="日期 Char1"/>
    <w:basedOn w:val="21"/>
    <w:link w:val="12"/>
    <w:semiHidden/>
    <w:qFormat/>
    <w:uiPriority w:val="99"/>
    <w:rPr>
      <w:rFonts w:ascii="Calibri" w:hAnsi="Calibri" w:eastAsia="宋体" w:cs="Times New Roman"/>
    </w:rPr>
  </w:style>
  <w:style w:type="character" w:customStyle="1" w:styleId="27">
    <w:name w:val="批注框文本 Char"/>
    <w:basedOn w:val="21"/>
    <w:link w:val="13"/>
    <w:semiHidden/>
    <w:qFormat/>
    <w:uiPriority w:val="99"/>
    <w:rPr>
      <w:rFonts w:ascii="Calibri" w:hAnsi="Calibri" w:eastAsia="宋体" w:cs="Times New Roman"/>
      <w:sz w:val="18"/>
      <w:szCs w:val="18"/>
    </w:rPr>
  </w:style>
  <w:style w:type="character" w:customStyle="1" w:styleId="28">
    <w:name w:val="页眉 Char"/>
    <w:basedOn w:val="21"/>
    <w:link w:val="15"/>
    <w:semiHidden/>
    <w:qFormat/>
    <w:uiPriority w:val="99"/>
    <w:rPr>
      <w:rFonts w:ascii="Calibri" w:hAnsi="Calibri" w:eastAsia="宋体" w:cs="Times New Roman"/>
      <w:sz w:val="18"/>
      <w:szCs w:val="18"/>
    </w:rPr>
  </w:style>
  <w:style w:type="character" w:customStyle="1" w:styleId="29">
    <w:name w:val="页脚 Char"/>
    <w:basedOn w:val="21"/>
    <w:link w:val="14"/>
    <w:qFormat/>
    <w:uiPriority w:val="99"/>
    <w:rPr>
      <w:rFonts w:ascii="Calibri" w:hAnsi="Calibri" w:eastAsia="宋体" w:cs="Times New Roman"/>
      <w:sz w:val="18"/>
      <w:szCs w:val="18"/>
    </w:rPr>
  </w:style>
  <w:style w:type="character" w:customStyle="1" w:styleId="30">
    <w:name w:val="标题 1 Char"/>
    <w:basedOn w:val="21"/>
    <w:link w:val="3"/>
    <w:qFormat/>
    <w:uiPriority w:val="0"/>
    <w:rPr>
      <w:rFonts w:ascii="宋体" w:hAnsi="Calibri" w:eastAsia="宋体" w:cs="Times New Roman"/>
      <w:color w:val="000000"/>
      <w:sz w:val="28"/>
      <w:szCs w:val="20"/>
    </w:rPr>
  </w:style>
  <w:style w:type="character" w:customStyle="1" w:styleId="31">
    <w:name w:val="批注文字 Char"/>
    <w:basedOn w:val="21"/>
    <w:link w:val="7"/>
    <w:qFormat/>
    <w:uiPriority w:val="99"/>
    <w:rPr>
      <w:rFonts w:ascii="Calibri" w:hAnsi="Calibri" w:eastAsia="宋体" w:cs="Times New Roman"/>
    </w:rPr>
  </w:style>
  <w:style w:type="character" w:customStyle="1" w:styleId="32">
    <w:name w:val="批注主题 Char"/>
    <w:basedOn w:val="31"/>
    <w:link w:val="16"/>
    <w:semiHidden/>
    <w:qFormat/>
    <w:uiPriority w:val="99"/>
    <w:rPr>
      <w:rFonts w:ascii="Calibri" w:hAnsi="Calibri" w:eastAsia="宋体" w:cs="Times New Roman"/>
      <w:b/>
      <w:bCs/>
    </w:rPr>
  </w:style>
  <w:style w:type="character" w:customStyle="1" w:styleId="33">
    <w:name w:val="纯文本 Char"/>
    <w:qFormat/>
    <w:uiPriority w:val="0"/>
    <w:rPr>
      <w:rFonts w:ascii="宋体" w:hAnsi="Courier New"/>
    </w:rPr>
  </w:style>
  <w:style w:type="character" w:customStyle="1" w:styleId="34">
    <w:name w:val="纯文本 Char1"/>
    <w:basedOn w:val="21"/>
    <w:link w:val="11"/>
    <w:semiHidden/>
    <w:qFormat/>
    <w:uiPriority w:val="99"/>
    <w:rPr>
      <w:rFonts w:ascii="宋体" w:hAnsi="Courier New" w:eastAsia="宋体" w:cs="Courier New"/>
      <w:szCs w:val="21"/>
    </w:rPr>
  </w:style>
  <w:style w:type="character" w:customStyle="1" w:styleId="35">
    <w:name w:val="标题 2 Char"/>
    <w:basedOn w:val="21"/>
    <w:link w:val="4"/>
    <w:qFormat/>
    <w:uiPriority w:val="0"/>
    <w:rPr>
      <w:rFonts w:ascii="Arial" w:hAnsi="Arial" w:eastAsia="宋体" w:cs="Times New Roman"/>
      <w:b/>
      <w:bCs/>
      <w:sz w:val="32"/>
      <w:szCs w:val="32"/>
    </w:rPr>
  </w:style>
  <w:style w:type="paragraph" w:styleId="36">
    <w:name w:val="List Paragraph"/>
    <w:basedOn w:val="1"/>
    <w:qFormat/>
    <w:uiPriority w:val="34"/>
    <w:pPr>
      <w:ind w:firstLine="420" w:firstLineChars="200"/>
    </w:pPr>
  </w:style>
  <w:style w:type="character" w:customStyle="1" w:styleId="37">
    <w:name w:val="标题 3 Char"/>
    <w:basedOn w:val="21"/>
    <w:link w:val="5"/>
    <w:semiHidden/>
    <w:qFormat/>
    <w:uiPriority w:val="9"/>
    <w:rPr>
      <w:rFonts w:ascii="Calibri" w:hAnsi="Calibri" w:eastAsia="宋体" w:cs="Times New Roman"/>
      <w:b/>
      <w:bCs/>
      <w:sz w:val="32"/>
      <w:szCs w:val="32"/>
    </w:rPr>
  </w:style>
  <w:style w:type="character" w:customStyle="1" w:styleId="38">
    <w:name w:val="标题 4 Char"/>
    <w:basedOn w:val="21"/>
    <w:link w:val="6"/>
    <w:qFormat/>
    <w:uiPriority w:val="0"/>
    <w:rPr>
      <w:rFonts w:ascii="Cambria" w:hAnsi="Cambria" w:eastAsia="宋体" w:cs="Times New Roman"/>
      <w:b/>
      <w:bCs/>
      <w:sz w:val="28"/>
      <w:szCs w:val="28"/>
    </w:rPr>
  </w:style>
  <w:style w:type="paragraph" w:customStyle="1" w:styleId="39">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40">
    <w:name w:val="1"/>
    <w:basedOn w:val="1"/>
    <w:next w:val="11"/>
    <w:qFormat/>
    <w:uiPriority w:val="0"/>
    <w:rPr>
      <w:rFonts w:ascii="宋体" w:hAnsi="Courier New"/>
      <w:szCs w:val="20"/>
    </w:rPr>
  </w:style>
  <w:style w:type="paragraph" w:customStyle="1" w:styleId="41">
    <w:name w:val="8"/>
    <w:basedOn w:val="1"/>
    <w:next w:val="11"/>
    <w:qFormat/>
    <w:uiPriority w:val="0"/>
    <w:rPr>
      <w:rFonts w:ascii="宋体" w:hAnsi="Courier New"/>
      <w:szCs w:val="20"/>
    </w:rPr>
  </w:style>
  <w:style w:type="paragraph" w:customStyle="1" w:styleId="42">
    <w:name w:val="_Style 55"/>
    <w:basedOn w:val="1"/>
    <w:next w:val="11"/>
    <w:qFormat/>
    <w:uiPriority w:val="0"/>
    <w:rPr>
      <w:rFonts w:ascii="宋体" w:hAnsi="Courier New"/>
      <w:szCs w:val="20"/>
    </w:rPr>
  </w:style>
  <w:style w:type="paragraph" w:customStyle="1" w:styleId="43">
    <w:name w:val="7"/>
    <w:basedOn w:val="1"/>
    <w:next w:val="11"/>
    <w:link w:val="44"/>
    <w:qFormat/>
    <w:uiPriority w:val="0"/>
    <w:rPr>
      <w:rFonts w:ascii="宋体" w:hAnsi="Courier New"/>
      <w:szCs w:val="20"/>
    </w:rPr>
  </w:style>
  <w:style w:type="character" w:customStyle="1" w:styleId="44">
    <w:name w:val="Char1"/>
    <w:link w:val="43"/>
    <w:qFormat/>
    <w:uiPriority w:val="0"/>
    <w:rPr>
      <w:rFonts w:ascii="宋体" w:hAnsi="Courier New" w:eastAsia="宋体" w:cs="Times New Roman"/>
      <w:szCs w:val="20"/>
    </w:rPr>
  </w:style>
  <w:style w:type="paragraph" w:customStyle="1" w:styleId="45">
    <w:name w:val="列出段落1"/>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1FEDB-A603-45BE-8569-A803E2C8416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67</Pages>
  <Words>30098</Words>
  <Characters>31983</Characters>
  <Lines>251</Lines>
  <Paragraphs>70</Paragraphs>
  <TotalTime>23</TotalTime>
  <ScaleCrop>false</ScaleCrop>
  <LinksUpToDate>false</LinksUpToDate>
  <CharactersWithSpaces>33768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2023-03-10T08:14:00Z</dcterms:created>
  <dc:creator>User</dc:creator>
  <cp:lastModifiedBy>是创不是灿</cp:lastModifiedBy>
  <cp:lastPrinted>2020-05-21T02:27:00Z</cp:lastPrinted>
  <dcterms:modified xsi:type="dcterms:W3CDTF">2023-03-17T08:43:27Z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D3447BE9567A40338FFFEF9E9343369F</vt:lpwstr>
  </property>
</Properties>
</file>