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3"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23zNcdcAAAAIAQAADwAAAAAAAAABACAAAAAiAAAA&#10;ZHJzL2Rvd25yZXYueG1sUEsBAhQAFAAAAAgAh07iQDqqxfAIAgAAOAQAAA4AAAAAAAAAAQAgAAAA&#10;JgEAAGRycy9lMm9Eb2MueG1sUEsFBgAAAAAGAAYAWQEAAKAFAAAAAA==&#10;">
                <v:fill on="t" focussize="0,0"/>
                <v:stroke color="#FFFFFF" joinstyle="miter"/>
                <v:imagedata o:title=""/>
                <o:lock v:ext="edit" aspectratio="f"/>
                <v:textbo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v:textbox>
              </v:shape>
            </w:pict>
          </mc:Fallback>
        </mc:AlternateContent>
      </w:r>
      <w:r>
        <w:rPr>
          <w:b/>
          <w:kern w:val="0"/>
          <w:sz w:val="28"/>
          <w:szCs w:val="28"/>
        </w:rPr>
        <w:drawing>
          <wp:inline distT="0" distB="0" distL="0" distR="0">
            <wp:extent cx="552450" cy="476250"/>
            <wp:effectExtent l="57150" t="19050" r="190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srcRect/>
                    <a:stretch>
                      <a:fillRect/>
                    </a:stretch>
                  </pic:blipFill>
                  <pic:spPr>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hint="eastAsia" w:asciiTheme="minorEastAsia" w:hAnsiTheme="minorEastAsia" w:eastAsiaTheme="minorEastAsia"/>
          <w:b/>
          <w:snapToGrid w:val="0"/>
          <w:kern w:val="0"/>
          <w:sz w:val="72"/>
          <w:szCs w:val="72"/>
          <w:lang w:eastAsia="zh-CN"/>
        </w:rPr>
      </w:pPr>
      <w:r>
        <w:rPr>
          <w:rFonts w:hint="eastAsia" w:asciiTheme="minorEastAsia" w:hAnsiTheme="minorEastAsia" w:eastAsiaTheme="minorEastAsia"/>
          <w:b/>
          <w:bCs/>
          <w:snapToGrid w:val="0"/>
          <w:kern w:val="0"/>
          <w:sz w:val="72"/>
          <w:szCs w:val="72"/>
          <w:lang w:eastAsia="zh-CN"/>
        </w:rPr>
        <w:t>2022年深圳市菜篮子基地工作（基地监测）</w:t>
      </w:r>
    </w:p>
    <w:p>
      <w:pPr>
        <w:adjustRightInd w:val="0"/>
        <w:snapToGrid w:val="0"/>
        <w:spacing w:line="300" w:lineRule="auto"/>
        <w:jc w:val="center"/>
        <w:rPr>
          <w:rFonts w:asciiTheme="minorEastAsia" w:hAnsiTheme="minorEastAsia" w:eastAsiaTheme="minorEastAsia"/>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服务类招标文件</w:t>
      </w:r>
    </w:p>
    <w:p>
      <w:pPr>
        <w:adjustRightInd w:val="0"/>
        <w:snapToGrid w:val="0"/>
        <w:spacing w:line="300" w:lineRule="auto"/>
        <w:jc w:val="center"/>
        <w:rPr>
          <w:rFonts w:asciiTheme="minorEastAsia" w:hAnsiTheme="minorEastAsia" w:eastAsiaTheme="minorEastAsia"/>
          <w:b/>
          <w:snapToGrid w:val="0"/>
          <w:kern w:val="0"/>
          <w:sz w:val="32"/>
        </w:rPr>
      </w:pPr>
    </w:p>
    <w:p>
      <w:pPr>
        <w:adjustRightInd w:val="0"/>
        <w:snapToGrid w:val="0"/>
        <w:spacing w:line="300" w:lineRule="auto"/>
        <w:jc w:val="center"/>
        <w:rPr>
          <w:rFonts w:hint="eastAsia" w:asciiTheme="minorEastAsia" w:hAnsiTheme="minorEastAsia" w:eastAsiaTheme="minorEastAsia"/>
          <w:b/>
          <w:snapToGrid w:val="0"/>
          <w:kern w:val="0"/>
          <w:sz w:val="32"/>
          <w:lang w:eastAsia="zh-CN"/>
        </w:rPr>
      </w:pPr>
      <w:r>
        <w:rPr>
          <w:rFonts w:hint="eastAsia" w:asciiTheme="minorEastAsia" w:hAnsiTheme="minorEastAsia" w:eastAsiaTheme="minorEastAsia"/>
          <w:b/>
          <w:snapToGrid w:val="0"/>
          <w:kern w:val="0"/>
          <w:sz w:val="32"/>
        </w:rPr>
        <w:t>项目编号：</w:t>
      </w:r>
      <w:r>
        <w:rPr>
          <w:rFonts w:hint="eastAsia" w:asciiTheme="minorEastAsia" w:hAnsiTheme="minorEastAsia" w:eastAsiaTheme="minorEastAsia"/>
          <w:b/>
          <w:snapToGrid w:val="0"/>
          <w:kern w:val="0"/>
          <w:sz w:val="32"/>
          <w:lang w:eastAsia="zh-CN"/>
        </w:rPr>
        <w:t>SZDL2022000716</w:t>
      </w:r>
    </w:p>
    <w:p>
      <w:pPr>
        <w:adjustRightInd w:val="0"/>
        <w:snapToGrid w:val="0"/>
        <w:spacing w:line="300" w:lineRule="auto"/>
        <w:jc w:val="center"/>
        <w:rPr>
          <w:rFonts w:asciiTheme="minorEastAsia" w:hAnsiTheme="minorEastAsia" w:eastAsiaTheme="minorEastAsia"/>
          <w:b/>
          <w:snapToGrid w:val="0"/>
          <w:kern w:val="0"/>
          <w:sz w:val="18"/>
          <w:szCs w:val="18"/>
        </w:rPr>
      </w:pPr>
    </w:p>
    <w:p>
      <w:pPr>
        <w:adjustRightInd w:val="0"/>
        <w:snapToGrid w:val="0"/>
        <w:spacing w:line="300" w:lineRule="auto"/>
        <w:jc w:val="center"/>
        <w:rPr>
          <w:rFonts w:asciiTheme="minorEastAsia" w:hAnsiTheme="minorEastAsia" w:eastAsiaTheme="minorEastAsia"/>
          <w:b/>
          <w:snapToGrid w:val="0"/>
          <w:kern w:val="0"/>
          <w:sz w:val="44"/>
        </w:rPr>
      </w:pPr>
    </w:p>
    <w:p>
      <w:pPr>
        <w:adjustRightInd w:val="0"/>
        <w:snapToGrid w:val="0"/>
        <w:spacing w:line="300" w:lineRule="auto"/>
        <w:jc w:val="center"/>
        <w:rPr>
          <w:rFonts w:asciiTheme="minorEastAsia" w:hAnsiTheme="minorEastAsia" w:eastAsiaTheme="minorEastAsia"/>
          <w:b/>
          <w:snapToGrid w:val="0"/>
          <w:kern w:val="0"/>
          <w:sz w:val="44"/>
        </w:rPr>
      </w:pPr>
      <w:r>
        <w:rPr>
          <w:rFonts w:asciiTheme="minorEastAsia" w:hAnsiTheme="minorEastAsia" w:eastAsiaTheme="minorEastAsia"/>
          <w:b/>
          <w:snapToGrid w:val="0"/>
          <w:kern w:val="0"/>
          <w:sz w:val="44"/>
        </w:rPr>
        <w:t xml:space="preserve"> </w:t>
      </w:r>
    </w:p>
    <w:p>
      <w:pPr>
        <w:pStyle w:val="25"/>
        <w:adjustRightInd w:val="0"/>
        <w:snapToGrid w:val="0"/>
        <w:spacing w:line="300" w:lineRule="auto"/>
        <w:jc w:val="center"/>
        <w:rPr>
          <w:rFonts w:asciiTheme="minorEastAsia" w:hAnsiTheme="minorEastAsia" w:eastAsiaTheme="minorEastAsia"/>
          <w:b/>
          <w:snapToGrid w:val="0"/>
          <w:sz w:val="30"/>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pStyle w:val="25"/>
        <w:adjustRightInd w:val="0"/>
        <w:snapToGrid w:val="0"/>
        <w:spacing w:line="300" w:lineRule="auto"/>
        <w:jc w:val="center"/>
        <w:rPr>
          <w:sz w:val="40"/>
          <w:szCs w:val="40"/>
        </w:rPr>
      </w:pPr>
      <w:r>
        <w:rPr>
          <w:rFonts w:hint="eastAsia" w:asciiTheme="minorEastAsia" w:hAnsiTheme="minorEastAsia" w:eastAsiaTheme="minorEastAsia"/>
          <w:b/>
          <w:snapToGrid w:val="0"/>
          <w:sz w:val="30"/>
        </w:rPr>
        <w:t>二〇二二年</w:t>
      </w:r>
      <w:r>
        <w:rPr>
          <w:rFonts w:hint="eastAsia" w:asciiTheme="minorEastAsia" w:hAnsiTheme="minorEastAsia" w:eastAsiaTheme="minorEastAsia"/>
          <w:b/>
          <w:snapToGrid w:val="0"/>
          <w:sz w:val="30"/>
          <w:lang w:val="en-US" w:eastAsia="zh-CN"/>
        </w:rPr>
        <w:t>五</w:t>
      </w:r>
      <w:r>
        <w:rPr>
          <w:rFonts w:hint="eastAsia" w:asciiTheme="minorEastAsia" w:hAnsiTheme="minorEastAsia" w:eastAsiaTheme="minorEastAsia"/>
          <w:b/>
          <w:snapToGrid w:val="0"/>
          <w:sz w:val="30"/>
        </w:rPr>
        <w:t>月</w:t>
      </w: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仿宋" w:hAnsi="仿宋" w:eastAsia="仿宋"/>
          <w:sz w:val="24"/>
        </w:rPr>
      </w:pP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一、《深圳经济特区政府采购条例》第五十七条</w:t>
      </w:r>
      <w:r>
        <w:rPr>
          <w:rFonts w:asciiTheme="minorEastAsia" w:hAnsiTheme="minorEastAsia" w:eastAsiaTheme="minorEastAsia"/>
          <w:szCs w:val="21"/>
        </w:rPr>
        <w:t xml:space="preserve"> </w:t>
      </w:r>
      <w:r>
        <w:rPr>
          <w:rFonts w:hint="eastAsia" w:asciiTheme="minorEastAsia" w:hAnsiTheme="minorEastAsia" w:eastAsiaTheme="minorEastAsia"/>
          <w:szCs w:val="21"/>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（一）在采购活动中应当回避而未回避的；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（二）未按本条例规定签订、履行采购合同，造成严重后果的；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（三）隐瞒真实情况，提供虚假资料的；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（四）以非法手段排斥其他供应商参与竞争的；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（五）与其他采购参加人串通投标的；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（六）恶意投诉的；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（七）向采购项目相关人行贿或者提供其他不当利益的；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（八）阻碍、抗拒主管部门监督检查的；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（九）其他违反本条例规定的行为。</w:t>
      </w:r>
    </w:p>
    <w:p>
      <w:pPr>
        <w:spacing w:line="440" w:lineRule="exact"/>
        <w:ind w:firstLine="420" w:firstLineChars="200"/>
        <w:rPr>
          <w:rFonts w:asciiTheme="minorEastAsia" w:hAnsiTheme="minorEastAsia" w:eastAsiaTheme="minorEastAsia"/>
          <w:szCs w:val="21"/>
        </w:rPr>
      </w:pP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二、《深圳经济特区政府采购条例实施细则》第七十六条 供应商有下列行为之一的，由主管部门记入供应商诚信档案并作出以下处罚：</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第七十九条 供应商有下列情形的，属于采购条例所称的串通投标行为，按照采购条例第五十七条有关规定处理：</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（一）投标供应商之间相互约定给予未中标的供应商利益补偿；</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（三）不同投标供应商的投标文件由同一单位或者同一人编制，或者由同一人分阶段参与编制的；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（四）不同投标供应商的投标文件或部分投标文件相互混装；</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（五）不同投标供应商的投标文件内容存在非正常一致；</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（六）由同一单位工作人员为两家以上（含两家）供应商进行同一项投标活动的；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（七）主管部门依照法律、法规认定的其他情形。</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第八十一条 供应商有下列情形之一的，属于隐瞒真实情况，提供虚假资料，按照采购条例第五十七的有关规定处理：</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（一）通过转让或者租借等方式从其他单位获取资格或者资质证书投标的；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（二）由其他单位或者其他单位负责人在投标供应商编制的投标文件上加盖印章或者签字的；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（三）项目负责人或者主要技术人员不是本单位人员的；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（四）投标保证金不是从投标供应商基本账户转出的；</w:t>
      </w:r>
    </w:p>
    <w:p>
      <w:pPr>
        <w:spacing w:line="44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（五）其他隐瞒真实情况、提供虚假资料的行为。</w:t>
      </w:r>
    </w:p>
    <w:p>
      <w:pPr>
        <w:spacing w:line="440" w:lineRule="exact"/>
        <w:ind w:firstLine="371" w:firstLineChars="177"/>
        <w:rPr>
          <w:rFonts w:asciiTheme="minorEastAsia" w:hAnsiTheme="minorEastAsia" w:eastAsiaTheme="minorEastAsia"/>
          <w:szCs w:val="21"/>
        </w:rPr>
      </w:pPr>
      <w:r>
        <w:rPr>
          <w:rFonts w:hint="eastAsia" w:asciiTheme="minorEastAsia" w:hAnsiTheme="minorEastAsia" w:eastAsiaTheme="minorEastAsia"/>
          <w:szCs w:val="21"/>
        </w:rPr>
        <w:t>投标供应商不能提供项目负责人或者主要技术人员的劳动合同、社会保险等劳动关系证明材料的，视为存在前款第（三）项规定的情形。</w:t>
      </w:r>
    </w:p>
    <w:p>
      <w:pPr>
        <w:spacing w:line="440" w:lineRule="exact"/>
        <w:ind w:firstLine="373" w:firstLineChars="177"/>
        <w:rPr>
          <w:rFonts w:asciiTheme="minorEastAsia" w:hAnsiTheme="minorEastAsia" w:eastAsiaTheme="minorEastAsia"/>
          <w:b/>
          <w:color w:val="FF0000"/>
          <w:szCs w:val="21"/>
        </w:rPr>
      </w:pPr>
    </w:p>
    <w:p>
      <w:pPr>
        <w:spacing w:line="440" w:lineRule="exact"/>
        <w:ind w:firstLine="373" w:firstLineChars="177"/>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373" w:firstLineChars="177"/>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投标供应商涉嫌存在串通投标等违法行为的，将书面报告财政主管部门依法处理。</w:t>
      </w:r>
    </w:p>
    <w:p>
      <w:pPr>
        <w:spacing w:line="360" w:lineRule="auto"/>
        <w:ind w:firstLine="480" w:firstLineChars="200"/>
        <w:rPr>
          <w:sz w:val="40"/>
          <w:szCs w:val="40"/>
        </w:rPr>
      </w:pPr>
      <w:r>
        <w:rPr>
          <w:rFonts w:hint="eastAsia" w:ascii="仿宋" w:hAnsi="仿宋" w:eastAsia="仿宋"/>
          <w:sz w:val="24"/>
        </w:rPr>
        <w:cr/>
      </w:r>
    </w:p>
    <w:p>
      <w:pPr>
        <w:pStyle w:val="37"/>
        <w:spacing w:before="454" w:beforeAutospacing="0" w:after="454" w:afterAutospacing="0"/>
        <w:ind w:left="454" w:right="454"/>
        <w:jc w:val="center"/>
        <w:outlineLvl w:val="0"/>
        <w:rPr>
          <w:rFonts w:hint="eastAsia" w:eastAsia="宋体"/>
          <w:sz w:val="40"/>
          <w:szCs w:val="40"/>
          <w:lang w:eastAsia="zh-CN"/>
        </w:rPr>
      </w:pPr>
      <w:r>
        <w:rPr>
          <w:rFonts w:hint="eastAsia"/>
          <w:sz w:val="40"/>
          <w:szCs w:val="40"/>
          <w:lang w:eastAsia="zh-CN"/>
        </w:rPr>
        <w:t>2022年深圳市菜篮子基地工作（基地监测）</w:t>
      </w:r>
    </w:p>
    <w:p>
      <w:pPr>
        <w:pStyle w:val="37"/>
        <w:jc w:val="center"/>
        <w:outlineLvl w:val="1"/>
        <w:rPr>
          <w:rFonts w:ascii="黑体" w:hAnsi="黑体" w:eastAsia="黑体"/>
          <w:sz w:val="40"/>
          <w:szCs w:val="40"/>
        </w:rPr>
      </w:pPr>
      <w:r>
        <w:rPr>
          <w:rFonts w:hint="eastAsia" w:ascii="黑体" w:hAnsi="黑体" w:eastAsia="黑体"/>
          <w:sz w:val="40"/>
          <w:szCs w:val="40"/>
        </w:rPr>
        <w:t>招标文件信息</w:t>
      </w:r>
    </w:p>
    <w:tbl>
      <w:tblPr>
        <w:tblStyle w:val="42"/>
        <w:tblW w:w="7938" w:type="dxa"/>
        <w:jc w:val="center"/>
        <w:tblCellSpacing w:w="0" w:type="dxa"/>
        <w:tblLayout w:type="autofit"/>
        <w:tblCellMar>
          <w:top w:w="45" w:type="dxa"/>
          <w:left w:w="45" w:type="dxa"/>
          <w:bottom w:w="45" w:type="dxa"/>
          <w:right w:w="45" w:type="dxa"/>
        </w:tblCellMar>
      </w:tblPr>
      <w:tblGrid>
        <w:gridCol w:w="2722"/>
        <w:gridCol w:w="5216"/>
      </w:tblGrid>
      <w:tr>
        <w:tblPrEx>
          <w:tblCellMar>
            <w:top w:w="45" w:type="dxa"/>
            <w:left w:w="45" w:type="dxa"/>
            <w:bottom w:w="45" w:type="dxa"/>
            <w:right w:w="45" w:type="dxa"/>
          </w:tblCellMar>
        </w:tblPrEx>
        <w:trPr>
          <w:trHeight w:val="737" w:hRule="atLeast"/>
          <w:tblCellSpacing w:w="0" w:type="dxa"/>
          <w:jc w:val="center"/>
        </w:trPr>
        <w:tc>
          <w:tcPr>
            <w:tcW w:w="2722" w:type="dxa"/>
            <w:vAlign w:val="center"/>
          </w:tcPr>
          <w:p>
            <w:pPr>
              <w:jc w:val="right"/>
              <w:rPr>
                <w:rFonts w:cs="宋体" w:asciiTheme="minorEastAsia" w:hAnsiTheme="minorEastAsia" w:eastAsiaTheme="minorEastAsia"/>
                <w:sz w:val="30"/>
                <w:szCs w:val="30"/>
              </w:rPr>
            </w:pPr>
            <w:r>
              <w:rPr>
                <w:rFonts w:asciiTheme="minorEastAsia" w:hAnsiTheme="minorEastAsia" w:eastAsiaTheme="minorEastAsia"/>
                <w:sz w:val="30"/>
                <w:szCs w:val="30"/>
              </w:rPr>
              <w:t>项目编号：</w:t>
            </w:r>
          </w:p>
        </w:tc>
        <w:tc>
          <w:tcPr>
            <w:tcW w:w="0" w:type="auto"/>
            <w:vAlign w:val="center"/>
          </w:tcPr>
          <w:p>
            <w:pPr>
              <w:rPr>
                <w:rFonts w:hint="eastAsia" w:cs="宋体" w:asciiTheme="minorEastAsia" w:hAnsiTheme="minorEastAsia" w:eastAsiaTheme="minorEastAsia"/>
                <w:sz w:val="30"/>
                <w:szCs w:val="30"/>
                <w:lang w:eastAsia="zh-CN"/>
              </w:rPr>
            </w:pPr>
            <w:r>
              <w:rPr>
                <w:rFonts w:hint="eastAsia" w:asciiTheme="minorEastAsia" w:hAnsiTheme="minorEastAsia" w:eastAsiaTheme="minorEastAsia"/>
                <w:sz w:val="30"/>
                <w:szCs w:val="30"/>
                <w:lang w:eastAsia="zh-CN"/>
              </w:rPr>
              <w:t>SZDL2022000716</w:t>
            </w:r>
          </w:p>
        </w:tc>
      </w:tr>
      <w:tr>
        <w:tblPrEx>
          <w:tblCellMar>
            <w:top w:w="45" w:type="dxa"/>
            <w:left w:w="45" w:type="dxa"/>
            <w:bottom w:w="45" w:type="dxa"/>
            <w:right w:w="45" w:type="dxa"/>
          </w:tblCellMar>
        </w:tblPrEx>
        <w:trPr>
          <w:trHeight w:val="737" w:hRule="atLeast"/>
          <w:tblCellSpacing w:w="0" w:type="dxa"/>
          <w:jc w:val="center"/>
        </w:trPr>
        <w:tc>
          <w:tcPr>
            <w:tcW w:w="0" w:type="auto"/>
            <w:vAlign w:val="center"/>
          </w:tcPr>
          <w:p>
            <w:pPr>
              <w:jc w:val="right"/>
              <w:rPr>
                <w:rFonts w:cs="宋体" w:asciiTheme="minorEastAsia" w:hAnsiTheme="minorEastAsia" w:eastAsiaTheme="minorEastAsia"/>
                <w:sz w:val="30"/>
                <w:szCs w:val="30"/>
              </w:rPr>
            </w:pPr>
            <w:r>
              <w:rPr>
                <w:rFonts w:asciiTheme="minorEastAsia" w:hAnsiTheme="minorEastAsia" w:eastAsiaTheme="minorEastAsia"/>
                <w:sz w:val="30"/>
                <w:szCs w:val="30"/>
              </w:rPr>
              <w:t>项目名称：</w:t>
            </w:r>
          </w:p>
        </w:tc>
        <w:tc>
          <w:tcPr>
            <w:tcW w:w="0" w:type="auto"/>
            <w:vAlign w:val="center"/>
          </w:tcPr>
          <w:p>
            <w:pPr>
              <w:rPr>
                <w:rFonts w:hint="eastAsia" w:cs="宋体" w:asciiTheme="minorEastAsia" w:hAnsiTheme="minorEastAsia" w:eastAsiaTheme="minorEastAsia"/>
                <w:sz w:val="30"/>
                <w:szCs w:val="30"/>
                <w:lang w:eastAsia="zh-CN"/>
              </w:rPr>
            </w:pPr>
            <w:r>
              <w:rPr>
                <w:rFonts w:hint="eastAsia" w:asciiTheme="minorEastAsia" w:hAnsiTheme="minorEastAsia" w:eastAsiaTheme="minorEastAsia"/>
                <w:sz w:val="30"/>
                <w:szCs w:val="30"/>
                <w:lang w:eastAsia="zh-CN"/>
              </w:rPr>
              <w:t>2022年深圳市菜篮子基地工作（基地监测）</w:t>
            </w:r>
          </w:p>
        </w:tc>
      </w:tr>
      <w:tr>
        <w:tblPrEx>
          <w:tblCellMar>
            <w:top w:w="45" w:type="dxa"/>
            <w:left w:w="45" w:type="dxa"/>
            <w:bottom w:w="45" w:type="dxa"/>
            <w:right w:w="45" w:type="dxa"/>
          </w:tblCellMar>
        </w:tblPrEx>
        <w:trPr>
          <w:trHeight w:val="737" w:hRule="atLeast"/>
          <w:tblCellSpacing w:w="0" w:type="dxa"/>
          <w:jc w:val="center"/>
        </w:trPr>
        <w:tc>
          <w:tcPr>
            <w:tcW w:w="0" w:type="auto"/>
            <w:vAlign w:val="center"/>
          </w:tcPr>
          <w:p>
            <w:pPr>
              <w:jc w:val="right"/>
              <w:rPr>
                <w:rFonts w:cs="宋体" w:asciiTheme="minorEastAsia" w:hAnsiTheme="minorEastAsia" w:eastAsiaTheme="minorEastAsia"/>
                <w:sz w:val="30"/>
                <w:szCs w:val="30"/>
              </w:rPr>
            </w:pPr>
            <w:r>
              <w:rPr>
                <w:rFonts w:asciiTheme="minorEastAsia" w:hAnsiTheme="minorEastAsia" w:eastAsiaTheme="minorEastAsia"/>
                <w:sz w:val="30"/>
                <w:szCs w:val="30"/>
              </w:rPr>
              <w:t>包 号：</w:t>
            </w:r>
          </w:p>
        </w:tc>
        <w:tc>
          <w:tcPr>
            <w:tcW w:w="0" w:type="auto"/>
            <w:vAlign w:val="center"/>
          </w:tcPr>
          <w:p>
            <w:pPr>
              <w:rPr>
                <w:rFonts w:cs="宋体" w:asciiTheme="minorEastAsia" w:hAnsiTheme="minorEastAsia" w:eastAsiaTheme="minorEastAsia"/>
                <w:sz w:val="30"/>
                <w:szCs w:val="30"/>
              </w:rPr>
            </w:pPr>
            <w:r>
              <w:rPr>
                <w:rFonts w:asciiTheme="minorEastAsia" w:hAnsiTheme="minorEastAsia" w:eastAsiaTheme="minorEastAsia"/>
                <w:sz w:val="30"/>
                <w:szCs w:val="30"/>
              </w:rPr>
              <w:t>A</w:t>
            </w:r>
          </w:p>
        </w:tc>
      </w:tr>
      <w:tr>
        <w:tblPrEx>
          <w:tblCellMar>
            <w:top w:w="45" w:type="dxa"/>
            <w:left w:w="45" w:type="dxa"/>
            <w:bottom w:w="45" w:type="dxa"/>
            <w:right w:w="45" w:type="dxa"/>
          </w:tblCellMar>
        </w:tblPrEx>
        <w:trPr>
          <w:trHeight w:val="737" w:hRule="atLeast"/>
          <w:tblCellSpacing w:w="0" w:type="dxa"/>
          <w:jc w:val="center"/>
        </w:trPr>
        <w:tc>
          <w:tcPr>
            <w:tcW w:w="0" w:type="auto"/>
            <w:vAlign w:val="center"/>
          </w:tcPr>
          <w:p>
            <w:pPr>
              <w:jc w:val="right"/>
              <w:rPr>
                <w:rFonts w:cs="宋体" w:asciiTheme="minorEastAsia" w:hAnsiTheme="minorEastAsia" w:eastAsiaTheme="minorEastAsia"/>
                <w:sz w:val="30"/>
                <w:szCs w:val="30"/>
              </w:rPr>
            </w:pPr>
            <w:r>
              <w:rPr>
                <w:rFonts w:asciiTheme="minorEastAsia" w:hAnsiTheme="minorEastAsia" w:eastAsiaTheme="minorEastAsia"/>
                <w:sz w:val="30"/>
                <w:szCs w:val="30"/>
              </w:rPr>
              <w:t>项目类型：</w:t>
            </w:r>
          </w:p>
        </w:tc>
        <w:tc>
          <w:tcPr>
            <w:tcW w:w="0" w:type="auto"/>
            <w:vAlign w:val="center"/>
          </w:tcPr>
          <w:p>
            <w:pPr>
              <w:rPr>
                <w:rFonts w:cs="宋体" w:asciiTheme="minorEastAsia" w:hAnsiTheme="minorEastAsia" w:eastAsiaTheme="minorEastAsia"/>
                <w:sz w:val="30"/>
                <w:szCs w:val="30"/>
              </w:rPr>
            </w:pPr>
            <w:r>
              <w:rPr>
                <w:rFonts w:asciiTheme="minorEastAsia" w:hAnsiTheme="minorEastAsia" w:eastAsiaTheme="minorEastAsia"/>
                <w:sz w:val="30"/>
                <w:szCs w:val="30"/>
              </w:rPr>
              <w:t>服务类</w:t>
            </w:r>
          </w:p>
        </w:tc>
      </w:tr>
      <w:tr>
        <w:tblPrEx>
          <w:tblCellMar>
            <w:top w:w="45" w:type="dxa"/>
            <w:left w:w="45" w:type="dxa"/>
            <w:bottom w:w="45" w:type="dxa"/>
            <w:right w:w="45" w:type="dxa"/>
          </w:tblCellMar>
        </w:tblPrEx>
        <w:trPr>
          <w:trHeight w:val="737" w:hRule="atLeast"/>
          <w:tblCellSpacing w:w="0" w:type="dxa"/>
          <w:jc w:val="center"/>
        </w:trPr>
        <w:tc>
          <w:tcPr>
            <w:tcW w:w="0" w:type="auto"/>
            <w:vAlign w:val="center"/>
          </w:tcPr>
          <w:p>
            <w:pPr>
              <w:jc w:val="right"/>
              <w:rPr>
                <w:rFonts w:cs="宋体" w:asciiTheme="minorEastAsia" w:hAnsiTheme="minorEastAsia" w:eastAsiaTheme="minorEastAsia"/>
                <w:sz w:val="30"/>
                <w:szCs w:val="30"/>
              </w:rPr>
            </w:pPr>
            <w:r>
              <w:rPr>
                <w:rFonts w:asciiTheme="minorEastAsia" w:hAnsiTheme="minorEastAsia" w:eastAsiaTheme="minorEastAsia"/>
                <w:sz w:val="30"/>
                <w:szCs w:val="30"/>
              </w:rPr>
              <w:t>采购方式：</w:t>
            </w:r>
          </w:p>
        </w:tc>
        <w:tc>
          <w:tcPr>
            <w:tcW w:w="0" w:type="auto"/>
            <w:vAlign w:val="center"/>
          </w:tcPr>
          <w:p>
            <w:pPr>
              <w:rPr>
                <w:rFonts w:cs="宋体" w:asciiTheme="minorEastAsia" w:hAnsiTheme="minorEastAsia" w:eastAsiaTheme="minorEastAsia"/>
                <w:sz w:val="30"/>
                <w:szCs w:val="30"/>
              </w:rPr>
            </w:pPr>
            <w:r>
              <w:rPr>
                <w:rFonts w:asciiTheme="minorEastAsia" w:hAnsiTheme="minorEastAsia" w:eastAsiaTheme="minorEastAsia"/>
                <w:sz w:val="30"/>
                <w:szCs w:val="30"/>
              </w:rPr>
              <w:t>公开招标</w:t>
            </w:r>
          </w:p>
        </w:tc>
      </w:tr>
      <w:tr>
        <w:tblPrEx>
          <w:tblCellMar>
            <w:top w:w="45" w:type="dxa"/>
            <w:left w:w="45" w:type="dxa"/>
            <w:bottom w:w="45" w:type="dxa"/>
            <w:right w:w="45" w:type="dxa"/>
          </w:tblCellMar>
        </w:tblPrEx>
        <w:trPr>
          <w:trHeight w:val="737" w:hRule="atLeast"/>
          <w:tblCellSpacing w:w="0" w:type="dxa"/>
          <w:jc w:val="center"/>
        </w:trPr>
        <w:tc>
          <w:tcPr>
            <w:tcW w:w="0" w:type="auto"/>
            <w:vAlign w:val="center"/>
          </w:tcPr>
          <w:p>
            <w:pPr>
              <w:jc w:val="right"/>
              <w:rPr>
                <w:rFonts w:ascii="宋体" w:hAnsi="宋体" w:cs="宋体"/>
                <w:sz w:val="30"/>
                <w:szCs w:val="30"/>
              </w:rPr>
            </w:pPr>
            <w:r>
              <w:rPr>
                <w:sz w:val="30"/>
                <w:szCs w:val="30"/>
              </w:rPr>
              <w:t>货币类型：</w:t>
            </w:r>
          </w:p>
        </w:tc>
        <w:tc>
          <w:tcPr>
            <w:tcW w:w="0" w:type="auto"/>
            <w:vAlign w:val="center"/>
          </w:tcPr>
          <w:p>
            <w:pPr>
              <w:rPr>
                <w:rFonts w:ascii="宋体" w:hAnsi="宋体" w:cs="宋体"/>
                <w:sz w:val="30"/>
                <w:szCs w:val="30"/>
              </w:rPr>
            </w:pPr>
            <w:r>
              <w:rPr>
                <w:sz w:val="30"/>
                <w:szCs w:val="30"/>
              </w:rPr>
              <w:t>人民币</w:t>
            </w:r>
          </w:p>
        </w:tc>
      </w:tr>
      <w:tr>
        <w:tblPrEx>
          <w:tblCellMar>
            <w:top w:w="45" w:type="dxa"/>
            <w:left w:w="45" w:type="dxa"/>
            <w:bottom w:w="45" w:type="dxa"/>
            <w:right w:w="45" w:type="dxa"/>
          </w:tblCellMar>
        </w:tblPrEx>
        <w:trPr>
          <w:trHeight w:val="737" w:hRule="atLeast"/>
          <w:tblCellSpacing w:w="0" w:type="dxa"/>
          <w:jc w:val="center"/>
        </w:trPr>
        <w:tc>
          <w:tcPr>
            <w:tcW w:w="0" w:type="auto"/>
            <w:vAlign w:val="center"/>
          </w:tcPr>
          <w:p>
            <w:pPr>
              <w:jc w:val="right"/>
              <w:rPr>
                <w:rFonts w:ascii="宋体" w:hAnsi="宋体" w:cs="宋体"/>
                <w:sz w:val="30"/>
                <w:szCs w:val="30"/>
              </w:rPr>
            </w:pPr>
            <w:r>
              <w:rPr>
                <w:sz w:val="30"/>
                <w:szCs w:val="30"/>
              </w:rPr>
              <w:t>评标方法：</w:t>
            </w:r>
          </w:p>
        </w:tc>
        <w:tc>
          <w:tcPr>
            <w:tcW w:w="0" w:type="auto"/>
            <w:vAlign w:val="center"/>
          </w:tcPr>
          <w:p>
            <w:pPr>
              <w:rPr>
                <w:rFonts w:ascii="宋体" w:hAnsi="宋体" w:cs="宋体"/>
                <w:sz w:val="30"/>
                <w:szCs w:val="30"/>
              </w:rPr>
            </w:pPr>
            <w:r>
              <w:rPr>
                <w:sz w:val="30"/>
                <w:szCs w:val="30"/>
              </w:rPr>
              <w:t>综合评分法（新价格分算法）</w:t>
            </w:r>
          </w:p>
        </w:tc>
      </w:tr>
    </w:tbl>
    <w:p>
      <w:pPr>
        <w:pStyle w:val="37"/>
        <w:jc w:val="center"/>
        <w:outlineLvl w:val="1"/>
        <w:rPr>
          <w:rFonts w:ascii="黑体" w:hAnsi="黑体" w:eastAsia="黑体"/>
          <w:sz w:val="40"/>
          <w:szCs w:val="40"/>
        </w:rPr>
      </w:pPr>
      <w:r>
        <w:rPr>
          <w:rFonts w:hint="eastAsia" w:ascii="黑体" w:hAnsi="黑体" w:eastAsia="黑体"/>
          <w:sz w:val="40"/>
          <w:szCs w:val="40"/>
        </w:rPr>
        <w:t>资格性审查表</w:t>
      </w:r>
    </w:p>
    <w:tbl>
      <w:tblPr>
        <w:tblStyle w:val="42"/>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cs="宋体"/>
                <w:sz w:val="28"/>
                <w:szCs w:val="28"/>
              </w:rPr>
            </w:pPr>
            <w:r>
              <w:rPr>
                <w:sz w:val="28"/>
                <w:szCs w:val="28"/>
              </w:rPr>
              <w:t>序号</w:t>
            </w:r>
          </w:p>
        </w:tc>
        <w:tc>
          <w:tcPr>
            <w:tcW w:w="0" w:type="auto"/>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cs="宋体"/>
                <w:sz w:val="28"/>
                <w:szCs w:val="28"/>
              </w:rPr>
            </w:pPr>
            <w:r>
              <w:rPr>
                <w:sz w:val="28"/>
                <w:szCs w:val="28"/>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szCs w:val="21"/>
              </w:rPr>
              <w:t>1</w:t>
            </w:r>
          </w:p>
        </w:tc>
        <w:tc>
          <w:tcPr>
            <w:tcW w:w="0" w:type="auto"/>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szCs w:val="21"/>
              </w:rPr>
              <w:t>投标人具备招标文件所列的资格要求，</w:t>
            </w:r>
            <w:r>
              <w:rPr>
                <w:rFonts w:hint="eastAsia"/>
                <w:szCs w:val="21"/>
              </w:rPr>
              <w:t>且</w:t>
            </w:r>
            <w:r>
              <w:rPr>
                <w:szCs w:val="21"/>
              </w:rPr>
              <w:t>提交相应的资格证明资料（详见招标公告</w:t>
            </w:r>
            <w:r>
              <w:rPr>
                <w:rFonts w:ascii="宋体" w:hAnsi="宋体"/>
              </w:rPr>
              <w:t>申请人的资格要求</w:t>
            </w:r>
            <w:r>
              <w:rPr>
                <w:szCs w:val="21"/>
              </w:rPr>
              <w:t>）</w:t>
            </w:r>
          </w:p>
        </w:tc>
      </w:tr>
    </w:tbl>
    <w:p>
      <w:pPr>
        <w:pStyle w:val="37"/>
        <w:spacing w:before="280" w:beforeAutospacing="0"/>
        <w:jc w:val="center"/>
        <w:outlineLvl w:val="1"/>
        <w:rPr>
          <w:rFonts w:ascii="黑体" w:hAnsi="黑体" w:eastAsia="黑体"/>
          <w:sz w:val="40"/>
          <w:szCs w:val="40"/>
        </w:rPr>
      </w:pPr>
      <w:r>
        <w:rPr>
          <w:rFonts w:hint="eastAsia" w:ascii="黑体" w:hAnsi="黑体" w:eastAsia="黑体"/>
          <w:sz w:val="40"/>
          <w:szCs w:val="40"/>
        </w:rPr>
        <w:t>符合性审查表</w:t>
      </w:r>
    </w:p>
    <w:tbl>
      <w:tblPr>
        <w:tblStyle w:val="42"/>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cs="宋体"/>
                <w:sz w:val="28"/>
                <w:szCs w:val="28"/>
              </w:rPr>
            </w:pPr>
            <w:r>
              <w:rPr>
                <w:rFonts w:ascii="Times New Roman" w:hAnsi="Times New Roman"/>
                <w:sz w:val="28"/>
                <w:szCs w:val="28"/>
              </w:rPr>
              <w:t>序号</w:t>
            </w:r>
          </w:p>
        </w:tc>
        <w:tc>
          <w:tcPr>
            <w:tcW w:w="0" w:type="auto"/>
            <w:tcBorders>
              <w:top w:val="single" w:color="000000" w:sz="8" w:space="0"/>
              <w:left w:val="single" w:color="000000" w:sz="8" w:space="0"/>
              <w:bottom w:val="single" w:color="000000" w:sz="8" w:space="0"/>
              <w:right w:val="single" w:color="000000" w:sz="8" w:space="0"/>
            </w:tcBorders>
            <w:shd w:val="clear" w:color="auto" w:fill="E6EFFA"/>
            <w:vAlign w:val="center"/>
          </w:tcPr>
          <w:p>
            <w:pPr>
              <w:jc w:val="center"/>
              <w:rPr>
                <w:rFonts w:ascii="宋体" w:hAnsi="宋体" w:cs="宋体"/>
                <w:sz w:val="28"/>
                <w:szCs w:val="28"/>
              </w:rPr>
            </w:pPr>
            <w:r>
              <w:rPr>
                <w:rFonts w:ascii="Times New Roman" w:hAnsi="Times New Roman"/>
                <w:sz w:val="28"/>
                <w:szCs w:val="28"/>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ascii="Times New Roman" w:hAnsi="Times New Roman"/>
                <w:szCs w:val="21"/>
              </w:rPr>
              <w:t>1</w:t>
            </w:r>
          </w:p>
        </w:tc>
        <w:tc>
          <w:tcPr>
            <w:tcW w:w="0" w:type="auto"/>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hint="eastAsia" w:ascii="Times New Roman" w:hAnsi="Times New Roman"/>
                <w:szCs w:val="21"/>
              </w:rPr>
              <w:t>未</w:t>
            </w:r>
            <w:r>
              <w:rPr>
                <w:rFonts w:ascii="Times New Roman" w:hAnsi="Times New Roman"/>
                <w:szCs w:val="21"/>
              </w:rPr>
              <w:t>将一个包或一个标段的内容拆开投标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ascii="Times New Roman" w:hAnsi="Times New Roman"/>
                <w:szCs w:val="21"/>
              </w:rPr>
              <w:t>2</w:t>
            </w:r>
          </w:p>
        </w:tc>
        <w:tc>
          <w:tcPr>
            <w:tcW w:w="0" w:type="auto"/>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ascii="Times New Roman" w:hAnsi="Times New Roman"/>
                <w:szCs w:val="21"/>
              </w:rPr>
              <w:t>对同一项目投标时，</w:t>
            </w:r>
            <w:r>
              <w:rPr>
                <w:rFonts w:hint="eastAsia" w:ascii="Times New Roman" w:hAnsi="Times New Roman"/>
                <w:szCs w:val="21"/>
              </w:rPr>
              <w:t>未</w:t>
            </w:r>
            <w:r>
              <w:rPr>
                <w:rFonts w:ascii="Times New Roman" w:hAnsi="Times New Roman"/>
                <w:szCs w:val="21"/>
              </w:rPr>
              <w:t>提供两套</w:t>
            </w:r>
            <w:r>
              <w:rPr>
                <w:rFonts w:hint="eastAsia" w:ascii="Times New Roman" w:hAnsi="Times New Roman"/>
                <w:szCs w:val="21"/>
              </w:rPr>
              <w:t>及</w:t>
            </w:r>
            <w:r>
              <w:rPr>
                <w:rFonts w:ascii="Times New Roman" w:hAnsi="Times New Roman"/>
                <w:szCs w:val="21"/>
              </w:rPr>
              <w:t>以上的投标方案（招标文件另有规定的除外）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ascii="Times New Roman" w:hAnsi="Times New Roman"/>
                <w:szCs w:val="21"/>
              </w:rPr>
              <w:t>3</w:t>
            </w:r>
          </w:p>
        </w:tc>
        <w:tc>
          <w:tcPr>
            <w:tcW w:w="0" w:type="auto"/>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ascii="Times New Roman" w:hAnsi="Times New Roman"/>
                <w:szCs w:val="21"/>
              </w:rPr>
              <w:t>分项报价或投标总价</w:t>
            </w:r>
            <w:r>
              <w:rPr>
                <w:rFonts w:hint="eastAsia" w:ascii="Times New Roman" w:hAnsi="Times New Roman"/>
                <w:szCs w:val="21"/>
              </w:rPr>
              <w:t>未超过</w:t>
            </w:r>
            <w:r>
              <w:rPr>
                <w:rFonts w:ascii="Times New Roman" w:hAnsi="Times New Roman"/>
                <w:szCs w:val="21"/>
              </w:rPr>
              <w:t>预算金额（最高投标限价）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ascii="Times New Roman" w:hAnsi="Times New Roman"/>
                <w:szCs w:val="21"/>
              </w:rPr>
              <w:t>4</w:t>
            </w:r>
          </w:p>
        </w:tc>
        <w:tc>
          <w:tcPr>
            <w:tcW w:w="0" w:type="auto"/>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hint="eastAsia" w:ascii="Times New Roman" w:hAnsi="Times New Roman"/>
                <w:szCs w:val="21"/>
              </w:rPr>
              <w:t>如评标委员会认为投标人的报价明显低于其他通过符合性审查投标人的报价，有可能影响产品质量或者不能诚信履约的，应当要求其在评标现场合理的时间内提供书面说明，必要时提交相关证明材料；投标人应证明其报价合理性（评审委员会成员对投标人提供的说明材料判断不一致的，按照“少数服从多数”的原则确定评审委员会的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ascii="Times New Roman" w:hAnsi="Times New Roman"/>
                <w:szCs w:val="21"/>
              </w:rPr>
              <w:t>5</w:t>
            </w:r>
          </w:p>
        </w:tc>
        <w:tc>
          <w:tcPr>
            <w:tcW w:w="0" w:type="auto"/>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ascii="Times New Roman" w:hAnsi="Times New Roman"/>
                <w:szCs w:val="21"/>
              </w:rPr>
              <w:t>投标报价</w:t>
            </w:r>
            <w:r>
              <w:rPr>
                <w:rFonts w:hint="eastAsia" w:ascii="Times New Roman" w:hAnsi="Times New Roman"/>
                <w:szCs w:val="21"/>
              </w:rPr>
              <w:t>无</w:t>
            </w:r>
            <w:r>
              <w:rPr>
                <w:rFonts w:ascii="Times New Roman" w:hAnsi="Times New Roman"/>
                <w:szCs w:val="21"/>
              </w:rPr>
              <w:t>严重缺漏项目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hint="eastAsia" w:ascii="Times New Roman" w:hAnsi="Times New Roman"/>
                <w:szCs w:val="21"/>
              </w:rPr>
              <w:t>6</w:t>
            </w:r>
          </w:p>
        </w:tc>
        <w:tc>
          <w:tcPr>
            <w:tcW w:w="0" w:type="auto"/>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ascii="Times New Roman" w:hAnsi="Times New Roman"/>
                <w:szCs w:val="21"/>
              </w:rPr>
              <w:t>所投产品、工程、服务在商务、技术等方面实质性满足招标文件要求（是否实质性满足招标文件要求，由评标委员会根据《</w:t>
            </w:r>
            <w:r>
              <w:rPr>
                <w:rFonts w:hint="eastAsia" w:ascii="Times New Roman" w:hAnsi="Times New Roman"/>
                <w:szCs w:val="21"/>
              </w:rPr>
              <w:t>实质性条款响应情况表</w:t>
            </w:r>
            <w:r>
              <w:rPr>
                <w:rFonts w:ascii="Times New Roman" w:hAnsi="Times New Roman"/>
                <w:szCs w:val="21"/>
              </w:rPr>
              <w:t>》做出评判）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hint="eastAsia" w:ascii="Times New Roman" w:hAnsi="Times New Roman"/>
                <w:szCs w:val="21"/>
              </w:rPr>
              <w:t>7</w:t>
            </w:r>
          </w:p>
        </w:tc>
        <w:tc>
          <w:tcPr>
            <w:tcW w:w="0" w:type="auto"/>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ascii="Times New Roman" w:hAnsi="Times New Roman"/>
                <w:szCs w:val="21"/>
              </w:rPr>
              <w:t>按招标文件所提供的样式填写《投标函》；按招标文件所提供的《政府采购投标及履约承诺函》进行承诺；</w:t>
            </w:r>
            <w:r>
              <w:rPr>
                <w:rFonts w:hint="eastAsia" w:ascii="Times New Roman" w:hAnsi="Times New Roman"/>
                <w:szCs w:val="21"/>
              </w:rPr>
              <w:t>并</w:t>
            </w:r>
            <w:r>
              <w:rPr>
                <w:rFonts w:ascii="Times New Roman" w:hAnsi="Times New Roman"/>
                <w:szCs w:val="21"/>
              </w:rPr>
              <w:t>按招标文件对投标文件组成的要求提供投标文件（投标文件组成完整）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hint="eastAsia" w:ascii="Times New Roman" w:hAnsi="Times New Roman"/>
                <w:szCs w:val="21"/>
              </w:rPr>
              <w:t>8</w:t>
            </w:r>
          </w:p>
        </w:tc>
        <w:tc>
          <w:tcPr>
            <w:tcW w:w="0" w:type="auto"/>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hint="eastAsia" w:ascii="Times New Roman" w:hAnsi="Times New Roman"/>
                <w:szCs w:val="21"/>
              </w:rPr>
              <w:t>投标文件不存在列放位置错误，导致属于信息公开内容没有被公开的情形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hint="eastAsia" w:ascii="Times New Roman" w:hAnsi="Times New Roman"/>
                <w:szCs w:val="21"/>
              </w:rPr>
              <w:t>9</w:t>
            </w:r>
          </w:p>
        </w:tc>
        <w:tc>
          <w:tcPr>
            <w:tcW w:w="0" w:type="auto"/>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szCs w:val="21"/>
              </w:rPr>
              <w:t>投标文件</w:t>
            </w:r>
            <w:r>
              <w:rPr>
                <w:rFonts w:hint="eastAsia"/>
                <w:szCs w:val="21"/>
              </w:rPr>
              <w:t>不存在</w:t>
            </w:r>
            <w:r>
              <w:rPr>
                <w:szCs w:val="21"/>
              </w:rPr>
              <w:t>电子文档带病毒</w:t>
            </w:r>
            <w:r>
              <w:rPr>
                <w:rFonts w:hint="eastAsia"/>
                <w:szCs w:val="21"/>
              </w:rPr>
              <w:t>或使</w:t>
            </w:r>
            <w:r>
              <w:rPr>
                <w:szCs w:val="21"/>
              </w:rPr>
              <w:t>用</w:t>
            </w:r>
            <w:r>
              <w:rPr>
                <w:rFonts w:hint="eastAsia"/>
                <w:szCs w:val="21"/>
              </w:rPr>
              <w:t>其他投标人</w:t>
            </w:r>
            <w:r>
              <w:rPr>
                <w:szCs w:val="21"/>
              </w:rPr>
              <w:t>的电子密钥进行加密</w:t>
            </w:r>
            <w:r>
              <w:rPr>
                <w:rFonts w:hint="eastAsia"/>
                <w:szCs w:val="21"/>
              </w:rPr>
              <w:t>的情形</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tcPr>
          <w:p>
            <w:pPr>
              <w:jc w:val="center"/>
              <w:rPr>
                <w:rFonts w:ascii="宋体" w:hAnsi="宋体" w:cs="宋体"/>
                <w:szCs w:val="21"/>
              </w:rPr>
            </w:pPr>
            <w:r>
              <w:rPr>
                <w:rFonts w:ascii="Times New Roman" w:hAnsi="Times New Roman"/>
                <w:szCs w:val="21"/>
              </w:rPr>
              <w:t>1</w:t>
            </w:r>
            <w:r>
              <w:rPr>
                <w:rFonts w:hint="eastAsia" w:ascii="Times New Roman" w:hAnsi="Times New Roman"/>
                <w:szCs w:val="21"/>
              </w:rPr>
              <w:t>0</w:t>
            </w:r>
          </w:p>
        </w:tc>
        <w:tc>
          <w:tcPr>
            <w:tcW w:w="0" w:type="auto"/>
            <w:tcBorders>
              <w:top w:val="single" w:color="000000" w:sz="8" w:space="0"/>
              <w:left w:val="single" w:color="000000" w:sz="8" w:space="0"/>
              <w:bottom w:val="single" w:color="000000" w:sz="8" w:space="0"/>
              <w:right w:val="single" w:color="000000" w:sz="8" w:space="0"/>
            </w:tcBorders>
          </w:tcPr>
          <w:p>
            <w:pPr>
              <w:rPr>
                <w:rFonts w:ascii="宋体" w:hAnsi="宋体" w:cs="宋体"/>
                <w:szCs w:val="21"/>
              </w:rPr>
            </w:pPr>
            <w:r>
              <w:rPr>
                <w:rFonts w:hint="eastAsia" w:ascii="Times New Roman" w:hAnsi="Times New Roman"/>
                <w:szCs w:val="24"/>
              </w:rPr>
              <w:t>法律、法规、规章、规范性文件规定的其他情形</w:t>
            </w:r>
          </w:p>
        </w:tc>
      </w:tr>
    </w:tbl>
    <w:p>
      <w:pPr>
        <w:spacing w:line="324" w:lineRule="auto"/>
        <w:ind w:firstLine="420"/>
        <w:rPr>
          <w:rFonts w:ascii="Times New Roman" w:hAnsi="Times New Roman"/>
          <w:b/>
          <w:color w:val="FF0000"/>
          <w:szCs w:val="21"/>
        </w:rPr>
      </w:pPr>
      <w:r>
        <w:rPr>
          <w:rFonts w:hint="eastAsia" w:ascii="Times New Roman" w:hAnsi="Times New Roman"/>
          <w:b/>
          <w:color w:val="FF0000"/>
          <w:szCs w:val="21"/>
        </w:rPr>
        <w:t>特别说明：</w:t>
      </w:r>
    </w:p>
    <w:p>
      <w:pPr>
        <w:spacing w:line="324" w:lineRule="auto"/>
        <w:ind w:firstLine="42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1、投标人须在开标当日的开标时间至解密截止时间内完成投标文件在线解密，逾期未解密的作无效处理。</w:t>
      </w:r>
    </w:p>
    <w:p>
      <w:pPr>
        <w:spacing w:line="324" w:lineRule="auto"/>
        <w:ind w:firstLine="420"/>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2、评标委员会进行符合性审查前，将通过系统执行标书雷同性分析，包括审查各投标供应商标书的文件特征码、文件制作机器码等是否一致，以及文本内容相似度等分析。</w:t>
      </w:r>
    </w:p>
    <w:p>
      <w:pPr>
        <w:spacing w:line="324" w:lineRule="auto"/>
        <w:ind w:firstLine="420"/>
        <w:rPr>
          <w:rFonts w:asciiTheme="minorEastAsia" w:hAnsiTheme="minorEastAsia" w:eastAsiaTheme="minorEastAsia"/>
          <w:b/>
          <w:color w:val="FF0000"/>
          <w:szCs w:val="21"/>
        </w:rPr>
      </w:pPr>
    </w:p>
    <w:p>
      <w:pPr>
        <w:pStyle w:val="37"/>
        <w:jc w:val="center"/>
        <w:outlineLvl w:val="1"/>
        <w:rPr>
          <w:rFonts w:ascii="黑体" w:hAnsi="黑体" w:eastAsia="黑体"/>
          <w:sz w:val="40"/>
          <w:szCs w:val="40"/>
        </w:rPr>
      </w:pPr>
      <w:r>
        <w:rPr>
          <w:rFonts w:hint="eastAsia" w:ascii="黑体" w:hAnsi="黑体" w:eastAsia="黑体"/>
          <w:sz w:val="40"/>
          <w:szCs w:val="40"/>
        </w:rPr>
        <w:t>评标信息</w:t>
      </w:r>
    </w:p>
    <w:tbl>
      <w:tblPr>
        <w:tblStyle w:val="42"/>
        <w:tblW w:w="9072" w:type="dxa"/>
        <w:jc w:val="center"/>
        <w:tblCellSpacing w:w="0" w:type="dxa"/>
        <w:tblLayout w:type="autofit"/>
        <w:tblCellMar>
          <w:top w:w="45" w:type="dxa"/>
          <w:left w:w="45" w:type="dxa"/>
          <w:bottom w:w="45" w:type="dxa"/>
          <w:right w:w="45" w:type="dxa"/>
        </w:tblCellMar>
      </w:tblPr>
      <w:tblGrid>
        <w:gridCol w:w="8829"/>
        <w:gridCol w:w="243"/>
      </w:tblGrid>
      <w:tr>
        <w:tblPrEx>
          <w:tblCellMar>
            <w:top w:w="45" w:type="dxa"/>
            <w:left w:w="45" w:type="dxa"/>
            <w:bottom w:w="45" w:type="dxa"/>
            <w:right w:w="45" w:type="dxa"/>
          </w:tblCellMar>
        </w:tblPrEx>
        <w:trPr>
          <w:tblCellSpacing w:w="0" w:type="dxa"/>
          <w:jc w:val="center"/>
        </w:trPr>
        <w:tc>
          <w:tcPr>
            <w:tcW w:w="0" w:type="auto"/>
            <w:tcBorders>
              <w:top w:val="nil"/>
              <w:left w:val="nil"/>
              <w:bottom w:val="nil"/>
              <w:right w:val="nil"/>
            </w:tcBorders>
            <w:vAlign w:val="center"/>
          </w:tcPr>
          <w:p>
            <w:pPr>
              <w:rPr>
                <w:rFonts w:ascii="宋体" w:hAnsi="宋体" w:cs="宋体"/>
                <w:b/>
                <w:bCs/>
                <w:sz w:val="24"/>
                <w:szCs w:val="24"/>
              </w:rPr>
            </w:pPr>
            <w:r>
              <w:rPr>
                <w:b/>
                <w:bCs/>
              </w:rPr>
              <w:t>评标方法：综合评分法（新价格分算法）</w:t>
            </w:r>
          </w:p>
        </w:tc>
        <w:tc>
          <w:tcPr>
            <w:tcW w:w="0" w:type="auto"/>
            <w:tcBorders>
              <w:top w:val="nil"/>
              <w:left w:val="nil"/>
              <w:bottom w:val="nil"/>
              <w:right w:val="nil"/>
            </w:tcBorders>
            <w:vAlign w:val="center"/>
          </w:tcPr>
          <w:p>
            <w:pPr>
              <w:jc w:val="right"/>
              <w:rPr>
                <w:rFonts w:ascii="宋体" w:hAnsi="宋体" w:cs="宋体"/>
                <w:b/>
                <w:bCs/>
                <w:sz w:val="24"/>
                <w:szCs w:val="24"/>
              </w:rPr>
            </w:pPr>
          </w:p>
        </w:tc>
      </w:tr>
      <w:tr>
        <w:tblPrEx>
          <w:tblCellMar>
            <w:top w:w="45" w:type="dxa"/>
            <w:left w:w="45" w:type="dxa"/>
            <w:bottom w:w="45" w:type="dxa"/>
            <w:right w:w="45" w:type="dxa"/>
          </w:tblCellMar>
        </w:tblPrEx>
        <w:trPr>
          <w:tblCellSpacing w:w="0" w:type="dxa"/>
          <w:jc w:val="center"/>
        </w:trPr>
        <w:tc>
          <w:tcPr>
            <w:tcW w:w="0" w:type="auto"/>
            <w:gridSpan w:val="2"/>
            <w:tcBorders>
              <w:top w:val="nil"/>
              <w:left w:val="nil"/>
              <w:bottom w:val="nil"/>
              <w:right w:val="nil"/>
            </w:tcBorders>
            <w:vAlign w:val="center"/>
          </w:tcPr>
          <w:p>
            <w:pPr>
              <w:pStyle w:val="37"/>
              <w:spacing w:line="324" w:lineRule="auto"/>
              <w:ind w:firstLine="420"/>
              <w:rPr>
                <w:sz w:val="21"/>
                <w:szCs w:val="21"/>
              </w:rPr>
            </w:pPr>
            <w:r>
              <w:rPr>
                <w:sz w:val="21"/>
                <w:szCs w:val="21"/>
              </w:rPr>
              <w:t xml:space="preserve">综合评分法，是指投标文件满足招标文件全部实质性要求，且按照评审因素的量化指标评审得分最高的投标人为中标候选人的评标方法。 </w:t>
            </w:r>
          </w:p>
          <w:p>
            <w:pPr>
              <w:pStyle w:val="37"/>
              <w:ind w:firstLine="420"/>
              <w:rPr>
                <w:sz w:val="21"/>
                <w:szCs w:val="21"/>
              </w:rPr>
            </w:pPr>
            <w:r>
              <w:rPr>
                <w:sz w:val="21"/>
                <w:szCs w:val="21"/>
              </w:rPr>
              <w:t>价格分计算方法：</w:t>
            </w:r>
          </w:p>
          <w:p>
            <w:pPr>
              <w:pStyle w:val="37"/>
              <w:spacing w:line="324" w:lineRule="auto"/>
              <w:ind w:left="420"/>
              <w:rPr>
                <w:sz w:val="21"/>
                <w:szCs w:val="21"/>
              </w:rPr>
            </w:pPr>
            <w:r>
              <w:rPr>
                <w:sz w:val="21"/>
                <w:szCs w:val="21"/>
              </w:rPr>
              <w:t xml:space="preserve">采用低价优先法计算，即满足招标文件要求且投标价格最低的投标报价为评标基准价，其价格分为满分。其他投标人的价格分统一按照下列公式计算： </w:t>
            </w:r>
            <w:r>
              <w:rPr>
                <w:sz w:val="21"/>
                <w:szCs w:val="21"/>
              </w:rPr>
              <w:br w:type="textWrapping"/>
            </w:r>
            <w:r>
              <w:rPr>
                <w:sz w:val="21"/>
                <w:szCs w:val="21"/>
              </w:rPr>
              <w:t xml:space="preserve">投标报价得分=(评标基准价／投标报价)×100 </w:t>
            </w:r>
            <w:r>
              <w:rPr>
                <w:sz w:val="21"/>
                <w:szCs w:val="21"/>
              </w:rPr>
              <w:br w:type="textWrapping"/>
            </w:r>
            <w:r>
              <w:rPr>
                <w:sz w:val="21"/>
                <w:szCs w:val="21"/>
              </w:rPr>
              <w:t xml:space="preserve">评标总得分＝F1×A1＋F2×A2＋……＋Fn×An </w:t>
            </w:r>
            <w:r>
              <w:rPr>
                <w:sz w:val="21"/>
                <w:szCs w:val="21"/>
              </w:rPr>
              <w:br w:type="textWrapping"/>
            </w:r>
            <w:r>
              <w:rPr>
                <w:sz w:val="21"/>
                <w:szCs w:val="21"/>
              </w:rPr>
              <w:t xml:space="preserve">F1、F2……Fn分别为各项评审因素的得分； </w:t>
            </w:r>
            <w:r>
              <w:rPr>
                <w:sz w:val="21"/>
                <w:szCs w:val="21"/>
              </w:rPr>
              <w:br w:type="textWrapping"/>
            </w:r>
            <w:r>
              <w:rPr>
                <w:sz w:val="21"/>
                <w:szCs w:val="21"/>
              </w:rPr>
              <w:t xml:space="preserve">A1、A2、……An 分别为各项评审因素所占的权重(A1＋A2＋……＋An＝1)。 </w:t>
            </w:r>
            <w:r>
              <w:rPr>
                <w:sz w:val="21"/>
                <w:szCs w:val="21"/>
              </w:rPr>
              <w:br w:type="textWrapping"/>
            </w:r>
            <w:r>
              <w:rPr>
                <w:sz w:val="21"/>
                <w:szCs w:val="21"/>
              </w:rPr>
              <w:t xml:space="preserve">评标过程中，不得去掉报价中的最高报价和最低报价。 </w:t>
            </w:r>
            <w:r>
              <w:rPr>
                <w:sz w:val="21"/>
                <w:szCs w:val="21"/>
              </w:rPr>
              <w:br w:type="textWrapping"/>
            </w:r>
            <w:r>
              <w:rPr>
                <w:sz w:val="21"/>
                <w:szCs w:val="21"/>
              </w:rPr>
              <w:t xml:space="preserve">此方法适用于货物类、服务类、工程类项目。 </w:t>
            </w:r>
          </w:p>
        </w:tc>
      </w:tr>
    </w:tbl>
    <w:p>
      <w:pPr>
        <w:rPr>
          <w:vanish/>
        </w:rPr>
      </w:pPr>
    </w:p>
    <w:tbl>
      <w:tblPr>
        <w:tblStyle w:val="42"/>
        <w:tblW w:w="963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680"/>
        <w:gridCol w:w="680"/>
        <w:gridCol w:w="2835"/>
        <w:gridCol w:w="681"/>
        <w:gridCol w:w="476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序号</w:t>
            </w:r>
          </w:p>
        </w:tc>
        <w:tc>
          <w:tcPr>
            <w:tcW w:w="4196" w:type="dxa"/>
            <w:gridSpan w:val="3"/>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评分项</w:t>
            </w:r>
          </w:p>
        </w:tc>
        <w:tc>
          <w:tcPr>
            <w:tcW w:w="4763" w:type="dxa"/>
            <w:tcBorders>
              <w:top w:val="single" w:color="000000" w:sz="8" w:space="0"/>
              <w:left w:val="single" w:color="000000" w:sz="8" w:space="0"/>
              <w:bottom w:val="single" w:color="000000" w:sz="8" w:space="0"/>
              <w:right w:val="single" w:color="000000" w:sz="8" w:space="0"/>
            </w:tcBorders>
            <w:shd w:val="clear" w:color="auto" w:fill="E6EFF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restart"/>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bCs/>
                <w:color w:val="0000FF"/>
                <w:sz w:val="21"/>
                <w:szCs w:val="21"/>
              </w:rPr>
            </w:pPr>
            <w:r>
              <w:rPr>
                <w:rFonts w:hint="eastAsia" w:ascii="宋体" w:hAnsi="宋体" w:eastAsia="宋体" w:cs="宋体"/>
                <w:b/>
                <w:bCs/>
                <w:color w:val="0000FF"/>
                <w:sz w:val="21"/>
                <w:szCs w:val="21"/>
              </w:rPr>
              <w:t>1</w:t>
            </w:r>
          </w:p>
        </w:tc>
        <w:tc>
          <w:tcPr>
            <w:tcW w:w="4196" w:type="dxa"/>
            <w:gridSpan w:val="3"/>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bCs/>
                <w:color w:val="0000FF"/>
                <w:sz w:val="21"/>
                <w:szCs w:val="21"/>
              </w:rPr>
            </w:pPr>
            <w:r>
              <w:rPr>
                <w:rFonts w:hint="eastAsia" w:ascii="宋体" w:hAnsi="宋体" w:eastAsia="宋体" w:cs="宋体"/>
                <w:b/>
                <w:bCs/>
                <w:color w:val="0000FF"/>
                <w:sz w:val="21"/>
                <w:szCs w:val="21"/>
              </w:rPr>
              <w:t>价格</w:t>
            </w:r>
          </w:p>
        </w:tc>
        <w:tc>
          <w:tcPr>
            <w:tcW w:w="4763" w:type="dxa"/>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bCs/>
                <w:color w:val="0000FF"/>
                <w:sz w:val="21"/>
                <w:szCs w:val="21"/>
              </w:rPr>
            </w:pPr>
            <w:r>
              <w:rPr>
                <w:rFonts w:hint="eastAsia" w:ascii="宋体" w:hAnsi="宋体" w:eastAsia="宋体" w:cs="宋体"/>
                <w:b/>
                <w:bCs/>
                <w:color w:val="0000FF"/>
                <w:sz w:val="21"/>
                <w:szCs w:val="21"/>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0" w:type="auto"/>
            <w:vMerge w:val="continue"/>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8959" w:type="dxa"/>
            <w:gridSpan w:val="4"/>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restart"/>
            <w:tcBorders>
              <w:top w:val="single" w:color="000000" w:sz="8" w:space="0"/>
              <w:left w:val="single" w:color="000000" w:sz="8" w:space="0"/>
              <w:right w:val="single" w:color="000000" w:sz="8" w:space="0"/>
            </w:tcBorders>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bCs/>
                <w:color w:val="0000FF"/>
                <w:sz w:val="21"/>
                <w:szCs w:val="21"/>
              </w:rPr>
            </w:pPr>
            <w:r>
              <w:rPr>
                <w:rFonts w:hint="eastAsia" w:ascii="宋体" w:hAnsi="宋体" w:eastAsia="宋体" w:cs="宋体"/>
                <w:b/>
                <w:bCs/>
                <w:color w:val="0000FF"/>
                <w:sz w:val="21"/>
                <w:szCs w:val="21"/>
              </w:rPr>
              <w:t>2</w:t>
            </w:r>
          </w:p>
        </w:tc>
        <w:tc>
          <w:tcPr>
            <w:tcW w:w="4196" w:type="dxa"/>
            <w:gridSpan w:val="3"/>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bCs/>
                <w:color w:val="0000FF"/>
                <w:sz w:val="21"/>
                <w:szCs w:val="21"/>
              </w:rPr>
            </w:pPr>
            <w:r>
              <w:rPr>
                <w:rFonts w:hint="eastAsia" w:ascii="宋体" w:hAnsi="宋体" w:eastAsia="宋体" w:cs="宋体"/>
                <w:b/>
                <w:bCs/>
                <w:color w:val="0000FF"/>
                <w:sz w:val="21"/>
                <w:szCs w:val="21"/>
              </w:rPr>
              <w:t>技术</w:t>
            </w:r>
          </w:p>
        </w:tc>
        <w:tc>
          <w:tcPr>
            <w:tcW w:w="4763" w:type="dxa"/>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default" w:ascii="宋体" w:hAnsi="宋体" w:eastAsia="宋体" w:cs="宋体"/>
                <w:b/>
                <w:bCs/>
                <w:color w:val="0000FF"/>
                <w:sz w:val="21"/>
                <w:szCs w:val="21"/>
                <w:lang w:val="en-US" w:eastAsia="zh-CN"/>
              </w:rPr>
            </w:pPr>
            <w:r>
              <w:rPr>
                <w:rFonts w:hint="eastAsia" w:ascii="宋体" w:hAnsi="宋体" w:cs="宋体"/>
                <w:b/>
                <w:bCs/>
                <w:color w:val="0000FF"/>
                <w:sz w:val="21"/>
                <w:szCs w:val="21"/>
                <w:lang w:val="en-US" w:eastAsia="zh-CN"/>
              </w:rPr>
              <w:t>48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8959" w:type="dxa"/>
            <w:gridSpan w:val="4"/>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shd w:val="clear" w:color="auto" w:fill="E6EFFA"/>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6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2835"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评分因素</w:t>
            </w: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权重(%)</w:t>
            </w:r>
          </w:p>
        </w:tc>
        <w:tc>
          <w:tcPr>
            <w:tcW w:w="4763"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1</w:t>
            </w:r>
          </w:p>
        </w:tc>
        <w:tc>
          <w:tcPr>
            <w:tcW w:w="283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实施方案</w:t>
            </w:r>
          </w:p>
        </w:tc>
        <w:tc>
          <w:tcPr>
            <w:tcW w:w="68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10</w:t>
            </w:r>
          </w:p>
        </w:tc>
        <w:tc>
          <w:tcPr>
            <w:tcW w:w="4763" w:type="dxa"/>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评审内容：针对本项目的需求制定实施方案，内容包括：</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（1）方案总体思路；</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（2）工作方法或手段；</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（3）方案进度计划；</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（4）工作具体流程（工作流程要具体，含明确步骤、人员分工等工作要求）。</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评分标准：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满足以上四项要求得60分；满足以上三项要求得40分；满足以上二项要求得20分；只满足以上一项（含）以下要求不得分。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eastAsia="宋体" w:cs="宋体"/>
                <w:color w:val="auto"/>
                <w:sz w:val="21"/>
                <w:szCs w:val="21"/>
              </w:rPr>
              <w:t>在此基础上，评审为优（实施方案内容具体、内容针对性强、内容科学合理、内容可操作性强）的加40分；评审为良（实施方案内容较具体、内容针对性较强、内容较科学合理、内容可操作性较强）加20分；评审为中(实施方案内容具体性一般、内容针对性一般、内容科学合理性一般、内容可操作性一般)加10分；评审为差（实施方案内容具体性差、内容针对性差、内容科学合理性差、内容可操作性差）的不加分；评审为差专家须书面说明理由，并记录在档。未提供实施方案的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2</w:t>
            </w:r>
          </w:p>
        </w:tc>
        <w:tc>
          <w:tcPr>
            <w:tcW w:w="283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项目重点难点分析、应对措施及相关的合理化建议</w:t>
            </w:r>
          </w:p>
        </w:tc>
        <w:tc>
          <w:tcPr>
            <w:tcW w:w="68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6</w:t>
            </w:r>
          </w:p>
        </w:tc>
        <w:tc>
          <w:tcPr>
            <w:tcW w:w="476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评审内容：投标文件中重难点内容应包括但不限于：</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（1）针对本项目的重点难点分析；</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（2）针对性提出的应对措施、解决方案和合理化建议等。</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评分标准：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提出重点、难点分析并给出应对措施及合理化建议4条及以上的得60分；提出重点、难点分析并给出应对措施及合理化建议3条的得40分；提出重点、难点分析并给出应对措施及合理化建议1-2条的得20分；提出重点、难点分析但未提出应对措施及相关的合理化建议或未提出重点、难点分析的不得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eastAsia="宋体" w:cs="宋体"/>
                <w:color w:val="auto"/>
                <w:sz w:val="21"/>
                <w:szCs w:val="21"/>
              </w:rPr>
              <w:t>在此基础上：评审为优（内容全面、针对性强、科学合理）的加</w:t>
            </w:r>
            <w:r>
              <w:rPr>
                <w:rFonts w:hint="eastAsia" w:ascii="宋体" w:hAnsi="宋体" w:cs="宋体"/>
                <w:color w:val="auto"/>
                <w:sz w:val="21"/>
                <w:szCs w:val="21"/>
                <w:lang w:val="en-US" w:eastAsia="zh-CN"/>
              </w:rPr>
              <w:t>40</w:t>
            </w:r>
            <w:r>
              <w:rPr>
                <w:rFonts w:hint="eastAsia" w:ascii="宋体" w:hAnsi="宋体" w:eastAsia="宋体" w:cs="宋体"/>
                <w:color w:val="auto"/>
                <w:sz w:val="21"/>
                <w:szCs w:val="21"/>
              </w:rPr>
              <w:t>分；评审为良（内容较全面、针对性较强、较科学合理）加</w:t>
            </w:r>
            <w:r>
              <w:rPr>
                <w:rFonts w:hint="eastAsia" w:ascii="宋体" w:hAnsi="宋体" w:cs="宋体"/>
                <w:color w:val="auto"/>
                <w:sz w:val="21"/>
                <w:szCs w:val="21"/>
                <w:lang w:val="en-US" w:eastAsia="zh-CN"/>
              </w:rPr>
              <w:t>20</w:t>
            </w:r>
            <w:r>
              <w:rPr>
                <w:rFonts w:hint="eastAsia" w:ascii="宋体" w:hAnsi="宋体" w:eastAsia="宋体" w:cs="宋体"/>
                <w:color w:val="auto"/>
                <w:sz w:val="21"/>
                <w:szCs w:val="21"/>
              </w:rPr>
              <w:t>分；评审为中（内容全面性一般、针对性一般、科学合理性一般）加 10分；评审为差（内容全面性差、针对性差、科学合理性差）的不加分；评审为差专家须书面说明理由，并记录在档。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3</w:t>
            </w:r>
          </w:p>
        </w:tc>
        <w:tc>
          <w:tcPr>
            <w:tcW w:w="283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质量（完成时间、安全、环保）保障措施及方案</w:t>
            </w:r>
          </w:p>
        </w:tc>
        <w:tc>
          <w:tcPr>
            <w:tcW w:w="68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5</w:t>
            </w:r>
          </w:p>
        </w:tc>
        <w:tc>
          <w:tcPr>
            <w:tcW w:w="4763"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评审内容：针对本项目的需求制定质量（完成时间、安全、环保）保障措施及方案。</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评分标准：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（1）投标人具有质量管理手册或相关工作质量规范文件；</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（2）内容包括完成时间的保障措施及方案；</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（3）内容包括工作安全的保障措施及方案；</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（4）内容包括环保相关的保障措施及方案。</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（投标人的质量管理相关材料应是机构正在执行的规范材料，临时编制的不计分）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满足以上四项要求得60分；满足以上三项要求得40分；满足以上两项要求得20分；满足以上一项及以下要求不得分。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eastAsia="宋体" w:cs="宋体"/>
                <w:color w:val="auto"/>
                <w:sz w:val="21"/>
                <w:szCs w:val="21"/>
              </w:rPr>
              <w:t>在此基础上：评审为优（内容全面、针对性强、科学合理）的加40分；评审为良（内容较全面、针对性较强、较科学合理）加 20 分；评审为中（内容全面性一般、针对性一般、科学合理性一般）加 10分；评审为差（内容全面性差、针对性差、科学合理性差）的不加分；评审为差专家须书面说明理由，并记录在档。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4</w:t>
            </w:r>
          </w:p>
        </w:tc>
        <w:tc>
          <w:tcPr>
            <w:tcW w:w="283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项目完成（服务期满）后的服务承诺</w:t>
            </w:r>
          </w:p>
        </w:tc>
        <w:tc>
          <w:tcPr>
            <w:tcW w:w="68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3</w:t>
            </w:r>
          </w:p>
        </w:tc>
        <w:tc>
          <w:tcPr>
            <w:tcW w:w="4763" w:type="dxa"/>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针对本项目的需求制定项目完成（服务期满）后的服务承诺，包括：</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（1）售后服务周期承诺；</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（2）售后服务响应时间承诺；</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（3）售后服务人员配置承诺；</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（4）售后服务范围承诺。</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eastAsia="宋体" w:cs="宋体"/>
                <w:color w:val="auto"/>
                <w:sz w:val="21"/>
                <w:szCs w:val="21"/>
              </w:rPr>
              <w:t>满足以上四项要求得100分；含以上二</w:t>
            </w:r>
            <w:r>
              <w:rPr>
                <w:rFonts w:hint="eastAsia" w:ascii="宋体" w:hAnsi="宋体" w:cs="宋体"/>
                <w:color w:val="auto"/>
                <w:sz w:val="21"/>
                <w:szCs w:val="21"/>
                <w:lang w:val="en-US" w:eastAsia="zh-CN"/>
              </w:rPr>
              <w:t>至</w:t>
            </w:r>
            <w:r>
              <w:rPr>
                <w:rFonts w:hint="eastAsia" w:ascii="宋体" w:hAnsi="宋体" w:eastAsia="宋体" w:cs="宋体"/>
                <w:color w:val="auto"/>
                <w:sz w:val="21"/>
                <w:szCs w:val="21"/>
              </w:rPr>
              <w:t>三项要求得50分；含以上一项及以下要求不得分。要求提供承诺（格式自定）作为得分依据，未提供承诺或承诺内容不满足要求不得分。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5</w:t>
            </w:r>
          </w:p>
        </w:tc>
        <w:tc>
          <w:tcPr>
            <w:tcW w:w="283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违约承诺</w:t>
            </w:r>
          </w:p>
        </w:tc>
        <w:tc>
          <w:tcPr>
            <w:tcW w:w="68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2</w:t>
            </w:r>
          </w:p>
        </w:tc>
        <w:tc>
          <w:tcPr>
            <w:tcW w:w="4763" w:type="dxa"/>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评审内容：投标人承诺：</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（1）人员严格按照招标文件及投标承诺配置；</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（2）服务质量达到招标文件要求；</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（3）对未能达到的管理要求承担管理责任。</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评分标准：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eastAsia="宋体" w:cs="宋体"/>
                <w:color w:val="auto"/>
                <w:sz w:val="21"/>
                <w:szCs w:val="21"/>
              </w:rPr>
              <w:t>条款内容有三点及以上得100分；否则不得分。要求提供承诺（格式自定）作为得分依据，未提供承诺或承诺内容不满足要求不得分。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11915" w:hRule="atLeast"/>
          <w:jc w:val="center"/>
        </w:trPr>
        <w:tc>
          <w:tcPr>
            <w:tcW w:w="680" w:type="dxa"/>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6</w:t>
            </w:r>
          </w:p>
        </w:tc>
        <w:tc>
          <w:tcPr>
            <w:tcW w:w="283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拟安排的项目负责人情况（仅限一人）</w:t>
            </w:r>
          </w:p>
        </w:tc>
        <w:tc>
          <w:tcPr>
            <w:tcW w:w="68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5</w:t>
            </w:r>
          </w:p>
        </w:tc>
        <w:tc>
          <w:tcPr>
            <w:tcW w:w="4763" w:type="dxa"/>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（一）评分内容：拟安排项目负责人为投标单位员工（以社保为准），否则本项不得分。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1.具有化学或微生物学或农学或食品检验类专业硕士及以上学位的得20分；</w:t>
            </w:r>
            <w:r>
              <w:rPr>
                <w:rFonts w:hint="eastAsia" w:ascii="宋体" w:hAnsi="宋体" w:eastAsia="宋体" w:cs="宋体"/>
                <w:color w:val="auto"/>
                <w:sz w:val="21"/>
                <w:szCs w:val="21"/>
                <w:lang w:val="en-US" w:eastAsia="zh-CN"/>
              </w:rPr>
              <w:t>具有以上专业</w:t>
            </w:r>
            <w:r>
              <w:rPr>
                <w:rFonts w:hint="eastAsia" w:ascii="宋体" w:hAnsi="宋体" w:eastAsia="宋体" w:cs="宋体"/>
                <w:color w:val="auto"/>
                <w:sz w:val="21"/>
                <w:szCs w:val="21"/>
              </w:rPr>
              <w:t>学士学位的得10分，不符合条件的不得分</w:t>
            </w: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本项最高得20分</w:t>
            </w:r>
            <w:r>
              <w:rPr>
                <w:rFonts w:hint="eastAsia" w:ascii="宋体" w:hAnsi="宋体" w:eastAsia="宋体" w:cs="宋体"/>
                <w:color w:val="auto"/>
                <w:sz w:val="21"/>
                <w:szCs w:val="21"/>
              </w:rPr>
              <w:t>；</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2.具有质量或质量管理或化学或微生物学或农学或食品检验类专业正高级（教授级/研究员级）职称的得40分；副高级职称的得20分，不符合条件的不得分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本项最高得</w:t>
            </w:r>
            <w:r>
              <w:rPr>
                <w:rFonts w:hint="eastAsia" w:ascii="宋体" w:hAnsi="宋体" w:cs="宋体"/>
                <w:color w:val="auto"/>
                <w:sz w:val="21"/>
                <w:szCs w:val="21"/>
                <w:lang w:val="en-US" w:eastAsia="zh-CN"/>
              </w:rPr>
              <w:t>4</w:t>
            </w:r>
            <w:r>
              <w:rPr>
                <w:rFonts w:hint="eastAsia" w:ascii="宋体" w:hAnsi="宋体" w:eastAsia="宋体" w:cs="宋体"/>
                <w:color w:val="auto"/>
                <w:sz w:val="21"/>
                <w:szCs w:val="21"/>
                <w:lang w:val="en-US" w:eastAsia="zh-CN"/>
              </w:rPr>
              <w:t>0分</w:t>
            </w:r>
            <w:r>
              <w:rPr>
                <w:rFonts w:hint="eastAsia" w:ascii="宋体" w:hAnsi="宋体" w:eastAsia="宋体" w:cs="宋体"/>
                <w:color w:val="auto"/>
                <w:sz w:val="21"/>
                <w:szCs w:val="21"/>
              </w:rPr>
              <w:t>；</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3.被评为副省级及以上食用农产品质量安全专业专家委员会专家的，得40分，不符合条件的不得分。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（二）评分依据： </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1.要求提供通过投标人缴纳的近三个月（202</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年1月至2022年</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月，由于社保部门原因最近一个月的社保证明无法提供的可往前顺延一个月）的社保证明作为本单位员工的证明依据。</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2.要求提供投标人以上人员学位证书、职称证书、食用农产品专家聘书等相关证明资料作为得分依据。</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eastAsia="宋体" w:cs="宋体"/>
                <w:color w:val="auto"/>
                <w:sz w:val="21"/>
                <w:szCs w:val="21"/>
              </w:rPr>
              <w:t>3.以上资料均要求提供扫描件（或官方网站截图），原件备查。评分中出现无证明资料或专家无法凭所提供资料判断是否得分的情况，一律作不得分处理。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7</w:t>
            </w:r>
          </w:p>
        </w:tc>
        <w:tc>
          <w:tcPr>
            <w:tcW w:w="283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拟安排的项目主要团队成员（主要技术人员）情况（项目负责人除外）</w:t>
            </w:r>
          </w:p>
        </w:tc>
        <w:tc>
          <w:tcPr>
            <w:tcW w:w="68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15</w:t>
            </w:r>
          </w:p>
        </w:tc>
        <w:tc>
          <w:tcPr>
            <w:tcW w:w="4763" w:type="dxa"/>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（一）评分内容：拟安排项目主要团队成员为投标单位员工（以社保为准）且总人数要求不少于20人，否则该人员情况不计分。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1.具有省级及以上市场监管部门或省级及以上市场监管部门批准成立的机构颁发的抽样员证书的，每</w:t>
            </w:r>
            <w:r>
              <w:rPr>
                <w:rFonts w:hint="eastAsia" w:ascii="宋体" w:hAnsi="宋体" w:cs="宋体"/>
                <w:color w:val="auto"/>
                <w:sz w:val="21"/>
                <w:szCs w:val="21"/>
                <w:lang w:val="en-US" w:eastAsia="zh-CN"/>
              </w:rPr>
              <w:t>提供</w:t>
            </w:r>
            <w:r>
              <w:rPr>
                <w:rFonts w:hint="eastAsia" w:ascii="宋体" w:hAnsi="宋体" w:eastAsia="宋体" w:cs="宋体"/>
                <w:color w:val="auto"/>
                <w:sz w:val="21"/>
                <w:szCs w:val="21"/>
              </w:rPr>
              <w:t>一人得4分，最高得20分；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2.具有省级及以上市场监管部门或省级及以上市场监管部门批准成立的机构颁发的检验员证的，每</w:t>
            </w:r>
            <w:r>
              <w:rPr>
                <w:rFonts w:hint="eastAsia" w:ascii="宋体" w:hAnsi="宋体" w:eastAsia="宋体" w:cs="宋体"/>
                <w:color w:val="auto"/>
                <w:sz w:val="21"/>
                <w:szCs w:val="21"/>
                <w:lang w:val="en-US" w:eastAsia="zh-CN"/>
              </w:rPr>
              <w:t>提供</w:t>
            </w:r>
            <w:r>
              <w:rPr>
                <w:rFonts w:hint="eastAsia" w:ascii="宋体" w:hAnsi="宋体" w:eastAsia="宋体" w:cs="宋体"/>
                <w:color w:val="auto"/>
                <w:sz w:val="21"/>
                <w:szCs w:val="21"/>
              </w:rPr>
              <w:t xml:space="preserve">一人得5分，最高得20分； </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3.具有食品生产现场核查组长资格的，每提供一人得4分，最高得20分； </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4.具有食品生产现场核查员资格的，每提供一人得4分，最高得20分；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5.具有副省级及以上的食用农产品质量安全专业专家，每提供一人得5分，最高得20分。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以上累计得分。</w:t>
            </w:r>
            <w:r>
              <w:rPr>
                <w:rFonts w:hint="eastAsia" w:ascii="宋体" w:hAnsi="宋体" w:cs="宋体"/>
                <w:color w:val="auto"/>
                <w:sz w:val="21"/>
                <w:szCs w:val="21"/>
                <w:lang w:val="en-US" w:eastAsia="zh-CN"/>
              </w:rPr>
              <w:t>同一人同时满足多项得分条件可重复计分，同时为</w:t>
            </w:r>
            <w:r>
              <w:rPr>
                <w:rFonts w:hint="eastAsia" w:ascii="宋体" w:hAnsi="宋体" w:eastAsia="宋体" w:cs="宋体"/>
                <w:color w:val="auto"/>
                <w:sz w:val="21"/>
                <w:szCs w:val="21"/>
              </w:rPr>
              <w:t>核查员与核查组长不得重复得分。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（二）评分依据：</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1.要求提供通过投标人缴纳的近三个月（202</w:t>
            </w: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年1月至2022年</w:t>
            </w: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月，由于社保部门原因最近一个月的社保证明无法提供的可往前顺延一个月）的社保证明作为本单位员工的证明依据。</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2.要求提供投标人以上人员抽样员</w:t>
            </w:r>
            <w:r>
              <w:rPr>
                <w:rFonts w:hint="eastAsia" w:ascii="宋体" w:hAnsi="宋体" w:cs="宋体"/>
                <w:color w:val="auto"/>
                <w:sz w:val="21"/>
                <w:szCs w:val="21"/>
                <w:lang w:val="en-US" w:eastAsia="zh-CN"/>
              </w:rPr>
              <w:t>证</w:t>
            </w:r>
            <w:r>
              <w:rPr>
                <w:rFonts w:hint="eastAsia" w:ascii="宋体" w:hAnsi="宋体" w:eastAsia="宋体" w:cs="宋体"/>
                <w:color w:val="auto"/>
                <w:sz w:val="21"/>
                <w:szCs w:val="21"/>
              </w:rPr>
              <w:t>、检验员证食品生产现场核查员或核查组长资格文件、食用农产品专家聘书等相关证明资料作为得分依据。</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eastAsia="宋体" w:cs="宋体"/>
                <w:color w:val="auto"/>
                <w:sz w:val="21"/>
                <w:szCs w:val="21"/>
              </w:rPr>
              <w:t>3.以上资料均要求提供扫描件（或官方网站截图），原件备查。评分中出现无证明资料或专家无法凭所提供资料判断是否得分的情况，一律作不得分处理。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continue"/>
            <w:tcBorders>
              <w:left w:val="single" w:color="000000" w:sz="8" w:space="0"/>
              <w:bottom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8</w:t>
            </w:r>
          </w:p>
        </w:tc>
        <w:tc>
          <w:tcPr>
            <w:tcW w:w="283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拟投入的服务资源（车辆、场地、工具、机器等）情况</w:t>
            </w:r>
          </w:p>
        </w:tc>
        <w:tc>
          <w:tcPr>
            <w:tcW w:w="68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2</w:t>
            </w:r>
          </w:p>
        </w:tc>
        <w:tc>
          <w:tcPr>
            <w:tcW w:w="4763" w:type="dxa"/>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（一）评分内容：</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具有用于食品、农产品等检验的先进仪器设备（自有或租赁均可），包括液相色谱质谱联用仪、气相色谱质谱联用仪、液相色谱仪、气相色谱仪、原子荧光光度计和电感耦合等离子体质谱仪的，得50分，缺少一种或多种设备不得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2.具有为本项目投入使用的实验室场地，且实验室具备</w:t>
            </w:r>
            <w:r>
              <w:rPr>
                <w:rFonts w:hint="eastAsia" w:ascii="宋体" w:hAnsi="宋体" w:eastAsia="宋体" w:cs="宋体"/>
                <w:color w:val="auto"/>
                <w:sz w:val="21"/>
                <w:szCs w:val="21"/>
                <w:lang w:val="en-US" w:eastAsia="zh-CN"/>
              </w:rPr>
              <w:t>农产品质量安全检测机构CATL认证</w:t>
            </w:r>
            <w:r>
              <w:rPr>
                <w:rFonts w:hint="eastAsia" w:ascii="宋体" w:hAnsi="宋体" w:eastAsia="宋体" w:cs="宋体"/>
                <w:color w:val="auto"/>
                <w:sz w:val="21"/>
                <w:szCs w:val="21"/>
              </w:rPr>
              <w:t>资质的，得50分。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（二）评分依据</w:t>
            </w:r>
            <w:r>
              <w:rPr>
                <w:rFonts w:hint="eastAsia" w:ascii="宋体" w:hAnsi="宋体" w:cs="宋体"/>
                <w:color w:val="auto"/>
                <w:sz w:val="21"/>
                <w:szCs w:val="21"/>
                <w:lang w:eastAsia="zh-CN"/>
              </w:rPr>
              <w:t>：</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1.自有设备要求提供购买发票，租赁设备要求提供租赁合同作为得分依据（均为扫描件，原件备查）；</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2.实验室要求提供场地CATL证书</w:t>
            </w:r>
            <w:r>
              <w:rPr>
                <w:rFonts w:hint="eastAsia" w:ascii="宋体" w:hAnsi="宋体" w:cs="宋体"/>
                <w:color w:val="auto"/>
                <w:sz w:val="21"/>
                <w:szCs w:val="21"/>
                <w:lang w:val="en-US" w:eastAsia="zh-CN"/>
              </w:rPr>
              <w:t>及</w:t>
            </w:r>
            <w:r>
              <w:rPr>
                <w:rFonts w:hint="eastAsia" w:ascii="宋体" w:hAnsi="宋体" w:eastAsia="宋体" w:cs="宋体"/>
                <w:color w:val="auto"/>
                <w:sz w:val="21"/>
                <w:szCs w:val="21"/>
              </w:rPr>
              <w:t>产权证明文件，</w:t>
            </w:r>
            <w:r>
              <w:rPr>
                <w:rFonts w:hint="eastAsia" w:ascii="宋体" w:hAnsi="宋体" w:cs="宋体"/>
                <w:color w:val="auto"/>
                <w:sz w:val="21"/>
                <w:szCs w:val="21"/>
                <w:lang w:val="en-US" w:eastAsia="zh-CN"/>
              </w:rPr>
              <w:t>若为租赁场地，则租赁</w:t>
            </w:r>
            <w:r>
              <w:rPr>
                <w:rFonts w:hint="eastAsia" w:ascii="宋体" w:hAnsi="宋体" w:eastAsia="宋体" w:cs="宋体"/>
                <w:color w:val="auto"/>
                <w:sz w:val="21"/>
                <w:szCs w:val="21"/>
              </w:rPr>
              <w:t>场地须为商业用地或工业用地，要求提供用地性质证明文件、租赁合同（自本项目开标之日起算，租赁期限不得少于1年）及开标之日前6个月的租金流水（需为银行出具）</w:t>
            </w:r>
            <w:r>
              <w:rPr>
                <w:rFonts w:hint="eastAsia" w:ascii="宋体" w:hAnsi="宋体" w:cs="宋体"/>
                <w:color w:val="auto"/>
                <w:sz w:val="21"/>
                <w:szCs w:val="21"/>
                <w:lang w:val="en-US" w:eastAsia="zh-CN"/>
              </w:rPr>
              <w:t>及场地CATL证书</w:t>
            </w:r>
            <w:r>
              <w:rPr>
                <w:rFonts w:hint="eastAsia" w:ascii="宋体" w:hAnsi="宋体" w:eastAsia="宋体" w:cs="宋体"/>
                <w:color w:val="auto"/>
                <w:sz w:val="21"/>
                <w:szCs w:val="21"/>
              </w:rPr>
              <w:t>作为得分依据（均为扫描件，原件备查）。</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实验室场地地址必须与CATL证书或CATL证书附表中的地址一致，否则不予计分。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restart"/>
            <w:tcBorders>
              <w:top w:val="single" w:color="000000" w:sz="8" w:space="0"/>
              <w:left w:val="single" w:color="000000" w:sz="8" w:space="0"/>
              <w:right w:val="single" w:color="000000" w:sz="8" w:space="0"/>
            </w:tcBorders>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bCs/>
                <w:color w:val="0000FF"/>
                <w:sz w:val="21"/>
                <w:szCs w:val="21"/>
              </w:rPr>
            </w:pPr>
            <w:r>
              <w:rPr>
                <w:rFonts w:hint="eastAsia" w:ascii="宋体" w:hAnsi="宋体" w:eastAsia="宋体" w:cs="宋体"/>
                <w:b/>
                <w:bCs/>
                <w:color w:val="0000FF"/>
                <w:sz w:val="21"/>
                <w:szCs w:val="21"/>
              </w:rPr>
              <w:t>3</w:t>
            </w:r>
          </w:p>
        </w:tc>
        <w:tc>
          <w:tcPr>
            <w:tcW w:w="4196" w:type="dxa"/>
            <w:gridSpan w:val="3"/>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bCs/>
                <w:color w:val="0000FF"/>
                <w:sz w:val="21"/>
                <w:szCs w:val="21"/>
              </w:rPr>
            </w:pPr>
            <w:r>
              <w:rPr>
                <w:rFonts w:hint="eastAsia" w:ascii="宋体" w:hAnsi="宋体" w:eastAsia="宋体" w:cs="宋体"/>
                <w:b/>
                <w:bCs/>
                <w:color w:val="0000FF"/>
                <w:sz w:val="21"/>
                <w:szCs w:val="21"/>
              </w:rPr>
              <w:t>商务</w:t>
            </w:r>
          </w:p>
        </w:tc>
        <w:tc>
          <w:tcPr>
            <w:tcW w:w="4763" w:type="dxa"/>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default" w:ascii="宋体" w:hAnsi="宋体" w:eastAsia="宋体" w:cs="宋体"/>
                <w:b/>
                <w:bCs/>
                <w:color w:val="0000FF"/>
                <w:sz w:val="21"/>
                <w:szCs w:val="21"/>
                <w:lang w:val="en-US" w:eastAsia="zh-CN"/>
              </w:rPr>
            </w:pPr>
            <w:r>
              <w:rPr>
                <w:rFonts w:hint="eastAsia" w:ascii="宋体" w:hAnsi="宋体" w:cs="宋体"/>
                <w:b/>
                <w:bCs/>
                <w:color w:val="0000FF"/>
                <w:sz w:val="21"/>
                <w:szCs w:val="21"/>
                <w:lang w:val="en-US" w:eastAsia="zh-CN"/>
              </w:rPr>
              <w:t>37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0" w:type="auto"/>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8959" w:type="dxa"/>
            <w:gridSpan w:val="4"/>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0" w:type="auto"/>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6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2835"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评分因素</w:t>
            </w: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权重(%)</w:t>
            </w:r>
          </w:p>
        </w:tc>
        <w:tc>
          <w:tcPr>
            <w:tcW w:w="4763"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685" w:hRule="atLeast"/>
          <w:jc w:val="center"/>
        </w:trPr>
        <w:tc>
          <w:tcPr>
            <w:tcW w:w="0" w:type="auto"/>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1</w:t>
            </w:r>
          </w:p>
        </w:tc>
        <w:tc>
          <w:tcPr>
            <w:tcW w:w="283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供应商资格（资质、认证）情况</w:t>
            </w:r>
          </w:p>
        </w:tc>
        <w:tc>
          <w:tcPr>
            <w:tcW w:w="68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10</w:t>
            </w:r>
          </w:p>
        </w:tc>
        <w:tc>
          <w:tcPr>
            <w:tcW w:w="4763" w:type="dxa"/>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（一）评分内容：</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1.每具备国家食品复检机构资质或国家级农产品质量安全检测机构考核合格证书或国家级检验检测机构资质认定证书（环保产品除外）中任意一项，得20分，最高得40分； </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2.具有国家级检验检测机构资质认定证书（环保产品）的，得20分；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3.具有国家认证认可监督管理委员会颁发的认证机构批准书，认证领域包括食品农产品安全管理体系，得20分；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4.承担食品、农产品或环境相关的国家级检验检测机构能力验证工作的得20分。 </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以上累计得分。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（二）评分依据：</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1.要求提供有效的认证证书或相关部门公告或发文作为得分依据。</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eastAsia="宋体" w:cs="宋体"/>
                <w:color w:val="auto"/>
                <w:sz w:val="21"/>
                <w:szCs w:val="21"/>
              </w:rPr>
              <w:t>2.以上资料均要求提供扫描件（或官方网站截图），原件备查。评分中出现无证明资料或专家无法凭所提供资料判断是否得分的情况，一律作不得分处理。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trHeight w:val="794" w:hRule="atLeast"/>
          <w:jc w:val="center"/>
        </w:trPr>
        <w:tc>
          <w:tcPr>
            <w:tcW w:w="0" w:type="auto"/>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2</w:t>
            </w:r>
          </w:p>
        </w:tc>
        <w:tc>
          <w:tcPr>
            <w:tcW w:w="283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供应商同类项目业绩情况</w:t>
            </w:r>
          </w:p>
        </w:tc>
        <w:tc>
          <w:tcPr>
            <w:tcW w:w="68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10</w:t>
            </w:r>
          </w:p>
        </w:tc>
        <w:tc>
          <w:tcPr>
            <w:tcW w:w="4763" w:type="dxa"/>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（一）评分内容：</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考察投标人2018年1月1日至本项目投标截止之日（以合同签订时间为准），具有同类项目（已完成）经验情况：</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1.具有“菜篮子”基地监测或认定或考评经验的，每提供1个</w:t>
            </w:r>
            <w:r>
              <w:rPr>
                <w:rFonts w:hint="eastAsia" w:ascii="宋体" w:hAnsi="宋体" w:cs="宋体"/>
                <w:color w:val="auto"/>
                <w:sz w:val="21"/>
                <w:szCs w:val="21"/>
                <w:lang w:val="en-US" w:eastAsia="zh-CN"/>
              </w:rPr>
              <w:t>项目</w:t>
            </w:r>
            <w:r>
              <w:rPr>
                <w:rFonts w:hint="eastAsia" w:ascii="宋体" w:hAnsi="宋体" w:eastAsia="宋体" w:cs="宋体"/>
                <w:color w:val="auto"/>
                <w:sz w:val="21"/>
                <w:szCs w:val="21"/>
              </w:rPr>
              <w:t>得20分，本项最高得80分；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2.具有农产品企业评审或考评申报工作的资料审核及现场复核经验的，得20分。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以上累计得分</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同一业绩不可重复得分</w:t>
            </w:r>
            <w:r>
              <w:rPr>
                <w:rFonts w:hint="eastAsia" w:ascii="宋体" w:hAnsi="宋体" w:eastAsia="宋体" w:cs="宋体"/>
                <w:color w:val="auto"/>
                <w:sz w:val="21"/>
                <w:szCs w:val="21"/>
              </w:rPr>
              <w:t>。</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（二）评分依据：</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1.要求同时提供合同关键信息和已完成，且履约评价合格或者验收合格证明文件作为得分依据，履约评价合格或者验收合格证明文件需加盖合同甲方公章（或甲方业务章）。</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2.通过合同关键信息无法判断是否得分的，还须同时提供能证明得分的其它证明资料，如项目报告或合同甲方出具的证明文件等。</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eastAsia="宋体" w:cs="宋体"/>
                <w:color w:val="auto"/>
                <w:sz w:val="21"/>
                <w:szCs w:val="21"/>
              </w:rPr>
              <w:t>3.以上资料均要求提供扫描件，原件备查。评分中出现无证明资料或专家无法凭所提供资料判断是否得分的情况，一律作不得分处理。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0" w:type="auto"/>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3</w:t>
            </w:r>
          </w:p>
        </w:tc>
        <w:tc>
          <w:tcPr>
            <w:tcW w:w="283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供应商获奖情况</w:t>
            </w:r>
          </w:p>
        </w:tc>
        <w:tc>
          <w:tcPr>
            <w:tcW w:w="68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5</w:t>
            </w:r>
          </w:p>
        </w:tc>
        <w:tc>
          <w:tcPr>
            <w:tcW w:w="4763" w:type="dxa"/>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（一）评分内容：</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投标人在检测技术、质量监管方面获得的奖项。</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1.每获得一个国家级奖项的，得</w:t>
            </w:r>
            <w:r>
              <w:rPr>
                <w:rFonts w:hint="eastAsia" w:ascii="宋体" w:hAnsi="宋体" w:cs="宋体"/>
                <w:color w:val="auto"/>
                <w:sz w:val="21"/>
                <w:szCs w:val="21"/>
                <w:lang w:val="en-US" w:eastAsia="zh-CN"/>
              </w:rPr>
              <w:t>15</w:t>
            </w:r>
            <w:r>
              <w:rPr>
                <w:rFonts w:hint="eastAsia" w:ascii="宋体" w:hAnsi="宋体" w:eastAsia="宋体" w:cs="宋体"/>
                <w:color w:val="auto"/>
                <w:sz w:val="21"/>
                <w:szCs w:val="21"/>
              </w:rPr>
              <w:t>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2.每获得一个省级（含副省级）奖项的，得10分；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3.每获得一个市级奖项的，得</w:t>
            </w: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以上累计得分。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（二）评分依据：</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1.要求提供奖项照片或获奖（荣誉）证书等证明材料作为得分依据。</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eastAsia="宋体" w:cs="宋体"/>
                <w:color w:val="auto"/>
                <w:sz w:val="21"/>
                <w:szCs w:val="21"/>
              </w:rPr>
              <w:t>2.以上资料均要求提供扫描件（或官方网站截图</w:t>
            </w:r>
            <w:r>
              <w:rPr>
                <w:rFonts w:hint="eastAsia" w:ascii="宋体" w:hAnsi="宋体" w:cs="宋体"/>
                <w:color w:val="auto"/>
                <w:sz w:val="21"/>
                <w:szCs w:val="21"/>
                <w:lang w:val="en-US" w:eastAsia="zh-CN"/>
              </w:rPr>
              <w:t>或照片</w:t>
            </w:r>
            <w:r>
              <w:rPr>
                <w:rFonts w:hint="eastAsia" w:ascii="宋体" w:hAnsi="宋体" w:eastAsia="宋体" w:cs="宋体"/>
                <w:color w:val="auto"/>
                <w:sz w:val="21"/>
                <w:szCs w:val="21"/>
              </w:rPr>
              <w:t>），原件备查。评分中出现无证明资料或专家无法凭所提供资料判断是否得分的情况，一律作不得分处理。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0" w:type="auto"/>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4</w:t>
            </w:r>
          </w:p>
        </w:tc>
        <w:tc>
          <w:tcPr>
            <w:tcW w:w="283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供应商自主知识产权产品（创新、设计）情况</w:t>
            </w:r>
          </w:p>
        </w:tc>
        <w:tc>
          <w:tcPr>
            <w:tcW w:w="68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10</w:t>
            </w:r>
          </w:p>
        </w:tc>
        <w:tc>
          <w:tcPr>
            <w:tcW w:w="4763" w:type="dxa"/>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（一）评分内容：</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投标人2018年1月1日以来获得的自主知识产权情况：</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1.以第一专利权人获得食用农产品或食品相关检测技术发明专利（以授权公告日为准，实用新型及外观设计专利不计）的个数，每有一个得10分，满分为30分；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2.参与制定食用农产品或食品相关检测技术国家标准（以发布日为准，企业标准及地方标准不计），每有一个得10分，最高得30分；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3.投标人具有农产品或食品快检系统相关的软件著作权登记证书，每一个得20分，最高得40分。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以上累计得分。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（二）评分依据:</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1.要求提供有效的产权（专利）证书、标准文本及软件著作权登记证书等证明材料作为得分依据。</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eastAsia="宋体" w:cs="宋体"/>
                <w:color w:val="auto"/>
                <w:sz w:val="21"/>
                <w:szCs w:val="21"/>
              </w:rPr>
              <w:t>2.以上资料均要求提供扫描件（或官方网站截图），原件备查。评分中出现无证明资料或专家无法凭所提供资料判断是否得分的情况，一律作不得分处理。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0" w:type="auto"/>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5</w:t>
            </w:r>
          </w:p>
        </w:tc>
        <w:tc>
          <w:tcPr>
            <w:tcW w:w="283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服务网点</w:t>
            </w:r>
          </w:p>
        </w:tc>
        <w:tc>
          <w:tcPr>
            <w:tcW w:w="68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2</w:t>
            </w:r>
          </w:p>
        </w:tc>
        <w:tc>
          <w:tcPr>
            <w:tcW w:w="4763" w:type="dxa"/>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cs="宋体"/>
                <w:color w:val="auto"/>
                <w:sz w:val="21"/>
                <w:szCs w:val="21"/>
                <w:lang w:eastAsia="zh-CN"/>
              </w:rPr>
              <w:t>.</w:t>
            </w:r>
            <w:r>
              <w:rPr>
                <w:rFonts w:hint="eastAsia" w:ascii="宋体" w:hAnsi="宋体" w:eastAsia="宋体" w:cs="宋体"/>
                <w:color w:val="auto"/>
                <w:sz w:val="21"/>
                <w:szCs w:val="21"/>
              </w:rPr>
              <w:t>深圳供应商，或非深圳供应商但在深圳有合法注册的分公司（或售后机构）（分公司的必须提供分公司营业执照扫描件，售后机构必须同时提供售后服务合作合同及售后机构营业执照扫描件作为得分依据，原件备查）的，得100分；否则不得分。</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宋体" w:hAnsi="宋体" w:eastAsia="宋体" w:cs="宋体"/>
                <w:sz w:val="21"/>
                <w:szCs w:val="21"/>
              </w:rPr>
            </w:pPr>
            <w:r>
              <w:rPr>
                <w:rFonts w:hint="eastAsia" w:ascii="宋体" w:hAnsi="宋体" w:eastAsia="宋体" w:cs="宋体"/>
                <w:color w:val="auto"/>
                <w:sz w:val="21"/>
                <w:szCs w:val="21"/>
              </w:rPr>
              <w:t>2</w:t>
            </w:r>
            <w:r>
              <w:rPr>
                <w:rFonts w:hint="eastAsia" w:ascii="宋体" w:hAnsi="宋体" w:cs="宋体"/>
                <w:color w:val="auto"/>
                <w:sz w:val="21"/>
                <w:szCs w:val="21"/>
                <w:lang w:eastAsia="zh-CN"/>
              </w:rPr>
              <w:t>.</w:t>
            </w:r>
            <w:r>
              <w:rPr>
                <w:rFonts w:hint="eastAsia" w:ascii="宋体" w:hAnsi="宋体" w:eastAsia="宋体" w:cs="宋体"/>
                <w:color w:val="auto"/>
                <w:sz w:val="21"/>
                <w:szCs w:val="21"/>
              </w:rPr>
              <w:t>外地供应商承诺：中标后设立本地经营（服务）网点的，提供承诺文件（格式自定）的，得50分；未提供承诺或承诺内容不满足要求均不得分。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680" w:type="dxa"/>
            <w:vMerge w:val="restart"/>
            <w:tcBorders>
              <w:top w:val="single" w:color="000000" w:sz="8" w:space="0"/>
              <w:left w:val="single" w:color="000000" w:sz="8" w:space="0"/>
              <w:right w:val="single" w:color="000000" w:sz="8" w:space="0"/>
            </w:tcBorders>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bCs/>
                <w:color w:val="0000FF"/>
                <w:sz w:val="21"/>
                <w:szCs w:val="21"/>
              </w:rPr>
            </w:pPr>
            <w:r>
              <w:rPr>
                <w:rFonts w:hint="eastAsia" w:ascii="宋体" w:hAnsi="宋体" w:eastAsia="宋体" w:cs="宋体"/>
                <w:b/>
                <w:bCs/>
                <w:color w:val="0000FF"/>
                <w:sz w:val="21"/>
                <w:szCs w:val="21"/>
              </w:rPr>
              <w:t>4</w:t>
            </w:r>
          </w:p>
        </w:tc>
        <w:tc>
          <w:tcPr>
            <w:tcW w:w="4196" w:type="dxa"/>
            <w:gridSpan w:val="3"/>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bCs/>
                <w:color w:val="0000FF"/>
                <w:sz w:val="21"/>
                <w:szCs w:val="21"/>
              </w:rPr>
            </w:pPr>
            <w:r>
              <w:rPr>
                <w:rFonts w:hint="eastAsia" w:ascii="宋体" w:hAnsi="宋体" w:eastAsia="宋体" w:cs="宋体"/>
                <w:b/>
                <w:bCs/>
                <w:color w:val="0000FF"/>
                <w:sz w:val="21"/>
                <w:szCs w:val="21"/>
              </w:rPr>
              <w:t>其他</w:t>
            </w:r>
          </w:p>
        </w:tc>
        <w:tc>
          <w:tcPr>
            <w:tcW w:w="4763" w:type="dxa"/>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b/>
                <w:bCs/>
                <w:color w:val="0000FF"/>
                <w:sz w:val="21"/>
                <w:szCs w:val="21"/>
              </w:rPr>
            </w:pPr>
            <w:r>
              <w:rPr>
                <w:rFonts w:hint="eastAsia" w:ascii="宋体" w:hAnsi="宋体" w:eastAsia="宋体" w:cs="宋体"/>
                <w:b/>
                <w:bCs/>
                <w:color w:val="0000FF"/>
                <w:sz w:val="21"/>
                <w:szCs w:val="21"/>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0" w:type="auto"/>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8959" w:type="dxa"/>
            <w:gridSpan w:val="4"/>
            <w:tcBorders>
              <w:top w:val="single" w:color="000000" w:sz="8" w:space="0"/>
              <w:left w:val="single" w:color="000000" w:sz="8" w:space="0"/>
              <w:bottom w:val="single" w:color="000000" w:sz="8" w:space="0"/>
              <w:right w:val="single" w:color="000000" w:sz="8" w:space="0"/>
            </w:tcBorders>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jc w:val="center"/>
        </w:trPr>
        <w:tc>
          <w:tcPr>
            <w:tcW w:w="0" w:type="auto"/>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680"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2835"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评分因素</w:t>
            </w:r>
          </w:p>
        </w:tc>
        <w:tc>
          <w:tcPr>
            <w:tcW w:w="681"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权重(%)</w:t>
            </w:r>
          </w:p>
        </w:tc>
        <w:tc>
          <w:tcPr>
            <w:tcW w:w="4763" w:type="dxa"/>
            <w:tcBorders>
              <w:top w:val="outset" w:color="000000" w:sz="6" w:space="0"/>
              <w:left w:val="outset" w:color="000000" w:sz="6" w:space="0"/>
              <w:bottom w:val="outset" w:color="000000" w:sz="6" w:space="0"/>
              <w:right w:val="outset" w:color="000000" w:sz="6" w:space="0"/>
            </w:tcBorders>
            <w:shd w:val="clear" w:color="auto" w:fill="E6EFFA"/>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0" w:type="auto"/>
            <w:vMerge w:val="continue"/>
            <w:tcBorders>
              <w:left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bCs/>
                <w:color w:val="0000FF"/>
                <w:sz w:val="21"/>
                <w:szCs w:val="21"/>
              </w:rPr>
            </w:pPr>
          </w:p>
        </w:tc>
        <w:tc>
          <w:tcPr>
            <w:tcW w:w="680"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1</w:t>
            </w:r>
          </w:p>
        </w:tc>
        <w:tc>
          <w:tcPr>
            <w:tcW w:w="2835"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诚信情况</w:t>
            </w:r>
          </w:p>
        </w:tc>
        <w:tc>
          <w:tcPr>
            <w:tcW w:w="681" w:type="dxa"/>
            <w:tcBorders>
              <w:top w:val="single" w:color="000000" w:sz="8" w:space="0"/>
              <w:left w:val="single" w:color="000000" w:sz="8" w:space="0"/>
              <w:bottom w:val="single" w:color="000000" w:sz="8" w:space="0"/>
              <w:right w:val="single" w:color="000000" w:sz="8" w:space="0"/>
            </w:tcBorders>
            <w:vAlign w:val="center"/>
          </w:tcPr>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宋体" w:hAnsi="宋体" w:eastAsia="宋体" w:cs="宋体"/>
                <w:sz w:val="21"/>
                <w:szCs w:val="21"/>
              </w:rPr>
            </w:pPr>
            <w:r>
              <w:rPr>
                <w:rFonts w:hint="eastAsia" w:ascii="宋体" w:hAnsi="宋体" w:eastAsia="宋体" w:cs="宋体"/>
                <w:color w:val="auto"/>
                <w:sz w:val="21"/>
                <w:szCs w:val="21"/>
              </w:rPr>
              <w:t>5</w:t>
            </w:r>
          </w:p>
        </w:tc>
        <w:tc>
          <w:tcPr>
            <w:tcW w:w="4763" w:type="dxa"/>
            <w:tcBorders>
              <w:top w:val="single" w:color="000000" w:sz="8" w:space="0"/>
              <w:left w:val="single" w:color="000000" w:sz="8" w:space="0"/>
              <w:bottom w:val="single" w:color="000000" w:sz="8" w:space="0"/>
              <w:right w:val="single" w:color="000000" w:sz="8" w:space="0"/>
            </w:tcBorders>
            <w:vAlign w:val="top"/>
          </w:tcPr>
          <w:p>
            <w:pPr>
              <w:keepNext w:val="0"/>
              <w:keepLines w:val="0"/>
              <w:pageBreakBefore w:val="0"/>
              <w:widowControl w:val="0"/>
              <w:kinsoku/>
              <w:wordWrap w:val="0"/>
              <w:overflowPunct/>
              <w:topLinePunct w:val="0"/>
              <w:autoSpaceDE/>
              <w:autoSpaceDN/>
              <w:bidi w:val="0"/>
              <w:adjustRightInd/>
              <w:snapToGrid/>
              <w:spacing w:line="360" w:lineRule="auto"/>
              <w:textAlignment w:val="auto"/>
              <w:rPr>
                <w:rFonts w:hint="eastAsia" w:eastAsia="宋体" w:cs="Times New Roman"/>
              </w:rPr>
            </w:pPr>
            <w:r>
              <w:rPr>
                <w:rFonts w:hint="eastAsia" w:eastAsia="宋体" w:cs="Times New Roman"/>
              </w:rPr>
              <w:t>投标人在参与政府采购活动中存在诚信相关问题且在主管部门相关处理措施实施期限内的，本项不得分，否则得满分。投标人无需提供任何证明材料，由工作人员向评审委员会提供相关信息。</w:t>
            </w:r>
          </w:p>
          <w:p>
            <w:pPr>
              <w:wordWrap w:val="0"/>
              <w:spacing w:line="360" w:lineRule="auto"/>
              <w:rPr>
                <w:rFonts w:hint="default" w:eastAsia="宋体"/>
                <w:lang w:val="en-US" w:eastAsia="zh-CN"/>
              </w:rPr>
            </w:pPr>
            <w:r>
              <w:rPr>
                <w:rFonts w:hint="eastAsia" w:eastAsia="宋体" w:cs="Times New Roman"/>
                <w:sz w:val="21"/>
                <w:szCs w:val="22"/>
                <w:lang w:val="en-US" w:eastAsia="zh-CN"/>
              </w:rPr>
              <w:t>注：以开标当日深圳政府采购智慧平台有关投标人诚信查询结果为准。</w:t>
            </w:r>
          </w:p>
        </w:tc>
      </w:tr>
    </w:tbl>
    <w:p>
      <w:pPr>
        <w:widowControl/>
        <w:jc w:val="left"/>
        <w:rPr>
          <w:rFonts w:asciiTheme="minorEastAsia" w:hAnsiTheme="minorEastAsia" w:eastAsiaTheme="minorEastAsia"/>
          <w:b/>
          <w:bCs/>
          <w:kern w:val="44"/>
          <w:sz w:val="28"/>
          <w:szCs w:val="44"/>
        </w:rPr>
      </w:pPr>
      <w:r>
        <w:rPr>
          <w:rFonts w:asciiTheme="minorEastAsia" w:hAnsiTheme="minorEastAsia" w:eastAsiaTheme="minorEastAsia"/>
        </w:rPr>
        <w:br w:type="page"/>
      </w:r>
    </w:p>
    <w:p>
      <w:pPr>
        <w:pStyle w:val="3"/>
        <w:spacing w:before="0" w:after="0"/>
        <w:rPr>
          <w:rFonts w:asciiTheme="minorEastAsia" w:hAnsiTheme="minorEastAsia" w:eastAsiaTheme="minorEastAsia"/>
        </w:rPr>
      </w:pPr>
      <w:r>
        <w:rPr>
          <w:rFonts w:hint="eastAsia" w:asciiTheme="minorEastAsia" w:hAnsiTheme="minorEastAsia" w:eastAsiaTheme="minorEastAsia"/>
        </w:rPr>
        <w:t>其它关键信息</w:t>
      </w:r>
    </w:p>
    <w:p>
      <w:pPr>
        <w:spacing w:line="360" w:lineRule="auto"/>
        <w:ind w:firstLine="413" w:firstLineChars="196"/>
        <w:rPr>
          <w:rFonts w:ascii="宋体" w:hAnsi="宋体"/>
          <w:szCs w:val="21"/>
        </w:rPr>
      </w:pPr>
      <w:r>
        <w:rPr>
          <w:rFonts w:hint="eastAsia" w:ascii="宋体" w:hAnsi="宋体"/>
          <w:b/>
          <w:szCs w:val="21"/>
        </w:rPr>
        <w:t>一</w:t>
      </w:r>
      <w:r>
        <w:rPr>
          <w:rFonts w:hint="eastAsia" w:asciiTheme="minorEastAsia" w:hAnsiTheme="minorEastAsia" w:eastAsiaTheme="minorEastAsia"/>
          <w:b/>
          <w:szCs w:val="21"/>
        </w:rPr>
        <w:t>、</w:t>
      </w:r>
      <w:r>
        <w:rPr>
          <w:rFonts w:hint="eastAsia"/>
          <w:b/>
          <w:szCs w:val="21"/>
        </w:rPr>
        <w:t>评标定标信息</w:t>
      </w:r>
    </w:p>
    <w:tbl>
      <w:tblPr>
        <w:tblStyle w:val="4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64"/>
        <w:gridCol w:w="42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是否评标定标分离</w:t>
            </w:r>
          </w:p>
        </w:tc>
        <w:tc>
          <w:tcPr>
            <w:tcW w:w="4265"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非评定分离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定标方法</w:t>
            </w:r>
          </w:p>
        </w:tc>
        <w:tc>
          <w:tcPr>
            <w:tcW w:w="4265"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评标方法</w:t>
            </w:r>
          </w:p>
        </w:tc>
        <w:tc>
          <w:tcPr>
            <w:tcW w:w="4265"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综合评分法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中标供应商家数</w:t>
            </w:r>
          </w:p>
        </w:tc>
        <w:tc>
          <w:tcPr>
            <w:tcW w:w="4265"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4"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候选中标供应商家数</w:t>
            </w:r>
          </w:p>
        </w:tc>
        <w:tc>
          <w:tcPr>
            <w:tcW w:w="4265" w:type="dxa"/>
          </w:tcPr>
          <w:p>
            <w:pPr>
              <w:spacing w:after="60"/>
              <w:jc w:val="center"/>
              <w:rPr>
                <w:rFonts w:asciiTheme="minorEastAsia" w:hAnsiTheme="minorEastAsia" w:eastAsiaTheme="minorEastAsia"/>
                <w:szCs w:val="21"/>
              </w:rPr>
            </w:pPr>
            <w:r>
              <w:rPr>
                <w:rFonts w:hint="eastAsia" w:asciiTheme="minorEastAsia" w:hAnsiTheme="minorEastAsia" w:eastAsiaTheme="minorEastAsia"/>
                <w:szCs w:val="21"/>
              </w:rPr>
              <w:t>1</w:t>
            </w:r>
          </w:p>
        </w:tc>
      </w:tr>
    </w:tbl>
    <w:p/>
    <w:p>
      <w:pPr>
        <w:spacing w:line="360" w:lineRule="auto"/>
        <w:ind w:firstLine="413" w:firstLineChars="196"/>
        <w:rPr>
          <w:rFonts w:ascii="宋体" w:hAnsi="宋体"/>
          <w:b/>
        </w:rPr>
      </w:pPr>
      <w:r>
        <w:rPr>
          <w:rFonts w:hint="eastAsia" w:ascii="宋体" w:hAnsi="宋体"/>
          <w:b/>
          <w:szCs w:val="21"/>
        </w:rPr>
        <w:t>二</w:t>
      </w:r>
      <w:r>
        <w:rPr>
          <w:rFonts w:hint="eastAsia" w:asciiTheme="minorEastAsia" w:hAnsiTheme="minorEastAsia" w:eastAsiaTheme="minorEastAsia"/>
          <w:b/>
          <w:szCs w:val="21"/>
        </w:rPr>
        <w:t>、</w:t>
      </w:r>
      <w:r>
        <w:rPr>
          <w:rFonts w:hint="eastAsia" w:asciiTheme="minorEastAsia" w:hAnsiTheme="minorEastAsia" w:eastAsiaTheme="minorEastAsia"/>
          <w:b/>
        </w:rPr>
        <w:t>投标人不符合《资格性审查表》或《符合性审查表》中任一情形的，初审不通过，投标无效</w:t>
      </w:r>
      <w:r>
        <w:rPr>
          <w:rFonts w:hint="eastAsia" w:ascii="宋体" w:hAnsi="宋体"/>
          <w:b/>
        </w:rPr>
        <w:t>。</w:t>
      </w:r>
    </w:p>
    <w:p>
      <w:pPr>
        <w:spacing w:line="360" w:lineRule="auto"/>
        <w:ind w:firstLine="411" w:firstLineChars="196"/>
        <w:rPr>
          <w:rFonts w:ascii="宋体" w:hAnsi="宋体"/>
        </w:rPr>
      </w:pPr>
    </w:p>
    <w:p>
      <w:pPr>
        <w:spacing w:line="360" w:lineRule="auto"/>
        <w:ind w:firstLine="413" w:firstLineChars="196"/>
        <w:rPr>
          <w:rFonts w:ascii="宋体" w:hAnsi="宋体"/>
          <w:b/>
          <w:szCs w:val="21"/>
        </w:rPr>
      </w:pPr>
      <w:r>
        <w:rPr>
          <w:rFonts w:hint="eastAsia" w:ascii="宋体" w:hAnsi="宋体"/>
          <w:b/>
          <w:szCs w:val="21"/>
        </w:rPr>
        <w:t>三</w:t>
      </w:r>
      <w:r>
        <w:rPr>
          <w:rFonts w:hint="eastAsia" w:asciiTheme="minorEastAsia" w:hAnsiTheme="minorEastAsia" w:eastAsiaTheme="minorEastAsia"/>
          <w:b/>
          <w:szCs w:val="21"/>
        </w:rPr>
        <w:t>、</w:t>
      </w:r>
      <w:r>
        <w:rPr>
          <w:rFonts w:hint="eastAsia" w:ascii="宋体" w:hAnsi="宋体"/>
          <w:b/>
          <w:szCs w:val="21"/>
        </w:rPr>
        <w:t>报价明显偏低的合理性说明</w:t>
      </w:r>
    </w:p>
    <w:p>
      <w:pPr>
        <w:spacing w:line="360" w:lineRule="auto"/>
        <w:ind w:firstLine="420" w:firstLineChars="200"/>
        <w:rPr>
          <w:rFonts w:ascii="宋体" w:hAnsi="宋体"/>
          <w:szCs w:val="21"/>
        </w:rPr>
      </w:pP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hAns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20" w:firstLineChars="200"/>
        <w:rPr>
          <w:rFonts w:ascii="宋体" w:hAnsi="宋体"/>
          <w:szCs w:val="21"/>
        </w:rPr>
      </w:pPr>
    </w:p>
    <w:p>
      <w:pPr>
        <w:spacing w:line="360" w:lineRule="auto"/>
        <w:ind w:firstLine="422" w:firstLineChars="200"/>
        <w:rPr>
          <w:rFonts w:ascii="宋体" w:hAnsi="宋体"/>
          <w:b/>
          <w:szCs w:val="21"/>
        </w:rPr>
      </w:pPr>
      <w:r>
        <w:rPr>
          <w:rFonts w:hint="eastAsia" w:asciiTheme="minorEastAsia" w:hAnsiTheme="minorEastAsia" w:eastAsiaTheme="minorEastAsia"/>
          <w:b/>
          <w:szCs w:val="21"/>
        </w:rPr>
        <w:t>四、</w:t>
      </w:r>
      <w:r>
        <w:rPr>
          <w:rFonts w:hint="eastAsia" w:asciiTheme="minorEastAsia" w:hAnsiTheme="minorEastAsia" w:eastAsiaTheme="minorEastAsia"/>
          <w:b/>
          <w:bCs/>
        </w:rPr>
        <w:t>关于享受政府采购优惠政策的主体及价格扣除比例</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%（请在6%-10%范围内选择）后参与评审</w:t>
      </w:r>
      <w:r>
        <w:rPr>
          <w:rFonts w:hint="eastAsia" w:asciiTheme="minorEastAsia" w:hAnsiTheme="minorEastAsia" w:eastAsiaTheme="minorEastAsia"/>
        </w:rPr>
        <w:t>。对于同时属于小微企业、监狱企业或残疾人福利性单位的，不重复进行投标报价扣除。</w:t>
      </w:r>
    </w:p>
    <w:p>
      <w:pPr>
        <w:spacing w:after="60" w:line="360" w:lineRule="auto"/>
        <w:ind w:firstLine="426" w:firstLineChars="202"/>
        <w:rPr>
          <w:rFonts w:ascii="宋体" w:hAnsi="宋体"/>
          <w:b/>
          <w:snapToGrid w:val="0"/>
          <w:szCs w:val="21"/>
        </w:rPr>
      </w:pPr>
      <w:r>
        <w:rPr>
          <w:rFonts w:hint="eastAsia" w:ascii="宋体" w:hAnsi="宋体"/>
          <w:b/>
          <w:snapToGrid w:val="0"/>
          <w:szCs w:val="21"/>
          <w:highlight w:val="yellow"/>
        </w:rPr>
        <w:t>本项目所属行业为</w:t>
      </w:r>
      <w:r>
        <w:rPr>
          <w:rFonts w:hint="eastAsia" w:ascii="宋体" w:hAnsi="宋体"/>
          <w:b/>
          <w:snapToGrid w:val="0"/>
          <w:szCs w:val="21"/>
          <w:highlight w:val="yellow"/>
          <w:u w:val="single"/>
        </w:rPr>
        <w:t xml:space="preserve"> 其他未列明行业 </w:t>
      </w:r>
      <w:r>
        <w:rPr>
          <w:rFonts w:hint="eastAsia" w:ascii="宋体" w:hAnsi="宋体"/>
          <w:b/>
          <w:snapToGrid w:val="0"/>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w:t>
      </w:r>
      <w:r>
        <w:rPr>
          <w:rFonts w:asciiTheme="minorEastAsia" w:hAnsiTheme="minorEastAsia" w:eastAsiaTheme="minorEastAsia"/>
          <w:b/>
        </w:rPr>
        <w:t xml:space="preserve"> </w:t>
      </w:r>
      <w:r>
        <w:rPr>
          <w:rFonts w:hint="eastAsia" w:asciiTheme="minorEastAsia" w:hAnsiTheme="minorEastAsia" w:eastAsiaTheme="minorEastAsia"/>
          <w:b/>
        </w:rPr>
        <w:t>（请在2</w:t>
      </w:r>
      <w:r>
        <w:rPr>
          <w:rFonts w:asciiTheme="minorEastAsia" w:hAnsiTheme="minorEastAsia" w:eastAsiaTheme="minorEastAsia"/>
          <w:b/>
        </w:rPr>
        <w:t>%-</w:t>
      </w:r>
      <w:r>
        <w:rPr>
          <w:rFonts w:hint="eastAsia" w:asciiTheme="minorEastAsia" w:hAnsiTheme="minorEastAsia" w:eastAsiaTheme="minorEastAsia"/>
          <w:b/>
        </w:rPr>
        <w:t>3</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政府采购优惠政策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after="60" w:line="360" w:lineRule="auto"/>
        <w:ind w:firstLine="424" w:firstLineChars="202"/>
        <w:rPr>
          <w:rFonts w:ascii="宋体" w:hAnsi="宋体"/>
        </w:rPr>
      </w:pPr>
      <w:r>
        <w:rPr>
          <w:rFonts w:hint="eastAsia" w:ascii="宋体" w:hAnsi="宋体"/>
        </w:rPr>
        <w:t>（3）优惠主体资格的认定资料为《中小企业声明函》、《残疾人福利性单位声明函》以及《监狱企业声明函》等承诺性质的资料（</w:t>
      </w:r>
      <w:r>
        <w:rPr>
          <w:rFonts w:hint="eastAsia" w:ascii="宋体" w:hAnsi="宋体" w:cs="宋体"/>
          <w:szCs w:val="21"/>
        </w:rPr>
        <w:t>格式详见招标文件第三章</w:t>
      </w:r>
      <w:r>
        <w:rPr>
          <w:rFonts w:hint="eastAsia" w:ascii="宋体" w:hAnsi="宋体"/>
        </w:rPr>
        <w:t>）；监狱企业或者代理提供监狱企业货物的供应商如须享受优惠政策，除上述资料外，还须提供省级以上监狱管理局、戒毒管理局出具的监狱企业证明文件。</w:t>
      </w:r>
    </w:p>
    <w:p>
      <w:pPr>
        <w:spacing w:after="60" w:line="360" w:lineRule="auto"/>
        <w:ind w:firstLine="424" w:firstLineChars="202"/>
        <w:rPr>
          <w:rFonts w:ascii="宋体" w:hAnsi="宋体"/>
        </w:rPr>
      </w:pPr>
    </w:p>
    <w:p>
      <w:pPr>
        <w:spacing w:line="360" w:lineRule="auto"/>
        <w:ind w:firstLine="422" w:firstLineChars="200"/>
        <w:rPr>
          <w:rFonts w:ascii="宋体" w:hAnsi="宋体"/>
          <w:b/>
          <w:szCs w:val="21"/>
        </w:rPr>
      </w:pPr>
      <w:r>
        <w:rPr>
          <w:rFonts w:hint="eastAsia" w:asciiTheme="minorEastAsia" w:hAnsiTheme="minorEastAsia" w:eastAsiaTheme="minorEastAsia"/>
          <w:b/>
          <w:szCs w:val="21"/>
        </w:rPr>
        <w:t>五、</w:t>
      </w:r>
      <w:r>
        <w:rPr>
          <w:rFonts w:hint="eastAsia"/>
          <w:b/>
        </w:rPr>
        <w:t>其他说明</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拟采购的服务如涉及《关于调整优化节能产品环境标志产品政府采购执行机制的通知》（财库〔2019〕9号）、《关于印发环境标志产品政府采购品目清单的通知》（财库〔2019〕18号）和《关于印发节能产品政府采购品目清单的通知》（财库〔2019〕19号）品目清单范围内的产品，应依据国家确定的认证机构出具的、处于有效期之内的节能产品、环境标志产品认证证书，对获得证书的产品实施政府优先采购或强制采购。对于已列入品目清单的产品类别，采购人可在采购需求中提出更高的节约资源和保护环境要求，对符合条件的获证产品给予适当评审加分。对于未列入品目清单的产品类别，鼓励采购人综合考虑节能、节水、环保、循环、低碳、再生、有机等因素，参考相关国家标准、行业标准或团体标准，在采购需求中提出相关绿色采购要求，促进绿色产品推广应用。</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p>
    <w:p/>
    <w:p>
      <w:pPr>
        <w:widowControl/>
        <w:jc w:val="left"/>
        <w:rPr>
          <w:rFonts w:ascii="宋体" w:hAnsi="宋体" w:eastAsia="黑体"/>
          <w:b/>
          <w:bCs/>
          <w:kern w:val="44"/>
          <w:sz w:val="28"/>
          <w:szCs w:val="44"/>
        </w:rPr>
      </w:pPr>
      <w:r>
        <w:br w:type="page"/>
      </w:r>
    </w:p>
    <w:p>
      <w:pPr>
        <w:rPr>
          <w:rFonts w:ascii="Times New Roman" w:hAnsi="Times New Roman"/>
          <w:szCs w:val="24"/>
        </w:rPr>
      </w:pPr>
    </w:p>
    <w:p>
      <w:pPr>
        <w:keepNext/>
        <w:keepLines/>
        <w:spacing w:before="340" w:after="330" w:line="360" w:lineRule="auto"/>
        <w:jc w:val="center"/>
        <w:outlineLvl w:val="0"/>
        <w:rPr>
          <w:rFonts w:ascii="宋体" w:hAnsi="宋体" w:eastAsia="黑体"/>
          <w:b/>
          <w:bCs/>
          <w:kern w:val="44"/>
          <w:sz w:val="28"/>
          <w:szCs w:val="44"/>
        </w:rPr>
      </w:pPr>
      <w:r>
        <w:rPr>
          <w:rFonts w:hint="eastAsia" w:ascii="宋体" w:hAnsi="宋体" w:eastAsia="黑体"/>
          <w:b/>
          <w:bCs/>
          <w:kern w:val="44"/>
          <w:sz w:val="28"/>
          <w:szCs w:val="44"/>
        </w:rPr>
        <w:t>目   录</w:t>
      </w:r>
    </w:p>
    <w:p>
      <w:pPr>
        <w:rPr>
          <w:rFonts w:ascii="Times New Roman" w:hAnsi="Times New Roman"/>
          <w:b/>
          <w:sz w:val="24"/>
          <w:szCs w:val="24"/>
        </w:rPr>
      </w:pPr>
      <w:r>
        <w:rPr>
          <w:rFonts w:hint="eastAsia" w:ascii="Times New Roman" w:hAnsi="Times New Roman"/>
          <w:b/>
          <w:sz w:val="24"/>
          <w:szCs w:val="24"/>
        </w:rPr>
        <w:t>第一册  专用条款</w:t>
      </w:r>
    </w:p>
    <w:p>
      <w:pPr>
        <w:ind w:left="630" w:leftChars="300" w:firstLine="411" w:firstLineChars="196"/>
        <w:rPr>
          <w:rFonts w:ascii="宋体" w:hAnsi="宋体"/>
          <w:szCs w:val="21"/>
        </w:rPr>
      </w:pPr>
      <w:r>
        <w:rPr>
          <w:rFonts w:hint="eastAsia" w:ascii="宋体" w:hAnsi="宋体"/>
          <w:szCs w:val="21"/>
        </w:rPr>
        <w:t>关键信息</w:t>
      </w:r>
    </w:p>
    <w:p>
      <w:pPr>
        <w:ind w:left="630" w:leftChars="300" w:firstLine="411" w:firstLineChars="196"/>
        <w:rPr>
          <w:rFonts w:ascii="宋体" w:hAnsi="宋体"/>
          <w:szCs w:val="21"/>
        </w:rPr>
      </w:pPr>
      <w:r>
        <w:rPr>
          <w:rFonts w:hint="eastAsia" w:ascii="宋体" w:hAnsi="宋体"/>
          <w:szCs w:val="21"/>
        </w:rPr>
        <w:t>第一章  招标公告</w:t>
      </w:r>
    </w:p>
    <w:p>
      <w:pPr>
        <w:ind w:left="630" w:leftChars="300" w:firstLine="411" w:firstLineChars="196"/>
        <w:rPr>
          <w:rFonts w:ascii="宋体" w:hAnsi="宋体"/>
          <w:szCs w:val="21"/>
        </w:rPr>
      </w:pPr>
      <w:r>
        <w:rPr>
          <w:rFonts w:hint="eastAsia" w:ascii="宋体" w:hAnsi="宋体"/>
          <w:szCs w:val="21"/>
        </w:rPr>
        <w:t>第二章  招标项目需求</w:t>
      </w:r>
    </w:p>
    <w:p>
      <w:pPr>
        <w:ind w:left="630" w:leftChars="300" w:firstLine="411" w:firstLineChars="196"/>
        <w:rPr>
          <w:rFonts w:ascii="宋体" w:hAnsi="宋体"/>
          <w:szCs w:val="21"/>
        </w:rPr>
      </w:pPr>
      <w:r>
        <w:rPr>
          <w:rFonts w:hint="eastAsia" w:ascii="宋体" w:hAnsi="宋体"/>
          <w:szCs w:val="21"/>
        </w:rPr>
        <w:t>第三章  投标文件格式、附件</w:t>
      </w:r>
    </w:p>
    <w:p>
      <w:pPr>
        <w:ind w:left="630" w:leftChars="300" w:firstLine="411" w:firstLineChars="196"/>
        <w:rPr>
          <w:rFonts w:ascii="宋体" w:hAnsi="宋体"/>
          <w:szCs w:val="21"/>
        </w:rPr>
      </w:pPr>
      <w:r>
        <w:rPr>
          <w:rFonts w:hint="eastAsia" w:ascii="宋体" w:hAnsi="宋体"/>
          <w:szCs w:val="21"/>
        </w:rPr>
        <w:t>第四章  合同及履约情况反馈格式</w:t>
      </w:r>
    </w:p>
    <w:p>
      <w:pPr>
        <w:ind w:left="630" w:leftChars="300" w:firstLine="411" w:firstLineChars="196"/>
        <w:rPr>
          <w:rFonts w:ascii="宋体" w:hAnsi="宋体"/>
          <w:szCs w:val="21"/>
        </w:rPr>
      </w:pPr>
      <w:r>
        <w:rPr>
          <w:rFonts w:hint="eastAsia" w:ascii="宋体" w:hAnsi="宋体"/>
          <w:szCs w:val="21"/>
        </w:rPr>
        <w:t>第五章  附件</w:t>
      </w:r>
    </w:p>
    <w:p>
      <w:pPr>
        <w:ind w:left="630" w:leftChars="300" w:firstLine="411" w:firstLineChars="196"/>
        <w:rPr>
          <w:rFonts w:ascii="宋体" w:hAnsi="宋体"/>
          <w:szCs w:val="21"/>
        </w:rPr>
      </w:pPr>
    </w:p>
    <w:p>
      <w:pPr>
        <w:rPr>
          <w:rFonts w:ascii="Times New Roman" w:hAnsi="Times New Roman"/>
          <w:b/>
          <w:sz w:val="24"/>
          <w:szCs w:val="24"/>
        </w:rPr>
      </w:pPr>
    </w:p>
    <w:p>
      <w:pPr>
        <w:rPr>
          <w:rFonts w:ascii="Times New Roman" w:hAnsi="Times New Roman"/>
          <w:b/>
          <w:sz w:val="24"/>
          <w:szCs w:val="24"/>
        </w:rPr>
      </w:pPr>
      <w:r>
        <w:rPr>
          <w:rFonts w:hint="eastAsia" w:ascii="Times New Roman" w:hAnsi="Times New Roman"/>
          <w:b/>
          <w:sz w:val="24"/>
          <w:szCs w:val="24"/>
        </w:rPr>
        <w:t>第二册  通用条款</w:t>
      </w:r>
    </w:p>
    <w:p>
      <w:pPr>
        <w:ind w:left="630" w:leftChars="300" w:firstLine="411" w:firstLineChars="196"/>
        <w:rPr>
          <w:rFonts w:ascii="宋体" w:hAnsi="宋体"/>
          <w:szCs w:val="21"/>
        </w:rPr>
      </w:pPr>
      <w:r>
        <w:rPr>
          <w:rFonts w:hint="eastAsia" w:ascii="宋体" w:hAnsi="宋体"/>
          <w:szCs w:val="21"/>
        </w:rPr>
        <w:t>第一章  总则</w:t>
      </w:r>
    </w:p>
    <w:p>
      <w:pPr>
        <w:ind w:left="630" w:leftChars="300" w:firstLine="411" w:firstLineChars="196"/>
        <w:rPr>
          <w:rFonts w:ascii="宋体" w:hAnsi="宋体"/>
          <w:szCs w:val="21"/>
        </w:rPr>
      </w:pPr>
      <w:r>
        <w:rPr>
          <w:rFonts w:hint="eastAsia" w:ascii="宋体" w:hAnsi="宋体"/>
          <w:szCs w:val="21"/>
        </w:rPr>
        <w:t>第二章  招标文件</w:t>
      </w:r>
    </w:p>
    <w:p>
      <w:pPr>
        <w:ind w:left="630" w:leftChars="300" w:firstLine="411" w:firstLineChars="196"/>
        <w:rPr>
          <w:rFonts w:ascii="宋体" w:hAnsi="宋体"/>
          <w:szCs w:val="21"/>
        </w:rPr>
      </w:pPr>
      <w:r>
        <w:rPr>
          <w:rFonts w:hint="eastAsia" w:ascii="宋体" w:hAnsi="宋体"/>
          <w:szCs w:val="21"/>
        </w:rPr>
        <w:t>第三章  投标文件的编制</w:t>
      </w:r>
    </w:p>
    <w:p>
      <w:pPr>
        <w:ind w:left="630" w:leftChars="300" w:firstLine="411" w:firstLineChars="196"/>
        <w:rPr>
          <w:rFonts w:ascii="宋体" w:hAnsi="宋体"/>
          <w:szCs w:val="21"/>
        </w:rPr>
      </w:pPr>
      <w:r>
        <w:rPr>
          <w:rFonts w:hint="eastAsia" w:ascii="宋体" w:hAnsi="宋体"/>
          <w:szCs w:val="21"/>
        </w:rPr>
        <w:t>第四章  投标文件的递交</w:t>
      </w:r>
    </w:p>
    <w:p>
      <w:pPr>
        <w:ind w:left="630" w:leftChars="300" w:firstLine="411" w:firstLineChars="196"/>
        <w:rPr>
          <w:rFonts w:ascii="宋体" w:hAnsi="宋体"/>
          <w:szCs w:val="21"/>
        </w:rPr>
      </w:pPr>
      <w:r>
        <w:rPr>
          <w:rFonts w:hint="eastAsia" w:ascii="宋体" w:hAnsi="宋体"/>
          <w:szCs w:val="21"/>
        </w:rPr>
        <w:t>第五章  开标</w:t>
      </w:r>
    </w:p>
    <w:p>
      <w:pPr>
        <w:ind w:left="630" w:leftChars="300" w:firstLine="411" w:firstLineChars="196"/>
        <w:rPr>
          <w:rFonts w:ascii="宋体" w:hAnsi="宋体"/>
          <w:szCs w:val="21"/>
        </w:rPr>
      </w:pPr>
      <w:r>
        <w:rPr>
          <w:rFonts w:hint="eastAsia" w:ascii="宋体" w:hAnsi="宋体"/>
          <w:szCs w:val="21"/>
        </w:rPr>
        <w:t>第六章  评标要求</w:t>
      </w:r>
    </w:p>
    <w:p>
      <w:pPr>
        <w:ind w:left="630" w:leftChars="300" w:firstLine="411" w:firstLineChars="196"/>
        <w:rPr>
          <w:rFonts w:ascii="宋体" w:hAnsi="宋体"/>
          <w:szCs w:val="21"/>
        </w:rPr>
      </w:pPr>
      <w:r>
        <w:rPr>
          <w:rFonts w:hint="eastAsia" w:ascii="宋体" w:hAnsi="宋体"/>
          <w:szCs w:val="21"/>
        </w:rPr>
        <w:t>第七章  评标程序及评标方法</w:t>
      </w:r>
    </w:p>
    <w:p>
      <w:pPr>
        <w:ind w:left="630" w:leftChars="300" w:firstLine="411" w:firstLineChars="196"/>
        <w:rPr>
          <w:rFonts w:ascii="宋体" w:hAnsi="宋体"/>
          <w:szCs w:val="21"/>
        </w:rPr>
      </w:pPr>
      <w:r>
        <w:rPr>
          <w:rFonts w:hint="eastAsia" w:ascii="宋体" w:hAnsi="宋体"/>
          <w:szCs w:val="21"/>
        </w:rPr>
        <w:t>第八章  定标及公示</w:t>
      </w:r>
    </w:p>
    <w:p>
      <w:pPr>
        <w:ind w:left="630" w:leftChars="300" w:firstLine="411" w:firstLineChars="196"/>
        <w:rPr>
          <w:rFonts w:ascii="宋体" w:hAnsi="宋体"/>
          <w:szCs w:val="21"/>
        </w:rPr>
      </w:pPr>
      <w:r>
        <w:rPr>
          <w:rFonts w:hint="eastAsia" w:ascii="宋体" w:hAnsi="宋体"/>
          <w:szCs w:val="21"/>
        </w:rPr>
        <w:t>第九章  公开招标失败的后续处理</w:t>
      </w:r>
    </w:p>
    <w:p>
      <w:pPr>
        <w:ind w:left="630" w:leftChars="300" w:firstLine="411" w:firstLineChars="196"/>
        <w:rPr>
          <w:rFonts w:ascii="宋体" w:hAnsi="宋体"/>
          <w:szCs w:val="21"/>
        </w:rPr>
      </w:pPr>
      <w:r>
        <w:rPr>
          <w:rFonts w:hint="eastAsia" w:ascii="宋体" w:hAnsi="宋体"/>
          <w:szCs w:val="21"/>
        </w:rPr>
        <w:t>第十章  合同的授予与备案</w:t>
      </w:r>
    </w:p>
    <w:p>
      <w:pPr>
        <w:ind w:left="630" w:leftChars="300" w:firstLine="411" w:firstLineChars="196"/>
        <w:rPr>
          <w:rFonts w:ascii="宋体" w:hAnsi="宋体"/>
          <w:szCs w:val="21"/>
        </w:rPr>
      </w:pPr>
      <w:r>
        <w:rPr>
          <w:rFonts w:hint="eastAsia" w:ascii="宋体" w:hAnsi="宋体"/>
          <w:szCs w:val="21"/>
        </w:rPr>
        <w:t>第十一章  质疑处理</w:t>
      </w:r>
    </w:p>
    <w:p>
      <w:pPr>
        <w:rPr>
          <w:rFonts w:ascii="Times New Roman" w:hAnsi="Times New Roman"/>
          <w:sz w:val="24"/>
          <w:szCs w:val="24"/>
        </w:rPr>
      </w:pPr>
    </w:p>
    <w:p>
      <w:pPr>
        <w:rPr>
          <w:rFonts w:ascii="Times New Roman" w:hAnsi="Times New Roman"/>
          <w:b/>
          <w:szCs w:val="24"/>
        </w:rPr>
      </w:pPr>
      <w:r>
        <w:rPr>
          <w:rFonts w:hint="eastAsia" w:ascii="Times New Roman" w:hAnsi="Times New Roman"/>
          <w:b/>
          <w:szCs w:val="24"/>
        </w:rPr>
        <w:t>备注：</w:t>
      </w:r>
    </w:p>
    <w:p>
      <w:pPr>
        <w:ind w:firstLine="420" w:firstLineChars="200"/>
        <w:rPr>
          <w:rFonts w:ascii="Times New Roman" w:hAnsi="Times New Roman"/>
          <w:b/>
          <w:szCs w:val="24"/>
        </w:rPr>
      </w:pPr>
      <w:r>
        <w:rPr>
          <w:rFonts w:hint="eastAsia" w:ascii="宋体" w:hAnsi="宋体"/>
          <w:szCs w:val="21"/>
        </w:rPr>
        <w:t>1.本招标文件分为第一册“专用条款”和第二册“通用条款”。</w:t>
      </w:r>
    </w:p>
    <w:p>
      <w:pPr>
        <w:spacing w:line="360" w:lineRule="auto"/>
        <w:ind w:firstLine="420" w:firstLineChars="200"/>
        <w:jc w:val="left"/>
        <w:rPr>
          <w:rFonts w:ascii="宋体" w:hAnsi="宋体"/>
          <w:szCs w:val="21"/>
        </w:rPr>
      </w:pPr>
      <w:r>
        <w:rPr>
          <w:rFonts w:hint="eastAsia" w:ascii="宋体" w:hAnsi="宋体"/>
          <w:szCs w:val="21"/>
        </w:rPr>
        <w:t>2.“专用条款”是对本次采购项目的具体要求，包含招标公告、招标项目需求、投标文件格式、合同及履约情况反馈格式等内容。</w:t>
      </w:r>
    </w:p>
    <w:p>
      <w:pPr>
        <w:spacing w:line="360" w:lineRule="auto"/>
        <w:ind w:firstLine="420" w:firstLineChars="200"/>
        <w:jc w:val="left"/>
        <w:rPr>
          <w:rFonts w:ascii="宋体" w:hAnsi="宋体"/>
          <w:szCs w:val="21"/>
        </w:rPr>
      </w:pPr>
      <w:r>
        <w:rPr>
          <w:rFonts w:hint="eastAsia" w:ascii="宋体" w:hAnsi="宋体"/>
          <w:szCs w:val="21"/>
        </w:rPr>
        <w:t>3.“通用条款”是适用于政府采购项目的基础性条款，具有普遍性和通用性。</w:t>
      </w:r>
    </w:p>
    <w:p>
      <w:pPr>
        <w:spacing w:line="360" w:lineRule="auto"/>
        <w:ind w:firstLine="420" w:firstLineChars="200"/>
        <w:jc w:val="left"/>
        <w:rPr>
          <w:rFonts w:ascii="宋体" w:hAnsi="宋体"/>
          <w:szCs w:val="21"/>
        </w:rPr>
      </w:pPr>
      <w:r>
        <w:rPr>
          <w:rFonts w:hint="eastAsia" w:ascii="宋体" w:hAnsi="宋体"/>
          <w:szCs w:val="21"/>
        </w:rPr>
        <w:t>4.当出现“专用条款”和“通用条款”表述不一致或有冲突时，以“专用条款”为准。</w:t>
      </w:r>
    </w:p>
    <w:p>
      <w:pPr>
        <w:rPr>
          <w:rFonts w:ascii="宋体" w:hAnsi="宋体"/>
          <w:szCs w:val="21"/>
        </w:rPr>
      </w:pPr>
    </w:p>
    <w:p>
      <w:pPr>
        <w:widowControl/>
        <w:jc w:val="left"/>
        <w:rPr>
          <w:rFonts w:ascii="宋体" w:hAnsi="宋体" w:eastAsia="黑体"/>
          <w:b/>
          <w:bCs/>
          <w:kern w:val="44"/>
          <w:sz w:val="28"/>
          <w:szCs w:val="44"/>
        </w:rPr>
      </w:pPr>
      <w:r>
        <w:rPr>
          <w:rFonts w:ascii="Times New Roman" w:hAnsi="Times New Roman"/>
          <w:szCs w:val="24"/>
        </w:rPr>
        <w:br w:type="page"/>
      </w:r>
    </w:p>
    <w:p>
      <w:pPr>
        <w:keepNext/>
        <w:keepLines/>
        <w:spacing w:before="340" w:after="330" w:line="360" w:lineRule="auto"/>
        <w:jc w:val="center"/>
        <w:outlineLvl w:val="0"/>
        <w:rPr>
          <w:rFonts w:ascii="宋体" w:hAnsi="宋体" w:eastAsia="黑体"/>
          <w:b/>
          <w:bCs/>
          <w:kern w:val="44"/>
          <w:sz w:val="24"/>
          <w:szCs w:val="44"/>
        </w:rPr>
      </w:pPr>
      <w:r>
        <w:rPr>
          <w:rFonts w:hint="eastAsia" w:ascii="宋体" w:hAnsi="宋体" w:eastAsia="黑体"/>
          <w:b/>
          <w:bCs/>
          <w:kern w:val="44"/>
          <w:sz w:val="28"/>
          <w:szCs w:val="44"/>
        </w:rPr>
        <w:t>第一册  专用条款</w:t>
      </w:r>
    </w:p>
    <w:p>
      <w:pPr>
        <w:keepNext/>
        <w:keepLines/>
        <w:adjustRightInd w:val="0"/>
        <w:spacing w:before="260" w:after="260"/>
        <w:jc w:val="center"/>
        <w:textAlignment w:val="baseline"/>
        <w:outlineLvl w:val="1"/>
        <w:rPr>
          <w:rFonts w:ascii="宋体" w:hAnsi="宋体"/>
          <w:b/>
          <w:bCs/>
          <w:kern w:val="0"/>
          <w:sz w:val="24"/>
          <w:szCs w:val="20"/>
        </w:rPr>
      </w:pPr>
      <w:r>
        <w:rPr>
          <w:rFonts w:hint="eastAsia" w:ascii="宋体" w:hAnsi="宋体"/>
          <w:b/>
          <w:bCs/>
          <w:kern w:val="0"/>
          <w:sz w:val="24"/>
          <w:szCs w:val="20"/>
        </w:rPr>
        <w:t>第一章  招标公告</w:t>
      </w:r>
    </w:p>
    <w:p>
      <w:pPr>
        <w:spacing w:line="400" w:lineRule="exact"/>
        <w:rPr>
          <w:rFonts w:ascii="宋体" w:hAnsi="宋体"/>
          <w:vanish/>
          <w:szCs w:val="21"/>
        </w:rPr>
      </w:pPr>
    </w:p>
    <w:p>
      <w:pPr>
        <w:widowControl/>
        <w:spacing w:line="360" w:lineRule="auto"/>
        <w:rPr>
          <w:rFonts w:ascii="宋体" w:hAnsi="宋体"/>
          <w:szCs w:val="24"/>
        </w:rPr>
      </w:pPr>
      <w:bookmarkStart w:id="0" w:name="OLE_LINK1"/>
      <w:bookmarkStart w:id="1" w:name="OLE_LINK2"/>
      <w:r>
        <w:rPr>
          <w:rFonts w:ascii="宋体" w:hAnsi="宋体"/>
          <w:szCs w:val="24"/>
        </w:rPr>
        <w:t>项目概况</w:t>
      </w:r>
      <w:r>
        <w:rPr>
          <w:rFonts w:hint="eastAsia" w:ascii="宋体" w:hAnsi="宋体"/>
          <w:szCs w:val="24"/>
        </w:rPr>
        <w:t>:</w:t>
      </w:r>
    </w:p>
    <w:p>
      <w:pPr>
        <w:widowControl/>
        <w:spacing w:line="360" w:lineRule="auto"/>
        <w:ind w:firstLine="424" w:firstLineChars="202"/>
        <w:rPr>
          <w:rFonts w:ascii="宋体" w:hAnsi="宋体"/>
          <w:szCs w:val="24"/>
        </w:rPr>
      </w:pPr>
      <w:r>
        <w:rPr>
          <w:rFonts w:hint="eastAsia" w:asciiTheme="minorEastAsia" w:hAnsiTheme="minorEastAsia" w:eastAsiaTheme="minorEastAsia"/>
          <w:szCs w:val="24"/>
          <w:lang w:eastAsia="zh-CN"/>
        </w:rPr>
        <w:t>2022年深圳市菜篮子基地工作（基地监测）（</w:t>
      </w:r>
      <w:r>
        <w:rPr>
          <w:rFonts w:hint="eastAsia" w:asciiTheme="minorEastAsia" w:hAnsiTheme="minorEastAsia" w:eastAsiaTheme="minorEastAsia"/>
          <w:szCs w:val="24"/>
          <w:lang w:val="en-US" w:eastAsia="zh-CN"/>
        </w:rPr>
        <w:t>重新招标</w:t>
      </w:r>
      <w:r>
        <w:rPr>
          <w:rFonts w:hint="eastAsia" w:asciiTheme="minorEastAsia" w:hAnsiTheme="minorEastAsia" w:eastAsiaTheme="minorEastAsia"/>
          <w:szCs w:val="24"/>
          <w:lang w:eastAsia="zh-CN"/>
        </w:rPr>
        <w:t>）</w:t>
      </w:r>
      <w:r>
        <w:rPr>
          <w:rFonts w:hint="eastAsia" w:asciiTheme="minorEastAsia" w:hAnsiTheme="minorEastAsia" w:eastAsiaTheme="minorEastAsia"/>
          <w:szCs w:val="24"/>
        </w:rPr>
        <w:t>项目</w:t>
      </w:r>
      <w:r>
        <w:rPr>
          <w:rFonts w:ascii="宋体" w:hAnsi="宋体"/>
          <w:szCs w:val="24"/>
        </w:rPr>
        <w:t xml:space="preserve">的潜在投标人应在（本公告附件中）获取招标文件，并于 </w:t>
      </w:r>
      <w:r>
        <w:rPr>
          <w:rFonts w:hint="eastAsia" w:ascii="宋体" w:hAnsi="宋体"/>
          <w:b/>
          <w:szCs w:val="24"/>
          <w:u w:val="single"/>
          <w:lang w:eastAsia="zh-CN"/>
        </w:rPr>
        <w:t>2022年5月</w:t>
      </w:r>
      <w:r>
        <w:rPr>
          <w:rFonts w:hint="eastAsia" w:ascii="宋体" w:hAnsi="宋体"/>
          <w:b/>
          <w:szCs w:val="24"/>
          <w:u w:val="single"/>
          <w:lang w:val="en-US" w:eastAsia="zh-CN"/>
        </w:rPr>
        <w:t>24</w:t>
      </w:r>
      <w:r>
        <w:rPr>
          <w:rFonts w:hint="eastAsia" w:ascii="宋体" w:hAnsi="宋体"/>
          <w:b/>
          <w:szCs w:val="24"/>
          <w:u w:val="single"/>
          <w:lang w:eastAsia="zh-CN"/>
        </w:rPr>
        <w:t>日09:00</w:t>
      </w:r>
      <w:r>
        <w:rPr>
          <w:rFonts w:ascii="宋体" w:hAnsi="宋体"/>
          <w:b/>
          <w:szCs w:val="24"/>
          <w:u w:val="single"/>
        </w:rPr>
        <w:t>（北京时间）</w:t>
      </w:r>
      <w:r>
        <w:rPr>
          <w:rFonts w:ascii="宋体" w:hAnsi="宋体"/>
          <w:szCs w:val="24"/>
        </w:rPr>
        <w:t xml:space="preserve">前递交投标文件。 </w:t>
      </w:r>
    </w:p>
    <w:p>
      <w:pPr>
        <w:widowControl/>
        <w:spacing w:line="360" w:lineRule="auto"/>
        <w:rPr>
          <w:rFonts w:ascii="宋体" w:hAnsi="宋体"/>
          <w:szCs w:val="24"/>
        </w:rPr>
      </w:pPr>
    </w:p>
    <w:p>
      <w:pPr>
        <w:widowControl/>
        <w:spacing w:line="360" w:lineRule="auto"/>
        <w:rPr>
          <w:rFonts w:ascii="宋体" w:hAnsi="宋体"/>
          <w:szCs w:val="24"/>
        </w:rPr>
      </w:pPr>
      <w:r>
        <w:rPr>
          <w:rFonts w:ascii="宋体" w:hAnsi="宋体"/>
          <w:szCs w:val="24"/>
        </w:rPr>
        <w:t>一、项目基本情况</w:t>
      </w:r>
    </w:p>
    <w:p>
      <w:pPr>
        <w:widowControl/>
        <w:spacing w:line="360" w:lineRule="auto"/>
        <w:ind w:firstLine="424" w:firstLineChars="202"/>
        <w:rPr>
          <w:rFonts w:hint="eastAsia" w:ascii="宋体" w:hAnsi="宋体" w:eastAsia="宋体"/>
          <w:szCs w:val="21"/>
          <w:lang w:eastAsia="zh-CN"/>
        </w:rPr>
      </w:pPr>
      <w:r>
        <w:rPr>
          <w:rFonts w:ascii="宋体" w:hAnsi="宋体"/>
          <w:szCs w:val="21"/>
        </w:rPr>
        <w:t>1</w:t>
      </w:r>
      <w:r>
        <w:rPr>
          <w:rFonts w:hint="eastAsia" w:ascii="宋体" w:hAnsi="宋体"/>
          <w:szCs w:val="21"/>
        </w:rPr>
        <w:t>、</w:t>
      </w:r>
      <w:r>
        <w:rPr>
          <w:rFonts w:ascii="宋体" w:hAnsi="宋体"/>
          <w:szCs w:val="21"/>
        </w:rPr>
        <w:t>项目编号：</w:t>
      </w:r>
      <w:r>
        <w:rPr>
          <w:rFonts w:hint="eastAsia" w:ascii="宋体" w:hAnsi="宋体"/>
          <w:szCs w:val="21"/>
          <w:lang w:eastAsia="zh-CN"/>
        </w:rPr>
        <w:t>SZDL2022000716</w:t>
      </w:r>
    </w:p>
    <w:p>
      <w:pPr>
        <w:widowControl/>
        <w:spacing w:line="360" w:lineRule="auto"/>
        <w:ind w:firstLine="424" w:firstLineChars="202"/>
        <w:rPr>
          <w:rFonts w:hint="eastAsia" w:ascii="宋体" w:hAnsi="宋体" w:eastAsia="宋体"/>
          <w:szCs w:val="21"/>
          <w:lang w:eastAsia="zh-CN"/>
        </w:rPr>
      </w:pPr>
      <w:r>
        <w:rPr>
          <w:rFonts w:ascii="宋体" w:hAnsi="宋体"/>
          <w:szCs w:val="21"/>
        </w:rPr>
        <w:t>2</w:t>
      </w:r>
      <w:r>
        <w:rPr>
          <w:rFonts w:hint="eastAsia" w:ascii="宋体" w:hAnsi="宋体"/>
          <w:szCs w:val="21"/>
        </w:rPr>
        <w:t>、</w:t>
      </w:r>
      <w:r>
        <w:rPr>
          <w:rFonts w:ascii="宋体" w:hAnsi="宋体"/>
          <w:szCs w:val="21"/>
        </w:rPr>
        <w:t>项目名称：</w:t>
      </w:r>
      <w:r>
        <w:rPr>
          <w:rFonts w:hint="eastAsia" w:ascii="宋体" w:hAnsi="宋体"/>
          <w:szCs w:val="21"/>
          <w:lang w:eastAsia="zh-CN"/>
        </w:rPr>
        <w:t>2022年深圳市菜篮子基地工作（基地监测）</w:t>
      </w:r>
    </w:p>
    <w:p>
      <w:pPr>
        <w:widowControl/>
        <w:spacing w:line="360" w:lineRule="auto"/>
        <w:ind w:firstLine="424" w:firstLineChars="202"/>
        <w:rPr>
          <w:rFonts w:ascii="宋体" w:hAnsi="宋体"/>
          <w:szCs w:val="21"/>
        </w:rPr>
      </w:pPr>
      <w:r>
        <w:rPr>
          <w:rFonts w:ascii="宋体" w:hAnsi="宋体"/>
          <w:szCs w:val="21"/>
        </w:rPr>
        <w:t>3</w:t>
      </w:r>
      <w:r>
        <w:rPr>
          <w:rFonts w:hint="eastAsia" w:ascii="宋体" w:hAnsi="宋体"/>
          <w:szCs w:val="21"/>
        </w:rPr>
        <w:t>、</w:t>
      </w:r>
      <w:r>
        <w:rPr>
          <w:rFonts w:ascii="宋体" w:hAnsi="宋体"/>
          <w:szCs w:val="21"/>
        </w:rPr>
        <w:t>预算金额：</w:t>
      </w:r>
      <w:r>
        <w:rPr>
          <w:rFonts w:hint="eastAsia" w:ascii="宋体" w:hAnsi="宋体"/>
          <w:szCs w:val="21"/>
        </w:rPr>
        <w:t>人民币</w:t>
      </w:r>
      <w:r>
        <w:rPr>
          <w:rFonts w:hint="eastAsia" w:ascii="宋体" w:hAnsi="宋体"/>
          <w:szCs w:val="21"/>
          <w:lang w:eastAsia="zh-CN"/>
        </w:rPr>
        <w:t>2,464,000.00</w:t>
      </w:r>
      <w:r>
        <w:rPr>
          <w:rFonts w:ascii="宋体" w:hAnsi="宋体"/>
          <w:szCs w:val="21"/>
        </w:rPr>
        <w:t>元</w:t>
      </w:r>
    </w:p>
    <w:p>
      <w:pPr>
        <w:widowControl/>
        <w:spacing w:line="360" w:lineRule="auto"/>
        <w:ind w:firstLine="424" w:firstLineChars="202"/>
        <w:rPr>
          <w:rFonts w:ascii="宋体" w:hAnsi="宋体"/>
          <w:szCs w:val="21"/>
        </w:rPr>
      </w:pPr>
      <w:r>
        <w:rPr>
          <w:rFonts w:ascii="宋体" w:hAnsi="宋体"/>
          <w:szCs w:val="21"/>
        </w:rPr>
        <w:t>4</w:t>
      </w:r>
      <w:r>
        <w:rPr>
          <w:rFonts w:hint="eastAsia" w:ascii="宋体" w:hAnsi="宋体"/>
          <w:szCs w:val="21"/>
        </w:rPr>
        <w:t>、</w:t>
      </w:r>
      <w:r>
        <w:rPr>
          <w:rFonts w:ascii="宋体" w:hAnsi="宋体"/>
          <w:szCs w:val="21"/>
        </w:rPr>
        <w:t>最高限价：</w:t>
      </w:r>
      <w:r>
        <w:rPr>
          <w:rFonts w:hint="eastAsia" w:ascii="宋体" w:hAnsi="宋体"/>
          <w:szCs w:val="21"/>
        </w:rPr>
        <w:t>人民币</w:t>
      </w:r>
      <w:r>
        <w:rPr>
          <w:rFonts w:hint="eastAsia" w:ascii="宋体" w:hAnsi="宋体"/>
          <w:szCs w:val="21"/>
          <w:lang w:eastAsia="zh-CN"/>
        </w:rPr>
        <w:t>2,464,000.00</w:t>
      </w:r>
      <w:r>
        <w:rPr>
          <w:rFonts w:ascii="宋体" w:hAnsi="宋体"/>
          <w:szCs w:val="21"/>
        </w:rPr>
        <w:t>元</w:t>
      </w:r>
    </w:p>
    <w:p>
      <w:pPr>
        <w:widowControl/>
        <w:spacing w:line="360" w:lineRule="auto"/>
        <w:ind w:firstLine="424" w:firstLineChars="202"/>
        <w:rPr>
          <w:rFonts w:ascii="宋体" w:hAnsi="宋体"/>
          <w:szCs w:val="21"/>
        </w:rPr>
      </w:pPr>
      <w:r>
        <w:rPr>
          <w:rFonts w:ascii="宋体" w:hAnsi="宋体"/>
          <w:szCs w:val="21"/>
        </w:rPr>
        <w:t>5</w:t>
      </w:r>
      <w:r>
        <w:rPr>
          <w:rFonts w:hint="eastAsia" w:ascii="宋体" w:hAnsi="宋体"/>
          <w:szCs w:val="21"/>
        </w:rPr>
        <w:t>、</w:t>
      </w:r>
      <w:r>
        <w:rPr>
          <w:rFonts w:ascii="宋体" w:hAnsi="宋体"/>
          <w:szCs w:val="21"/>
        </w:rPr>
        <w:t>采购需求：</w:t>
      </w:r>
    </w:p>
    <w:tbl>
      <w:tblPr>
        <w:tblStyle w:val="42"/>
        <w:tblW w:w="9214" w:type="dxa"/>
        <w:tblInd w:w="60" w:type="dxa"/>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Layout w:type="autofit"/>
        <w:tblCellMar>
          <w:top w:w="60" w:type="dxa"/>
          <w:left w:w="60" w:type="dxa"/>
          <w:bottom w:w="60" w:type="dxa"/>
          <w:right w:w="60" w:type="dxa"/>
        </w:tblCellMar>
      </w:tblPr>
      <w:tblGrid>
        <w:gridCol w:w="3261"/>
        <w:gridCol w:w="850"/>
        <w:gridCol w:w="992"/>
        <w:gridCol w:w="2694"/>
        <w:gridCol w:w="1417"/>
      </w:tblGrid>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CellMar>
            <w:top w:w="60" w:type="dxa"/>
            <w:left w:w="60" w:type="dxa"/>
            <w:bottom w:w="60" w:type="dxa"/>
            <w:right w:w="60" w:type="dxa"/>
          </w:tblCellMar>
        </w:tblPrEx>
        <w:trPr>
          <w:trHeight w:val="462" w:hRule="atLeast"/>
        </w:trPr>
        <w:tc>
          <w:tcPr>
            <w:tcW w:w="3261" w:type="dxa"/>
            <w:tcBorders>
              <w:top w:val="outset" w:color="AAAAAA" w:sz="6" w:space="0"/>
              <w:left w:val="outset" w:color="AAAAAA" w:sz="6" w:space="0"/>
              <w:bottom w:val="outset" w:color="AAAAAA" w:sz="6" w:space="0"/>
              <w:right w:val="outset" w:color="AAAAAA" w:sz="6" w:space="0"/>
            </w:tcBorders>
            <w:shd w:val="clear" w:color="auto" w:fill="ABCDEF"/>
            <w:vAlign w:val="center"/>
          </w:tcPr>
          <w:p>
            <w:pPr>
              <w:widowControl/>
              <w:spacing w:line="360" w:lineRule="auto"/>
              <w:jc w:val="center"/>
              <w:rPr>
                <w:rFonts w:ascii="宋体" w:hAnsi="宋体"/>
                <w:szCs w:val="24"/>
              </w:rPr>
            </w:pPr>
            <w:r>
              <w:rPr>
                <w:rFonts w:ascii="宋体" w:hAnsi="宋体"/>
                <w:szCs w:val="24"/>
              </w:rPr>
              <w:t>标的名称</w:t>
            </w:r>
          </w:p>
        </w:tc>
        <w:tc>
          <w:tcPr>
            <w:tcW w:w="850" w:type="dxa"/>
            <w:tcBorders>
              <w:top w:val="outset" w:color="AAAAAA" w:sz="6" w:space="0"/>
              <w:left w:val="outset" w:color="AAAAAA" w:sz="6" w:space="0"/>
              <w:bottom w:val="outset" w:color="AAAAAA" w:sz="6" w:space="0"/>
              <w:right w:val="outset" w:color="AAAAAA" w:sz="6" w:space="0"/>
            </w:tcBorders>
            <w:shd w:val="clear" w:color="auto" w:fill="ABCDEF"/>
            <w:vAlign w:val="center"/>
          </w:tcPr>
          <w:p>
            <w:pPr>
              <w:widowControl/>
              <w:spacing w:line="360" w:lineRule="auto"/>
              <w:jc w:val="center"/>
              <w:rPr>
                <w:rFonts w:ascii="宋体" w:hAnsi="宋体"/>
                <w:szCs w:val="24"/>
              </w:rPr>
            </w:pPr>
            <w:r>
              <w:rPr>
                <w:rFonts w:ascii="宋体" w:hAnsi="宋体"/>
                <w:szCs w:val="24"/>
              </w:rPr>
              <w:t>数量</w:t>
            </w:r>
          </w:p>
        </w:tc>
        <w:tc>
          <w:tcPr>
            <w:tcW w:w="992" w:type="dxa"/>
            <w:tcBorders>
              <w:top w:val="outset" w:color="AAAAAA" w:sz="6" w:space="0"/>
              <w:left w:val="outset" w:color="AAAAAA" w:sz="6" w:space="0"/>
              <w:bottom w:val="outset" w:color="AAAAAA" w:sz="6" w:space="0"/>
              <w:right w:val="outset" w:color="AAAAAA" w:sz="6" w:space="0"/>
            </w:tcBorders>
            <w:shd w:val="clear" w:color="auto" w:fill="ABCDEF"/>
            <w:vAlign w:val="center"/>
          </w:tcPr>
          <w:p>
            <w:pPr>
              <w:widowControl/>
              <w:spacing w:line="360" w:lineRule="auto"/>
              <w:jc w:val="center"/>
              <w:rPr>
                <w:rFonts w:ascii="宋体" w:hAnsi="宋体"/>
                <w:szCs w:val="24"/>
              </w:rPr>
            </w:pPr>
            <w:r>
              <w:rPr>
                <w:rFonts w:ascii="宋体" w:hAnsi="宋体"/>
                <w:szCs w:val="24"/>
              </w:rPr>
              <w:t>单位</w:t>
            </w:r>
          </w:p>
        </w:tc>
        <w:tc>
          <w:tcPr>
            <w:tcW w:w="2694" w:type="dxa"/>
            <w:tcBorders>
              <w:top w:val="outset" w:color="AAAAAA" w:sz="6" w:space="0"/>
              <w:left w:val="outset" w:color="AAAAAA" w:sz="6" w:space="0"/>
              <w:bottom w:val="outset" w:color="AAAAAA" w:sz="6" w:space="0"/>
              <w:right w:val="outset" w:color="AAAAAA" w:sz="6" w:space="0"/>
            </w:tcBorders>
            <w:shd w:val="clear" w:color="auto" w:fill="ABCDEF"/>
            <w:vAlign w:val="center"/>
          </w:tcPr>
          <w:p>
            <w:pPr>
              <w:widowControl/>
              <w:spacing w:line="360" w:lineRule="auto"/>
              <w:jc w:val="center"/>
              <w:rPr>
                <w:rFonts w:ascii="宋体" w:hAnsi="宋体"/>
                <w:szCs w:val="24"/>
              </w:rPr>
            </w:pPr>
            <w:r>
              <w:rPr>
                <w:rFonts w:hint="eastAsia" w:ascii="宋体" w:hAnsi="宋体"/>
                <w:szCs w:val="24"/>
              </w:rPr>
              <w:t>简要技术需求或服务要求</w:t>
            </w:r>
          </w:p>
        </w:tc>
        <w:tc>
          <w:tcPr>
            <w:tcW w:w="1417" w:type="dxa"/>
            <w:tcBorders>
              <w:top w:val="outset" w:color="AAAAAA" w:sz="6" w:space="0"/>
              <w:left w:val="outset" w:color="AAAAAA" w:sz="6" w:space="0"/>
              <w:bottom w:val="outset" w:color="AAAAAA" w:sz="6" w:space="0"/>
              <w:right w:val="outset" w:color="AAAAAA" w:sz="6" w:space="0"/>
            </w:tcBorders>
            <w:shd w:val="clear" w:color="auto" w:fill="ABCDEF"/>
            <w:vAlign w:val="center"/>
          </w:tcPr>
          <w:p>
            <w:pPr>
              <w:widowControl/>
              <w:spacing w:line="360" w:lineRule="auto"/>
              <w:jc w:val="center"/>
              <w:rPr>
                <w:rFonts w:ascii="宋体" w:hAnsi="宋体"/>
                <w:szCs w:val="24"/>
              </w:rPr>
            </w:pPr>
            <w:r>
              <w:rPr>
                <w:rFonts w:ascii="宋体" w:hAnsi="宋体"/>
                <w:szCs w:val="24"/>
              </w:rPr>
              <w:t>备注</w:t>
            </w:r>
          </w:p>
        </w:tc>
      </w:tr>
      <w:tr>
        <w:tblPrEx>
          <w:tblBorders>
            <w:top w:val="outset" w:color="AAAAAA" w:sz="6" w:space="0"/>
            <w:left w:val="outset" w:color="AAAAAA" w:sz="6" w:space="0"/>
            <w:bottom w:val="outset" w:color="AAAAAA" w:sz="6" w:space="0"/>
            <w:right w:val="outset" w:color="AAAAAA" w:sz="6" w:space="0"/>
            <w:insideH w:val="outset" w:color="AAAAAA" w:sz="6" w:space="0"/>
            <w:insideV w:val="outset" w:color="AAAAAA" w:sz="6" w:space="0"/>
          </w:tblBorders>
          <w:tblCellMar>
            <w:top w:w="60" w:type="dxa"/>
            <w:left w:w="60" w:type="dxa"/>
            <w:bottom w:w="60" w:type="dxa"/>
            <w:right w:w="60" w:type="dxa"/>
          </w:tblCellMar>
        </w:tblPrEx>
        <w:trPr>
          <w:trHeight w:val="462" w:hRule="atLeast"/>
        </w:trPr>
        <w:tc>
          <w:tcPr>
            <w:tcW w:w="3261" w:type="dxa"/>
            <w:tcBorders>
              <w:top w:val="outset" w:color="AAAAAA" w:sz="6" w:space="0"/>
              <w:left w:val="outset" w:color="AAAAAA" w:sz="6" w:space="0"/>
              <w:bottom w:val="outset" w:color="AAAAAA" w:sz="6" w:space="0"/>
              <w:right w:val="outset" w:color="AAAAAA" w:sz="6" w:space="0"/>
            </w:tcBorders>
            <w:shd w:val="clear" w:color="auto" w:fill="auto"/>
            <w:vAlign w:val="center"/>
          </w:tcPr>
          <w:p>
            <w:pPr>
              <w:widowControl/>
              <w:spacing w:line="360" w:lineRule="auto"/>
              <w:jc w:val="center"/>
              <w:rPr>
                <w:rFonts w:hint="eastAsia" w:ascii="宋体" w:hAnsi="宋体" w:eastAsia="宋体"/>
                <w:szCs w:val="24"/>
                <w:lang w:eastAsia="zh-CN"/>
              </w:rPr>
            </w:pPr>
            <w:r>
              <w:rPr>
                <w:rFonts w:hint="eastAsia" w:ascii="宋体" w:hAnsi="宋体"/>
                <w:szCs w:val="24"/>
                <w:lang w:eastAsia="zh-CN"/>
              </w:rPr>
              <w:t>2022年深圳市菜篮子基地工作（基地监测）</w:t>
            </w:r>
          </w:p>
        </w:tc>
        <w:tc>
          <w:tcPr>
            <w:tcW w:w="850" w:type="dxa"/>
            <w:tcBorders>
              <w:top w:val="outset" w:color="AAAAAA" w:sz="6" w:space="0"/>
              <w:left w:val="outset" w:color="AAAAAA" w:sz="6" w:space="0"/>
              <w:bottom w:val="outset" w:color="AAAAAA" w:sz="6" w:space="0"/>
              <w:right w:val="outset" w:color="AAAAAA" w:sz="6" w:space="0"/>
            </w:tcBorders>
            <w:shd w:val="clear" w:color="auto" w:fill="auto"/>
            <w:vAlign w:val="center"/>
          </w:tcPr>
          <w:p>
            <w:pPr>
              <w:spacing w:line="360" w:lineRule="auto"/>
              <w:jc w:val="center"/>
              <w:rPr>
                <w:rFonts w:ascii="Times New Roman" w:hAnsi="Times New Roman"/>
                <w:szCs w:val="24"/>
              </w:rPr>
            </w:pPr>
            <w:r>
              <w:rPr>
                <w:rFonts w:hint="eastAsia" w:ascii="Times New Roman" w:hAnsi="Times New Roman"/>
                <w:szCs w:val="24"/>
              </w:rPr>
              <w:t>1</w:t>
            </w:r>
          </w:p>
        </w:tc>
        <w:tc>
          <w:tcPr>
            <w:tcW w:w="992" w:type="dxa"/>
            <w:tcBorders>
              <w:top w:val="outset" w:color="AAAAAA" w:sz="6" w:space="0"/>
              <w:left w:val="outset" w:color="AAAAAA" w:sz="6" w:space="0"/>
              <w:bottom w:val="outset" w:color="AAAAAA" w:sz="6" w:space="0"/>
              <w:right w:val="outset" w:color="AAAAAA" w:sz="6" w:space="0"/>
            </w:tcBorders>
            <w:shd w:val="clear" w:color="auto" w:fill="auto"/>
            <w:vAlign w:val="center"/>
          </w:tcPr>
          <w:p>
            <w:pPr>
              <w:spacing w:line="360" w:lineRule="auto"/>
              <w:jc w:val="center"/>
              <w:rPr>
                <w:rFonts w:ascii="Times New Roman" w:hAnsi="Times New Roman"/>
                <w:szCs w:val="24"/>
              </w:rPr>
            </w:pPr>
            <w:r>
              <w:rPr>
                <w:rFonts w:hint="eastAsia" w:ascii="Times New Roman" w:hAnsi="Times New Roman"/>
                <w:szCs w:val="24"/>
              </w:rPr>
              <w:t>项</w:t>
            </w:r>
          </w:p>
        </w:tc>
        <w:tc>
          <w:tcPr>
            <w:tcW w:w="2694" w:type="dxa"/>
            <w:tcBorders>
              <w:top w:val="outset" w:color="AAAAAA" w:sz="6" w:space="0"/>
              <w:left w:val="outset" w:color="AAAAAA" w:sz="6" w:space="0"/>
              <w:bottom w:val="outset" w:color="AAAAAA" w:sz="6" w:space="0"/>
              <w:right w:val="outset" w:color="AAAAAA" w:sz="6" w:space="0"/>
            </w:tcBorders>
            <w:shd w:val="clear" w:color="auto" w:fill="auto"/>
            <w:vAlign w:val="center"/>
          </w:tcPr>
          <w:p>
            <w:pPr>
              <w:spacing w:line="360" w:lineRule="auto"/>
              <w:jc w:val="center"/>
              <w:rPr>
                <w:rFonts w:ascii="Times New Roman" w:hAnsi="Times New Roman"/>
                <w:szCs w:val="24"/>
              </w:rPr>
            </w:pPr>
            <w:r>
              <w:rPr>
                <w:rFonts w:hint="eastAsia" w:ascii="Times New Roman" w:hAnsi="Times New Roman"/>
                <w:szCs w:val="24"/>
              </w:rPr>
              <w:t>详见招标文件</w:t>
            </w:r>
          </w:p>
        </w:tc>
        <w:tc>
          <w:tcPr>
            <w:tcW w:w="1417" w:type="dxa"/>
            <w:tcBorders>
              <w:top w:val="outset" w:color="AAAAAA" w:sz="6" w:space="0"/>
              <w:left w:val="outset" w:color="AAAAAA" w:sz="6" w:space="0"/>
              <w:bottom w:val="outset" w:color="AAAAAA" w:sz="6" w:space="0"/>
              <w:right w:val="outset" w:color="AAAAAA" w:sz="6" w:space="0"/>
            </w:tcBorders>
            <w:shd w:val="clear" w:color="auto" w:fill="auto"/>
            <w:vAlign w:val="center"/>
          </w:tcPr>
          <w:p>
            <w:pPr>
              <w:widowControl/>
              <w:spacing w:line="360" w:lineRule="auto"/>
              <w:jc w:val="center"/>
              <w:rPr>
                <w:rFonts w:ascii="宋体" w:hAnsi="宋体"/>
                <w:szCs w:val="24"/>
              </w:rPr>
            </w:pPr>
            <w:r>
              <w:rPr>
                <w:rFonts w:hint="eastAsia" w:ascii="宋体" w:hAnsi="宋体"/>
                <w:szCs w:val="24"/>
              </w:rPr>
              <w:t>无</w:t>
            </w:r>
          </w:p>
        </w:tc>
      </w:tr>
    </w:tbl>
    <w:p>
      <w:pPr>
        <w:widowControl/>
        <w:spacing w:line="360" w:lineRule="auto"/>
        <w:ind w:firstLine="424" w:firstLineChars="202"/>
        <w:rPr>
          <w:rFonts w:ascii="宋体" w:hAnsi="宋体"/>
          <w:szCs w:val="21"/>
        </w:rPr>
      </w:pPr>
      <w:r>
        <w:rPr>
          <w:rFonts w:ascii="宋体" w:hAnsi="宋体"/>
          <w:szCs w:val="21"/>
        </w:rPr>
        <w:t>6</w:t>
      </w:r>
      <w:r>
        <w:rPr>
          <w:rFonts w:hint="eastAsia" w:ascii="宋体" w:hAnsi="宋体"/>
          <w:szCs w:val="21"/>
        </w:rPr>
        <w:t>、</w:t>
      </w:r>
      <w:r>
        <w:rPr>
          <w:rFonts w:ascii="宋体" w:hAnsi="宋体"/>
          <w:szCs w:val="21"/>
        </w:rPr>
        <w:t>合同履行期限：</w:t>
      </w:r>
      <w:r>
        <w:rPr>
          <w:rFonts w:hint="eastAsia" w:asciiTheme="minorEastAsia" w:hAnsiTheme="minorEastAsia" w:eastAsiaTheme="minorEastAsia"/>
          <w:szCs w:val="21"/>
        </w:rPr>
        <w:t>详见招标文件</w:t>
      </w:r>
    </w:p>
    <w:p>
      <w:pPr>
        <w:widowControl/>
        <w:spacing w:line="360" w:lineRule="auto"/>
        <w:ind w:firstLine="424" w:firstLineChars="202"/>
        <w:rPr>
          <w:rFonts w:ascii="宋体" w:hAnsi="宋体"/>
          <w:szCs w:val="21"/>
        </w:rPr>
      </w:pPr>
      <w:r>
        <w:rPr>
          <w:rFonts w:ascii="宋体" w:hAnsi="宋体"/>
          <w:szCs w:val="21"/>
        </w:rPr>
        <w:t>7</w:t>
      </w:r>
      <w:r>
        <w:rPr>
          <w:rFonts w:hint="eastAsia" w:ascii="宋体" w:hAnsi="宋体"/>
          <w:szCs w:val="21"/>
        </w:rPr>
        <w:t>、本项目（是/否）接受联合体投标：详见“申请人的资格要求”</w:t>
      </w:r>
    </w:p>
    <w:p>
      <w:pPr>
        <w:widowControl/>
        <w:spacing w:line="360" w:lineRule="auto"/>
        <w:rPr>
          <w:rFonts w:ascii="宋体" w:hAnsi="宋体"/>
          <w:szCs w:val="21"/>
        </w:rPr>
      </w:pPr>
    </w:p>
    <w:p>
      <w:pPr>
        <w:widowControl/>
        <w:spacing w:line="360" w:lineRule="auto"/>
        <w:rPr>
          <w:rFonts w:ascii="宋体" w:hAnsi="宋体"/>
          <w:szCs w:val="24"/>
        </w:rPr>
      </w:pPr>
      <w:r>
        <w:rPr>
          <w:rFonts w:ascii="宋体" w:hAnsi="宋体"/>
          <w:szCs w:val="24"/>
        </w:rPr>
        <w:t>二、申请人的资格要求：</w:t>
      </w:r>
    </w:p>
    <w:p>
      <w:pPr>
        <w:spacing w:line="360" w:lineRule="auto"/>
        <w:ind w:firstLine="424" w:firstLineChars="202"/>
        <w:rPr>
          <w:rFonts w:asciiTheme="minorEastAsia" w:hAnsiTheme="minorEastAsia" w:eastAsiaTheme="minorEastAsia"/>
          <w:szCs w:val="24"/>
        </w:rPr>
      </w:pPr>
      <w:r>
        <w:rPr>
          <w:rFonts w:asciiTheme="minorEastAsia" w:hAnsiTheme="minorEastAsia" w:eastAsiaTheme="minorEastAsia"/>
          <w:szCs w:val="24"/>
        </w:rPr>
        <w:t>1</w:t>
      </w:r>
      <w:r>
        <w:rPr>
          <w:rFonts w:hint="eastAsia" w:asciiTheme="minorEastAsia" w:hAnsiTheme="minorEastAsia" w:eastAsiaTheme="minorEastAsia"/>
          <w:szCs w:val="24"/>
        </w:rPr>
        <w:t>、</w:t>
      </w:r>
      <w:r>
        <w:rPr>
          <w:rFonts w:asciiTheme="minorEastAsia" w:hAnsiTheme="minorEastAsia" w:eastAsiaTheme="minorEastAsia"/>
          <w:szCs w:val="24"/>
        </w:rPr>
        <w:t>满足《中华人民共和国政府采购法》第二十二条规定</w:t>
      </w:r>
      <w:r>
        <w:rPr>
          <w:rFonts w:hint="eastAsia" w:asciiTheme="minorEastAsia" w:hAnsiTheme="minorEastAsia" w:eastAsiaTheme="minorEastAsia"/>
          <w:snapToGrid w:val="0"/>
          <w:szCs w:val="24"/>
        </w:rPr>
        <w:t>（须提供具有独立承担民事责任能力的法人或其他组织的营业执照或法人证书等证明材料扫描件以及《</w:t>
      </w:r>
      <w:r>
        <w:rPr>
          <w:rFonts w:hint="eastAsia" w:asciiTheme="minorEastAsia" w:hAnsiTheme="minorEastAsia" w:eastAsiaTheme="minorEastAsia"/>
          <w:szCs w:val="24"/>
        </w:rPr>
        <w:t>政府采购投标及履约承诺函</w:t>
      </w:r>
      <w:r>
        <w:rPr>
          <w:rFonts w:hint="eastAsia" w:asciiTheme="minorEastAsia" w:hAnsiTheme="minorEastAsia" w:eastAsiaTheme="minorEastAsia"/>
          <w:snapToGrid w:val="0"/>
          <w:szCs w:val="24"/>
        </w:rPr>
        <w:t>》），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扫描件，原件备查</w:t>
      </w:r>
      <w:r>
        <w:rPr>
          <w:rFonts w:asciiTheme="minorEastAsia" w:hAnsiTheme="minorEastAsia" w:eastAsiaTheme="minorEastAsia"/>
          <w:szCs w:val="24"/>
        </w:rPr>
        <w:t xml:space="preserve">； </w:t>
      </w:r>
    </w:p>
    <w:p>
      <w:pPr>
        <w:spacing w:line="360" w:lineRule="auto"/>
        <w:ind w:firstLine="424" w:firstLineChars="202"/>
        <w:rPr>
          <w:rFonts w:asciiTheme="minorEastAsia" w:hAnsiTheme="minorEastAsia" w:eastAsiaTheme="minorEastAsia"/>
          <w:szCs w:val="24"/>
        </w:rPr>
      </w:pPr>
      <w:r>
        <w:rPr>
          <w:rFonts w:asciiTheme="minorEastAsia" w:hAnsiTheme="minorEastAsia" w:eastAsiaTheme="minorEastAsia"/>
          <w:szCs w:val="24"/>
        </w:rPr>
        <w:t>2</w:t>
      </w:r>
      <w:r>
        <w:rPr>
          <w:rFonts w:hint="eastAsia" w:asciiTheme="minorEastAsia" w:hAnsiTheme="minorEastAsia" w:eastAsiaTheme="minorEastAsia"/>
          <w:szCs w:val="24"/>
        </w:rPr>
        <w:t>、</w:t>
      </w:r>
      <w:r>
        <w:rPr>
          <w:rFonts w:asciiTheme="minorEastAsia" w:hAnsiTheme="minorEastAsia" w:eastAsiaTheme="minorEastAsia"/>
          <w:szCs w:val="24"/>
        </w:rPr>
        <w:t>落实政府采购政策需满足的资格要求：</w:t>
      </w:r>
      <w:r>
        <w:rPr>
          <w:rFonts w:hint="eastAsia" w:asciiTheme="minorEastAsia" w:hAnsiTheme="minorEastAsia" w:eastAsiaTheme="minorEastAsia"/>
          <w:szCs w:val="24"/>
        </w:rPr>
        <w:t>无</w:t>
      </w:r>
      <w:r>
        <w:rPr>
          <w:rFonts w:asciiTheme="minorEastAsia" w:hAnsiTheme="minorEastAsia" w:eastAsiaTheme="minorEastAsia"/>
          <w:szCs w:val="24"/>
        </w:rPr>
        <w:t xml:space="preserve">； </w:t>
      </w:r>
    </w:p>
    <w:p>
      <w:pPr>
        <w:spacing w:line="360" w:lineRule="auto"/>
        <w:ind w:firstLine="424" w:firstLineChars="202"/>
        <w:rPr>
          <w:rFonts w:asciiTheme="minorEastAsia" w:hAnsiTheme="minorEastAsia" w:eastAsiaTheme="minorEastAsia"/>
          <w:szCs w:val="24"/>
        </w:rPr>
      </w:pPr>
      <w:r>
        <w:rPr>
          <w:rFonts w:asciiTheme="minorEastAsia" w:hAnsiTheme="minorEastAsia" w:eastAsiaTheme="minorEastAsia"/>
          <w:szCs w:val="24"/>
        </w:rPr>
        <w:t>3</w:t>
      </w:r>
      <w:r>
        <w:rPr>
          <w:rFonts w:hint="eastAsia" w:asciiTheme="minorEastAsia" w:hAnsiTheme="minorEastAsia" w:eastAsiaTheme="minorEastAsia"/>
          <w:szCs w:val="24"/>
        </w:rPr>
        <w:t>、</w:t>
      </w:r>
      <w:r>
        <w:rPr>
          <w:rFonts w:asciiTheme="minorEastAsia" w:hAnsiTheme="minorEastAsia" w:eastAsiaTheme="minorEastAsia"/>
          <w:szCs w:val="24"/>
        </w:rPr>
        <w:t>本项目的特定资格要求：</w:t>
      </w:r>
    </w:p>
    <w:p>
      <w:pPr>
        <w:spacing w:line="360" w:lineRule="auto"/>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（1）</w:t>
      </w:r>
      <w:r>
        <w:rPr>
          <w:rFonts w:hint="eastAsia" w:asciiTheme="minorEastAsia" w:hAnsiTheme="minorEastAsia" w:eastAsiaTheme="minorEastAsia"/>
          <w:snapToGrid w:val="0"/>
          <w:szCs w:val="24"/>
        </w:rPr>
        <w:t>参与本项目投标前三年内，在经营活动中没有重大违法记录</w:t>
      </w:r>
      <w:r>
        <w:rPr>
          <w:rFonts w:hint="eastAsia" w:asciiTheme="minorEastAsia" w:hAnsiTheme="minorEastAsia" w:eastAsiaTheme="minorEastAsia"/>
          <w:szCs w:val="24"/>
        </w:rPr>
        <w:t>（由供应商在《政府采购投标及履约承诺函》中作出声明）；</w:t>
      </w:r>
    </w:p>
    <w:p>
      <w:pPr>
        <w:spacing w:line="360" w:lineRule="auto"/>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（2）</w:t>
      </w:r>
      <w:r>
        <w:rPr>
          <w:rFonts w:hint="eastAsia" w:asciiTheme="minorEastAsia" w:hAnsiTheme="minorEastAsia" w:eastAsiaTheme="minorEastAsia"/>
          <w:snapToGrid w:val="0"/>
          <w:szCs w:val="24"/>
        </w:rPr>
        <w:t>参与本项目政府采购活动时不存在被有关部门禁止参与政府采购活动且在有效期内的情况</w:t>
      </w:r>
      <w:r>
        <w:rPr>
          <w:rFonts w:hint="eastAsia" w:asciiTheme="minorEastAsia" w:hAnsiTheme="minorEastAsia" w:eastAsiaTheme="minorEastAsia"/>
          <w:szCs w:val="24"/>
        </w:rPr>
        <w:t>（由供应商在《政府采购投标及履约承诺函》中作出声明）；</w:t>
      </w:r>
    </w:p>
    <w:p>
      <w:pPr>
        <w:spacing w:line="360" w:lineRule="auto"/>
        <w:ind w:firstLine="424" w:firstLineChars="202"/>
        <w:jc w:val="left"/>
        <w:rPr>
          <w:rFonts w:asciiTheme="minorEastAsia" w:hAnsiTheme="minorEastAsia" w:eastAsiaTheme="minorEastAsia"/>
          <w:szCs w:val="24"/>
        </w:rPr>
      </w:pPr>
      <w:r>
        <w:rPr>
          <w:rFonts w:hint="eastAsia" w:asciiTheme="minorEastAsia" w:hAnsiTheme="minorEastAsia" w:eastAsiaTheme="minorEastAsia"/>
          <w:szCs w:val="24"/>
        </w:rPr>
        <w:t>（3）</w:t>
      </w:r>
      <w:r>
        <w:rPr>
          <w:rFonts w:hint="eastAsia" w:asciiTheme="minorEastAsia" w:hAnsiTheme="minorEastAsia" w:eastAsiaTheme="minorEastAsia"/>
          <w:snapToGrid w:val="0"/>
          <w:szCs w:val="24"/>
        </w:rPr>
        <w:t>单位负责人为同一人或者存在直接控股、管理关系的不同供应商，不得参加同一合同项下</w:t>
      </w:r>
      <w:r>
        <w:rPr>
          <w:rFonts w:hint="eastAsia" w:asciiTheme="minorEastAsia" w:hAnsiTheme="minorEastAsia" w:eastAsiaTheme="minorEastAsia"/>
          <w:szCs w:val="24"/>
        </w:rPr>
        <w:t>的政府采购活动（由供应商在《政府采购投标及履约承诺函》中作出声明）；</w:t>
      </w:r>
    </w:p>
    <w:p>
      <w:pPr>
        <w:spacing w:line="360" w:lineRule="auto"/>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（4）</w:t>
      </w:r>
      <w:r>
        <w:rPr>
          <w:rFonts w:hint="eastAsia" w:asciiTheme="minorEastAsia" w:hAnsiTheme="minorEastAsia" w:eastAsiaTheme="minorEastAsia"/>
          <w:snapToGrid w:val="0"/>
          <w:szCs w:val="24"/>
        </w:rPr>
        <w:t>除单一来源采购项目外，为采购项目提供整体设计、规范编制或者项目管理、监理、检测等服务的供应商，不得再参加该采购项目的其他采购活动</w:t>
      </w:r>
      <w:r>
        <w:rPr>
          <w:rFonts w:hint="eastAsia" w:asciiTheme="minorEastAsia" w:hAnsiTheme="minorEastAsia" w:eastAsiaTheme="minorEastAsia"/>
          <w:szCs w:val="24"/>
        </w:rPr>
        <w:t>（由供应商在《政府采购投标及履约承诺函》中作出声明）</w:t>
      </w:r>
      <w:r>
        <w:rPr>
          <w:rFonts w:hint="eastAsia" w:asciiTheme="minorEastAsia" w:hAnsiTheme="minorEastAsia" w:eastAsiaTheme="minorEastAsia"/>
          <w:snapToGrid w:val="0"/>
          <w:szCs w:val="24"/>
        </w:rPr>
        <w:t>；</w:t>
      </w:r>
    </w:p>
    <w:p>
      <w:pPr>
        <w:spacing w:line="360" w:lineRule="auto"/>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5）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http://zfcg.sz.gov.cn）为投标人信用信息查询渠道，相关信息以开标当日的查询结果为准。由招标代理机构查询，投标人无需提供证明材料）；</w:t>
      </w:r>
    </w:p>
    <w:p>
      <w:pPr>
        <w:widowControl/>
        <w:adjustRightInd w:val="0"/>
        <w:snapToGrid w:val="0"/>
        <w:spacing w:line="360" w:lineRule="auto"/>
        <w:ind w:firstLine="424" w:firstLineChars="202"/>
        <w:jc w:val="left"/>
        <w:rPr>
          <w:rFonts w:cs="Arial Unicode MS" w:asciiTheme="minorEastAsia" w:hAnsiTheme="minorEastAsia" w:eastAsiaTheme="minorEastAsia"/>
          <w:snapToGrid w:val="0"/>
          <w:kern w:val="0"/>
          <w:szCs w:val="18"/>
        </w:rPr>
      </w:pPr>
      <w:r>
        <w:rPr>
          <w:rFonts w:hint="eastAsia" w:cs="Arial Unicode MS" w:asciiTheme="minorEastAsia" w:hAnsiTheme="minorEastAsia" w:eastAsiaTheme="minorEastAsia"/>
          <w:snapToGrid w:val="0"/>
          <w:kern w:val="0"/>
          <w:szCs w:val="18"/>
        </w:rPr>
        <w:t>（6）本项目不接受联合体投标，不允许分包或转包。</w:t>
      </w:r>
    </w:p>
    <w:p>
      <w:pPr>
        <w:widowControl/>
        <w:adjustRightInd w:val="0"/>
        <w:snapToGrid w:val="0"/>
        <w:spacing w:line="360" w:lineRule="auto"/>
        <w:ind w:firstLine="424" w:firstLineChars="202"/>
        <w:jc w:val="left"/>
        <w:rPr>
          <w:rFonts w:cs="Arial Unicode MS" w:asciiTheme="minorEastAsia" w:hAnsiTheme="minorEastAsia" w:eastAsiaTheme="minorEastAsia"/>
          <w:snapToGrid w:val="0"/>
          <w:kern w:val="0"/>
          <w:szCs w:val="18"/>
        </w:rPr>
      </w:pPr>
      <w:r>
        <w:rPr>
          <w:rFonts w:hint="eastAsia" w:cs="Arial Unicode MS" w:asciiTheme="minorEastAsia" w:hAnsiTheme="minorEastAsia" w:eastAsiaTheme="minorEastAsia"/>
          <w:snapToGrid w:val="0"/>
          <w:kern w:val="0"/>
          <w:szCs w:val="18"/>
        </w:rPr>
        <w:t>注：供应商投标（上传投标文件）必须先行办理注册手续，具体请按照本公告“三、获取招标文件”相关内容指引办理。</w:t>
      </w:r>
    </w:p>
    <w:p>
      <w:pPr>
        <w:widowControl/>
        <w:spacing w:line="360" w:lineRule="auto"/>
        <w:rPr>
          <w:rFonts w:ascii="宋体" w:hAnsi="宋体"/>
          <w:szCs w:val="24"/>
        </w:rPr>
      </w:pPr>
    </w:p>
    <w:p>
      <w:pPr>
        <w:widowControl/>
        <w:spacing w:line="360" w:lineRule="auto"/>
        <w:rPr>
          <w:rFonts w:ascii="宋体" w:hAnsi="宋体"/>
          <w:szCs w:val="24"/>
        </w:rPr>
      </w:pPr>
      <w:r>
        <w:rPr>
          <w:rFonts w:ascii="宋体" w:hAnsi="宋体"/>
          <w:szCs w:val="24"/>
        </w:rPr>
        <w:t>三、获取招标文件</w:t>
      </w:r>
    </w:p>
    <w:p>
      <w:pPr>
        <w:widowControl/>
        <w:spacing w:line="360" w:lineRule="auto"/>
        <w:ind w:firstLine="420" w:firstLineChars="200"/>
        <w:rPr>
          <w:rFonts w:ascii="宋体" w:hAnsi="宋体"/>
          <w:szCs w:val="24"/>
        </w:rPr>
      </w:pPr>
      <w:r>
        <w:rPr>
          <w:rFonts w:hint="eastAsia" w:ascii="宋体" w:hAnsi="宋体"/>
          <w:szCs w:val="24"/>
        </w:rPr>
        <w:t>1、</w:t>
      </w:r>
      <w:r>
        <w:rPr>
          <w:rFonts w:ascii="宋体" w:hAnsi="宋体"/>
          <w:szCs w:val="24"/>
        </w:rPr>
        <w:t>时间：</w:t>
      </w:r>
      <w:r>
        <w:rPr>
          <w:rFonts w:hint="eastAsia" w:ascii="宋体" w:hAnsi="宋体"/>
          <w:b/>
          <w:szCs w:val="24"/>
          <w:u w:val="single"/>
        </w:rPr>
        <w:t>2022年</w:t>
      </w:r>
      <w:r>
        <w:rPr>
          <w:rFonts w:hint="eastAsia" w:ascii="宋体" w:hAnsi="宋体"/>
          <w:b/>
          <w:szCs w:val="24"/>
          <w:u w:val="single"/>
          <w:lang w:val="en-US" w:eastAsia="zh-CN"/>
        </w:rPr>
        <w:t>5</w:t>
      </w:r>
      <w:r>
        <w:rPr>
          <w:rFonts w:hint="eastAsia" w:ascii="宋体" w:hAnsi="宋体"/>
          <w:b/>
          <w:szCs w:val="24"/>
          <w:u w:val="single"/>
        </w:rPr>
        <w:t>月</w:t>
      </w:r>
      <w:r>
        <w:rPr>
          <w:rFonts w:hint="eastAsia" w:ascii="宋体" w:hAnsi="宋体"/>
          <w:b/>
          <w:szCs w:val="24"/>
          <w:u w:val="single"/>
          <w:lang w:val="en-US" w:eastAsia="zh-CN"/>
        </w:rPr>
        <w:t>13</w:t>
      </w:r>
      <w:r>
        <w:rPr>
          <w:rFonts w:hint="eastAsia" w:ascii="宋体" w:hAnsi="宋体"/>
          <w:b/>
          <w:szCs w:val="24"/>
          <w:u w:val="single"/>
        </w:rPr>
        <w:t>日至2022年</w:t>
      </w:r>
      <w:r>
        <w:rPr>
          <w:rFonts w:hint="eastAsia" w:ascii="宋体" w:hAnsi="宋体"/>
          <w:b/>
          <w:szCs w:val="24"/>
          <w:u w:val="single"/>
          <w:lang w:val="en-US" w:eastAsia="zh-CN"/>
        </w:rPr>
        <w:t>5</w:t>
      </w:r>
      <w:r>
        <w:rPr>
          <w:rFonts w:hint="eastAsia" w:ascii="宋体" w:hAnsi="宋体"/>
          <w:b/>
          <w:szCs w:val="24"/>
          <w:u w:val="single"/>
        </w:rPr>
        <w:t>月</w:t>
      </w:r>
      <w:r>
        <w:rPr>
          <w:rFonts w:hint="eastAsia" w:ascii="宋体" w:hAnsi="宋体"/>
          <w:b/>
          <w:szCs w:val="24"/>
          <w:u w:val="single"/>
          <w:lang w:val="en-US" w:eastAsia="zh-CN"/>
        </w:rPr>
        <w:t>20</w:t>
      </w:r>
      <w:r>
        <w:rPr>
          <w:rFonts w:hint="eastAsia" w:ascii="宋体" w:hAnsi="宋体"/>
          <w:b/>
          <w:szCs w:val="24"/>
          <w:u w:val="single"/>
        </w:rPr>
        <w:t>日，每天上午0:00至12:00，下午12:00至24:00（北京时间，法定节假日除外）</w:t>
      </w:r>
      <w:r>
        <w:rPr>
          <w:rFonts w:hint="eastAsia" w:ascii="宋体" w:hAnsi="宋体"/>
          <w:szCs w:val="24"/>
        </w:rPr>
        <w:t>。</w:t>
      </w:r>
      <w:r>
        <w:rPr>
          <w:rFonts w:ascii="宋体" w:hAnsi="宋体"/>
          <w:szCs w:val="24"/>
        </w:rPr>
        <w:t xml:space="preserve"> </w:t>
      </w:r>
    </w:p>
    <w:p>
      <w:pPr>
        <w:spacing w:line="360" w:lineRule="auto"/>
        <w:ind w:firstLine="420" w:firstLineChars="200"/>
        <w:rPr>
          <w:rFonts w:asciiTheme="minorEastAsia" w:hAnsiTheme="minorEastAsia" w:eastAsiaTheme="minorEastAsia"/>
          <w:szCs w:val="24"/>
        </w:rPr>
      </w:pPr>
      <w:r>
        <w:rPr>
          <w:rFonts w:hint="eastAsia" w:asciiTheme="minorEastAsia" w:hAnsiTheme="minorEastAsia" w:eastAsiaTheme="minorEastAsia"/>
          <w:szCs w:val="24"/>
        </w:rPr>
        <w:t>2、</w:t>
      </w:r>
      <w:r>
        <w:rPr>
          <w:rFonts w:asciiTheme="minorEastAsia" w:hAnsiTheme="minorEastAsia" w:eastAsiaTheme="minorEastAsia"/>
          <w:szCs w:val="24"/>
        </w:rPr>
        <w:t>地点：</w:t>
      </w:r>
      <w:r>
        <w:rPr>
          <w:rFonts w:hint="eastAsia" w:asciiTheme="minorEastAsia" w:hAnsiTheme="minorEastAsia" w:eastAsiaTheme="minorEastAsia"/>
          <w:szCs w:val="24"/>
        </w:rPr>
        <w:t>登录深圳政府采购智慧平台（http://zfcg.szggzy.com:8081/）下载本项目的招标文件</w:t>
      </w:r>
      <w:r>
        <w:rPr>
          <w:rFonts w:asciiTheme="minorEastAsia" w:hAnsiTheme="minorEastAsia" w:eastAsiaTheme="minorEastAsia"/>
          <w:szCs w:val="24"/>
        </w:rPr>
        <w:t xml:space="preserve">。 </w:t>
      </w:r>
    </w:p>
    <w:p>
      <w:pPr>
        <w:spacing w:line="360" w:lineRule="auto"/>
        <w:ind w:firstLine="420" w:firstLineChars="200"/>
        <w:rPr>
          <w:rFonts w:asciiTheme="minorEastAsia" w:hAnsiTheme="minorEastAsia" w:eastAsiaTheme="minorEastAsia"/>
          <w:szCs w:val="24"/>
        </w:rPr>
      </w:pPr>
      <w:r>
        <w:rPr>
          <w:rFonts w:hint="eastAsia" w:asciiTheme="minorEastAsia" w:hAnsiTheme="minorEastAsia" w:eastAsiaTheme="minorEastAsia"/>
          <w:szCs w:val="24"/>
        </w:rPr>
        <w:t>3、</w:t>
      </w:r>
      <w:r>
        <w:rPr>
          <w:rFonts w:asciiTheme="minorEastAsia" w:hAnsiTheme="minorEastAsia" w:eastAsiaTheme="minorEastAsia"/>
          <w:szCs w:val="24"/>
        </w:rPr>
        <w:t xml:space="preserve">方式：在线下载。 </w:t>
      </w:r>
    </w:p>
    <w:p>
      <w:pPr>
        <w:spacing w:line="360" w:lineRule="auto"/>
        <w:ind w:firstLine="420" w:firstLineChars="200"/>
        <w:rPr>
          <w:rFonts w:asciiTheme="minorEastAsia" w:hAnsiTheme="minorEastAsia" w:eastAsiaTheme="minorEastAsia"/>
          <w:szCs w:val="24"/>
        </w:rPr>
      </w:pPr>
      <w:r>
        <w:rPr>
          <w:rFonts w:hint="eastAsia" w:asciiTheme="minorEastAsia" w:hAnsiTheme="minorEastAsia" w:eastAsiaTheme="minorEastAsia"/>
          <w:szCs w:val="24"/>
        </w:rPr>
        <w:t>4、</w:t>
      </w:r>
      <w:r>
        <w:rPr>
          <w:rFonts w:asciiTheme="minorEastAsia" w:hAnsiTheme="minorEastAsia" w:eastAsiaTheme="minorEastAsia"/>
          <w:szCs w:val="24"/>
        </w:rPr>
        <w:t>售价：免费。</w:t>
      </w:r>
    </w:p>
    <w:p>
      <w:pPr>
        <w:spacing w:line="360" w:lineRule="auto"/>
        <w:ind w:firstLine="420" w:firstLineChars="200"/>
        <w:rPr>
          <w:rFonts w:asciiTheme="minorEastAsia" w:hAnsiTheme="minorEastAsia" w:eastAsiaTheme="minorEastAsia"/>
          <w:szCs w:val="24"/>
        </w:rPr>
      </w:pPr>
      <w:r>
        <w:rPr>
          <w:rFonts w:hint="eastAsia" w:asciiTheme="minorEastAsia" w:hAnsiTheme="minorEastAsia" w:eastAsiaTheme="minorEastAsia"/>
          <w:szCs w:val="24"/>
        </w:rPr>
        <w:t>凡已注册的深圳市网上政府采购供应商，按照授予的操作权限，可于</w:t>
      </w:r>
      <w:r>
        <w:rPr>
          <w:rFonts w:hint="eastAsia" w:ascii="宋体" w:hAnsi="宋体"/>
          <w:b/>
          <w:szCs w:val="24"/>
          <w:u w:val="single"/>
        </w:rPr>
        <w:t>获取招标文件时间内</w:t>
      </w:r>
      <w:r>
        <w:rPr>
          <w:rFonts w:hint="eastAsia" w:asciiTheme="minorEastAsia" w:hAnsiTheme="minorEastAsia" w:eastAsiaTheme="minorEastAsia"/>
          <w:szCs w:val="24"/>
        </w:rPr>
        <w:t>登录深圳政府采购智慧平台（http://zfcg.szggzy.com:8081/）下载本项目的采购文件。投标人如确定参加投标，首先要在深圳政府采购智慧平台网上办事子系统（http://zfcg.szggzy.com:8081/TPBidder/memberLogin）网上报名投标，方法为登陆网上办事子系统后点击“【招标公告】→【我要报名】”；如果网上报名后上传了投标文件，又不参加投标，应再到【我的项目】→【项目流程】→【递交投标(应答)文件】功能点中进行“【撤回本次投标】”操作；如果是未注册为深圳政府采购智慧平台（http://zfcg.szggzy.com:8081/）的供应商，请先办理密钥（</w:t>
      </w:r>
      <w:r>
        <w:fldChar w:fldCharType="begin"/>
      </w:r>
      <w:r>
        <w:instrText xml:space="preserve"> HYPERLINK "http://zfcg.szggzy.com:8081/TPBidder/CAHandle" </w:instrText>
      </w:r>
      <w:r>
        <w:fldChar w:fldCharType="separate"/>
      </w:r>
      <w:r>
        <w:rPr>
          <w:rFonts w:asciiTheme="minorEastAsia" w:hAnsiTheme="minorEastAsia" w:eastAsiaTheme="minorEastAsia"/>
          <w:color w:val="0000FF"/>
          <w:u w:val="single"/>
        </w:rPr>
        <w:t>请点击</w:t>
      </w:r>
      <w:r>
        <w:rPr>
          <w:rFonts w:asciiTheme="minorEastAsia" w:hAnsiTheme="minorEastAsia" w:eastAsiaTheme="minorEastAsia"/>
          <w:color w:val="0000FF"/>
          <w:u w:val="single"/>
        </w:rPr>
        <w:fldChar w:fldCharType="end"/>
      </w:r>
      <w:r>
        <w:rPr>
          <w:rFonts w:hint="eastAsia" w:asciiTheme="minorEastAsia" w:hAnsiTheme="minorEastAsia" w:eastAsiaTheme="minorEastAsia"/>
          <w:szCs w:val="24"/>
        </w:rPr>
        <w:t>），并前往深圳公共资源交易中心绑定深圳政府采购智慧平台用户（地址：深圳市福田区景田东路70号雅枫国际酒店北侧二楼市政府采购业务窗口服务大厅；电子密钥办理咨询电话：0755-83948165），再进行投标报名。在网上报名后，点击“【我的项目】→【项目流程】→【采购文件下载】”进行招标文件的下载。</w:t>
      </w:r>
    </w:p>
    <w:p>
      <w:pPr>
        <w:widowControl/>
        <w:spacing w:line="360" w:lineRule="auto"/>
        <w:ind w:firstLine="420" w:firstLineChars="200"/>
        <w:rPr>
          <w:rFonts w:ascii="宋体" w:hAnsi="宋体"/>
          <w:szCs w:val="24"/>
        </w:rPr>
      </w:pPr>
    </w:p>
    <w:p>
      <w:pPr>
        <w:widowControl/>
        <w:spacing w:line="360" w:lineRule="auto"/>
        <w:rPr>
          <w:rFonts w:ascii="宋体" w:hAnsi="宋体"/>
          <w:szCs w:val="24"/>
        </w:rPr>
      </w:pPr>
      <w:r>
        <w:rPr>
          <w:rFonts w:ascii="宋体" w:hAnsi="宋体"/>
          <w:szCs w:val="24"/>
        </w:rPr>
        <w:t>四、提交投标文件截止时间、开标时间和地点</w:t>
      </w:r>
    </w:p>
    <w:p>
      <w:pPr>
        <w:widowControl/>
        <w:spacing w:line="360" w:lineRule="auto"/>
        <w:ind w:firstLine="424" w:firstLineChars="202"/>
        <w:rPr>
          <w:rFonts w:ascii="宋体" w:hAnsi="宋体"/>
          <w:szCs w:val="24"/>
        </w:rPr>
      </w:pPr>
      <w:r>
        <w:rPr>
          <w:rFonts w:hint="eastAsia" w:ascii="宋体" w:hAnsi="宋体"/>
          <w:szCs w:val="24"/>
        </w:rPr>
        <w:t>1、投标截止时间：所有投标文件应于</w:t>
      </w:r>
      <w:r>
        <w:rPr>
          <w:rFonts w:hint="eastAsia" w:ascii="宋体" w:hAnsi="宋体"/>
          <w:b/>
          <w:szCs w:val="24"/>
          <w:u w:val="single"/>
          <w:lang w:eastAsia="zh-CN"/>
        </w:rPr>
        <w:t>2022年5月</w:t>
      </w:r>
      <w:r>
        <w:rPr>
          <w:rFonts w:hint="eastAsia" w:ascii="宋体" w:hAnsi="宋体"/>
          <w:b/>
          <w:szCs w:val="24"/>
          <w:u w:val="single"/>
          <w:lang w:val="en-US" w:eastAsia="zh-CN"/>
        </w:rPr>
        <w:t>24</w:t>
      </w:r>
      <w:r>
        <w:rPr>
          <w:rFonts w:hint="eastAsia" w:ascii="宋体" w:hAnsi="宋体"/>
          <w:b/>
          <w:szCs w:val="24"/>
          <w:u w:val="single"/>
          <w:lang w:eastAsia="zh-CN"/>
        </w:rPr>
        <w:t>日09:00</w:t>
      </w:r>
      <w:r>
        <w:rPr>
          <w:rFonts w:hint="eastAsia" w:ascii="宋体" w:hAnsi="宋体"/>
          <w:b/>
          <w:szCs w:val="24"/>
          <w:u w:val="single"/>
        </w:rPr>
        <w:t>（北京时间）</w:t>
      </w:r>
      <w:r>
        <w:rPr>
          <w:rFonts w:hint="eastAsia" w:ascii="宋体" w:hAnsi="宋体"/>
          <w:szCs w:val="24"/>
        </w:rPr>
        <w:t>之前上传到深圳政府采购智慧平台（http://zfcg.szggzy.com:8081/）。具体操作为登录“深圳政府采购智慧平台用户网上办事子系统（http://zfcg.szggzy.com:8081/TPBidder/memberLogin）”，用“【我的项目】→【项目流程】→【递交投标(应答)文件】”功能点上传投标文件。本项目电子投标文件最大容量为100MB，超过此容量的文件将被拒绝。</w:t>
      </w:r>
    </w:p>
    <w:p>
      <w:pPr>
        <w:widowControl/>
        <w:spacing w:line="360" w:lineRule="auto"/>
        <w:ind w:firstLine="424" w:firstLineChars="202"/>
        <w:rPr>
          <w:rFonts w:ascii="宋体" w:hAnsi="宋体"/>
          <w:szCs w:val="24"/>
        </w:rPr>
      </w:pPr>
      <w:r>
        <w:rPr>
          <w:rFonts w:hint="eastAsia" w:ascii="宋体" w:hAnsi="宋体"/>
          <w:szCs w:val="24"/>
        </w:rPr>
        <w:t>2、开标时间和地点：定于</w:t>
      </w:r>
      <w:r>
        <w:rPr>
          <w:rFonts w:hint="eastAsia" w:ascii="宋体" w:hAnsi="宋体"/>
          <w:b/>
          <w:szCs w:val="24"/>
          <w:u w:val="single"/>
          <w:lang w:eastAsia="zh-CN"/>
        </w:rPr>
        <w:t>2022年5月</w:t>
      </w:r>
      <w:r>
        <w:rPr>
          <w:rFonts w:hint="eastAsia" w:ascii="宋体" w:hAnsi="宋体"/>
          <w:b/>
          <w:szCs w:val="24"/>
          <w:u w:val="single"/>
          <w:lang w:val="en-US" w:eastAsia="zh-CN"/>
        </w:rPr>
        <w:t>24</w:t>
      </w:r>
      <w:r>
        <w:rPr>
          <w:rFonts w:hint="eastAsia" w:ascii="宋体" w:hAnsi="宋体"/>
          <w:b/>
          <w:szCs w:val="24"/>
          <w:u w:val="single"/>
          <w:lang w:eastAsia="zh-CN"/>
        </w:rPr>
        <w:t>日09:00</w:t>
      </w:r>
      <w:r>
        <w:rPr>
          <w:rFonts w:hint="eastAsia" w:ascii="宋体" w:hAnsi="宋体"/>
          <w:b/>
          <w:szCs w:val="24"/>
          <w:u w:val="single"/>
        </w:rPr>
        <w:t>（北京时间）</w:t>
      </w:r>
      <w:r>
        <w:rPr>
          <w:rFonts w:hint="eastAsia" w:ascii="宋体" w:hAnsi="宋体"/>
          <w:szCs w:val="24"/>
        </w:rPr>
        <w:t>，在深圳市中正招标有限公司公开开标。供应商可以登录“深圳政府采购智慧平台用户网上办事子系统（http://zfcg.szggzy.com:8081/TPBidder/memberLogin）”，在“【我的项目】→【项目流程】→【开标及解密】”进行在线解密、查询开标情况。</w:t>
      </w:r>
    </w:p>
    <w:p>
      <w:pPr>
        <w:widowControl/>
        <w:spacing w:line="360" w:lineRule="auto"/>
        <w:ind w:firstLine="426" w:firstLineChars="202"/>
        <w:rPr>
          <w:rFonts w:ascii="宋体" w:hAnsi="宋体"/>
          <w:szCs w:val="24"/>
        </w:rPr>
      </w:pPr>
      <w:r>
        <w:rPr>
          <w:rFonts w:hint="eastAsia" w:ascii="宋体" w:hAnsi="宋体"/>
          <w:b/>
          <w:szCs w:val="24"/>
        </w:rPr>
        <w:t>3、在线解密：投标人须在</w:t>
      </w:r>
      <w:r>
        <w:rPr>
          <w:rFonts w:hint="eastAsia" w:ascii="宋体" w:hAnsi="宋体"/>
          <w:b/>
          <w:szCs w:val="24"/>
          <w:u w:val="single"/>
          <w:lang w:eastAsia="zh-CN"/>
        </w:rPr>
        <w:t>2022年5月</w:t>
      </w:r>
      <w:r>
        <w:rPr>
          <w:rFonts w:hint="eastAsia" w:ascii="宋体" w:hAnsi="宋体"/>
          <w:b/>
          <w:szCs w:val="24"/>
          <w:u w:val="single"/>
          <w:lang w:val="en-US" w:eastAsia="zh-CN"/>
        </w:rPr>
        <w:t>24</w:t>
      </w:r>
      <w:r>
        <w:rPr>
          <w:rFonts w:hint="eastAsia" w:ascii="宋体" w:hAnsi="宋体"/>
          <w:b/>
          <w:szCs w:val="24"/>
          <w:u w:val="single"/>
          <w:lang w:eastAsia="zh-CN"/>
        </w:rPr>
        <w:t>日09:00</w:t>
      </w:r>
      <w:r>
        <w:rPr>
          <w:rFonts w:hint="eastAsia" w:ascii="宋体" w:hAnsi="宋体"/>
          <w:b/>
          <w:szCs w:val="24"/>
          <w:u w:val="single"/>
        </w:rPr>
        <w:t>-</w:t>
      </w:r>
      <w:r>
        <w:rPr>
          <w:rFonts w:hint="eastAsia" w:ascii="宋体" w:hAnsi="宋体"/>
          <w:b/>
          <w:szCs w:val="24"/>
          <w:u w:val="single"/>
          <w:lang w:val="en-US" w:eastAsia="zh-CN"/>
        </w:rPr>
        <w:t>10:00</w:t>
      </w:r>
      <w:r>
        <w:rPr>
          <w:rFonts w:hint="eastAsia" w:ascii="宋体" w:hAnsi="宋体"/>
          <w:b/>
          <w:szCs w:val="24"/>
          <w:u w:val="single"/>
        </w:rPr>
        <w:t>（北京时间）</w:t>
      </w:r>
      <w:r>
        <w:rPr>
          <w:rFonts w:hint="eastAsia" w:ascii="宋体" w:hAnsi="宋体"/>
          <w:b/>
          <w:szCs w:val="24"/>
        </w:rPr>
        <w:t>期间进行解密，逾期未解密的作无效处理。</w:t>
      </w:r>
      <w:r>
        <w:rPr>
          <w:rFonts w:hint="eastAsia" w:ascii="宋体" w:hAnsi="宋体"/>
          <w:szCs w:val="24"/>
        </w:rPr>
        <w:t>解密方法：登录“深圳政府采购智慧平台用户网上办事子系统（http://zfcg.szggzy.com:8081/TPBidder/memberLogin）”，使用本单位制作电子投标文件同一个电子密钥，在“【我的项目】→【项目流程】→【开标及解密】”进行在线解密、查询开标情况。</w:t>
      </w:r>
    </w:p>
    <w:p>
      <w:pPr>
        <w:widowControl/>
        <w:spacing w:line="360" w:lineRule="auto"/>
        <w:ind w:left="420" w:leftChars="200"/>
        <w:rPr>
          <w:rFonts w:ascii="宋体" w:hAnsi="宋体"/>
          <w:szCs w:val="24"/>
        </w:rPr>
      </w:pPr>
    </w:p>
    <w:p>
      <w:pPr>
        <w:widowControl/>
        <w:spacing w:line="360" w:lineRule="auto"/>
        <w:rPr>
          <w:rFonts w:ascii="宋体" w:hAnsi="宋体"/>
          <w:szCs w:val="24"/>
        </w:rPr>
      </w:pPr>
      <w:r>
        <w:rPr>
          <w:rFonts w:ascii="宋体" w:hAnsi="宋体"/>
          <w:szCs w:val="24"/>
        </w:rPr>
        <w:t>五、公告期限</w:t>
      </w:r>
    </w:p>
    <w:p>
      <w:pPr>
        <w:widowControl/>
        <w:spacing w:line="360" w:lineRule="auto"/>
        <w:ind w:firstLine="420" w:firstLineChars="200"/>
        <w:rPr>
          <w:rFonts w:ascii="宋体" w:hAnsi="宋体"/>
          <w:szCs w:val="24"/>
        </w:rPr>
      </w:pPr>
      <w:r>
        <w:rPr>
          <w:rFonts w:ascii="宋体" w:hAnsi="宋体"/>
          <w:szCs w:val="24"/>
        </w:rPr>
        <w:t>自本公告发布之日起5个工作日。</w:t>
      </w:r>
    </w:p>
    <w:p>
      <w:pPr>
        <w:widowControl/>
        <w:spacing w:line="360" w:lineRule="auto"/>
        <w:ind w:firstLine="420" w:firstLineChars="200"/>
        <w:rPr>
          <w:rFonts w:ascii="宋体" w:hAnsi="宋体"/>
          <w:szCs w:val="24"/>
        </w:rPr>
      </w:pPr>
    </w:p>
    <w:p>
      <w:pPr>
        <w:widowControl/>
        <w:spacing w:line="360" w:lineRule="auto"/>
        <w:rPr>
          <w:rFonts w:ascii="宋体" w:hAnsi="宋体"/>
          <w:szCs w:val="24"/>
        </w:rPr>
      </w:pPr>
      <w:r>
        <w:rPr>
          <w:rFonts w:ascii="宋体" w:hAnsi="宋体"/>
          <w:szCs w:val="24"/>
        </w:rPr>
        <w:t>六、其他补充事宜</w:t>
      </w:r>
    </w:p>
    <w:p>
      <w:pPr>
        <w:spacing w:line="360" w:lineRule="auto"/>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1、本项目实行网上投标，采用电子投标文件。</w:t>
      </w:r>
    </w:p>
    <w:p>
      <w:pPr>
        <w:spacing w:line="360" w:lineRule="auto"/>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2、采购文件澄清/修改事项：</w:t>
      </w:r>
      <w:r>
        <w:rPr>
          <w:rFonts w:hint="eastAsia" w:asciiTheme="minorEastAsia" w:hAnsiTheme="minorEastAsia" w:eastAsiaTheme="minorEastAsia"/>
          <w:b/>
          <w:szCs w:val="24"/>
          <w:u w:val="single"/>
        </w:rPr>
        <w:t>2022年</w:t>
      </w:r>
      <w:r>
        <w:rPr>
          <w:rFonts w:hint="eastAsia" w:asciiTheme="minorEastAsia" w:hAnsiTheme="minorEastAsia" w:eastAsiaTheme="minorEastAsia"/>
          <w:b/>
          <w:szCs w:val="24"/>
          <w:u w:val="single"/>
          <w:lang w:val="en-US" w:eastAsia="zh-CN"/>
        </w:rPr>
        <w:t>5</w:t>
      </w:r>
      <w:r>
        <w:rPr>
          <w:rFonts w:hint="eastAsia" w:asciiTheme="minorEastAsia" w:hAnsiTheme="minorEastAsia" w:eastAsiaTheme="minorEastAsia"/>
          <w:b/>
          <w:szCs w:val="24"/>
          <w:u w:val="single"/>
        </w:rPr>
        <w:t>月</w:t>
      </w:r>
      <w:r>
        <w:rPr>
          <w:rFonts w:hint="eastAsia" w:asciiTheme="minorEastAsia" w:hAnsiTheme="minorEastAsia" w:eastAsiaTheme="minorEastAsia"/>
          <w:b/>
          <w:szCs w:val="24"/>
          <w:u w:val="single"/>
          <w:lang w:val="en-US" w:eastAsia="zh-CN"/>
        </w:rPr>
        <w:t>19</w:t>
      </w:r>
      <w:r>
        <w:rPr>
          <w:rFonts w:hint="eastAsia" w:asciiTheme="minorEastAsia" w:hAnsiTheme="minorEastAsia" w:eastAsiaTheme="minorEastAsia"/>
          <w:b/>
          <w:szCs w:val="24"/>
          <w:u w:val="single"/>
        </w:rPr>
        <w:t>日00:00（北京时间）</w:t>
      </w:r>
      <w:r>
        <w:rPr>
          <w:rFonts w:hint="eastAsia" w:asciiTheme="minorEastAsia" w:hAnsiTheme="minorEastAsia" w:eastAsiaTheme="minorEastAsia"/>
          <w:szCs w:val="24"/>
        </w:rPr>
        <w:t>前，供应商如果认为采购文件存在不明确、不清晰和前后不一致等问题，可登录“深圳政府采购智慧平台用户网上办事子系统（http://zfcg.szggzy.com:8081/TPBidder/memberLogin）”，在“【我的项目】→【项目流程】→【提问】”功能点中填写需澄清内容。</w:t>
      </w:r>
      <w:r>
        <w:rPr>
          <w:rFonts w:hint="eastAsia" w:asciiTheme="minorEastAsia" w:hAnsiTheme="minorEastAsia" w:eastAsiaTheme="minorEastAsia"/>
          <w:b/>
          <w:szCs w:val="24"/>
          <w:u w:val="single"/>
        </w:rPr>
        <w:t>2022年</w:t>
      </w:r>
      <w:r>
        <w:rPr>
          <w:rFonts w:hint="eastAsia" w:asciiTheme="minorEastAsia" w:hAnsiTheme="minorEastAsia" w:eastAsiaTheme="minorEastAsia"/>
          <w:b/>
          <w:szCs w:val="24"/>
          <w:u w:val="single"/>
          <w:lang w:val="en-US" w:eastAsia="zh-CN"/>
        </w:rPr>
        <w:t>5</w:t>
      </w:r>
      <w:r>
        <w:rPr>
          <w:rFonts w:hint="eastAsia" w:asciiTheme="minorEastAsia" w:hAnsiTheme="minorEastAsia" w:eastAsiaTheme="minorEastAsia"/>
          <w:b/>
          <w:szCs w:val="24"/>
          <w:u w:val="single"/>
        </w:rPr>
        <w:t>月</w:t>
      </w:r>
      <w:r>
        <w:rPr>
          <w:rFonts w:hint="eastAsia" w:asciiTheme="minorEastAsia" w:hAnsiTheme="minorEastAsia" w:eastAsiaTheme="minorEastAsia"/>
          <w:b/>
          <w:szCs w:val="24"/>
          <w:u w:val="single"/>
          <w:lang w:val="en-US" w:eastAsia="zh-CN"/>
        </w:rPr>
        <w:t>21</w:t>
      </w:r>
      <w:r>
        <w:rPr>
          <w:rFonts w:hint="eastAsia" w:asciiTheme="minorEastAsia" w:hAnsiTheme="minorEastAsia" w:eastAsiaTheme="minorEastAsia"/>
          <w:b/>
          <w:szCs w:val="24"/>
          <w:u w:val="single"/>
        </w:rPr>
        <w:t>日00:00（北京时间）</w:t>
      </w:r>
      <w:r>
        <w:rPr>
          <w:rFonts w:hint="eastAsia" w:asciiTheme="minorEastAsia" w:hAnsiTheme="minorEastAsia" w:eastAsiaTheme="minorEastAsia"/>
          <w:szCs w:val="24"/>
        </w:rPr>
        <w:t>前将采购文件澄清/修改情况在“【我的项目】→【项目流程】→【答疑澄清文件下载】”中公布，望投标人予以关注。</w:t>
      </w:r>
    </w:p>
    <w:p>
      <w:pPr>
        <w:spacing w:line="360" w:lineRule="auto"/>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重要提示：“提出采购文件澄清要求”不等同于“对采购文件质疑”，供应商提出的澄清要求内容如出现“质疑”字眼，将予以退回。供应商如认为采购文件存在限制性、倾向性、其权益受到损害，应在采购文件公布之日起七个工作日内以书面形式提出质疑。请质疑供应商根据深圳公共资源交易网（ https://www.szggzy.com/fwdh/fwdhzfcg/bszn1/content_203163.html ）所发布的质疑指引、质疑函模板填写质疑函并提交质疑材料。质疑材料可以采用现场或邮寄方式提交，采用邮寄方式提交的，交邮时间应在本公告发布之日起七个工作日内。质疑材料现场提交、邮寄地址：深圳市福田区民田路171号新华保险大厦903深圳市中正招标有限公司。质疑咨询电话：0755-83026699。根据《深圳经济特区政府采购条例》第四十二条“供应商投诉的事项应当是经过质疑的事项”的规定，未经正式质疑的，将影响供应商行使向财政部门提起投诉的权利。）</w:t>
      </w:r>
    </w:p>
    <w:p>
      <w:pPr>
        <w:spacing w:line="360" w:lineRule="auto"/>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 xml:space="preserve">3、深圳市中正招标有限公司有权对投标人就本项目要求提供的相关证明资料（原件）进行审查。供应商提供虚假资料被查实的，则可能面临被取消本项目中标资格、列入不良行为记录名单和三年内禁止参与深圳市政府采购活动的风险。 </w:t>
      </w:r>
    </w:p>
    <w:p>
      <w:pPr>
        <w:spacing w:line="360" w:lineRule="auto"/>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4、本招标公告及本项目招标文件所涉及的时间一律为北京时间。投标人有义务在招标活动期间浏览深圳公共资源交易网（</w:t>
      </w:r>
      <w:r>
        <w:rPr>
          <w:rFonts w:asciiTheme="minorEastAsia" w:hAnsiTheme="minorEastAsia" w:eastAsiaTheme="minorEastAsia"/>
          <w:szCs w:val="24"/>
        </w:rPr>
        <w:t>https://www.szggzy.com</w:t>
      </w:r>
      <w:r>
        <w:rPr>
          <w:rFonts w:hint="eastAsia" w:asciiTheme="minorEastAsia" w:hAnsiTheme="minorEastAsia" w:eastAsiaTheme="minorEastAsia"/>
          <w:szCs w:val="24"/>
        </w:rPr>
        <w:t>），在深圳公共资源交易网上公布的与本次招标项目有关的信息视为已送达各投标人。</w:t>
      </w:r>
    </w:p>
    <w:p>
      <w:pPr>
        <w:spacing w:line="360" w:lineRule="auto"/>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5、本项目不需要投标保证金</w:t>
      </w:r>
      <w:r>
        <w:rPr>
          <w:rFonts w:asciiTheme="minorEastAsia" w:hAnsiTheme="minorEastAsia" w:eastAsiaTheme="minorEastAsia"/>
          <w:szCs w:val="24"/>
        </w:rPr>
        <w:t>。</w:t>
      </w:r>
    </w:p>
    <w:p>
      <w:pPr>
        <w:widowControl/>
        <w:spacing w:line="360" w:lineRule="auto"/>
        <w:ind w:firstLine="424" w:firstLineChars="202"/>
        <w:rPr>
          <w:rFonts w:ascii="宋体" w:hAnsi="宋体"/>
          <w:szCs w:val="24"/>
        </w:rPr>
      </w:pPr>
    </w:p>
    <w:p>
      <w:pPr>
        <w:widowControl/>
        <w:spacing w:line="360" w:lineRule="auto"/>
        <w:rPr>
          <w:rFonts w:ascii="宋体" w:hAnsi="宋体"/>
          <w:szCs w:val="24"/>
        </w:rPr>
      </w:pPr>
      <w:r>
        <w:rPr>
          <w:rFonts w:ascii="宋体" w:hAnsi="宋体"/>
          <w:szCs w:val="24"/>
        </w:rPr>
        <w:t>七、对本次招标提出询问，请按以下方式联系。</w:t>
      </w:r>
    </w:p>
    <w:p>
      <w:pPr>
        <w:spacing w:line="360" w:lineRule="auto"/>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1、</w:t>
      </w:r>
      <w:r>
        <w:rPr>
          <w:rFonts w:asciiTheme="minorEastAsia" w:hAnsiTheme="minorEastAsia" w:eastAsiaTheme="minorEastAsia"/>
          <w:szCs w:val="24"/>
        </w:rPr>
        <w:t xml:space="preserve">采购人信息 </w:t>
      </w:r>
    </w:p>
    <w:p>
      <w:pPr>
        <w:spacing w:line="360" w:lineRule="auto"/>
        <w:ind w:firstLine="424" w:firstLineChars="202"/>
        <w:rPr>
          <w:rFonts w:hint="eastAsia" w:asciiTheme="minorEastAsia" w:hAnsiTheme="minorEastAsia" w:eastAsiaTheme="minorEastAsia"/>
          <w:szCs w:val="24"/>
        </w:rPr>
      </w:pPr>
      <w:r>
        <w:rPr>
          <w:rFonts w:hint="eastAsia" w:asciiTheme="minorEastAsia" w:hAnsiTheme="minorEastAsia" w:eastAsiaTheme="minorEastAsia"/>
          <w:szCs w:val="24"/>
        </w:rPr>
        <w:t xml:space="preserve">名称：深圳市市场监督管理局 </w:t>
      </w:r>
    </w:p>
    <w:p>
      <w:pPr>
        <w:spacing w:line="360" w:lineRule="auto"/>
        <w:ind w:firstLine="424" w:firstLineChars="202"/>
        <w:rPr>
          <w:rFonts w:hint="eastAsia" w:asciiTheme="minorEastAsia" w:hAnsiTheme="minorEastAsia" w:eastAsiaTheme="minorEastAsia"/>
          <w:szCs w:val="24"/>
        </w:rPr>
      </w:pPr>
      <w:r>
        <w:rPr>
          <w:rFonts w:hint="eastAsia" w:asciiTheme="minorEastAsia" w:hAnsiTheme="minorEastAsia" w:eastAsiaTheme="minorEastAsia"/>
          <w:szCs w:val="24"/>
        </w:rPr>
        <w:t>地址：深圳市福田区深南大道7010号工商物价大厦</w:t>
      </w:r>
    </w:p>
    <w:p>
      <w:pPr>
        <w:spacing w:line="360" w:lineRule="auto"/>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联系方式：</w:t>
      </w:r>
      <w:r>
        <w:rPr>
          <w:rFonts w:hint="eastAsia" w:asciiTheme="minorEastAsia" w:hAnsiTheme="minorEastAsia" w:eastAsiaTheme="minorEastAsia"/>
          <w:szCs w:val="24"/>
          <w:lang w:val="en-US" w:eastAsia="zh-CN"/>
        </w:rPr>
        <w:t>0755-83070530</w:t>
      </w:r>
    </w:p>
    <w:p>
      <w:pPr>
        <w:spacing w:line="360" w:lineRule="auto"/>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2、</w:t>
      </w:r>
      <w:r>
        <w:rPr>
          <w:rFonts w:asciiTheme="minorEastAsia" w:hAnsiTheme="minorEastAsia" w:eastAsiaTheme="minorEastAsia"/>
          <w:szCs w:val="24"/>
        </w:rPr>
        <w:t xml:space="preserve">采购代理机构信息 </w:t>
      </w:r>
    </w:p>
    <w:p>
      <w:pPr>
        <w:spacing w:line="360" w:lineRule="auto"/>
        <w:ind w:firstLine="424" w:firstLineChars="202"/>
        <w:rPr>
          <w:rFonts w:asciiTheme="minorEastAsia" w:hAnsiTheme="minorEastAsia" w:eastAsiaTheme="minorEastAsia"/>
          <w:szCs w:val="24"/>
        </w:rPr>
      </w:pPr>
      <w:r>
        <w:rPr>
          <w:rFonts w:asciiTheme="minorEastAsia" w:hAnsiTheme="minorEastAsia" w:eastAsiaTheme="minorEastAsia"/>
          <w:szCs w:val="24"/>
        </w:rPr>
        <w:t xml:space="preserve">名称：深圳市中正招标有限公司 </w:t>
      </w:r>
    </w:p>
    <w:p>
      <w:pPr>
        <w:spacing w:line="360" w:lineRule="auto"/>
        <w:ind w:firstLine="424" w:firstLineChars="202"/>
        <w:rPr>
          <w:rFonts w:asciiTheme="minorEastAsia" w:hAnsiTheme="minorEastAsia" w:eastAsiaTheme="minorEastAsia"/>
          <w:szCs w:val="24"/>
        </w:rPr>
      </w:pPr>
      <w:r>
        <w:rPr>
          <w:rFonts w:asciiTheme="minorEastAsia" w:hAnsiTheme="minorEastAsia" w:eastAsiaTheme="minorEastAsia"/>
          <w:szCs w:val="24"/>
        </w:rPr>
        <w:t>地址：深圳市福田区</w:t>
      </w:r>
      <w:r>
        <w:rPr>
          <w:rFonts w:hint="eastAsia" w:asciiTheme="minorEastAsia" w:hAnsiTheme="minorEastAsia" w:eastAsiaTheme="minorEastAsia"/>
          <w:szCs w:val="24"/>
        </w:rPr>
        <w:t>民田路171号新华保险大厦903</w:t>
      </w:r>
    </w:p>
    <w:p>
      <w:pPr>
        <w:spacing w:line="360" w:lineRule="auto"/>
        <w:ind w:firstLine="424" w:firstLineChars="202"/>
        <w:rPr>
          <w:rFonts w:asciiTheme="minorEastAsia" w:hAnsiTheme="minorEastAsia" w:eastAsiaTheme="minorEastAsia"/>
          <w:szCs w:val="24"/>
        </w:rPr>
      </w:pPr>
      <w:r>
        <w:rPr>
          <w:rFonts w:asciiTheme="minorEastAsia" w:hAnsiTheme="minorEastAsia" w:eastAsiaTheme="minorEastAsia"/>
          <w:szCs w:val="24"/>
        </w:rPr>
        <w:t>联系方式：0755-83026699</w:t>
      </w:r>
    </w:p>
    <w:p>
      <w:pPr>
        <w:spacing w:line="360" w:lineRule="auto"/>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3、</w:t>
      </w:r>
      <w:r>
        <w:rPr>
          <w:rFonts w:asciiTheme="minorEastAsia" w:hAnsiTheme="minorEastAsia" w:eastAsiaTheme="minorEastAsia"/>
          <w:szCs w:val="24"/>
        </w:rPr>
        <w:t xml:space="preserve">项目联系方式 </w:t>
      </w:r>
    </w:p>
    <w:p>
      <w:pPr>
        <w:spacing w:line="360" w:lineRule="auto"/>
        <w:ind w:firstLine="424" w:firstLineChars="202"/>
        <w:rPr>
          <w:rFonts w:asciiTheme="minorEastAsia" w:hAnsiTheme="minorEastAsia" w:eastAsiaTheme="minorEastAsia"/>
          <w:szCs w:val="24"/>
        </w:rPr>
      </w:pPr>
      <w:r>
        <w:rPr>
          <w:rFonts w:asciiTheme="minorEastAsia" w:hAnsiTheme="minorEastAsia" w:eastAsiaTheme="minorEastAsia"/>
          <w:szCs w:val="24"/>
        </w:rPr>
        <w:t>项目联系人：</w:t>
      </w:r>
      <w:r>
        <w:rPr>
          <w:rFonts w:hint="eastAsia" w:asciiTheme="minorEastAsia" w:hAnsiTheme="minorEastAsia" w:eastAsiaTheme="minorEastAsia"/>
          <w:szCs w:val="24"/>
          <w:lang w:val="en-US" w:eastAsia="zh-CN"/>
        </w:rPr>
        <w:t>李工</w:t>
      </w:r>
      <w:r>
        <w:rPr>
          <w:rFonts w:asciiTheme="minorEastAsia" w:hAnsiTheme="minorEastAsia" w:eastAsiaTheme="minorEastAsia"/>
          <w:szCs w:val="24"/>
        </w:rPr>
        <w:t xml:space="preserve"> </w:t>
      </w:r>
    </w:p>
    <w:p>
      <w:pPr>
        <w:spacing w:line="360" w:lineRule="auto"/>
        <w:ind w:firstLine="424" w:firstLineChars="202"/>
        <w:rPr>
          <w:rFonts w:asciiTheme="minorEastAsia" w:hAnsiTheme="minorEastAsia" w:eastAsiaTheme="minorEastAsia"/>
          <w:szCs w:val="24"/>
        </w:rPr>
      </w:pPr>
      <w:r>
        <w:rPr>
          <w:rFonts w:asciiTheme="minorEastAsia" w:hAnsiTheme="minorEastAsia" w:eastAsiaTheme="minorEastAsia"/>
          <w:szCs w:val="24"/>
        </w:rPr>
        <w:t>电话：</w:t>
      </w:r>
      <w:r>
        <w:rPr>
          <w:rFonts w:hint="eastAsia" w:asciiTheme="minorEastAsia" w:hAnsiTheme="minorEastAsia" w:eastAsiaTheme="minorEastAsia"/>
          <w:szCs w:val="24"/>
        </w:rPr>
        <w:t>0755-83026699</w:t>
      </w:r>
    </w:p>
    <w:p>
      <w:pPr>
        <w:spacing w:line="360" w:lineRule="auto"/>
        <w:ind w:firstLine="424" w:firstLineChars="202"/>
        <w:rPr>
          <w:rFonts w:asciiTheme="minorEastAsia" w:hAnsiTheme="minorEastAsia" w:eastAsiaTheme="minorEastAsia"/>
          <w:szCs w:val="24"/>
        </w:rPr>
      </w:pPr>
      <w:r>
        <w:rPr>
          <w:rFonts w:hint="eastAsia" w:asciiTheme="minorEastAsia" w:hAnsiTheme="minorEastAsia" w:eastAsiaTheme="minorEastAsia"/>
          <w:szCs w:val="24"/>
        </w:rPr>
        <w:t>技术支持：0755-86500023</w:t>
      </w:r>
    </w:p>
    <w:p>
      <w:pPr>
        <w:widowControl/>
        <w:spacing w:line="360" w:lineRule="auto"/>
        <w:ind w:firstLine="484" w:firstLineChars="202"/>
        <w:jc w:val="right"/>
        <w:rPr>
          <w:rFonts w:ascii="宋体" w:hAnsi="宋体"/>
          <w:sz w:val="24"/>
          <w:szCs w:val="24"/>
        </w:rPr>
      </w:pPr>
      <w:r>
        <w:rPr>
          <w:rFonts w:hint="eastAsia" w:ascii="宋体" w:hAnsi="宋体"/>
          <w:sz w:val="24"/>
          <w:szCs w:val="24"/>
        </w:rPr>
        <w:t>深圳市中正招标有限公司</w:t>
      </w:r>
    </w:p>
    <w:p>
      <w:pPr>
        <w:widowControl/>
        <w:spacing w:line="360" w:lineRule="auto"/>
        <w:ind w:firstLine="484" w:firstLineChars="202"/>
        <w:jc w:val="right"/>
        <w:rPr>
          <w:rFonts w:ascii="Times New Roman" w:hAnsi="Times New Roman"/>
          <w:sz w:val="24"/>
          <w:szCs w:val="24"/>
        </w:rPr>
      </w:pPr>
      <w:r>
        <w:rPr>
          <w:rFonts w:hint="eastAsia" w:ascii="宋体" w:hAnsi="宋体"/>
          <w:sz w:val="24"/>
          <w:szCs w:val="24"/>
        </w:rPr>
        <w:t>202</w:t>
      </w:r>
      <w:r>
        <w:rPr>
          <w:rFonts w:ascii="宋体" w:hAnsi="宋体"/>
          <w:sz w:val="24"/>
          <w:szCs w:val="24"/>
        </w:rPr>
        <w:t>2</w:t>
      </w:r>
      <w:r>
        <w:rPr>
          <w:rFonts w:hint="eastAsia" w:ascii="宋体" w:hAnsi="宋体"/>
          <w:sz w:val="24"/>
          <w:szCs w:val="24"/>
        </w:rPr>
        <w:t>年</w:t>
      </w:r>
      <w:r>
        <w:rPr>
          <w:rFonts w:hint="eastAsia" w:ascii="宋体" w:hAnsi="宋体"/>
          <w:sz w:val="24"/>
          <w:szCs w:val="24"/>
          <w:lang w:val="en-US" w:eastAsia="zh-CN"/>
        </w:rPr>
        <w:t>5</w:t>
      </w:r>
      <w:r>
        <w:rPr>
          <w:rFonts w:hint="eastAsia" w:ascii="宋体" w:hAnsi="宋体"/>
          <w:sz w:val="24"/>
          <w:szCs w:val="24"/>
        </w:rPr>
        <w:t>月</w:t>
      </w:r>
      <w:r>
        <w:rPr>
          <w:rFonts w:hint="eastAsia" w:ascii="宋体" w:hAnsi="宋体"/>
          <w:sz w:val="24"/>
          <w:szCs w:val="24"/>
          <w:lang w:val="en-US" w:eastAsia="zh-CN"/>
        </w:rPr>
        <w:t>13</w:t>
      </w:r>
      <w:r>
        <w:rPr>
          <w:rFonts w:hint="eastAsia" w:ascii="宋体" w:hAnsi="宋体"/>
          <w:sz w:val="24"/>
          <w:szCs w:val="24"/>
        </w:rPr>
        <w:t>日</w:t>
      </w:r>
      <w:bookmarkEnd w:id="0"/>
    </w:p>
    <w:bookmarkEnd w:id="1"/>
    <w:p>
      <w:pPr>
        <w:spacing w:line="400" w:lineRule="exact"/>
        <w:jc w:val="right"/>
        <w:rPr>
          <w:rFonts w:ascii="宋体" w:hAnsi="宋体"/>
          <w:szCs w:val="21"/>
        </w:rPr>
      </w:pPr>
    </w:p>
    <w:p>
      <w:pPr>
        <w:spacing w:line="400" w:lineRule="exact"/>
        <w:jc w:val="right"/>
        <w:rPr>
          <w:rFonts w:ascii="宋体" w:hAnsi="宋体"/>
          <w:szCs w:val="21"/>
        </w:rPr>
      </w:pPr>
    </w:p>
    <w:p>
      <w:pPr>
        <w:spacing w:line="400" w:lineRule="exact"/>
        <w:jc w:val="right"/>
        <w:rPr>
          <w:rFonts w:ascii="宋体" w:hAnsi="宋体"/>
          <w:szCs w:val="21"/>
        </w:rPr>
      </w:pPr>
    </w:p>
    <w:p>
      <w:pPr>
        <w:spacing w:line="400" w:lineRule="exact"/>
        <w:jc w:val="right"/>
        <w:rPr>
          <w:rFonts w:ascii="宋体" w:hAnsi="宋体"/>
          <w:szCs w:val="21"/>
        </w:rPr>
      </w:pPr>
    </w:p>
    <w:p>
      <w:pPr>
        <w:spacing w:line="400" w:lineRule="exact"/>
        <w:jc w:val="right"/>
        <w:rPr>
          <w:rFonts w:ascii="宋体" w:hAnsi="宋体"/>
          <w:szCs w:val="21"/>
        </w:rPr>
      </w:pPr>
    </w:p>
    <w:p>
      <w:pPr>
        <w:spacing w:line="400" w:lineRule="exact"/>
        <w:jc w:val="right"/>
        <w:rPr>
          <w:rFonts w:ascii="宋体" w:hAnsi="宋体"/>
          <w:szCs w:val="21"/>
        </w:rPr>
      </w:pPr>
    </w:p>
    <w:p>
      <w:pPr>
        <w:spacing w:line="400" w:lineRule="exact"/>
        <w:jc w:val="right"/>
        <w:rPr>
          <w:rFonts w:ascii="宋体" w:hAnsi="宋体"/>
          <w:szCs w:val="21"/>
        </w:rPr>
      </w:pPr>
    </w:p>
    <w:p>
      <w:pPr>
        <w:spacing w:line="400" w:lineRule="exact"/>
        <w:jc w:val="right"/>
        <w:rPr>
          <w:rFonts w:ascii="宋体" w:hAnsi="宋体"/>
          <w:szCs w:val="21"/>
        </w:rPr>
      </w:pPr>
    </w:p>
    <w:p>
      <w:pPr>
        <w:spacing w:line="400" w:lineRule="exact"/>
        <w:jc w:val="right"/>
        <w:rPr>
          <w:rFonts w:ascii="宋体" w:hAnsi="宋体"/>
          <w:szCs w:val="21"/>
        </w:rPr>
      </w:pPr>
    </w:p>
    <w:p>
      <w:pPr>
        <w:spacing w:line="400" w:lineRule="exact"/>
        <w:jc w:val="right"/>
        <w:rPr>
          <w:rFonts w:ascii="宋体" w:hAnsi="宋体"/>
          <w:szCs w:val="21"/>
        </w:rPr>
      </w:pPr>
    </w:p>
    <w:p>
      <w:pPr>
        <w:spacing w:line="400" w:lineRule="exact"/>
        <w:jc w:val="right"/>
        <w:rPr>
          <w:rFonts w:ascii="宋体" w:hAnsi="宋体"/>
          <w:szCs w:val="21"/>
        </w:rPr>
      </w:pPr>
    </w:p>
    <w:p>
      <w:pPr>
        <w:spacing w:line="400" w:lineRule="exact"/>
        <w:jc w:val="right"/>
        <w:rPr>
          <w:rFonts w:ascii="宋体" w:hAnsi="宋体"/>
          <w:szCs w:val="21"/>
        </w:rPr>
      </w:pPr>
    </w:p>
    <w:p>
      <w:pPr>
        <w:spacing w:line="400" w:lineRule="exact"/>
        <w:jc w:val="right"/>
        <w:rPr>
          <w:rFonts w:ascii="宋体" w:hAnsi="宋体"/>
          <w:szCs w:val="21"/>
        </w:rPr>
      </w:pPr>
    </w:p>
    <w:p>
      <w:pPr>
        <w:spacing w:line="400" w:lineRule="exact"/>
        <w:jc w:val="right"/>
        <w:rPr>
          <w:rFonts w:ascii="宋体" w:hAnsi="宋体"/>
          <w:szCs w:val="21"/>
        </w:rPr>
      </w:pPr>
    </w:p>
    <w:p>
      <w:pPr>
        <w:spacing w:line="400" w:lineRule="exact"/>
        <w:jc w:val="right"/>
        <w:rPr>
          <w:rFonts w:ascii="宋体" w:hAnsi="宋体"/>
          <w:szCs w:val="21"/>
        </w:rPr>
      </w:pPr>
    </w:p>
    <w:p>
      <w:pPr>
        <w:spacing w:line="400" w:lineRule="exact"/>
        <w:jc w:val="right"/>
        <w:rPr>
          <w:rFonts w:ascii="宋体" w:hAnsi="宋体"/>
          <w:szCs w:val="21"/>
        </w:rPr>
      </w:pPr>
    </w:p>
    <w:p>
      <w:pPr>
        <w:spacing w:line="400" w:lineRule="exact"/>
        <w:jc w:val="right"/>
        <w:rPr>
          <w:rFonts w:ascii="宋体" w:hAnsi="宋体"/>
          <w:szCs w:val="21"/>
        </w:rPr>
      </w:pPr>
    </w:p>
    <w:p>
      <w:pPr>
        <w:widowControl/>
        <w:jc w:val="left"/>
        <w:rPr>
          <w:rFonts w:ascii="宋体" w:hAnsi="宋体"/>
          <w:szCs w:val="21"/>
        </w:rPr>
      </w:pPr>
      <w:r>
        <w:rPr>
          <w:rFonts w:ascii="宋体" w:hAnsi="宋体"/>
          <w:szCs w:val="21"/>
        </w:rPr>
        <w:br w:type="page"/>
      </w:r>
    </w:p>
    <w:p>
      <w:pPr>
        <w:keepNext/>
        <w:keepLines/>
        <w:adjustRightInd w:val="0"/>
        <w:spacing w:before="260" w:after="260"/>
        <w:jc w:val="center"/>
        <w:textAlignment w:val="baseline"/>
        <w:outlineLvl w:val="1"/>
        <w:rPr>
          <w:rFonts w:ascii="宋体" w:hAnsi="宋体"/>
          <w:b/>
          <w:bCs/>
          <w:kern w:val="0"/>
          <w:sz w:val="24"/>
          <w:szCs w:val="20"/>
        </w:rPr>
      </w:pPr>
      <w:r>
        <w:rPr>
          <w:rFonts w:hint="eastAsia" w:ascii="宋体" w:hAnsi="宋体"/>
          <w:b/>
          <w:bCs/>
          <w:kern w:val="0"/>
          <w:sz w:val="24"/>
          <w:szCs w:val="20"/>
        </w:rPr>
        <w:t>第二章  招标项目需求</w:t>
      </w:r>
    </w:p>
    <w:p>
      <w:pPr>
        <w:keepNext/>
        <w:keepLines/>
        <w:adjustRightInd w:val="0"/>
        <w:spacing w:beforeLines="50" w:afterLines="50"/>
        <w:jc w:val="center"/>
        <w:textAlignment w:val="baseline"/>
        <w:outlineLvl w:val="1"/>
        <w:rPr>
          <w:rFonts w:ascii="宋体" w:hAnsi="宋体"/>
          <w:b/>
          <w:bCs/>
          <w:kern w:val="0"/>
          <w:sz w:val="28"/>
          <w:szCs w:val="28"/>
        </w:rPr>
      </w:pPr>
      <w:bookmarkStart w:id="2" w:name="_Toc73518117"/>
      <w:bookmarkStart w:id="3" w:name="_Toc101074876"/>
      <w:bookmarkStart w:id="4" w:name="_Toc60631620"/>
      <w:bookmarkStart w:id="5" w:name="_Toc73517639"/>
      <w:bookmarkStart w:id="6" w:name="_Toc73521547"/>
      <w:bookmarkStart w:id="7" w:name="_Toc60560625"/>
      <w:bookmarkStart w:id="8" w:name="_Toc73521635"/>
      <w:bookmarkStart w:id="9" w:name="_Toc100052364"/>
      <w:r>
        <w:rPr>
          <w:rFonts w:hint="eastAsia" w:ascii="宋体" w:hAnsi="宋体"/>
          <w:b/>
          <w:bCs/>
          <w:kern w:val="0"/>
          <w:sz w:val="28"/>
          <w:szCs w:val="28"/>
        </w:rPr>
        <w:t>一、对通用条款的补充内容</w:t>
      </w:r>
    </w:p>
    <w:bookmarkEnd w:id="2"/>
    <w:bookmarkEnd w:id="3"/>
    <w:bookmarkEnd w:id="4"/>
    <w:bookmarkEnd w:id="5"/>
    <w:bookmarkEnd w:id="6"/>
    <w:bookmarkEnd w:id="7"/>
    <w:bookmarkEnd w:id="8"/>
    <w:bookmarkEnd w:id="9"/>
    <w:tbl>
      <w:tblPr>
        <w:tblStyle w:val="42"/>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07"/>
        <w:gridCol w:w="2160"/>
        <w:gridCol w:w="54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b/>
                <w:bCs/>
                <w:szCs w:val="24"/>
              </w:rPr>
            </w:pPr>
            <w:r>
              <w:rPr>
                <w:rFonts w:hint="eastAsia" w:ascii="宋体" w:hAnsi="宋体"/>
                <w:b/>
                <w:bCs/>
                <w:szCs w:val="24"/>
              </w:rPr>
              <w:t>序号</w:t>
            </w:r>
          </w:p>
        </w:tc>
        <w:tc>
          <w:tcPr>
            <w:tcW w:w="2160" w:type="dxa"/>
            <w:vAlign w:val="center"/>
          </w:tcPr>
          <w:p>
            <w:pPr>
              <w:jc w:val="center"/>
              <w:rPr>
                <w:rFonts w:ascii="宋体" w:hAnsi="宋体"/>
                <w:b/>
                <w:bCs/>
                <w:szCs w:val="24"/>
              </w:rPr>
            </w:pPr>
            <w:r>
              <w:rPr>
                <w:rFonts w:hint="eastAsia" w:ascii="宋体" w:hAnsi="宋体"/>
                <w:b/>
                <w:bCs/>
                <w:szCs w:val="24"/>
              </w:rPr>
              <w:t>内   容</w:t>
            </w:r>
          </w:p>
        </w:tc>
        <w:tc>
          <w:tcPr>
            <w:tcW w:w="5400" w:type="dxa"/>
            <w:vAlign w:val="center"/>
          </w:tcPr>
          <w:p>
            <w:pPr>
              <w:jc w:val="center"/>
              <w:rPr>
                <w:rFonts w:ascii="宋体" w:hAnsi="宋体"/>
                <w:b/>
                <w:bCs/>
                <w:szCs w:val="24"/>
              </w:rPr>
            </w:pPr>
            <w:r>
              <w:rPr>
                <w:rFonts w:hint="eastAsia" w:ascii="宋体" w:hAnsi="宋体"/>
                <w:b/>
                <w:bCs/>
                <w:szCs w:val="24"/>
              </w:rPr>
              <w:t>规      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65" w:hRule="atLeast"/>
          <w:jc w:val="center"/>
        </w:trPr>
        <w:tc>
          <w:tcPr>
            <w:tcW w:w="807" w:type="dxa"/>
            <w:vAlign w:val="center"/>
          </w:tcPr>
          <w:p>
            <w:pPr>
              <w:jc w:val="center"/>
              <w:rPr>
                <w:rFonts w:ascii="宋体" w:hAnsi="宋体"/>
                <w:szCs w:val="24"/>
              </w:rPr>
            </w:pPr>
            <w:r>
              <w:rPr>
                <w:rFonts w:hint="eastAsia" w:ascii="宋体" w:hAnsi="宋体"/>
                <w:szCs w:val="24"/>
              </w:rPr>
              <w:t>1</w:t>
            </w:r>
          </w:p>
        </w:tc>
        <w:tc>
          <w:tcPr>
            <w:tcW w:w="2160" w:type="dxa"/>
            <w:vAlign w:val="center"/>
          </w:tcPr>
          <w:p>
            <w:pPr>
              <w:jc w:val="center"/>
              <w:rPr>
                <w:rFonts w:ascii="Times New Roman" w:hAnsi="Times New Roman"/>
                <w:szCs w:val="24"/>
              </w:rPr>
            </w:pPr>
            <w:r>
              <w:rPr>
                <w:rFonts w:hint="eastAsia" w:ascii="Times New Roman" w:hAnsi="Times New Roman"/>
                <w:szCs w:val="24"/>
              </w:rPr>
              <w:t>联合体投标</w:t>
            </w:r>
          </w:p>
        </w:tc>
        <w:tc>
          <w:tcPr>
            <w:tcW w:w="5400" w:type="dxa"/>
            <w:vAlign w:val="center"/>
          </w:tcPr>
          <w:p>
            <w:pPr>
              <w:rPr>
                <w:rFonts w:ascii="宋体" w:hAnsi="宋体"/>
                <w:snapToGrid w:val="0"/>
                <w:kern w:val="0"/>
                <w:szCs w:val="32"/>
                <w:lang w:val="zh-CN"/>
              </w:rPr>
            </w:pPr>
            <w:r>
              <w:rPr>
                <w:rFonts w:hint="eastAsia" w:ascii="宋体" w:hAnsi="宋体"/>
                <w:snapToGrid w:val="0"/>
                <w:kern w:val="0"/>
                <w:szCs w:val="32"/>
                <w:lang w:val="zh-CN"/>
              </w:rPr>
              <w:t>见《招标公告》中“项目基本情况”部分的相关内容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65" w:hRule="atLeast"/>
          <w:jc w:val="center"/>
        </w:trPr>
        <w:tc>
          <w:tcPr>
            <w:tcW w:w="807" w:type="dxa"/>
            <w:vAlign w:val="center"/>
          </w:tcPr>
          <w:p>
            <w:pPr>
              <w:jc w:val="center"/>
              <w:rPr>
                <w:rFonts w:ascii="宋体" w:hAnsi="宋体"/>
                <w:szCs w:val="24"/>
              </w:rPr>
            </w:pPr>
            <w:r>
              <w:rPr>
                <w:rFonts w:hint="eastAsia" w:ascii="宋体" w:hAnsi="宋体"/>
                <w:szCs w:val="24"/>
              </w:rPr>
              <w:t>2</w:t>
            </w:r>
          </w:p>
        </w:tc>
        <w:tc>
          <w:tcPr>
            <w:tcW w:w="2160" w:type="dxa"/>
            <w:vAlign w:val="center"/>
          </w:tcPr>
          <w:p>
            <w:pPr>
              <w:jc w:val="center"/>
              <w:rPr>
                <w:rFonts w:ascii="宋体" w:hAnsi="宋体"/>
                <w:szCs w:val="24"/>
              </w:rPr>
            </w:pPr>
            <w:r>
              <w:rPr>
                <w:rFonts w:hint="eastAsia" w:ascii="宋体" w:hAnsi="宋体"/>
                <w:szCs w:val="24"/>
              </w:rPr>
              <w:t>投标有效期</w:t>
            </w:r>
          </w:p>
        </w:tc>
        <w:tc>
          <w:tcPr>
            <w:tcW w:w="5400" w:type="dxa"/>
            <w:vAlign w:val="center"/>
          </w:tcPr>
          <w:p>
            <w:pPr>
              <w:rPr>
                <w:rFonts w:ascii="宋体" w:hAnsi="宋体"/>
                <w:szCs w:val="24"/>
              </w:rPr>
            </w:pPr>
            <w:r>
              <w:rPr>
                <w:rFonts w:hint="eastAsia" w:ascii="宋体" w:hAnsi="宋体"/>
                <w:szCs w:val="24"/>
                <w:u w:val="single"/>
              </w:rPr>
              <w:t>90</w:t>
            </w:r>
            <w:r>
              <w:rPr>
                <w:rFonts w:ascii="宋体" w:hAnsi="宋体"/>
                <w:szCs w:val="24"/>
                <w:u w:val="single"/>
              </w:rPr>
              <w:t>日历天</w:t>
            </w:r>
            <w:r>
              <w:rPr>
                <w:rFonts w:ascii="宋体" w:hAnsi="宋体"/>
                <w:szCs w:val="24"/>
              </w:rPr>
              <w:t>（从投标截止之日算起）</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365" w:hRule="atLeast"/>
          <w:jc w:val="center"/>
        </w:trPr>
        <w:tc>
          <w:tcPr>
            <w:tcW w:w="807" w:type="dxa"/>
            <w:vAlign w:val="center"/>
          </w:tcPr>
          <w:p>
            <w:pPr>
              <w:jc w:val="center"/>
              <w:rPr>
                <w:rFonts w:ascii="宋体" w:hAnsi="宋体"/>
                <w:szCs w:val="24"/>
              </w:rPr>
            </w:pPr>
            <w:r>
              <w:rPr>
                <w:rFonts w:hint="eastAsia" w:ascii="宋体" w:hAnsi="宋体"/>
                <w:szCs w:val="24"/>
              </w:rPr>
              <w:t>3</w:t>
            </w:r>
          </w:p>
        </w:tc>
        <w:tc>
          <w:tcPr>
            <w:tcW w:w="2160" w:type="dxa"/>
            <w:vAlign w:val="center"/>
          </w:tcPr>
          <w:p>
            <w:pPr>
              <w:jc w:val="center"/>
              <w:rPr>
                <w:rFonts w:ascii="宋体" w:hAnsi="宋体"/>
                <w:szCs w:val="24"/>
              </w:rPr>
            </w:pPr>
            <w:r>
              <w:rPr>
                <w:rFonts w:hint="eastAsia" w:ascii="宋体" w:hAnsi="宋体"/>
                <w:szCs w:val="24"/>
              </w:rPr>
              <w:t>投标人的替代方案</w:t>
            </w:r>
          </w:p>
        </w:tc>
        <w:tc>
          <w:tcPr>
            <w:tcW w:w="5400" w:type="dxa"/>
            <w:vAlign w:val="center"/>
          </w:tcPr>
          <w:p>
            <w:pPr>
              <w:rPr>
                <w:rFonts w:ascii="宋体" w:hAnsi="宋体"/>
                <w:szCs w:val="24"/>
              </w:rPr>
            </w:pPr>
            <w:r>
              <w:rPr>
                <w:rFonts w:hint="eastAsia" w:ascii="宋体" w:hAnsi="宋体"/>
                <w:szCs w:val="24"/>
              </w:rPr>
              <w:t>不允许</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20" w:hRule="atLeast"/>
          <w:jc w:val="center"/>
        </w:trPr>
        <w:tc>
          <w:tcPr>
            <w:tcW w:w="807" w:type="dxa"/>
            <w:vAlign w:val="center"/>
          </w:tcPr>
          <w:p>
            <w:pPr>
              <w:jc w:val="center"/>
              <w:rPr>
                <w:rFonts w:ascii="宋体" w:hAnsi="宋体"/>
                <w:szCs w:val="24"/>
              </w:rPr>
            </w:pPr>
            <w:r>
              <w:rPr>
                <w:rFonts w:hint="eastAsia" w:ascii="宋体" w:hAnsi="宋体"/>
                <w:szCs w:val="24"/>
              </w:rPr>
              <w:t>4</w:t>
            </w:r>
          </w:p>
        </w:tc>
        <w:tc>
          <w:tcPr>
            <w:tcW w:w="2160" w:type="dxa"/>
            <w:vAlign w:val="center"/>
          </w:tcPr>
          <w:p>
            <w:pPr>
              <w:jc w:val="center"/>
              <w:rPr>
                <w:rFonts w:ascii="宋体" w:hAnsi="宋体"/>
                <w:szCs w:val="24"/>
              </w:rPr>
            </w:pPr>
            <w:r>
              <w:rPr>
                <w:rFonts w:hint="eastAsia" w:ascii="宋体" w:hAnsi="宋体"/>
                <w:szCs w:val="24"/>
              </w:rPr>
              <w:t>投标文件的投递</w:t>
            </w:r>
          </w:p>
        </w:tc>
        <w:tc>
          <w:tcPr>
            <w:tcW w:w="5400" w:type="dxa"/>
            <w:vAlign w:val="center"/>
          </w:tcPr>
          <w:p>
            <w:pPr>
              <w:spacing w:line="360" w:lineRule="exact"/>
              <w:rPr>
                <w:rFonts w:ascii="宋体" w:hAnsi="宋体"/>
              </w:rPr>
            </w:pPr>
            <w:r>
              <w:rPr>
                <w:rFonts w:hint="eastAsia" w:ascii="宋体" w:hAnsi="宋体"/>
              </w:rPr>
              <w:t>本项目实行网上投标，投标人必须在招标文件规定的投标截止时间前登录“深圳政府采购智慧平台用户网上办事子系统”，使用“【我的项目】→【项目流程】→【递交投标(应答)文件】</w:t>
            </w:r>
            <w:r>
              <w:rPr>
                <w:rFonts w:ascii="宋体" w:hAnsi="宋体"/>
              </w:rPr>
              <w:t>”功能</w:t>
            </w:r>
            <w:r>
              <w:rPr>
                <w:rFonts w:hint="eastAsia" w:ascii="宋体" w:hAnsi="宋体"/>
              </w:rPr>
              <w:t>点，</w:t>
            </w:r>
            <w:r>
              <w:rPr>
                <w:rFonts w:ascii="宋体" w:hAnsi="宋体"/>
              </w:rPr>
              <w:t>将编制好的电子投标文件上传，投标文件大小不得超过</w:t>
            </w:r>
            <w:r>
              <w:rPr>
                <w:rFonts w:hint="eastAsia" w:ascii="宋体" w:hAnsi="宋体"/>
              </w:rPr>
              <w:t>10</w:t>
            </w:r>
            <w:r>
              <w:rPr>
                <w:rFonts w:ascii="宋体" w:hAnsi="宋体"/>
              </w:rPr>
              <w:t>0MB</w:t>
            </w:r>
            <w:r>
              <w:rPr>
                <w:rFonts w:hint="eastAsia" w:ascii="宋体" w:hAnsi="宋体"/>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jc w:val="center"/>
        </w:trPr>
        <w:tc>
          <w:tcPr>
            <w:tcW w:w="807" w:type="dxa"/>
            <w:vAlign w:val="center"/>
          </w:tcPr>
          <w:p>
            <w:pPr>
              <w:jc w:val="center"/>
              <w:rPr>
                <w:rFonts w:ascii="宋体" w:hAnsi="宋体"/>
                <w:szCs w:val="24"/>
              </w:rPr>
            </w:pPr>
            <w:r>
              <w:rPr>
                <w:rFonts w:hint="eastAsia" w:ascii="宋体" w:hAnsi="宋体"/>
                <w:szCs w:val="24"/>
              </w:rPr>
              <w:t>5</w:t>
            </w:r>
          </w:p>
        </w:tc>
        <w:tc>
          <w:tcPr>
            <w:tcW w:w="2160" w:type="dxa"/>
            <w:vAlign w:val="center"/>
          </w:tcPr>
          <w:p>
            <w:pPr>
              <w:jc w:val="center"/>
              <w:rPr>
                <w:rFonts w:ascii="宋体" w:hAnsi="宋体"/>
                <w:szCs w:val="24"/>
              </w:rPr>
            </w:pPr>
            <w:r>
              <w:rPr>
                <w:rFonts w:hint="eastAsia" w:ascii="宋体" w:hAnsi="宋体"/>
                <w:szCs w:val="24"/>
              </w:rPr>
              <w:t>中标服务费</w:t>
            </w:r>
          </w:p>
        </w:tc>
        <w:tc>
          <w:tcPr>
            <w:tcW w:w="5400" w:type="dxa"/>
            <w:vAlign w:val="center"/>
          </w:tcPr>
          <w:p>
            <w:pPr>
              <w:spacing w:line="360" w:lineRule="exact"/>
              <w:rPr>
                <w:rFonts w:ascii="宋体" w:hAnsi="宋体"/>
              </w:rPr>
            </w:pPr>
            <w:r>
              <w:rPr>
                <w:rFonts w:hint="eastAsia" w:ascii="宋体" w:hAnsi="宋体"/>
              </w:rPr>
              <w:t>1、中标人须向招标代理机构缴纳中标服务费，收费标准详见通用条款41.4，最低收取人民币6000元。</w:t>
            </w:r>
          </w:p>
          <w:p>
            <w:pPr>
              <w:spacing w:line="360" w:lineRule="exact"/>
              <w:rPr>
                <w:rFonts w:ascii="宋体" w:hAnsi="宋体"/>
              </w:rPr>
            </w:pPr>
            <w:r>
              <w:rPr>
                <w:rFonts w:hint="eastAsia" w:ascii="宋体" w:hAnsi="宋体"/>
              </w:rPr>
              <w:t>2、中标服务费缴纳至：</w:t>
            </w:r>
          </w:p>
          <w:p>
            <w:pPr>
              <w:spacing w:line="360" w:lineRule="exact"/>
              <w:rPr>
                <w:rFonts w:ascii="宋体" w:hAnsi="宋体"/>
              </w:rPr>
            </w:pPr>
            <w:r>
              <w:rPr>
                <w:rFonts w:hint="eastAsia" w:ascii="宋体" w:hAnsi="宋体"/>
              </w:rPr>
              <w:t>开户名称：</w:t>
            </w:r>
            <w:r>
              <w:rPr>
                <w:rFonts w:hint="eastAsia" w:ascii="宋体" w:hAnsi="宋体"/>
                <w:szCs w:val="24"/>
              </w:rPr>
              <w:t>深圳市中正招标有限公司</w:t>
            </w:r>
          </w:p>
          <w:p>
            <w:pPr>
              <w:spacing w:line="360" w:lineRule="exact"/>
              <w:rPr>
                <w:rFonts w:ascii="宋体" w:hAnsi="宋体"/>
              </w:rPr>
            </w:pPr>
            <w:r>
              <w:rPr>
                <w:rFonts w:hint="eastAsia" w:ascii="宋体" w:hAnsi="宋体"/>
              </w:rPr>
              <w:t>银行帐号：</w:t>
            </w:r>
            <w:r>
              <w:rPr>
                <w:rFonts w:hint="eastAsia" w:ascii="宋体" w:hAnsi="宋体"/>
                <w:szCs w:val="24"/>
              </w:rPr>
              <w:t>03003729353</w:t>
            </w:r>
          </w:p>
          <w:p>
            <w:pPr>
              <w:spacing w:line="360" w:lineRule="exact"/>
              <w:rPr>
                <w:rFonts w:ascii="宋体" w:hAnsi="宋体"/>
              </w:rPr>
            </w:pPr>
            <w:r>
              <w:rPr>
                <w:rFonts w:hint="eastAsia" w:ascii="宋体" w:hAnsi="宋体"/>
              </w:rPr>
              <w:t>开户银行：</w:t>
            </w:r>
            <w:r>
              <w:rPr>
                <w:rFonts w:hint="eastAsia" w:ascii="宋体" w:hAnsi="宋体"/>
                <w:szCs w:val="24"/>
              </w:rPr>
              <w:t>上海银行深圳分行天安支行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20" w:hRule="atLeast"/>
          <w:jc w:val="center"/>
        </w:trPr>
        <w:tc>
          <w:tcPr>
            <w:tcW w:w="807" w:type="dxa"/>
            <w:vAlign w:val="center"/>
          </w:tcPr>
          <w:p>
            <w:pPr>
              <w:jc w:val="center"/>
              <w:rPr>
                <w:rFonts w:ascii="宋体" w:hAnsi="宋体"/>
                <w:szCs w:val="24"/>
              </w:rPr>
            </w:pPr>
            <w:r>
              <w:rPr>
                <w:rFonts w:hint="eastAsia" w:ascii="宋体" w:hAnsi="宋体"/>
                <w:szCs w:val="24"/>
              </w:rPr>
              <w:t>6</w:t>
            </w:r>
          </w:p>
        </w:tc>
        <w:tc>
          <w:tcPr>
            <w:tcW w:w="2160" w:type="dxa"/>
            <w:vAlign w:val="center"/>
          </w:tcPr>
          <w:p>
            <w:pPr>
              <w:jc w:val="center"/>
              <w:rPr>
                <w:rFonts w:ascii="宋体" w:hAnsi="宋体"/>
                <w:szCs w:val="24"/>
              </w:rPr>
            </w:pPr>
            <w:r>
              <w:rPr>
                <w:rFonts w:hint="eastAsia" w:ascii="宋体" w:hAnsi="宋体"/>
                <w:szCs w:val="24"/>
              </w:rPr>
              <w:t>履约保证金</w:t>
            </w:r>
          </w:p>
        </w:tc>
        <w:tc>
          <w:tcPr>
            <w:tcW w:w="5400" w:type="dxa"/>
            <w:vAlign w:val="center"/>
          </w:tcPr>
          <w:p>
            <w:pPr>
              <w:spacing w:line="360" w:lineRule="exact"/>
              <w:rPr>
                <w:rFonts w:ascii="宋体" w:hAnsi="宋体"/>
              </w:rPr>
            </w:pPr>
            <w:r>
              <w:rPr>
                <w:rFonts w:hint="eastAsia" w:ascii="宋体" w:hAnsi="宋体"/>
              </w:rPr>
              <w:t>合同金额的</w:t>
            </w:r>
            <w:r>
              <w:rPr>
                <w:rFonts w:hint="eastAsia" w:ascii="宋体" w:hAnsi="宋体"/>
                <w:u w:val="single"/>
              </w:rPr>
              <w:t xml:space="preserve">    </w:t>
            </w:r>
            <w:r>
              <w:rPr>
                <w:rFonts w:hint="eastAsia" w:ascii="宋体" w:hAnsi="宋体"/>
              </w:rPr>
              <w:t>%</w:t>
            </w:r>
          </w:p>
        </w:tc>
      </w:tr>
    </w:tbl>
    <w:p>
      <w:pPr>
        <w:rPr>
          <w:rFonts w:ascii="Times New Roman" w:hAnsi="Times New Roman"/>
          <w:b/>
          <w:szCs w:val="24"/>
        </w:rPr>
      </w:pPr>
      <w:r>
        <w:rPr>
          <w:rFonts w:hint="eastAsia" w:ascii="Times New Roman" w:hAnsi="Times New Roman"/>
          <w:szCs w:val="21"/>
        </w:rPr>
        <w:t xml:space="preserve">    备注：本表为通用条款相关内容的补充和明确，如与通用条款相冲突的以本表为准。</w:t>
      </w:r>
    </w:p>
    <w:p>
      <w:pPr>
        <w:rPr>
          <w:rFonts w:ascii="Times New Roman" w:hAnsi="Times New Roman"/>
          <w:b/>
          <w:szCs w:val="24"/>
        </w:rPr>
      </w:pPr>
    </w:p>
    <w:p>
      <w:pPr>
        <w:pStyle w:val="6"/>
        <w:spacing w:beforeLines="50" w:afterLines="50"/>
      </w:pPr>
      <w:bookmarkStart w:id="10" w:name="_Toc128884461"/>
      <w:r>
        <w:rPr>
          <w:rFonts w:hint="eastAsia"/>
          <w:sz w:val="28"/>
          <w:szCs w:val="28"/>
        </w:rPr>
        <w:t>二、实质性条款</w:t>
      </w:r>
    </w:p>
    <w:tbl>
      <w:tblPr>
        <w:tblStyle w:val="42"/>
        <w:tblW w:w="8363"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7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序号</w:t>
            </w:r>
          </w:p>
        </w:tc>
        <w:tc>
          <w:tcPr>
            <w:tcW w:w="7658"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7658" w:type="dxa"/>
            <w:vAlign w:val="center"/>
          </w:tcPr>
          <w:p>
            <w:pPr>
              <w:rPr>
                <w:rFonts w:hint="eastAsia" w:ascii="宋体" w:hAnsi="宋体" w:eastAsia="宋体" w:cs="宋体"/>
                <w:sz w:val="21"/>
                <w:szCs w:val="21"/>
              </w:rPr>
            </w:pPr>
            <w:r>
              <w:rPr>
                <w:rFonts w:hint="eastAsia" w:ascii="宋体" w:hAnsi="宋体" w:eastAsia="宋体" w:cs="宋体"/>
                <w:sz w:val="21"/>
                <w:szCs w:val="21"/>
              </w:rPr>
              <w:t>对基地环境和产品进行抽样检验，有资质出具检验报告。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05"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7658" w:type="dxa"/>
            <w:vAlign w:val="center"/>
          </w:tcPr>
          <w:p>
            <w:pPr>
              <w:rPr>
                <w:rFonts w:hint="eastAsia" w:ascii="宋体" w:hAnsi="宋体" w:eastAsia="宋体" w:cs="宋体"/>
                <w:sz w:val="21"/>
                <w:szCs w:val="21"/>
              </w:rPr>
            </w:pPr>
            <w:r>
              <w:rPr>
                <w:rFonts w:hint="eastAsia" w:ascii="宋体" w:hAnsi="宋体" w:eastAsia="宋体" w:cs="宋体"/>
                <w:sz w:val="21"/>
                <w:szCs w:val="21"/>
              </w:rPr>
              <w:t>必须为本项目配备不少于20人的专业技术团队。</w:t>
            </w:r>
          </w:p>
        </w:tc>
      </w:tr>
    </w:tbl>
    <w:p>
      <w:pPr>
        <w:adjustRightInd w:val="0"/>
        <w:snapToGrid w:val="0"/>
        <w:spacing w:line="360" w:lineRule="auto"/>
        <w:ind w:firstLine="482" w:firstLineChars="200"/>
      </w:pPr>
      <w:bookmarkStart w:id="84" w:name="_GoBack"/>
      <w:bookmarkEnd w:id="84"/>
      <w:r>
        <w:rPr>
          <w:rFonts w:hint="eastAsia" w:ascii="黑体"/>
          <w:b/>
          <w:kern w:val="0"/>
          <w:sz w:val="24"/>
        </w:rPr>
        <w:t>注：上表所列内容为不可负偏离条款。</w:t>
      </w:r>
    </w:p>
    <w:bookmarkEnd w:id="10"/>
    <w:p>
      <w:pPr>
        <w:keepNext/>
        <w:keepLines/>
        <w:adjustRightInd w:val="0"/>
        <w:spacing w:beforeLines="50" w:afterLines="50"/>
        <w:jc w:val="center"/>
        <w:textAlignment w:val="baseline"/>
        <w:outlineLvl w:val="1"/>
        <w:rPr>
          <w:rFonts w:ascii="宋体" w:hAnsi="宋体"/>
          <w:b/>
          <w:bCs/>
          <w:kern w:val="0"/>
          <w:sz w:val="28"/>
          <w:szCs w:val="28"/>
        </w:rPr>
      </w:pPr>
      <w:r>
        <w:rPr>
          <w:rFonts w:hint="eastAsia" w:ascii="宋体" w:hAnsi="宋体"/>
          <w:b/>
          <w:bCs/>
          <w:kern w:val="0"/>
          <w:sz w:val="28"/>
          <w:szCs w:val="28"/>
        </w:rPr>
        <w:t>三、项目概况</w:t>
      </w:r>
    </w:p>
    <w:p>
      <w:pPr>
        <w:spacing w:beforeLines="25" w:afterLines="25" w:line="360" w:lineRule="auto"/>
        <w:ind w:firstLine="392" w:firstLineChars="187"/>
        <w:rPr>
          <w:rFonts w:ascii="宋体" w:hAnsi="宋体"/>
          <w:b/>
          <w:bCs/>
          <w:kern w:val="0"/>
          <w:sz w:val="24"/>
          <w:szCs w:val="20"/>
        </w:rPr>
      </w:pPr>
      <w:r>
        <w:rPr>
          <w:rFonts w:hint="eastAsia" w:ascii="宋体" w:hAnsi="宋体" w:cs="宋体"/>
          <w:szCs w:val="21"/>
        </w:rPr>
        <w:t>为贯彻党中央、国务院关于菜篮子的决策部署，进一步压紧压实菜篮子市长负责制，加强深圳市菜篮子基地建设管理，建立健全动态监测管理机制，根据《深圳市菜篮子基地认定、监测与考评管理办法》相关规定，组织开展2022年深圳市菜篮子基地监测工作，保障全市菜篮子产品市场稳定供应和质量安全。</w:t>
      </w:r>
    </w:p>
    <w:p>
      <w:pPr>
        <w:keepNext/>
        <w:keepLines/>
        <w:adjustRightInd w:val="0"/>
        <w:spacing w:beforeLines="50" w:afterLines="50"/>
        <w:jc w:val="center"/>
        <w:textAlignment w:val="baseline"/>
        <w:outlineLvl w:val="1"/>
        <w:rPr>
          <w:rFonts w:ascii="宋体" w:hAnsi="宋体"/>
          <w:b/>
          <w:bCs/>
          <w:kern w:val="0"/>
          <w:sz w:val="28"/>
          <w:szCs w:val="28"/>
        </w:rPr>
      </w:pPr>
      <w:r>
        <w:rPr>
          <w:rFonts w:hint="eastAsia" w:ascii="宋体" w:hAnsi="宋体"/>
          <w:b/>
          <w:bCs/>
          <w:kern w:val="0"/>
          <w:sz w:val="28"/>
          <w:szCs w:val="28"/>
        </w:rPr>
        <w:t>四、项目</w:t>
      </w:r>
      <w:r>
        <w:rPr>
          <w:rFonts w:hint="eastAsia" w:ascii="宋体" w:hAnsi="宋体"/>
          <w:b/>
          <w:bCs/>
          <w:kern w:val="0"/>
          <w:sz w:val="28"/>
          <w:szCs w:val="28"/>
          <w:lang w:val="en-US" w:eastAsia="zh-CN"/>
        </w:rPr>
        <w:t>技术</w:t>
      </w:r>
      <w:r>
        <w:rPr>
          <w:rFonts w:hint="eastAsia" w:ascii="宋体" w:hAnsi="宋体"/>
          <w:b/>
          <w:bCs/>
          <w:kern w:val="0"/>
          <w:sz w:val="28"/>
          <w:szCs w:val="28"/>
        </w:rPr>
        <w:t>要求</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1.总体要求</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以年度为周期，根据《深圳市菜篮子基地认定、监测与考评管理办法》相关规定，按照采购人提供的深圳市菜篮子基地名单，动态监测基地整体质量情况，对需整改的基地，提供整改意见建议并督促其落实整改。</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2.服务标的</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监测对象主要为除2022年新认定外的其他深圳市菜篮子基地，约180个（实际基地个数以采购人提供的名单为准）。目前按照地域划分，市内基地108个，市外省内基地37个，省外基地35个；按照基地类别划分，蔬菜水果基地60个，畜禽蛋奶基地11个，水产基地11个，农产品加工配送基地95个，农产品流通基地3个。</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中标机构应配备不少于20人的专业技术团队，在服务期限内，对基地开展跟踪巡查及抽检，确保省内所有基地巡查次数不少于2次，省外所有基地巡查次数不少于1次，并对基地生产环境和主营产品进行抽样检验，每个基地样品总数不少于2个。</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3.服务需求</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中标机构对监测对象采取定期统计、情况调查、实地考察、随机抽查等方式实行跟踪管理，及时对市菜篮子基地生产、经营管理和产品质量安全状况进行监测。</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（1）日常监测</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对采购人提供的深圳市菜篮子基地名单中各个基地开展跟踪巡查，确保省内所有基地巡查次数不少于2次，省外所有基地巡查次数不少于1次，并填写《深圳市菜篮子基地监测评分表》，保存巡查工作相关影像资料（含图片、视频等）。采购人可委派工作人员作为观察员对监测工作进行现场见证和监督。</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跟踪巡查要求核实各基地的组织管理、质量安全、环境条件、基础设施、产品贮运等方面是否符合《深圳市菜篮子基地认定、监测与考评管理办法》中规定的市菜篮子基地认定条件的要求。</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（2）基地生产环境和主营产品抽样检验</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对基地生产环境和主营产品进行抽样检验，每个基地样品总数不少于2个，其中基地生产环境包括基地的水质、土壤等，主营产品为供深最多的前五种产品。检验结果不合格的，及时告知被抽检基地并督促其进行整改。如受气候条件、基地实际生产经营情况影响无法同时抽检基地生产环境和主营产品，中标机构可根据现场实际情况调整抽样对象。</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（3）技术服务</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开展基地标准化生产、可追溯体系建设及农产品质量安全管理等方面的技术指导工作。</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针对监测发现的问题，现场提出整改建议，督促基地按照《深圳市菜篮子基地认定、监测与考评管理办法》规定期限落实整改，并对整改情况进行验收。</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中标机构根据工作方案要求开展监测工作，并以季度为单位，收集各基地的监测情况及不符合项整改报告，汇总后向采购人上报监测工作进度及基地情况。年度监测任务完成后，提交市菜篮子基地工作（基地监测）年度总结报告。</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（4）建立档案</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建立市菜篮子基地监测档案，档案内容包括基地名单、基地面积、位置、品种、产量、供应深圳市市场数量、质量抽检等基本情况。</w:t>
      </w:r>
    </w:p>
    <w:p>
      <w:pPr>
        <w:keepNext/>
        <w:keepLines/>
        <w:adjustRightInd w:val="0"/>
        <w:spacing w:beforeLines="50" w:afterLines="50"/>
        <w:jc w:val="center"/>
        <w:textAlignment w:val="baseline"/>
        <w:outlineLvl w:val="1"/>
        <w:rPr>
          <w:rFonts w:ascii="宋体" w:hAnsi="宋体"/>
          <w:b/>
          <w:bCs/>
          <w:kern w:val="0"/>
          <w:sz w:val="28"/>
          <w:szCs w:val="28"/>
        </w:rPr>
      </w:pPr>
      <w:r>
        <w:rPr>
          <w:rFonts w:hint="eastAsia" w:ascii="宋体" w:hAnsi="宋体"/>
          <w:b/>
          <w:bCs/>
          <w:kern w:val="0"/>
          <w:sz w:val="28"/>
          <w:szCs w:val="28"/>
        </w:rPr>
        <w:t>五、项目商务要求</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lang w:eastAsia="zh-CN"/>
        </w:rPr>
      </w:pPr>
      <w:r>
        <w:rPr>
          <w:rFonts w:hint="eastAsia" w:ascii="宋体" w:hAnsi="宋体" w:cs="宋体"/>
          <w:szCs w:val="21"/>
          <w:lang w:val="en-US" w:eastAsia="zh-CN"/>
        </w:rPr>
        <w:t>1.</w:t>
      </w:r>
      <w:r>
        <w:rPr>
          <w:rFonts w:hint="eastAsia" w:ascii="宋体" w:hAnsi="宋体" w:cs="宋体"/>
          <w:szCs w:val="21"/>
        </w:rPr>
        <w:t>服务期限：</w:t>
      </w:r>
      <w:bookmarkStart w:id="11" w:name="服务期限_1"/>
      <w:r>
        <w:rPr>
          <w:rFonts w:hint="eastAsia" w:ascii="宋体" w:hAnsi="宋体" w:cs="宋体"/>
          <w:szCs w:val="21"/>
          <w:lang w:eastAsia="zh-CN"/>
        </w:rPr>
        <w:t>合同签订之日起</w:t>
      </w:r>
      <w:r>
        <w:rPr>
          <w:rFonts w:hint="eastAsia" w:ascii="宋体" w:hAnsi="宋体" w:cs="宋体"/>
          <w:szCs w:val="21"/>
          <w:lang w:val="en-US" w:eastAsia="zh-CN"/>
        </w:rPr>
        <w:t>至</w:t>
      </w:r>
      <w:r>
        <w:rPr>
          <w:rFonts w:hint="default" w:ascii="宋体" w:hAnsi="宋体" w:cs="宋体"/>
          <w:szCs w:val="21"/>
          <w:lang w:val="en" w:eastAsia="zh-CN"/>
        </w:rPr>
        <w:t>2022</w:t>
      </w:r>
      <w:r>
        <w:rPr>
          <w:rFonts w:hint="eastAsia" w:ascii="宋体" w:hAnsi="宋体" w:cs="宋体"/>
          <w:szCs w:val="21"/>
          <w:lang w:val="en-US" w:eastAsia="zh-CN"/>
        </w:rPr>
        <w:t>年</w:t>
      </w:r>
      <w:r>
        <w:rPr>
          <w:rFonts w:hint="default" w:ascii="宋体" w:hAnsi="宋体" w:cs="宋体"/>
          <w:szCs w:val="21"/>
          <w:lang w:val="en" w:eastAsia="zh-CN"/>
        </w:rPr>
        <w:t>12</w:t>
      </w:r>
      <w:r>
        <w:rPr>
          <w:rFonts w:hint="eastAsia" w:ascii="宋体" w:hAnsi="宋体" w:cs="宋体"/>
          <w:szCs w:val="21"/>
          <w:lang w:val="en-US" w:eastAsia="zh-CN"/>
        </w:rPr>
        <w:t>月</w:t>
      </w:r>
      <w:r>
        <w:rPr>
          <w:rFonts w:hint="default" w:ascii="宋体" w:hAnsi="宋体" w:cs="宋体"/>
          <w:szCs w:val="21"/>
          <w:lang w:val="en" w:eastAsia="zh-CN"/>
        </w:rPr>
        <w:t>1</w:t>
      </w:r>
      <w:r>
        <w:rPr>
          <w:rFonts w:hint="eastAsia" w:ascii="宋体" w:hAnsi="宋体" w:cs="宋体"/>
          <w:szCs w:val="21"/>
          <w:lang w:val="en-US" w:eastAsia="zh-CN"/>
        </w:rPr>
        <w:t>日前完成</w:t>
      </w:r>
      <w:r>
        <w:rPr>
          <w:rFonts w:hint="eastAsia" w:ascii="宋体" w:hAnsi="宋体" w:cs="宋体"/>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lang w:val="en-US" w:eastAsia="zh-CN"/>
        </w:rPr>
      </w:pPr>
      <w:r>
        <w:rPr>
          <w:rFonts w:hint="default" w:ascii="宋体" w:hAnsi="宋体" w:cs="宋体"/>
          <w:szCs w:val="21"/>
          <w:lang w:val="en" w:eastAsia="zh-CN"/>
        </w:rPr>
        <w:t>☑</w:t>
      </w:r>
      <w:r>
        <w:rPr>
          <w:rFonts w:hint="eastAsia" w:ascii="宋体" w:hAnsi="宋体" w:cs="宋体"/>
          <w:szCs w:val="21"/>
          <w:lang w:val="en-US" w:eastAsia="zh-CN"/>
        </w:rPr>
        <w:t xml:space="preserve">  本项目属于长期服务项目。采购人可根据中标供应商履约服务情况申请延长，但累计服务期限最长不超过三年，合同一年一签。</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lang w:val="en-US" w:eastAsia="zh-CN"/>
        </w:rPr>
      </w:pPr>
      <w:r>
        <w:rPr>
          <w:rFonts w:hint="eastAsia" w:ascii="宋体" w:hAnsi="宋体" w:cs="宋体"/>
          <w:szCs w:val="21"/>
          <w:lang w:val="en-US" w:eastAsia="zh-CN"/>
        </w:rPr>
        <w:t>□  本项目属于非长期服务项目。</w:t>
      </w:r>
      <w:bookmarkEnd w:id="11"/>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rPr>
        <w:t>付款方式：</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lang w:val="en-US" w:eastAsia="zh-CN"/>
        </w:rPr>
      </w:pPr>
      <w:r>
        <w:rPr>
          <w:rFonts w:hint="default" w:ascii="宋体" w:hAnsi="宋体" w:cs="宋体"/>
          <w:szCs w:val="21"/>
          <w:lang w:val="en" w:eastAsia="zh-CN"/>
        </w:rPr>
        <w:t>☑</w:t>
      </w:r>
      <w:r>
        <w:rPr>
          <w:rFonts w:hint="eastAsia" w:ascii="宋体" w:hAnsi="宋体" w:cs="宋体"/>
          <w:szCs w:val="21"/>
          <w:lang w:val="en-US" w:eastAsia="zh-CN"/>
        </w:rPr>
        <w:t xml:space="preserve">  分期付款：采购方在</w:t>
      </w:r>
      <w:r>
        <w:rPr>
          <w:rFonts w:hint="eastAsia" w:ascii="宋体" w:hAnsi="宋体" w:cs="宋体"/>
          <w:szCs w:val="21"/>
          <w:lang w:eastAsia="zh-CN"/>
        </w:rPr>
        <w:t>合同签订后，且收到中标方提供符合规定发票后</w:t>
      </w:r>
      <w:r>
        <w:rPr>
          <w:rFonts w:hint="default" w:ascii="宋体" w:hAnsi="宋体" w:cs="宋体"/>
          <w:szCs w:val="21"/>
          <w:u w:val="single"/>
          <w:lang w:val="en" w:eastAsia="zh-CN"/>
        </w:rPr>
        <w:t xml:space="preserve">  </w:t>
      </w:r>
      <w:r>
        <w:rPr>
          <w:rFonts w:hint="eastAsia" w:ascii="宋体" w:hAnsi="宋体" w:cs="宋体"/>
          <w:szCs w:val="21"/>
          <w:u w:val="single"/>
          <w:lang w:val="en-US" w:eastAsia="zh-CN"/>
        </w:rPr>
        <w:t>30</w:t>
      </w:r>
      <w:r>
        <w:rPr>
          <w:rFonts w:hint="default" w:ascii="宋体" w:hAnsi="宋体" w:cs="宋体"/>
          <w:szCs w:val="21"/>
          <w:u w:val="single"/>
          <w:lang w:val="en" w:eastAsia="zh-CN"/>
        </w:rPr>
        <w:t xml:space="preserve">  </w:t>
      </w:r>
      <w:r>
        <w:rPr>
          <w:rFonts w:hint="eastAsia" w:ascii="宋体" w:hAnsi="宋体" w:cs="宋体"/>
          <w:szCs w:val="21"/>
          <w:lang w:val="en-US" w:eastAsia="zh-CN"/>
        </w:rPr>
        <w:t xml:space="preserve">日内支付合同总额的 </w:t>
      </w:r>
      <w:r>
        <w:rPr>
          <w:rFonts w:hint="default" w:ascii="宋体" w:hAnsi="宋体" w:cs="宋体"/>
          <w:szCs w:val="21"/>
          <w:lang w:val="en" w:eastAsia="zh-CN"/>
        </w:rPr>
        <w:t>50</w:t>
      </w:r>
      <w:r>
        <w:rPr>
          <w:rFonts w:hint="eastAsia" w:ascii="宋体" w:hAnsi="宋体" w:cs="宋体"/>
          <w:szCs w:val="21"/>
          <w:lang w:val="en-US" w:eastAsia="zh-CN"/>
        </w:rPr>
        <w:t>%作为首期款，余款按进度支付。</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lang w:val="en-US" w:eastAsia="zh-CN"/>
        </w:rPr>
      </w:pPr>
      <w:r>
        <w:rPr>
          <w:rFonts w:hint="eastAsia" w:ascii="宋体" w:hAnsi="宋体" w:cs="宋体"/>
          <w:szCs w:val="21"/>
          <w:lang w:val="en-US" w:eastAsia="zh-CN"/>
        </w:rPr>
        <w:t>□  一次性付款：项目验收合格后，采购方收到中标方提供给符合规定发票后30日内一次性支付合同总额。</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lang w:val="en-US" w:eastAsia="zh-CN"/>
        </w:rPr>
      </w:pPr>
      <w:r>
        <w:rPr>
          <w:rFonts w:hint="eastAsia" w:ascii="宋体" w:hAnsi="宋体" w:cs="宋体"/>
          <w:szCs w:val="21"/>
          <w:lang w:val="en-US" w:eastAsia="zh-CN"/>
        </w:rPr>
        <w:t>3.知识产权：</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lang w:val="en-US" w:eastAsia="zh-CN"/>
        </w:rPr>
        <w:t>（1）中标供应商</w:t>
      </w:r>
      <w:r>
        <w:rPr>
          <w:rFonts w:hint="eastAsia" w:ascii="宋体" w:hAnsi="宋体" w:cs="宋体"/>
          <w:szCs w:val="21"/>
        </w:rPr>
        <w:t>在项目实施过程中不得侵犯第三人知识产权以及其他权益。需要使用第三人知识产权的，</w:t>
      </w:r>
      <w:r>
        <w:rPr>
          <w:rFonts w:hint="eastAsia" w:ascii="宋体" w:hAnsi="宋体" w:cs="宋体"/>
          <w:szCs w:val="21"/>
          <w:lang w:val="en-US" w:eastAsia="zh-CN"/>
        </w:rPr>
        <w:t>中标供应商</w:t>
      </w:r>
      <w:r>
        <w:rPr>
          <w:rFonts w:hint="eastAsia" w:ascii="宋体" w:hAnsi="宋体" w:cs="宋体"/>
          <w:szCs w:val="21"/>
        </w:rPr>
        <w:t>应取得权利人许可或者授权并由</w:t>
      </w:r>
      <w:r>
        <w:rPr>
          <w:rFonts w:hint="eastAsia" w:ascii="宋体" w:hAnsi="宋体" w:cs="宋体"/>
          <w:szCs w:val="21"/>
          <w:lang w:val="en-US" w:eastAsia="zh-CN"/>
        </w:rPr>
        <w:t>中标供应商</w:t>
      </w:r>
      <w:r>
        <w:rPr>
          <w:rFonts w:hint="eastAsia" w:ascii="宋体" w:hAnsi="宋体" w:cs="宋体"/>
          <w:szCs w:val="21"/>
        </w:rPr>
        <w:t>承担费用。</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lang w:val="en-US" w:eastAsia="zh-CN"/>
        </w:rPr>
      </w:pPr>
      <w:r>
        <w:rPr>
          <w:rFonts w:hint="eastAsia" w:ascii="宋体" w:hAnsi="宋体" w:cs="宋体"/>
          <w:szCs w:val="21"/>
          <w:lang w:eastAsia="zh-CN"/>
        </w:rPr>
        <w:t>（</w:t>
      </w:r>
      <w:r>
        <w:rPr>
          <w:rFonts w:hint="eastAsia" w:ascii="宋体" w:hAnsi="宋体" w:cs="宋体"/>
          <w:szCs w:val="21"/>
          <w:lang w:val="en-US" w:eastAsia="zh-CN"/>
        </w:rPr>
        <w:t>2</w:t>
      </w:r>
      <w:r>
        <w:rPr>
          <w:rFonts w:hint="eastAsia" w:ascii="宋体" w:hAnsi="宋体" w:cs="宋体"/>
          <w:szCs w:val="21"/>
          <w:lang w:eastAsia="zh-CN"/>
        </w:rPr>
        <w:t>）</w:t>
      </w:r>
      <w:r>
        <w:rPr>
          <w:rFonts w:hint="eastAsia" w:ascii="宋体" w:hAnsi="宋体" w:cs="宋体"/>
          <w:szCs w:val="21"/>
        </w:rPr>
        <w:t>除第三人依法享有知识产权的除外，</w:t>
      </w:r>
      <w:r>
        <w:rPr>
          <w:rFonts w:hint="eastAsia" w:ascii="宋体" w:hAnsi="宋体" w:cs="宋体"/>
          <w:szCs w:val="21"/>
          <w:lang w:val="en-US" w:eastAsia="zh-CN"/>
        </w:rPr>
        <w:t>中标供应商</w:t>
      </w:r>
      <w:r>
        <w:rPr>
          <w:rFonts w:hint="eastAsia" w:ascii="宋体" w:hAnsi="宋体" w:cs="宋体"/>
          <w:szCs w:val="21"/>
        </w:rPr>
        <w:t>实施本项目所形成成果的知识产权归</w:t>
      </w:r>
      <w:r>
        <w:rPr>
          <w:rFonts w:hint="eastAsia" w:ascii="宋体" w:hAnsi="宋体" w:cs="宋体"/>
          <w:szCs w:val="21"/>
          <w:lang w:eastAsia="zh-CN"/>
        </w:rPr>
        <w:t>采购人</w:t>
      </w:r>
      <w:r>
        <w:rPr>
          <w:rFonts w:hint="eastAsia" w:ascii="宋体" w:hAnsi="宋体" w:cs="宋体"/>
          <w:szCs w:val="21"/>
        </w:rPr>
        <w:t>所有，未经</w:t>
      </w:r>
      <w:r>
        <w:rPr>
          <w:rFonts w:hint="eastAsia" w:ascii="宋体" w:hAnsi="宋体" w:cs="宋体"/>
          <w:szCs w:val="21"/>
          <w:lang w:eastAsia="zh-CN"/>
        </w:rPr>
        <w:t>采购人</w:t>
      </w:r>
      <w:r>
        <w:rPr>
          <w:rFonts w:hint="eastAsia" w:ascii="宋体" w:hAnsi="宋体" w:cs="宋体"/>
          <w:szCs w:val="21"/>
        </w:rPr>
        <w:t>许可，</w:t>
      </w:r>
      <w:r>
        <w:rPr>
          <w:rFonts w:hint="eastAsia" w:ascii="宋体" w:hAnsi="宋体" w:cs="宋体"/>
          <w:szCs w:val="21"/>
          <w:lang w:val="en-US" w:eastAsia="zh-CN"/>
        </w:rPr>
        <w:t>中标供应商</w:t>
      </w:r>
      <w:r>
        <w:rPr>
          <w:rFonts w:hint="eastAsia" w:ascii="宋体" w:hAnsi="宋体" w:cs="宋体"/>
          <w:szCs w:val="21"/>
        </w:rPr>
        <w:t>不得随意使用。</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lang w:val="en-US" w:eastAsia="zh-CN"/>
        </w:rPr>
      </w:pPr>
      <w:r>
        <w:rPr>
          <w:rFonts w:hint="eastAsia" w:ascii="宋体" w:hAnsi="宋体" w:cs="宋体"/>
          <w:szCs w:val="21"/>
          <w:lang w:val="en-US" w:eastAsia="zh-CN"/>
        </w:rPr>
        <w:t>4.报价要求：</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lang w:val="en-US" w:eastAsia="zh-CN"/>
        </w:rPr>
      </w:pPr>
      <w:r>
        <w:rPr>
          <w:rFonts w:hint="eastAsia" w:ascii="宋体" w:hAnsi="宋体" w:cs="宋体"/>
          <w:szCs w:val="21"/>
          <w:lang w:val="en-US" w:eastAsia="zh-CN"/>
        </w:rPr>
        <w:t>（1）本项目服务费采用包干制，应包括服务成本、法定税费和企业的利润。由投标供应商根据采购文件所提供的资料自行测算投标报价；一经中标，报价总价作为中标供应商与采购人签定的合同金额，合同期限内不做调整。</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lang w:val="en-US" w:eastAsia="zh-CN"/>
        </w:rPr>
      </w:pPr>
      <w:r>
        <w:rPr>
          <w:rFonts w:hint="eastAsia" w:ascii="宋体" w:hAnsi="宋体" w:cs="宋体"/>
          <w:szCs w:val="21"/>
          <w:lang w:val="en-US" w:eastAsia="zh-CN"/>
        </w:rPr>
        <w:t>（2）投标供应商应当根据本企业的成本自行决定报价，但不得以低于其企业成本的报价投标。</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lang w:val="en-US" w:eastAsia="zh-CN"/>
        </w:rPr>
      </w:pPr>
      <w:r>
        <w:rPr>
          <w:rFonts w:hint="eastAsia" w:ascii="宋体" w:hAnsi="宋体" w:cs="宋体"/>
          <w:szCs w:val="21"/>
          <w:lang w:val="en-US" w:eastAsia="zh-CN"/>
        </w:rPr>
        <w:t>（3）投标供应商的报价不得超过项目预算金额。</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lang w:val="en-US" w:eastAsia="zh-CN"/>
        </w:rPr>
      </w:pPr>
      <w:r>
        <w:rPr>
          <w:rFonts w:hint="eastAsia" w:ascii="宋体" w:hAnsi="宋体" w:cs="宋体"/>
          <w:szCs w:val="21"/>
          <w:lang w:val="en-US" w:eastAsia="zh-CN"/>
        </w:rPr>
        <w:t>（4）投标供应商的报价，应当是本项目采购范围和采购文件及合同条款上所列的各项内容中所述的全部，不得以任何理由予以重复。</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lang w:val="en-US" w:eastAsia="zh-CN"/>
        </w:rPr>
      </w:pPr>
      <w:r>
        <w:rPr>
          <w:rFonts w:hint="eastAsia" w:ascii="宋体" w:hAnsi="宋体" w:cs="宋体"/>
          <w:szCs w:val="21"/>
          <w:lang w:val="en-US" w:eastAsia="zh-CN"/>
        </w:rPr>
        <w:t>（5）除非采购人通过修改采购文件予以更正，否则，投标供应商应毫无例外地按响应文件所列的清单中项目和数量填报综合单价和合价。投标供应商未填综合单价或合价的项目，在实施后，将不得以支付，并视作该项费用已包括在其它有价款的综合单价或合价内。</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lang w:val="en-US" w:eastAsia="zh-CN"/>
        </w:rPr>
      </w:pPr>
      <w:r>
        <w:rPr>
          <w:rFonts w:hint="eastAsia" w:ascii="宋体" w:hAnsi="宋体" w:cs="宋体"/>
          <w:szCs w:val="21"/>
          <w:lang w:val="en-US" w:eastAsia="zh-CN"/>
        </w:rPr>
        <w:t>（6）投标供应商不得期望通过索赔等方式获取补偿，否则，除可能遭到拒绝外，还可能将被作为不良行为记录在案，并可能影响其以后参加政府采购的项目投标。各投标供应商在报价时，应充分考虑报价的风险。</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lang w:eastAsia="zh-CN"/>
        </w:rPr>
      </w:pPr>
      <w:r>
        <w:rPr>
          <w:rFonts w:hint="eastAsia" w:ascii="宋体" w:hAnsi="宋体" w:cs="宋体"/>
          <w:szCs w:val="21"/>
          <w:lang w:val="en-US" w:eastAsia="zh-CN"/>
        </w:rPr>
        <w:t>5.</w:t>
      </w:r>
      <w:r>
        <w:rPr>
          <w:rFonts w:hint="eastAsia" w:ascii="宋体" w:hAnsi="宋体" w:cs="宋体"/>
          <w:szCs w:val="21"/>
        </w:rPr>
        <w:t>验收标准及违约</w:t>
      </w:r>
      <w:r>
        <w:rPr>
          <w:rFonts w:hint="eastAsia" w:ascii="宋体" w:hAnsi="宋体" w:cs="宋体"/>
          <w:szCs w:val="21"/>
          <w:lang w:eastAsia="zh-CN"/>
        </w:rPr>
        <w:t>责任</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hint="eastAsia" w:ascii="宋体" w:hAnsi="宋体" w:cs="宋体"/>
          <w:szCs w:val="21"/>
        </w:rPr>
      </w:pPr>
      <w:r>
        <w:rPr>
          <w:rFonts w:hint="eastAsia" w:ascii="宋体" w:hAnsi="宋体" w:cs="宋体"/>
          <w:szCs w:val="21"/>
          <w:lang w:eastAsia="zh-CN"/>
        </w:rPr>
        <w:t>（1）验收标准：</w:t>
      </w:r>
      <w:r>
        <w:rPr>
          <w:rFonts w:hint="eastAsia" w:ascii="宋体" w:hAnsi="宋体" w:cs="宋体"/>
          <w:szCs w:val="21"/>
        </w:rPr>
        <w:t>提交深圳市菜篮子基地季度汇总材料、深圳市菜篮子基地工作（基地监测）年度总结报告。</w:t>
      </w:r>
    </w:p>
    <w:p>
      <w:pPr>
        <w:keepNext w:val="0"/>
        <w:keepLines w:val="0"/>
        <w:pageBreakBefore w:val="0"/>
        <w:widowControl w:val="0"/>
        <w:kinsoku/>
        <w:wordWrap/>
        <w:overflowPunct/>
        <w:topLinePunct w:val="0"/>
        <w:autoSpaceDE/>
        <w:autoSpaceDN/>
        <w:bidi w:val="0"/>
        <w:adjustRightInd/>
        <w:snapToGrid/>
        <w:spacing w:line="360" w:lineRule="auto"/>
        <w:ind w:firstLine="392" w:firstLineChars="187"/>
        <w:textAlignment w:val="auto"/>
        <w:rPr>
          <w:rFonts w:ascii="宋体" w:hAnsi="宋体"/>
          <w:b/>
          <w:bCs/>
          <w:kern w:val="0"/>
          <w:sz w:val="28"/>
          <w:szCs w:val="28"/>
        </w:rPr>
      </w:pPr>
      <w:r>
        <w:rPr>
          <w:rFonts w:hint="eastAsia" w:ascii="宋体" w:hAnsi="宋体" w:cs="宋体"/>
          <w:szCs w:val="21"/>
          <w:lang w:eastAsia="zh-CN"/>
        </w:rPr>
        <w:t>（2）违约责任：</w:t>
      </w:r>
      <w:r>
        <w:rPr>
          <w:rFonts w:hint="eastAsia" w:ascii="宋体" w:hAnsi="宋体" w:cs="宋体"/>
          <w:szCs w:val="21"/>
        </w:rPr>
        <w:t>按合同要求执行。</w:t>
      </w:r>
    </w:p>
    <w:p>
      <w:pPr>
        <w:spacing w:beforeLines="25" w:afterLines="25"/>
        <w:rPr>
          <w:rFonts w:ascii="宋体" w:hAnsi="宋体"/>
          <w:szCs w:val="21"/>
        </w:rPr>
      </w:pPr>
    </w:p>
    <w:p>
      <w:pPr>
        <w:spacing w:beforeLines="25" w:afterLines="25"/>
        <w:rPr>
          <w:rFonts w:ascii="宋体" w:hAnsi="宋体"/>
          <w:szCs w:val="21"/>
        </w:rPr>
      </w:pPr>
    </w:p>
    <w:p>
      <w:pPr>
        <w:spacing w:beforeLines="25" w:afterLines="25"/>
        <w:rPr>
          <w:rFonts w:ascii="宋体" w:hAnsi="宋体"/>
          <w:szCs w:val="21"/>
        </w:rPr>
      </w:pPr>
    </w:p>
    <w:p>
      <w:pPr>
        <w:spacing w:beforeLines="25" w:afterLines="25"/>
        <w:rPr>
          <w:rFonts w:ascii="宋体" w:hAnsi="宋体"/>
          <w:szCs w:val="21"/>
        </w:rPr>
      </w:pPr>
    </w:p>
    <w:p>
      <w:pPr>
        <w:spacing w:beforeLines="25" w:afterLines="25"/>
        <w:rPr>
          <w:rFonts w:ascii="宋体" w:hAnsi="宋体"/>
          <w:szCs w:val="21"/>
        </w:rPr>
      </w:pPr>
    </w:p>
    <w:p>
      <w:pPr>
        <w:spacing w:beforeLines="25" w:afterLines="25"/>
        <w:rPr>
          <w:rFonts w:ascii="宋体" w:hAnsi="宋体"/>
          <w:szCs w:val="21"/>
        </w:rPr>
      </w:pPr>
    </w:p>
    <w:p>
      <w:pPr>
        <w:spacing w:beforeLines="25" w:afterLines="25"/>
        <w:rPr>
          <w:rFonts w:ascii="宋体" w:hAnsi="宋体"/>
          <w:szCs w:val="21"/>
        </w:rPr>
      </w:pPr>
    </w:p>
    <w:p>
      <w:pPr>
        <w:spacing w:beforeLines="25" w:afterLines="25"/>
        <w:rPr>
          <w:rFonts w:ascii="宋体" w:hAnsi="宋体"/>
          <w:szCs w:val="21"/>
        </w:rPr>
      </w:pPr>
    </w:p>
    <w:p>
      <w:pPr>
        <w:spacing w:beforeLines="25" w:afterLines="25"/>
        <w:rPr>
          <w:rFonts w:ascii="宋体" w:hAnsi="宋体"/>
          <w:szCs w:val="21"/>
        </w:rPr>
      </w:pPr>
    </w:p>
    <w:p>
      <w:pPr>
        <w:spacing w:beforeLines="25" w:afterLines="25"/>
        <w:rPr>
          <w:rFonts w:ascii="宋体" w:hAnsi="宋体"/>
          <w:szCs w:val="21"/>
        </w:rPr>
      </w:pPr>
    </w:p>
    <w:p>
      <w:pPr>
        <w:spacing w:beforeLines="25" w:afterLines="25"/>
        <w:rPr>
          <w:rFonts w:ascii="宋体" w:hAnsi="宋体"/>
          <w:szCs w:val="21"/>
        </w:rPr>
      </w:pPr>
    </w:p>
    <w:p>
      <w:pPr>
        <w:spacing w:beforeLines="25" w:afterLines="25"/>
        <w:rPr>
          <w:rFonts w:ascii="宋体" w:hAnsi="宋体"/>
          <w:szCs w:val="21"/>
        </w:rPr>
      </w:pPr>
    </w:p>
    <w:p>
      <w:pPr>
        <w:spacing w:beforeLines="25" w:afterLines="25"/>
        <w:rPr>
          <w:rFonts w:ascii="宋体" w:hAnsi="宋体"/>
          <w:szCs w:val="21"/>
        </w:rPr>
      </w:pPr>
    </w:p>
    <w:p>
      <w:pPr>
        <w:spacing w:beforeLines="25" w:afterLines="25"/>
        <w:rPr>
          <w:rFonts w:ascii="宋体" w:hAnsi="宋体"/>
          <w:szCs w:val="21"/>
        </w:rPr>
      </w:pPr>
    </w:p>
    <w:p>
      <w:pPr>
        <w:spacing w:beforeLines="25" w:afterLines="25"/>
        <w:rPr>
          <w:rFonts w:ascii="宋体" w:hAnsi="宋体"/>
          <w:szCs w:val="21"/>
        </w:rPr>
      </w:pPr>
    </w:p>
    <w:p>
      <w:pPr>
        <w:spacing w:beforeLines="25" w:afterLines="25"/>
        <w:rPr>
          <w:rFonts w:ascii="宋体" w:hAnsi="宋体"/>
          <w:szCs w:val="21"/>
        </w:rPr>
      </w:pPr>
    </w:p>
    <w:p>
      <w:pPr>
        <w:spacing w:beforeLines="25" w:afterLines="25"/>
        <w:rPr>
          <w:rFonts w:ascii="宋体" w:hAnsi="宋体"/>
          <w:szCs w:val="21"/>
        </w:rPr>
      </w:pPr>
    </w:p>
    <w:p>
      <w:pPr>
        <w:spacing w:beforeLines="25" w:afterLines="25"/>
        <w:rPr>
          <w:rFonts w:ascii="宋体" w:hAnsi="宋体"/>
          <w:szCs w:val="21"/>
        </w:rPr>
      </w:pPr>
    </w:p>
    <w:p>
      <w:pPr>
        <w:keepNext/>
        <w:keepLines/>
        <w:adjustRightInd w:val="0"/>
        <w:spacing w:before="260" w:after="260"/>
        <w:jc w:val="center"/>
        <w:textAlignment w:val="baseline"/>
        <w:outlineLvl w:val="1"/>
        <w:rPr>
          <w:rFonts w:ascii="宋体" w:hAnsi="宋体"/>
          <w:b/>
          <w:bCs/>
          <w:sz w:val="24"/>
          <w:szCs w:val="20"/>
        </w:rPr>
      </w:pPr>
      <w:r>
        <w:rPr>
          <w:rFonts w:hint="eastAsia" w:ascii="宋体" w:hAnsi="宋体"/>
          <w:b/>
          <w:bCs/>
          <w:sz w:val="24"/>
          <w:szCs w:val="20"/>
        </w:rPr>
        <w:t>第三章</w:t>
      </w:r>
      <w:r>
        <w:rPr>
          <w:rFonts w:ascii="宋体" w:hAnsi="宋体"/>
          <w:b/>
          <w:bCs/>
          <w:sz w:val="24"/>
          <w:szCs w:val="20"/>
        </w:rPr>
        <w:t xml:space="preserve"> </w:t>
      </w:r>
      <w:r>
        <w:rPr>
          <w:rFonts w:hint="eastAsia" w:ascii="宋体" w:hAnsi="宋体"/>
          <w:b/>
          <w:bCs/>
          <w:sz w:val="24"/>
          <w:szCs w:val="20"/>
        </w:rPr>
        <w:t xml:space="preserve"> 投标文件格式、附件</w:t>
      </w:r>
    </w:p>
    <w:p>
      <w:pPr>
        <w:rPr>
          <w:rFonts w:ascii="Times New Roman" w:hAnsi="Times New Roman"/>
          <w:b/>
          <w:bCs/>
          <w:sz w:val="24"/>
          <w:szCs w:val="32"/>
        </w:rPr>
      </w:pPr>
      <w:r>
        <w:rPr>
          <w:rFonts w:hint="eastAsia" w:ascii="Times New Roman" w:hAnsi="Times New Roman"/>
          <w:b/>
          <w:bCs/>
          <w:sz w:val="24"/>
          <w:szCs w:val="32"/>
        </w:rPr>
        <w:t>特别提醒：</w:t>
      </w:r>
    </w:p>
    <w:p>
      <w:pPr>
        <w:rPr>
          <w:rFonts w:ascii="Times New Roman" w:hAnsi="Times New Roman"/>
          <w:b/>
          <w:bCs/>
          <w:sz w:val="24"/>
          <w:szCs w:val="32"/>
        </w:rPr>
      </w:pPr>
    </w:p>
    <w:p>
      <w:pPr>
        <w:widowControl/>
        <w:ind w:firstLine="482" w:firstLineChars="200"/>
        <w:jc w:val="left"/>
        <w:rPr>
          <w:rFonts w:ascii="仿宋_GB2312" w:hAnsi="Times New Roman" w:eastAsia="仿宋_GB2312"/>
          <w:kern w:val="0"/>
          <w:sz w:val="24"/>
          <w:szCs w:val="24"/>
        </w:rPr>
      </w:pPr>
      <w:r>
        <w:rPr>
          <w:rFonts w:hint="eastAsia" w:ascii="仿宋_GB2312" w:hAnsi="Times New Roman" w:eastAsia="仿宋_GB2312"/>
          <w:b/>
          <w:kern w:val="0"/>
          <w:sz w:val="24"/>
          <w:szCs w:val="24"/>
        </w:rPr>
        <w:t>投标文件正文将对外公开，投标文件附件不公开。</w:t>
      </w:r>
      <w:r>
        <w:rPr>
          <w:rFonts w:hint="eastAsia" w:ascii="仿宋_GB2312" w:hAnsi="Times New Roman" w:eastAsia="仿宋_GB2312"/>
          <w:kern w:val="0"/>
          <w:sz w:val="24"/>
          <w:szCs w:val="24"/>
        </w:rPr>
        <w:t>投标人在编辑投标文件时，在投标文件目录中属于本节点内容的必须在本节点中填写，填写到其他节点或附件的将可能导致投标无效，一切后果由供应商自行承担。</w:t>
      </w:r>
    </w:p>
    <w:p>
      <w:pPr>
        <w:widowControl/>
        <w:jc w:val="left"/>
        <w:rPr>
          <w:rFonts w:ascii="仿宋_GB2312" w:hAnsi="Times New Roman" w:eastAsia="仿宋_GB2312"/>
          <w:kern w:val="0"/>
          <w:sz w:val="24"/>
          <w:szCs w:val="24"/>
        </w:rPr>
      </w:pPr>
      <w:r>
        <w:rPr>
          <w:rFonts w:hint="eastAsia" w:ascii="仿宋_GB2312" w:hAnsi="Times New Roman" w:eastAsia="仿宋_GB2312"/>
          <w:kern w:val="0"/>
          <w:sz w:val="24"/>
          <w:szCs w:val="24"/>
        </w:rPr>
        <w:t xml:space="preserve">    投标人应按招标文件规定的“投标文件组成”编制投标文件正文（信息公开部分）和投标文件附件（信息不公开部分），举例如下图：</w:t>
      </w:r>
    </w:p>
    <w:p>
      <w:pPr>
        <w:widowControl/>
        <w:jc w:val="center"/>
        <w:rPr>
          <w:rFonts w:ascii="宋体" w:hAnsi="宋体" w:cs="宋体" w:eastAsiaTheme="minorEastAsia"/>
          <w:kern w:val="0"/>
          <w:sz w:val="24"/>
          <w:szCs w:val="24"/>
          <w:highlight w:val="green"/>
        </w:rPr>
      </w:pPr>
      <w:r>
        <w:rPr>
          <w:rFonts w:ascii="仿宋_GB2312" w:hAnsi="Times New Roman" w:eastAsia="仿宋_GB2312"/>
          <w:kern w:val="0"/>
          <w:sz w:val="24"/>
          <w:szCs w:val="24"/>
          <w:highlight w:val="green"/>
        </w:rPr>
        <w:drawing>
          <wp:inline distT="0" distB="0" distL="0" distR="0">
            <wp:extent cx="5278755" cy="4126230"/>
            <wp:effectExtent l="0" t="0" r="0" b="0"/>
            <wp:docPr id="2" name="图片 6"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图形用户界面, 应用程序&#10;&#10;描述已自动生成"/>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8755" cy="4126230"/>
                    </a:xfrm>
                    <a:prstGeom prst="rect">
                      <a:avLst/>
                    </a:prstGeom>
                    <a:noFill/>
                    <a:ln>
                      <a:noFill/>
                    </a:ln>
                  </pic:spPr>
                </pic:pic>
              </a:graphicData>
            </a:graphic>
          </wp:inline>
        </w:drawing>
      </w:r>
    </w:p>
    <w:p>
      <w:pPr>
        <w:widowControl/>
        <w:jc w:val="center"/>
        <w:rPr>
          <w:rFonts w:ascii="仿宋_GB2312" w:hAnsi="Times New Roman" w:eastAsia="仿宋_GB2312"/>
          <w:kern w:val="0"/>
          <w:sz w:val="24"/>
          <w:szCs w:val="24"/>
          <w:highlight w:val="green"/>
        </w:rPr>
      </w:pPr>
    </w:p>
    <w:p>
      <w:pPr>
        <w:widowControl/>
        <w:ind w:firstLine="480" w:firstLineChars="200"/>
        <w:jc w:val="left"/>
        <w:rPr>
          <w:rFonts w:ascii="仿宋_GB2312" w:hAnsi="Times New Roman" w:eastAsia="仿宋_GB2312"/>
          <w:b/>
          <w:kern w:val="0"/>
          <w:sz w:val="24"/>
          <w:szCs w:val="24"/>
        </w:rPr>
      </w:pPr>
      <w:bookmarkStart w:id="12" w:name="_Hlk72257167"/>
      <w:r>
        <w:rPr>
          <w:rFonts w:hint="eastAsia" w:ascii="仿宋_GB2312" w:hAnsi="Times New Roman" w:eastAsia="仿宋_GB2312"/>
          <w:kern w:val="0"/>
          <w:sz w:val="24"/>
          <w:szCs w:val="24"/>
        </w:rPr>
        <w:t>招标代理机构公布投标文件正文（信息公开部分）时为计算机截取信息自动公布，</w:t>
      </w:r>
      <w:r>
        <w:rPr>
          <w:rFonts w:hint="eastAsia" w:ascii="仿宋_GB2312" w:hAnsi="Times New Roman" w:eastAsia="仿宋_GB2312"/>
          <w:b/>
          <w:bCs/>
          <w:kern w:val="0"/>
          <w:sz w:val="24"/>
          <w:szCs w:val="24"/>
        </w:rPr>
        <w:t>如投标人误将涉及个人隐私或其他重要信息放入投标文件正文，相关后果由投标人自负；</w:t>
      </w:r>
      <w:r>
        <w:rPr>
          <w:rFonts w:hint="eastAsia" w:ascii="仿宋_GB2312" w:hAnsi="Times New Roman" w:eastAsia="仿宋_GB2312"/>
          <w:b/>
          <w:kern w:val="0"/>
          <w:sz w:val="24"/>
          <w:szCs w:val="24"/>
        </w:rPr>
        <w:t>如投标人将必须放于投标文件正文（信息公开部分）的内容放入投标文件附件（信息不公开部分），将作投标无效处理。</w:t>
      </w:r>
    </w:p>
    <w:bookmarkEnd w:id="12"/>
    <w:p>
      <w:pPr>
        <w:rPr>
          <w:rFonts w:ascii="仿宋_GB2312" w:hAnsi="Times New Roman" w:eastAsia="仿宋_GB2312"/>
          <w:sz w:val="24"/>
          <w:szCs w:val="24"/>
        </w:rPr>
      </w:pPr>
    </w:p>
    <w:p>
      <w:pPr>
        <w:rPr>
          <w:rFonts w:ascii="宋体" w:hAnsi="宋体"/>
          <w:sz w:val="24"/>
        </w:rPr>
      </w:pPr>
      <w:r>
        <w:rPr>
          <w:rFonts w:hint="eastAsia" w:ascii="宋体" w:hAnsi="宋体"/>
          <w:sz w:val="24"/>
        </w:rPr>
        <w:t>投标文件组成：</w:t>
      </w:r>
    </w:p>
    <w:p>
      <w:pPr>
        <w:ind w:firstLine="424" w:firstLineChars="202"/>
        <w:rPr>
          <w:rFonts w:ascii="宋体" w:hAnsi="宋体"/>
          <w:sz w:val="24"/>
        </w:rPr>
      </w:pPr>
      <w:r>
        <w:rPr>
          <w:rFonts w:hint="eastAsia" w:ascii="宋体" w:hAnsi="宋体"/>
        </w:rPr>
        <w:t>1.</w:t>
      </w:r>
      <w:r>
        <w:rPr>
          <w:rFonts w:hint="eastAsia" w:ascii="宋体" w:hAnsi="宋体"/>
          <w:b/>
        </w:rPr>
        <w:t>投标文件正文</w:t>
      </w:r>
      <w:r>
        <w:rPr>
          <w:rFonts w:hint="eastAsia" w:ascii="宋体" w:hAnsi="宋体"/>
          <w:b/>
          <w:szCs w:val="21"/>
        </w:rPr>
        <w:t>（信息公开部分）</w:t>
      </w:r>
      <w:r>
        <w:rPr>
          <w:rFonts w:hint="eastAsia" w:ascii="宋体" w:hAnsi="宋体"/>
        </w:rPr>
        <w:t>，主要</w:t>
      </w:r>
      <w:r>
        <w:rPr>
          <w:rFonts w:hint="eastAsia" w:ascii="宋体" w:hAnsi="宋体"/>
          <w:szCs w:val="21"/>
        </w:rPr>
        <w:t>包括以下内容：</w:t>
      </w:r>
    </w:p>
    <w:p>
      <w:pPr>
        <w:spacing w:beforeLines="25" w:afterLines="25"/>
        <w:ind w:firstLine="991" w:firstLineChars="472"/>
        <w:rPr>
          <w:rFonts w:ascii="宋体" w:hAnsi="宋体"/>
          <w:szCs w:val="21"/>
        </w:rPr>
      </w:pPr>
      <w:r>
        <w:rPr>
          <w:rFonts w:hint="eastAsia" w:ascii="宋体" w:hAnsi="宋体"/>
          <w:szCs w:val="21"/>
        </w:rPr>
        <w:t>（1）投标函</w:t>
      </w:r>
    </w:p>
    <w:p>
      <w:pPr>
        <w:spacing w:beforeLines="25" w:afterLines="25"/>
        <w:ind w:firstLine="991" w:firstLineChars="472"/>
        <w:rPr>
          <w:rFonts w:ascii="宋体" w:hAnsi="宋体"/>
          <w:szCs w:val="21"/>
        </w:rPr>
      </w:pPr>
      <w:r>
        <w:rPr>
          <w:rFonts w:hint="eastAsia" w:ascii="宋体" w:hAnsi="宋体"/>
          <w:szCs w:val="21"/>
        </w:rPr>
        <w:t>（2）资格响应文件</w:t>
      </w:r>
    </w:p>
    <w:p>
      <w:pPr>
        <w:spacing w:beforeLines="25" w:afterLines="25"/>
        <w:ind w:firstLine="991" w:firstLineChars="472"/>
        <w:rPr>
          <w:rFonts w:ascii="宋体" w:hAnsi="宋体"/>
          <w:szCs w:val="21"/>
        </w:rPr>
      </w:pPr>
      <w:r>
        <w:rPr>
          <w:rFonts w:hint="eastAsia" w:ascii="宋体" w:hAnsi="宋体"/>
          <w:szCs w:val="21"/>
        </w:rPr>
        <w:t>（3）投标人情况介绍</w:t>
      </w:r>
    </w:p>
    <w:p>
      <w:pPr>
        <w:spacing w:beforeLines="25" w:afterLines="25"/>
        <w:ind w:firstLine="991" w:firstLineChars="472"/>
        <w:rPr>
          <w:rFonts w:ascii="宋体" w:hAnsi="宋体"/>
          <w:szCs w:val="21"/>
        </w:rPr>
      </w:pPr>
      <w:r>
        <w:rPr>
          <w:rFonts w:hint="eastAsia" w:ascii="宋体" w:hAnsi="宋体"/>
          <w:szCs w:val="21"/>
        </w:rPr>
        <w:t>（4）中小企业声明函等符合政府采购优惠政策的证明材料</w:t>
      </w:r>
    </w:p>
    <w:p>
      <w:pPr>
        <w:rPr>
          <w:rFonts w:ascii="宋体" w:hAnsi="宋体"/>
          <w:sz w:val="24"/>
          <w:szCs w:val="24"/>
        </w:rPr>
      </w:pPr>
    </w:p>
    <w:p>
      <w:pPr>
        <w:ind w:firstLine="424" w:firstLineChars="202"/>
        <w:rPr>
          <w:rFonts w:ascii="宋体" w:hAnsi="宋体"/>
          <w:szCs w:val="21"/>
        </w:rPr>
      </w:pPr>
    </w:p>
    <w:p>
      <w:pPr>
        <w:ind w:firstLine="424" w:firstLineChars="202"/>
        <w:rPr>
          <w:rFonts w:ascii="宋体" w:hAnsi="宋体"/>
          <w:szCs w:val="21"/>
        </w:rPr>
      </w:pPr>
      <w:r>
        <w:rPr>
          <w:rFonts w:hint="eastAsia" w:ascii="宋体" w:hAnsi="宋体"/>
          <w:szCs w:val="21"/>
        </w:rPr>
        <w:t>2.</w:t>
      </w:r>
      <w:r>
        <w:rPr>
          <w:rFonts w:hint="eastAsia" w:ascii="宋体" w:hAnsi="宋体"/>
          <w:b/>
          <w:szCs w:val="21"/>
        </w:rPr>
        <w:t>投标文件附件（信息不公开部分）</w:t>
      </w:r>
      <w:r>
        <w:rPr>
          <w:rFonts w:hint="eastAsia" w:ascii="宋体" w:hAnsi="宋体"/>
          <w:szCs w:val="21"/>
        </w:rPr>
        <w:t>，主要包括以下内容：</w:t>
      </w:r>
    </w:p>
    <w:p>
      <w:pPr>
        <w:spacing w:beforeLines="25" w:afterLines="25"/>
        <w:ind w:firstLine="991" w:firstLineChars="472"/>
        <w:rPr>
          <w:rFonts w:ascii="宋体" w:hAnsi="宋体"/>
          <w:szCs w:val="21"/>
        </w:rPr>
      </w:pPr>
      <w:r>
        <w:rPr>
          <w:rFonts w:hint="eastAsia" w:ascii="宋体" w:hAnsi="宋体"/>
          <w:szCs w:val="21"/>
        </w:rPr>
        <w:t>（5）法定代表人（负责人）资格证明书</w:t>
      </w:r>
    </w:p>
    <w:p>
      <w:pPr>
        <w:spacing w:beforeLines="25" w:afterLines="25"/>
        <w:ind w:firstLine="991" w:firstLineChars="472"/>
        <w:rPr>
          <w:rFonts w:ascii="宋体" w:hAnsi="宋体"/>
          <w:szCs w:val="21"/>
        </w:rPr>
      </w:pPr>
      <w:r>
        <w:rPr>
          <w:rFonts w:hint="eastAsia" w:ascii="宋体" w:hAnsi="宋体"/>
          <w:szCs w:val="21"/>
        </w:rPr>
        <w:t>（6）投标文件签署授权委托书</w:t>
      </w:r>
    </w:p>
    <w:p>
      <w:pPr>
        <w:spacing w:beforeLines="25" w:afterLines="25"/>
        <w:ind w:firstLine="991" w:firstLineChars="472"/>
        <w:rPr>
          <w:rFonts w:ascii="宋体" w:hAnsi="宋体"/>
          <w:szCs w:val="21"/>
        </w:rPr>
      </w:pPr>
      <w:r>
        <w:rPr>
          <w:rFonts w:hint="eastAsia" w:ascii="宋体" w:hAnsi="宋体"/>
          <w:szCs w:val="21"/>
        </w:rPr>
        <w:t>（7）实质性条款响应情况表</w:t>
      </w:r>
    </w:p>
    <w:p>
      <w:pPr>
        <w:spacing w:beforeLines="25" w:afterLines="25"/>
        <w:ind w:firstLine="991" w:firstLineChars="472"/>
        <w:rPr>
          <w:rFonts w:ascii="宋体" w:hAnsi="宋体"/>
          <w:szCs w:val="21"/>
        </w:rPr>
      </w:pPr>
      <w:r>
        <w:rPr>
          <w:rFonts w:hint="eastAsia" w:ascii="宋体" w:hAnsi="宋体"/>
          <w:szCs w:val="21"/>
        </w:rPr>
        <w:t>（8）详细分项报价清单</w:t>
      </w:r>
    </w:p>
    <w:p>
      <w:pPr>
        <w:spacing w:beforeLines="25" w:afterLines="25"/>
        <w:ind w:firstLine="991" w:firstLineChars="472"/>
        <w:rPr>
          <w:rFonts w:ascii="宋体" w:hAnsi="宋体"/>
          <w:szCs w:val="21"/>
        </w:rPr>
      </w:pPr>
      <w:r>
        <w:rPr>
          <w:rFonts w:hint="eastAsia" w:ascii="宋体" w:hAnsi="宋体"/>
          <w:szCs w:val="21"/>
        </w:rPr>
        <w:t>（9）服务要求</w:t>
      </w:r>
      <w:r>
        <w:rPr>
          <w:rFonts w:ascii="宋体" w:hAnsi="宋体"/>
          <w:szCs w:val="21"/>
        </w:rPr>
        <w:t>偏离表</w:t>
      </w:r>
    </w:p>
    <w:p>
      <w:pPr>
        <w:spacing w:beforeLines="25" w:afterLines="25"/>
        <w:ind w:firstLine="991" w:firstLineChars="472"/>
        <w:rPr>
          <w:rFonts w:ascii="宋体" w:hAnsi="宋体"/>
          <w:szCs w:val="21"/>
        </w:rPr>
      </w:pPr>
      <w:r>
        <w:rPr>
          <w:rFonts w:hint="eastAsia" w:ascii="宋体" w:hAnsi="宋体"/>
          <w:szCs w:val="21"/>
        </w:rPr>
        <w:t>（10）</w:t>
      </w:r>
      <w:r>
        <w:rPr>
          <w:rFonts w:ascii="宋体" w:hAnsi="宋体"/>
          <w:szCs w:val="21"/>
        </w:rPr>
        <w:t>商务</w:t>
      </w:r>
      <w:r>
        <w:rPr>
          <w:rFonts w:hint="eastAsia" w:ascii="宋体" w:hAnsi="宋体"/>
          <w:szCs w:val="21"/>
        </w:rPr>
        <w:t>要求</w:t>
      </w:r>
      <w:r>
        <w:rPr>
          <w:rFonts w:ascii="宋体" w:hAnsi="宋体"/>
          <w:szCs w:val="21"/>
        </w:rPr>
        <w:t>偏离表</w:t>
      </w:r>
    </w:p>
    <w:p>
      <w:pPr>
        <w:spacing w:beforeLines="25" w:afterLines="25"/>
        <w:ind w:firstLine="991" w:firstLineChars="472"/>
        <w:rPr>
          <w:rFonts w:asciiTheme="minorEastAsia" w:hAnsiTheme="minorEastAsia" w:eastAsiaTheme="minorEastAsia"/>
          <w:szCs w:val="21"/>
        </w:rPr>
      </w:pPr>
      <w:r>
        <w:rPr>
          <w:rFonts w:hint="eastAsia" w:ascii="宋体" w:hAnsi="宋体"/>
          <w:szCs w:val="21"/>
        </w:rPr>
        <w:t>（11）</w:t>
      </w:r>
      <w:r>
        <w:rPr>
          <w:rFonts w:hint="eastAsia" w:asciiTheme="minorEastAsia" w:hAnsiTheme="minorEastAsia" w:eastAsiaTheme="minorEastAsia"/>
          <w:szCs w:val="21"/>
        </w:rPr>
        <w:t>实施方案</w:t>
      </w:r>
    </w:p>
    <w:p>
      <w:pPr>
        <w:spacing w:beforeLines="25" w:afterLines="25"/>
        <w:ind w:firstLine="991" w:firstLineChars="472"/>
        <w:rPr>
          <w:rFonts w:hint="eastAsia" w:ascii="宋体" w:hAnsi="宋体" w:eastAsia="宋体"/>
          <w:szCs w:val="21"/>
          <w:lang w:eastAsia="zh-CN"/>
        </w:rPr>
      </w:pPr>
      <w:r>
        <w:rPr>
          <w:rFonts w:hint="eastAsia" w:ascii="宋体" w:hAnsi="宋体"/>
          <w:szCs w:val="21"/>
          <w:lang w:eastAsia="zh-CN"/>
        </w:rPr>
        <w:t>（</w:t>
      </w:r>
      <w:r>
        <w:rPr>
          <w:rFonts w:hint="eastAsia" w:ascii="宋体" w:hAnsi="宋体"/>
          <w:szCs w:val="21"/>
          <w:lang w:val="en-US" w:eastAsia="zh-CN"/>
        </w:rPr>
        <w:t>12</w:t>
      </w:r>
      <w:r>
        <w:rPr>
          <w:rFonts w:hint="eastAsia" w:ascii="宋体" w:hAnsi="宋体"/>
          <w:szCs w:val="21"/>
          <w:lang w:eastAsia="zh-CN"/>
        </w:rPr>
        <w:t>）项目重点难点分析、应对措施及相关的合理化建议</w:t>
      </w:r>
    </w:p>
    <w:p>
      <w:pPr>
        <w:spacing w:beforeLines="25" w:afterLines="25"/>
        <w:ind w:firstLine="991" w:firstLineChars="472"/>
        <w:rPr>
          <w:rFonts w:hint="eastAsia" w:ascii="宋体" w:hAnsi="宋体" w:eastAsia="宋体"/>
          <w:szCs w:val="21"/>
          <w:lang w:eastAsia="zh-CN"/>
        </w:rPr>
      </w:pPr>
      <w:r>
        <w:rPr>
          <w:rFonts w:hint="eastAsia" w:ascii="宋体" w:hAnsi="宋体"/>
          <w:szCs w:val="21"/>
          <w:lang w:eastAsia="zh-CN"/>
        </w:rPr>
        <w:t>（</w:t>
      </w:r>
      <w:r>
        <w:rPr>
          <w:rFonts w:hint="eastAsia" w:ascii="宋体" w:hAnsi="宋体"/>
          <w:szCs w:val="21"/>
          <w:lang w:val="en-US" w:eastAsia="zh-CN"/>
        </w:rPr>
        <w:t>13</w:t>
      </w:r>
      <w:r>
        <w:rPr>
          <w:rFonts w:hint="eastAsia" w:ascii="宋体" w:hAnsi="宋体"/>
          <w:szCs w:val="21"/>
          <w:lang w:eastAsia="zh-CN"/>
        </w:rPr>
        <w:t>）质量（完成时间、安全、环保）保障措施及方案</w:t>
      </w:r>
    </w:p>
    <w:p>
      <w:pPr>
        <w:spacing w:beforeLines="25" w:afterLines="25"/>
        <w:ind w:firstLine="991" w:firstLineChars="472"/>
        <w:rPr>
          <w:rFonts w:hint="eastAsia" w:ascii="宋体" w:hAnsi="宋体" w:eastAsia="宋体"/>
          <w:szCs w:val="21"/>
          <w:lang w:eastAsia="zh-CN"/>
        </w:rPr>
      </w:pPr>
      <w:r>
        <w:rPr>
          <w:rFonts w:hint="eastAsia" w:ascii="宋体" w:hAnsi="宋体"/>
          <w:szCs w:val="21"/>
          <w:lang w:eastAsia="zh-CN"/>
        </w:rPr>
        <w:t>（</w:t>
      </w:r>
      <w:r>
        <w:rPr>
          <w:rFonts w:hint="eastAsia" w:ascii="宋体" w:hAnsi="宋体"/>
          <w:szCs w:val="21"/>
          <w:lang w:val="en-US" w:eastAsia="zh-CN"/>
        </w:rPr>
        <w:t>14</w:t>
      </w:r>
      <w:r>
        <w:rPr>
          <w:rFonts w:hint="eastAsia" w:ascii="宋体" w:hAnsi="宋体"/>
          <w:szCs w:val="21"/>
          <w:lang w:eastAsia="zh-CN"/>
        </w:rPr>
        <w:t>）项目完成（服务期满）后的服务承诺</w:t>
      </w:r>
    </w:p>
    <w:p>
      <w:pPr>
        <w:spacing w:beforeLines="25" w:afterLines="25"/>
        <w:ind w:firstLine="991" w:firstLineChars="472"/>
        <w:rPr>
          <w:rFonts w:hint="eastAsia" w:ascii="宋体" w:hAnsi="宋体" w:eastAsia="宋体"/>
          <w:szCs w:val="21"/>
          <w:lang w:eastAsia="zh-CN"/>
        </w:rPr>
      </w:pPr>
      <w:r>
        <w:rPr>
          <w:rFonts w:hint="eastAsia" w:ascii="宋体" w:hAnsi="宋体"/>
          <w:szCs w:val="21"/>
          <w:lang w:eastAsia="zh-CN"/>
        </w:rPr>
        <w:t>（</w:t>
      </w:r>
      <w:r>
        <w:rPr>
          <w:rFonts w:hint="eastAsia" w:ascii="宋体" w:hAnsi="宋体"/>
          <w:szCs w:val="21"/>
          <w:lang w:val="en-US" w:eastAsia="zh-CN"/>
        </w:rPr>
        <w:t>15</w:t>
      </w:r>
      <w:r>
        <w:rPr>
          <w:rFonts w:hint="eastAsia" w:ascii="宋体" w:hAnsi="宋体"/>
          <w:szCs w:val="21"/>
          <w:lang w:eastAsia="zh-CN"/>
        </w:rPr>
        <w:t>）违约承诺</w:t>
      </w:r>
    </w:p>
    <w:p>
      <w:pPr>
        <w:spacing w:beforeLines="25" w:afterLines="25"/>
        <w:ind w:firstLine="991" w:firstLineChars="472"/>
        <w:rPr>
          <w:rFonts w:hint="eastAsia" w:ascii="宋体" w:hAnsi="宋体" w:eastAsia="宋体"/>
          <w:szCs w:val="21"/>
          <w:lang w:eastAsia="zh-CN"/>
        </w:rPr>
      </w:pPr>
      <w:r>
        <w:rPr>
          <w:rFonts w:hint="eastAsia" w:ascii="宋体" w:hAnsi="宋体"/>
          <w:szCs w:val="21"/>
          <w:lang w:eastAsia="zh-CN"/>
        </w:rPr>
        <w:t>（</w:t>
      </w:r>
      <w:r>
        <w:rPr>
          <w:rFonts w:hint="eastAsia" w:ascii="宋体" w:hAnsi="宋体"/>
          <w:szCs w:val="21"/>
          <w:lang w:val="en-US" w:eastAsia="zh-CN"/>
        </w:rPr>
        <w:t>16</w:t>
      </w:r>
      <w:r>
        <w:rPr>
          <w:rFonts w:hint="eastAsia" w:ascii="宋体" w:hAnsi="宋体"/>
          <w:szCs w:val="21"/>
          <w:lang w:eastAsia="zh-CN"/>
        </w:rPr>
        <w:t>）拟安排的项目负责人情况（仅限一人）</w:t>
      </w:r>
    </w:p>
    <w:p>
      <w:pPr>
        <w:spacing w:beforeLines="25" w:afterLines="25"/>
        <w:ind w:firstLine="991" w:firstLineChars="472"/>
        <w:rPr>
          <w:rFonts w:hint="eastAsia" w:ascii="宋体" w:hAnsi="宋体" w:eastAsia="宋体"/>
          <w:szCs w:val="21"/>
          <w:lang w:eastAsia="zh-CN"/>
        </w:rPr>
      </w:pPr>
      <w:r>
        <w:rPr>
          <w:rFonts w:hint="eastAsia" w:ascii="宋体" w:hAnsi="宋体"/>
          <w:szCs w:val="21"/>
          <w:lang w:eastAsia="zh-CN"/>
        </w:rPr>
        <w:t>（</w:t>
      </w:r>
      <w:r>
        <w:rPr>
          <w:rFonts w:hint="eastAsia" w:ascii="宋体" w:hAnsi="宋体"/>
          <w:szCs w:val="21"/>
          <w:lang w:val="en-US" w:eastAsia="zh-CN"/>
        </w:rPr>
        <w:t>17</w:t>
      </w:r>
      <w:r>
        <w:rPr>
          <w:rFonts w:hint="eastAsia" w:ascii="宋体" w:hAnsi="宋体"/>
          <w:szCs w:val="21"/>
          <w:lang w:eastAsia="zh-CN"/>
        </w:rPr>
        <w:t>）拟安排的项目主要团队成员（主要技术人员）情况（项目负责人除外）</w:t>
      </w:r>
    </w:p>
    <w:p>
      <w:pPr>
        <w:spacing w:beforeLines="25" w:afterLines="25"/>
        <w:ind w:firstLine="991" w:firstLineChars="472"/>
        <w:rPr>
          <w:rFonts w:hint="eastAsia" w:ascii="宋体" w:hAnsi="宋体" w:eastAsia="宋体"/>
          <w:szCs w:val="21"/>
          <w:lang w:eastAsia="zh-CN"/>
        </w:rPr>
      </w:pPr>
      <w:r>
        <w:rPr>
          <w:rFonts w:hint="eastAsia" w:ascii="宋体" w:hAnsi="宋体"/>
          <w:szCs w:val="21"/>
          <w:lang w:eastAsia="zh-CN"/>
        </w:rPr>
        <w:t>（</w:t>
      </w:r>
      <w:r>
        <w:rPr>
          <w:rFonts w:hint="eastAsia" w:ascii="宋体" w:hAnsi="宋体"/>
          <w:szCs w:val="21"/>
          <w:lang w:val="en-US" w:eastAsia="zh-CN"/>
        </w:rPr>
        <w:t>18</w:t>
      </w:r>
      <w:r>
        <w:rPr>
          <w:rFonts w:hint="eastAsia" w:ascii="宋体" w:hAnsi="宋体"/>
          <w:szCs w:val="21"/>
          <w:lang w:eastAsia="zh-CN"/>
        </w:rPr>
        <w:t>）拟投入的服务资源（车辆、场地、工具、机器等）情况</w:t>
      </w:r>
    </w:p>
    <w:p>
      <w:pPr>
        <w:spacing w:beforeLines="25" w:afterLines="25"/>
        <w:ind w:firstLine="991" w:firstLineChars="472"/>
        <w:rPr>
          <w:rFonts w:hint="eastAsia" w:ascii="宋体" w:hAnsi="宋体" w:eastAsia="宋体"/>
          <w:szCs w:val="21"/>
          <w:lang w:eastAsia="zh-CN"/>
        </w:rPr>
      </w:pPr>
      <w:r>
        <w:rPr>
          <w:rFonts w:hint="eastAsia" w:ascii="宋体" w:hAnsi="宋体"/>
          <w:szCs w:val="21"/>
          <w:lang w:eastAsia="zh-CN"/>
        </w:rPr>
        <w:t>（</w:t>
      </w:r>
      <w:r>
        <w:rPr>
          <w:rFonts w:hint="eastAsia" w:ascii="宋体" w:hAnsi="宋体"/>
          <w:szCs w:val="21"/>
          <w:lang w:val="en-US" w:eastAsia="zh-CN"/>
        </w:rPr>
        <w:t>19</w:t>
      </w:r>
      <w:r>
        <w:rPr>
          <w:rFonts w:hint="eastAsia" w:ascii="宋体" w:hAnsi="宋体"/>
          <w:szCs w:val="21"/>
          <w:lang w:eastAsia="zh-CN"/>
        </w:rPr>
        <w:t>）供应商资格（资质、认证）情况</w:t>
      </w:r>
    </w:p>
    <w:p>
      <w:pPr>
        <w:spacing w:beforeLines="25" w:afterLines="25"/>
        <w:ind w:firstLine="991" w:firstLineChars="472"/>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20</w:t>
      </w:r>
      <w:r>
        <w:rPr>
          <w:rFonts w:hint="eastAsia" w:ascii="宋体" w:hAnsi="宋体"/>
          <w:szCs w:val="21"/>
          <w:lang w:eastAsia="zh-CN"/>
        </w:rPr>
        <w:t>）供应商同类项目业绩情况</w:t>
      </w:r>
    </w:p>
    <w:p>
      <w:pPr>
        <w:spacing w:beforeLines="25" w:afterLines="25"/>
        <w:ind w:firstLine="991" w:firstLineChars="472"/>
        <w:rPr>
          <w:rFonts w:hint="eastAsia" w:ascii="宋体" w:hAnsi="宋体" w:eastAsia="宋体"/>
          <w:szCs w:val="21"/>
          <w:lang w:eastAsia="zh-CN"/>
        </w:rPr>
      </w:pPr>
      <w:r>
        <w:rPr>
          <w:rFonts w:hint="eastAsia" w:ascii="宋体" w:hAnsi="宋体"/>
          <w:szCs w:val="21"/>
          <w:lang w:eastAsia="zh-CN"/>
        </w:rPr>
        <w:t>（</w:t>
      </w:r>
      <w:r>
        <w:rPr>
          <w:rFonts w:hint="eastAsia" w:ascii="宋体" w:hAnsi="宋体"/>
          <w:szCs w:val="21"/>
          <w:lang w:val="en-US" w:eastAsia="zh-CN"/>
        </w:rPr>
        <w:t>21</w:t>
      </w:r>
      <w:r>
        <w:rPr>
          <w:rFonts w:hint="eastAsia" w:ascii="宋体" w:hAnsi="宋体"/>
          <w:szCs w:val="21"/>
          <w:lang w:eastAsia="zh-CN"/>
        </w:rPr>
        <w:t>）供应商获奖情况</w:t>
      </w:r>
    </w:p>
    <w:p>
      <w:pPr>
        <w:spacing w:beforeLines="25" w:afterLines="25"/>
        <w:ind w:firstLine="991" w:firstLineChars="472"/>
        <w:rPr>
          <w:rFonts w:hint="eastAsia" w:ascii="宋体" w:hAnsi="宋体" w:eastAsia="宋体"/>
          <w:szCs w:val="21"/>
          <w:lang w:eastAsia="zh-CN"/>
        </w:rPr>
      </w:pPr>
      <w:r>
        <w:rPr>
          <w:rFonts w:hint="eastAsia" w:ascii="宋体" w:hAnsi="宋体"/>
          <w:szCs w:val="21"/>
          <w:lang w:eastAsia="zh-CN"/>
        </w:rPr>
        <w:t>（</w:t>
      </w:r>
      <w:r>
        <w:rPr>
          <w:rFonts w:hint="eastAsia" w:ascii="宋体" w:hAnsi="宋体"/>
          <w:szCs w:val="21"/>
          <w:lang w:val="en-US" w:eastAsia="zh-CN"/>
        </w:rPr>
        <w:t>22</w:t>
      </w:r>
      <w:r>
        <w:rPr>
          <w:rFonts w:hint="eastAsia" w:ascii="宋体" w:hAnsi="宋体"/>
          <w:szCs w:val="21"/>
          <w:lang w:eastAsia="zh-CN"/>
        </w:rPr>
        <w:t>）供应商自主知识产权产品（创新、设计）情况</w:t>
      </w:r>
    </w:p>
    <w:p>
      <w:pPr>
        <w:spacing w:beforeLines="25" w:afterLines="25"/>
        <w:ind w:firstLine="991" w:firstLineChars="472"/>
        <w:rPr>
          <w:rFonts w:hint="eastAsia" w:ascii="宋体" w:hAnsi="宋体" w:eastAsia="宋体"/>
          <w:szCs w:val="21"/>
          <w:lang w:eastAsia="zh-CN"/>
        </w:rPr>
      </w:pPr>
      <w:r>
        <w:rPr>
          <w:rFonts w:hint="eastAsia" w:ascii="宋体" w:hAnsi="宋体"/>
          <w:szCs w:val="21"/>
          <w:lang w:eastAsia="zh-CN"/>
        </w:rPr>
        <w:t>（</w:t>
      </w:r>
      <w:r>
        <w:rPr>
          <w:rFonts w:hint="eastAsia" w:ascii="宋体" w:hAnsi="宋体"/>
          <w:szCs w:val="21"/>
          <w:lang w:val="en-US" w:eastAsia="zh-CN"/>
        </w:rPr>
        <w:t>23</w:t>
      </w:r>
      <w:r>
        <w:rPr>
          <w:rFonts w:hint="eastAsia" w:ascii="宋体" w:hAnsi="宋体"/>
          <w:szCs w:val="21"/>
          <w:lang w:eastAsia="zh-CN"/>
        </w:rPr>
        <w:t>）服务网点</w:t>
      </w:r>
    </w:p>
    <w:p>
      <w:pPr>
        <w:spacing w:beforeLines="25" w:afterLines="25"/>
        <w:ind w:firstLine="991" w:firstLineChars="472"/>
        <w:rPr>
          <w:rFonts w:hint="eastAsia" w:ascii="宋体" w:hAnsi="宋体" w:eastAsia="宋体"/>
          <w:szCs w:val="21"/>
          <w:lang w:eastAsia="zh-CN"/>
        </w:rPr>
      </w:pPr>
      <w:r>
        <w:rPr>
          <w:rFonts w:hint="eastAsia" w:ascii="宋体" w:hAnsi="宋体"/>
          <w:szCs w:val="21"/>
          <w:lang w:eastAsia="zh-CN"/>
        </w:rPr>
        <w:t>（</w:t>
      </w:r>
      <w:r>
        <w:rPr>
          <w:rFonts w:hint="eastAsia" w:ascii="宋体" w:hAnsi="宋体"/>
          <w:szCs w:val="21"/>
          <w:lang w:val="en-US" w:eastAsia="zh-CN"/>
        </w:rPr>
        <w:t>24</w:t>
      </w:r>
      <w:r>
        <w:rPr>
          <w:rFonts w:hint="eastAsia" w:ascii="宋体" w:hAnsi="宋体"/>
          <w:szCs w:val="21"/>
          <w:lang w:eastAsia="zh-CN"/>
        </w:rPr>
        <w:t>）诚信情况（</w:t>
      </w:r>
      <w:r>
        <w:rPr>
          <w:rFonts w:hint="eastAsia" w:eastAsia="宋体" w:cs="Times New Roman"/>
        </w:rPr>
        <w:t>由</w:t>
      </w:r>
      <w:r>
        <w:rPr>
          <w:rFonts w:hint="eastAsia" w:cs="Times New Roman"/>
          <w:lang w:val="en-US" w:eastAsia="zh-CN"/>
        </w:rPr>
        <w:t>代理机构</w:t>
      </w:r>
      <w:r>
        <w:rPr>
          <w:rFonts w:hint="eastAsia" w:eastAsia="宋体" w:cs="Times New Roman"/>
        </w:rPr>
        <w:t>工作人员向评审委员会提供相关信息</w:t>
      </w:r>
      <w:r>
        <w:rPr>
          <w:rFonts w:hint="eastAsia" w:cs="Times New Roman"/>
          <w:lang w:eastAsia="zh-CN"/>
        </w:rPr>
        <w:t>，</w:t>
      </w:r>
      <w:r>
        <w:rPr>
          <w:rFonts w:hint="eastAsia" w:cs="Times New Roman"/>
          <w:lang w:val="en-US" w:eastAsia="zh-CN"/>
        </w:rPr>
        <w:t>投标人无需提供证明资料</w:t>
      </w:r>
      <w:r>
        <w:rPr>
          <w:rFonts w:hint="eastAsia" w:ascii="宋体" w:hAnsi="宋体"/>
          <w:szCs w:val="21"/>
          <w:lang w:eastAsia="zh-CN"/>
        </w:rPr>
        <w:t>）</w:t>
      </w:r>
    </w:p>
    <w:p>
      <w:pPr>
        <w:spacing w:beforeLines="25" w:afterLines="25"/>
        <w:ind w:firstLine="991" w:firstLineChars="472"/>
        <w:rPr>
          <w:rFonts w:ascii="宋体" w:hAnsi="宋体"/>
          <w:szCs w:val="21"/>
        </w:rPr>
      </w:pPr>
      <w:r>
        <w:rPr>
          <w:rFonts w:hint="eastAsia" w:ascii="宋体" w:hAnsi="宋体"/>
          <w:szCs w:val="21"/>
        </w:rPr>
        <w:t>（</w:t>
      </w:r>
      <w:r>
        <w:rPr>
          <w:rFonts w:hint="eastAsia" w:ascii="宋体" w:hAnsi="宋体"/>
          <w:szCs w:val="21"/>
          <w:lang w:val="en-US" w:eastAsia="zh-CN"/>
        </w:rPr>
        <w:t>25</w:t>
      </w:r>
      <w:r>
        <w:rPr>
          <w:rFonts w:hint="eastAsia" w:ascii="宋体" w:hAnsi="宋体"/>
          <w:szCs w:val="21"/>
        </w:rPr>
        <w:t>）招标文件要求的其它内容或投标人认为需要补充的资料</w:t>
      </w:r>
    </w:p>
    <w:p>
      <w:pPr>
        <w:spacing w:beforeLines="25" w:afterLines="25"/>
        <w:rPr>
          <w:rFonts w:ascii="宋体" w:hAnsi="宋体"/>
          <w:szCs w:val="21"/>
        </w:rPr>
      </w:pPr>
    </w:p>
    <w:p>
      <w:pPr>
        <w:widowControl/>
        <w:ind w:firstLine="487" w:firstLineChars="202"/>
        <w:jc w:val="left"/>
        <w:rPr>
          <w:rFonts w:ascii="宋体" w:hAnsi="宋体" w:eastAsiaTheme="minorEastAsia"/>
          <w:b/>
          <w:kern w:val="0"/>
          <w:sz w:val="24"/>
          <w:szCs w:val="21"/>
        </w:rPr>
      </w:pPr>
      <w:r>
        <w:rPr>
          <w:rFonts w:hint="eastAsia" w:ascii="宋体" w:hAnsi="宋体" w:eastAsiaTheme="minorEastAsia"/>
          <w:b/>
          <w:kern w:val="0"/>
          <w:sz w:val="24"/>
          <w:szCs w:val="21"/>
        </w:rPr>
        <w:t>备注：</w:t>
      </w:r>
    </w:p>
    <w:p>
      <w:pPr>
        <w:widowControl/>
        <w:ind w:firstLine="487" w:firstLineChars="202"/>
        <w:jc w:val="left"/>
        <w:rPr>
          <w:rFonts w:ascii="宋体" w:hAnsi="宋体" w:eastAsiaTheme="minorEastAsia"/>
          <w:b/>
          <w:kern w:val="0"/>
          <w:sz w:val="24"/>
          <w:szCs w:val="21"/>
        </w:rPr>
      </w:pPr>
      <w:r>
        <w:rPr>
          <w:rFonts w:hint="eastAsia" w:ascii="宋体" w:hAnsi="宋体" w:eastAsiaTheme="minorEastAsia"/>
          <w:b/>
          <w:kern w:val="0"/>
          <w:sz w:val="24"/>
          <w:szCs w:val="21"/>
        </w:rPr>
        <w:t>1.本项目为网上电子投标项目，投标文件不需法人或授权委托人另行签字，无需加盖单位公章，招标文件专用条款另有规定的除外。</w:t>
      </w:r>
    </w:p>
    <w:p>
      <w:pPr>
        <w:widowControl/>
        <w:ind w:firstLine="487" w:firstLineChars="202"/>
        <w:jc w:val="left"/>
        <w:rPr>
          <w:rFonts w:ascii="宋体" w:hAnsi="宋体" w:eastAsiaTheme="minorEastAsia"/>
          <w:b/>
          <w:kern w:val="0"/>
          <w:sz w:val="24"/>
          <w:szCs w:val="21"/>
        </w:rPr>
      </w:pPr>
      <w:r>
        <w:rPr>
          <w:rFonts w:hint="eastAsia" w:ascii="宋体" w:hAnsi="宋体" w:eastAsiaTheme="minorEastAsia"/>
          <w:b/>
          <w:kern w:val="0"/>
          <w:sz w:val="24"/>
          <w:szCs w:val="21"/>
        </w:rPr>
        <w:t>2.关于填写“开标一览表”的说明：“开标一览表”中除“投标报价”外，其他信息不作为评审依据。</w:t>
      </w:r>
    </w:p>
    <w:p>
      <w:pPr>
        <w:widowControl/>
        <w:jc w:val="left"/>
        <w:rPr>
          <w:rFonts w:ascii="宋体" w:hAnsi="宋体"/>
          <w:szCs w:val="21"/>
        </w:rPr>
      </w:pPr>
      <w:r>
        <w:rPr>
          <w:rFonts w:ascii="宋体" w:hAnsi="宋体"/>
          <w:szCs w:val="21"/>
        </w:rPr>
        <w:br w:type="page"/>
      </w:r>
    </w:p>
    <w:p>
      <w:pPr>
        <w:rPr>
          <w:rFonts w:ascii="仿宋_GB2312" w:hAnsi="Times New Roman" w:eastAsia="仿宋_GB2312"/>
          <w:b/>
          <w:color w:val="FF0000"/>
          <w:sz w:val="30"/>
          <w:szCs w:val="30"/>
        </w:rPr>
      </w:pPr>
      <w:r>
        <w:rPr>
          <w:rFonts w:hint="eastAsia" w:ascii="仿宋_GB2312" w:hAnsi="Times New Roman" w:eastAsia="仿宋_GB2312"/>
          <w:b/>
          <w:color w:val="FF0000"/>
          <w:sz w:val="30"/>
          <w:szCs w:val="30"/>
        </w:rPr>
        <w:t>投标文件正文（信息公开部分）：</w:t>
      </w:r>
    </w:p>
    <w:p>
      <w:pPr>
        <w:pStyle w:val="4"/>
        <w:jc w:val="center"/>
        <w:rPr>
          <w:rFonts w:ascii="黑体" w:eastAsia="黑体"/>
          <w:b w:val="0"/>
          <w:sz w:val="24"/>
        </w:rPr>
      </w:pPr>
      <w:r>
        <w:rPr>
          <w:rFonts w:hint="eastAsia" w:ascii="黑体" w:eastAsia="黑体"/>
          <w:b w:val="0"/>
          <w:sz w:val="24"/>
        </w:rPr>
        <w:t>一、投标函</w:t>
      </w:r>
    </w:p>
    <w:p>
      <w:pPr>
        <w:spacing w:line="360" w:lineRule="auto"/>
        <w:rPr>
          <w:rFonts w:ascii="宋体" w:hAnsi="宋体"/>
          <w:szCs w:val="21"/>
        </w:rPr>
      </w:pPr>
      <w:r>
        <w:rPr>
          <w:rFonts w:hint="eastAsia" w:ascii="宋体" w:hAnsi="宋体"/>
          <w:szCs w:val="21"/>
        </w:rPr>
        <w:t xml:space="preserve">深圳市中正招标有限公司：  </w:t>
      </w:r>
    </w:p>
    <w:p>
      <w:pPr>
        <w:spacing w:afterLines="50"/>
        <w:ind w:firstLine="420" w:firstLineChars="200"/>
        <w:rPr>
          <w:szCs w:val="21"/>
        </w:rPr>
      </w:pPr>
      <w:r>
        <w:rPr>
          <w:rFonts w:hint="eastAsia"/>
          <w:szCs w:val="21"/>
        </w:rPr>
        <w:t>1.根据已收到贵方的项目编号为</w:t>
      </w:r>
      <w:r>
        <w:rPr>
          <w:rFonts w:hint="eastAsia"/>
          <w:szCs w:val="21"/>
          <w:u w:val="single"/>
        </w:rPr>
        <w:t xml:space="preserve">        </w:t>
      </w:r>
      <w:r>
        <w:rPr>
          <w:rFonts w:hint="eastAsia"/>
          <w:szCs w:val="21"/>
        </w:rPr>
        <w:t>的</w:t>
      </w:r>
      <w:r>
        <w:rPr>
          <w:rFonts w:hint="eastAsia"/>
          <w:szCs w:val="21"/>
          <w:u w:val="single"/>
        </w:rPr>
        <w:t xml:space="preserve">               </w:t>
      </w:r>
      <w:r>
        <w:rPr>
          <w:rFonts w:hint="eastAsia"/>
          <w:szCs w:val="21"/>
        </w:rPr>
        <w:t>项目的招标文件，遵照《深圳经济特区政府采购条例》和《深圳网上政府采购管理暂行办法》等有关规定，我方经研究上述招标文件的专用条款及通用条款后，愿以投标书编制软件中《开标一览表》中填写的投标报价并按招标文件要求承包上述项目并修补其任何缺陷。</w:t>
      </w:r>
    </w:p>
    <w:p>
      <w:pPr>
        <w:spacing w:afterLines="50"/>
        <w:ind w:firstLine="420" w:firstLineChars="200"/>
        <w:rPr>
          <w:szCs w:val="21"/>
        </w:rPr>
      </w:pPr>
      <w:r>
        <w:rPr>
          <w:szCs w:val="21"/>
        </w:rPr>
        <w:t>2</w:t>
      </w:r>
      <w:r>
        <w:rPr>
          <w:rFonts w:hint="eastAsia"/>
          <w:szCs w:val="21"/>
        </w:rPr>
        <w:t>.我方已认真核实了投标文件的全部资料，所有资料均为真实资料。我方对投标文件中全部投标资料的真实性负责，如被证实我方的投标文件中存在虚假资料的，则视为我方隐瞒真实情况、提供虚假资料，我方愿意接受主管部门作出的行政处罚。</w:t>
      </w:r>
    </w:p>
    <w:p>
      <w:pPr>
        <w:spacing w:afterLines="50"/>
        <w:ind w:firstLine="411" w:firstLineChars="196"/>
        <w:rPr>
          <w:rFonts w:ascii="宋体" w:hAnsi="宋体"/>
          <w:szCs w:val="21"/>
        </w:rPr>
      </w:pPr>
      <w:r>
        <w:rPr>
          <w:rFonts w:hint="eastAsia" w:ascii="宋体" w:hAnsi="宋体"/>
          <w:szCs w:val="21"/>
        </w:rPr>
        <w:t>3.我方同意所递交的投标文件在“对通用条款的补充内容”中的投标有效期内有效，在此期间内我方的投标有可能中标，我方将受此约束。</w:t>
      </w:r>
    </w:p>
    <w:p>
      <w:pPr>
        <w:spacing w:afterLines="50"/>
        <w:ind w:firstLine="411" w:firstLineChars="196"/>
        <w:rPr>
          <w:rFonts w:ascii="宋体" w:hAnsi="宋体"/>
          <w:szCs w:val="21"/>
        </w:rPr>
      </w:pPr>
      <w:r>
        <w:rPr>
          <w:rFonts w:hint="eastAsia" w:ascii="宋体" w:hAnsi="宋体"/>
          <w:szCs w:val="21"/>
        </w:rPr>
        <w:t>4.除非另外达成协议并生效，贵方的中标通知书和本投标文件将构成约束我们双方的合同。</w:t>
      </w:r>
    </w:p>
    <w:p>
      <w:pPr>
        <w:spacing w:afterLines="50"/>
        <w:ind w:firstLine="411" w:firstLineChars="196"/>
        <w:rPr>
          <w:rFonts w:ascii="宋体" w:hAnsi="宋体"/>
          <w:szCs w:val="21"/>
        </w:rPr>
      </w:pPr>
      <w:r>
        <w:rPr>
          <w:rFonts w:hint="eastAsia" w:ascii="宋体" w:hAnsi="宋体"/>
          <w:szCs w:val="21"/>
        </w:rPr>
        <w:t>5.我方理解贵方将不受必须接受你们所收到的最低标价或其它任何投标文件的约束。</w:t>
      </w:r>
    </w:p>
    <w:p>
      <w:pPr>
        <w:ind w:left="540" w:leftChars="257"/>
        <w:rPr>
          <w:szCs w:val="21"/>
          <w:u w:val="single"/>
        </w:rPr>
      </w:pPr>
      <w:r>
        <w:rPr>
          <w:rFonts w:hint="eastAsia"/>
          <w:szCs w:val="21"/>
        </w:rPr>
        <w:t>投标人：</w:t>
      </w:r>
      <w:r>
        <w:rPr>
          <w:rFonts w:hint="eastAsia"/>
          <w:szCs w:val="21"/>
          <w:u w:val="single"/>
        </w:rPr>
        <w:t xml:space="preserve">                   </w:t>
      </w:r>
      <w:r>
        <w:rPr>
          <w:rFonts w:hint="eastAsia"/>
          <w:szCs w:val="21"/>
        </w:rPr>
        <w:t xml:space="preserve">    单位地址：</w:t>
      </w:r>
      <w:r>
        <w:rPr>
          <w:rFonts w:hint="eastAsia"/>
          <w:szCs w:val="21"/>
          <w:u w:val="single"/>
        </w:rPr>
        <w:t xml:space="preserve">               </w:t>
      </w:r>
    </w:p>
    <w:p>
      <w:pPr>
        <w:ind w:left="540" w:leftChars="257"/>
        <w:rPr>
          <w:szCs w:val="21"/>
          <w:u w:val="single"/>
        </w:rPr>
      </w:pPr>
      <w:r>
        <w:rPr>
          <w:rFonts w:hint="eastAsia"/>
          <w:szCs w:val="21"/>
        </w:rPr>
        <w:t>法定代表人或其委托代理人：</w:t>
      </w:r>
      <w:r>
        <w:rPr>
          <w:rFonts w:hint="eastAsia"/>
          <w:szCs w:val="21"/>
          <w:u w:val="single"/>
        </w:rPr>
        <w:t xml:space="preserve">                   </w:t>
      </w:r>
    </w:p>
    <w:p>
      <w:pPr>
        <w:ind w:left="540" w:leftChars="257"/>
        <w:rPr>
          <w:szCs w:val="21"/>
          <w:u w:val="single"/>
        </w:rPr>
      </w:pPr>
      <w:r>
        <w:rPr>
          <w:rFonts w:hint="eastAsia"/>
          <w:szCs w:val="21"/>
        </w:rPr>
        <w:t>邮政编码：</w:t>
      </w:r>
      <w:r>
        <w:rPr>
          <w:rFonts w:hint="eastAsia"/>
          <w:szCs w:val="21"/>
          <w:u w:val="single"/>
        </w:rPr>
        <w:t xml:space="preserve">          </w:t>
      </w:r>
      <w:r>
        <w:rPr>
          <w:rFonts w:hint="eastAsia"/>
          <w:szCs w:val="21"/>
        </w:rPr>
        <w:t xml:space="preserve">  电话：</w:t>
      </w:r>
      <w:r>
        <w:rPr>
          <w:rFonts w:hint="eastAsia"/>
          <w:szCs w:val="21"/>
          <w:u w:val="single"/>
        </w:rPr>
        <w:t xml:space="preserve">          </w:t>
      </w:r>
      <w:r>
        <w:rPr>
          <w:rFonts w:hint="eastAsia"/>
          <w:szCs w:val="21"/>
        </w:rPr>
        <w:t xml:space="preserve">  传真：</w:t>
      </w:r>
      <w:r>
        <w:rPr>
          <w:rFonts w:hint="eastAsia"/>
          <w:szCs w:val="21"/>
          <w:u w:val="single"/>
        </w:rPr>
        <w:t xml:space="preserve">            </w:t>
      </w:r>
    </w:p>
    <w:p>
      <w:pPr>
        <w:ind w:left="540" w:leftChars="257"/>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开户银行帐号：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left="540" w:leftChars="257"/>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firstLine="539" w:firstLineChars="257"/>
        <w:rPr>
          <w:sz w:val="24"/>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r>
        <w:rPr>
          <w:rFonts w:hint="eastAsia"/>
          <w:sz w:val="24"/>
        </w:rPr>
        <w:t xml:space="preserve">    </w:t>
      </w:r>
    </w:p>
    <w:p>
      <w:pPr>
        <w:ind w:firstLine="616" w:firstLineChars="257"/>
        <w:rPr>
          <w:sz w:val="24"/>
        </w:rPr>
      </w:pPr>
    </w:p>
    <w:p>
      <w:pPr>
        <w:rPr>
          <w:rFonts w:ascii="宋体" w:hAnsi="宋体"/>
          <w:szCs w:val="21"/>
        </w:rPr>
      </w:pPr>
      <w:r>
        <w:rPr>
          <w:rFonts w:hint="eastAsia"/>
          <w:szCs w:val="21"/>
          <w:u w:val="single"/>
        </w:rPr>
        <w:t>（备注：如联合体投标，投标人一栏仅需填写牵头人的名称）</w:t>
      </w:r>
    </w:p>
    <w:p>
      <w:pPr>
        <w:ind w:firstLine="616" w:firstLineChars="257"/>
        <w:rPr>
          <w:sz w:val="24"/>
        </w:rPr>
      </w:pPr>
      <w:r>
        <w:rPr>
          <w:rFonts w:hint="eastAsia"/>
          <w:sz w:val="24"/>
        </w:rPr>
        <w:t xml:space="preserve">                          </w:t>
      </w:r>
    </w:p>
    <w:p>
      <w:pPr>
        <w:spacing w:afterLines="50"/>
        <w:ind w:firstLine="411" w:firstLineChars="196"/>
        <w:rPr>
          <w:rFonts w:ascii="宋体" w:hAnsi="宋体"/>
          <w:szCs w:val="21"/>
        </w:rPr>
      </w:pPr>
    </w:p>
    <w:p>
      <w:pPr>
        <w:pStyle w:val="4"/>
        <w:jc w:val="center"/>
        <w:rPr>
          <w:rFonts w:ascii="黑体" w:eastAsia="黑体"/>
          <w:b w:val="0"/>
          <w:sz w:val="24"/>
        </w:rPr>
      </w:pPr>
      <w:r>
        <w:rPr>
          <w:rFonts w:hint="eastAsia" w:ascii="黑体" w:eastAsia="黑体"/>
          <w:b w:val="0"/>
          <w:sz w:val="24"/>
        </w:rPr>
        <w:t>二、资格响应文件</w:t>
      </w: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ascii="Times New Roman" w:hAnsi="宋体"/>
          <w:szCs w:val="21"/>
        </w:rPr>
        <w:t>等证明材料</w:t>
      </w:r>
      <w:r>
        <w:rPr>
          <w:rFonts w:hint="eastAsia" w:ascii="宋体" w:hAnsi="宋体"/>
          <w:bCs/>
          <w:snapToGrid w:val="0"/>
          <w:kern w:val="0"/>
          <w:szCs w:val="21"/>
        </w:rPr>
        <w:t>（扫描件）</w:t>
      </w:r>
    </w:p>
    <w:p>
      <w:pPr>
        <w:adjustRightInd w:val="0"/>
        <w:snapToGrid w:val="0"/>
        <w:spacing w:line="360" w:lineRule="auto"/>
        <w:ind w:firstLine="424" w:firstLineChars="202"/>
        <w:rPr>
          <w:rFonts w:ascii="宋体" w:hAnsi="宋体"/>
          <w:szCs w:val="24"/>
        </w:rPr>
      </w:pPr>
      <w:r>
        <w:rPr>
          <w:rFonts w:hint="eastAsia" w:ascii="宋体" w:hAnsi="宋体"/>
          <w:bCs/>
          <w:snapToGrid w:val="0"/>
          <w:kern w:val="0"/>
          <w:szCs w:val="21"/>
        </w:rPr>
        <w:t>2、</w:t>
      </w:r>
      <w:r>
        <w:rPr>
          <w:rFonts w:hint="eastAsia" w:ascii="Times New Roman" w:hAnsi="Times New Roman"/>
          <w:szCs w:val="21"/>
        </w:rPr>
        <w:t>政府采购投标及履约承诺函</w:t>
      </w:r>
    </w:p>
    <w:p>
      <w:pPr>
        <w:adjustRightInd w:val="0"/>
        <w:snapToGrid w:val="0"/>
        <w:spacing w:line="360" w:lineRule="auto"/>
        <w:ind w:firstLine="424" w:firstLineChars="202"/>
        <w:rPr>
          <w:rFonts w:ascii="宋体" w:hAnsi="宋体"/>
          <w:szCs w:val="24"/>
        </w:rPr>
      </w:pPr>
      <w:r>
        <w:rPr>
          <w:rFonts w:hint="eastAsia" w:ascii="宋体" w:hAnsi="宋体"/>
          <w:szCs w:val="24"/>
        </w:rPr>
        <w:t>3、其它资格证明材料（如有，按招标公告“申请人的资格要求”提供）</w:t>
      </w:r>
    </w:p>
    <w:p>
      <w:pPr>
        <w:pStyle w:val="4"/>
        <w:jc w:val="center"/>
        <w:rPr>
          <w:rFonts w:ascii="黑体" w:eastAsia="黑体"/>
          <w:b w:val="0"/>
          <w:sz w:val="24"/>
        </w:rPr>
      </w:pPr>
    </w:p>
    <w:p>
      <w:pPr>
        <w:pStyle w:val="4"/>
        <w:jc w:val="center"/>
        <w:rPr>
          <w:rFonts w:ascii="黑体" w:eastAsia="黑体"/>
          <w:b w:val="0"/>
          <w:sz w:val="24"/>
        </w:rPr>
      </w:pPr>
      <w:r>
        <w:rPr>
          <w:rFonts w:hint="eastAsia" w:ascii="黑体" w:eastAsia="黑体"/>
          <w:b w:val="0"/>
          <w:sz w:val="24"/>
        </w:rPr>
        <w:t>政府采购投标及履约承诺函</w:t>
      </w:r>
    </w:p>
    <w:p>
      <w:pPr>
        <w:rPr>
          <w:rFonts w:ascii="宋体" w:hAnsi="宋体"/>
          <w:szCs w:val="21"/>
        </w:rPr>
      </w:pPr>
      <w:r>
        <w:rPr>
          <w:rFonts w:hint="eastAsia" w:ascii="宋体" w:hAnsi="宋体"/>
          <w:szCs w:val="21"/>
        </w:rPr>
        <w:t>深圳市中正招标有限公司：</w:t>
      </w:r>
    </w:p>
    <w:p>
      <w:pPr>
        <w:ind w:right="-815" w:firstLine="420" w:firstLineChars="200"/>
        <w:rPr>
          <w:rFonts w:ascii="宋体" w:hAnsi="宋体"/>
          <w:szCs w:val="21"/>
        </w:rPr>
      </w:pPr>
      <w:r>
        <w:rPr>
          <w:rFonts w:hint="eastAsia" w:ascii="宋体" w:hAnsi="宋体"/>
          <w:szCs w:val="21"/>
        </w:rPr>
        <w:t>我单位承诺：</w:t>
      </w:r>
    </w:p>
    <w:p>
      <w:pPr>
        <w:ind w:firstLine="424" w:firstLineChars="202"/>
        <w:rPr>
          <w:rFonts w:ascii="宋体" w:hAnsi="宋体"/>
          <w:szCs w:val="21"/>
        </w:rPr>
      </w:pPr>
      <w:r>
        <w:rPr>
          <w:rFonts w:hint="eastAsia" w:ascii="宋体" w:hAnsi="宋体"/>
          <w:szCs w:val="21"/>
        </w:rPr>
        <w:t>1.我单位满足《中华人民共和国政府采购法》第二十二条规定的条件。</w:t>
      </w:r>
    </w:p>
    <w:p>
      <w:pPr>
        <w:ind w:firstLine="424" w:firstLineChars="202"/>
        <w:rPr>
          <w:rFonts w:ascii="宋体" w:hAnsi="宋体"/>
          <w:szCs w:val="21"/>
        </w:rPr>
      </w:pPr>
      <w:r>
        <w:rPr>
          <w:rFonts w:hint="eastAsia" w:ascii="宋体" w:hAnsi="宋体"/>
          <w:szCs w:val="21"/>
        </w:rPr>
        <w:t>2.我单位参与本项目投标前三年内，在经营活动中没有重大违法记录。</w:t>
      </w:r>
    </w:p>
    <w:p>
      <w:pPr>
        <w:ind w:firstLine="424" w:firstLineChars="202"/>
        <w:rPr>
          <w:rFonts w:ascii="宋体" w:hAnsi="宋体"/>
          <w:szCs w:val="21"/>
        </w:rPr>
      </w:pPr>
      <w:r>
        <w:rPr>
          <w:rFonts w:hint="eastAsia" w:ascii="宋体" w:hAnsi="宋体"/>
          <w:szCs w:val="21"/>
        </w:rPr>
        <w:t>3.我单位参与本项目政府采购活动时不存在被有关部门禁止参与政府采购活动且在有效期内的情况；与其他投标供应商不存在“单位负责人为同一人或者存在直接控股、管理关系”的情况；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ascii="宋体" w:hAnsi="宋体"/>
          <w:szCs w:val="21"/>
        </w:rPr>
        <w:t>。</w:t>
      </w:r>
    </w:p>
    <w:p>
      <w:pPr>
        <w:ind w:firstLine="424" w:firstLineChars="202"/>
        <w:rPr>
          <w:rFonts w:ascii="宋体" w:hAnsi="宋体"/>
          <w:szCs w:val="21"/>
        </w:rPr>
      </w:pPr>
      <w:r>
        <w:rPr>
          <w:rFonts w:hint="eastAsia" w:ascii="宋体" w:hAnsi="宋体"/>
          <w:szCs w:val="21"/>
        </w:rPr>
        <w:t>4.我单位承诺不非法转包或分包。</w:t>
      </w:r>
    </w:p>
    <w:p>
      <w:pPr>
        <w:ind w:firstLine="424" w:firstLineChars="202"/>
        <w:rPr>
          <w:rFonts w:ascii="宋体" w:hAnsi="宋体"/>
          <w:szCs w:val="21"/>
        </w:rPr>
      </w:pPr>
      <w:r>
        <w:rPr>
          <w:rFonts w:hint="eastAsia" w:ascii="宋体" w:hAnsi="宋体"/>
          <w:szCs w:val="21"/>
        </w:rPr>
        <w:t>5.我单位本招标项目所提供的货物或服务未侵犯知识产权。</w:t>
      </w:r>
    </w:p>
    <w:p>
      <w:pPr>
        <w:ind w:firstLine="424" w:firstLineChars="202"/>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ind w:firstLine="424" w:firstLineChars="202"/>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ind w:firstLine="424" w:firstLineChars="202"/>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ind w:firstLine="424" w:firstLineChars="202"/>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ind w:firstLine="424" w:firstLineChars="202"/>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ind w:firstLine="424" w:firstLineChars="202"/>
        <w:rPr>
          <w:rFonts w:ascii="宋体" w:hAnsi="宋体"/>
          <w:szCs w:val="21"/>
        </w:rPr>
      </w:pPr>
      <w:r>
        <w:rPr>
          <w:rFonts w:hint="eastAsia" w:ascii="宋体" w:hAnsi="宋体"/>
          <w:szCs w:val="21"/>
        </w:rPr>
        <w:t>以上承诺，如有违反，愿依照相关法律法规处理，并承担由此给采购人带来的损失。</w:t>
      </w:r>
    </w:p>
    <w:p>
      <w:pPr>
        <w:ind w:firstLine="424" w:firstLineChars="202"/>
        <w:rPr>
          <w:rFonts w:ascii="宋体" w:hAnsi="宋体"/>
          <w:szCs w:val="21"/>
        </w:rPr>
      </w:pPr>
    </w:p>
    <w:p>
      <w:pPr>
        <w:jc w:val="center"/>
      </w:pPr>
      <w:r>
        <w:rPr>
          <w:rFonts w:hint="eastAsia"/>
          <w:szCs w:val="21"/>
        </w:rPr>
        <w:t xml:space="preserve">                             投标人：</w:t>
      </w:r>
    </w:p>
    <w:p>
      <w:pPr>
        <w:rPr>
          <w:rFonts w:ascii="宋体" w:hAnsi="宋体"/>
          <w:szCs w:val="21"/>
        </w:rPr>
      </w:pP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ind w:firstLine="424" w:firstLineChars="202"/>
        <w:rPr>
          <w:rFonts w:ascii="宋体" w:hAnsi="宋体"/>
          <w:szCs w:val="21"/>
        </w:rPr>
      </w:pPr>
    </w:p>
    <w:p/>
    <w:p>
      <w:pPr>
        <w:rPr>
          <w:rFonts w:ascii="宋体" w:hAnsi="宋体"/>
          <w:szCs w:val="21"/>
        </w:rPr>
      </w:pPr>
      <w:r>
        <w:rPr>
          <w:rFonts w:hint="eastAsia"/>
          <w:szCs w:val="21"/>
          <w:u w:val="single"/>
        </w:rPr>
        <w:t>（备注：如联合体投标，投标人一栏需填写联合体双方的名称）</w:t>
      </w:r>
    </w:p>
    <w:p/>
    <w:p>
      <w:pPr>
        <w:ind w:firstLine="420" w:firstLineChars="200"/>
        <w:rPr>
          <w:rFonts w:cs="Courier New"/>
          <w:snapToGrid w:val="0"/>
          <w:szCs w:val="18"/>
        </w:rPr>
      </w:pPr>
    </w:p>
    <w:p>
      <w:pPr>
        <w:pStyle w:val="4"/>
        <w:jc w:val="center"/>
        <w:rPr>
          <w:rFonts w:ascii="黑体" w:eastAsia="黑体"/>
          <w:b w:val="0"/>
          <w:sz w:val="24"/>
        </w:rPr>
      </w:pPr>
      <w:r>
        <w:rPr>
          <w:rFonts w:hint="eastAsia" w:ascii="黑体" w:eastAsia="黑体"/>
          <w:b w:val="0"/>
          <w:sz w:val="24"/>
        </w:rPr>
        <w:t>三、投标人情况介绍</w:t>
      </w:r>
    </w:p>
    <w:tbl>
      <w:tblPr>
        <w:tblStyle w:val="42"/>
        <w:tblW w:w="913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59"/>
        <w:gridCol w:w="4432"/>
        <w:gridCol w:w="141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b/>
                <w:szCs w:val="21"/>
              </w:rPr>
            </w:pPr>
            <w:r>
              <w:rPr>
                <w:rFonts w:hint="eastAsia" w:ascii="宋体" w:hAnsi="宋体"/>
                <w:b/>
                <w:szCs w:val="21"/>
              </w:rPr>
              <w:t>序号</w:t>
            </w:r>
          </w:p>
        </w:tc>
        <w:tc>
          <w:tcPr>
            <w:tcW w:w="2559" w:type="dxa"/>
          </w:tcPr>
          <w:p>
            <w:pPr>
              <w:spacing w:after="60"/>
              <w:jc w:val="center"/>
              <w:rPr>
                <w:rFonts w:ascii="宋体" w:hAnsi="宋体"/>
                <w:b/>
                <w:szCs w:val="21"/>
              </w:rPr>
            </w:pPr>
            <w:r>
              <w:rPr>
                <w:rFonts w:hint="eastAsia" w:ascii="宋体" w:hAnsi="宋体"/>
                <w:b/>
                <w:szCs w:val="21"/>
              </w:rPr>
              <w:t>项</w:t>
            </w:r>
            <w:r>
              <w:rPr>
                <w:rFonts w:ascii="宋体" w:hAnsi="宋体"/>
                <w:b/>
                <w:szCs w:val="21"/>
              </w:rPr>
              <w:t xml:space="preserve">  </w:t>
            </w:r>
            <w:r>
              <w:rPr>
                <w:rFonts w:hint="eastAsia" w:ascii="宋体" w:hAnsi="宋体"/>
                <w:b/>
                <w:szCs w:val="21"/>
              </w:rPr>
              <w:t>目</w:t>
            </w:r>
          </w:p>
        </w:tc>
        <w:tc>
          <w:tcPr>
            <w:tcW w:w="4432" w:type="dxa"/>
            <w:vAlign w:val="center"/>
          </w:tcPr>
          <w:p>
            <w:pPr>
              <w:spacing w:after="60"/>
              <w:jc w:val="center"/>
              <w:rPr>
                <w:rFonts w:ascii="宋体" w:hAnsi="宋体"/>
                <w:b/>
                <w:szCs w:val="21"/>
              </w:rPr>
            </w:pPr>
            <w:r>
              <w:rPr>
                <w:rFonts w:hint="eastAsia" w:ascii="宋体" w:hAnsi="宋体"/>
                <w:b/>
                <w:szCs w:val="21"/>
              </w:rPr>
              <w:t>内容及说明</w:t>
            </w:r>
          </w:p>
        </w:tc>
        <w:tc>
          <w:tcPr>
            <w:tcW w:w="1411" w:type="dxa"/>
            <w:vAlign w:val="center"/>
          </w:tcPr>
          <w:p>
            <w:pPr>
              <w:spacing w:after="60"/>
              <w:jc w:val="center"/>
              <w:rPr>
                <w:rFonts w:ascii="宋体" w:hAnsi="宋体"/>
                <w:b/>
                <w:szCs w:val="21"/>
              </w:rPr>
            </w:pPr>
            <w:r>
              <w:rPr>
                <w:rFonts w:hint="eastAsia" w:ascii="宋体" w:hAnsi="宋体"/>
                <w:b/>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b/>
                <w:szCs w:val="21"/>
              </w:rPr>
            </w:pPr>
            <w:r>
              <w:rPr>
                <w:rFonts w:hint="eastAsia" w:ascii="宋体" w:hAnsi="宋体"/>
                <w:b/>
                <w:szCs w:val="21"/>
              </w:rPr>
              <w:t>一</w:t>
            </w:r>
          </w:p>
        </w:tc>
        <w:tc>
          <w:tcPr>
            <w:tcW w:w="6991" w:type="dxa"/>
            <w:gridSpan w:val="2"/>
          </w:tcPr>
          <w:p>
            <w:pPr>
              <w:spacing w:after="60"/>
              <w:rPr>
                <w:rFonts w:ascii="宋体" w:hAnsi="宋体"/>
                <w:b/>
                <w:szCs w:val="21"/>
              </w:rPr>
            </w:pPr>
            <w:r>
              <w:rPr>
                <w:rFonts w:hint="eastAsia" w:ascii="宋体" w:hAnsi="宋体"/>
                <w:b/>
                <w:szCs w:val="21"/>
              </w:rPr>
              <w:t>营业执照</w:t>
            </w: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ascii="宋体" w:hAnsi="宋体"/>
                <w:szCs w:val="21"/>
              </w:rPr>
              <w:t>1</w:t>
            </w:r>
          </w:p>
        </w:tc>
        <w:tc>
          <w:tcPr>
            <w:tcW w:w="2559" w:type="dxa"/>
            <w:vAlign w:val="center"/>
          </w:tcPr>
          <w:p>
            <w:pPr>
              <w:spacing w:after="60"/>
              <w:jc w:val="center"/>
              <w:rPr>
                <w:rFonts w:ascii="宋体" w:hAnsi="宋体"/>
                <w:szCs w:val="21"/>
              </w:rPr>
            </w:pPr>
            <w:r>
              <w:rPr>
                <w:rFonts w:hint="eastAsia" w:ascii="宋体" w:hAnsi="宋体"/>
                <w:szCs w:val="21"/>
              </w:rPr>
              <w:t>注册年度及注册编号</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ascii="宋体" w:hAnsi="宋体"/>
                <w:szCs w:val="21"/>
              </w:rPr>
              <w:t>2</w:t>
            </w:r>
          </w:p>
        </w:tc>
        <w:tc>
          <w:tcPr>
            <w:tcW w:w="2559" w:type="dxa"/>
            <w:vAlign w:val="center"/>
          </w:tcPr>
          <w:p>
            <w:pPr>
              <w:spacing w:after="60"/>
              <w:jc w:val="center"/>
              <w:rPr>
                <w:rFonts w:ascii="宋体" w:hAnsi="宋体"/>
                <w:szCs w:val="21"/>
              </w:rPr>
            </w:pPr>
            <w:r>
              <w:rPr>
                <w:rFonts w:hint="eastAsia" w:ascii="宋体" w:hAnsi="宋体"/>
                <w:szCs w:val="21"/>
              </w:rPr>
              <w:t>注册资金（万元）</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hint="eastAsia" w:ascii="宋体" w:hAnsi="宋体"/>
                <w:szCs w:val="21"/>
              </w:rPr>
              <w:t>3</w:t>
            </w:r>
          </w:p>
        </w:tc>
        <w:tc>
          <w:tcPr>
            <w:tcW w:w="2559" w:type="dxa"/>
            <w:vAlign w:val="center"/>
          </w:tcPr>
          <w:p>
            <w:pPr>
              <w:spacing w:after="60"/>
              <w:jc w:val="center"/>
              <w:rPr>
                <w:rFonts w:ascii="宋体" w:hAnsi="宋体"/>
                <w:szCs w:val="21"/>
              </w:rPr>
            </w:pPr>
            <w:r>
              <w:rPr>
                <w:rFonts w:hint="eastAsia" w:ascii="宋体" w:hAnsi="宋体"/>
                <w:szCs w:val="21"/>
              </w:rPr>
              <w:t>法定代表人</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hint="eastAsia" w:ascii="宋体" w:hAnsi="宋体"/>
                <w:szCs w:val="21"/>
              </w:rPr>
              <w:t>4</w:t>
            </w:r>
          </w:p>
        </w:tc>
        <w:tc>
          <w:tcPr>
            <w:tcW w:w="2559" w:type="dxa"/>
            <w:vAlign w:val="center"/>
          </w:tcPr>
          <w:p>
            <w:pPr>
              <w:spacing w:after="60"/>
              <w:jc w:val="center"/>
              <w:rPr>
                <w:rFonts w:ascii="宋体" w:hAnsi="宋体"/>
                <w:szCs w:val="21"/>
              </w:rPr>
            </w:pPr>
            <w:r>
              <w:rPr>
                <w:rFonts w:hint="eastAsia" w:ascii="宋体" w:hAnsi="宋体"/>
                <w:szCs w:val="21"/>
              </w:rPr>
              <w:t>住所地</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hint="eastAsia" w:ascii="宋体" w:hAnsi="宋体"/>
                <w:szCs w:val="21"/>
              </w:rPr>
              <w:t>5</w:t>
            </w:r>
          </w:p>
        </w:tc>
        <w:tc>
          <w:tcPr>
            <w:tcW w:w="2559" w:type="dxa"/>
            <w:vAlign w:val="center"/>
          </w:tcPr>
          <w:p>
            <w:pPr>
              <w:spacing w:after="60"/>
              <w:jc w:val="center"/>
              <w:rPr>
                <w:rFonts w:ascii="宋体" w:hAnsi="宋体"/>
                <w:szCs w:val="21"/>
              </w:rPr>
            </w:pPr>
            <w:r>
              <w:rPr>
                <w:rFonts w:hint="eastAsia" w:ascii="宋体" w:hAnsi="宋体"/>
                <w:szCs w:val="21"/>
              </w:rPr>
              <w:t>经营范围</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hint="eastAsia" w:ascii="宋体" w:hAnsi="宋体"/>
                <w:szCs w:val="21"/>
              </w:rPr>
              <w:t>6</w:t>
            </w:r>
          </w:p>
        </w:tc>
        <w:tc>
          <w:tcPr>
            <w:tcW w:w="2559" w:type="dxa"/>
            <w:vAlign w:val="center"/>
          </w:tcPr>
          <w:p>
            <w:pPr>
              <w:spacing w:after="60"/>
              <w:jc w:val="center"/>
              <w:rPr>
                <w:rFonts w:ascii="宋体" w:hAnsi="宋体"/>
                <w:szCs w:val="21"/>
              </w:rPr>
            </w:pPr>
            <w:r>
              <w:rPr>
                <w:rFonts w:hint="eastAsia" w:ascii="宋体" w:hAnsi="宋体"/>
                <w:szCs w:val="21"/>
              </w:rPr>
              <w:t>开户银行及账号</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szCs w:val="21"/>
              </w:rPr>
            </w:pPr>
            <w:r>
              <w:rPr>
                <w:rFonts w:hint="eastAsia" w:ascii="宋体" w:hAnsi="宋体"/>
                <w:szCs w:val="21"/>
              </w:rPr>
              <w:t>7</w:t>
            </w:r>
          </w:p>
        </w:tc>
        <w:tc>
          <w:tcPr>
            <w:tcW w:w="2559" w:type="dxa"/>
            <w:vAlign w:val="center"/>
          </w:tcPr>
          <w:p>
            <w:pPr>
              <w:spacing w:after="60"/>
              <w:jc w:val="center"/>
              <w:rPr>
                <w:rFonts w:ascii="宋体" w:hAnsi="宋体"/>
                <w:szCs w:val="21"/>
              </w:rPr>
            </w:pPr>
            <w:r>
              <w:rPr>
                <w:rFonts w:hint="eastAsia" w:ascii="宋体" w:hAnsi="宋体"/>
                <w:szCs w:val="21"/>
              </w:rPr>
              <w:t>联系方式</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735" w:type="dxa"/>
            <w:vAlign w:val="center"/>
          </w:tcPr>
          <w:p>
            <w:pPr>
              <w:spacing w:after="60"/>
              <w:jc w:val="center"/>
              <w:rPr>
                <w:rFonts w:ascii="宋体" w:hAnsi="宋体"/>
                <w:b/>
                <w:szCs w:val="21"/>
              </w:rPr>
            </w:pPr>
            <w:r>
              <w:rPr>
                <w:rFonts w:hint="eastAsia" w:ascii="宋体" w:hAnsi="宋体"/>
                <w:b/>
                <w:szCs w:val="21"/>
              </w:rPr>
              <w:t>二</w:t>
            </w:r>
          </w:p>
        </w:tc>
        <w:tc>
          <w:tcPr>
            <w:tcW w:w="2559" w:type="dxa"/>
            <w:vAlign w:val="center"/>
          </w:tcPr>
          <w:p>
            <w:pPr>
              <w:spacing w:after="60"/>
              <w:jc w:val="left"/>
              <w:rPr>
                <w:rFonts w:ascii="宋体" w:hAnsi="宋体"/>
                <w:b/>
                <w:szCs w:val="21"/>
              </w:rPr>
            </w:pPr>
            <w:r>
              <w:rPr>
                <w:rFonts w:hint="eastAsia" w:ascii="宋体" w:hAnsi="宋体"/>
                <w:b/>
                <w:szCs w:val="21"/>
              </w:rPr>
              <w:t>其他材料</w:t>
            </w:r>
          </w:p>
        </w:tc>
        <w:tc>
          <w:tcPr>
            <w:tcW w:w="4432" w:type="dxa"/>
            <w:vAlign w:val="center"/>
          </w:tcPr>
          <w:p>
            <w:pPr>
              <w:spacing w:after="60"/>
              <w:rPr>
                <w:rFonts w:ascii="宋体" w:hAnsi="宋体"/>
                <w:szCs w:val="21"/>
              </w:rPr>
            </w:pPr>
          </w:p>
        </w:tc>
        <w:tc>
          <w:tcPr>
            <w:tcW w:w="1411" w:type="dxa"/>
            <w:vAlign w:val="center"/>
          </w:tcPr>
          <w:p>
            <w:pPr>
              <w:spacing w:after="60"/>
              <w:jc w:val="center"/>
              <w:rPr>
                <w:rFonts w:ascii="宋体" w:hAnsi="宋体"/>
                <w:szCs w:val="21"/>
              </w:rPr>
            </w:pPr>
          </w:p>
        </w:tc>
      </w:tr>
    </w:tbl>
    <w:p>
      <w:pPr>
        <w:spacing w:line="360" w:lineRule="exact"/>
        <w:rPr>
          <w:bCs/>
          <w:szCs w:val="21"/>
        </w:rPr>
      </w:pPr>
      <w:r>
        <w:rPr>
          <w:rFonts w:hint="eastAsia"/>
          <w:bCs/>
          <w:szCs w:val="21"/>
        </w:rPr>
        <w:t>注：供应商应填写上述表格内容，并可根据自身情况自行对表格内容进行补充和完善。</w:t>
      </w:r>
    </w:p>
    <w:p>
      <w:pPr>
        <w:ind w:left="632" w:hanging="632" w:hangingChars="300"/>
        <w:rPr>
          <w:b/>
          <w:bCs/>
        </w:rPr>
      </w:pPr>
    </w:p>
    <w:p>
      <w:pPr>
        <w:ind w:left="632" w:hanging="632" w:hangingChars="300"/>
        <w:rPr>
          <w:b/>
          <w:bCs/>
        </w:rPr>
      </w:pPr>
    </w:p>
    <w:p>
      <w:pPr>
        <w:ind w:left="632" w:hanging="632" w:hangingChars="300"/>
        <w:rPr>
          <w:b/>
          <w:bCs/>
        </w:rPr>
      </w:pPr>
    </w:p>
    <w:p>
      <w:pPr>
        <w:jc w:val="center"/>
        <w:outlineLvl w:val="3"/>
        <w:rPr>
          <w:rFonts w:ascii="黑体" w:hAnsi="宋体" w:eastAsia="黑体"/>
          <w:bCs/>
          <w:kern w:val="0"/>
          <w:sz w:val="24"/>
          <w:szCs w:val="32"/>
        </w:rPr>
      </w:pPr>
      <w:r>
        <w:rPr>
          <w:rFonts w:hint="eastAsia" w:ascii="黑体" w:hAnsi="宋体" w:eastAsia="黑体"/>
          <w:bCs/>
          <w:kern w:val="0"/>
          <w:sz w:val="24"/>
          <w:szCs w:val="32"/>
        </w:rPr>
        <w:t>四、中小企业声明函等符合政府采购优惠政策的证明材料</w:t>
      </w:r>
    </w:p>
    <w:p>
      <w:pPr>
        <w:jc w:val="left"/>
        <w:outlineLvl w:val="3"/>
        <w:rPr>
          <w:rFonts w:ascii="黑体" w:hAnsi="宋体" w:eastAsia="黑体"/>
          <w:bCs/>
          <w:kern w:val="0"/>
          <w:sz w:val="24"/>
          <w:szCs w:val="32"/>
        </w:rPr>
      </w:pPr>
    </w:p>
    <w:p>
      <w:pPr>
        <w:spacing w:line="360" w:lineRule="exact"/>
        <w:rPr>
          <w:rFonts w:ascii="Times New Roman" w:hAnsi="Times New Roman"/>
          <w:b/>
          <w:bCs/>
          <w:szCs w:val="24"/>
        </w:rPr>
      </w:pPr>
      <w:r>
        <w:rPr>
          <w:rFonts w:hint="eastAsia" w:ascii="黑体" w:hAnsi="宋体" w:eastAsia="黑体"/>
          <w:bCs/>
          <w:kern w:val="0"/>
          <w:sz w:val="24"/>
          <w:szCs w:val="32"/>
        </w:rPr>
        <w:t>备注：该部分内容由供应商根据自身情况提供相关内容，不符合要求的供应商可以不提供。</w:t>
      </w:r>
    </w:p>
    <w:p>
      <w:pPr>
        <w:jc w:val="center"/>
        <w:outlineLvl w:val="3"/>
        <w:rPr>
          <w:rFonts w:ascii="黑体" w:hAnsi="宋体" w:eastAsia="黑体"/>
          <w:bCs/>
          <w:kern w:val="0"/>
          <w:sz w:val="24"/>
          <w:szCs w:val="32"/>
        </w:rPr>
      </w:pPr>
    </w:p>
    <w:p>
      <w:pPr>
        <w:spacing w:after="60"/>
        <w:jc w:val="center"/>
        <w:outlineLvl w:val="3"/>
        <w:rPr>
          <w:b/>
          <w:sz w:val="24"/>
        </w:rPr>
      </w:pPr>
      <w:r>
        <w:rPr>
          <w:rFonts w:hint="eastAsia"/>
          <w:b/>
          <w:sz w:val="24"/>
        </w:rPr>
        <w:t>1、中小企业声明函</w:t>
      </w:r>
    </w:p>
    <w:p>
      <w:pPr>
        <w:pStyle w:val="19"/>
        <w:spacing w:line="360" w:lineRule="exact"/>
        <w:ind w:firstLine="412"/>
        <w:rPr>
          <w:rFonts w:asciiTheme="minorEastAsia" w:hAnsiTheme="minorEastAsia" w:eastAsiaTheme="minorEastAsia"/>
          <w:b w:val="0"/>
          <w:sz w:val="21"/>
          <w:szCs w:val="21"/>
        </w:rPr>
      </w:pPr>
      <w:r>
        <w:rPr>
          <w:rFonts w:asciiTheme="minorEastAsia" w:hAnsiTheme="minorEastAsia" w:eastAsiaTheme="minorEastAsia"/>
          <w:b w:val="0"/>
          <w:sz w:val="21"/>
          <w:szCs w:val="21"/>
        </w:rPr>
        <w:t>本公司（联合体）郑重声明，根据《政府采购促进中小企业发展管理办法》（财库</w:t>
      </w:r>
      <w:r>
        <w:rPr>
          <w:rFonts w:hint="eastAsia" w:asciiTheme="minorEastAsia" w:hAnsiTheme="minorEastAsia" w:eastAsiaTheme="minorEastAsia"/>
          <w:b w:val="0"/>
          <w:sz w:val="21"/>
          <w:szCs w:val="21"/>
        </w:rPr>
        <w:t>﹝</w:t>
      </w:r>
      <w:r>
        <w:rPr>
          <w:rFonts w:asciiTheme="minorEastAsia" w:hAnsiTheme="minorEastAsia" w:eastAsiaTheme="minorEastAsia"/>
          <w:b w:val="0"/>
          <w:sz w:val="21"/>
          <w:szCs w:val="21"/>
        </w:rPr>
        <w:t>2020</w:t>
      </w:r>
      <w:r>
        <w:rPr>
          <w:rFonts w:hint="eastAsia" w:asciiTheme="minorEastAsia" w:hAnsiTheme="minorEastAsia" w:eastAsiaTheme="minorEastAsia"/>
          <w:b w:val="0"/>
          <w:sz w:val="21"/>
          <w:szCs w:val="21"/>
        </w:rPr>
        <w:t>﹞</w:t>
      </w:r>
      <w:r>
        <w:rPr>
          <w:rFonts w:asciiTheme="minorEastAsia" w:hAnsiTheme="minorEastAsia" w:eastAsiaTheme="minorEastAsia"/>
          <w:b w:val="0"/>
          <w:sz w:val="21"/>
          <w:szCs w:val="21"/>
        </w:rPr>
        <w:t>46 号）的规定，本公司（联合体）参加</w:t>
      </w:r>
      <w:r>
        <w:rPr>
          <w:rFonts w:asciiTheme="minorEastAsia" w:hAnsiTheme="minorEastAsia" w:eastAsiaTheme="minorEastAsia"/>
          <w:b w:val="0"/>
          <w:sz w:val="21"/>
          <w:szCs w:val="21"/>
          <w:u w:val="single"/>
        </w:rPr>
        <w:t>（单位名称）</w:t>
      </w:r>
      <w:r>
        <w:rPr>
          <w:rFonts w:asciiTheme="minorEastAsia" w:hAnsiTheme="minorEastAsia" w:eastAsiaTheme="minorEastAsia"/>
          <w:b w:val="0"/>
          <w:sz w:val="21"/>
          <w:szCs w:val="21"/>
        </w:rPr>
        <w:t>的</w:t>
      </w:r>
      <w:r>
        <w:rPr>
          <w:rFonts w:asciiTheme="minorEastAsia" w:hAnsiTheme="minorEastAsia" w:eastAsiaTheme="minorEastAsia"/>
          <w:b w:val="0"/>
          <w:sz w:val="21"/>
          <w:szCs w:val="21"/>
          <w:u w:val="single"/>
        </w:rPr>
        <w:t>（项目名称）</w:t>
      </w:r>
      <w:r>
        <w:rPr>
          <w:rFonts w:asciiTheme="minorEastAsia" w:hAnsiTheme="minorEastAsia" w:eastAsiaTheme="minorEastAsia"/>
          <w:b w:val="0"/>
          <w:sz w:val="21"/>
          <w:szCs w:val="21"/>
        </w:rPr>
        <w:t>采购活动，</w:t>
      </w:r>
      <w:r>
        <w:rPr>
          <w:rFonts w:hint="eastAsia" w:asciiTheme="minorEastAsia" w:hAnsiTheme="minorEastAsia" w:eastAsiaTheme="minorEastAsia"/>
          <w:b w:val="0"/>
          <w:sz w:val="21"/>
          <w:szCs w:val="21"/>
        </w:rPr>
        <w:t>服务全部由符合政策要求的中小企业承接</w:t>
      </w:r>
      <w:r>
        <w:rPr>
          <w:rFonts w:asciiTheme="minorEastAsia" w:hAnsiTheme="minorEastAsia" w:eastAsiaTheme="minorEastAsia"/>
          <w:b w:val="0"/>
          <w:sz w:val="21"/>
          <w:szCs w:val="21"/>
        </w:rPr>
        <w:t>。相关企业（含联合体中的中小企业、签订分包意向协议的中小企业）的具体情况如下：</w:t>
      </w:r>
    </w:p>
    <w:p>
      <w:pPr>
        <w:pStyle w:val="19"/>
        <w:spacing w:line="360" w:lineRule="exact"/>
        <w:ind w:firstLine="412"/>
        <w:rPr>
          <w:rFonts w:asciiTheme="minorEastAsia" w:hAnsiTheme="minorEastAsia" w:eastAsiaTheme="minorEastAsia"/>
          <w:b w:val="0"/>
          <w:sz w:val="21"/>
          <w:szCs w:val="21"/>
        </w:rPr>
      </w:pPr>
      <w:r>
        <w:rPr>
          <w:rFonts w:hint="eastAsia" w:asciiTheme="minorEastAsia" w:hAnsiTheme="minorEastAsia" w:eastAsiaTheme="minorEastAsia"/>
          <w:b w:val="0"/>
          <w:sz w:val="21"/>
          <w:szCs w:val="21"/>
        </w:rPr>
        <w:t xml:space="preserve">1. </w:t>
      </w:r>
      <w:r>
        <w:rPr>
          <w:rFonts w:asciiTheme="minorEastAsia" w:hAnsiTheme="minorEastAsia" w:eastAsiaTheme="minorEastAsia"/>
          <w:b w:val="0"/>
          <w:sz w:val="21"/>
          <w:szCs w:val="21"/>
          <w:u w:val="single"/>
        </w:rPr>
        <w:t>（标的名称）</w:t>
      </w:r>
      <w:r>
        <w:rPr>
          <w:rFonts w:asciiTheme="minorEastAsia" w:hAnsiTheme="minorEastAsia" w:eastAsiaTheme="minorEastAsia"/>
          <w:b w:val="0"/>
          <w:sz w:val="21"/>
          <w:szCs w:val="21"/>
        </w:rPr>
        <w:t>，属于</w:t>
      </w:r>
      <w:r>
        <w:rPr>
          <w:rFonts w:asciiTheme="minorEastAsia" w:hAnsiTheme="minorEastAsia" w:eastAsiaTheme="minorEastAsia"/>
          <w:b w:val="0"/>
          <w:sz w:val="21"/>
          <w:szCs w:val="21"/>
          <w:u w:val="single"/>
        </w:rPr>
        <w:t>（采购文件中明确的所属行业）</w:t>
      </w:r>
      <w:r>
        <w:rPr>
          <w:rFonts w:asciiTheme="minorEastAsia" w:hAnsiTheme="minorEastAsia" w:eastAsiaTheme="minorEastAsia"/>
          <w:b w:val="0"/>
          <w:sz w:val="21"/>
          <w:szCs w:val="21"/>
        </w:rPr>
        <w:t>；承接企业为</w:t>
      </w:r>
      <w:r>
        <w:rPr>
          <w:rFonts w:asciiTheme="minorEastAsia" w:hAnsiTheme="minorEastAsia" w:eastAsiaTheme="minorEastAsia"/>
          <w:b w:val="0"/>
          <w:sz w:val="21"/>
          <w:szCs w:val="21"/>
          <w:u w:val="single"/>
        </w:rPr>
        <w:t>（企业名称）</w:t>
      </w:r>
      <w:r>
        <w:rPr>
          <w:rFonts w:asciiTheme="minorEastAsia" w:hAnsiTheme="minorEastAsia" w:eastAsiaTheme="minorEastAsia"/>
          <w:b w:val="0"/>
          <w:sz w:val="21"/>
          <w:szCs w:val="21"/>
        </w:rPr>
        <w:t>，从业人员</w:t>
      </w:r>
      <w:r>
        <w:rPr>
          <w:rFonts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u w:val="single"/>
        </w:rPr>
        <w:tab/>
      </w:r>
      <w:r>
        <w:rPr>
          <w:rFonts w:asciiTheme="minorEastAsia" w:hAnsiTheme="minorEastAsia" w:eastAsiaTheme="minorEastAsia"/>
          <w:b w:val="0"/>
          <w:sz w:val="21"/>
          <w:szCs w:val="21"/>
        </w:rPr>
        <w:t>人，营业收入为</w:t>
      </w:r>
      <w:r>
        <w:rPr>
          <w:rFonts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u w:val="single"/>
        </w:rPr>
        <w:tab/>
      </w:r>
      <w:r>
        <w:rPr>
          <w:rFonts w:hint="eastAsia"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rPr>
        <w:t>万元，资产总额为</w:t>
      </w:r>
      <w:r>
        <w:rPr>
          <w:rFonts w:hint="eastAsia"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rPr>
        <w:t>万元，属于</w:t>
      </w:r>
      <w:r>
        <w:rPr>
          <w:rFonts w:asciiTheme="minorEastAsia" w:hAnsiTheme="minorEastAsia" w:eastAsiaTheme="minorEastAsia"/>
          <w:b w:val="0"/>
          <w:sz w:val="21"/>
          <w:szCs w:val="21"/>
          <w:u w:val="single"/>
        </w:rPr>
        <w:t>（中型企业、小型企业、微型企业）</w:t>
      </w:r>
      <w:r>
        <w:rPr>
          <w:rFonts w:asciiTheme="minorEastAsia" w:hAnsiTheme="minorEastAsia" w:eastAsiaTheme="minorEastAsia"/>
          <w:b w:val="0"/>
          <w:sz w:val="21"/>
          <w:szCs w:val="21"/>
        </w:rPr>
        <w:t>；</w:t>
      </w:r>
    </w:p>
    <w:p>
      <w:pPr>
        <w:pStyle w:val="19"/>
        <w:spacing w:line="360" w:lineRule="exact"/>
        <w:ind w:firstLine="412"/>
        <w:rPr>
          <w:rFonts w:asciiTheme="minorEastAsia" w:hAnsiTheme="minorEastAsia" w:eastAsiaTheme="minorEastAsia"/>
          <w:b w:val="0"/>
          <w:sz w:val="21"/>
          <w:szCs w:val="21"/>
        </w:rPr>
      </w:pPr>
      <w:r>
        <w:rPr>
          <w:rFonts w:hint="eastAsia" w:asciiTheme="minorEastAsia" w:hAnsiTheme="minorEastAsia" w:eastAsiaTheme="minorEastAsia"/>
          <w:b w:val="0"/>
          <w:sz w:val="21"/>
          <w:szCs w:val="21"/>
        </w:rPr>
        <w:t xml:space="preserve">2. </w:t>
      </w:r>
      <w:r>
        <w:rPr>
          <w:rFonts w:asciiTheme="minorEastAsia" w:hAnsiTheme="minorEastAsia" w:eastAsiaTheme="minorEastAsia"/>
          <w:b w:val="0"/>
          <w:sz w:val="21"/>
          <w:szCs w:val="21"/>
          <w:u w:val="single"/>
        </w:rPr>
        <w:t>（标的名称）</w:t>
      </w:r>
      <w:r>
        <w:rPr>
          <w:rFonts w:asciiTheme="minorEastAsia" w:hAnsiTheme="minorEastAsia" w:eastAsiaTheme="minorEastAsia"/>
          <w:b w:val="0"/>
          <w:sz w:val="21"/>
          <w:szCs w:val="21"/>
        </w:rPr>
        <w:t>，属于</w:t>
      </w:r>
      <w:r>
        <w:rPr>
          <w:rFonts w:asciiTheme="minorEastAsia" w:hAnsiTheme="minorEastAsia" w:eastAsiaTheme="minorEastAsia"/>
          <w:b w:val="0"/>
          <w:sz w:val="21"/>
          <w:szCs w:val="21"/>
          <w:u w:val="single"/>
        </w:rPr>
        <w:t>（采购文件中明确的所属行业）</w:t>
      </w:r>
      <w:r>
        <w:rPr>
          <w:rFonts w:asciiTheme="minorEastAsia" w:hAnsiTheme="minorEastAsia" w:eastAsiaTheme="minorEastAsia"/>
          <w:b w:val="0"/>
          <w:sz w:val="21"/>
          <w:szCs w:val="21"/>
        </w:rPr>
        <w:t>；承接企业为</w:t>
      </w:r>
      <w:r>
        <w:rPr>
          <w:rFonts w:asciiTheme="minorEastAsia" w:hAnsiTheme="minorEastAsia" w:eastAsiaTheme="minorEastAsia"/>
          <w:b w:val="0"/>
          <w:sz w:val="21"/>
          <w:szCs w:val="21"/>
          <w:u w:val="single"/>
        </w:rPr>
        <w:t>（企业名称）</w:t>
      </w:r>
      <w:r>
        <w:rPr>
          <w:rFonts w:asciiTheme="minorEastAsia" w:hAnsiTheme="minorEastAsia" w:eastAsiaTheme="minorEastAsia"/>
          <w:b w:val="0"/>
          <w:sz w:val="21"/>
          <w:szCs w:val="21"/>
        </w:rPr>
        <w:t>，从业人员</w:t>
      </w:r>
      <w:r>
        <w:rPr>
          <w:rFonts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u w:val="single"/>
        </w:rPr>
        <w:tab/>
      </w:r>
      <w:r>
        <w:rPr>
          <w:rFonts w:asciiTheme="minorEastAsia" w:hAnsiTheme="minorEastAsia" w:eastAsiaTheme="minorEastAsia"/>
          <w:b w:val="0"/>
          <w:sz w:val="21"/>
          <w:szCs w:val="21"/>
        </w:rPr>
        <w:t>人，营业收入为</w:t>
      </w:r>
      <w:r>
        <w:rPr>
          <w:rFonts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u w:val="single"/>
        </w:rPr>
        <w:tab/>
      </w:r>
      <w:r>
        <w:rPr>
          <w:rFonts w:hint="eastAsia"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rPr>
        <w:t>万元，资产总额为</w:t>
      </w:r>
      <w:r>
        <w:rPr>
          <w:rFonts w:hint="eastAsia" w:asciiTheme="minorEastAsia" w:hAnsiTheme="minorEastAsia" w:eastAsiaTheme="minorEastAsia"/>
          <w:b w:val="0"/>
          <w:sz w:val="21"/>
          <w:szCs w:val="21"/>
          <w:u w:val="single"/>
        </w:rPr>
        <w:t xml:space="preserve">     </w:t>
      </w:r>
      <w:r>
        <w:rPr>
          <w:rFonts w:asciiTheme="minorEastAsia" w:hAnsiTheme="minorEastAsia" w:eastAsiaTheme="minorEastAsia"/>
          <w:b w:val="0"/>
          <w:sz w:val="21"/>
          <w:szCs w:val="21"/>
        </w:rPr>
        <w:t>万元，属于</w:t>
      </w:r>
      <w:r>
        <w:rPr>
          <w:rFonts w:asciiTheme="minorEastAsia" w:hAnsiTheme="minorEastAsia" w:eastAsiaTheme="minorEastAsia"/>
          <w:b w:val="0"/>
          <w:sz w:val="21"/>
          <w:szCs w:val="21"/>
          <w:u w:val="single"/>
        </w:rPr>
        <w:t>（中型企业、小型企业、微型企业）</w:t>
      </w:r>
      <w:r>
        <w:rPr>
          <w:rFonts w:asciiTheme="minorEastAsia" w:hAnsiTheme="minorEastAsia" w:eastAsiaTheme="minorEastAsia"/>
          <w:b w:val="0"/>
          <w:sz w:val="21"/>
          <w:szCs w:val="21"/>
        </w:rPr>
        <w:t>；</w:t>
      </w:r>
    </w:p>
    <w:p>
      <w:pPr>
        <w:pStyle w:val="19"/>
        <w:spacing w:before="11" w:line="360" w:lineRule="exact"/>
        <w:ind w:firstLine="424" w:firstLineChars="202"/>
        <w:rPr>
          <w:rFonts w:asciiTheme="minorEastAsia" w:hAnsiTheme="minorEastAsia" w:eastAsiaTheme="minorEastAsia"/>
          <w:b w:val="0"/>
          <w:sz w:val="21"/>
          <w:szCs w:val="21"/>
        </w:rPr>
      </w:pPr>
      <w:r>
        <w:rPr>
          <w:rFonts w:asciiTheme="minorEastAsia" w:hAnsiTheme="minorEastAsia" w:eastAsiaTheme="minorEastAsia"/>
          <w:b w:val="0"/>
          <w:sz w:val="21"/>
          <w:szCs w:val="21"/>
        </w:rPr>
        <w:t>……</w:t>
      </w:r>
    </w:p>
    <w:p>
      <w:pPr>
        <w:pStyle w:val="19"/>
        <w:spacing w:before="108" w:line="360" w:lineRule="exact"/>
        <w:ind w:firstLine="408"/>
        <w:rPr>
          <w:rFonts w:asciiTheme="minorEastAsia" w:hAnsiTheme="minorEastAsia" w:eastAsiaTheme="minorEastAsia"/>
          <w:b w:val="0"/>
          <w:sz w:val="21"/>
          <w:szCs w:val="21"/>
        </w:rPr>
      </w:pPr>
      <w:r>
        <w:rPr>
          <w:rFonts w:asciiTheme="minorEastAsia" w:hAnsiTheme="minorEastAsia" w:eastAsiaTheme="minorEastAsia"/>
          <w:b w:val="0"/>
          <w:sz w:val="21"/>
          <w:szCs w:val="21"/>
        </w:rPr>
        <w:t>以上企业，不属于大企业的分支机构，不存在控股股东为大企业的情形，也不存在与大企业的负责人为同一人的情形。</w:t>
      </w:r>
    </w:p>
    <w:p>
      <w:pPr>
        <w:spacing w:line="360" w:lineRule="exact"/>
        <w:ind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本企业已知悉《政府采购促进中小企业发展管理办法》（财库〔2020〕46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exact"/>
        <w:ind w:firstLine="420" w:firstLineChars="200"/>
        <w:rPr>
          <w:rFonts w:asciiTheme="minorEastAsia" w:hAnsiTheme="minorEastAsia" w:eastAsiaTheme="minorEastAsia"/>
          <w:szCs w:val="21"/>
        </w:rPr>
      </w:pPr>
    </w:p>
    <w:p>
      <w:pPr>
        <w:spacing w:line="360" w:lineRule="exact"/>
        <w:jc w:val="center"/>
      </w:pPr>
      <w:r>
        <w:rPr>
          <w:rFonts w:hint="eastAsia"/>
          <w:szCs w:val="21"/>
        </w:rPr>
        <w:t xml:space="preserve">                             投标人：</w:t>
      </w:r>
    </w:p>
    <w:p>
      <w:pPr>
        <w:spacing w:line="360" w:lineRule="exact"/>
        <w:rPr>
          <w:rFonts w:ascii="宋体" w:hAnsi="宋体"/>
          <w:szCs w:val="21"/>
        </w:rPr>
      </w:pP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exact"/>
        <w:ind w:firstLine="420" w:firstLineChars="200"/>
        <w:rPr>
          <w:rFonts w:ascii="宋体" w:hAnsi="宋体"/>
          <w:szCs w:val="21"/>
        </w:rPr>
      </w:pPr>
      <w:r>
        <w:rPr>
          <w:rFonts w:hint="eastAsia" w:ascii="宋体" w:hAnsi="宋体"/>
          <w:szCs w:val="21"/>
        </w:rPr>
        <w:t>备注：</w:t>
      </w:r>
    </w:p>
    <w:p>
      <w:pPr>
        <w:spacing w:line="360" w:lineRule="exact"/>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exact"/>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exact"/>
        <w:ind w:firstLine="420" w:firstLineChars="200"/>
        <w:rPr>
          <w:rFonts w:ascii="宋体" w:hAnsi="宋体"/>
          <w:szCs w:val="21"/>
        </w:rPr>
      </w:pPr>
    </w:p>
    <w:p>
      <w:pPr>
        <w:spacing w:after="60" w:line="360" w:lineRule="exact"/>
        <w:jc w:val="center"/>
        <w:outlineLvl w:val="3"/>
        <w:rPr>
          <w:b/>
          <w:sz w:val="24"/>
        </w:rPr>
      </w:pPr>
      <w:r>
        <w:rPr>
          <w:rFonts w:hint="eastAsia"/>
          <w:b/>
          <w:sz w:val="24"/>
        </w:rPr>
        <w:t>2、监狱企业声明函</w:t>
      </w:r>
    </w:p>
    <w:p>
      <w:pPr>
        <w:spacing w:after="60" w:line="360" w:lineRule="exact"/>
        <w:ind w:firstLine="420" w:firstLineChars="200"/>
        <w:rPr>
          <w:rFonts w:ascii="宋体" w:hAnsi="宋体"/>
          <w:szCs w:val="21"/>
        </w:rPr>
      </w:pPr>
      <w:r>
        <w:rPr>
          <w:rFonts w:hint="eastAsia" w:ascii="宋体" w:hAnsi="宋体"/>
          <w:szCs w:val="21"/>
        </w:rPr>
        <w:t>本单位郑重声明，根据《关于政府采购支持监狱企业发展有关问题的通知》（财库〔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exact"/>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exact"/>
        <w:jc w:val="center"/>
      </w:pPr>
      <w:r>
        <w:rPr>
          <w:rFonts w:hint="eastAsia"/>
          <w:szCs w:val="21"/>
        </w:rPr>
        <w:t xml:space="preserve">                             投标人：</w:t>
      </w:r>
    </w:p>
    <w:p>
      <w:pPr>
        <w:spacing w:line="360" w:lineRule="exact"/>
        <w:rPr>
          <w:rFonts w:ascii="宋体" w:hAnsi="宋体"/>
          <w:szCs w:val="21"/>
        </w:rPr>
      </w:pP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exact"/>
        <w:ind w:firstLine="645"/>
        <w:rPr>
          <w:rFonts w:ascii="宋体"/>
          <w:b/>
          <w:szCs w:val="21"/>
        </w:rPr>
      </w:pPr>
      <w:r>
        <w:rPr>
          <w:rFonts w:hint="eastAsia" w:ascii="宋体" w:hAnsi="宋体"/>
          <w:szCs w:val="21"/>
        </w:rPr>
        <w:t xml:space="preserve">                                    </w:t>
      </w:r>
    </w:p>
    <w:p>
      <w:pPr>
        <w:spacing w:after="60" w:line="360" w:lineRule="exact"/>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ind w:left="723" w:hanging="723" w:hangingChars="300"/>
        <w:rPr>
          <w:b/>
          <w:sz w:val="24"/>
        </w:rPr>
      </w:pPr>
    </w:p>
    <w:p>
      <w:pPr>
        <w:spacing w:line="360" w:lineRule="exact"/>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after="60" w:line="360" w:lineRule="exact"/>
        <w:ind w:firstLine="420" w:firstLineChars="200"/>
        <w:rPr>
          <w:rFonts w:ascii="宋体" w:hAnsi="宋体"/>
          <w:szCs w:val="21"/>
        </w:rPr>
      </w:pPr>
      <w:r>
        <w:rPr>
          <w:rFonts w:hint="eastAsia" w:ascii="宋体" w:hAnsi="宋体"/>
          <w:szCs w:val="21"/>
        </w:rPr>
        <w:t xml:space="preserve">                                     </w:t>
      </w:r>
    </w:p>
    <w:p>
      <w:pPr>
        <w:spacing w:after="60" w:line="360" w:lineRule="exact"/>
        <w:jc w:val="center"/>
        <w:outlineLvl w:val="3"/>
        <w:rPr>
          <w:b/>
          <w:bCs/>
        </w:rPr>
      </w:pPr>
      <w:r>
        <w:rPr>
          <w:rFonts w:hint="eastAsia"/>
          <w:b/>
          <w:sz w:val="24"/>
        </w:rPr>
        <w:t>3、残疾人福利性单位声明函</w:t>
      </w:r>
    </w:p>
    <w:p>
      <w:pPr>
        <w:spacing w:line="360" w:lineRule="exact"/>
        <w:ind w:firstLine="420" w:firstLineChars="200"/>
        <w:jc w:val="left"/>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after="60" w:line="360" w:lineRule="exact"/>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after="60" w:line="360" w:lineRule="exact"/>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exact"/>
        <w:jc w:val="center"/>
      </w:pPr>
      <w:r>
        <w:rPr>
          <w:rFonts w:hint="eastAsia"/>
          <w:szCs w:val="21"/>
        </w:rPr>
        <w:t xml:space="preserve">                             投标人：</w:t>
      </w:r>
    </w:p>
    <w:p>
      <w:pPr>
        <w:spacing w:line="360" w:lineRule="exact"/>
        <w:rPr>
          <w:rFonts w:ascii="宋体" w:hAnsi="宋体"/>
          <w:szCs w:val="21"/>
        </w:rPr>
      </w:pPr>
      <w:r>
        <w:rPr>
          <w:rFonts w:hint="eastAsia" w:ascii="宋体" w:hAnsi="宋体"/>
          <w:szCs w:val="21"/>
        </w:rPr>
        <w:t xml:space="preserve">                                                      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exact"/>
        <w:ind w:firstLine="424" w:firstLineChars="202"/>
      </w:pPr>
      <w:r>
        <w:rPr>
          <w:rFonts w:hint="eastAsia" w:ascii="宋体" w:hAnsi="宋体"/>
          <w:szCs w:val="21"/>
        </w:rPr>
        <w:t>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r>
        <w:br w:type="page"/>
      </w:r>
    </w:p>
    <w:p>
      <w:pPr>
        <w:rPr>
          <w:rFonts w:ascii="仿宋_GB2312" w:eastAsia="仿宋_GB2312"/>
          <w:b/>
          <w:color w:val="FF0000"/>
          <w:sz w:val="30"/>
          <w:szCs w:val="30"/>
        </w:rPr>
      </w:pPr>
      <w:r>
        <w:rPr>
          <w:rFonts w:hint="eastAsia" w:ascii="仿宋_GB2312" w:eastAsia="仿宋_GB2312"/>
          <w:b/>
          <w:color w:val="FF0000"/>
          <w:sz w:val="30"/>
          <w:szCs w:val="30"/>
        </w:rPr>
        <w:t>投标文件附件（信息不公开部分）：</w:t>
      </w:r>
    </w:p>
    <w:p>
      <w:pPr>
        <w:rPr>
          <w:rFonts w:ascii="仿宋_GB2312" w:eastAsia="仿宋_GB2312"/>
          <w:b/>
          <w:sz w:val="30"/>
          <w:szCs w:val="30"/>
        </w:rPr>
      </w:pPr>
    </w:p>
    <w:p>
      <w:pPr>
        <w:keepNext/>
        <w:keepLines/>
        <w:spacing w:before="260" w:after="260"/>
        <w:jc w:val="center"/>
        <w:outlineLvl w:val="2"/>
        <w:rPr>
          <w:rFonts w:ascii="黑体" w:hAnsi="宋体" w:eastAsia="黑体"/>
          <w:bCs/>
          <w:kern w:val="0"/>
          <w:sz w:val="24"/>
          <w:szCs w:val="32"/>
        </w:rPr>
      </w:pPr>
      <w:r>
        <w:rPr>
          <w:rFonts w:hint="eastAsia" w:ascii="黑体" w:hAnsi="宋体" w:eastAsia="黑体"/>
          <w:bCs/>
          <w:kern w:val="0"/>
          <w:sz w:val="24"/>
          <w:szCs w:val="32"/>
        </w:rPr>
        <w:t>五、法定代表人（负责人）资格证明书</w:t>
      </w:r>
    </w:p>
    <w:p>
      <w:pPr>
        <w:rPr>
          <w:rFonts w:ascii="Times New Roman" w:hAnsi="Times New Roman"/>
          <w:sz w:val="24"/>
          <w:szCs w:val="24"/>
        </w:rPr>
      </w:pPr>
    </w:p>
    <w:p>
      <w:pPr>
        <w:spacing w:line="360" w:lineRule="auto"/>
        <w:rPr>
          <w:rFonts w:ascii="Times New Roman" w:hAnsi="Times New Roman"/>
          <w:szCs w:val="21"/>
        </w:rPr>
      </w:pPr>
      <w:r>
        <w:rPr>
          <w:rFonts w:hint="eastAsia" w:ascii="Times New Roman" w:hAnsi="Times New Roman"/>
          <w:szCs w:val="21"/>
        </w:rPr>
        <w:t xml:space="preserve">   </w:t>
      </w:r>
      <w:r>
        <w:rPr>
          <w:rFonts w:hint="eastAsia" w:ascii="Times New Roman" w:hAnsi="Times New Roman"/>
          <w:szCs w:val="21"/>
          <w:u w:val="single"/>
        </w:rPr>
        <w:t xml:space="preserve">         </w:t>
      </w:r>
      <w:r>
        <w:rPr>
          <w:rFonts w:hint="eastAsia" w:ascii="Times New Roman" w:hAnsi="Times New Roman"/>
          <w:szCs w:val="21"/>
        </w:rPr>
        <w:t>同志，现任我单位</w:t>
      </w:r>
      <w:r>
        <w:rPr>
          <w:rFonts w:hint="eastAsia" w:ascii="Times New Roman" w:hAnsi="Times New Roman"/>
          <w:szCs w:val="21"/>
          <w:u w:val="single"/>
        </w:rPr>
        <w:t xml:space="preserve">         </w:t>
      </w:r>
      <w:r>
        <w:rPr>
          <w:rFonts w:hint="eastAsia" w:ascii="Times New Roman" w:hAnsi="Times New Roman"/>
          <w:szCs w:val="21"/>
        </w:rPr>
        <w:t>职务，为法定代表人</w:t>
      </w:r>
      <w:r>
        <w:rPr>
          <w:rFonts w:hint="eastAsia" w:ascii="黑体" w:hAnsi="Times New Roman" w:eastAsia="黑体"/>
          <w:b/>
          <w:kern w:val="0"/>
          <w:sz w:val="24"/>
          <w:szCs w:val="24"/>
        </w:rPr>
        <w:t>（负责人）</w:t>
      </w:r>
      <w:r>
        <w:rPr>
          <w:rFonts w:hint="eastAsia" w:ascii="Times New Roman" w:hAnsi="Times New Roman"/>
          <w:szCs w:val="21"/>
        </w:rPr>
        <w:t>，特此证明。</w:t>
      </w:r>
    </w:p>
    <w:p>
      <w:pPr>
        <w:spacing w:line="360" w:lineRule="auto"/>
        <w:rPr>
          <w:rFonts w:ascii="Times New Roman" w:hAnsi="Times New Roman"/>
          <w:szCs w:val="21"/>
        </w:rPr>
      </w:pPr>
      <w:r>
        <w:rPr>
          <w:rFonts w:hint="eastAsia" w:ascii="Times New Roman" w:hAnsi="Times New Roman"/>
          <w:szCs w:val="21"/>
        </w:rPr>
        <w:t>说明：1、法定代表人为企业事业单位、国家机关、社会团体的主要负责人。</w:t>
      </w:r>
    </w:p>
    <w:p>
      <w:pPr>
        <w:rPr>
          <w:rFonts w:ascii="Times New Roman" w:hAnsi="Times New Roman"/>
          <w:szCs w:val="21"/>
        </w:rPr>
      </w:pPr>
      <w:r>
        <w:rPr>
          <w:rFonts w:hint="eastAsia" w:ascii="Times New Roman" w:hAnsi="Times New Roman"/>
          <w:szCs w:val="21"/>
        </w:rPr>
        <w:t xml:space="preserve">      2、内容必须填写真实、清楚，涂改无效，不得转让、买卖。</w:t>
      </w:r>
    </w:p>
    <w:p>
      <w:pPr>
        <w:spacing w:line="360" w:lineRule="auto"/>
        <w:rPr>
          <w:rFonts w:ascii="Times New Roman" w:hAnsi="Times New Roman"/>
          <w:b/>
          <w:szCs w:val="21"/>
        </w:rPr>
      </w:pPr>
    </w:p>
    <w:p>
      <w:pPr>
        <w:spacing w:line="360" w:lineRule="auto"/>
        <w:rPr>
          <w:rFonts w:ascii="Times New Roman" w:hAnsi="Times New Roman"/>
          <w:b/>
          <w:sz w:val="24"/>
          <w:szCs w:val="24"/>
        </w:rPr>
      </w:pPr>
      <w:r>
        <w:rPr>
          <w:rFonts w:hint="eastAsia" w:ascii="Times New Roman" w:hAnsi="Times New Roman"/>
          <w:b/>
          <w:sz w:val="24"/>
          <w:szCs w:val="24"/>
        </w:rPr>
        <w:t>附：要求必须提供法定代表人（负责人）身份证扫描件（正反两面）。</w:t>
      </w:r>
    </w:p>
    <w:p>
      <w:pPr>
        <w:spacing w:line="360" w:lineRule="auto"/>
        <w:rPr>
          <w:rFonts w:ascii="Times New Roman" w:hAnsi="Times New Roman"/>
          <w:b/>
          <w:sz w:val="24"/>
          <w:szCs w:val="24"/>
        </w:rPr>
      </w:pPr>
    </w:p>
    <w:p>
      <w:pPr>
        <w:keepNext/>
        <w:keepLines/>
        <w:spacing w:before="260" w:after="260"/>
        <w:jc w:val="center"/>
        <w:outlineLvl w:val="2"/>
        <w:rPr>
          <w:rFonts w:ascii="黑体" w:hAnsi="宋体" w:eastAsia="黑体"/>
          <w:bCs/>
          <w:sz w:val="24"/>
          <w:szCs w:val="24"/>
        </w:rPr>
      </w:pPr>
      <w:r>
        <w:rPr>
          <w:rFonts w:ascii="宋体" w:hAnsi="宋体"/>
          <w:b/>
          <w:bCs/>
          <w:sz w:val="28"/>
          <w:szCs w:val="32"/>
        </w:rPr>
        <w:tab/>
      </w:r>
      <w:r>
        <w:rPr>
          <w:rFonts w:hint="eastAsia" w:ascii="黑体" w:hAnsi="宋体" w:eastAsia="黑体"/>
          <w:bCs/>
          <w:kern w:val="0"/>
          <w:sz w:val="24"/>
          <w:szCs w:val="24"/>
        </w:rPr>
        <w:t>六、投标文件签署授权委托书</w:t>
      </w:r>
    </w:p>
    <w:p>
      <w:pPr>
        <w:spacing w:line="360" w:lineRule="auto"/>
        <w:ind w:firstLine="420" w:firstLineChars="200"/>
        <w:rPr>
          <w:rFonts w:ascii="Times New Roman" w:hAnsi="Times New Roman"/>
          <w:szCs w:val="21"/>
        </w:rPr>
      </w:pPr>
      <w:r>
        <w:rPr>
          <w:rFonts w:hint="eastAsia" w:ascii="Times New Roman" w:hAnsi="Times New Roman"/>
          <w:szCs w:val="21"/>
        </w:rPr>
        <w:t>本授权委托书声明：我</w:t>
      </w:r>
      <w:r>
        <w:rPr>
          <w:rFonts w:hint="eastAsia" w:ascii="Times New Roman" w:hAnsi="Times New Roman"/>
          <w:szCs w:val="21"/>
          <w:u w:val="single"/>
        </w:rPr>
        <w:t xml:space="preserve">           </w:t>
      </w:r>
      <w:r>
        <w:rPr>
          <w:rFonts w:hint="eastAsia" w:ascii="Times New Roman" w:hAnsi="Times New Roman"/>
          <w:szCs w:val="21"/>
        </w:rPr>
        <w:t>（姓名）系</w:t>
      </w:r>
      <w:r>
        <w:rPr>
          <w:rFonts w:hint="eastAsia" w:ascii="Times New Roman" w:hAnsi="Times New Roman"/>
          <w:szCs w:val="21"/>
          <w:u w:val="single"/>
        </w:rPr>
        <w:t xml:space="preserve">             </w:t>
      </w:r>
      <w:r>
        <w:rPr>
          <w:rFonts w:hint="eastAsia" w:ascii="Times New Roman" w:hAnsi="Times New Roman"/>
          <w:szCs w:val="21"/>
        </w:rPr>
        <w:t>（投标供应商名称）的法定代表人</w:t>
      </w:r>
      <w:r>
        <w:rPr>
          <w:rFonts w:hint="eastAsia" w:ascii="黑体" w:hAnsi="Times New Roman" w:eastAsia="黑体"/>
          <w:b/>
          <w:kern w:val="0"/>
          <w:sz w:val="24"/>
          <w:szCs w:val="24"/>
        </w:rPr>
        <w:t>（负责人）</w:t>
      </w:r>
      <w:r>
        <w:rPr>
          <w:rFonts w:hint="eastAsia" w:ascii="Times New Roman" w:hAnsi="Times New Roman"/>
          <w:szCs w:val="21"/>
        </w:rPr>
        <w:t>，现授权委托</w:t>
      </w:r>
      <w:r>
        <w:rPr>
          <w:rFonts w:hint="eastAsia" w:ascii="Times New Roman" w:hAnsi="Times New Roman"/>
          <w:szCs w:val="21"/>
          <w:u w:val="single"/>
        </w:rPr>
        <w:t xml:space="preserve">            </w:t>
      </w:r>
      <w:r>
        <w:rPr>
          <w:rFonts w:hint="eastAsia" w:ascii="Times New Roman" w:hAnsi="Times New Roman"/>
          <w:szCs w:val="21"/>
        </w:rPr>
        <w:t>（姓名）为我公司签署本项目已递交的投标文件的法定代表人的授权委托代理人，代理人全权代表我所签署的本项目已递交的投标文件内容我均承认。</w:t>
      </w:r>
    </w:p>
    <w:p>
      <w:pPr>
        <w:spacing w:line="360" w:lineRule="auto"/>
        <w:ind w:firstLine="420"/>
        <w:rPr>
          <w:rFonts w:ascii="Times New Roman" w:hAnsi="Times New Roman"/>
          <w:szCs w:val="21"/>
        </w:rPr>
      </w:pPr>
      <w:r>
        <w:rPr>
          <w:rFonts w:hint="eastAsia" w:ascii="Times New Roman" w:hAnsi="Times New Roman"/>
          <w:szCs w:val="21"/>
        </w:rPr>
        <w:t>代理人无转委托权，特此委托。</w:t>
      </w:r>
    </w:p>
    <w:p>
      <w:pPr>
        <w:spacing w:line="360" w:lineRule="auto"/>
        <w:ind w:firstLine="420"/>
        <w:rPr>
          <w:rFonts w:ascii="Times New Roman" w:hAnsi="Times New Roman"/>
          <w:szCs w:val="21"/>
        </w:rPr>
      </w:pPr>
    </w:p>
    <w:p>
      <w:pPr>
        <w:spacing w:line="360" w:lineRule="auto"/>
        <w:ind w:left="540" w:leftChars="257"/>
        <w:rPr>
          <w:rFonts w:ascii="Times New Roman" w:hAnsi="Times New Roman"/>
          <w:szCs w:val="21"/>
          <w:u w:val="single"/>
        </w:rPr>
      </w:pPr>
      <w:r>
        <w:rPr>
          <w:rFonts w:hint="eastAsia" w:ascii="Times New Roman" w:hAnsi="Times New Roman"/>
          <w:szCs w:val="21"/>
        </w:rPr>
        <w:t>代理人：</w:t>
      </w:r>
      <w:r>
        <w:rPr>
          <w:rFonts w:hint="eastAsia" w:ascii="Times New Roman" w:hAnsi="Times New Roman"/>
          <w:szCs w:val="21"/>
          <w:u w:val="single"/>
        </w:rPr>
        <w:t xml:space="preserve">             </w:t>
      </w:r>
    </w:p>
    <w:p>
      <w:pPr>
        <w:spacing w:line="360" w:lineRule="auto"/>
        <w:ind w:left="540" w:leftChars="257"/>
        <w:rPr>
          <w:rFonts w:ascii="Times New Roman" w:hAnsi="Times New Roman"/>
          <w:szCs w:val="21"/>
        </w:rPr>
      </w:pPr>
      <w:r>
        <w:rPr>
          <w:rFonts w:hint="eastAsia" w:ascii="Times New Roman" w:hAnsi="Times New Roman"/>
          <w:szCs w:val="21"/>
        </w:rPr>
        <w:t>联系电话：</w:t>
      </w:r>
      <w:r>
        <w:rPr>
          <w:rFonts w:hint="eastAsia" w:ascii="Times New Roman" w:hAnsi="Times New Roman"/>
          <w:szCs w:val="21"/>
          <w:u w:val="single"/>
        </w:rPr>
        <w:t xml:space="preserve">            </w:t>
      </w:r>
      <w:r>
        <w:rPr>
          <w:rFonts w:hint="eastAsia" w:ascii="Times New Roman" w:hAnsi="Times New Roman"/>
          <w:szCs w:val="21"/>
        </w:rPr>
        <w:t xml:space="preserve">  手机：</w:t>
      </w:r>
      <w:r>
        <w:rPr>
          <w:rFonts w:hint="eastAsia" w:ascii="Times New Roman" w:hAnsi="Times New Roman"/>
          <w:szCs w:val="21"/>
          <w:u w:val="single"/>
        </w:rPr>
        <w:t xml:space="preserve">                   </w:t>
      </w:r>
    </w:p>
    <w:p>
      <w:pPr>
        <w:spacing w:line="360" w:lineRule="auto"/>
        <w:ind w:left="540" w:leftChars="257"/>
        <w:rPr>
          <w:rFonts w:ascii="Times New Roman" w:hAnsi="Times New Roman"/>
          <w:szCs w:val="21"/>
          <w:u w:val="single"/>
        </w:rPr>
      </w:pPr>
      <w:r>
        <w:rPr>
          <w:rFonts w:hint="eastAsia" w:ascii="Times New Roman" w:hAnsi="Times New Roman"/>
          <w:szCs w:val="21"/>
        </w:rPr>
        <w:t>身份证号码：</w:t>
      </w:r>
      <w:r>
        <w:rPr>
          <w:rFonts w:hint="eastAsia" w:ascii="Times New Roman" w:hAnsi="Times New Roman"/>
          <w:szCs w:val="21"/>
          <w:u w:val="single"/>
        </w:rPr>
        <w:t xml:space="preserve">                        </w:t>
      </w:r>
      <w:r>
        <w:rPr>
          <w:rFonts w:hint="eastAsia" w:ascii="Times New Roman" w:hAnsi="Times New Roman"/>
          <w:szCs w:val="21"/>
        </w:rPr>
        <w:t>职务：</w:t>
      </w:r>
      <w:r>
        <w:rPr>
          <w:rFonts w:hint="eastAsia" w:ascii="Times New Roman" w:hAnsi="Times New Roman"/>
          <w:szCs w:val="21"/>
          <w:u w:val="single"/>
        </w:rPr>
        <w:t xml:space="preserve">       </w:t>
      </w:r>
    </w:p>
    <w:p>
      <w:pPr>
        <w:spacing w:line="360" w:lineRule="auto"/>
        <w:ind w:left="540" w:leftChars="257"/>
        <w:rPr>
          <w:rFonts w:ascii="Times New Roman" w:hAnsi="Times New Roman"/>
          <w:szCs w:val="21"/>
        </w:rPr>
      </w:pPr>
      <w:r>
        <w:rPr>
          <w:rFonts w:hint="eastAsia" w:ascii="Times New Roman" w:hAnsi="Times New Roman"/>
          <w:szCs w:val="21"/>
        </w:rPr>
        <w:t>授权委托日期：</w:t>
      </w:r>
      <w:r>
        <w:rPr>
          <w:rFonts w:hint="eastAsia" w:ascii="Times New Roman" w:hAnsi="Times New Roman"/>
          <w:szCs w:val="21"/>
          <w:u w:val="single"/>
        </w:rPr>
        <w:t xml:space="preserve">         </w:t>
      </w:r>
      <w:r>
        <w:rPr>
          <w:rFonts w:hint="eastAsia" w:ascii="Times New Roman" w:hAnsi="Times New Roman"/>
          <w:szCs w:val="21"/>
        </w:rPr>
        <w:t>年</w:t>
      </w:r>
      <w:r>
        <w:rPr>
          <w:rFonts w:hint="eastAsia" w:ascii="Times New Roman" w:hAnsi="Times New Roman"/>
          <w:szCs w:val="21"/>
          <w:u w:val="single"/>
        </w:rPr>
        <w:t xml:space="preserve">     </w:t>
      </w:r>
      <w:r>
        <w:rPr>
          <w:rFonts w:hint="eastAsia" w:ascii="Times New Roman" w:hAnsi="Times New Roman"/>
          <w:szCs w:val="21"/>
        </w:rPr>
        <w:t xml:space="preserve">月 </w:t>
      </w:r>
      <w:r>
        <w:rPr>
          <w:rFonts w:hint="eastAsia" w:ascii="Times New Roman" w:hAnsi="Times New Roman"/>
          <w:szCs w:val="21"/>
          <w:u w:val="single"/>
        </w:rPr>
        <w:t xml:space="preserve">      </w:t>
      </w:r>
      <w:r>
        <w:rPr>
          <w:rFonts w:hint="eastAsia" w:ascii="Times New Roman" w:hAnsi="Times New Roman"/>
          <w:szCs w:val="21"/>
        </w:rPr>
        <w:t>日</w:t>
      </w:r>
    </w:p>
    <w:p>
      <w:pPr>
        <w:spacing w:line="360" w:lineRule="auto"/>
        <w:ind w:left="540" w:leftChars="257"/>
        <w:rPr>
          <w:rFonts w:ascii="Times New Roman" w:hAnsi="Times New Roman"/>
          <w:szCs w:val="21"/>
          <w:u w:val="single"/>
        </w:rPr>
      </w:pPr>
    </w:p>
    <w:p>
      <w:pPr>
        <w:spacing w:line="360" w:lineRule="auto"/>
        <w:rPr>
          <w:rFonts w:ascii="Times New Roman" w:hAnsi="Times New Roman"/>
          <w:b/>
          <w:sz w:val="24"/>
          <w:szCs w:val="24"/>
        </w:rPr>
      </w:pPr>
      <w:r>
        <w:rPr>
          <w:rFonts w:hint="eastAsia" w:ascii="Times New Roman" w:hAnsi="Times New Roman"/>
          <w:b/>
          <w:sz w:val="24"/>
          <w:szCs w:val="24"/>
        </w:rPr>
        <w:t>附：要求必须提供代理人身份证扫描件（正反两面）。</w:t>
      </w:r>
    </w:p>
    <w:p>
      <w:pPr>
        <w:spacing w:line="360" w:lineRule="auto"/>
        <w:rPr>
          <w:rFonts w:ascii="黑体" w:eastAsia="黑体"/>
          <w:b/>
          <w:sz w:val="24"/>
        </w:rPr>
      </w:pPr>
    </w:p>
    <w:p>
      <w:pPr>
        <w:keepNext/>
        <w:keepLines/>
        <w:spacing w:before="260" w:after="260"/>
        <w:jc w:val="center"/>
        <w:outlineLvl w:val="2"/>
        <w:rPr>
          <w:rFonts w:ascii="黑体" w:hAnsi="宋体" w:eastAsia="黑体"/>
          <w:bCs/>
          <w:kern w:val="0"/>
          <w:sz w:val="24"/>
          <w:szCs w:val="24"/>
        </w:rPr>
      </w:pPr>
      <w:r>
        <w:rPr>
          <w:rFonts w:hint="eastAsia" w:ascii="黑体" w:hAnsi="宋体" w:eastAsia="黑体"/>
          <w:bCs/>
          <w:kern w:val="0"/>
          <w:sz w:val="24"/>
          <w:szCs w:val="24"/>
        </w:rPr>
        <w:t>七、实质性条款响应情况表</w:t>
      </w:r>
    </w:p>
    <w:tbl>
      <w:tblPr>
        <w:tblStyle w:val="4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4790"/>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jc w:val="center"/>
              <w:rPr>
                <w:rFonts w:ascii="宋体" w:hAnsi="宋体"/>
                <w:kern w:val="0"/>
                <w:szCs w:val="21"/>
              </w:rPr>
            </w:pPr>
            <w:r>
              <w:rPr>
                <w:rFonts w:hint="eastAsia" w:ascii="宋体" w:hAnsi="宋体"/>
                <w:kern w:val="0"/>
                <w:szCs w:val="21"/>
              </w:rPr>
              <w:t>序号</w:t>
            </w:r>
          </w:p>
        </w:tc>
        <w:tc>
          <w:tcPr>
            <w:tcW w:w="4790" w:type="dxa"/>
          </w:tcPr>
          <w:p>
            <w:pPr>
              <w:adjustRightInd w:val="0"/>
              <w:snapToGrid w:val="0"/>
              <w:spacing w:line="360" w:lineRule="auto"/>
              <w:jc w:val="center"/>
              <w:rPr>
                <w:rFonts w:ascii="宋体" w:hAnsi="宋体"/>
                <w:kern w:val="0"/>
                <w:szCs w:val="21"/>
              </w:rPr>
            </w:pPr>
            <w:r>
              <w:rPr>
                <w:rFonts w:hint="eastAsia" w:ascii="宋体" w:hAnsi="宋体"/>
                <w:kern w:val="0"/>
                <w:szCs w:val="21"/>
              </w:rPr>
              <w:t>采购人要求内容</w:t>
            </w:r>
          </w:p>
        </w:tc>
        <w:tc>
          <w:tcPr>
            <w:tcW w:w="3685" w:type="dxa"/>
          </w:tcPr>
          <w:p>
            <w:pPr>
              <w:adjustRightInd w:val="0"/>
              <w:snapToGrid w:val="0"/>
              <w:spacing w:line="360" w:lineRule="auto"/>
              <w:jc w:val="center"/>
              <w:rPr>
                <w:rFonts w:ascii="宋体" w:hAnsi="宋体"/>
                <w:kern w:val="0"/>
                <w:szCs w:val="21"/>
              </w:rPr>
            </w:pPr>
            <w:r>
              <w:rPr>
                <w:rFonts w:hint="eastAsia" w:ascii="宋体" w:hAnsi="宋体"/>
                <w:kern w:val="0"/>
                <w:szCs w:val="21"/>
              </w:rPr>
              <w:t>投标人响应情况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ascii="宋体" w:hAnsi="宋体"/>
                <w:kern w:val="0"/>
                <w:szCs w:val="21"/>
              </w:rPr>
            </w:pPr>
            <w:r>
              <w:rPr>
                <w:rFonts w:hint="eastAsia" w:ascii="宋体" w:hAnsi="宋体"/>
                <w:kern w:val="0"/>
                <w:szCs w:val="21"/>
              </w:rPr>
              <w:t>1</w:t>
            </w:r>
          </w:p>
        </w:tc>
        <w:tc>
          <w:tcPr>
            <w:tcW w:w="4790" w:type="dxa"/>
          </w:tcPr>
          <w:p>
            <w:pPr>
              <w:adjustRightInd w:val="0"/>
              <w:snapToGrid w:val="0"/>
              <w:spacing w:line="360" w:lineRule="auto"/>
              <w:rPr>
                <w:rFonts w:ascii="Times New Roman" w:hAnsi="宋体"/>
                <w:kern w:val="0"/>
                <w:szCs w:val="21"/>
              </w:rPr>
            </w:pPr>
          </w:p>
        </w:tc>
        <w:tc>
          <w:tcPr>
            <w:tcW w:w="3685" w:type="dxa"/>
          </w:tcPr>
          <w:p>
            <w:pPr>
              <w:adjustRightInd w:val="0"/>
              <w:snapToGrid w:val="0"/>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ascii="宋体" w:hAnsi="宋体"/>
                <w:kern w:val="0"/>
                <w:szCs w:val="21"/>
              </w:rPr>
            </w:pPr>
            <w:r>
              <w:rPr>
                <w:rFonts w:hint="eastAsia" w:ascii="宋体" w:hAnsi="宋体"/>
                <w:kern w:val="0"/>
                <w:szCs w:val="21"/>
              </w:rPr>
              <w:t>2</w:t>
            </w:r>
          </w:p>
        </w:tc>
        <w:tc>
          <w:tcPr>
            <w:tcW w:w="4790" w:type="dxa"/>
          </w:tcPr>
          <w:p>
            <w:pPr>
              <w:adjustRightInd w:val="0"/>
              <w:snapToGrid w:val="0"/>
              <w:spacing w:line="360" w:lineRule="auto"/>
              <w:rPr>
                <w:rFonts w:ascii="Times New Roman" w:hAnsi="宋体"/>
                <w:kern w:val="0"/>
                <w:szCs w:val="21"/>
              </w:rPr>
            </w:pPr>
          </w:p>
        </w:tc>
        <w:tc>
          <w:tcPr>
            <w:tcW w:w="3685" w:type="dxa"/>
          </w:tcPr>
          <w:p>
            <w:pPr>
              <w:adjustRightInd w:val="0"/>
              <w:snapToGrid w:val="0"/>
              <w:spacing w:line="360" w:lineRule="auto"/>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tcPr>
          <w:p>
            <w:pPr>
              <w:adjustRightInd w:val="0"/>
              <w:snapToGrid w:val="0"/>
              <w:spacing w:line="360" w:lineRule="auto"/>
              <w:rPr>
                <w:rFonts w:ascii="宋体" w:hAnsi="宋体"/>
                <w:kern w:val="0"/>
                <w:szCs w:val="21"/>
              </w:rPr>
            </w:pPr>
            <w:r>
              <w:rPr>
                <w:rFonts w:hint="eastAsia" w:ascii="宋体" w:hAnsi="宋体"/>
                <w:kern w:val="0"/>
                <w:szCs w:val="21"/>
              </w:rPr>
              <w:t>……</w:t>
            </w:r>
          </w:p>
        </w:tc>
        <w:tc>
          <w:tcPr>
            <w:tcW w:w="4790" w:type="dxa"/>
          </w:tcPr>
          <w:p>
            <w:pPr>
              <w:adjustRightInd w:val="0"/>
              <w:snapToGrid w:val="0"/>
              <w:spacing w:line="360" w:lineRule="auto"/>
              <w:rPr>
                <w:rFonts w:ascii="宋体" w:hAnsi="宋体"/>
                <w:kern w:val="0"/>
                <w:szCs w:val="21"/>
              </w:rPr>
            </w:pPr>
          </w:p>
        </w:tc>
        <w:tc>
          <w:tcPr>
            <w:tcW w:w="3685" w:type="dxa"/>
          </w:tcPr>
          <w:p>
            <w:pPr>
              <w:adjustRightInd w:val="0"/>
              <w:snapToGrid w:val="0"/>
              <w:spacing w:line="360" w:lineRule="auto"/>
              <w:rPr>
                <w:rFonts w:ascii="宋体" w:hAnsi="宋体"/>
                <w:kern w:val="0"/>
                <w:szCs w:val="21"/>
              </w:rPr>
            </w:pPr>
          </w:p>
        </w:tc>
      </w:tr>
    </w:tbl>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注：1.“</w:t>
      </w:r>
      <w:r>
        <w:rPr>
          <w:rFonts w:hint="eastAsia" w:ascii="宋体" w:hAnsi="宋体"/>
          <w:kern w:val="0"/>
          <w:szCs w:val="21"/>
        </w:rPr>
        <w:t>采购人要求内容</w:t>
      </w:r>
      <w:r>
        <w:rPr>
          <w:rFonts w:hint="eastAsia" w:asciiTheme="minorEastAsia" w:hAnsiTheme="minorEastAsia" w:eastAsiaTheme="minorEastAsia"/>
          <w:bCs/>
          <w:kern w:val="0"/>
          <w:szCs w:val="21"/>
        </w:rPr>
        <w:t>”为</w:t>
      </w:r>
      <w:r>
        <w:rPr>
          <w:rFonts w:hint="eastAsia" w:asciiTheme="minorEastAsia" w:hAnsiTheme="minorEastAsia" w:eastAsiaTheme="minorEastAsia"/>
          <w:b/>
          <w:bCs/>
          <w:kern w:val="0"/>
          <w:szCs w:val="21"/>
          <w:highlight w:val="yellow"/>
        </w:rPr>
        <w:t>“第一册  专用条款/第二章  招标项目需求”</w:t>
      </w:r>
      <w:r>
        <w:rPr>
          <w:rFonts w:hint="eastAsia" w:asciiTheme="minorEastAsia" w:hAnsiTheme="minorEastAsia" w:eastAsiaTheme="minorEastAsia"/>
          <w:bCs/>
          <w:kern w:val="0"/>
          <w:szCs w:val="21"/>
        </w:rPr>
        <w:t>中的不可负偏离条款，即“实质性条款”。</w:t>
      </w:r>
    </w:p>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2.“投标人响应情况”一栏应如实填写“响应”或“不响应”。</w:t>
      </w:r>
    </w:p>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3.“实质性条款响应情况表”与投标文件其它内容冲突的，以“实质性条款响应情况表”为准。</w:t>
      </w:r>
    </w:p>
    <w:p>
      <w:pPr>
        <w:keepNext/>
        <w:keepLines/>
        <w:tabs>
          <w:tab w:val="left" w:pos="765"/>
        </w:tabs>
        <w:spacing w:line="376" w:lineRule="auto"/>
        <w:outlineLvl w:val="3"/>
        <w:rPr>
          <w:rFonts w:asciiTheme="minorEastAsia" w:hAnsiTheme="minorEastAsia" w:eastAsiaTheme="minorEastAsia"/>
          <w:szCs w:val="21"/>
        </w:rPr>
      </w:pPr>
    </w:p>
    <w:p>
      <w:pPr>
        <w:keepNext/>
        <w:keepLines/>
        <w:spacing w:before="260" w:after="260"/>
        <w:jc w:val="center"/>
        <w:outlineLvl w:val="2"/>
        <w:rPr>
          <w:rFonts w:ascii="黑体" w:hAnsi="宋体" w:eastAsia="黑体"/>
          <w:bCs/>
          <w:kern w:val="0"/>
          <w:sz w:val="24"/>
          <w:szCs w:val="24"/>
        </w:rPr>
      </w:pPr>
      <w:r>
        <w:rPr>
          <w:rFonts w:hint="eastAsia" w:ascii="黑体" w:hAnsi="宋体" w:eastAsia="黑体"/>
          <w:bCs/>
          <w:kern w:val="0"/>
          <w:sz w:val="24"/>
          <w:szCs w:val="24"/>
        </w:rPr>
        <w:t>八、详细分项报价清单</w:t>
      </w:r>
    </w:p>
    <w:tbl>
      <w:tblPr>
        <w:tblStyle w:val="42"/>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249"/>
        <w:gridCol w:w="2835"/>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828" w:type="dxa"/>
            <w:vAlign w:val="center"/>
          </w:tcPr>
          <w:p>
            <w:pPr>
              <w:adjustRightInd w:val="0"/>
              <w:snapToGrid w:val="0"/>
              <w:spacing w:line="300" w:lineRule="auto"/>
              <w:jc w:val="center"/>
              <w:rPr>
                <w:b/>
                <w:snapToGrid w:val="0"/>
                <w:kern w:val="0"/>
              </w:rPr>
            </w:pPr>
            <w:r>
              <w:rPr>
                <w:b/>
                <w:snapToGrid w:val="0"/>
                <w:kern w:val="0"/>
              </w:rPr>
              <w:t>序号</w:t>
            </w:r>
          </w:p>
        </w:tc>
        <w:tc>
          <w:tcPr>
            <w:tcW w:w="3249"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2835" w:type="dxa"/>
            <w:vAlign w:val="center"/>
          </w:tcPr>
          <w:p>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828" w:type="dxa"/>
            <w:vAlign w:val="center"/>
          </w:tcPr>
          <w:p>
            <w:pPr>
              <w:adjustRightInd w:val="0"/>
              <w:snapToGrid w:val="0"/>
              <w:spacing w:line="300" w:lineRule="auto"/>
              <w:jc w:val="center"/>
              <w:rPr>
                <w:snapToGrid w:val="0"/>
                <w:kern w:val="0"/>
              </w:rPr>
            </w:pPr>
            <w:r>
              <w:rPr>
                <w:snapToGrid w:val="0"/>
                <w:kern w:val="0"/>
              </w:rPr>
              <w:t>1</w:t>
            </w:r>
          </w:p>
        </w:tc>
        <w:tc>
          <w:tcPr>
            <w:tcW w:w="3249" w:type="dxa"/>
            <w:vAlign w:val="center"/>
          </w:tcPr>
          <w:p>
            <w:pPr>
              <w:adjustRightInd w:val="0"/>
              <w:snapToGrid w:val="0"/>
              <w:spacing w:line="300" w:lineRule="auto"/>
              <w:rPr>
                <w:snapToGrid w:val="0"/>
                <w:kern w:val="0"/>
              </w:rPr>
            </w:pPr>
          </w:p>
        </w:tc>
        <w:tc>
          <w:tcPr>
            <w:tcW w:w="2835"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828" w:type="dxa"/>
            <w:vAlign w:val="center"/>
          </w:tcPr>
          <w:p>
            <w:pPr>
              <w:adjustRightInd w:val="0"/>
              <w:snapToGrid w:val="0"/>
              <w:spacing w:line="300" w:lineRule="auto"/>
              <w:jc w:val="center"/>
              <w:rPr>
                <w:snapToGrid w:val="0"/>
                <w:kern w:val="0"/>
              </w:rPr>
            </w:pPr>
            <w:r>
              <w:rPr>
                <w:rFonts w:hint="eastAsia"/>
                <w:snapToGrid w:val="0"/>
                <w:kern w:val="0"/>
              </w:rPr>
              <w:t>2</w:t>
            </w:r>
          </w:p>
        </w:tc>
        <w:tc>
          <w:tcPr>
            <w:tcW w:w="3249" w:type="dxa"/>
            <w:vAlign w:val="center"/>
          </w:tcPr>
          <w:p>
            <w:pPr>
              <w:adjustRightInd w:val="0"/>
              <w:snapToGrid w:val="0"/>
              <w:spacing w:line="300" w:lineRule="auto"/>
              <w:rPr>
                <w:rFonts w:ascii="宋体" w:hAnsi="宋体"/>
                <w:szCs w:val="21"/>
                <w:lang w:val="zh-CN"/>
              </w:rPr>
            </w:pPr>
          </w:p>
        </w:tc>
        <w:tc>
          <w:tcPr>
            <w:tcW w:w="2835"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828" w:type="dxa"/>
            <w:vAlign w:val="center"/>
          </w:tcPr>
          <w:p>
            <w:pPr>
              <w:adjustRightInd w:val="0"/>
              <w:snapToGrid w:val="0"/>
              <w:spacing w:line="300" w:lineRule="auto"/>
              <w:jc w:val="center"/>
              <w:rPr>
                <w:snapToGrid w:val="0"/>
                <w:kern w:val="0"/>
              </w:rPr>
            </w:pPr>
            <w:r>
              <w:rPr>
                <w:rFonts w:hint="eastAsia"/>
                <w:snapToGrid w:val="0"/>
                <w:kern w:val="0"/>
              </w:rPr>
              <w:t>3</w:t>
            </w:r>
          </w:p>
        </w:tc>
        <w:tc>
          <w:tcPr>
            <w:tcW w:w="3249" w:type="dxa"/>
            <w:vAlign w:val="center"/>
          </w:tcPr>
          <w:p>
            <w:pPr>
              <w:adjustRightInd w:val="0"/>
              <w:snapToGrid w:val="0"/>
              <w:spacing w:line="300" w:lineRule="auto"/>
              <w:rPr>
                <w:rFonts w:ascii="宋体" w:hAnsi="宋体"/>
                <w:szCs w:val="21"/>
                <w:lang w:val="zh-CN"/>
              </w:rPr>
            </w:pPr>
          </w:p>
        </w:tc>
        <w:tc>
          <w:tcPr>
            <w:tcW w:w="2835"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828" w:type="dxa"/>
            <w:vAlign w:val="center"/>
          </w:tcPr>
          <w:p>
            <w:pPr>
              <w:adjustRightInd w:val="0"/>
              <w:snapToGrid w:val="0"/>
              <w:spacing w:line="300" w:lineRule="auto"/>
              <w:jc w:val="center"/>
              <w:rPr>
                <w:snapToGrid w:val="0"/>
                <w:kern w:val="0"/>
              </w:rPr>
            </w:pPr>
            <w:r>
              <w:rPr>
                <w:rFonts w:hint="eastAsia"/>
                <w:snapToGrid w:val="0"/>
                <w:kern w:val="0"/>
              </w:rPr>
              <w:t>4</w:t>
            </w:r>
          </w:p>
        </w:tc>
        <w:tc>
          <w:tcPr>
            <w:tcW w:w="3249" w:type="dxa"/>
            <w:vAlign w:val="center"/>
          </w:tcPr>
          <w:p>
            <w:pPr>
              <w:adjustRightInd w:val="0"/>
              <w:snapToGrid w:val="0"/>
              <w:spacing w:line="300" w:lineRule="auto"/>
              <w:rPr>
                <w:rFonts w:ascii="宋体" w:hAnsi="宋体"/>
                <w:szCs w:val="21"/>
                <w:lang w:val="zh-CN"/>
              </w:rPr>
            </w:pPr>
          </w:p>
        </w:tc>
        <w:tc>
          <w:tcPr>
            <w:tcW w:w="2835"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077" w:type="dxa"/>
            <w:gridSpan w:val="2"/>
            <w:vAlign w:val="center"/>
          </w:tcPr>
          <w:p>
            <w:pPr>
              <w:adjustRightInd w:val="0"/>
              <w:snapToGrid w:val="0"/>
              <w:spacing w:line="300" w:lineRule="auto"/>
              <w:jc w:val="center"/>
              <w:rPr>
                <w:snapToGrid w:val="0"/>
                <w:kern w:val="0"/>
              </w:rPr>
            </w:pPr>
            <w:r>
              <w:rPr>
                <w:snapToGrid w:val="0"/>
                <w:kern w:val="0"/>
              </w:rPr>
              <w:t>合   计</w:t>
            </w:r>
            <w:r>
              <w:rPr>
                <w:rFonts w:hint="eastAsia"/>
                <w:snapToGrid w:val="0"/>
                <w:kern w:val="0"/>
              </w:rPr>
              <w:t>（</w:t>
            </w:r>
            <w:r>
              <w:rPr>
                <w:rFonts w:hint="eastAsia" w:ascii="宋体" w:hAnsi="宋体"/>
                <w:szCs w:val="21"/>
              </w:rPr>
              <w:t>即投标总价</w:t>
            </w:r>
            <w:r>
              <w:rPr>
                <w:rFonts w:hint="eastAsia"/>
                <w:snapToGrid w:val="0"/>
                <w:kern w:val="0"/>
              </w:rPr>
              <w:t>）</w:t>
            </w:r>
          </w:p>
        </w:tc>
        <w:tc>
          <w:tcPr>
            <w:tcW w:w="2835"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注：1、本表格仅为指导性范本，供应商可根据项目具体情况对各分项内容进行调整。</w:t>
      </w:r>
    </w:p>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2、投标总价应为以上各分项价格之和。</w:t>
      </w:r>
    </w:p>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3、开标一览表的投标总价必须与以上分项报价清单的投标总价一致。</w:t>
      </w:r>
    </w:p>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4、</w:t>
      </w:r>
      <w:r>
        <w:rPr>
          <w:rFonts w:hint="eastAsia" w:ascii="宋体" w:hAnsi="宋体"/>
          <w:szCs w:val="21"/>
        </w:rPr>
        <w:t>根据《中华人民共和国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keepLines/>
        <w:tabs>
          <w:tab w:val="left" w:pos="765"/>
        </w:tabs>
        <w:spacing w:line="376" w:lineRule="auto"/>
        <w:outlineLvl w:val="3"/>
        <w:rPr>
          <w:rFonts w:asciiTheme="minorEastAsia" w:hAnsiTheme="minorEastAsia" w:eastAsiaTheme="minorEastAsia"/>
          <w:bCs/>
          <w:kern w:val="0"/>
          <w:szCs w:val="21"/>
        </w:rPr>
      </w:pPr>
    </w:p>
    <w:p>
      <w:pPr>
        <w:spacing w:afterLines="50"/>
        <w:jc w:val="center"/>
        <w:rPr>
          <w:rFonts w:ascii="黑体" w:hAnsi="宋体" w:eastAsia="黑体"/>
          <w:bCs/>
          <w:kern w:val="0"/>
          <w:sz w:val="24"/>
          <w:szCs w:val="24"/>
        </w:rPr>
      </w:pPr>
      <w:r>
        <w:rPr>
          <w:rFonts w:hint="eastAsia" w:ascii="黑体" w:hAnsi="宋体" w:eastAsia="黑体"/>
          <w:bCs/>
          <w:kern w:val="0"/>
          <w:sz w:val="24"/>
          <w:szCs w:val="24"/>
        </w:rPr>
        <w:t>九、服务要求偏离表</w:t>
      </w:r>
    </w:p>
    <w:tbl>
      <w:tblPr>
        <w:tblStyle w:val="42"/>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551"/>
        <w:gridCol w:w="1985"/>
        <w:gridCol w:w="1276"/>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851" w:type="dxa"/>
            <w:vAlign w:val="center"/>
          </w:tcPr>
          <w:p>
            <w:pPr>
              <w:jc w:val="center"/>
              <w:rPr>
                <w:rFonts w:ascii="宋体" w:hAnsi="宋体"/>
                <w:szCs w:val="21"/>
              </w:rPr>
            </w:pPr>
            <w:r>
              <w:rPr>
                <w:rFonts w:hint="eastAsia" w:ascii="宋体" w:hAnsi="宋体"/>
                <w:szCs w:val="21"/>
              </w:rPr>
              <w:t>序号</w:t>
            </w:r>
          </w:p>
        </w:tc>
        <w:tc>
          <w:tcPr>
            <w:tcW w:w="2551" w:type="dxa"/>
            <w:vAlign w:val="center"/>
          </w:tcPr>
          <w:p>
            <w:pPr>
              <w:jc w:val="center"/>
              <w:rPr>
                <w:rFonts w:ascii="宋体" w:hAnsi="宋体"/>
                <w:szCs w:val="21"/>
              </w:rPr>
            </w:pPr>
            <w:r>
              <w:rPr>
                <w:rFonts w:hint="eastAsia" w:ascii="宋体" w:hAnsi="宋体"/>
                <w:szCs w:val="21"/>
              </w:rPr>
              <w:t>招标文件服务要求</w:t>
            </w:r>
          </w:p>
        </w:tc>
        <w:tc>
          <w:tcPr>
            <w:tcW w:w="1985" w:type="dxa"/>
            <w:vAlign w:val="center"/>
          </w:tcPr>
          <w:p>
            <w:pPr>
              <w:jc w:val="center"/>
              <w:rPr>
                <w:rFonts w:ascii="宋体" w:hAnsi="宋体"/>
                <w:szCs w:val="21"/>
              </w:rPr>
            </w:pPr>
            <w:r>
              <w:rPr>
                <w:rFonts w:hint="eastAsia" w:ascii="宋体" w:hAnsi="宋体"/>
                <w:szCs w:val="21"/>
              </w:rPr>
              <w:t>投标文件服务响应</w:t>
            </w:r>
          </w:p>
        </w:tc>
        <w:tc>
          <w:tcPr>
            <w:tcW w:w="1276" w:type="dxa"/>
            <w:vAlign w:val="center"/>
          </w:tcPr>
          <w:p>
            <w:pPr>
              <w:jc w:val="center"/>
              <w:rPr>
                <w:rFonts w:ascii="宋体" w:hAnsi="宋体"/>
                <w:szCs w:val="21"/>
              </w:rPr>
            </w:pPr>
            <w:r>
              <w:rPr>
                <w:rFonts w:hint="eastAsia" w:ascii="宋体" w:hAnsi="宋体"/>
                <w:szCs w:val="21"/>
              </w:rPr>
              <w:t>偏离情况</w:t>
            </w:r>
          </w:p>
        </w:tc>
        <w:tc>
          <w:tcPr>
            <w:tcW w:w="2551" w:type="dxa"/>
            <w:vAlign w:val="center"/>
          </w:tcPr>
          <w:p>
            <w:pPr>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851" w:type="dxa"/>
          </w:tcPr>
          <w:p>
            <w:pPr>
              <w:rPr>
                <w:sz w:val="24"/>
              </w:rPr>
            </w:pPr>
          </w:p>
        </w:tc>
        <w:tc>
          <w:tcPr>
            <w:tcW w:w="2551" w:type="dxa"/>
          </w:tcPr>
          <w:p>
            <w:pPr>
              <w:rPr>
                <w:sz w:val="24"/>
              </w:rPr>
            </w:pPr>
          </w:p>
        </w:tc>
        <w:tc>
          <w:tcPr>
            <w:tcW w:w="1985" w:type="dxa"/>
          </w:tcPr>
          <w:p>
            <w:pPr>
              <w:rPr>
                <w:sz w:val="24"/>
              </w:rPr>
            </w:pPr>
          </w:p>
        </w:tc>
        <w:tc>
          <w:tcPr>
            <w:tcW w:w="1276" w:type="dxa"/>
          </w:tcPr>
          <w:p>
            <w:pPr>
              <w:rPr>
                <w:sz w:val="24"/>
              </w:rPr>
            </w:pPr>
          </w:p>
        </w:tc>
        <w:tc>
          <w:tcPr>
            <w:tcW w:w="2551" w:type="dxa"/>
          </w:tcPr>
          <w:p>
            <w:pPr>
              <w:rPr>
                <w:szCs w:val="21"/>
              </w:rPr>
            </w:pPr>
            <w:r>
              <w:rPr>
                <w:rFonts w:hint="eastAsia"/>
                <w:szCs w:val="21"/>
              </w:rPr>
              <w:t>如需附证明文件，应在“说明”栏填写证明文件对应名称和页码。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851" w:type="dxa"/>
          </w:tcPr>
          <w:p>
            <w:pPr>
              <w:rPr>
                <w:sz w:val="24"/>
              </w:rPr>
            </w:pPr>
          </w:p>
        </w:tc>
        <w:tc>
          <w:tcPr>
            <w:tcW w:w="2551" w:type="dxa"/>
          </w:tcPr>
          <w:p>
            <w:pPr>
              <w:rPr>
                <w:sz w:val="24"/>
              </w:rPr>
            </w:pPr>
          </w:p>
        </w:tc>
        <w:tc>
          <w:tcPr>
            <w:tcW w:w="1985" w:type="dxa"/>
          </w:tcPr>
          <w:p>
            <w:pPr>
              <w:rPr>
                <w:sz w:val="24"/>
              </w:rPr>
            </w:pPr>
          </w:p>
        </w:tc>
        <w:tc>
          <w:tcPr>
            <w:tcW w:w="1276" w:type="dxa"/>
          </w:tcPr>
          <w:p>
            <w:pPr>
              <w:rPr>
                <w:sz w:val="24"/>
              </w:rPr>
            </w:pPr>
          </w:p>
        </w:tc>
        <w:tc>
          <w:tcPr>
            <w:tcW w:w="2551" w:type="dxa"/>
          </w:tcPr>
          <w:p>
            <w:pPr>
              <w:rPr>
                <w:sz w:val="24"/>
              </w:rPr>
            </w:pPr>
          </w:p>
        </w:tc>
      </w:tr>
    </w:tbl>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备注：</w:t>
      </w:r>
    </w:p>
    <w:p>
      <w:pPr>
        <w:keepNext/>
        <w:keepLines/>
        <w:tabs>
          <w:tab w:val="left" w:pos="765"/>
        </w:tabs>
        <w:spacing w:line="376" w:lineRule="auto"/>
        <w:outlineLvl w:val="3"/>
        <w:rPr>
          <w:rFonts w:asciiTheme="minorEastAsia" w:hAnsiTheme="minorEastAsia" w:eastAsiaTheme="minorEastAsia"/>
          <w:bCs/>
          <w:kern w:val="0"/>
          <w:szCs w:val="21"/>
        </w:rPr>
      </w:pPr>
      <w:r>
        <w:rPr>
          <w:rFonts w:asciiTheme="minorEastAsia" w:hAnsiTheme="minorEastAsia" w:eastAsiaTheme="minorEastAsia"/>
          <w:bCs/>
          <w:kern w:val="0"/>
          <w:szCs w:val="21"/>
        </w:rPr>
        <w:t>1</w:t>
      </w:r>
      <w:r>
        <w:rPr>
          <w:rFonts w:hint="eastAsia" w:asciiTheme="minorEastAsia" w:hAnsiTheme="minorEastAsia" w:eastAsiaTheme="minorEastAsia"/>
          <w:bCs/>
          <w:kern w:val="0"/>
          <w:szCs w:val="21"/>
        </w:rPr>
        <w:t>、</w:t>
      </w:r>
      <w:r>
        <w:rPr>
          <w:rFonts w:asciiTheme="minorEastAsia" w:hAnsiTheme="minorEastAsia" w:eastAsiaTheme="minorEastAsia"/>
          <w:bCs/>
          <w:kern w:val="0"/>
          <w:szCs w:val="21"/>
        </w:rPr>
        <w:t>“招标文件服务要求”一栏填写招标文件第二章“招标项目需求”</w:t>
      </w:r>
      <w:r>
        <w:rPr>
          <w:rFonts w:asciiTheme="minorEastAsia" w:hAnsiTheme="minorEastAsia" w:eastAsiaTheme="minorEastAsia"/>
          <w:b/>
          <w:bCs/>
          <w:kern w:val="0"/>
          <w:szCs w:val="21"/>
          <w:highlight w:val="yellow"/>
        </w:rPr>
        <w:t>“</w:t>
      </w:r>
      <w:r>
        <w:rPr>
          <w:rFonts w:hint="eastAsia" w:asciiTheme="minorEastAsia" w:hAnsiTheme="minorEastAsia" w:eastAsiaTheme="minorEastAsia"/>
          <w:b/>
          <w:bCs/>
          <w:kern w:val="0"/>
          <w:szCs w:val="21"/>
          <w:highlight w:val="yellow"/>
        </w:rPr>
        <w:t>四、项目</w:t>
      </w:r>
      <w:r>
        <w:rPr>
          <w:rFonts w:asciiTheme="minorEastAsia" w:hAnsiTheme="minorEastAsia" w:eastAsiaTheme="minorEastAsia"/>
          <w:b/>
          <w:bCs/>
          <w:kern w:val="0"/>
          <w:szCs w:val="21"/>
          <w:highlight w:val="yellow"/>
        </w:rPr>
        <w:t>服务</w:t>
      </w:r>
      <w:r>
        <w:rPr>
          <w:rFonts w:hint="eastAsia" w:asciiTheme="minorEastAsia" w:hAnsiTheme="minorEastAsia" w:eastAsiaTheme="minorEastAsia"/>
          <w:b/>
          <w:bCs/>
          <w:kern w:val="0"/>
          <w:szCs w:val="21"/>
          <w:highlight w:val="yellow"/>
        </w:rPr>
        <w:t>要求</w:t>
      </w:r>
      <w:r>
        <w:rPr>
          <w:rFonts w:asciiTheme="minorEastAsia" w:hAnsiTheme="minorEastAsia" w:eastAsiaTheme="minorEastAsia"/>
          <w:b/>
          <w:bCs/>
          <w:kern w:val="0"/>
          <w:szCs w:val="21"/>
          <w:highlight w:val="yellow"/>
        </w:rPr>
        <w:t>”</w:t>
      </w:r>
      <w:r>
        <w:rPr>
          <w:rFonts w:asciiTheme="minorEastAsia" w:hAnsiTheme="minorEastAsia" w:eastAsiaTheme="minorEastAsia"/>
          <w:bCs/>
          <w:kern w:val="0"/>
          <w:szCs w:val="21"/>
        </w:rPr>
        <w:t>的内容。</w:t>
      </w:r>
    </w:p>
    <w:p>
      <w:pPr>
        <w:keepNext/>
        <w:keepLines/>
        <w:tabs>
          <w:tab w:val="left" w:pos="765"/>
        </w:tabs>
        <w:spacing w:line="376" w:lineRule="auto"/>
        <w:outlineLvl w:val="3"/>
        <w:rPr>
          <w:rFonts w:asciiTheme="minorEastAsia" w:hAnsiTheme="minorEastAsia" w:eastAsiaTheme="minorEastAsia"/>
          <w:bCs/>
          <w:kern w:val="0"/>
          <w:szCs w:val="21"/>
        </w:rPr>
      </w:pPr>
      <w:r>
        <w:rPr>
          <w:rFonts w:asciiTheme="minorEastAsia" w:hAnsiTheme="minorEastAsia" w:eastAsiaTheme="minorEastAsia"/>
          <w:bCs/>
          <w:kern w:val="0"/>
          <w:szCs w:val="21"/>
        </w:rPr>
        <w:t>2</w:t>
      </w:r>
      <w:r>
        <w:rPr>
          <w:rFonts w:hint="eastAsia" w:asciiTheme="minorEastAsia" w:hAnsiTheme="minorEastAsia" w:eastAsiaTheme="minorEastAsia"/>
          <w:bCs/>
          <w:kern w:val="0"/>
          <w:szCs w:val="21"/>
        </w:rPr>
        <w:t>、</w:t>
      </w:r>
      <w:r>
        <w:rPr>
          <w:rFonts w:asciiTheme="minorEastAsia" w:hAnsiTheme="minorEastAsia" w:eastAsiaTheme="minorEastAsia"/>
          <w:bCs/>
          <w:kern w:val="0"/>
          <w:szCs w:val="21"/>
        </w:rPr>
        <w:t>“投标文件服务</w:t>
      </w:r>
      <w:r>
        <w:rPr>
          <w:rFonts w:hint="eastAsia" w:asciiTheme="minorEastAsia" w:hAnsiTheme="minorEastAsia" w:eastAsiaTheme="minorEastAsia"/>
          <w:bCs/>
          <w:kern w:val="0"/>
          <w:szCs w:val="21"/>
        </w:rPr>
        <w:t>响应</w:t>
      </w:r>
      <w:r>
        <w:rPr>
          <w:rFonts w:asciiTheme="minorEastAsia" w:hAnsiTheme="minorEastAsia" w:eastAsiaTheme="minorEastAsia"/>
          <w:bCs/>
          <w:kern w:val="0"/>
          <w:szCs w:val="21"/>
        </w:rPr>
        <w:t>”一栏详细填写响应情况，并应对照</w:t>
      </w:r>
      <w:r>
        <w:rPr>
          <w:rFonts w:hint="eastAsia" w:asciiTheme="minorEastAsia" w:hAnsiTheme="minorEastAsia" w:eastAsiaTheme="minorEastAsia"/>
          <w:bCs/>
          <w:kern w:val="0"/>
          <w:szCs w:val="21"/>
        </w:rPr>
        <w:t>招</w:t>
      </w:r>
      <w:r>
        <w:rPr>
          <w:rFonts w:asciiTheme="minorEastAsia" w:hAnsiTheme="minorEastAsia" w:eastAsiaTheme="minorEastAsia"/>
          <w:bCs/>
          <w:kern w:val="0"/>
          <w:szCs w:val="21"/>
        </w:rPr>
        <w:t>标文件</w:t>
      </w:r>
      <w:r>
        <w:rPr>
          <w:rFonts w:hint="eastAsia" w:asciiTheme="minorEastAsia" w:hAnsiTheme="minorEastAsia" w:eastAsiaTheme="minorEastAsia"/>
          <w:bCs/>
          <w:kern w:val="0"/>
          <w:szCs w:val="21"/>
        </w:rPr>
        <w:t>服务</w:t>
      </w:r>
      <w:r>
        <w:rPr>
          <w:rFonts w:asciiTheme="minorEastAsia" w:hAnsiTheme="minorEastAsia" w:eastAsiaTheme="minorEastAsia"/>
          <w:bCs/>
          <w:kern w:val="0"/>
          <w:szCs w:val="21"/>
        </w:rPr>
        <w:t>要求一一对应响应。</w:t>
      </w:r>
    </w:p>
    <w:p>
      <w:pPr>
        <w:keepNext/>
        <w:keepLines/>
        <w:tabs>
          <w:tab w:val="left" w:pos="765"/>
        </w:tabs>
        <w:spacing w:line="376" w:lineRule="auto"/>
        <w:outlineLvl w:val="3"/>
        <w:rPr>
          <w:rFonts w:asciiTheme="minorEastAsia" w:hAnsiTheme="minorEastAsia" w:eastAsiaTheme="minorEastAsia"/>
          <w:bCs/>
          <w:kern w:val="0"/>
          <w:szCs w:val="21"/>
        </w:rPr>
      </w:pPr>
      <w:r>
        <w:rPr>
          <w:rFonts w:asciiTheme="minorEastAsia" w:hAnsiTheme="minorEastAsia" w:eastAsiaTheme="minorEastAsia"/>
          <w:bCs/>
          <w:kern w:val="0"/>
          <w:szCs w:val="21"/>
        </w:rPr>
        <w:t>3</w:t>
      </w:r>
      <w:r>
        <w:rPr>
          <w:rFonts w:hint="eastAsia" w:asciiTheme="minorEastAsia" w:hAnsiTheme="minorEastAsia" w:eastAsiaTheme="minorEastAsia"/>
          <w:bCs/>
          <w:kern w:val="0"/>
          <w:szCs w:val="21"/>
        </w:rPr>
        <w:t>、</w:t>
      </w:r>
      <w:r>
        <w:rPr>
          <w:rFonts w:asciiTheme="minorEastAsia" w:hAnsiTheme="minorEastAsia" w:eastAsiaTheme="minorEastAsia"/>
          <w:bCs/>
          <w:kern w:val="0"/>
          <w:szCs w:val="21"/>
        </w:rPr>
        <w:t>“偏离情况”一栏应如实填写“正偏离”、“负偏离”或“无偏离”。</w:t>
      </w:r>
    </w:p>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4、对于实质性条款，投标文件响应为“负偏离”的，投标文件将作投标无效处理</w:t>
      </w:r>
      <w:r>
        <w:rPr>
          <w:rFonts w:asciiTheme="minorEastAsia" w:hAnsiTheme="minorEastAsia" w:eastAsiaTheme="minorEastAsia"/>
          <w:bCs/>
          <w:kern w:val="0"/>
          <w:szCs w:val="21"/>
        </w:rPr>
        <w:t>。</w:t>
      </w:r>
    </w:p>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5、如招标文件要求提供证明材料的，投标文件需提供相应证明材料扫描件（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afterLines="50"/>
        <w:jc w:val="center"/>
        <w:rPr>
          <w:rFonts w:ascii="黑体" w:hAnsi="宋体" w:eastAsia="黑体"/>
          <w:bCs/>
          <w:kern w:val="0"/>
          <w:sz w:val="24"/>
          <w:szCs w:val="24"/>
        </w:rPr>
      </w:pPr>
      <w:r>
        <w:rPr>
          <w:rFonts w:hint="eastAsia" w:ascii="黑体" w:hAnsi="宋体" w:eastAsia="黑体"/>
          <w:bCs/>
          <w:kern w:val="0"/>
          <w:sz w:val="24"/>
          <w:szCs w:val="24"/>
        </w:rPr>
        <w:t>十、商务要求偏离表</w:t>
      </w:r>
    </w:p>
    <w:tbl>
      <w:tblPr>
        <w:tblStyle w:val="42"/>
        <w:tblW w:w="91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410"/>
        <w:gridCol w:w="2551"/>
        <w:gridCol w:w="1344"/>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851" w:type="dxa"/>
            <w:vAlign w:val="center"/>
          </w:tcPr>
          <w:p>
            <w:pPr>
              <w:jc w:val="center"/>
              <w:rPr>
                <w:rFonts w:ascii="宋体" w:hAnsi="宋体"/>
                <w:szCs w:val="21"/>
              </w:rPr>
            </w:pPr>
            <w:r>
              <w:rPr>
                <w:rFonts w:hint="eastAsia" w:ascii="宋体" w:hAnsi="宋体"/>
                <w:szCs w:val="21"/>
              </w:rPr>
              <w:t>序号</w:t>
            </w:r>
          </w:p>
        </w:tc>
        <w:tc>
          <w:tcPr>
            <w:tcW w:w="2410" w:type="dxa"/>
            <w:vAlign w:val="center"/>
          </w:tcPr>
          <w:p>
            <w:pPr>
              <w:jc w:val="center"/>
              <w:rPr>
                <w:rFonts w:ascii="宋体" w:hAnsi="宋体"/>
                <w:szCs w:val="21"/>
              </w:rPr>
            </w:pPr>
            <w:r>
              <w:rPr>
                <w:rFonts w:hint="eastAsia" w:ascii="宋体" w:hAnsi="宋体"/>
                <w:szCs w:val="21"/>
              </w:rPr>
              <w:t>招标文件商务要求</w:t>
            </w:r>
          </w:p>
        </w:tc>
        <w:tc>
          <w:tcPr>
            <w:tcW w:w="2551" w:type="dxa"/>
            <w:vAlign w:val="center"/>
          </w:tcPr>
          <w:p>
            <w:pPr>
              <w:jc w:val="center"/>
              <w:rPr>
                <w:rFonts w:ascii="宋体" w:hAnsi="宋体"/>
                <w:szCs w:val="21"/>
              </w:rPr>
            </w:pPr>
            <w:r>
              <w:rPr>
                <w:rFonts w:hint="eastAsia" w:ascii="宋体" w:hAnsi="宋体"/>
                <w:szCs w:val="21"/>
              </w:rPr>
              <w:t>投标文件商务响应</w:t>
            </w:r>
          </w:p>
        </w:tc>
        <w:tc>
          <w:tcPr>
            <w:tcW w:w="1344" w:type="dxa"/>
            <w:vAlign w:val="center"/>
          </w:tcPr>
          <w:p>
            <w:pPr>
              <w:jc w:val="center"/>
              <w:rPr>
                <w:rFonts w:ascii="宋体" w:hAnsi="宋体"/>
                <w:szCs w:val="21"/>
              </w:rPr>
            </w:pPr>
            <w:r>
              <w:rPr>
                <w:rFonts w:hint="eastAsia" w:ascii="宋体" w:hAnsi="宋体"/>
                <w:szCs w:val="21"/>
              </w:rPr>
              <w:t>偏离情况</w:t>
            </w:r>
          </w:p>
        </w:tc>
        <w:tc>
          <w:tcPr>
            <w:tcW w:w="2008" w:type="dxa"/>
            <w:vAlign w:val="center"/>
          </w:tcPr>
          <w:p>
            <w:pPr>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851" w:type="dxa"/>
          </w:tcPr>
          <w:p>
            <w:pPr>
              <w:rPr>
                <w:sz w:val="24"/>
              </w:rPr>
            </w:pPr>
          </w:p>
        </w:tc>
        <w:tc>
          <w:tcPr>
            <w:tcW w:w="2410" w:type="dxa"/>
          </w:tcPr>
          <w:p>
            <w:pPr>
              <w:rPr>
                <w:sz w:val="24"/>
              </w:rPr>
            </w:pPr>
          </w:p>
        </w:tc>
        <w:tc>
          <w:tcPr>
            <w:tcW w:w="2551" w:type="dxa"/>
          </w:tcPr>
          <w:p>
            <w:pPr>
              <w:rPr>
                <w:sz w:val="24"/>
              </w:rPr>
            </w:pPr>
          </w:p>
        </w:tc>
        <w:tc>
          <w:tcPr>
            <w:tcW w:w="1344" w:type="dxa"/>
          </w:tcPr>
          <w:p>
            <w:pPr>
              <w:rPr>
                <w:sz w:val="24"/>
              </w:rPr>
            </w:pPr>
          </w:p>
        </w:tc>
        <w:tc>
          <w:tcPr>
            <w:tcW w:w="2008" w:type="dxa"/>
          </w:tcPr>
          <w:p>
            <w:pPr>
              <w:rPr>
                <w:sz w:val="24"/>
              </w:rPr>
            </w:pPr>
            <w:r>
              <w:rPr>
                <w:rFonts w:hint="eastAsia"/>
                <w:szCs w:val="21"/>
              </w:rPr>
              <w:t>如需附证明文件，应在“说明”栏填写证明文件对应名称和页码。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851" w:type="dxa"/>
          </w:tcPr>
          <w:p>
            <w:pPr>
              <w:rPr>
                <w:sz w:val="24"/>
              </w:rPr>
            </w:pPr>
          </w:p>
        </w:tc>
        <w:tc>
          <w:tcPr>
            <w:tcW w:w="2410" w:type="dxa"/>
          </w:tcPr>
          <w:p>
            <w:pPr>
              <w:rPr>
                <w:sz w:val="24"/>
              </w:rPr>
            </w:pPr>
          </w:p>
        </w:tc>
        <w:tc>
          <w:tcPr>
            <w:tcW w:w="2551" w:type="dxa"/>
          </w:tcPr>
          <w:p>
            <w:pPr>
              <w:rPr>
                <w:sz w:val="24"/>
              </w:rPr>
            </w:pPr>
          </w:p>
        </w:tc>
        <w:tc>
          <w:tcPr>
            <w:tcW w:w="1344" w:type="dxa"/>
          </w:tcPr>
          <w:p>
            <w:pPr>
              <w:rPr>
                <w:sz w:val="24"/>
              </w:rPr>
            </w:pPr>
          </w:p>
        </w:tc>
        <w:tc>
          <w:tcPr>
            <w:tcW w:w="2008" w:type="dxa"/>
          </w:tcPr>
          <w:p>
            <w:pPr>
              <w:rPr>
                <w:sz w:val="24"/>
              </w:rPr>
            </w:pPr>
          </w:p>
        </w:tc>
      </w:tr>
    </w:tbl>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备注：</w:t>
      </w:r>
    </w:p>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1、“招标文件商务服务要求”一栏填写招标文件第二章“招标项目需求”</w:t>
      </w:r>
      <w:r>
        <w:rPr>
          <w:rFonts w:hint="eastAsia" w:asciiTheme="minorEastAsia" w:hAnsiTheme="minorEastAsia" w:eastAsiaTheme="minorEastAsia"/>
          <w:b/>
          <w:bCs/>
          <w:kern w:val="0"/>
          <w:szCs w:val="21"/>
          <w:highlight w:val="yellow"/>
        </w:rPr>
        <w:t>“五、项目商务要求”</w:t>
      </w:r>
      <w:r>
        <w:rPr>
          <w:rFonts w:hint="eastAsia" w:asciiTheme="minorEastAsia" w:hAnsiTheme="minorEastAsia" w:eastAsiaTheme="minorEastAsia"/>
          <w:bCs/>
          <w:kern w:val="0"/>
          <w:szCs w:val="21"/>
        </w:rPr>
        <w:t>的内容</w:t>
      </w:r>
      <w:r>
        <w:rPr>
          <w:rFonts w:asciiTheme="minorEastAsia" w:hAnsiTheme="minorEastAsia" w:eastAsiaTheme="minorEastAsia"/>
          <w:bCs/>
          <w:kern w:val="0"/>
          <w:szCs w:val="21"/>
        </w:rPr>
        <w:t>。</w:t>
      </w:r>
    </w:p>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2、“投标文件商务响应”一栏详细填写投标商务条款的内容</w:t>
      </w:r>
      <w:r>
        <w:rPr>
          <w:rFonts w:asciiTheme="minorEastAsia" w:hAnsiTheme="minorEastAsia" w:eastAsiaTheme="minorEastAsia"/>
          <w:bCs/>
          <w:kern w:val="0"/>
          <w:szCs w:val="21"/>
        </w:rPr>
        <w:t>。</w:t>
      </w:r>
    </w:p>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3、“偏离情况”栏中应如实填写“正偏离”、“负偏离”或“无偏离”</w:t>
      </w:r>
      <w:r>
        <w:rPr>
          <w:rFonts w:asciiTheme="minorEastAsia" w:hAnsiTheme="minorEastAsia" w:eastAsiaTheme="minorEastAsia"/>
          <w:bCs/>
          <w:kern w:val="0"/>
          <w:szCs w:val="21"/>
        </w:rPr>
        <w:t>。</w:t>
      </w:r>
    </w:p>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4、对于实质性条款，投标文件响应为“负偏离”的，投标文件将作投标无效处理</w:t>
      </w:r>
      <w:r>
        <w:rPr>
          <w:rFonts w:asciiTheme="minorEastAsia" w:hAnsiTheme="minorEastAsia" w:eastAsiaTheme="minorEastAsia"/>
          <w:bCs/>
          <w:kern w:val="0"/>
          <w:szCs w:val="21"/>
        </w:rPr>
        <w:t>。</w:t>
      </w:r>
    </w:p>
    <w:p>
      <w:pPr>
        <w:keepNext/>
        <w:keepLines/>
        <w:tabs>
          <w:tab w:val="left" w:pos="765"/>
        </w:tabs>
        <w:spacing w:line="376" w:lineRule="auto"/>
        <w:outlineLvl w:val="3"/>
        <w:rPr>
          <w:rFonts w:asciiTheme="minorEastAsia" w:hAnsiTheme="minorEastAsia" w:eastAsiaTheme="minorEastAsia"/>
          <w:bCs/>
          <w:kern w:val="0"/>
          <w:szCs w:val="21"/>
        </w:rPr>
      </w:pPr>
      <w:r>
        <w:rPr>
          <w:rFonts w:hint="eastAsia" w:asciiTheme="minorEastAsia" w:hAnsiTheme="minorEastAsia" w:eastAsiaTheme="minorEastAsia"/>
          <w:bCs/>
          <w:kern w:val="0"/>
          <w:szCs w:val="21"/>
        </w:rPr>
        <w:t>5、如招标文件要求提供证明材料的，投标文件需提供相应证明材料扫描件（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afterLines="50"/>
        <w:jc w:val="center"/>
        <w:rPr>
          <w:rFonts w:ascii="黑体" w:hAnsi="宋体" w:eastAsia="黑体"/>
          <w:bCs/>
          <w:kern w:val="0"/>
          <w:sz w:val="24"/>
          <w:szCs w:val="24"/>
        </w:rPr>
      </w:pPr>
      <w:r>
        <w:rPr>
          <w:rFonts w:hint="eastAsia" w:ascii="黑体" w:hAnsi="宋体" w:eastAsia="黑体"/>
          <w:bCs/>
          <w:kern w:val="0"/>
          <w:sz w:val="24"/>
          <w:szCs w:val="24"/>
        </w:rPr>
        <w:t>十一、实施方案</w:t>
      </w:r>
    </w:p>
    <w:p>
      <w:pPr>
        <w:spacing w:afterLines="50"/>
        <w:jc w:val="center"/>
        <w:rPr>
          <w:rFonts w:hint="eastAsia" w:ascii="黑体" w:hAnsi="宋体" w:eastAsia="黑体"/>
          <w:bCs/>
          <w:kern w:val="0"/>
          <w:sz w:val="24"/>
          <w:szCs w:val="24"/>
          <w:lang w:val="en-US" w:eastAsia="zh-CN"/>
        </w:rPr>
      </w:pPr>
      <w:r>
        <w:rPr>
          <w:rFonts w:hint="eastAsia" w:ascii="黑体" w:hAnsi="宋体" w:eastAsia="黑体"/>
          <w:bCs/>
          <w:kern w:val="0"/>
          <w:sz w:val="24"/>
          <w:szCs w:val="24"/>
          <w:lang w:val="en-US" w:eastAsia="zh-CN"/>
        </w:rPr>
        <w:t>十二、项目重点难点分析、应对措施及相关的合理化建议</w:t>
      </w:r>
    </w:p>
    <w:p>
      <w:pPr>
        <w:spacing w:afterLines="50"/>
        <w:jc w:val="center"/>
        <w:rPr>
          <w:rFonts w:hint="eastAsia" w:ascii="黑体" w:hAnsi="宋体" w:eastAsia="黑体"/>
          <w:bCs/>
          <w:kern w:val="0"/>
          <w:sz w:val="24"/>
          <w:szCs w:val="24"/>
          <w:lang w:val="en-US" w:eastAsia="zh-CN"/>
        </w:rPr>
      </w:pPr>
      <w:r>
        <w:rPr>
          <w:rFonts w:hint="eastAsia" w:ascii="黑体" w:hAnsi="宋体" w:eastAsia="黑体"/>
          <w:bCs/>
          <w:kern w:val="0"/>
          <w:sz w:val="24"/>
          <w:szCs w:val="24"/>
          <w:lang w:val="en-US" w:eastAsia="zh-CN"/>
        </w:rPr>
        <w:t>十三、质量（完成时间、安全、环保）保障措施及方案</w:t>
      </w:r>
    </w:p>
    <w:p>
      <w:pPr>
        <w:spacing w:afterLines="50"/>
        <w:jc w:val="center"/>
        <w:rPr>
          <w:rFonts w:hint="eastAsia" w:ascii="黑体" w:hAnsi="宋体" w:eastAsia="黑体"/>
          <w:bCs/>
          <w:kern w:val="0"/>
          <w:sz w:val="24"/>
          <w:szCs w:val="24"/>
          <w:lang w:val="en-US" w:eastAsia="zh-CN"/>
        </w:rPr>
      </w:pPr>
      <w:r>
        <w:rPr>
          <w:rFonts w:hint="eastAsia" w:ascii="黑体" w:hAnsi="宋体" w:eastAsia="黑体"/>
          <w:bCs/>
          <w:kern w:val="0"/>
          <w:sz w:val="24"/>
          <w:szCs w:val="24"/>
          <w:lang w:val="en-US" w:eastAsia="zh-CN"/>
        </w:rPr>
        <w:t>十四、项目完成（服务期满）后的服务承诺</w:t>
      </w:r>
    </w:p>
    <w:p>
      <w:pPr>
        <w:spacing w:afterLines="50"/>
        <w:jc w:val="center"/>
        <w:rPr>
          <w:rFonts w:hint="eastAsia" w:ascii="黑体" w:hAnsi="宋体" w:eastAsia="黑体"/>
          <w:bCs/>
          <w:kern w:val="0"/>
          <w:sz w:val="24"/>
          <w:szCs w:val="24"/>
          <w:lang w:val="en-US" w:eastAsia="zh-CN"/>
        </w:rPr>
      </w:pPr>
      <w:r>
        <w:rPr>
          <w:rFonts w:hint="eastAsia" w:ascii="黑体" w:hAnsi="宋体" w:eastAsia="黑体"/>
          <w:bCs/>
          <w:kern w:val="0"/>
          <w:sz w:val="24"/>
          <w:szCs w:val="24"/>
          <w:lang w:val="en-US" w:eastAsia="zh-CN"/>
        </w:rPr>
        <w:t>十五、违约承诺</w:t>
      </w:r>
    </w:p>
    <w:p>
      <w:pPr>
        <w:spacing w:afterLines="50"/>
        <w:jc w:val="center"/>
        <w:rPr>
          <w:rFonts w:hint="eastAsia" w:ascii="黑体" w:hAnsi="宋体" w:eastAsia="黑体"/>
          <w:bCs/>
          <w:kern w:val="0"/>
          <w:sz w:val="24"/>
          <w:szCs w:val="24"/>
          <w:lang w:val="en-US" w:eastAsia="zh-CN"/>
        </w:rPr>
      </w:pPr>
      <w:r>
        <w:rPr>
          <w:rFonts w:hint="eastAsia" w:ascii="黑体" w:hAnsi="宋体" w:eastAsia="黑体"/>
          <w:bCs/>
          <w:kern w:val="0"/>
          <w:sz w:val="24"/>
          <w:szCs w:val="24"/>
          <w:lang w:val="en-US" w:eastAsia="zh-CN"/>
        </w:rPr>
        <w:t>十六、拟安排的项目负责人情况（仅限一人）</w:t>
      </w:r>
    </w:p>
    <w:p>
      <w:pPr>
        <w:spacing w:afterLines="50"/>
        <w:jc w:val="center"/>
        <w:rPr>
          <w:rFonts w:hint="eastAsia" w:ascii="黑体" w:hAnsi="宋体" w:eastAsia="黑体"/>
          <w:bCs/>
          <w:kern w:val="0"/>
          <w:sz w:val="24"/>
          <w:szCs w:val="24"/>
          <w:lang w:val="en-US" w:eastAsia="zh-CN"/>
        </w:rPr>
      </w:pPr>
      <w:r>
        <w:rPr>
          <w:rFonts w:hint="eastAsia" w:ascii="黑体" w:hAnsi="宋体" w:eastAsia="黑体"/>
          <w:bCs/>
          <w:kern w:val="0"/>
          <w:sz w:val="24"/>
          <w:szCs w:val="24"/>
          <w:lang w:val="en-US" w:eastAsia="zh-CN"/>
        </w:rPr>
        <w:t>十七、拟安排的项目主要团队成员（主要技术人员）情况（项目负责人除外）</w:t>
      </w:r>
    </w:p>
    <w:p>
      <w:pPr>
        <w:spacing w:afterLines="50"/>
        <w:jc w:val="center"/>
        <w:rPr>
          <w:rFonts w:hint="eastAsia" w:ascii="黑体" w:hAnsi="宋体" w:eastAsia="黑体"/>
          <w:bCs/>
          <w:kern w:val="0"/>
          <w:sz w:val="24"/>
          <w:szCs w:val="24"/>
          <w:lang w:val="en-US" w:eastAsia="zh-CN"/>
        </w:rPr>
      </w:pPr>
      <w:r>
        <w:rPr>
          <w:rFonts w:hint="eastAsia" w:ascii="黑体" w:hAnsi="宋体" w:eastAsia="黑体"/>
          <w:bCs/>
          <w:kern w:val="0"/>
          <w:sz w:val="24"/>
          <w:szCs w:val="24"/>
          <w:lang w:val="en-US" w:eastAsia="zh-CN"/>
        </w:rPr>
        <w:t>十八、拟投入的服务资源（车辆、场地、工具、机器等）情况</w:t>
      </w:r>
    </w:p>
    <w:p>
      <w:pPr>
        <w:spacing w:afterLines="50"/>
        <w:jc w:val="center"/>
        <w:rPr>
          <w:rFonts w:hint="eastAsia" w:ascii="黑体" w:hAnsi="宋体" w:eastAsia="黑体"/>
          <w:bCs/>
          <w:kern w:val="0"/>
          <w:sz w:val="24"/>
          <w:szCs w:val="24"/>
          <w:lang w:val="en-US" w:eastAsia="zh-CN"/>
        </w:rPr>
      </w:pPr>
      <w:r>
        <w:rPr>
          <w:rFonts w:hint="eastAsia" w:ascii="黑体" w:hAnsi="宋体" w:eastAsia="黑体"/>
          <w:bCs/>
          <w:kern w:val="0"/>
          <w:sz w:val="24"/>
          <w:szCs w:val="24"/>
          <w:lang w:val="en-US" w:eastAsia="zh-CN"/>
        </w:rPr>
        <w:t>十九、供应商资格（资质、认证）情况</w:t>
      </w:r>
    </w:p>
    <w:p>
      <w:pPr>
        <w:spacing w:afterLines="50"/>
        <w:jc w:val="center"/>
        <w:rPr>
          <w:rFonts w:hint="eastAsia" w:ascii="黑体" w:hAnsi="宋体" w:eastAsia="黑体"/>
          <w:bCs/>
          <w:kern w:val="0"/>
          <w:sz w:val="24"/>
          <w:szCs w:val="24"/>
          <w:lang w:val="en-US" w:eastAsia="zh-CN"/>
        </w:rPr>
      </w:pPr>
      <w:r>
        <w:rPr>
          <w:rFonts w:hint="eastAsia" w:ascii="黑体" w:hAnsi="宋体" w:eastAsia="黑体"/>
          <w:bCs/>
          <w:kern w:val="0"/>
          <w:sz w:val="24"/>
          <w:szCs w:val="24"/>
          <w:lang w:val="en-US" w:eastAsia="zh-CN"/>
        </w:rPr>
        <w:t>二十、供应商同类项目业绩情况</w:t>
      </w:r>
    </w:p>
    <w:p>
      <w:pPr>
        <w:spacing w:afterLines="50"/>
        <w:jc w:val="center"/>
        <w:rPr>
          <w:rFonts w:hint="eastAsia" w:ascii="黑体" w:hAnsi="宋体" w:eastAsia="黑体"/>
          <w:bCs/>
          <w:kern w:val="0"/>
          <w:sz w:val="24"/>
          <w:szCs w:val="24"/>
          <w:lang w:val="en-US" w:eastAsia="zh-CN"/>
        </w:rPr>
      </w:pPr>
      <w:r>
        <w:rPr>
          <w:rFonts w:hint="eastAsia" w:ascii="黑体" w:hAnsi="宋体" w:eastAsia="黑体"/>
          <w:bCs/>
          <w:kern w:val="0"/>
          <w:sz w:val="24"/>
          <w:szCs w:val="24"/>
          <w:lang w:val="en-US" w:eastAsia="zh-CN"/>
        </w:rPr>
        <w:t>二十一、供应商获奖情况</w:t>
      </w:r>
    </w:p>
    <w:p>
      <w:pPr>
        <w:spacing w:afterLines="50"/>
        <w:jc w:val="center"/>
        <w:rPr>
          <w:rFonts w:hint="eastAsia" w:ascii="黑体" w:hAnsi="宋体" w:eastAsia="黑体"/>
          <w:bCs/>
          <w:kern w:val="0"/>
          <w:sz w:val="24"/>
          <w:szCs w:val="24"/>
          <w:lang w:val="en-US" w:eastAsia="zh-CN"/>
        </w:rPr>
      </w:pPr>
      <w:r>
        <w:rPr>
          <w:rFonts w:hint="eastAsia" w:ascii="黑体" w:hAnsi="宋体" w:eastAsia="黑体"/>
          <w:bCs/>
          <w:kern w:val="0"/>
          <w:sz w:val="24"/>
          <w:szCs w:val="24"/>
          <w:lang w:val="en-US" w:eastAsia="zh-CN"/>
        </w:rPr>
        <w:t>二十二、供应商自主知识产权产品（创新、设计）情况</w:t>
      </w:r>
    </w:p>
    <w:p>
      <w:pPr>
        <w:spacing w:afterLines="50"/>
        <w:jc w:val="center"/>
        <w:rPr>
          <w:rFonts w:hint="eastAsia" w:ascii="黑体" w:hAnsi="宋体" w:eastAsia="黑体"/>
          <w:bCs/>
          <w:kern w:val="0"/>
          <w:sz w:val="24"/>
          <w:szCs w:val="24"/>
          <w:lang w:val="en-US" w:eastAsia="zh-CN"/>
        </w:rPr>
      </w:pPr>
      <w:r>
        <w:rPr>
          <w:rFonts w:hint="eastAsia" w:ascii="黑体" w:hAnsi="宋体" w:eastAsia="黑体"/>
          <w:bCs/>
          <w:kern w:val="0"/>
          <w:sz w:val="24"/>
          <w:szCs w:val="24"/>
          <w:lang w:val="en-US" w:eastAsia="zh-CN"/>
        </w:rPr>
        <w:t>二十三、服务网点</w:t>
      </w:r>
    </w:p>
    <w:p>
      <w:pPr>
        <w:spacing w:afterLines="50"/>
        <w:jc w:val="center"/>
        <w:rPr>
          <w:rFonts w:ascii="黑体" w:hAnsi="宋体" w:eastAsia="黑体"/>
          <w:bCs/>
          <w:kern w:val="0"/>
          <w:sz w:val="24"/>
          <w:szCs w:val="24"/>
        </w:rPr>
      </w:pPr>
      <w:r>
        <w:rPr>
          <w:rFonts w:hint="eastAsia" w:ascii="黑体" w:hAnsi="宋体" w:eastAsia="黑体"/>
          <w:bCs/>
          <w:kern w:val="0"/>
          <w:sz w:val="24"/>
          <w:szCs w:val="24"/>
          <w:lang w:val="en-US" w:eastAsia="zh-CN"/>
        </w:rPr>
        <w:t>二十四、诚信情况</w:t>
      </w:r>
    </w:p>
    <w:p>
      <w:pPr>
        <w:jc w:val="center"/>
        <w:rPr>
          <w:rFonts w:ascii="黑体" w:hAnsi="宋体" w:eastAsia="黑体"/>
          <w:bCs/>
          <w:kern w:val="0"/>
          <w:sz w:val="24"/>
          <w:szCs w:val="24"/>
        </w:rPr>
      </w:pPr>
      <w:r>
        <w:rPr>
          <w:rFonts w:hint="eastAsia" w:ascii="黑体" w:hAnsi="宋体" w:eastAsia="黑体"/>
          <w:bCs/>
          <w:kern w:val="0"/>
          <w:sz w:val="24"/>
          <w:szCs w:val="24"/>
          <w:highlight w:val="none"/>
          <w:lang w:val="en-US" w:eastAsia="zh-CN"/>
        </w:rPr>
        <w:t>二十五</w:t>
      </w:r>
      <w:r>
        <w:rPr>
          <w:rFonts w:hint="eastAsia" w:ascii="黑体" w:hAnsi="宋体" w:eastAsia="黑体"/>
          <w:bCs/>
          <w:kern w:val="0"/>
          <w:sz w:val="24"/>
          <w:szCs w:val="24"/>
          <w:highlight w:val="none"/>
        </w:rPr>
        <w:t>、招标文件要求的其它内容或投标人认为需要补充的资料（格式自定）</w:t>
      </w:r>
    </w:p>
    <w:p>
      <w:pPr>
        <w:widowControl/>
        <w:jc w:val="left"/>
        <w:rPr>
          <w:rFonts w:ascii="黑体" w:hAnsi="宋体" w:eastAsia="黑体"/>
          <w:bCs/>
          <w:kern w:val="0"/>
          <w:sz w:val="24"/>
          <w:szCs w:val="24"/>
        </w:rPr>
      </w:pPr>
      <w:r>
        <w:rPr>
          <w:rFonts w:ascii="黑体" w:hAnsi="宋体" w:eastAsia="黑体"/>
          <w:bCs/>
          <w:kern w:val="0"/>
          <w:sz w:val="24"/>
          <w:szCs w:val="24"/>
        </w:rPr>
        <w:br w:type="page"/>
      </w:r>
    </w:p>
    <w:p>
      <w:pPr>
        <w:jc w:val="center"/>
        <w:rPr>
          <w:rFonts w:ascii="宋体" w:hAnsi="宋体"/>
          <w:b/>
          <w:bCs/>
          <w:kern w:val="0"/>
          <w:sz w:val="24"/>
          <w:szCs w:val="20"/>
        </w:rPr>
      </w:pPr>
      <w:r>
        <w:rPr>
          <w:rFonts w:hint="eastAsia" w:ascii="宋体" w:hAnsi="宋体"/>
          <w:b/>
          <w:bCs/>
          <w:kern w:val="0"/>
          <w:sz w:val="24"/>
          <w:szCs w:val="20"/>
        </w:rPr>
        <w:t>第四章  合同及履约情况反馈格式</w:t>
      </w:r>
    </w:p>
    <w:p>
      <w:pPr>
        <w:ind w:firstLine="411" w:firstLineChars="196"/>
        <w:rPr>
          <w:rFonts w:ascii="Times New Roman" w:hAnsi="Times New Roman"/>
          <w:szCs w:val="24"/>
        </w:rPr>
      </w:pPr>
    </w:p>
    <w:p>
      <w:pPr>
        <w:keepNext/>
        <w:keepLines/>
        <w:spacing w:before="260" w:after="260"/>
        <w:jc w:val="center"/>
        <w:outlineLvl w:val="2"/>
        <w:rPr>
          <w:rFonts w:ascii="黑体" w:hAnsi="宋体" w:eastAsia="黑体"/>
          <w:bCs/>
          <w:kern w:val="0"/>
          <w:sz w:val="24"/>
          <w:szCs w:val="24"/>
        </w:rPr>
      </w:pPr>
      <w:r>
        <w:rPr>
          <w:rFonts w:hint="eastAsia" w:ascii="黑体" w:hAnsi="宋体" w:eastAsia="黑体"/>
          <w:bCs/>
          <w:kern w:val="0"/>
          <w:sz w:val="24"/>
          <w:szCs w:val="24"/>
        </w:rPr>
        <w:t>一、合同条款及格式（</w:t>
      </w:r>
      <w:r>
        <w:rPr>
          <w:rFonts w:hint="eastAsia" w:ascii="黑体" w:eastAsia="黑体"/>
          <w:kern w:val="0"/>
          <w:sz w:val="24"/>
          <w:szCs w:val="24"/>
        </w:rPr>
        <w:t>仅供参考</w:t>
      </w:r>
      <w:r>
        <w:rPr>
          <w:rFonts w:hint="eastAsia" w:ascii="黑体" w:hAnsi="宋体" w:eastAsia="黑体"/>
          <w:bCs/>
          <w:kern w:val="0"/>
          <w:sz w:val="24"/>
          <w:szCs w:val="24"/>
        </w:rPr>
        <w:t>）</w:t>
      </w:r>
    </w:p>
    <w:p>
      <w:pPr>
        <w:ind w:firstLine="470" w:firstLineChars="196"/>
        <w:jc w:val="center"/>
        <w:rPr>
          <w:rFonts w:ascii="Times New Roman" w:hAnsi="Times New Roman"/>
          <w:sz w:val="24"/>
          <w:szCs w:val="24"/>
        </w:rPr>
      </w:pPr>
      <w:bookmarkStart w:id="13" w:name="_Toc73517685"/>
      <w:bookmarkStart w:id="14" w:name="_Toc101074886"/>
      <w:bookmarkStart w:id="15" w:name="_Toc73518163"/>
      <w:bookmarkStart w:id="16" w:name="_Toc73521680"/>
      <w:bookmarkStart w:id="17" w:name="_Toc100052414"/>
      <w:bookmarkStart w:id="18" w:name="_Toc84303603"/>
      <w:bookmarkStart w:id="19" w:name="_Toc73521592"/>
    </w:p>
    <w:p>
      <w:pPr>
        <w:ind w:firstLine="470" w:firstLineChars="196"/>
        <w:jc w:val="center"/>
        <w:rPr>
          <w:rFonts w:ascii="Times New Roman" w:hAnsi="Times New Roman"/>
          <w:sz w:val="24"/>
          <w:szCs w:val="24"/>
        </w:rPr>
      </w:pPr>
    </w:p>
    <w:bookmarkEnd w:id="13"/>
    <w:bookmarkEnd w:id="14"/>
    <w:bookmarkEnd w:id="15"/>
    <w:bookmarkEnd w:id="16"/>
    <w:bookmarkEnd w:id="17"/>
    <w:bookmarkEnd w:id="18"/>
    <w:bookmarkEnd w:id="19"/>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3"/>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ind w:firstLine="422" w:firstLineChars="200"/>
        <w:rPr>
          <w:rFonts w:ascii="宋体" w:hAnsi="宋体"/>
          <w:b/>
          <w:bCs/>
          <w:szCs w:val="21"/>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pStyle w:val="23"/>
        <w:snapToGrid w:val="0"/>
        <w:spacing w:line="360" w:lineRule="auto"/>
        <w:ind w:firstLine="422" w:firstLineChars="200"/>
        <w:rPr>
          <w:rFonts w:hAnsi="宋体"/>
          <w:b/>
          <w:sz w:val="21"/>
          <w:szCs w:val="21"/>
        </w:rPr>
      </w:pPr>
      <w:r>
        <w:rPr>
          <w:rFonts w:hint="eastAsia" w:hAnsi="宋体"/>
          <w:b/>
          <w:sz w:val="21"/>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pStyle w:val="23"/>
        <w:snapToGrid w:val="0"/>
        <w:spacing w:line="360" w:lineRule="auto"/>
        <w:ind w:firstLine="422" w:firstLineChars="200"/>
        <w:rPr>
          <w:rFonts w:hAnsi="宋体"/>
          <w:b/>
          <w:sz w:val="21"/>
          <w:szCs w:val="21"/>
        </w:rPr>
      </w:pPr>
      <w:r>
        <w:rPr>
          <w:rFonts w:hint="eastAsia" w:hAnsi="宋体"/>
          <w:b/>
          <w:sz w:val="21"/>
          <w:szCs w:val="21"/>
        </w:rPr>
        <w:t>二、合同金额</w:t>
      </w:r>
    </w:p>
    <w:p>
      <w:pPr>
        <w:pStyle w:val="23"/>
        <w:snapToGrid w:val="0"/>
        <w:spacing w:line="360" w:lineRule="auto"/>
        <w:ind w:firstLine="420" w:firstLineChars="200"/>
        <w:rPr>
          <w:rFonts w:hAnsi="宋体"/>
          <w:sz w:val="21"/>
          <w:szCs w:val="21"/>
        </w:rPr>
      </w:pPr>
      <w:r>
        <w:rPr>
          <w:rFonts w:hint="eastAsia" w:hAnsi="宋体"/>
          <w:sz w:val="21"/>
          <w:szCs w:val="21"/>
        </w:rPr>
        <w:t>本合同金额为（大写）：____________________________________元（￥_______________元）人民币。</w:t>
      </w:r>
    </w:p>
    <w:p>
      <w:pPr>
        <w:pStyle w:val="23"/>
        <w:snapToGrid w:val="0"/>
        <w:spacing w:line="360" w:lineRule="auto"/>
        <w:ind w:firstLine="422" w:firstLineChars="200"/>
        <w:rPr>
          <w:rFonts w:hAnsi="宋体"/>
          <w:b/>
          <w:sz w:val="21"/>
          <w:szCs w:val="21"/>
        </w:rPr>
      </w:pPr>
      <w:r>
        <w:rPr>
          <w:rFonts w:hint="eastAsia" w:hAnsi="宋体"/>
          <w:b/>
          <w:sz w:val="21"/>
          <w:szCs w:val="21"/>
        </w:rPr>
        <w:t>三、技术资料</w:t>
      </w:r>
    </w:p>
    <w:p>
      <w:pPr>
        <w:pStyle w:val="23"/>
        <w:snapToGrid w:val="0"/>
        <w:spacing w:line="360" w:lineRule="auto"/>
        <w:ind w:firstLine="420" w:firstLineChars="200"/>
        <w:rPr>
          <w:rFonts w:hAnsi="宋体"/>
          <w:sz w:val="21"/>
          <w:szCs w:val="21"/>
        </w:rPr>
      </w:pPr>
      <w:r>
        <w:rPr>
          <w:rFonts w:hint="eastAsia" w:hAnsi="宋体"/>
          <w:sz w:val="21"/>
          <w:szCs w:val="21"/>
        </w:rPr>
        <w:t>1、中标人应按招标文件规定的时间向采购人提供有关技术资料。</w:t>
      </w:r>
    </w:p>
    <w:p>
      <w:pPr>
        <w:pStyle w:val="23"/>
        <w:snapToGrid w:val="0"/>
        <w:spacing w:line="360" w:lineRule="auto"/>
        <w:ind w:firstLine="420" w:firstLineChars="200"/>
        <w:rPr>
          <w:rFonts w:hAnsi="宋体"/>
          <w:sz w:val="21"/>
          <w:szCs w:val="21"/>
        </w:rPr>
      </w:pPr>
      <w:r>
        <w:rPr>
          <w:rFonts w:hint="eastAsia" w:hAnsi="宋体"/>
          <w:sz w:val="21"/>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pStyle w:val="23"/>
        <w:snapToGrid w:val="0"/>
        <w:spacing w:line="360" w:lineRule="auto"/>
        <w:ind w:firstLine="420" w:firstLineChars="200"/>
        <w:rPr>
          <w:rFonts w:hAnsi="宋体"/>
          <w:sz w:val="21"/>
          <w:szCs w:val="21"/>
        </w:rPr>
      </w:pPr>
      <w:r>
        <w:rPr>
          <w:rFonts w:hint="eastAsia" w:hAnsi="宋体"/>
          <w:sz w:val="21"/>
          <w:szCs w:val="21"/>
        </w:rPr>
        <w:t>3、合同履行完毕，未经采购人的书面同意，中标人不得保存在履行合同过程中所获得或接触到的任何内部数据资料。</w:t>
      </w:r>
    </w:p>
    <w:p>
      <w:pPr>
        <w:pStyle w:val="23"/>
        <w:snapToGrid w:val="0"/>
        <w:spacing w:line="360" w:lineRule="auto"/>
        <w:ind w:firstLine="422" w:firstLineChars="200"/>
        <w:rPr>
          <w:rFonts w:hAnsi="宋体"/>
          <w:b/>
          <w:sz w:val="21"/>
          <w:szCs w:val="21"/>
        </w:rPr>
      </w:pPr>
      <w:r>
        <w:rPr>
          <w:rFonts w:hint="eastAsia" w:hAnsi="宋体"/>
          <w:b/>
          <w:sz w:val="21"/>
          <w:szCs w:val="21"/>
        </w:rPr>
        <w:t>四、知识产权</w:t>
      </w:r>
    </w:p>
    <w:p>
      <w:pPr>
        <w:pStyle w:val="23"/>
        <w:snapToGrid w:val="0"/>
        <w:spacing w:line="360" w:lineRule="auto"/>
        <w:ind w:firstLine="420" w:firstLineChars="200"/>
        <w:rPr>
          <w:rFonts w:hAnsi="宋体"/>
          <w:bCs/>
          <w:sz w:val="21"/>
          <w:szCs w:val="21"/>
        </w:rPr>
      </w:pPr>
      <w:r>
        <w:rPr>
          <w:rFonts w:hint="eastAsia" w:hAnsi="宋体"/>
          <w:sz w:val="21"/>
          <w:szCs w:val="21"/>
        </w:rPr>
        <w:t>中标人应保证提供服务过程中不会侵犯任何第三方的知识产权</w:t>
      </w:r>
      <w:r>
        <w:rPr>
          <w:rFonts w:hint="eastAsia" w:hAnsi="宋体"/>
          <w:bCs/>
          <w:sz w:val="21"/>
          <w:szCs w:val="21"/>
        </w:rPr>
        <w:t>。</w:t>
      </w:r>
    </w:p>
    <w:p>
      <w:pPr>
        <w:pStyle w:val="23"/>
        <w:snapToGrid w:val="0"/>
        <w:spacing w:line="360" w:lineRule="auto"/>
        <w:ind w:firstLine="422" w:firstLineChars="200"/>
        <w:rPr>
          <w:rFonts w:hAnsi="宋体"/>
          <w:b/>
          <w:sz w:val="21"/>
          <w:szCs w:val="21"/>
        </w:rPr>
      </w:pPr>
      <w:r>
        <w:rPr>
          <w:rFonts w:hint="eastAsia" w:hAnsi="宋体"/>
          <w:b/>
          <w:sz w:val="21"/>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pStyle w:val="23"/>
        <w:snapToGrid w:val="0"/>
        <w:spacing w:line="360" w:lineRule="auto"/>
        <w:ind w:firstLine="422" w:firstLineChars="200"/>
        <w:rPr>
          <w:rFonts w:hAnsi="宋体"/>
          <w:b/>
          <w:sz w:val="21"/>
          <w:szCs w:val="21"/>
        </w:rPr>
      </w:pPr>
      <w:r>
        <w:rPr>
          <w:rFonts w:hint="eastAsia" w:hAnsi="宋体"/>
          <w:b/>
          <w:sz w:val="21"/>
          <w:szCs w:val="21"/>
        </w:rPr>
        <w:t>八、合同履行时间、履行方式及履行地点</w:t>
      </w:r>
    </w:p>
    <w:p>
      <w:pPr>
        <w:pStyle w:val="23"/>
        <w:snapToGrid w:val="0"/>
        <w:spacing w:line="360" w:lineRule="auto"/>
        <w:ind w:firstLine="420" w:firstLineChars="200"/>
        <w:rPr>
          <w:rFonts w:hAnsi="宋体"/>
          <w:bCs/>
          <w:sz w:val="21"/>
          <w:szCs w:val="21"/>
        </w:rPr>
      </w:pPr>
      <w:r>
        <w:rPr>
          <w:rFonts w:hint="eastAsia" w:hAnsi="宋体"/>
          <w:bCs/>
          <w:sz w:val="21"/>
          <w:szCs w:val="21"/>
        </w:rPr>
        <w:t>1、</w:t>
      </w:r>
      <w:r>
        <w:rPr>
          <w:rFonts w:hint="eastAsia" w:hAnsi="宋体"/>
          <w:sz w:val="21"/>
          <w:szCs w:val="21"/>
        </w:rPr>
        <w:t>履行时间</w:t>
      </w:r>
      <w:r>
        <w:rPr>
          <w:rFonts w:hint="eastAsia" w:hAnsi="宋体"/>
          <w:bCs/>
          <w:sz w:val="21"/>
          <w:szCs w:val="21"/>
        </w:rPr>
        <w:t>：</w:t>
      </w:r>
      <w:r>
        <w:rPr>
          <w:rFonts w:hint="eastAsia" w:hAnsi="宋体"/>
          <w:sz w:val="21"/>
          <w:szCs w:val="21"/>
        </w:rPr>
        <w:t>______________________</w:t>
      </w:r>
    </w:p>
    <w:p>
      <w:pPr>
        <w:pStyle w:val="23"/>
        <w:snapToGrid w:val="0"/>
        <w:spacing w:line="360" w:lineRule="auto"/>
        <w:ind w:firstLine="420" w:firstLineChars="200"/>
        <w:rPr>
          <w:rFonts w:hAnsi="宋体"/>
          <w:bCs/>
          <w:sz w:val="21"/>
          <w:szCs w:val="21"/>
        </w:rPr>
      </w:pPr>
      <w:r>
        <w:rPr>
          <w:rFonts w:hint="eastAsia" w:hAnsi="宋体"/>
          <w:bCs/>
          <w:sz w:val="21"/>
          <w:szCs w:val="21"/>
        </w:rPr>
        <w:t>2、</w:t>
      </w:r>
      <w:r>
        <w:rPr>
          <w:rFonts w:hint="eastAsia" w:hAnsi="宋体"/>
          <w:sz w:val="21"/>
          <w:szCs w:val="21"/>
        </w:rPr>
        <w:t>履行方式</w:t>
      </w:r>
      <w:r>
        <w:rPr>
          <w:rFonts w:hint="eastAsia" w:hAnsi="宋体"/>
          <w:bCs/>
          <w:sz w:val="21"/>
          <w:szCs w:val="21"/>
        </w:rPr>
        <w:t>：</w:t>
      </w:r>
      <w:r>
        <w:rPr>
          <w:rFonts w:hint="eastAsia" w:hAnsi="宋体"/>
          <w:sz w:val="21"/>
          <w:szCs w:val="21"/>
        </w:rPr>
        <w:t>______________________</w:t>
      </w:r>
    </w:p>
    <w:p>
      <w:pPr>
        <w:pStyle w:val="23"/>
        <w:snapToGrid w:val="0"/>
        <w:spacing w:line="360" w:lineRule="auto"/>
        <w:ind w:firstLine="420" w:firstLineChars="200"/>
        <w:rPr>
          <w:rFonts w:hAnsi="宋体"/>
          <w:sz w:val="21"/>
          <w:szCs w:val="21"/>
        </w:rPr>
      </w:pPr>
      <w:r>
        <w:rPr>
          <w:rFonts w:hint="eastAsia" w:hAnsi="宋体"/>
          <w:bCs/>
          <w:sz w:val="21"/>
          <w:szCs w:val="21"/>
        </w:rPr>
        <w:t>3、</w:t>
      </w:r>
      <w:r>
        <w:rPr>
          <w:rFonts w:hint="eastAsia" w:hAnsi="宋体"/>
          <w:sz w:val="21"/>
          <w:szCs w:val="21"/>
        </w:rPr>
        <w:t>履行地点</w:t>
      </w:r>
      <w:r>
        <w:rPr>
          <w:rFonts w:hint="eastAsia" w:hAnsi="宋体"/>
          <w:bCs/>
          <w:sz w:val="21"/>
          <w:szCs w:val="21"/>
        </w:rPr>
        <w:t>：</w:t>
      </w:r>
      <w:r>
        <w:rPr>
          <w:rFonts w:hint="eastAsia" w:hAnsi="宋体"/>
          <w:sz w:val="21"/>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3、验收依据为招标文件、中标人投标文件，国家和行业有关规范、规程和标准。</w:t>
      </w:r>
    </w:p>
    <w:p>
      <w:pPr>
        <w:pStyle w:val="23"/>
        <w:snapToGrid w:val="0"/>
        <w:spacing w:line="360" w:lineRule="auto"/>
        <w:ind w:firstLine="422" w:firstLineChars="200"/>
        <w:rPr>
          <w:rFonts w:hAnsi="宋体"/>
          <w:b/>
          <w:sz w:val="21"/>
          <w:szCs w:val="21"/>
        </w:rPr>
      </w:pPr>
      <w:r>
        <w:rPr>
          <w:rFonts w:hint="eastAsia" w:hAnsi="宋体"/>
          <w:b/>
          <w:sz w:val="21"/>
          <w:szCs w:val="21"/>
        </w:rPr>
        <w:t>十、付款方式和税费</w:t>
      </w:r>
    </w:p>
    <w:p>
      <w:pPr>
        <w:pStyle w:val="23"/>
        <w:snapToGrid w:val="0"/>
        <w:spacing w:line="360" w:lineRule="auto"/>
        <w:ind w:firstLine="420" w:firstLineChars="200"/>
        <w:rPr>
          <w:rFonts w:hAnsi="宋体"/>
          <w:bCs/>
          <w:sz w:val="21"/>
          <w:szCs w:val="21"/>
        </w:rPr>
      </w:pPr>
      <w:r>
        <w:rPr>
          <w:rFonts w:hAnsi="宋体" w:cs="宋体"/>
          <w:sz w:val="21"/>
          <w:szCs w:val="21"/>
        </w:rPr>
        <w:t>本合同付款方式为</w:t>
      </w:r>
      <w:r>
        <w:rPr>
          <w:rFonts w:hint="eastAsia" w:hAnsi="宋体" w:cs="宋体"/>
          <w:sz w:val="21"/>
          <w:szCs w:val="21"/>
        </w:rPr>
        <w:t>：</w:t>
      </w:r>
      <w:r>
        <w:rPr>
          <w:rFonts w:hint="eastAsia" w:hAnsi="宋体" w:cs="宋体"/>
          <w:sz w:val="21"/>
          <w:szCs w:val="21"/>
          <w:u w:val="single"/>
        </w:rPr>
        <w:t xml:space="preserve">                </w:t>
      </w:r>
      <w:r>
        <w:rPr>
          <w:rFonts w:hint="eastAsia" w:hAnsi="宋体"/>
          <w:bCs/>
          <w:sz w:val="21"/>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pStyle w:val="23"/>
        <w:snapToGrid w:val="0"/>
        <w:spacing w:line="360" w:lineRule="auto"/>
        <w:ind w:firstLine="422" w:firstLineChars="200"/>
        <w:rPr>
          <w:rFonts w:hAnsi="宋体"/>
          <w:b/>
          <w:sz w:val="21"/>
          <w:szCs w:val="21"/>
        </w:rPr>
      </w:pPr>
      <w:r>
        <w:rPr>
          <w:rFonts w:hint="eastAsia" w:hAnsi="宋体"/>
          <w:b/>
          <w:sz w:val="21"/>
          <w:szCs w:val="21"/>
        </w:rPr>
        <w:t>十二、违约责任</w:t>
      </w:r>
    </w:p>
    <w:p>
      <w:pPr>
        <w:pStyle w:val="23"/>
        <w:snapToGrid w:val="0"/>
        <w:spacing w:line="360" w:lineRule="auto"/>
        <w:ind w:firstLine="420" w:firstLineChars="200"/>
        <w:rPr>
          <w:rFonts w:hAnsi="宋体"/>
          <w:sz w:val="21"/>
          <w:szCs w:val="21"/>
        </w:rPr>
      </w:pPr>
      <w:r>
        <w:rPr>
          <w:rFonts w:hint="eastAsia" w:hAnsi="宋体"/>
          <w:sz w:val="21"/>
          <w:szCs w:val="21"/>
        </w:rPr>
        <w:t>1、因中标人原因，未能按规定完成本项目有关工作的，采购人可在支付合同余款中扣除合同价款</w:t>
      </w:r>
      <w:r>
        <w:rPr>
          <w:rFonts w:hint="eastAsia" w:hAnsi="宋体"/>
          <w:sz w:val="21"/>
          <w:szCs w:val="21"/>
          <w:u w:val="single"/>
        </w:rPr>
        <w:t xml:space="preserve">        </w:t>
      </w:r>
      <w:r>
        <w:rPr>
          <w:rFonts w:hint="eastAsia" w:hAnsi="宋体"/>
          <w:sz w:val="21"/>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1、本合同与招标文件、中标人投标文件如有抵触之处，以本合同条款为准。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（1）招标文件、答疑及补充通知；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pStyle w:val="23"/>
        <w:snapToGrid w:val="0"/>
        <w:spacing w:line="360" w:lineRule="auto"/>
        <w:ind w:firstLine="420" w:firstLineChars="200"/>
        <w:rPr>
          <w:rFonts w:hAnsi="宋体"/>
          <w:sz w:val="21"/>
          <w:szCs w:val="21"/>
        </w:rPr>
      </w:pPr>
      <w:r>
        <w:rPr>
          <w:rFonts w:hint="eastAsia" w:hAnsi="宋体"/>
          <w:sz w:val="21"/>
          <w:szCs w:val="21"/>
        </w:rPr>
        <w:t>附件：</w:t>
      </w:r>
    </w:p>
    <w:p>
      <w:pPr>
        <w:snapToGrid w:val="0"/>
        <w:spacing w:line="360" w:lineRule="auto"/>
        <w:ind w:firstLine="420" w:firstLineChars="200"/>
        <w:rPr>
          <w:rFonts w:ascii="宋体" w:hAnsi="宋体"/>
          <w:szCs w:val="21"/>
        </w:rPr>
      </w:pPr>
      <w:r>
        <w:rPr>
          <w:rFonts w:hint="eastAsia" w:ascii="宋体" w:hAnsi="宋体"/>
          <w:szCs w:val="21"/>
        </w:rPr>
        <w:t>1、《中标/成交通知书》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ind w:firstLine="420" w:firstLineChars="200"/>
        <w:rPr>
          <w:rFonts w:ascii="宋体" w:hAnsi="宋体"/>
          <w:szCs w:val="21"/>
        </w:rPr>
      </w:pPr>
    </w:p>
    <w:p>
      <w:pPr>
        <w:ind w:firstLine="420" w:firstLineChars="200"/>
        <w:rPr>
          <w:rFonts w:ascii="宋体" w:hAnsi="宋体"/>
          <w:szCs w:val="21"/>
        </w:rPr>
      </w:pPr>
    </w:p>
    <w:p>
      <w:pPr>
        <w:keepNext/>
        <w:keepLines/>
        <w:spacing w:before="260" w:after="260"/>
        <w:jc w:val="center"/>
        <w:outlineLvl w:val="2"/>
        <w:rPr>
          <w:rFonts w:ascii="宋体" w:hAnsi="宋体"/>
          <w:szCs w:val="21"/>
        </w:rPr>
      </w:pPr>
    </w:p>
    <w:p>
      <w:pPr>
        <w:keepNext/>
        <w:keepLines/>
        <w:spacing w:before="260" w:after="260"/>
        <w:jc w:val="center"/>
        <w:outlineLvl w:val="2"/>
        <w:rPr>
          <w:rFonts w:ascii="宋体" w:hAnsi="宋体"/>
          <w:szCs w:val="21"/>
        </w:rPr>
      </w:pPr>
    </w:p>
    <w:p>
      <w:pPr>
        <w:keepNext/>
        <w:keepLines/>
        <w:spacing w:before="260" w:after="260"/>
        <w:jc w:val="center"/>
        <w:outlineLvl w:val="2"/>
        <w:rPr>
          <w:rFonts w:ascii="宋体" w:hAnsi="宋体"/>
          <w:szCs w:val="21"/>
        </w:rPr>
      </w:pPr>
    </w:p>
    <w:p>
      <w:pPr>
        <w:keepNext/>
        <w:keepLines/>
        <w:spacing w:before="260" w:after="260"/>
        <w:jc w:val="center"/>
        <w:outlineLvl w:val="2"/>
        <w:rPr>
          <w:rFonts w:ascii="宋体" w:hAnsi="宋体"/>
          <w:szCs w:val="21"/>
        </w:rPr>
      </w:pPr>
    </w:p>
    <w:p>
      <w:pPr>
        <w:keepNext/>
        <w:keepLines/>
        <w:spacing w:before="260" w:after="260"/>
        <w:jc w:val="center"/>
        <w:outlineLvl w:val="2"/>
        <w:rPr>
          <w:rFonts w:ascii="宋体" w:hAnsi="宋体"/>
          <w:szCs w:val="21"/>
        </w:rPr>
      </w:pPr>
    </w:p>
    <w:p>
      <w:pPr>
        <w:keepNext/>
        <w:keepLines/>
        <w:spacing w:before="260" w:after="260"/>
        <w:jc w:val="center"/>
        <w:outlineLvl w:val="2"/>
        <w:rPr>
          <w:rFonts w:ascii="宋体" w:hAnsi="宋体"/>
          <w:szCs w:val="21"/>
        </w:rPr>
      </w:pPr>
    </w:p>
    <w:p>
      <w:pPr>
        <w:keepNext/>
        <w:keepLines/>
        <w:spacing w:before="260" w:after="260"/>
        <w:jc w:val="center"/>
        <w:outlineLvl w:val="2"/>
        <w:rPr>
          <w:rFonts w:ascii="宋体" w:hAnsi="宋体"/>
          <w:szCs w:val="21"/>
        </w:rPr>
      </w:pPr>
    </w:p>
    <w:p>
      <w:pPr>
        <w:keepNext/>
        <w:keepLines/>
        <w:spacing w:before="260" w:after="260"/>
        <w:jc w:val="center"/>
        <w:outlineLvl w:val="2"/>
        <w:rPr>
          <w:rFonts w:ascii="宋体" w:hAnsi="宋体"/>
          <w:szCs w:val="21"/>
        </w:rPr>
      </w:pPr>
    </w:p>
    <w:p>
      <w:pPr>
        <w:keepNext/>
        <w:keepLines/>
        <w:spacing w:before="260" w:after="260"/>
        <w:jc w:val="center"/>
        <w:outlineLvl w:val="2"/>
        <w:rPr>
          <w:rFonts w:ascii="宋体" w:hAnsi="宋体"/>
          <w:szCs w:val="21"/>
        </w:rPr>
      </w:pPr>
    </w:p>
    <w:p>
      <w:pPr>
        <w:widowControl/>
        <w:jc w:val="left"/>
        <w:rPr>
          <w:rFonts w:ascii="宋体" w:hAnsi="宋体"/>
          <w:b/>
          <w:szCs w:val="21"/>
        </w:rPr>
      </w:pPr>
      <w:r>
        <w:rPr>
          <w:bCs/>
          <w:szCs w:val="21"/>
        </w:rPr>
        <w:br w:type="page"/>
      </w:r>
    </w:p>
    <w:p>
      <w:pPr>
        <w:pStyle w:val="4"/>
        <w:spacing w:before="0"/>
        <w:jc w:val="center"/>
        <w:rPr>
          <w:rFonts w:ascii="黑体" w:eastAsia="黑体"/>
          <w:b w:val="0"/>
          <w:sz w:val="24"/>
          <w:szCs w:val="24"/>
        </w:rPr>
      </w:pPr>
      <w:r>
        <w:rPr>
          <w:rFonts w:hint="eastAsia" w:ascii="黑体" w:eastAsia="黑体"/>
          <w:b w:val="0"/>
          <w:sz w:val="24"/>
          <w:szCs w:val="24"/>
        </w:rPr>
        <w:t>二、政府采购履约情况反馈表</w:t>
      </w:r>
    </w:p>
    <w:p>
      <w:pPr>
        <w:spacing w:line="240" w:lineRule="atLeast"/>
        <w:rPr>
          <w:rFonts w:ascii="宋体" w:hAnsi="宋体"/>
          <w:b/>
          <w:szCs w:val="21"/>
        </w:rPr>
      </w:pPr>
      <w:r>
        <w:rPr>
          <w:rFonts w:hint="eastAsia" w:ascii="宋体" w:hAnsi="宋体"/>
          <w:b/>
          <w:szCs w:val="21"/>
        </w:rPr>
        <w:t>采购人名称：                       联系人及电话：</w:t>
      </w:r>
    </w:p>
    <w:p>
      <w:pPr>
        <w:spacing w:line="60" w:lineRule="exact"/>
        <w:rPr>
          <w:rFonts w:ascii="宋体" w:hAnsi="宋体"/>
          <w:b/>
          <w:szCs w:val="21"/>
        </w:rPr>
      </w:pPr>
    </w:p>
    <w:tbl>
      <w:tblPr>
        <w:tblStyle w:val="42"/>
        <w:tblW w:w="891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2"/>
        <w:gridCol w:w="720"/>
        <w:gridCol w:w="720"/>
        <w:gridCol w:w="2520"/>
        <w:gridCol w:w="1980"/>
        <w:gridCol w:w="21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采购项目名称</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项目编号</w:t>
            </w:r>
          </w:p>
        </w:tc>
        <w:tc>
          <w:tcPr>
            <w:tcW w:w="2135" w:type="dxa"/>
            <w:vAlign w:val="center"/>
          </w:tcPr>
          <w:p>
            <w:pPr>
              <w:spacing w:line="240" w:lineRule="atLeas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中标供应商名称</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供应商</w:t>
            </w:r>
          </w:p>
          <w:p>
            <w:pPr>
              <w:spacing w:line="240" w:lineRule="atLeast"/>
              <w:jc w:val="center"/>
              <w:rPr>
                <w:rFonts w:ascii="宋体" w:hAnsi="宋体"/>
                <w:szCs w:val="21"/>
              </w:rPr>
            </w:pPr>
            <w:r>
              <w:rPr>
                <w:rFonts w:hint="eastAsia" w:ascii="宋体" w:hAnsi="宋体"/>
                <w:szCs w:val="21"/>
              </w:rPr>
              <w:t>联系人及电话</w:t>
            </w:r>
          </w:p>
        </w:tc>
        <w:tc>
          <w:tcPr>
            <w:tcW w:w="2135" w:type="dxa"/>
            <w:vAlign w:val="center"/>
          </w:tcPr>
          <w:p>
            <w:pPr>
              <w:spacing w:line="240" w:lineRule="atLeast"/>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8" w:hRule="atLeast"/>
          <w:jc w:val="center"/>
        </w:trPr>
        <w:tc>
          <w:tcPr>
            <w:tcW w:w="2282" w:type="dxa"/>
            <w:gridSpan w:val="3"/>
            <w:vAlign w:val="center"/>
          </w:tcPr>
          <w:p>
            <w:pPr>
              <w:spacing w:line="240" w:lineRule="atLeast"/>
              <w:jc w:val="center"/>
              <w:rPr>
                <w:rFonts w:ascii="宋体" w:hAnsi="宋体"/>
                <w:szCs w:val="21"/>
              </w:rPr>
            </w:pPr>
            <w:r>
              <w:rPr>
                <w:rFonts w:hint="eastAsia" w:ascii="宋体" w:hAnsi="宋体"/>
                <w:szCs w:val="21"/>
              </w:rPr>
              <w:t>中标金额</w:t>
            </w:r>
          </w:p>
        </w:tc>
        <w:tc>
          <w:tcPr>
            <w:tcW w:w="2520" w:type="dxa"/>
            <w:vAlign w:val="center"/>
          </w:tcPr>
          <w:p>
            <w:pPr>
              <w:spacing w:line="240" w:lineRule="atLeast"/>
              <w:jc w:val="center"/>
              <w:rPr>
                <w:rFonts w:ascii="宋体" w:hAnsi="宋体"/>
                <w:szCs w:val="21"/>
              </w:rPr>
            </w:pPr>
          </w:p>
        </w:tc>
        <w:tc>
          <w:tcPr>
            <w:tcW w:w="1980" w:type="dxa"/>
            <w:vAlign w:val="center"/>
          </w:tcPr>
          <w:p>
            <w:pPr>
              <w:spacing w:line="240" w:lineRule="atLeast"/>
              <w:jc w:val="center"/>
              <w:rPr>
                <w:rFonts w:ascii="宋体" w:hAnsi="宋体"/>
                <w:szCs w:val="21"/>
              </w:rPr>
            </w:pPr>
            <w:r>
              <w:rPr>
                <w:rFonts w:hint="eastAsia" w:ascii="宋体" w:hAnsi="宋体"/>
                <w:szCs w:val="21"/>
              </w:rPr>
              <w:t>合同履约时间</w:t>
            </w:r>
          </w:p>
        </w:tc>
        <w:tc>
          <w:tcPr>
            <w:tcW w:w="2135" w:type="dxa"/>
            <w:vAlign w:val="center"/>
          </w:tcPr>
          <w:p>
            <w:pPr>
              <w:spacing w:line="240" w:lineRule="atLeast"/>
              <w:rPr>
                <w:rFonts w:ascii="宋体" w:hAnsi="宋体"/>
                <w:szCs w:val="21"/>
              </w:rPr>
            </w:pPr>
            <w:r>
              <w:rPr>
                <w:rFonts w:hint="eastAsia" w:ascii="宋体" w:hAnsi="宋体"/>
                <w:szCs w:val="21"/>
              </w:rPr>
              <w:t>自       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4" w:hRule="atLeast"/>
          <w:jc w:val="center"/>
        </w:trPr>
        <w:tc>
          <w:tcPr>
            <w:tcW w:w="842" w:type="dxa"/>
            <w:vMerge w:val="restart"/>
            <w:vAlign w:val="center"/>
          </w:tcPr>
          <w:p>
            <w:pPr>
              <w:spacing w:line="240" w:lineRule="atLeast"/>
              <w:jc w:val="center"/>
              <w:rPr>
                <w:rFonts w:ascii="宋体" w:hAnsi="宋体"/>
                <w:b/>
                <w:szCs w:val="21"/>
              </w:rPr>
            </w:pPr>
            <w:r>
              <w:rPr>
                <w:rFonts w:hint="eastAsia" w:ascii="宋体" w:hAnsi="宋体"/>
                <w:b/>
                <w:szCs w:val="21"/>
              </w:rPr>
              <w:t>履约情况评价</w:t>
            </w:r>
          </w:p>
        </w:tc>
        <w:tc>
          <w:tcPr>
            <w:tcW w:w="1440" w:type="dxa"/>
            <w:gridSpan w:val="2"/>
            <w:tcBorders>
              <w:right w:val="single" w:color="auto" w:sz="4" w:space="0"/>
            </w:tcBorders>
            <w:vAlign w:val="center"/>
          </w:tcPr>
          <w:p>
            <w:pPr>
              <w:spacing w:line="240" w:lineRule="atLeast"/>
              <w:jc w:val="center"/>
              <w:rPr>
                <w:rFonts w:ascii="宋体" w:hAnsi="宋体"/>
                <w:szCs w:val="21"/>
              </w:rPr>
            </w:pPr>
            <w:r>
              <w:rPr>
                <w:rFonts w:hint="eastAsia" w:ascii="宋体" w:hAnsi="宋体"/>
                <w:szCs w:val="21"/>
              </w:rPr>
              <w:t>总体评价</w:t>
            </w:r>
          </w:p>
        </w:tc>
        <w:tc>
          <w:tcPr>
            <w:tcW w:w="6635" w:type="dxa"/>
            <w:gridSpan w:val="3"/>
            <w:tcBorders>
              <w:left w:val="single" w:color="auto" w:sz="4" w:space="0"/>
            </w:tcBorders>
            <w:vAlign w:val="center"/>
          </w:tcPr>
          <w:p>
            <w:pPr>
              <w:spacing w:line="240" w:lineRule="atLeast"/>
              <w:ind w:firstLine="105" w:firstLineChars="50"/>
              <w:jc w:val="center"/>
              <w:rPr>
                <w:rFonts w:ascii="宋体" w:hAnsi="宋体"/>
                <w:szCs w:val="21"/>
              </w:rPr>
            </w:pPr>
            <w:r>
              <w:rPr>
                <w:rFonts w:hint="eastAsia" w:ascii="宋体" w:hAnsi="宋体"/>
                <w:szCs w:val="21"/>
              </w:rPr>
              <w:t>□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restart"/>
            <w:tcBorders>
              <w:right w:val="single" w:color="auto" w:sz="4" w:space="0"/>
            </w:tcBorders>
            <w:vAlign w:val="center"/>
          </w:tcPr>
          <w:p>
            <w:pPr>
              <w:spacing w:line="240" w:lineRule="atLeast"/>
              <w:jc w:val="center"/>
              <w:rPr>
                <w:rFonts w:ascii="宋体" w:hAnsi="宋体"/>
                <w:szCs w:val="21"/>
              </w:rPr>
            </w:pPr>
            <w:r>
              <w:rPr>
                <w:rFonts w:hint="eastAsia" w:ascii="宋体" w:hAnsi="宋体"/>
                <w:szCs w:val="21"/>
              </w:rPr>
              <w:t>分项评价</w:t>
            </w: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质量方面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价格方面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服务方面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时间方面</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环境保护</w:t>
            </w:r>
          </w:p>
        </w:tc>
        <w:tc>
          <w:tcPr>
            <w:tcW w:w="6635" w:type="dxa"/>
            <w:gridSpan w:val="3"/>
            <w:tcBorders>
              <w:left w:val="single" w:color="auto" w:sz="4" w:space="0"/>
            </w:tcBorders>
            <w:vAlign w:val="center"/>
          </w:tcPr>
          <w:p>
            <w:pPr>
              <w:spacing w:line="240" w:lineRule="atLeast"/>
              <w:jc w:val="center"/>
              <w:rPr>
                <w:rFonts w:ascii="宋体" w:hAnsi="宋体"/>
                <w:szCs w:val="21"/>
              </w:rPr>
            </w:pPr>
            <w:r>
              <w:rPr>
                <w:rFonts w:hint="eastAsia" w:ascii="宋体" w:hAnsi="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42" w:type="dxa"/>
            <w:vMerge w:val="continue"/>
            <w:vAlign w:val="center"/>
          </w:tcPr>
          <w:p>
            <w:pPr>
              <w:spacing w:line="240" w:lineRule="atLeast"/>
              <w:jc w:val="center"/>
              <w:rPr>
                <w:rFonts w:ascii="宋体" w:hAnsi="宋体"/>
                <w:szCs w:val="21"/>
              </w:rPr>
            </w:pPr>
          </w:p>
        </w:tc>
        <w:tc>
          <w:tcPr>
            <w:tcW w:w="720" w:type="dxa"/>
            <w:vMerge w:val="continue"/>
            <w:tcBorders>
              <w:right w:val="single" w:color="auto" w:sz="4" w:space="0"/>
            </w:tcBorders>
            <w:vAlign w:val="center"/>
          </w:tcPr>
          <w:p>
            <w:pPr>
              <w:spacing w:line="240" w:lineRule="atLeast"/>
              <w:jc w:val="center"/>
              <w:rPr>
                <w:rFonts w:ascii="宋体" w:hAnsi="宋体"/>
                <w:szCs w:val="21"/>
              </w:rPr>
            </w:pPr>
          </w:p>
        </w:tc>
        <w:tc>
          <w:tcPr>
            <w:tcW w:w="720" w:type="dxa"/>
            <w:tcBorders>
              <w:left w:val="single" w:color="auto" w:sz="4" w:space="0"/>
              <w:right w:val="single" w:color="auto" w:sz="4" w:space="0"/>
            </w:tcBorders>
            <w:vAlign w:val="center"/>
          </w:tcPr>
          <w:p>
            <w:pPr>
              <w:spacing w:line="240" w:lineRule="atLeast"/>
              <w:jc w:val="center"/>
              <w:rPr>
                <w:rFonts w:ascii="宋体" w:hAnsi="宋体"/>
                <w:szCs w:val="21"/>
              </w:rPr>
            </w:pPr>
            <w:r>
              <w:rPr>
                <w:rFonts w:hint="eastAsia" w:ascii="宋体" w:hAnsi="宋体"/>
                <w:szCs w:val="21"/>
              </w:rPr>
              <w:t>其他</w:t>
            </w:r>
          </w:p>
        </w:tc>
        <w:tc>
          <w:tcPr>
            <w:tcW w:w="6635" w:type="dxa"/>
            <w:gridSpan w:val="3"/>
            <w:tcBorders>
              <w:left w:val="single" w:color="auto" w:sz="4" w:space="0"/>
            </w:tcBorders>
            <w:vAlign w:val="center"/>
          </w:tcPr>
          <w:p>
            <w:pPr>
              <w:spacing w:beforeLines="50" w:afterLines="50" w:line="240" w:lineRule="atLeast"/>
              <w:rPr>
                <w:rFonts w:ascii="宋体" w:hAnsi="宋体"/>
                <w:szCs w:val="21"/>
                <w:u w:val="single"/>
              </w:rPr>
            </w:pPr>
            <w:r>
              <w:rPr>
                <w:rFonts w:hint="eastAsia" w:ascii="宋体" w:hAnsi="宋体"/>
                <w:szCs w:val="21"/>
              </w:rPr>
              <w:t>评价内容为：</w:t>
            </w:r>
            <w:r>
              <w:rPr>
                <w:rFonts w:hint="eastAsia" w:ascii="宋体" w:hAnsi="宋体"/>
                <w:szCs w:val="21"/>
                <w:u w:val="single"/>
              </w:rPr>
              <w:t xml:space="preserve">                    </w:t>
            </w:r>
          </w:p>
          <w:p>
            <w:pPr>
              <w:spacing w:beforeLines="50" w:afterLines="50" w:line="240" w:lineRule="atLeast"/>
              <w:rPr>
                <w:rFonts w:ascii="宋体" w:hAnsi="宋体"/>
                <w:szCs w:val="21"/>
              </w:rPr>
            </w:pPr>
            <w:r>
              <w:rPr>
                <w:rFonts w:hint="eastAsia" w:ascii="宋体" w:hAnsi="宋体"/>
                <w:szCs w:val="21"/>
              </w:rPr>
              <w:t>评价等级为：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261" w:hRule="atLeast"/>
          <w:jc w:val="center"/>
        </w:trPr>
        <w:tc>
          <w:tcPr>
            <w:tcW w:w="1562" w:type="dxa"/>
            <w:gridSpan w:val="2"/>
            <w:vAlign w:val="center"/>
          </w:tcPr>
          <w:p>
            <w:pPr>
              <w:spacing w:line="240" w:lineRule="atLeast"/>
              <w:jc w:val="center"/>
              <w:rPr>
                <w:rFonts w:ascii="宋体" w:hAnsi="宋体"/>
                <w:szCs w:val="21"/>
              </w:rPr>
            </w:pPr>
            <w:r>
              <w:rPr>
                <w:rFonts w:hint="eastAsia" w:ascii="宋体" w:hAnsi="宋体"/>
                <w:szCs w:val="21"/>
              </w:rPr>
              <w:t>具体情况说明</w:t>
            </w:r>
          </w:p>
        </w:tc>
        <w:tc>
          <w:tcPr>
            <w:tcW w:w="7355" w:type="dxa"/>
            <w:gridSpan w:val="4"/>
          </w:tcPr>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p>
            <w:pPr>
              <w:spacing w:line="240" w:lineRule="atLeas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09" w:hRule="atLeast"/>
          <w:jc w:val="center"/>
        </w:trPr>
        <w:tc>
          <w:tcPr>
            <w:tcW w:w="1562" w:type="dxa"/>
            <w:gridSpan w:val="2"/>
            <w:vAlign w:val="center"/>
          </w:tcPr>
          <w:p>
            <w:pPr>
              <w:spacing w:line="240" w:lineRule="atLeast"/>
              <w:jc w:val="center"/>
              <w:rPr>
                <w:rFonts w:ascii="宋体" w:hAnsi="宋体"/>
                <w:szCs w:val="21"/>
              </w:rPr>
            </w:pPr>
            <w:r>
              <w:rPr>
                <w:rFonts w:hint="eastAsia" w:ascii="宋体" w:hAnsi="宋体"/>
                <w:szCs w:val="21"/>
              </w:rPr>
              <w:t>采购人意见</w:t>
            </w:r>
          </w:p>
          <w:p>
            <w:pPr>
              <w:spacing w:line="240" w:lineRule="atLeast"/>
              <w:jc w:val="center"/>
              <w:rPr>
                <w:rFonts w:ascii="宋体" w:hAnsi="宋体"/>
                <w:szCs w:val="21"/>
              </w:rPr>
            </w:pPr>
            <w:r>
              <w:rPr>
                <w:rFonts w:hint="eastAsia" w:ascii="宋体" w:hAnsi="宋体"/>
                <w:szCs w:val="21"/>
              </w:rPr>
              <w:t>（公章）</w:t>
            </w:r>
          </w:p>
        </w:tc>
        <w:tc>
          <w:tcPr>
            <w:tcW w:w="7355" w:type="dxa"/>
            <w:gridSpan w:val="4"/>
            <w:vAlign w:val="center"/>
          </w:tcPr>
          <w:p>
            <w:pPr>
              <w:spacing w:line="240" w:lineRule="atLeast"/>
              <w:rPr>
                <w:rFonts w:ascii="宋体" w:hAnsi="宋体"/>
                <w:szCs w:val="21"/>
              </w:rPr>
            </w:pPr>
          </w:p>
          <w:p>
            <w:pPr>
              <w:spacing w:line="240" w:lineRule="atLeast"/>
              <w:rPr>
                <w:rFonts w:ascii="宋体" w:hAnsi="宋体"/>
                <w:szCs w:val="21"/>
              </w:rPr>
            </w:pPr>
            <w:r>
              <w:rPr>
                <w:rFonts w:hint="eastAsia" w:ascii="宋体" w:hAnsi="宋体"/>
                <w:szCs w:val="21"/>
              </w:rPr>
              <w:t xml:space="preserve">                                        </w:t>
            </w:r>
          </w:p>
          <w:p>
            <w:pPr>
              <w:spacing w:line="240" w:lineRule="atLeast"/>
              <w:ind w:firstLine="3780" w:firstLineChars="1800"/>
              <w:rPr>
                <w:rFonts w:ascii="宋体" w:hAnsi="宋体"/>
                <w:szCs w:val="21"/>
              </w:rPr>
            </w:pPr>
          </w:p>
          <w:p>
            <w:pPr>
              <w:spacing w:line="240" w:lineRule="atLeast"/>
              <w:ind w:firstLine="3780" w:firstLineChars="1800"/>
              <w:rPr>
                <w:rFonts w:ascii="宋体" w:hAnsi="宋体"/>
                <w:szCs w:val="21"/>
              </w:rPr>
            </w:pPr>
            <w:r>
              <w:rPr>
                <w:rFonts w:hint="eastAsia" w:ascii="宋体" w:hAnsi="宋体"/>
                <w:szCs w:val="21"/>
              </w:rPr>
              <w:t>日期：   年   月   日</w:t>
            </w:r>
          </w:p>
        </w:tc>
      </w:tr>
    </w:tbl>
    <w:p>
      <w:pPr>
        <w:spacing w:line="240" w:lineRule="atLeast"/>
        <w:rPr>
          <w:rFonts w:ascii="宋体" w:hAnsi="宋体"/>
          <w:szCs w:val="21"/>
        </w:rPr>
      </w:pPr>
      <w:r>
        <w:rPr>
          <w:rFonts w:hint="eastAsia" w:ascii="宋体" w:hAnsi="宋体"/>
          <w:szCs w:val="21"/>
        </w:rPr>
        <w:t>说明：</w:t>
      </w:r>
    </w:p>
    <w:p>
      <w:pPr>
        <w:spacing w:line="240" w:lineRule="atLeast"/>
        <w:rPr>
          <w:rFonts w:ascii="宋体" w:hAnsi="宋体"/>
          <w:szCs w:val="21"/>
        </w:rPr>
      </w:pPr>
      <w:r>
        <w:rPr>
          <w:rFonts w:hint="eastAsia" w:ascii="宋体" w:hAnsi="宋体"/>
          <w:szCs w:val="21"/>
        </w:rPr>
        <w:t>履约情况评价分为优、良、中、差四个等级，请在对应的框前打“√”，然后在“具体情况说明”一栏详细说明有关情况。</w:t>
      </w:r>
      <w:r>
        <w:rPr>
          <w:rFonts w:ascii="宋体" w:hAnsi="宋体"/>
          <w:szCs w:val="21"/>
        </w:rPr>
        <w:tab/>
      </w:r>
      <w:r>
        <w:rPr>
          <w:rFonts w:ascii="宋体" w:hAnsi="宋体"/>
          <w:szCs w:val="21"/>
        </w:rPr>
        <w:tab/>
      </w:r>
    </w:p>
    <w:p>
      <w:pPr>
        <w:spacing w:line="240" w:lineRule="atLeast"/>
        <w:rPr>
          <w:rFonts w:ascii="宋体" w:hAnsi="宋体"/>
          <w:szCs w:val="21"/>
        </w:rPr>
        <w:sectPr>
          <w:footerReference r:id="rId3" w:type="default"/>
          <w:pgSz w:w="11906" w:h="16838"/>
          <w:pgMar w:top="1440" w:right="1417" w:bottom="1440" w:left="1417" w:header="851" w:footer="992" w:gutter="0"/>
          <w:cols w:space="720" w:num="1"/>
          <w:titlePg/>
          <w:docGrid w:type="lines" w:linePitch="312" w:charSpace="0"/>
        </w:sectPr>
      </w:pPr>
    </w:p>
    <w:p>
      <w:pPr>
        <w:jc w:val="center"/>
        <w:rPr>
          <w:rFonts w:ascii="宋体" w:hAnsi="宋体"/>
          <w:b/>
          <w:bCs/>
          <w:kern w:val="0"/>
          <w:sz w:val="24"/>
          <w:szCs w:val="20"/>
        </w:rPr>
      </w:pPr>
      <w:r>
        <w:rPr>
          <w:rFonts w:hint="eastAsia" w:ascii="宋体" w:hAnsi="宋体"/>
          <w:b/>
          <w:bCs/>
          <w:kern w:val="0"/>
          <w:sz w:val="24"/>
          <w:szCs w:val="20"/>
        </w:rPr>
        <w:t>第五章  附件</w:t>
      </w:r>
    </w:p>
    <w:p>
      <w:pPr>
        <w:jc w:val="center"/>
        <w:rPr>
          <w:rFonts w:ascii="宋体" w:hAnsi="宋体"/>
          <w:b/>
          <w:bCs/>
          <w:kern w:val="0"/>
          <w:sz w:val="24"/>
          <w:szCs w:val="20"/>
        </w:rPr>
      </w:pPr>
    </w:p>
    <w:p>
      <w:pPr>
        <w:pStyle w:val="4"/>
        <w:spacing w:before="0" w:after="0"/>
        <w:jc w:val="center"/>
      </w:pPr>
      <w:bookmarkStart w:id="20" w:name="_Toc73613644"/>
      <w:bookmarkStart w:id="21" w:name="_Toc73610162"/>
      <w:r>
        <w:rPr>
          <w:rFonts w:hint="eastAsia"/>
        </w:rPr>
        <w:t>一、财政部 工业和信息化部关于印发《政府采购促进中小企业发展管理办法》的通知</w:t>
      </w:r>
      <w:bookmarkEnd w:id="20"/>
      <w:bookmarkEnd w:id="21"/>
    </w:p>
    <w:p>
      <w:pPr>
        <w:pStyle w:val="37"/>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37"/>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37"/>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37"/>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37"/>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37"/>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37"/>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37"/>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37"/>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37"/>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4"/>
        <w:spacing w:before="0" w:after="0"/>
        <w:jc w:val="center"/>
      </w:pPr>
      <w:bookmarkStart w:id="22" w:name="_Toc73610163"/>
      <w:bookmarkStart w:id="23" w:name="_Toc73613645"/>
      <w:r>
        <w:rPr>
          <w:rFonts w:hint="eastAsia"/>
        </w:rPr>
        <w:t>二、关于印发中小企业划型标准规定的通知</w:t>
      </w:r>
      <w:bookmarkEnd w:id="22"/>
      <w:bookmarkEnd w:id="23"/>
    </w:p>
    <w:p>
      <w:pPr>
        <w:pStyle w:val="37"/>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37"/>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37"/>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37"/>
        <w:shd w:val="clear" w:color="auto" w:fill="FFFFFF"/>
        <w:spacing w:line="360" w:lineRule="auto"/>
        <w:jc w:val="center"/>
        <w:rPr>
          <w:rFonts w:asciiTheme="minorEastAsia" w:hAnsiTheme="minorEastAsia" w:eastAsiaTheme="minorEastAsia"/>
          <w:color w:val="000000"/>
          <w:sz w:val="21"/>
          <w:szCs w:val="21"/>
        </w:rPr>
      </w:pPr>
      <w:r>
        <w:rPr>
          <w:rStyle w:val="45"/>
          <w:rFonts w:hint="eastAsia" w:asciiTheme="minorEastAsia" w:hAnsiTheme="minorEastAsia" w:eastAsiaTheme="minorEastAsia"/>
          <w:color w:val="000000"/>
          <w:sz w:val="21"/>
          <w:szCs w:val="21"/>
        </w:rPr>
        <w:t>中小企业划型标准规定</w:t>
      </w:r>
    </w:p>
    <w:p>
      <w:pPr>
        <w:pStyle w:val="37"/>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37"/>
        <w:shd w:val="clear" w:color="auto" w:fill="FFFFFF"/>
        <w:spacing w:line="360" w:lineRule="auto"/>
        <w:rPr>
          <w:rFonts w:asciiTheme="minorEastAsia" w:hAnsiTheme="minorEastAsia" w:eastAsiaTheme="minorEastAsia"/>
          <w:color w:val="000000"/>
          <w:sz w:val="21"/>
          <w:szCs w:val="21"/>
        </w:rPr>
      </w:pPr>
    </w:p>
    <w:p>
      <w:pPr>
        <w:pStyle w:val="4"/>
        <w:spacing w:before="0" w:after="0"/>
        <w:jc w:val="center"/>
        <w:rPr>
          <w:rFonts w:asciiTheme="minorEastAsia" w:hAnsiTheme="minorEastAsia" w:eastAsiaTheme="minorEastAsia"/>
        </w:rPr>
      </w:pPr>
      <w:bookmarkStart w:id="24" w:name="_Toc73613646"/>
      <w:bookmarkStart w:id="25" w:name="_Toc73610164"/>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w:t>
      </w:r>
      <w:bookmarkEnd w:id="24"/>
      <w:bookmarkEnd w:id="25"/>
      <w:r>
        <w:rPr>
          <w:rFonts w:asciiTheme="minorEastAsia" w:hAnsiTheme="minorEastAsia" w:eastAsiaTheme="minorEastAsia"/>
          <w:bCs w:val="0"/>
        </w:rP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42"/>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4"/>
        <w:spacing w:before="0" w:after="0"/>
        <w:jc w:val="center"/>
      </w:pPr>
      <w:bookmarkStart w:id="26" w:name="_Toc73610165"/>
      <w:bookmarkStart w:id="27" w:name="_Toc73613647"/>
      <w:r>
        <w:rPr>
          <w:rFonts w:hint="eastAsia"/>
        </w:rPr>
        <w:t>四、</w:t>
      </w:r>
      <w:r>
        <w:t>财政部 民政部 中国残疾人联合会关于促进残疾人就业 政府采购政策的通知</w:t>
      </w:r>
      <w:bookmarkEnd w:id="26"/>
      <w:bookmarkEnd w:id="27"/>
      <w:r>
        <w:t xml:space="preserve"> </w:t>
      </w:r>
    </w:p>
    <w:p>
      <w:pPr>
        <w:pStyle w:val="37"/>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pPr>
        <w:tabs>
          <w:tab w:val="left" w:pos="1875"/>
        </w:tabs>
      </w:pPr>
    </w:p>
    <w:p/>
    <w:p>
      <w:pPr>
        <w:pStyle w:val="6"/>
        <w:spacing w:beforeLines="50" w:afterLines="50" w:line="360" w:lineRule="auto"/>
        <w:ind w:left="562"/>
        <w:rPr>
          <w:rFonts w:asciiTheme="majorEastAsia" w:hAnsiTheme="majorEastAsia" w:eastAsiaTheme="majorEastAsia"/>
          <w:sz w:val="32"/>
          <w:szCs w:val="32"/>
        </w:rPr>
      </w:pPr>
      <w:r>
        <w:rPr>
          <w:b w:val="0"/>
          <w:bCs w:val="0"/>
        </w:rPr>
        <w:br w:type="page"/>
      </w:r>
      <w:r>
        <w:rPr>
          <w:rFonts w:hint="eastAsia" w:asciiTheme="majorEastAsia" w:hAnsiTheme="majorEastAsia" w:eastAsiaTheme="majorEastAsia"/>
          <w:sz w:val="32"/>
          <w:szCs w:val="32"/>
        </w:rPr>
        <w:t>第二册  通用条款（公开招标）</w:t>
      </w:r>
    </w:p>
    <w:p>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hAnsiTheme="majorEastAsia" w:eastAsiaTheme="majorEastAsia"/>
          <w:b/>
          <w:bCs/>
          <w:kern w:val="0"/>
          <w:sz w:val="28"/>
          <w:szCs w:val="28"/>
        </w:rPr>
      </w:pPr>
      <w:bookmarkStart w:id="28" w:name="_Hlk72399513"/>
      <w:r>
        <w:rPr>
          <w:rFonts w:hint="eastAsia" w:asciiTheme="majorEastAsia" w:hAnsiTheme="majorEastAsia" w:eastAsiaTheme="majorEastAsia"/>
          <w:b/>
          <w:bCs/>
          <w:kern w:val="0"/>
          <w:sz w:val="28"/>
          <w:szCs w:val="28"/>
        </w:rPr>
        <w:t>总则</w:t>
      </w:r>
    </w:p>
    <w:bookmarkEnd w:id="28"/>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1. 通用条款说明</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1.1采购代理机构发出招标文件通用条款版本，列出深圳市政府采购项目进行招标采购所适用的通用条款内容。</w:t>
      </w:r>
      <w:bookmarkStart w:id="29" w:name="_Hlk72399729"/>
      <w:r>
        <w:rPr>
          <w:rFonts w:hint="eastAsia" w:asciiTheme="majorEastAsia" w:hAnsiTheme="majorEastAsia" w:eastAsiaTheme="majorEastAsia"/>
          <w:szCs w:val="21"/>
        </w:rPr>
        <w:t>如有需要，采购代理机构可以对通用条款的内容进行补充。</w:t>
      </w:r>
      <w:bookmarkEnd w:id="29"/>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1.2招标文件分为第一册“专用条款”和第二册“通用条款”。</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1.3“专用条款”是对本次采购项目的具体要求，包含招标公告、对通用条款的补充内容及其他关键信息、用户需求书、投标文件格式及附件、合同条款及格式等内容。</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1.4“通用条款”是适用于政府采购公开招标项目的基础性条款，具有普遍性和通用性。</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1.5 “专用条款”和“通用条款”表述不一致或有冲突时，以“专用条款”为准。</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2</w:t>
      </w:r>
      <w:r>
        <w:rPr>
          <w:rFonts w:asciiTheme="majorEastAsia" w:hAnsiTheme="majorEastAsia" w:eastAsiaTheme="majorEastAsia"/>
          <w:b/>
          <w:bCs/>
          <w:szCs w:val="21"/>
        </w:rPr>
        <w:t>．</w:t>
      </w:r>
      <w:r>
        <w:rPr>
          <w:rFonts w:hint="eastAsia" w:asciiTheme="majorEastAsia" w:hAnsiTheme="majorEastAsia" w:eastAsiaTheme="majorEastAsia"/>
          <w:b/>
          <w:bCs/>
          <w:szCs w:val="21"/>
        </w:rPr>
        <w:t>招标说明</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本项目按照《深圳经济特区政府采购条例》、《深圳经济特区政府采购条例实施细则》及政府采购其他法律法规，通过公开招标方式确定中标供应商。</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3．定义</w:t>
      </w:r>
    </w:p>
    <w:p>
      <w:pPr>
        <w:spacing w:line="360" w:lineRule="auto"/>
        <w:ind w:firstLine="420" w:firstLineChars="200"/>
        <w:rPr>
          <w:rFonts w:asciiTheme="majorEastAsia" w:hAnsiTheme="majorEastAsia" w:eastAsiaTheme="majorEastAsia"/>
          <w:szCs w:val="21"/>
        </w:rPr>
      </w:pPr>
      <w:r>
        <w:rPr>
          <w:rFonts w:asciiTheme="majorEastAsia" w:hAnsiTheme="majorEastAsia" w:eastAsiaTheme="majorEastAsia"/>
          <w:szCs w:val="21"/>
        </w:rPr>
        <w:t>招标文件中下列术语应解释为：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w:t>
      </w:r>
      <w:r>
        <w:rPr>
          <w:rFonts w:asciiTheme="majorEastAsia" w:hAnsiTheme="majorEastAsia" w:eastAsiaTheme="majorEastAsia"/>
          <w:szCs w:val="21"/>
        </w:rPr>
        <w:t>1</w:t>
      </w:r>
      <w:r>
        <w:rPr>
          <w:rFonts w:hint="eastAsia" w:asciiTheme="majorEastAsia" w:hAnsiTheme="majorEastAsia" w:eastAsiaTheme="majorEastAsia"/>
          <w:szCs w:val="21"/>
        </w:rPr>
        <w:t>“采购人”：指利用财政性资金依法进行政府采购的国家机关、事业单位、团体组织；</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 “政府集中采购机构”</w:t>
      </w:r>
      <w:r>
        <w:rPr>
          <w:rFonts w:hint="eastAsia" w:cs="Arial" w:asciiTheme="majorEastAsia" w:hAnsiTheme="majorEastAsia" w:eastAsiaTheme="majorEastAsia"/>
          <w:szCs w:val="21"/>
          <w:shd w:val="clear" w:color="auto" w:fill="FFFFFF"/>
        </w:rPr>
        <w:t>是指市政府设立的，对纳入集中采购目录内的采购项目组织实施采购，并对政府采购活动提供服务的专门机构；</w:t>
      </w:r>
      <w:r>
        <w:rPr>
          <w:rFonts w:hint="eastAsia" w:asciiTheme="majorEastAsia" w:hAnsiTheme="majorEastAsia" w:eastAsiaTheme="majorEastAsia"/>
          <w:szCs w:val="21"/>
        </w:rPr>
        <w:t>本文件所述的“政府集中采购机构”</w:t>
      </w:r>
      <w:r>
        <w:rPr>
          <w:rFonts w:asciiTheme="majorEastAsia" w:hAnsiTheme="majorEastAsia" w:eastAsiaTheme="majorEastAsia"/>
          <w:szCs w:val="21"/>
        </w:rPr>
        <w:t>指</w:t>
      </w:r>
      <w:r>
        <w:rPr>
          <w:rFonts w:hint="eastAsia" w:asciiTheme="majorEastAsia" w:hAnsiTheme="majorEastAsia" w:eastAsiaTheme="majorEastAsia"/>
          <w:szCs w:val="21"/>
        </w:rPr>
        <w:t>深圳公共资源交易中心；</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3.3“采购代理机构”是指根据采购人委托，代理政府采购事宜的社会采购代理机构。本招标文件的招标机构特指</w:t>
      </w:r>
      <w:r>
        <w:rPr>
          <w:rFonts w:hint="eastAsia" w:asciiTheme="majorEastAsia" w:hAnsiTheme="majorEastAsia" w:eastAsiaTheme="majorEastAsia"/>
          <w:b/>
          <w:bCs/>
          <w:szCs w:val="21"/>
        </w:rPr>
        <w:t>深圳市中正招标有限公司；</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3.4“投标人”，即供应商，指参加投标竞争并愿意按照招标文件要求向采购人提供货物、工程或者服务的依法成立的法人、其他组织或者自然人；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3.5“评审委员会”是依据《深圳经济特区政府采购条例》、《深圳经济特区政府采购条例实施细则》等有关规定组建的专门负责本次招标其评审工作的临时性机构；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3.6“日期”</w:t>
      </w:r>
      <w:r>
        <w:rPr>
          <w:rFonts w:asciiTheme="majorEastAsia" w:hAnsiTheme="majorEastAsia" w:eastAsiaTheme="majorEastAsia"/>
          <w:szCs w:val="21"/>
        </w:rPr>
        <w:t>指</w:t>
      </w:r>
      <w:r>
        <w:rPr>
          <w:rFonts w:hint="eastAsia" w:asciiTheme="majorEastAsia" w:hAnsiTheme="majorEastAsia" w:eastAsiaTheme="majorEastAsia"/>
          <w:szCs w:val="21"/>
        </w:rPr>
        <w:t>公历日；</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3.7“合同”指由本次招标所产生的合同或合约文件；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3.8“电子投标文件”指利用</w:t>
      </w:r>
      <w:r>
        <w:rPr>
          <w:rFonts w:hint="eastAsia" w:asciiTheme="majorEastAsia" w:hAnsiTheme="majorEastAsia" w:eastAsiaTheme="majorEastAsia"/>
          <w:bCs/>
          <w:szCs w:val="21"/>
        </w:rPr>
        <w:t>深圳公共资源交易网</w:t>
      </w:r>
      <w:r>
        <w:rPr>
          <w:rFonts w:hint="eastAsia" w:asciiTheme="majorEastAsia" w:hAnsiTheme="majorEastAsia" w:eastAsiaTheme="majorEastAsia"/>
          <w:szCs w:val="21"/>
        </w:rPr>
        <w:t>站提供的深圳智慧采购平台投标文件制作专用软件（以下简称：投标文件制作软件）制作并加密的投标文件,适用于网上投标；（投标文件制作软件可从“下载地址：</w:t>
      </w:r>
      <w:r>
        <w:rPr>
          <w:rFonts w:asciiTheme="majorEastAsia" w:hAnsiTheme="majorEastAsia" w:eastAsiaTheme="majorEastAsia"/>
          <w:szCs w:val="21"/>
        </w:rPr>
        <w:t>http://zfcg.szggzy.com/</w:t>
      </w:r>
      <w:r>
        <w:rPr>
          <w:rFonts w:hint="eastAsia" w:asciiTheme="majorEastAsia" w:hAnsiTheme="majorEastAsia" w:eastAsiaTheme="majorEastAsia"/>
          <w:szCs w:val="21"/>
        </w:rPr>
        <w:t>TPBidder/DownLoad/深圳市智慧采购平台投标文件制作专用软件.zip”下载）；</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3.9“网上投标”指通过</w:t>
      </w:r>
      <w:r>
        <w:rPr>
          <w:rFonts w:hint="eastAsia" w:asciiTheme="majorEastAsia" w:hAnsiTheme="majorEastAsia" w:eastAsiaTheme="majorEastAsia"/>
          <w:bCs/>
          <w:szCs w:val="21"/>
        </w:rPr>
        <w:t>深圳公共资源交易网</w:t>
      </w:r>
      <w:r>
        <w:rPr>
          <w:rFonts w:hint="eastAsia" w:asciiTheme="majorEastAsia" w:hAnsiTheme="majorEastAsia" w:eastAsiaTheme="majorEastAsia"/>
          <w:szCs w:val="21"/>
        </w:rPr>
        <w:t>站上传电子投标文件；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3.10招标文件中的标题或题名仅起引导作用，而不应视为对招标文件内容的理解和解释。</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 xml:space="preserve">4. </w:t>
      </w:r>
      <w:bookmarkStart w:id="30" w:name="_Hlk72398643"/>
      <w:r>
        <w:rPr>
          <w:rFonts w:hint="eastAsia" w:asciiTheme="majorEastAsia" w:hAnsiTheme="majorEastAsia" w:eastAsiaTheme="majorEastAsia"/>
          <w:b/>
          <w:bCs/>
          <w:szCs w:val="21"/>
        </w:rPr>
        <w:t>政府采购供应商责任</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4.1欢迎诚信、有实力和有社会责任心的供应商参与政府采购事业。</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4.2投标人应当遵循公平竞争的原则，不得恶意串通，不得妨碍其他投标人的竞争行为，不得损害采购人或者其他投标人的合法权益。如违反上述要求，经核实后，供应商的投标无效。</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5．投标人参加政府采购的条件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5.1投标人应在投标前到</w:t>
      </w:r>
      <w:r>
        <w:rPr>
          <w:rFonts w:hint="eastAsia" w:asciiTheme="majorEastAsia" w:hAnsiTheme="majorEastAsia" w:eastAsiaTheme="majorEastAsia"/>
          <w:b/>
          <w:bCs/>
          <w:szCs w:val="21"/>
        </w:rPr>
        <w:t>深圳公共资源交易中心（具体在深圳交易集团有限公司政府采购业务分公司进行办理）</w:t>
      </w:r>
      <w:r>
        <w:rPr>
          <w:rFonts w:hint="eastAsia" w:asciiTheme="majorEastAsia" w:hAnsiTheme="majorEastAsia" w:eastAsiaTheme="majorEastAsia"/>
          <w:szCs w:val="21"/>
        </w:rPr>
        <w:t>进行注册并办理电子密钥。《</w:t>
      </w:r>
      <w:r>
        <w:fldChar w:fldCharType="begin"/>
      </w:r>
      <w:r>
        <w:instrText xml:space="preserve"> HYPERLINK "http://www.szzfcg.cn/viewer.do?id=2455258" \t "documentViewer2455258" </w:instrText>
      </w:r>
      <w:r>
        <w:fldChar w:fldCharType="separate"/>
      </w:r>
      <w:r>
        <w:rPr>
          <w:rFonts w:asciiTheme="majorEastAsia" w:hAnsiTheme="majorEastAsia" w:eastAsiaTheme="majorEastAsia"/>
          <w:szCs w:val="21"/>
        </w:rPr>
        <w:t>供应商注册及电子密钥新申请指引</w:t>
      </w:r>
      <w:r>
        <w:rPr>
          <w:rFonts w:asciiTheme="majorEastAsia" w:hAnsiTheme="majorEastAsia" w:eastAsiaTheme="majorEastAsia"/>
          <w:szCs w:val="21"/>
        </w:rPr>
        <w:fldChar w:fldCharType="end"/>
      </w:r>
      <w:r>
        <w:rPr>
          <w:rFonts w:hint="eastAsia" w:asciiTheme="majorEastAsia" w:hAnsiTheme="majorEastAsia" w:eastAsiaTheme="majorEastAsia"/>
          <w:szCs w:val="21"/>
        </w:rPr>
        <w:t>》详见</w:t>
      </w:r>
      <w:r>
        <w:rPr>
          <w:rFonts w:asciiTheme="majorEastAsia" w:hAnsiTheme="majorEastAsia" w:eastAsiaTheme="majorEastAsia"/>
          <w:szCs w:val="21"/>
        </w:rPr>
        <w:t>http://zfcg.szggzy.com/</w:t>
      </w:r>
      <w:r>
        <w:rPr>
          <w:rFonts w:hint="eastAsia" w:asciiTheme="majorEastAsia" w:hAnsiTheme="majorEastAsia" w:eastAsiaTheme="majorEastAsia"/>
          <w:szCs w:val="21"/>
        </w:rPr>
        <w:t>。</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5.2投标人资格要求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参加本项目的投标人应具备的资格条件详见本项目招标公告中 “投标人资格要求”（即申请人的资格要求）的内容。</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5.3联合体投标</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5.3.1　以下有关联合体投标的条款仅适用于允许投标人组成联合体投标的项目。</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5.3.2  由两个或两个以上的自然人、法人或者其他组织可以组成一个联合体，以一个供应商的身份共同投标时，应符合以下原则：</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（1）投标联合体各方参加政府采购活动应当具备下列条件：</w:t>
      </w:r>
    </w:p>
    <w:p>
      <w:pPr>
        <w:spacing w:line="360" w:lineRule="auto"/>
        <w:ind w:left="420" w:leftChars="200" w:firstLine="411" w:firstLineChars="196"/>
        <w:rPr>
          <w:rFonts w:asciiTheme="majorEastAsia" w:hAnsiTheme="majorEastAsia" w:eastAsiaTheme="majorEastAsia"/>
          <w:szCs w:val="21"/>
        </w:rPr>
      </w:pPr>
      <w:r>
        <w:rPr>
          <w:rFonts w:hint="eastAsia" w:asciiTheme="majorEastAsia" w:hAnsiTheme="majorEastAsia" w:eastAsiaTheme="majorEastAsia"/>
          <w:szCs w:val="21"/>
        </w:rPr>
        <w:t>1、具有独立承担民事责任的能力；</w:t>
      </w:r>
    </w:p>
    <w:p>
      <w:pPr>
        <w:spacing w:line="360" w:lineRule="auto"/>
        <w:ind w:left="420" w:firstLine="411" w:firstLineChars="196"/>
        <w:rPr>
          <w:rFonts w:asciiTheme="majorEastAsia" w:hAnsiTheme="majorEastAsia" w:eastAsiaTheme="majorEastAsia"/>
          <w:szCs w:val="21"/>
        </w:rPr>
      </w:pPr>
      <w:r>
        <w:rPr>
          <w:rFonts w:hint="eastAsia" w:asciiTheme="majorEastAsia" w:hAnsiTheme="majorEastAsia" w:eastAsiaTheme="majorEastAsia"/>
          <w:szCs w:val="21"/>
        </w:rPr>
        <w:t>2、有良好的商业信誉和健全的财务会计制度；</w:t>
      </w:r>
    </w:p>
    <w:p>
      <w:pPr>
        <w:spacing w:line="360" w:lineRule="auto"/>
        <w:ind w:left="420" w:leftChars="200" w:firstLine="411" w:firstLineChars="196"/>
        <w:rPr>
          <w:rFonts w:asciiTheme="majorEastAsia" w:hAnsiTheme="majorEastAsia" w:eastAsiaTheme="majorEastAsia"/>
          <w:szCs w:val="21"/>
        </w:rPr>
      </w:pPr>
      <w:r>
        <w:rPr>
          <w:rFonts w:hint="eastAsia" w:asciiTheme="majorEastAsia" w:hAnsiTheme="majorEastAsia" w:eastAsiaTheme="majorEastAsia"/>
          <w:szCs w:val="21"/>
        </w:rPr>
        <w:t>3、具有履行合同所必需的设备和专业技术能力；</w:t>
      </w:r>
    </w:p>
    <w:p>
      <w:pPr>
        <w:spacing w:line="360" w:lineRule="auto"/>
        <w:ind w:left="420" w:leftChars="200" w:firstLine="411" w:firstLineChars="196"/>
        <w:rPr>
          <w:rFonts w:asciiTheme="majorEastAsia" w:hAnsiTheme="majorEastAsia" w:eastAsiaTheme="majorEastAsia"/>
          <w:szCs w:val="21"/>
        </w:rPr>
      </w:pPr>
      <w:r>
        <w:rPr>
          <w:rFonts w:hint="eastAsia" w:asciiTheme="majorEastAsia" w:hAnsiTheme="majorEastAsia" w:eastAsiaTheme="majorEastAsia"/>
          <w:szCs w:val="21"/>
        </w:rPr>
        <w:t>4、有依法缴纳税收和社会保障资金的良好记录；</w:t>
      </w:r>
    </w:p>
    <w:p>
      <w:pPr>
        <w:spacing w:line="360" w:lineRule="auto"/>
        <w:ind w:left="420" w:leftChars="200" w:firstLine="411" w:firstLineChars="196"/>
        <w:rPr>
          <w:rFonts w:asciiTheme="majorEastAsia" w:hAnsiTheme="majorEastAsia" w:eastAsiaTheme="majorEastAsia"/>
          <w:szCs w:val="21"/>
        </w:rPr>
      </w:pPr>
      <w:r>
        <w:rPr>
          <w:rFonts w:hint="eastAsia" w:asciiTheme="majorEastAsia" w:hAnsiTheme="majorEastAsia" w:eastAsiaTheme="majorEastAsia"/>
          <w:szCs w:val="21"/>
        </w:rPr>
        <w:t>5、参加政府采购活动前三年内，在经营活动中没有重大违法记录；</w:t>
      </w:r>
    </w:p>
    <w:p>
      <w:pPr>
        <w:spacing w:line="360" w:lineRule="auto"/>
        <w:ind w:left="420" w:leftChars="200" w:firstLine="411" w:firstLineChars="196"/>
        <w:rPr>
          <w:rFonts w:asciiTheme="majorEastAsia" w:hAnsiTheme="majorEastAsia" w:eastAsiaTheme="majorEastAsia"/>
          <w:szCs w:val="21"/>
        </w:rPr>
      </w:pPr>
      <w:r>
        <w:rPr>
          <w:rFonts w:hint="eastAsia" w:asciiTheme="majorEastAsia" w:hAnsiTheme="majorEastAsia" w:eastAsiaTheme="majorEastAsia"/>
          <w:szCs w:val="21"/>
        </w:rPr>
        <w:t>6、法律、行政法规规定的其他条件。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（2）在投标截止前，投标联合体各方均应注册成深圳市政府采购供应商；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（3）联合体中有同类资质的供应商按照联合体分工承担相同工作的，应当按照资质等级较低的供应商确定资质等级；</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（4）是否允许联合体参加投标，应当由采购人和采购代理机构根据项目的实际情况和潜在供应商的数量自主决定，如果决定接受联合体投标则应当在招标公告中明示；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（5）投标人的投标文件及中标后签署的合同协议对联合体各方均具法律约束力；</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（6）联合体各方应当签订联合体投标协议，明确约定各方拟承担的工作和责任，并将该协议随投标文件一并递交给采购代理机构；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（7）联合体中标后，联合体各方应当共同与采购人签订合同，就中标项目向采购人承担连带责任；</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8）以联合体形式参加政府采购活动的，联合体各方不得再单独参加或者与其他供应商另外组成联合体参加同一合同项下的政府采购活动，出现上述情况者，其投标和与此有关联合体、总包单位的投标将被拒绝；</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（9）本通用条款中“投标人”一词亦指联合体各方，专用条款另有规定或说明的除外。</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6．政策导向</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6.1政府采购扶持贫困地区、中小企业、监狱企业和残疾人福利性单位发展，支持节能减排、环境保护。</w:t>
      </w:r>
    </w:p>
    <w:p>
      <w:pPr>
        <w:spacing w:line="360" w:lineRule="auto"/>
        <w:ind w:firstLine="405"/>
        <w:rPr>
          <w:rFonts w:asciiTheme="majorEastAsia" w:hAnsiTheme="majorEastAsia" w:eastAsiaTheme="majorEastAsia"/>
          <w:szCs w:val="21"/>
          <w:shd w:val="clear" w:color="auto" w:fill="FFFFFF"/>
        </w:rPr>
      </w:pPr>
      <w:r>
        <w:rPr>
          <w:rFonts w:hint="eastAsia" w:asciiTheme="majorEastAsia" w:hAnsiTheme="majorEastAsia" w:eastAsiaTheme="majorEastAsia"/>
          <w:szCs w:val="21"/>
        </w:rPr>
        <w:t>6.2本项目落实深圳市政府采购供应商诚信管理政策要求。</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7. 本项目若涉及采购货物，则合格的货物及相应服务应满足以下要求：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w:t>
      </w:r>
      <w:r>
        <w:rPr>
          <w:rFonts w:asciiTheme="majorEastAsia" w:hAnsiTheme="majorEastAsia" w:eastAsiaTheme="majorEastAsia"/>
          <w:szCs w:val="21"/>
        </w:rPr>
        <w:t xml:space="preserve">.1  </w:t>
      </w:r>
      <w:r>
        <w:rPr>
          <w:rFonts w:hint="eastAsia" w:asciiTheme="majorEastAsia" w:hAnsiTheme="majorEastAsia" w:eastAsiaTheme="majorEastAsia"/>
          <w:szCs w:val="21"/>
        </w:rPr>
        <w:t>必须是全新、未使用过的原装合格正品（包括零部件），如安装或配置了软件的，须为正版软件。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7.2  国产的货物及其有关服务必须符合中华人民共和国的设计、制造生产标准及行业标准。招标公告有其他要求的，亦应符合其要求。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w:t>
      </w:r>
      <w:r>
        <w:rPr>
          <w:rFonts w:asciiTheme="majorEastAsia" w:hAnsiTheme="majorEastAsia" w:eastAsiaTheme="majorEastAsia"/>
          <w:szCs w:val="21"/>
        </w:rPr>
        <w:t>.</w:t>
      </w:r>
      <w:r>
        <w:rPr>
          <w:rFonts w:hint="eastAsia" w:asciiTheme="majorEastAsia" w:hAnsiTheme="majorEastAsia" w:eastAsiaTheme="majorEastAsia"/>
          <w:szCs w:val="21"/>
        </w:rPr>
        <w:t>3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w:t>
      </w:r>
      <w:r>
        <w:rPr>
          <w:rFonts w:asciiTheme="majorEastAsia" w:hAnsiTheme="majorEastAsia" w:eastAsiaTheme="majorEastAsia"/>
          <w:szCs w:val="21"/>
        </w:rPr>
        <w:t>.</w:t>
      </w:r>
      <w:r>
        <w:rPr>
          <w:rFonts w:hint="eastAsia" w:asciiTheme="majorEastAsia" w:hAnsiTheme="majorEastAsia" w:eastAsiaTheme="majorEastAsia"/>
          <w:szCs w:val="21"/>
        </w:rPr>
        <w:t>4投标人</w:t>
      </w:r>
      <w:bookmarkStart w:id="31" w:name="_Hlk72152753"/>
      <w:r>
        <w:rPr>
          <w:rFonts w:hint="eastAsia" w:asciiTheme="majorEastAsia" w:hAnsiTheme="majorEastAsia" w:eastAsiaTheme="majorEastAsia"/>
          <w:szCs w:val="21"/>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31"/>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7.5  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7.6  工期要求：投标人在投标时对其所投项目应提交交货进度、交货计划等，在合同规定的时间内完成项目实施工作。</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7.7  投标人必须承担的设备运输、安装调试、验收检测和提供设备操作说明书、图纸等其他相关及类似的义务。</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8．投标费用</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不论投标结果如何，投标人应承担其编制投标文件与递交投标文件所涉及的一切费用。</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9．踏勘现场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9.1如有需要（详见专用条款），采购人或采购代理机构将组织投标人对项目现场及周围环境进行踏勘，以便投标人获取有关编制投标文件和签署合同所需的资料。踏勘现场所发生的费用由投标人自行承担。投标人应按招标文件所约定的时间、地点踏勘现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9.2投标人及其人员经过采购人的允许，可以进入采购人的项目现场踏勘。若招标文件要求投标人于统一时间地点踏勘现场的，投标人应当按时前往。</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9.3采购人应当通过采购代理机构向投标人提供有关现场的书面资料和数据。</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9.4任何人或任何组织在踏勘现场时向投标人提供的任何书面资料或口头承诺，未经采购代理机构在网上发布或书面通知，均作无效处理。</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9</w:t>
      </w:r>
      <w:r>
        <w:rPr>
          <w:rFonts w:hint="eastAsia" w:asciiTheme="majorEastAsia" w:hAnsiTheme="majorEastAsia" w:eastAsiaTheme="majorEastAsia"/>
          <w:szCs w:val="21"/>
        </w:rPr>
        <w:t>.</w:t>
      </w:r>
      <w:r>
        <w:rPr>
          <w:rFonts w:asciiTheme="majorEastAsia" w:hAnsiTheme="majorEastAsia" w:eastAsiaTheme="majorEastAsia"/>
          <w:szCs w:val="21"/>
        </w:rPr>
        <w:t>5</w:t>
      </w:r>
      <w:r>
        <w:rPr>
          <w:rFonts w:hint="eastAsia" w:asciiTheme="majorEastAsia" w:hAnsiTheme="majorEastAsia" w:eastAsiaTheme="majorEastAsia"/>
          <w:szCs w:val="21"/>
        </w:rPr>
        <w:t>未参与踏勘现场不作为否定投标人资格的理由。</w:t>
      </w:r>
    </w:p>
    <w:p>
      <w:pPr>
        <w:spacing w:line="360" w:lineRule="auto"/>
        <w:outlineLvl w:val="1"/>
        <w:rPr>
          <w:rFonts w:asciiTheme="majorEastAsia" w:hAnsiTheme="majorEastAsia" w:eastAsiaTheme="majorEastAsia"/>
          <w:b/>
          <w:bCs/>
          <w:szCs w:val="21"/>
        </w:rPr>
      </w:pPr>
      <w:r>
        <w:rPr>
          <w:rFonts w:hint="eastAsia" w:asciiTheme="majorEastAsia" w:hAnsiTheme="majorEastAsia" w:eastAsiaTheme="majorEastAsia"/>
          <w:b/>
          <w:bCs/>
          <w:szCs w:val="21"/>
        </w:rPr>
        <w:t>1</w:t>
      </w:r>
      <w:r>
        <w:rPr>
          <w:rFonts w:asciiTheme="majorEastAsia" w:hAnsiTheme="majorEastAsia" w:eastAsiaTheme="majorEastAsia"/>
          <w:b/>
          <w:bCs/>
          <w:szCs w:val="21"/>
        </w:rPr>
        <w:t>0</w:t>
      </w:r>
      <w:r>
        <w:rPr>
          <w:rFonts w:hint="eastAsia" w:asciiTheme="majorEastAsia" w:hAnsiTheme="majorEastAsia" w:eastAsiaTheme="majorEastAsia"/>
          <w:b/>
          <w:bCs/>
          <w:szCs w:val="21"/>
        </w:rPr>
        <w:t>．标前会议</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0</w:t>
      </w:r>
      <w:r>
        <w:rPr>
          <w:rFonts w:hint="eastAsia" w:asciiTheme="majorEastAsia" w:hAnsiTheme="majorEastAsia" w:eastAsiaTheme="majorEastAsia"/>
          <w:szCs w:val="21"/>
        </w:rPr>
        <w:t>.</w:t>
      </w:r>
      <w:r>
        <w:rPr>
          <w:rFonts w:asciiTheme="majorEastAsia" w:hAnsiTheme="majorEastAsia" w:eastAsiaTheme="majorEastAsia"/>
          <w:szCs w:val="21"/>
        </w:rPr>
        <w:t>1</w:t>
      </w:r>
      <w:r>
        <w:rPr>
          <w:rFonts w:hint="eastAsia" w:asciiTheme="majorEastAsia" w:hAnsiTheme="majorEastAsia" w:eastAsiaTheme="majorEastAsia"/>
          <w:szCs w:val="21"/>
        </w:rPr>
        <w:t>如采购人或采购代理机构认为有必要组织标前会议，投标人应按照招标文件规定的时间或采购代理机构另行书面通知（包括采购代理机构网站发布方式，如更正公告等）的时间和地点，参与标前会议。</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10</w:t>
      </w:r>
      <w:r>
        <w:rPr>
          <w:rFonts w:hint="eastAsia" w:asciiTheme="majorEastAsia" w:hAnsiTheme="majorEastAsia" w:eastAsiaTheme="majorEastAsia"/>
          <w:szCs w:val="21"/>
        </w:rPr>
        <w:t>.</w:t>
      </w:r>
      <w:r>
        <w:rPr>
          <w:rFonts w:asciiTheme="majorEastAsia" w:hAnsiTheme="majorEastAsia" w:eastAsiaTheme="majorEastAsia"/>
          <w:szCs w:val="21"/>
        </w:rPr>
        <w:t>2</w:t>
      </w:r>
      <w:r>
        <w:rPr>
          <w:rFonts w:hint="eastAsia" w:asciiTheme="majorEastAsia" w:hAnsiTheme="majorEastAsia" w:eastAsiaTheme="majorEastAsia"/>
          <w:szCs w:val="21"/>
        </w:rPr>
        <w:t>任何人或任何组织在标前会议时向投标人提供的任何书面资料或口头承诺，未经采购代理机构在网上发布或书面通知，均作无效处理。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0</w:t>
      </w:r>
      <w:r>
        <w:rPr>
          <w:rFonts w:hint="eastAsia" w:asciiTheme="majorEastAsia" w:hAnsiTheme="majorEastAsia" w:eastAsiaTheme="majorEastAsia"/>
          <w:szCs w:val="21"/>
        </w:rPr>
        <w:t>.</w:t>
      </w:r>
      <w:r>
        <w:rPr>
          <w:rFonts w:asciiTheme="majorEastAsia" w:hAnsiTheme="majorEastAsia" w:eastAsiaTheme="majorEastAsia"/>
          <w:szCs w:val="21"/>
        </w:rPr>
        <w:t>3</w:t>
      </w:r>
      <w:r>
        <w:rPr>
          <w:rFonts w:hint="eastAsia" w:asciiTheme="majorEastAsia" w:hAnsiTheme="majorEastAsia" w:eastAsiaTheme="majorEastAsia"/>
          <w:szCs w:val="21"/>
        </w:rPr>
        <w:t>未参与标前会议不作为否定投标人资格的理由。</w:t>
      </w:r>
    </w:p>
    <w:bookmarkEnd w:id="30"/>
    <w:p>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hAnsiTheme="majorEastAsia" w:eastAsiaTheme="majorEastAsia"/>
          <w:b/>
          <w:bCs/>
          <w:kern w:val="0"/>
          <w:sz w:val="28"/>
          <w:szCs w:val="28"/>
        </w:rPr>
      </w:pPr>
      <w:r>
        <w:rPr>
          <w:rFonts w:hint="eastAsia" w:asciiTheme="majorEastAsia" w:hAnsiTheme="majorEastAsia" w:eastAsiaTheme="majorEastAsia"/>
          <w:b/>
          <w:bCs/>
          <w:kern w:val="0"/>
          <w:sz w:val="28"/>
          <w:szCs w:val="28"/>
        </w:rPr>
        <w:t>招标文件</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w:t>
      </w:r>
      <w:r>
        <w:rPr>
          <w:rFonts w:asciiTheme="majorEastAsia" w:hAnsiTheme="majorEastAsia" w:eastAsiaTheme="majorEastAsia"/>
          <w:b/>
          <w:bCs/>
          <w:szCs w:val="21"/>
        </w:rPr>
        <w:t>1</w:t>
      </w:r>
      <w:r>
        <w:rPr>
          <w:rFonts w:hint="eastAsia" w:asciiTheme="majorEastAsia" w:hAnsiTheme="majorEastAsia" w:eastAsiaTheme="majorEastAsia"/>
          <w:b/>
          <w:bCs/>
          <w:szCs w:val="21"/>
        </w:rPr>
        <w:t>．</w:t>
      </w:r>
      <w:bookmarkStart w:id="32" w:name="_Hlk72399819"/>
      <w:r>
        <w:rPr>
          <w:rFonts w:hint="eastAsia" w:asciiTheme="majorEastAsia" w:hAnsiTheme="majorEastAsia" w:eastAsiaTheme="majorEastAsia"/>
          <w:b/>
          <w:bCs/>
          <w:szCs w:val="21"/>
        </w:rPr>
        <w:t>招标文件的编制与组成</w:t>
      </w:r>
    </w:p>
    <w:p>
      <w:pPr>
        <w:snapToGrid w:val="0"/>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1</w:t>
      </w:r>
      <w:r>
        <w:rPr>
          <w:rFonts w:hint="eastAsia" w:asciiTheme="majorEastAsia" w:hAnsiTheme="majorEastAsia" w:eastAsiaTheme="majorEastAsia"/>
          <w:szCs w:val="21"/>
        </w:rPr>
        <w:t>.1招标文件除以下内容外，采购代理机构在招标期间发出的澄清或修改等相关公告或通知内容，均是招标文件的组成部分，对投标人起约束作用；</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招标文件包括下列内容：</w:t>
      </w:r>
    </w:p>
    <w:p>
      <w:pPr>
        <w:spacing w:line="360" w:lineRule="auto"/>
        <w:ind w:left="420" w:leftChars="200" w:firstLine="413" w:firstLineChars="196"/>
        <w:rPr>
          <w:rFonts w:asciiTheme="majorEastAsia" w:hAnsiTheme="majorEastAsia" w:eastAsiaTheme="majorEastAsia"/>
          <w:b/>
          <w:szCs w:val="21"/>
        </w:rPr>
      </w:pPr>
      <w:r>
        <w:rPr>
          <w:rFonts w:hint="eastAsia" w:asciiTheme="majorEastAsia" w:hAnsiTheme="majorEastAsia" w:eastAsiaTheme="majorEastAsia"/>
          <w:b/>
          <w:szCs w:val="21"/>
        </w:rPr>
        <w:t>第一册  专用条款</w:t>
      </w:r>
    </w:p>
    <w:p>
      <w:pPr>
        <w:spacing w:line="360" w:lineRule="auto"/>
        <w:ind w:left="1079" w:leftChars="514"/>
        <w:rPr>
          <w:rFonts w:asciiTheme="majorEastAsia" w:hAnsiTheme="majorEastAsia" w:eastAsiaTheme="majorEastAsia"/>
          <w:b/>
          <w:szCs w:val="21"/>
        </w:rPr>
      </w:pPr>
      <w:r>
        <w:rPr>
          <w:rFonts w:hint="eastAsia" w:asciiTheme="majorEastAsia" w:hAnsiTheme="majorEastAsia" w:eastAsiaTheme="majorEastAsia"/>
          <w:b/>
          <w:szCs w:val="21"/>
        </w:rPr>
        <w:t>关键信息</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第一章  招标公告</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第二章  对通用条款的补充内容及其他关键信息</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第三章  用户需求书</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第四章  投标文件格式及附件</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第五章  合同条款及格式</w:t>
      </w:r>
    </w:p>
    <w:p>
      <w:pPr>
        <w:spacing w:line="360" w:lineRule="auto"/>
        <w:ind w:left="420" w:leftChars="200" w:firstLine="413" w:firstLineChars="196"/>
        <w:outlineLvl w:val="0"/>
        <w:rPr>
          <w:rFonts w:asciiTheme="majorEastAsia" w:hAnsiTheme="majorEastAsia" w:eastAsiaTheme="majorEastAsia"/>
          <w:b/>
          <w:szCs w:val="21"/>
        </w:rPr>
      </w:pPr>
      <w:r>
        <w:rPr>
          <w:rFonts w:hint="eastAsia" w:asciiTheme="majorEastAsia" w:hAnsiTheme="majorEastAsia" w:eastAsiaTheme="majorEastAsia"/>
          <w:b/>
          <w:szCs w:val="21"/>
        </w:rPr>
        <w:t>第二册  通用条款</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第一章  总则</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第二章  招标文件</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第三章  投标文件的编制</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第四章  投标文件的递交</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第五章  开标</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第六章  评审要求</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第七章  评审程序及评审方法</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第八章  定标及公示</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第九章  公开招标失败的后续处理</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第十章  合同的授予与备案</w:t>
      </w:r>
    </w:p>
    <w:p>
      <w:pPr>
        <w:spacing w:line="360" w:lineRule="auto"/>
        <w:ind w:left="630" w:leftChars="300" w:firstLine="411" w:firstLineChars="196"/>
        <w:outlineLvl w:val="0"/>
        <w:rPr>
          <w:rFonts w:asciiTheme="majorEastAsia" w:hAnsiTheme="majorEastAsia" w:eastAsiaTheme="majorEastAsia"/>
          <w:szCs w:val="21"/>
        </w:rPr>
      </w:pPr>
      <w:r>
        <w:rPr>
          <w:rFonts w:hint="eastAsia" w:asciiTheme="majorEastAsia" w:hAnsiTheme="majorEastAsia" w:eastAsiaTheme="majorEastAsia"/>
          <w:szCs w:val="21"/>
        </w:rPr>
        <w:t>第十一章  质疑处理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1</w:t>
      </w:r>
      <w:r>
        <w:rPr>
          <w:rFonts w:hint="eastAsia" w:asciiTheme="majorEastAsia" w:hAnsiTheme="majorEastAsia" w:eastAsiaTheme="majorEastAsia"/>
          <w:szCs w:val="21"/>
        </w:rPr>
        <w:t>.2 投标人下载招标文件后，应仔细检查招标文件的所有内容，如有疑问应在答疑截止时间之前向采购代理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1</w:t>
      </w:r>
      <w:r>
        <w:rPr>
          <w:rFonts w:hint="eastAsia" w:asciiTheme="majorEastAsia" w:hAnsiTheme="majorEastAsia" w:eastAsiaTheme="majorEastAsia"/>
          <w:szCs w:val="21"/>
        </w:rPr>
        <w:t>.3任何人或任何组织向投标人提交的任何书面或口头资料，未经采购代理机构在网上发布或书面通知，均作无效处理，不得作为招标文件的组成部分。采购代理机构对投标人由此而做出的推论、理解和结论概不负责。</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w:t>
      </w:r>
      <w:r>
        <w:rPr>
          <w:rFonts w:asciiTheme="majorEastAsia" w:hAnsiTheme="majorEastAsia" w:eastAsiaTheme="majorEastAsia"/>
          <w:b/>
          <w:bCs/>
          <w:szCs w:val="21"/>
        </w:rPr>
        <w:t>2</w:t>
      </w:r>
      <w:r>
        <w:rPr>
          <w:rFonts w:hint="eastAsia" w:asciiTheme="majorEastAsia" w:hAnsiTheme="majorEastAsia" w:eastAsiaTheme="majorEastAsia"/>
          <w:b/>
          <w:bCs/>
          <w:szCs w:val="21"/>
        </w:rPr>
        <w:t>．招标文件的澄清</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2</w:t>
      </w:r>
      <w:r>
        <w:rPr>
          <w:rFonts w:hint="eastAsia" w:asciiTheme="majorEastAsia" w:hAnsiTheme="majorEastAsia" w:eastAsiaTheme="majorEastAsia"/>
          <w:szCs w:val="21"/>
        </w:rPr>
        <w:t>.1招标文件澄清的目的是澄清、解答投标人在查阅招标文件后或现场踏勘中可能提出的与投标有关的疑问或询问。</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2</w:t>
      </w:r>
      <w:r>
        <w:rPr>
          <w:rFonts w:hint="eastAsia" w:asciiTheme="majorEastAsia" w:hAnsiTheme="majorEastAsia" w:eastAsiaTheme="majorEastAsia"/>
          <w:szCs w:val="21"/>
        </w:rPr>
        <w:t>.2投标人如对招标文件内容有疑问，应当在招标公告规定的澄清（提问）截止时间前以网上提问的形式通过网上政府采购系统提交采购代理机构。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2</w:t>
      </w:r>
      <w:r>
        <w:rPr>
          <w:rFonts w:hint="eastAsia" w:asciiTheme="majorEastAsia" w:hAnsiTheme="majorEastAsia" w:eastAsiaTheme="majorEastAsia"/>
          <w:szCs w:val="21"/>
        </w:rPr>
        <w:t>.3不论是采购代理机构根据需要主动对招标文件进行必要的澄清或是根据投标人的要求对招标文件做出澄清，采购代理机构都将在投标截止日期前以书面形式（包括采购代理机构网站发布方式）答复或发送给所有投标人。答复内容是招标文件的组成部分，对投标人起约束作用，其有效性按照本通用条款第1</w:t>
      </w:r>
      <w:r>
        <w:rPr>
          <w:rFonts w:asciiTheme="majorEastAsia" w:hAnsiTheme="majorEastAsia" w:eastAsiaTheme="majorEastAsia"/>
          <w:szCs w:val="21"/>
        </w:rPr>
        <w:t>3.3</w:t>
      </w:r>
      <w:r>
        <w:rPr>
          <w:rFonts w:hint="eastAsia" w:asciiTheme="majorEastAsia" w:hAnsiTheme="majorEastAsia" w:eastAsiaTheme="majorEastAsia"/>
          <w:szCs w:val="21"/>
        </w:rPr>
        <w:t>、1</w:t>
      </w:r>
      <w:r>
        <w:rPr>
          <w:rFonts w:asciiTheme="majorEastAsia" w:hAnsiTheme="majorEastAsia" w:eastAsiaTheme="majorEastAsia"/>
          <w:szCs w:val="21"/>
        </w:rPr>
        <w:t>3.4</w:t>
      </w:r>
      <w:r>
        <w:rPr>
          <w:rFonts w:hint="eastAsia" w:asciiTheme="majorEastAsia" w:hAnsiTheme="majorEastAsia" w:eastAsiaTheme="majorEastAsia"/>
          <w:szCs w:val="21"/>
        </w:rPr>
        <w:t>款规定执行。</w:t>
      </w:r>
    </w:p>
    <w:p>
      <w:pPr>
        <w:spacing w:line="360" w:lineRule="auto"/>
        <w:rPr>
          <w:rFonts w:asciiTheme="majorEastAsia" w:hAnsiTheme="majorEastAsia" w:eastAsiaTheme="majorEastAsia"/>
          <w:b/>
          <w:bCs/>
          <w:szCs w:val="21"/>
        </w:rPr>
      </w:pPr>
      <w:r>
        <w:rPr>
          <w:rFonts w:asciiTheme="majorEastAsia" w:hAnsiTheme="majorEastAsia" w:eastAsiaTheme="majorEastAsia"/>
          <w:b/>
          <w:bCs/>
          <w:szCs w:val="21"/>
        </w:rPr>
        <w:t>1</w:t>
      </w:r>
      <w:r>
        <w:rPr>
          <w:rFonts w:hint="eastAsia" w:asciiTheme="majorEastAsia" w:hAnsiTheme="majorEastAsia" w:eastAsiaTheme="majorEastAsia"/>
          <w:b/>
          <w:bCs/>
          <w:szCs w:val="21"/>
        </w:rPr>
        <w:t>3．招标文件的修改</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3.1招标文件发出后，在投标截止日期前任何时候，确需要变更招标文件内容的，采购代理机构可主动或在解答投标人提出的澄清问题时对招标文件进行修改。</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3.2招标文件的修改以书面形式（包括采购代理机构网站发布方式，如更正公告等）发送给所有投标人，招标文件的修改内容作为招标文件的组成部分，并具有约束力。</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3.3招标文件、招标文件澄清答复内容、招标文件修改补充内容均以书面形式（包括采购代理机构网站公开发布方式，如更正公告等）明确的内容为准。当招标文件、修改补充通知、招标文件澄清答复内容相互矛盾时，以最后发出的内容为准。</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3.4采购代理机构保证招标文件澄清答复内容和招标文件修改补充内容在投标截止时间前以书面形式（包括采购代理机构网站发布方式，如更正公告等）发送给所有投标人。为使投标人在编制投标文件时有充分时间对招标文件的修改部分进行研究，采购代理机构可以酌情延长递交投标文件的截止日期。</w:t>
      </w:r>
      <w:bookmarkEnd w:id="32"/>
    </w:p>
    <w:p>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hAnsiTheme="majorEastAsia" w:eastAsiaTheme="majorEastAsia"/>
          <w:b/>
          <w:bCs/>
          <w:kern w:val="0"/>
          <w:sz w:val="28"/>
          <w:szCs w:val="28"/>
        </w:rPr>
      </w:pPr>
      <w:r>
        <w:rPr>
          <w:rFonts w:hint="eastAsia" w:asciiTheme="majorEastAsia" w:hAnsiTheme="majorEastAsia" w:eastAsiaTheme="majorEastAsia"/>
          <w:b/>
          <w:bCs/>
          <w:kern w:val="0"/>
          <w:sz w:val="28"/>
          <w:szCs w:val="28"/>
        </w:rPr>
        <w:t>投标文件的编制</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14．</w:t>
      </w:r>
      <w:bookmarkStart w:id="33" w:name="_Hlk72400236"/>
      <w:r>
        <w:rPr>
          <w:rFonts w:hint="eastAsia" w:asciiTheme="majorEastAsia" w:hAnsiTheme="majorEastAsia" w:eastAsiaTheme="majorEastAsia"/>
          <w:b/>
          <w:bCs/>
          <w:szCs w:val="21"/>
        </w:rPr>
        <w:t>投标文件的语言及度量单位</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14.1 投标人与采购代理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14.2 除技术规范另有规定外，投标文件使用的度量单位，均采用中华人民共和国法定计量单位。</w:t>
      </w:r>
    </w:p>
    <w:bookmarkEnd w:id="33"/>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15．</w:t>
      </w:r>
      <w:bookmarkStart w:id="34" w:name="_Hlk72401567"/>
      <w:r>
        <w:rPr>
          <w:rFonts w:hint="eastAsia" w:asciiTheme="majorEastAsia" w:hAnsiTheme="majorEastAsia" w:eastAsiaTheme="majorEastAsia"/>
          <w:b/>
          <w:bCs/>
          <w:szCs w:val="21"/>
        </w:rPr>
        <w:t>投标文件的组成</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具体内容在招标文件专用条款中进行规定。</w:t>
      </w:r>
    </w:p>
    <w:p>
      <w:pPr>
        <w:spacing w:line="360" w:lineRule="auto"/>
        <w:rPr>
          <w:rFonts w:asciiTheme="majorEastAsia" w:hAnsiTheme="majorEastAsia" w:eastAsiaTheme="majorEastAsia"/>
          <w:b/>
          <w:bCs/>
          <w:szCs w:val="21"/>
        </w:rPr>
      </w:pPr>
      <w:r>
        <w:rPr>
          <w:rFonts w:asciiTheme="majorEastAsia" w:hAnsiTheme="majorEastAsia" w:eastAsiaTheme="majorEastAsia"/>
          <w:b/>
          <w:bCs/>
          <w:szCs w:val="21"/>
        </w:rPr>
        <w:t>16．投标文件格式</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投标文件包括本通用条款第</w:t>
      </w:r>
      <w:r>
        <w:rPr>
          <w:rFonts w:asciiTheme="majorEastAsia" w:hAnsiTheme="majorEastAsia" w:eastAsiaTheme="majorEastAsia"/>
          <w:szCs w:val="21"/>
        </w:rPr>
        <w:t>15条中规定的内容。如招标文件提供了投标文件格式，则</w:t>
      </w:r>
      <w:r>
        <w:rPr>
          <w:rFonts w:hint="eastAsia" w:asciiTheme="majorEastAsia" w:hAnsiTheme="majorEastAsia" w:eastAsiaTheme="majorEastAsia"/>
          <w:b/>
          <w:bCs/>
          <w:szCs w:val="21"/>
        </w:rPr>
        <w:t>投标人提交的投标文件应毫无例外地使用招标文件所提供的相应格式</w:t>
      </w:r>
      <w:r>
        <w:rPr>
          <w:rFonts w:hint="eastAsia" w:asciiTheme="majorEastAsia" w:hAnsiTheme="majorEastAsia" w:eastAsiaTheme="majorEastAsia"/>
          <w:szCs w:val="21"/>
        </w:rPr>
        <w:t>（表格均可按同样格式扩展）。</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17．投标货币</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本项目的投标报价应以人民币计。</w:t>
      </w:r>
    </w:p>
    <w:bookmarkEnd w:id="34"/>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18．</w:t>
      </w:r>
      <w:bookmarkStart w:id="35" w:name="_Hlk72401735"/>
      <w:r>
        <w:rPr>
          <w:rFonts w:hint="eastAsia" w:asciiTheme="majorEastAsia" w:hAnsiTheme="majorEastAsia" w:eastAsiaTheme="majorEastAsia"/>
          <w:b/>
          <w:bCs/>
          <w:szCs w:val="21"/>
        </w:rPr>
        <w:t>证明投标文件投标技术方案的合格性和符合招标文件规定的文件要求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w:t>
      </w:r>
      <w:r>
        <w:rPr>
          <w:rFonts w:asciiTheme="majorEastAsia" w:hAnsiTheme="majorEastAsia" w:eastAsiaTheme="majorEastAsia"/>
          <w:szCs w:val="21"/>
        </w:rPr>
        <w:t xml:space="preserve">.1 </w:t>
      </w:r>
      <w:r>
        <w:rPr>
          <w:rFonts w:hint="eastAsia" w:asciiTheme="majorEastAsia" w:hAnsiTheme="majorEastAsia" w:eastAsiaTheme="majorEastAsia"/>
          <w:szCs w:val="21"/>
        </w:rPr>
        <w:t>投标人应提交证明文件，证明其投标技术方案项下的货物和服务的合格性符合招标文件规定。该投标技术方案及其证明文件均作为投标文件组成部分。</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8</w:t>
      </w:r>
      <w:r>
        <w:rPr>
          <w:rFonts w:asciiTheme="majorEastAsia" w:hAnsiTheme="majorEastAsia" w:eastAsiaTheme="majorEastAsia"/>
          <w:szCs w:val="21"/>
        </w:rPr>
        <w:t xml:space="preserve">.2 </w:t>
      </w:r>
      <w:r>
        <w:rPr>
          <w:rFonts w:hint="eastAsia" w:asciiTheme="majorEastAsia" w:hAnsiTheme="majorEastAsia" w:eastAsiaTheme="majorEastAsia"/>
          <w:szCs w:val="21"/>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18.2.1主要技术指标和性能的详细说明。</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18.2.</w:t>
      </w:r>
      <w:r>
        <w:rPr>
          <w:rFonts w:asciiTheme="majorEastAsia" w:hAnsiTheme="majorEastAsia" w:eastAsiaTheme="majorEastAsia"/>
          <w:szCs w:val="21"/>
        </w:rPr>
        <w:t>2</w:t>
      </w:r>
      <w:r>
        <w:rPr>
          <w:rFonts w:hint="eastAsia" w:asciiTheme="majorEastAsia" w:hAnsiTheme="majorEastAsia" w:eastAsiaTheme="majorEastAsia"/>
          <w:szCs w:val="21"/>
        </w:rPr>
        <w:t>投标产品从采购人开始使用至招标文件中规定的周期内正常、连续地使用所必须的备件和专用工具清单，包括备件和专用工具的货源及现行价格。</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18.2.</w:t>
      </w:r>
      <w:r>
        <w:rPr>
          <w:rFonts w:asciiTheme="majorEastAsia" w:hAnsiTheme="majorEastAsia" w:eastAsiaTheme="majorEastAsia"/>
          <w:szCs w:val="21"/>
        </w:rPr>
        <w:t>3</w:t>
      </w:r>
      <w:r>
        <w:rPr>
          <w:rFonts w:hint="eastAsia" w:asciiTheme="majorEastAsia" w:hAnsiTheme="majorEastAsia" w:eastAsiaTheme="majorEastAsia"/>
          <w:szCs w:val="21"/>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要求能够使用电脑阅读、识别和判断；</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18.2.5我国政府机构出具的产品检验和核准证件应为证件正面、背面和附件标注的全部具体内容；产品检验和核准证件的尺寸和清晰度应该能够在电脑上被阅读、识别和判断，提供原件扫描件。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18.3相关资料不符合18.2款要求的，评审委员会有权认定为投标技术方案不合格响应，其相关分数予以扣减或作投标无效处理。</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8</w:t>
      </w:r>
      <w:r>
        <w:rPr>
          <w:rFonts w:asciiTheme="majorEastAsia" w:hAnsiTheme="majorEastAsia" w:eastAsiaTheme="majorEastAsia"/>
          <w:szCs w:val="21"/>
        </w:rPr>
        <w:t>.</w:t>
      </w:r>
      <w:r>
        <w:rPr>
          <w:rFonts w:hint="eastAsia" w:asciiTheme="majorEastAsia" w:hAnsiTheme="majorEastAsia" w:eastAsiaTheme="majorEastAsia"/>
          <w:szCs w:val="21"/>
        </w:rPr>
        <w:t>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满足要求，由评审委员会来评判。</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18.5除非另有规定或说明，投标人对同一项目投标时，不得同时提供两套或两套以上的投标方案。</w:t>
      </w:r>
    </w:p>
    <w:bookmarkEnd w:id="35"/>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19．</w:t>
      </w:r>
      <w:bookmarkStart w:id="36" w:name="_Hlk72402034"/>
      <w:r>
        <w:rPr>
          <w:rFonts w:hint="eastAsia" w:asciiTheme="majorEastAsia" w:hAnsiTheme="majorEastAsia" w:eastAsiaTheme="majorEastAsia"/>
          <w:b/>
          <w:bCs/>
          <w:szCs w:val="21"/>
        </w:rPr>
        <w:t>投标文件其他证明文件的要求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19.1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0分处理。评审委员会对供应商投标资料是否异常、是否有效问题进行核查和判定，如认为供应商投标资料有异常或无效的，若涉及资格性审查或符合性审查条款的，则应作投标无效处理；若涉及评分的，则作不得分处理。</w:t>
      </w:r>
      <w:bookmarkStart w:id="37" w:name="_Hlk71407299"/>
    </w:p>
    <w:bookmarkEnd w:id="37"/>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20．投标有效期</w:t>
      </w:r>
    </w:p>
    <w:bookmarkEnd w:id="36"/>
    <w:p>
      <w:pPr>
        <w:spacing w:line="360" w:lineRule="auto"/>
        <w:ind w:firstLine="411" w:firstLineChars="196"/>
        <w:rPr>
          <w:rFonts w:asciiTheme="majorEastAsia" w:hAnsiTheme="majorEastAsia" w:eastAsiaTheme="majorEastAsia"/>
          <w:szCs w:val="21"/>
        </w:rPr>
      </w:pPr>
      <w:bookmarkStart w:id="38" w:name="_Hlk72402214"/>
      <w:r>
        <w:rPr>
          <w:rFonts w:hint="eastAsia" w:asciiTheme="majorEastAsia" w:hAnsiTheme="majorEastAsia" w:eastAsiaTheme="majorEastAsia"/>
          <w:szCs w:val="21"/>
        </w:rPr>
        <w:t>20.1 投标有效期为</w:t>
      </w:r>
      <w:r>
        <w:rPr>
          <w:rFonts w:hint="eastAsia" w:cs="Arial" w:asciiTheme="majorEastAsia" w:hAnsiTheme="majorEastAsia" w:eastAsiaTheme="majorEastAsia"/>
          <w:szCs w:val="21"/>
        </w:rPr>
        <w:t>从投标截止之日算起的日历天数。</w:t>
      </w:r>
      <w:r>
        <w:rPr>
          <w:rFonts w:hint="eastAsia" w:asciiTheme="majorEastAsia" w:hAnsiTheme="majorEastAsia" w:eastAsiaTheme="majorEastAsia"/>
          <w:szCs w:val="21"/>
        </w:rPr>
        <w:t>在此期限内，所有投标文件均保持有效。</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20.2 在特殊情况下，采购代理机构在原定的投标有效期满之前，可以根据需要以书面形式（包括采购代理机构网站公开发布方式）向投标人提出延长投标有效期的要求，对此要求投标人须以书面形式予以答复，投标人可以拒绝采购代理机构此项要求，其投标在原投标有效期满后不再有效。同意延长投标有效期的投标人不能要求也不允许修改其投标文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20</w:t>
      </w:r>
      <w:r>
        <w:rPr>
          <w:rFonts w:asciiTheme="majorEastAsia" w:hAnsiTheme="majorEastAsia" w:eastAsiaTheme="majorEastAsia"/>
          <w:szCs w:val="21"/>
        </w:rPr>
        <w:t>.3</w:t>
      </w:r>
      <w:r>
        <w:rPr>
          <w:rFonts w:hint="eastAsia" w:asciiTheme="majorEastAsia" w:hAnsiTheme="majorEastAsia" w:eastAsiaTheme="majorEastAsia"/>
          <w:szCs w:val="21"/>
        </w:rPr>
        <w:t xml:space="preserve"> 中标供应商的投标文件有效期，截止于完成本招标文件规定的全部项目内容，并通过竣工验收及保修期结束。</w:t>
      </w:r>
    </w:p>
    <w:bookmarkEnd w:id="38"/>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21．</w:t>
      </w:r>
      <w:bookmarkStart w:id="39" w:name="_Hlk72402325"/>
      <w:r>
        <w:rPr>
          <w:rFonts w:hint="eastAsia" w:asciiTheme="majorEastAsia" w:hAnsiTheme="majorEastAsia" w:eastAsiaTheme="majorEastAsia"/>
          <w:szCs w:val="21"/>
        </w:rPr>
        <w:t xml:space="preserve">关于投标保证金 </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21.1 根据《</w:t>
      </w:r>
      <w:r>
        <w:rPr>
          <w:rFonts w:asciiTheme="majorEastAsia" w:hAnsiTheme="majorEastAsia" w:eastAsiaTheme="majorEastAsia"/>
          <w:szCs w:val="21"/>
        </w:rPr>
        <w:t>深圳市财政局关于明确政府采购保证金管理工作的通知</w:t>
      </w:r>
      <w:r>
        <w:rPr>
          <w:rFonts w:hint="eastAsia" w:asciiTheme="majorEastAsia" w:hAnsiTheme="majorEastAsia" w:eastAsiaTheme="majorEastAsia"/>
          <w:szCs w:val="21"/>
        </w:rPr>
        <w:t>》（深财购[</w:t>
      </w:r>
      <w:r>
        <w:rPr>
          <w:rFonts w:asciiTheme="majorEastAsia" w:hAnsiTheme="majorEastAsia" w:eastAsiaTheme="majorEastAsia"/>
          <w:szCs w:val="21"/>
        </w:rPr>
        <w:t>2019]42</w:t>
      </w:r>
      <w:r>
        <w:rPr>
          <w:rFonts w:hint="eastAsia" w:asciiTheme="majorEastAsia" w:hAnsiTheme="majorEastAsia" w:eastAsiaTheme="majorEastAsia"/>
          <w:szCs w:val="21"/>
        </w:rPr>
        <w:t>号）文的规定，本项目不收取投标保证金。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22．投标人的替代方案</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22.1投标人所提交的投标文件应完全满足招标文件（包括图纸和技术规范所示的基本技术设计）的要求。除非项目明确允许投标人提交替代方案，否则投标人有关替代方案的条款将初审不通过，作投标无效处理。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bookmarkEnd w:id="39"/>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23．</w:t>
      </w:r>
      <w:bookmarkStart w:id="40" w:name="_Hlk72402860"/>
      <w:r>
        <w:rPr>
          <w:rFonts w:asciiTheme="majorEastAsia" w:hAnsiTheme="majorEastAsia" w:eastAsiaTheme="majorEastAsia"/>
          <w:b/>
          <w:bCs/>
          <w:szCs w:val="21"/>
        </w:rPr>
        <w:t>投标文件的</w:t>
      </w:r>
      <w:r>
        <w:rPr>
          <w:rFonts w:hint="eastAsia" w:asciiTheme="majorEastAsia" w:hAnsiTheme="majorEastAsia" w:eastAsiaTheme="majorEastAsia"/>
          <w:b/>
          <w:bCs/>
          <w:szCs w:val="21"/>
        </w:rPr>
        <w:t>制作</w:t>
      </w:r>
      <w:r>
        <w:rPr>
          <w:rFonts w:asciiTheme="majorEastAsia" w:hAnsiTheme="majorEastAsia" w:eastAsiaTheme="majorEastAsia"/>
          <w:b/>
          <w:bCs/>
          <w:szCs w:val="21"/>
        </w:rPr>
        <w:t>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23.1投标人应准备所投项目的电子投标文件一份。此电子投标文件须由投标人根据采购代理机构提供的后缀名为.szczf的电子招标文件，下载并使用相应的深圳智慧采购平台投标文件制作专用软件打开招标文件（.szczf格式）【下载地址：</w:t>
      </w:r>
      <w:r>
        <w:rPr>
          <w:rFonts w:asciiTheme="majorEastAsia" w:hAnsiTheme="majorEastAsia" w:eastAsiaTheme="majorEastAsia"/>
          <w:szCs w:val="21"/>
        </w:rPr>
        <w:t>http://zfcg.szggzy.com/</w:t>
      </w:r>
      <w:r>
        <w:rPr>
          <w:rFonts w:hint="eastAsia" w:asciiTheme="majorEastAsia" w:hAnsiTheme="majorEastAsia" w:eastAsiaTheme="majorEastAsia"/>
          <w:szCs w:val="21"/>
        </w:rPr>
        <w:t>TPBidder/DownLoad/深圳市智慧采购平台投标文件制作专用软件.zip】。</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23.2投标人在使用《投标文件制作软件》编制投标书时须注意：</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23.2.1导入《投标文件制作软件》的招标文件项目编号、包号应与以此制作的投标文件项目编号、包号一致。例如，不能将甲项目A包的招标书导入《投标文件制作软件》，制作乙项目B包的投标书。</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23.2.2不能用非本公司的电子密钥加密本公司的投标文件，或者用其它公司的登录用户上传本公司的投标文件。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23.2.3要求用《投标文件制作软件》编制投标书的包，不能用其它方式编制投标书。编制投标文件时，电脑须连通互联网。</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23.2.4投标文件不能带病毒。采购代理机构将用专业杀毒软件对投标文件进行病毒检测，如果这两种软件均报告发现病毒，则采购代理机构认为该投标文件带病毒。</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23.2.5完整填写“投标关键信息”，如下图所示：</w:t>
      </w:r>
    </w:p>
    <w:p>
      <w:pPr>
        <w:tabs>
          <w:tab w:val="left" w:pos="0"/>
        </w:tabs>
        <w:spacing w:line="360" w:lineRule="auto"/>
        <w:rPr>
          <w:rFonts w:asciiTheme="majorEastAsia" w:hAnsiTheme="majorEastAsia" w:eastAsiaTheme="majorEastAsia"/>
          <w:szCs w:val="21"/>
        </w:rPr>
      </w:pPr>
      <w:r>
        <w:rPr>
          <w:rFonts w:asciiTheme="majorEastAsia" w:hAnsiTheme="majorEastAsia" w:eastAsiaTheme="majorEastAsia"/>
          <w:szCs w:val="21"/>
        </w:rPr>
        <w:drawing>
          <wp:inline distT="0" distB="0" distL="0" distR="0">
            <wp:extent cx="5278755" cy="2721610"/>
            <wp:effectExtent l="0" t="0" r="0" b="2540"/>
            <wp:docPr id="8" name="图片 6"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图形用户界面, 应用程序&#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pPr>
        <w:spacing w:line="360" w:lineRule="auto"/>
        <w:ind w:firstLine="413" w:firstLineChars="196"/>
        <w:rPr>
          <w:rFonts w:asciiTheme="majorEastAsia" w:hAnsiTheme="majorEastAsia" w:eastAsiaTheme="majorEastAsia"/>
          <w:b/>
          <w:szCs w:val="21"/>
        </w:rPr>
      </w:pPr>
      <w:r>
        <w:rPr>
          <w:rFonts w:hint="eastAsia" w:asciiTheme="majorEastAsia" w:hAnsiTheme="majorEastAsia" w:eastAsiaTheme="majorEastAsia"/>
          <w:b/>
          <w:szCs w:val="21"/>
        </w:rPr>
        <w:t>备注：上述“开标一览表”中的“投标总价”将作为价格分计算依据；其它信息仅是对投标文件相关内容的概括性表述，不作为评审依据。</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23.2.6投标人在编辑投标文件时，</w:t>
      </w:r>
      <w:r>
        <w:rPr>
          <w:rFonts w:hint="eastAsia" w:asciiTheme="majorEastAsia" w:hAnsiTheme="majorEastAsia" w:eastAsiaTheme="majorEastAsia"/>
          <w:b/>
          <w:szCs w:val="21"/>
        </w:rPr>
        <w:t>在投标文件目录中属于本节点内容的必须在本节点中填写，填写到其他节点或附件，</w:t>
      </w:r>
      <w:r>
        <w:rPr>
          <w:rFonts w:hint="eastAsia" w:asciiTheme="majorEastAsia" w:hAnsiTheme="majorEastAsia" w:eastAsiaTheme="majorEastAsia"/>
          <w:szCs w:val="21"/>
        </w:rPr>
        <w:t>一切后果由供应商自行承担。</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23.2.7投标文件编写完成后，</w:t>
      </w:r>
      <w:r>
        <w:rPr>
          <w:rFonts w:hint="eastAsia" w:asciiTheme="majorEastAsia" w:hAnsiTheme="majorEastAsia" w:eastAsiaTheme="majorEastAsia"/>
          <w:b/>
          <w:szCs w:val="21"/>
        </w:rPr>
        <w:t>必须用属于投标人的电子密钥进行加密，否则视同未盖公章，将导致投标文件无效。</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23.2.8采购代理机构不接受投标截止时间后递交的纸质、电子、传真等所有形式的投标文件。由于对网上政府采购系统操作不熟悉或自身电脑、网络等原因导致不能在投标截止时间之前上传投标文件，采购代理机构概不负责。建议于开标前一个工作日完成投标文件的制作与上传，如上传确有困难，请及时咨询。</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23.2.9如果开标时出现网络故障、技术故障，影响了政府采购活动，采购代理机构有权采取措施如延期、接受无法从网上上传的投标书等，以保障政府采购活动的公开、公平和公正。</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23.3电报、电话、传真形式的投标概不接受。</w:t>
      </w:r>
    </w:p>
    <w:p>
      <w:pPr>
        <w:spacing w:line="360" w:lineRule="auto"/>
        <w:ind w:firstLine="413" w:firstLineChars="196"/>
        <w:rPr>
          <w:rFonts w:asciiTheme="majorEastAsia" w:hAnsiTheme="majorEastAsia" w:eastAsiaTheme="majorEastAsia"/>
          <w:b/>
          <w:szCs w:val="21"/>
        </w:rPr>
      </w:pPr>
      <w:r>
        <w:rPr>
          <w:rFonts w:hint="eastAsia" w:asciiTheme="majorEastAsia" w:hAnsiTheme="majorEastAsia" w:eastAsiaTheme="majorEastAsia"/>
          <w:b/>
          <w:szCs w:val="21"/>
        </w:rPr>
        <w:t>23.4经投标人电子密钥加密的投标文件无须盖章或签字，</w:t>
      </w:r>
      <w:r>
        <w:rPr>
          <w:rFonts w:hint="eastAsia" w:asciiTheme="majorEastAsia" w:hAnsiTheme="majorEastAsia" w:eastAsiaTheme="majorEastAsia"/>
          <w:szCs w:val="21"/>
        </w:rPr>
        <w:t>专用条款另有要求的除外。</w:t>
      </w:r>
    </w:p>
    <w:p>
      <w:pPr>
        <w:spacing w:line="360" w:lineRule="auto"/>
        <w:ind w:firstLine="413" w:firstLineChars="196"/>
        <w:rPr>
          <w:rFonts w:asciiTheme="majorEastAsia" w:hAnsiTheme="majorEastAsia" w:eastAsiaTheme="majorEastAsia"/>
          <w:szCs w:val="21"/>
        </w:rPr>
      </w:pPr>
      <w:r>
        <w:rPr>
          <w:rFonts w:hint="eastAsia" w:asciiTheme="majorEastAsia" w:hAnsiTheme="majorEastAsia" w:eastAsiaTheme="majorEastAsia"/>
          <w:b/>
          <w:szCs w:val="21"/>
        </w:rPr>
        <w:t>23.5</w:t>
      </w:r>
      <w:r>
        <w:rPr>
          <w:rFonts w:hint="eastAsia" w:asciiTheme="majorEastAsia" w:hAnsiTheme="majorEastAsia" w:eastAsiaTheme="majorEastAsia"/>
          <w:szCs w:val="21"/>
        </w:rPr>
        <w:t xml:space="preserve"> 各类资格（资质）文件提供扫描件，专用条款另有要求的除外。</w:t>
      </w:r>
      <w:bookmarkEnd w:id="40"/>
    </w:p>
    <w:p>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hAnsiTheme="majorEastAsia" w:eastAsiaTheme="majorEastAsia"/>
          <w:b/>
          <w:bCs/>
          <w:kern w:val="0"/>
          <w:sz w:val="28"/>
          <w:szCs w:val="28"/>
        </w:rPr>
      </w:pPr>
      <w:r>
        <w:rPr>
          <w:rFonts w:hint="eastAsia" w:asciiTheme="majorEastAsia" w:hAnsiTheme="majorEastAsia" w:eastAsiaTheme="majorEastAsia"/>
          <w:b/>
          <w:bCs/>
          <w:kern w:val="0"/>
          <w:sz w:val="28"/>
          <w:szCs w:val="28"/>
        </w:rPr>
        <w:t>投标文件的递交</w:t>
      </w:r>
      <w:bookmarkStart w:id="41" w:name="_Hlk72405459"/>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24．投标书的保密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24.1在投标文件制作完成后，在投标文件制作软件点击【生成标书】按钮进入【填写开标一览表界面】界面，在该界面填写完开标一览表信息后点击【确定】，进入投标文件生成环节。投标文件制作软件会在投标文件生成过程中，提示用户输入密码，输入密码后对标文件自动进行加密，此加密程序确保投标文件在到达开标时间后才能解密查看。在加密过程中，请按照软件提示进行操作。加密操作界面如下图所示：</w:t>
      </w:r>
    </w:p>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drawing>
          <wp:inline distT="0" distB="0" distL="0" distR="0">
            <wp:extent cx="5278755" cy="2721610"/>
            <wp:effectExtent l="0" t="0" r="0" b="2540"/>
            <wp:docPr id="9" name="图片 7"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7" descr="图形用户界面, 应用程序&#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在投标文件制作软件点击【生成标书】按钮进入【填写开标一览表界面】界面，在该界面填写完开标一览表信息后点击【确定】，进入投标文件生成环节。</w:t>
      </w:r>
      <w:r>
        <w:rPr>
          <w:rFonts w:asciiTheme="majorEastAsia" w:hAnsiTheme="majorEastAsia" w:eastAsiaTheme="majorEastAsia"/>
          <w:szCs w:val="21"/>
        </w:rPr>
        <w:drawing>
          <wp:inline distT="0" distB="0" distL="0" distR="0">
            <wp:extent cx="5278755" cy="2732405"/>
            <wp:effectExtent l="0" t="0" r="0" b="0"/>
            <wp:docPr id="12" name="图片 8"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descr="图形用户界面&#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8755" cy="2732405"/>
                    </a:xfrm>
                    <a:prstGeom prst="rect">
                      <a:avLst/>
                    </a:prstGeom>
                    <a:noFill/>
                    <a:ln>
                      <a:noFill/>
                    </a:ln>
                  </pic:spPr>
                </pic:pic>
              </a:graphicData>
            </a:graphic>
          </wp:inline>
        </w:drawing>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投标文件制作软件会在投标文件生成过程中，提示用户输入密码，输入密码后对标文件自动进行加密。</w:t>
      </w:r>
    </w:p>
    <w:p>
      <w:pPr>
        <w:spacing w:line="360" w:lineRule="auto"/>
        <w:ind w:firstLine="422" w:firstLineChars="200"/>
        <w:rPr>
          <w:rFonts w:asciiTheme="majorEastAsia" w:hAnsiTheme="majorEastAsia" w:eastAsiaTheme="majorEastAsia"/>
          <w:b/>
          <w:szCs w:val="21"/>
        </w:rPr>
      </w:pPr>
      <w:r>
        <w:rPr>
          <w:rFonts w:hint="eastAsia" w:asciiTheme="majorEastAsia" w:hAnsiTheme="majorEastAsia" w:eastAsiaTheme="majorEastAsia"/>
          <w:b/>
          <w:szCs w:val="21"/>
        </w:rPr>
        <w:t>24.2若采购项目出现延期情况：</w:t>
      </w:r>
    </w:p>
    <w:p>
      <w:pPr>
        <w:spacing w:line="360" w:lineRule="auto"/>
        <w:ind w:firstLine="422" w:firstLineChars="200"/>
        <w:rPr>
          <w:rFonts w:asciiTheme="majorEastAsia" w:hAnsiTheme="majorEastAsia" w:eastAsiaTheme="majorEastAsia"/>
          <w:b/>
          <w:szCs w:val="21"/>
        </w:rPr>
      </w:pPr>
      <w:r>
        <w:rPr>
          <w:rFonts w:hint="eastAsia" w:asciiTheme="majorEastAsia" w:hAnsiTheme="majorEastAsia" w:eastAsiaTheme="majorEastAsia"/>
          <w:b/>
          <w:szCs w:val="21"/>
        </w:rPr>
        <w:t>如果供下载的招标文件（后缀名为.</w:t>
      </w:r>
      <w:r>
        <w:rPr>
          <w:rFonts w:asciiTheme="majorEastAsia" w:hAnsiTheme="majorEastAsia" w:eastAsiaTheme="majorEastAsia"/>
          <w:b/>
          <w:szCs w:val="21"/>
        </w:rPr>
        <w:t>szczf</w:t>
      </w:r>
      <w:r>
        <w:rPr>
          <w:rFonts w:hint="eastAsia" w:asciiTheme="majorEastAsia" w:hAnsiTheme="majorEastAsia" w:eastAsiaTheme="majorEastAsia"/>
          <w:b/>
          <w:szCs w:val="21"/>
        </w:rPr>
        <w:t>）有更新，投标人必须重新下载招标文件、重新制作投标文件、重新加密投标文件、重新上传投标文件；如果供下载的招标文件（后缀名为.</w:t>
      </w:r>
      <w:r>
        <w:rPr>
          <w:rFonts w:asciiTheme="majorEastAsia" w:hAnsiTheme="majorEastAsia" w:eastAsiaTheme="majorEastAsia"/>
          <w:b/>
          <w:szCs w:val="21"/>
        </w:rPr>
        <w:t>szczf</w:t>
      </w:r>
      <w:r>
        <w:rPr>
          <w:rFonts w:hint="eastAsia" w:asciiTheme="majorEastAsia" w:hAnsiTheme="majorEastAsia" w:eastAsiaTheme="majorEastAsia"/>
          <w:b/>
          <w:szCs w:val="21"/>
        </w:rPr>
        <w:t>）没有更新，投标人必须重新加密投标文件、重新上传投标文件（是否重新制作投标文件根据项目实际情况定）。否则，投标人自行承担投标文件无法解密导致投标无效的后果。</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25．上传投标文件及投标截止日期</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25</w:t>
      </w:r>
      <w:r>
        <w:rPr>
          <w:rFonts w:asciiTheme="majorEastAsia" w:hAnsiTheme="majorEastAsia" w:eastAsiaTheme="majorEastAsia"/>
          <w:szCs w:val="21"/>
        </w:rPr>
        <w:t>.</w:t>
      </w:r>
      <w:r>
        <w:rPr>
          <w:rFonts w:hint="eastAsia" w:asciiTheme="majorEastAsia" w:hAnsiTheme="majorEastAsia" w:eastAsiaTheme="majorEastAsia"/>
          <w:szCs w:val="21"/>
        </w:rPr>
        <w:t>1实行网上投标，</w:t>
      </w:r>
      <w:r>
        <w:rPr>
          <w:rFonts w:asciiTheme="majorEastAsia" w:hAnsiTheme="majorEastAsia" w:eastAsiaTheme="majorEastAsia"/>
          <w:szCs w:val="21"/>
        </w:rPr>
        <w:t>投标人必须</w:t>
      </w:r>
      <w:r>
        <w:rPr>
          <w:rFonts w:hint="eastAsia" w:asciiTheme="majorEastAsia" w:hAnsiTheme="majorEastAsia" w:eastAsiaTheme="majorEastAsia"/>
          <w:szCs w:val="21"/>
        </w:rPr>
        <w:t>在招标</w:t>
      </w:r>
      <w:r>
        <w:rPr>
          <w:rFonts w:asciiTheme="majorEastAsia" w:hAnsiTheme="majorEastAsia" w:eastAsiaTheme="majorEastAsia"/>
          <w:szCs w:val="21"/>
        </w:rPr>
        <w:t>文件规定的投标截止时间前</w:t>
      </w:r>
      <w:r>
        <w:rPr>
          <w:rFonts w:hint="eastAsia" w:asciiTheme="majorEastAsia" w:hAnsiTheme="majorEastAsia" w:eastAsiaTheme="majorEastAsia"/>
          <w:szCs w:val="21"/>
        </w:rPr>
        <w:t>用电子密钥登录“深圳政府采购智慧平台用户网上办事子系统（http://zfcg.szggzy.com/TPBidder/memberLogin）”，用“【我的项目】→【项目流程】→【递交投标(应答)文件】”功能点上传投标文件。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25.2采购代理机构可以按本通用条款第13条规定，通过修改招标文件自行决定酌情延长投标截止期。在此情况下，采购代理机构、采购人和投标人受投标截止期制约的所有权利和义务均应延长至新的截止期。</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25</w:t>
      </w:r>
      <w:r>
        <w:rPr>
          <w:rFonts w:asciiTheme="majorEastAsia" w:hAnsiTheme="majorEastAsia" w:eastAsiaTheme="majorEastAsia"/>
          <w:szCs w:val="21"/>
        </w:rPr>
        <w:t>.</w:t>
      </w:r>
      <w:r>
        <w:rPr>
          <w:rFonts w:hint="eastAsia" w:asciiTheme="majorEastAsia" w:hAnsiTheme="majorEastAsia" w:eastAsiaTheme="majorEastAsia"/>
          <w:szCs w:val="21"/>
        </w:rPr>
        <w:t>3投标截止时间以后不得上传投标文件。</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25.4.投标人须在开标当日的开标时间至解密截止时间内进行解密，逾期未解密的作无效处理。解密方法：登录“深圳政府采购智慧平台用户网上办事子系统（http://zfcg.szggzy.com/TPBidder/memberLogin）”，使用本单位制作电子投标文件同一个电子密钥，在“【我的项目】→【项目流程】→【开标及解密】”进行在线解密、查询开标情况。</w:t>
      </w:r>
    </w:p>
    <w:bookmarkEnd w:id="41"/>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26. 样品、现场演示、方案讲解</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26.1 样品、现场演示、方案讲解等事项在招标文件专用条款中进行规定。</w:t>
      </w:r>
    </w:p>
    <w:p>
      <w:pPr>
        <w:spacing w:line="360" w:lineRule="auto"/>
        <w:rPr>
          <w:rFonts w:asciiTheme="majorEastAsia" w:hAnsiTheme="majorEastAsia" w:eastAsiaTheme="majorEastAsia"/>
          <w:b/>
          <w:bCs/>
          <w:szCs w:val="21"/>
        </w:rPr>
      </w:pPr>
      <w:bookmarkStart w:id="42" w:name="_Hlk72428346"/>
      <w:r>
        <w:rPr>
          <w:rFonts w:asciiTheme="majorEastAsia" w:hAnsiTheme="majorEastAsia" w:eastAsiaTheme="majorEastAsia"/>
          <w:b/>
          <w:bCs/>
          <w:szCs w:val="21"/>
        </w:rPr>
        <w:t>2</w:t>
      </w:r>
      <w:r>
        <w:rPr>
          <w:rFonts w:hint="eastAsia" w:asciiTheme="majorEastAsia" w:hAnsiTheme="majorEastAsia" w:eastAsiaTheme="majorEastAsia"/>
          <w:b/>
          <w:bCs/>
          <w:szCs w:val="21"/>
        </w:rPr>
        <w:t>7．</w:t>
      </w:r>
      <w:r>
        <w:rPr>
          <w:rFonts w:asciiTheme="majorEastAsia" w:hAnsiTheme="majorEastAsia" w:eastAsiaTheme="majorEastAsia"/>
          <w:b/>
          <w:bCs/>
          <w:szCs w:val="21"/>
        </w:rPr>
        <w:t>投标文件的修改和撤销</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2</w:t>
      </w:r>
      <w:r>
        <w:rPr>
          <w:rFonts w:hint="eastAsia" w:asciiTheme="majorEastAsia" w:hAnsiTheme="majorEastAsia" w:eastAsiaTheme="majorEastAsia"/>
          <w:szCs w:val="21"/>
        </w:rPr>
        <w:t>7</w:t>
      </w:r>
      <w:r>
        <w:rPr>
          <w:rFonts w:asciiTheme="majorEastAsia" w:hAnsiTheme="majorEastAsia" w:eastAsiaTheme="majorEastAsia"/>
          <w:szCs w:val="21"/>
        </w:rPr>
        <w:t>.</w:t>
      </w:r>
      <w:r>
        <w:rPr>
          <w:rFonts w:hint="eastAsia" w:asciiTheme="majorEastAsia" w:hAnsiTheme="majorEastAsia" w:eastAsiaTheme="majorEastAsia"/>
          <w:szCs w:val="21"/>
        </w:rPr>
        <w:t>1</w:t>
      </w:r>
      <w:r>
        <w:rPr>
          <w:rFonts w:asciiTheme="majorEastAsia" w:hAnsiTheme="majorEastAsia" w:eastAsiaTheme="majorEastAsia"/>
          <w:szCs w:val="21"/>
        </w:rPr>
        <w:t>投标方在提交投标文件后可对其投标文件进行修改</w:t>
      </w:r>
      <w:r>
        <w:rPr>
          <w:rFonts w:hint="eastAsia" w:asciiTheme="majorEastAsia" w:hAnsiTheme="majorEastAsia" w:eastAsiaTheme="majorEastAsia"/>
          <w:szCs w:val="21"/>
        </w:rPr>
        <w:t>并重新上传投标文件</w:t>
      </w:r>
      <w:r>
        <w:rPr>
          <w:rFonts w:asciiTheme="majorEastAsia" w:hAnsiTheme="majorEastAsia" w:eastAsiaTheme="majorEastAsia"/>
          <w:szCs w:val="21"/>
        </w:rPr>
        <w:t>或</w:t>
      </w:r>
      <w:r>
        <w:rPr>
          <w:rFonts w:hint="eastAsia" w:asciiTheme="majorEastAsia" w:hAnsiTheme="majorEastAsia" w:eastAsiaTheme="majorEastAsia"/>
          <w:szCs w:val="21"/>
        </w:rPr>
        <w:t>在网上进行</w:t>
      </w:r>
      <w:r>
        <w:rPr>
          <w:rFonts w:asciiTheme="majorEastAsia" w:hAnsiTheme="majorEastAsia" w:eastAsiaTheme="majorEastAsia"/>
          <w:szCs w:val="21"/>
        </w:rPr>
        <w:t>撤销</w:t>
      </w:r>
      <w:r>
        <w:rPr>
          <w:rFonts w:hint="eastAsia" w:asciiTheme="majorEastAsia" w:hAnsiTheme="majorEastAsia" w:eastAsiaTheme="majorEastAsia"/>
          <w:szCs w:val="21"/>
        </w:rPr>
        <w:t>投标的操作</w:t>
      </w:r>
      <w:r>
        <w:rPr>
          <w:rFonts w:asciiTheme="majorEastAsia" w:hAnsiTheme="majorEastAsia" w:eastAsiaTheme="majorEastAsia"/>
          <w:szCs w:val="21"/>
        </w:rPr>
        <w:t>。</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2</w:t>
      </w:r>
      <w:r>
        <w:rPr>
          <w:rFonts w:hint="eastAsia" w:asciiTheme="majorEastAsia" w:hAnsiTheme="majorEastAsia" w:eastAsiaTheme="majorEastAsia"/>
          <w:szCs w:val="21"/>
        </w:rPr>
        <w:t>7</w:t>
      </w:r>
      <w:r>
        <w:rPr>
          <w:rFonts w:asciiTheme="majorEastAsia" w:hAnsiTheme="majorEastAsia" w:eastAsiaTheme="majorEastAsia"/>
          <w:szCs w:val="21"/>
        </w:rPr>
        <w:t>.</w:t>
      </w:r>
      <w:r>
        <w:rPr>
          <w:rFonts w:hint="eastAsia" w:asciiTheme="majorEastAsia" w:hAnsiTheme="majorEastAsia" w:eastAsiaTheme="majorEastAsia"/>
          <w:szCs w:val="21"/>
        </w:rPr>
        <w:t>2</w:t>
      </w:r>
      <w:r>
        <w:rPr>
          <w:rFonts w:asciiTheme="majorEastAsia" w:hAnsiTheme="majorEastAsia" w:eastAsiaTheme="majorEastAsia"/>
          <w:szCs w:val="21"/>
        </w:rPr>
        <w:t>投标截止时间以后不得修改投标文件。</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2</w:t>
      </w:r>
      <w:r>
        <w:rPr>
          <w:rFonts w:hint="eastAsia" w:asciiTheme="majorEastAsia" w:hAnsiTheme="majorEastAsia" w:eastAsiaTheme="majorEastAsia"/>
          <w:szCs w:val="21"/>
        </w:rPr>
        <w:t>7</w:t>
      </w:r>
      <w:r>
        <w:rPr>
          <w:rFonts w:asciiTheme="majorEastAsia" w:hAnsiTheme="majorEastAsia" w:eastAsiaTheme="majorEastAsia"/>
          <w:szCs w:val="21"/>
        </w:rPr>
        <w:t>.</w:t>
      </w:r>
      <w:r>
        <w:rPr>
          <w:rFonts w:hint="eastAsia" w:asciiTheme="majorEastAsia" w:hAnsiTheme="majorEastAsia" w:eastAsiaTheme="majorEastAsia"/>
          <w:szCs w:val="21"/>
        </w:rPr>
        <w:t>3从投标截止期至投标人在投标文件中确定的投标有效期之间的这段时间内，投标人不得撤回其投标。</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27.4采购代理机构不退还投标文件，专用条款另有规定的除外。</w:t>
      </w:r>
    </w:p>
    <w:bookmarkEnd w:id="42"/>
    <w:p>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hAnsiTheme="majorEastAsia" w:eastAsiaTheme="majorEastAsia"/>
          <w:b/>
          <w:bCs/>
          <w:kern w:val="0"/>
          <w:sz w:val="28"/>
          <w:szCs w:val="28"/>
        </w:rPr>
      </w:pPr>
      <w:r>
        <w:rPr>
          <w:rFonts w:hint="eastAsia" w:asciiTheme="majorEastAsia" w:hAnsiTheme="majorEastAsia" w:eastAsiaTheme="majorEastAsia"/>
          <w:b/>
          <w:bCs/>
          <w:kern w:val="0"/>
          <w:sz w:val="28"/>
          <w:szCs w:val="28"/>
        </w:rPr>
        <w:t>开标</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28．开标</w:t>
      </w:r>
    </w:p>
    <w:p>
      <w:pPr>
        <w:spacing w:line="360" w:lineRule="auto"/>
        <w:ind w:firstLine="420" w:firstLineChars="200"/>
        <w:rPr>
          <w:rFonts w:asciiTheme="majorEastAsia" w:hAnsiTheme="majorEastAsia" w:eastAsiaTheme="majorEastAsia"/>
          <w:szCs w:val="21"/>
        </w:rPr>
      </w:pPr>
      <w:r>
        <w:rPr>
          <w:rFonts w:asciiTheme="majorEastAsia" w:hAnsiTheme="majorEastAsia" w:eastAsiaTheme="majorEastAsia"/>
          <w:szCs w:val="21"/>
        </w:rPr>
        <w:t>2</w:t>
      </w:r>
      <w:r>
        <w:rPr>
          <w:rFonts w:hint="eastAsia" w:asciiTheme="majorEastAsia" w:hAnsiTheme="majorEastAsia" w:eastAsiaTheme="majorEastAsia"/>
          <w:szCs w:val="21"/>
        </w:rPr>
        <w:t>8</w:t>
      </w:r>
      <w:r>
        <w:rPr>
          <w:rFonts w:asciiTheme="majorEastAsia" w:hAnsiTheme="majorEastAsia" w:eastAsiaTheme="majorEastAsia"/>
          <w:szCs w:val="21"/>
        </w:rPr>
        <w:t>.</w:t>
      </w:r>
      <w:r>
        <w:rPr>
          <w:rFonts w:hint="eastAsia" w:asciiTheme="majorEastAsia" w:hAnsiTheme="majorEastAsia" w:eastAsiaTheme="majorEastAsia"/>
          <w:szCs w:val="21"/>
        </w:rPr>
        <w:t>1投标人须在开标当日的开标时间至解密截止时间内进行解密，逾期未解密的作无效处理。解密方法：登录“深圳政府采购智慧平台用户网上办事子系统（</w:t>
      </w:r>
      <w:r>
        <w:rPr>
          <w:rFonts w:asciiTheme="majorEastAsia" w:hAnsiTheme="majorEastAsia" w:eastAsiaTheme="majorEastAsia"/>
          <w:szCs w:val="21"/>
        </w:rPr>
        <w:t>http://zfcg.szggzy.com/</w:t>
      </w:r>
      <w:r>
        <w:rPr>
          <w:rFonts w:hint="eastAsia" w:asciiTheme="majorEastAsia" w:hAnsiTheme="majorEastAsia" w:eastAsiaTheme="majorEastAsia"/>
          <w:szCs w:val="21"/>
        </w:rPr>
        <w:t>TPBidder/memberLogin）”，使用本单位制作电子投标文件同一个电子密钥，在“【我的项目】→【项目流程】→【开标及解密】”进行在线解密、查询开标情况。</w:t>
      </w:r>
    </w:p>
    <w:p>
      <w:pPr>
        <w:spacing w:line="360" w:lineRule="auto"/>
        <w:ind w:firstLine="359" w:firstLineChars="171"/>
        <w:rPr>
          <w:rFonts w:asciiTheme="majorEastAsia" w:hAnsiTheme="majorEastAsia" w:eastAsiaTheme="majorEastAsia"/>
          <w:szCs w:val="21"/>
        </w:rPr>
      </w:pPr>
      <w:r>
        <w:rPr>
          <w:rFonts w:hint="eastAsia" w:asciiTheme="majorEastAsia" w:hAnsiTheme="majorEastAsia" w:eastAsiaTheme="majorEastAsia"/>
          <w:szCs w:val="21"/>
        </w:rPr>
        <w:t>2</w:t>
      </w:r>
      <w:r>
        <w:rPr>
          <w:rFonts w:asciiTheme="majorEastAsia" w:hAnsiTheme="majorEastAsia" w:eastAsiaTheme="majorEastAsia"/>
          <w:szCs w:val="21"/>
        </w:rPr>
        <w:t xml:space="preserve">8.2 </w:t>
      </w:r>
      <w:r>
        <w:rPr>
          <w:rFonts w:hint="eastAsia" w:asciiTheme="majorEastAsia" w:hAnsiTheme="majorEastAsia" w:eastAsiaTheme="majorEastAsia"/>
          <w:szCs w:val="21"/>
        </w:rPr>
        <w:t>采购代理机构将在满足开标条件（</w:t>
      </w:r>
      <w:r>
        <w:rPr>
          <w:rFonts w:hint="eastAsia" w:cs="宋体" w:asciiTheme="majorEastAsia" w:hAnsiTheme="majorEastAsia" w:eastAsiaTheme="majorEastAsia"/>
          <w:color w:val="333333"/>
          <w:szCs w:val="21"/>
          <w:shd w:val="clear" w:color="auto" w:fill="FFFFFF"/>
        </w:rPr>
        <w:t>①</w:t>
      </w:r>
      <w:r>
        <w:rPr>
          <w:rFonts w:hint="eastAsia" w:asciiTheme="majorEastAsia" w:hAnsiTheme="majorEastAsia" w:eastAsiaTheme="majorEastAsia"/>
          <w:szCs w:val="21"/>
        </w:rPr>
        <w:t>解密时间结束，解密后的投标供应商数量满足开标要求或</w:t>
      </w:r>
      <w:r>
        <w:rPr>
          <w:rFonts w:hint="eastAsia" w:cs="宋体" w:asciiTheme="majorEastAsia" w:hAnsiTheme="majorEastAsia" w:eastAsiaTheme="majorEastAsia"/>
          <w:color w:val="333333"/>
          <w:szCs w:val="21"/>
          <w:shd w:val="clear" w:color="auto" w:fill="FFFFFF"/>
        </w:rPr>
        <w:t>②</w:t>
      </w:r>
      <w:r>
        <w:rPr>
          <w:rFonts w:hint="eastAsia" w:asciiTheme="majorEastAsia" w:hAnsiTheme="majorEastAsia" w:eastAsiaTheme="majorEastAsia"/>
          <w:szCs w:val="21"/>
        </w:rPr>
        <w:t>解密时间结束前所有投标供应商均完成投标文件解密）后，对投标文件进行开标，并在网上公布开标结果。</w:t>
      </w:r>
    </w:p>
    <w:p>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hAnsiTheme="majorEastAsia" w:eastAsiaTheme="majorEastAsia"/>
          <w:b/>
          <w:bCs/>
          <w:kern w:val="0"/>
          <w:sz w:val="28"/>
          <w:szCs w:val="28"/>
        </w:rPr>
      </w:pPr>
      <w:r>
        <w:rPr>
          <w:rFonts w:hint="eastAsia" w:asciiTheme="majorEastAsia" w:hAnsiTheme="majorEastAsia" w:eastAsiaTheme="majorEastAsia"/>
          <w:b/>
          <w:bCs/>
          <w:kern w:val="0"/>
          <w:sz w:val="28"/>
          <w:szCs w:val="28"/>
        </w:rPr>
        <w:t>评审要求</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29．评审委员会组成</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29.1网上开标结束后召开评审会议，评审委员会由采购代理机构依法组建，负责评审活动。</w:t>
      </w:r>
    </w:p>
    <w:p>
      <w:pPr>
        <w:spacing w:line="360" w:lineRule="auto"/>
        <w:ind w:firstLine="411" w:firstLineChars="196"/>
        <w:rPr>
          <w:rFonts w:asciiTheme="majorEastAsia" w:hAnsiTheme="majorEastAsia" w:eastAsiaTheme="majorEastAsia"/>
          <w:szCs w:val="21"/>
        </w:rPr>
      </w:pPr>
      <w:bookmarkStart w:id="43" w:name="_Hlk72436580"/>
      <w:r>
        <w:rPr>
          <w:rFonts w:hint="eastAsia" w:asciiTheme="majorEastAsia" w:hAnsiTheme="majorEastAsia" w:eastAsiaTheme="majorEastAsia"/>
          <w:szCs w:val="21"/>
        </w:rPr>
        <w:t>评审委员会由采购人代表和评审专家组成，成员人数应当为5人以上单数（部分条件下为7人以上单数），其中评审专家不得少于成员总数的三分之二。</w:t>
      </w:r>
      <w:bookmarkEnd w:id="43"/>
      <w:r>
        <w:rPr>
          <w:rFonts w:hint="eastAsia" w:asciiTheme="majorEastAsia" w:hAnsiTheme="majorEastAsia" w:eastAsiaTheme="majorEastAsia"/>
          <w:szCs w:val="21"/>
        </w:rPr>
        <w:t>评定分离项目</w:t>
      </w:r>
      <w:r>
        <w:rPr>
          <w:rFonts w:asciiTheme="majorEastAsia" w:hAnsiTheme="majorEastAsia" w:eastAsiaTheme="majorEastAsia"/>
          <w:szCs w:val="21"/>
        </w:rPr>
        <w:t>评审专家</w:t>
      </w:r>
      <w:r>
        <w:rPr>
          <w:rFonts w:hint="eastAsia" w:asciiTheme="majorEastAsia" w:hAnsiTheme="majorEastAsia" w:eastAsiaTheme="majorEastAsia"/>
          <w:szCs w:val="21"/>
        </w:rPr>
        <w:t>均</w:t>
      </w:r>
      <w:r>
        <w:rPr>
          <w:rFonts w:asciiTheme="majorEastAsia" w:hAnsiTheme="majorEastAsia" w:eastAsiaTheme="majorEastAsia"/>
          <w:szCs w:val="21"/>
        </w:rPr>
        <w:t>由</w:t>
      </w:r>
      <w:r>
        <w:rPr>
          <w:rFonts w:hint="eastAsia" w:asciiTheme="majorEastAsia" w:hAnsiTheme="majorEastAsia" w:eastAsiaTheme="majorEastAsia"/>
          <w:szCs w:val="21"/>
        </w:rPr>
        <w:t>评审专家组成。评审专家一般是从深圳市政府采购评审专家库中随机抽取。采购人代表须持本单位签发的《评审授权书》参加评审。</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29.2评审定标应当遵循公平、公正、科学、择优的原则。</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29.3评审活动依法进行，任何单位和个人不得非法干预评标过程和结果。</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29.4评审过程中不允许违背评标程序或采用招标文件未载明的评标方法或评标因素进行评标。</w:t>
      </w:r>
    </w:p>
    <w:p>
      <w:pPr>
        <w:spacing w:line="360" w:lineRule="auto"/>
        <w:ind w:firstLine="411" w:firstLineChars="196"/>
        <w:rPr>
          <w:rFonts w:asciiTheme="majorEastAsia" w:hAnsiTheme="majorEastAsia" w:eastAsiaTheme="majorEastAsia"/>
          <w:bCs/>
          <w:szCs w:val="21"/>
        </w:rPr>
      </w:pPr>
      <w:r>
        <w:rPr>
          <w:rFonts w:hint="eastAsia" w:asciiTheme="majorEastAsia" w:hAnsiTheme="majorEastAsia" w:eastAsiaTheme="majorEastAsia"/>
          <w:bCs/>
          <w:szCs w:val="21"/>
        </w:rPr>
        <w:t>29.5 开标后，直到签订合同为止，凡属于对投标文件的审查、澄清、评价和比较的有关资料以及中标候选人的推荐情况、与评审有关的其他任何情况均严格保密（</w:t>
      </w:r>
      <w:r>
        <w:rPr>
          <w:rFonts w:hint="eastAsia" w:asciiTheme="majorEastAsia" w:hAnsiTheme="majorEastAsia" w:eastAsiaTheme="majorEastAsia"/>
          <w:szCs w:val="21"/>
        </w:rPr>
        <w:t>信息公开的内容除外</w:t>
      </w:r>
      <w:r>
        <w:rPr>
          <w:rFonts w:hint="eastAsia" w:asciiTheme="majorEastAsia" w:hAnsiTheme="majorEastAsia" w:eastAsiaTheme="majorEastAsia"/>
          <w:bCs/>
          <w:szCs w:val="21"/>
        </w:rPr>
        <w:t>）。</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30．向评审委员会提供的资料</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30.1公开发布的招标文件，包括图纸、服务清单、答疑文件等；</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30.2其他评标必须的资料。</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30.3评审委员会应当认真研究招标文件，至少应了解熟悉以下内容：</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（1）招标的目的；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（2）招标项目需求的范围和性质；</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（3）招标文件规定的投标人的资格、财政预算限额、商务条款；</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（4）招标文件规定的评标程序、评标方法和评标因素；</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（5）招标文件所列示的资格性审查表及符合性审查表。</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31．独立评审</w:t>
      </w:r>
    </w:p>
    <w:p>
      <w:pPr>
        <w:spacing w:line="360" w:lineRule="auto"/>
        <w:ind w:firstLine="411" w:firstLineChars="196"/>
        <w:rPr>
          <w:rFonts w:asciiTheme="majorEastAsia" w:hAnsiTheme="majorEastAsia" w:eastAsiaTheme="majorEastAsia"/>
          <w:bCs/>
          <w:szCs w:val="21"/>
        </w:rPr>
      </w:pPr>
      <w:r>
        <w:rPr>
          <w:rFonts w:hint="eastAsia" w:asciiTheme="majorEastAsia" w:hAnsiTheme="majorEastAsia" w:eastAsiaTheme="majorEastAsia"/>
          <w:bCs/>
          <w:szCs w:val="21"/>
        </w:rPr>
        <w:t>3</w:t>
      </w:r>
      <w:r>
        <w:rPr>
          <w:rFonts w:asciiTheme="majorEastAsia" w:hAnsiTheme="majorEastAsia" w:eastAsiaTheme="majorEastAsia"/>
          <w:bCs/>
          <w:szCs w:val="21"/>
        </w:rPr>
        <w:t>1</w:t>
      </w:r>
      <w:r>
        <w:rPr>
          <w:rFonts w:hint="eastAsia" w:asciiTheme="majorEastAsia" w:hAnsiTheme="majorEastAsia" w:eastAsiaTheme="majorEastAsia"/>
          <w:bCs/>
          <w:szCs w:val="21"/>
        </w:rPr>
        <w:t>.1</w:t>
      </w:r>
      <w:r>
        <w:rPr>
          <w:rFonts w:hint="eastAsia" w:asciiTheme="majorEastAsia" w:hAnsiTheme="majorEastAsia" w:eastAsiaTheme="majorEastAsia"/>
          <w:szCs w:val="21"/>
        </w:rPr>
        <w:t>评审委员会</w:t>
      </w:r>
      <w:r>
        <w:rPr>
          <w:rFonts w:hint="eastAsia" w:asciiTheme="majorEastAsia" w:hAnsiTheme="majorEastAsia" w:eastAsiaTheme="majorEastAsia"/>
          <w:bCs/>
          <w:szCs w:val="21"/>
        </w:rPr>
        <w:t>成员的评标活动应当独立进行，并应遵循投标文件初审、澄清有关问题、比较与评价、确定中标供应商、编写评审报告的工作程序。</w:t>
      </w:r>
    </w:p>
    <w:p>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hAnsiTheme="majorEastAsia" w:eastAsiaTheme="majorEastAsia"/>
          <w:b/>
          <w:bCs/>
          <w:kern w:val="0"/>
          <w:sz w:val="28"/>
          <w:szCs w:val="28"/>
        </w:rPr>
      </w:pPr>
      <w:r>
        <w:rPr>
          <w:rFonts w:hint="eastAsia" w:asciiTheme="majorEastAsia" w:hAnsiTheme="majorEastAsia" w:eastAsiaTheme="majorEastAsia"/>
          <w:b/>
          <w:bCs/>
          <w:kern w:val="0"/>
          <w:sz w:val="28"/>
          <w:szCs w:val="28"/>
        </w:rPr>
        <w:t>评审程序及评审方法</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32．投标文件初审</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32.1投标文件初审包括资格性审查和符合性审查。</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资格性审查：依据法律法规和招标文件的规定，对投标文件中的资格证明等进行审查，以确定投标供应商是否具备投标资格。</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符合性审查：依据招标文件的规定，对投标文件的有效性、完整性和对招标文件的响应程度进行审查，以确定是否满足符合性审查的要求。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32.2 投标文件初审内容请详见《资格性审查表》和《符合性审查表》部分。投标人若有一条审查不通过则按投标无效处理。</w:t>
      </w:r>
    </w:p>
    <w:p>
      <w:pPr>
        <w:spacing w:line="360" w:lineRule="auto"/>
        <w:ind w:firstLine="411" w:firstLineChars="196"/>
        <w:rPr>
          <w:rFonts w:asciiTheme="majorEastAsia" w:hAnsiTheme="majorEastAsia" w:eastAsiaTheme="majorEastAsia"/>
          <w:bCs/>
          <w:szCs w:val="21"/>
        </w:rPr>
      </w:pPr>
      <w:r>
        <w:rPr>
          <w:rFonts w:hint="eastAsia" w:asciiTheme="majorEastAsia" w:hAnsiTheme="majorEastAsia" w:eastAsiaTheme="majorEastAsia"/>
          <w:bCs/>
          <w:szCs w:val="21"/>
        </w:rPr>
        <w:t>32.3 投标文件初审中关于供应商家数的计算:</w:t>
      </w:r>
    </w:p>
    <w:p>
      <w:pPr>
        <w:spacing w:line="360" w:lineRule="auto"/>
        <w:ind w:firstLine="411" w:firstLineChars="196"/>
        <w:rPr>
          <w:rFonts w:asciiTheme="majorEastAsia" w:hAnsiTheme="majorEastAsia" w:eastAsiaTheme="majorEastAsia"/>
          <w:bCs/>
          <w:szCs w:val="21"/>
        </w:rPr>
      </w:pPr>
      <w:r>
        <w:rPr>
          <w:rFonts w:hint="eastAsia" w:asciiTheme="majorEastAsia" w:hAnsiTheme="majorEastAsia" w:eastAsiaTheme="majorEastAsia"/>
          <w:bCs/>
          <w:szCs w:val="21"/>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pPr>
        <w:spacing w:line="360" w:lineRule="auto"/>
        <w:ind w:firstLine="411" w:firstLineChars="196"/>
        <w:rPr>
          <w:rFonts w:asciiTheme="majorEastAsia" w:hAnsiTheme="majorEastAsia" w:eastAsiaTheme="majorEastAsia"/>
          <w:bCs/>
          <w:szCs w:val="21"/>
        </w:rPr>
      </w:pPr>
      <w:r>
        <w:rPr>
          <w:rFonts w:hint="eastAsia" w:asciiTheme="majorEastAsia" w:hAnsiTheme="majorEastAsia" w:eastAsiaTheme="majorEastAsia"/>
          <w:bCs/>
          <w:szCs w:val="21"/>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审委员会按照招标文件规定的方式确定一个投标人获得中标人推荐资格，招标文件未规定的采取随机抽取方式确定，其他同品牌投标人不作为中标候选人。</w:t>
      </w:r>
    </w:p>
    <w:p>
      <w:pPr>
        <w:spacing w:line="360" w:lineRule="auto"/>
        <w:ind w:firstLine="411" w:firstLineChars="196"/>
        <w:rPr>
          <w:rFonts w:asciiTheme="majorEastAsia" w:hAnsiTheme="majorEastAsia" w:eastAsiaTheme="majorEastAsia"/>
          <w:bCs/>
          <w:szCs w:val="21"/>
        </w:rPr>
      </w:pPr>
      <w:r>
        <w:rPr>
          <w:rFonts w:hint="eastAsia" w:asciiTheme="majorEastAsia" w:hAnsiTheme="majorEastAsia" w:eastAsiaTheme="majorEastAsia"/>
          <w:bCs/>
          <w:szCs w:val="21"/>
        </w:rPr>
        <w:t>32.3.3非单一产品采购项目，采购人应当根据采购项目技术构成、产品价格比重等合理确定核心产品，并在招标文件中载明。多家投标人提供的核心产品品牌相同的，按前两款规定处理。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32.4投标人投标文件作无效处理的情形，具体包括但不限于以下：</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32.4.1不同投标人的投标文件由同一单位或者同一个人编制，或者由同一个人分阶段参与编制；</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32.4.</w:t>
      </w:r>
      <w:r>
        <w:rPr>
          <w:rFonts w:hint="eastAsia" w:asciiTheme="majorEastAsia" w:hAnsiTheme="majorEastAsia" w:eastAsiaTheme="majorEastAsia"/>
          <w:szCs w:val="21"/>
        </w:rPr>
        <w:t>2不同投标人委托同一单位或者个人办理投标事宜；</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32.4.3不同投标人的投标文件载明的项目管理成员或者联系人员为同一人；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32.4.4不同投标人的投标文件异常一致或者投标报价呈规律性差异；</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32.4.5</w:t>
      </w:r>
      <w:r>
        <w:rPr>
          <w:rFonts w:asciiTheme="majorEastAsia" w:hAnsiTheme="majorEastAsia" w:eastAsiaTheme="majorEastAsia"/>
          <w:szCs w:val="21"/>
        </w:rPr>
        <w:t>不同投标供应商的投标文件或部分投标文件相互混装</w:t>
      </w:r>
      <w:r>
        <w:rPr>
          <w:rFonts w:hint="eastAsia" w:asciiTheme="majorEastAsia" w:hAnsiTheme="majorEastAsia" w:eastAsiaTheme="majorEastAsia"/>
          <w:szCs w:val="21"/>
        </w:rPr>
        <w:t>；</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32.4.6投标供应商之间相互约定给予未中标的供应商利益补偿；</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32.4.7不同投标供应商的法定代表人、主要经营负责人、项目投标授权代表人、项目负责人、主要技术人员为同一人、属同一单位或者同一单位缴纳社会保险；</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32.4.8不同投标供应商的投标文件内容存在非正常一致；</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32.4.9在同一单位工作人员为两家以上（含两家）供应商进行同一项投标活动；</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32.4.10主管部门依照法律、法规认定的其他情形。</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32.5对不属于《资格性审查表》和《符合性审查表》所列的其他情形，除专用条款另有规定和32.4条款所列情形外，不得作为投标无效的理由。</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33．澄清有关问题</w:t>
      </w:r>
    </w:p>
    <w:p>
      <w:pPr>
        <w:spacing w:line="360" w:lineRule="auto"/>
        <w:ind w:firstLine="411" w:firstLineChars="196"/>
        <w:rPr>
          <w:rFonts w:asciiTheme="majorEastAsia" w:hAnsiTheme="majorEastAsia" w:eastAsiaTheme="majorEastAsia"/>
          <w:szCs w:val="21"/>
        </w:rPr>
      </w:pPr>
      <w:bookmarkStart w:id="44" w:name="_Hlk71407321"/>
      <w:r>
        <w:rPr>
          <w:rFonts w:hint="eastAsia" w:asciiTheme="majorEastAsia" w:hAnsiTheme="majorEastAsia" w:eastAsiaTheme="majorEastAsia"/>
          <w:szCs w:val="21"/>
        </w:rPr>
        <w:t>3</w:t>
      </w:r>
      <w:r>
        <w:rPr>
          <w:rFonts w:asciiTheme="majorEastAsia" w:hAnsiTheme="majorEastAsia" w:eastAsiaTheme="majorEastAsia"/>
          <w:szCs w:val="21"/>
        </w:rPr>
        <w:t>3.1</w:t>
      </w:r>
      <w:r>
        <w:rPr>
          <w:rFonts w:hint="eastAsia" w:asciiTheme="majorEastAsia" w:hAnsiTheme="majorEastAsia" w:eastAsiaTheme="majorEastAsia"/>
          <w:szCs w:val="21"/>
        </w:rPr>
        <w:t>对招标文件中描述有歧义或前后不一致的地方（不含</w:t>
      </w:r>
      <w:r>
        <w:rPr>
          <w:rFonts w:asciiTheme="majorEastAsia" w:hAnsiTheme="majorEastAsia" w:eastAsiaTheme="majorEastAsia"/>
          <w:szCs w:val="21"/>
        </w:rPr>
        <w:t>招标文件存在歧义、重大缺陷导致评</w:t>
      </w:r>
      <w:r>
        <w:rPr>
          <w:rFonts w:hint="eastAsia" w:asciiTheme="majorEastAsia" w:hAnsiTheme="majorEastAsia" w:eastAsiaTheme="majorEastAsia"/>
          <w:szCs w:val="21"/>
        </w:rPr>
        <w:t>审</w:t>
      </w:r>
      <w:r>
        <w:rPr>
          <w:rFonts w:asciiTheme="majorEastAsia" w:hAnsiTheme="majorEastAsia" w:eastAsiaTheme="majorEastAsia"/>
          <w:szCs w:val="21"/>
        </w:rPr>
        <w:t>工作无法进行</w:t>
      </w:r>
      <w:r>
        <w:rPr>
          <w:rFonts w:hint="eastAsia" w:asciiTheme="majorEastAsia" w:hAnsiTheme="majorEastAsia" w:eastAsiaTheme="majorEastAsia"/>
          <w:szCs w:val="21"/>
        </w:rPr>
        <w:t>的情况），评审委员会有权进行评判，但对同一条款的评判应适用于每个投标人。</w:t>
      </w:r>
      <w:bookmarkEnd w:id="44"/>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w:t>
      </w:r>
      <w:r>
        <w:rPr>
          <w:rFonts w:asciiTheme="majorEastAsia" w:hAnsiTheme="majorEastAsia" w:eastAsiaTheme="majorEastAsia"/>
          <w:szCs w:val="21"/>
        </w:rPr>
        <w:t>3.2评</w:t>
      </w:r>
      <w:r>
        <w:rPr>
          <w:rFonts w:hint="eastAsia" w:asciiTheme="majorEastAsia" w:hAnsiTheme="majorEastAsia" w:eastAsiaTheme="majorEastAsia"/>
          <w:szCs w:val="21"/>
        </w:rPr>
        <w:t>审</w:t>
      </w:r>
      <w:r>
        <w:rPr>
          <w:rFonts w:asciiTheme="majorEastAsia" w:hAnsiTheme="majorEastAsia" w:eastAsiaTheme="majorEastAsia"/>
          <w:szCs w:val="21"/>
        </w:rPr>
        <w:t>委员会发现招标文件存在歧义、重大缺陷导致评</w:t>
      </w:r>
      <w:r>
        <w:rPr>
          <w:rFonts w:hint="eastAsia" w:asciiTheme="majorEastAsia" w:hAnsiTheme="majorEastAsia" w:eastAsiaTheme="majorEastAsia"/>
          <w:szCs w:val="21"/>
        </w:rPr>
        <w:t>审</w:t>
      </w:r>
      <w:r>
        <w:rPr>
          <w:rFonts w:asciiTheme="majorEastAsia" w:hAnsiTheme="majorEastAsia" w:eastAsiaTheme="majorEastAsia"/>
          <w:szCs w:val="21"/>
        </w:rPr>
        <w:t>工作无法进行，或者招标文件内容违反国家有关强制性规定的，应当停止评</w:t>
      </w:r>
      <w:r>
        <w:rPr>
          <w:rFonts w:hint="eastAsia" w:asciiTheme="majorEastAsia" w:hAnsiTheme="majorEastAsia" w:eastAsiaTheme="majorEastAsia"/>
          <w:szCs w:val="21"/>
        </w:rPr>
        <w:t>审</w:t>
      </w:r>
      <w:r>
        <w:rPr>
          <w:rFonts w:asciiTheme="majorEastAsia" w:hAnsiTheme="majorEastAsia" w:eastAsiaTheme="majorEastAsia"/>
          <w:szCs w:val="21"/>
        </w:rPr>
        <w:t>工作，与</w:t>
      </w:r>
      <w:r>
        <w:rPr>
          <w:rFonts w:hint="eastAsia" w:asciiTheme="majorEastAsia" w:hAnsiTheme="majorEastAsia" w:eastAsiaTheme="majorEastAsia"/>
          <w:szCs w:val="21"/>
        </w:rPr>
        <w:t>采购代理机构</w:t>
      </w:r>
      <w:r>
        <w:rPr>
          <w:rFonts w:asciiTheme="majorEastAsia" w:hAnsiTheme="majorEastAsia" w:eastAsiaTheme="majorEastAsia"/>
          <w:szCs w:val="21"/>
        </w:rPr>
        <w:t>沟通并作书面记录。</w:t>
      </w:r>
      <w:r>
        <w:rPr>
          <w:rFonts w:hint="eastAsia" w:asciiTheme="majorEastAsia" w:hAnsiTheme="majorEastAsia" w:eastAsiaTheme="majorEastAsia"/>
          <w:szCs w:val="21"/>
        </w:rPr>
        <w:t>经</w:t>
      </w:r>
      <w:r>
        <w:rPr>
          <w:rFonts w:asciiTheme="majorEastAsia" w:hAnsiTheme="majorEastAsia" w:eastAsiaTheme="majorEastAsia"/>
          <w:szCs w:val="21"/>
        </w:rPr>
        <w:t>确认后，</w:t>
      </w:r>
      <w:r>
        <w:rPr>
          <w:rFonts w:hint="eastAsia" w:asciiTheme="majorEastAsia" w:hAnsiTheme="majorEastAsia" w:eastAsiaTheme="majorEastAsia"/>
          <w:szCs w:val="21"/>
        </w:rPr>
        <w:t>项目</w:t>
      </w:r>
      <w:r>
        <w:rPr>
          <w:rFonts w:asciiTheme="majorEastAsia" w:hAnsiTheme="majorEastAsia" w:eastAsiaTheme="majorEastAsia"/>
          <w:szCs w:val="21"/>
        </w:rPr>
        <w:t>应当修改招标文件，重新组织采购活动。</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33.3</w:t>
      </w:r>
      <w:r>
        <w:rPr>
          <w:rFonts w:hint="eastAsia" w:asciiTheme="majorEastAsia" w:hAnsiTheme="majorEastAsia" w:eastAsiaTheme="majorEastAsia"/>
          <w:szCs w:val="21"/>
        </w:rPr>
        <w:t>对于投标文件中含义不明确、同类问题表述不一致或者有明显文字和计算错误的内容，评审委员会应当以书面形式要求投标人作出必要的澄清、说明或者补正。</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根据本通用条款第34条，凡属于评审委员会在评审中发现的算术错误进行核实的修改不在此列。</w:t>
      </w:r>
    </w:p>
    <w:p>
      <w:pPr>
        <w:spacing w:line="360" w:lineRule="auto"/>
        <w:rPr>
          <w:rFonts w:asciiTheme="majorEastAsia" w:hAnsiTheme="majorEastAsia" w:eastAsiaTheme="majorEastAsia"/>
          <w:b/>
          <w:bCs/>
          <w:szCs w:val="21"/>
        </w:rPr>
      </w:pPr>
      <w:bookmarkStart w:id="45" w:name="_Toc100052400"/>
      <w:bookmarkStart w:id="46" w:name="_Toc73521669"/>
      <w:bookmarkStart w:id="47" w:name="_Toc73517673"/>
      <w:bookmarkStart w:id="48" w:name="_Toc73518151"/>
      <w:bookmarkStart w:id="49" w:name="_Toc73521581"/>
      <w:r>
        <w:rPr>
          <w:rFonts w:hint="eastAsia" w:asciiTheme="majorEastAsia" w:hAnsiTheme="majorEastAsia" w:eastAsiaTheme="majorEastAsia"/>
          <w:b/>
          <w:bCs/>
          <w:szCs w:val="21"/>
        </w:rPr>
        <w:t>34．错误的修正</w:t>
      </w:r>
      <w:bookmarkEnd w:id="45"/>
      <w:bookmarkEnd w:id="46"/>
      <w:bookmarkEnd w:id="47"/>
      <w:bookmarkEnd w:id="48"/>
      <w:bookmarkEnd w:id="49"/>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投标文件报价出现前后不一致的，除专用条款另有规定外，按照下列规定修正：</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34.1投标文件中开标一览表投标报价内容与投标文件中投标报价相应内容不一致的，以开标一览表为准；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34.2大写金额和小写金额不一致的，以大写金额为准；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34.3单价金额小数点或者百分比有明显错位，以开标一览表的总价为准，并修改单价；</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34.4总价金额与按单价汇总金额不一致的，以单价金额计算结果为准。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34.5同时出现两种以上不一致的，按照前款规定的顺序修正。修正后的报价按照本通用条款33条的规定，经投标人确认后产生约束力，投标人不确认的，其投标无效。</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35．投标文件的比较与评价</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评审委员会成员对需要共同认定的事项存在争议的，应当按照少数服从多数的原则作出结论。持不同意见的评审委员会成员应当书面作出说明，否则视为无异议。</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36. 实地考察或资料查验</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36.1在评审过程中，评审委员会有权决定是否对本项目投标人进行实地考察或资料查验（原件）。投标人应随时做好接受实地考察或资料查验的准备。</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37．评审方法</w:t>
      </w:r>
    </w:p>
    <w:p>
      <w:pPr>
        <w:spacing w:line="360" w:lineRule="auto"/>
        <w:ind w:firstLine="413" w:firstLineChars="196"/>
        <w:rPr>
          <w:rFonts w:asciiTheme="majorEastAsia" w:hAnsiTheme="majorEastAsia" w:eastAsiaTheme="majorEastAsia"/>
          <w:b/>
          <w:bCs/>
          <w:szCs w:val="21"/>
        </w:rPr>
      </w:pPr>
      <w:r>
        <w:rPr>
          <w:rFonts w:hint="eastAsia" w:asciiTheme="majorEastAsia" w:hAnsiTheme="majorEastAsia" w:eastAsiaTheme="majorEastAsia"/>
          <w:b/>
          <w:bCs/>
          <w:szCs w:val="21"/>
        </w:rPr>
        <w:t>37.1.1最低价法</w:t>
      </w:r>
    </w:p>
    <w:p>
      <w:pPr>
        <w:spacing w:line="360" w:lineRule="auto"/>
        <w:ind w:firstLine="411" w:firstLineChars="196"/>
        <w:rPr>
          <w:rFonts w:asciiTheme="majorEastAsia" w:hAnsiTheme="majorEastAsia" w:eastAsiaTheme="majorEastAsia"/>
          <w:szCs w:val="21"/>
        </w:rPr>
      </w:pPr>
      <w:bookmarkStart w:id="50" w:name="_Hlk72438142"/>
      <w:r>
        <w:rPr>
          <w:rFonts w:asciiTheme="majorEastAsia" w:hAnsiTheme="majorEastAsia" w:eastAsiaTheme="majorEastAsia"/>
          <w:szCs w:val="21"/>
        </w:rPr>
        <w:t>最低价法，是指</w:t>
      </w:r>
      <w:r>
        <w:rPr>
          <w:rFonts w:hint="eastAsia" w:asciiTheme="majorEastAsia" w:hAnsiTheme="majorEastAsia" w:eastAsiaTheme="majorEastAsia"/>
          <w:szCs w:val="21"/>
        </w:rPr>
        <w:t>完全</w:t>
      </w:r>
      <w:r>
        <w:rPr>
          <w:rFonts w:asciiTheme="majorEastAsia" w:hAnsiTheme="majorEastAsia" w:eastAsiaTheme="majorEastAsia"/>
          <w:szCs w:val="21"/>
        </w:rPr>
        <w:t>满足招标文件实质性要求，</w:t>
      </w:r>
      <w:r>
        <w:rPr>
          <w:rFonts w:hint="eastAsia" w:asciiTheme="majorEastAsia" w:hAnsiTheme="majorEastAsia" w:eastAsiaTheme="majorEastAsia"/>
          <w:szCs w:val="21"/>
        </w:rPr>
        <w:t>按照报价由低到高的顺序，依据招标文件中规定的数量或者比例推荐候选中标供应商。</w:t>
      </w:r>
    </w:p>
    <w:p>
      <w:pPr>
        <w:spacing w:line="360" w:lineRule="auto"/>
        <w:ind w:firstLine="413" w:firstLineChars="196"/>
        <w:rPr>
          <w:rFonts w:asciiTheme="majorEastAsia" w:hAnsiTheme="majorEastAsia" w:eastAsiaTheme="majorEastAsia"/>
          <w:b/>
          <w:bCs/>
          <w:szCs w:val="21"/>
        </w:rPr>
      </w:pPr>
      <w:r>
        <w:rPr>
          <w:rFonts w:hint="eastAsia" w:asciiTheme="majorEastAsia" w:hAnsiTheme="majorEastAsia" w:eastAsiaTheme="majorEastAsia"/>
          <w:b/>
          <w:bCs/>
          <w:szCs w:val="21"/>
        </w:rPr>
        <w:t>37.1.2综合评分法</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综合评分法，是指</w:t>
      </w:r>
      <w:r>
        <w:rPr>
          <w:rFonts w:hint="eastAsia" w:asciiTheme="majorEastAsia" w:hAnsiTheme="majorEastAsia" w:eastAsiaTheme="majorEastAsia"/>
          <w:szCs w:val="21"/>
        </w:rPr>
        <w:t>在</w:t>
      </w:r>
      <w:r>
        <w:rPr>
          <w:rFonts w:asciiTheme="majorEastAsia" w:hAnsiTheme="majorEastAsia" w:eastAsiaTheme="majorEastAsia"/>
          <w:szCs w:val="21"/>
        </w:rPr>
        <w:t>满足招标文件全部实质性要求</w:t>
      </w:r>
      <w:r>
        <w:rPr>
          <w:rFonts w:hint="eastAsia" w:asciiTheme="majorEastAsia" w:hAnsiTheme="majorEastAsia" w:eastAsiaTheme="majorEastAsia"/>
          <w:szCs w:val="21"/>
        </w:rPr>
        <w:t>的前提下</w:t>
      </w:r>
      <w:r>
        <w:rPr>
          <w:rFonts w:asciiTheme="majorEastAsia" w:hAnsiTheme="majorEastAsia" w:eastAsiaTheme="majorEastAsia"/>
          <w:szCs w:val="21"/>
        </w:rPr>
        <w:t>，</w:t>
      </w:r>
      <w:r>
        <w:rPr>
          <w:rFonts w:hint="eastAsia" w:asciiTheme="majorEastAsia" w:hAnsiTheme="majorEastAsia" w:eastAsiaTheme="majorEastAsia"/>
          <w:szCs w:val="21"/>
        </w:rPr>
        <w:t>按照招标文件中规定的各项因素进行综合评审，评审总得分排名前列的投标人，作为推荐的候选中标供应商。</w:t>
      </w:r>
      <w:bookmarkEnd w:id="50"/>
    </w:p>
    <w:p>
      <w:pPr>
        <w:spacing w:line="360" w:lineRule="auto"/>
        <w:ind w:firstLine="413" w:firstLineChars="196"/>
        <w:rPr>
          <w:rFonts w:asciiTheme="majorEastAsia" w:hAnsiTheme="majorEastAsia" w:eastAsiaTheme="majorEastAsia"/>
          <w:b/>
          <w:bCs/>
          <w:szCs w:val="21"/>
        </w:rPr>
      </w:pPr>
      <w:r>
        <w:rPr>
          <w:rFonts w:hint="eastAsia" w:asciiTheme="majorEastAsia" w:hAnsiTheme="majorEastAsia" w:eastAsiaTheme="majorEastAsia"/>
          <w:b/>
          <w:bCs/>
          <w:szCs w:val="21"/>
        </w:rPr>
        <w:t>37.2 本项目采用的评审方法见本项目招标文件第一册“专用条款”的相关内容。</w:t>
      </w:r>
    </w:p>
    <w:p>
      <w:pPr>
        <w:spacing w:line="360" w:lineRule="auto"/>
        <w:ind w:firstLine="413" w:firstLineChars="196"/>
        <w:rPr>
          <w:rFonts w:asciiTheme="majorEastAsia" w:hAnsiTheme="majorEastAsia" w:eastAsiaTheme="majorEastAsia"/>
          <w:b/>
          <w:bCs/>
          <w:szCs w:val="21"/>
        </w:rPr>
      </w:pPr>
      <w:r>
        <w:rPr>
          <w:rFonts w:hint="eastAsia" w:asciiTheme="majorEastAsia" w:hAnsiTheme="majorEastAsia" w:eastAsiaTheme="majorEastAsia"/>
          <w:b/>
          <w:bCs/>
          <w:szCs w:val="21"/>
        </w:rPr>
        <w:t>37.3重新评审的情形</w:t>
      </w:r>
    </w:p>
    <w:p>
      <w:pPr>
        <w:spacing w:line="360" w:lineRule="auto"/>
        <w:ind w:firstLine="411" w:firstLineChars="196"/>
        <w:rPr>
          <w:rFonts w:asciiTheme="majorEastAsia" w:hAnsiTheme="majorEastAsia" w:eastAsiaTheme="majorEastAsia"/>
          <w:b/>
          <w:bCs/>
          <w:szCs w:val="21"/>
        </w:rPr>
      </w:pPr>
      <w:r>
        <w:rPr>
          <w:rFonts w:hint="eastAsia" w:cs="宋体" w:asciiTheme="majorEastAsia" w:hAnsiTheme="majorEastAsia" w:eastAsiaTheme="majorEastAsia"/>
          <w:szCs w:val="21"/>
        </w:rPr>
        <w:t>评审结果汇总完成后，除下列情形外，任何人不得修改评审结果：</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37.3.1分值汇总计算错误的；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37.3.2分项评分超出评分标准范围的；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37.3.3评审委员会成员对客观评审因素评分不一致的；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37.3.4经评审委员会认定评分畸高、畸低的。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投标人对本条第一款情形提出质疑的，采购人或者采购代理机构可以组织原评审委员会进行重新评审，重新评审改变评审结果的，应当书面报告本级财政部门。</w:t>
      </w:r>
    </w:p>
    <w:p>
      <w:pPr>
        <w:spacing w:line="360" w:lineRule="auto"/>
        <w:ind w:firstLine="413" w:firstLineChars="196"/>
        <w:rPr>
          <w:rFonts w:asciiTheme="majorEastAsia" w:hAnsiTheme="majorEastAsia" w:eastAsiaTheme="majorEastAsia"/>
          <w:b/>
          <w:bCs/>
          <w:szCs w:val="21"/>
        </w:rPr>
      </w:pPr>
      <w:r>
        <w:rPr>
          <w:rFonts w:hint="eastAsia" w:asciiTheme="majorEastAsia" w:hAnsiTheme="majorEastAsia" w:eastAsiaTheme="majorEastAsia"/>
          <w:b/>
          <w:bCs/>
          <w:szCs w:val="21"/>
        </w:rPr>
        <w:t xml:space="preserve"> 37.4重新组建评审委员会的情形</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评审委员会或者其成员存在下列情形导致评审结果无效的，重新组建评审委员会进行评标，并书面报告本级财政部门：</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37.4.1评审委员会组成不符合《政府采购货物和服务招标投标管理办法》规定的；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37.4.2有《政府采购货物和服务招标投标管理办法》第六十二条第一至五项情形的；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37.4.3评审委员会及其成员独立评标受到非法干预的；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37.4.4有政府采购法实施条例第七十五条规定的违法行为的。</w:t>
      </w:r>
    </w:p>
    <w:p>
      <w:pPr>
        <w:spacing w:line="360" w:lineRule="auto"/>
        <w:ind w:firstLine="411" w:firstLineChars="196"/>
        <w:rPr>
          <w:rFonts w:cs="宋体" w:asciiTheme="majorEastAsia" w:hAnsiTheme="majorEastAsia" w:eastAsiaTheme="majorEastAsia"/>
          <w:szCs w:val="21"/>
        </w:rPr>
      </w:pPr>
      <w:r>
        <w:rPr>
          <w:rFonts w:hint="eastAsia" w:cs="宋体" w:asciiTheme="majorEastAsia" w:hAnsiTheme="majorEastAsia" w:eastAsiaTheme="majorEastAsia"/>
          <w:szCs w:val="21"/>
        </w:rPr>
        <w:t>有违法违规行为的原评审委员会成员不得参加重新组建的评审委员会。</w:t>
      </w:r>
    </w:p>
    <w:p>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hAnsiTheme="majorEastAsia" w:eastAsiaTheme="majorEastAsia"/>
          <w:b/>
          <w:bCs/>
          <w:kern w:val="0"/>
          <w:sz w:val="28"/>
          <w:szCs w:val="28"/>
        </w:rPr>
      </w:pPr>
      <w:r>
        <w:rPr>
          <w:rFonts w:hint="eastAsia" w:asciiTheme="majorEastAsia" w:hAnsiTheme="majorEastAsia" w:eastAsiaTheme="majorEastAsia"/>
          <w:b/>
          <w:bCs/>
          <w:kern w:val="0"/>
          <w:sz w:val="28"/>
          <w:szCs w:val="28"/>
        </w:rPr>
        <w:t>定标及公示</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38．定标方法</w:t>
      </w:r>
    </w:p>
    <w:p>
      <w:pPr>
        <w:spacing w:line="360" w:lineRule="auto"/>
        <w:ind w:firstLine="411" w:firstLineChars="196"/>
        <w:rPr>
          <w:rFonts w:asciiTheme="majorEastAsia" w:hAnsiTheme="majorEastAsia" w:eastAsiaTheme="majorEastAsia"/>
          <w:szCs w:val="21"/>
        </w:rPr>
      </w:pPr>
      <w:bookmarkStart w:id="51" w:name="_Hlk73782795"/>
      <w:r>
        <w:rPr>
          <w:rFonts w:hint="eastAsia" w:asciiTheme="majorEastAsia" w:hAnsiTheme="majorEastAsia" w:eastAsiaTheme="majorEastAsia"/>
          <w:szCs w:val="21"/>
        </w:rPr>
        <w:t>38.1非评定分离项目定标方法</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w:t>
      </w:r>
      <w:r>
        <w:rPr>
          <w:rFonts w:asciiTheme="majorEastAsia" w:hAnsiTheme="majorEastAsia" w:eastAsiaTheme="majorEastAsia"/>
          <w:szCs w:val="21"/>
        </w:rPr>
        <w:t>.</w:t>
      </w:r>
      <w:r>
        <w:rPr>
          <w:rFonts w:hint="eastAsia" w:asciiTheme="majorEastAsia" w:hAnsiTheme="majorEastAsia" w:eastAsiaTheme="majorEastAsia"/>
          <w:szCs w:val="21"/>
        </w:rPr>
        <w:t>1.1评审委员会依据本项目招标文件所约定的评审方法进行评审和比较，向采购代理机构提交书面评审报告，并根据评审方法比较评价结果从优到劣进行排序，确定候选中标供应商。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w:t>
      </w:r>
      <w:r>
        <w:rPr>
          <w:rFonts w:asciiTheme="majorEastAsia" w:hAnsiTheme="majorEastAsia" w:eastAsiaTheme="majorEastAsia"/>
          <w:szCs w:val="21"/>
        </w:rPr>
        <w:t>.</w:t>
      </w:r>
      <w:r>
        <w:rPr>
          <w:rFonts w:hint="eastAsia" w:asciiTheme="majorEastAsia" w:hAnsiTheme="majorEastAsia" w:eastAsiaTheme="majorEastAsia"/>
          <w:szCs w:val="21"/>
        </w:rPr>
        <w:t>1.2</w:t>
      </w:r>
      <w:r>
        <w:rPr>
          <w:rFonts w:asciiTheme="majorEastAsia" w:hAnsiTheme="majorEastAsia" w:eastAsiaTheme="majorEastAsia"/>
          <w:szCs w:val="21"/>
        </w:rPr>
        <w:t>采用最低价法的，评</w:t>
      </w:r>
      <w:r>
        <w:rPr>
          <w:rFonts w:hint="eastAsia" w:asciiTheme="majorEastAsia" w:hAnsiTheme="majorEastAsia" w:eastAsiaTheme="majorEastAsia"/>
          <w:szCs w:val="21"/>
        </w:rPr>
        <w:t>审</w:t>
      </w:r>
      <w:r>
        <w:rPr>
          <w:rFonts w:asciiTheme="majorEastAsia" w:hAnsiTheme="majorEastAsia" w:eastAsiaTheme="majorEastAsia"/>
          <w:szCs w:val="21"/>
        </w:rPr>
        <w:t>结果按投标报价由低到高顺序排列。投标报价相同的并列。投标文件满足招标文件全部实质性要求且投标报价最低的</w:t>
      </w:r>
      <w:r>
        <w:rPr>
          <w:rFonts w:hint="eastAsia" w:asciiTheme="majorEastAsia" w:hAnsiTheme="majorEastAsia" w:eastAsiaTheme="majorEastAsia"/>
          <w:szCs w:val="21"/>
        </w:rPr>
        <w:t>投标人为</w:t>
      </w:r>
      <w:bookmarkStart w:id="52" w:name="_Hlk73821177"/>
      <w:r>
        <w:rPr>
          <w:rFonts w:hint="eastAsia" w:asciiTheme="majorEastAsia" w:hAnsiTheme="majorEastAsia" w:eastAsiaTheme="majorEastAsia"/>
          <w:szCs w:val="21"/>
        </w:rPr>
        <w:t>中标供应商</w:t>
      </w:r>
      <w:r>
        <w:rPr>
          <w:rFonts w:asciiTheme="majorEastAsia" w:hAnsiTheme="majorEastAsia" w:eastAsiaTheme="majorEastAsia"/>
          <w:szCs w:val="21"/>
        </w:rPr>
        <w:t>（</w:t>
      </w:r>
      <w:r>
        <w:rPr>
          <w:rFonts w:hint="eastAsia" w:asciiTheme="majorEastAsia" w:hAnsiTheme="majorEastAsia" w:eastAsiaTheme="majorEastAsia"/>
          <w:szCs w:val="21"/>
        </w:rPr>
        <w:t>排名</w:t>
      </w:r>
      <w:r>
        <w:rPr>
          <w:rFonts w:asciiTheme="majorEastAsia" w:hAnsiTheme="majorEastAsia" w:eastAsiaTheme="majorEastAsia"/>
          <w:szCs w:val="21"/>
        </w:rPr>
        <w:t>第二</w:t>
      </w:r>
      <w:r>
        <w:rPr>
          <w:rFonts w:hint="eastAsia" w:asciiTheme="majorEastAsia" w:hAnsiTheme="majorEastAsia" w:eastAsiaTheme="majorEastAsia"/>
          <w:szCs w:val="21"/>
        </w:rPr>
        <w:t>的投标人为第一替补中标候选人、排名</w:t>
      </w:r>
      <w:r>
        <w:rPr>
          <w:rFonts w:asciiTheme="majorEastAsia" w:hAnsiTheme="majorEastAsia" w:eastAsiaTheme="majorEastAsia"/>
          <w:szCs w:val="21"/>
        </w:rPr>
        <w:t>第</w:t>
      </w:r>
      <w:r>
        <w:rPr>
          <w:rFonts w:hint="eastAsia" w:asciiTheme="majorEastAsia" w:hAnsiTheme="majorEastAsia" w:eastAsiaTheme="majorEastAsia"/>
          <w:szCs w:val="21"/>
        </w:rPr>
        <w:t>三的投标人为第二替补中标候选人</w:t>
      </w:r>
      <w:bookmarkEnd w:id="52"/>
      <w:r>
        <w:rPr>
          <w:rFonts w:asciiTheme="majorEastAsia" w:hAnsiTheme="majorEastAsia" w:eastAsiaTheme="majorEastAsia"/>
          <w:szCs w:val="21"/>
        </w:rPr>
        <w:t>）。</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w:t>
      </w:r>
      <w:r>
        <w:rPr>
          <w:rFonts w:asciiTheme="majorEastAsia" w:hAnsiTheme="majorEastAsia" w:eastAsiaTheme="majorEastAsia"/>
          <w:szCs w:val="21"/>
        </w:rPr>
        <w:t>.</w:t>
      </w:r>
      <w:r>
        <w:rPr>
          <w:rFonts w:hint="eastAsia" w:asciiTheme="majorEastAsia" w:hAnsiTheme="majorEastAsia" w:eastAsiaTheme="majorEastAsia"/>
          <w:szCs w:val="21"/>
        </w:rPr>
        <w:t>1.3</w:t>
      </w:r>
      <w:r>
        <w:rPr>
          <w:rFonts w:asciiTheme="majorEastAsia" w:hAnsiTheme="majorEastAsia" w:eastAsiaTheme="majorEastAsia"/>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w:t>
      </w:r>
      <w:r>
        <w:rPr>
          <w:rFonts w:hint="eastAsia" w:asciiTheme="majorEastAsia" w:hAnsiTheme="majorEastAsia" w:eastAsiaTheme="majorEastAsia"/>
          <w:szCs w:val="21"/>
        </w:rPr>
        <w:t>为中标供应商</w:t>
      </w:r>
      <w:r>
        <w:rPr>
          <w:rFonts w:asciiTheme="majorEastAsia" w:hAnsiTheme="majorEastAsia" w:eastAsiaTheme="majorEastAsia"/>
          <w:szCs w:val="21"/>
        </w:rPr>
        <w:t>（</w:t>
      </w:r>
      <w:r>
        <w:rPr>
          <w:rFonts w:hint="eastAsia" w:asciiTheme="majorEastAsia" w:hAnsiTheme="majorEastAsia" w:eastAsiaTheme="majorEastAsia"/>
          <w:szCs w:val="21"/>
        </w:rPr>
        <w:t>中标候选人如不止一名，则推选排名</w:t>
      </w:r>
      <w:r>
        <w:rPr>
          <w:rFonts w:asciiTheme="majorEastAsia" w:hAnsiTheme="majorEastAsia" w:eastAsiaTheme="majorEastAsia"/>
          <w:szCs w:val="21"/>
        </w:rPr>
        <w:t>第二</w:t>
      </w:r>
      <w:r>
        <w:rPr>
          <w:rFonts w:hint="eastAsia" w:asciiTheme="majorEastAsia" w:hAnsiTheme="majorEastAsia" w:eastAsiaTheme="majorEastAsia"/>
          <w:szCs w:val="21"/>
        </w:rPr>
        <w:t>的投标人为第一替补中标候选人、排名</w:t>
      </w:r>
      <w:r>
        <w:rPr>
          <w:rFonts w:asciiTheme="majorEastAsia" w:hAnsiTheme="majorEastAsia" w:eastAsiaTheme="majorEastAsia"/>
          <w:szCs w:val="21"/>
        </w:rPr>
        <w:t>第</w:t>
      </w:r>
      <w:r>
        <w:rPr>
          <w:rFonts w:hint="eastAsia" w:asciiTheme="majorEastAsia" w:hAnsiTheme="majorEastAsia" w:eastAsiaTheme="majorEastAsia"/>
          <w:szCs w:val="21"/>
        </w:rPr>
        <w:t>三的投标人为第二替补中标候选人</w:t>
      </w:r>
      <w:r>
        <w:rPr>
          <w:rFonts w:asciiTheme="majorEastAsia" w:hAnsiTheme="majorEastAsia" w:eastAsiaTheme="majorEastAsia"/>
          <w:szCs w:val="21"/>
        </w:rPr>
        <w:t>）。</w:t>
      </w:r>
      <w:r>
        <w:rPr>
          <w:rFonts w:hint="eastAsia" w:asciiTheme="majorEastAsia" w:hAnsiTheme="majorEastAsia" w:eastAsiaTheme="majorEastAsia"/>
          <w:szCs w:val="21"/>
        </w:rPr>
        <w:t>出现</w:t>
      </w:r>
      <w:r>
        <w:rPr>
          <w:rFonts w:asciiTheme="majorEastAsia" w:hAnsiTheme="majorEastAsia" w:eastAsiaTheme="majorEastAsia"/>
          <w:szCs w:val="21"/>
        </w:rPr>
        <w:t>得分且投标报价相同的并列</w:t>
      </w:r>
      <w:r>
        <w:rPr>
          <w:rFonts w:hint="eastAsia" w:asciiTheme="majorEastAsia" w:hAnsiTheme="majorEastAsia" w:eastAsiaTheme="majorEastAsia"/>
          <w:szCs w:val="21"/>
        </w:rPr>
        <w:t>情况时，采取随机抽取的方式确定，具体操作办法及流程由评审委员会确定。</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38.2评定分离项目定标方法</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 xml:space="preserve">38.2.2 </w:t>
      </w:r>
      <w:bookmarkStart w:id="53" w:name="_Hlk71469733"/>
      <w:r>
        <w:rPr>
          <w:rFonts w:asciiTheme="majorEastAsia" w:hAnsiTheme="majorEastAsia" w:eastAsiaTheme="majorEastAsia"/>
          <w:szCs w:val="21"/>
        </w:rPr>
        <w:t>适用评定分离的政府采购项目，采用综合评分法评</w:t>
      </w:r>
      <w:r>
        <w:rPr>
          <w:rFonts w:hint="eastAsia" w:asciiTheme="majorEastAsia" w:hAnsiTheme="majorEastAsia" w:eastAsiaTheme="majorEastAsia"/>
          <w:szCs w:val="21"/>
        </w:rPr>
        <w:t>审。评审委员会按照评审结果，推荐</w:t>
      </w:r>
      <w:r>
        <w:rPr>
          <w:rFonts w:asciiTheme="majorEastAsia" w:hAnsiTheme="majorEastAsia" w:eastAsiaTheme="majorEastAsia"/>
          <w:szCs w:val="21"/>
        </w:rPr>
        <w:t>三个合格的候选中标供应商。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38.2.3</w:t>
      </w:r>
      <w:bookmarkStart w:id="54" w:name="_Hlk71469688"/>
      <w:r>
        <w:rPr>
          <w:rFonts w:asciiTheme="majorEastAsia" w:hAnsiTheme="majorEastAsia" w:eastAsiaTheme="majorEastAsia"/>
          <w:szCs w:val="21"/>
        </w:rPr>
        <w:t>适用评定分离的政府采购项目，</w:t>
      </w:r>
      <w:r>
        <w:rPr>
          <w:rFonts w:hint="eastAsia" w:asciiTheme="majorEastAsia" w:hAnsiTheme="majorEastAsia" w:eastAsiaTheme="majorEastAsia"/>
          <w:szCs w:val="21"/>
        </w:rPr>
        <w:t>按照自定法确定中标供应商：自定法是指采购人组织定标委员会，由定标委员会在三家候选中标供应商中确定中标供应商。</w:t>
      </w:r>
      <w:bookmarkEnd w:id="53"/>
      <w:bookmarkEnd w:id="54"/>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38.2.4</w:t>
      </w:r>
      <w:r>
        <w:rPr>
          <w:rFonts w:hint="eastAsia" w:asciiTheme="majorEastAsia" w:hAnsiTheme="majorEastAsia" w:eastAsiaTheme="majorEastAsia"/>
          <w:szCs w:val="21"/>
        </w:rPr>
        <w:t>采购代理机构</w:t>
      </w:r>
      <w:r>
        <w:rPr>
          <w:rFonts w:asciiTheme="majorEastAsia" w:hAnsiTheme="majorEastAsia" w:eastAsiaTheme="majorEastAsia"/>
          <w:szCs w:val="21"/>
        </w:rPr>
        <w:t>应当自评审结束之日起两个工作日内将候选中标供应商名单及其投标文件、评审报告送交采购人</w:t>
      </w:r>
      <w:r>
        <w:rPr>
          <w:rFonts w:hint="eastAsia" w:asciiTheme="majorEastAsia" w:hAnsiTheme="majorEastAsia" w:eastAsiaTheme="majorEastAsia"/>
          <w:szCs w:val="21"/>
        </w:rPr>
        <w:t>。</w:t>
      </w:r>
      <w:r>
        <w:rPr>
          <w:rFonts w:asciiTheme="majorEastAsia" w:hAnsiTheme="majorEastAsia" w:eastAsiaTheme="majorEastAsia"/>
          <w:szCs w:val="21"/>
        </w:rPr>
        <w:t>采购人应当安排专人对定标过程进行书面记录，形成定标报告，作为采购文件的组成部分存档，并及时将定标结果反馈</w:t>
      </w:r>
      <w:r>
        <w:rPr>
          <w:rFonts w:hint="eastAsia" w:asciiTheme="majorEastAsia" w:hAnsiTheme="majorEastAsia" w:eastAsiaTheme="majorEastAsia"/>
          <w:szCs w:val="21"/>
        </w:rPr>
        <w:t>采购代理机构。具体定标程序及相关要求以按照《</w:t>
      </w:r>
      <w:r>
        <w:rPr>
          <w:rFonts w:asciiTheme="majorEastAsia" w:hAnsiTheme="majorEastAsia" w:eastAsiaTheme="majorEastAsia"/>
          <w:szCs w:val="21"/>
        </w:rPr>
        <w:t>深圳市财政局关于印发</w:t>
      </w:r>
      <w:r>
        <w:rPr>
          <w:rFonts w:hint="eastAsia" w:asciiTheme="majorEastAsia" w:hAnsiTheme="majorEastAsia" w:eastAsiaTheme="majorEastAsia"/>
          <w:szCs w:val="21"/>
        </w:rPr>
        <w:t>〈</w:t>
      </w:r>
      <w:r>
        <w:rPr>
          <w:rFonts w:asciiTheme="majorEastAsia" w:hAnsiTheme="majorEastAsia" w:eastAsiaTheme="majorEastAsia"/>
          <w:szCs w:val="21"/>
        </w:rPr>
        <w:t>深圳市政府采购评标定标分离管理办法</w:t>
      </w:r>
      <w:r>
        <w:rPr>
          <w:rFonts w:hint="eastAsia" w:asciiTheme="majorEastAsia" w:hAnsiTheme="majorEastAsia" w:eastAsiaTheme="majorEastAsia"/>
          <w:szCs w:val="21"/>
        </w:rPr>
        <w:t>〉</w:t>
      </w:r>
      <w:r>
        <w:rPr>
          <w:rFonts w:asciiTheme="majorEastAsia" w:hAnsiTheme="majorEastAsia" w:eastAsiaTheme="majorEastAsia"/>
          <w:szCs w:val="21"/>
        </w:rPr>
        <w:t>的通知</w:t>
      </w:r>
      <w:r>
        <w:rPr>
          <w:rFonts w:hint="eastAsia" w:asciiTheme="majorEastAsia" w:hAnsiTheme="majorEastAsia" w:eastAsiaTheme="majorEastAsia"/>
          <w:szCs w:val="21"/>
        </w:rPr>
        <w:t>》（深财规【2</w:t>
      </w:r>
      <w:r>
        <w:rPr>
          <w:rFonts w:asciiTheme="majorEastAsia" w:hAnsiTheme="majorEastAsia" w:eastAsiaTheme="majorEastAsia"/>
          <w:szCs w:val="21"/>
        </w:rPr>
        <w:t>020</w:t>
      </w:r>
      <w:r>
        <w:rPr>
          <w:rFonts w:hint="eastAsia" w:asciiTheme="majorEastAsia" w:hAnsiTheme="majorEastAsia" w:eastAsiaTheme="majorEastAsia"/>
          <w:szCs w:val="21"/>
        </w:rPr>
        <w:t>】1号）执行。</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说明：采购人及投标供应商应按照上述方法提前做好相关准备。</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38.3专用条款另有规定的，按专用条款相关要求定标。</w:t>
      </w:r>
      <w:bookmarkEnd w:id="51"/>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39．编写评审报告</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40．中标公告</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40.1</w:t>
      </w:r>
      <w:bookmarkStart w:id="55" w:name="_Hlk72438709"/>
      <w:r>
        <w:rPr>
          <w:rFonts w:hint="eastAsia" w:asciiTheme="majorEastAsia" w:hAnsiTheme="majorEastAsia" w:eastAsiaTheme="majorEastAsia"/>
          <w:szCs w:val="21"/>
        </w:rPr>
        <w:t>为体现“公开、公平、公正”的原则，评审结束后经采购人确认（确定）评审结果，采购代理机构将在“深圳政府采购智慧平台（http://zfcg.szggzy.com/）”上发布中标结果公告。</w:t>
      </w:r>
      <w:bookmarkEnd w:id="55"/>
      <w:bookmarkStart w:id="56" w:name="_Hlk72438751"/>
      <w:r>
        <w:rPr>
          <w:rFonts w:hint="eastAsia" w:asciiTheme="majorEastAsia" w:hAnsiTheme="majorEastAsia" w:eastAsiaTheme="majorEastAsia"/>
          <w:szCs w:val="21"/>
        </w:rPr>
        <w:t>供应商如对评审结果有异议，</w:t>
      </w:r>
      <w:r>
        <w:rPr>
          <w:rFonts w:asciiTheme="majorEastAsia" w:hAnsiTheme="majorEastAsia" w:eastAsiaTheme="majorEastAsia"/>
          <w:szCs w:val="21"/>
        </w:rPr>
        <w:t>可在发布公示日期起</w:t>
      </w:r>
      <w:r>
        <w:rPr>
          <w:rFonts w:hint="eastAsia" w:asciiTheme="majorEastAsia" w:hAnsiTheme="majorEastAsia" w:eastAsiaTheme="majorEastAsia"/>
          <w:szCs w:val="21"/>
        </w:rPr>
        <w:t>七</w:t>
      </w:r>
      <w:r>
        <w:rPr>
          <w:rFonts w:asciiTheme="majorEastAsia" w:hAnsiTheme="majorEastAsia" w:eastAsiaTheme="majorEastAsia"/>
          <w:szCs w:val="21"/>
        </w:rPr>
        <w:t>个工作日内向</w:t>
      </w:r>
      <w:r>
        <w:rPr>
          <w:rFonts w:hint="eastAsia" w:asciiTheme="majorEastAsia" w:hAnsiTheme="majorEastAsia" w:eastAsiaTheme="majorEastAsia"/>
          <w:szCs w:val="21"/>
        </w:rPr>
        <w:t>采购代理机构</w:t>
      </w:r>
      <w:r>
        <w:rPr>
          <w:rFonts w:asciiTheme="majorEastAsia" w:hAnsiTheme="majorEastAsia" w:eastAsiaTheme="majorEastAsia"/>
          <w:szCs w:val="21"/>
        </w:rPr>
        <w:t>提出。 监督电话：0755-83948143。</w:t>
      </w:r>
      <w:r>
        <w:rPr>
          <w:rFonts w:hint="eastAsia" w:asciiTheme="majorEastAsia" w:hAnsiTheme="majorEastAsia" w:eastAsiaTheme="majorEastAsia"/>
          <w:szCs w:val="21"/>
        </w:rPr>
        <w:t>若在公示期内未提出质疑，则视为认同该评审结果。</w:t>
      </w:r>
    </w:p>
    <w:bookmarkEnd w:id="56"/>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40.2质疑、投诉供应商应保证质疑、投诉内容的真实性和可靠性，并承担相应的法律责任。</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41．中标通知书</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41</w:t>
      </w:r>
      <w:r>
        <w:rPr>
          <w:rFonts w:asciiTheme="majorEastAsia" w:hAnsiTheme="majorEastAsia" w:eastAsiaTheme="majorEastAsia"/>
          <w:szCs w:val="21"/>
        </w:rPr>
        <w:t>.</w:t>
      </w:r>
      <w:r>
        <w:rPr>
          <w:rFonts w:hint="eastAsia" w:asciiTheme="majorEastAsia" w:hAnsiTheme="majorEastAsia" w:eastAsiaTheme="majorEastAsia"/>
          <w:szCs w:val="21"/>
        </w:rPr>
        <w:t>1</w:t>
      </w:r>
      <w:bookmarkStart w:id="57" w:name="_Hlk72438863"/>
      <w:r>
        <w:rPr>
          <w:rFonts w:hint="eastAsia" w:asciiTheme="majorEastAsia" w:hAnsiTheme="majorEastAsia" w:eastAsiaTheme="majorEastAsia"/>
          <w:szCs w:val="21"/>
        </w:rPr>
        <w:t>中标公告公布以后无异常的情况下,采购代理机构将向中标供应商和采购人发出中标通知书。</w:t>
      </w:r>
      <w:bookmarkEnd w:id="57"/>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41</w:t>
      </w:r>
      <w:r>
        <w:rPr>
          <w:rFonts w:asciiTheme="majorEastAsia" w:hAnsiTheme="majorEastAsia" w:eastAsiaTheme="majorEastAsia"/>
          <w:szCs w:val="21"/>
        </w:rPr>
        <w:t>.2</w:t>
      </w:r>
      <w:r>
        <w:rPr>
          <w:rFonts w:hint="eastAsia" w:asciiTheme="majorEastAsia" w:hAnsiTheme="majorEastAsia" w:eastAsiaTheme="majorEastAsia"/>
          <w:szCs w:val="21"/>
        </w:rPr>
        <w:t>中标通知书是合同的重要组成部分。</w:t>
      </w:r>
    </w:p>
    <w:p>
      <w:pPr>
        <w:spacing w:line="360" w:lineRule="auto"/>
        <w:ind w:firstLine="411" w:firstLineChars="196"/>
        <w:rPr>
          <w:rFonts w:asciiTheme="majorEastAsia" w:hAnsiTheme="majorEastAsia" w:eastAsiaTheme="majorEastAsia"/>
          <w:szCs w:val="21"/>
        </w:rPr>
      </w:pPr>
      <w:bookmarkStart w:id="58" w:name="_Hlk71407340"/>
      <w:r>
        <w:rPr>
          <w:rFonts w:hint="eastAsia" w:asciiTheme="majorEastAsia" w:hAnsiTheme="majorEastAsia" w:eastAsiaTheme="majorEastAsia"/>
          <w:szCs w:val="21"/>
        </w:rPr>
        <w:t>41.3因质疑投诉或其它原因导致项目结果变更或采购终止的，采购代理机构有权吊销中标通知书。</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41.4中标服务费</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中标人须在中标公告公示期结束后，向采购代理机构缴纳中标服务费。中标服务费收费标准根据《深圳市财政委员会关于规范深圳市社会采购代理机构的管理有关事项的补充通知（深财购[2018]27号）》文件相关规定，按照差额定率累进法计算。具体收费标准详见下表：</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2027"/>
        <w:gridCol w:w="2158"/>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2802" w:type="dxa"/>
          </w:tcPr>
          <w:p>
            <w:pPr>
              <w:spacing w:line="360" w:lineRule="auto"/>
              <w:ind w:firstLine="1629" w:firstLineChars="776"/>
              <w:rPr>
                <w:rFonts w:asciiTheme="majorEastAsia" w:hAnsiTheme="majorEastAsia" w:eastAsiaTheme="majorEastAsia"/>
                <w:b/>
                <w:szCs w:val="21"/>
              </w:rPr>
            </w:pPr>
            <w:r>
              <w:rPr>
                <w:rFonts w:asciiTheme="majorEastAsia" w:hAnsiTheme="majorEastAsia" w:eastAsiaTheme="majorEastAsia"/>
                <w:szCs w:val="21"/>
              </w:rPr>
              <mc:AlternateContent>
                <mc:Choice Requires="wps">
                  <w:drawing>
                    <wp:anchor distT="0" distB="0" distL="114300" distR="114300" simplePos="0" relativeHeight="251661312" behindDoc="0" locked="0" layoutInCell="0" allowOverlap="1">
                      <wp:simplePos x="0" y="0"/>
                      <wp:positionH relativeFrom="column">
                        <wp:posOffset>-19050</wp:posOffset>
                      </wp:positionH>
                      <wp:positionV relativeFrom="paragraph">
                        <wp:posOffset>436245</wp:posOffset>
                      </wp:positionV>
                      <wp:extent cx="1733550" cy="394335"/>
                      <wp:effectExtent l="1270" t="4445" r="17780" b="20320"/>
                      <wp:wrapNone/>
                      <wp:docPr id="7" name="直接连接符 7"/>
                      <wp:cNvGraphicFramePr/>
                      <a:graphic xmlns:a="http://schemas.openxmlformats.org/drawingml/2006/main">
                        <a:graphicData uri="http://schemas.microsoft.com/office/word/2010/wordprocessingShape">
                          <wps:wsp>
                            <wps:cNvCnPr/>
                            <wps:spPr>
                              <a:xfrm flipH="1" flipV="1">
                                <a:off x="0" y="0"/>
                                <a:ext cx="1771650" cy="54102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x y;margin-left:-1.5pt;margin-top:34.35pt;height:31.05pt;width:136.5pt;z-index:251661312;mso-width-relative:page;mso-height-relative:page;" filled="f" stroked="t" coordsize="21600,21600" o:allowincell="f" o:gfxdata="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alQLG1AAAAAkBAAAPAAAAAAAAAAEAIAAAACIAAABkcnMvZG93&#10;bnJldi54bWxQSwECFAAUAAAACACHTuJA5DiR7gQCAAD/AwAADgAAAAAAAAABACAAAAAjAQAAZHJz&#10;L2Uyb0RvYy54bWxQSwUGAAAAAAYABgBZAQAAmQUAAAAA&#10;">
                      <v:fill on="f" focussize="0,0"/>
                      <v:stroke color="#000000" joinstyle="round"/>
                      <v:imagedata o:title=""/>
                      <o:lock v:ext="edit" aspectratio="f"/>
                    </v:line>
                  </w:pict>
                </mc:Fallback>
              </mc:AlternateContent>
            </w:r>
            <w:r>
              <w:rPr>
                <w:rFonts w:asciiTheme="majorEastAsia" w:hAnsiTheme="majorEastAsia" w:eastAsiaTheme="majorEastAsia"/>
                <w:szCs w:val="21"/>
              </w:rPr>
              <mc:AlternateContent>
                <mc:Choice Requires="wps">
                  <w:drawing>
                    <wp:anchor distT="0" distB="0" distL="114300" distR="114300" simplePos="0" relativeHeight="251660288" behindDoc="0" locked="0" layoutInCell="0" allowOverlap="1">
                      <wp:simplePos x="0" y="0"/>
                      <wp:positionH relativeFrom="column">
                        <wp:posOffset>392430</wp:posOffset>
                      </wp:positionH>
                      <wp:positionV relativeFrom="paragraph">
                        <wp:posOffset>31750</wp:posOffset>
                      </wp:positionV>
                      <wp:extent cx="1322070" cy="798830"/>
                      <wp:effectExtent l="2540" t="3810" r="8890" b="16510"/>
                      <wp:wrapNone/>
                      <wp:docPr id="6" name="直接连接符 6"/>
                      <wp:cNvGraphicFramePr/>
                      <a:graphic xmlns:a="http://schemas.openxmlformats.org/drawingml/2006/main">
                        <a:graphicData uri="http://schemas.microsoft.com/office/word/2010/wordprocessingShape">
                          <wps:wsp>
                            <wps:cNvCnPr/>
                            <wps:spPr>
                              <a:xfrm flipH="1" flipV="1">
                                <a:off x="0" y="0"/>
                                <a:ext cx="1215390" cy="8515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x y;margin-left:30.9pt;margin-top:2.5pt;height:62.9pt;width:104.1pt;z-index:251660288;mso-width-relative:page;mso-height-relative:page;" filled="f" stroked="t" coordsize="21600,21600" o:allowincell="f" o:gfxdata="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tdP1dMAAAAIAQAADwAAAAAAAAABACAAAAAiAAAAZHJzL2Rvd25yZXYu&#10;eG1sUEsBAhQAFAAAAAgAh07iQPjl/UYAAgAA/wMAAA4AAAAAAAAAAQAgAAAAIgEAAGRycy9lMm9E&#10;b2MueG1sUEsFBgAAAAAGAAYAWQEAAJQFAAAAAA==&#10;">
                      <v:fill on="f" focussize="0,0"/>
                      <v:stroke color="#000000" joinstyle="round"/>
                      <v:imagedata o:title=""/>
                      <o:lock v:ext="edit" aspectratio="f"/>
                    </v:line>
                  </w:pict>
                </mc:Fallback>
              </mc:AlternateContent>
            </w:r>
            <w:r>
              <w:rPr>
                <w:rFonts w:asciiTheme="majorEastAsia" w:hAnsiTheme="majorEastAsia" w:eastAsiaTheme="majorEastAsia"/>
                <w:szCs w:val="21"/>
              </w:rPr>
              <mc:AlternateContent>
                <mc:Choice Requires="wps">
                  <w:drawing>
                    <wp:anchor distT="0" distB="0" distL="114300" distR="114300" simplePos="0" relativeHeight="251662336" behindDoc="0" locked="0" layoutInCell="0" allowOverlap="1">
                      <wp:simplePos x="0" y="0"/>
                      <wp:positionH relativeFrom="column">
                        <wp:posOffset>-114300</wp:posOffset>
                      </wp:positionH>
                      <wp:positionV relativeFrom="paragraph">
                        <wp:posOffset>-6350</wp:posOffset>
                      </wp:positionV>
                      <wp:extent cx="63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0.5pt;height:0pt;width:0.05pt;z-index:251662336;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uR037V&#10;AAAACQEAAA8AAAAAAAAAAQAgAAAAIgAAAGRycy9kb3ducmV2LnhtbFBLAQIUABQAAAAIAIdO4kCU&#10;Y33D6gEAAOADAAAOAAAAAAAAAAEAIAAAACQBAABkcnMvZTJvRG9jLnhtbFBLBQYAAAAABgAGAFkB&#10;AACABQAAAAA=&#10;">
                      <v:fill on="f" focussize="0,0"/>
                      <v:stroke color="#000000" joinstyle="round"/>
                      <v:imagedata o:title=""/>
                      <o:lock v:ext="edit" aspectratio="f"/>
                    </v:line>
                  </w:pict>
                </mc:Fallback>
              </mc:AlternateContent>
            </w:r>
            <w:r>
              <w:rPr>
                <w:rFonts w:hint="eastAsia" w:asciiTheme="majorEastAsia" w:hAnsiTheme="majorEastAsia" w:eastAsiaTheme="majorEastAsia"/>
                <w:b/>
                <w:szCs w:val="21"/>
              </w:rPr>
              <w:t>服务类型</w:t>
            </w:r>
          </w:p>
          <w:p>
            <w:pPr>
              <w:spacing w:line="360" w:lineRule="auto"/>
              <w:ind w:firstLine="637" w:firstLineChars="302"/>
              <w:rPr>
                <w:rFonts w:asciiTheme="majorEastAsia" w:hAnsiTheme="majorEastAsia" w:eastAsiaTheme="majorEastAsia"/>
                <w:b/>
                <w:szCs w:val="21"/>
              </w:rPr>
            </w:pPr>
            <w:r>
              <w:rPr>
                <w:rFonts w:hint="eastAsia" w:asciiTheme="majorEastAsia" w:hAnsiTheme="majorEastAsia" w:eastAsiaTheme="majorEastAsia"/>
                <w:b/>
                <w:szCs w:val="21"/>
              </w:rPr>
              <w:t>费率　　　　　</w:t>
            </w:r>
          </w:p>
          <w:p>
            <w:pPr>
              <w:spacing w:line="360" w:lineRule="auto"/>
              <w:rPr>
                <w:rFonts w:asciiTheme="majorEastAsia" w:hAnsiTheme="majorEastAsia" w:eastAsiaTheme="majorEastAsia"/>
                <w:b/>
                <w:szCs w:val="21"/>
              </w:rPr>
            </w:pPr>
            <w:r>
              <w:rPr>
                <w:rFonts w:hint="eastAsia" w:asciiTheme="majorEastAsia" w:hAnsiTheme="majorEastAsia" w:eastAsiaTheme="majorEastAsia"/>
                <w:b/>
                <w:szCs w:val="21"/>
              </w:rPr>
              <w:t>中标金额（万元）</w:t>
            </w:r>
          </w:p>
        </w:tc>
        <w:tc>
          <w:tcPr>
            <w:tcW w:w="2027" w:type="dxa"/>
            <w:vAlign w:val="center"/>
          </w:tcPr>
          <w:p>
            <w:pPr>
              <w:spacing w:line="360" w:lineRule="auto"/>
              <w:jc w:val="center"/>
              <w:rPr>
                <w:rFonts w:asciiTheme="majorEastAsia" w:hAnsiTheme="majorEastAsia" w:eastAsiaTheme="majorEastAsia"/>
                <w:b/>
                <w:szCs w:val="21"/>
              </w:rPr>
            </w:pPr>
            <w:r>
              <w:rPr>
                <w:rFonts w:hint="eastAsia" w:asciiTheme="majorEastAsia" w:hAnsiTheme="majorEastAsia" w:eastAsiaTheme="majorEastAsia"/>
                <w:b/>
                <w:szCs w:val="21"/>
              </w:rPr>
              <w:t>货物招标</w:t>
            </w:r>
          </w:p>
        </w:tc>
        <w:tc>
          <w:tcPr>
            <w:tcW w:w="2158" w:type="dxa"/>
            <w:vAlign w:val="center"/>
          </w:tcPr>
          <w:p>
            <w:pPr>
              <w:spacing w:line="360" w:lineRule="auto"/>
              <w:jc w:val="center"/>
              <w:rPr>
                <w:rFonts w:asciiTheme="majorEastAsia" w:hAnsiTheme="majorEastAsia" w:eastAsiaTheme="majorEastAsia"/>
                <w:b/>
                <w:szCs w:val="21"/>
              </w:rPr>
            </w:pPr>
            <w:r>
              <w:rPr>
                <w:rFonts w:hint="eastAsia" w:asciiTheme="majorEastAsia" w:hAnsiTheme="majorEastAsia" w:eastAsiaTheme="majorEastAsia"/>
                <w:b/>
                <w:szCs w:val="21"/>
              </w:rPr>
              <w:t>服务招标</w:t>
            </w:r>
          </w:p>
        </w:tc>
        <w:tc>
          <w:tcPr>
            <w:tcW w:w="2158" w:type="dxa"/>
            <w:vAlign w:val="center"/>
          </w:tcPr>
          <w:p>
            <w:pPr>
              <w:spacing w:line="360" w:lineRule="auto"/>
              <w:jc w:val="center"/>
              <w:rPr>
                <w:rFonts w:asciiTheme="majorEastAsia" w:hAnsiTheme="majorEastAsia" w:eastAsiaTheme="majorEastAsia"/>
                <w:b/>
                <w:szCs w:val="21"/>
              </w:rPr>
            </w:pPr>
            <w:r>
              <w:rPr>
                <w:rFonts w:hint="eastAsia" w:asciiTheme="majorEastAsia" w:hAnsiTheme="majorEastAsia" w:eastAsiaTheme="majorEastAsia"/>
                <w:b/>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100</w:t>
            </w:r>
            <w:r>
              <w:rPr>
                <w:rFonts w:hint="eastAsia" w:asciiTheme="majorEastAsia" w:hAnsiTheme="majorEastAsia" w:eastAsiaTheme="majorEastAsia"/>
                <w:szCs w:val="21"/>
              </w:rPr>
              <w:t>以下</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1.500%</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1.500%</w:t>
            </w:r>
          </w:p>
        </w:tc>
        <w:tc>
          <w:tcPr>
            <w:tcW w:w="2158" w:type="dxa"/>
            <w:vAlign w:val="center"/>
          </w:tcPr>
          <w:p>
            <w:pPr>
              <w:snapToGrid w:val="0"/>
              <w:spacing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100</w:t>
            </w:r>
            <w:r>
              <w:rPr>
                <w:rFonts w:hint="eastAsia" w:asciiTheme="majorEastAsia" w:hAnsiTheme="majorEastAsia" w:eastAsiaTheme="majorEastAsia"/>
                <w:szCs w:val="21"/>
              </w:rPr>
              <w:t>～</w:t>
            </w:r>
            <w:r>
              <w:rPr>
                <w:rFonts w:asciiTheme="majorEastAsia" w:hAnsiTheme="majorEastAsia" w:eastAsiaTheme="majorEastAsia"/>
                <w:szCs w:val="21"/>
              </w:rPr>
              <w:t>500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1.100%</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0.800%</w:t>
            </w:r>
          </w:p>
        </w:tc>
        <w:tc>
          <w:tcPr>
            <w:tcW w:w="2158" w:type="dxa"/>
            <w:vAlign w:val="center"/>
          </w:tcPr>
          <w:p>
            <w:pPr>
              <w:snapToGrid w:val="0"/>
              <w:spacing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500</w:t>
            </w:r>
            <w:r>
              <w:rPr>
                <w:rFonts w:hint="eastAsia" w:asciiTheme="majorEastAsia" w:hAnsiTheme="majorEastAsia" w:eastAsiaTheme="majorEastAsia"/>
                <w:szCs w:val="21"/>
              </w:rPr>
              <w:t>～</w:t>
            </w:r>
            <w:r>
              <w:rPr>
                <w:rFonts w:asciiTheme="majorEastAsia" w:hAnsiTheme="majorEastAsia" w:eastAsiaTheme="majorEastAsia"/>
                <w:szCs w:val="21"/>
              </w:rPr>
              <w:t>1</w:t>
            </w:r>
            <w:r>
              <w:rPr>
                <w:rFonts w:hint="eastAsia" w:asciiTheme="majorEastAsia" w:hAnsiTheme="majorEastAsia" w:eastAsiaTheme="majorEastAsia"/>
                <w:szCs w:val="21"/>
              </w:rPr>
              <w:t>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0.800%</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0.450%</w:t>
            </w:r>
          </w:p>
        </w:tc>
        <w:tc>
          <w:tcPr>
            <w:tcW w:w="2158" w:type="dxa"/>
            <w:vAlign w:val="center"/>
          </w:tcPr>
          <w:p>
            <w:pPr>
              <w:snapToGrid w:val="0"/>
              <w:spacing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000～</w:t>
            </w:r>
            <w:r>
              <w:rPr>
                <w:rFonts w:asciiTheme="majorEastAsia" w:hAnsiTheme="majorEastAsia" w:eastAsiaTheme="majorEastAsia"/>
                <w:szCs w:val="21"/>
              </w:rPr>
              <w:t>5</w:t>
            </w:r>
            <w:r>
              <w:rPr>
                <w:rFonts w:hint="eastAsia" w:asciiTheme="majorEastAsia" w:hAnsiTheme="majorEastAsia" w:eastAsiaTheme="majorEastAsia"/>
                <w:szCs w:val="21"/>
              </w:rPr>
              <w:t>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0.500%</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0.250%</w:t>
            </w:r>
          </w:p>
        </w:tc>
        <w:tc>
          <w:tcPr>
            <w:tcW w:w="2158" w:type="dxa"/>
            <w:vAlign w:val="center"/>
          </w:tcPr>
          <w:p>
            <w:pPr>
              <w:snapToGrid w:val="0"/>
              <w:spacing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5</w:t>
            </w:r>
            <w:r>
              <w:rPr>
                <w:rFonts w:hint="eastAsia" w:asciiTheme="majorEastAsia" w:hAnsiTheme="majorEastAsia" w:eastAsiaTheme="majorEastAsia"/>
                <w:szCs w:val="21"/>
              </w:rPr>
              <w:t>000～</w:t>
            </w:r>
            <w:r>
              <w:rPr>
                <w:rFonts w:asciiTheme="majorEastAsia" w:hAnsiTheme="majorEastAsia" w:eastAsiaTheme="majorEastAsia"/>
                <w:szCs w:val="21"/>
              </w:rPr>
              <w:t>1</w:t>
            </w:r>
            <w:r>
              <w:rPr>
                <w:rFonts w:hint="eastAsia" w:asciiTheme="majorEastAsia" w:hAnsiTheme="majorEastAsia" w:eastAsiaTheme="majorEastAsia"/>
                <w:szCs w:val="21"/>
              </w:rPr>
              <w:t>0000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0.250%</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0.100%</w:t>
            </w:r>
          </w:p>
        </w:tc>
        <w:tc>
          <w:tcPr>
            <w:tcW w:w="2158" w:type="dxa"/>
            <w:vAlign w:val="center"/>
          </w:tcPr>
          <w:p>
            <w:pPr>
              <w:snapToGrid w:val="0"/>
              <w:spacing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0000～</w:t>
            </w:r>
            <w:r>
              <w:rPr>
                <w:rFonts w:asciiTheme="majorEastAsia" w:hAnsiTheme="majorEastAsia" w:eastAsiaTheme="majorEastAsia"/>
                <w:szCs w:val="21"/>
              </w:rPr>
              <w:t>5</w:t>
            </w:r>
            <w:r>
              <w:rPr>
                <w:rFonts w:hint="eastAsia" w:asciiTheme="majorEastAsia" w:hAnsiTheme="majorEastAsia" w:eastAsiaTheme="majorEastAsia"/>
                <w:szCs w:val="21"/>
              </w:rPr>
              <w:t>0000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0.050%</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0.050%</w:t>
            </w:r>
          </w:p>
        </w:tc>
        <w:tc>
          <w:tcPr>
            <w:tcW w:w="2158" w:type="dxa"/>
            <w:vAlign w:val="center"/>
          </w:tcPr>
          <w:p>
            <w:pPr>
              <w:snapToGrid w:val="0"/>
              <w:spacing w:line="360" w:lineRule="auto"/>
              <w:jc w:val="center"/>
              <w:rPr>
                <w:rFonts w:asciiTheme="majorEastAsia" w:hAnsiTheme="majorEastAsia" w:eastAsiaTheme="majorEastAsia"/>
                <w:szCs w:val="21"/>
              </w:rPr>
            </w:pPr>
            <w:r>
              <w:rPr>
                <w:rFonts w:hint="eastAsia" w:asciiTheme="majorEastAsia" w:hAnsiTheme="majorEastAsia" w:eastAsiaTheme="majorEastAsia"/>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5</w:t>
            </w:r>
            <w:r>
              <w:rPr>
                <w:rFonts w:hint="eastAsia" w:asciiTheme="majorEastAsia" w:hAnsiTheme="majorEastAsia" w:eastAsiaTheme="majorEastAsia"/>
                <w:szCs w:val="21"/>
              </w:rPr>
              <w:t>0000～</w:t>
            </w:r>
            <w:r>
              <w:rPr>
                <w:rFonts w:asciiTheme="majorEastAsia" w:hAnsiTheme="majorEastAsia" w:eastAsiaTheme="majorEastAsia"/>
                <w:szCs w:val="21"/>
              </w:rPr>
              <w:t>10</w:t>
            </w:r>
            <w:r>
              <w:rPr>
                <w:rFonts w:hint="eastAsia" w:asciiTheme="majorEastAsia" w:hAnsiTheme="majorEastAsia" w:eastAsiaTheme="majorEastAsia"/>
                <w:szCs w:val="21"/>
              </w:rPr>
              <w:t>0000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0.035%</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0.035%</w:t>
            </w:r>
          </w:p>
        </w:tc>
        <w:tc>
          <w:tcPr>
            <w:tcW w:w="2158" w:type="dxa"/>
            <w:vAlign w:val="center"/>
          </w:tcPr>
          <w:p>
            <w:pPr>
              <w:snapToGrid w:val="0"/>
              <w:spacing w:line="360" w:lineRule="auto"/>
              <w:jc w:val="center"/>
              <w:rPr>
                <w:rFonts w:asciiTheme="majorEastAsia" w:hAnsiTheme="majorEastAsia" w:eastAsiaTheme="majorEastAsia"/>
                <w:bCs/>
                <w:szCs w:val="21"/>
              </w:rPr>
            </w:pPr>
            <w:r>
              <w:rPr>
                <w:rFonts w:hint="eastAsia" w:asciiTheme="majorEastAsia" w:hAnsiTheme="majorEastAsia" w:eastAsiaTheme="majorEastAsia"/>
                <w:bCs/>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10</w:t>
            </w:r>
            <w:r>
              <w:rPr>
                <w:rFonts w:hint="eastAsia" w:asciiTheme="majorEastAsia" w:hAnsiTheme="majorEastAsia" w:eastAsiaTheme="majorEastAsia"/>
                <w:szCs w:val="21"/>
              </w:rPr>
              <w:t>0000～</w:t>
            </w:r>
            <w:r>
              <w:rPr>
                <w:rFonts w:asciiTheme="majorEastAsia" w:hAnsiTheme="majorEastAsia" w:eastAsiaTheme="majorEastAsia"/>
                <w:szCs w:val="21"/>
              </w:rPr>
              <w:t>50</w:t>
            </w:r>
            <w:r>
              <w:rPr>
                <w:rFonts w:hint="eastAsia" w:asciiTheme="majorEastAsia" w:hAnsiTheme="majorEastAsia" w:eastAsiaTheme="majorEastAsia"/>
                <w:szCs w:val="21"/>
              </w:rPr>
              <w:t>0000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0.008%</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0.008%</w:t>
            </w:r>
          </w:p>
        </w:tc>
        <w:tc>
          <w:tcPr>
            <w:tcW w:w="2158" w:type="dxa"/>
            <w:vAlign w:val="center"/>
          </w:tcPr>
          <w:p>
            <w:pPr>
              <w:snapToGrid w:val="0"/>
              <w:spacing w:line="360" w:lineRule="auto"/>
              <w:jc w:val="center"/>
              <w:rPr>
                <w:rFonts w:asciiTheme="majorEastAsia" w:hAnsiTheme="majorEastAsia" w:eastAsiaTheme="majorEastAsia"/>
                <w:bCs/>
                <w:szCs w:val="21"/>
              </w:rPr>
            </w:pPr>
            <w:r>
              <w:rPr>
                <w:rFonts w:hint="eastAsia" w:asciiTheme="majorEastAsia" w:hAnsiTheme="majorEastAsia" w:eastAsiaTheme="majorEastAsia"/>
                <w:bCs/>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50</w:t>
            </w:r>
            <w:r>
              <w:rPr>
                <w:rFonts w:hint="eastAsia" w:asciiTheme="majorEastAsia" w:hAnsiTheme="majorEastAsia" w:eastAsiaTheme="majorEastAsia"/>
                <w:szCs w:val="21"/>
              </w:rPr>
              <w:t>0000～</w:t>
            </w:r>
            <w:r>
              <w:rPr>
                <w:rFonts w:asciiTheme="majorEastAsia" w:hAnsiTheme="majorEastAsia" w:eastAsiaTheme="majorEastAsia"/>
                <w:szCs w:val="21"/>
              </w:rPr>
              <w:t>100</w:t>
            </w:r>
            <w:r>
              <w:rPr>
                <w:rFonts w:hint="eastAsia" w:asciiTheme="majorEastAsia" w:hAnsiTheme="majorEastAsia" w:eastAsiaTheme="majorEastAsia"/>
                <w:szCs w:val="21"/>
              </w:rPr>
              <w:t>0000</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0.006%</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0.006%</w:t>
            </w:r>
          </w:p>
        </w:tc>
        <w:tc>
          <w:tcPr>
            <w:tcW w:w="2158" w:type="dxa"/>
            <w:vAlign w:val="center"/>
          </w:tcPr>
          <w:p>
            <w:pPr>
              <w:snapToGrid w:val="0"/>
              <w:spacing w:line="360" w:lineRule="auto"/>
              <w:jc w:val="center"/>
              <w:rPr>
                <w:rFonts w:asciiTheme="majorEastAsia" w:hAnsiTheme="majorEastAsia" w:eastAsiaTheme="majorEastAsia"/>
                <w:bCs/>
                <w:szCs w:val="21"/>
              </w:rPr>
            </w:pPr>
            <w:r>
              <w:rPr>
                <w:rFonts w:hint="eastAsia" w:asciiTheme="majorEastAsia" w:hAnsiTheme="majorEastAsia" w:eastAsiaTheme="majorEastAsia"/>
                <w:bCs/>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802"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100</w:t>
            </w:r>
            <w:r>
              <w:rPr>
                <w:rFonts w:hint="eastAsia" w:asciiTheme="majorEastAsia" w:hAnsiTheme="majorEastAsia" w:eastAsiaTheme="majorEastAsia"/>
                <w:szCs w:val="21"/>
              </w:rPr>
              <w:t>0000以上</w:t>
            </w:r>
          </w:p>
        </w:tc>
        <w:tc>
          <w:tcPr>
            <w:tcW w:w="2027"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0.004%</w:t>
            </w:r>
          </w:p>
        </w:tc>
        <w:tc>
          <w:tcPr>
            <w:tcW w:w="2158" w:type="dxa"/>
            <w:vAlign w:val="center"/>
          </w:tcPr>
          <w:p>
            <w:pPr>
              <w:spacing w:line="360" w:lineRule="auto"/>
              <w:jc w:val="center"/>
              <w:rPr>
                <w:rFonts w:asciiTheme="majorEastAsia" w:hAnsiTheme="majorEastAsia" w:eastAsiaTheme="majorEastAsia"/>
                <w:szCs w:val="21"/>
              </w:rPr>
            </w:pPr>
            <w:r>
              <w:rPr>
                <w:rFonts w:asciiTheme="majorEastAsia" w:hAnsiTheme="majorEastAsia" w:eastAsiaTheme="majorEastAsia"/>
                <w:szCs w:val="21"/>
              </w:rPr>
              <w:t>0.004%</w:t>
            </w:r>
          </w:p>
        </w:tc>
        <w:tc>
          <w:tcPr>
            <w:tcW w:w="2158" w:type="dxa"/>
            <w:vAlign w:val="center"/>
          </w:tcPr>
          <w:p>
            <w:pPr>
              <w:snapToGrid w:val="0"/>
              <w:spacing w:line="360" w:lineRule="auto"/>
              <w:jc w:val="center"/>
              <w:rPr>
                <w:rFonts w:asciiTheme="majorEastAsia" w:hAnsiTheme="majorEastAsia" w:eastAsiaTheme="majorEastAsia"/>
                <w:bCs/>
                <w:szCs w:val="21"/>
              </w:rPr>
            </w:pPr>
            <w:r>
              <w:rPr>
                <w:rFonts w:hint="eastAsia" w:asciiTheme="majorEastAsia" w:hAnsiTheme="majorEastAsia" w:eastAsiaTheme="majorEastAsia"/>
                <w:bCs/>
                <w:szCs w:val="21"/>
              </w:rPr>
              <w:t>0.004%</w:t>
            </w:r>
          </w:p>
        </w:tc>
      </w:tr>
    </w:tbl>
    <w:p>
      <w:pPr>
        <w:spacing w:line="360" w:lineRule="auto"/>
        <w:ind w:firstLine="411" w:firstLineChars="196"/>
        <w:rPr>
          <w:rFonts w:asciiTheme="majorEastAsia" w:hAnsiTheme="majorEastAsia" w:eastAsiaTheme="majorEastAsia"/>
          <w:szCs w:val="21"/>
        </w:rPr>
      </w:pPr>
    </w:p>
    <w:bookmarkEnd w:id="58"/>
    <w:p>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hAnsiTheme="majorEastAsia" w:eastAsiaTheme="majorEastAsia"/>
          <w:b/>
          <w:bCs/>
          <w:kern w:val="0"/>
          <w:sz w:val="28"/>
          <w:szCs w:val="28"/>
        </w:rPr>
      </w:pPr>
      <w:r>
        <w:rPr>
          <w:rFonts w:hint="eastAsia" w:asciiTheme="majorEastAsia" w:hAnsiTheme="majorEastAsia" w:eastAsiaTheme="majorEastAsia"/>
          <w:b/>
          <w:bCs/>
          <w:kern w:val="0"/>
          <w:sz w:val="28"/>
          <w:szCs w:val="28"/>
        </w:rPr>
        <w:t>公开招标失败的后续处理</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42．公开招标失败的处理</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42.1本项目公开招标过程中若由于投标截止后实际递交</w:t>
      </w:r>
      <w:r>
        <w:rPr>
          <w:rFonts w:asciiTheme="majorEastAsia" w:hAnsiTheme="majorEastAsia" w:eastAsiaTheme="majorEastAsia"/>
          <w:szCs w:val="21"/>
        </w:rPr>
        <w:t>投标</w:t>
      </w:r>
      <w:r>
        <w:rPr>
          <w:rFonts w:hint="eastAsia" w:asciiTheme="majorEastAsia" w:hAnsiTheme="majorEastAsia" w:eastAsiaTheme="majorEastAsia"/>
          <w:szCs w:val="21"/>
        </w:rPr>
        <w:t>文件的供应商数量不足、经评审委员会评审对招标文件作实质响应的供应商不足等原因造成公开招标失败，可由</w:t>
      </w:r>
      <w:r>
        <w:rPr>
          <w:rFonts w:hint="eastAsia" w:cs="宋体" w:asciiTheme="majorEastAsia" w:hAnsiTheme="majorEastAsia" w:eastAsiaTheme="majorEastAsia"/>
          <w:szCs w:val="21"/>
        </w:rPr>
        <w:t>采购代理机构</w:t>
      </w:r>
      <w:r>
        <w:rPr>
          <w:rFonts w:hint="eastAsia" w:asciiTheme="majorEastAsia" w:hAnsiTheme="majorEastAsia" w:eastAsiaTheme="majorEastAsia"/>
          <w:szCs w:val="21"/>
        </w:rPr>
        <w:t>重新组织采购。</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42.2对公开招标失败的项目，评审委员会在出具该项目招标失败结论的同时，可以提出重新采购组织形式的建议，以及进一步完善招标文件的资格、技术、商务要求的修改建议。</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42.3重新组织采购有以下两种组织形式：</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（1）由采购代理机构重新组织公开招标；</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（2）根据实际情况需要向同级财政部门提出非公开招标方式申请的，经同级财政部门批准，公开招标失败采购项目可转为竞争性谈判或单一来源谈判方式采购。</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42.4公开招标失败的采购项目重新组织公开招标，由采购代理机构重新按公开招标流程组织采购活动。</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42.5公开招标失败的采购项目经同级财政部门批准转为竞争性谈判或单一来源谈判方式采购的，按规定要求组织政府采购工作。</w:t>
      </w:r>
    </w:p>
    <w:p>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hAnsiTheme="majorEastAsia" w:eastAsiaTheme="majorEastAsia"/>
          <w:b/>
          <w:bCs/>
          <w:kern w:val="0"/>
          <w:sz w:val="28"/>
          <w:szCs w:val="28"/>
        </w:rPr>
      </w:pPr>
      <w:bookmarkStart w:id="59" w:name="_Hlk72439043"/>
      <w:r>
        <w:rPr>
          <w:rFonts w:hint="eastAsia" w:asciiTheme="majorEastAsia" w:hAnsiTheme="majorEastAsia" w:eastAsiaTheme="majorEastAsia"/>
          <w:b/>
          <w:bCs/>
          <w:kern w:val="0"/>
          <w:sz w:val="28"/>
          <w:szCs w:val="28"/>
        </w:rPr>
        <w:t>合同的授予与备案</w:t>
      </w:r>
      <w:bookmarkEnd w:id="59"/>
    </w:p>
    <w:p>
      <w:pPr>
        <w:spacing w:line="360" w:lineRule="auto"/>
        <w:rPr>
          <w:rFonts w:asciiTheme="majorEastAsia" w:hAnsiTheme="majorEastAsia" w:eastAsiaTheme="majorEastAsia"/>
          <w:b/>
          <w:bCs/>
          <w:szCs w:val="21"/>
        </w:rPr>
      </w:pPr>
      <w:bookmarkStart w:id="60" w:name="_Toc73518157"/>
      <w:bookmarkStart w:id="61" w:name="_Toc73521586"/>
      <w:bookmarkStart w:id="62" w:name="_Toc73517679"/>
      <w:bookmarkStart w:id="63" w:name="_Toc100052408"/>
      <w:bookmarkStart w:id="64" w:name="_Toc73521674"/>
      <w:bookmarkStart w:id="65" w:name="_Hlk72439088"/>
      <w:r>
        <w:rPr>
          <w:rFonts w:hint="eastAsia" w:asciiTheme="majorEastAsia" w:hAnsiTheme="majorEastAsia" w:eastAsiaTheme="majorEastAsia"/>
          <w:b/>
          <w:bCs/>
          <w:szCs w:val="21"/>
        </w:rPr>
        <w:t>43．合同授予标准</w:t>
      </w:r>
      <w:bookmarkEnd w:id="60"/>
      <w:bookmarkEnd w:id="61"/>
      <w:bookmarkEnd w:id="62"/>
      <w:bookmarkEnd w:id="63"/>
      <w:bookmarkEnd w:id="64"/>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本项目的合同将授予经本招标文件规定评审确定的中标供应商。</w:t>
      </w:r>
    </w:p>
    <w:p>
      <w:pPr>
        <w:spacing w:line="360" w:lineRule="auto"/>
        <w:rPr>
          <w:rFonts w:asciiTheme="majorEastAsia" w:hAnsiTheme="majorEastAsia" w:eastAsiaTheme="majorEastAsia"/>
          <w:b/>
          <w:bCs/>
          <w:szCs w:val="21"/>
        </w:rPr>
      </w:pPr>
      <w:bookmarkStart w:id="66" w:name="_Toc100052409"/>
      <w:bookmarkStart w:id="67" w:name="_Toc73521675"/>
      <w:bookmarkStart w:id="68" w:name="_Toc73521587"/>
      <w:bookmarkStart w:id="69" w:name="_Toc73517680"/>
      <w:bookmarkStart w:id="70" w:name="_Toc73518158"/>
      <w:r>
        <w:rPr>
          <w:rFonts w:hint="eastAsia" w:asciiTheme="majorEastAsia" w:hAnsiTheme="majorEastAsia" w:eastAsiaTheme="majorEastAsia"/>
          <w:b/>
          <w:bCs/>
          <w:szCs w:val="21"/>
        </w:rPr>
        <w:t>44．</w:t>
      </w:r>
      <w:bookmarkEnd w:id="66"/>
      <w:bookmarkEnd w:id="67"/>
      <w:bookmarkEnd w:id="68"/>
      <w:bookmarkEnd w:id="69"/>
      <w:bookmarkEnd w:id="70"/>
      <w:r>
        <w:rPr>
          <w:rFonts w:hint="eastAsia" w:asciiTheme="majorEastAsia" w:hAnsiTheme="majorEastAsia" w:eastAsiaTheme="majorEastAsia"/>
          <w:b/>
          <w:bCs/>
          <w:szCs w:val="21"/>
        </w:rPr>
        <w:t>接受和拒绝任何或所有投标的权力</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采购代理机构和采购人保留在投标之前任何时候接受或拒绝任何投标或所有投标，以及宣布招标无效的权力，对受影响的投标人不承担任何责任，也无义务向受影响的投标人解释采取这一行动的理由。</w:t>
      </w:r>
    </w:p>
    <w:p>
      <w:pPr>
        <w:spacing w:line="360" w:lineRule="auto"/>
        <w:rPr>
          <w:rFonts w:asciiTheme="majorEastAsia" w:hAnsiTheme="majorEastAsia" w:eastAsiaTheme="majorEastAsia"/>
          <w:b/>
          <w:bCs/>
          <w:szCs w:val="21"/>
        </w:rPr>
      </w:pPr>
      <w:bookmarkStart w:id="71" w:name="_Toc73521677"/>
      <w:bookmarkStart w:id="72" w:name="_Toc73517682"/>
      <w:bookmarkStart w:id="73" w:name="_Toc73521589"/>
      <w:bookmarkStart w:id="74" w:name="_Toc73518160"/>
      <w:bookmarkStart w:id="75" w:name="_Toc100052410"/>
      <w:r>
        <w:rPr>
          <w:rFonts w:hint="eastAsia" w:asciiTheme="majorEastAsia" w:hAnsiTheme="majorEastAsia" w:eastAsiaTheme="majorEastAsia"/>
          <w:b/>
          <w:bCs/>
          <w:szCs w:val="21"/>
        </w:rPr>
        <w:t>45．合同的签订</w:t>
      </w:r>
      <w:bookmarkEnd w:id="71"/>
      <w:bookmarkEnd w:id="72"/>
      <w:bookmarkEnd w:id="73"/>
      <w:bookmarkEnd w:id="74"/>
      <w:bookmarkEnd w:id="75"/>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45.1中标人将于中标通知书发出之日起十个工作日内，按照采购文件（招标文件和投标文件等）内容与采购人签订政府采购合同；合同的实质性内容应当符合招标文件的规定；</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45.2中标人如不按本通用条款第45</w:t>
      </w:r>
      <w:r>
        <w:rPr>
          <w:rFonts w:asciiTheme="majorEastAsia" w:hAnsiTheme="majorEastAsia" w:eastAsiaTheme="majorEastAsia"/>
          <w:szCs w:val="21"/>
        </w:rPr>
        <w:t>.1</w:t>
      </w:r>
      <w:r>
        <w:rPr>
          <w:rFonts w:hint="eastAsia" w:asciiTheme="majorEastAsia" w:hAnsiTheme="majorEastAsia" w:eastAsiaTheme="majorEastAsia"/>
          <w:szCs w:val="21"/>
        </w:rPr>
        <w:t>款的规定与采购人签订合同，</w:t>
      </w:r>
      <w:r>
        <w:rPr>
          <w:rFonts w:cs="宋体" w:asciiTheme="majorEastAsia" w:hAnsiTheme="majorEastAsia" w:eastAsiaTheme="majorEastAsia"/>
          <w:szCs w:val="21"/>
        </w:rPr>
        <w:t>情节严重的，由</w:t>
      </w:r>
      <w:r>
        <w:rPr>
          <w:rFonts w:hint="eastAsia" w:cs="宋体" w:asciiTheme="majorEastAsia" w:hAnsiTheme="majorEastAsia" w:eastAsiaTheme="majorEastAsia"/>
          <w:szCs w:val="21"/>
        </w:rPr>
        <w:t>同级财政</w:t>
      </w:r>
      <w:r>
        <w:rPr>
          <w:rFonts w:cs="宋体" w:asciiTheme="majorEastAsia" w:hAnsiTheme="majorEastAsia" w:eastAsiaTheme="majorEastAsia"/>
          <w:szCs w:val="21"/>
        </w:rPr>
        <w:t>部门记入供应商诚信档案，予以通报</w:t>
      </w:r>
      <w:r>
        <w:rPr>
          <w:rFonts w:hint="eastAsia" w:asciiTheme="majorEastAsia" w:hAnsiTheme="majorEastAsia" w:eastAsiaTheme="majorEastAsia"/>
          <w:szCs w:val="21"/>
        </w:rPr>
        <w:t>；</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45.3中标人应当按照合同约定履行义务，完成中标项目，不得将中标项目转让（转包）给他人。</w:t>
      </w:r>
    </w:p>
    <w:p>
      <w:pPr>
        <w:spacing w:line="360" w:lineRule="auto"/>
        <w:rPr>
          <w:rFonts w:asciiTheme="majorEastAsia" w:hAnsiTheme="majorEastAsia" w:eastAsiaTheme="majorEastAsia"/>
          <w:b/>
          <w:bCs/>
          <w:szCs w:val="21"/>
        </w:rPr>
      </w:pPr>
      <w:bookmarkStart w:id="76" w:name="_Toc73518161"/>
      <w:bookmarkStart w:id="77" w:name="_Toc73521590"/>
      <w:bookmarkStart w:id="78" w:name="_Toc73521678"/>
      <w:bookmarkStart w:id="79" w:name="_Toc100052411"/>
      <w:bookmarkStart w:id="80" w:name="_Toc73517683"/>
      <w:r>
        <w:rPr>
          <w:rFonts w:hint="eastAsia" w:asciiTheme="majorEastAsia" w:hAnsiTheme="majorEastAsia" w:eastAsiaTheme="majorEastAsia"/>
          <w:b/>
          <w:bCs/>
          <w:szCs w:val="21"/>
        </w:rPr>
        <w:t>46．履约担保</w:t>
      </w:r>
      <w:bookmarkEnd w:id="76"/>
      <w:bookmarkEnd w:id="77"/>
      <w:bookmarkEnd w:id="78"/>
      <w:bookmarkEnd w:id="79"/>
      <w:bookmarkEnd w:id="80"/>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46.1在签订项目合同的同时，中标人应按“对通用条款的补充内容”中规定的金额向采购人提交履约担保；</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46.2，允许供应商自主选择以支票、汇票、本票、保函等非现金方式提交履约担保；</w:t>
      </w:r>
      <w:r>
        <w:rPr>
          <w:rFonts w:asciiTheme="majorEastAsia" w:hAnsiTheme="majorEastAsia" w:eastAsiaTheme="majorEastAsia"/>
          <w:szCs w:val="21"/>
        </w:rPr>
        <w:t>中标</w:t>
      </w:r>
      <w:r>
        <w:rPr>
          <w:rFonts w:hint="eastAsia" w:asciiTheme="majorEastAsia" w:hAnsiTheme="majorEastAsia" w:eastAsiaTheme="majorEastAsia"/>
          <w:szCs w:val="21"/>
        </w:rPr>
        <w:t>人</w:t>
      </w:r>
      <w:r>
        <w:rPr>
          <w:rFonts w:asciiTheme="majorEastAsia" w:hAnsiTheme="majorEastAsia" w:eastAsiaTheme="majorEastAsia"/>
          <w:szCs w:val="21"/>
        </w:rPr>
        <w:t>提交履约</w:t>
      </w:r>
      <w:r>
        <w:rPr>
          <w:rFonts w:hint="eastAsia" w:asciiTheme="majorEastAsia" w:hAnsiTheme="majorEastAsia" w:eastAsiaTheme="majorEastAsia"/>
          <w:szCs w:val="21"/>
        </w:rPr>
        <w:t>担保不是</w:t>
      </w:r>
      <w:r>
        <w:rPr>
          <w:rFonts w:asciiTheme="majorEastAsia" w:hAnsiTheme="majorEastAsia" w:eastAsiaTheme="majorEastAsia"/>
          <w:szCs w:val="21"/>
        </w:rPr>
        <w:t>合同签订的</w:t>
      </w:r>
      <w:r>
        <w:rPr>
          <w:rFonts w:hint="eastAsia" w:asciiTheme="majorEastAsia" w:hAnsiTheme="majorEastAsia" w:eastAsiaTheme="majorEastAsia"/>
          <w:szCs w:val="21"/>
        </w:rPr>
        <w:t>前提</w:t>
      </w:r>
      <w:r>
        <w:rPr>
          <w:rFonts w:asciiTheme="majorEastAsia" w:hAnsiTheme="majorEastAsia" w:eastAsiaTheme="majorEastAsia"/>
          <w:szCs w:val="21"/>
        </w:rPr>
        <w:t>条件，不要求中标</w:t>
      </w:r>
      <w:r>
        <w:rPr>
          <w:rFonts w:hint="eastAsia" w:asciiTheme="majorEastAsia" w:hAnsiTheme="majorEastAsia" w:eastAsiaTheme="majorEastAsia"/>
          <w:szCs w:val="21"/>
        </w:rPr>
        <w:t>人</w:t>
      </w:r>
      <w:r>
        <w:rPr>
          <w:rFonts w:asciiTheme="majorEastAsia" w:hAnsiTheme="majorEastAsia" w:eastAsiaTheme="majorEastAsia"/>
          <w:szCs w:val="21"/>
        </w:rPr>
        <w:t>提供除法律、法规明确规定外的其他担保</w:t>
      </w:r>
      <w:r>
        <w:rPr>
          <w:rFonts w:hint="eastAsia" w:asciiTheme="majorEastAsia" w:hAnsiTheme="majorEastAsia" w:eastAsiaTheme="majorEastAsia"/>
          <w:szCs w:val="21"/>
        </w:rPr>
        <w:t>。</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47. 合同备案</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采购人与中标人应于合同签订之日起十日内，由采购人或委托中标人将采购合同副本抄送合同备案工作实施机构备案。</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48. 合同变更</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合同变更事宜按《深圳市财政局 深圳市政府采购中心关于进一步加强市本级政府采购合同备案管理工作的通知》（深财购〔2019〕43号）相关规定执行。</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49. 项目验收</w:t>
      </w:r>
    </w:p>
    <w:p>
      <w:pPr>
        <w:spacing w:line="360" w:lineRule="auto"/>
        <w:ind w:right="176" w:firstLine="420"/>
        <w:rPr>
          <w:rFonts w:asciiTheme="majorEastAsia" w:hAnsiTheme="majorEastAsia" w:eastAsiaTheme="majorEastAsia"/>
          <w:szCs w:val="21"/>
        </w:rPr>
      </w:pPr>
      <w:r>
        <w:rPr>
          <w:rFonts w:hint="eastAsia" w:asciiTheme="majorEastAsia" w:hAnsiTheme="majorEastAsia" w:eastAsiaTheme="majorEastAsia"/>
          <w:szCs w:val="21"/>
        </w:rPr>
        <w:t>49.1采购人应当按照招标文件和合同规定的标准和方法，及时组织验收。</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50. 宣传</w:t>
      </w:r>
    </w:p>
    <w:p>
      <w:pPr>
        <w:spacing w:line="360" w:lineRule="auto"/>
        <w:ind w:left="210" w:leftChars="100" w:firstLine="411" w:firstLineChars="196"/>
        <w:rPr>
          <w:rFonts w:asciiTheme="majorEastAsia" w:hAnsiTheme="majorEastAsia" w:eastAsiaTheme="majorEastAsia"/>
          <w:szCs w:val="21"/>
        </w:rPr>
      </w:pPr>
      <w:r>
        <w:rPr>
          <w:rFonts w:hint="eastAsia" w:asciiTheme="majorEastAsia" w:hAnsiTheme="majorEastAsia" w:eastAsiaTheme="majorEastAsia"/>
          <w:szCs w:val="21"/>
        </w:rPr>
        <w:t>凡与政府采购活动有关的宣传或广告，若当中提及政府采购，</w:t>
      </w:r>
      <w:r>
        <w:rPr>
          <w:rFonts w:asciiTheme="majorEastAsia" w:hAnsiTheme="majorEastAsia" w:eastAsiaTheme="majorEastAsia"/>
          <w:szCs w:val="21"/>
        </w:rPr>
        <w:t>必须事先将具体对外宣传方案报</w:t>
      </w:r>
      <w:r>
        <w:rPr>
          <w:rFonts w:hint="eastAsia" w:asciiTheme="majorEastAsia" w:hAnsiTheme="majorEastAsia" w:eastAsiaTheme="majorEastAsia"/>
          <w:szCs w:val="21"/>
        </w:rPr>
        <w:t>同级财政部门</w:t>
      </w:r>
      <w:r>
        <w:rPr>
          <w:rFonts w:asciiTheme="majorEastAsia" w:hAnsiTheme="majorEastAsia" w:eastAsiaTheme="majorEastAsia"/>
          <w:szCs w:val="21"/>
        </w:rPr>
        <w:t>和</w:t>
      </w:r>
      <w:r>
        <w:rPr>
          <w:rFonts w:hint="eastAsia" w:asciiTheme="majorEastAsia" w:hAnsiTheme="majorEastAsia" w:eastAsiaTheme="majorEastAsia"/>
          <w:szCs w:val="21"/>
        </w:rPr>
        <w:t>采购代理机构</w:t>
      </w:r>
      <w:r>
        <w:rPr>
          <w:rFonts w:asciiTheme="majorEastAsia" w:hAnsiTheme="majorEastAsia" w:eastAsiaTheme="majorEastAsia"/>
          <w:szCs w:val="21"/>
        </w:rPr>
        <w:t>，并征得其同意。对外市场宣传包括但不限于以下形式：</w:t>
      </w:r>
    </w:p>
    <w:p>
      <w:pPr>
        <w:spacing w:line="360" w:lineRule="auto"/>
        <w:ind w:left="210" w:leftChars="100" w:firstLine="411" w:firstLineChars="196"/>
        <w:rPr>
          <w:rFonts w:asciiTheme="majorEastAsia" w:hAnsiTheme="majorEastAsia" w:eastAsiaTheme="majorEastAsia"/>
          <w:szCs w:val="21"/>
        </w:rPr>
      </w:pPr>
      <w:r>
        <w:rPr>
          <w:rFonts w:asciiTheme="majorEastAsia" w:hAnsiTheme="majorEastAsia" w:eastAsiaTheme="majorEastAsia"/>
          <w:szCs w:val="21"/>
        </w:rPr>
        <w:t>a.名片、宣传册、广告标语等；</w:t>
      </w:r>
    </w:p>
    <w:p>
      <w:pPr>
        <w:spacing w:line="360" w:lineRule="auto"/>
        <w:ind w:left="210" w:leftChars="100" w:firstLine="411" w:firstLineChars="196"/>
        <w:rPr>
          <w:rFonts w:asciiTheme="majorEastAsia" w:hAnsiTheme="majorEastAsia" w:eastAsiaTheme="majorEastAsia"/>
          <w:szCs w:val="21"/>
        </w:rPr>
      </w:pPr>
      <w:r>
        <w:rPr>
          <w:rFonts w:asciiTheme="majorEastAsia" w:hAnsiTheme="majorEastAsia" w:eastAsiaTheme="majorEastAsia"/>
          <w:szCs w:val="21"/>
        </w:rPr>
        <w:t>b.案例介绍、推广等；</w:t>
      </w:r>
    </w:p>
    <w:p>
      <w:pPr>
        <w:spacing w:line="360" w:lineRule="auto"/>
        <w:ind w:left="210" w:leftChars="100" w:firstLine="411" w:firstLineChars="196"/>
        <w:rPr>
          <w:rFonts w:asciiTheme="majorEastAsia" w:hAnsiTheme="majorEastAsia" w:eastAsiaTheme="majorEastAsia"/>
          <w:szCs w:val="21"/>
        </w:rPr>
      </w:pPr>
      <w:r>
        <w:rPr>
          <w:rFonts w:hint="eastAsia" w:asciiTheme="majorEastAsia" w:hAnsiTheme="majorEastAsia" w:eastAsiaTheme="majorEastAsia"/>
          <w:szCs w:val="21"/>
        </w:rPr>
        <w:t>c.工作</w:t>
      </w:r>
      <w:r>
        <w:rPr>
          <w:rFonts w:asciiTheme="majorEastAsia" w:hAnsiTheme="majorEastAsia" w:eastAsiaTheme="majorEastAsia"/>
          <w:szCs w:val="21"/>
        </w:rPr>
        <w:t>人员向其他消费群体宣传。</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b/>
          <w:bCs/>
          <w:szCs w:val="21"/>
        </w:rPr>
        <w:t>51. 供应商违法责任</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w:t>
      </w:r>
      <w:r>
        <w:rPr>
          <w:rFonts w:asciiTheme="majorEastAsia" w:hAnsiTheme="majorEastAsia" w:eastAsiaTheme="majorEastAsia"/>
          <w:szCs w:val="21"/>
        </w:rPr>
        <w:t>1.1</w:t>
      </w:r>
      <w:r>
        <w:rPr>
          <w:rFonts w:hint="eastAsia" w:asciiTheme="majorEastAsia" w:hAnsiTheme="majorEastAsia" w:eastAsiaTheme="majorEastAsia"/>
          <w:szCs w:val="21"/>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（1）在采购活动中应当回避而未回避的；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（2）未按本条例规定签订、履行采购合同，造成严重后果的；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（3）隐瞒真实情况，提供虚假资料的；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（4）以非法手段排斥其他供应商参与竞争的；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（5）与其他采购参加人串通投标的；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（6）恶意投诉的；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（7）向采购项目相关人行贿或者提供其他不当利益的；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（8）阻碍、抗拒主管部门监督检查的；</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（9）其他违反本条例规定的行为。</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5</w:t>
      </w:r>
      <w:r>
        <w:rPr>
          <w:rFonts w:asciiTheme="majorEastAsia" w:hAnsiTheme="majorEastAsia" w:eastAsiaTheme="majorEastAsia"/>
          <w:szCs w:val="21"/>
        </w:rPr>
        <w:t xml:space="preserve">1.2 </w:t>
      </w:r>
      <w:r>
        <w:rPr>
          <w:rFonts w:hint="eastAsia" w:asciiTheme="majorEastAsia" w:hAnsiTheme="majorEastAsia" w:eastAsiaTheme="majorEastAsia"/>
          <w:szCs w:val="21"/>
        </w:rPr>
        <w:t>根据《深圳市财政局关于明确政府采购保证金管理工作的通知》（深财购[2019]42号）的要求，供应商在政府采购活动中出现《深圳经济特区政府采购条例实施细则》第八十四条所列情形的，</w:t>
      </w:r>
      <w:bookmarkStart w:id="81" w:name="_Hlk72440769"/>
      <w:r>
        <w:rPr>
          <w:rFonts w:hint="eastAsia" w:asciiTheme="majorEastAsia" w:hAnsiTheme="majorEastAsia" w:eastAsiaTheme="majorEastAsia"/>
          <w:szCs w:val="21"/>
        </w:rPr>
        <w:t>采购人或采购代理机构</w:t>
      </w:r>
      <w:bookmarkEnd w:id="81"/>
      <w:r>
        <w:rPr>
          <w:rFonts w:hint="eastAsia" w:asciiTheme="majorEastAsia" w:hAnsiTheme="majorEastAsia" w:eastAsiaTheme="majorEastAsia"/>
          <w:szCs w:val="21"/>
        </w:rPr>
        <w:t>可将有关情况报同级财政部门，由财政部门根据实际情况记入供应商诚信档案，予以通报：</w:t>
      </w:r>
    </w:p>
    <w:p>
      <w:pPr>
        <w:spacing w:line="360" w:lineRule="auto"/>
        <w:ind w:firstLine="411" w:firstLineChars="196"/>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）投标截止后，撤销投标的；</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w:t>
      </w:r>
      <w:r>
        <w:rPr>
          <w:rFonts w:hint="eastAsia" w:asciiTheme="majorEastAsia" w:hAnsiTheme="majorEastAsia" w:eastAsiaTheme="majorEastAsia"/>
          <w:szCs w:val="21"/>
        </w:rPr>
        <w:t>2</w:t>
      </w:r>
      <w:r>
        <w:rPr>
          <w:rFonts w:asciiTheme="majorEastAsia" w:hAnsiTheme="majorEastAsia" w:eastAsiaTheme="majorEastAsia"/>
          <w:szCs w:val="21"/>
        </w:rPr>
        <w:t>）中标后无正当理由未在规定期限内签订合同的；</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w:t>
      </w:r>
      <w:r>
        <w:rPr>
          <w:rFonts w:hint="eastAsia" w:asciiTheme="majorEastAsia" w:hAnsiTheme="majorEastAsia" w:eastAsiaTheme="majorEastAsia"/>
          <w:szCs w:val="21"/>
        </w:rPr>
        <w:t>3</w:t>
      </w:r>
      <w:r>
        <w:rPr>
          <w:rFonts w:asciiTheme="majorEastAsia" w:hAnsiTheme="majorEastAsia" w:eastAsiaTheme="majorEastAsia"/>
          <w:szCs w:val="21"/>
        </w:rPr>
        <w:t>）将中标项目转让给他人、或者在投标文件中未说明且未经采购人、采购招标机构同意，将中标项目分包给他人的；</w:t>
      </w:r>
    </w:p>
    <w:p>
      <w:pPr>
        <w:spacing w:line="360" w:lineRule="auto"/>
        <w:ind w:firstLine="411" w:firstLineChars="196"/>
        <w:rPr>
          <w:rFonts w:asciiTheme="majorEastAsia" w:hAnsiTheme="majorEastAsia" w:eastAsiaTheme="majorEastAsia"/>
          <w:szCs w:val="21"/>
        </w:rPr>
      </w:pPr>
      <w:r>
        <w:rPr>
          <w:rFonts w:asciiTheme="majorEastAsia" w:hAnsiTheme="majorEastAsia" w:eastAsiaTheme="majorEastAsia"/>
          <w:szCs w:val="21"/>
        </w:rPr>
        <w:t>（</w:t>
      </w:r>
      <w:r>
        <w:rPr>
          <w:rFonts w:hint="eastAsia" w:asciiTheme="majorEastAsia" w:hAnsiTheme="majorEastAsia" w:eastAsiaTheme="majorEastAsia"/>
          <w:szCs w:val="21"/>
        </w:rPr>
        <w:t>4</w:t>
      </w:r>
      <w:r>
        <w:rPr>
          <w:rFonts w:asciiTheme="majorEastAsia" w:hAnsiTheme="majorEastAsia" w:eastAsiaTheme="majorEastAsia"/>
          <w:szCs w:val="21"/>
        </w:rPr>
        <w:t>）拒绝履行合同义务的</w:t>
      </w:r>
      <w:r>
        <w:rPr>
          <w:rFonts w:hint="eastAsia" w:asciiTheme="majorEastAsia" w:hAnsiTheme="majorEastAsia" w:eastAsiaTheme="majorEastAsia"/>
          <w:szCs w:val="21"/>
        </w:rPr>
        <w:t>。</w:t>
      </w:r>
    </w:p>
    <w:bookmarkEnd w:id="65"/>
    <w:p>
      <w:pPr>
        <w:keepNext/>
        <w:keepLines/>
        <w:widowControl/>
        <w:numPr>
          <w:ilvl w:val="0"/>
          <w:numId w:val="1"/>
        </w:numPr>
        <w:adjustRightInd w:val="0"/>
        <w:spacing w:beforeLines="50" w:afterLines="50" w:line="360" w:lineRule="auto"/>
        <w:ind w:left="562" w:hanging="562"/>
        <w:jc w:val="center"/>
        <w:textAlignment w:val="baseline"/>
        <w:outlineLvl w:val="1"/>
        <w:rPr>
          <w:rFonts w:asciiTheme="majorEastAsia" w:hAnsiTheme="majorEastAsia" w:eastAsiaTheme="majorEastAsia"/>
          <w:b/>
          <w:bCs/>
          <w:kern w:val="0"/>
          <w:sz w:val="28"/>
          <w:szCs w:val="28"/>
        </w:rPr>
      </w:pPr>
      <w:r>
        <w:rPr>
          <w:rFonts w:hint="eastAsia" w:asciiTheme="majorEastAsia" w:hAnsiTheme="majorEastAsia" w:eastAsiaTheme="majorEastAsia"/>
          <w:b/>
          <w:bCs/>
          <w:kern w:val="0"/>
          <w:sz w:val="28"/>
          <w:szCs w:val="28"/>
        </w:rPr>
        <w:t>质疑处理</w:t>
      </w:r>
    </w:p>
    <w:p>
      <w:pPr>
        <w:spacing w:line="360" w:lineRule="auto"/>
        <w:rPr>
          <w:rFonts w:asciiTheme="majorEastAsia" w:hAnsiTheme="majorEastAsia" w:eastAsiaTheme="majorEastAsia"/>
          <w:b/>
          <w:bCs/>
          <w:szCs w:val="21"/>
        </w:rPr>
      </w:pPr>
      <w:bookmarkStart w:id="82" w:name="_Hlk72439706"/>
      <w:r>
        <w:rPr>
          <w:rFonts w:hint="eastAsia" w:asciiTheme="majorEastAsia" w:hAnsiTheme="majorEastAsia" w:eastAsiaTheme="majorEastAsia"/>
          <w:b/>
          <w:bCs/>
          <w:szCs w:val="21"/>
        </w:rPr>
        <w:t>52.质疑提出与答复</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52.1提出质疑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52.2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52.3质疑条件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52.3.1提出质疑的供应商应当是参与所质疑项目采购活动的供应商；</w:t>
      </w:r>
      <w:bookmarkStart w:id="83" w:name="_Hlk75374941"/>
      <w:r>
        <w:rPr>
          <w:rFonts w:hint="eastAsia" w:asciiTheme="majorEastAsia" w:hAnsiTheme="majorEastAsia" w:eastAsiaTheme="majorEastAsia"/>
          <w:szCs w:val="21"/>
        </w:rPr>
        <w:t>以联合体形式参与的，质疑应当由组成联合体的所有成员共同提出</w:t>
      </w:r>
      <w:bookmarkEnd w:id="8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52.3.3应提交书面质疑函，质疑函应当包括以下内容：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（1）供应商的名称（或者姓名）、地址、邮编、邮箱、联系人及联系电话；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52.4提交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52.5提交方式</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5</w:t>
      </w:r>
      <w:r>
        <w:rPr>
          <w:rFonts w:asciiTheme="majorEastAsia" w:hAnsiTheme="majorEastAsia" w:eastAsiaTheme="majorEastAsia"/>
          <w:szCs w:val="21"/>
        </w:rPr>
        <w:t>2.5.1</w:t>
      </w:r>
      <w:r>
        <w:rPr>
          <w:rFonts w:hint="eastAsia" w:asciiTheme="majorEastAsia" w:hAnsiTheme="majorEastAsia" w:eastAsiaTheme="majorEastAsia"/>
          <w:szCs w:val="21"/>
        </w:rPr>
        <w:t>供应商登录“深圳政府采购智慧平台用户网上办事子系统（http://zfcg.szggzy.com/TPBidder/memberLogin）”，在“【我的项目】→【项目流程】→【质疑】”中提出质疑。</w:t>
      </w:r>
    </w:p>
    <w:p>
      <w:pPr>
        <w:spacing w:line="360" w:lineRule="auto"/>
        <w:ind w:firstLine="420" w:firstLineChars="200"/>
        <w:rPr>
          <w:rFonts w:asciiTheme="majorEastAsia" w:hAnsiTheme="majorEastAsia" w:eastAsiaTheme="majorEastAsia"/>
          <w:b/>
          <w:bCs/>
          <w:szCs w:val="21"/>
        </w:rPr>
      </w:pPr>
      <w:r>
        <w:rPr>
          <w:rFonts w:hint="eastAsia" w:asciiTheme="majorEastAsia" w:hAnsiTheme="majorEastAsia" w:eastAsiaTheme="majorEastAsia"/>
          <w:szCs w:val="21"/>
        </w:rPr>
        <w:t>5</w:t>
      </w:r>
      <w:r>
        <w:rPr>
          <w:rFonts w:asciiTheme="majorEastAsia" w:hAnsiTheme="majorEastAsia" w:eastAsiaTheme="majorEastAsia"/>
          <w:szCs w:val="21"/>
        </w:rPr>
        <w:t>2.5.2</w:t>
      </w:r>
      <w:r>
        <w:rPr>
          <w:rFonts w:hint="eastAsia" w:asciiTheme="majorEastAsia" w:hAnsiTheme="majorEastAsia" w:eastAsiaTheme="majorEastAsia"/>
          <w:szCs w:val="21"/>
        </w:rPr>
        <w:t>同时，请质疑供应商根据深圳政府采购智慧平台（http://zfcg.szggzy.com/）所发布的质疑指引、质疑函模板填写质疑函并提交质疑材料。</w:t>
      </w:r>
      <w:r>
        <w:rPr>
          <w:rFonts w:hint="eastAsia" w:asciiTheme="majorEastAsia" w:hAnsiTheme="majorEastAsia" w:eastAsiaTheme="majorEastAsia"/>
          <w:bCs/>
          <w:szCs w:val="21"/>
        </w:rPr>
        <w:t>地址：深圳市中正招标有限公司（深圳市福田区民田路171号新华保险大厦903），质疑咨询电话：0755-83026699。</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52.6收文办理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52.6.1供应商提交的质疑符合受理条件的，采购代理机构自收到质疑材料之日起即为受理，应当向供应商出具质疑函收文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52.6.2供应商提交的质疑材料不符合质疑条件的，视情况处理：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52.7质疑答复时限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52.8投诉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82"/>
    </w:p>
    <w:p>
      <w:pPr>
        <w:widowControl/>
        <w:jc w:val="left"/>
        <w:rPr>
          <w:rFonts w:ascii="宋体" w:hAnsi="宋体"/>
          <w:b/>
          <w:bCs/>
          <w:kern w:val="0"/>
          <w:sz w:val="24"/>
          <w:szCs w:val="20"/>
        </w:rPr>
      </w:pPr>
    </w:p>
    <w:sectPr>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华文仿宋"/>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ˎ̥">
    <w:altName w:val="华文仿宋"/>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Arial (W1)">
    <w:altName w:val="Arial"/>
    <w:panose1 w:val="00000000000000000000"/>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长城仿宋">
    <w:altName w:val="仿宋"/>
    <w:panose1 w:val="00000000000000000000"/>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汉仪细等线简">
    <w:altName w:val="华文仿宋"/>
    <w:panose1 w:val="00000000000000000000"/>
    <w:charset w:val="86"/>
    <w:family w:val="modern"/>
    <w:pitch w:val="default"/>
    <w:sig w:usb0="00000000" w:usb1="00000000" w:usb2="00000012" w:usb3="00000000" w:csb0="00040000" w:csb1="00000000"/>
  </w:font>
  <w:font w:name="H Yb 2gj">
    <w:altName w:val="华文仿宋"/>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38497"/>
      <w:docPartObj>
        <w:docPartGallery w:val="autotext"/>
      </w:docPartObj>
    </w:sdtPr>
    <w:sdtContent>
      <w:p>
        <w:pPr>
          <w:pStyle w:val="27"/>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2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japaneseCounting"/>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N2JjZGQwODQzNTVmMDg4ZGNmNzRhYmJlZDY2YTUifQ=="/>
  </w:docVars>
  <w:rsids>
    <w:rsidRoot w:val="00103A86"/>
    <w:rsid w:val="000051FB"/>
    <w:rsid w:val="00010EAF"/>
    <w:rsid w:val="00013F11"/>
    <w:rsid w:val="00017B27"/>
    <w:rsid w:val="00017EF4"/>
    <w:rsid w:val="000210AC"/>
    <w:rsid w:val="000212B9"/>
    <w:rsid w:val="00026D62"/>
    <w:rsid w:val="0002760A"/>
    <w:rsid w:val="00031553"/>
    <w:rsid w:val="00035488"/>
    <w:rsid w:val="00043C69"/>
    <w:rsid w:val="00047456"/>
    <w:rsid w:val="0005288D"/>
    <w:rsid w:val="00052AA5"/>
    <w:rsid w:val="00053E42"/>
    <w:rsid w:val="00054E39"/>
    <w:rsid w:val="00056152"/>
    <w:rsid w:val="00057148"/>
    <w:rsid w:val="00081E93"/>
    <w:rsid w:val="00084FFC"/>
    <w:rsid w:val="00091185"/>
    <w:rsid w:val="0009519F"/>
    <w:rsid w:val="000A0AE2"/>
    <w:rsid w:val="000A2EEF"/>
    <w:rsid w:val="000B1F98"/>
    <w:rsid w:val="000B3600"/>
    <w:rsid w:val="000B4026"/>
    <w:rsid w:val="000B4536"/>
    <w:rsid w:val="000B7AEC"/>
    <w:rsid w:val="000C1237"/>
    <w:rsid w:val="000C2DF7"/>
    <w:rsid w:val="000C3C3C"/>
    <w:rsid w:val="000D1E66"/>
    <w:rsid w:val="000D2659"/>
    <w:rsid w:val="000D7062"/>
    <w:rsid w:val="000E0B80"/>
    <w:rsid w:val="000E0FC1"/>
    <w:rsid w:val="000F37FF"/>
    <w:rsid w:val="000F3E6E"/>
    <w:rsid w:val="000F4129"/>
    <w:rsid w:val="000F5B06"/>
    <w:rsid w:val="000F6BC0"/>
    <w:rsid w:val="000F7A75"/>
    <w:rsid w:val="00100E4E"/>
    <w:rsid w:val="00101F69"/>
    <w:rsid w:val="00103A86"/>
    <w:rsid w:val="00112114"/>
    <w:rsid w:val="001207E9"/>
    <w:rsid w:val="00123879"/>
    <w:rsid w:val="00127F85"/>
    <w:rsid w:val="00132093"/>
    <w:rsid w:val="00136086"/>
    <w:rsid w:val="0013643E"/>
    <w:rsid w:val="0013763C"/>
    <w:rsid w:val="0014134B"/>
    <w:rsid w:val="001429E4"/>
    <w:rsid w:val="00146B6B"/>
    <w:rsid w:val="00154E01"/>
    <w:rsid w:val="00161B46"/>
    <w:rsid w:val="00162A02"/>
    <w:rsid w:val="0016401E"/>
    <w:rsid w:val="001663AA"/>
    <w:rsid w:val="00176757"/>
    <w:rsid w:val="001774EA"/>
    <w:rsid w:val="001779CB"/>
    <w:rsid w:val="001829DD"/>
    <w:rsid w:val="00182C14"/>
    <w:rsid w:val="00183E48"/>
    <w:rsid w:val="0018445D"/>
    <w:rsid w:val="0019098F"/>
    <w:rsid w:val="00195091"/>
    <w:rsid w:val="001B182A"/>
    <w:rsid w:val="001B23DF"/>
    <w:rsid w:val="001B3E1A"/>
    <w:rsid w:val="001B792B"/>
    <w:rsid w:val="001C2A95"/>
    <w:rsid w:val="001C3BC1"/>
    <w:rsid w:val="001D297A"/>
    <w:rsid w:val="001E021F"/>
    <w:rsid w:val="001E63A6"/>
    <w:rsid w:val="001E7EC4"/>
    <w:rsid w:val="001F2756"/>
    <w:rsid w:val="001F5DBD"/>
    <w:rsid w:val="00200342"/>
    <w:rsid w:val="00201237"/>
    <w:rsid w:val="00206F1A"/>
    <w:rsid w:val="002108E8"/>
    <w:rsid w:val="002135F8"/>
    <w:rsid w:val="00217B3F"/>
    <w:rsid w:val="00222612"/>
    <w:rsid w:val="002300CF"/>
    <w:rsid w:val="00231DCF"/>
    <w:rsid w:val="002354A2"/>
    <w:rsid w:val="002418AD"/>
    <w:rsid w:val="00241C2F"/>
    <w:rsid w:val="00243E8A"/>
    <w:rsid w:val="0024433A"/>
    <w:rsid w:val="002452F6"/>
    <w:rsid w:val="002477F6"/>
    <w:rsid w:val="00247934"/>
    <w:rsid w:val="00252837"/>
    <w:rsid w:val="00260C60"/>
    <w:rsid w:val="002652B4"/>
    <w:rsid w:val="00270871"/>
    <w:rsid w:val="0027121B"/>
    <w:rsid w:val="0027312A"/>
    <w:rsid w:val="002753A8"/>
    <w:rsid w:val="0028241E"/>
    <w:rsid w:val="002867E0"/>
    <w:rsid w:val="00287E9E"/>
    <w:rsid w:val="00287F91"/>
    <w:rsid w:val="00291B1B"/>
    <w:rsid w:val="00291D1C"/>
    <w:rsid w:val="002934B9"/>
    <w:rsid w:val="00293AB2"/>
    <w:rsid w:val="00294F5F"/>
    <w:rsid w:val="0029679A"/>
    <w:rsid w:val="002968EA"/>
    <w:rsid w:val="002A1C9A"/>
    <w:rsid w:val="002A6A8D"/>
    <w:rsid w:val="002B1E2D"/>
    <w:rsid w:val="002B73FC"/>
    <w:rsid w:val="002B763E"/>
    <w:rsid w:val="002C317D"/>
    <w:rsid w:val="002C3CEF"/>
    <w:rsid w:val="002C76FC"/>
    <w:rsid w:val="002D175A"/>
    <w:rsid w:val="002D34A5"/>
    <w:rsid w:val="002D35C6"/>
    <w:rsid w:val="002D3FE3"/>
    <w:rsid w:val="002D5F35"/>
    <w:rsid w:val="002E0E9F"/>
    <w:rsid w:val="002E2CA0"/>
    <w:rsid w:val="002E424C"/>
    <w:rsid w:val="002E665D"/>
    <w:rsid w:val="002F01F4"/>
    <w:rsid w:val="002F7C97"/>
    <w:rsid w:val="003134D0"/>
    <w:rsid w:val="00315CA6"/>
    <w:rsid w:val="0032158E"/>
    <w:rsid w:val="00323BF8"/>
    <w:rsid w:val="003274C9"/>
    <w:rsid w:val="00334DFC"/>
    <w:rsid w:val="00335B69"/>
    <w:rsid w:val="00341462"/>
    <w:rsid w:val="0034602D"/>
    <w:rsid w:val="00352073"/>
    <w:rsid w:val="0035334F"/>
    <w:rsid w:val="003541EA"/>
    <w:rsid w:val="0035786E"/>
    <w:rsid w:val="003604E6"/>
    <w:rsid w:val="00362824"/>
    <w:rsid w:val="00364E19"/>
    <w:rsid w:val="00385398"/>
    <w:rsid w:val="00386BE2"/>
    <w:rsid w:val="003909B8"/>
    <w:rsid w:val="00391C88"/>
    <w:rsid w:val="00395A00"/>
    <w:rsid w:val="0039674E"/>
    <w:rsid w:val="003A2F53"/>
    <w:rsid w:val="003B1518"/>
    <w:rsid w:val="003B477B"/>
    <w:rsid w:val="003B5360"/>
    <w:rsid w:val="003C1A26"/>
    <w:rsid w:val="003C2295"/>
    <w:rsid w:val="003C5B3E"/>
    <w:rsid w:val="003D1B12"/>
    <w:rsid w:val="003D2828"/>
    <w:rsid w:val="003D408D"/>
    <w:rsid w:val="003D6CD3"/>
    <w:rsid w:val="003E3B27"/>
    <w:rsid w:val="003E51D5"/>
    <w:rsid w:val="003E77F1"/>
    <w:rsid w:val="003F1407"/>
    <w:rsid w:val="003F41FE"/>
    <w:rsid w:val="003F5834"/>
    <w:rsid w:val="003F7FB5"/>
    <w:rsid w:val="0041065D"/>
    <w:rsid w:val="00416664"/>
    <w:rsid w:val="00422275"/>
    <w:rsid w:val="00436747"/>
    <w:rsid w:val="00436823"/>
    <w:rsid w:val="00436D0E"/>
    <w:rsid w:val="0044288C"/>
    <w:rsid w:val="00444F45"/>
    <w:rsid w:val="00457241"/>
    <w:rsid w:val="00470214"/>
    <w:rsid w:val="00470DDE"/>
    <w:rsid w:val="00473BFB"/>
    <w:rsid w:val="00481615"/>
    <w:rsid w:val="0048258B"/>
    <w:rsid w:val="004836AC"/>
    <w:rsid w:val="004858C0"/>
    <w:rsid w:val="004861CC"/>
    <w:rsid w:val="00496A0A"/>
    <w:rsid w:val="004A4F5D"/>
    <w:rsid w:val="004A6E9C"/>
    <w:rsid w:val="004B3A3A"/>
    <w:rsid w:val="004B757E"/>
    <w:rsid w:val="004C1ACC"/>
    <w:rsid w:val="004C31CC"/>
    <w:rsid w:val="004C40D7"/>
    <w:rsid w:val="004C5625"/>
    <w:rsid w:val="004D02D0"/>
    <w:rsid w:val="004D04CE"/>
    <w:rsid w:val="004D5953"/>
    <w:rsid w:val="004E0C6E"/>
    <w:rsid w:val="004E3678"/>
    <w:rsid w:val="004E39F1"/>
    <w:rsid w:val="004E48A7"/>
    <w:rsid w:val="004F5425"/>
    <w:rsid w:val="00502B0E"/>
    <w:rsid w:val="00502F84"/>
    <w:rsid w:val="00505EE2"/>
    <w:rsid w:val="00507DFF"/>
    <w:rsid w:val="0051248B"/>
    <w:rsid w:val="00521293"/>
    <w:rsid w:val="00523ABC"/>
    <w:rsid w:val="00523BC1"/>
    <w:rsid w:val="005275BC"/>
    <w:rsid w:val="005276AA"/>
    <w:rsid w:val="00532F7C"/>
    <w:rsid w:val="00535553"/>
    <w:rsid w:val="00536989"/>
    <w:rsid w:val="00541552"/>
    <w:rsid w:val="0055051A"/>
    <w:rsid w:val="005567C6"/>
    <w:rsid w:val="0055768A"/>
    <w:rsid w:val="005625D5"/>
    <w:rsid w:val="00565ED8"/>
    <w:rsid w:val="00572443"/>
    <w:rsid w:val="005808E0"/>
    <w:rsid w:val="00584A24"/>
    <w:rsid w:val="00585EC1"/>
    <w:rsid w:val="00586704"/>
    <w:rsid w:val="0059128B"/>
    <w:rsid w:val="00595CFA"/>
    <w:rsid w:val="005A51D2"/>
    <w:rsid w:val="005A7BB6"/>
    <w:rsid w:val="005B62D6"/>
    <w:rsid w:val="005D7AF6"/>
    <w:rsid w:val="005E3D64"/>
    <w:rsid w:val="005E45FD"/>
    <w:rsid w:val="005E6167"/>
    <w:rsid w:val="005F1472"/>
    <w:rsid w:val="005F22E2"/>
    <w:rsid w:val="005F2EDA"/>
    <w:rsid w:val="006049A0"/>
    <w:rsid w:val="00606E3B"/>
    <w:rsid w:val="00607E8A"/>
    <w:rsid w:val="0061141D"/>
    <w:rsid w:val="006137C4"/>
    <w:rsid w:val="00615993"/>
    <w:rsid w:val="00620A11"/>
    <w:rsid w:val="0062508B"/>
    <w:rsid w:val="00625CB7"/>
    <w:rsid w:val="0063464A"/>
    <w:rsid w:val="00636B52"/>
    <w:rsid w:val="006421A8"/>
    <w:rsid w:val="00643C1D"/>
    <w:rsid w:val="00643E89"/>
    <w:rsid w:val="00646407"/>
    <w:rsid w:val="006662BB"/>
    <w:rsid w:val="00670CB9"/>
    <w:rsid w:val="00677A79"/>
    <w:rsid w:val="00681216"/>
    <w:rsid w:val="006835C3"/>
    <w:rsid w:val="00685854"/>
    <w:rsid w:val="00685E9E"/>
    <w:rsid w:val="00692281"/>
    <w:rsid w:val="00693711"/>
    <w:rsid w:val="00694D5D"/>
    <w:rsid w:val="006951CF"/>
    <w:rsid w:val="006971BC"/>
    <w:rsid w:val="006A0193"/>
    <w:rsid w:val="006A5182"/>
    <w:rsid w:val="006A5DC8"/>
    <w:rsid w:val="006A65A7"/>
    <w:rsid w:val="006B098C"/>
    <w:rsid w:val="006B2978"/>
    <w:rsid w:val="006B315C"/>
    <w:rsid w:val="006C3731"/>
    <w:rsid w:val="006D1F18"/>
    <w:rsid w:val="006D4071"/>
    <w:rsid w:val="006D6578"/>
    <w:rsid w:val="006E168A"/>
    <w:rsid w:val="006E459D"/>
    <w:rsid w:val="006E699A"/>
    <w:rsid w:val="006E74F5"/>
    <w:rsid w:val="006E78BD"/>
    <w:rsid w:val="006E791B"/>
    <w:rsid w:val="006F03E1"/>
    <w:rsid w:val="006F1766"/>
    <w:rsid w:val="006F6C4C"/>
    <w:rsid w:val="0070084E"/>
    <w:rsid w:val="0070351A"/>
    <w:rsid w:val="00710F8C"/>
    <w:rsid w:val="007204DB"/>
    <w:rsid w:val="007207C9"/>
    <w:rsid w:val="007241B3"/>
    <w:rsid w:val="007248F4"/>
    <w:rsid w:val="00724CB4"/>
    <w:rsid w:val="00726A25"/>
    <w:rsid w:val="00727DFE"/>
    <w:rsid w:val="0073340D"/>
    <w:rsid w:val="00737FB5"/>
    <w:rsid w:val="007403FC"/>
    <w:rsid w:val="00742F00"/>
    <w:rsid w:val="00750911"/>
    <w:rsid w:val="00751F91"/>
    <w:rsid w:val="00760BD7"/>
    <w:rsid w:val="007613A2"/>
    <w:rsid w:val="0076737B"/>
    <w:rsid w:val="0077351D"/>
    <w:rsid w:val="0077772B"/>
    <w:rsid w:val="00777A80"/>
    <w:rsid w:val="00781154"/>
    <w:rsid w:val="00785645"/>
    <w:rsid w:val="0078579D"/>
    <w:rsid w:val="007868DA"/>
    <w:rsid w:val="00787860"/>
    <w:rsid w:val="00792740"/>
    <w:rsid w:val="007957D3"/>
    <w:rsid w:val="007A3488"/>
    <w:rsid w:val="007A46F2"/>
    <w:rsid w:val="007A511E"/>
    <w:rsid w:val="007A6441"/>
    <w:rsid w:val="007B0C04"/>
    <w:rsid w:val="007B16E8"/>
    <w:rsid w:val="007B2FB1"/>
    <w:rsid w:val="007B536E"/>
    <w:rsid w:val="007C2928"/>
    <w:rsid w:val="007C2C9B"/>
    <w:rsid w:val="007C6CEB"/>
    <w:rsid w:val="007D3423"/>
    <w:rsid w:val="007D35D5"/>
    <w:rsid w:val="007D5EFB"/>
    <w:rsid w:val="007E0D64"/>
    <w:rsid w:val="007E41F2"/>
    <w:rsid w:val="007E4FA0"/>
    <w:rsid w:val="007E4FC3"/>
    <w:rsid w:val="007E79DF"/>
    <w:rsid w:val="007F46C5"/>
    <w:rsid w:val="007F6FC7"/>
    <w:rsid w:val="008031DA"/>
    <w:rsid w:val="00805099"/>
    <w:rsid w:val="00805780"/>
    <w:rsid w:val="00810F1A"/>
    <w:rsid w:val="00813E8D"/>
    <w:rsid w:val="00816D32"/>
    <w:rsid w:val="008201D8"/>
    <w:rsid w:val="00823940"/>
    <w:rsid w:val="00825A27"/>
    <w:rsid w:val="00826371"/>
    <w:rsid w:val="00830D96"/>
    <w:rsid w:val="00835502"/>
    <w:rsid w:val="00842565"/>
    <w:rsid w:val="00844024"/>
    <w:rsid w:val="00852FDF"/>
    <w:rsid w:val="00853528"/>
    <w:rsid w:val="008554F3"/>
    <w:rsid w:val="00861A6D"/>
    <w:rsid w:val="00864900"/>
    <w:rsid w:val="008650CC"/>
    <w:rsid w:val="00871284"/>
    <w:rsid w:val="00871A7E"/>
    <w:rsid w:val="00874608"/>
    <w:rsid w:val="008757E7"/>
    <w:rsid w:val="008758EA"/>
    <w:rsid w:val="0087603B"/>
    <w:rsid w:val="00876C1D"/>
    <w:rsid w:val="008806FF"/>
    <w:rsid w:val="00880868"/>
    <w:rsid w:val="008852FB"/>
    <w:rsid w:val="00885781"/>
    <w:rsid w:val="00894190"/>
    <w:rsid w:val="008968CE"/>
    <w:rsid w:val="00896E4B"/>
    <w:rsid w:val="008A18E2"/>
    <w:rsid w:val="008A6A96"/>
    <w:rsid w:val="008B0FE3"/>
    <w:rsid w:val="008B7AC3"/>
    <w:rsid w:val="008C23F3"/>
    <w:rsid w:val="008C34E9"/>
    <w:rsid w:val="008C795C"/>
    <w:rsid w:val="008D03C4"/>
    <w:rsid w:val="008D33E3"/>
    <w:rsid w:val="008D3709"/>
    <w:rsid w:val="008D59DB"/>
    <w:rsid w:val="008D5E13"/>
    <w:rsid w:val="008E6C98"/>
    <w:rsid w:val="008E7C1B"/>
    <w:rsid w:val="008F0E38"/>
    <w:rsid w:val="008F1CB5"/>
    <w:rsid w:val="008F26F6"/>
    <w:rsid w:val="008F4025"/>
    <w:rsid w:val="008F6908"/>
    <w:rsid w:val="00911492"/>
    <w:rsid w:val="009148F9"/>
    <w:rsid w:val="009164A3"/>
    <w:rsid w:val="00942D0C"/>
    <w:rsid w:val="00945B5C"/>
    <w:rsid w:val="00951232"/>
    <w:rsid w:val="00961CE9"/>
    <w:rsid w:val="0096217D"/>
    <w:rsid w:val="00962B14"/>
    <w:rsid w:val="009646FC"/>
    <w:rsid w:val="00971B37"/>
    <w:rsid w:val="00974DB1"/>
    <w:rsid w:val="00975251"/>
    <w:rsid w:val="00975F55"/>
    <w:rsid w:val="009767FD"/>
    <w:rsid w:val="00976FD1"/>
    <w:rsid w:val="009823CC"/>
    <w:rsid w:val="009824C2"/>
    <w:rsid w:val="00984F4C"/>
    <w:rsid w:val="00987F57"/>
    <w:rsid w:val="00993BA7"/>
    <w:rsid w:val="00993F6B"/>
    <w:rsid w:val="00994092"/>
    <w:rsid w:val="009945C9"/>
    <w:rsid w:val="009A1A18"/>
    <w:rsid w:val="009A4A1B"/>
    <w:rsid w:val="009A5506"/>
    <w:rsid w:val="009A5C84"/>
    <w:rsid w:val="009A7347"/>
    <w:rsid w:val="009B2C44"/>
    <w:rsid w:val="009B2E95"/>
    <w:rsid w:val="009B75D4"/>
    <w:rsid w:val="009B796A"/>
    <w:rsid w:val="009C47A8"/>
    <w:rsid w:val="009C5A01"/>
    <w:rsid w:val="009C6BEE"/>
    <w:rsid w:val="009D008F"/>
    <w:rsid w:val="009E1E90"/>
    <w:rsid w:val="009E524D"/>
    <w:rsid w:val="009F6192"/>
    <w:rsid w:val="00A046B8"/>
    <w:rsid w:val="00A135C4"/>
    <w:rsid w:val="00A15F48"/>
    <w:rsid w:val="00A165CA"/>
    <w:rsid w:val="00A2298A"/>
    <w:rsid w:val="00A23112"/>
    <w:rsid w:val="00A24E5D"/>
    <w:rsid w:val="00A30926"/>
    <w:rsid w:val="00A363A7"/>
    <w:rsid w:val="00A36CE5"/>
    <w:rsid w:val="00A40E23"/>
    <w:rsid w:val="00A466B9"/>
    <w:rsid w:val="00A47E53"/>
    <w:rsid w:val="00A613D3"/>
    <w:rsid w:val="00A61FD0"/>
    <w:rsid w:val="00A650F4"/>
    <w:rsid w:val="00A820E0"/>
    <w:rsid w:val="00A828E5"/>
    <w:rsid w:val="00A845EF"/>
    <w:rsid w:val="00A84D4E"/>
    <w:rsid w:val="00A90FA1"/>
    <w:rsid w:val="00A9242B"/>
    <w:rsid w:val="00A930DF"/>
    <w:rsid w:val="00A9362A"/>
    <w:rsid w:val="00A93712"/>
    <w:rsid w:val="00A96317"/>
    <w:rsid w:val="00AA2512"/>
    <w:rsid w:val="00AA71F7"/>
    <w:rsid w:val="00AB0BB7"/>
    <w:rsid w:val="00AB1E4D"/>
    <w:rsid w:val="00AB3121"/>
    <w:rsid w:val="00AB797B"/>
    <w:rsid w:val="00AC1E2C"/>
    <w:rsid w:val="00AC570F"/>
    <w:rsid w:val="00AD3124"/>
    <w:rsid w:val="00AD3A5A"/>
    <w:rsid w:val="00AD3C25"/>
    <w:rsid w:val="00AD6E58"/>
    <w:rsid w:val="00AE49D4"/>
    <w:rsid w:val="00AE540F"/>
    <w:rsid w:val="00AE6968"/>
    <w:rsid w:val="00AF09B0"/>
    <w:rsid w:val="00AF43BC"/>
    <w:rsid w:val="00AF53A7"/>
    <w:rsid w:val="00AF54ED"/>
    <w:rsid w:val="00AF55B9"/>
    <w:rsid w:val="00AF65F4"/>
    <w:rsid w:val="00B04CBE"/>
    <w:rsid w:val="00B16A32"/>
    <w:rsid w:val="00B16C43"/>
    <w:rsid w:val="00B214B6"/>
    <w:rsid w:val="00B23EF9"/>
    <w:rsid w:val="00B25D8A"/>
    <w:rsid w:val="00B322B8"/>
    <w:rsid w:val="00B33FAA"/>
    <w:rsid w:val="00B35561"/>
    <w:rsid w:val="00B3679B"/>
    <w:rsid w:val="00B452AF"/>
    <w:rsid w:val="00B4786E"/>
    <w:rsid w:val="00B5054B"/>
    <w:rsid w:val="00B51BEA"/>
    <w:rsid w:val="00B54B06"/>
    <w:rsid w:val="00B55F22"/>
    <w:rsid w:val="00B62507"/>
    <w:rsid w:val="00B665C6"/>
    <w:rsid w:val="00B73168"/>
    <w:rsid w:val="00B76200"/>
    <w:rsid w:val="00B766AC"/>
    <w:rsid w:val="00B82DDF"/>
    <w:rsid w:val="00B8687B"/>
    <w:rsid w:val="00B86EC6"/>
    <w:rsid w:val="00B95C50"/>
    <w:rsid w:val="00B97F02"/>
    <w:rsid w:val="00BA5264"/>
    <w:rsid w:val="00BA6294"/>
    <w:rsid w:val="00BA6C73"/>
    <w:rsid w:val="00BB081F"/>
    <w:rsid w:val="00BB7087"/>
    <w:rsid w:val="00BC094F"/>
    <w:rsid w:val="00BC460E"/>
    <w:rsid w:val="00BC5FB4"/>
    <w:rsid w:val="00BC79E7"/>
    <w:rsid w:val="00BD1E2D"/>
    <w:rsid w:val="00BE1825"/>
    <w:rsid w:val="00BE32D8"/>
    <w:rsid w:val="00BE6BB9"/>
    <w:rsid w:val="00BE7EEF"/>
    <w:rsid w:val="00BF4933"/>
    <w:rsid w:val="00BF650E"/>
    <w:rsid w:val="00BF6E15"/>
    <w:rsid w:val="00BF6F52"/>
    <w:rsid w:val="00BF786F"/>
    <w:rsid w:val="00BF7D83"/>
    <w:rsid w:val="00C02D8B"/>
    <w:rsid w:val="00C04BCD"/>
    <w:rsid w:val="00C04E54"/>
    <w:rsid w:val="00C06291"/>
    <w:rsid w:val="00C1004A"/>
    <w:rsid w:val="00C11CE1"/>
    <w:rsid w:val="00C15C78"/>
    <w:rsid w:val="00C2349D"/>
    <w:rsid w:val="00C3761C"/>
    <w:rsid w:val="00C44968"/>
    <w:rsid w:val="00C500EF"/>
    <w:rsid w:val="00C539DA"/>
    <w:rsid w:val="00C55CAC"/>
    <w:rsid w:val="00C56A8D"/>
    <w:rsid w:val="00C62E9D"/>
    <w:rsid w:val="00C6461C"/>
    <w:rsid w:val="00C655B8"/>
    <w:rsid w:val="00C669A6"/>
    <w:rsid w:val="00C70540"/>
    <w:rsid w:val="00C7552E"/>
    <w:rsid w:val="00C77E2F"/>
    <w:rsid w:val="00C91DAE"/>
    <w:rsid w:val="00C92A58"/>
    <w:rsid w:val="00C93A1E"/>
    <w:rsid w:val="00C93CEA"/>
    <w:rsid w:val="00C9482E"/>
    <w:rsid w:val="00C95C20"/>
    <w:rsid w:val="00C96FDD"/>
    <w:rsid w:val="00CA0F0E"/>
    <w:rsid w:val="00CA3125"/>
    <w:rsid w:val="00CA59D5"/>
    <w:rsid w:val="00CA7130"/>
    <w:rsid w:val="00CC1984"/>
    <w:rsid w:val="00CC5BD3"/>
    <w:rsid w:val="00CC627C"/>
    <w:rsid w:val="00CD0241"/>
    <w:rsid w:val="00CD51D1"/>
    <w:rsid w:val="00CE01CD"/>
    <w:rsid w:val="00CE36C6"/>
    <w:rsid w:val="00CF07DB"/>
    <w:rsid w:val="00CF2BE5"/>
    <w:rsid w:val="00CF4887"/>
    <w:rsid w:val="00CF4979"/>
    <w:rsid w:val="00CF6D33"/>
    <w:rsid w:val="00CF7C49"/>
    <w:rsid w:val="00D02196"/>
    <w:rsid w:val="00D23845"/>
    <w:rsid w:val="00D24994"/>
    <w:rsid w:val="00D30BCE"/>
    <w:rsid w:val="00D34E6F"/>
    <w:rsid w:val="00D4033E"/>
    <w:rsid w:val="00D45BDF"/>
    <w:rsid w:val="00D5043B"/>
    <w:rsid w:val="00D52A10"/>
    <w:rsid w:val="00D535BD"/>
    <w:rsid w:val="00D578D1"/>
    <w:rsid w:val="00D660FF"/>
    <w:rsid w:val="00D67DCB"/>
    <w:rsid w:val="00D72BD9"/>
    <w:rsid w:val="00D77779"/>
    <w:rsid w:val="00D779AB"/>
    <w:rsid w:val="00D81481"/>
    <w:rsid w:val="00D81C45"/>
    <w:rsid w:val="00D83917"/>
    <w:rsid w:val="00D87C98"/>
    <w:rsid w:val="00D91551"/>
    <w:rsid w:val="00D91F2F"/>
    <w:rsid w:val="00D92A71"/>
    <w:rsid w:val="00D974DF"/>
    <w:rsid w:val="00D97A4B"/>
    <w:rsid w:val="00DA1602"/>
    <w:rsid w:val="00DB090B"/>
    <w:rsid w:val="00DB393F"/>
    <w:rsid w:val="00DB4041"/>
    <w:rsid w:val="00DD7C3A"/>
    <w:rsid w:val="00DE0A5D"/>
    <w:rsid w:val="00DF061E"/>
    <w:rsid w:val="00DF4A16"/>
    <w:rsid w:val="00DF5A89"/>
    <w:rsid w:val="00E03798"/>
    <w:rsid w:val="00E038AB"/>
    <w:rsid w:val="00E114C9"/>
    <w:rsid w:val="00E12647"/>
    <w:rsid w:val="00E12C38"/>
    <w:rsid w:val="00E140A3"/>
    <w:rsid w:val="00E206F6"/>
    <w:rsid w:val="00E210AF"/>
    <w:rsid w:val="00E26064"/>
    <w:rsid w:val="00E30699"/>
    <w:rsid w:val="00E32CEA"/>
    <w:rsid w:val="00E33A27"/>
    <w:rsid w:val="00E35582"/>
    <w:rsid w:val="00E41540"/>
    <w:rsid w:val="00E50FC5"/>
    <w:rsid w:val="00E52BB8"/>
    <w:rsid w:val="00E55B0E"/>
    <w:rsid w:val="00E55F63"/>
    <w:rsid w:val="00E630D2"/>
    <w:rsid w:val="00E65C58"/>
    <w:rsid w:val="00E6661B"/>
    <w:rsid w:val="00E67D62"/>
    <w:rsid w:val="00E67ECD"/>
    <w:rsid w:val="00E73248"/>
    <w:rsid w:val="00E73610"/>
    <w:rsid w:val="00E777B3"/>
    <w:rsid w:val="00E77D81"/>
    <w:rsid w:val="00E81033"/>
    <w:rsid w:val="00E810C3"/>
    <w:rsid w:val="00E848E7"/>
    <w:rsid w:val="00E84EC5"/>
    <w:rsid w:val="00E859C4"/>
    <w:rsid w:val="00E93577"/>
    <w:rsid w:val="00E95C79"/>
    <w:rsid w:val="00E9650A"/>
    <w:rsid w:val="00E965BF"/>
    <w:rsid w:val="00EA444E"/>
    <w:rsid w:val="00EA6107"/>
    <w:rsid w:val="00EB1011"/>
    <w:rsid w:val="00EB2D35"/>
    <w:rsid w:val="00EB4CB2"/>
    <w:rsid w:val="00EC1475"/>
    <w:rsid w:val="00ED52C1"/>
    <w:rsid w:val="00EE05A2"/>
    <w:rsid w:val="00EE102F"/>
    <w:rsid w:val="00EE4FEC"/>
    <w:rsid w:val="00EE6875"/>
    <w:rsid w:val="00EF0218"/>
    <w:rsid w:val="00EF19A3"/>
    <w:rsid w:val="00EF1FC5"/>
    <w:rsid w:val="00EF22CD"/>
    <w:rsid w:val="00EF4691"/>
    <w:rsid w:val="00EF6CF5"/>
    <w:rsid w:val="00F1653A"/>
    <w:rsid w:val="00F168A7"/>
    <w:rsid w:val="00F20CB6"/>
    <w:rsid w:val="00F232DC"/>
    <w:rsid w:val="00F23802"/>
    <w:rsid w:val="00F307C5"/>
    <w:rsid w:val="00F36B62"/>
    <w:rsid w:val="00F460DA"/>
    <w:rsid w:val="00F5091F"/>
    <w:rsid w:val="00F5403D"/>
    <w:rsid w:val="00F54041"/>
    <w:rsid w:val="00F57C81"/>
    <w:rsid w:val="00F609C5"/>
    <w:rsid w:val="00F6269E"/>
    <w:rsid w:val="00F6379D"/>
    <w:rsid w:val="00F73136"/>
    <w:rsid w:val="00F756B5"/>
    <w:rsid w:val="00F75DA8"/>
    <w:rsid w:val="00F75F6B"/>
    <w:rsid w:val="00F76760"/>
    <w:rsid w:val="00F76E63"/>
    <w:rsid w:val="00F80564"/>
    <w:rsid w:val="00F86A3D"/>
    <w:rsid w:val="00F86B0D"/>
    <w:rsid w:val="00F86C46"/>
    <w:rsid w:val="00F917C0"/>
    <w:rsid w:val="00F95BC8"/>
    <w:rsid w:val="00F963FF"/>
    <w:rsid w:val="00F9763B"/>
    <w:rsid w:val="00FB4952"/>
    <w:rsid w:val="00FB599C"/>
    <w:rsid w:val="00FC12CC"/>
    <w:rsid w:val="00FC37AC"/>
    <w:rsid w:val="00FC40F2"/>
    <w:rsid w:val="00FC423F"/>
    <w:rsid w:val="00FC6AD5"/>
    <w:rsid w:val="00FD192E"/>
    <w:rsid w:val="00FD4B1D"/>
    <w:rsid w:val="00FD7CD0"/>
    <w:rsid w:val="00FE1A3A"/>
    <w:rsid w:val="00FE2706"/>
    <w:rsid w:val="00FE39F6"/>
    <w:rsid w:val="00FE7934"/>
    <w:rsid w:val="00FF37F6"/>
    <w:rsid w:val="00FF4ADD"/>
    <w:rsid w:val="0D7F7096"/>
    <w:rsid w:val="16B01E85"/>
    <w:rsid w:val="1D08476C"/>
    <w:rsid w:val="2009135B"/>
    <w:rsid w:val="23911B6E"/>
    <w:rsid w:val="25DE32BC"/>
    <w:rsid w:val="2CE8356F"/>
    <w:rsid w:val="36867611"/>
    <w:rsid w:val="39487D0F"/>
    <w:rsid w:val="3D0E2267"/>
    <w:rsid w:val="3EB168B4"/>
    <w:rsid w:val="4BC74105"/>
    <w:rsid w:val="4D777A62"/>
    <w:rsid w:val="4DDF7FF9"/>
    <w:rsid w:val="598B0E16"/>
    <w:rsid w:val="6192252E"/>
    <w:rsid w:val="63027F93"/>
    <w:rsid w:val="79FBFA96"/>
    <w:rsid w:val="9FB71AE7"/>
    <w:rsid w:val="BD776535"/>
    <w:rsid w:val="F8997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4"/>
    <w:next w:val="1"/>
    <w:link w:val="52"/>
    <w:qFormat/>
    <w:uiPriority w:val="9"/>
    <w:pPr>
      <w:spacing w:before="340" w:after="330" w:line="360" w:lineRule="auto"/>
      <w:jc w:val="center"/>
      <w:outlineLvl w:val="0"/>
    </w:pPr>
    <w:rPr>
      <w:rFonts w:eastAsia="黑体"/>
      <w:kern w:val="44"/>
      <w:szCs w:val="44"/>
    </w:rPr>
  </w:style>
  <w:style w:type="paragraph" w:styleId="6">
    <w:name w:val="heading 2"/>
    <w:basedOn w:val="4"/>
    <w:next w:val="5"/>
    <w:link w:val="53"/>
    <w:qFormat/>
    <w:uiPriority w:val="0"/>
    <w:pPr>
      <w:adjustRightInd w:val="0"/>
      <w:jc w:val="center"/>
      <w:textAlignment w:val="baseline"/>
      <w:outlineLvl w:val="1"/>
    </w:pPr>
    <w:rPr>
      <w:sz w:val="24"/>
      <w:szCs w:val="20"/>
    </w:rPr>
  </w:style>
  <w:style w:type="paragraph" w:styleId="4">
    <w:name w:val="heading 3"/>
    <w:basedOn w:val="5"/>
    <w:next w:val="1"/>
    <w:link w:val="61"/>
    <w:qFormat/>
    <w:uiPriority w:val="9"/>
    <w:pPr>
      <w:spacing w:before="260" w:after="260" w:line="240" w:lineRule="auto"/>
      <w:outlineLvl w:val="2"/>
    </w:pPr>
    <w:rPr>
      <w:rFonts w:ascii="宋体" w:hAnsi="宋体" w:eastAsia="宋体"/>
      <w:szCs w:val="32"/>
    </w:rPr>
  </w:style>
  <w:style w:type="paragraph" w:styleId="5">
    <w:name w:val="heading 4"/>
    <w:basedOn w:val="1"/>
    <w:next w:val="1"/>
    <w:link w:val="55"/>
    <w:qFormat/>
    <w:uiPriority w:val="0"/>
    <w:pPr>
      <w:keepNext/>
      <w:keepLines/>
      <w:spacing w:before="280" w:after="290" w:line="376" w:lineRule="auto"/>
      <w:outlineLvl w:val="3"/>
    </w:pPr>
    <w:rPr>
      <w:rFonts w:ascii="Arial" w:hAnsi="Arial" w:eastAsia="黑体"/>
      <w:b/>
      <w:bCs/>
      <w:kern w:val="0"/>
      <w:sz w:val="28"/>
      <w:szCs w:val="28"/>
    </w:rPr>
  </w:style>
  <w:style w:type="paragraph" w:styleId="7">
    <w:name w:val="heading 5"/>
    <w:basedOn w:val="1"/>
    <w:next w:val="8"/>
    <w:link w:val="56"/>
    <w:qFormat/>
    <w:uiPriority w:val="0"/>
    <w:pPr>
      <w:keepNext/>
      <w:keepLines/>
      <w:spacing w:before="280" w:after="290" w:line="376" w:lineRule="auto"/>
      <w:outlineLvl w:val="4"/>
    </w:pPr>
    <w:rPr>
      <w:rFonts w:ascii="Times New Roman" w:hAnsi="Times New Roman"/>
      <w:b/>
      <w:kern w:val="0"/>
      <w:sz w:val="28"/>
      <w:szCs w:val="20"/>
    </w:rPr>
  </w:style>
  <w:style w:type="paragraph" w:styleId="9">
    <w:name w:val="heading 6"/>
    <w:basedOn w:val="1"/>
    <w:next w:val="8"/>
    <w:link w:val="57"/>
    <w:qFormat/>
    <w:uiPriority w:val="0"/>
    <w:pPr>
      <w:keepNext/>
      <w:keepLines/>
      <w:spacing w:before="240" w:after="64" w:line="320" w:lineRule="auto"/>
      <w:outlineLvl w:val="5"/>
    </w:pPr>
    <w:rPr>
      <w:rFonts w:ascii="Arial" w:hAnsi="Arial" w:eastAsia="黑体"/>
      <w:b/>
      <w:kern w:val="0"/>
      <w:sz w:val="24"/>
      <w:szCs w:val="20"/>
    </w:rPr>
  </w:style>
  <w:style w:type="paragraph" w:styleId="10">
    <w:name w:val="heading 7"/>
    <w:basedOn w:val="1"/>
    <w:next w:val="8"/>
    <w:link w:val="58"/>
    <w:qFormat/>
    <w:uiPriority w:val="0"/>
    <w:pPr>
      <w:keepNext/>
      <w:keepLines/>
      <w:spacing w:before="240" w:after="64" w:line="320" w:lineRule="auto"/>
      <w:outlineLvl w:val="6"/>
    </w:pPr>
    <w:rPr>
      <w:rFonts w:ascii="Times New Roman" w:hAnsi="Times New Roman"/>
      <w:b/>
      <w:kern w:val="0"/>
      <w:sz w:val="24"/>
      <w:szCs w:val="20"/>
    </w:rPr>
  </w:style>
  <w:style w:type="paragraph" w:styleId="11">
    <w:name w:val="heading 8"/>
    <w:basedOn w:val="1"/>
    <w:next w:val="8"/>
    <w:link w:val="59"/>
    <w:qFormat/>
    <w:uiPriority w:val="0"/>
    <w:pPr>
      <w:keepNext/>
      <w:keepLines/>
      <w:spacing w:before="240" w:after="64" w:line="320" w:lineRule="auto"/>
      <w:outlineLvl w:val="7"/>
    </w:pPr>
    <w:rPr>
      <w:rFonts w:ascii="Arial" w:hAnsi="Arial" w:eastAsia="黑体"/>
      <w:kern w:val="0"/>
      <w:sz w:val="24"/>
      <w:szCs w:val="20"/>
    </w:rPr>
  </w:style>
  <w:style w:type="paragraph" w:styleId="12">
    <w:name w:val="heading 9"/>
    <w:basedOn w:val="1"/>
    <w:next w:val="8"/>
    <w:link w:val="60"/>
    <w:qFormat/>
    <w:uiPriority w:val="0"/>
    <w:pPr>
      <w:keepNext/>
      <w:keepLines/>
      <w:spacing w:before="240" w:after="64" w:line="320" w:lineRule="auto"/>
      <w:outlineLvl w:val="8"/>
    </w:pPr>
    <w:rPr>
      <w:rFonts w:ascii="Arial" w:hAnsi="Arial" w:eastAsia="黑体"/>
      <w:kern w:val="0"/>
      <w:sz w:val="20"/>
      <w:szCs w:val="20"/>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19"/>
    <w:qFormat/>
    <w:uiPriority w:val="0"/>
    <w:pPr>
      <w:spacing w:beforeLines="50" w:afterLines="50" w:line="120" w:lineRule="auto"/>
      <w:ind w:firstLine="840" w:firstLineChars="400"/>
      <w:jc w:val="left"/>
    </w:pPr>
    <w:rPr>
      <w:rFonts w:ascii="宋体" w:hAnsi="宋体"/>
      <w:kern w:val="0"/>
      <w:sz w:val="20"/>
      <w:szCs w:val="24"/>
    </w:rPr>
  </w:style>
  <w:style w:type="paragraph" w:styleId="8">
    <w:name w:val="Normal Indent"/>
    <w:basedOn w:val="1"/>
    <w:link w:val="73"/>
    <w:qFormat/>
    <w:uiPriority w:val="0"/>
    <w:pPr>
      <w:ind w:firstLine="420"/>
    </w:pPr>
    <w:rPr>
      <w:rFonts w:ascii="Times New Roman" w:hAnsi="Times New Roman"/>
      <w:kern w:val="0"/>
      <w:sz w:val="20"/>
      <w:szCs w:val="20"/>
    </w:rPr>
  </w:style>
  <w:style w:type="paragraph" w:styleId="13">
    <w:name w:val="toc 7"/>
    <w:basedOn w:val="1"/>
    <w:next w:val="1"/>
    <w:semiHidden/>
    <w:qFormat/>
    <w:uiPriority w:val="0"/>
    <w:pPr>
      <w:ind w:left="1260"/>
      <w:jc w:val="left"/>
    </w:pPr>
    <w:rPr>
      <w:rFonts w:ascii="Times New Roman" w:hAnsi="Times New Roman"/>
      <w:szCs w:val="21"/>
    </w:rPr>
  </w:style>
  <w:style w:type="paragraph" w:styleId="14">
    <w:name w:val="caption"/>
    <w:basedOn w:val="1"/>
    <w:next w:val="1"/>
    <w:qFormat/>
    <w:uiPriority w:val="0"/>
    <w:pPr>
      <w:widowControl/>
      <w:spacing w:line="360" w:lineRule="auto"/>
      <w:ind w:firstLine="1940" w:firstLineChars="920"/>
      <w:jc w:val="left"/>
    </w:pPr>
    <w:rPr>
      <w:rFonts w:ascii="宋体" w:hAnsi="宋体"/>
      <w:b/>
      <w:bCs/>
      <w:kern w:val="0"/>
      <w:sz w:val="20"/>
      <w:szCs w:val="20"/>
    </w:rPr>
  </w:style>
  <w:style w:type="paragraph" w:styleId="15">
    <w:name w:val="List Bullet"/>
    <w:basedOn w:val="1"/>
    <w:qFormat/>
    <w:uiPriority w:val="0"/>
    <w:pPr>
      <w:tabs>
        <w:tab w:val="left" w:pos="360"/>
      </w:tabs>
      <w:ind w:left="360" w:hanging="360"/>
    </w:pPr>
    <w:rPr>
      <w:rFonts w:ascii="Times New Roman" w:hAnsi="Times New Roman"/>
      <w:szCs w:val="20"/>
    </w:rPr>
  </w:style>
  <w:style w:type="paragraph" w:styleId="16">
    <w:name w:val="Document Map"/>
    <w:basedOn w:val="1"/>
    <w:link w:val="113"/>
    <w:semiHidden/>
    <w:qFormat/>
    <w:uiPriority w:val="0"/>
    <w:pPr>
      <w:shd w:val="clear" w:color="auto" w:fill="000080"/>
    </w:pPr>
    <w:rPr>
      <w:rFonts w:ascii="Times New Roman" w:hAnsi="Times New Roman"/>
      <w:kern w:val="0"/>
      <w:sz w:val="20"/>
      <w:szCs w:val="24"/>
    </w:rPr>
  </w:style>
  <w:style w:type="paragraph" w:styleId="17">
    <w:name w:val="annotation text"/>
    <w:basedOn w:val="1"/>
    <w:link w:val="117"/>
    <w:qFormat/>
    <w:uiPriority w:val="0"/>
    <w:pPr>
      <w:autoSpaceDE w:val="0"/>
      <w:autoSpaceDN w:val="0"/>
      <w:adjustRightInd w:val="0"/>
      <w:jc w:val="left"/>
      <w:textAlignment w:val="baseline"/>
    </w:pPr>
    <w:rPr>
      <w:rFonts w:ascii="宋体" w:hAnsi="Times New Roman"/>
      <w:kern w:val="0"/>
      <w:sz w:val="34"/>
      <w:szCs w:val="20"/>
    </w:rPr>
  </w:style>
  <w:style w:type="paragraph" w:styleId="18">
    <w:name w:val="Body Text 3"/>
    <w:basedOn w:val="1"/>
    <w:link w:val="111"/>
    <w:qFormat/>
    <w:uiPriority w:val="0"/>
    <w:pPr>
      <w:spacing w:after="120"/>
    </w:pPr>
    <w:rPr>
      <w:rFonts w:ascii="Times New Roman" w:hAnsi="Times New Roman"/>
      <w:kern w:val="0"/>
      <w:sz w:val="16"/>
      <w:szCs w:val="16"/>
    </w:rPr>
  </w:style>
  <w:style w:type="paragraph" w:styleId="19">
    <w:name w:val="Body Text"/>
    <w:basedOn w:val="1"/>
    <w:link w:val="115"/>
    <w:qFormat/>
    <w:uiPriority w:val="0"/>
    <w:pPr>
      <w:spacing w:line="360" w:lineRule="auto"/>
    </w:pPr>
    <w:rPr>
      <w:rFonts w:ascii="Times New Roman" w:hAnsi="Times New Roman"/>
      <w:b/>
      <w:bCs/>
      <w:kern w:val="0"/>
      <w:sz w:val="24"/>
      <w:szCs w:val="24"/>
    </w:rPr>
  </w:style>
  <w:style w:type="paragraph" w:styleId="20">
    <w:name w:val="Body Text Indent"/>
    <w:basedOn w:val="1"/>
    <w:link w:val="116"/>
    <w:qFormat/>
    <w:uiPriority w:val="0"/>
    <w:pPr>
      <w:spacing w:line="360" w:lineRule="auto"/>
      <w:ind w:firstLine="420" w:firstLineChars="200"/>
    </w:pPr>
    <w:rPr>
      <w:rFonts w:ascii="Times New Roman" w:hAnsi="Times New Roman"/>
      <w:kern w:val="0"/>
      <w:sz w:val="20"/>
      <w:szCs w:val="24"/>
    </w:rPr>
  </w:style>
  <w:style w:type="paragraph" w:styleId="21">
    <w:name w:val="toc 5"/>
    <w:basedOn w:val="1"/>
    <w:next w:val="1"/>
    <w:semiHidden/>
    <w:qFormat/>
    <w:uiPriority w:val="0"/>
    <w:pPr>
      <w:ind w:left="840"/>
      <w:jc w:val="left"/>
    </w:pPr>
    <w:rPr>
      <w:rFonts w:ascii="Times New Roman" w:hAnsi="Times New Roman"/>
      <w:szCs w:val="21"/>
    </w:rPr>
  </w:style>
  <w:style w:type="paragraph" w:styleId="22">
    <w:name w:val="toc 3"/>
    <w:basedOn w:val="1"/>
    <w:next w:val="1"/>
    <w:semiHidden/>
    <w:qFormat/>
    <w:uiPriority w:val="0"/>
    <w:pPr>
      <w:ind w:left="420"/>
      <w:jc w:val="left"/>
    </w:pPr>
    <w:rPr>
      <w:rFonts w:ascii="Times New Roman" w:hAnsi="Times New Roman"/>
      <w:i/>
      <w:iCs/>
      <w:szCs w:val="24"/>
    </w:rPr>
  </w:style>
  <w:style w:type="paragraph" w:styleId="23">
    <w:name w:val="Plain Text"/>
    <w:basedOn w:val="1"/>
    <w:link w:val="112"/>
    <w:qFormat/>
    <w:uiPriority w:val="0"/>
    <w:rPr>
      <w:rFonts w:ascii="宋体" w:hAnsi="Courier New"/>
      <w:kern w:val="0"/>
      <w:sz w:val="20"/>
      <w:szCs w:val="20"/>
    </w:rPr>
  </w:style>
  <w:style w:type="paragraph" w:styleId="24">
    <w:name w:val="toc 8"/>
    <w:basedOn w:val="1"/>
    <w:next w:val="1"/>
    <w:semiHidden/>
    <w:qFormat/>
    <w:uiPriority w:val="0"/>
    <w:pPr>
      <w:ind w:left="1470"/>
      <w:jc w:val="left"/>
    </w:pPr>
    <w:rPr>
      <w:rFonts w:ascii="Times New Roman" w:hAnsi="Times New Roman"/>
      <w:szCs w:val="21"/>
    </w:rPr>
  </w:style>
  <w:style w:type="paragraph" w:styleId="25">
    <w:name w:val="Date"/>
    <w:basedOn w:val="1"/>
    <w:next w:val="1"/>
    <w:link w:val="114"/>
    <w:qFormat/>
    <w:uiPriority w:val="0"/>
    <w:rPr>
      <w:rFonts w:ascii="宋体" w:hAnsi="Courier New"/>
      <w:kern w:val="0"/>
      <w:sz w:val="32"/>
      <w:szCs w:val="20"/>
    </w:rPr>
  </w:style>
  <w:style w:type="paragraph" w:styleId="26">
    <w:name w:val="Balloon Text"/>
    <w:basedOn w:val="1"/>
    <w:link w:val="121"/>
    <w:qFormat/>
    <w:uiPriority w:val="99"/>
    <w:rPr>
      <w:rFonts w:ascii="Times New Roman" w:hAnsi="Times New Roman"/>
      <w:kern w:val="0"/>
      <w:sz w:val="18"/>
      <w:szCs w:val="18"/>
    </w:rPr>
  </w:style>
  <w:style w:type="paragraph" w:styleId="27">
    <w:name w:val="footer"/>
    <w:basedOn w:val="1"/>
    <w:link w:val="51"/>
    <w:unhideWhenUsed/>
    <w:qFormat/>
    <w:uiPriority w:val="99"/>
    <w:pPr>
      <w:tabs>
        <w:tab w:val="center" w:pos="4153"/>
        <w:tab w:val="right" w:pos="8306"/>
      </w:tabs>
      <w:snapToGrid w:val="0"/>
      <w:jc w:val="left"/>
    </w:pPr>
    <w:rPr>
      <w:sz w:val="18"/>
      <w:szCs w:val="18"/>
    </w:rPr>
  </w:style>
  <w:style w:type="paragraph" w:styleId="28">
    <w:name w:val="header"/>
    <w:basedOn w:val="1"/>
    <w:link w:val="50"/>
    <w:unhideWhenUsed/>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0"/>
    <w:pPr>
      <w:spacing w:before="120" w:after="120"/>
      <w:jc w:val="left"/>
    </w:pPr>
    <w:rPr>
      <w:rFonts w:ascii="Times New Roman" w:hAnsi="Times New Roman"/>
      <w:b/>
      <w:bCs/>
      <w:caps/>
      <w:szCs w:val="24"/>
    </w:rPr>
  </w:style>
  <w:style w:type="paragraph" w:styleId="30">
    <w:name w:val="toc 4"/>
    <w:basedOn w:val="1"/>
    <w:next w:val="1"/>
    <w:semiHidden/>
    <w:qFormat/>
    <w:uiPriority w:val="0"/>
    <w:pPr>
      <w:ind w:left="630"/>
      <w:jc w:val="left"/>
    </w:pPr>
    <w:rPr>
      <w:rFonts w:ascii="Times New Roman" w:hAnsi="Times New Roman"/>
      <w:szCs w:val="21"/>
    </w:rPr>
  </w:style>
  <w:style w:type="paragraph" w:styleId="31">
    <w:name w:val="toc 6"/>
    <w:basedOn w:val="1"/>
    <w:next w:val="1"/>
    <w:semiHidden/>
    <w:qFormat/>
    <w:uiPriority w:val="0"/>
    <w:pPr>
      <w:ind w:left="1050"/>
      <w:jc w:val="left"/>
    </w:pPr>
    <w:rPr>
      <w:rFonts w:ascii="Times New Roman" w:hAnsi="Times New Roman"/>
      <w:szCs w:val="21"/>
    </w:rPr>
  </w:style>
  <w:style w:type="paragraph" w:styleId="32">
    <w:name w:val="Body Text Indent 3"/>
    <w:basedOn w:val="1"/>
    <w:link w:val="122"/>
    <w:qFormat/>
    <w:uiPriority w:val="0"/>
    <w:pPr>
      <w:spacing w:line="360" w:lineRule="auto"/>
      <w:ind w:firstLine="482" w:firstLineChars="200"/>
    </w:pPr>
    <w:rPr>
      <w:rFonts w:ascii="宋体" w:hAnsi="Times New Roman"/>
      <w:b/>
      <w:bCs/>
      <w:kern w:val="0"/>
      <w:sz w:val="24"/>
      <w:szCs w:val="24"/>
    </w:rPr>
  </w:style>
  <w:style w:type="paragraph" w:styleId="33">
    <w:name w:val="toc 2"/>
    <w:basedOn w:val="1"/>
    <w:next w:val="1"/>
    <w:qFormat/>
    <w:uiPriority w:val="0"/>
    <w:pPr>
      <w:tabs>
        <w:tab w:val="right" w:leader="dot" w:pos="8296"/>
      </w:tabs>
      <w:ind w:left="210"/>
      <w:jc w:val="left"/>
    </w:pPr>
    <w:rPr>
      <w:rFonts w:ascii="Times New Roman" w:hAnsi="Times New Roman"/>
      <w:smallCaps/>
      <w:szCs w:val="24"/>
    </w:rPr>
  </w:style>
  <w:style w:type="paragraph" w:styleId="34">
    <w:name w:val="toc 9"/>
    <w:basedOn w:val="1"/>
    <w:next w:val="1"/>
    <w:semiHidden/>
    <w:qFormat/>
    <w:uiPriority w:val="0"/>
    <w:pPr>
      <w:ind w:left="1680"/>
      <w:jc w:val="left"/>
    </w:pPr>
    <w:rPr>
      <w:rFonts w:ascii="Times New Roman" w:hAnsi="Times New Roman"/>
      <w:szCs w:val="21"/>
    </w:rPr>
  </w:style>
  <w:style w:type="paragraph" w:styleId="35">
    <w:name w:val="Body Text 2"/>
    <w:basedOn w:val="1"/>
    <w:link w:val="120"/>
    <w:qFormat/>
    <w:uiPriority w:val="0"/>
    <w:pPr>
      <w:spacing w:line="360" w:lineRule="auto"/>
    </w:pPr>
    <w:rPr>
      <w:rFonts w:ascii="Times New Roman" w:hAnsi="Times New Roman"/>
      <w:kern w:val="0"/>
      <w:sz w:val="24"/>
      <w:szCs w:val="24"/>
    </w:rPr>
  </w:style>
  <w:style w:type="paragraph" w:styleId="36">
    <w:name w:val="HTML Preformatted"/>
    <w:basedOn w:val="1"/>
    <w:link w:val="11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38">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sz w:val="24"/>
      <w:szCs w:val="24"/>
    </w:rPr>
  </w:style>
  <w:style w:type="paragraph" w:styleId="39">
    <w:name w:val="Title"/>
    <w:basedOn w:val="1"/>
    <w:link w:val="123"/>
    <w:qFormat/>
    <w:uiPriority w:val="0"/>
    <w:pPr>
      <w:spacing w:before="240" w:after="60"/>
      <w:jc w:val="center"/>
      <w:outlineLvl w:val="0"/>
    </w:pPr>
    <w:rPr>
      <w:rFonts w:ascii="Arial" w:hAnsi="Arial" w:eastAsia="隶书"/>
      <w:b/>
      <w:bCs/>
      <w:kern w:val="0"/>
      <w:sz w:val="32"/>
      <w:szCs w:val="32"/>
    </w:rPr>
  </w:style>
  <w:style w:type="paragraph" w:styleId="40">
    <w:name w:val="annotation subject"/>
    <w:basedOn w:val="17"/>
    <w:next w:val="17"/>
    <w:link w:val="124"/>
    <w:qFormat/>
    <w:uiPriority w:val="99"/>
    <w:pPr>
      <w:autoSpaceDE/>
      <w:autoSpaceDN/>
      <w:adjustRightInd/>
      <w:textAlignment w:val="auto"/>
    </w:pPr>
    <w:rPr>
      <w:rFonts w:ascii="Times New Roman"/>
      <w:b/>
      <w:bCs/>
      <w:szCs w:val="24"/>
    </w:rPr>
  </w:style>
  <w:style w:type="paragraph" w:styleId="41">
    <w:name w:val="Body Text First Indent"/>
    <w:basedOn w:val="19"/>
    <w:link w:val="125"/>
    <w:qFormat/>
    <w:uiPriority w:val="0"/>
    <w:pPr>
      <w:spacing w:after="120" w:line="240" w:lineRule="auto"/>
      <w:ind w:firstLine="420" w:firstLineChars="100"/>
    </w:pPr>
    <w:rPr>
      <w:sz w:val="20"/>
    </w:rPr>
  </w:style>
  <w:style w:type="table" w:styleId="43">
    <w:name w:val="Table Grid"/>
    <w:basedOn w:val="4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22"/>
    <w:rPr>
      <w:b/>
      <w:bCs/>
    </w:rPr>
  </w:style>
  <w:style w:type="character" w:styleId="46">
    <w:name w:val="page number"/>
    <w:basedOn w:val="44"/>
    <w:qFormat/>
    <w:uiPriority w:val="0"/>
  </w:style>
  <w:style w:type="character" w:styleId="47">
    <w:name w:val="FollowedHyperlink"/>
    <w:basedOn w:val="44"/>
    <w:unhideWhenUsed/>
    <w:qFormat/>
    <w:uiPriority w:val="99"/>
    <w:rPr>
      <w:color w:val="800080"/>
      <w:u w:val="single"/>
    </w:rPr>
  </w:style>
  <w:style w:type="character" w:styleId="48">
    <w:name w:val="Hyperlink"/>
    <w:qFormat/>
    <w:uiPriority w:val="0"/>
    <w:rPr>
      <w:color w:val="0000FF"/>
      <w:u w:val="single"/>
    </w:rPr>
  </w:style>
  <w:style w:type="character" w:styleId="49">
    <w:name w:val="annotation reference"/>
    <w:qFormat/>
    <w:uiPriority w:val="0"/>
    <w:rPr>
      <w:sz w:val="21"/>
      <w:szCs w:val="21"/>
    </w:rPr>
  </w:style>
  <w:style w:type="character" w:customStyle="1" w:styleId="50">
    <w:name w:val="页眉 Char"/>
    <w:basedOn w:val="44"/>
    <w:link w:val="28"/>
    <w:qFormat/>
    <w:uiPriority w:val="99"/>
    <w:rPr>
      <w:sz w:val="18"/>
      <w:szCs w:val="18"/>
    </w:rPr>
  </w:style>
  <w:style w:type="character" w:customStyle="1" w:styleId="51">
    <w:name w:val="页脚 Char"/>
    <w:basedOn w:val="44"/>
    <w:link w:val="27"/>
    <w:qFormat/>
    <w:uiPriority w:val="99"/>
    <w:rPr>
      <w:sz w:val="18"/>
      <w:szCs w:val="18"/>
    </w:rPr>
  </w:style>
  <w:style w:type="character" w:customStyle="1" w:styleId="52">
    <w:name w:val="标题 1 Char"/>
    <w:basedOn w:val="44"/>
    <w:link w:val="3"/>
    <w:qFormat/>
    <w:uiPriority w:val="9"/>
    <w:rPr>
      <w:rFonts w:ascii="宋体" w:hAnsi="宋体" w:eastAsia="黑体" w:cs="Times New Roman"/>
      <w:b/>
      <w:bCs/>
      <w:kern w:val="44"/>
      <w:sz w:val="28"/>
      <w:szCs w:val="44"/>
    </w:rPr>
  </w:style>
  <w:style w:type="character" w:customStyle="1" w:styleId="53">
    <w:name w:val="标题 2 Char"/>
    <w:basedOn w:val="44"/>
    <w:link w:val="6"/>
    <w:qFormat/>
    <w:uiPriority w:val="0"/>
    <w:rPr>
      <w:rFonts w:ascii="宋体" w:hAnsi="宋体" w:eastAsia="宋体" w:cs="Times New Roman"/>
      <w:b/>
      <w:bCs/>
      <w:kern w:val="0"/>
      <w:sz w:val="24"/>
      <w:szCs w:val="20"/>
    </w:rPr>
  </w:style>
  <w:style w:type="character" w:customStyle="1" w:styleId="54">
    <w:name w:val="标题 3 Char"/>
    <w:basedOn w:val="44"/>
    <w:link w:val="4"/>
    <w:qFormat/>
    <w:uiPriority w:val="9"/>
    <w:rPr>
      <w:rFonts w:ascii="Calibri" w:hAnsi="Calibri" w:eastAsia="宋体" w:cs="Times New Roman"/>
      <w:b/>
      <w:bCs/>
      <w:sz w:val="32"/>
      <w:szCs w:val="32"/>
    </w:rPr>
  </w:style>
  <w:style w:type="character" w:customStyle="1" w:styleId="55">
    <w:name w:val="标题 4 Char"/>
    <w:basedOn w:val="44"/>
    <w:link w:val="5"/>
    <w:qFormat/>
    <w:uiPriority w:val="0"/>
    <w:rPr>
      <w:rFonts w:ascii="Arial" w:hAnsi="Arial" w:eastAsia="黑体" w:cs="Times New Roman"/>
      <w:b/>
      <w:bCs/>
      <w:kern w:val="0"/>
      <w:sz w:val="28"/>
      <w:szCs w:val="28"/>
    </w:rPr>
  </w:style>
  <w:style w:type="character" w:customStyle="1" w:styleId="56">
    <w:name w:val="标题 5 Char"/>
    <w:basedOn w:val="44"/>
    <w:link w:val="7"/>
    <w:qFormat/>
    <w:uiPriority w:val="0"/>
    <w:rPr>
      <w:rFonts w:ascii="Times New Roman" w:hAnsi="Times New Roman" w:eastAsia="宋体" w:cs="Times New Roman"/>
      <w:b/>
      <w:kern w:val="0"/>
      <w:sz w:val="28"/>
      <w:szCs w:val="20"/>
    </w:rPr>
  </w:style>
  <w:style w:type="character" w:customStyle="1" w:styleId="57">
    <w:name w:val="标题 6 Char"/>
    <w:basedOn w:val="44"/>
    <w:link w:val="9"/>
    <w:qFormat/>
    <w:uiPriority w:val="0"/>
    <w:rPr>
      <w:rFonts w:ascii="Arial" w:hAnsi="Arial" w:eastAsia="黑体" w:cs="Times New Roman"/>
      <w:b/>
      <w:kern w:val="0"/>
      <w:sz w:val="24"/>
      <w:szCs w:val="20"/>
    </w:rPr>
  </w:style>
  <w:style w:type="character" w:customStyle="1" w:styleId="58">
    <w:name w:val="标题 7 Char"/>
    <w:basedOn w:val="44"/>
    <w:link w:val="10"/>
    <w:qFormat/>
    <w:uiPriority w:val="0"/>
    <w:rPr>
      <w:rFonts w:ascii="Times New Roman" w:hAnsi="Times New Roman" w:eastAsia="宋体" w:cs="Times New Roman"/>
      <w:b/>
      <w:kern w:val="0"/>
      <w:sz w:val="24"/>
      <w:szCs w:val="20"/>
    </w:rPr>
  </w:style>
  <w:style w:type="character" w:customStyle="1" w:styleId="59">
    <w:name w:val="标题 8 Char"/>
    <w:basedOn w:val="44"/>
    <w:link w:val="11"/>
    <w:qFormat/>
    <w:uiPriority w:val="0"/>
    <w:rPr>
      <w:rFonts w:ascii="Arial" w:hAnsi="Arial" w:eastAsia="黑体" w:cs="Times New Roman"/>
      <w:kern w:val="0"/>
      <w:sz w:val="24"/>
      <w:szCs w:val="20"/>
    </w:rPr>
  </w:style>
  <w:style w:type="character" w:customStyle="1" w:styleId="60">
    <w:name w:val="标题 9 Char"/>
    <w:basedOn w:val="44"/>
    <w:link w:val="12"/>
    <w:qFormat/>
    <w:uiPriority w:val="0"/>
    <w:rPr>
      <w:rFonts w:ascii="Arial" w:hAnsi="Arial" w:eastAsia="黑体" w:cs="Times New Roman"/>
      <w:kern w:val="0"/>
      <w:sz w:val="20"/>
      <w:szCs w:val="20"/>
    </w:rPr>
  </w:style>
  <w:style w:type="character" w:customStyle="1" w:styleId="61">
    <w:name w:val="标题 3 Char1"/>
    <w:link w:val="4"/>
    <w:qFormat/>
    <w:uiPriority w:val="0"/>
    <w:rPr>
      <w:rFonts w:ascii="宋体" w:hAnsi="宋体" w:eastAsia="宋体" w:cs="Times New Roman"/>
      <w:b/>
      <w:bCs/>
      <w:kern w:val="0"/>
      <w:sz w:val="28"/>
      <w:szCs w:val="32"/>
    </w:rPr>
  </w:style>
  <w:style w:type="character" w:customStyle="1" w:styleId="62">
    <w:name w:val="--规划正文 Char Char"/>
    <w:qFormat/>
    <w:uiPriority w:val="0"/>
    <w:rPr>
      <w:rFonts w:eastAsia="宋体"/>
      <w:kern w:val="2"/>
      <w:sz w:val="24"/>
      <w:szCs w:val="24"/>
      <w:lang w:val="en-US" w:eastAsia="zh-CN" w:bidi="ar-SA"/>
    </w:rPr>
  </w:style>
  <w:style w:type="character" w:customStyle="1" w:styleId="63">
    <w:name w:val="grame"/>
    <w:basedOn w:val="44"/>
    <w:qFormat/>
    <w:uiPriority w:val="0"/>
  </w:style>
  <w:style w:type="character" w:customStyle="1" w:styleId="64">
    <w:name w:val="font"/>
    <w:basedOn w:val="44"/>
    <w:qFormat/>
    <w:uiPriority w:val="0"/>
  </w:style>
  <w:style w:type="character" w:customStyle="1" w:styleId="65">
    <w:name w:val="font2"/>
    <w:basedOn w:val="44"/>
    <w:qFormat/>
    <w:uiPriority w:val="0"/>
  </w:style>
  <w:style w:type="character" w:customStyle="1" w:styleId="66">
    <w:name w:val="unnamed4"/>
    <w:basedOn w:val="44"/>
    <w:qFormat/>
    <w:uiPriority w:val="0"/>
  </w:style>
  <w:style w:type="character" w:customStyle="1" w:styleId="67">
    <w:name w:val="样式 小三 加粗"/>
    <w:qFormat/>
    <w:uiPriority w:val="0"/>
    <w:rPr>
      <w:rFonts w:eastAsia="宋体"/>
      <w:b/>
      <w:bCs/>
      <w:sz w:val="32"/>
    </w:rPr>
  </w:style>
  <w:style w:type="character" w:customStyle="1" w:styleId="68">
    <w:name w:val="z-窗体顶端 Char"/>
    <w:basedOn w:val="44"/>
    <w:qFormat/>
    <w:uiPriority w:val="0"/>
    <w:rPr>
      <w:rFonts w:ascii="Arial" w:hAnsi="Arial" w:eastAsia="宋体" w:cs="Times New Roman"/>
      <w:vanish/>
      <w:kern w:val="0"/>
      <w:sz w:val="16"/>
      <w:szCs w:val="16"/>
      <w:lang w:val="en-US" w:eastAsia="zh-CN"/>
    </w:rPr>
  </w:style>
  <w:style w:type="paragraph" w:customStyle="1" w:styleId="69">
    <w:name w:val="HTML Top of Form"/>
    <w:basedOn w:val="1"/>
    <w:next w:val="1"/>
    <w:link w:val="179"/>
    <w:qFormat/>
    <w:uiPriority w:val="0"/>
    <w:pPr>
      <w:widowControl/>
      <w:pBdr>
        <w:bottom w:val="single" w:color="auto" w:sz="6" w:space="1"/>
      </w:pBdr>
      <w:jc w:val="center"/>
    </w:pPr>
    <w:rPr>
      <w:rFonts w:ascii="Arial" w:hAnsi="Arial"/>
      <w:vanish/>
      <w:kern w:val="0"/>
      <w:sz w:val="16"/>
      <w:szCs w:val="16"/>
    </w:rPr>
  </w:style>
  <w:style w:type="character" w:customStyle="1" w:styleId="70">
    <w:name w:val="批注文字 Char"/>
    <w:basedOn w:val="44"/>
    <w:link w:val="17"/>
    <w:qFormat/>
    <w:uiPriority w:val="0"/>
    <w:rPr>
      <w:rFonts w:ascii="宋体" w:hAnsi="Times New Roman" w:eastAsia="宋体" w:cs="Times New Roman"/>
      <w:kern w:val="0"/>
      <w:sz w:val="34"/>
      <w:szCs w:val="20"/>
    </w:rPr>
  </w:style>
  <w:style w:type="character" w:customStyle="1" w:styleId="71">
    <w:name w:val="标题 Char"/>
    <w:basedOn w:val="44"/>
    <w:link w:val="39"/>
    <w:qFormat/>
    <w:uiPriority w:val="0"/>
    <w:rPr>
      <w:rFonts w:ascii="Arial" w:hAnsi="Arial" w:eastAsia="隶书" w:cs="Times New Roman"/>
      <w:b/>
      <w:bCs/>
      <w:kern w:val="0"/>
      <w:sz w:val="32"/>
      <w:szCs w:val="32"/>
    </w:rPr>
  </w:style>
  <w:style w:type="character" w:customStyle="1" w:styleId="72">
    <w:name w:val="正文文本 Char"/>
    <w:basedOn w:val="44"/>
    <w:semiHidden/>
    <w:qFormat/>
    <w:uiPriority w:val="99"/>
    <w:rPr>
      <w:rFonts w:ascii="Calibri" w:hAnsi="Calibri" w:eastAsia="宋体" w:cs="Times New Roman"/>
    </w:rPr>
  </w:style>
  <w:style w:type="character" w:customStyle="1" w:styleId="73">
    <w:name w:val="正文缩进 Char"/>
    <w:link w:val="8"/>
    <w:qFormat/>
    <w:uiPriority w:val="0"/>
    <w:rPr>
      <w:rFonts w:ascii="Times New Roman" w:hAnsi="Times New Roman" w:eastAsia="宋体" w:cs="Times New Roman"/>
      <w:kern w:val="0"/>
      <w:sz w:val="20"/>
      <w:szCs w:val="20"/>
    </w:rPr>
  </w:style>
  <w:style w:type="character" w:customStyle="1" w:styleId="74">
    <w:name w:val="日期 Char"/>
    <w:basedOn w:val="44"/>
    <w:link w:val="25"/>
    <w:qFormat/>
    <w:uiPriority w:val="0"/>
    <w:rPr>
      <w:rFonts w:ascii="宋体" w:hAnsi="Courier New" w:eastAsia="宋体" w:cs="Times New Roman"/>
      <w:kern w:val="0"/>
      <w:sz w:val="32"/>
      <w:szCs w:val="20"/>
    </w:rPr>
  </w:style>
  <w:style w:type="character" w:customStyle="1" w:styleId="75">
    <w:name w:val="正文文字首行缩进 Char"/>
    <w:qFormat/>
    <w:uiPriority w:val="0"/>
    <w:rPr>
      <w:kern w:val="2"/>
      <w:sz w:val="21"/>
      <w:szCs w:val="24"/>
    </w:rPr>
  </w:style>
  <w:style w:type="character" w:customStyle="1" w:styleId="76">
    <w:name w:val="unnamed3"/>
    <w:basedOn w:val="44"/>
    <w:qFormat/>
    <w:uiPriority w:val="0"/>
  </w:style>
  <w:style w:type="character" w:customStyle="1" w:styleId="77">
    <w:name w:val="批注主题 Char"/>
    <w:basedOn w:val="70"/>
    <w:link w:val="40"/>
    <w:qFormat/>
    <w:uiPriority w:val="99"/>
    <w:rPr>
      <w:rFonts w:ascii="Times New Roman"/>
      <w:b/>
      <w:bCs/>
      <w:szCs w:val="24"/>
    </w:rPr>
  </w:style>
  <w:style w:type="character" w:customStyle="1" w:styleId="78">
    <w:name w:val="gray6"/>
    <w:basedOn w:val="44"/>
    <w:qFormat/>
    <w:uiPriority w:val="0"/>
  </w:style>
  <w:style w:type="character" w:customStyle="1" w:styleId="79">
    <w:name w:val="纯文本 Char"/>
    <w:basedOn w:val="44"/>
    <w:link w:val="23"/>
    <w:qFormat/>
    <w:uiPriority w:val="0"/>
    <w:rPr>
      <w:rFonts w:ascii="宋体" w:hAnsi="Courier New" w:eastAsia="宋体" w:cs="Times New Roman"/>
      <w:kern w:val="0"/>
      <w:sz w:val="20"/>
      <w:szCs w:val="20"/>
    </w:rPr>
  </w:style>
  <w:style w:type="character" w:customStyle="1" w:styleId="80">
    <w:name w:val="正文文本缩进 Char"/>
    <w:basedOn w:val="44"/>
    <w:link w:val="20"/>
    <w:qFormat/>
    <w:uiPriority w:val="0"/>
    <w:rPr>
      <w:rFonts w:ascii="Times New Roman" w:hAnsi="Times New Roman" w:eastAsia="宋体" w:cs="Times New Roman"/>
      <w:kern w:val="0"/>
      <w:sz w:val="20"/>
      <w:szCs w:val="24"/>
    </w:rPr>
  </w:style>
  <w:style w:type="character" w:customStyle="1" w:styleId="81">
    <w:name w:val="正文文本 2 Char"/>
    <w:basedOn w:val="44"/>
    <w:link w:val="35"/>
    <w:qFormat/>
    <w:uiPriority w:val="0"/>
    <w:rPr>
      <w:rFonts w:ascii="Times New Roman" w:hAnsi="Times New Roman" w:eastAsia="宋体" w:cs="Times New Roman"/>
      <w:kern w:val="0"/>
      <w:sz w:val="24"/>
      <w:szCs w:val="24"/>
    </w:rPr>
  </w:style>
  <w:style w:type="character" w:customStyle="1" w:styleId="82">
    <w:name w:val="标题 3 Char Char"/>
    <w:qFormat/>
    <w:uiPriority w:val="0"/>
    <w:rPr>
      <w:rFonts w:eastAsia="宋体"/>
      <w:b/>
      <w:bCs/>
      <w:kern w:val="2"/>
      <w:sz w:val="32"/>
      <w:szCs w:val="32"/>
      <w:lang w:val="en-US" w:eastAsia="zh-CN" w:bidi="ar-SA"/>
    </w:rPr>
  </w:style>
  <w:style w:type="character" w:customStyle="1" w:styleId="83">
    <w:name w:val="--规划正文 Char1"/>
    <w:qFormat/>
    <w:uiPriority w:val="0"/>
    <w:rPr>
      <w:rFonts w:eastAsia="宋体"/>
      <w:kern w:val="2"/>
      <w:sz w:val="21"/>
      <w:lang w:val="en-US" w:eastAsia="zh-CN" w:bidi="ar-SA"/>
    </w:rPr>
  </w:style>
  <w:style w:type="character" w:customStyle="1" w:styleId="84">
    <w:name w:val="正文首行缩进 Char"/>
    <w:basedOn w:val="72"/>
    <w:link w:val="41"/>
    <w:qFormat/>
    <w:uiPriority w:val="0"/>
    <w:rPr>
      <w:rFonts w:ascii="Times New Roman" w:hAnsi="Times New Roman"/>
      <w:b/>
      <w:bCs/>
      <w:kern w:val="0"/>
      <w:sz w:val="20"/>
      <w:szCs w:val="24"/>
      <w:lang w:val="en-US" w:eastAsia="zh-CN"/>
    </w:rPr>
  </w:style>
  <w:style w:type="character" w:customStyle="1" w:styleId="85">
    <w:name w:val="z-窗体底端 Char"/>
    <w:basedOn w:val="44"/>
    <w:qFormat/>
    <w:uiPriority w:val="0"/>
    <w:rPr>
      <w:rFonts w:ascii="Arial" w:hAnsi="Arial" w:eastAsia="宋体" w:cs="Times New Roman"/>
      <w:vanish/>
      <w:kern w:val="0"/>
      <w:sz w:val="16"/>
      <w:szCs w:val="16"/>
      <w:lang w:val="en-US" w:eastAsia="zh-CN"/>
    </w:rPr>
  </w:style>
  <w:style w:type="paragraph" w:customStyle="1" w:styleId="86">
    <w:name w:val="HTML Bottom of Form"/>
    <w:basedOn w:val="1"/>
    <w:next w:val="1"/>
    <w:link w:val="199"/>
    <w:qFormat/>
    <w:uiPriority w:val="0"/>
    <w:pPr>
      <w:widowControl/>
      <w:pBdr>
        <w:top w:val="single" w:color="auto" w:sz="6" w:space="1"/>
      </w:pBdr>
      <w:jc w:val="center"/>
    </w:pPr>
    <w:rPr>
      <w:rFonts w:ascii="Arial" w:hAnsi="Arial"/>
      <w:vanish/>
      <w:kern w:val="0"/>
      <w:sz w:val="16"/>
      <w:szCs w:val="16"/>
    </w:rPr>
  </w:style>
  <w:style w:type="character" w:customStyle="1" w:styleId="87">
    <w:name w:val="HTML 预设格式 Char"/>
    <w:basedOn w:val="44"/>
    <w:link w:val="36"/>
    <w:qFormat/>
    <w:uiPriority w:val="0"/>
    <w:rPr>
      <w:rFonts w:ascii="Arial Unicode MS" w:hAnsi="Arial Unicode MS" w:eastAsia="Arial Unicode MS" w:cs="Times New Roman"/>
      <w:color w:val="000000"/>
      <w:kern w:val="0"/>
      <w:sz w:val="20"/>
      <w:szCs w:val="20"/>
    </w:rPr>
  </w:style>
  <w:style w:type="character" w:customStyle="1" w:styleId="88">
    <w:name w:val="H4 Char2"/>
    <w:qFormat/>
    <w:uiPriority w:val="0"/>
    <w:rPr>
      <w:rFonts w:ascii="Arial" w:hAnsi="Arial" w:eastAsia="黑体"/>
      <w:b/>
      <w:bCs/>
      <w:kern w:val="2"/>
      <w:sz w:val="28"/>
      <w:szCs w:val="28"/>
      <w:lang w:val="en-US" w:eastAsia="zh-CN" w:bidi="ar-SA"/>
    </w:rPr>
  </w:style>
  <w:style w:type="character" w:customStyle="1" w:styleId="89">
    <w:name w:val="正文文本 Char1"/>
    <w:link w:val="19"/>
    <w:qFormat/>
    <w:uiPriority w:val="0"/>
    <w:rPr>
      <w:rFonts w:ascii="Times New Roman" w:hAnsi="Times New Roman" w:eastAsia="宋体" w:cs="Times New Roman"/>
      <w:b/>
      <w:bCs/>
      <w:kern w:val="0"/>
      <w:sz w:val="24"/>
      <w:szCs w:val="24"/>
    </w:rPr>
  </w:style>
  <w:style w:type="character" w:customStyle="1" w:styleId="90">
    <w:name w:val="body text Char1"/>
    <w:qFormat/>
    <w:uiPriority w:val="0"/>
    <w:rPr>
      <w:rFonts w:eastAsia="宋体"/>
      <w:kern w:val="2"/>
      <w:sz w:val="21"/>
      <w:lang w:val="en-US" w:eastAsia="zh-CN" w:bidi="ar-SA"/>
    </w:rPr>
  </w:style>
  <w:style w:type="character" w:customStyle="1" w:styleId="91">
    <w:name w:val="文档结构图 Char"/>
    <w:basedOn w:val="44"/>
    <w:link w:val="16"/>
    <w:semiHidden/>
    <w:qFormat/>
    <w:uiPriority w:val="0"/>
    <w:rPr>
      <w:rFonts w:ascii="Times New Roman" w:hAnsi="Times New Roman" w:eastAsia="宋体" w:cs="Times New Roman"/>
      <w:kern w:val="0"/>
      <w:sz w:val="20"/>
      <w:szCs w:val="24"/>
      <w:shd w:val="clear" w:color="auto" w:fill="000080"/>
    </w:rPr>
  </w:style>
  <w:style w:type="character" w:customStyle="1" w:styleId="92">
    <w:name w:val="正文文本 3 Char"/>
    <w:basedOn w:val="44"/>
    <w:link w:val="18"/>
    <w:qFormat/>
    <w:uiPriority w:val="0"/>
    <w:rPr>
      <w:rFonts w:ascii="Times New Roman" w:hAnsi="Times New Roman" w:eastAsia="宋体" w:cs="Times New Roman"/>
      <w:kern w:val="0"/>
      <w:sz w:val="16"/>
      <w:szCs w:val="16"/>
    </w:rPr>
  </w:style>
  <w:style w:type="character" w:customStyle="1" w:styleId="93">
    <w:name w:val="blue"/>
    <w:basedOn w:val="44"/>
    <w:qFormat/>
    <w:uiPriority w:val="0"/>
  </w:style>
  <w:style w:type="character" w:customStyle="1" w:styleId="94">
    <w:name w:val="proddescription"/>
    <w:basedOn w:val="44"/>
    <w:qFormat/>
    <w:uiPriority w:val="0"/>
  </w:style>
  <w:style w:type="character" w:customStyle="1" w:styleId="95">
    <w:name w:val="缩进正文 Char"/>
    <w:link w:val="96"/>
    <w:qFormat/>
    <w:uiPriority w:val="0"/>
    <w:rPr>
      <w:rFonts w:ascii="Times New Roman" w:hAnsi="Times New Roman" w:eastAsia="仿宋_GB2312" w:cs="Times New Roman"/>
      <w:kern w:val="0"/>
      <w:sz w:val="28"/>
      <w:szCs w:val="20"/>
    </w:rPr>
  </w:style>
  <w:style w:type="paragraph" w:customStyle="1" w:styleId="96">
    <w:name w:val="缩进正文"/>
    <w:basedOn w:val="1"/>
    <w:link w:val="95"/>
    <w:qFormat/>
    <w:uiPriority w:val="0"/>
    <w:pPr>
      <w:ind w:firstLine="560" w:firstLineChars="200"/>
    </w:pPr>
    <w:rPr>
      <w:rFonts w:ascii="Times New Roman" w:hAnsi="Times New Roman" w:eastAsia="仿宋_GB2312"/>
      <w:kern w:val="0"/>
      <w:sz w:val="28"/>
      <w:szCs w:val="20"/>
    </w:rPr>
  </w:style>
  <w:style w:type="character" w:customStyle="1" w:styleId="97">
    <w:name w:val="style9"/>
    <w:basedOn w:val="44"/>
    <w:qFormat/>
    <w:uiPriority w:val="0"/>
  </w:style>
  <w:style w:type="character" w:customStyle="1" w:styleId="98">
    <w:name w:val="prodheadlines"/>
    <w:basedOn w:val="44"/>
    <w:qFormat/>
    <w:uiPriority w:val="0"/>
  </w:style>
  <w:style w:type="character" w:customStyle="1" w:styleId="99">
    <w:name w:val="content1"/>
    <w:qFormat/>
    <w:uiPriority w:val="0"/>
    <w:rPr>
      <w:rFonts w:hint="default" w:ascii="??" w:hAnsi="??"/>
      <w:sz w:val="16"/>
      <w:szCs w:val="16"/>
      <w:u w:val="none"/>
    </w:rPr>
  </w:style>
  <w:style w:type="character" w:customStyle="1" w:styleId="100">
    <w:name w:val="正文文本缩进 3 Char"/>
    <w:basedOn w:val="44"/>
    <w:link w:val="32"/>
    <w:qFormat/>
    <w:uiPriority w:val="0"/>
    <w:rPr>
      <w:rFonts w:ascii="宋体" w:hAnsi="Times New Roman" w:eastAsia="宋体" w:cs="Times New Roman"/>
      <w:b/>
      <w:bCs/>
      <w:kern w:val="0"/>
      <w:sz w:val="24"/>
      <w:szCs w:val="24"/>
    </w:rPr>
  </w:style>
  <w:style w:type="character" w:customStyle="1" w:styleId="101">
    <w:name w:val="章标题1 Char"/>
    <w:qFormat/>
    <w:uiPriority w:val="0"/>
    <w:rPr>
      <w:rFonts w:eastAsia="宋体"/>
      <w:b/>
      <w:bCs/>
      <w:kern w:val="2"/>
      <w:sz w:val="32"/>
      <w:szCs w:val="32"/>
      <w:lang w:val="en-US" w:eastAsia="zh-CN" w:bidi="ar-SA"/>
    </w:rPr>
  </w:style>
  <w:style w:type="character" w:customStyle="1" w:styleId="102">
    <w:name w:val="font41"/>
    <w:qFormat/>
    <w:uiPriority w:val="0"/>
    <w:rPr>
      <w:color w:val="000000"/>
      <w:spacing w:val="260"/>
      <w:sz w:val="18"/>
      <w:szCs w:val="18"/>
      <w:u w:val="none"/>
    </w:rPr>
  </w:style>
  <w:style w:type="character" w:customStyle="1" w:styleId="103">
    <w:name w:val="alt-edited1"/>
    <w:qFormat/>
    <w:uiPriority w:val="0"/>
    <w:rPr>
      <w:color w:val="4D90F0"/>
    </w:rPr>
  </w:style>
  <w:style w:type="character" w:customStyle="1" w:styleId="104">
    <w:name w:val="info4"/>
    <w:basedOn w:val="44"/>
    <w:qFormat/>
    <w:uiPriority w:val="0"/>
  </w:style>
  <w:style w:type="character" w:customStyle="1" w:styleId="105">
    <w:name w:val="第*章 Char"/>
    <w:qFormat/>
    <w:uiPriority w:val="0"/>
    <w:rPr>
      <w:rFonts w:ascii="Arial" w:hAnsi="Arial" w:eastAsia="黑体"/>
      <w:b/>
      <w:bCs/>
      <w:kern w:val="2"/>
      <w:sz w:val="32"/>
      <w:szCs w:val="32"/>
    </w:rPr>
  </w:style>
  <w:style w:type="character" w:customStyle="1" w:styleId="106">
    <w:name w:val="text"/>
    <w:basedOn w:val="44"/>
    <w:qFormat/>
    <w:uiPriority w:val="0"/>
  </w:style>
  <w:style w:type="character" w:customStyle="1" w:styleId="107">
    <w:name w:val="正文文本缩进 2 Char"/>
    <w:basedOn w:val="44"/>
    <w:link w:val="2"/>
    <w:qFormat/>
    <w:uiPriority w:val="0"/>
    <w:rPr>
      <w:rFonts w:ascii="宋体" w:hAnsi="宋体" w:eastAsia="宋体" w:cs="Times New Roman"/>
      <w:kern w:val="0"/>
      <w:sz w:val="20"/>
      <w:szCs w:val="24"/>
    </w:rPr>
  </w:style>
  <w:style w:type="character" w:customStyle="1" w:styleId="108">
    <w:name w:val="font11"/>
    <w:qFormat/>
    <w:uiPriority w:val="0"/>
    <w:rPr>
      <w:rFonts w:hint="default" w:ascii="ˎ̥" w:hAnsi="ˎ̥"/>
    </w:rPr>
  </w:style>
  <w:style w:type="character" w:customStyle="1" w:styleId="109">
    <w:name w:val="批注框文本 Char"/>
    <w:basedOn w:val="44"/>
    <w:link w:val="26"/>
    <w:qFormat/>
    <w:uiPriority w:val="99"/>
    <w:rPr>
      <w:rFonts w:ascii="Times New Roman" w:hAnsi="Times New Roman" w:eastAsia="宋体" w:cs="Times New Roman"/>
      <w:kern w:val="0"/>
      <w:sz w:val="18"/>
      <w:szCs w:val="18"/>
    </w:rPr>
  </w:style>
  <w:style w:type="character" w:customStyle="1" w:styleId="110">
    <w:name w:val="mode"/>
    <w:basedOn w:val="44"/>
    <w:qFormat/>
    <w:uiPriority w:val="0"/>
  </w:style>
  <w:style w:type="character" w:customStyle="1" w:styleId="111">
    <w:name w:val="正文文本 3 Char1"/>
    <w:basedOn w:val="44"/>
    <w:link w:val="18"/>
    <w:semiHidden/>
    <w:qFormat/>
    <w:uiPriority w:val="99"/>
    <w:rPr>
      <w:rFonts w:ascii="Calibri" w:hAnsi="Calibri" w:eastAsia="宋体" w:cs="Times New Roman"/>
      <w:sz w:val="16"/>
      <w:szCs w:val="16"/>
    </w:rPr>
  </w:style>
  <w:style w:type="character" w:customStyle="1" w:styleId="112">
    <w:name w:val="纯文本 Char1"/>
    <w:basedOn w:val="44"/>
    <w:link w:val="23"/>
    <w:semiHidden/>
    <w:qFormat/>
    <w:uiPriority w:val="99"/>
    <w:rPr>
      <w:rFonts w:ascii="宋体" w:hAnsi="Courier New" w:eastAsia="宋体" w:cs="Courier New"/>
      <w:szCs w:val="21"/>
    </w:rPr>
  </w:style>
  <w:style w:type="character" w:customStyle="1" w:styleId="113">
    <w:name w:val="文档结构图 Char1"/>
    <w:basedOn w:val="44"/>
    <w:link w:val="16"/>
    <w:semiHidden/>
    <w:qFormat/>
    <w:uiPriority w:val="99"/>
    <w:rPr>
      <w:rFonts w:ascii="宋体" w:hAnsi="Calibri" w:eastAsia="宋体" w:cs="Times New Roman"/>
      <w:sz w:val="18"/>
      <w:szCs w:val="18"/>
    </w:rPr>
  </w:style>
  <w:style w:type="character" w:customStyle="1" w:styleId="114">
    <w:name w:val="日期 Char1"/>
    <w:basedOn w:val="44"/>
    <w:link w:val="25"/>
    <w:semiHidden/>
    <w:qFormat/>
    <w:uiPriority w:val="99"/>
    <w:rPr>
      <w:rFonts w:ascii="Calibri" w:hAnsi="Calibri" w:eastAsia="宋体" w:cs="Times New Roman"/>
    </w:rPr>
  </w:style>
  <w:style w:type="character" w:customStyle="1" w:styleId="115">
    <w:name w:val="正文文本 Char2"/>
    <w:basedOn w:val="44"/>
    <w:link w:val="19"/>
    <w:semiHidden/>
    <w:qFormat/>
    <w:uiPriority w:val="99"/>
    <w:rPr>
      <w:rFonts w:ascii="Calibri" w:hAnsi="Calibri" w:eastAsia="宋体" w:cs="Times New Roman"/>
    </w:rPr>
  </w:style>
  <w:style w:type="character" w:customStyle="1" w:styleId="116">
    <w:name w:val="正文文本缩进 Char1"/>
    <w:basedOn w:val="44"/>
    <w:link w:val="20"/>
    <w:semiHidden/>
    <w:qFormat/>
    <w:uiPriority w:val="99"/>
    <w:rPr>
      <w:rFonts w:ascii="Calibri" w:hAnsi="Calibri" w:eastAsia="宋体" w:cs="Times New Roman"/>
    </w:rPr>
  </w:style>
  <w:style w:type="character" w:customStyle="1" w:styleId="117">
    <w:name w:val="批注文字 Char1"/>
    <w:basedOn w:val="44"/>
    <w:link w:val="17"/>
    <w:semiHidden/>
    <w:qFormat/>
    <w:uiPriority w:val="99"/>
    <w:rPr>
      <w:rFonts w:ascii="Calibri" w:hAnsi="Calibri" w:eastAsia="宋体" w:cs="Times New Roman"/>
    </w:rPr>
  </w:style>
  <w:style w:type="character" w:customStyle="1" w:styleId="118">
    <w:name w:val="HTML 预设格式 Char1"/>
    <w:basedOn w:val="44"/>
    <w:link w:val="36"/>
    <w:semiHidden/>
    <w:qFormat/>
    <w:uiPriority w:val="99"/>
    <w:rPr>
      <w:rFonts w:ascii="Courier New" w:hAnsi="Courier New" w:eastAsia="宋体" w:cs="Courier New"/>
      <w:sz w:val="20"/>
      <w:szCs w:val="20"/>
    </w:rPr>
  </w:style>
  <w:style w:type="character" w:customStyle="1" w:styleId="119">
    <w:name w:val="正文文本缩进 2 Char1"/>
    <w:basedOn w:val="44"/>
    <w:link w:val="2"/>
    <w:semiHidden/>
    <w:qFormat/>
    <w:uiPriority w:val="99"/>
    <w:rPr>
      <w:rFonts w:ascii="Calibri" w:hAnsi="Calibri" w:eastAsia="宋体" w:cs="Times New Roman"/>
    </w:rPr>
  </w:style>
  <w:style w:type="character" w:customStyle="1" w:styleId="120">
    <w:name w:val="正文文本 2 Char1"/>
    <w:basedOn w:val="44"/>
    <w:link w:val="35"/>
    <w:semiHidden/>
    <w:qFormat/>
    <w:uiPriority w:val="99"/>
    <w:rPr>
      <w:rFonts w:ascii="Calibri" w:hAnsi="Calibri" w:eastAsia="宋体" w:cs="Times New Roman"/>
    </w:rPr>
  </w:style>
  <w:style w:type="character" w:customStyle="1" w:styleId="121">
    <w:name w:val="批注框文本 Char1"/>
    <w:basedOn w:val="44"/>
    <w:link w:val="26"/>
    <w:semiHidden/>
    <w:qFormat/>
    <w:uiPriority w:val="99"/>
    <w:rPr>
      <w:rFonts w:ascii="Calibri" w:hAnsi="Calibri" w:eastAsia="宋体" w:cs="Times New Roman"/>
      <w:sz w:val="18"/>
      <w:szCs w:val="18"/>
    </w:rPr>
  </w:style>
  <w:style w:type="character" w:customStyle="1" w:styleId="122">
    <w:name w:val="正文文本缩进 3 Char1"/>
    <w:basedOn w:val="44"/>
    <w:link w:val="32"/>
    <w:semiHidden/>
    <w:qFormat/>
    <w:uiPriority w:val="99"/>
    <w:rPr>
      <w:rFonts w:ascii="Calibri" w:hAnsi="Calibri" w:eastAsia="宋体" w:cs="Times New Roman"/>
      <w:sz w:val="16"/>
      <w:szCs w:val="16"/>
    </w:rPr>
  </w:style>
  <w:style w:type="character" w:customStyle="1" w:styleId="123">
    <w:name w:val="标题 Char1"/>
    <w:basedOn w:val="44"/>
    <w:link w:val="39"/>
    <w:qFormat/>
    <w:uiPriority w:val="10"/>
    <w:rPr>
      <w:rFonts w:eastAsia="宋体" w:asciiTheme="majorHAnsi" w:hAnsiTheme="majorHAnsi" w:cstheme="majorBidi"/>
      <w:b/>
      <w:bCs/>
      <w:sz w:val="32"/>
      <w:szCs w:val="32"/>
    </w:rPr>
  </w:style>
  <w:style w:type="character" w:customStyle="1" w:styleId="124">
    <w:name w:val="批注主题 Char1"/>
    <w:basedOn w:val="117"/>
    <w:link w:val="40"/>
    <w:semiHidden/>
    <w:qFormat/>
    <w:uiPriority w:val="99"/>
    <w:rPr>
      <w:b/>
      <w:bCs/>
    </w:rPr>
  </w:style>
  <w:style w:type="character" w:customStyle="1" w:styleId="125">
    <w:name w:val="正文首行缩进 Char1"/>
    <w:basedOn w:val="115"/>
    <w:link w:val="41"/>
    <w:semiHidden/>
    <w:qFormat/>
    <w:uiPriority w:val="99"/>
  </w:style>
  <w:style w:type="paragraph" w:customStyle="1" w:styleId="126">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27">
    <w:name w:val="编号1"/>
    <w:basedOn w:val="1"/>
    <w:qFormat/>
    <w:uiPriority w:val="0"/>
    <w:pPr>
      <w:tabs>
        <w:tab w:val="left" w:pos="360"/>
      </w:tabs>
      <w:adjustRightInd w:val="0"/>
      <w:spacing w:line="300" w:lineRule="auto"/>
      <w:ind w:left="360" w:right="210" w:hanging="360"/>
      <w:textAlignment w:val="center"/>
    </w:pPr>
    <w:rPr>
      <w:rFonts w:ascii="宋体" w:hAnsi="宋体"/>
      <w:snapToGrid w:val="0"/>
      <w:spacing w:val="10"/>
      <w:kern w:val="24"/>
      <w:szCs w:val="24"/>
    </w:rPr>
  </w:style>
  <w:style w:type="paragraph" w:customStyle="1" w:styleId="128">
    <w:name w:val="--规划正文"/>
    <w:basedOn w:val="1"/>
    <w:qFormat/>
    <w:uiPriority w:val="0"/>
    <w:pPr>
      <w:spacing w:line="360" w:lineRule="auto"/>
      <w:ind w:firstLine="200" w:firstLineChars="200"/>
    </w:pPr>
    <w:rPr>
      <w:rFonts w:ascii="Times New Roman" w:hAnsi="Times New Roman"/>
      <w:szCs w:val="20"/>
    </w:rPr>
  </w:style>
  <w:style w:type="paragraph" w:customStyle="1" w:styleId="129">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kern w:val="0"/>
      <w:sz w:val="18"/>
      <w:szCs w:val="18"/>
      <w:lang w:val="en-US" w:eastAsia="zh-CN" w:bidi="ar-SA"/>
    </w:rPr>
  </w:style>
  <w:style w:type="paragraph" w:customStyle="1" w:styleId="130">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1">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2">
    <w:name w:val="9"/>
    <w:basedOn w:val="1"/>
    <w:next w:val="8"/>
    <w:qFormat/>
    <w:uiPriority w:val="0"/>
    <w:pPr>
      <w:autoSpaceDE w:val="0"/>
      <w:autoSpaceDN w:val="0"/>
      <w:adjustRightInd w:val="0"/>
      <w:ind w:firstLine="420"/>
      <w:jc w:val="left"/>
      <w:textAlignment w:val="baseline"/>
    </w:pPr>
    <w:rPr>
      <w:rFonts w:ascii="宋体" w:hAnsi="Times New Roman"/>
      <w:kern w:val="0"/>
      <w:sz w:val="34"/>
      <w:szCs w:val="20"/>
    </w:rPr>
  </w:style>
  <w:style w:type="paragraph" w:customStyle="1" w:styleId="133">
    <w:name w:val="00"/>
    <w:basedOn w:val="1"/>
    <w:qFormat/>
    <w:uiPriority w:val="0"/>
    <w:pPr>
      <w:autoSpaceDE w:val="0"/>
      <w:autoSpaceDN w:val="0"/>
      <w:adjustRightInd w:val="0"/>
      <w:jc w:val="left"/>
    </w:pPr>
    <w:rPr>
      <w:rFonts w:ascii="黑体" w:hAnsi="Times New Roman" w:eastAsia="黑体"/>
      <w:b/>
      <w:bCs/>
      <w:kern w:val="0"/>
      <w:sz w:val="20"/>
      <w:szCs w:val="20"/>
    </w:rPr>
  </w:style>
  <w:style w:type="paragraph" w:customStyle="1" w:styleId="134">
    <w:name w:val="cont"/>
    <w:basedOn w:val="1"/>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35">
    <w:name w:val="blu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6">
    <w:name w:val="word"/>
    <w:basedOn w:val="1"/>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37">
    <w:name w:val="样式 标题 2 + 段前: 13 磅 段后: 13 磅 行距: 单倍行距"/>
    <w:basedOn w:val="6"/>
    <w:qFormat/>
    <w:uiPriority w:val="0"/>
    <w:pPr>
      <w:adjustRightInd/>
      <w:spacing w:before="0" w:after="0"/>
      <w:jc w:val="both"/>
      <w:textAlignment w:val="auto"/>
    </w:pPr>
    <w:rPr>
      <w:rFonts w:ascii="Cambria" w:hAnsi="Cambria" w:cs="宋体"/>
      <w:kern w:val="2"/>
      <w:sz w:val="32"/>
    </w:rPr>
  </w:style>
  <w:style w:type="paragraph" w:customStyle="1" w:styleId="138">
    <w:name w:val="RFI text from 3rd Level"/>
    <w:basedOn w:val="1"/>
    <w:qFormat/>
    <w:uiPriority w:val="0"/>
    <w:pPr>
      <w:widowControl/>
      <w:tabs>
        <w:tab w:val="left" w:pos="1080"/>
      </w:tabs>
      <w:spacing w:beforeLines="50" w:line="360" w:lineRule="auto"/>
    </w:pPr>
    <w:rPr>
      <w:rFonts w:ascii="Arial (W1)" w:hAnsi="Arial (W1)"/>
      <w:bCs/>
      <w:kern w:val="0"/>
      <w:sz w:val="24"/>
      <w:szCs w:val="24"/>
      <w:lang w:val="en-GB"/>
    </w:rPr>
  </w:style>
  <w:style w:type="paragraph" w:customStyle="1" w:styleId="139">
    <w:name w:val="列出段落1"/>
    <w:basedOn w:val="1"/>
    <w:link w:val="213"/>
    <w:qFormat/>
    <w:uiPriority w:val="0"/>
    <w:pPr>
      <w:ind w:firstLine="420" w:firstLineChars="200"/>
    </w:pPr>
    <w:rPr>
      <w:rFonts w:cs="Calibri"/>
      <w:szCs w:val="21"/>
    </w:rPr>
  </w:style>
  <w:style w:type="paragraph" w:customStyle="1" w:styleId="140">
    <w:name w:val="5"/>
    <w:basedOn w:val="1"/>
    <w:qFormat/>
    <w:uiPriority w:val="0"/>
    <w:pPr>
      <w:autoSpaceDE w:val="0"/>
      <w:autoSpaceDN w:val="0"/>
      <w:adjustRightInd w:val="0"/>
      <w:jc w:val="left"/>
    </w:pPr>
    <w:rPr>
      <w:rFonts w:ascii="宋体" w:hAnsi="Times New Roman"/>
      <w:b/>
      <w:bCs/>
      <w:kern w:val="0"/>
      <w:sz w:val="18"/>
      <w:szCs w:val="18"/>
    </w:rPr>
  </w:style>
  <w:style w:type="paragraph" w:customStyle="1" w:styleId="141">
    <w:name w:val="_Style 28"/>
    <w:next w:val="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2">
    <w:name w:val="设计依据"/>
    <w:basedOn w:val="19"/>
    <w:qFormat/>
    <w:uiPriority w:val="0"/>
    <w:pPr>
      <w:tabs>
        <w:tab w:val="left" w:pos="1440"/>
      </w:tabs>
      <w:adjustRightInd w:val="0"/>
      <w:ind w:left="1440" w:hanging="420"/>
      <w:textAlignment w:val="baseline"/>
    </w:pPr>
    <w:rPr>
      <w:rFonts w:ascii="宋体" w:hAnsi="宋体"/>
      <w:b w:val="0"/>
      <w:sz w:val="28"/>
      <w:szCs w:val="18"/>
    </w:rPr>
  </w:style>
  <w:style w:type="paragraph" w:styleId="143">
    <w:name w:val="List Paragraph"/>
    <w:basedOn w:val="1"/>
    <w:qFormat/>
    <w:uiPriority w:val="34"/>
    <w:pPr>
      <w:ind w:firstLine="420" w:firstLineChars="200"/>
    </w:pPr>
  </w:style>
  <w:style w:type="paragraph" w:customStyle="1" w:styleId="144">
    <w:name w:val="style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5">
    <w:name w:val="--规划-小标题"/>
    <w:basedOn w:val="1"/>
    <w:next w:val="128"/>
    <w:qFormat/>
    <w:uiPriority w:val="0"/>
    <w:pPr>
      <w:keepNext/>
      <w:keepLines/>
      <w:spacing w:line="360" w:lineRule="auto"/>
      <w:outlineLvl w:val="4"/>
    </w:pPr>
    <w:rPr>
      <w:rFonts w:ascii="Times New Roman" w:hAnsi="Times New Roman" w:eastAsia="黑体"/>
      <w:szCs w:val="24"/>
    </w:rPr>
  </w:style>
  <w:style w:type="paragraph" w:customStyle="1" w:styleId="146">
    <w:name w:val="自定义正文"/>
    <w:basedOn w:val="1"/>
    <w:qFormat/>
    <w:uiPriority w:val="0"/>
    <w:pPr>
      <w:spacing w:afterLines="50"/>
      <w:ind w:left="600" w:leftChars="600"/>
    </w:pPr>
    <w:rPr>
      <w:rFonts w:ascii="Times New Roman" w:hAnsi="Times New Roman"/>
      <w:szCs w:val="24"/>
    </w:rPr>
  </w:style>
  <w:style w:type="paragraph" w:customStyle="1" w:styleId="147">
    <w:name w:val="段落正文"/>
    <w:basedOn w:val="23"/>
    <w:qFormat/>
    <w:uiPriority w:val="0"/>
    <w:pPr>
      <w:ind w:firstLine="560" w:firstLineChars="200"/>
    </w:pPr>
    <w:rPr>
      <w:sz w:val="28"/>
    </w:rPr>
  </w:style>
  <w:style w:type="paragraph" w:customStyle="1" w:styleId="148">
    <w:name w:val="封面文档标题"/>
    <w:basedOn w:val="1"/>
    <w:qFormat/>
    <w:uiPriority w:val="0"/>
    <w:pPr>
      <w:autoSpaceDE w:val="0"/>
      <w:autoSpaceDN w:val="0"/>
      <w:adjustRightInd w:val="0"/>
      <w:spacing w:line="360" w:lineRule="auto"/>
      <w:jc w:val="center"/>
    </w:pPr>
    <w:rPr>
      <w:rFonts w:ascii="Arial" w:hAnsi="Arial"/>
      <w:b/>
      <w:kern w:val="0"/>
      <w:sz w:val="56"/>
      <w:szCs w:val="24"/>
    </w:rPr>
  </w:style>
  <w:style w:type="paragraph" w:customStyle="1" w:styleId="149">
    <w:name w:val="--规划-表格-居中"/>
    <w:basedOn w:val="128"/>
    <w:qFormat/>
    <w:uiPriority w:val="0"/>
    <w:pPr>
      <w:spacing w:line="240" w:lineRule="auto"/>
      <w:ind w:firstLine="0" w:firstLineChars="0"/>
      <w:jc w:val="center"/>
    </w:pPr>
    <w:rPr>
      <w:sz w:val="20"/>
    </w:rPr>
  </w:style>
  <w:style w:type="paragraph" w:customStyle="1" w:styleId="150">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51">
    <w:name w:val="Normal Paragraph"/>
    <w:basedOn w:val="1"/>
    <w:qFormat/>
    <w:uiPriority w:val="0"/>
    <w:pPr>
      <w:widowControl/>
      <w:spacing w:before="120" w:line="360" w:lineRule="auto"/>
      <w:ind w:firstLine="425"/>
    </w:pPr>
    <w:rPr>
      <w:rFonts w:ascii="Times New Roman" w:hAnsi="Times New Roman"/>
      <w:kern w:val="0"/>
      <w:sz w:val="24"/>
      <w:szCs w:val="24"/>
    </w:rPr>
  </w:style>
  <w:style w:type="paragraph" w:customStyle="1" w:styleId="152">
    <w:name w:val="正文文字缩进项目"/>
    <w:basedOn w:val="20"/>
    <w:qFormat/>
    <w:uiPriority w:val="0"/>
    <w:pPr>
      <w:tabs>
        <w:tab w:val="left" w:pos="840"/>
      </w:tabs>
      <w:spacing w:after="120" w:line="240" w:lineRule="auto"/>
      <w:ind w:left="840" w:firstLine="0" w:firstLineChars="0"/>
    </w:pPr>
    <w:rPr>
      <w:rFonts w:ascii="Tahoma" w:hAnsi="Tahoma"/>
      <w:sz w:val="22"/>
      <w:szCs w:val="20"/>
    </w:rPr>
  </w:style>
  <w:style w:type="paragraph" w:customStyle="1" w:styleId="153">
    <w:name w:val="小标题 1"/>
    <w:basedOn w:val="1"/>
    <w:qFormat/>
    <w:uiPriority w:val="0"/>
    <w:pPr>
      <w:autoSpaceDE w:val="0"/>
      <w:autoSpaceDN w:val="0"/>
      <w:adjustRightInd w:val="0"/>
      <w:spacing w:line="360" w:lineRule="atLeast"/>
    </w:pPr>
    <w:rPr>
      <w:rFonts w:ascii="文鼎粗黑" w:hAnsi="Times New Roman" w:eastAsia="文鼎粗黑"/>
      <w:kern w:val="0"/>
      <w:sz w:val="22"/>
      <w:szCs w:val="20"/>
    </w:rPr>
  </w:style>
  <w:style w:type="paragraph" w:customStyle="1" w:styleId="154">
    <w:name w:val="样式2"/>
    <w:basedOn w:val="39"/>
    <w:next w:val="155"/>
    <w:qFormat/>
    <w:uiPriority w:val="0"/>
    <w:pPr>
      <w:spacing w:before="120" w:after="120"/>
    </w:pPr>
    <w:rPr>
      <w:rFonts w:eastAsia="黑体"/>
      <w:b w:val="0"/>
      <w:sz w:val="30"/>
      <w:szCs w:val="30"/>
    </w:rPr>
  </w:style>
  <w:style w:type="paragraph" w:customStyle="1" w:styleId="155">
    <w:name w:val="样式1"/>
    <w:basedOn w:val="39"/>
    <w:qFormat/>
    <w:uiPriority w:val="0"/>
    <w:pPr>
      <w:spacing w:before="120" w:after="120"/>
    </w:pPr>
    <w:rPr>
      <w:rFonts w:eastAsia="黑体"/>
      <w:b w:val="0"/>
      <w:sz w:val="30"/>
      <w:szCs w:val="21"/>
    </w:rPr>
  </w:style>
  <w:style w:type="paragraph" w:customStyle="1" w:styleId="156">
    <w:name w:val="样式41"/>
    <w:basedOn w:val="1"/>
    <w:qFormat/>
    <w:uiPriority w:val="0"/>
    <w:pPr>
      <w:tabs>
        <w:tab w:val="left" w:pos="945"/>
        <w:tab w:val="left" w:pos="2040"/>
      </w:tabs>
      <w:spacing w:line="360" w:lineRule="auto"/>
      <w:ind w:left="2040" w:hanging="360"/>
    </w:pPr>
    <w:rPr>
      <w:rFonts w:ascii="Times New Roman" w:hAnsi="Times New Roman"/>
      <w:b/>
      <w:color w:val="000000"/>
      <w:sz w:val="24"/>
      <w:szCs w:val="20"/>
    </w:rPr>
  </w:style>
  <w:style w:type="paragraph" w:customStyle="1" w:styleId="157">
    <w:name w:val="Char Char"/>
    <w:basedOn w:val="1"/>
    <w:qFormat/>
    <w:uiPriority w:val="0"/>
    <w:rPr>
      <w:rFonts w:ascii="Tahoma" w:hAnsi="Tahoma"/>
      <w:sz w:val="24"/>
      <w:szCs w:val="20"/>
    </w:rPr>
  </w:style>
  <w:style w:type="paragraph" w:customStyle="1" w:styleId="158">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159">
    <w:name w:val="Char Char Char"/>
    <w:basedOn w:val="1"/>
    <w:qFormat/>
    <w:uiPriority w:val="0"/>
    <w:rPr>
      <w:rFonts w:ascii="Tahoma" w:hAnsi="Tahoma"/>
      <w:sz w:val="24"/>
      <w:szCs w:val="20"/>
    </w:rPr>
  </w:style>
  <w:style w:type="paragraph" w:customStyle="1" w:styleId="160">
    <w:name w:val="Char Char Char Char Char"/>
    <w:basedOn w:val="1"/>
    <w:qFormat/>
    <w:uiPriority w:val="0"/>
    <w:rPr>
      <w:rFonts w:ascii="Tahoma" w:hAnsi="Tahoma"/>
      <w:sz w:val="24"/>
      <w:szCs w:val="20"/>
    </w:rPr>
  </w:style>
  <w:style w:type="paragraph" w:customStyle="1" w:styleId="161">
    <w:name w:val="文档正文"/>
    <w:basedOn w:val="1"/>
    <w:qFormat/>
    <w:uiPriority w:val="0"/>
    <w:pPr>
      <w:adjustRightInd w:val="0"/>
      <w:spacing w:line="480" w:lineRule="atLeast"/>
      <w:ind w:firstLine="567" w:firstLineChars="200"/>
      <w:textAlignment w:val="baseline"/>
    </w:pPr>
    <w:rPr>
      <w:rFonts w:ascii="长城仿宋" w:hAnsi="Times New Roman"/>
      <w:kern w:val="0"/>
      <w:szCs w:val="20"/>
    </w:rPr>
  </w:style>
  <w:style w:type="paragraph" w:customStyle="1" w:styleId="162">
    <w:name w:val="USE 1"/>
    <w:basedOn w:val="1"/>
    <w:qFormat/>
    <w:uiPriority w:val="0"/>
    <w:pPr>
      <w:spacing w:line="200" w:lineRule="atLeast"/>
      <w:jc w:val="left"/>
    </w:pPr>
    <w:rPr>
      <w:rFonts w:ascii="宋体" w:hAnsi="宋体"/>
      <w:b/>
      <w:sz w:val="24"/>
      <w:szCs w:val="28"/>
    </w:rPr>
  </w:style>
  <w:style w:type="paragraph" w:customStyle="1" w:styleId="163">
    <w:name w:val="--编号内缩进"/>
    <w:basedOn w:val="1"/>
    <w:qFormat/>
    <w:uiPriority w:val="0"/>
    <w:pPr>
      <w:spacing w:line="360" w:lineRule="auto"/>
      <w:ind w:left="420" w:firstLine="200" w:firstLineChars="200"/>
    </w:pPr>
    <w:rPr>
      <w:rFonts w:ascii="Times New Roman" w:hAnsi="Times New Roman"/>
      <w:szCs w:val="21"/>
    </w:rPr>
  </w:style>
  <w:style w:type="paragraph" w:customStyle="1" w:styleId="164">
    <w:name w:val="图"/>
    <w:basedOn w:val="1"/>
    <w:qFormat/>
    <w:uiPriority w:val="99"/>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165">
    <w:name w:val="È±Ê¡ÎÄ±¾"/>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166">
    <w:name w:val="6"/>
    <w:basedOn w:val="140"/>
    <w:qFormat/>
    <w:uiPriority w:val="0"/>
    <w:pPr>
      <w:spacing w:line="270" w:lineRule="atLeast"/>
      <w:jc w:val="both"/>
    </w:pPr>
    <w:rPr>
      <w:b w:val="0"/>
      <w:bCs w:val="0"/>
    </w:rPr>
  </w:style>
  <w:style w:type="paragraph" w:customStyle="1" w:styleId="167">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68">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paragraph" w:customStyle="1" w:styleId="169">
    <w:name w:val="--规划-表格-居左"/>
    <w:basedOn w:val="128"/>
    <w:qFormat/>
    <w:uiPriority w:val="0"/>
    <w:pPr>
      <w:spacing w:line="240" w:lineRule="auto"/>
      <w:ind w:firstLine="0" w:firstLineChars="0"/>
    </w:pPr>
    <w:rPr>
      <w:sz w:val="20"/>
    </w:rPr>
  </w:style>
  <w:style w:type="paragraph" w:customStyle="1" w:styleId="170">
    <w:name w:val="Char Char Char 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71">
    <w:name w:val="方案要点"/>
    <w:basedOn w:val="1"/>
    <w:qFormat/>
    <w:uiPriority w:val="0"/>
    <w:pPr>
      <w:tabs>
        <w:tab w:val="left" w:pos="420"/>
      </w:tabs>
      <w:spacing w:line="360" w:lineRule="auto"/>
      <w:ind w:left="420" w:hanging="420"/>
    </w:pPr>
    <w:rPr>
      <w:rFonts w:ascii="仿宋_GB2312" w:hAnsi="宋体" w:eastAsia="仿宋_GB2312"/>
      <w:color w:val="000000"/>
      <w:sz w:val="28"/>
      <w:szCs w:val="28"/>
    </w:rPr>
  </w:style>
  <w:style w:type="paragraph" w:customStyle="1" w:styleId="172">
    <w:name w:val="--规划-图和表"/>
    <w:next w:val="128"/>
    <w:qFormat/>
    <w:uiPriority w:val="0"/>
    <w:pPr>
      <w:jc w:val="center"/>
    </w:pPr>
    <w:rPr>
      <w:rFonts w:ascii="Times New Roman" w:hAnsi="Times New Roman" w:eastAsia="宋体" w:cs="Times New Roman"/>
      <w:kern w:val="2"/>
      <w:sz w:val="21"/>
      <w:szCs w:val="20"/>
      <w:lang w:val="en-US" w:eastAsia="zh-CN" w:bidi="ar-SA"/>
    </w:rPr>
  </w:style>
  <w:style w:type="paragraph" w:customStyle="1" w:styleId="173">
    <w:name w:val="Char1"/>
    <w:basedOn w:val="1"/>
    <w:qFormat/>
    <w:uiPriority w:val="0"/>
    <w:pPr>
      <w:jc w:val="left"/>
    </w:pPr>
    <w:rPr>
      <w:rFonts w:ascii="Tahoma" w:hAnsi="Tahoma"/>
      <w:sz w:val="24"/>
      <w:szCs w:val="20"/>
    </w:rPr>
  </w:style>
  <w:style w:type="paragraph" w:customStyle="1" w:styleId="174">
    <w:name w:val="正文(首行缩进)"/>
    <w:qFormat/>
    <w:uiPriority w:val="0"/>
    <w:pPr>
      <w:spacing w:line="360" w:lineRule="auto"/>
      <w:ind w:firstLine="488" w:firstLineChars="200"/>
      <w:jc w:val="both"/>
    </w:pPr>
    <w:rPr>
      <w:rFonts w:ascii="Times New Roman" w:hAnsi="Times New Roman" w:eastAsia="仿宋_GB2312" w:cs="Times New Roman"/>
      <w:spacing w:val="2"/>
      <w:kern w:val="0"/>
      <w:sz w:val="24"/>
      <w:szCs w:val="24"/>
      <w:lang w:val="en-US" w:eastAsia="zh-CN" w:bidi="ar-SA"/>
    </w:rPr>
  </w:style>
  <w:style w:type="paragraph" w:customStyle="1" w:styleId="175">
    <w:name w:val="汉仪细等线简9BOLD"/>
    <w:basedOn w:val="1"/>
    <w:qFormat/>
    <w:uiPriority w:val="0"/>
    <w:pPr>
      <w:autoSpaceDE w:val="0"/>
      <w:autoSpaceDN w:val="0"/>
      <w:adjustRightInd w:val="0"/>
      <w:spacing w:line="240" w:lineRule="atLeast"/>
    </w:pPr>
    <w:rPr>
      <w:rFonts w:ascii="汉仪细等线简" w:hAnsi="Times New Roman" w:eastAsia="汉仪细等线简"/>
      <w:b/>
      <w:bCs/>
      <w:kern w:val="0"/>
      <w:sz w:val="18"/>
      <w:szCs w:val="18"/>
    </w:rPr>
  </w:style>
  <w:style w:type="paragraph" w:customStyle="1" w:styleId="176">
    <w:name w:val="列表项目"/>
    <w:basedOn w:val="1"/>
    <w:qFormat/>
    <w:uiPriority w:val="0"/>
    <w:pPr>
      <w:tabs>
        <w:tab w:val="left" w:pos="420"/>
        <w:tab w:val="left" w:pos="1080"/>
      </w:tabs>
      <w:spacing w:line="288" w:lineRule="auto"/>
      <w:ind w:left="1080" w:hanging="360"/>
    </w:pPr>
    <w:rPr>
      <w:rFonts w:ascii="Times New Roman" w:hAnsi="Times New Roman"/>
      <w:sz w:val="24"/>
      <w:szCs w:val="20"/>
    </w:rPr>
  </w:style>
  <w:style w:type="paragraph" w:customStyle="1" w:styleId="177">
    <w:name w:val="tex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78">
    <w:name w:val="Default"/>
    <w:qFormat/>
    <w:uiPriority w:val="0"/>
    <w:pPr>
      <w:widowControl w:val="0"/>
      <w:autoSpaceDE w:val="0"/>
      <w:autoSpaceDN w:val="0"/>
      <w:adjustRightInd w:val="0"/>
    </w:pPr>
    <w:rPr>
      <w:rFonts w:ascii="H Yb 2gj" w:hAnsi="Times New Roman" w:eastAsia="H Yb 2gj" w:cs="H Yb 2gj"/>
      <w:color w:val="000000"/>
      <w:kern w:val="0"/>
      <w:sz w:val="24"/>
      <w:szCs w:val="24"/>
      <w:lang w:val="en-US" w:eastAsia="zh-CN" w:bidi="ar-SA"/>
    </w:rPr>
  </w:style>
  <w:style w:type="character" w:customStyle="1" w:styleId="179">
    <w:name w:val="z-窗体顶端 Char1"/>
    <w:basedOn w:val="44"/>
    <w:link w:val="69"/>
    <w:semiHidden/>
    <w:qFormat/>
    <w:uiPriority w:val="99"/>
    <w:rPr>
      <w:rFonts w:ascii="Arial" w:hAnsi="Arial" w:eastAsia="宋体" w:cs="Arial"/>
      <w:vanish/>
      <w:sz w:val="16"/>
      <w:szCs w:val="16"/>
    </w:rPr>
  </w:style>
  <w:style w:type="paragraph" w:customStyle="1" w:styleId="180">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81">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8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3">
    <w:name w:val="样式4"/>
    <w:basedOn w:val="1"/>
    <w:qFormat/>
    <w:uiPriority w:val="0"/>
    <w:pPr>
      <w:tabs>
        <w:tab w:val="left" w:pos="842"/>
      </w:tabs>
      <w:spacing w:line="360" w:lineRule="auto"/>
      <w:ind w:left="842" w:hanging="420"/>
    </w:pPr>
    <w:rPr>
      <w:rFonts w:ascii="Times New Roman" w:hAnsi="Times New Roman"/>
      <w:sz w:val="24"/>
      <w:szCs w:val="24"/>
    </w:rPr>
  </w:style>
  <w:style w:type="paragraph" w:customStyle="1" w:styleId="184">
    <w:name w:val="文字"/>
    <w:basedOn w:val="1"/>
    <w:qFormat/>
    <w:uiPriority w:val="0"/>
    <w:pPr>
      <w:tabs>
        <w:tab w:val="left" w:pos="8520"/>
      </w:tabs>
      <w:spacing w:line="312" w:lineRule="auto"/>
      <w:ind w:right="-210" w:firstLine="556"/>
    </w:pPr>
    <w:rPr>
      <w:rFonts w:ascii="宋体" w:hAnsi="Times New Roman"/>
      <w:sz w:val="28"/>
      <w:szCs w:val="20"/>
    </w:rPr>
  </w:style>
  <w:style w:type="paragraph" w:customStyle="1" w:styleId="185">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86">
    <w:name w:val="--规划-题注"/>
    <w:basedOn w:val="1"/>
    <w:next w:val="128"/>
    <w:qFormat/>
    <w:uiPriority w:val="0"/>
    <w:pPr>
      <w:spacing w:line="360" w:lineRule="auto"/>
      <w:jc w:val="center"/>
    </w:pPr>
    <w:rPr>
      <w:rFonts w:ascii="Times New Roman" w:hAnsi="Times New Roman" w:eastAsia="黑体"/>
      <w:szCs w:val="24"/>
    </w:rPr>
  </w:style>
  <w:style w:type="paragraph" w:customStyle="1" w:styleId="187">
    <w:name w:val="font6"/>
    <w:basedOn w:val="1"/>
    <w:qFormat/>
    <w:uiPriority w:val="0"/>
    <w:pPr>
      <w:widowControl/>
      <w:spacing w:before="100" w:beforeAutospacing="1" w:after="100" w:afterAutospacing="1"/>
      <w:jc w:val="left"/>
    </w:pPr>
    <w:rPr>
      <w:rFonts w:ascii="Times New Roman" w:hAnsi="Times New Roman"/>
      <w:kern w:val="0"/>
      <w:sz w:val="24"/>
      <w:szCs w:val="24"/>
    </w:rPr>
  </w:style>
  <w:style w:type="paragraph" w:customStyle="1" w:styleId="188">
    <w:name w:val="--规划正文 Char"/>
    <w:basedOn w:val="1"/>
    <w:qFormat/>
    <w:uiPriority w:val="0"/>
    <w:pPr>
      <w:spacing w:line="360" w:lineRule="auto"/>
      <w:ind w:firstLine="200" w:firstLineChars="200"/>
    </w:pPr>
    <w:rPr>
      <w:rFonts w:ascii="Times New Roman" w:hAnsi="Times New Roman"/>
      <w:sz w:val="24"/>
      <w:szCs w:val="24"/>
    </w:rPr>
  </w:style>
  <w:style w:type="paragraph" w:customStyle="1" w:styleId="189">
    <w:name w:val="缺省文本"/>
    <w:basedOn w:val="1"/>
    <w:qFormat/>
    <w:uiPriority w:val="0"/>
    <w:pPr>
      <w:autoSpaceDE w:val="0"/>
      <w:autoSpaceDN w:val="0"/>
      <w:adjustRightInd w:val="0"/>
      <w:jc w:val="left"/>
    </w:pPr>
    <w:rPr>
      <w:rFonts w:ascii="Times New Roman" w:hAnsi="Times New Roman"/>
      <w:kern w:val="0"/>
      <w:szCs w:val="24"/>
    </w:rPr>
  </w:style>
  <w:style w:type="paragraph" w:customStyle="1" w:styleId="190">
    <w:name w:val="样式3"/>
    <w:basedOn w:val="3"/>
    <w:qFormat/>
    <w:uiPriority w:val="0"/>
    <w:pPr>
      <w:tabs>
        <w:tab w:val="left" w:pos="420"/>
      </w:tabs>
      <w:spacing w:before="240" w:after="240" w:line="480" w:lineRule="auto"/>
      <w:ind w:left="420" w:right="210" w:rightChars="100" w:hanging="420"/>
      <w:jc w:val="left"/>
    </w:pPr>
    <w:rPr>
      <w:rFonts w:ascii="Times New Roman" w:hAnsi="Times New Roman"/>
      <w:sz w:val="32"/>
    </w:rPr>
  </w:style>
  <w:style w:type="paragraph" w:customStyle="1" w:styleId="19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192">
    <w:name w:val="xl72"/>
    <w:basedOn w:val="1"/>
    <w:qFormat/>
    <w:uiPriority w:val="0"/>
    <w:pPr>
      <w:widowControl/>
      <w:spacing w:before="100" w:beforeAutospacing="1" w:after="100" w:afterAutospacing="1"/>
      <w:jc w:val="left"/>
    </w:pPr>
    <w:rPr>
      <w:rFonts w:ascii="宋体" w:hAnsi="宋体"/>
      <w:b/>
      <w:bCs/>
      <w:kern w:val="0"/>
      <w:sz w:val="28"/>
      <w:szCs w:val="28"/>
    </w:rPr>
  </w:style>
  <w:style w:type="paragraph" w:customStyle="1" w:styleId="193">
    <w:name w:val="7"/>
    <w:basedOn w:val="1"/>
    <w:qFormat/>
    <w:uiPriority w:val="0"/>
    <w:pPr>
      <w:autoSpaceDE w:val="0"/>
      <w:autoSpaceDN w:val="0"/>
      <w:adjustRightInd w:val="0"/>
      <w:spacing w:line="270" w:lineRule="atLeast"/>
      <w:jc w:val="left"/>
    </w:pPr>
    <w:rPr>
      <w:rFonts w:ascii="宋体" w:hAnsi="Times New Roman"/>
      <w:kern w:val="0"/>
      <w:sz w:val="18"/>
      <w:szCs w:val="18"/>
    </w:rPr>
  </w:style>
  <w:style w:type="paragraph" w:customStyle="1" w:styleId="194">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95">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kern w:val="0"/>
      <w:sz w:val="16"/>
      <w:szCs w:val="16"/>
      <w:lang w:val="en-US" w:eastAsia="zh-CN" w:bidi="ar-SA"/>
    </w:rPr>
  </w:style>
  <w:style w:type="paragraph" w:customStyle="1" w:styleId="196">
    <w:name w:val="8"/>
    <w:basedOn w:val="1"/>
    <w:next w:val="20"/>
    <w:qFormat/>
    <w:uiPriority w:val="0"/>
    <w:pPr>
      <w:spacing w:after="120"/>
      <w:ind w:left="420" w:leftChars="200"/>
    </w:pPr>
    <w:rPr>
      <w:rFonts w:ascii="Times New Roman" w:hAnsi="Times New Roman"/>
      <w:szCs w:val="24"/>
    </w:rPr>
  </w:style>
  <w:style w:type="paragraph" w:customStyle="1" w:styleId="197">
    <w:name w:val="姜文清定义的正文"/>
    <w:basedOn w:val="1"/>
    <w:qFormat/>
    <w:uiPriority w:val="0"/>
    <w:pPr>
      <w:spacing w:line="240" w:lineRule="atLeast"/>
      <w:ind w:firstLine="567"/>
    </w:pPr>
    <w:rPr>
      <w:rFonts w:ascii="Times New Roman" w:hAnsi="Times New Roman"/>
      <w:szCs w:val="20"/>
    </w:rPr>
  </w:style>
  <w:style w:type="paragraph" w:customStyle="1" w:styleId="198">
    <w:name w:val="CM2"/>
    <w:basedOn w:val="178"/>
    <w:next w:val="178"/>
    <w:qFormat/>
    <w:uiPriority w:val="0"/>
    <w:pPr>
      <w:spacing w:line="200" w:lineRule="atLeast"/>
    </w:pPr>
    <w:rPr>
      <w:rFonts w:ascii="Arial" w:hAnsi="Arial" w:eastAsia="宋体" w:cs="Times New Roman"/>
      <w:color w:val="auto"/>
    </w:rPr>
  </w:style>
  <w:style w:type="character" w:customStyle="1" w:styleId="199">
    <w:name w:val="z-窗体底端 Char1"/>
    <w:basedOn w:val="44"/>
    <w:link w:val="86"/>
    <w:semiHidden/>
    <w:qFormat/>
    <w:uiPriority w:val="99"/>
    <w:rPr>
      <w:rFonts w:ascii="Arial" w:hAnsi="Arial" w:eastAsia="宋体" w:cs="Arial"/>
      <w:vanish/>
      <w:sz w:val="16"/>
      <w:szCs w:val="16"/>
    </w:rPr>
  </w:style>
  <w:style w:type="paragraph" w:customStyle="1" w:styleId="200">
    <w:name w:val="a14"/>
    <w:basedOn w:val="1"/>
    <w:qFormat/>
    <w:uiPriority w:val="0"/>
    <w:pPr>
      <w:widowControl/>
      <w:spacing w:before="100" w:beforeAutospacing="1" w:after="100" w:afterAutospacing="1" w:line="300" w:lineRule="atLeast"/>
      <w:ind w:firstLine="375"/>
      <w:jc w:val="left"/>
    </w:pPr>
    <w:rPr>
      <w:rFonts w:ascii="宋体" w:hAnsi="宋体" w:cs="宋体"/>
      <w:kern w:val="0"/>
      <w:szCs w:val="21"/>
    </w:rPr>
  </w:style>
  <w:style w:type="paragraph" w:customStyle="1" w:styleId="201">
    <w:name w:val="正文样式"/>
    <w:basedOn w:val="1"/>
    <w:qFormat/>
    <w:uiPriority w:val="0"/>
    <w:pPr>
      <w:adjustRightInd w:val="0"/>
      <w:spacing w:line="400" w:lineRule="atLeast"/>
      <w:ind w:firstLine="570" w:firstLineChars="203"/>
      <w:textAlignment w:val="baseline"/>
    </w:pPr>
    <w:rPr>
      <w:rFonts w:ascii="Times New Roman" w:hAnsi="Times New Roman" w:eastAsia="仿宋_GB2312"/>
      <w:kern w:val="0"/>
      <w:sz w:val="28"/>
      <w:szCs w:val="20"/>
    </w:rPr>
  </w:style>
  <w:style w:type="paragraph" w:customStyle="1" w:styleId="20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203">
    <w:name w:val="表格字"/>
    <w:basedOn w:val="1"/>
    <w:qFormat/>
    <w:uiPriority w:val="0"/>
    <w:pPr>
      <w:adjustRightInd w:val="0"/>
      <w:jc w:val="center"/>
    </w:pPr>
    <w:rPr>
      <w:rFonts w:ascii="宋体" w:hAnsi="Times New Roman"/>
      <w:sz w:val="24"/>
      <w:szCs w:val="20"/>
    </w:rPr>
  </w:style>
  <w:style w:type="paragraph" w:customStyle="1" w:styleId="204">
    <w:name w:val="qw"/>
    <w:qFormat/>
    <w:uiPriority w:val="0"/>
    <w:pPr>
      <w:widowControl w:val="0"/>
      <w:adjustRightInd w:val="0"/>
      <w:spacing w:line="312" w:lineRule="atLeast"/>
      <w:jc w:val="both"/>
      <w:textAlignment w:val="baseline"/>
    </w:pPr>
    <w:rPr>
      <w:rFonts w:ascii="宋体" w:hAnsi="Times New Roman" w:eastAsia="宋体" w:cs="Times New Roman"/>
      <w:kern w:val="0"/>
      <w:sz w:val="24"/>
      <w:szCs w:val="20"/>
      <w:lang w:val="en-US" w:eastAsia="zh-CN" w:bidi="ar-SA"/>
    </w:rPr>
  </w:style>
  <w:style w:type="paragraph" w:customStyle="1" w:styleId="205">
    <w:name w:val="评价"/>
    <w:basedOn w:val="1"/>
    <w:qFormat/>
    <w:uiPriority w:val="0"/>
    <w:pPr>
      <w:spacing w:afterLines="20"/>
      <w:ind w:firstLine="1446" w:firstLineChars="200"/>
    </w:pPr>
    <w:rPr>
      <w:sz w:val="24"/>
      <w:szCs w:val="24"/>
    </w:rPr>
  </w:style>
  <w:style w:type="paragraph" w:customStyle="1" w:styleId="206">
    <w:name w:val="Revision"/>
    <w:semiHidden/>
    <w:qFormat/>
    <w:uiPriority w:val="99"/>
    <w:rPr>
      <w:rFonts w:ascii="Times New Roman" w:hAnsi="Times New Roman" w:eastAsia="宋体" w:cs="Times New Roman"/>
      <w:kern w:val="2"/>
      <w:sz w:val="21"/>
      <w:szCs w:val="24"/>
      <w:lang w:val="en-US" w:eastAsia="zh-CN" w:bidi="ar-SA"/>
    </w:rPr>
  </w:style>
  <w:style w:type="paragraph" w:customStyle="1" w:styleId="207">
    <w:name w:val="正文(缩进) 五号"/>
    <w:basedOn w:val="1"/>
    <w:qFormat/>
    <w:uiPriority w:val="0"/>
    <w:pPr>
      <w:widowControl/>
      <w:spacing w:after="120" w:line="360" w:lineRule="auto"/>
      <w:ind w:firstLine="420" w:firstLineChars="200"/>
      <w:jc w:val="left"/>
    </w:pPr>
    <w:rPr>
      <w:rFonts w:ascii="Arial" w:hAnsi="Arial" w:cs="宋体"/>
      <w:kern w:val="0"/>
      <w:szCs w:val="20"/>
    </w:rPr>
  </w:style>
  <w:style w:type="paragraph" w:customStyle="1" w:styleId="208">
    <w:name w:val="封面标题"/>
    <w:basedOn w:val="1"/>
    <w:qFormat/>
    <w:uiPriority w:val="0"/>
    <w:pPr>
      <w:spacing w:line="360" w:lineRule="auto"/>
      <w:jc w:val="center"/>
    </w:pPr>
    <w:rPr>
      <w:rFonts w:ascii="Times New Roman" w:hAnsi="Times New Roman" w:eastAsia="黑体"/>
      <w:sz w:val="48"/>
      <w:szCs w:val="20"/>
    </w:rPr>
  </w:style>
  <w:style w:type="paragraph" w:customStyle="1" w:styleId="209">
    <w:name w:val="列出段落2"/>
    <w:basedOn w:val="1"/>
    <w:qFormat/>
    <w:uiPriority w:val="0"/>
    <w:pPr>
      <w:ind w:firstLine="420" w:firstLineChars="200"/>
    </w:pPr>
    <w:rPr>
      <w:szCs w:val="20"/>
    </w:rPr>
  </w:style>
  <w:style w:type="paragraph" w:styleId="210">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211">
    <w:name w:val="font31"/>
    <w:basedOn w:val="44"/>
    <w:qFormat/>
    <w:uiPriority w:val="0"/>
    <w:rPr>
      <w:rFonts w:hint="default" w:ascii="Times New Roman" w:hAnsi="Times New Roman" w:cs="Times New Roman"/>
      <w:color w:val="000000"/>
      <w:sz w:val="21"/>
      <w:szCs w:val="21"/>
      <w:u w:val="none"/>
    </w:rPr>
  </w:style>
  <w:style w:type="character" w:customStyle="1" w:styleId="212">
    <w:name w:val="正文缩进 Char1"/>
    <w:qFormat/>
    <w:uiPriority w:val="0"/>
    <w:rPr>
      <w:rFonts w:eastAsia="宋体"/>
      <w:kern w:val="2"/>
      <w:sz w:val="21"/>
      <w:lang w:val="en-US" w:eastAsia="zh-CN" w:bidi="ar-SA"/>
    </w:rPr>
  </w:style>
  <w:style w:type="character" w:customStyle="1" w:styleId="213">
    <w:name w:val="列表段落 字符"/>
    <w:link w:val="139"/>
    <w:qFormat/>
    <w:uiPriority w:val="0"/>
    <w:rPr>
      <w:rFonts w:ascii="Calibri" w:hAnsi="Calibri" w:eastAsia="宋体" w:cs="Calibri"/>
      <w:szCs w:val="21"/>
    </w:rPr>
  </w:style>
  <w:style w:type="paragraph" w:customStyle="1" w:styleId="214">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szCs w:val="24"/>
    </w:rPr>
  </w:style>
  <w:style w:type="paragraph" w:customStyle="1" w:styleId="215">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mycomputer</Company>
  <Pages>77</Pages>
  <Words>49540</Words>
  <Characters>53503</Characters>
  <Lines>384</Lines>
  <Paragraphs>108</Paragraphs>
  <TotalTime>22</TotalTime>
  <ScaleCrop>false</ScaleCrop>
  <LinksUpToDate>false</LinksUpToDate>
  <CharactersWithSpaces>55427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2020-09-24T22:11:00Z</dcterms:created>
  <dc:creator>Administrator</dc:creator>
  <cp:lastModifiedBy>是创不是灿</cp:lastModifiedBy>
  <cp:lastPrinted>2019-10-22T00:50:00Z</cp:lastPrinted>
  <dcterms:modified xsi:type="dcterms:W3CDTF">2022-05-13T09:46:37Z</dcterms:modified>
  <cp:revision>187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eyJoZGlkIjoiYmE5NjUzYTg1ZTIzYTk4NzNjNDQ0MmE3NDZjYzI0NjIifQ==</vt:lpwstr>
  </property>
  <property fmtid="{D5CDD505-2E9C-101B-9397-08002B2CF9AE}" pid="3" name="KSOProductBuildVer">
    <vt:lpwstr>2052-11.1.0.11691</vt:lpwstr>
  </property>
  <property fmtid="{D5CDD505-2E9C-101B-9397-08002B2CF9AE}" pid="4" name="ICV">
    <vt:lpwstr>F51607C39F904D3F83DD39E3AABDADE9</vt:lpwstr>
  </property>
</Properties>
</file>