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b/>
          <w:bCs/>
          <w:snapToGrid w:val="0"/>
          <w:kern w:val="0"/>
          <w:sz w:val="28"/>
          <w:szCs w:val="28"/>
        </w:rPr>
      </w:pPr>
      <w:r>
        <w:rPr>
          <w:b/>
          <w:bCs/>
          <w:snapToGrid w:val="0"/>
          <w:kern w:val="0"/>
          <w:sz w:val="28"/>
          <w:szCs w:val="28"/>
        </w:rPr>
        <w:pict>
          <v:shape id="文本框 299" o:spid="_x0000_s3075" o:spt="202" type="#_x0000_t202" style="position:absolute;left:0pt;margin-left:45.7pt;margin-top:-3.3pt;height:46.8pt;width:294.8pt;z-index:251659264;mso-width-relative:margin;mso-height-relative:margin;" stroked="t" coordsize="21600,21600">
            <v:path/>
            <v:fill focussize="0,0"/>
            <v:stroke color="#FFFFFF" joinstyle="miter"/>
            <v:imagedata o:title=""/>
            <o:lock v:ext="edit"/>
            <v:textbox>
              <w:txbxContent>
                <w:p>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pPr>
        <w:ind w:left="682" w:leftChars="-203" w:hanging="1108" w:hangingChars="154"/>
        <w:rPr>
          <w:sz w:val="72"/>
          <w:szCs w:val="72"/>
        </w:rPr>
      </w:pPr>
    </w:p>
    <w:p>
      <w:pPr>
        <w:adjustRightInd w:val="0"/>
        <w:snapToGrid w:val="0"/>
        <w:spacing w:line="300" w:lineRule="auto"/>
        <w:jc w:val="left"/>
        <w:rPr>
          <w:b/>
          <w:bCs/>
          <w:snapToGrid w:val="0"/>
          <w:kern w:val="0"/>
          <w:sz w:val="28"/>
          <w:szCs w:val="28"/>
        </w:rPr>
      </w:pPr>
    </w:p>
    <w:p>
      <w:pPr>
        <w:adjustRightInd w:val="0"/>
        <w:snapToGrid w:val="0"/>
        <w:spacing w:line="300" w:lineRule="auto"/>
        <w:jc w:val="left"/>
        <w:rPr>
          <w:b/>
          <w:bCs/>
          <w:snapToGrid w:val="0"/>
          <w:kern w:val="0"/>
          <w:sz w:val="28"/>
          <w:szCs w:val="28"/>
        </w:rPr>
      </w:pPr>
    </w:p>
    <w:p>
      <w:pPr>
        <w:adjustRightInd w:val="0"/>
        <w:snapToGrid w:val="0"/>
        <w:spacing w:line="300" w:lineRule="auto"/>
        <w:jc w:val="left"/>
        <w:rPr>
          <w:b/>
          <w:bCs/>
          <w:snapToGrid w:val="0"/>
          <w:kern w:val="0"/>
          <w:sz w:val="28"/>
          <w:szCs w:val="28"/>
        </w:rPr>
      </w:pPr>
    </w:p>
    <w:p>
      <w:pPr>
        <w:adjustRightInd w:val="0"/>
        <w:snapToGrid w:val="0"/>
        <w:spacing w:line="300" w:lineRule="auto"/>
        <w:jc w:val="center"/>
        <w:rPr>
          <w:rFonts w:asciiTheme="minorEastAsia" w:hAnsiTheme="minorEastAsia" w:eastAsiaTheme="minorEastAsia"/>
          <w:b/>
          <w:snapToGrid w:val="0"/>
          <w:kern w:val="0"/>
          <w:sz w:val="70"/>
          <w:szCs w:val="70"/>
        </w:rPr>
      </w:pPr>
      <w:r>
        <w:rPr>
          <w:rFonts w:hint="eastAsia" w:asciiTheme="minorEastAsia" w:hAnsiTheme="minorEastAsia" w:eastAsiaTheme="minorEastAsia"/>
          <w:b/>
          <w:bCs/>
          <w:snapToGrid w:val="0"/>
          <w:kern w:val="0"/>
          <w:sz w:val="70"/>
          <w:szCs w:val="70"/>
        </w:rPr>
        <w:t>便携式多导睡眠记录仪</w:t>
      </w:r>
    </w:p>
    <w:p>
      <w:pPr>
        <w:adjustRightInd w:val="0"/>
        <w:snapToGrid w:val="0"/>
        <w:spacing w:line="300" w:lineRule="auto"/>
        <w:jc w:val="center"/>
        <w:rPr>
          <w:rFonts w:ascii="经典标宋简" w:eastAsia="经典标宋简"/>
          <w:b/>
          <w:snapToGrid w:val="0"/>
          <w:kern w:val="0"/>
          <w:sz w:val="44"/>
          <w:szCs w:val="44"/>
        </w:rPr>
      </w:pPr>
    </w:p>
    <w:p>
      <w:pPr>
        <w:adjustRightInd w:val="0"/>
        <w:snapToGrid w:val="0"/>
        <w:spacing w:line="300" w:lineRule="auto"/>
        <w:jc w:val="center"/>
        <w:rPr>
          <w:rFonts w:hint="eastAsia" w:ascii="经典标宋简" w:eastAsia="经典标宋简"/>
          <w:b/>
          <w:snapToGrid w:val="0"/>
          <w:kern w:val="0"/>
          <w:sz w:val="44"/>
          <w:szCs w:val="44"/>
        </w:rPr>
      </w:pPr>
    </w:p>
    <w:p>
      <w:pPr>
        <w:adjustRightInd w:val="0"/>
        <w:snapToGrid w:val="0"/>
        <w:spacing w:line="300" w:lineRule="auto"/>
        <w:jc w:val="center"/>
        <w:rPr>
          <w:rFonts w:ascii="经典标宋简" w:eastAsia="经典标宋简"/>
          <w:b/>
          <w:snapToGrid w:val="0"/>
          <w:kern w:val="0"/>
          <w:sz w:val="44"/>
          <w:szCs w:val="44"/>
        </w:rPr>
      </w:pPr>
    </w:p>
    <w:p>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货物类招标文件</w:t>
      </w:r>
    </w:p>
    <w:p>
      <w:pPr>
        <w:adjustRightInd w:val="0"/>
        <w:snapToGrid w:val="0"/>
        <w:spacing w:line="300" w:lineRule="auto"/>
        <w:jc w:val="center"/>
        <w:rPr>
          <w:rFonts w:ascii="经典等线简" w:eastAsia="经典等线简"/>
          <w:b/>
          <w:snapToGrid w:val="0"/>
          <w:kern w:val="0"/>
          <w:sz w:val="32"/>
        </w:rPr>
      </w:pPr>
    </w:p>
    <w:p>
      <w:pPr>
        <w:adjustRightInd w:val="0"/>
        <w:snapToGrid w:val="0"/>
        <w:spacing w:line="300" w:lineRule="auto"/>
        <w:jc w:val="center"/>
        <w:rPr>
          <w:rFonts w:asciiTheme="minorEastAsia" w:hAnsiTheme="minorEastAsia" w:eastAsiaTheme="minorEastAsia"/>
          <w:b/>
          <w:snapToGrid w:val="0"/>
          <w:kern w:val="0"/>
          <w:sz w:val="32"/>
        </w:rPr>
      </w:pPr>
    </w:p>
    <w:p>
      <w:pPr>
        <w:adjustRightInd w:val="0"/>
        <w:snapToGrid w:val="0"/>
        <w:spacing w:line="300" w:lineRule="auto"/>
        <w:jc w:val="center"/>
        <w:rPr>
          <w:rFonts w:asciiTheme="minorEastAsia" w:hAnsiTheme="minorEastAsia" w:eastAsiaTheme="minorEastAsia"/>
          <w:b/>
          <w:snapToGrid w:val="0"/>
          <w:kern w:val="0"/>
          <w:sz w:val="32"/>
        </w:rPr>
      </w:pPr>
      <w:r>
        <w:rPr>
          <w:rFonts w:hint="eastAsia" w:asciiTheme="minorEastAsia" w:hAnsiTheme="minorEastAsia" w:eastAsiaTheme="minorEastAsia"/>
          <w:b/>
          <w:snapToGrid w:val="0"/>
          <w:kern w:val="0"/>
          <w:sz w:val="32"/>
        </w:rPr>
        <w:t>项目编号：SZZZ2024-QA0106</w:t>
      </w:r>
    </w:p>
    <w:p>
      <w:pPr>
        <w:adjustRightInd w:val="0"/>
        <w:snapToGrid w:val="0"/>
        <w:spacing w:line="300" w:lineRule="auto"/>
        <w:jc w:val="center"/>
        <w:rPr>
          <w:rFonts w:ascii="经典等线简" w:eastAsia="经典等线简"/>
          <w:b/>
          <w:snapToGrid w:val="0"/>
          <w:kern w:val="0"/>
          <w:sz w:val="18"/>
          <w:szCs w:val="18"/>
        </w:rPr>
      </w:pPr>
    </w:p>
    <w:p>
      <w:pPr>
        <w:adjustRightInd w:val="0"/>
        <w:snapToGrid w:val="0"/>
        <w:spacing w:line="300" w:lineRule="auto"/>
        <w:jc w:val="center"/>
        <w:rPr>
          <w:rFonts w:eastAsia="经典标宋简"/>
          <w:b/>
          <w:snapToGrid w:val="0"/>
          <w:kern w:val="0"/>
          <w:sz w:val="44"/>
        </w:rPr>
      </w:pPr>
    </w:p>
    <w:p>
      <w:pPr>
        <w:adjustRightInd w:val="0"/>
        <w:snapToGrid w:val="0"/>
        <w:spacing w:line="300" w:lineRule="auto"/>
        <w:jc w:val="center"/>
        <w:rPr>
          <w:rFonts w:hint="eastAsia" w:eastAsia="经典标宋简"/>
          <w:b/>
          <w:snapToGrid w:val="0"/>
          <w:kern w:val="0"/>
          <w:sz w:val="44"/>
        </w:rPr>
      </w:pPr>
      <w:r>
        <w:rPr>
          <w:rFonts w:eastAsia="经典标宋简"/>
          <w:b/>
          <w:snapToGrid w:val="0"/>
          <w:kern w:val="0"/>
          <w:sz w:val="44"/>
        </w:rPr>
        <w:t xml:space="preserve"> </w:t>
      </w:r>
    </w:p>
    <w:p>
      <w:pPr>
        <w:adjustRightInd w:val="0"/>
        <w:snapToGrid w:val="0"/>
        <w:spacing w:line="300" w:lineRule="auto"/>
        <w:jc w:val="center"/>
        <w:rPr>
          <w:rFonts w:eastAsia="经典标宋简"/>
          <w:b/>
          <w:snapToGrid w:val="0"/>
          <w:kern w:val="0"/>
          <w:sz w:val="44"/>
        </w:rPr>
      </w:pPr>
    </w:p>
    <w:p>
      <w:pPr>
        <w:pStyle w:val="28"/>
        <w:adjustRightInd w:val="0"/>
        <w:snapToGrid w:val="0"/>
        <w:spacing w:line="300" w:lineRule="auto"/>
        <w:jc w:val="center"/>
        <w:rPr>
          <w:rFonts w:ascii="Times New Roman" w:hAnsi="Times New Roman" w:eastAsia="经典等线简"/>
          <w:b/>
          <w:snapToGrid w:val="0"/>
          <w:sz w:val="30"/>
        </w:rPr>
      </w:pPr>
    </w:p>
    <w:p/>
    <w:p/>
    <w:p>
      <w:pPr>
        <w:pStyle w:val="28"/>
        <w:adjustRightInd w:val="0"/>
        <w:snapToGrid w:val="0"/>
        <w:spacing w:line="300" w:lineRule="auto"/>
        <w:ind w:hanging="835"/>
        <w:jc w:val="center"/>
        <w:rPr>
          <w:b/>
          <w:kern w:val="0"/>
          <w:sz w:val="28"/>
          <w:szCs w:val="28"/>
        </w:rPr>
      </w:pPr>
      <w:r>
        <w:rPr>
          <w:rFonts w:hint="eastAsia"/>
          <w:b/>
          <w:snapToGrid w:val="0"/>
          <w:sz w:val="30"/>
        </w:rPr>
        <w:t>二〇二四年</w:t>
      </w:r>
      <w:r>
        <w:rPr>
          <w:rFonts w:hint="eastAsia"/>
          <w:b/>
          <w:snapToGrid w:val="0"/>
          <w:sz w:val="30"/>
          <w:lang w:val="en-US" w:eastAsia="zh-CN"/>
        </w:rPr>
        <w:t>六</w:t>
      </w:r>
      <w:r>
        <w:rPr>
          <w:rFonts w:hint="eastAsia"/>
          <w:b/>
          <w:snapToGrid w:val="0"/>
          <w:sz w:val="30"/>
        </w:rPr>
        <w:t>月</w:t>
      </w:r>
    </w:p>
    <w:p/>
    <w:p/>
    <w:p/>
    <w:p/>
    <w:p>
      <w:pPr>
        <w:jc w:val="center"/>
        <w:rPr>
          <w:rFonts w:asciiTheme="minorEastAsia" w:hAnsiTheme="minorEastAsia" w:eastAsiaTheme="minorEastAsia"/>
          <w:b/>
          <w:bCs/>
          <w:szCs w:val="21"/>
        </w:rPr>
      </w:pPr>
    </w:p>
    <w:p>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pPr>
        <w:spacing w:line="360" w:lineRule="auto"/>
        <w:ind w:firstLine="480" w:firstLineChars="200"/>
        <w:rPr>
          <w:rFonts w:ascii="宋体" w:hAnsi="宋体"/>
          <w:sz w:val="24"/>
        </w:rPr>
      </w:pPr>
    </w:p>
    <w:p>
      <w:pPr>
        <w:spacing w:line="440" w:lineRule="exact"/>
        <w:ind w:firstLine="480" w:firstLineChars="200"/>
        <w:rPr>
          <w:rFonts w:ascii="仿宋" w:hAnsi="仿宋" w:eastAsia="仿宋"/>
          <w:sz w:val="24"/>
        </w:rPr>
      </w:pPr>
      <w:r>
        <w:rPr>
          <w:rFonts w:hint="eastAsia" w:ascii="仿宋" w:hAnsi="仿宋" w:eastAsia="仿宋"/>
          <w:sz w:val="24"/>
        </w:rPr>
        <w:t>一、《深圳经济特区政府采购条例》</w:t>
      </w:r>
    </w:p>
    <w:p>
      <w:pPr>
        <w:spacing w:line="440" w:lineRule="exact"/>
        <w:ind w:firstLine="480" w:firstLineChars="200"/>
        <w:rPr>
          <w:rFonts w:ascii="仿宋" w:hAnsi="仿宋" w:eastAsia="仿宋"/>
          <w:sz w:val="24"/>
        </w:rPr>
      </w:pPr>
      <w:r>
        <w:rPr>
          <w:rFonts w:hint="eastAsia" w:ascii="仿宋" w:hAnsi="仿宋" w:eastAsia="仿宋"/>
          <w:sz w:val="24"/>
        </w:rPr>
        <w:t>第五十七条</w:t>
      </w:r>
      <w:r>
        <w:rPr>
          <w:rFonts w:ascii="仿宋" w:hAnsi="仿宋" w:eastAsia="仿宋"/>
          <w:sz w:val="24"/>
        </w:rPr>
        <w:t xml:space="preserve"> </w:t>
      </w:r>
      <w:r>
        <w:rPr>
          <w:rFonts w:hint="eastAsia" w:ascii="仿宋" w:hAnsi="仿宋" w:eastAsia="仿宋"/>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pacing w:line="44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pPr>
        <w:spacing w:line="44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pPr>
        <w:spacing w:line="440" w:lineRule="exact"/>
        <w:ind w:firstLine="480" w:firstLineChars="200"/>
        <w:rPr>
          <w:rFonts w:ascii="仿宋" w:hAnsi="仿宋" w:eastAsia="仿宋"/>
          <w:sz w:val="24"/>
        </w:rPr>
      </w:pPr>
      <w:r>
        <w:rPr>
          <w:rFonts w:hint="eastAsia" w:ascii="仿宋" w:hAnsi="仿宋" w:eastAsia="仿宋"/>
          <w:sz w:val="24"/>
        </w:rPr>
        <w:t>（三）隐瞒真实情况，提供虚假资料的；</w:t>
      </w:r>
    </w:p>
    <w:p>
      <w:pPr>
        <w:spacing w:line="44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pPr>
        <w:spacing w:line="440" w:lineRule="exact"/>
        <w:ind w:firstLine="480" w:firstLineChars="200"/>
        <w:rPr>
          <w:rFonts w:ascii="仿宋" w:hAnsi="仿宋" w:eastAsia="仿宋"/>
          <w:sz w:val="24"/>
        </w:rPr>
      </w:pPr>
      <w:r>
        <w:rPr>
          <w:rFonts w:hint="eastAsia" w:ascii="仿宋" w:hAnsi="仿宋" w:eastAsia="仿宋"/>
          <w:sz w:val="24"/>
        </w:rPr>
        <w:t>（五）与其他采购参加人串通投标的；</w:t>
      </w:r>
    </w:p>
    <w:p>
      <w:pPr>
        <w:spacing w:line="440" w:lineRule="exact"/>
        <w:ind w:firstLine="480" w:firstLineChars="200"/>
        <w:rPr>
          <w:rFonts w:ascii="仿宋" w:hAnsi="仿宋" w:eastAsia="仿宋"/>
          <w:sz w:val="24"/>
        </w:rPr>
      </w:pPr>
      <w:r>
        <w:rPr>
          <w:rFonts w:hint="eastAsia" w:ascii="仿宋" w:hAnsi="仿宋" w:eastAsia="仿宋"/>
          <w:sz w:val="24"/>
        </w:rPr>
        <w:t>（六）恶意投诉的；</w:t>
      </w:r>
    </w:p>
    <w:p>
      <w:pPr>
        <w:spacing w:line="44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pPr>
        <w:spacing w:line="440" w:lineRule="exact"/>
        <w:ind w:firstLine="480" w:firstLineChars="200"/>
        <w:rPr>
          <w:rFonts w:ascii="仿宋" w:hAnsi="仿宋" w:eastAsia="仿宋"/>
          <w:sz w:val="24"/>
        </w:rPr>
      </w:pPr>
      <w:r>
        <w:rPr>
          <w:rFonts w:hint="eastAsia" w:ascii="仿宋" w:hAnsi="仿宋" w:eastAsia="仿宋"/>
          <w:sz w:val="24"/>
        </w:rPr>
        <w:t>（八）阻碍、抗拒主管部门监督检查的；</w:t>
      </w:r>
    </w:p>
    <w:p>
      <w:pPr>
        <w:spacing w:line="440" w:lineRule="exact"/>
        <w:ind w:firstLine="480" w:firstLineChars="200"/>
        <w:rPr>
          <w:rFonts w:ascii="仿宋" w:hAnsi="仿宋" w:eastAsia="仿宋"/>
          <w:sz w:val="24"/>
        </w:rPr>
      </w:pPr>
      <w:r>
        <w:rPr>
          <w:rFonts w:hint="eastAsia" w:ascii="仿宋" w:hAnsi="仿宋" w:eastAsia="仿宋"/>
          <w:sz w:val="24"/>
        </w:rPr>
        <w:t>（九）其他违反本条例规定的行为。</w:t>
      </w:r>
    </w:p>
    <w:p>
      <w:pPr>
        <w:spacing w:line="440" w:lineRule="exact"/>
        <w:ind w:firstLine="480" w:firstLineChars="200"/>
        <w:rPr>
          <w:rFonts w:ascii="仿宋" w:hAnsi="仿宋" w:eastAsia="仿宋"/>
          <w:sz w:val="24"/>
        </w:rPr>
      </w:pPr>
    </w:p>
    <w:p>
      <w:pPr>
        <w:spacing w:line="440" w:lineRule="exact"/>
        <w:ind w:firstLine="480" w:firstLineChars="200"/>
        <w:rPr>
          <w:rFonts w:ascii="仿宋" w:hAnsi="仿宋" w:eastAsia="仿宋"/>
          <w:sz w:val="24"/>
        </w:rPr>
      </w:pPr>
      <w:r>
        <w:rPr>
          <w:rFonts w:hint="eastAsia" w:ascii="仿宋" w:hAnsi="仿宋" w:eastAsia="仿宋"/>
          <w:sz w:val="24"/>
        </w:rPr>
        <w:t>二、《深圳经济特区政府采购条例实施细则》</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第七十五条 供应商有下列情形的，属于采购条例所称的串通投标行为，按照采购条例第五十七条有关规定处理：</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（一）投标供应商之间相互约定给予未中标的供应商利益补偿；</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 xml:space="preserve">（二）不同投标供应商的法定代表人、主要经营负责人、项目投标授权代表人、项目负责人、主要技术人员为同一人、属同一单位或者在同一单位缴纳社会保险；          </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（三）不同投标供应商的投标文件由同一单位或者同一人编制，或者由同一人分阶段参与编制的；</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（四）不同投标供应商的投标文件或部分投标文件相互混装；</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（五）不同投标供应商的投标文件内容存在非正常一致；</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（六）由同一单位工作人员为两家以上（含两家）供应商进行同一项投标活动的；</w:t>
      </w:r>
    </w:p>
    <w:p>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（七）主管部门依照法律、法规认定的其他情形。</w:t>
      </w:r>
    </w:p>
    <w:p>
      <w:pPr>
        <w:spacing w:line="440" w:lineRule="exact"/>
        <w:ind w:firstLine="480" w:firstLineChars="200"/>
        <w:rPr>
          <w:rFonts w:ascii="仿宋" w:hAnsi="仿宋" w:eastAsia="仿宋"/>
          <w:sz w:val="24"/>
        </w:rPr>
      </w:pPr>
      <w:r>
        <w:rPr>
          <w:rFonts w:hint="eastAsia" w:ascii="仿宋" w:hAnsi="仿宋" w:eastAsia="仿宋"/>
          <w:sz w:val="24"/>
        </w:rPr>
        <w:t>第七十七条 供应商有下列情形之一的，属于隐瞒真实情况，提供虚假资料，按照采购条例第五十七的有关规定处理：</w:t>
      </w:r>
    </w:p>
    <w:p>
      <w:pPr>
        <w:spacing w:line="44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pPr>
        <w:spacing w:line="44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pPr>
        <w:spacing w:line="44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pPr>
        <w:spacing w:line="44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pPr>
        <w:spacing w:line="44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pPr>
        <w:spacing w:line="440" w:lineRule="exact"/>
        <w:ind w:firstLine="424" w:firstLineChars="177"/>
        <w:rPr>
          <w:rFonts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pPr>
        <w:spacing w:line="440" w:lineRule="exact"/>
        <w:ind w:firstLine="480" w:firstLineChars="200"/>
        <w:rPr>
          <w:rFonts w:ascii="仿宋" w:hAnsi="仿宋" w:eastAsia="仿宋"/>
          <w:sz w:val="24"/>
        </w:rPr>
      </w:pPr>
    </w:p>
    <w:p>
      <w:pPr>
        <w:spacing w:line="440" w:lineRule="exact"/>
        <w:ind w:firstLine="480" w:firstLineChars="200"/>
        <w:rPr>
          <w:rFonts w:ascii="仿宋" w:hAnsi="仿宋" w:eastAsia="仿宋"/>
          <w:sz w:val="24"/>
        </w:rPr>
      </w:pPr>
      <w:r>
        <w:rPr>
          <w:rFonts w:hint="eastAsia" w:ascii="仿宋" w:hAnsi="仿宋" w:eastAsia="仿宋"/>
          <w:sz w:val="24"/>
        </w:rPr>
        <w:t>三、《中华人民共和国政府采购法实施条例》</w:t>
      </w:r>
    </w:p>
    <w:p>
      <w:pPr>
        <w:spacing w:line="440" w:lineRule="exact"/>
        <w:ind w:firstLine="424" w:firstLineChars="177"/>
        <w:rPr>
          <w:rFonts w:ascii="仿宋" w:hAnsi="仿宋" w:eastAsia="仿宋"/>
          <w:sz w:val="24"/>
        </w:rPr>
      </w:pPr>
      <w:r>
        <w:rPr>
          <w:rFonts w:hint="eastAsia" w:ascii="仿宋" w:hAnsi="仿宋" w:eastAsia="仿宋"/>
          <w:sz w:val="24"/>
        </w:rPr>
        <w:t>第十八条 单位负责人为同一人或者存在直接控股、管理关系的不同供应商，不得参加同一合同项下的政府采购活动。</w:t>
      </w:r>
    </w:p>
    <w:p>
      <w:pPr>
        <w:spacing w:line="440" w:lineRule="exact"/>
        <w:ind w:firstLine="424" w:firstLineChars="177"/>
        <w:rPr>
          <w:rFonts w:ascii="仿宋" w:hAnsi="仿宋" w:eastAsia="仿宋"/>
          <w:sz w:val="24"/>
        </w:rPr>
      </w:pPr>
      <w:r>
        <w:rPr>
          <w:rFonts w:hint="eastAsia" w:ascii="仿宋" w:hAnsi="仿宋" w:eastAsia="仿宋"/>
          <w:sz w:val="24"/>
        </w:rPr>
        <w:t>除单一来源采购项目外，为采购项目提供整体设计、规范编制或者项目管理、监理、检测等服务的供应商，不得再参加该采购项目的其他采购活动。</w:t>
      </w:r>
    </w:p>
    <w:p>
      <w:pPr>
        <w:spacing w:line="440" w:lineRule="exact"/>
        <w:ind w:firstLine="426" w:firstLineChars="177"/>
        <w:rPr>
          <w:rFonts w:ascii="仿宋_GB2312" w:eastAsia="仿宋_GB2312" w:hAnsiTheme="minorEastAsia"/>
          <w:b/>
          <w:color w:val="FF0000"/>
          <w:sz w:val="24"/>
        </w:rPr>
      </w:pPr>
    </w:p>
    <w:p>
      <w:pPr>
        <w:spacing w:line="440" w:lineRule="exact"/>
        <w:ind w:firstLine="426" w:firstLineChars="177"/>
        <w:rPr>
          <w:rFonts w:ascii="仿宋_GB2312" w:eastAsia="仿宋_GB2312" w:hAnsiTheme="minorEastAsia"/>
          <w:b/>
          <w:color w:val="FF0000"/>
          <w:sz w:val="24"/>
        </w:rPr>
      </w:pPr>
      <w:r>
        <w:rPr>
          <w:rFonts w:hint="eastAsia" w:ascii="仿宋_GB2312" w:eastAsia="仿宋_GB2312" w:hAnsiTheme="minorEastAsia"/>
          <w:b/>
          <w:color w:val="FF0000"/>
          <w:sz w:val="24"/>
        </w:rPr>
        <w:t>投标供应商涉嫌存在串通投标等违法行为的，将书面报告财政主管部门依法处理。</w:t>
      </w:r>
    </w:p>
    <w:p>
      <w:pPr>
        <w:spacing w:line="440" w:lineRule="exact"/>
        <w:ind w:firstLine="424" w:firstLineChars="177"/>
        <w:rPr>
          <w:rFonts w:ascii="仿宋" w:hAnsi="仿宋" w:eastAsia="仿宋"/>
          <w:sz w:val="24"/>
        </w:rPr>
      </w:pPr>
    </w:p>
    <w:p>
      <w:pPr>
        <w:spacing w:line="440" w:lineRule="exact"/>
        <w:ind w:firstLine="424" w:firstLineChars="177"/>
        <w:rPr>
          <w:rFonts w:ascii="仿宋" w:hAnsi="仿宋" w:eastAsia="仿宋"/>
          <w:sz w:val="24"/>
        </w:rPr>
      </w:pPr>
    </w:p>
    <w:p>
      <w:pPr>
        <w:spacing w:line="440" w:lineRule="exact"/>
        <w:ind w:firstLine="424" w:firstLineChars="177"/>
        <w:rPr>
          <w:rFonts w:ascii="仿宋" w:hAnsi="仿宋" w:eastAsia="仿宋"/>
          <w:sz w:val="24"/>
        </w:rPr>
      </w:pPr>
    </w:p>
    <w:p>
      <w:pPr>
        <w:spacing w:line="440" w:lineRule="exact"/>
        <w:ind w:firstLine="424" w:firstLineChars="177"/>
        <w:rPr>
          <w:rFonts w:ascii="仿宋" w:hAnsi="仿宋" w:eastAsia="仿宋"/>
          <w:sz w:val="24"/>
        </w:rPr>
      </w:pPr>
    </w:p>
    <w:p>
      <w:pPr>
        <w:spacing w:line="440" w:lineRule="exact"/>
        <w:ind w:firstLine="424" w:firstLineChars="177"/>
        <w:rPr>
          <w:rFonts w:ascii="仿宋" w:hAnsi="仿宋" w:eastAsia="仿宋"/>
          <w:sz w:val="24"/>
        </w:rPr>
      </w:pPr>
    </w:p>
    <w:p>
      <w:pPr>
        <w:spacing w:line="440" w:lineRule="exact"/>
        <w:ind w:firstLine="424" w:firstLineChars="177"/>
        <w:rPr>
          <w:rFonts w:ascii="仿宋" w:hAnsi="仿宋" w:eastAsia="仿宋"/>
          <w:sz w:val="24"/>
        </w:rPr>
      </w:pPr>
    </w:p>
    <w:p>
      <w:pPr>
        <w:spacing w:line="440" w:lineRule="exact"/>
        <w:ind w:firstLine="424" w:firstLineChars="177"/>
        <w:rPr>
          <w:rFonts w:ascii="仿宋" w:hAnsi="仿宋" w:eastAsia="仿宋"/>
          <w:sz w:val="24"/>
        </w:rPr>
      </w:pPr>
    </w:p>
    <w:p>
      <w:pPr>
        <w:spacing w:line="440" w:lineRule="exact"/>
        <w:ind w:firstLine="424" w:firstLineChars="177"/>
        <w:rPr>
          <w:rFonts w:ascii="仿宋" w:hAnsi="仿宋" w:eastAsia="仿宋"/>
          <w:sz w:val="24"/>
        </w:rPr>
      </w:pPr>
    </w:p>
    <w:p>
      <w:pPr>
        <w:spacing w:line="440" w:lineRule="exact"/>
        <w:ind w:firstLine="424" w:firstLineChars="177"/>
        <w:rPr>
          <w:rFonts w:ascii="仿宋" w:hAnsi="仿宋" w:eastAsia="仿宋"/>
          <w:sz w:val="24"/>
        </w:rPr>
      </w:pPr>
    </w:p>
    <w:p>
      <w:pPr>
        <w:spacing w:line="440" w:lineRule="exact"/>
        <w:ind w:firstLine="424" w:firstLineChars="177"/>
        <w:rPr>
          <w:rFonts w:ascii="仿宋" w:hAnsi="仿宋" w:eastAsia="仿宋"/>
          <w:sz w:val="24"/>
        </w:rPr>
      </w:pPr>
    </w:p>
    <w:p>
      <w:pPr>
        <w:spacing w:line="440" w:lineRule="exact"/>
        <w:ind w:firstLine="424" w:firstLineChars="177"/>
        <w:rPr>
          <w:rFonts w:ascii="仿宋" w:hAnsi="仿宋" w:eastAsia="仿宋"/>
          <w:sz w:val="24"/>
        </w:rPr>
      </w:pPr>
    </w:p>
    <w:p>
      <w:pPr>
        <w:spacing w:line="440" w:lineRule="exact"/>
        <w:ind w:firstLine="424" w:firstLineChars="177"/>
        <w:rPr>
          <w:rFonts w:ascii="仿宋" w:hAnsi="仿宋" w:eastAsia="仿宋"/>
          <w:sz w:val="24"/>
        </w:rPr>
      </w:pPr>
    </w:p>
    <w:p>
      <w:pPr>
        <w:spacing w:line="440" w:lineRule="exact"/>
        <w:ind w:firstLine="424" w:firstLineChars="177"/>
        <w:rPr>
          <w:rFonts w:ascii="仿宋" w:hAnsi="仿宋" w:eastAsia="仿宋"/>
          <w:sz w:val="24"/>
        </w:rPr>
      </w:pPr>
    </w:p>
    <w:p>
      <w:pPr>
        <w:spacing w:line="440" w:lineRule="exact"/>
        <w:ind w:firstLine="424" w:firstLineChars="177"/>
        <w:rPr>
          <w:rFonts w:ascii="仿宋" w:hAnsi="仿宋" w:eastAsia="仿宋"/>
          <w:sz w:val="24"/>
        </w:rPr>
      </w:pPr>
    </w:p>
    <w:sdt>
      <w:sdtPr>
        <w:rPr>
          <w:rFonts w:ascii="Times New Roman" w:hAnsi="Times New Roman" w:eastAsia="宋体" w:cs="Times New Roman"/>
          <w:b w:val="0"/>
          <w:bCs w:val="0"/>
          <w:iCs/>
          <w:small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iCs w:val="0"/>
          <w:smallCaps/>
          <w:color w:val="auto"/>
          <w:kern w:val="2"/>
          <w:sz w:val="21"/>
          <w:szCs w:val="24"/>
          <w:lang w:val="en-US"/>
        </w:rPr>
      </w:sdtEndPr>
      <w:sdtContent>
        <w:p>
          <w:pPr>
            <w:pStyle w:val="504"/>
            <w:jc w:val="center"/>
            <w:rPr>
              <w:rFonts w:ascii="Times New Roman" w:hAnsi="Times New Roman" w:eastAsia="宋体" w:cs="Times New Roman"/>
              <w:b w:val="0"/>
              <w:bCs w:val="0"/>
              <w:iCs/>
              <w:smallCaps/>
              <w:color w:val="auto"/>
              <w:kern w:val="2"/>
              <w:sz w:val="21"/>
              <w:szCs w:val="24"/>
              <w:lang w:val="zh-CN"/>
            </w:rPr>
          </w:pPr>
        </w:p>
        <w:p>
          <w:pPr>
            <w:pStyle w:val="504"/>
            <w:jc w:val="center"/>
            <w:rPr>
              <w:color w:val="auto"/>
              <w:lang w:val="zh-CN"/>
            </w:rPr>
          </w:pPr>
          <w:r>
            <w:rPr>
              <w:color w:val="auto"/>
              <w:lang w:val="zh-CN"/>
            </w:rPr>
            <w:t>目</w:t>
          </w:r>
          <w:r>
            <w:rPr>
              <w:rFonts w:hint="eastAsia"/>
              <w:color w:val="auto"/>
              <w:lang w:val="zh-CN"/>
            </w:rPr>
            <w:t xml:space="preserve">  </w:t>
          </w:r>
          <w:r>
            <w:rPr>
              <w:color w:val="auto"/>
              <w:lang w:val="zh-CN"/>
            </w:rPr>
            <w:t>录</w:t>
          </w:r>
        </w:p>
        <w:p>
          <w:pPr>
            <w:rPr>
              <w:lang w:val="zh-CN"/>
            </w:rPr>
          </w:pPr>
        </w:p>
        <w:p>
          <w:pPr>
            <w:pStyle w:val="34"/>
            <w:tabs>
              <w:tab w:val="right" w:leader="dot" w:pos="9628"/>
            </w:tabs>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"_Toc135293320" </w:instrText>
          </w:r>
          <w:r>
            <w:fldChar w:fldCharType="separate"/>
          </w:r>
          <w:r>
            <w:rPr>
              <w:rStyle w:val="57"/>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_Toc135293320 \h </w:instrText>
          </w:r>
          <w:r>
            <w:rPr>
              <w:rFonts w:hint="eastAsia" w:ascii="仿宋_GB2312" w:eastAsia="仿宋_GB2312"/>
              <w:sz w:val="24"/>
            </w:rPr>
            <w:fldChar w:fldCharType="separate"/>
          </w:r>
          <w:r>
            <w:rPr>
              <w:rFonts w:hint="eastAsia"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"_Toc135293321" </w:instrText>
          </w:r>
          <w:r>
            <w:fldChar w:fldCharType="separate"/>
          </w:r>
          <w:r>
            <w:rPr>
              <w:rStyle w:val="57"/>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_Toc135293321 \h </w:instrText>
          </w:r>
          <w:r>
            <w:rPr>
              <w:rFonts w:hint="eastAsia" w:ascii="仿宋_GB2312" w:eastAsia="仿宋_GB2312"/>
              <w:sz w:val="24"/>
            </w:rPr>
            <w:fldChar w:fldCharType="separate"/>
          </w:r>
          <w:r>
            <w:rPr>
              <w:rFonts w:hint="eastAsia" w:ascii="仿宋_GB2312" w:eastAsia="仿宋_GB2312"/>
              <w:sz w:val="24"/>
            </w:rPr>
            <w:t>9</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"_Toc135293322" </w:instrText>
          </w:r>
          <w:r>
            <w:fldChar w:fldCharType="separate"/>
          </w:r>
          <w:r>
            <w:rPr>
              <w:rStyle w:val="57"/>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_Toc135293322 \h </w:instrText>
          </w:r>
          <w:r>
            <w:rPr>
              <w:rFonts w:hint="eastAsia" w:ascii="仿宋_GB2312" w:eastAsia="仿宋_GB2312"/>
              <w:sz w:val="24"/>
            </w:rPr>
            <w:fldChar w:fldCharType="separate"/>
          </w:r>
          <w:r>
            <w:rPr>
              <w:rFonts w:hint="eastAsia" w:ascii="仿宋_GB2312" w:eastAsia="仿宋_GB2312"/>
              <w:sz w:val="24"/>
            </w:rPr>
            <w:t>17</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"_Toc135293323" </w:instrText>
          </w:r>
          <w:r>
            <w:fldChar w:fldCharType="separate"/>
          </w:r>
          <w:r>
            <w:rPr>
              <w:rStyle w:val="57"/>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_Toc135293323 \h </w:instrText>
          </w:r>
          <w:r>
            <w:rPr>
              <w:rFonts w:hint="eastAsia" w:ascii="仿宋_GB2312" w:eastAsia="仿宋_GB2312"/>
              <w:sz w:val="24"/>
            </w:rPr>
            <w:fldChar w:fldCharType="separate"/>
          </w:r>
          <w:r>
            <w:rPr>
              <w:rFonts w:hint="eastAsia" w:ascii="仿宋_GB2312" w:eastAsia="仿宋_GB2312"/>
              <w:sz w:val="24"/>
            </w:rPr>
            <w:t>19</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"_Toc135293324" </w:instrText>
          </w:r>
          <w:r>
            <w:fldChar w:fldCharType="separate"/>
          </w:r>
          <w:r>
            <w:rPr>
              <w:rStyle w:val="57"/>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_Toc135293324 \h </w:instrText>
          </w:r>
          <w:r>
            <w:rPr>
              <w:rFonts w:hint="eastAsia" w:ascii="仿宋_GB2312" w:eastAsia="仿宋_GB2312"/>
              <w:sz w:val="24"/>
            </w:rPr>
            <w:fldChar w:fldCharType="separate"/>
          </w:r>
          <w:r>
            <w:rPr>
              <w:rFonts w:hint="eastAsia" w:ascii="仿宋_GB2312" w:eastAsia="仿宋_GB2312"/>
              <w:sz w:val="24"/>
            </w:rPr>
            <w:t>19</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"_Toc135293325" </w:instrText>
          </w:r>
          <w:r>
            <w:fldChar w:fldCharType="separate"/>
          </w:r>
          <w:r>
            <w:rPr>
              <w:rStyle w:val="57"/>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_Toc135293325 \h </w:instrText>
          </w:r>
          <w:r>
            <w:rPr>
              <w:rFonts w:hint="eastAsia" w:ascii="仿宋_GB2312" w:eastAsia="仿宋_GB2312"/>
              <w:sz w:val="24"/>
            </w:rPr>
            <w:fldChar w:fldCharType="separate"/>
          </w:r>
          <w:r>
            <w:rPr>
              <w:rFonts w:hint="eastAsia" w:ascii="仿宋_GB2312" w:eastAsia="仿宋_GB2312"/>
              <w:sz w:val="24"/>
            </w:rPr>
            <w:t>19</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"_Toc135293326" </w:instrText>
          </w:r>
          <w:r>
            <w:fldChar w:fldCharType="separate"/>
          </w:r>
          <w:r>
            <w:rPr>
              <w:rStyle w:val="57"/>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_Toc135293326 \h </w:instrText>
          </w:r>
          <w:r>
            <w:rPr>
              <w:rFonts w:hint="eastAsia" w:ascii="仿宋_GB2312" w:eastAsia="仿宋_GB2312"/>
              <w:sz w:val="24"/>
            </w:rPr>
            <w:fldChar w:fldCharType="separate"/>
          </w:r>
          <w:r>
            <w:rPr>
              <w:rFonts w:hint="eastAsia" w:ascii="仿宋_GB2312" w:eastAsia="仿宋_GB2312"/>
              <w:sz w:val="24"/>
            </w:rPr>
            <w:t>19</w:t>
          </w:r>
          <w:r>
            <w:rPr>
              <w:rFonts w:hint="eastAsia" w:ascii="仿宋_GB2312" w:eastAsia="仿宋_GB2312"/>
              <w:sz w:val="24"/>
            </w:rPr>
            <w:fldChar w:fldCharType="end"/>
          </w:r>
          <w:r>
            <w:rPr>
              <w:rFonts w:hint="eastAsia" w:ascii="仿宋_GB2312" w:eastAsia="仿宋_GB2312"/>
              <w:sz w:val="24"/>
            </w:rPr>
            <w:fldChar w:fldCharType="end"/>
          </w:r>
        </w:p>
        <w:p>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"_Toc135293327" </w:instrText>
          </w:r>
          <w:r>
            <w:fldChar w:fldCharType="separate"/>
          </w:r>
          <w:r>
            <w:rPr>
              <w:rStyle w:val="57"/>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_Toc135293327 \h </w:instrText>
          </w:r>
          <w:r>
            <w:rPr>
              <w:rFonts w:hint="eastAsia" w:ascii="仿宋_GB2312" w:eastAsia="仿宋_GB2312"/>
              <w:sz w:val="24"/>
            </w:rPr>
            <w:fldChar w:fldCharType="separate"/>
          </w:r>
          <w:r>
            <w:rPr>
              <w:rFonts w:hint="eastAsia" w:ascii="仿宋_GB2312" w:eastAsia="仿宋_GB2312"/>
              <w:sz w:val="24"/>
            </w:rPr>
            <w:t>22</w:t>
          </w:r>
          <w:r>
            <w:rPr>
              <w:rFonts w:hint="eastAsia" w:ascii="仿宋_GB2312" w:eastAsia="仿宋_GB2312"/>
              <w:sz w:val="24"/>
            </w:rPr>
            <w:fldChar w:fldCharType="end"/>
          </w:r>
          <w:r>
            <w:rPr>
              <w:rFonts w:hint="eastAsia" w:ascii="仿宋_GB2312" w:eastAsia="仿宋_GB2312"/>
              <w:sz w:val="24"/>
            </w:rPr>
            <w:fldChar w:fldCharType="end"/>
          </w:r>
        </w:p>
        <w:p>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"_Toc135293328" </w:instrText>
          </w:r>
          <w:r>
            <w:fldChar w:fldCharType="separate"/>
          </w:r>
          <w:r>
            <w:rPr>
              <w:rStyle w:val="57"/>
              <w:rFonts w:hint="eastAsia" w:ascii="仿宋_GB2312" w:eastAsia="仿宋_GB2312" w:hAnsiTheme="minorEastAsia"/>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_Toc135293328 \h </w:instrText>
          </w:r>
          <w:r>
            <w:rPr>
              <w:rFonts w:hint="eastAsia" w:ascii="仿宋_GB2312" w:eastAsia="仿宋_GB2312"/>
              <w:sz w:val="24"/>
            </w:rPr>
            <w:fldChar w:fldCharType="separate"/>
          </w:r>
          <w:r>
            <w:rPr>
              <w:rFonts w:hint="eastAsia" w:ascii="仿宋_GB2312" w:eastAsia="仿宋_GB2312"/>
              <w:sz w:val="24"/>
            </w:rPr>
            <w:t>22</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"_Toc135293329" </w:instrText>
          </w:r>
          <w:r>
            <w:fldChar w:fldCharType="separate"/>
          </w:r>
          <w:r>
            <w:rPr>
              <w:rStyle w:val="57"/>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_Toc135293329 \h </w:instrText>
          </w:r>
          <w:r>
            <w:rPr>
              <w:rFonts w:hint="eastAsia" w:ascii="仿宋_GB2312" w:eastAsia="仿宋_GB2312"/>
              <w:sz w:val="24"/>
            </w:rPr>
            <w:fldChar w:fldCharType="separate"/>
          </w:r>
          <w:r>
            <w:rPr>
              <w:rFonts w:hint="eastAsia" w:ascii="仿宋_GB2312" w:eastAsia="仿宋_GB2312"/>
              <w:sz w:val="24"/>
            </w:rPr>
            <w:t>24</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"_Toc135293330" </w:instrText>
          </w:r>
          <w:r>
            <w:fldChar w:fldCharType="separate"/>
          </w:r>
          <w:r>
            <w:rPr>
              <w:rStyle w:val="57"/>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_Toc135293330 \h </w:instrText>
          </w:r>
          <w:r>
            <w:rPr>
              <w:rFonts w:hint="eastAsia" w:ascii="仿宋_GB2312" w:eastAsia="仿宋_GB2312"/>
              <w:sz w:val="24"/>
            </w:rPr>
            <w:fldChar w:fldCharType="separate"/>
          </w:r>
          <w:r>
            <w:rPr>
              <w:rFonts w:hint="eastAsia" w:ascii="仿宋_GB2312" w:eastAsia="仿宋_GB2312"/>
              <w:sz w:val="24"/>
            </w:rPr>
            <w:t>26</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"_Toc135293331" </w:instrText>
          </w:r>
          <w:r>
            <w:fldChar w:fldCharType="separate"/>
          </w:r>
          <w:r>
            <w:rPr>
              <w:rStyle w:val="57"/>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_Toc135293331 \h </w:instrText>
          </w:r>
          <w:r>
            <w:rPr>
              <w:rFonts w:hint="eastAsia" w:ascii="仿宋_GB2312" w:eastAsia="仿宋_GB2312"/>
              <w:sz w:val="24"/>
            </w:rPr>
            <w:fldChar w:fldCharType="separate"/>
          </w:r>
          <w:r>
            <w:rPr>
              <w:rFonts w:hint="eastAsia" w:ascii="仿宋_GB2312" w:eastAsia="仿宋_GB2312"/>
              <w:sz w:val="24"/>
            </w:rPr>
            <w:t>26</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"_Toc135293332" </w:instrText>
          </w:r>
          <w:r>
            <w:fldChar w:fldCharType="separate"/>
          </w:r>
          <w:r>
            <w:rPr>
              <w:rStyle w:val="57"/>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_Toc135293332 \h </w:instrText>
          </w:r>
          <w:r>
            <w:rPr>
              <w:rFonts w:hint="eastAsia" w:ascii="仿宋_GB2312" w:eastAsia="仿宋_GB2312"/>
              <w:sz w:val="24"/>
            </w:rPr>
            <w:fldChar w:fldCharType="separate"/>
          </w:r>
          <w:r>
            <w:rPr>
              <w:rFonts w:hint="eastAsia" w:ascii="仿宋_GB2312" w:eastAsia="仿宋_GB2312"/>
              <w:sz w:val="24"/>
            </w:rPr>
            <w:t>28</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"_Toc135293333" </w:instrText>
          </w:r>
          <w:r>
            <w:fldChar w:fldCharType="separate"/>
          </w:r>
          <w:r>
            <w:rPr>
              <w:rStyle w:val="57"/>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_Toc135293333 \h </w:instrText>
          </w:r>
          <w:r>
            <w:rPr>
              <w:rFonts w:hint="eastAsia" w:ascii="仿宋_GB2312" w:eastAsia="仿宋_GB2312"/>
              <w:sz w:val="24"/>
            </w:rPr>
            <w:fldChar w:fldCharType="separate"/>
          </w:r>
          <w:r>
            <w:rPr>
              <w:rFonts w:hint="eastAsia" w:ascii="仿宋_GB2312" w:eastAsia="仿宋_GB2312"/>
              <w:sz w:val="24"/>
            </w:rPr>
            <w:t>29</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"_Toc135293334" </w:instrText>
          </w:r>
          <w:r>
            <w:fldChar w:fldCharType="separate"/>
          </w:r>
          <w:r>
            <w:rPr>
              <w:rStyle w:val="57"/>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_Toc135293334 \h </w:instrText>
          </w:r>
          <w:r>
            <w:rPr>
              <w:rFonts w:hint="eastAsia" w:ascii="仿宋_GB2312" w:eastAsia="仿宋_GB2312"/>
              <w:sz w:val="24"/>
            </w:rPr>
            <w:fldChar w:fldCharType="separate"/>
          </w:r>
          <w:r>
            <w:rPr>
              <w:rFonts w:hint="eastAsia" w:ascii="仿宋_GB2312" w:eastAsia="仿宋_GB2312"/>
              <w:sz w:val="24"/>
            </w:rPr>
            <w:t>31</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"_Toc135293335" </w:instrText>
          </w:r>
          <w:r>
            <w:fldChar w:fldCharType="separate"/>
          </w:r>
          <w:r>
            <w:rPr>
              <w:rStyle w:val="57"/>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_Toc135293335 \h </w:instrText>
          </w:r>
          <w:r>
            <w:rPr>
              <w:rFonts w:hint="eastAsia" w:ascii="仿宋_GB2312" w:eastAsia="仿宋_GB2312"/>
              <w:sz w:val="24"/>
            </w:rPr>
            <w:fldChar w:fldCharType="separate"/>
          </w:r>
          <w:r>
            <w:rPr>
              <w:rFonts w:hint="eastAsia" w:ascii="仿宋_GB2312" w:eastAsia="仿宋_GB2312"/>
              <w:sz w:val="24"/>
            </w:rPr>
            <w:t>33</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"_Toc135293336" </w:instrText>
          </w:r>
          <w:r>
            <w:fldChar w:fldCharType="separate"/>
          </w:r>
          <w:r>
            <w:rPr>
              <w:rStyle w:val="57"/>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_Toc135293336 \h </w:instrText>
          </w:r>
          <w:r>
            <w:rPr>
              <w:rFonts w:hint="eastAsia" w:ascii="仿宋_GB2312" w:eastAsia="仿宋_GB2312"/>
              <w:sz w:val="24"/>
            </w:rPr>
            <w:fldChar w:fldCharType="separate"/>
          </w:r>
          <w:r>
            <w:rPr>
              <w:rFonts w:hint="eastAsia" w:ascii="仿宋_GB2312" w:eastAsia="仿宋_GB2312"/>
              <w:sz w:val="24"/>
            </w:rPr>
            <w:t>35</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"_Toc135293337" </w:instrText>
          </w:r>
          <w:r>
            <w:fldChar w:fldCharType="separate"/>
          </w:r>
          <w:r>
            <w:rPr>
              <w:rStyle w:val="57"/>
              <w:rFonts w:hint="eastAsia" w:ascii="仿宋_GB2312" w:eastAsia="仿宋_GB2312"/>
              <w:sz w:val="24"/>
            </w:rPr>
            <w:t>七、质疑处理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_Toc135293337 \h </w:instrText>
          </w:r>
          <w:r>
            <w:rPr>
              <w:rFonts w:hint="eastAsia" w:ascii="仿宋_GB2312" w:eastAsia="仿宋_GB2312"/>
              <w:sz w:val="24"/>
            </w:rPr>
            <w:fldChar w:fldCharType="separate"/>
          </w:r>
          <w:r>
            <w:rPr>
              <w:rFonts w:hint="eastAsia" w:ascii="仿宋_GB2312" w:eastAsia="仿宋_GB2312"/>
              <w:sz w:val="24"/>
            </w:rPr>
            <w:t>37</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"_Toc135293338" </w:instrText>
          </w:r>
          <w:r>
            <w:fldChar w:fldCharType="separate"/>
          </w:r>
          <w:r>
            <w:rPr>
              <w:rStyle w:val="57"/>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_Toc135293338 \h </w:instrText>
          </w:r>
          <w:r>
            <w:rPr>
              <w:rFonts w:hint="eastAsia" w:ascii="仿宋_GB2312" w:eastAsia="仿宋_GB2312"/>
              <w:sz w:val="24"/>
            </w:rPr>
            <w:fldChar w:fldCharType="separate"/>
          </w:r>
          <w:r>
            <w:rPr>
              <w:rFonts w:hint="eastAsia" w:ascii="仿宋_GB2312" w:eastAsia="仿宋_GB2312"/>
              <w:sz w:val="24"/>
            </w:rPr>
            <w:t>39</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"_Toc135293339" </w:instrText>
          </w:r>
          <w:r>
            <w:fldChar w:fldCharType="separate"/>
          </w:r>
          <w:r>
            <w:rPr>
              <w:rStyle w:val="57"/>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_Toc135293339 \h </w:instrText>
          </w:r>
          <w:r>
            <w:rPr>
              <w:rFonts w:hint="eastAsia" w:ascii="仿宋_GB2312" w:eastAsia="仿宋_GB2312"/>
              <w:sz w:val="24"/>
            </w:rPr>
            <w:fldChar w:fldCharType="separate"/>
          </w:r>
          <w:r>
            <w:rPr>
              <w:rFonts w:hint="eastAsia" w:ascii="仿宋_GB2312" w:eastAsia="仿宋_GB2312"/>
              <w:sz w:val="24"/>
            </w:rPr>
            <w:t>39</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"_Toc135293340" </w:instrText>
          </w:r>
          <w:r>
            <w:fldChar w:fldCharType="separate"/>
          </w:r>
          <w:r>
            <w:rPr>
              <w:rStyle w:val="57"/>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_Toc135293340 \h </w:instrText>
          </w:r>
          <w:r>
            <w:rPr>
              <w:rFonts w:hint="eastAsia" w:ascii="仿宋_GB2312" w:eastAsia="仿宋_GB2312"/>
              <w:sz w:val="24"/>
            </w:rPr>
            <w:fldChar w:fldCharType="separate"/>
          </w:r>
          <w:r>
            <w:rPr>
              <w:rFonts w:hint="eastAsia" w:ascii="仿宋_GB2312" w:eastAsia="仿宋_GB2312"/>
              <w:sz w:val="24"/>
            </w:rPr>
            <w:t>41</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"_Toc135293341" </w:instrText>
          </w:r>
          <w:r>
            <w:fldChar w:fldCharType="separate"/>
          </w:r>
          <w:r>
            <w:rPr>
              <w:rStyle w:val="57"/>
              <w:rFonts w:hint="eastAsia" w:ascii="仿宋_GB2312" w:hAnsi="仿宋" w:eastAsia="仿宋_GB2312"/>
              <w:sz w:val="24"/>
            </w:rPr>
            <w:t>政府采购违法行为风险知悉确认书</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_Toc135293341 \h </w:instrText>
          </w:r>
          <w:r>
            <w:rPr>
              <w:rFonts w:hint="eastAsia" w:ascii="仿宋_GB2312" w:eastAsia="仿宋_GB2312"/>
              <w:sz w:val="24"/>
            </w:rPr>
            <w:fldChar w:fldCharType="separate"/>
          </w:r>
          <w:r>
            <w:rPr>
              <w:rFonts w:hint="eastAsia" w:ascii="仿宋_GB2312" w:eastAsia="仿宋_GB2312"/>
              <w:sz w:val="24"/>
            </w:rPr>
            <w:t>42</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"_Toc135293342" </w:instrText>
          </w:r>
          <w:r>
            <w:fldChar w:fldCharType="separate"/>
          </w:r>
          <w:r>
            <w:rPr>
              <w:rStyle w:val="57"/>
              <w:rFonts w:hint="eastAsia" w:ascii="仿宋_GB2312" w:hAnsi="仿宋" w:eastAsia="仿宋_GB2312"/>
              <w:sz w:val="24"/>
            </w:rPr>
            <w:t>评标指引表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_Toc135293342 \h </w:instrText>
          </w:r>
          <w:r>
            <w:rPr>
              <w:rFonts w:hint="eastAsia" w:ascii="仿宋_GB2312" w:eastAsia="仿宋_GB2312"/>
              <w:sz w:val="24"/>
            </w:rPr>
            <w:fldChar w:fldCharType="separate"/>
          </w:r>
          <w:r>
            <w:rPr>
              <w:rFonts w:hint="eastAsia" w:ascii="仿宋_GB2312" w:eastAsia="仿宋_GB2312"/>
              <w:sz w:val="24"/>
            </w:rPr>
            <w:t>44</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"_Toc135293355" </w:instrText>
          </w:r>
          <w:r>
            <w:fldChar w:fldCharType="separate"/>
          </w:r>
          <w:r>
            <w:rPr>
              <w:rStyle w:val="57"/>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_Toc135293355 \h </w:instrText>
          </w:r>
          <w:r>
            <w:rPr>
              <w:rFonts w:hint="eastAsia" w:ascii="仿宋_GB2312" w:eastAsia="仿宋_GB2312"/>
              <w:sz w:val="24"/>
            </w:rPr>
            <w:fldChar w:fldCharType="separate"/>
          </w:r>
          <w:r>
            <w:rPr>
              <w:rFonts w:hint="eastAsia" w:ascii="仿宋_GB2312" w:eastAsia="仿宋_GB2312"/>
              <w:sz w:val="24"/>
            </w:rPr>
            <w:t>65</w:t>
          </w:r>
          <w:r>
            <w:rPr>
              <w:rFonts w:hint="eastAsia" w:ascii="仿宋_GB2312" w:eastAsia="仿宋_GB2312"/>
              <w:sz w:val="24"/>
            </w:rPr>
            <w:fldChar w:fldCharType="end"/>
          </w:r>
          <w:r>
            <w:rPr>
              <w:rFonts w:hint="eastAsia" w:ascii="仿宋_GB2312" w:eastAsia="仿宋_GB2312"/>
              <w:sz w:val="24"/>
            </w:rPr>
            <w:fldChar w:fldCharType="end"/>
          </w:r>
        </w:p>
        <w:p>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"_Toc135293356" </w:instrText>
          </w:r>
          <w:r>
            <w:fldChar w:fldCharType="separate"/>
          </w:r>
          <w:r>
            <w:rPr>
              <w:rStyle w:val="57"/>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_Toc135293356 \h </w:instrText>
          </w:r>
          <w:r>
            <w:rPr>
              <w:rFonts w:hint="eastAsia" w:ascii="仿宋_GB2312" w:eastAsia="仿宋_GB2312"/>
              <w:sz w:val="24"/>
            </w:rPr>
            <w:fldChar w:fldCharType="separate"/>
          </w:r>
          <w:r>
            <w:rPr>
              <w:rFonts w:hint="eastAsia" w:ascii="仿宋_GB2312" w:eastAsia="仿宋_GB2312"/>
              <w:sz w:val="24"/>
            </w:rPr>
            <w:t>69</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"_Toc135293357" </w:instrText>
          </w:r>
          <w:r>
            <w:fldChar w:fldCharType="separate"/>
          </w:r>
          <w:r>
            <w:rPr>
              <w:rStyle w:val="57"/>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_Toc135293357 \h </w:instrText>
          </w:r>
          <w:r>
            <w:rPr>
              <w:rFonts w:hint="eastAsia" w:ascii="仿宋_GB2312" w:eastAsia="仿宋_GB2312"/>
              <w:sz w:val="24"/>
            </w:rPr>
            <w:fldChar w:fldCharType="separate"/>
          </w:r>
          <w:r>
            <w:rPr>
              <w:rFonts w:hint="eastAsia" w:ascii="仿宋_GB2312" w:eastAsia="仿宋_GB2312"/>
              <w:sz w:val="24"/>
            </w:rPr>
            <w:t>69</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"_Toc135293358" </w:instrText>
          </w:r>
          <w:r>
            <w:fldChar w:fldCharType="separate"/>
          </w:r>
          <w:r>
            <w:rPr>
              <w:rStyle w:val="57"/>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_Toc135293358 \h </w:instrText>
          </w:r>
          <w:r>
            <w:rPr>
              <w:rFonts w:hint="eastAsia" w:ascii="仿宋_GB2312" w:eastAsia="仿宋_GB2312"/>
              <w:sz w:val="24"/>
            </w:rPr>
            <w:fldChar w:fldCharType="separate"/>
          </w:r>
          <w:r>
            <w:rPr>
              <w:rFonts w:hint="eastAsia" w:ascii="仿宋_GB2312" w:eastAsia="仿宋_GB2312"/>
              <w:sz w:val="24"/>
            </w:rPr>
            <w:t>73</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"_Toc135293359" </w:instrText>
          </w:r>
          <w:r>
            <w:fldChar w:fldCharType="separate"/>
          </w:r>
          <w:r>
            <w:rPr>
              <w:rStyle w:val="57"/>
              <w:rFonts w:hint="eastAsia" w:ascii="仿宋_GB2312" w:eastAsia="仿宋_GB2312"/>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_Toc135293359 \h </w:instrText>
          </w:r>
          <w:r>
            <w:rPr>
              <w:rFonts w:hint="eastAsia" w:ascii="仿宋_GB2312" w:eastAsia="仿宋_GB2312"/>
              <w:sz w:val="24"/>
            </w:rPr>
            <w:fldChar w:fldCharType="separate"/>
          </w:r>
          <w:r>
            <w:rPr>
              <w:rFonts w:hint="eastAsia" w:ascii="仿宋_GB2312" w:eastAsia="仿宋_GB2312"/>
              <w:sz w:val="24"/>
            </w:rPr>
            <w:t>76</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"_Toc135293360" </w:instrText>
          </w:r>
          <w:r>
            <w:fldChar w:fldCharType="separate"/>
          </w:r>
          <w:r>
            <w:rPr>
              <w:rStyle w:val="57"/>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_Toc135293360 \h </w:instrText>
          </w:r>
          <w:r>
            <w:rPr>
              <w:rFonts w:hint="eastAsia" w:ascii="仿宋_GB2312" w:eastAsia="仿宋_GB2312"/>
              <w:sz w:val="24"/>
            </w:rPr>
            <w:fldChar w:fldCharType="separate"/>
          </w:r>
          <w:r>
            <w:rPr>
              <w:rFonts w:hint="eastAsia" w:ascii="仿宋_GB2312" w:eastAsia="仿宋_GB2312"/>
              <w:sz w:val="24"/>
            </w:rPr>
            <w:t>79</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"_Toc135293361" </w:instrText>
          </w:r>
          <w:r>
            <w:fldChar w:fldCharType="separate"/>
          </w:r>
          <w:r>
            <w:rPr>
              <w:rStyle w:val="57"/>
              <w:rFonts w:hint="eastAsia" w:ascii="仿宋_GB2312" w:eastAsia="仿宋_GB2312"/>
              <w:sz w:val="24"/>
            </w:rPr>
            <w:t>五、财政部 司法部关于政府采购支持监狱企业发展有关问题的通知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_Toc135293361 \h </w:instrText>
          </w:r>
          <w:r>
            <w:rPr>
              <w:rFonts w:hint="eastAsia" w:ascii="仿宋_GB2312" w:eastAsia="仿宋_GB2312"/>
              <w:sz w:val="24"/>
            </w:rPr>
            <w:fldChar w:fldCharType="separate"/>
          </w:r>
          <w:r>
            <w:rPr>
              <w:rFonts w:hint="eastAsia" w:ascii="仿宋_GB2312" w:eastAsia="仿宋_GB2312"/>
              <w:sz w:val="24"/>
            </w:rPr>
            <w:t>81</w:t>
          </w:r>
          <w:r>
            <w:rPr>
              <w:rFonts w:hint="eastAsia" w:ascii="仿宋_GB2312" w:eastAsia="仿宋_GB2312"/>
              <w:sz w:val="24"/>
            </w:rPr>
            <w:fldChar w:fldCharType="end"/>
          </w:r>
          <w:r>
            <w:rPr>
              <w:rFonts w:hint="eastAsia" w:ascii="仿宋_GB2312" w:eastAsia="仿宋_GB2312"/>
              <w:sz w:val="24"/>
            </w:rPr>
            <w:fldChar w:fldCharType="end"/>
          </w:r>
        </w:p>
        <w:p>
          <w:pPr>
            <w:pStyle w:val="41"/>
            <w:tabs>
              <w:tab w:val="right" w:leader="dot" w:pos="9628"/>
            </w:tabs>
            <w:spacing w:line="360" w:lineRule="exact"/>
          </w:pPr>
          <w:r>
            <w:rPr>
              <w:rFonts w:hint="eastAsia" w:ascii="仿宋_GB2312" w:eastAsia="仿宋_GB2312"/>
              <w:sz w:val="24"/>
            </w:rPr>
            <w:fldChar w:fldCharType="end"/>
          </w:r>
        </w:p>
      </w:sdtContent>
    </w:sdt>
    <w:p/>
    <w:p/>
    <w:p/>
    <w:p/>
    <w:p>
      <w:pPr>
        <w:pStyle w:val="2"/>
      </w:pPr>
      <w:bookmarkStart w:id="0" w:name="_Toc135293320"/>
      <w:r>
        <w:rPr>
          <w:rFonts w:hint="eastAsia"/>
        </w:rPr>
        <w:t>第一章  投标邀请</w:t>
      </w:r>
      <w:bookmarkEnd w:id="0"/>
    </w:p>
    <w:p>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rPr>
        <w:t>便携式多导睡眠记录仪</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rPr>
        <w:t>2024年</w:t>
      </w:r>
      <w:r>
        <w:rPr>
          <w:rFonts w:hint="eastAsia" w:ascii="宋体" w:hAnsi="宋体" w:cs="Arial Unicode MS"/>
          <w:snapToGrid w:val="0"/>
          <w:kern w:val="0"/>
          <w:szCs w:val="21"/>
          <w:u w:val="single"/>
          <w:lang w:val="en-US" w:eastAsia="zh-CN"/>
        </w:rPr>
        <w:t>6</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24</w:t>
      </w:r>
      <w:r>
        <w:rPr>
          <w:rFonts w:hint="eastAsia" w:ascii="宋体" w:hAnsi="宋体" w:cs="Arial Unicode MS"/>
          <w:snapToGrid w:val="0"/>
          <w:kern w:val="0"/>
          <w:szCs w:val="21"/>
          <w:u w:val="single"/>
        </w:rPr>
        <w:t>日1</w:t>
      </w:r>
      <w:r>
        <w:rPr>
          <w:rFonts w:hint="eastAsia" w:ascii="宋体" w:hAnsi="宋体" w:cs="Arial Unicode MS"/>
          <w:snapToGrid w:val="0"/>
          <w:kern w:val="0"/>
          <w:szCs w:val="21"/>
          <w:u w:val="single"/>
          <w:lang w:val="en-US" w:eastAsia="zh-CN"/>
        </w:rPr>
        <w:t>0</w:t>
      </w:r>
      <w:r>
        <w:rPr>
          <w:rFonts w:hint="eastAsia" w:ascii="宋体" w:hAnsi="宋体" w:cs="Arial Unicode MS"/>
          <w:snapToGrid w:val="0"/>
          <w:kern w:val="0"/>
          <w:szCs w:val="21"/>
          <w:u w:val="single"/>
        </w:rPr>
        <w:t>点</w:t>
      </w:r>
      <w:r>
        <w:rPr>
          <w:rFonts w:hint="eastAsia" w:ascii="宋体" w:hAnsi="宋体" w:cs="Arial Unicode MS"/>
          <w:snapToGrid w:val="0"/>
          <w:kern w:val="0"/>
          <w:szCs w:val="21"/>
          <w:u w:val="single"/>
          <w:lang w:val="en-US" w:eastAsia="zh-CN"/>
        </w:rPr>
        <w:t>0</w:t>
      </w:r>
      <w:r>
        <w:rPr>
          <w:rFonts w:hint="eastAsia" w:ascii="宋体" w:hAnsi="宋体" w:cs="Arial Unicode MS"/>
          <w:snapToGrid w:val="0"/>
          <w:kern w:val="0"/>
          <w:szCs w:val="21"/>
          <w:u w:val="single"/>
        </w:rPr>
        <w:t>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pPr>
        <w:adjustRightInd w:val="0"/>
        <w:snapToGrid w:val="0"/>
        <w:spacing w:line="360" w:lineRule="auto"/>
        <w:ind w:firstLine="420" w:firstLineChars="200"/>
        <w:jc w:val="left"/>
        <w:rPr>
          <w:rFonts w:ascii="宋体" w:hAnsi="宋体" w:cs="Arial Unicode MS"/>
          <w:snapToGrid w:val="0"/>
          <w:kern w:val="0"/>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1、项目编号：</w:t>
      </w:r>
      <w:r>
        <w:rPr>
          <w:rFonts w:hint="eastAsia" w:asciiTheme="minorEastAsia" w:hAnsiTheme="minorEastAsia" w:eastAsiaTheme="minorEastAsia"/>
          <w:sz w:val="21"/>
          <w:szCs w:val="21"/>
        </w:rPr>
        <w:t>SZZZ2024-QA0106</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2、项目名称：便携式多导睡眠记录仪</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w:t>
      </w:r>
      <w:r>
        <w:rPr>
          <w:rFonts w:hint="eastAsia" w:cs="仿宋" w:asciiTheme="minorEastAsia" w:hAnsiTheme="minorEastAsia" w:eastAsiaTheme="minorEastAsia"/>
          <w:bCs/>
          <w:sz w:val="21"/>
          <w:szCs w:val="21"/>
          <w:u w:val="single"/>
        </w:rPr>
        <w:t>450,000.00</w:t>
      </w:r>
      <w:r>
        <w:rPr>
          <w:rFonts w:hint="eastAsia" w:ascii="宋体" w:hAnsi="宋体" w:eastAsia="宋体"/>
          <w:snapToGrid w:val="0"/>
          <w:color w:val="auto"/>
          <w:sz w:val="21"/>
          <w:szCs w:val="21"/>
        </w:rPr>
        <w:t>元</w:t>
      </w:r>
    </w:p>
    <w:p>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w:t>
      </w:r>
      <w:r>
        <w:rPr>
          <w:rFonts w:hint="eastAsia" w:cs="仿宋" w:asciiTheme="minorEastAsia" w:hAnsiTheme="minorEastAsia" w:eastAsiaTheme="minorEastAsia"/>
          <w:bCs/>
          <w:sz w:val="21"/>
          <w:szCs w:val="21"/>
          <w:u w:val="single"/>
          <w:lang w:val="en-US" w:eastAsia="zh-CN"/>
        </w:rPr>
        <w:t>441</w:t>
      </w:r>
      <w:r>
        <w:rPr>
          <w:rFonts w:hint="eastAsia" w:cs="仿宋" w:asciiTheme="minorEastAsia" w:hAnsiTheme="minorEastAsia" w:eastAsiaTheme="minorEastAsia"/>
          <w:bCs/>
          <w:sz w:val="21"/>
          <w:szCs w:val="21"/>
          <w:u w:val="single"/>
        </w:rPr>
        <w:t>,000.00</w:t>
      </w:r>
      <w:r>
        <w:rPr>
          <w:rFonts w:hint="eastAsia" w:ascii="宋体" w:hAnsi="宋体" w:eastAsia="宋体"/>
          <w:snapToGrid w:val="0"/>
          <w:color w:val="auto"/>
          <w:sz w:val="21"/>
          <w:szCs w:val="21"/>
        </w:rPr>
        <w:t>元</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0"/>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708"/>
        <w:gridCol w:w="3261"/>
        <w:gridCol w:w="850"/>
        <w:gridCol w:w="851"/>
        <w:gridCol w:w="297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BCDEF"/>
            <w:vAlign w:val="center"/>
          </w:tcPr>
          <w:p>
            <w:pPr>
              <w:pStyle w:val="45"/>
              <w:spacing w:before="0" w:beforeAutospacing="0" w:after="0" w:afterAutospacing="0" w:line="360" w:lineRule="auto"/>
              <w:jc w:val="center"/>
              <w:rPr>
                <w:sz w:val="21"/>
              </w:rPr>
            </w:pPr>
            <w:r>
              <w:rPr>
                <w:rFonts w:hint="eastAsia"/>
                <w:sz w:val="21"/>
              </w:rPr>
              <w:t>序号</w:t>
            </w:r>
          </w:p>
        </w:tc>
        <w:tc>
          <w:tcPr>
            <w:tcW w:w="3261" w:type="dxa"/>
            <w:shd w:val="clear" w:color="auto" w:fill="ABCDEF"/>
            <w:vAlign w:val="center"/>
          </w:tcPr>
          <w:p>
            <w:pPr>
              <w:pStyle w:val="45"/>
              <w:spacing w:line="360" w:lineRule="auto"/>
              <w:jc w:val="center"/>
              <w:rPr>
                <w:sz w:val="21"/>
              </w:rPr>
            </w:pPr>
            <w:r>
              <w:rPr>
                <w:sz w:val="21"/>
              </w:rPr>
              <w:t>标的名称</w:t>
            </w:r>
          </w:p>
        </w:tc>
        <w:tc>
          <w:tcPr>
            <w:tcW w:w="850" w:type="dxa"/>
            <w:shd w:val="clear" w:color="auto" w:fill="ABCDEF"/>
            <w:vAlign w:val="center"/>
          </w:tcPr>
          <w:p>
            <w:pPr>
              <w:pStyle w:val="45"/>
              <w:spacing w:before="0" w:beforeAutospacing="0" w:after="0" w:afterAutospacing="0" w:line="360" w:lineRule="auto"/>
              <w:jc w:val="center"/>
              <w:rPr>
                <w:sz w:val="21"/>
              </w:rPr>
            </w:pPr>
            <w:r>
              <w:rPr>
                <w:sz w:val="21"/>
              </w:rPr>
              <w:t>数量</w:t>
            </w:r>
          </w:p>
        </w:tc>
        <w:tc>
          <w:tcPr>
            <w:tcW w:w="851" w:type="dxa"/>
            <w:shd w:val="clear" w:color="auto" w:fill="ABCDEF"/>
            <w:vAlign w:val="center"/>
          </w:tcPr>
          <w:p>
            <w:pPr>
              <w:pStyle w:val="45"/>
              <w:spacing w:before="0" w:beforeAutospacing="0" w:after="0" w:afterAutospacing="0" w:line="360" w:lineRule="auto"/>
              <w:jc w:val="center"/>
              <w:rPr>
                <w:sz w:val="21"/>
              </w:rPr>
            </w:pPr>
            <w:r>
              <w:rPr>
                <w:sz w:val="21"/>
              </w:rPr>
              <w:t>单位</w:t>
            </w:r>
          </w:p>
        </w:tc>
        <w:tc>
          <w:tcPr>
            <w:tcW w:w="2977" w:type="dxa"/>
            <w:shd w:val="clear" w:color="auto" w:fill="ABCDEF"/>
            <w:vAlign w:val="center"/>
          </w:tcPr>
          <w:p>
            <w:pPr>
              <w:pStyle w:val="45"/>
              <w:spacing w:before="0" w:beforeAutospacing="0" w:after="0" w:afterAutospacing="0" w:line="360" w:lineRule="auto"/>
              <w:jc w:val="center"/>
              <w:rPr>
                <w:sz w:val="21"/>
              </w:rPr>
            </w:pPr>
            <w:r>
              <w:rPr>
                <w:rFonts w:hint="eastAsia"/>
                <w:sz w:val="21"/>
              </w:rPr>
              <w:t>简要技术需求或服务要求</w:t>
            </w:r>
          </w:p>
        </w:tc>
        <w:tc>
          <w:tcPr>
            <w:tcW w:w="1134" w:type="dxa"/>
            <w:shd w:val="clear" w:color="auto" w:fill="ABCDEF"/>
            <w:vAlign w:val="center"/>
          </w:tcPr>
          <w:p>
            <w:pPr>
              <w:pStyle w:val="45"/>
              <w:spacing w:before="0" w:beforeAutospacing="0" w:after="0" w:afterAutospacing="0" w:line="360" w:lineRule="auto"/>
              <w:jc w:val="center"/>
              <w:rPr>
                <w:sz w:val="21"/>
              </w:rPr>
            </w:pPr>
            <w:r>
              <w:rPr>
                <w:sz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uto"/>
            <w:vAlign w:val="center"/>
          </w:tcPr>
          <w:p>
            <w:pPr>
              <w:pStyle w:val="45"/>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sz w:val="21"/>
                <w:szCs w:val="21"/>
              </w:rPr>
              <w:t>1</w:t>
            </w:r>
          </w:p>
        </w:tc>
        <w:tc>
          <w:tcPr>
            <w:tcW w:w="3261" w:type="dxa"/>
            <w:shd w:val="clear" w:color="auto" w:fill="auto"/>
            <w:vAlign w:val="center"/>
          </w:tcPr>
          <w:p>
            <w:pPr>
              <w:pStyle w:val="45"/>
              <w:spacing w:line="360" w:lineRule="auto"/>
              <w:jc w:val="center"/>
              <w:rPr>
                <w:rFonts w:asciiTheme="minorEastAsia" w:hAnsiTheme="minorEastAsia" w:eastAsiaTheme="minorEastAsia"/>
                <w:sz w:val="21"/>
                <w:szCs w:val="21"/>
              </w:rPr>
            </w:pPr>
            <w:r>
              <w:rPr>
                <w:rFonts w:hint="eastAsia" w:ascii="宋体" w:hAnsi="宋体" w:cs="宋体"/>
                <w:sz w:val="21"/>
                <w:szCs w:val="21"/>
              </w:rPr>
              <w:t>详见《货物清单明细》</w:t>
            </w:r>
          </w:p>
        </w:tc>
        <w:tc>
          <w:tcPr>
            <w:tcW w:w="850" w:type="dxa"/>
            <w:shd w:val="clear" w:color="auto" w:fill="auto"/>
            <w:vAlign w:val="center"/>
          </w:tcPr>
          <w:p>
            <w:pPr>
              <w:pStyle w:val="45"/>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sz w:val="21"/>
                <w:szCs w:val="21"/>
              </w:rPr>
              <w:t>1</w:t>
            </w:r>
          </w:p>
        </w:tc>
        <w:tc>
          <w:tcPr>
            <w:tcW w:w="851" w:type="dxa"/>
            <w:shd w:val="clear" w:color="auto" w:fill="auto"/>
            <w:vAlign w:val="center"/>
          </w:tcPr>
          <w:p>
            <w:pPr>
              <w:pStyle w:val="45"/>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eastAsiaTheme="minorEastAsia"/>
                <w:sz w:val="21"/>
                <w:szCs w:val="21"/>
              </w:rPr>
              <w:t>台</w:t>
            </w:r>
          </w:p>
        </w:tc>
        <w:tc>
          <w:tcPr>
            <w:tcW w:w="2977" w:type="dxa"/>
            <w:shd w:val="clear" w:color="auto" w:fill="auto"/>
            <w:vAlign w:val="center"/>
          </w:tcPr>
          <w:p>
            <w:pPr>
              <w:pStyle w:val="45"/>
              <w:spacing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134" w:type="dxa"/>
            <w:shd w:val="clear" w:color="auto" w:fill="auto"/>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pPr>
        <w:pStyle w:val="453"/>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pPr>
        <w:pStyle w:val="453"/>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的营业执照或法人证书等证明材料复印件或扫描件以及《政府采购投标及履约承诺函》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r>
        <w:rPr>
          <w:rFonts w:hint="eastAsia" w:asciiTheme="minorEastAsia" w:hAnsiTheme="minorEastAsia" w:eastAsiaTheme="minorEastAsia"/>
          <w:snapToGrid w:val="0"/>
          <w:color w:val="auto"/>
          <w:sz w:val="21"/>
        </w:rPr>
        <w:t>。</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（4）参与本项目政府采购活动不存在与其他采购参加人串通投标，隐瞒真实情况，提供虚假资料等违法违规情形（须按本项目投标文件格式要求提供《政府采购投标及履约承诺函》加盖投标人公章）；</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5）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6）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（7）本项目不接受联合体投标，不允许非法分包或转包；</w:t>
      </w:r>
    </w:p>
    <w:p>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8）本项目接受进口产品投标，但不排斥国产产品参与竞争（进口产品是指通过中国海关报关验放进入中国境内且产自关境外的产品，相关内容以“财库【2007】119号文”和“财办库【2008】248号文”的相关规定为准）。</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2024年</w:t>
      </w:r>
      <w:r>
        <w:rPr>
          <w:rFonts w:hint="eastAsia" w:ascii="宋体" w:hAnsi="宋体" w:eastAsia="宋体"/>
          <w:snapToGrid w:val="0"/>
          <w:color w:val="auto"/>
          <w:sz w:val="21"/>
          <w:szCs w:val="21"/>
          <w:u w:val="single"/>
          <w:lang w:val="en-US" w:eastAsia="zh-CN"/>
        </w:rPr>
        <w:t>6</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12</w:t>
      </w:r>
      <w:r>
        <w:rPr>
          <w:rFonts w:hint="eastAsia" w:ascii="宋体" w:hAnsi="宋体" w:eastAsia="宋体"/>
          <w:snapToGrid w:val="0"/>
          <w:color w:val="auto"/>
          <w:sz w:val="21"/>
          <w:szCs w:val="21"/>
          <w:u w:val="single"/>
        </w:rPr>
        <w:t>日至2024年</w:t>
      </w:r>
      <w:r>
        <w:rPr>
          <w:rFonts w:hint="eastAsia" w:ascii="宋体" w:hAnsi="宋体" w:eastAsia="宋体"/>
          <w:snapToGrid w:val="0"/>
          <w:color w:val="auto"/>
          <w:sz w:val="21"/>
          <w:szCs w:val="21"/>
          <w:u w:val="single"/>
          <w:lang w:val="en-US" w:eastAsia="zh-CN"/>
        </w:rPr>
        <w:t>6</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19</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（1）现场获取：投标人按以上时间和地点现场报名和获取招标文件，逾期不予受理。</w:t>
      </w:r>
    </w:p>
    <w:p>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2024年</w:t>
      </w:r>
      <w:r>
        <w:rPr>
          <w:rFonts w:hint="eastAsia" w:ascii="宋体" w:hAnsi="宋体" w:eastAsia="宋体"/>
          <w:snapToGrid w:val="0"/>
          <w:color w:val="auto"/>
          <w:sz w:val="21"/>
          <w:szCs w:val="21"/>
          <w:u w:val="single"/>
          <w:lang w:val="en-US" w:eastAsia="zh-CN"/>
        </w:rPr>
        <w:t>6</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24</w:t>
      </w:r>
      <w:r>
        <w:rPr>
          <w:rFonts w:hint="eastAsia" w:ascii="宋体" w:hAnsi="宋体" w:eastAsia="宋体"/>
          <w:snapToGrid w:val="0"/>
          <w:color w:val="auto"/>
          <w:sz w:val="21"/>
          <w:szCs w:val="21"/>
          <w:u w:val="single"/>
        </w:rPr>
        <w:t>日1</w:t>
      </w:r>
      <w:r>
        <w:rPr>
          <w:rFonts w:hint="eastAsia" w:ascii="宋体" w:hAnsi="宋体" w:eastAsia="宋体"/>
          <w:snapToGrid w:val="0"/>
          <w:color w:val="auto"/>
          <w:sz w:val="21"/>
          <w:szCs w:val="21"/>
          <w:u w:val="single"/>
          <w:lang w:val="en-US" w:eastAsia="zh-CN"/>
        </w:rPr>
        <w:t>0</w:t>
      </w:r>
      <w:r>
        <w:rPr>
          <w:rFonts w:hint="eastAsia" w:ascii="宋体" w:hAnsi="宋体" w:eastAsia="宋体"/>
          <w:snapToGrid w:val="0"/>
          <w:color w:val="auto"/>
          <w:sz w:val="21"/>
          <w:szCs w:val="21"/>
          <w:u w:val="single"/>
        </w:rPr>
        <w:t>点</w:t>
      </w:r>
      <w:r>
        <w:rPr>
          <w:rFonts w:hint="eastAsia" w:ascii="宋体" w:hAnsi="宋体" w:eastAsia="宋体"/>
          <w:snapToGrid w:val="0"/>
          <w:color w:val="auto"/>
          <w:sz w:val="21"/>
          <w:szCs w:val="21"/>
          <w:u w:val="single"/>
          <w:lang w:val="en-US" w:eastAsia="zh-CN"/>
        </w:rPr>
        <w:t>0</w:t>
      </w:r>
      <w:r>
        <w:rPr>
          <w:rFonts w:hint="eastAsia" w:ascii="宋体" w:hAnsi="宋体" w:eastAsia="宋体"/>
          <w:snapToGrid w:val="0"/>
          <w:color w:val="auto"/>
          <w:sz w:val="21"/>
          <w:szCs w:val="21"/>
          <w:u w:val="single"/>
        </w:rPr>
        <w:t>0分（北京时间）</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1、本项目需要落实的政府采购政策：《关于印发&lt;政府采购促进中小企业发展管理办法&gt;的通知》(财库〔2020〕46号)、《关于政府采购支持监狱企业发展有关问题的通知》</w:t>
      </w:r>
      <w:r>
        <w:rPr>
          <w:rFonts w:ascii="宋体" w:hAnsi="宋体" w:eastAsia="宋体"/>
          <w:snapToGrid w:val="0"/>
          <w:color w:val="auto"/>
          <w:sz w:val="21"/>
          <w:szCs w:val="21"/>
        </w:rPr>
        <w:t>(</w:t>
      </w:r>
      <w:r>
        <w:rPr>
          <w:rFonts w:hint="eastAsia" w:ascii="宋体" w:hAnsi="宋体" w:eastAsia="宋体"/>
          <w:snapToGrid w:val="0"/>
          <w:color w:val="auto"/>
          <w:sz w:val="21"/>
          <w:szCs w:val="21"/>
        </w:rPr>
        <w:t>财库〔</w:t>
      </w:r>
      <w:r>
        <w:rPr>
          <w:rFonts w:ascii="宋体" w:hAnsi="宋体" w:eastAsia="宋体"/>
          <w:snapToGrid w:val="0"/>
          <w:color w:val="auto"/>
          <w:sz w:val="21"/>
          <w:szCs w:val="21"/>
        </w:rPr>
        <w:t>2014</w:t>
      </w:r>
      <w:r>
        <w:rPr>
          <w:rFonts w:hint="eastAsia" w:ascii="宋体" w:hAnsi="宋体" w:eastAsia="宋体"/>
          <w:snapToGrid w:val="0"/>
          <w:color w:val="auto"/>
          <w:sz w:val="21"/>
          <w:szCs w:val="21"/>
        </w:rPr>
        <w:t>〕</w:t>
      </w:r>
      <w:r>
        <w:rPr>
          <w:rFonts w:ascii="宋体" w:hAnsi="宋体" w:eastAsia="宋体"/>
          <w:snapToGrid w:val="0"/>
          <w:color w:val="auto"/>
          <w:sz w:val="21"/>
          <w:szCs w:val="21"/>
        </w:rPr>
        <w:t>68</w:t>
      </w:r>
      <w:r>
        <w:rPr>
          <w:rFonts w:hint="eastAsia" w:ascii="宋体" w:hAnsi="宋体" w:eastAsia="宋体"/>
          <w:snapToGrid w:val="0"/>
          <w:color w:val="auto"/>
          <w:sz w:val="21"/>
          <w:szCs w:val="21"/>
        </w:rPr>
        <w:t>号</w:t>
      </w:r>
      <w:r>
        <w:rPr>
          <w:rFonts w:ascii="宋体" w:hAnsi="宋体" w:eastAsia="宋体"/>
          <w:snapToGrid w:val="0"/>
          <w:color w:val="auto"/>
          <w:sz w:val="21"/>
          <w:szCs w:val="21"/>
        </w:rPr>
        <w:t>)</w:t>
      </w:r>
      <w:r>
        <w:rPr>
          <w:rFonts w:hint="eastAsia" w:ascii="宋体" w:hAnsi="宋体" w:eastAsia="宋体"/>
          <w:snapToGrid w:val="0"/>
          <w:color w:val="auto"/>
          <w:sz w:val="21"/>
          <w:szCs w:val="21"/>
        </w:rPr>
        <w:t>、《关于促进残疾人就业政府采购政策的通知》（财库〔</w:t>
      </w:r>
      <w:r>
        <w:rPr>
          <w:rFonts w:ascii="宋体" w:hAnsi="宋体" w:eastAsia="宋体"/>
          <w:snapToGrid w:val="0"/>
          <w:color w:val="auto"/>
          <w:sz w:val="21"/>
          <w:szCs w:val="21"/>
        </w:rPr>
        <w:t>2017</w:t>
      </w:r>
      <w:r>
        <w:rPr>
          <w:rFonts w:hint="eastAsia" w:ascii="宋体" w:hAnsi="宋体" w:eastAsia="宋体"/>
          <w:snapToGrid w:val="0"/>
          <w:color w:val="auto"/>
          <w:sz w:val="21"/>
          <w:szCs w:val="21"/>
        </w:rPr>
        <w:t>〕</w:t>
      </w:r>
      <w:r>
        <w:rPr>
          <w:rFonts w:ascii="宋体" w:hAnsi="宋体" w:eastAsia="宋体"/>
          <w:snapToGrid w:val="0"/>
          <w:color w:val="auto"/>
          <w:sz w:val="21"/>
          <w:szCs w:val="21"/>
        </w:rPr>
        <w:t>141</w:t>
      </w:r>
      <w:r>
        <w:rPr>
          <w:rFonts w:hint="eastAsia" w:ascii="宋体" w:hAnsi="宋体" w:eastAsia="宋体"/>
          <w:snapToGrid w:val="0"/>
          <w:color w:val="auto"/>
          <w:sz w:val="21"/>
          <w:szCs w:val="21"/>
        </w:rPr>
        <w:t>号</w:t>
      </w:r>
      <w:r>
        <w:rPr>
          <w:rFonts w:ascii="宋体" w:hAnsi="宋体" w:eastAsia="宋体"/>
          <w:snapToGrid w:val="0"/>
          <w:color w:val="auto"/>
          <w:sz w:val="21"/>
          <w:szCs w:val="21"/>
        </w:rPr>
        <w:t>)</w:t>
      </w:r>
      <w:r>
        <w:rPr>
          <w:rFonts w:hint="eastAsia" w:ascii="宋体" w:hAnsi="宋体" w:eastAsia="宋体"/>
          <w:snapToGrid w:val="0"/>
          <w:color w:val="auto"/>
          <w:sz w:val="21"/>
          <w:szCs w:val="21"/>
        </w:rPr>
        <w:t>、《关于环境标志产品政府采购实施的意见》（财库〔</w:t>
      </w:r>
      <w:r>
        <w:rPr>
          <w:rFonts w:ascii="宋体" w:hAnsi="宋体" w:eastAsia="宋体"/>
          <w:snapToGrid w:val="0"/>
          <w:color w:val="auto"/>
          <w:sz w:val="21"/>
          <w:szCs w:val="21"/>
        </w:rPr>
        <w:t>2006</w:t>
      </w:r>
      <w:r>
        <w:rPr>
          <w:rFonts w:hint="eastAsia" w:ascii="宋体" w:hAnsi="宋体" w:eastAsia="宋体"/>
          <w:snapToGrid w:val="0"/>
          <w:color w:val="auto"/>
          <w:sz w:val="21"/>
          <w:szCs w:val="21"/>
        </w:rPr>
        <w:t>〕</w:t>
      </w:r>
      <w:r>
        <w:rPr>
          <w:rFonts w:ascii="宋体" w:hAnsi="宋体" w:eastAsia="宋体"/>
          <w:snapToGrid w:val="0"/>
          <w:color w:val="auto"/>
          <w:sz w:val="21"/>
          <w:szCs w:val="21"/>
        </w:rPr>
        <w:t>90</w:t>
      </w:r>
      <w:r>
        <w:rPr>
          <w:rFonts w:hint="eastAsia" w:ascii="宋体" w:hAnsi="宋体" w:eastAsia="宋体"/>
          <w:snapToGrid w:val="0"/>
          <w:color w:val="auto"/>
          <w:sz w:val="21"/>
          <w:szCs w:val="21"/>
        </w:rPr>
        <w:t>号）、《关于印发&lt;节能产品政府采购实施意见&gt;的通知》（财库〔</w:t>
      </w:r>
      <w:r>
        <w:rPr>
          <w:rFonts w:ascii="宋体" w:hAnsi="宋体" w:eastAsia="宋体"/>
          <w:snapToGrid w:val="0"/>
          <w:color w:val="auto"/>
          <w:sz w:val="21"/>
          <w:szCs w:val="21"/>
        </w:rPr>
        <w:t>2004</w:t>
      </w:r>
      <w:r>
        <w:rPr>
          <w:rFonts w:hint="eastAsia" w:ascii="宋体" w:hAnsi="宋体" w:eastAsia="宋体"/>
          <w:snapToGrid w:val="0"/>
          <w:color w:val="auto"/>
          <w:sz w:val="21"/>
          <w:szCs w:val="21"/>
        </w:rPr>
        <w:t>〕</w:t>
      </w:r>
      <w:r>
        <w:rPr>
          <w:rFonts w:ascii="宋体" w:hAnsi="宋体" w:eastAsia="宋体"/>
          <w:snapToGrid w:val="0"/>
          <w:color w:val="auto"/>
          <w:sz w:val="21"/>
          <w:szCs w:val="21"/>
        </w:rPr>
        <w:t>185</w:t>
      </w:r>
      <w:r>
        <w:rPr>
          <w:rFonts w:hint="eastAsia" w:ascii="宋体" w:hAnsi="宋体" w:eastAsia="宋体"/>
          <w:snapToGrid w:val="0"/>
          <w:color w:val="auto"/>
          <w:sz w:val="21"/>
          <w:szCs w:val="21"/>
        </w:rPr>
        <w:t>号）、《关于调整优化节能产品、环境标志产品政府采购执行机制的通知》（财库〔</w:t>
      </w:r>
      <w:r>
        <w:rPr>
          <w:rFonts w:ascii="宋体" w:hAnsi="宋体" w:eastAsia="宋体"/>
          <w:snapToGrid w:val="0"/>
          <w:color w:val="auto"/>
          <w:sz w:val="21"/>
          <w:szCs w:val="21"/>
        </w:rPr>
        <w:t>2019</w:t>
      </w:r>
      <w:r>
        <w:rPr>
          <w:rFonts w:hint="eastAsia" w:ascii="宋体" w:hAnsi="宋体" w:eastAsia="宋体"/>
          <w:snapToGrid w:val="0"/>
          <w:color w:val="auto"/>
          <w:sz w:val="21"/>
          <w:szCs w:val="21"/>
        </w:rPr>
        <w:t>〕</w:t>
      </w:r>
      <w:r>
        <w:rPr>
          <w:rFonts w:ascii="宋体" w:hAnsi="宋体" w:eastAsia="宋体"/>
          <w:snapToGrid w:val="0"/>
          <w:color w:val="auto"/>
          <w:sz w:val="21"/>
          <w:szCs w:val="21"/>
        </w:rPr>
        <w:t>9</w:t>
      </w:r>
      <w:r>
        <w:rPr>
          <w:rFonts w:hint="eastAsia" w:ascii="宋体" w:hAnsi="宋体" w:eastAsia="宋体"/>
          <w:snapToGrid w:val="0"/>
          <w:color w:val="auto"/>
          <w:sz w:val="21"/>
          <w:szCs w:val="21"/>
        </w:rPr>
        <w:t>号）。</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2、本项目相关公告在以下媒体发布：</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1）中国政府采购网（www.ccgp.gov.cn）；</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2）深圳公共资源交易中心网站（www.szzfcg.cn）；</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3）深圳市中正招标网（</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p>
    <w:p>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pPr>
        <w:pStyle w:val="453"/>
        <w:adjustRightInd w:val="0"/>
        <w:snapToGrid w:val="0"/>
        <w:spacing w:before="0" w:beforeAutospacing="0" w:after="0" w:afterAutospacing="0" w:line="360" w:lineRule="auto"/>
        <w:ind w:firstLine="426" w:firstLineChars="202"/>
        <w:rPr>
          <w:rFonts w:ascii="宋体" w:hAnsi="宋体" w:eastAsia="宋体"/>
          <w:b/>
          <w:snapToGrid w:val="0"/>
          <w:color w:val="auto"/>
          <w:sz w:val="21"/>
          <w:szCs w:val="21"/>
        </w:rPr>
      </w:pPr>
      <w:r>
        <w:rPr>
          <w:rFonts w:hint="eastAsia" w:ascii="宋体" w:hAnsi="宋体" w:eastAsia="宋体"/>
          <w:b/>
          <w:snapToGrid w:val="0"/>
          <w:color w:val="auto"/>
          <w:sz w:val="21"/>
          <w:szCs w:val="21"/>
        </w:rPr>
        <w:t>3、本项目投标人可以通过快递方式在提交投标文件截止时间前将投标文件邮寄至我司（邮寄地址：深圳市福田区民田路171号新华保险大厦903中正招标），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pPr>
        <w:pStyle w:val="453"/>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w:t>
      </w:r>
      <w:r>
        <w:rPr>
          <w:rFonts w:hint="eastAsia" w:ascii="宋体" w:hAnsi="宋体" w:eastAsia="宋体" w:cs="宋体"/>
          <w:color w:val="auto"/>
          <w:sz w:val="21"/>
          <w:szCs w:val="21"/>
          <w:shd w:val="clear" w:color="auto" w:fill="FFFFFF"/>
        </w:rPr>
        <w:t>深圳市康宁医院</w:t>
      </w:r>
      <w:r>
        <w:rPr>
          <w:rFonts w:ascii="宋体" w:hAnsi="宋体" w:eastAsia="宋体"/>
          <w:snapToGrid w:val="0"/>
          <w:color w:val="auto"/>
          <w:sz w:val="21"/>
          <w:szCs w:val="21"/>
        </w:rPr>
        <w:t xml:space="preserve"> </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w:t>
      </w:r>
      <w:r>
        <w:rPr>
          <w:rFonts w:hint="eastAsia" w:ascii="宋体" w:hAnsi="宋体" w:eastAsia="宋体" w:cs="宋体"/>
          <w:color w:val="auto"/>
          <w:sz w:val="21"/>
          <w:szCs w:val="21"/>
          <w:shd w:val="clear" w:color="auto" w:fill="FFFFFF"/>
        </w:rPr>
        <w:t>深圳市坪山区振碧路77号</w:t>
      </w:r>
      <w:r>
        <w:rPr>
          <w:rFonts w:ascii="宋体" w:hAnsi="宋体" w:eastAsia="宋体"/>
          <w:snapToGrid w:val="0"/>
          <w:color w:val="auto"/>
          <w:sz w:val="21"/>
          <w:szCs w:val="21"/>
        </w:rPr>
        <w:t xml:space="preserve">  </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联系方式：刘工</w:t>
      </w:r>
      <w:r>
        <w:rPr>
          <w:rFonts w:hint="eastAsia" w:ascii="宋体" w:hAnsi="宋体" w:eastAsia="宋体"/>
          <w:snapToGrid w:val="0"/>
          <w:color w:val="auto"/>
          <w:sz w:val="21"/>
          <w:szCs w:val="21"/>
          <w:lang w:eastAsia="zh-CN"/>
        </w:rPr>
        <w:t>，</w:t>
      </w:r>
      <w:r>
        <w:rPr>
          <w:rFonts w:hint="eastAsia" w:ascii="宋体" w:hAnsi="宋体" w:eastAsia="宋体"/>
          <w:snapToGrid w:val="0"/>
          <w:color w:val="auto"/>
          <w:sz w:val="21"/>
          <w:szCs w:val="21"/>
        </w:rPr>
        <w:t>0755-84622415</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联系方式：罗工，0755-83026699</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项目联系人：罗工</w:t>
      </w:r>
    </w:p>
    <w:p>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rPr>
          <w:szCs w:val="21"/>
        </w:rPr>
      </w:pPr>
      <w:r>
        <w:rPr>
          <w:rFonts w:ascii="宋体" w:hAnsi="宋体"/>
          <w:snapToGrid w:val="0"/>
          <w:kern w:val="0"/>
          <w:sz w:val="24"/>
        </w:rPr>
        <w:t>2024年</w:t>
      </w:r>
      <w:r>
        <w:rPr>
          <w:rFonts w:hint="eastAsia" w:ascii="宋体" w:hAnsi="宋体"/>
          <w:snapToGrid w:val="0"/>
          <w:kern w:val="0"/>
          <w:sz w:val="24"/>
          <w:lang w:val="en-US" w:eastAsia="zh-CN"/>
        </w:rPr>
        <w:t>6</w:t>
      </w:r>
      <w:r>
        <w:rPr>
          <w:rFonts w:ascii="宋体" w:hAnsi="宋体"/>
          <w:snapToGrid w:val="0"/>
          <w:kern w:val="0"/>
          <w:sz w:val="24"/>
        </w:rPr>
        <w:t>月</w:t>
      </w:r>
      <w:r>
        <w:rPr>
          <w:rFonts w:hint="eastAsia" w:ascii="宋体" w:hAnsi="宋体"/>
          <w:snapToGrid w:val="0"/>
          <w:kern w:val="0"/>
          <w:sz w:val="24"/>
          <w:lang w:val="en-US" w:eastAsia="zh-CN"/>
        </w:rPr>
        <w:t>12</w:t>
      </w:r>
      <w:r>
        <w:rPr>
          <w:rFonts w:hint="eastAsia" w:ascii="宋体" w:hAnsi="宋体"/>
          <w:snapToGrid w:val="0"/>
          <w:kern w:val="0"/>
          <w:sz w:val="24"/>
        </w:rPr>
        <w:t>日</w:t>
      </w: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2" w:firstLineChars="200"/>
        <w:jc w:val="right"/>
        <w:rPr>
          <w:rFonts w:eastAsiaTheme="minorEastAsia"/>
          <w:b/>
          <w:kern w:val="44"/>
          <w:szCs w:val="21"/>
        </w:rPr>
      </w:pPr>
    </w:p>
    <w:p>
      <w:pPr>
        <w:rPr>
          <w:szCs w:val="21"/>
        </w:rPr>
      </w:pPr>
    </w:p>
    <w:p>
      <w:pPr>
        <w:pStyle w:val="2"/>
      </w:pPr>
      <w:bookmarkStart w:id="1" w:name="_Toc135293321"/>
      <w:r>
        <w:rPr>
          <w:rFonts w:hint="eastAsia"/>
        </w:rPr>
        <w:t>第二章  项目需求</w:t>
      </w:r>
      <w:bookmarkEnd w:id="1"/>
    </w:p>
    <w:p>
      <w:pPr>
        <w:spacing w:afterLines="50" w:line="360" w:lineRule="auto"/>
        <w:ind w:left="2"/>
        <w:jc w:val="center"/>
        <w:rPr>
          <w:rFonts w:ascii="宋体" w:hAnsi="宋体"/>
          <w:b/>
          <w:sz w:val="28"/>
          <w:szCs w:val="28"/>
        </w:rPr>
      </w:pPr>
      <w:r>
        <w:rPr>
          <w:rFonts w:hint="eastAsia" w:ascii="宋体" w:hAnsi="宋体"/>
          <w:b/>
          <w:sz w:val="28"/>
          <w:szCs w:val="28"/>
        </w:rPr>
        <w:t>特别说明</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2、项目需求中要求提供证明材料的，投标文件需提供相应证明材料复印件或扫描件或截图等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4、技术参数设置为区间要求的（例如：潮气量：</w:t>
      </w:r>
      <w:r>
        <w:rPr>
          <w:rFonts w:ascii="仿宋_GB2312" w:eastAsia="仿宋_GB2312"/>
          <w:sz w:val="24"/>
        </w:rPr>
        <w:t>0-2000ML</w:t>
      </w:r>
      <w:r>
        <w:rPr>
          <w:rFonts w:hint="eastAsia" w:ascii="仿宋_GB2312" w:eastAsia="仿宋_GB2312"/>
          <w:sz w:val="24"/>
        </w:rPr>
        <w:t>），投标产品参数区间与招标要求不完全一致的均视为负偏离。</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5、对于定制类产品，投标人需在投标文件“分项价格表”中明确注明“定制”，否则该产品技术参数按负偏离处理。</w:t>
      </w: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6、加注▲的条款为重要条款要求，如不满足将按照第四章“评标标准”进行扣分。</w:t>
      </w:r>
    </w:p>
    <w:p>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7、加注★的条款为不可负偏离条款，任一项未响应或不满足要求的，将导致投标无效。</w:t>
      </w:r>
    </w:p>
    <w:p>
      <w:pPr>
        <w:spacing w:line="360" w:lineRule="auto"/>
        <w:ind w:left="510"/>
        <w:rPr>
          <w:rFonts w:eastAsia="黑体"/>
          <w:bCs/>
          <w:snapToGrid w:val="0"/>
          <w:kern w:val="0"/>
          <w:sz w:val="24"/>
        </w:rPr>
      </w:pPr>
    </w:p>
    <w:p>
      <w:pPr>
        <w:spacing w:line="360" w:lineRule="auto"/>
        <w:ind w:left="2"/>
        <w:rPr>
          <w:rFonts w:ascii="宋体" w:hAnsi="宋体"/>
          <w:b/>
          <w:sz w:val="24"/>
        </w:rPr>
      </w:pPr>
      <w:r>
        <w:rPr>
          <w:rFonts w:hint="eastAsia" w:ascii="宋体" w:hAnsi="宋体"/>
          <w:bCs/>
          <w:snapToGrid w:val="0"/>
          <w:kern w:val="0"/>
          <w:sz w:val="24"/>
        </w:rPr>
        <w:t>一、</w:t>
      </w:r>
      <w:r>
        <w:rPr>
          <w:rFonts w:hint="eastAsia" w:ascii="宋体" w:hAnsi="宋体"/>
          <w:b/>
          <w:sz w:val="24"/>
        </w:rPr>
        <w:t>采购范围</w:t>
      </w:r>
    </w:p>
    <w:p>
      <w:pPr>
        <w:rPr>
          <w:rFonts w:ascii="宋体" w:hAnsi="宋体"/>
          <w:b/>
          <w:szCs w:val="21"/>
        </w:rPr>
      </w:pPr>
      <w:r>
        <w:rPr>
          <w:rFonts w:hint="eastAsia" w:ascii="宋体" w:hAnsi="宋体"/>
          <w:b/>
          <w:szCs w:val="21"/>
        </w:rPr>
        <w:t>（一）货物总清单</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1"/>
        <w:gridCol w:w="3119"/>
        <w:gridCol w:w="850"/>
        <w:gridCol w:w="993"/>
        <w:gridCol w:w="170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 w:hRule="atLeast"/>
          <w:jc w:val="center"/>
        </w:trPr>
        <w:tc>
          <w:tcPr>
            <w:tcW w:w="851"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序号</w:t>
            </w:r>
          </w:p>
        </w:tc>
        <w:tc>
          <w:tcPr>
            <w:tcW w:w="3119"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项目名称</w:t>
            </w:r>
          </w:p>
        </w:tc>
        <w:tc>
          <w:tcPr>
            <w:tcW w:w="850" w:type="dxa"/>
            <w:tcMar>
              <w:top w:w="0" w:type="dxa"/>
              <w:left w:w="108" w:type="dxa"/>
              <w:bottom w:w="0" w:type="dxa"/>
              <w:right w:w="108" w:type="dxa"/>
            </w:tcMar>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数量</w:t>
            </w:r>
          </w:p>
        </w:tc>
        <w:tc>
          <w:tcPr>
            <w:tcW w:w="993"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单位</w:t>
            </w:r>
          </w:p>
        </w:tc>
        <w:tc>
          <w:tcPr>
            <w:tcW w:w="1701"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采购预算金额</w:t>
            </w:r>
          </w:p>
          <w:p>
            <w:pPr>
              <w:widowControl/>
              <w:spacing w:line="360" w:lineRule="auto"/>
              <w:jc w:val="center"/>
              <w:rPr>
                <w:rFonts w:ascii="宋体" w:hAnsi="宋体" w:cs="宋体"/>
                <w:bCs/>
                <w:kern w:val="0"/>
                <w:szCs w:val="21"/>
              </w:rPr>
            </w:pPr>
            <w:r>
              <w:rPr>
                <w:rFonts w:hint="eastAsia" w:ascii="宋体" w:hAnsi="宋体" w:cs="宋体"/>
                <w:b/>
                <w:szCs w:val="21"/>
              </w:rPr>
              <w:t>（人民币元）</w:t>
            </w:r>
          </w:p>
        </w:tc>
        <w:tc>
          <w:tcPr>
            <w:tcW w:w="1417"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atLeast"/>
          <w:jc w:val="center"/>
        </w:trPr>
        <w:tc>
          <w:tcPr>
            <w:tcW w:w="851"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3119"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便携式多导睡眠记录仪</w:t>
            </w:r>
          </w:p>
        </w:tc>
        <w:tc>
          <w:tcPr>
            <w:tcW w:w="850" w:type="dxa"/>
            <w:tcMar>
              <w:top w:w="0" w:type="dxa"/>
              <w:left w:w="108" w:type="dxa"/>
              <w:bottom w:w="0" w:type="dxa"/>
              <w:right w:w="108" w:type="dxa"/>
            </w:tcMar>
            <w:vAlign w:val="center"/>
          </w:tcPr>
          <w:p>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993"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台</w:t>
            </w:r>
          </w:p>
        </w:tc>
        <w:tc>
          <w:tcPr>
            <w:tcW w:w="1701" w:type="dxa"/>
            <w:vAlign w:val="center"/>
          </w:tcPr>
          <w:p>
            <w:pPr>
              <w:jc w:val="center"/>
              <w:rPr>
                <w:rFonts w:ascii="宋体" w:hAnsi="宋体" w:cs="宋体"/>
                <w:bCs/>
                <w:kern w:val="0"/>
                <w:szCs w:val="21"/>
              </w:rPr>
            </w:pPr>
            <w:r>
              <w:rPr>
                <w:rFonts w:hint="eastAsia" w:ascii="宋体" w:hAnsi="宋体" w:cs="宋体"/>
                <w:bCs/>
                <w:kern w:val="0"/>
                <w:szCs w:val="21"/>
              </w:rPr>
              <w:t>450,000.00</w:t>
            </w:r>
          </w:p>
        </w:tc>
        <w:tc>
          <w:tcPr>
            <w:tcW w:w="1417"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接受进口</w:t>
            </w:r>
          </w:p>
        </w:tc>
      </w:tr>
    </w:tbl>
    <w:p>
      <w:pPr>
        <w:widowControl/>
        <w:snapToGrid w:val="0"/>
        <w:spacing w:line="360" w:lineRule="auto"/>
        <w:ind w:left="2"/>
        <w:jc w:val="left"/>
        <w:rPr>
          <w:rFonts w:ascii="宋体" w:hAnsi="宋体"/>
          <w:bCs/>
          <w:snapToGrid w:val="0"/>
          <w:kern w:val="0"/>
          <w:szCs w:val="21"/>
        </w:rPr>
      </w:pPr>
    </w:p>
    <w:p>
      <w:pPr>
        <w:rPr>
          <w:rFonts w:ascii="宋体" w:hAnsi="宋体"/>
          <w:b/>
          <w:szCs w:val="21"/>
        </w:rPr>
      </w:pPr>
      <w:r>
        <w:rPr>
          <w:rFonts w:hint="eastAsia" w:ascii="宋体" w:hAnsi="宋体"/>
          <w:b/>
          <w:szCs w:val="21"/>
        </w:rPr>
        <w:t>（二）货物清单明细</w:t>
      </w:r>
    </w:p>
    <w:tbl>
      <w:tblPr>
        <w:tblStyle w:val="50"/>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136"/>
        <w:gridCol w:w="862"/>
        <w:gridCol w:w="988"/>
        <w:gridCol w:w="1700"/>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jc w:val="center"/>
        </w:trPr>
        <w:tc>
          <w:tcPr>
            <w:tcW w:w="817"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序号</w:t>
            </w:r>
          </w:p>
        </w:tc>
        <w:tc>
          <w:tcPr>
            <w:tcW w:w="3136" w:type="dxa"/>
            <w:vAlign w:val="center"/>
          </w:tcPr>
          <w:p>
            <w:pPr>
              <w:widowControl/>
              <w:spacing w:line="360" w:lineRule="auto"/>
              <w:jc w:val="center"/>
              <w:rPr>
                <w:rFonts w:ascii="宋体" w:hAnsi="宋体" w:cs="宋体"/>
                <w:b/>
                <w:color w:val="FF0000"/>
                <w:kern w:val="0"/>
                <w:szCs w:val="21"/>
              </w:rPr>
            </w:pPr>
            <w:r>
              <w:rPr>
                <w:rFonts w:hint="eastAsia" w:ascii="宋体" w:hAnsi="宋体" w:cs="宋体"/>
                <w:b/>
                <w:color w:val="FF0000"/>
                <w:kern w:val="0"/>
                <w:szCs w:val="21"/>
              </w:rPr>
              <w:t>标的名称</w:t>
            </w:r>
          </w:p>
        </w:tc>
        <w:tc>
          <w:tcPr>
            <w:tcW w:w="862"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数量</w:t>
            </w:r>
          </w:p>
        </w:tc>
        <w:tc>
          <w:tcPr>
            <w:tcW w:w="988"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单位</w:t>
            </w:r>
          </w:p>
        </w:tc>
        <w:tc>
          <w:tcPr>
            <w:tcW w:w="1700"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预算金额</w:t>
            </w:r>
          </w:p>
          <w:p>
            <w:pPr>
              <w:widowControl/>
              <w:spacing w:line="360" w:lineRule="auto"/>
              <w:jc w:val="center"/>
              <w:rPr>
                <w:rFonts w:ascii="宋体" w:hAnsi="宋体" w:cs="宋体"/>
                <w:b/>
                <w:kern w:val="0"/>
                <w:szCs w:val="21"/>
              </w:rPr>
            </w:pPr>
            <w:r>
              <w:rPr>
                <w:rFonts w:hint="eastAsia" w:ascii="宋体" w:hAnsi="宋体" w:cs="宋体"/>
                <w:b/>
                <w:szCs w:val="21"/>
              </w:rPr>
              <w:t>（人民币元）</w:t>
            </w:r>
          </w:p>
        </w:tc>
        <w:tc>
          <w:tcPr>
            <w:tcW w:w="1394" w:type="dxa"/>
            <w:vAlign w:val="center"/>
          </w:tcPr>
          <w:p>
            <w:pPr>
              <w:widowControl/>
              <w:spacing w:line="360" w:lineRule="auto"/>
              <w:jc w:val="center"/>
              <w:rPr>
                <w:rFonts w:ascii="宋体" w:hAnsi="宋体" w:cs="宋体"/>
                <w:b/>
                <w:kern w:val="0"/>
                <w:szCs w:val="21"/>
              </w:rPr>
            </w:pPr>
            <w:r>
              <w:rPr>
                <w:rFonts w:hint="eastAsia" w:ascii="宋体" w:hAnsi="宋体" w:cs="宋体"/>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17"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3136"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便携式多导睡眠记录仪</w:t>
            </w:r>
          </w:p>
        </w:tc>
        <w:tc>
          <w:tcPr>
            <w:tcW w:w="862"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988" w:type="dxa"/>
            <w:vAlign w:val="center"/>
          </w:tcPr>
          <w:p>
            <w:pPr>
              <w:widowControl/>
              <w:spacing w:line="360" w:lineRule="auto"/>
              <w:jc w:val="center"/>
              <w:rPr>
                <w:rFonts w:ascii="宋体" w:hAnsi="宋体" w:cs="宋体"/>
                <w:kern w:val="0"/>
                <w:szCs w:val="21"/>
              </w:rPr>
            </w:pPr>
            <w:r>
              <w:rPr>
                <w:rFonts w:hint="eastAsia" w:ascii="宋体" w:hAnsi="宋体" w:cs="宋体"/>
                <w:kern w:val="0"/>
                <w:szCs w:val="21"/>
              </w:rPr>
              <w:t>台</w:t>
            </w:r>
          </w:p>
        </w:tc>
        <w:tc>
          <w:tcPr>
            <w:tcW w:w="1700" w:type="dxa"/>
            <w:vAlign w:val="center"/>
          </w:tcPr>
          <w:p>
            <w:pPr>
              <w:jc w:val="center"/>
              <w:rPr>
                <w:rFonts w:ascii="宋体" w:hAnsi="宋体" w:cs="宋体"/>
                <w:bCs/>
                <w:kern w:val="0"/>
                <w:szCs w:val="21"/>
              </w:rPr>
            </w:pPr>
            <w:r>
              <w:rPr>
                <w:rFonts w:hint="eastAsia" w:ascii="宋体" w:hAnsi="宋体" w:cs="宋体"/>
                <w:bCs/>
                <w:kern w:val="0"/>
                <w:szCs w:val="21"/>
              </w:rPr>
              <w:t>450,000.00</w:t>
            </w:r>
          </w:p>
        </w:tc>
        <w:tc>
          <w:tcPr>
            <w:tcW w:w="1394" w:type="dxa"/>
            <w:vAlign w:val="center"/>
          </w:tcPr>
          <w:p>
            <w:pPr>
              <w:spacing w:line="360" w:lineRule="auto"/>
              <w:jc w:val="center"/>
              <w:rPr>
                <w:rFonts w:ascii="宋体" w:hAnsi="宋体" w:cs="宋体"/>
                <w:kern w:val="0"/>
                <w:szCs w:val="21"/>
              </w:rPr>
            </w:pPr>
            <w:r>
              <w:rPr>
                <w:rFonts w:hint="eastAsia" w:ascii="宋体" w:hAnsi="宋体" w:cs="宋体"/>
                <w:kern w:val="0"/>
                <w:szCs w:val="21"/>
              </w:rPr>
              <w:t>接受进口</w:t>
            </w:r>
          </w:p>
        </w:tc>
      </w:tr>
    </w:tbl>
    <w:p>
      <w:pPr>
        <w:widowControl/>
        <w:snapToGrid w:val="0"/>
        <w:spacing w:line="360" w:lineRule="auto"/>
        <w:ind w:left="2"/>
        <w:jc w:val="left"/>
        <w:rPr>
          <w:rFonts w:ascii="宋体" w:hAnsi="宋体"/>
          <w:bCs/>
          <w:snapToGrid w:val="0"/>
          <w:kern w:val="0"/>
          <w:szCs w:val="21"/>
        </w:rPr>
      </w:pPr>
    </w:p>
    <w:p>
      <w:pPr>
        <w:pStyle w:val="453"/>
        <w:adjustRightInd w:val="0"/>
        <w:snapToGrid w:val="0"/>
        <w:spacing w:before="0" w:beforeAutospacing="0" w:after="0" w:afterAutospacing="0" w:line="360" w:lineRule="auto"/>
        <w:ind w:firstLine="424" w:firstLineChars="202"/>
        <w:rPr>
          <w:rFonts w:ascii="宋体" w:hAnsi="宋体" w:eastAsia="宋体"/>
          <w:b/>
          <w:snapToGrid w:val="0"/>
          <w:color w:val="auto"/>
          <w:sz w:val="21"/>
          <w:szCs w:val="21"/>
          <w:highlight w:val="yellow"/>
        </w:rPr>
      </w:pPr>
      <w:r>
        <w:rPr>
          <w:rFonts w:hint="eastAsia" w:ascii="宋体" w:hAnsi="宋体" w:eastAsia="宋体" w:cs="Times New Roman"/>
          <w:color w:val="auto"/>
          <w:kern w:val="2"/>
          <w:sz w:val="21"/>
          <w:szCs w:val="21"/>
          <w:highlight w:val="yellow"/>
        </w:rPr>
        <w:t>注：★</w:t>
      </w:r>
      <w:r>
        <w:rPr>
          <w:rFonts w:hint="eastAsia" w:ascii="宋体" w:hAnsi="宋体" w:eastAsia="宋体" w:cs="Times New Roman"/>
          <w:b/>
          <w:color w:val="auto"/>
          <w:kern w:val="2"/>
          <w:sz w:val="21"/>
          <w:szCs w:val="21"/>
          <w:highlight w:val="yellow"/>
        </w:rPr>
        <w:t>货物清单中任意一项产品的投标报价超过其预算金额或最高限价的，将导致投标无效。</w:t>
      </w:r>
    </w:p>
    <w:p>
      <w:pPr>
        <w:widowControl/>
        <w:snapToGrid w:val="0"/>
        <w:spacing w:line="360" w:lineRule="auto"/>
        <w:ind w:left="2" w:firstLine="422" w:firstLineChars="201"/>
        <w:jc w:val="left"/>
        <w:rPr>
          <w:rFonts w:ascii="宋体" w:hAnsi="宋体"/>
          <w:bCs/>
          <w:snapToGrid w:val="0"/>
          <w:kern w:val="0"/>
          <w:szCs w:val="21"/>
        </w:rPr>
      </w:pPr>
      <w:r>
        <w:rPr>
          <w:rFonts w:hint="eastAsia" w:ascii="宋体" w:hAnsi="宋体"/>
          <w:bCs/>
          <w:snapToGrid w:val="0"/>
          <w:kern w:val="0"/>
          <w:szCs w:val="21"/>
          <w:highlight w:val="yellow"/>
        </w:rPr>
        <w:t>（1）如同时有两家或两家以上（均为制造商的合法代理商）通过资格审查及符合性审查的合格投标人</w:t>
      </w:r>
      <w:r>
        <w:rPr>
          <w:rFonts w:hint="eastAsia" w:ascii="宋体" w:hAnsi="宋体"/>
          <w:b/>
          <w:bCs/>
          <w:snapToGrid w:val="0"/>
          <w:kern w:val="0"/>
          <w:szCs w:val="21"/>
          <w:highlight w:val="yellow"/>
        </w:rPr>
        <w:t>所投产品为相同品牌的，按一家投标人计算</w:t>
      </w:r>
      <w:r>
        <w:rPr>
          <w:rFonts w:hint="eastAsia" w:ascii="宋体" w:hAnsi="宋体"/>
          <w:bCs/>
          <w:snapToGrid w:val="0"/>
          <w:kern w:val="0"/>
          <w:szCs w:val="21"/>
          <w:highlight w:val="yellow"/>
        </w:rPr>
        <w:t>。在此种情况下，评审后得分最高的</w:t>
      </w:r>
      <w:r>
        <w:rPr>
          <w:rFonts w:hint="eastAsia" w:asciiTheme="minorEastAsia" w:hAnsiTheme="minorEastAsia" w:eastAsiaTheme="minorEastAsia"/>
          <w:color w:val="333333"/>
          <w:highlight w:val="yellow"/>
        </w:rPr>
        <w:t>同品牌</w:t>
      </w:r>
      <w:r>
        <w:rPr>
          <w:rFonts w:hint="eastAsia" w:ascii="宋体" w:hAnsi="宋体"/>
          <w:bCs/>
          <w:snapToGrid w:val="0"/>
          <w:kern w:val="0"/>
          <w:szCs w:val="21"/>
          <w:highlight w:val="yellow"/>
        </w:rPr>
        <w:t>投标人获得中标人推荐资格；评审得分相同的由报价相对最低的获得中标人推荐资格；评审得分及报价均相同的由技术部分评分相对最高的获得中标人推荐资格；</w:t>
      </w:r>
      <w:r>
        <w:rPr>
          <w:rFonts w:hint="eastAsia"/>
          <w:snapToGrid w:val="0"/>
          <w:kern w:val="0"/>
          <w:highlight w:val="yellow"/>
        </w:rPr>
        <w:t>以上均相同的由评标委员会采取随机抽取方式确定</w:t>
      </w:r>
      <w:r>
        <w:rPr>
          <w:rFonts w:hint="eastAsia" w:ascii="宋体" w:hAnsi="宋体"/>
          <w:bCs/>
          <w:snapToGrid w:val="0"/>
          <w:kern w:val="0"/>
          <w:szCs w:val="21"/>
          <w:highlight w:val="yellow"/>
        </w:rPr>
        <w:t>，其他同品牌投标人不作为候选中标供应商。</w:t>
      </w:r>
    </w:p>
    <w:p>
      <w:pPr>
        <w:adjustRightInd w:val="0"/>
        <w:snapToGrid w:val="0"/>
        <w:spacing w:line="360" w:lineRule="auto"/>
        <w:ind w:firstLine="422" w:firstLineChars="201"/>
        <w:rPr>
          <w:rFonts w:ascii="宋体" w:hAnsi="宋体"/>
          <w:b/>
          <w:bCs/>
          <w:snapToGrid w:val="0"/>
          <w:kern w:val="0"/>
          <w:szCs w:val="21"/>
        </w:rPr>
      </w:pPr>
      <w:r>
        <w:rPr>
          <w:rFonts w:hint="eastAsia" w:ascii="宋体" w:hAnsi="宋体"/>
          <w:bCs/>
          <w:snapToGrid w:val="0"/>
          <w:kern w:val="0"/>
          <w:szCs w:val="21"/>
        </w:rPr>
        <w:t>（2）</w:t>
      </w:r>
      <w:r>
        <w:rPr>
          <w:rFonts w:hint="eastAsia" w:ascii="宋体" w:hAnsi="宋体"/>
          <w:szCs w:val="21"/>
        </w:rPr>
        <w:t>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标委员会成员对是否须由投标人作出报价合理性说明，以及书面说明是否采纳等判断不一</w:t>
      </w:r>
      <w:r>
        <w:rPr>
          <w:rFonts w:hint="eastAsia" w:ascii="宋体" w:hAnsi="宋体"/>
          <w:bCs/>
          <w:snapToGrid w:val="0"/>
          <w:kern w:val="0"/>
          <w:szCs w:val="21"/>
        </w:rPr>
        <w:t>致的，按照“少数服从多数”的原则确定评标委员会的意见。</w:t>
      </w:r>
    </w:p>
    <w:p>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 xml:space="preserve">（3）备注栏注明“拒绝进口”的产品不接受投标人选用进口产品参与投标；注明“接受进口”的产品允许投标人选用进口产品参与投标，但不排斥国内产品。 </w:t>
      </w:r>
    </w:p>
    <w:p>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4）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pPr>
        <w:pStyle w:val="453"/>
        <w:adjustRightInd w:val="0"/>
        <w:snapToGrid w:val="0"/>
        <w:spacing w:before="0" w:beforeAutospacing="0" w:after="0" w:afterAutospacing="0" w:line="360" w:lineRule="auto"/>
        <w:ind w:firstLine="426" w:firstLineChars="202"/>
        <w:rPr>
          <w:rFonts w:asciiTheme="minorEastAsia" w:hAnsiTheme="minorEastAsia" w:eastAsiaTheme="minorEastAsia"/>
          <w:b/>
          <w:bCs/>
          <w:snapToGrid w:val="0"/>
          <w:color w:val="auto"/>
          <w:sz w:val="21"/>
          <w:highlight w:val="yellow"/>
        </w:rPr>
      </w:pPr>
      <w:r>
        <w:rPr>
          <w:rFonts w:hint="eastAsia" w:asciiTheme="minorEastAsia" w:hAnsiTheme="minorEastAsia" w:eastAsiaTheme="minorEastAsia"/>
          <w:b/>
          <w:bCs/>
          <w:snapToGrid w:val="0"/>
          <w:color w:val="auto"/>
          <w:sz w:val="21"/>
          <w:highlight w:val="yellow"/>
        </w:rPr>
        <w:t>★（5）若投标人为所投产品的生产企业，须提供《医疗器械生产许可证》或备案凭证，并有相应生产范围；若投标人为所投产品的代理商或授权供应商，须提供《医疗器械经营许可证》或备案凭证，并有相应经营范围；当所投产品属于第一类医疗器械时无须提供《医疗器械经营许可证》或备案凭证，但投标人应在投标文件中对其所属类别进行书面说明。以上资料均提供复印件或扫描件加盖投标人公章。</w:t>
      </w:r>
    </w:p>
    <w:p>
      <w:pPr>
        <w:pStyle w:val="18"/>
        <w:spacing w:line="360" w:lineRule="auto"/>
        <w:ind w:firstLine="422" w:firstLineChars="200"/>
        <w:rPr>
          <w:rFonts w:asciiTheme="minorEastAsia" w:hAnsiTheme="minorEastAsia" w:eastAsiaTheme="minorEastAsia"/>
          <w:b/>
          <w:bCs/>
          <w:snapToGrid w:val="0"/>
          <w:highlight w:val="yellow"/>
        </w:rPr>
      </w:pPr>
      <w:r>
        <w:rPr>
          <w:rFonts w:hint="eastAsia" w:asciiTheme="minorEastAsia" w:hAnsiTheme="minorEastAsia" w:eastAsiaTheme="minorEastAsia"/>
          <w:b/>
          <w:bCs/>
          <w:snapToGrid w:val="0"/>
          <w:highlight w:val="yellow"/>
        </w:rPr>
        <w:t>★（6）投标人必须具备所投产品的《医疗器械注册证》或备案凭证（证明文件：须提供《医疗器械注册证》或备案凭证），开标时，该注册证应在有效期内；若不在有效期内，则需提供该注册证和所投产品在该注册证有效期内生产的药监局出具的证明文件，或提供证明该设备是在注册证有效期内进口的《报关单》证明文件（进口设备），或在注册证有效期内出厂的证明文件（国产设备）。以上资料均提供复印件或扫描件加盖投标人公章。</w:t>
      </w:r>
    </w:p>
    <w:p>
      <w:pPr>
        <w:pStyle w:val="18"/>
        <w:spacing w:line="360" w:lineRule="auto"/>
        <w:ind w:firstLine="422" w:firstLineChars="200"/>
        <w:rPr>
          <w:rFonts w:asciiTheme="minorEastAsia" w:hAnsiTheme="minorEastAsia" w:eastAsiaTheme="minorEastAsia"/>
          <w:snapToGrid w:val="0"/>
        </w:rPr>
      </w:pPr>
      <w:r>
        <w:rPr>
          <w:rFonts w:hint="eastAsia" w:asciiTheme="minorEastAsia" w:hAnsiTheme="minorEastAsia" w:eastAsiaTheme="minorEastAsia"/>
          <w:b/>
          <w:bCs/>
          <w:snapToGrid w:val="0"/>
        </w:rPr>
        <w:t>（三）货物用途：</w:t>
      </w:r>
    </w:p>
    <w:p>
      <w:pPr>
        <w:adjustRightInd w:val="0"/>
        <w:snapToGrid w:val="0"/>
        <w:spacing w:line="360" w:lineRule="auto"/>
        <w:ind w:firstLine="422" w:firstLineChars="201"/>
        <w:rPr>
          <w:rFonts w:ascii="宋体" w:hAnsi="宋体"/>
          <w:bCs/>
          <w:snapToGrid w:val="0"/>
          <w:kern w:val="0"/>
          <w:szCs w:val="21"/>
        </w:rPr>
      </w:pPr>
      <w:r>
        <w:rPr>
          <w:rFonts w:hint="eastAsia" w:ascii="宋体" w:hAnsi="宋体"/>
        </w:rPr>
        <w:t>（</w:t>
      </w:r>
      <w:r>
        <w:rPr>
          <w:rFonts w:hint="eastAsia" w:ascii="宋体" w:hAnsi="宋体"/>
          <w:lang w:val="en-US" w:eastAsia="zh-CN"/>
        </w:rPr>
        <w:t>1</w:t>
      </w:r>
      <w:r>
        <w:rPr>
          <w:rFonts w:hint="eastAsia" w:ascii="宋体" w:hAnsi="宋体"/>
        </w:rPr>
        <w:t>）用于对儿童、成人呼吸睡眠暂停、睡眠障碍的监测诊断及科研。</w:t>
      </w:r>
    </w:p>
    <w:p>
      <w:pPr>
        <w:spacing w:line="360" w:lineRule="auto"/>
        <w:ind w:left="2" w:firstLine="484" w:firstLineChars="201"/>
        <w:rPr>
          <w:rFonts w:ascii="宋体" w:hAnsi="宋体"/>
          <w:b/>
          <w:bCs/>
          <w:snapToGrid w:val="0"/>
          <w:kern w:val="0"/>
          <w:sz w:val="24"/>
        </w:rPr>
      </w:pPr>
    </w:p>
    <w:p>
      <w:pPr>
        <w:spacing w:line="360" w:lineRule="auto"/>
        <w:rPr>
          <w:rFonts w:ascii="宋体" w:hAnsi="宋体"/>
          <w:b/>
          <w:bCs/>
          <w:snapToGrid w:val="0"/>
          <w:kern w:val="0"/>
          <w:sz w:val="24"/>
        </w:rPr>
      </w:pPr>
      <w:r>
        <w:rPr>
          <w:rFonts w:hint="eastAsia" w:ascii="宋体" w:hAnsi="宋体"/>
          <w:b/>
          <w:bCs/>
          <w:snapToGrid w:val="0"/>
          <w:kern w:val="0"/>
          <w:sz w:val="24"/>
        </w:rPr>
        <w:t>二、技术要求</w:t>
      </w:r>
    </w:p>
    <w:tbl>
      <w:tblPr>
        <w:tblStyle w:val="50"/>
        <w:tblW w:w="9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980"/>
        <w:gridCol w:w="6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hRule="atLeast"/>
          <w:tblHeader/>
          <w:jc w:val="center"/>
        </w:trPr>
        <w:tc>
          <w:tcPr>
            <w:tcW w:w="900" w:type="dxa"/>
            <w:vAlign w:val="center"/>
          </w:tcPr>
          <w:p>
            <w:pPr>
              <w:spacing w:after="60" w:line="360" w:lineRule="auto"/>
              <w:jc w:val="center"/>
              <w:rPr>
                <w:rFonts w:ascii="宋体" w:hAnsi="宋体" w:cs="宋体"/>
                <w:szCs w:val="21"/>
              </w:rPr>
            </w:pPr>
            <w:r>
              <w:rPr>
                <w:rFonts w:hint="eastAsia" w:ascii="宋体" w:hAnsi="宋体" w:cs="宋体"/>
                <w:szCs w:val="21"/>
              </w:rPr>
              <w:t>序号</w:t>
            </w:r>
          </w:p>
        </w:tc>
        <w:tc>
          <w:tcPr>
            <w:tcW w:w="1980" w:type="dxa"/>
            <w:vAlign w:val="center"/>
          </w:tcPr>
          <w:p>
            <w:pPr>
              <w:widowControl/>
              <w:spacing w:after="60" w:line="360" w:lineRule="auto"/>
              <w:jc w:val="center"/>
              <w:rPr>
                <w:rFonts w:ascii="宋体" w:hAnsi="宋体" w:cs="宋体"/>
                <w:szCs w:val="21"/>
              </w:rPr>
            </w:pPr>
            <w:r>
              <w:rPr>
                <w:rFonts w:hint="eastAsia" w:ascii="宋体" w:hAnsi="宋体" w:cs="宋体"/>
                <w:szCs w:val="21"/>
              </w:rPr>
              <w:t>货物名称</w:t>
            </w:r>
          </w:p>
        </w:tc>
        <w:tc>
          <w:tcPr>
            <w:tcW w:w="6737" w:type="dxa"/>
            <w:vAlign w:val="center"/>
          </w:tcPr>
          <w:p>
            <w:pPr>
              <w:spacing w:after="60" w:line="360" w:lineRule="auto"/>
              <w:jc w:val="center"/>
              <w:rPr>
                <w:rFonts w:ascii="宋体" w:hAnsi="宋体" w:cs="宋体"/>
                <w:szCs w:val="21"/>
              </w:rPr>
            </w:pPr>
            <w:r>
              <w:rPr>
                <w:rFonts w:hint="eastAsia" w:ascii="宋体" w:hAnsi="宋体" w:cs="宋体"/>
                <w:szCs w:val="21"/>
              </w:rPr>
              <w:t>招标技术参数要求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Align w:val="center"/>
          </w:tcPr>
          <w:p>
            <w:pPr>
              <w:spacing w:after="60" w:line="360" w:lineRule="auto"/>
              <w:jc w:val="center"/>
              <w:rPr>
                <w:rFonts w:ascii="宋体" w:hAnsi="宋体" w:cs="宋体"/>
                <w:szCs w:val="21"/>
              </w:rPr>
            </w:pPr>
            <w:r>
              <w:rPr>
                <w:rFonts w:hint="eastAsia" w:ascii="宋体" w:hAnsi="宋体" w:cs="宋体"/>
                <w:szCs w:val="21"/>
              </w:rPr>
              <w:t>1</w:t>
            </w:r>
          </w:p>
        </w:tc>
        <w:tc>
          <w:tcPr>
            <w:tcW w:w="1980" w:type="dxa"/>
            <w:vAlign w:val="center"/>
          </w:tcPr>
          <w:p>
            <w:pPr>
              <w:spacing w:after="60" w:line="360" w:lineRule="auto"/>
              <w:jc w:val="center"/>
              <w:rPr>
                <w:rFonts w:ascii="宋体" w:hAnsi="宋体" w:cs="宋体"/>
                <w:b/>
                <w:szCs w:val="21"/>
              </w:rPr>
            </w:pPr>
            <w:r>
              <w:rPr>
                <w:rFonts w:hint="eastAsia" w:ascii="宋体" w:hAnsi="宋体" w:cs="宋体"/>
                <w:kern w:val="0"/>
                <w:szCs w:val="21"/>
              </w:rPr>
              <w:t>便携式多导睡眠记录仪</w:t>
            </w:r>
          </w:p>
        </w:tc>
        <w:tc>
          <w:tcPr>
            <w:tcW w:w="6737" w:type="dxa"/>
          </w:tcPr>
          <w:p>
            <w:pPr>
              <w:spacing w:line="360" w:lineRule="auto"/>
              <w:rPr>
                <w:rFonts w:ascii="宋体" w:hAnsi="宋体" w:cs="宋体"/>
                <w:b/>
                <w:bCs/>
                <w:szCs w:val="21"/>
              </w:rPr>
            </w:pPr>
            <w:r>
              <w:rPr>
                <w:rFonts w:hint="eastAsia" w:ascii="宋体" w:hAnsi="宋体" w:cs="宋体"/>
                <w:b/>
                <w:bCs/>
                <w:szCs w:val="21"/>
              </w:rPr>
              <w:t>1.▲导联数为≥58导。须满足AASM关于多导睡眠一类设备PSG规则的要求， 包括脑电（≥8导）、眼电、下颌肌电、心电、腿动、压力式气流、热敏式气流、鼾声、腹部运动、胸部运动、脉搏、脉搏波、体位、血氧饱和度、DC直流扩展通道等。所有数据必须同时采集。</w:t>
            </w:r>
            <w:r>
              <w:rPr>
                <w:rFonts w:hint="eastAsia" w:ascii="宋体" w:hAnsi="宋体" w:cs="宋体"/>
                <w:b/>
                <w:bCs/>
                <w:color w:val="FF0000"/>
                <w:szCs w:val="21"/>
              </w:rPr>
              <w:t>（</w:t>
            </w:r>
            <w:r>
              <w:rPr>
                <w:rFonts w:hint="eastAsia"/>
                <w:b/>
                <w:color w:val="FF0000"/>
              </w:rPr>
              <w:t>提供产品介绍彩页、产品说明书或其它相关佐证材料</w:t>
            </w:r>
            <w:r>
              <w:rPr>
                <w:rFonts w:hint="eastAsia" w:ascii="宋体" w:hAnsi="宋体" w:cs="宋体"/>
                <w:b/>
                <w:bCs/>
                <w:color w:val="FF0000"/>
                <w:szCs w:val="21"/>
              </w:rPr>
              <w:t>）</w:t>
            </w:r>
          </w:p>
          <w:p>
            <w:pPr>
              <w:spacing w:line="360" w:lineRule="auto"/>
              <w:rPr>
                <w:rFonts w:ascii="宋体" w:hAnsi="宋体" w:cs="宋体"/>
                <w:b/>
                <w:bCs/>
                <w:szCs w:val="21"/>
              </w:rPr>
            </w:pPr>
            <w:r>
              <w:rPr>
                <w:rFonts w:hint="eastAsia" w:ascii="宋体" w:hAnsi="宋体" w:cs="宋体"/>
                <w:b/>
                <w:bCs/>
                <w:szCs w:val="21"/>
              </w:rPr>
              <w:t>2.▲24位采样精度，</w:t>
            </w:r>
            <w:r>
              <w:rPr>
                <w:rFonts w:hint="eastAsia" w:ascii="宋体" w:hAnsi="宋体" w:cs="宋体"/>
                <w:b/>
                <w:bCs/>
                <w:szCs w:val="21"/>
                <w:lang w:eastAsia="zh-CN"/>
              </w:rPr>
              <w:t>≥</w:t>
            </w:r>
            <w:r>
              <w:rPr>
                <w:rFonts w:hint="eastAsia" w:ascii="宋体" w:hAnsi="宋体" w:cs="宋体"/>
                <w:b/>
                <w:bCs/>
                <w:szCs w:val="21"/>
              </w:rPr>
              <w:t>8000HZ采样频率。</w:t>
            </w:r>
            <w:r>
              <w:rPr>
                <w:rFonts w:hint="eastAsia" w:ascii="宋体" w:hAnsi="宋体" w:cs="宋体"/>
                <w:b/>
                <w:bCs/>
                <w:color w:val="FF0000"/>
                <w:szCs w:val="21"/>
              </w:rPr>
              <w:t>（</w:t>
            </w:r>
            <w:r>
              <w:rPr>
                <w:rFonts w:hint="eastAsia"/>
                <w:b/>
                <w:color w:val="FF0000"/>
              </w:rPr>
              <w:t>提供产品介绍彩页、产品说明书或其它相关佐证材料</w:t>
            </w:r>
            <w:r>
              <w:rPr>
                <w:rFonts w:hint="eastAsia" w:ascii="宋体" w:hAnsi="宋体" w:cs="宋体"/>
                <w:b/>
                <w:bCs/>
                <w:color w:val="FF0000"/>
                <w:szCs w:val="21"/>
              </w:rPr>
              <w:t>）</w:t>
            </w:r>
          </w:p>
          <w:p>
            <w:pPr>
              <w:spacing w:line="360" w:lineRule="auto"/>
              <w:ind w:left="11"/>
              <w:rPr>
                <w:rFonts w:ascii="宋体" w:hAnsi="宋体" w:cs="宋体"/>
                <w:b/>
                <w:bCs/>
                <w:szCs w:val="21"/>
              </w:rPr>
            </w:pPr>
            <w:r>
              <w:rPr>
                <w:rFonts w:hint="eastAsia" w:ascii="宋体" w:hAnsi="宋体" w:cs="宋体"/>
                <w:b/>
                <w:bCs/>
                <w:szCs w:val="21"/>
              </w:rPr>
              <w:t>3.▲具备高频鼾声声音传感器功能，可清楚记录鼾声声音信号。</w:t>
            </w:r>
            <w:r>
              <w:rPr>
                <w:rFonts w:hint="eastAsia" w:ascii="宋体" w:hAnsi="宋体" w:cs="宋体"/>
                <w:b/>
                <w:bCs/>
                <w:color w:val="FF0000"/>
                <w:szCs w:val="21"/>
              </w:rPr>
              <w:t>（</w:t>
            </w:r>
            <w:r>
              <w:rPr>
                <w:rFonts w:hint="eastAsia"/>
                <w:b/>
                <w:color w:val="FF0000"/>
              </w:rPr>
              <w:t>提供产品介绍彩页、产品说明书或其它相关佐证材料</w:t>
            </w:r>
            <w:r>
              <w:rPr>
                <w:rFonts w:hint="eastAsia" w:ascii="宋体" w:hAnsi="宋体" w:cs="宋体"/>
                <w:b/>
                <w:bCs/>
                <w:color w:val="FF0000"/>
                <w:szCs w:val="21"/>
              </w:rPr>
              <w:t>）</w:t>
            </w:r>
          </w:p>
          <w:p>
            <w:pPr>
              <w:spacing w:line="360" w:lineRule="auto"/>
              <w:ind w:left="11"/>
              <w:rPr>
                <w:rFonts w:ascii="宋体" w:hAnsi="宋体" w:cs="宋体"/>
                <w:szCs w:val="21"/>
              </w:rPr>
            </w:pPr>
            <w:r>
              <w:rPr>
                <w:rFonts w:hint="eastAsia" w:ascii="宋体" w:hAnsi="宋体" w:cs="宋体"/>
                <w:szCs w:val="21"/>
              </w:rPr>
              <w:t>4.可连续记录患者</w:t>
            </w:r>
            <w:r>
              <w:rPr>
                <w:rFonts w:hint="eastAsia" w:ascii="宋体" w:hAnsi="宋体" w:cs="宋体"/>
                <w:szCs w:val="21"/>
                <w:lang w:eastAsia="zh-CN"/>
              </w:rPr>
              <w:t>≥</w:t>
            </w:r>
            <w:r>
              <w:rPr>
                <w:rFonts w:hint="eastAsia" w:ascii="宋体" w:hAnsi="宋体" w:cs="宋体"/>
                <w:szCs w:val="21"/>
              </w:rPr>
              <w:t>72小时的数据信息。</w:t>
            </w:r>
          </w:p>
          <w:p>
            <w:pPr>
              <w:spacing w:line="360" w:lineRule="auto"/>
              <w:ind w:left="11"/>
              <w:rPr>
                <w:rFonts w:ascii="宋体" w:hAnsi="宋体" w:cs="宋体"/>
                <w:szCs w:val="21"/>
              </w:rPr>
            </w:pPr>
            <w:r>
              <w:rPr>
                <w:rFonts w:hint="eastAsia" w:ascii="宋体" w:hAnsi="宋体" w:cs="宋体"/>
                <w:szCs w:val="21"/>
              </w:rPr>
              <w:t>5.多重无线通讯技术，低功耗蓝牙加WIFI设计，保证数据安全稳定传输。</w:t>
            </w:r>
          </w:p>
          <w:p>
            <w:pPr>
              <w:spacing w:line="360" w:lineRule="auto"/>
              <w:ind w:left="11"/>
              <w:rPr>
                <w:rFonts w:ascii="宋体" w:hAnsi="宋体" w:cs="宋体"/>
                <w:szCs w:val="21"/>
              </w:rPr>
            </w:pPr>
            <w:r>
              <w:rPr>
                <w:rFonts w:hint="eastAsia" w:ascii="宋体" w:hAnsi="宋体" w:cs="宋体"/>
                <w:szCs w:val="21"/>
              </w:rPr>
              <w:t>6.设备具有生物感应启停功能，连接血氧信号后即可开始数据记录及存储。</w:t>
            </w:r>
          </w:p>
          <w:p>
            <w:pPr>
              <w:spacing w:line="360" w:lineRule="auto"/>
              <w:ind w:left="11"/>
              <w:rPr>
                <w:rFonts w:ascii="宋体" w:hAnsi="宋体" w:cs="宋体"/>
                <w:szCs w:val="21"/>
              </w:rPr>
            </w:pPr>
            <w:r>
              <w:rPr>
                <w:rFonts w:hint="eastAsia" w:ascii="宋体" w:hAnsi="宋体" w:cs="宋体"/>
                <w:szCs w:val="21"/>
              </w:rPr>
              <w:t>7.使用XactTrace胸腹运动传感器，可不受患者体位、电极安放位置的影响，精确探测患者每次呼吸情况。</w:t>
            </w:r>
          </w:p>
          <w:p>
            <w:pPr>
              <w:spacing w:line="360" w:lineRule="auto"/>
              <w:ind w:left="11"/>
              <w:rPr>
                <w:rFonts w:ascii="宋体" w:hAnsi="宋体" w:cs="宋体"/>
                <w:szCs w:val="21"/>
              </w:rPr>
            </w:pPr>
            <w:r>
              <w:rPr>
                <w:rFonts w:hint="eastAsia" w:ascii="宋体" w:hAnsi="宋体" w:cs="宋体"/>
                <w:szCs w:val="21"/>
              </w:rPr>
              <w:t>8.机器内置3D体位及活动度传感器，减少病人佩带的导联数亦可精确探测患者五种体位；活动度传感器可以判断患者是否处在睡眠状态，避免出现诊断结果的“假阴性”。</w:t>
            </w:r>
          </w:p>
          <w:p>
            <w:pPr>
              <w:spacing w:line="360" w:lineRule="auto"/>
              <w:ind w:left="11"/>
              <w:rPr>
                <w:rFonts w:ascii="宋体" w:hAnsi="宋体" w:cs="宋体"/>
                <w:b/>
                <w:color w:val="FF0000"/>
                <w:szCs w:val="21"/>
              </w:rPr>
            </w:pPr>
            <w:r>
              <w:rPr>
                <w:rFonts w:hint="eastAsia" w:ascii="宋体" w:hAnsi="宋体" w:cs="宋体"/>
                <w:b/>
                <w:szCs w:val="21"/>
              </w:rPr>
              <w:t>9.▲内置DC直流输入通道，可无缝连接呼气末二氧化碳及一体压力滴定呼吸机。</w:t>
            </w:r>
            <w:r>
              <w:rPr>
                <w:rFonts w:hint="eastAsia" w:ascii="宋体" w:hAnsi="宋体" w:cs="宋体"/>
                <w:b/>
                <w:color w:val="FF0000"/>
                <w:szCs w:val="21"/>
              </w:rPr>
              <w:t>（</w:t>
            </w:r>
            <w:r>
              <w:rPr>
                <w:rFonts w:hint="eastAsia"/>
                <w:b/>
                <w:color w:val="FF0000"/>
              </w:rPr>
              <w:t>提供产品介绍彩页、产品说明书或其它相关佐证材料</w:t>
            </w:r>
            <w:r>
              <w:rPr>
                <w:rFonts w:hint="eastAsia" w:ascii="宋体" w:hAnsi="宋体" w:cs="宋体"/>
                <w:b/>
                <w:color w:val="FF0000"/>
                <w:szCs w:val="21"/>
              </w:rPr>
              <w:t>）</w:t>
            </w:r>
          </w:p>
          <w:p>
            <w:pPr>
              <w:spacing w:line="360" w:lineRule="auto"/>
              <w:ind w:left="11"/>
              <w:rPr>
                <w:rFonts w:ascii="宋体" w:hAnsi="宋体" w:cs="宋体"/>
                <w:b/>
                <w:szCs w:val="21"/>
              </w:rPr>
            </w:pPr>
            <w:r>
              <w:rPr>
                <w:rFonts w:hint="eastAsia" w:ascii="宋体" w:hAnsi="宋体" w:cs="宋体"/>
                <w:b/>
                <w:szCs w:val="21"/>
              </w:rPr>
              <w:t>10.▲适合睡眠障碍患者和儿童的监测： 电极盒和放大器设计小巧，能方便装在患者身上，使用电池供电，内置电池电量检测功能。放大器内置高分辨率液晶屏（可实时显示信号波形、信号质量评估及信号状态）。以满足移动性监测要求。</w:t>
            </w:r>
            <w:r>
              <w:rPr>
                <w:rFonts w:hint="eastAsia" w:ascii="宋体" w:hAnsi="宋体" w:cs="宋体"/>
                <w:b/>
                <w:color w:val="FF0000"/>
                <w:szCs w:val="21"/>
              </w:rPr>
              <w:t>（</w:t>
            </w:r>
            <w:r>
              <w:rPr>
                <w:rFonts w:hint="eastAsia"/>
                <w:b/>
                <w:color w:val="FF0000"/>
              </w:rPr>
              <w:t>提供产品介绍彩页、产品说明书或其它相关佐证材料</w:t>
            </w:r>
            <w:r>
              <w:rPr>
                <w:rFonts w:hint="eastAsia" w:ascii="宋体" w:hAnsi="宋体" w:cs="宋体"/>
                <w:b/>
                <w:color w:val="FF0000"/>
                <w:szCs w:val="21"/>
              </w:rPr>
              <w:t>）</w:t>
            </w:r>
          </w:p>
          <w:p>
            <w:pPr>
              <w:spacing w:line="360" w:lineRule="auto"/>
              <w:ind w:left="11"/>
              <w:rPr>
                <w:rFonts w:ascii="宋体" w:hAnsi="宋体" w:cs="宋体"/>
                <w:b/>
                <w:szCs w:val="21"/>
              </w:rPr>
            </w:pPr>
            <w:r>
              <w:rPr>
                <w:rFonts w:hint="eastAsia" w:ascii="宋体" w:hAnsi="宋体" w:cs="宋体"/>
                <w:b/>
                <w:szCs w:val="21"/>
              </w:rPr>
              <w:t>11.▲内置压力传感器及配备金属鲁尔接头，容易连接且不易损坏。</w:t>
            </w:r>
            <w:r>
              <w:rPr>
                <w:rFonts w:hint="eastAsia" w:ascii="宋体" w:hAnsi="宋体" w:cs="宋体"/>
                <w:b/>
                <w:color w:val="FF0000"/>
                <w:szCs w:val="21"/>
              </w:rPr>
              <w:t>（</w:t>
            </w:r>
            <w:r>
              <w:rPr>
                <w:rFonts w:hint="eastAsia"/>
                <w:b/>
                <w:color w:val="FF0000"/>
              </w:rPr>
              <w:t>提供产品介绍彩页、产品说明书或其它相关佐证材料</w:t>
            </w:r>
            <w:r>
              <w:rPr>
                <w:rFonts w:hint="eastAsia" w:ascii="宋体" w:hAnsi="宋体" w:cs="宋体"/>
                <w:b/>
                <w:color w:val="FF0000"/>
                <w:szCs w:val="21"/>
              </w:rPr>
              <w:t>）</w:t>
            </w:r>
          </w:p>
          <w:p>
            <w:pPr>
              <w:spacing w:line="360" w:lineRule="auto"/>
              <w:ind w:left="11"/>
              <w:rPr>
                <w:rFonts w:ascii="宋体" w:hAnsi="宋体" w:cs="宋体"/>
                <w:szCs w:val="21"/>
              </w:rPr>
            </w:pPr>
            <w:r>
              <w:rPr>
                <w:rFonts w:hint="eastAsia" w:ascii="宋体" w:hAnsi="宋体" w:cs="宋体"/>
                <w:szCs w:val="21"/>
              </w:rPr>
              <w:t>12.全中文软件，导航式操作界面，方便易用。</w:t>
            </w:r>
          </w:p>
          <w:p>
            <w:pPr>
              <w:pStyle w:val="455"/>
              <w:spacing w:line="360" w:lineRule="auto"/>
              <w:ind w:left="11" w:firstLine="0" w:firstLineChars="0"/>
              <w:rPr>
                <w:rFonts w:ascii="宋体" w:hAnsi="宋体" w:cs="宋体"/>
                <w:szCs w:val="21"/>
              </w:rPr>
            </w:pPr>
            <w:r>
              <w:rPr>
                <w:rFonts w:hint="eastAsia" w:ascii="宋体" w:hAnsi="宋体" w:cs="宋体"/>
                <w:szCs w:val="21"/>
              </w:rPr>
              <w:t>13.全自动/手动分析呼吸生理事件及睡眠结构。</w:t>
            </w:r>
          </w:p>
          <w:p>
            <w:pPr>
              <w:pStyle w:val="455"/>
              <w:spacing w:line="360" w:lineRule="auto"/>
              <w:ind w:left="11" w:firstLine="0" w:firstLineChars="0"/>
              <w:rPr>
                <w:rFonts w:ascii="宋体" w:hAnsi="宋体" w:cs="宋体"/>
                <w:b/>
                <w:szCs w:val="21"/>
              </w:rPr>
            </w:pPr>
            <w:r>
              <w:rPr>
                <w:rFonts w:hint="eastAsia" w:ascii="宋体" w:hAnsi="宋体" w:cs="宋体"/>
                <w:b/>
                <w:szCs w:val="21"/>
              </w:rPr>
              <w:t>14.▲无需佩带任何气流传感器，通过软件可获取气流信号（XFLOW），适用于气流传感器脱落无法获取气流及儿童和特殊人群的睡眠监测。同时可获取用于肺功能评估的XSum（模拟潮气量）监测指标。</w:t>
            </w:r>
            <w:r>
              <w:rPr>
                <w:rFonts w:hint="eastAsia" w:ascii="宋体" w:hAnsi="宋体" w:cs="宋体"/>
                <w:b/>
                <w:color w:val="FF0000"/>
                <w:szCs w:val="21"/>
              </w:rPr>
              <w:t>（</w:t>
            </w:r>
            <w:r>
              <w:rPr>
                <w:rFonts w:hint="eastAsia"/>
                <w:b/>
                <w:color w:val="FF0000"/>
              </w:rPr>
              <w:t>提供产品介绍彩页、产品说明书或其它相关佐证材料</w:t>
            </w:r>
            <w:r>
              <w:rPr>
                <w:rFonts w:hint="eastAsia" w:ascii="宋体" w:hAnsi="宋体" w:cs="宋体"/>
                <w:b/>
                <w:color w:val="FF0000"/>
                <w:szCs w:val="21"/>
              </w:rPr>
              <w:t>）</w:t>
            </w:r>
          </w:p>
          <w:p>
            <w:pPr>
              <w:spacing w:line="360" w:lineRule="auto"/>
              <w:ind w:left="11"/>
              <w:rPr>
                <w:rFonts w:ascii="宋体" w:hAnsi="宋体" w:cs="宋体"/>
                <w:szCs w:val="21"/>
              </w:rPr>
            </w:pPr>
            <w:r>
              <w:rPr>
                <w:rFonts w:hint="eastAsia" w:ascii="宋体" w:hAnsi="宋体" w:cs="宋体"/>
                <w:szCs w:val="21"/>
              </w:rPr>
              <w:t>15.软件内置CPC心肺耦合分析模块，可通过选配此模块快速分析睡眠呼吸暂停及睡眠结构信息。</w:t>
            </w:r>
          </w:p>
          <w:p>
            <w:pPr>
              <w:spacing w:line="360" w:lineRule="auto"/>
              <w:ind w:left="11"/>
              <w:rPr>
                <w:rFonts w:ascii="宋体" w:hAnsi="宋体" w:cs="宋体"/>
                <w:szCs w:val="21"/>
              </w:rPr>
            </w:pPr>
            <w:r>
              <w:rPr>
                <w:rFonts w:hint="eastAsia" w:ascii="宋体" w:hAnsi="宋体" w:cs="宋体"/>
                <w:szCs w:val="21"/>
              </w:rPr>
              <w:t>16.连续无创血压PTT信号通道；反应夜间血压变化趋势。</w:t>
            </w:r>
          </w:p>
          <w:p>
            <w:pPr>
              <w:spacing w:line="360" w:lineRule="auto"/>
              <w:ind w:left="11"/>
              <w:rPr>
                <w:rFonts w:ascii="宋体" w:hAnsi="宋体" w:cs="宋体"/>
                <w:szCs w:val="21"/>
              </w:rPr>
            </w:pPr>
            <w:r>
              <w:rPr>
                <w:rFonts w:hint="eastAsia" w:ascii="宋体" w:hAnsi="宋体" w:cs="宋体"/>
                <w:szCs w:val="21"/>
              </w:rPr>
              <w:t>17.可手动添加自定义文字、语音事件，可自定义分析事件标准。</w:t>
            </w:r>
          </w:p>
          <w:p>
            <w:pPr>
              <w:spacing w:line="360" w:lineRule="auto"/>
              <w:ind w:left="11"/>
              <w:rPr>
                <w:rFonts w:ascii="宋体" w:hAnsi="宋体" w:cs="宋体"/>
                <w:szCs w:val="21"/>
              </w:rPr>
            </w:pPr>
            <w:r>
              <w:rPr>
                <w:rFonts w:hint="eastAsia" w:ascii="宋体" w:hAnsi="宋体" w:cs="宋体"/>
                <w:szCs w:val="21"/>
              </w:rPr>
              <w:t>18.具有呼吸流量环及相位分析技术，并可直接显示RMI（呼吸性能不稳定指数）具体数值及报告，直观反映上气道阻力情况。</w:t>
            </w:r>
          </w:p>
          <w:p>
            <w:pPr>
              <w:spacing w:line="360" w:lineRule="auto"/>
              <w:ind w:left="11"/>
              <w:rPr>
                <w:rFonts w:ascii="宋体" w:hAnsi="宋体" w:cs="宋体"/>
                <w:szCs w:val="21"/>
              </w:rPr>
            </w:pPr>
            <w:r>
              <w:rPr>
                <w:rFonts w:hint="eastAsia" w:ascii="宋体" w:hAnsi="宋体" w:cs="宋体"/>
                <w:szCs w:val="21"/>
              </w:rPr>
              <w:t>19.各导联信号颜色及位置均可自行调整，亦可保存为模板，方便调用。</w:t>
            </w:r>
          </w:p>
          <w:p>
            <w:pPr>
              <w:spacing w:line="360" w:lineRule="auto"/>
              <w:ind w:left="11"/>
              <w:rPr>
                <w:rFonts w:ascii="宋体" w:hAnsi="宋体" w:cs="宋体"/>
                <w:szCs w:val="21"/>
              </w:rPr>
            </w:pPr>
            <w:r>
              <w:rPr>
                <w:rFonts w:hint="eastAsia" w:ascii="宋体" w:hAnsi="宋体" w:cs="宋体"/>
                <w:szCs w:val="21"/>
              </w:rPr>
              <w:t>20.事件统计模块可快速查找统计各类睡眠事件。</w:t>
            </w:r>
          </w:p>
          <w:p>
            <w:pPr>
              <w:spacing w:line="360" w:lineRule="auto"/>
              <w:ind w:left="11"/>
              <w:rPr>
                <w:rFonts w:ascii="宋体" w:hAnsi="宋体" w:cs="宋体"/>
                <w:szCs w:val="21"/>
              </w:rPr>
            </w:pPr>
            <w:r>
              <w:rPr>
                <w:rFonts w:hint="eastAsia" w:ascii="宋体" w:hAnsi="宋体" w:cs="宋体"/>
                <w:szCs w:val="21"/>
              </w:rPr>
              <w:t>21.各种数据、图形及事件均可方便打印及支持其他格式输出。</w:t>
            </w:r>
          </w:p>
          <w:p>
            <w:pPr>
              <w:spacing w:after="60" w:line="360" w:lineRule="auto"/>
              <w:rPr>
                <w:rFonts w:ascii="宋体" w:hAnsi="宋体" w:cs="宋体"/>
                <w:szCs w:val="21"/>
              </w:rPr>
            </w:pPr>
            <w:r>
              <w:rPr>
                <w:rFonts w:hint="eastAsia" w:ascii="宋体" w:hAnsi="宋体" w:cs="宋体"/>
                <w:szCs w:val="21"/>
              </w:rPr>
              <w:t>22.内置多种报告模板，自定义中英文报告模板。</w:t>
            </w:r>
            <w:r>
              <w:rPr>
                <w:rFonts w:hint="eastAsia" w:ascii="宋体" w:hAnsi="宋体" w:cs="宋体"/>
                <w:szCs w:val="21"/>
              </w:rPr>
              <w:br w:type="textWrapping"/>
            </w:r>
            <w:r>
              <w:rPr>
                <w:rFonts w:hint="eastAsia" w:asciiTheme="minorEastAsia" w:hAnsiTheme="minorEastAsia" w:eastAsiaTheme="minorEastAsia"/>
                <w:b/>
                <w:bCs/>
                <w:kern w:val="0"/>
                <w:szCs w:val="21"/>
                <w:highlight w:val="yellow"/>
              </w:rPr>
              <w:t>★</w:t>
            </w:r>
            <w:r>
              <w:rPr>
                <w:rFonts w:hint="eastAsia" w:ascii="宋体" w:hAnsi="宋体" w:cs="宋体"/>
                <w:b/>
                <w:bCs/>
                <w:szCs w:val="21"/>
                <w:highlight w:val="yellow"/>
              </w:rPr>
              <w:t>23.配置清单：</w:t>
            </w:r>
            <w:r>
              <w:rPr>
                <w:rFonts w:hint="eastAsia" w:ascii="宋体" w:hAnsi="宋体" w:cs="宋体"/>
                <w:b/>
                <w:bCs/>
                <w:szCs w:val="21"/>
                <w:highlight w:val="yellow"/>
              </w:rPr>
              <w:br w:type="textWrapping"/>
            </w:r>
            <w:r>
              <w:rPr>
                <w:rFonts w:hint="eastAsia" w:ascii="宋体" w:hAnsi="宋体" w:cs="宋体"/>
                <w:b/>
                <w:bCs/>
                <w:szCs w:val="21"/>
                <w:highlight w:val="yellow"/>
              </w:rPr>
              <w:t>23.1.设备主机</w:t>
            </w:r>
            <w:r>
              <w:rPr>
                <w:rFonts w:hint="eastAsia" w:ascii="宋体" w:hAnsi="宋体" w:cs="宋体"/>
                <w:b/>
                <w:bCs/>
                <w:szCs w:val="21"/>
                <w:highlight w:val="yellow"/>
                <w:lang w:val="en-US" w:eastAsia="zh-CN"/>
              </w:rPr>
              <w:t>：</w:t>
            </w:r>
            <w:r>
              <w:rPr>
                <w:rFonts w:hint="eastAsia" w:ascii="宋体" w:hAnsi="宋体" w:cs="宋体"/>
                <w:b/>
                <w:bCs/>
                <w:szCs w:val="21"/>
                <w:highlight w:val="yellow"/>
              </w:rPr>
              <w:t xml:space="preserve">                    </w:t>
            </w:r>
            <w:r>
              <w:rPr>
                <w:rFonts w:hint="eastAsia" w:ascii="宋体" w:hAnsi="宋体" w:cs="宋体"/>
                <w:b/>
                <w:bCs/>
                <w:szCs w:val="21"/>
                <w:highlight w:val="none"/>
              </w:rPr>
              <w:t xml:space="preserve">         </w:t>
            </w:r>
            <w:r>
              <w:rPr>
                <w:rFonts w:hint="eastAsia" w:ascii="宋体" w:hAnsi="宋体" w:cs="宋体"/>
                <w:b/>
                <w:bCs/>
                <w:szCs w:val="21"/>
                <w:highlight w:val="yellow"/>
              </w:rPr>
              <w:br w:type="textWrapping"/>
            </w:r>
            <w:r>
              <w:rPr>
                <w:rFonts w:hint="eastAsia" w:ascii="宋体" w:hAnsi="宋体" w:cs="宋体"/>
                <w:b/>
                <w:bCs/>
                <w:szCs w:val="21"/>
                <w:highlight w:val="yellow"/>
              </w:rPr>
              <w:t>23.2.MPR PG采集记录装置            1</w:t>
            </w:r>
            <w:r>
              <w:rPr>
                <w:rFonts w:hint="eastAsia" w:ascii="宋体" w:hAnsi="宋体" w:cs="宋体"/>
                <w:b/>
                <w:bCs/>
                <w:szCs w:val="21"/>
                <w:highlight w:val="yellow"/>
                <w:lang w:val="zh-TW"/>
              </w:rPr>
              <w:t>台</w:t>
            </w:r>
            <w:r>
              <w:rPr>
                <w:rFonts w:hint="eastAsia" w:ascii="宋体" w:hAnsi="宋体" w:cs="宋体"/>
                <w:b/>
                <w:bCs/>
                <w:szCs w:val="21"/>
                <w:highlight w:val="yellow"/>
              </w:rPr>
              <w:br w:type="textWrapping"/>
            </w:r>
            <w:r>
              <w:rPr>
                <w:rFonts w:hint="eastAsia" w:ascii="宋体" w:hAnsi="宋体" w:cs="宋体"/>
                <w:b/>
                <w:bCs/>
                <w:szCs w:val="21"/>
                <w:highlight w:val="yellow"/>
              </w:rPr>
              <w:t>23.3.ST+ 扩展采集记录装置           1</w:t>
            </w:r>
            <w:r>
              <w:rPr>
                <w:rFonts w:hint="eastAsia" w:ascii="宋体" w:hAnsi="宋体" w:cs="宋体"/>
                <w:b/>
                <w:bCs/>
                <w:szCs w:val="21"/>
                <w:highlight w:val="yellow"/>
                <w:lang w:val="zh-TW"/>
              </w:rPr>
              <w:t>台</w:t>
            </w:r>
            <w:r>
              <w:rPr>
                <w:rFonts w:hint="eastAsia" w:ascii="宋体" w:hAnsi="宋体" w:cs="宋体"/>
                <w:b/>
                <w:bCs/>
                <w:szCs w:val="21"/>
                <w:highlight w:val="yellow"/>
              </w:rPr>
              <w:br w:type="textWrapping"/>
            </w:r>
            <w:r>
              <w:rPr>
                <w:rFonts w:hint="eastAsia" w:ascii="宋体" w:hAnsi="宋体" w:cs="宋体"/>
                <w:b/>
                <w:bCs/>
                <w:szCs w:val="21"/>
                <w:highlight w:val="yellow"/>
              </w:rPr>
              <w:t>23.4.TX通讯扩展模块                1个</w:t>
            </w:r>
            <w:r>
              <w:rPr>
                <w:rFonts w:hint="eastAsia" w:ascii="宋体" w:hAnsi="宋体" w:cs="宋体"/>
                <w:b/>
                <w:bCs/>
                <w:szCs w:val="21"/>
                <w:highlight w:val="yellow"/>
              </w:rPr>
              <w:br w:type="textWrapping"/>
            </w:r>
            <w:r>
              <w:rPr>
                <w:rFonts w:hint="eastAsia" w:ascii="宋体" w:hAnsi="宋体" w:cs="宋体"/>
                <w:b/>
                <w:bCs/>
                <w:szCs w:val="21"/>
                <w:highlight w:val="yellow"/>
              </w:rPr>
              <w:t>23.5.设备附件</w:t>
            </w:r>
            <w:r>
              <w:rPr>
                <w:rFonts w:hint="eastAsia" w:ascii="宋体" w:hAnsi="宋体" w:cs="宋体"/>
                <w:b/>
                <w:bCs/>
                <w:szCs w:val="21"/>
                <w:highlight w:val="yellow"/>
                <w:lang w:val="en-US" w:eastAsia="zh-CN"/>
              </w:rPr>
              <w:t>：</w:t>
            </w:r>
            <w:r>
              <w:rPr>
                <w:rFonts w:hint="eastAsia" w:ascii="宋体" w:hAnsi="宋体" w:cs="宋体"/>
                <w:b/>
                <w:bCs/>
                <w:szCs w:val="21"/>
                <w:highlight w:val="yellow"/>
              </w:rPr>
              <w:br w:type="textWrapping"/>
            </w:r>
            <w:r>
              <w:rPr>
                <w:rFonts w:hint="eastAsia" w:ascii="宋体" w:hAnsi="宋体" w:cs="宋体"/>
                <w:b/>
                <w:bCs/>
                <w:szCs w:val="21"/>
                <w:highlight w:val="yellow"/>
              </w:rPr>
              <w:t>23.6.脑电电极(10根/盒）            2盒</w:t>
            </w:r>
            <w:r>
              <w:rPr>
                <w:rFonts w:hint="eastAsia" w:ascii="宋体" w:hAnsi="宋体" w:cs="宋体"/>
                <w:b/>
                <w:bCs/>
                <w:szCs w:val="21"/>
                <w:highlight w:val="yellow"/>
              </w:rPr>
              <w:br w:type="textWrapping"/>
            </w:r>
            <w:r>
              <w:rPr>
                <w:rFonts w:hint="eastAsia" w:ascii="宋体" w:hAnsi="宋体" w:cs="宋体"/>
                <w:b/>
                <w:bCs/>
                <w:szCs w:val="21"/>
                <w:highlight w:val="yellow"/>
              </w:rPr>
              <w:t>23.7.心电扣式电极                  1包</w:t>
            </w:r>
            <w:r>
              <w:rPr>
                <w:rFonts w:hint="eastAsia" w:ascii="宋体" w:hAnsi="宋体" w:cs="宋体"/>
                <w:b/>
                <w:bCs/>
                <w:szCs w:val="21"/>
                <w:highlight w:val="yellow"/>
              </w:rPr>
              <w:br w:type="textWrapping"/>
            </w:r>
            <w:r>
              <w:rPr>
                <w:rFonts w:hint="eastAsia" w:ascii="宋体" w:hAnsi="宋体" w:cs="宋体"/>
                <w:b/>
                <w:bCs/>
                <w:szCs w:val="21"/>
                <w:highlight w:val="yellow"/>
              </w:rPr>
              <w:t>23.8.腿动电极（2根/包）            2包</w:t>
            </w:r>
            <w:r>
              <w:rPr>
                <w:rFonts w:hint="eastAsia" w:ascii="宋体" w:hAnsi="宋体" w:cs="宋体"/>
                <w:b/>
                <w:bCs/>
                <w:szCs w:val="21"/>
                <w:highlight w:val="yellow"/>
              </w:rPr>
              <w:br w:type="textWrapping"/>
            </w:r>
            <w:r>
              <w:rPr>
                <w:rFonts w:hint="eastAsia" w:ascii="宋体" w:hAnsi="宋体" w:cs="宋体"/>
                <w:b/>
                <w:bCs/>
                <w:szCs w:val="21"/>
                <w:highlight w:val="yellow"/>
              </w:rPr>
              <w:t>23.9.MPR血氧探头连接线             1</w:t>
            </w:r>
            <w:r>
              <w:rPr>
                <w:rFonts w:hint="eastAsia" w:ascii="宋体" w:hAnsi="宋体" w:cs="宋体"/>
                <w:b/>
                <w:bCs/>
                <w:szCs w:val="21"/>
                <w:highlight w:val="yellow"/>
                <w:lang w:val="zh-TW"/>
              </w:rPr>
              <w:t>根</w:t>
            </w:r>
            <w:r>
              <w:rPr>
                <w:rFonts w:hint="eastAsia" w:ascii="宋体" w:hAnsi="宋体" w:cs="宋体"/>
                <w:b/>
                <w:bCs/>
                <w:szCs w:val="21"/>
                <w:highlight w:val="yellow"/>
              </w:rPr>
              <w:br w:type="textWrapping"/>
            </w:r>
            <w:r>
              <w:rPr>
                <w:rFonts w:hint="eastAsia" w:ascii="宋体" w:hAnsi="宋体" w:cs="宋体"/>
                <w:b/>
                <w:bCs/>
                <w:szCs w:val="21"/>
                <w:highlight w:val="yellow"/>
              </w:rPr>
              <w:t>23.10.</w:t>
            </w:r>
            <w:r>
              <w:rPr>
                <w:rFonts w:hint="eastAsia" w:ascii="宋体" w:hAnsi="宋体" w:cs="宋体"/>
                <w:b/>
                <w:bCs/>
                <w:szCs w:val="21"/>
                <w:highlight w:val="yellow"/>
                <w:lang w:val="zh-TW"/>
              </w:rPr>
              <w:t>血氧</w:t>
            </w:r>
            <w:r>
              <w:rPr>
                <w:rFonts w:hint="eastAsia" w:ascii="宋体" w:hAnsi="宋体" w:cs="宋体"/>
                <w:b/>
                <w:bCs/>
                <w:szCs w:val="21"/>
                <w:highlight w:val="yellow"/>
              </w:rPr>
              <w:t>传感器                    1</w:t>
            </w:r>
            <w:r>
              <w:rPr>
                <w:rFonts w:hint="eastAsia" w:ascii="宋体" w:hAnsi="宋体" w:cs="宋体"/>
                <w:b/>
                <w:bCs/>
                <w:szCs w:val="21"/>
                <w:highlight w:val="yellow"/>
                <w:lang w:val="zh-TW"/>
              </w:rPr>
              <w:t>根</w:t>
            </w:r>
            <w:r>
              <w:rPr>
                <w:rFonts w:hint="eastAsia" w:ascii="宋体" w:hAnsi="宋体" w:cs="宋体"/>
                <w:b/>
                <w:bCs/>
                <w:szCs w:val="21"/>
                <w:highlight w:val="yellow"/>
              </w:rPr>
              <w:br w:type="textWrapping"/>
            </w:r>
            <w:r>
              <w:rPr>
                <w:rFonts w:hint="eastAsia" w:ascii="宋体" w:hAnsi="宋体" w:cs="宋体"/>
                <w:b/>
                <w:bCs/>
                <w:szCs w:val="21"/>
                <w:highlight w:val="yellow"/>
              </w:rPr>
              <w:t>23.11.热敏气流传感器               1个</w:t>
            </w:r>
            <w:r>
              <w:rPr>
                <w:rFonts w:hint="eastAsia" w:ascii="宋体" w:hAnsi="宋体" w:cs="宋体"/>
                <w:b/>
                <w:bCs/>
                <w:szCs w:val="21"/>
                <w:highlight w:val="yellow"/>
              </w:rPr>
              <w:br w:type="textWrapping"/>
            </w:r>
            <w:r>
              <w:rPr>
                <w:rFonts w:hint="eastAsia" w:ascii="宋体" w:hAnsi="宋体" w:cs="宋体"/>
                <w:b/>
                <w:bCs/>
                <w:szCs w:val="21"/>
                <w:highlight w:val="yellow"/>
              </w:rPr>
              <w:t>23.12.</w:t>
            </w:r>
            <w:r>
              <w:rPr>
                <w:rFonts w:hint="eastAsia" w:ascii="宋体" w:hAnsi="宋体" w:cs="宋体"/>
                <w:b/>
                <w:bCs/>
                <w:szCs w:val="21"/>
                <w:highlight w:val="yellow"/>
                <w:lang w:val="zh-TW"/>
              </w:rPr>
              <w:t>气流导管</w:t>
            </w:r>
            <w:r>
              <w:rPr>
                <w:rFonts w:hint="eastAsia" w:ascii="宋体" w:hAnsi="宋体" w:cs="宋体"/>
                <w:b/>
                <w:bCs/>
                <w:szCs w:val="21"/>
                <w:highlight w:val="yellow"/>
              </w:rPr>
              <w:t xml:space="preserve">                     3根</w:t>
            </w:r>
            <w:r>
              <w:rPr>
                <w:rFonts w:hint="eastAsia" w:ascii="宋体" w:hAnsi="宋体" w:cs="宋体"/>
                <w:b/>
                <w:bCs/>
                <w:szCs w:val="21"/>
                <w:highlight w:val="yellow"/>
                <w:lang w:val="zh-TW"/>
              </w:rPr>
              <w:br w:type="textWrapping"/>
            </w:r>
            <w:r>
              <w:rPr>
                <w:rFonts w:hint="eastAsia" w:ascii="宋体" w:hAnsi="宋体" w:cs="宋体"/>
                <w:b/>
                <w:bCs/>
                <w:szCs w:val="21"/>
                <w:highlight w:val="yellow"/>
              </w:rPr>
              <w:t>23.13.</w:t>
            </w:r>
            <w:r>
              <w:rPr>
                <w:rFonts w:hint="eastAsia" w:ascii="宋体" w:hAnsi="宋体" w:cs="宋体"/>
                <w:b/>
                <w:bCs/>
                <w:szCs w:val="21"/>
                <w:highlight w:val="yellow"/>
                <w:lang w:val="zh-TW"/>
              </w:rPr>
              <w:t>胸部传感器</w:t>
            </w:r>
            <w:r>
              <w:rPr>
                <w:rFonts w:hint="eastAsia" w:ascii="宋体" w:hAnsi="宋体" w:cs="宋体"/>
                <w:b/>
                <w:bCs/>
                <w:szCs w:val="21"/>
                <w:highlight w:val="yellow"/>
              </w:rPr>
              <w:t xml:space="preserve">                   1</w:t>
            </w:r>
            <w:r>
              <w:rPr>
                <w:rFonts w:hint="eastAsia" w:ascii="宋体" w:hAnsi="宋体" w:cs="宋体"/>
                <w:b/>
                <w:bCs/>
                <w:szCs w:val="21"/>
                <w:highlight w:val="yellow"/>
                <w:lang w:val="zh-TW"/>
              </w:rPr>
              <w:t>个</w:t>
            </w:r>
            <w:r>
              <w:rPr>
                <w:rFonts w:hint="eastAsia" w:ascii="宋体" w:hAnsi="宋体" w:cs="宋体"/>
                <w:b/>
                <w:bCs/>
                <w:szCs w:val="21"/>
                <w:highlight w:val="yellow"/>
                <w:lang w:val="zh-TW"/>
              </w:rPr>
              <w:br w:type="textWrapping"/>
            </w:r>
            <w:r>
              <w:rPr>
                <w:rFonts w:hint="eastAsia" w:ascii="宋体" w:hAnsi="宋体" w:cs="宋体"/>
                <w:b/>
                <w:bCs/>
                <w:szCs w:val="21"/>
                <w:highlight w:val="yellow"/>
              </w:rPr>
              <w:t>23.14.</w:t>
            </w:r>
            <w:r>
              <w:rPr>
                <w:rFonts w:hint="eastAsia" w:ascii="宋体" w:hAnsi="宋体" w:cs="宋体"/>
                <w:b/>
                <w:bCs/>
                <w:szCs w:val="21"/>
                <w:highlight w:val="yellow"/>
                <w:lang w:val="zh-TW"/>
              </w:rPr>
              <w:t>腹部传感器</w:t>
            </w:r>
            <w:r>
              <w:rPr>
                <w:rFonts w:hint="eastAsia" w:ascii="宋体" w:hAnsi="宋体" w:cs="宋体"/>
                <w:b/>
                <w:bCs/>
                <w:szCs w:val="21"/>
                <w:highlight w:val="yellow"/>
              </w:rPr>
              <w:t xml:space="preserve">                   1</w:t>
            </w:r>
            <w:r>
              <w:rPr>
                <w:rFonts w:hint="eastAsia" w:ascii="宋体" w:hAnsi="宋体" w:cs="宋体"/>
                <w:b/>
                <w:bCs/>
                <w:szCs w:val="21"/>
                <w:highlight w:val="yellow"/>
                <w:lang w:val="zh-TW"/>
              </w:rPr>
              <w:t>个</w:t>
            </w:r>
            <w:r>
              <w:rPr>
                <w:rFonts w:hint="eastAsia" w:ascii="宋体" w:hAnsi="宋体" w:cs="宋体"/>
                <w:b/>
                <w:bCs/>
                <w:szCs w:val="21"/>
                <w:highlight w:val="yellow"/>
                <w:lang w:val="zh-TW"/>
              </w:rPr>
              <w:br w:type="textWrapping"/>
            </w:r>
            <w:r>
              <w:rPr>
                <w:rFonts w:hint="eastAsia" w:ascii="宋体" w:hAnsi="宋体" w:cs="宋体"/>
                <w:b/>
                <w:bCs/>
                <w:szCs w:val="21"/>
                <w:highlight w:val="yellow"/>
              </w:rPr>
              <w:t>23.15.胸腹绑带                     1盒</w:t>
            </w:r>
            <w:r>
              <w:rPr>
                <w:rFonts w:hint="eastAsia" w:ascii="宋体" w:hAnsi="宋体" w:cs="宋体"/>
                <w:b/>
                <w:bCs/>
                <w:szCs w:val="21"/>
                <w:highlight w:val="yellow"/>
              </w:rPr>
              <w:br w:type="textWrapping"/>
            </w:r>
            <w:r>
              <w:rPr>
                <w:rFonts w:hint="eastAsia" w:ascii="宋体" w:hAnsi="宋体" w:cs="宋体"/>
                <w:b/>
                <w:bCs/>
                <w:szCs w:val="21"/>
                <w:highlight w:val="yellow"/>
              </w:rPr>
              <w:t>23.16.</w:t>
            </w:r>
            <w:r>
              <w:rPr>
                <w:rFonts w:hint="eastAsia" w:ascii="宋体" w:hAnsi="宋体" w:cs="宋体"/>
                <w:b/>
                <w:bCs/>
                <w:szCs w:val="21"/>
                <w:highlight w:val="yellow"/>
                <w:lang w:val="zh-TW"/>
              </w:rPr>
              <w:t>电极导电膏</w:t>
            </w:r>
            <w:r>
              <w:rPr>
                <w:rFonts w:hint="eastAsia" w:ascii="宋体" w:hAnsi="宋体" w:cs="宋体"/>
                <w:b/>
                <w:bCs/>
                <w:szCs w:val="21"/>
                <w:highlight w:val="yellow"/>
              </w:rPr>
              <w:t xml:space="preserve">                   1罐</w:t>
            </w:r>
            <w:r>
              <w:rPr>
                <w:rFonts w:hint="eastAsia" w:ascii="宋体" w:hAnsi="宋体" w:cs="宋体"/>
                <w:b/>
                <w:bCs/>
                <w:szCs w:val="21"/>
                <w:highlight w:val="yellow"/>
                <w:lang w:val="zh-TW"/>
              </w:rPr>
              <w:br w:type="textWrapping"/>
            </w:r>
            <w:r>
              <w:rPr>
                <w:rFonts w:hint="eastAsia" w:ascii="宋体" w:hAnsi="宋体" w:cs="宋体"/>
                <w:b/>
                <w:bCs/>
                <w:szCs w:val="21"/>
                <w:highlight w:val="yellow"/>
              </w:rPr>
              <w:t>23.17.数据下载线                   1根</w:t>
            </w:r>
            <w:r>
              <w:rPr>
                <w:rFonts w:hint="eastAsia" w:ascii="宋体" w:hAnsi="宋体" w:cs="宋体"/>
                <w:b/>
                <w:bCs/>
                <w:szCs w:val="21"/>
                <w:highlight w:val="yellow"/>
              </w:rPr>
              <w:br w:type="textWrapping"/>
            </w:r>
            <w:r>
              <w:rPr>
                <w:rFonts w:hint="eastAsia" w:ascii="宋体" w:hAnsi="宋体" w:cs="宋体"/>
                <w:b/>
                <w:bCs/>
                <w:szCs w:val="21"/>
                <w:highlight w:val="yellow"/>
              </w:rPr>
              <w:t>23.18.专业睡眠软件系统             1套</w:t>
            </w:r>
            <w:r>
              <w:rPr>
                <w:rFonts w:hint="eastAsia" w:ascii="宋体" w:hAnsi="宋体" w:cs="宋体"/>
                <w:b/>
                <w:bCs/>
                <w:szCs w:val="21"/>
                <w:highlight w:val="yellow"/>
              </w:rPr>
              <w:br w:type="textWrapping"/>
            </w:r>
            <w:r>
              <w:rPr>
                <w:rFonts w:hint="eastAsia" w:ascii="宋体" w:hAnsi="宋体" w:cs="宋体"/>
                <w:b/>
                <w:bCs/>
                <w:szCs w:val="21"/>
                <w:highlight w:val="yellow"/>
              </w:rPr>
              <w:t>23.19.网络摄像系统                 1套</w:t>
            </w:r>
            <w:r>
              <w:rPr>
                <w:rFonts w:hint="eastAsia" w:ascii="宋体" w:hAnsi="宋体" w:cs="宋体"/>
                <w:b/>
                <w:bCs/>
                <w:szCs w:val="21"/>
                <w:highlight w:val="yellow"/>
              </w:rPr>
              <w:br w:type="textWrapping"/>
            </w:r>
            <w:r>
              <w:rPr>
                <w:rFonts w:hint="eastAsia" w:ascii="宋体" w:hAnsi="宋体" w:cs="宋体"/>
                <w:b/>
                <w:bCs/>
                <w:szCs w:val="21"/>
                <w:highlight w:val="yellow"/>
              </w:rPr>
              <w:t>23.20.</w:t>
            </w:r>
            <w:r>
              <w:rPr>
                <w:rFonts w:hint="eastAsia" w:ascii="宋体" w:hAnsi="宋体" w:cs="宋体"/>
                <w:b/>
                <w:bCs/>
                <w:szCs w:val="21"/>
                <w:highlight w:val="yellow"/>
                <w:lang w:eastAsia="zh-CN"/>
              </w:rPr>
              <w:t>主机</w:t>
            </w:r>
            <w:r>
              <w:rPr>
                <w:rFonts w:hint="eastAsia" w:ascii="宋体" w:hAnsi="宋体" w:cs="宋体"/>
                <w:b/>
                <w:bCs/>
                <w:szCs w:val="21"/>
                <w:highlight w:val="yellow"/>
              </w:rPr>
              <w:t xml:space="preserve">                         1台</w:t>
            </w:r>
            <w:r>
              <w:rPr>
                <w:rFonts w:hint="eastAsia" w:ascii="宋体" w:hAnsi="宋体" w:cs="宋体"/>
                <w:b/>
                <w:bCs/>
                <w:szCs w:val="21"/>
                <w:highlight w:val="yellow"/>
              </w:rPr>
              <w:br w:type="textWrapping"/>
            </w:r>
            <w:r>
              <w:rPr>
                <w:rFonts w:hint="eastAsia" w:ascii="宋体" w:hAnsi="宋体" w:cs="宋体"/>
                <w:b/>
                <w:bCs/>
                <w:szCs w:val="21"/>
                <w:highlight w:val="yellow"/>
              </w:rPr>
              <w:t>23.21.打印</w:t>
            </w:r>
            <w:r>
              <w:rPr>
                <w:rFonts w:hint="eastAsia" w:ascii="宋体" w:hAnsi="宋体" w:cs="宋体"/>
                <w:b/>
                <w:bCs/>
                <w:szCs w:val="21"/>
                <w:highlight w:val="yellow"/>
                <w:lang w:eastAsia="zh-CN"/>
              </w:rPr>
              <w:t>终端</w:t>
            </w:r>
            <w:r>
              <w:rPr>
                <w:rFonts w:hint="eastAsia" w:ascii="宋体" w:hAnsi="宋体" w:cs="宋体"/>
                <w:b/>
                <w:bCs/>
                <w:szCs w:val="21"/>
                <w:highlight w:val="yellow"/>
              </w:rPr>
              <w:t xml:space="preserve">                     1台</w:t>
            </w:r>
          </w:p>
        </w:tc>
      </w:tr>
    </w:tbl>
    <w:p>
      <w:pPr>
        <w:spacing w:line="360" w:lineRule="auto"/>
        <w:rPr>
          <w:rFonts w:ascii="宋体" w:hAnsi="宋体"/>
          <w:b/>
          <w:bCs/>
          <w:snapToGrid w:val="0"/>
          <w:kern w:val="0"/>
          <w:sz w:val="24"/>
        </w:rPr>
      </w:pPr>
    </w:p>
    <w:p>
      <w:pPr>
        <w:spacing w:line="360" w:lineRule="auto"/>
        <w:rPr>
          <w:rFonts w:ascii="宋体" w:hAnsi="宋体"/>
          <w:b/>
          <w:bCs/>
          <w:snapToGrid w:val="0"/>
          <w:kern w:val="0"/>
          <w:sz w:val="24"/>
        </w:rPr>
      </w:pPr>
      <w:r>
        <w:rPr>
          <w:rFonts w:hint="eastAsia" w:ascii="宋体" w:hAnsi="宋体"/>
          <w:b/>
          <w:bCs/>
          <w:snapToGrid w:val="0"/>
          <w:kern w:val="0"/>
          <w:sz w:val="24"/>
        </w:rPr>
        <w:t>三、商务要求</w:t>
      </w:r>
    </w:p>
    <w:tbl>
      <w:tblPr>
        <w:tblStyle w:val="50"/>
        <w:tblW w:w="511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6"/>
        <w:gridCol w:w="1505"/>
        <w:gridCol w:w="7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8" w:type="pct"/>
            <w:vAlign w:val="center"/>
          </w:tcPr>
          <w:p>
            <w:pPr>
              <w:spacing w:line="360" w:lineRule="auto"/>
              <w:jc w:val="center"/>
              <w:rPr>
                <w:rFonts w:ascii="宋体" w:hAnsi="宋体"/>
                <w:b/>
                <w:szCs w:val="21"/>
              </w:rPr>
            </w:pPr>
            <w:r>
              <w:rPr>
                <w:rFonts w:hint="eastAsia" w:ascii="宋体" w:hAnsi="宋体"/>
                <w:b/>
                <w:szCs w:val="21"/>
              </w:rPr>
              <w:t>序号</w:t>
            </w:r>
          </w:p>
        </w:tc>
        <w:tc>
          <w:tcPr>
            <w:tcW w:w="746" w:type="pct"/>
            <w:vAlign w:val="center"/>
          </w:tcPr>
          <w:p>
            <w:pPr>
              <w:spacing w:line="360" w:lineRule="auto"/>
              <w:jc w:val="center"/>
              <w:rPr>
                <w:rFonts w:ascii="宋体" w:hAnsi="宋体"/>
                <w:b/>
                <w:szCs w:val="21"/>
              </w:rPr>
            </w:pPr>
            <w:r>
              <w:rPr>
                <w:rFonts w:hint="eastAsia" w:ascii="宋体" w:hAnsi="宋体"/>
                <w:b/>
                <w:szCs w:val="21"/>
              </w:rPr>
              <w:t>目录</w:t>
            </w:r>
          </w:p>
        </w:tc>
        <w:tc>
          <w:tcPr>
            <w:tcW w:w="3705" w:type="pct"/>
            <w:vAlign w:val="center"/>
          </w:tcPr>
          <w:p>
            <w:pPr>
              <w:spacing w:line="360" w:lineRule="auto"/>
              <w:jc w:val="center"/>
              <w:rPr>
                <w:rFonts w:ascii="宋体" w:hAnsi="宋体"/>
                <w:b/>
                <w:szCs w:val="21"/>
              </w:rPr>
            </w:pPr>
            <w:r>
              <w:rPr>
                <w:rFonts w:hint="eastAsia" w:ascii="宋体" w:hAnsi="宋体"/>
                <w:b/>
                <w:szCs w:val="21"/>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3"/>
          </w:tcPr>
          <w:p>
            <w:pPr>
              <w:spacing w:line="360" w:lineRule="auto"/>
              <w:rPr>
                <w:rFonts w:ascii="宋体" w:hAnsi="宋体"/>
                <w:b/>
                <w:szCs w:val="21"/>
              </w:rPr>
            </w:pPr>
            <w:r>
              <w:rPr>
                <w:rFonts w:hint="eastAsia" w:ascii="宋体" w:hAnsi="宋体"/>
                <w:b/>
                <w:szCs w:val="21"/>
              </w:rP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548" w:type="pct"/>
            <w:vMerge w:val="restart"/>
            <w:vAlign w:val="center"/>
          </w:tcPr>
          <w:p>
            <w:pPr>
              <w:spacing w:line="360" w:lineRule="auto"/>
              <w:jc w:val="center"/>
              <w:rPr>
                <w:rFonts w:ascii="宋体" w:hAnsi="宋体"/>
                <w:b/>
                <w:szCs w:val="21"/>
              </w:rPr>
            </w:pPr>
            <w:r>
              <w:rPr>
                <w:rFonts w:hint="eastAsia" w:ascii="宋体" w:hAnsi="宋体"/>
                <w:b/>
                <w:szCs w:val="21"/>
              </w:rPr>
              <w:t>1</w:t>
            </w:r>
          </w:p>
        </w:tc>
        <w:tc>
          <w:tcPr>
            <w:tcW w:w="746" w:type="pct"/>
            <w:vMerge w:val="restart"/>
            <w:vAlign w:val="center"/>
          </w:tcPr>
          <w:p>
            <w:pPr>
              <w:spacing w:line="360" w:lineRule="auto"/>
              <w:rPr>
                <w:rFonts w:ascii="宋体" w:hAnsi="宋体"/>
                <w:szCs w:val="21"/>
              </w:rPr>
            </w:pPr>
            <w:r>
              <w:rPr>
                <w:rFonts w:hint="eastAsia" w:ascii="宋体" w:hAnsi="宋体"/>
                <w:b/>
                <w:kern w:val="0"/>
                <w:szCs w:val="21"/>
              </w:rPr>
              <w:t>维修及维护服务</w:t>
            </w:r>
          </w:p>
        </w:tc>
        <w:tc>
          <w:tcPr>
            <w:tcW w:w="3705" w:type="pct"/>
          </w:tcPr>
          <w:p>
            <w:pPr>
              <w:spacing w:line="360" w:lineRule="auto"/>
              <w:rPr>
                <w:rFonts w:asciiTheme="minorEastAsia" w:hAnsiTheme="minorEastAsia" w:eastAsiaTheme="minorEastAsia"/>
                <w:b/>
                <w:szCs w:val="21"/>
              </w:rPr>
            </w:pPr>
            <w:r>
              <w:rPr>
                <w:rFonts w:hint="eastAsia" w:asciiTheme="minorEastAsia" w:hAnsiTheme="minorEastAsia" w:eastAsiaTheme="minorEastAsia"/>
                <w:kern w:val="0"/>
                <w:szCs w:val="21"/>
                <w:highlight w:val="yellow"/>
              </w:rPr>
              <w:t>★</w:t>
            </w:r>
            <w:r>
              <w:rPr>
                <w:rFonts w:hint="eastAsia" w:asciiTheme="minorEastAsia" w:hAnsiTheme="minorEastAsia" w:eastAsiaTheme="minorEastAsia"/>
                <w:b/>
                <w:kern w:val="0"/>
                <w:szCs w:val="21"/>
                <w:highlight w:val="yellow"/>
              </w:rPr>
              <w:t>1.1投标人应在投标文件中列明各主机、配件和易耗品的保修期限</w:t>
            </w:r>
            <w:r>
              <w:rPr>
                <w:rFonts w:asciiTheme="minorEastAsia" w:hAnsiTheme="minorEastAsia" w:eastAsiaTheme="minorEastAsia"/>
                <w:b/>
                <w:kern w:val="0"/>
                <w:szCs w:val="21"/>
                <w:highlight w:val="yellow"/>
              </w:rPr>
              <w:t>,</w:t>
            </w:r>
            <w:r>
              <w:rPr>
                <w:rFonts w:hint="eastAsia" w:asciiTheme="minorEastAsia" w:hAnsiTheme="minorEastAsia" w:eastAsiaTheme="minorEastAsia"/>
                <w:b/>
                <w:kern w:val="0"/>
                <w:szCs w:val="21"/>
                <w:highlight w:val="yellow"/>
              </w:rPr>
              <w:t>并承诺提供整机免费保修期不少于</w:t>
            </w:r>
            <w:r>
              <w:rPr>
                <w:rFonts w:hint="eastAsia" w:asciiTheme="minorEastAsia" w:hAnsiTheme="minorEastAsia" w:eastAsiaTheme="minorEastAsia"/>
                <w:b/>
                <w:bCs/>
                <w:kern w:val="0"/>
                <w:szCs w:val="21"/>
                <w:highlight w:val="yellow"/>
                <w:u w:val="single"/>
              </w:rPr>
              <w:t>3</w:t>
            </w:r>
            <w:r>
              <w:rPr>
                <w:rFonts w:hint="eastAsia" w:asciiTheme="minorEastAsia" w:hAnsiTheme="minorEastAsia" w:eastAsiaTheme="minorEastAsia"/>
                <w:b/>
                <w:kern w:val="0"/>
                <w:szCs w:val="21"/>
                <w:highlight w:val="yellow"/>
              </w:rPr>
              <w:t>年</w:t>
            </w:r>
            <w:r>
              <w:rPr>
                <w:rFonts w:asciiTheme="minorEastAsia" w:hAnsiTheme="minorEastAsia" w:eastAsiaTheme="minorEastAsia"/>
                <w:b/>
                <w:kern w:val="0"/>
                <w:szCs w:val="21"/>
                <w:highlight w:val="yellow"/>
              </w:rPr>
              <w:t>,</w:t>
            </w:r>
            <w:r>
              <w:rPr>
                <w:rFonts w:hint="eastAsia" w:asciiTheme="minorEastAsia" w:hAnsiTheme="minorEastAsia" w:eastAsiaTheme="minorEastAsia"/>
                <w:b/>
                <w:kern w:val="0"/>
                <w:szCs w:val="21"/>
                <w:highlight w:val="yellow"/>
              </w:rPr>
              <w:t>终身维修。保修期内免费更换零配件、免工时费。时间自最终验收合格并交付使用之日起计算。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48" w:type="pct"/>
            <w:vMerge w:val="continue"/>
            <w:vAlign w:val="center"/>
          </w:tcPr>
          <w:p>
            <w:pPr>
              <w:spacing w:line="360" w:lineRule="auto"/>
              <w:jc w:val="center"/>
              <w:rPr>
                <w:rFonts w:ascii="宋体" w:hAnsi="宋体"/>
                <w:b/>
                <w:szCs w:val="21"/>
              </w:rPr>
            </w:pPr>
          </w:p>
        </w:tc>
        <w:tc>
          <w:tcPr>
            <w:tcW w:w="746" w:type="pct"/>
            <w:vMerge w:val="continue"/>
            <w:vAlign w:val="center"/>
          </w:tcPr>
          <w:p>
            <w:pPr>
              <w:spacing w:line="360" w:lineRule="auto"/>
              <w:rPr>
                <w:rFonts w:ascii="宋体" w:hAnsi="宋体"/>
                <w:b/>
                <w:kern w:val="0"/>
                <w:szCs w:val="21"/>
              </w:rPr>
            </w:pPr>
          </w:p>
        </w:tc>
        <w:tc>
          <w:tcPr>
            <w:tcW w:w="3705" w:type="pct"/>
          </w:tcPr>
          <w:p>
            <w:pPr>
              <w:spacing w:line="360" w:lineRule="auto"/>
              <w:rPr>
                <w:rFonts w:ascii="宋体" w:hAnsi="宋体"/>
                <w:bCs/>
                <w:szCs w:val="21"/>
              </w:rPr>
            </w:pPr>
            <w:r>
              <w:rPr>
                <w:rFonts w:hint="eastAsia" w:ascii="宋体" w:hAnsi="宋体"/>
                <w:kern w:val="0"/>
                <w:szCs w:val="21"/>
              </w:rPr>
              <w:t>1.2由设备制造商提供售后服务，</w:t>
            </w:r>
            <w:r>
              <w:rPr>
                <w:rFonts w:hint="eastAsia" w:ascii="宋体" w:hAnsi="宋体"/>
                <w:b/>
                <w:bCs/>
                <w:kern w:val="0"/>
                <w:szCs w:val="21"/>
                <w:u w:val="single"/>
              </w:rPr>
              <w:t xml:space="preserve"> 1 </w:t>
            </w:r>
            <w:r>
              <w:rPr>
                <w:rFonts w:hint="eastAsia" w:ascii="宋体" w:hAnsi="宋体"/>
                <w:kern w:val="0"/>
                <w:szCs w:val="21"/>
              </w:rPr>
              <w:t>小时内响应，</w:t>
            </w:r>
            <w:r>
              <w:rPr>
                <w:rFonts w:hint="eastAsia" w:ascii="宋体" w:hAnsi="宋体"/>
                <w:b/>
                <w:bCs/>
                <w:kern w:val="0"/>
                <w:szCs w:val="21"/>
                <w:u w:val="single"/>
              </w:rPr>
              <w:t xml:space="preserve">24 </w:t>
            </w:r>
            <w:r>
              <w:rPr>
                <w:rFonts w:hint="eastAsia" w:ascii="宋体" w:hAnsi="宋体"/>
                <w:kern w:val="0"/>
                <w:szCs w:val="21"/>
              </w:rPr>
              <w:t>小时维修到位，并在</w:t>
            </w:r>
            <w:r>
              <w:rPr>
                <w:rFonts w:hint="eastAsia" w:ascii="宋体" w:hAnsi="宋体"/>
                <w:b/>
                <w:bCs/>
                <w:kern w:val="0"/>
                <w:szCs w:val="21"/>
                <w:u w:val="single"/>
              </w:rPr>
              <w:t xml:space="preserve">24 </w:t>
            </w:r>
            <w:r>
              <w:rPr>
                <w:rFonts w:hint="eastAsia" w:ascii="宋体" w:hAnsi="宋体"/>
                <w:kern w:val="0"/>
                <w:szCs w:val="21"/>
              </w:rPr>
              <w:t>小时内消除故障（不可抗力情况除外）。消耗品和零配件供应及时，特殊情况下可提供备用机。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548" w:type="pct"/>
            <w:vMerge w:val="continue"/>
            <w:vAlign w:val="center"/>
          </w:tcPr>
          <w:p>
            <w:pPr>
              <w:spacing w:line="360" w:lineRule="auto"/>
              <w:jc w:val="center"/>
              <w:rPr>
                <w:rFonts w:ascii="宋体" w:hAnsi="宋体"/>
                <w:b/>
                <w:szCs w:val="21"/>
              </w:rPr>
            </w:pPr>
          </w:p>
        </w:tc>
        <w:tc>
          <w:tcPr>
            <w:tcW w:w="746" w:type="pct"/>
            <w:vMerge w:val="continue"/>
            <w:vAlign w:val="center"/>
          </w:tcPr>
          <w:p>
            <w:pPr>
              <w:spacing w:line="360" w:lineRule="auto"/>
              <w:rPr>
                <w:rFonts w:ascii="宋体" w:hAnsi="宋体"/>
                <w:b/>
                <w:kern w:val="0"/>
                <w:szCs w:val="21"/>
              </w:rPr>
            </w:pPr>
          </w:p>
        </w:tc>
        <w:tc>
          <w:tcPr>
            <w:tcW w:w="3705" w:type="pct"/>
          </w:tcPr>
          <w:p>
            <w:pPr>
              <w:spacing w:line="360" w:lineRule="auto"/>
              <w:rPr>
                <w:rFonts w:ascii="宋体" w:hAnsi="宋体"/>
                <w:bCs/>
                <w:szCs w:val="21"/>
              </w:rPr>
            </w:pPr>
            <w:r>
              <w:rPr>
                <w:rFonts w:hint="eastAsia" w:asciiTheme="minorEastAsia" w:hAnsiTheme="minorEastAsia" w:eastAsiaTheme="minorEastAsia"/>
                <w:kern w:val="0"/>
                <w:szCs w:val="21"/>
              </w:rPr>
              <w:t>1.3投标人负责货物的终身维修，保证</w:t>
            </w:r>
            <w:r>
              <w:rPr>
                <w:rFonts w:hint="eastAsia" w:asciiTheme="minorEastAsia" w:hAnsiTheme="minorEastAsia" w:eastAsiaTheme="minorEastAsia"/>
                <w:bCs/>
                <w:kern w:val="0"/>
                <w:szCs w:val="21"/>
                <w:u w:val="single"/>
              </w:rPr>
              <w:t>终身</w:t>
            </w:r>
            <w:r>
              <w:rPr>
                <w:rFonts w:hint="eastAsia" w:asciiTheme="minorEastAsia" w:hAnsiTheme="minorEastAsia" w:eastAsiaTheme="minorEastAsia"/>
                <w:kern w:val="0"/>
                <w:szCs w:val="21"/>
              </w:rPr>
              <w:t>供应维修配件，</w:t>
            </w:r>
            <w:r>
              <w:rPr>
                <w:rFonts w:hint="eastAsia" w:asciiTheme="minorEastAsia" w:hAnsiTheme="minorEastAsia" w:eastAsiaTheme="minorEastAsia"/>
                <w:bCs/>
                <w:kern w:val="0"/>
                <w:szCs w:val="21"/>
                <w:u w:val="single"/>
              </w:rPr>
              <w:t xml:space="preserve">  3  </w:t>
            </w:r>
            <w:r>
              <w:rPr>
                <w:rFonts w:hint="eastAsia" w:asciiTheme="minorEastAsia" w:hAnsiTheme="minorEastAsia" w:eastAsiaTheme="minorEastAsia"/>
                <w:kern w:val="0"/>
                <w:szCs w:val="21"/>
              </w:rPr>
              <w:t>年内免费提供软件升级服务。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48" w:type="pct"/>
            <w:vAlign w:val="center"/>
          </w:tcPr>
          <w:p>
            <w:pPr>
              <w:spacing w:line="360" w:lineRule="auto"/>
              <w:jc w:val="center"/>
              <w:rPr>
                <w:rFonts w:ascii="宋体" w:hAnsi="宋体"/>
                <w:b/>
                <w:szCs w:val="21"/>
              </w:rPr>
            </w:pPr>
            <w:r>
              <w:rPr>
                <w:rFonts w:hint="eastAsia" w:ascii="宋体" w:hAnsi="宋体"/>
                <w:b/>
                <w:szCs w:val="21"/>
              </w:rPr>
              <w:t>2</w:t>
            </w:r>
          </w:p>
        </w:tc>
        <w:tc>
          <w:tcPr>
            <w:tcW w:w="746" w:type="pct"/>
            <w:vAlign w:val="center"/>
          </w:tcPr>
          <w:p>
            <w:pPr>
              <w:spacing w:line="360" w:lineRule="auto"/>
              <w:jc w:val="center"/>
              <w:rPr>
                <w:rFonts w:ascii="宋体" w:hAnsi="宋体"/>
                <w:szCs w:val="21"/>
              </w:rPr>
            </w:pPr>
            <w:r>
              <w:rPr>
                <w:rFonts w:hint="eastAsia" w:ascii="宋体" w:hAnsi="宋体"/>
                <w:b/>
                <w:kern w:val="0"/>
                <w:szCs w:val="21"/>
              </w:rPr>
              <w:t>质量保证</w:t>
            </w:r>
          </w:p>
        </w:tc>
        <w:tc>
          <w:tcPr>
            <w:tcW w:w="3705" w:type="pct"/>
          </w:tcPr>
          <w:p>
            <w:pPr>
              <w:widowControl/>
              <w:spacing w:line="360" w:lineRule="auto"/>
              <w:textAlignment w:val="center"/>
              <w:rPr>
                <w:rFonts w:ascii="宋体" w:hAnsi="宋体" w:cs="宋体"/>
                <w:kern w:val="0"/>
                <w:szCs w:val="21"/>
              </w:rPr>
            </w:pPr>
            <w:r>
              <w:rPr>
                <w:rFonts w:hint="eastAsia" w:ascii="宋体" w:hAnsi="宋体" w:cs="宋体"/>
                <w:kern w:val="0"/>
                <w:szCs w:val="21"/>
              </w:rPr>
              <w:t>2.1如果设备不能稳定地达到投标人承诺的全部功能，投标人应对此承担责任并承担全部相关费用以及采购方的直接损失，经采购方同意对货物采用如下一种或几种方式处理：</w:t>
            </w:r>
          </w:p>
          <w:p>
            <w:pPr>
              <w:widowControl/>
              <w:spacing w:line="360" w:lineRule="auto"/>
              <w:textAlignment w:val="center"/>
              <w:rPr>
                <w:rFonts w:ascii="宋体" w:hAnsi="宋体" w:cs="宋体"/>
                <w:szCs w:val="21"/>
              </w:rPr>
            </w:pPr>
            <w:r>
              <w:rPr>
                <w:rFonts w:hint="eastAsia" w:ascii="宋体" w:hAnsi="宋体" w:cs="宋体"/>
                <w:kern w:val="0"/>
                <w:szCs w:val="21"/>
              </w:rPr>
              <w:t>2.1.1免费维修和更换损坏零部件；</w:t>
            </w:r>
          </w:p>
          <w:p>
            <w:pPr>
              <w:widowControl/>
              <w:spacing w:line="360" w:lineRule="auto"/>
              <w:textAlignment w:val="center"/>
              <w:rPr>
                <w:rFonts w:ascii="宋体" w:hAnsi="宋体" w:cs="宋体"/>
                <w:szCs w:val="21"/>
              </w:rPr>
            </w:pPr>
            <w:r>
              <w:rPr>
                <w:rFonts w:hint="eastAsia" w:ascii="宋体" w:hAnsi="宋体" w:cs="宋体"/>
                <w:kern w:val="0"/>
                <w:szCs w:val="21"/>
              </w:rPr>
              <w:t>2.1.2换货；</w:t>
            </w:r>
          </w:p>
          <w:p>
            <w:pPr>
              <w:spacing w:line="360" w:lineRule="auto"/>
              <w:rPr>
                <w:rFonts w:ascii="宋体" w:hAnsi="宋体"/>
                <w:kern w:val="0"/>
                <w:szCs w:val="21"/>
              </w:rPr>
            </w:pPr>
            <w:r>
              <w:rPr>
                <w:rFonts w:hint="eastAsia" w:ascii="宋体" w:hAnsi="宋体" w:cs="宋体"/>
                <w:kern w:val="0"/>
                <w:szCs w:val="21"/>
              </w:rPr>
              <w:t>2.1.3退款，但不免除其它正常部分的质量保证责任。如投标人未能在合理的时间内将产品维修、更换或修正以符合招标文件要求的规格，采购方有权在合理时间内将产品退回投标方后要求返还已付的价款。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3"/>
          </w:tcPr>
          <w:p>
            <w:pPr>
              <w:spacing w:line="360" w:lineRule="auto"/>
              <w:rPr>
                <w:rFonts w:ascii="宋体" w:hAnsi="宋体"/>
                <w:b/>
                <w:szCs w:val="21"/>
              </w:rPr>
            </w:pPr>
            <w:r>
              <w:rPr>
                <w:rFonts w:hint="eastAsia" w:ascii="宋体" w:hAnsi="宋体"/>
                <w:b/>
                <w:szCs w:val="21"/>
              </w:rPr>
              <w:t>（二）免费保修期外售后服务要求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48" w:type="pct"/>
            <w:vMerge w:val="restart"/>
            <w:vAlign w:val="center"/>
          </w:tcPr>
          <w:p>
            <w:pPr>
              <w:spacing w:line="360" w:lineRule="auto"/>
              <w:jc w:val="center"/>
              <w:rPr>
                <w:rFonts w:ascii="宋体" w:hAnsi="宋体"/>
                <w:b/>
                <w:szCs w:val="21"/>
              </w:rPr>
            </w:pPr>
            <w:r>
              <w:rPr>
                <w:rFonts w:hint="eastAsia" w:ascii="宋体" w:hAnsi="宋体"/>
                <w:b/>
                <w:szCs w:val="21"/>
              </w:rPr>
              <w:t>1</w:t>
            </w:r>
          </w:p>
        </w:tc>
        <w:tc>
          <w:tcPr>
            <w:tcW w:w="746" w:type="pct"/>
            <w:vMerge w:val="restart"/>
            <w:vAlign w:val="center"/>
          </w:tcPr>
          <w:p>
            <w:pPr>
              <w:spacing w:line="360" w:lineRule="auto"/>
              <w:jc w:val="center"/>
              <w:rPr>
                <w:rFonts w:ascii="宋体" w:hAnsi="宋体"/>
                <w:b/>
                <w:szCs w:val="21"/>
              </w:rPr>
            </w:pPr>
            <w:r>
              <w:rPr>
                <w:rFonts w:hint="eastAsia" w:ascii="宋体" w:hAnsi="宋体"/>
                <w:b/>
                <w:kern w:val="0"/>
                <w:szCs w:val="21"/>
              </w:rPr>
              <w:t>维修零配件、消耗品和延续保修合同的报价</w:t>
            </w:r>
          </w:p>
        </w:tc>
        <w:tc>
          <w:tcPr>
            <w:tcW w:w="3705" w:type="pct"/>
          </w:tcPr>
          <w:p>
            <w:pPr>
              <w:spacing w:line="360" w:lineRule="auto"/>
              <w:rPr>
                <w:rFonts w:ascii="宋体" w:hAnsi="宋体"/>
                <w:kern w:val="0"/>
                <w:szCs w:val="21"/>
              </w:rPr>
            </w:pPr>
            <w:r>
              <w:rPr>
                <w:rFonts w:hint="eastAsia" w:asciiTheme="minorEastAsia" w:hAnsiTheme="minorEastAsia" w:eastAsiaTheme="minorEastAsia"/>
                <w:kern w:val="0"/>
                <w:szCs w:val="21"/>
              </w:rPr>
              <w:t>1.1由设备制造商提供售后服务，</w:t>
            </w:r>
            <w:r>
              <w:rPr>
                <w:rFonts w:hint="eastAsia" w:asciiTheme="minorEastAsia" w:hAnsiTheme="minorEastAsia" w:eastAsiaTheme="minorEastAsia"/>
                <w:bCs/>
                <w:kern w:val="0"/>
                <w:szCs w:val="21"/>
                <w:u w:val="single"/>
              </w:rPr>
              <w:t xml:space="preserve">  2  </w:t>
            </w:r>
            <w:r>
              <w:rPr>
                <w:rFonts w:hint="eastAsia" w:asciiTheme="minorEastAsia" w:hAnsiTheme="minorEastAsia" w:eastAsiaTheme="minorEastAsia"/>
                <w:kern w:val="0"/>
                <w:szCs w:val="21"/>
              </w:rPr>
              <w:t>小时内响应，</w:t>
            </w:r>
            <w:r>
              <w:rPr>
                <w:rFonts w:hint="eastAsia" w:asciiTheme="minorEastAsia" w:hAnsiTheme="minorEastAsia" w:eastAsiaTheme="minorEastAsia"/>
                <w:bCs/>
                <w:kern w:val="0"/>
                <w:szCs w:val="21"/>
                <w:u w:val="single"/>
              </w:rPr>
              <w:t xml:space="preserve">  72  </w:t>
            </w:r>
            <w:r>
              <w:rPr>
                <w:rFonts w:hint="eastAsia" w:asciiTheme="minorEastAsia" w:hAnsiTheme="minorEastAsia" w:eastAsiaTheme="minorEastAsia"/>
                <w:kern w:val="0"/>
                <w:szCs w:val="21"/>
              </w:rPr>
              <w:t>小时维修到位（不可抗力情况除外）。消耗品和零配件供应及时，特殊情况下可提供备用机。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548" w:type="pct"/>
            <w:vMerge w:val="continue"/>
            <w:vAlign w:val="center"/>
          </w:tcPr>
          <w:p>
            <w:pPr>
              <w:spacing w:line="360" w:lineRule="auto"/>
              <w:jc w:val="center"/>
              <w:rPr>
                <w:rFonts w:ascii="宋体" w:hAnsi="宋体"/>
                <w:b/>
                <w:szCs w:val="21"/>
              </w:rPr>
            </w:pPr>
          </w:p>
        </w:tc>
        <w:tc>
          <w:tcPr>
            <w:tcW w:w="746" w:type="pct"/>
            <w:vMerge w:val="continue"/>
            <w:vAlign w:val="center"/>
          </w:tcPr>
          <w:p>
            <w:pPr>
              <w:spacing w:line="360" w:lineRule="auto"/>
              <w:jc w:val="center"/>
              <w:rPr>
                <w:rFonts w:ascii="宋体" w:hAnsi="宋体"/>
                <w:b/>
                <w:kern w:val="0"/>
                <w:szCs w:val="21"/>
              </w:rPr>
            </w:pPr>
          </w:p>
        </w:tc>
        <w:tc>
          <w:tcPr>
            <w:tcW w:w="3705" w:type="pct"/>
          </w:tcPr>
          <w:p>
            <w:pPr>
              <w:spacing w:line="360" w:lineRule="auto"/>
              <w:rPr>
                <w:rFonts w:ascii="宋体" w:hAnsi="宋体"/>
                <w:kern w:val="0"/>
                <w:szCs w:val="21"/>
              </w:rPr>
            </w:pPr>
            <w:r>
              <w:rPr>
                <w:rFonts w:hint="eastAsia" w:asciiTheme="minorEastAsia" w:hAnsiTheme="minorEastAsia" w:eastAsiaTheme="minorEastAsia"/>
                <w:kern w:val="0"/>
                <w:szCs w:val="21"/>
              </w:rPr>
              <w:t>1.2保修期满后，投标人应以优惠价供应维修零配件、消耗品和延续保修合同。价格最高的前5项零配件、消耗品和延续保修合同的报价明细必须填写于《零配件、消耗品和延续保修合同报价明细清单》中。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48" w:type="pct"/>
            <w:vMerge w:val="continue"/>
            <w:vAlign w:val="center"/>
          </w:tcPr>
          <w:p>
            <w:pPr>
              <w:spacing w:line="360" w:lineRule="auto"/>
              <w:jc w:val="center"/>
              <w:rPr>
                <w:rFonts w:ascii="宋体" w:hAnsi="宋体"/>
                <w:b/>
                <w:szCs w:val="21"/>
              </w:rPr>
            </w:pPr>
          </w:p>
        </w:tc>
        <w:tc>
          <w:tcPr>
            <w:tcW w:w="746" w:type="pct"/>
            <w:vMerge w:val="continue"/>
          </w:tcPr>
          <w:p>
            <w:pPr>
              <w:spacing w:line="360" w:lineRule="auto"/>
              <w:rPr>
                <w:rFonts w:ascii="宋体" w:hAnsi="宋体"/>
                <w:b/>
                <w:szCs w:val="21"/>
              </w:rPr>
            </w:pPr>
          </w:p>
        </w:tc>
        <w:tc>
          <w:tcPr>
            <w:tcW w:w="3705" w:type="pct"/>
          </w:tcPr>
          <w:p>
            <w:pPr>
              <w:spacing w:line="360" w:lineRule="auto"/>
              <w:rPr>
                <w:rFonts w:ascii="宋体" w:hAnsi="宋体"/>
                <w:b/>
                <w:szCs w:val="21"/>
              </w:rPr>
            </w:pPr>
            <w:r>
              <w:rPr>
                <w:rFonts w:hint="eastAsia" w:asciiTheme="minorEastAsia" w:hAnsiTheme="minorEastAsia" w:eastAsiaTheme="minorEastAsia"/>
                <w:kern w:val="0"/>
                <w:szCs w:val="21"/>
              </w:rPr>
              <w:t>1.3采购人可与投标人就优惠价进行谈判，但优惠价不得高于投标人在投标文件的《零配件、消耗品和延续保修合同报价明细清单》中承诺的维修零配件、消耗品和延续保修合同的报价。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8" w:type="pct"/>
            <w:vMerge w:val="continue"/>
            <w:vAlign w:val="center"/>
          </w:tcPr>
          <w:p>
            <w:pPr>
              <w:spacing w:line="360" w:lineRule="auto"/>
              <w:jc w:val="center"/>
              <w:rPr>
                <w:rFonts w:ascii="宋体" w:hAnsi="宋体"/>
                <w:b/>
                <w:szCs w:val="21"/>
              </w:rPr>
            </w:pPr>
          </w:p>
        </w:tc>
        <w:tc>
          <w:tcPr>
            <w:tcW w:w="746" w:type="pct"/>
            <w:vMerge w:val="continue"/>
          </w:tcPr>
          <w:p>
            <w:pPr>
              <w:spacing w:line="360" w:lineRule="auto"/>
              <w:rPr>
                <w:rFonts w:ascii="宋体" w:hAnsi="宋体"/>
                <w:b/>
                <w:szCs w:val="21"/>
              </w:rPr>
            </w:pPr>
          </w:p>
        </w:tc>
        <w:tc>
          <w:tcPr>
            <w:tcW w:w="3705" w:type="pct"/>
          </w:tcPr>
          <w:p>
            <w:pPr>
              <w:spacing w:line="360" w:lineRule="auto"/>
              <w:rPr>
                <w:rFonts w:ascii="宋体" w:hAnsi="宋体"/>
                <w:b/>
                <w:szCs w:val="21"/>
              </w:rPr>
            </w:pPr>
            <w:r>
              <w:rPr>
                <w:rFonts w:hint="eastAsia" w:asciiTheme="minorEastAsia" w:hAnsiTheme="minorEastAsia" w:eastAsiaTheme="minorEastAsia"/>
                <w:kern w:val="0"/>
                <w:szCs w:val="21"/>
              </w:rPr>
              <w:t>1.4设备制造商维修的货物经采购人验收合格，且设备制造商提供维修专用发票后，采购人支付维修费用。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8" w:type="pct"/>
            <w:vMerge w:val="continue"/>
            <w:vAlign w:val="center"/>
          </w:tcPr>
          <w:p>
            <w:pPr>
              <w:spacing w:line="360" w:lineRule="auto"/>
              <w:jc w:val="center"/>
              <w:rPr>
                <w:rFonts w:ascii="宋体" w:hAnsi="宋体"/>
                <w:b/>
                <w:szCs w:val="21"/>
              </w:rPr>
            </w:pPr>
          </w:p>
        </w:tc>
        <w:tc>
          <w:tcPr>
            <w:tcW w:w="746" w:type="pct"/>
            <w:vMerge w:val="continue"/>
          </w:tcPr>
          <w:p>
            <w:pPr>
              <w:spacing w:line="360" w:lineRule="auto"/>
              <w:rPr>
                <w:rFonts w:ascii="宋体" w:hAnsi="宋体"/>
                <w:b/>
                <w:szCs w:val="21"/>
              </w:rPr>
            </w:pPr>
          </w:p>
        </w:tc>
        <w:tc>
          <w:tcPr>
            <w:tcW w:w="3705" w:type="pct"/>
          </w:tcPr>
          <w:p>
            <w:pPr>
              <w:spacing w:line="360" w:lineRule="auto"/>
              <w:rPr>
                <w:rFonts w:ascii="宋体" w:hAnsi="宋体"/>
                <w:kern w:val="0"/>
                <w:szCs w:val="21"/>
              </w:rPr>
            </w:pPr>
            <w:r>
              <w:rPr>
                <w:rFonts w:hint="eastAsia" w:asciiTheme="minorEastAsia" w:hAnsiTheme="minorEastAsia" w:eastAsiaTheme="minorEastAsia"/>
                <w:kern w:val="0"/>
                <w:szCs w:val="21"/>
              </w:rPr>
              <w:t>1.5投标人及设备制造商不得以任何理由不按时进行维修，不得要求采购人购买所谓“保修服务”（即：不论设备有无故障先买保修服务），不得在设备中嵌设任何不利于采购人使用与维修设备的障碍。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000" w:type="pct"/>
            <w:gridSpan w:val="3"/>
          </w:tcPr>
          <w:p>
            <w:pPr>
              <w:spacing w:line="360" w:lineRule="auto"/>
              <w:rPr>
                <w:rFonts w:ascii="宋体" w:hAnsi="宋体"/>
                <w:b/>
                <w:szCs w:val="21"/>
              </w:rPr>
            </w:pPr>
            <w:r>
              <w:rPr>
                <w:rFonts w:hint="eastAsia" w:ascii="宋体" w:hAnsi="宋体"/>
                <w:b/>
                <w:szCs w:val="21"/>
              </w:rPr>
              <w:t>（三）其他商务要求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48" w:type="pct"/>
            <w:vMerge w:val="restart"/>
            <w:vAlign w:val="center"/>
          </w:tcPr>
          <w:p>
            <w:pPr>
              <w:spacing w:line="360" w:lineRule="auto"/>
              <w:jc w:val="center"/>
              <w:rPr>
                <w:rFonts w:ascii="宋体" w:hAnsi="宋体"/>
                <w:b/>
                <w:szCs w:val="21"/>
              </w:rPr>
            </w:pPr>
            <w:r>
              <w:rPr>
                <w:rFonts w:hint="eastAsia" w:ascii="宋体" w:hAnsi="宋体"/>
                <w:b/>
                <w:szCs w:val="21"/>
              </w:rPr>
              <w:t>1</w:t>
            </w:r>
          </w:p>
        </w:tc>
        <w:tc>
          <w:tcPr>
            <w:tcW w:w="746" w:type="pct"/>
            <w:vMerge w:val="restart"/>
            <w:vAlign w:val="center"/>
          </w:tcPr>
          <w:p>
            <w:pPr>
              <w:spacing w:line="360" w:lineRule="auto"/>
              <w:jc w:val="center"/>
              <w:rPr>
                <w:rFonts w:ascii="宋体" w:hAnsi="宋体"/>
                <w:szCs w:val="21"/>
              </w:rPr>
            </w:pPr>
            <w:r>
              <w:rPr>
                <w:rFonts w:hint="eastAsia" w:ascii="宋体" w:hAnsi="宋体"/>
                <w:b/>
                <w:szCs w:val="21"/>
              </w:rPr>
              <w:t>交货要求</w:t>
            </w:r>
          </w:p>
        </w:tc>
        <w:tc>
          <w:tcPr>
            <w:tcW w:w="3705" w:type="pct"/>
          </w:tcPr>
          <w:p>
            <w:pPr>
              <w:spacing w:line="360" w:lineRule="auto"/>
              <w:rPr>
                <w:rFonts w:ascii="宋体" w:hAnsi="宋体"/>
                <w:b/>
                <w:szCs w:val="21"/>
              </w:rPr>
            </w:pPr>
            <w:r>
              <w:rPr>
                <w:rFonts w:hint="eastAsia" w:asciiTheme="minorEastAsia" w:hAnsiTheme="minorEastAsia" w:eastAsiaTheme="minorEastAsia"/>
                <w:kern w:val="0"/>
                <w:szCs w:val="21"/>
                <w:highlight w:val="yellow"/>
              </w:rPr>
              <w:t>★</w:t>
            </w:r>
            <w:r>
              <w:rPr>
                <w:rFonts w:hint="eastAsia" w:asciiTheme="minorEastAsia" w:hAnsiTheme="minorEastAsia" w:eastAsiaTheme="minorEastAsia"/>
                <w:b/>
                <w:bCs/>
                <w:szCs w:val="21"/>
                <w:highlight w:val="yellow"/>
              </w:rPr>
              <w:t>1.1</w:t>
            </w:r>
            <w:r>
              <w:rPr>
                <w:rFonts w:hint="eastAsia" w:asciiTheme="minorEastAsia" w:hAnsiTheme="minorEastAsia" w:eastAsiaTheme="minorEastAsia"/>
                <w:b/>
                <w:bCs/>
                <w:kern w:val="0"/>
                <w:szCs w:val="21"/>
                <w:highlight w:val="yellow"/>
              </w:rPr>
              <w:t>签订合同之日起</w:t>
            </w:r>
            <w:r>
              <w:rPr>
                <w:rFonts w:hint="eastAsia" w:asciiTheme="minorEastAsia" w:hAnsiTheme="minorEastAsia" w:eastAsiaTheme="minorEastAsia"/>
                <w:b/>
                <w:bCs/>
                <w:kern w:val="0"/>
                <w:szCs w:val="21"/>
                <w:highlight w:val="yellow"/>
                <w:u w:val="single"/>
              </w:rPr>
              <w:t>15</w:t>
            </w:r>
            <w:r>
              <w:rPr>
                <w:rFonts w:hint="eastAsia" w:asciiTheme="minorEastAsia" w:hAnsiTheme="minorEastAsia" w:eastAsiaTheme="minorEastAsia"/>
                <w:b/>
                <w:bCs/>
                <w:kern w:val="0"/>
                <w:szCs w:val="21"/>
                <w:highlight w:val="yellow"/>
              </w:rPr>
              <w:t>天（日历日）内交货。指合同生效后，中标方将全部货物运抵并安装调试完成，经验收合格，正式交付用户使用所需的时间（产品的附件、备品备件及专用工具、技术文件和资料等应随产品一同交付）。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548" w:type="pct"/>
            <w:vMerge w:val="continue"/>
            <w:vAlign w:val="center"/>
          </w:tcPr>
          <w:p>
            <w:pPr>
              <w:spacing w:line="360" w:lineRule="auto"/>
              <w:jc w:val="center"/>
              <w:rPr>
                <w:rFonts w:ascii="宋体" w:hAnsi="宋体"/>
                <w:b/>
                <w:szCs w:val="21"/>
              </w:rPr>
            </w:pPr>
          </w:p>
        </w:tc>
        <w:tc>
          <w:tcPr>
            <w:tcW w:w="746" w:type="pct"/>
            <w:vMerge w:val="continue"/>
            <w:vAlign w:val="center"/>
          </w:tcPr>
          <w:p>
            <w:pPr>
              <w:spacing w:line="360" w:lineRule="auto"/>
              <w:jc w:val="center"/>
              <w:rPr>
                <w:rFonts w:ascii="宋体" w:hAnsi="宋体"/>
                <w:szCs w:val="21"/>
              </w:rPr>
            </w:pPr>
          </w:p>
        </w:tc>
        <w:tc>
          <w:tcPr>
            <w:tcW w:w="3705" w:type="pct"/>
          </w:tcPr>
          <w:p>
            <w:pPr>
              <w:spacing w:line="360" w:lineRule="auto"/>
              <w:rPr>
                <w:rFonts w:ascii="宋体" w:hAnsi="宋体"/>
                <w:bCs/>
                <w:szCs w:val="21"/>
              </w:rPr>
            </w:pPr>
            <w:r>
              <w:rPr>
                <w:rFonts w:hint="eastAsia" w:asciiTheme="minorEastAsia" w:hAnsiTheme="minorEastAsia" w:eastAsiaTheme="minorEastAsia"/>
                <w:bCs/>
                <w:szCs w:val="21"/>
              </w:rPr>
              <w:t>1.2投标人</w:t>
            </w:r>
            <w:r>
              <w:rPr>
                <w:rFonts w:hint="eastAsia" w:asciiTheme="minorEastAsia" w:hAnsiTheme="minorEastAsia" w:eastAsiaTheme="minorEastAsia"/>
                <w:kern w:val="0"/>
                <w:szCs w:val="21"/>
              </w:rPr>
              <w:t>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548" w:type="pct"/>
            <w:vMerge w:val="continue"/>
            <w:vAlign w:val="center"/>
          </w:tcPr>
          <w:p>
            <w:pPr>
              <w:spacing w:line="360" w:lineRule="auto"/>
              <w:jc w:val="center"/>
              <w:rPr>
                <w:rFonts w:ascii="宋体" w:hAnsi="宋体"/>
                <w:b/>
                <w:szCs w:val="21"/>
              </w:rPr>
            </w:pPr>
          </w:p>
        </w:tc>
        <w:tc>
          <w:tcPr>
            <w:tcW w:w="746" w:type="pct"/>
            <w:vMerge w:val="continue"/>
            <w:vAlign w:val="center"/>
          </w:tcPr>
          <w:p>
            <w:pPr>
              <w:spacing w:line="360" w:lineRule="auto"/>
              <w:jc w:val="center"/>
              <w:rPr>
                <w:rFonts w:ascii="宋体" w:hAnsi="宋体"/>
                <w:szCs w:val="21"/>
              </w:rPr>
            </w:pPr>
          </w:p>
        </w:tc>
        <w:tc>
          <w:tcPr>
            <w:tcW w:w="3705" w:type="pct"/>
          </w:tcPr>
          <w:p>
            <w:pPr>
              <w:spacing w:line="360" w:lineRule="auto"/>
              <w:rPr>
                <w:rFonts w:ascii="宋体" w:hAnsi="宋体" w:cs="宋体"/>
                <w:kern w:val="0"/>
                <w:szCs w:val="21"/>
              </w:rPr>
            </w:pPr>
            <w:r>
              <w:rPr>
                <w:rFonts w:hint="eastAsia" w:asciiTheme="minorEastAsia" w:hAnsiTheme="minorEastAsia" w:eastAsiaTheme="minorEastAsia"/>
                <w:spacing w:val="-3"/>
                <w:szCs w:val="21"/>
              </w:rPr>
              <w:t>1.3提供的货物必须为全新、经检验合格的产品。产品如需要计量检定的应提供相关计量检定部门出具的合法检定报告。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548" w:type="pct"/>
            <w:vMerge w:val="restart"/>
            <w:vAlign w:val="center"/>
          </w:tcPr>
          <w:p>
            <w:pPr>
              <w:spacing w:line="360" w:lineRule="auto"/>
              <w:jc w:val="center"/>
              <w:rPr>
                <w:rFonts w:ascii="宋体" w:hAnsi="宋体"/>
                <w:b/>
                <w:szCs w:val="21"/>
              </w:rPr>
            </w:pPr>
            <w:r>
              <w:rPr>
                <w:rFonts w:hint="eastAsia" w:ascii="宋体" w:hAnsi="宋体"/>
                <w:b/>
                <w:szCs w:val="21"/>
              </w:rPr>
              <w:t>2</w:t>
            </w:r>
          </w:p>
        </w:tc>
        <w:tc>
          <w:tcPr>
            <w:tcW w:w="746" w:type="pct"/>
            <w:vMerge w:val="restart"/>
            <w:vAlign w:val="center"/>
          </w:tcPr>
          <w:p>
            <w:pPr>
              <w:spacing w:line="360" w:lineRule="auto"/>
              <w:jc w:val="center"/>
              <w:rPr>
                <w:rFonts w:ascii="宋体" w:hAnsi="宋体"/>
                <w:szCs w:val="21"/>
              </w:rPr>
            </w:pPr>
            <w:r>
              <w:rPr>
                <w:rFonts w:hint="eastAsia" w:ascii="宋体" w:hAnsi="宋体"/>
                <w:b/>
                <w:bCs/>
                <w:kern w:val="0"/>
                <w:szCs w:val="21"/>
              </w:rPr>
              <w:t>运输、安装和验收</w:t>
            </w:r>
          </w:p>
        </w:tc>
        <w:tc>
          <w:tcPr>
            <w:tcW w:w="3705" w:type="pct"/>
          </w:tcPr>
          <w:p>
            <w:pPr>
              <w:spacing w:line="360" w:lineRule="auto"/>
              <w:rPr>
                <w:rFonts w:ascii="宋体" w:hAnsi="宋体"/>
                <w:spacing w:val="-3"/>
                <w:szCs w:val="21"/>
              </w:rPr>
            </w:pPr>
            <w:r>
              <w:rPr>
                <w:rFonts w:hint="eastAsia" w:asciiTheme="minorEastAsia" w:hAnsiTheme="minorEastAsia" w:eastAsiaTheme="minorEastAsia"/>
                <w:bCs/>
                <w:szCs w:val="21"/>
              </w:rPr>
              <w:t>2.1投标人</w:t>
            </w:r>
            <w:r>
              <w:rPr>
                <w:rFonts w:hint="eastAsia" w:asciiTheme="minorEastAsia" w:hAnsiTheme="minorEastAsia" w:eastAsiaTheme="minorEastAsia"/>
                <w:bCs/>
                <w:kern w:val="0"/>
                <w:szCs w:val="21"/>
              </w:rPr>
              <w:t>负责将</w:t>
            </w:r>
            <w:r>
              <w:rPr>
                <w:rFonts w:hint="eastAsia" w:asciiTheme="minorEastAsia" w:hAnsiTheme="minorEastAsia" w:eastAsiaTheme="minorEastAsia"/>
                <w:kern w:val="0"/>
                <w:szCs w:val="21"/>
              </w:rPr>
              <w:t>货物</w:t>
            </w:r>
            <w:r>
              <w:rPr>
                <w:rFonts w:hint="eastAsia" w:asciiTheme="minorEastAsia" w:hAnsiTheme="minorEastAsia" w:eastAsiaTheme="minorEastAsia"/>
                <w:bCs/>
                <w:kern w:val="0"/>
                <w:szCs w:val="21"/>
              </w:rPr>
              <w:t>安全无损运抵采购人指定地点,并承担设备的包装、运输、保险、装卸、安装调试、培训、商检及计量检测、增值税等费用。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548" w:type="pct"/>
            <w:vMerge w:val="continue"/>
            <w:vAlign w:val="center"/>
          </w:tcPr>
          <w:p>
            <w:pPr>
              <w:spacing w:line="360" w:lineRule="auto"/>
              <w:jc w:val="center"/>
              <w:rPr>
                <w:rFonts w:ascii="宋体" w:hAnsi="宋体"/>
                <w:b/>
                <w:szCs w:val="21"/>
              </w:rPr>
            </w:pPr>
          </w:p>
        </w:tc>
        <w:tc>
          <w:tcPr>
            <w:tcW w:w="746" w:type="pct"/>
            <w:vMerge w:val="continue"/>
            <w:vAlign w:val="center"/>
          </w:tcPr>
          <w:p>
            <w:pPr>
              <w:spacing w:line="360" w:lineRule="auto"/>
              <w:jc w:val="center"/>
              <w:rPr>
                <w:rFonts w:ascii="宋体" w:hAnsi="宋体"/>
                <w:b/>
                <w:bCs/>
                <w:kern w:val="0"/>
                <w:szCs w:val="21"/>
              </w:rPr>
            </w:pPr>
          </w:p>
        </w:tc>
        <w:tc>
          <w:tcPr>
            <w:tcW w:w="3705" w:type="pct"/>
          </w:tcPr>
          <w:p>
            <w:pPr>
              <w:tabs>
                <w:tab w:val="left" w:pos="1260"/>
              </w:tabs>
              <w:spacing w:line="360" w:lineRule="auto"/>
              <w:rPr>
                <w:rFonts w:asciiTheme="minorEastAsia" w:hAnsiTheme="minorEastAsia" w:eastAsiaTheme="minorEastAsia"/>
                <w:bCs/>
                <w:kern w:val="0"/>
                <w:szCs w:val="21"/>
              </w:rPr>
            </w:pPr>
            <w:r>
              <w:rPr>
                <w:rFonts w:hint="eastAsia" w:asciiTheme="minorEastAsia" w:hAnsiTheme="minorEastAsia" w:eastAsiaTheme="minorEastAsia"/>
                <w:bCs/>
                <w:szCs w:val="21"/>
              </w:rPr>
              <w:t>2.2</w:t>
            </w:r>
            <w:r>
              <w:rPr>
                <w:rFonts w:hint="eastAsia" w:asciiTheme="minorEastAsia" w:hAnsiTheme="minorEastAsia" w:eastAsiaTheme="minorEastAsia"/>
                <w:bCs/>
                <w:kern w:val="0"/>
                <w:szCs w:val="21"/>
              </w:rPr>
              <w:t>采购人有权检验或测试货物，以确认货物是否符合合同规格的要求，并且不承担额外的费用。如果发现所交货物与投标文件中所承诺的不符或存在质量、技术缺陷等</w:t>
            </w:r>
            <w:r>
              <w:rPr>
                <w:rFonts w:asciiTheme="minorEastAsia" w:hAnsiTheme="minorEastAsia" w:eastAsiaTheme="minorEastAsia"/>
                <w:bCs/>
                <w:kern w:val="0"/>
                <w:szCs w:val="21"/>
              </w:rPr>
              <w:t>,</w:t>
            </w:r>
            <w:r>
              <w:rPr>
                <w:rFonts w:hint="eastAsia" w:asciiTheme="minorEastAsia" w:hAnsiTheme="minorEastAsia" w:eastAsiaTheme="minorEastAsia"/>
                <w:bCs/>
                <w:kern w:val="0"/>
                <w:szCs w:val="21"/>
              </w:rPr>
              <w:t>采购人可以拒绝接收该货物</w:t>
            </w:r>
            <w:r>
              <w:rPr>
                <w:rFonts w:asciiTheme="minorEastAsia" w:hAnsiTheme="minorEastAsia" w:eastAsiaTheme="minorEastAsia"/>
                <w:bCs/>
                <w:kern w:val="0"/>
                <w:szCs w:val="21"/>
              </w:rPr>
              <w:t>,</w:t>
            </w:r>
            <w:r>
              <w:rPr>
                <w:rFonts w:hint="eastAsia" w:asciiTheme="minorEastAsia" w:hAnsiTheme="minorEastAsia" w:eastAsiaTheme="minorEastAsia"/>
                <w:bCs/>
                <w:kern w:val="0"/>
                <w:szCs w:val="21"/>
              </w:rPr>
              <w:t>投标人应在 3个工作日内采取补足、更换或退货等措施</w:t>
            </w:r>
            <w:r>
              <w:rPr>
                <w:rFonts w:asciiTheme="minorEastAsia" w:hAnsiTheme="minorEastAsia" w:eastAsiaTheme="minorEastAsia"/>
                <w:bCs/>
                <w:kern w:val="0"/>
                <w:szCs w:val="21"/>
              </w:rPr>
              <w:t>,</w:t>
            </w:r>
            <w:r>
              <w:rPr>
                <w:rFonts w:hint="eastAsia" w:asciiTheme="minorEastAsia" w:hAnsiTheme="minorEastAsia" w:eastAsiaTheme="minorEastAsia"/>
                <w:bCs/>
                <w:kern w:val="0"/>
                <w:szCs w:val="21"/>
              </w:rPr>
              <w:t>以满足规格的要求，由此发生的一切损失和费用由投标人承担。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48" w:type="pct"/>
            <w:vMerge w:val="continue"/>
            <w:vAlign w:val="center"/>
          </w:tcPr>
          <w:p>
            <w:pPr>
              <w:spacing w:line="360" w:lineRule="auto"/>
              <w:jc w:val="center"/>
              <w:rPr>
                <w:rFonts w:ascii="宋体" w:hAnsi="宋体"/>
                <w:b/>
                <w:szCs w:val="21"/>
              </w:rPr>
            </w:pPr>
          </w:p>
        </w:tc>
        <w:tc>
          <w:tcPr>
            <w:tcW w:w="746" w:type="pct"/>
            <w:vMerge w:val="continue"/>
          </w:tcPr>
          <w:p>
            <w:pPr>
              <w:spacing w:line="360" w:lineRule="auto"/>
              <w:rPr>
                <w:rFonts w:ascii="宋体" w:hAnsi="宋体"/>
                <w:b/>
                <w:szCs w:val="21"/>
              </w:rPr>
            </w:pPr>
          </w:p>
        </w:tc>
        <w:tc>
          <w:tcPr>
            <w:tcW w:w="3705" w:type="pct"/>
          </w:tcPr>
          <w:p>
            <w:pPr>
              <w:tabs>
                <w:tab w:val="left" w:pos="1260"/>
              </w:tabs>
              <w:spacing w:line="360" w:lineRule="auto"/>
              <w:rPr>
                <w:rFonts w:asciiTheme="minorEastAsia" w:hAnsiTheme="minorEastAsia" w:eastAsiaTheme="minorEastAsia"/>
                <w:bCs/>
                <w:kern w:val="0"/>
                <w:szCs w:val="21"/>
              </w:rPr>
            </w:pPr>
            <w:r>
              <w:rPr>
                <w:rFonts w:hint="eastAsia" w:asciiTheme="minorEastAsia" w:hAnsiTheme="minorEastAsia" w:eastAsiaTheme="minorEastAsia"/>
                <w:bCs/>
                <w:kern w:val="0"/>
                <w:szCs w:val="21"/>
              </w:rPr>
              <w:t>2.3投标人负责货物的现场安装和调试,提供货物安装、调试和维修所需的专用工具和辅助材料。投标人应在货物运至指定地点后一周内开始安装调试,并在  7 天（日历日）内安装调试完毕。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48" w:type="pct"/>
            <w:vMerge w:val="continue"/>
            <w:vAlign w:val="center"/>
          </w:tcPr>
          <w:p>
            <w:pPr>
              <w:spacing w:line="360" w:lineRule="auto"/>
              <w:jc w:val="center"/>
              <w:rPr>
                <w:rFonts w:ascii="宋体" w:hAnsi="宋体"/>
                <w:b/>
                <w:szCs w:val="21"/>
              </w:rPr>
            </w:pPr>
          </w:p>
        </w:tc>
        <w:tc>
          <w:tcPr>
            <w:tcW w:w="746" w:type="pct"/>
            <w:vMerge w:val="continue"/>
          </w:tcPr>
          <w:p>
            <w:pPr>
              <w:spacing w:line="360" w:lineRule="auto"/>
              <w:rPr>
                <w:rFonts w:ascii="宋体" w:hAnsi="宋体"/>
                <w:b/>
                <w:szCs w:val="21"/>
              </w:rPr>
            </w:pPr>
          </w:p>
        </w:tc>
        <w:tc>
          <w:tcPr>
            <w:tcW w:w="3705" w:type="pct"/>
          </w:tcPr>
          <w:p>
            <w:pPr>
              <w:tabs>
                <w:tab w:val="left" w:pos="1260"/>
              </w:tabs>
              <w:spacing w:line="360" w:lineRule="auto"/>
              <w:rPr>
                <w:rFonts w:ascii="宋体" w:hAnsi="宋体"/>
                <w:bCs/>
                <w:szCs w:val="21"/>
              </w:rPr>
            </w:pPr>
            <w:r>
              <w:rPr>
                <w:rFonts w:hint="eastAsia" w:asciiTheme="minorEastAsia" w:hAnsiTheme="minorEastAsia" w:eastAsiaTheme="minorEastAsia"/>
                <w:spacing w:val="-3"/>
                <w:szCs w:val="21"/>
              </w:rPr>
              <w:t>2.4由投标人代表和采购人组成验收小组对产品进行验收。验收标准按照国家规定标准执行。经检验设备正常运作后签署验收报告</w:t>
            </w:r>
            <w:r>
              <w:rPr>
                <w:rFonts w:asciiTheme="minorEastAsia" w:hAnsiTheme="minorEastAsia" w:eastAsiaTheme="minorEastAsia"/>
                <w:spacing w:val="-3"/>
                <w:szCs w:val="21"/>
              </w:rPr>
              <w:t>,</w:t>
            </w:r>
            <w:r>
              <w:rPr>
                <w:rFonts w:hint="eastAsia" w:asciiTheme="minorEastAsia" w:hAnsiTheme="minorEastAsia" w:eastAsiaTheme="minorEastAsia"/>
                <w:spacing w:val="-3"/>
                <w:szCs w:val="21"/>
              </w:rPr>
              <w:t>产品保修期自验收合格之日起算。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548" w:type="pct"/>
            <w:vAlign w:val="center"/>
          </w:tcPr>
          <w:p>
            <w:pPr>
              <w:spacing w:line="360" w:lineRule="auto"/>
              <w:jc w:val="center"/>
              <w:rPr>
                <w:rFonts w:ascii="宋体" w:hAnsi="宋体"/>
                <w:b/>
                <w:szCs w:val="21"/>
              </w:rPr>
            </w:pPr>
            <w:r>
              <w:rPr>
                <w:rFonts w:hint="eastAsia" w:ascii="宋体" w:hAnsi="宋体"/>
                <w:b/>
                <w:szCs w:val="21"/>
              </w:rPr>
              <w:t>3</w:t>
            </w:r>
          </w:p>
        </w:tc>
        <w:tc>
          <w:tcPr>
            <w:tcW w:w="746" w:type="pct"/>
            <w:vAlign w:val="center"/>
          </w:tcPr>
          <w:p>
            <w:pPr>
              <w:spacing w:line="360" w:lineRule="auto"/>
              <w:jc w:val="center"/>
              <w:rPr>
                <w:rFonts w:ascii="宋体" w:hAnsi="宋体"/>
                <w:b/>
                <w:szCs w:val="21"/>
              </w:rPr>
            </w:pPr>
            <w:r>
              <w:rPr>
                <w:rFonts w:hint="eastAsia" w:ascii="宋体" w:hAnsi="宋体"/>
                <w:b/>
                <w:kern w:val="0"/>
                <w:szCs w:val="21"/>
              </w:rPr>
              <w:t>培训</w:t>
            </w:r>
          </w:p>
        </w:tc>
        <w:tc>
          <w:tcPr>
            <w:tcW w:w="3705" w:type="pct"/>
          </w:tcPr>
          <w:p>
            <w:pPr>
              <w:spacing w:line="360" w:lineRule="auto"/>
              <w:outlineLvl w:val="0"/>
              <w:rPr>
                <w:rFonts w:ascii="宋体" w:hAnsi="宋体"/>
                <w:b/>
                <w:szCs w:val="21"/>
              </w:rPr>
            </w:pPr>
            <w:r>
              <w:rPr>
                <w:rFonts w:hint="eastAsia" w:asciiTheme="minorEastAsia" w:hAnsiTheme="minorEastAsia" w:eastAsiaTheme="minorEastAsia"/>
                <w:bCs/>
                <w:kern w:val="0"/>
                <w:szCs w:val="21"/>
              </w:rPr>
              <w:t>3.1中标人应派专业技术人员免费对采购单位指定人员进行定期培训及指导，直至其完全掌握设备的基本故障处理技术，</w:t>
            </w:r>
            <w:r>
              <w:rPr>
                <w:rFonts w:hint="eastAsia"/>
                <w:szCs w:val="21"/>
              </w:rPr>
              <w:t>软件的安装调试、提供软件操作说明书等其他类似的义务</w:t>
            </w:r>
            <w:r>
              <w:rPr>
                <w:rFonts w:hint="eastAsia" w:asciiTheme="minorEastAsia" w:hAnsiTheme="minorEastAsia" w:eastAsiaTheme="minorEastAsia"/>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548" w:type="pct"/>
            <w:vMerge w:val="restart"/>
            <w:vAlign w:val="center"/>
          </w:tcPr>
          <w:p>
            <w:pPr>
              <w:spacing w:line="360" w:lineRule="auto"/>
              <w:jc w:val="center"/>
              <w:rPr>
                <w:rFonts w:ascii="宋体" w:hAnsi="宋体"/>
                <w:b/>
                <w:kern w:val="0"/>
                <w:szCs w:val="21"/>
              </w:rPr>
            </w:pPr>
            <w:r>
              <w:rPr>
                <w:rFonts w:hint="eastAsia" w:ascii="宋体" w:hAnsi="宋体"/>
                <w:b/>
                <w:kern w:val="0"/>
                <w:szCs w:val="21"/>
              </w:rPr>
              <w:t>4</w:t>
            </w:r>
          </w:p>
        </w:tc>
        <w:tc>
          <w:tcPr>
            <w:tcW w:w="746" w:type="pct"/>
            <w:vMerge w:val="restart"/>
            <w:vAlign w:val="center"/>
          </w:tcPr>
          <w:p>
            <w:pPr>
              <w:tabs>
                <w:tab w:val="left" w:pos="1260"/>
              </w:tabs>
              <w:spacing w:line="360" w:lineRule="auto"/>
              <w:jc w:val="center"/>
              <w:rPr>
                <w:rFonts w:ascii="宋体" w:hAnsi="宋体"/>
                <w:b/>
                <w:kern w:val="0"/>
                <w:szCs w:val="21"/>
              </w:rPr>
            </w:pPr>
            <w:r>
              <w:rPr>
                <w:rFonts w:hint="eastAsia" w:ascii="宋体" w:hAnsi="宋体"/>
                <w:b/>
                <w:kern w:val="0"/>
                <w:szCs w:val="21"/>
              </w:rPr>
              <w:t>知识产权</w:t>
            </w:r>
          </w:p>
        </w:tc>
        <w:tc>
          <w:tcPr>
            <w:tcW w:w="3705" w:type="pct"/>
          </w:tcPr>
          <w:p>
            <w:pPr>
              <w:tabs>
                <w:tab w:val="left" w:pos="1260"/>
              </w:tabs>
              <w:spacing w:line="360" w:lineRule="auto"/>
              <w:rPr>
                <w:rFonts w:ascii="宋体" w:hAnsi="宋体"/>
                <w:kern w:val="0"/>
                <w:szCs w:val="21"/>
              </w:rPr>
            </w:pPr>
            <w:r>
              <w:rPr>
                <w:rFonts w:hint="eastAsia" w:ascii="宋体" w:hAnsi="宋体"/>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548" w:type="pct"/>
            <w:vMerge w:val="continue"/>
            <w:vAlign w:val="center"/>
          </w:tcPr>
          <w:p>
            <w:pPr>
              <w:spacing w:line="360" w:lineRule="auto"/>
              <w:jc w:val="center"/>
              <w:rPr>
                <w:rFonts w:ascii="宋体" w:hAnsi="宋体"/>
                <w:b/>
                <w:kern w:val="0"/>
                <w:szCs w:val="21"/>
              </w:rPr>
            </w:pPr>
          </w:p>
        </w:tc>
        <w:tc>
          <w:tcPr>
            <w:tcW w:w="746" w:type="pct"/>
            <w:vMerge w:val="continue"/>
            <w:vAlign w:val="center"/>
          </w:tcPr>
          <w:p>
            <w:pPr>
              <w:spacing w:line="360" w:lineRule="auto"/>
              <w:jc w:val="center"/>
              <w:rPr>
                <w:rFonts w:ascii="宋体" w:hAnsi="宋体"/>
                <w:b/>
                <w:kern w:val="0"/>
                <w:szCs w:val="21"/>
              </w:rPr>
            </w:pPr>
          </w:p>
        </w:tc>
        <w:tc>
          <w:tcPr>
            <w:tcW w:w="3705" w:type="pct"/>
          </w:tcPr>
          <w:p>
            <w:pPr>
              <w:spacing w:line="360" w:lineRule="auto"/>
              <w:rPr>
                <w:rFonts w:ascii="宋体" w:hAnsi="宋体"/>
                <w:kern w:val="0"/>
                <w:szCs w:val="21"/>
              </w:rPr>
            </w:pPr>
            <w:r>
              <w:rPr>
                <w:rFonts w:hint="eastAsia" w:ascii="宋体" w:hAnsi="宋体"/>
                <w:kern w:val="0"/>
                <w:szCs w:val="21"/>
              </w:rPr>
              <w:t>4.2采购人购买产品后，有权对该产品与其他设备进行配套、整合或适当改进，而免受侵犯专利权的起诉。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548" w:type="pct"/>
            <w:vMerge w:val="restart"/>
            <w:vAlign w:val="center"/>
          </w:tcPr>
          <w:p>
            <w:pPr>
              <w:spacing w:line="360" w:lineRule="auto"/>
              <w:jc w:val="center"/>
              <w:rPr>
                <w:rFonts w:ascii="宋体" w:hAnsi="宋体"/>
                <w:b/>
                <w:szCs w:val="21"/>
              </w:rPr>
            </w:pPr>
            <w:r>
              <w:rPr>
                <w:rFonts w:hint="eastAsia" w:ascii="宋体" w:hAnsi="宋体"/>
                <w:b/>
                <w:szCs w:val="21"/>
              </w:rPr>
              <w:t>5</w:t>
            </w:r>
          </w:p>
        </w:tc>
        <w:tc>
          <w:tcPr>
            <w:tcW w:w="746" w:type="pct"/>
            <w:vMerge w:val="restart"/>
            <w:vAlign w:val="center"/>
          </w:tcPr>
          <w:p>
            <w:pPr>
              <w:spacing w:line="360" w:lineRule="auto"/>
              <w:jc w:val="center"/>
              <w:rPr>
                <w:rFonts w:ascii="宋体" w:hAnsi="宋体"/>
                <w:b/>
                <w:bCs/>
                <w:kern w:val="0"/>
                <w:szCs w:val="21"/>
              </w:rPr>
            </w:pPr>
            <w:r>
              <w:rPr>
                <w:rFonts w:hint="eastAsia" w:ascii="宋体" w:hAnsi="宋体"/>
                <w:b/>
                <w:bCs/>
                <w:kern w:val="0"/>
                <w:szCs w:val="21"/>
              </w:rPr>
              <w:t>付款方式</w:t>
            </w:r>
          </w:p>
        </w:tc>
        <w:tc>
          <w:tcPr>
            <w:tcW w:w="3705" w:type="pct"/>
          </w:tcPr>
          <w:p>
            <w:pPr>
              <w:widowControl/>
              <w:spacing w:line="360" w:lineRule="auto"/>
              <w:textAlignment w:val="top"/>
              <w:rPr>
                <w:rFonts w:ascii="宋体" w:hAnsi="宋体" w:cs="宋体"/>
                <w:color w:val="000000"/>
                <w:kern w:val="0"/>
                <w:szCs w:val="21"/>
              </w:rPr>
            </w:pPr>
            <w:r>
              <w:rPr>
                <w:rFonts w:hint="eastAsia" w:ascii="宋体" w:hAnsi="宋体" w:cs="宋体"/>
                <w:color w:val="000000"/>
                <w:kern w:val="0"/>
                <w:szCs w:val="21"/>
              </w:rPr>
              <w:t>5.1全部货物安装完毕、经采购方和中标方双方共同验收合格、并在采购方收到中标方正式发票后15 日内，采购方向中标方支付合同总价的100%货款。</w:t>
            </w:r>
          </w:p>
          <w:p>
            <w:pPr>
              <w:widowControl/>
              <w:spacing w:line="360" w:lineRule="auto"/>
              <w:textAlignment w:val="top"/>
              <w:rPr>
                <w:rFonts w:ascii="宋体" w:hAnsi="宋体"/>
                <w:kern w:val="0"/>
                <w:szCs w:val="21"/>
              </w:rPr>
            </w:pPr>
            <w:r>
              <w:rPr>
                <w:rFonts w:hint="eastAsia" w:ascii="宋体" w:hAnsi="宋体" w:cs="宋体"/>
                <w:color w:val="000000"/>
                <w:kern w:val="0"/>
                <w:szCs w:val="21"/>
              </w:rPr>
              <w:t>付款前，中标人需先提供相应金额的正规发票给采购人，以便办理支付手续。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48" w:type="pct"/>
            <w:vMerge w:val="continue"/>
            <w:vAlign w:val="center"/>
          </w:tcPr>
          <w:p>
            <w:pPr>
              <w:widowControl/>
              <w:spacing w:line="360" w:lineRule="auto"/>
              <w:textAlignment w:val="top"/>
            </w:pPr>
          </w:p>
        </w:tc>
        <w:tc>
          <w:tcPr>
            <w:tcW w:w="746" w:type="pct"/>
            <w:vMerge w:val="continue"/>
            <w:vAlign w:val="center"/>
          </w:tcPr>
          <w:p>
            <w:pPr>
              <w:widowControl/>
              <w:spacing w:line="360" w:lineRule="auto"/>
              <w:textAlignment w:val="top"/>
            </w:pPr>
          </w:p>
        </w:tc>
        <w:tc>
          <w:tcPr>
            <w:tcW w:w="3705" w:type="pct"/>
          </w:tcPr>
          <w:p>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000000"/>
                <w:kern w:val="0"/>
                <w:szCs w:val="21"/>
              </w:rPr>
            </w:pPr>
            <w:r>
              <w:rPr>
                <w:rFonts w:hint="eastAsia" w:ascii="宋体" w:hAnsi="宋体" w:eastAsia="宋体" w:cs="宋体"/>
                <w:color w:val="000000"/>
                <w:kern w:val="0"/>
                <w:sz w:val="21"/>
                <w:szCs w:val="21"/>
                <w:lang w:val="en-US" w:eastAsia="zh-CN" w:bidi="ar-SA"/>
              </w:rPr>
              <w:t>5.2本项目按合同金额的5%收取履约保证金，供应商可自主选择以支票、汇票、本票、保函等非现金形式缴纳或提交。履约保证金在中标人履行完成合同约定权利义务事项，在验收合格之日起3年保修期满后10个工作日内按原方式退还，不计利息。采购人逾期退还履约保证金的，向中标人每日偿付履约保证金0.1‰的利息。因中标人原因而未能达到本项目验收标准或验收不通过的，履约保证金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48" w:type="pct"/>
            <w:vMerge w:val="restart"/>
            <w:vAlign w:val="center"/>
          </w:tcPr>
          <w:p>
            <w:pPr>
              <w:spacing w:line="360" w:lineRule="auto"/>
              <w:jc w:val="center"/>
              <w:rPr>
                <w:rFonts w:ascii="宋体" w:hAnsi="宋体"/>
                <w:szCs w:val="21"/>
              </w:rPr>
            </w:pPr>
            <w:r>
              <w:rPr>
                <w:rFonts w:hint="eastAsia" w:asciiTheme="minorEastAsia" w:hAnsiTheme="minorEastAsia" w:eastAsiaTheme="minorEastAsia"/>
                <w:b/>
                <w:szCs w:val="21"/>
              </w:rPr>
              <w:t>6</w:t>
            </w:r>
          </w:p>
        </w:tc>
        <w:tc>
          <w:tcPr>
            <w:tcW w:w="746" w:type="pct"/>
            <w:vMerge w:val="restart"/>
            <w:vAlign w:val="center"/>
          </w:tcPr>
          <w:p>
            <w:pPr>
              <w:spacing w:line="360" w:lineRule="auto"/>
              <w:jc w:val="center"/>
              <w:rPr>
                <w:rFonts w:ascii="宋体" w:hAnsi="宋体"/>
                <w:b/>
                <w:kern w:val="0"/>
                <w:szCs w:val="21"/>
              </w:rPr>
            </w:pPr>
            <w:r>
              <w:rPr>
                <w:b/>
                <w:szCs w:val="21"/>
              </w:rPr>
              <w:t>报价要求</w:t>
            </w:r>
          </w:p>
        </w:tc>
        <w:tc>
          <w:tcPr>
            <w:tcW w:w="3705" w:type="pct"/>
          </w:tcPr>
          <w:p>
            <w:pPr>
              <w:pStyle w:val="506"/>
              <w:spacing w:after="62" w:line="360" w:lineRule="auto"/>
              <w:ind w:firstLine="0" w:firstLineChars="0"/>
              <w:rPr>
                <w:bCs/>
                <w:kern w:val="0"/>
                <w:szCs w:val="21"/>
              </w:rPr>
            </w:pPr>
            <w:r>
              <w:rPr>
                <w:rFonts w:hint="eastAsia" w:cs="Times New Roman"/>
                <w:snapToGrid/>
                <w:spacing w:val="0"/>
                <w:sz w:val="21"/>
                <w:szCs w:val="21"/>
              </w:rPr>
              <w:t>6.1本项目服务费采用包干制，应包括服务成本、法定税费和企业的利润。由企业根据招标文件所提供的资料自行测算投标报价；一经中标，投标报价总价作为中标人与采购人签定的合同金额，合同期限内不做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48" w:type="pct"/>
            <w:vMerge w:val="continue"/>
            <w:vAlign w:val="center"/>
          </w:tcPr>
          <w:p>
            <w:pPr>
              <w:spacing w:line="360" w:lineRule="auto"/>
              <w:jc w:val="center"/>
            </w:pPr>
          </w:p>
        </w:tc>
        <w:tc>
          <w:tcPr>
            <w:tcW w:w="746" w:type="pct"/>
            <w:vMerge w:val="continue"/>
            <w:vAlign w:val="center"/>
          </w:tcPr>
          <w:p>
            <w:pPr>
              <w:spacing w:line="360" w:lineRule="auto"/>
              <w:jc w:val="center"/>
            </w:pPr>
          </w:p>
        </w:tc>
        <w:tc>
          <w:tcPr>
            <w:tcW w:w="3705" w:type="pct"/>
          </w:tcPr>
          <w:p>
            <w:pPr>
              <w:spacing w:line="360" w:lineRule="auto"/>
              <w:jc w:val="left"/>
              <w:rPr>
                <w:rFonts w:ascii="宋体" w:hAnsi="宋体"/>
                <w:bCs/>
                <w:kern w:val="0"/>
                <w:szCs w:val="21"/>
              </w:rPr>
            </w:pPr>
            <w:r>
              <w:rPr>
                <w:rFonts w:hint="eastAsia" w:ascii="宋体" w:hAnsi="宋体"/>
                <w:szCs w:val="21"/>
              </w:rPr>
              <w:t>6.2</w:t>
            </w:r>
            <w:r>
              <w:rPr>
                <w:rFonts w:hint="eastAsia"/>
                <w:szCs w:val="21"/>
              </w:rPr>
              <w:t>投标人应根据本企业的成本自行决定报价；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48" w:type="pct"/>
            <w:vMerge w:val="continue"/>
            <w:vAlign w:val="center"/>
          </w:tcPr>
          <w:p>
            <w:pPr>
              <w:spacing w:line="360" w:lineRule="auto"/>
              <w:jc w:val="center"/>
              <w:rPr>
                <w:rFonts w:ascii="宋体" w:hAnsi="宋体"/>
                <w:bCs/>
                <w:kern w:val="0"/>
                <w:szCs w:val="21"/>
              </w:rPr>
            </w:pPr>
          </w:p>
        </w:tc>
        <w:tc>
          <w:tcPr>
            <w:tcW w:w="746" w:type="pct"/>
            <w:vMerge w:val="continue"/>
            <w:vAlign w:val="center"/>
          </w:tcPr>
          <w:p>
            <w:pPr>
              <w:spacing w:line="360" w:lineRule="auto"/>
              <w:jc w:val="center"/>
              <w:rPr>
                <w:rFonts w:ascii="宋体" w:hAnsi="宋体"/>
                <w:bCs/>
                <w:kern w:val="0"/>
                <w:szCs w:val="21"/>
              </w:rPr>
            </w:pPr>
          </w:p>
        </w:tc>
        <w:tc>
          <w:tcPr>
            <w:tcW w:w="3705" w:type="pct"/>
          </w:tcPr>
          <w:p>
            <w:pPr>
              <w:spacing w:line="360" w:lineRule="auto"/>
              <w:jc w:val="left"/>
              <w:rPr>
                <w:rFonts w:ascii="宋体" w:hAnsi="宋体"/>
                <w:bCs/>
                <w:kern w:val="0"/>
                <w:szCs w:val="21"/>
              </w:rPr>
            </w:pPr>
            <w:r>
              <w:rPr>
                <w:rFonts w:hint="eastAsia" w:ascii="宋体" w:hAnsi="宋体"/>
                <w:szCs w:val="21"/>
              </w:rPr>
              <w:t>6.3</w:t>
            </w:r>
            <w:r>
              <w:rPr>
                <w:rFonts w:hint="eastAsia"/>
                <w:szCs w:val="21"/>
              </w:rPr>
              <w:t>投标人的投标报价，应是本项目招标范围和招标文件及合同条款上所列的各项内容中所述的全部，不得以任何理由予以重复，并以投标人在投标文件中提出的综合单价或总价为依据。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48" w:type="pct"/>
            <w:vMerge w:val="continue"/>
            <w:vAlign w:val="center"/>
          </w:tcPr>
          <w:p>
            <w:pPr>
              <w:spacing w:line="360" w:lineRule="auto"/>
              <w:jc w:val="center"/>
              <w:rPr>
                <w:rFonts w:ascii="宋体" w:hAnsi="宋体"/>
                <w:bCs/>
                <w:kern w:val="0"/>
                <w:szCs w:val="21"/>
              </w:rPr>
            </w:pPr>
          </w:p>
        </w:tc>
        <w:tc>
          <w:tcPr>
            <w:tcW w:w="746" w:type="pct"/>
            <w:vMerge w:val="continue"/>
            <w:vAlign w:val="center"/>
          </w:tcPr>
          <w:p>
            <w:pPr>
              <w:spacing w:line="360" w:lineRule="auto"/>
              <w:jc w:val="center"/>
              <w:rPr>
                <w:rFonts w:ascii="宋体" w:hAnsi="宋体"/>
                <w:bCs/>
                <w:kern w:val="0"/>
                <w:szCs w:val="21"/>
              </w:rPr>
            </w:pPr>
          </w:p>
        </w:tc>
        <w:tc>
          <w:tcPr>
            <w:tcW w:w="3705" w:type="pct"/>
          </w:tcPr>
          <w:p>
            <w:pPr>
              <w:pStyle w:val="506"/>
              <w:spacing w:after="62" w:line="360" w:lineRule="auto"/>
              <w:ind w:firstLine="0" w:firstLineChars="0"/>
              <w:rPr>
                <w:bCs/>
                <w:kern w:val="0"/>
                <w:szCs w:val="21"/>
              </w:rPr>
            </w:pPr>
            <w:r>
              <w:rPr>
                <w:rFonts w:hint="eastAsia" w:cs="Times New Roman"/>
                <w:snapToGrid/>
                <w:spacing w:val="0"/>
                <w:sz w:val="21"/>
                <w:szCs w:val="21"/>
              </w:rPr>
              <w:t>6.4除非采购机构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48" w:type="pct"/>
            <w:vMerge w:val="continue"/>
            <w:vAlign w:val="center"/>
          </w:tcPr>
          <w:p>
            <w:pPr>
              <w:spacing w:line="360" w:lineRule="auto"/>
              <w:jc w:val="center"/>
              <w:rPr>
                <w:rFonts w:ascii="宋体" w:hAnsi="宋体"/>
                <w:bCs/>
                <w:kern w:val="0"/>
                <w:szCs w:val="21"/>
              </w:rPr>
            </w:pPr>
          </w:p>
        </w:tc>
        <w:tc>
          <w:tcPr>
            <w:tcW w:w="746" w:type="pct"/>
            <w:vMerge w:val="continue"/>
            <w:vAlign w:val="center"/>
          </w:tcPr>
          <w:p>
            <w:pPr>
              <w:spacing w:line="360" w:lineRule="auto"/>
              <w:jc w:val="center"/>
              <w:rPr>
                <w:rFonts w:ascii="宋体" w:hAnsi="宋体"/>
                <w:bCs/>
                <w:kern w:val="0"/>
                <w:szCs w:val="21"/>
              </w:rPr>
            </w:pPr>
          </w:p>
        </w:tc>
        <w:tc>
          <w:tcPr>
            <w:tcW w:w="3705" w:type="pct"/>
          </w:tcPr>
          <w:p>
            <w:pPr>
              <w:pStyle w:val="506"/>
              <w:spacing w:after="62" w:line="360" w:lineRule="auto"/>
              <w:ind w:firstLine="0" w:firstLineChars="0"/>
              <w:rPr>
                <w:bCs/>
                <w:kern w:val="0"/>
                <w:szCs w:val="21"/>
              </w:rPr>
            </w:pPr>
            <w:r>
              <w:rPr>
                <w:rFonts w:hint="eastAsia" w:cs="Times New Roman"/>
                <w:snapToGrid/>
                <w:spacing w:val="0"/>
                <w:sz w:val="21"/>
                <w:szCs w:val="21"/>
              </w:rPr>
              <w:t>6.5投标人应充分了解项目的位置、情况、道路及任何其它足以影响投标报价的情况，任何因忽视或误解项目情况而导致的索赔或服务期限延长申请将不获批准。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48" w:type="pct"/>
            <w:vMerge w:val="continue"/>
            <w:vAlign w:val="center"/>
          </w:tcPr>
          <w:p>
            <w:pPr>
              <w:spacing w:line="360" w:lineRule="auto"/>
              <w:jc w:val="center"/>
              <w:rPr>
                <w:rFonts w:ascii="宋体" w:hAnsi="宋体"/>
                <w:bCs/>
                <w:kern w:val="0"/>
                <w:szCs w:val="21"/>
              </w:rPr>
            </w:pPr>
          </w:p>
        </w:tc>
        <w:tc>
          <w:tcPr>
            <w:tcW w:w="746" w:type="pct"/>
            <w:vMerge w:val="continue"/>
            <w:vAlign w:val="center"/>
          </w:tcPr>
          <w:p>
            <w:pPr>
              <w:spacing w:line="360" w:lineRule="auto"/>
              <w:jc w:val="center"/>
              <w:rPr>
                <w:rFonts w:ascii="宋体" w:hAnsi="宋体"/>
                <w:bCs/>
                <w:kern w:val="0"/>
                <w:szCs w:val="21"/>
              </w:rPr>
            </w:pPr>
          </w:p>
        </w:tc>
        <w:tc>
          <w:tcPr>
            <w:tcW w:w="3705" w:type="pct"/>
          </w:tcPr>
          <w:p>
            <w:pPr>
              <w:pStyle w:val="506"/>
              <w:spacing w:after="62" w:line="360" w:lineRule="auto"/>
              <w:ind w:firstLine="0" w:firstLineChars="0"/>
              <w:rPr>
                <w:bCs/>
                <w:kern w:val="0"/>
                <w:szCs w:val="21"/>
              </w:rPr>
            </w:pPr>
            <w:r>
              <w:rPr>
                <w:rFonts w:hint="eastAsia" w:cs="Times New Roman"/>
                <w:snapToGrid/>
                <w:spacing w:val="0"/>
                <w:sz w:val="21"/>
                <w:szCs w:val="21"/>
              </w:rPr>
              <w:t>6.6投标人不得期望通过索赔等方式获取补偿，否则，除可能遭到拒绝外，还可能将被作为不良行为记录在案，并可能影响其以后参加政府采购的项目投标。各投标人在投标报价时，应充分考虑投标报价的风险。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48" w:type="pct"/>
            <w:vMerge w:val="restart"/>
            <w:vAlign w:val="center"/>
          </w:tcPr>
          <w:p>
            <w:pPr>
              <w:spacing w:line="360" w:lineRule="auto"/>
              <w:jc w:val="center"/>
              <w:rPr>
                <w:rFonts w:ascii="宋体" w:hAnsi="宋体"/>
                <w:szCs w:val="21"/>
              </w:rPr>
            </w:pPr>
            <w:r>
              <w:rPr>
                <w:rFonts w:hint="eastAsia" w:ascii="宋体" w:hAnsi="宋体"/>
                <w:szCs w:val="21"/>
              </w:rPr>
              <w:t>7</w:t>
            </w:r>
          </w:p>
        </w:tc>
        <w:tc>
          <w:tcPr>
            <w:tcW w:w="746" w:type="pct"/>
            <w:vMerge w:val="restart"/>
            <w:vAlign w:val="center"/>
          </w:tcPr>
          <w:p>
            <w:pPr>
              <w:tabs>
                <w:tab w:val="left" w:pos="1260"/>
              </w:tabs>
              <w:spacing w:line="360" w:lineRule="auto"/>
              <w:jc w:val="center"/>
              <w:rPr>
                <w:rFonts w:ascii="宋体" w:hAnsi="宋体"/>
                <w:b/>
                <w:kern w:val="0"/>
                <w:szCs w:val="21"/>
              </w:rPr>
            </w:pPr>
            <w:r>
              <w:rPr>
                <w:rFonts w:hint="eastAsia" w:ascii="宋体" w:hAnsi="宋体"/>
                <w:b/>
                <w:kern w:val="0"/>
                <w:szCs w:val="21"/>
              </w:rPr>
              <w:t>违约责任</w:t>
            </w:r>
          </w:p>
        </w:tc>
        <w:tc>
          <w:tcPr>
            <w:tcW w:w="3705" w:type="pct"/>
          </w:tcPr>
          <w:p>
            <w:pPr>
              <w:spacing w:line="360" w:lineRule="auto"/>
              <w:rPr>
                <w:rFonts w:ascii="宋体" w:hAnsi="宋体"/>
                <w:bCs/>
                <w:kern w:val="0"/>
                <w:szCs w:val="21"/>
              </w:rPr>
            </w:pPr>
            <w:r>
              <w:rPr>
                <w:rFonts w:hint="eastAsia" w:asciiTheme="minorEastAsia" w:hAnsiTheme="minorEastAsia" w:eastAsiaTheme="minorEastAsia"/>
                <w:bCs/>
                <w:kern w:val="0"/>
                <w:szCs w:val="21"/>
              </w:rPr>
              <w:t>7.1如投标人未按照投标文件中承诺的时间交货或提供服务，投标人应承担延期交货和延期服务的违约责任，并赔偿采购人因此造成的实际经济损失。实际经济损失超出履约保证金额，采购人有权终止合同。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548" w:type="pct"/>
            <w:vMerge w:val="continue"/>
            <w:vAlign w:val="center"/>
          </w:tcPr>
          <w:p>
            <w:pPr>
              <w:spacing w:line="360" w:lineRule="auto"/>
              <w:jc w:val="center"/>
              <w:rPr>
                <w:rFonts w:ascii="宋体" w:hAnsi="宋体"/>
                <w:szCs w:val="21"/>
              </w:rPr>
            </w:pPr>
          </w:p>
        </w:tc>
        <w:tc>
          <w:tcPr>
            <w:tcW w:w="746" w:type="pct"/>
            <w:vMerge w:val="continue"/>
            <w:vAlign w:val="center"/>
          </w:tcPr>
          <w:p>
            <w:pPr>
              <w:tabs>
                <w:tab w:val="left" w:pos="1260"/>
              </w:tabs>
              <w:spacing w:line="360" w:lineRule="auto"/>
              <w:jc w:val="center"/>
              <w:rPr>
                <w:rFonts w:ascii="宋体" w:hAnsi="宋体"/>
                <w:b/>
                <w:kern w:val="0"/>
                <w:szCs w:val="21"/>
              </w:rPr>
            </w:pPr>
          </w:p>
        </w:tc>
        <w:tc>
          <w:tcPr>
            <w:tcW w:w="3705" w:type="pct"/>
          </w:tcPr>
          <w:p>
            <w:pPr>
              <w:spacing w:line="360" w:lineRule="auto"/>
              <w:rPr>
                <w:rFonts w:ascii="宋体" w:hAnsi="宋体"/>
                <w:bCs/>
                <w:kern w:val="0"/>
                <w:szCs w:val="21"/>
              </w:rPr>
            </w:pPr>
            <w:r>
              <w:rPr>
                <w:rFonts w:hint="eastAsia" w:asciiTheme="minorEastAsia" w:hAnsiTheme="minorEastAsia" w:eastAsiaTheme="minorEastAsia"/>
                <w:bCs/>
                <w:kern w:val="0"/>
                <w:szCs w:val="21"/>
              </w:rPr>
              <w:t>7.2投标人所交设备的品种、型号、规格、质量、功能、技术参数等方面不能实质性满足招标文件要约的，采购人有权拒绝收货，投标人向采购人偿付项目采购金额千分之</w:t>
            </w:r>
            <w:r>
              <w:rPr>
                <w:rFonts w:hint="eastAsia" w:asciiTheme="minorEastAsia" w:hAnsiTheme="minorEastAsia" w:eastAsiaTheme="minorEastAsia"/>
                <w:bCs/>
                <w:kern w:val="0"/>
                <w:szCs w:val="21"/>
                <w:u w:val="single"/>
              </w:rPr>
              <w:t xml:space="preserve">  十  </w:t>
            </w:r>
            <w:r>
              <w:rPr>
                <w:rFonts w:hint="eastAsia" w:asciiTheme="minorEastAsia" w:hAnsiTheme="minorEastAsia" w:eastAsiaTheme="minorEastAsia"/>
                <w:bCs/>
                <w:kern w:val="0"/>
                <w:szCs w:val="21"/>
              </w:rPr>
              <w:t>（千分之十以上千分之二十以下）的违约金；造成严重后果的，根据《</w:t>
            </w:r>
            <w:r>
              <w:rPr>
                <w:rFonts w:asciiTheme="minorEastAsia" w:hAnsiTheme="minorEastAsia" w:eastAsiaTheme="minorEastAsia"/>
                <w:bCs/>
                <w:kern w:val="0"/>
                <w:szCs w:val="21"/>
              </w:rPr>
              <w:t>深圳经济特区政府采购条例</w:t>
            </w:r>
            <w:r>
              <w:rPr>
                <w:rFonts w:hint="eastAsia" w:asciiTheme="minorEastAsia" w:hAnsiTheme="minorEastAsia" w:eastAsiaTheme="minorEastAsia"/>
                <w:bCs/>
                <w:kern w:val="0"/>
                <w:szCs w:val="21"/>
              </w:rPr>
              <w:t>》第五十七条第（二）款规定，由主管部门对中标人进行处罚。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8" w:type="pct"/>
            <w:vMerge w:val="continue"/>
            <w:vAlign w:val="center"/>
          </w:tcPr>
          <w:p>
            <w:pPr>
              <w:spacing w:line="360" w:lineRule="auto"/>
              <w:jc w:val="center"/>
              <w:rPr>
                <w:rFonts w:ascii="宋体" w:hAnsi="宋体"/>
                <w:szCs w:val="21"/>
              </w:rPr>
            </w:pPr>
          </w:p>
        </w:tc>
        <w:tc>
          <w:tcPr>
            <w:tcW w:w="746" w:type="pct"/>
            <w:vMerge w:val="continue"/>
            <w:vAlign w:val="center"/>
          </w:tcPr>
          <w:p>
            <w:pPr>
              <w:spacing w:line="360" w:lineRule="auto"/>
              <w:jc w:val="center"/>
              <w:rPr>
                <w:rFonts w:ascii="宋体" w:hAnsi="宋体"/>
                <w:b/>
                <w:kern w:val="0"/>
                <w:szCs w:val="21"/>
              </w:rPr>
            </w:pPr>
          </w:p>
        </w:tc>
        <w:tc>
          <w:tcPr>
            <w:tcW w:w="3705" w:type="pct"/>
          </w:tcPr>
          <w:p>
            <w:pPr>
              <w:spacing w:line="360" w:lineRule="auto"/>
              <w:rPr>
                <w:rFonts w:ascii="宋体" w:hAnsi="宋体"/>
                <w:bCs/>
                <w:kern w:val="0"/>
                <w:szCs w:val="21"/>
              </w:rPr>
            </w:pPr>
            <w:r>
              <w:rPr>
                <w:rFonts w:hint="eastAsia" w:asciiTheme="minorEastAsia" w:hAnsiTheme="minorEastAsia" w:eastAsiaTheme="minorEastAsia"/>
                <w:bCs/>
                <w:kern w:val="0"/>
                <w:szCs w:val="21"/>
              </w:rPr>
              <w:t>7.3投标人不能交付设备的，投标人向采购人偿付项目采购金额千分之</w:t>
            </w:r>
            <w:r>
              <w:rPr>
                <w:rFonts w:hint="eastAsia" w:asciiTheme="minorEastAsia" w:hAnsiTheme="minorEastAsia" w:eastAsiaTheme="minorEastAsia"/>
                <w:bCs/>
                <w:kern w:val="0"/>
                <w:szCs w:val="21"/>
                <w:u w:val="single"/>
              </w:rPr>
              <w:t xml:space="preserve">  十 </w:t>
            </w:r>
            <w:r>
              <w:rPr>
                <w:rFonts w:hint="eastAsia" w:asciiTheme="minorEastAsia" w:hAnsiTheme="minorEastAsia" w:eastAsiaTheme="minorEastAsia"/>
                <w:bCs/>
                <w:kern w:val="0"/>
                <w:szCs w:val="21"/>
              </w:rPr>
              <w:t>（千分之十以上千分之二十以下）的违约金；造成严重后果的，根据《</w:t>
            </w:r>
            <w:r>
              <w:rPr>
                <w:rFonts w:asciiTheme="minorEastAsia" w:hAnsiTheme="minorEastAsia" w:eastAsiaTheme="minorEastAsia"/>
                <w:bCs/>
                <w:kern w:val="0"/>
                <w:szCs w:val="21"/>
              </w:rPr>
              <w:t>深圳经济特区政府采购条例</w:t>
            </w:r>
            <w:r>
              <w:rPr>
                <w:rFonts w:hint="eastAsia" w:asciiTheme="minorEastAsia" w:hAnsiTheme="minorEastAsia" w:eastAsiaTheme="minorEastAsia"/>
                <w:bCs/>
                <w:kern w:val="0"/>
                <w:szCs w:val="21"/>
              </w:rPr>
              <w:t>》第五十七条第（二）款规定，由主管部门对中标人进行处罚。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8" w:type="pct"/>
            <w:vMerge w:val="continue"/>
            <w:vAlign w:val="center"/>
          </w:tcPr>
          <w:p>
            <w:pPr>
              <w:spacing w:line="360" w:lineRule="auto"/>
              <w:jc w:val="center"/>
              <w:rPr>
                <w:rFonts w:ascii="宋体" w:hAnsi="宋体"/>
                <w:szCs w:val="21"/>
              </w:rPr>
            </w:pPr>
          </w:p>
        </w:tc>
        <w:tc>
          <w:tcPr>
            <w:tcW w:w="746" w:type="pct"/>
            <w:vMerge w:val="continue"/>
            <w:vAlign w:val="center"/>
          </w:tcPr>
          <w:p>
            <w:pPr>
              <w:spacing w:line="360" w:lineRule="auto"/>
              <w:jc w:val="center"/>
              <w:rPr>
                <w:rFonts w:ascii="宋体" w:hAnsi="宋体"/>
                <w:b/>
                <w:kern w:val="0"/>
                <w:szCs w:val="21"/>
              </w:rPr>
            </w:pPr>
          </w:p>
        </w:tc>
        <w:tc>
          <w:tcPr>
            <w:tcW w:w="3705" w:type="pct"/>
          </w:tcPr>
          <w:p>
            <w:pPr>
              <w:spacing w:line="360" w:lineRule="auto"/>
              <w:rPr>
                <w:rFonts w:ascii="宋体" w:hAnsi="宋体"/>
                <w:bCs/>
                <w:kern w:val="0"/>
                <w:szCs w:val="21"/>
              </w:rPr>
            </w:pPr>
            <w:r>
              <w:rPr>
                <w:rFonts w:hint="eastAsia" w:asciiTheme="minorEastAsia" w:hAnsiTheme="minorEastAsia" w:eastAsiaTheme="minorEastAsia"/>
                <w:bCs/>
                <w:kern w:val="0"/>
                <w:szCs w:val="21"/>
              </w:rPr>
              <w:t>7.4投标人逾期未交设备的，投标人向采购人每日偿付设备款千分之</w:t>
            </w:r>
            <w:r>
              <w:rPr>
                <w:rFonts w:hint="eastAsia" w:asciiTheme="minorEastAsia" w:hAnsiTheme="minorEastAsia" w:eastAsiaTheme="minorEastAsia"/>
                <w:bCs/>
                <w:kern w:val="0"/>
                <w:szCs w:val="21"/>
                <w:u w:val="single"/>
              </w:rPr>
              <w:t xml:space="preserve">  五  </w:t>
            </w:r>
            <w:r>
              <w:rPr>
                <w:rFonts w:hint="eastAsia" w:asciiTheme="minorEastAsia" w:hAnsiTheme="minorEastAsia" w:eastAsiaTheme="minorEastAsia"/>
                <w:bCs/>
                <w:kern w:val="0"/>
                <w:szCs w:val="21"/>
              </w:rPr>
              <w:t>的违约金。投标人超过交货期限</w:t>
            </w:r>
            <w:r>
              <w:rPr>
                <w:rFonts w:hint="eastAsia" w:asciiTheme="minorEastAsia" w:hAnsiTheme="minorEastAsia" w:eastAsiaTheme="minorEastAsia"/>
                <w:bCs/>
                <w:kern w:val="0"/>
                <w:szCs w:val="21"/>
                <w:u w:val="single"/>
              </w:rPr>
              <w:t xml:space="preserve"> 30 </w:t>
            </w:r>
            <w:r>
              <w:rPr>
                <w:rFonts w:hint="eastAsia" w:asciiTheme="minorEastAsia" w:hAnsiTheme="minorEastAsia" w:eastAsiaTheme="minorEastAsia"/>
                <w:bCs/>
                <w:kern w:val="0"/>
                <w:szCs w:val="21"/>
              </w:rPr>
              <w:t>（天）日历日仍未交货的，采购人有权解除合同。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548" w:type="pct"/>
            <w:vMerge w:val="restart"/>
            <w:vAlign w:val="center"/>
          </w:tcPr>
          <w:p>
            <w:pPr>
              <w:spacing w:line="360" w:lineRule="auto"/>
              <w:jc w:val="center"/>
              <w:rPr>
                <w:rFonts w:ascii="宋体" w:hAnsi="宋体"/>
                <w:szCs w:val="21"/>
              </w:rPr>
            </w:pPr>
            <w:r>
              <w:rPr>
                <w:rFonts w:hint="eastAsia" w:ascii="宋体" w:hAnsi="宋体"/>
                <w:szCs w:val="21"/>
              </w:rPr>
              <w:t>8</w:t>
            </w:r>
          </w:p>
        </w:tc>
        <w:tc>
          <w:tcPr>
            <w:tcW w:w="746" w:type="pct"/>
            <w:vMerge w:val="restart"/>
            <w:vAlign w:val="center"/>
          </w:tcPr>
          <w:p>
            <w:pPr>
              <w:spacing w:line="360" w:lineRule="auto"/>
              <w:jc w:val="center"/>
              <w:rPr>
                <w:rFonts w:ascii="宋体" w:hAnsi="宋体"/>
                <w:b/>
                <w:kern w:val="0"/>
                <w:szCs w:val="21"/>
              </w:rPr>
            </w:pPr>
            <w:r>
              <w:rPr>
                <w:rFonts w:hint="eastAsia" w:ascii="宋体" w:hAnsi="宋体"/>
                <w:b/>
                <w:kern w:val="0"/>
                <w:szCs w:val="21"/>
              </w:rPr>
              <w:t>其他</w:t>
            </w:r>
          </w:p>
        </w:tc>
        <w:tc>
          <w:tcPr>
            <w:tcW w:w="3705" w:type="pct"/>
            <w:vAlign w:val="center"/>
          </w:tcPr>
          <w:p>
            <w:pPr>
              <w:spacing w:line="360" w:lineRule="auto"/>
              <w:rPr>
                <w:rFonts w:ascii="宋体" w:hAnsi="宋体" w:cs="宋体"/>
                <w:kern w:val="0"/>
                <w:szCs w:val="21"/>
              </w:rPr>
            </w:pPr>
            <w:r>
              <w:rPr>
                <w:rFonts w:hint="eastAsia" w:ascii="宋体" w:hAnsi="宋体"/>
                <w:bCs/>
                <w:szCs w:val="21"/>
              </w:rPr>
              <w:t>8.1 投标人应按其投标文件中的承诺，进行其他售后服务工作。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548" w:type="pct"/>
            <w:vMerge w:val="continue"/>
            <w:vAlign w:val="center"/>
          </w:tcPr>
          <w:p>
            <w:pPr>
              <w:spacing w:line="360" w:lineRule="auto"/>
              <w:jc w:val="center"/>
              <w:rPr>
                <w:rFonts w:ascii="宋体" w:hAnsi="宋体"/>
                <w:szCs w:val="21"/>
              </w:rPr>
            </w:pPr>
          </w:p>
        </w:tc>
        <w:tc>
          <w:tcPr>
            <w:tcW w:w="746" w:type="pct"/>
            <w:vMerge w:val="continue"/>
            <w:vAlign w:val="center"/>
          </w:tcPr>
          <w:p>
            <w:pPr>
              <w:spacing w:line="360" w:lineRule="auto"/>
              <w:jc w:val="center"/>
              <w:rPr>
                <w:rFonts w:ascii="宋体" w:hAnsi="宋体"/>
                <w:kern w:val="0"/>
                <w:szCs w:val="21"/>
              </w:rPr>
            </w:pPr>
          </w:p>
        </w:tc>
        <w:tc>
          <w:tcPr>
            <w:tcW w:w="3705" w:type="pct"/>
            <w:vAlign w:val="center"/>
          </w:tcPr>
          <w:p>
            <w:pPr>
              <w:spacing w:line="360" w:lineRule="auto"/>
              <w:jc w:val="left"/>
              <w:rPr>
                <w:rFonts w:ascii="宋体" w:hAnsi="宋体" w:cs="宋体"/>
                <w:kern w:val="0"/>
                <w:szCs w:val="21"/>
              </w:rPr>
            </w:pPr>
            <w:r>
              <w:rPr>
                <w:rFonts w:hint="eastAsia" w:ascii="宋体" w:hAnsi="宋体" w:cs="宋体"/>
                <w:kern w:val="0"/>
                <w:szCs w:val="21"/>
              </w:rPr>
              <w:t>8.2如设备有配套耗材的，参照《医用耗材管理办法》及有关管理制度执行。</w:t>
            </w:r>
          </w:p>
        </w:tc>
      </w:tr>
    </w:tbl>
    <w:p/>
    <w:p/>
    <w:p/>
    <w:p>
      <w:pPr>
        <w:widowControl/>
        <w:jc w:val="left"/>
      </w:pPr>
    </w:p>
    <w:p>
      <w:pPr>
        <w:pStyle w:val="2"/>
      </w:pPr>
      <w:bookmarkStart w:id="2" w:name="_Toc135293322"/>
      <w:r>
        <w:rPr>
          <w:rFonts w:hint="eastAsia"/>
        </w:rPr>
        <w:t>第三章  投标文件初审</w:t>
      </w:r>
      <w:bookmarkEnd w:id="2"/>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本章是本招标文件中涉及的所有无效标和废标情形的摘要，除法律法规另有规定外，投标文件的其他任何情形均不得作无效标和废标处理。招标文件中有关无效标和废标与本章节不一致的，以本章节内容为准。</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请评委重点审查供应商是否存在《深圳经济特区政府采购条例实施细则》第七十五条规定的串通投标情形：</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（一）投标供应商之间相互约定给予未中标的供应商利益补偿；</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（二）不同投标供应商的法定代表人、主要经营负责人、项目投标授权代表人、项目负责人、主要技术人员为同一人、属同一单位或者在同一单位缴纳社会保险；</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（三）不同投标供应商的投标文件由同一单位或者同一人编制，或者由同一人分阶段参与编制的；</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（四）不同投标供应商的投标文件或部分投标文件相互混装；</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（五）不同投标供应商的投标文件内容存在非正常一致；</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（六）由同一单位工作人员为两家以上（含两家）供应商进行同一项投标活动的；</w:t>
      </w:r>
    </w:p>
    <w:p>
      <w:pPr>
        <w:adjustRightInd w:val="0"/>
        <w:spacing w:line="360" w:lineRule="auto"/>
        <w:ind w:firstLine="424" w:firstLineChars="201"/>
        <w:rPr>
          <w:rFonts w:ascii="宋体" w:hAnsi="宋体"/>
          <w:b/>
          <w:snapToGrid w:val="0"/>
          <w:kern w:val="0"/>
        </w:rPr>
      </w:pPr>
      <w:r>
        <w:rPr>
          <w:rFonts w:hint="eastAsia" w:ascii="宋体" w:hAnsi="宋体"/>
          <w:b/>
          <w:snapToGrid w:val="0"/>
          <w:kern w:val="0"/>
        </w:rPr>
        <w:t>（七）主管部门依照法律、法规认定的其他情形。</w:t>
      </w:r>
    </w:p>
    <w:p>
      <w:pPr>
        <w:adjustRightInd w:val="0"/>
        <w:spacing w:line="360" w:lineRule="auto"/>
        <w:rPr>
          <w:snapToGrid w:val="0"/>
          <w:kern w:val="0"/>
        </w:rPr>
      </w:pPr>
    </w:p>
    <w:p>
      <w:pPr>
        <w:adjustRightInd w:val="0"/>
        <w:spacing w:line="360" w:lineRule="auto"/>
        <w:ind w:firstLine="424" w:firstLineChars="202"/>
        <w:rPr>
          <w:snapToGrid w:val="0"/>
          <w:kern w:val="0"/>
        </w:rPr>
      </w:pPr>
      <w:r>
        <w:rPr>
          <w:rFonts w:hint="eastAsia"/>
          <w:snapToGrid w:val="0"/>
          <w:kern w:val="0"/>
        </w:rPr>
        <w:t>一、资格性</w:t>
      </w:r>
      <w:r>
        <w:rPr>
          <w:rFonts w:hint="eastAsia" w:ascii="宋体" w:hAnsi="宋体"/>
          <w:snapToGrid w:val="0"/>
          <w:kern w:val="0"/>
        </w:rPr>
        <w:t>审查</w:t>
      </w:r>
    </w:p>
    <w:p>
      <w:pPr>
        <w:adjustRightInd w:val="0"/>
        <w:spacing w:line="360" w:lineRule="auto"/>
        <w:ind w:firstLine="424" w:firstLineChars="202"/>
        <w:rPr>
          <w:rFonts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pPr>
        <w:adjustRightInd w:val="0"/>
        <w:spacing w:line="360" w:lineRule="auto"/>
        <w:ind w:firstLine="424" w:firstLineChars="202"/>
        <w:rPr>
          <w:rFonts w:ascii="宋体" w:hAnsi="宋体"/>
          <w:snapToGrid w:val="0"/>
          <w:kern w:val="0"/>
        </w:rPr>
      </w:pPr>
      <w:r>
        <w:rPr>
          <w:rFonts w:hint="eastAsia" w:ascii="宋体" w:hAnsi="宋体"/>
          <w:snapToGrid w:val="0"/>
          <w:kern w:val="0"/>
        </w:rPr>
        <w:t>二、符合性审查</w:t>
      </w:r>
    </w:p>
    <w:p>
      <w:pPr>
        <w:adjustRightInd w:val="0"/>
        <w:spacing w:line="360" w:lineRule="auto"/>
        <w:ind w:firstLine="424" w:firstLineChars="202"/>
        <w:rPr>
          <w:rFonts w:ascii="宋体" w:hAnsi="宋体"/>
          <w:snapToGrid w:val="0"/>
          <w:kern w:val="0"/>
        </w:rPr>
      </w:pPr>
      <w:r>
        <w:rPr>
          <w:rFonts w:hint="eastAsia" w:ascii="宋体" w:hAnsi="宋体"/>
          <w:snapToGrid w:val="0"/>
          <w:kern w:val="0"/>
        </w:rPr>
        <w:t>1、投标人提供的投标文件数量不符合招标文件要求。</w:t>
      </w:r>
    </w:p>
    <w:p>
      <w:pPr>
        <w:adjustRightInd w:val="0"/>
        <w:spacing w:line="360" w:lineRule="auto"/>
        <w:ind w:firstLine="424" w:firstLineChars="202"/>
        <w:rPr>
          <w:rFonts w:ascii="宋体" w:hAnsi="宋体"/>
          <w:snapToGrid w:val="0"/>
          <w:kern w:val="0"/>
        </w:rPr>
      </w:pPr>
      <w:r>
        <w:rPr>
          <w:rFonts w:hint="eastAsia" w:ascii="宋体" w:hAnsi="宋体"/>
          <w:snapToGrid w:val="0"/>
          <w:kern w:val="0"/>
        </w:rPr>
        <w:t>2、投标文件未按照招标文件要求制作、密封和标记。</w:t>
      </w:r>
    </w:p>
    <w:p>
      <w:pPr>
        <w:adjustRightInd w:val="0"/>
        <w:spacing w:line="360" w:lineRule="auto"/>
        <w:ind w:firstLine="424" w:firstLineChars="202"/>
        <w:rPr>
          <w:rFonts w:ascii="宋体" w:hAnsi="宋体"/>
          <w:snapToGrid w:val="0"/>
          <w:kern w:val="0"/>
        </w:rPr>
      </w:pPr>
      <w:r>
        <w:rPr>
          <w:rFonts w:hint="eastAsia" w:ascii="宋体" w:hAnsi="宋体"/>
          <w:snapToGrid w:val="0"/>
          <w:kern w:val="0"/>
        </w:rPr>
        <w:t>3、未按招标文件要求提供法定代表人（负责人）证明书和法定代表人（负责人）授权委托书。</w:t>
      </w:r>
    </w:p>
    <w:p>
      <w:pPr>
        <w:adjustRightInd w:val="0"/>
        <w:spacing w:line="360" w:lineRule="auto"/>
        <w:ind w:firstLine="424" w:firstLineChars="202"/>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pPr>
        <w:adjustRightInd w:val="0"/>
        <w:spacing w:line="360" w:lineRule="auto"/>
        <w:ind w:firstLine="424" w:firstLineChars="202"/>
        <w:rPr>
          <w:rFonts w:ascii="宋体" w:hAnsi="宋体"/>
          <w:snapToGrid w:val="0"/>
          <w:kern w:val="0"/>
        </w:rPr>
      </w:pPr>
      <w:r>
        <w:rPr>
          <w:rFonts w:hint="eastAsia" w:ascii="宋体" w:hAnsi="宋体"/>
          <w:snapToGrid w:val="0"/>
          <w:kern w:val="0"/>
        </w:rPr>
        <w:t>5、投标文件的关键内容字迹模糊、无法辨认的。</w:t>
      </w:r>
    </w:p>
    <w:p>
      <w:pPr>
        <w:adjustRightInd w:val="0"/>
        <w:spacing w:line="360" w:lineRule="auto"/>
        <w:ind w:firstLine="424" w:firstLineChars="202"/>
        <w:rPr>
          <w:rFonts w:ascii="宋体" w:hAnsi="宋体"/>
          <w:snapToGrid w:val="0"/>
          <w:kern w:val="0"/>
        </w:rPr>
      </w:pPr>
      <w:r>
        <w:rPr>
          <w:rFonts w:hint="eastAsia" w:ascii="宋体" w:hAnsi="宋体"/>
          <w:snapToGrid w:val="0"/>
          <w:kern w:val="0"/>
        </w:rPr>
        <w:t>6、对招标文件规定的货物或服务采购清单或工程量清单的项目或数量进行修改，评标委员会判定投标响应不满足采购需求的。</w:t>
      </w:r>
    </w:p>
    <w:p>
      <w:pPr>
        <w:adjustRightInd w:val="0"/>
        <w:spacing w:line="360" w:lineRule="auto"/>
        <w:ind w:firstLine="424" w:firstLineChars="202"/>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pPr>
        <w:adjustRightInd w:val="0"/>
        <w:spacing w:line="360" w:lineRule="auto"/>
        <w:ind w:firstLine="424" w:firstLineChars="202"/>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pPr>
        <w:adjustRightInd w:val="0"/>
        <w:spacing w:line="360" w:lineRule="auto"/>
        <w:ind w:firstLine="424" w:firstLineChars="202"/>
        <w:rPr>
          <w:rFonts w:ascii="宋体" w:hAnsi="宋体"/>
          <w:snapToGrid w:val="0"/>
          <w:kern w:val="0"/>
        </w:rPr>
      </w:pPr>
      <w:r>
        <w:rPr>
          <w:rFonts w:hint="eastAsia" w:ascii="宋体" w:hAnsi="宋体"/>
          <w:snapToGrid w:val="0"/>
          <w:kern w:val="0"/>
        </w:rPr>
        <w:t>9、将一个项目包拆分投标，同时提供两套或以上的投标方案</w:t>
      </w:r>
      <w:r>
        <w:rPr>
          <w:szCs w:val="21"/>
        </w:rPr>
        <w:t>（招标文件另有规定的除外）</w:t>
      </w:r>
      <w:r>
        <w:rPr>
          <w:rFonts w:hint="eastAsia" w:ascii="宋体" w:hAnsi="宋体"/>
          <w:snapToGrid w:val="0"/>
          <w:kern w:val="0"/>
        </w:rPr>
        <w:t>。</w:t>
      </w:r>
    </w:p>
    <w:p>
      <w:pPr>
        <w:adjustRightInd w:val="0"/>
        <w:spacing w:line="360" w:lineRule="auto"/>
        <w:ind w:firstLine="424" w:firstLineChars="202"/>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pPr>
        <w:adjustRightInd w:val="0"/>
        <w:spacing w:line="360" w:lineRule="auto"/>
        <w:ind w:firstLine="424" w:firstLineChars="202"/>
        <w:rPr>
          <w:rFonts w:ascii="宋体" w:hAnsi="宋体"/>
          <w:snapToGrid w:val="0"/>
          <w:kern w:val="0"/>
        </w:rPr>
      </w:pPr>
      <w:r>
        <w:rPr>
          <w:rFonts w:hint="eastAsia" w:ascii="宋体" w:hAnsi="宋体"/>
          <w:snapToGrid w:val="0"/>
          <w:kern w:val="0"/>
        </w:rPr>
        <w:t>11、投标违规行为：如以他人名义竞标、串通投标或者以其他弄虚作假方式投标的。</w:t>
      </w:r>
    </w:p>
    <w:p>
      <w:pPr>
        <w:adjustRightInd w:val="0"/>
        <w:spacing w:line="360" w:lineRule="auto"/>
        <w:ind w:firstLine="424" w:firstLineChars="202"/>
        <w:rPr>
          <w:rFonts w:ascii="宋体" w:hAnsi="宋体"/>
          <w:snapToGrid w:val="0"/>
          <w:kern w:val="0"/>
        </w:rPr>
      </w:pPr>
      <w:r>
        <w:rPr>
          <w:rFonts w:hint="eastAsia" w:ascii="宋体" w:hAnsi="宋体"/>
          <w:snapToGrid w:val="0"/>
          <w:kern w:val="0"/>
        </w:rPr>
        <w:t>12、</w:t>
      </w:r>
      <w:r>
        <w:rPr>
          <w:rFonts w:hint="eastAsia" w:ascii="宋体" w:hAnsi="宋体"/>
          <w:bCs/>
          <w:szCs w:val="21"/>
        </w:rPr>
        <w:t>投标人的投标总价超过采购预算金额或最高投标限价的</w:t>
      </w:r>
      <w:r>
        <w:rPr>
          <w:rFonts w:hint="eastAsia" w:ascii="宋体" w:hAnsi="宋体"/>
          <w:snapToGrid w:val="0"/>
          <w:kern w:val="0"/>
        </w:rPr>
        <w:t>。</w:t>
      </w:r>
    </w:p>
    <w:p>
      <w:pPr>
        <w:adjustRightInd w:val="0"/>
        <w:spacing w:line="360" w:lineRule="auto"/>
        <w:ind w:firstLine="424" w:firstLineChars="202"/>
        <w:rPr>
          <w:rFonts w:ascii="宋体" w:hAnsi="宋体"/>
          <w:snapToGrid w:val="0"/>
          <w:kern w:val="0"/>
        </w:rPr>
      </w:pPr>
      <w:r>
        <w:rPr>
          <w:rFonts w:hint="eastAsia" w:ascii="宋体" w:hAnsi="宋体"/>
          <w:snapToGrid w:val="0"/>
          <w:kern w:val="0"/>
        </w:rPr>
        <w:t>13、法律法规规定的其它情形。</w:t>
      </w:r>
    </w:p>
    <w:p/>
    <w:p/>
    <w:p/>
    <w:p/>
    <w:p/>
    <w:p/>
    <w:p/>
    <w:p/>
    <w:p/>
    <w:p/>
    <w:p/>
    <w:p/>
    <w:p/>
    <w:p/>
    <w:p/>
    <w:p/>
    <w:p/>
    <w:p/>
    <w:p/>
    <w:p/>
    <w:p/>
    <w:p/>
    <w:p/>
    <w:p/>
    <w:p/>
    <w:p/>
    <w:p/>
    <w:p/>
    <w:p/>
    <w:p/>
    <w:p/>
    <w:p/>
    <w:p/>
    <w:p/>
    <w:p>
      <w:pPr>
        <w:rPr>
          <w:rFonts w:hint="eastAsia"/>
        </w:rPr>
      </w:pPr>
    </w:p>
    <w:p/>
    <w:p/>
    <w:p>
      <w:pPr>
        <w:pStyle w:val="2"/>
      </w:pPr>
      <w:bookmarkStart w:id="3" w:name="_Toc135293323"/>
      <w:r>
        <w:rPr>
          <w:rFonts w:hint="eastAsia"/>
        </w:rPr>
        <w:t>第四章  评标方法和标准</w:t>
      </w:r>
      <w:bookmarkEnd w:id="3"/>
    </w:p>
    <w:p>
      <w:pPr>
        <w:pStyle w:val="4"/>
        <w:spacing w:before="0" w:after="0"/>
      </w:pPr>
      <w:bookmarkStart w:id="4" w:name="_Toc44691393"/>
      <w:bookmarkStart w:id="5" w:name="_Toc44691161"/>
      <w:bookmarkStart w:id="6" w:name="_Toc135293324"/>
      <w:bookmarkStart w:id="7" w:name="_Toc44690702"/>
      <w:bookmarkStart w:id="8" w:name="_Toc44690429"/>
      <w:r>
        <w:rPr>
          <w:rFonts w:hint="eastAsia"/>
        </w:rPr>
        <w:t>一、</w:t>
      </w:r>
      <w:r>
        <w:t>评标方法</w:t>
      </w:r>
      <w:bookmarkEnd w:id="4"/>
      <w:bookmarkEnd w:id="5"/>
      <w:bookmarkEnd w:id="6"/>
      <w:bookmarkEnd w:id="7"/>
      <w:bookmarkEnd w:id="8"/>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3、中标供应商及候选中标供应商数量：</w:t>
      </w:r>
      <w:r>
        <w:rPr>
          <w:rFonts w:hint="eastAsia" w:cs="仿宋" w:asciiTheme="minorEastAsia" w:hAnsiTheme="minorEastAsia" w:eastAsiaTheme="minorEastAsia"/>
          <w:kern w:val="2"/>
          <w:sz w:val="21"/>
          <w:szCs w:val="21"/>
        </w:rPr>
        <w:t>中标供应商数量：1名，候选中标供应商数量：3名。</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5、推荐候选中标供应商：</w:t>
      </w:r>
    </w:p>
    <w:p>
      <w:pPr>
        <w:pStyle w:val="45"/>
        <w:spacing w:before="0" w:beforeAutospacing="0" w:after="0" w:afterAutospacing="0" w:line="360" w:lineRule="exact"/>
        <w:ind w:firstLine="424" w:firstLineChars="177"/>
        <w:rPr>
          <w:rFonts w:cs="仿宋" w:asciiTheme="minorEastAsia" w:hAnsiTheme="minorEastAsia" w:eastAsiaTheme="minorEastAsia"/>
          <w:kern w:val="2"/>
          <w:sz w:val="21"/>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kern w:val="2"/>
          <w:sz w:val="21"/>
          <w:szCs w:val="21"/>
        </w:rPr>
        <w:t>非评定分离项目：由评标委员会推荐</w:t>
      </w:r>
      <w:r>
        <w:rPr>
          <w:rFonts w:hint="eastAsia" w:cs="仿宋" w:asciiTheme="minorEastAsia" w:hAnsiTheme="minorEastAsia" w:eastAsiaTheme="minorEastAsia"/>
          <w:b/>
          <w:kern w:val="2"/>
          <w:sz w:val="21"/>
          <w:szCs w:val="21"/>
        </w:rPr>
        <w:t>评标排名前三的投标人</w:t>
      </w:r>
      <w:r>
        <w:rPr>
          <w:rFonts w:hint="eastAsia" w:cs="仿宋" w:asciiTheme="minorEastAsia" w:hAnsiTheme="minorEastAsia" w:eastAsiaTheme="minorEastAsia"/>
          <w:kern w:val="2"/>
          <w:sz w:val="21"/>
          <w:szCs w:val="21"/>
        </w:rPr>
        <w:t>作为候选中标供应商。</w:t>
      </w:r>
    </w:p>
    <w:p>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评定分离项目：由评标委员会推荐</w:t>
      </w:r>
      <w:r>
        <w:rPr>
          <w:rFonts w:hint="eastAsia" w:cs="仿宋" w:asciiTheme="minorEastAsia" w:hAnsiTheme="minorEastAsia" w:eastAsiaTheme="minorEastAsia"/>
          <w:b/>
          <w:szCs w:val="21"/>
        </w:rPr>
        <w:t>评标排名前三的投标人（无排序）</w:t>
      </w:r>
      <w:r>
        <w:rPr>
          <w:rFonts w:hint="eastAsia" w:cs="仿宋" w:asciiTheme="minorEastAsia" w:hAnsiTheme="minorEastAsia" w:eastAsiaTheme="minorEastAsia"/>
          <w:szCs w:val="21"/>
        </w:rPr>
        <w:t>作为候选中标供应商。</w:t>
      </w:r>
    </w:p>
    <w:p>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6、确定中标供应商：</w:t>
      </w:r>
    </w:p>
    <w:p>
      <w:pPr>
        <w:spacing w:line="360" w:lineRule="exact"/>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szCs w:val="21"/>
        </w:rPr>
        <w:t>非评定分离项目：采购人在评标报告确定的候选中标供应商名单中按顺序确定1名中标供应商。</w:t>
      </w:r>
    </w:p>
    <w:p>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pPr>
        <w:spacing w:line="360" w:lineRule="auto"/>
        <w:ind w:firstLine="424" w:firstLineChars="202"/>
        <w:rPr>
          <w:rFonts w:asciiTheme="minorEastAsia" w:hAnsiTheme="minorEastAsia" w:eastAsiaTheme="minorEastAsia"/>
        </w:rPr>
      </w:pPr>
    </w:p>
    <w:p>
      <w:pPr>
        <w:pStyle w:val="4"/>
        <w:spacing w:before="0" w:after="0"/>
      </w:pPr>
      <w:bookmarkStart w:id="9" w:name="_Toc135293325"/>
      <w:r>
        <w:rPr>
          <w:rFonts w:hint="eastAsia"/>
        </w:rPr>
        <w:t>二、评标标准</w:t>
      </w:r>
      <w:bookmarkEnd w:id="9"/>
    </w:p>
    <w:p>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评标委员会按照以下量化的评审因素，对各投标文件进行综合评审：</w:t>
      </w:r>
    </w:p>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pPr>
              <w:autoSpaceDE w:val="0"/>
              <w:autoSpaceDN w:val="0"/>
              <w:adjustRightInd w:val="0"/>
              <w:spacing w:line="360" w:lineRule="exact"/>
              <w:jc w:val="center"/>
              <w:rPr>
                <w:rFonts w:ascii="宋体" w:hAnsi="宋体" w:cs="宋体"/>
                <w:b/>
                <w:szCs w:val="21"/>
                <w:lang w:val="zh-CN"/>
              </w:rPr>
            </w:pPr>
            <w:bookmarkStart w:id="10" w:name="_Toc44690703"/>
            <w:bookmarkStart w:id="11" w:name="_Toc44691162"/>
            <w:bookmarkStart w:id="12" w:name="_Toc44690430"/>
            <w:bookmarkStart w:id="13" w:name="_Toc135293326"/>
            <w:bookmarkStart w:id="14" w:name="_Toc44691394"/>
            <w:r>
              <w:rPr>
                <w:rFonts w:hint="eastAsia" w:ascii="宋体" w:hAnsi="宋体" w:cs="宋体"/>
                <w:b/>
                <w:szCs w:val="21"/>
                <w:lang w:val="zh-CN"/>
              </w:rPr>
              <w:t>评分项及评分规则</w:t>
            </w:r>
          </w:p>
        </w:tc>
        <w:tc>
          <w:tcPr>
            <w:tcW w:w="1187" w:type="dxa"/>
            <w:vAlign w:val="center"/>
          </w:tcPr>
          <w:p>
            <w:pPr>
              <w:autoSpaceDE w:val="0"/>
              <w:autoSpaceDN w:val="0"/>
              <w:adjustRightInd w:val="0"/>
              <w:spacing w:line="360" w:lineRule="exact"/>
              <w:jc w:val="center"/>
              <w:rPr>
                <w:rFonts w:ascii="宋体" w:hAnsi="宋体" w:cs="宋体"/>
                <w:b/>
                <w:szCs w:val="21"/>
                <w:lang w:val="zh-CN"/>
              </w:rPr>
            </w:pPr>
            <w:r>
              <w:rPr>
                <w:rFonts w:hint="eastAsia" w:ascii="宋体" w:hAnsi="宋体" w:cs="宋体"/>
                <w:b/>
                <w:szCs w:val="21"/>
                <w:lang w:val="zh-CN"/>
              </w:rPr>
              <w:t>权重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pPr>
              <w:autoSpaceDE w:val="0"/>
              <w:autoSpaceDN w:val="0"/>
              <w:adjustRightInd w:val="0"/>
              <w:spacing w:line="360" w:lineRule="exact"/>
              <w:jc w:val="center"/>
              <w:rPr>
                <w:rFonts w:ascii="宋体" w:hAnsi="宋体" w:cs="宋体"/>
                <w:b/>
                <w:szCs w:val="21"/>
                <w:lang w:val="zh-CN"/>
              </w:rPr>
            </w:pPr>
            <w:r>
              <w:rPr>
                <w:rFonts w:hint="eastAsia" w:ascii="宋体" w:hAnsi="宋体" w:cs="宋体"/>
                <w:b/>
                <w:szCs w:val="21"/>
                <w:lang w:val="zh-CN"/>
              </w:rPr>
              <w:t>一、价格部分</w:t>
            </w:r>
          </w:p>
        </w:tc>
        <w:tc>
          <w:tcPr>
            <w:tcW w:w="1187" w:type="dxa"/>
            <w:vAlign w:val="center"/>
          </w:tcPr>
          <w:p>
            <w:pPr>
              <w:autoSpaceDE w:val="0"/>
              <w:autoSpaceDN w:val="0"/>
              <w:adjustRightInd w:val="0"/>
              <w:spacing w:line="360" w:lineRule="exact"/>
              <w:jc w:val="center"/>
              <w:rPr>
                <w:rFonts w:ascii="宋体" w:hAnsi="宋体" w:cs="宋体"/>
                <w:b/>
                <w:szCs w:val="21"/>
              </w:rPr>
            </w:pPr>
            <w:r>
              <w:rPr>
                <w:rFonts w:hint="eastAsia" w:ascii="宋体" w:hAnsi="宋体" w:cs="宋体"/>
                <w:b/>
                <w:szCs w:val="21"/>
              </w:rPr>
              <w:t>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pPr>
              <w:widowControl/>
              <w:spacing w:line="360" w:lineRule="exact"/>
              <w:jc w:val="left"/>
              <w:rPr>
                <w:rFonts w:ascii="宋体" w:hAnsi="宋体" w:cs="宋体"/>
                <w:szCs w:val="21"/>
              </w:rPr>
            </w:pPr>
            <w:r>
              <w:rPr>
                <w:rFonts w:hint="eastAsia" w:ascii="宋体" w:hAnsi="宋体" w:cs="宋体"/>
                <w:szCs w:val="21"/>
              </w:rPr>
              <w:t>价格分采用低价优先法计算，即满足招标文件要求且投标价格最低的投标报价为评标基准价，其价格分为满分。其他投标人的价格分统一按照下列公式计算：</w:t>
            </w:r>
          </w:p>
          <w:p>
            <w:pPr>
              <w:widowControl/>
              <w:spacing w:line="360" w:lineRule="exact"/>
              <w:jc w:val="left"/>
              <w:rPr>
                <w:rFonts w:ascii="宋体" w:hAnsi="宋体" w:cs="宋体"/>
                <w:szCs w:val="21"/>
              </w:rPr>
            </w:pPr>
            <w:r>
              <w:rPr>
                <w:rFonts w:hint="eastAsia" w:ascii="宋体" w:hAnsi="宋体" w:cs="宋体"/>
                <w:szCs w:val="21"/>
              </w:rPr>
              <w:t>投标报价得分=(评标基准价／投标报价)×权重</w:t>
            </w:r>
          </w:p>
          <w:p>
            <w:pPr>
              <w:adjustRightInd w:val="0"/>
              <w:snapToGrid w:val="0"/>
              <w:spacing w:line="360" w:lineRule="exact"/>
              <w:rPr>
                <w:rFonts w:ascii="宋体" w:hAnsi="宋体" w:cs="宋体"/>
                <w:snapToGrid w:val="0"/>
                <w:kern w:val="0"/>
                <w:szCs w:val="21"/>
              </w:rPr>
            </w:pPr>
            <w:r>
              <w:rPr>
                <w:rFonts w:hint="eastAsia" w:ascii="宋体" w:hAnsi="宋体" w:cs="宋体"/>
                <w:snapToGrid w:val="0"/>
                <w:kern w:val="0"/>
                <w:szCs w:val="21"/>
              </w:rPr>
              <w:t>备注：</w:t>
            </w:r>
          </w:p>
          <w:p>
            <w:pPr>
              <w:adjustRightInd w:val="0"/>
              <w:snapToGrid w:val="0"/>
              <w:spacing w:line="360" w:lineRule="exact"/>
              <w:rPr>
                <w:rFonts w:ascii="宋体" w:hAnsi="宋体" w:cs="宋体"/>
                <w:bCs/>
                <w:snapToGrid w:val="0"/>
                <w:kern w:val="0"/>
                <w:szCs w:val="21"/>
              </w:rPr>
            </w:pPr>
            <w:r>
              <w:rPr>
                <w:rFonts w:hint="eastAsia" w:ascii="宋体" w:hAnsi="宋体" w:cs="宋体"/>
                <w:snapToGrid w:val="0"/>
                <w:kern w:val="0"/>
                <w:szCs w:val="21"/>
              </w:rPr>
              <w:t>1、因落实政府采购政策进行价格调整的，以调整后的价格计算评标基准价和投标报价</w:t>
            </w:r>
            <w:r>
              <w:rPr>
                <w:rFonts w:hint="eastAsia" w:ascii="宋体" w:hAnsi="宋体" w:cs="宋体"/>
                <w:bCs/>
                <w:snapToGrid w:val="0"/>
                <w:kern w:val="0"/>
                <w:szCs w:val="21"/>
              </w:rPr>
              <w:t>；</w:t>
            </w:r>
          </w:p>
          <w:p>
            <w:pPr>
              <w:autoSpaceDE w:val="0"/>
              <w:autoSpaceDN w:val="0"/>
              <w:adjustRightInd w:val="0"/>
              <w:spacing w:line="360" w:lineRule="exact"/>
              <w:jc w:val="left"/>
              <w:rPr>
                <w:rFonts w:ascii="宋体" w:hAnsi="宋体" w:cs="宋体"/>
                <w:szCs w:val="21"/>
              </w:rPr>
            </w:pPr>
            <w:r>
              <w:rPr>
                <w:rFonts w:hint="eastAsia" w:ascii="宋体" w:hAnsi="宋体" w:cs="宋体"/>
                <w:snapToGrid w:val="0"/>
                <w:kern w:val="0"/>
                <w:szCs w:val="21"/>
              </w:rPr>
              <w:t>2、投标报价得分四舍五入后，小数点后保留两位有效数</w:t>
            </w:r>
            <w:r>
              <w:rPr>
                <w:rFonts w:hint="eastAsia" w:ascii="宋体" w:hAnsi="宋体" w:cs="宋体"/>
                <w:szCs w:val="21"/>
              </w:rPr>
              <w:t>。</w:t>
            </w:r>
          </w:p>
        </w:tc>
        <w:tc>
          <w:tcPr>
            <w:tcW w:w="1187" w:type="dxa"/>
            <w:vAlign w:val="center"/>
          </w:tcPr>
          <w:p>
            <w:pPr>
              <w:autoSpaceDE w:val="0"/>
              <w:autoSpaceDN w:val="0"/>
              <w:adjustRightInd w:val="0"/>
              <w:spacing w:line="360" w:lineRule="exact"/>
              <w:jc w:val="center"/>
              <w:rPr>
                <w:rFonts w:ascii="宋体" w:hAnsi="宋体" w:cs="宋体"/>
                <w:szCs w:val="21"/>
              </w:rPr>
            </w:pPr>
            <w:r>
              <w:rPr>
                <w:rFonts w:hint="eastAsia" w:ascii="宋体" w:hAnsi="宋体" w:cs="宋体"/>
                <w:szCs w:val="21"/>
                <w:lang w:val="zh-CN"/>
              </w:rPr>
              <w:t>按公式计算评分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pPr>
              <w:autoSpaceDE w:val="0"/>
              <w:autoSpaceDN w:val="0"/>
              <w:adjustRightInd w:val="0"/>
              <w:spacing w:line="360" w:lineRule="exact"/>
              <w:jc w:val="center"/>
              <w:rPr>
                <w:rFonts w:ascii="宋体" w:hAnsi="宋体" w:cs="宋体"/>
                <w:b/>
                <w:szCs w:val="21"/>
              </w:rPr>
            </w:pPr>
            <w:r>
              <w:rPr>
                <w:rFonts w:hint="eastAsia" w:ascii="宋体" w:hAnsi="宋体" w:cs="宋体"/>
                <w:b/>
                <w:szCs w:val="21"/>
              </w:rPr>
              <w:t>二、技术部分</w:t>
            </w:r>
          </w:p>
        </w:tc>
        <w:tc>
          <w:tcPr>
            <w:tcW w:w="1187" w:type="dxa"/>
            <w:vAlign w:val="center"/>
          </w:tcPr>
          <w:p>
            <w:pPr>
              <w:autoSpaceDE w:val="0"/>
              <w:autoSpaceDN w:val="0"/>
              <w:adjustRightInd w:val="0"/>
              <w:spacing w:line="360" w:lineRule="exact"/>
              <w:jc w:val="center"/>
              <w:rPr>
                <w:rFonts w:ascii="宋体" w:hAnsi="宋体" w:cs="宋体"/>
                <w:b/>
                <w:szCs w:val="21"/>
              </w:rPr>
            </w:pPr>
            <w:r>
              <w:rPr>
                <w:rFonts w:hint="eastAsia" w:ascii="宋体" w:hAnsi="宋体" w:cs="宋体"/>
                <w:b/>
                <w:szCs w:val="21"/>
              </w:rPr>
              <w:t>4</w:t>
            </w:r>
            <w:r>
              <w:rPr>
                <w:rFonts w:hint="eastAsia" w:ascii="宋体" w:hAnsi="宋体" w:cs="宋体"/>
                <w:b/>
                <w:szCs w:val="21"/>
                <w:lang w:val="en-US" w:eastAsia="zh-CN"/>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pPr>
              <w:autoSpaceDE w:val="0"/>
              <w:autoSpaceDN w:val="0"/>
              <w:adjustRightInd w:val="0"/>
              <w:spacing w:line="360" w:lineRule="exact"/>
              <w:jc w:val="center"/>
              <w:rPr>
                <w:rFonts w:ascii="宋体" w:hAnsi="宋体" w:cs="宋体"/>
                <w:szCs w:val="21"/>
              </w:rPr>
            </w:pPr>
            <w:r>
              <w:rPr>
                <w:rFonts w:hint="eastAsia" w:ascii="宋体" w:hAnsi="宋体" w:cs="宋体"/>
                <w:szCs w:val="21"/>
              </w:rPr>
              <w:t>序号</w:t>
            </w:r>
          </w:p>
        </w:tc>
        <w:tc>
          <w:tcPr>
            <w:tcW w:w="1143" w:type="dxa"/>
            <w:vAlign w:val="center"/>
          </w:tcPr>
          <w:p>
            <w:pPr>
              <w:autoSpaceDE w:val="0"/>
              <w:autoSpaceDN w:val="0"/>
              <w:adjustRightInd w:val="0"/>
              <w:spacing w:line="360" w:lineRule="exact"/>
              <w:jc w:val="center"/>
              <w:rPr>
                <w:rFonts w:ascii="宋体" w:hAnsi="宋体" w:cs="宋体"/>
                <w:szCs w:val="21"/>
              </w:rPr>
            </w:pPr>
            <w:r>
              <w:rPr>
                <w:rFonts w:hint="eastAsia" w:ascii="宋体" w:hAnsi="宋体" w:cs="宋体"/>
                <w:szCs w:val="21"/>
              </w:rPr>
              <w:t>内容</w:t>
            </w:r>
          </w:p>
        </w:tc>
        <w:tc>
          <w:tcPr>
            <w:tcW w:w="709" w:type="dxa"/>
            <w:vAlign w:val="center"/>
          </w:tcPr>
          <w:p>
            <w:pPr>
              <w:autoSpaceDE w:val="0"/>
              <w:autoSpaceDN w:val="0"/>
              <w:adjustRightInd w:val="0"/>
              <w:spacing w:line="360" w:lineRule="exact"/>
              <w:jc w:val="center"/>
              <w:rPr>
                <w:rFonts w:ascii="宋体" w:hAnsi="宋体" w:cs="宋体"/>
                <w:szCs w:val="21"/>
              </w:rPr>
            </w:pPr>
            <w:r>
              <w:rPr>
                <w:rFonts w:hint="eastAsia" w:ascii="宋体" w:hAnsi="宋体" w:cs="宋体"/>
                <w:szCs w:val="21"/>
              </w:rPr>
              <w:t>权重</w:t>
            </w:r>
          </w:p>
        </w:tc>
        <w:tc>
          <w:tcPr>
            <w:tcW w:w="5953" w:type="dxa"/>
            <w:vAlign w:val="center"/>
          </w:tcPr>
          <w:p>
            <w:pPr>
              <w:autoSpaceDE w:val="0"/>
              <w:autoSpaceDN w:val="0"/>
              <w:adjustRightInd w:val="0"/>
              <w:spacing w:line="360" w:lineRule="exact"/>
              <w:jc w:val="center"/>
              <w:rPr>
                <w:rFonts w:ascii="宋体" w:hAnsi="宋体" w:cs="宋体"/>
                <w:szCs w:val="21"/>
              </w:rPr>
            </w:pPr>
            <w:r>
              <w:rPr>
                <w:rFonts w:hint="eastAsia" w:ascii="宋体" w:hAnsi="宋体" w:cs="宋体"/>
                <w:szCs w:val="21"/>
              </w:rPr>
              <w:t>评分规则</w:t>
            </w:r>
          </w:p>
        </w:tc>
        <w:tc>
          <w:tcPr>
            <w:tcW w:w="1187" w:type="dxa"/>
            <w:vAlign w:val="center"/>
          </w:tcPr>
          <w:p>
            <w:pPr>
              <w:autoSpaceDE w:val="0"/>
              <w:autoSpaceDN w:val="0"/>
              <w:adjustRightInd w:val="0"/>
              <w:spacing w:line="360" w:lineRule="exact"/>
              <w:jc w:val="center"/>
              <w:rPr>
                <w:rFonts w:ascii="宋体" w:hAnsi="宋体" w:cs="宋体"/>
                <w:szCs w:val="21"/>
              </w:rPr>
            </w:pPr>
            <w:r>
              <w:rPr>
                <w:rFonts w:hint="eastAsia" w:ascii="宋体" w:hAnsi="宋体" w:cs="宋体"/>
                <w:szCs w:val="21"/>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pPr>
              <w:autoSpaceDE w:val="0"/>
              <w:autoSpaceDN w:val="0"/>
              <w:adjustRightInd w:val="0"/>
              <w:spacing w:line="360" w:lineRule="exact"/>
              <w:jc w:val="center"/>
              <w:rPr>
                <w:rFonts w:ascii="宋体" w:hAnsi="宋体" w:cs="宋体"/>
                <w:szCs w:val="21"/>
              </w:rPr>
            </w:pPr>
            <w:r>
              <w:rPr>
                <w:rFonts w:hint="eastAsia" w:ascii="宋体" w:hAnsi="宋体" w:cs="宋体"/>
                <w:szCs w:val="21"/>
              </w:rPr>
              <w:t>1</w:t>
            </w:r>
          </w:p>
        </w:tc>
        <w:tc>
          <w:tcPr>
            <w:tcW w:w="1143" w:type="dxa"/>
            <w:vAlign w:val="center"/>
          </w:tcPr>
          <w:p>
            <w:pPr>
              <w:widowControl/>
              <w:spacing w:line="360" w:lineRule="exact"/>
              <w:jc w:val="center"/>
              <w:rPr>
                <w:rFonts w:ascii="宋体" w:hAnsi="宋体" w:cs="宋体"/>
                <w:kern w:val="0"/>
                <w:szCs w:val="21"/>
              </w:rPr>
            </w:pPr>
            <w:r>
              <w:rPr>
                <w:rFonts w:hint="eastAsia" w:ascii="宋体" w:hAnsi="宋体" w:cs="宋体"/>
                <w:kern w:val="0"/>
                <w:szCs w:val="21"/>
              </w:rPr>
              <w:t>技术规格偏离情况</w:t>
            </w:r>
          </w:p>
        </w:tc>
        <w:tc>
          <w:tcPr>
            <w:tcW w:w="709" w:type="dxa"/>
            <w:vAlign w:val="center"/>
          </w:tcPr>
          <w:p>
            <w:pPr>
              <w:widowControl/>
              <w:spacing w:line="360" w:lineRule="exact"/>
              <w:jc w:val="center"/>
              <w:rPr>
                <w:rFonts w:ascii="宋体" w:hAnsi="宋体" w:cs="宋体"/>
                <w:kern w:val="0"/>
                <w:szCs w:val="21"/>
              </w:rPr>
            </w:pPr>
            <w:r>
              <w:rPr>
                <w:rFonts w:hint="eastAsia" w:ascii="宋体" w:hAnsi="宋体" w:cs="宋体"/>
                <w:kern w:val="0"/>
                <w:szCs w:val="21"/>
              </w:rPr>
              <w:t>29</w:t>
            </w:r>
          </w:p>
        </w:tc>
        <w:tc>
          <w:tcPr>
            <w:tcW w:w="5953" w:type="dxa"/>
            <w:vAlign w:val="center"/>
          </w:tcPr>
          <w:p>
            <w:pPr>
              <w:pStyle w:val="95"/>
              <w:spacing w:line="360" w:lineRule="exact"/>
              <w:ind w:firstLine="0" w:firstLineChars="0"/>
              <w:rPr>
                <w:rFonts w:ascii="宋体" w:hAnsi="宋体" w:cs="宋体"/>
                <w:szCs w:val="21"/>
              </w:rPr>
            </w:pPr>
            <w:r>
              <w:rPr>
                <w:rFonts w:hint="eastAsia" w:ascii="宋体" w:hAnsi="宋体" w:cs="宋体"/>
                <w:szCs w:val="21"/>
              </w:rPr>
              <w:t>（一）评分内容：</w:t>
            </w:r>
          </w:p>
          <w:p>
            <w:pPr>
              <w:spacing w:line="360" w:lineRule="exact"/>
              <w:jc w:val="left"/>
              <w:rPr>
                <w:rFonts w:ascii="宋体" w:hAnsi="宋体" w:cs="宋体"/>
                <w:szCs w:val="21"/>
              </w:rPr>
            </w:pPr>
            <w:r>
              <w:rPr>
                <w:rFonts w:hint="eastAsia" w:ascii="宋体" w:hAnsi="宋体" w:cs="宋体"/>
                <w:szCs w:val="21"/>
              </w:rPr>
              <w:t>投标人应如实填写《技术规格偏离表》，各项技术参数指标及要求全部满足的得 29分；“▲”参数为重要指标，每负偏离一项扣2分；其余指标每负偏离一项扣</w:t>
            </w:r>
            <w:r>
              <w:rPr>
                <w:rFonts w:hint="eastAsia" w:ascii="宋体" w:hAnsi="宋体" w:cs="宋体"/>
                <w:szCs w:val="21"/>
                <w:lang w:val="en-US" w:eastAsia="zh-CN"/>
              </w:rPr>
              <w:t>1</w:t>
            </w:r>
            <w:r>
              <w:rPr>
                <w:rFonts w:hint="eastAsia" w:ascii="宋体" w:hAnsi="宋体" w:cs="宋体"/>
                <w:szCs w:val="21"/>
              </w:rPr>
              <w:t>分，</w:t>
            </w:r>
            <w:r>
              <w:rPr>
                <w:rFonts w:hint="eastAsia" w:ascii="宋体" w:hAnsi="宋体" w:cs="宋体"/>
                <w:bCs/>
                <w:szCs w:val="21"/>
              </w:rPr>
              <w:t>最低0分</w:t>
            </w:r>
            <w:r>
              <w:rPr>
                <w:rFonts w:hint="eastAsia" w:ascii="宋体" w:hAnsi="宋体" w:cs="宋体"/>
                <w:szCs w:val="21"/>
              </w:rPr>
              <w:t>。技术</w:t>
            </w:r>
            <w:r>
              <w:rPr>
                <w:rFonts w:hint="eastAsia" w:ascii="宋体" w:hAnsi="宋体" w:cs="宋体"/>
                <w:szCs w:val="21"/>
                <w:lang w:val="zh-CN"/>
              </w:rPr>
              <w:t>要求中包含子项条款的，按子项条款响应情况逐项评分。</w:t>
            </w:r>
            <w:bookmarkStart w:id="113" w:name="_GoBack"/>
            <w:bookmarkEnd w:id="113"/>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（二）评分依据：</w:t>
            </w:r>
          </w:p>
          <w:p>
            <w:pPr>
              <w:spacing w:line="360" w:lineRule="exact"/>
              <w:jc w:val="left"/>
              <w:rPr>
                <w:rFonts w:hint="eastAsia" w:ascii="宋体" w:hAnsi="宋体" w:cs="宋体"/>
                <w:szCs w:val="21"/>
              </w:rPr>
            </w:pPr>
            <w:r>
              <w:rPr>
                <w:rFonts w:hint="eastAsia" w:ascii="宋体" w:hAnsi="宋体" w:cs="宋体"/>
                <w:bCs/>
                <w:szCs w:val="21"/>
              </w:rPr>
              <w:t>以投标文件《技术</w:t>
            </w:r>
            <w:r>
              <w:rPr>
                <w:rFonts w:hint="eastAsia" w:ascii="宋体" w:hAnsi="宋体" w:cs="宋体"/>
                <w:szCs w:val="21"/>
              </w:rPr>
              <w:t>规格</w:t>
            </w:r>
            <w:r>
              <w:rPr>
                <w:rFonts w:hint="eastAsia" w:ascii="宋体" w:hAnsi="宋体" w:cs="宋体"/>
                <w:bCs/>
                <w:szCs w:val="21"/>
              </w:rPr>
              <w:t>偏离表》为评分依据，投标人</w:t>
            </w:r>
            <w:r>
              <w:rPr>
                <w:rFonts w:hint="eastAsia" w:ascii="宋体" w:hAnsi="宋体" w:cs="宋体"/>
                <w:szCs w:val="21"/>
              </w:rPr>
              <w:t>按招标文件要求提供相应的证明材料复印件或扫描件加盖投标人公章（原件备查），并注明证明材料在投标文件中的具体位置。未提供有效证明材料或未注明证明材料在投标文件中的具体位置或提供的证明资料显示不符合招标文件要求、模糊不清无法判断或未显示是否满足招标文件参数的，该项技术指标按负偏离处理。</w:t>
            </w:r>
          </w:p>
          <w:p>
            <w:pPr>
              <w:spacing w:line="360" w:lineRule="exact"/>
              <w:jc w:val="left"/>
              <w:rPr>
                <w:rFonts w:ascii="宋体" w:hAnsi="宋体" w:cs="仿宋"/>
                <w:szCs w:val="21"/>
              </w:rPr>
            </w:pPr>
            <w:r>
              <w:rPr>
                <w:rFonts w:hint="eastAsia" w:ascii="宋体" w:hAnsi="宋体" w:cs="仿宋"/>
                <w:szCs w:val="21"/>
              </w:rPr>
              <w:t>证明材料涉及检测报告的，需提供检测机构出具的“检测报告载明的检测事项未超出本机构检测范围”的承诺（格式自拟），未按要求提供承诺的，</w:t>
            </w:r>
            <w:r>
              <w:rPr>
                <w:rFonts w:ascii="宋体" w:hAnsi="宋体" w:cs="仿宋"/>
                <w:szCs w:val="21"/>
              </w:rPr>
              <w:t>该项技术指标按负偏离处理</w:t>
            </w:r>
            <w:r>
              <w:rPr>
                <w:rFonts w:hint="eastAsia" w:ascii="宋体" w:hAnsi="宋体" w:cs="仿宋"/>
                <w:szCs w:val="21"/>
              </w:rPr>
              <w:t>。</w:t>
            </w:r>
          </w:p>
          <w:p>
            <w:pPr>
              <w:spacing w:line="360" w:lineRule="exact"/>
              <w:jc w:val="left"/>
              <w:rPr>
                <w:rFonts w:ascii="宋体" w:hAnsi="宋体" w:cs="宋体"/>
                <w:szCs w:val="21"/>
              </w:rPr>
            </w:pPr>
            <w:r>
              <w:rPr>
                <w:rFonts w:hint="eastAsia" w:ascii="宋体" w:hAnsi="宋体" w:cs="仿宋"/>
                <w:b/>
                <w:szCs w:val="21"/>
              </w:rPr>
              <w:t>特别提醒：投标人的“技术规格响应情况”、“技术规格偏离情况”等必须与客观实际保持一致，响应不实且情节严重的，经查实，将依法记入供应商诚信档案或受到行政处罚。</w:t>
            </w:r>
          </w:p>
        </w:tc>
        <w:tc>
          <w:tcPr>
            <w:tcW w:w="1187" w:type="dxa"/>
            <w:vAlign w:val="center"/>
          </w:tcPr>
          <w:p>
            <w:pPr>
              <w:autoSpaceDE w:val="0"/>
              <w:autoSpaceDN w:val="0"/>
              <w:adjustRightInd w:val="0"/>
              <w:spacing w:line="360" w:lineRule="exact"/>
              <w:jc w:val="center"/>
              <w:rPr>
                <w:rFonts w:ascii="宋体" w:hAnsi="宋体" w:cs="宋体"/>
                <w:szCs w:val="21"/>
              </w:rPr>
            </w:pPr>
            <w:r>
              <w:rPr>
                <w:rFonts w:hint="eastAsia" w:ascii="宋体" w:hAnsi="宋体" w:cs="宋体"/>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6" w:hRule="atLeast"/>
          <w:jc w:val="center"/>
        </w:trPr>
        <w:tc>
          <w:tcPr>
            <w:tcW w:w="754" w:type="dxa"/>
            <w:vAlign w:val="center"/>
          </w:tcPr>
          <w:p>
            <w:pPr>
              <w:autoSpaceDE w:val="0"/>
              <w:autoSpaceDN w:val="0"/>
              <w:adjustRightInd w:val="0"/>
              <w:spacing w:line="360" w:lineRule="exact"/>
              <w:jc w:val="center"/>
              <w:rPr>
                <w:rFonts w:ascii="宋体" w:hAnsi="宋体" w:cs="宋体"/>
                <w:szCs w:val="21"/>
                <w:lang w:val="zh-CN"/>
              </w:rPr>
            </w:pPr>
            <w:r>
              <w:rPr>
                <w:rFonts w:hint="eastAsia" w:ascii="宋体" w:hAnsi="宋体" w:cs="宋体"/>
                <w:szCs w:val="21"/>
              </w:rPr>
              <w:t>2</w:t>
            </w:r>
          </w:p>
        </w:tc>
        <w:tc>
          <w:tcPr>
            <w:tcW w:w="1143" w:type="dxa"/>
            <w:vAlign w:val="center"/>
          </w:tcPr>
          <w:p>
            <w:pPr>
              <w:spacing w:line="360" w:lineRule="exact"/>
              <w:jc w:val="center"/>
              <w:rPr>
                <w:rFonts w:ascii="宋体" w:hAnsi="宋体" w:cs="宋体"/>
                <w:szCs w:val="21"/>
              </w:rPr>
            </w:pPr>
            <w:r>
              <w:rPr>
                <w:rFonts w:hint="eastAsia" w:ascii="宋体" w:hAnsi="宋体" w:cs="宋体"/>
                <w:kern w:val="0"/>
                <w:szCs w:val="21"/>
              </w:rPr>
              <w:t>项目实施方案</w:t>
            </w:r>
          </w:p>
        </w:tc>
        <w:tc>
          <w:tcPr>
            <w:tcW w:w="709" w:type="dxa"/>
            <w:vAlign w:val="center"/>
          </w:tcPr>
          <w:p>
            <w:pPr>
              <w:spacing w:line="360" w:lineRule="exact"/>
              <w:jc w:val="center"/>
              <w:rPr>
                <w:rFonts w:ascii="宋体" w:hAnsi="宋体" w:cs="宋体"/>
                <w:szCs w:val="21"/>
              </w:rPr>
            </w:pPr>
            <w:r>
              <w:rPr>
                <w:rFonts w:hint="eastAsia" w:ascii="宋体" w:hAnsi="宋体" w:cs="宋体"/>
                <w:szCs w:val="21"/>
                <w:lang w:val="en-US" w:eastAsia="zh-CN"/>
              </w:rPr>
              <w:t>6</w:t>
            </w:r>
          </w:p>
        </w:tc>
        <w:tc>
          <w:tcPr>
            <w:tcW w:w="5953" w:type="dxa"/>
            <w:vAlign w:val="center"/>
          </w:tcPr>
          <w:p>
            <w:pPr>
              <w:pStyle w:val="45"/>
              <w:keepNext w:val="0"/>
              <w:keepLines w:val="0"/>
              <w:pageBreakBefore w:val="0"/>
              <w:widowControl w:val="0"/>
              <w:numPr>
                <w:ilvl w:val="0"/>
                <w:numId w:val="4"/>
              </w:numPr>
              <w:kinsoku/>
              <w:wordWrap/>
              <w:overflowPunct/>
              <w:topLinePunct w:val="0"/>
              <w:autoSpaceDE/>
              <w:autoSpaceDN/>
              <w:bidi w:val="0"/>
              <w:adjustRightInd/>
              <w:snapToGrid/>
              <w:spacing w:before="0" w:beforeAutospacing="0" w:after="0" w:afterAutospacing="0" w:line="380" w:lineRule="exact"/>
              <w:jc w:val="both"/>
              <w:textAlignment w:val="auto"/>
              <w:rPr>
                <w:rFonts w:ascii="宋体" w:hAnsi="宋体" w:cs="宋体"/>
                <w:b/>
                <w:bCs/>
                <w:kern w:val="2"/>
                <w:sz w:val="21"/>
                <w:szCs w:val="21"/>
              </w:rPr>
            </w:pPr>
            <w:r>
              <w:rPr>
                <w:rFonts w:hint="eastAsia" w:ascii="宋体" w:hAnsi="宋体" w:cs="宋体"/>
                <w:b/>
                <w:bCs/>
                <w:kern w:val="2"/>
                <w:sz w:val="21"/>
                <w:szCs w:val="21"/>
              </w:rPr>
              <w:t>评审内容：</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宋体"/>
                <w:szCs w:val="21"/>
              </w:rPr>
            </w:pPr>
            <w:r>
              <w:rPr>
                <w:rFonts w:hint="eastAsia" w:ascii="宋体" w:hAnsi="宋体" w:cs="宋体"/>
                <w:szCs w:val="21"/>
              </w:rPr>
              <w:t>投标人针对本项目的需求制定项目实施方案，内容包含但不限于：</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宋体"/>
                <w:szCs w:val="21"/>
              </w:rPr>
            </w:pPr>
            <w:r>
              <w:rPr>
                <w:rFonts w:hint="eastAsia" w:ascii="宋体" w:hAnsi="宋体" w:cs="宋体"/>
                <w:szCs w:val="21"/>
              </w:rPr>
              <w:t>1.项目实施进度安排；</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宋体"/>
                <w:szCs w:val="21"/>
              </w:rPr>
            </w:pPr>
            <w:r>
              <w:rPr>
                <w:rFonts w:hint="eastAsia" w:ascii="宋体" w:hAnsi="宋体" w:cs="宋体"/>
                <w:szCs w:val="21"/>
              </w:rPr>
              <w:t>2.相关措施方案；</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宋体"/>
                <w:szCs w:val="21"/>
              </w:rPr>
            </w:pPr>
            <w:r>
              <w:rPr>
                <w:rFonts w:hint="eastAsia" w:ascii="宋体" w:hAnsi="宋体" w:cs="宋体"/>
                <w:szCs w:val="21"/>
              </w:rPr>
              <w:t>3.安装调试方案。</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宋体"/>
                <w:b/>
                <w:bCs/>
                <w:szCs w:val="21"/>
              </w:rPr>
            </w:pPr>
            <w:r>
              <w:rPr>
                <w:rFonts w:hint="eastAsia" w:ascii="宋体" w:hAnsi="宋体" w:cs="宋体"/>
                <w:b/>
                <w:bCs/>
                <w:szCs w:val="21"/>
              </w:rPr>
              <w:t>（二）评分标准：</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宋体"/>
                <w:szCs w:val="21"/>
              </w:rPr>
            </w:pPr>
            <w:r>
              <w:rPr>
                <w:rFonts w:hint="eastAsia" w:ascii="宋体" w:hAnsi="宋体" w:cs="宋体"/>
                <w:szCs w:val="21"/>
              </w:rPr>
              <w:t>1.方案每满足上述任意一点得0.5分，本小项最高得1.5分；</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宋体"/>
                <w:szCs w:val="21"/>
              </w:rPr>
            </w:pPr>
            <w:r>
              <w:rPr>
                <w:rFonts w:hint="eastAsia" w:ascii="宋体" w:hAnsi="宋体" w:cs="宋体"/>
                <w:szCs w:val="21"/>
              </w:rPr>
              <w:t>2.在此基础上，根据方案响应情况进一步评审：</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宋体"/>
                <w:szCs w:val="21"/>
              </w:rPr>
            </w:pPr>
            <w:r>
              <w:rPr>
                <w:rFonts w:hint="eastAsia" w:ascii="宋体" w:hAnsi="宋体" w:cs="宋体"/>
                <w:szCs w:val="21"/>
              </w:rPr>
              <w:t>（1）整体项目实施方案内容全面、具体，对用户需求理解程度高，数据准确详实，符合项目需求的，得</w:t>
            </w:r>
            <w:r>
              <w:rPr>
                <w:rFonts w:hint="eastAsia" w:ascii="宋体" w:hAnsi="宋体" w:cs="宋体"/>
                <w:szCs w:val="21"/>
                <w:lang w:val="en-US" w:eastAsia="zh-CN"/>
              </w:rPr>
              <w:t>4</w:t>
            </w:r>
            <w:r>
              <w:rPr>
                <w:rFonts w:hint="eastAsia" w:ascii="宋体" w:hAnsi="宋体" w:cs="宋体"/>
                <w:szCs w:val="21"/>
              </w:rPr>
              <w:t>.5分；</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宋体"/>
                <w:szCs w:val="21"/>
              </w:rPr>
            </w:pPr>
            <w:r>
              <w:rPr>
                <w:rFonts w:hint="eastAsia" w:ascii="宋体" w:hAnsi="宋体" w:cs="宋体"/>
                <w:szCs w:val="21"/>
              </w:rPr>
              <w:t>（2）整体项目实施方案内容较为全面、具体，对用户需求理解程度较高，数据准确较详实，较符合项目需求的，得1.5分；</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宋体"/>
                <w:szCs w:val="21"/>
              </w:rPr>
            </w:pPr>
            <w:r>
              <w:rPr>
                <w:rFonts w:hint="eastAsia" w:ascii="宋体" w:hAnsi="宋体" w:cs="宋体"/>
                <w:szCs w:val="21"/>
              </w:rPr>
              <w:t>（3）整体项目实施方案内容基本满足要求，对用户需求理解程度一般，数据基本准确，基本符合项目需求的，得0.5分。</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ascii="宋体" w:hAnsi="宋体" w:cs="宋体"/>
                <w:szCs w:val="21"/>
              </w:rPr>
            </w:pPr>
            <w:r>
              <w:rPr>
                <w:rFonts w:hint="eastAsia" w:ascii="宋体" w:hAnsi="宋体" w:cs="宋体"/>
                <w:szCs w:val="21"/>
              </w:rPr>
              <w:t>（4）评价为差或未提供者不得分。</w:t>
            </w:r>
          </w:p>
        </w:tc>
        <w:tc>
          <w:tcPr>
            <w:tcW w:w="1187" w:type="dxa"/>
            <w:vAlign w:val="center"/>
          </w:tcPr>
          <w:p>
            <w:pPr>
              <w:spacing w:line="360" w:lineRule="exact"/>
              <w:jc w:val="center"/>
              <w:rPr>
                <w:rFonts w:ascii="宋体" w:hAnsi="宋体" w:cs="宋体"/>
                <w:szCs w:val="21"/>
                <w:lang w:val="zh-CN"/>
              </w:rPr>
            </w:pPr>
            <w:r>
              <w:rPr>
                <w:rFonts w:hint="eastAsia" w:ascii="宋体" w:hAnsi="宋体" w:cs="宋体"/>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3" w:hRule="atLeast"/>
          <w:jc w:val="center"/>
        </w:trPr>
        <w:tc>
          <w:tcPr>
            <w:tcW w:w="754" w:type="dxa"/>
            <w:vAlign w:val="center"/>
          </w:tcPr>
          <w:p>
            <w:pPr>
              <w:widowControl/>
              <w:snapToGrid w:val="0"/>
              <w:spacing w:line="360" w:lineRule="exact"/>
              <w:jc w:val="center"/>
              <w:rPr>
                <w:rFonts w:ascii="宋体" w:hAnsi="宋体" w:cs="宋体"/>
                <w:kern w:val="0"/>
                <w:szCs w:val="21"/>
              </w:rPr>
            </w:pPr>
            <w:r>
              <w:rPr>
                <w:rFonts w:hint="eastAsia" w:ascii="宋体" w:hAnsi="宋体" w:cs="宋体"/>
                <w:kern w:val="0"/>
                <w:szCs w:val="21"/>
              </w:rPr>
              <w:t>3</w:t>
            </w:r>
          </w:p>
        </w:tc>
        <w:tc>
          <w:tcPr>
            <w:tcW w:w="1143" w:type="dxa"/>
            <w:vAlign w:val="center"/>
          </w:tcPr>
          <w:p>
            <w:pPr>
              <w:widowControl/>
              <w:spacing w:line="360" w:lineRule="exact"/>
              <w:jc w:val="center"/>
              <w:rPr>
                <w:rFonts w:ascii="宋体" w:hAnsi="宋体" w:cs="宋体"/>
                <w:szCs w:val="21"/>
              </w:rPr>
            </w:pPr>
            <w:r>
              <w:rPr>
                <w:rFonts w:hint="eastAsia" w:ascii="宋体" w:hAnsi="宋体" w:cs="宋体"/>
                <w:szCs w:val="21"/>
              </w:rPr>
              <w:t>售后服务方案</w:t>
            </w:r>
          </w:p>
        </w:tc>
        <w:tc>
          <w:tcPr>
            <w:tcW w:w="709" w:type="dxa"/>
            <w:vAlign w:val="center"/>
          </w:tcPr>
          <w:p>
            <w:pPr>
              <w:widowControl/>
              <w:spacing w:line="360" w:lineRule="exact"/>
              <w:jc w:val="center"/>
              <w:rPr>
                <w:rFonts w:hint="eastAsia" w:ascii="宋体" w:hAnsi="宋体" w:eastAsia="宋体" w:cs="宋体"/>
                <w:kern w:val="0"/>
                <w:szCs w:val="21"/>
                <w:lang w:eastAsia="zh-CN"/>
              </w:rPr>
            </w:pPr>
            <w:r>
              <w:rPr>
                <w:rFonts w:hint="eastAsia" w:ascii="宋体" w:hAnsi="宋体" w:cs="宋体"/>
                <w:kern w:val="0"/>
                <w:szCs w:val="21"/>
                <w:lang w:val="en-US" w:eastAsia="zh-CN"/>
              </w:rPr>
              <w:t>5</w:t>
            </w:r>
          </w:p>
        </w:tc>
        <w:tc>
          <w:tcPr>
            <w:tcW w:w="5953" w:type="dxa"/>
            <w:vAlign w:val="center"/>
          </w:tcPr>
          <w:p>
            <w:pPr>
              <w:pStyle w:val="95"/>
              <w:spacing w:line="360" w:lineRule="exact"/>
              <w:ind w:firstLine="0" w:firstLineChars="0"/>
              <w:rPr>
                <w:rFonts w:ascii="宋体" w:hAnsi="宋体" w:cs="宋体"/>
                <w:szCs w:val="21"/>
              </w:rPr>
            </w:pPr>
            <w:r>
              <w:rPr>
                <w:rFonts w:hint="eastAsia" w:ascii="宋体" w:hAnsi="宋体" w:cs="宋体"/>
                <w:szCs w:val="21"/>
              </w:rPr>
              <w:t>（一）评分内容：</w:t>
            </w:r>
          </w:p>
          <w:p>
            <w:pPr>
              <w:spacing w:line="360" w:lineRule="exact"/>
              <w:jc w:val="left"/>
              <w:rPr>
                <w:rFonts w:ascii="宋体" w:hAnsi="宋体" w:cs="宋体"/>
                <w:szCs w:val="21"/>
              </w:rPr>
            </w:pPr>
            <w:r>
              <w:rPr>
                <w:rFonts w:hint="eastAsia" w:ascii="宋体" w:hAnsi="宋体" w:cs="宋体"/>
                <w:szCs w:val="21"/>
              </w:rPr>
              <w:t>投标人提供售后服务方案</w:t>
            </w:r>
            <w:r>
              <w:rPr>
                <w:rFonts w:hint="eastAsia" w:ascii="宋体" w:hAnsi="宋体" w:cs="宋体"/>
                <w:kern w:val="0"/>
                <w:szCs w:val="21"/>
              </w:rPr>
              <w:t>，包含以下内容：</w:t>
            </w:r>
          </w:p>
          <w:p>
            <w:pPr>
              <w:widowControl/>
              <w:spacing w:line="360" w:lineRule="exact"/>
              <w:rPr>
                <w:rFonts w:ascii="宋体" w:hAnsi="宋体" w:cs="宋体"/>
                <w:szCs w:val="21"/>
              </w:rPr>
            </w:pPr>
            <w:r>
              <w:rPr>
                <w:rFonts w:hint="eastAsia" w:ascii="宋体" w:hAnsi="宋体" w:cs="宋体"/>
                <w:szCs w:val="21"/>
              </w:rPr>
              <w:t>（1）售后服务机构及维护人员配置；</w:t>
            </w:r>
          </w:p>
          <w:p>
            <w:pPr>
              <w:widowControl/>
              <w:spacing w:line="360" w:lineRule="exact"/>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）技术培训及备品备件支持计划。</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（二）评分标准：</w:t>
            </w:r>
          </w:p>
          <w:p>
            <w:pPr>
              <w:spacing w:line="360" w:lineRule="exact"/>
              <w:jc w:val="left"/>
              <w:rPr>
                <w:rFonts w:ascii="宋体" w:hAnsi="宋体" w:cs="宋体"/>
                <w:szCs w:val="21"/>
              </w:rPr>
            </w:pPr>
            <w:r>
              <w:rPr>
                <w:rFonts w:hint="eastAsia" w:ascii="宋体" w:hAnsi="宋体" w:cs="宋体"/>
                <w:szCs w:val="21"/>
              </w:rPr>
              <w:t>包含以上二项内容得1分；包含以上一项内容得0.5分；其他情况不得分。</w:t>
            </w:r>
          </w:p>
          <w:p>
            <w:pPr>
              <w:spacing w:line="360" w:lineRule="exact"/>
              <w:jc w:val="left"/>
              <w:rPr>
                <w:rFonts w:ascii="宋体" w:hAnsi="宋体" w:cs="宋体"/>
                <w:szCs w:val="21"/>
              </w:rPr>
            </w:pPr>
            <w:r>
              <w:rPr>
                <w:rFonts w:hint="eastAsia" w:ascii="宋体" w:hAnsi="宋体" w:cs="宋体"/>
                <w:szCs w:val="21"/>
              </w:rPr>
              <w:t>在此基础上，根据方案响应情况进一步评审：</w:t>
            </w:r>
          </w:p>
          <w:p>
            <w:pPr>
              <w:spacing w:line="360" w:lineRule="exact"/>
              <w:jc w:val="left"/>
              <w:rPr>
                <w:rFonts w:ascii="宋体" w:hAnsi="宋体" w:cs="宋体"/>
                <w:szCs w:val="21"/>
              </w:rPr>
            </w:pPr>
            <w:r>
              <w:rPr>
                <w:rFonts w:hint="eastAsia" w:ascii="宋体" w:hAnsi="宋体" w:cs="宋体"/>
                <w:szCs w:val="21"/>
              </w:rPr>
              <w:t>1.方案内容全面、具体，可行性高，加</w:t>
            </w:r>
            <w:r>
              <w:rPr>
                <w:rFonts w:hint="eastAsia" w:ascii="宋体" w:hAnsi="宋体" w:cs="宋体"/>
                <w:szCs w:val="21"/>
                <w:lang w:val="en-US" w:eastAsia="zh-CN"/>
              </w:rPr>
              <w:t>4</w:t>
            </w:r>
            <w:r>
              <w:rPr>
                <w:rFonts w:hint="eastAsia" w:ascii="宋体" w:hAnsi="宋体" w:cs="宋体"/>
                <w:szCs w:val="21"/>
              </w:rPr>
              <w:t>分；</w:t>
            </w:r>
          </w:p>
          <w:p>
            <w:pPr>
              <w:spacing w:line="360" w:lineRule="exact"/>
              <w:jc w:val="left"/>
              <w:rPr>
                <w:rFonts w:ascii="宋体" w:hAnsi="宋体" w:cs="宋体"/>
                <w:szCs w:val="21"/>
              </w:rPr>
            </w:pPr>
            <w:r>
              <w:rPr>
                <w:rFonts w:hint="eastAsia" w:ascii="宋体" w:hAnsi="宋体" w:cs="宋体"/>
                <w:szCs w:val="21"/>
              </w:rPr>
              <w:t>2.方案内容较全面，可行性较高，加1分；</w:t>
            </w:r>
          </w:p>
          <w:p>
            <w:pPr>
              <w:spacing w:line="360" w:lineRule="exact"/>
              <w:jc w:val="left"/>
              <w:rPr>
                <w:rFonts w:ascii="宋体" w:hAnsi="宋体" w:cs="宋体"/>
                <w:szCs w:val="21"/>
              </w:rPr>
            </w:pPr>
            <w:r>
              <w:rPr>
                <w:rFonts w:hint="eastAsia" w:ascii="宋体" w:hAnsi="宋体" w:cs="宋体"/>
                <w:szCs w:val="21"/>
              </w:rPr>
              <w:t>3.方案全面性、可行性一般，加0.5分；</w:t>
            </w:r>
          </w:p>
          <w:p>
            <w:pPr>
              <w:pStyle w:val="95"/>
              <w:spacing w:line="360" w:lineRule="exact"/>
              <w:ind w:firstLine="0" w:firstLineChars="0"/>
              <w:rPr>
                <w:rFonts w:ascii="宋体" w:hAnsi="宋体" w:cs="宋体"/>
                <w:szCs w:val="21"/>
              </w:rPr>
            </w:pPr>
            <w:r>
              <w:rPr>
                <w:rFonts w:hint="eastAsia" w:ascii="宋体" w:hAnsi="宋体" w:cs="宋体"/>
                <w:szCs w:val="21"/>
              </w:rPr>
              <w:t>4.方案不全，可行性低，不加分。</w:t>
            </w:r>
          </w:p>
        </w:tc>
        <w:tc>
          <w:tcPr>
            <w:tcW w:w="1187" w:type="dxa"/>
            <w:vAlign w:val="center"/>
          </w:tcPr>
          <w:p>
            <w:pPr>
              <w:spacing w:line="360" w:lineRule="exact"/>
              <w:jc w:val="center"/>
              <w:rPr>
                <w:rFonts w:ascii="宋体" w:hAnsi="宋体" w:cs="宋体"/>
                <w:szCs w:val="21"/>
                <w:lang w:val="zh-CN"/>
              </w:rPr>
            </w:pPr>
            <w:r>
              <w:rPr>
                <w:rFonts w:hint="eastAsia" w:ascii="宋体" w:hAnsi="宋体" w:cs="宋体"/>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pPr>
              <w:autoSpaceDE w:val="0"/>
              <w:autoSpaceDN w:val="0"/>
              <w:adjustRightInd w:val="0"/>
              <w:spacing w:line="360" w:lineRule="exact"/>
              <w:jc w:val="center"/>
              <w:rPr>
                <w:rFonts w:ascii="宋体" w:hAnsi="宋体" w:cs="宋体"/>
                <w:b/>
                <w:szCs w:val="21"/>
              </w:rPr>
            </w:pPr>
            <w:r>
              <w:rPr>
                <w:rFonts w:hint="eastAsia" w:ascii="宋体" w:hAnsi="宋体" w:cs="宋体"/>
                <w:b/>
                <w:szCs w:val="21"/>
                <w:lang w:val="zh-CN"/>
              </w:rPr>
              <w:t>三、商务部分</w:t>
            </w:r>
          </w:p>
        </w:tc>
        <w:tc>
          <w:tcPr>
            <w:tcW w:w="1187" w:type="dxa"/>
            <w:vAlign w:val="center"/>
          </w:tcPr>
          <w:p>
            <w:pPr>
              <w:autoSpaceDE w:val="0"/>
              <w:autoSpaceDN w:val="0"/>
              <w:adjustRightInd w:val="0"/>
              <w:spacing w:line="360" w:lineRule="exact"/>
              <w:jc w:val="center"/>
              <w:rPr>
                <w:rFonts w:hint="default" w:ascii="宋体" w:hAnsi="宋体" w:eastAsia="宋体" w:cs="宋体"/>
                <w:b/>
                <w:szCs w:val="21"/>
                <w:lang w:val="en-US" w:eastAsia="zh-CN"/>
              </w:rPr>
            </w:pPr>
            <w:r>
              <w:rPr>
                <w:rFonts w:hint="eastAsia" w:ascii="宋体" w:hAnsi="宋体" w:cs="宋体"/>
                <w:b/>
                <w:szCs w:val="21"/>
                <w:lang w:val="en-US" w:eastAsia="zh-CN"/>
              </w:rPr>
              <w:t>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pPr>
              <w:autoSpaceDE w:val="0"/>
              <w:autoSpaceDN w:val="0"/>
              <w:adjustRightInd w:val="0"/>
              <w:spacing w:line="360" w:lineRule="exact"/>
              <w:jc w:val="center"/>
              <w:rPr>
                <w:rFonts w:ascii="宋体" w:hAnsi="宋体" w:cs="宋体"/>
                <w:szCs w:val="21"/>
              </w:rPr>
            </w:pPr>
            <w:r>
              <w:rPr>
                <w:rFonts w:hint="eastAsia" w:ascii="宋体" w:hAnsi="宋体" w:cs="宋体"/>
                <w:szCs w:val="21"/>
                <w:lang w:val="zh-CN"/>
              </w:rPr>
              <w:t>序号</w:t>
            </w:r>
          </w:p>
        </w:tc>
        <w:tc>
          <w:tcPr>
            <w:tcW w:w="1143" w:type="dxa"/>
            <w:vAlign w:val="center"/>
          </w:tcPr>
          <w:p>
            <w:pPr>
              <w:autoSpaceDE w:val="0"/>
              <w:autoSpaceDN w:val="0"/>
              <w:adjustRightInd w:val="0"/>
              <w:spacing w:line="360" w:lineRule="exact"/>
              <w:jc w:val="center"/>
              <w:rPr>
                <w:rFonts w:ascii="宋体" w:hAnsi="宋体" w:cs="宋体"/>
                <w:szCs w:val="21"/>
              </w:rPr>
            </w:pPr>
            <w:r>
              <w:rPr>
                <w:rFonts w:hint="eastAsia" w:ascii="宋体" w:hAnsi="宋体" w:cs="宋体"/>
                <w:szCs w:val="21"/>
                <w:lang w:val="zh-CN"/>
              </w:rPr>
              <w:t>内容</w:t>
            </w:r>
          </w:p>
        </w:tc>
        <w:tc>
          <w:tcPr>
            <w:tcW w:w="709" w:type="dxa"/>
            <w:vAlign w:val="center"/>
          </w:tcPr>
          <w:p>
            <w:pPr>
              <w:autoSpaceDE w:val="0"/>
              <w:autoSpaceDN w:val="0"/>
              <w:adjustRightInd w:val="0"/>
              <w:spacing w:line="360" w:lineRule="exact"/>
              <w:jc w:val="center"/>
              <w:rPr>
                <w:rFonts w:ascii="宋体" w:hAnsi="宋体" w:cs="宋体"/>
                <w:szCs w:val="21"/>
              </w:rPr>
            </w:pPr>
            <w:r>
              <w:rPr>
                <w:rFonts w:hint="eastAsia" w:ascii="宋体" w:hAnsi="宋体" w:cs="宋体"/>
                <w:szCs w:val="21"/>
                <w:lang w:val="zh-CN"/>
              </w:rPr>
              <w:t>权重</w:t>
            </w:r>
          </w:p>
        </w:tc>
        <w:tc>
          <w:tcPr>
            <w:tcW w:w="5953" w:type="dxa"/>
            <w:vAlign w:val="center"/>
          </w:tcPr>
          <w:p>
            <w:pPr>
              <w:autoSpaceDE w:val="0"/>
              <w:autoSpaceDN w:val="0"/>
              <w:adjustRightInd w:val="0"/>
              <w:spacing w:line="360" w:lineRule="exact"/>
              <w:jc w:val="center"/>
              <w:rPr>
                <w:rFonts w:ascii="宋体" w:hAnsi="宋体" w:cs="宋体"/>
                <w:szCs w:val="21"/>
              </w:rPr>
            </w:pPr>
            <w:r>
              <w:rPr>
                <w:rFonts w:hint="eastAsia" w:ascii="宋体" w:hAnsi="宋体" w:cs="宋体"/>
                <w:szCs w:val="21"/>
                <w:lang w:val="zh-CN"/>
              </w:rPr>
              <w:t>评分规则</w:t>
            </w:r>
          </w:p>
        </w:tc>
        <w:tc>
          <w:tcPr>
            <w:tcW w:w="1187" w:type="dxa"/>
            <w:vAlign w:val="center"/>
          </w:tcPr>
          <w:p>
            <w:pPr>
              <w:autoSpaceDE w:val="0"/>
              <w:autoSpaceDN w:val="0"/>
              <w:adjustRightInd w:val="0"/>
              <w:spacing w:line="360" w:lineRule="exact"/>
              <w:jc w:val="center"/>
              <w:rPr>
                <w:rFonts w:ascii="宋体" w:hAnsi="宋体" w:cs="宋体"/>
                <w:szCs w:val="21"/>
              </w:rPr>
            </w:pPr>
            <w:r>
              <w:rPr>
                <w:rFonts w:hint="eastAsia" w:ascii="宋体" w:hAnsi="宋体" w:cs="宋体"/>
                <w:szCs w:val="21"/>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69" w:hRule="atLeast"/>
          <w:jc w:val="center"/>
        </w:trPr>
        <w:tc>
          <w:tcPr>
            <w:tcW w:w="754" w:type="dxa"/>
            <w:vAlign w:val="center"/>
          </w:tcPr>
          <w:p>
            <w:pPr>
              <w:autoSpaceDE w:val="0"/>
              <w:autoSpaceDN w:val="0"/>
              <w:adjustRightInd w:val="0"/>
              <w:spacing w:line="360" w:lineRule="exact"/>
              <w:jc w:val="center"/>
              <w:rPr>
                <w:rFonts w:ascii="宋体" w:hAnsi="宋体" w:cs="宋体"/>
                <w:szCs w:val="21"/>
                <w:lang w:val="zh-CN"/>
              </w:rPr>
            </w:pPr>
            <w:r>
              <w:rPr>
                <w:rFonts w:hint="eastAsia" w:ascii="宋体" w:hAnsi="宋体" w:cs="宋体"/>
                <w:szCs w:val="21"/>
                <w:lang w:val="zh-CN"/>
              </w:rPr>
              <w:t>1</w:t>
            </w:r>
          </w:p>
        </w:tc>
        <w:tc>
          <w:tcPr>
            <w:tcW w:w="1143" w:type="dxa"/>
            <w:vAlign w:val="center"/>
          </w:tcPr>
          <w:p>
            <w:pPr>
              <w:widowControl/>
              <w:spacing w:line="360" w:lineRule="exact"/>
              <w:jc w:val="center"/>
              <w:rPr>
                <w:rFonts w:ascii="宋体" w:hAnsi="宋体" w:cs="宋体"/>
                <w:kern w:val="0"/>
                <w:szCs w:val="21"/>
              </w:rPr>
            </w:pPr>
            <w:r>
              <w:rPr>
                <w:rFonts w:hint="eastAsia" w:asciiTheme="minorEastAsia" w:hAnsiTheme="minorEastAsia" w:eastAsiaTheme="minorEastAsia" w:cstheme="minorEastAsia"/>
                <w:szCs w:val="21"/>
              </w:rPr>
              <w:t>免费保修期内售后服务条款偏离情况</w:t>
            </w:r>
          </w:p>
        </w:tc>
        <w:tc>
          <w:tcPr>
            <w:tcW w:w="709" w:type="dxa"/>
            <w:vAlign w:val="center"/>
          </w:tcPr>
          <w:p>
            <w:pPr>
              <w:widowControl/>
              <w:spacing w:line="360" w:lineRule="exact"/>
              <w:jc w:val="center"/>
              <w:rPr>
                <w:rFonts w:ascii="宋体" w:hAnsi="宋体" w:cs="宋体"/>
                <w:kern w:val="0"/>
                <w:szCs w:val="21"/>
              </w:rPr>
            </w:pPr>
            <w:r>
              <w:rPr>
                <w:rFonts w:hint="eastAsia" w:ascii="宋体" w:hAnsi="宋体" w:cs="宋体"/>
                <w:kern w:val="0"/>
                <w:szCs w:val="21"/>
              </w:rPr>
              <w:t>9</w:t>
            </w:r>
          </w:p>
        </w:tc>
        <w:tc>
          <w:tcPr>
            <w:tcW w:w="5953" w:type="dxa"/>
            <w:vAlign w:val="center"/>
          </w:tcPr>
          <w:p>
            <w:pPr>
              <w:autoSpaceDE w:val="0"/>
              <w:autoSpaceDN w:val="0"/>
              <w:adjustRightInd w:val="0"/>
              <w:spacing w:line="360" w:lineRule="exact"/>
              <w:jc w:val="left"/>
              <w:rPr>
                <w:rFonts w:ascii="宋体" w:hAnsi="宋体" w:cs="宋体"/>
                <w:szCs w:val="21"/>
              </w:rPr>
            </w:pPr>
            <w:r>
              <w:rPr>
                <w:rFonts w:hint="eastAsia" w:ascii="宋体" w:hAnsi="宋体" w:cs="宋体"/>
                <w:szCs w:val="21"/>
              </w:rPr>
              <w:t>投标人应如实填写《商务条款偏离表》，评审委员会根据</w:t>
            </w:r>
            <w:r>
              <w:rPr>
                <w:rFonts w:hint="eastAsia" w:ascii="宋体" w:hAnsi="宋体" w:cs="仿宋"/>
                <w:szCs w:val="21"/>
              </w:rPr>
              <w:t>其中免费保修期内售后服务要求条款</w:t>
            </w:r>
            <w:r>
              <w:rPr>
                <w:rFonts w:hint="eastAsia" w:ascii="宋体" w:hAnsi="宋体" w:cs="宋体"/>
                <w:szCs w:val="21"/>
              </w:rPr>
              <w:t>响应情况进行评审：</w:t>
            </w:r>
          </w:p>
          <w:p>
            <w:pPr>
              <w:autoSpaceDE w:val="0"/>
              <w:autoSpaceDN w:val="0"/>
              <w:adjustRightInd w:val="0"/>
              <w:spacing w:line="360" w:lineRule="exact"/>
              <w:jc w:val="left"/>
              <w:rPr>
                <w:rFonts w:ascii="宋体" w:hAnsi="宋体" w:cs="宋体"/>
                <w:szCs w:val="21"/>
              </w:rPr>
            </w:pPr>
            <w:r>
              <w:rPr>
                <w:rFonts w:hint="eastAsia" w:ascii="宋体" w:hAnsi="宋体" w:cs="宋体"/>
                <w:szCs w:val="21"/>
              </w:rPr>
              <w:t>（1）免费保修期在满足招标要求的基础上，每增加一年得2分，最高得6分。</w:t>
            </w:r>
          </w:p>
          <w:p>
            <w:pPr>
              <w:autoSpaceDE w:val="0"/>
              <w:autoSpaceDN w:val="0"/>
              <w:adjustRightInd w:val="0"/>
              <w:spacing w:line="360" w:lineRule="exact"/>
              <w:jc w:val="left"/>
              <w:rPr>
                <w:rFonts w:ascii="宋体" w:hAnsi="宋体" w:cs="宋体"/>
                <w:szCs w:val="21"/>
              </w:rPr>
            </w:pPr>
            <w:r>
              <w:rPr>
                <w:rFonts w:hint="eastAsia" w:ascii="宋体" w:hAnsi="宋体" w:cs="宋体"/>
                <w:szCs w:val="21"/>
              </w:rPr>
              <w:t>（2）其它要求全部满足的得3分，否则不得分。</w:t>
            </w:r>
          </w:p>
          <w:p>
            <w:pPr>
              <w:autoSpaceDE w:val="0"/>
              <w:autoSpaceDN w:val="0"/>
              <w:adjustRightInd w:val="0"/>
              <w:spacing w:line="360" w:lineRule="exact"/>
              <w:jc w:val="left"/>
              <w:rPr>
                <w:rFonts w:ascii="宋体" w:hAnsi="宋体" w:cs="宋体"/>
                <w:szCs w:val="21"/>
              </w:rPr>
            </w:pPr>
            <w:r>
              <w:rPr>
                <w:rFonts w:hint="eastAsia" w:ascii="宋体" w:hAnsi="宋体" w:cs="宋体"/>
                <w:szCs w:val="21"/>
              </w:rPr>
              <w:t>以上累计满分为9分。</w:t>
            </w:r>
          </w:p>
        </w:tc>
        <w:tc>
          <w:tcPr>
            <w:tcW w:w="1187" w:type="dxa"/>
            <w:vAlign w:val="center"/>
          </w:tcPr>
          <w:p>
            <w:pPr>
              <w:autoSpaceDE w:val="0"/>
              <w:autoSpaceDN w:val="0"/>
              <w:adjustRightInd w:val="0"/>
              <w:spacing w:line="360" w:lineRule="exact"/>
              <w:jc w:val="center"/>
              <w:rPr>
                <w:rFonts w:ascii="宋体" w:hAnsi="宋体" w:cs="宋体"/>
                <w:szCs w:val="21"/>
                <w:lang w:val="zh-CN"/>
              </w:rPr>
            </w:pPr>
            <w:r>
              <w:rPr>
                <w:rFonts w:hint="eastAsia" w:ascii="宋体" w:hAnsi="宋体" w:cs="宋体"/>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66" w:hRule="atLeast"/>
          <w:jc w:val="center"/>
        </w:trPr>
        <w:tc>
          <w:tcPr>
            <w:tcW w:w="754" w:type="dxa"/>
            <w:vAlign w:val="center"/>
          </w:tcPr>
          <w:p>
            <w:pPr>
              <w:autoSpaceDE w:val="0"/>
              <w:autoSpaceDN w:val="0"/>
              <w:adjustRightInd w:val="0"/>
              <w:spacing w:line="360" w:lineRule="exact"/>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1143" w:type="dxa"/>
            <w:vAlign w:val="center"/>
          </w:tcPr>
          <w:p>
            <w:pPr>
              <w:widowControl/>
              <w:spacing w:line="360" w:lineRule="exact"/>
              <w:jc w:val="center"/>
              <w:rPr>
                <w:rFonts w:hint="eastAsia" w:ascii="宋体" w:hAnsi="宋体" w:cs="宋体"/>
                <w:szCs w:val="21"/>
              </w:rPr>
            </w:pPr>
            <w:r>
              <w:rPr>
                <w:rFonts w:hint="eastAsia" w:asciiTheme="minorEastAsia" w:hAnsiTheme="minorEastAsia" w:eastAsiaTheme="minorEastAsia" w:cstheme="minorEastAsia"/>
                <w:szCs w:val="21"/>
              </w:rPr>
              <w:t>免费保修期外售后服务条款偏离情况</w:t>
            </w:r>
          </w:p>
        </w:tc>
        <w:tc>
          <w:tcPr>
            <w:tcW w:w="709" w:type="dxa"/>
            <w:vAlign w:val="center"/>
          </w:tcPr>
          <w:p>
            <w:pPr>
              <w:widowControl/>
              <w:spacing w:line="3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2</w:t>
            </w:r>
          </w:p>
        </w:tc>
        <w:tc>
          <w:tcPr>
            <w:tcW w:w="5953" w:type="dxa"/>
            <w:vAlign w:val="center"/>
          </w:tcPr>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cs="宋体"/>
                <w:kern w:val="0"/>
                <w:szCs w:val="21"/>
              </w:rPr>
            </w:pPr>
            <w:r>
              <w:rPr>
                <w:rFonts w:hint="eastAsia" w:asciiTheme="minorEastAsia" w:hAnsiTheme="minorEastAsia" w:eastAsiaTheme="minorEastAsia" w:cstheme="minorEastAsia"/>
                <w:szCs w:val="21"/>
              </w:rPr>
              <w:t>投标人应如实填写《商务要求偏离表</w:t>
            </w:r>
            <w:r>
              <w:rPr>
                <w:rFonts w:hint="eastAsia" w:ascii="宋体" w:hAnsi="宋体" w:cs="宋体"/>
                <w:szCs w:val="21"/>
              </w:rPr>
              <w:t>》，</w:t>
            </w:r>
            <w:r>
              <w:rPr>
                <w:rFonts w:hint="eastAsia" w:ascii="宋体" w:hAnsi="宋体" w:cs="宋体"/>
                <w:kern w:val="0"/>
                <w:szCs w:val="21"/>
              </w:rPr>
              <w:t>评审委员会根据其中免费保修期外售后服务要求条款响应情况进行评审</w:t>
            </w:r>
            <w:r>
              <w:rPr>
                <w:rFonts w:hint="eastAsia" w:ascii="宋体" w:hAnsi="宋体" w:cs="仿宋"/>
                <w:szCs w:val="21"/>
              </w:rPr>
              <w:t>：</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全部满足要求的得</w:t>
            </w:r>
            <w:r>
              <w:rPr>
                <w:rFonts w:hint="eastAsia" w:asciiTheme="minorEastAsia" w:hAnsiTheme="minorEastAsia" w:eastAsiaTheme="minorEastAsia" w:cstheme="minorEastAsia"/>
                <w:szCs w:val="21"/>
                <w:lang w:val="en-US" w:eastAsia="zh-CN"/>
              </w:rPr>
              <w:t>2分，</w:t>
            </w:r>
            <w:r>
              <w:rPr>
                <w:rFonts w:hint="eastAsia" w:ascii="宋体" w:hAnsi="宋体" w:cs="宋体"/>
                <w:szCs w:val="21"/>
              </w:rPr>
              <w:t>每1小项负偏离</w:t>
            </w:r>
            <w:r>
              <w:rPr>
                <w:rFonts w:hint="eastAsia" w:ascii="宋体" w:hAnsi="宋体" w:cs="宋体"/>
                <w:kern w:val="0"/>
                <w:szCs w:val="21"/>
              </w:rPr>
              <w:t>扣1分，</w:t>
            </w:r>
            <w:r>
              <w:rPr>
                <w:rFonts w:hint="eastAsia" w:ascii="宋体" w:hAnsi="宋体" w:cs="仿宋"/>
                <w:szCs w:val="21"/>
              </w:rPr>
              <w:t>最低得0分</w:t>
            </w:r>
            <w:r>
              <w:rPr>
                <w:rFonts w:hint="eastAsia" w:ascii="宋体" w:hAnsi="宋体" w:cs="宋体"/>
                <w:kern w:val="0"/>
                <w:szCs w:val="21"/>
              </w:rPr>
              <w:t>。</w:t>
            </w:r>
          </w:p>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default" w:ascii="宋体" w:hAnsi="宋体" w:cs="宋体"/>
                <w:kern w:val="0"/>
                <w:szCs w:val="21"/>
                <w:lang w:val="en-US" w:eastAsia="zh-CN"/>
              </w:rPr>
            </w:pPr>
            <w:r>
              <w:rPr>
                <w:rFonts w:hint="eastAsia" w:ascii="宋体" w:hAnsi="宋体" w:cs="仿宋"/>
                <w:szCs w:val="21"/>
                <w:lang w:val="zh-CN"/>
              </w:rPr>
              <w:t>商务要求中包含子项条款的，按子项条款响应情况逐项评分。</w:t>
            </w:r>
          </w:p>
        </w:tc>
        <w:tc>
          <w:tcPr>
            <w:tcW w:w="1187" w:type="dxa"/>
            <w:vAlign w:val="center"/>
          </w:tcPr>
          <w:p>
            <w:pPr>
              <w:autoSpaceDE w:val="0"/>
              <w:autoSpaceDN w:val="0"/>
              <w:adjustRightInd w:val="0"/>
              <w:spacing w:line="360" w:lineRule="exact"/>
              <w:jc w:val="center"/>
              <w:rPr>
                <w:rFonts w:hint="eastAsia" w:ascii="宋体" w:hAnsi="宋体" w:cs="宋体"/>
                <w:szCs w:val="21"/>
              </w:rPr>
            </w:pPr>
            <w:r>
              <w:rPr>
                <w:rFonts w:hint="eastAsia" w:ascii="宋体" w:hAnsi="宋体" w:cs="宋体"/>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67" w:hRule="atLeast"/>
          <w:jc w:val="center"/>
        </w:trPr>
        <w:tc>
          <w:tcPr>
            <w:tcW w:w="754" w:type="dxa"/>
            <w:vAlign w:val="center"/>
          </w:tcPr>
          <w:p>
            <w:pPr>
              <w:autoSpaceDE w:val="0"/>
              <w:autoSpaceDN w:val="0"/>
              <w:adjustRightInd w:val="0"/>
              <w:spacing w:line="360" w:lineRule="exact"/>
              <w:jc w:val="center"/>
              <w:rPr>
                <w:rFonts w:hint="eastAsia" w:ascii="宋体" w:hAnsi="宋体" w:eastAsia="宋体" w:cs="宋体"/>
                <w:szCs w:val="21"/>
                <w:lang w:val="en-US" w:eastAsia="zh-CN"/>
              </w:rPr>
            </w:pPr>
            <w:r>
              <w:rPr>
                <w:rFonts w:hint="eastAsia" w:ascii="宋体" w:hAnsi="宋体" w:cs="宋体"/>
                <w:szCs w:val="21"/>
                <w:lang w:val="en-US" w:eastAsia="zh-CN"/>
              </w:rPr>
              <w:t>3</w:t>
            </w:r>
          </w:p>
        </w:tc>
        <w:tc>
          <w:tcPr>
            <w:tcW w:w="1143" w:type="dxa"/>
            <w:vAlign w:val="center"/>
          </w:tcPr>
          <w:p>
            <w:pPr>
              <w:widowControl/>
              <w:spacing w:line="360" w:lineRule="exact"/>
              <w:jc w:val="center"/>
              <w:rPr>
                <w:rFonts w:hint="eastAsia" w:ascii="宋体" w:hAnsi="宋体" w:cs="宋体"/>
                <w:szCs w:val="21"/>
              </w:rPr>
            </w:pPr>
            <w:r>
              <w:rPr>
                <w:rFonts w:hint="eastAsia" w:asciiTheme="minorEastAsia" w:hAnsiTheme="minorEastAsia" w:eastAsiaTheme="minorEastAsia" w:cstheme="minorEastAsia"/>
                <w:szCs w:val="21"/>
              </w:rPr>
              <w:t>其他商务条款偏离情况</w:t>
            </w:r>
          </w:p>
        </w:tc>
        <w:tc>
          <w:tcPr>
            <w:tcW w:w="709" w:type="dxa"/>
            <w:vAlign w:val="center"/>
          </w:tcPr>
          <w:p>
            <w:pPr>
              <w:widowControl/>
              <w:spacing w:line="360" w:lineRule="exact"/>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1</w:t>
            </w:r>
          </w:p>
        </w:tc>
        <w:tc>
          <w:tcPr>
            <w:tcW w:w="5953" w:type="dxa"/>
            <w:vAlign w:val="center"/>
          </w:tcPr>
          <w:p>
            <w:pPr>
              <w:keepNext w:val="0"/>
              <w:keepLines w:val="0"/>
              <w:pageBreakBefore w:val="0"/>
              <w:widowControl/>
              <w:kinsoku/>
              <w:wordWrap/>
              <w:overflowPunct/>
              <w:topLinePunct w:val="0"/>
              <w:bidi w:val="0"/>
              <w:snapToGrid/>
              <w:spacing w:line="360" w:lineRule="auto"/>
              <w:textAlignment w:val="auto"/>
              <w:rPr>
                <w:rFonts w:ascii="宋体" w:hAnsi="宋体" w:cs="仿宋"/>
                <w:szCs w:val="21"/>
              </w:rPr>
            </w:pPr>
            <w:r>
              <w:rPr>
                <w:rFonts w:hint="eastAsia" w:asciiTheme="minorEastAsia" w:hAnsiTheme="minorEastAsia" w:eastAsiaTheme="minorEastAsia" w:cstheme="minorEastAsia"/>
                <w:szCs w:val="21"/>
              </w:rPr>
              <w:t>投标人应如实填写《商务要求偏离表</w:t>
            </w:r>
            <w:r>
              <w:rPr>
                <w:rFonts w:hint="eastAsia" w:ascii="宋体" w:hAnsi="宋体" w:cs="宋体"/>
                <w:szCs w:val="21"/>
              </w:rPr>
              <w:t>》，</w:t>
            </w:r>
            <w:r>
              <w:rPr>
                <w:rFonts w:hint="eastAsia" w:ascii="宋体" w:hAnsi="宋体" w:cs="仿宋"/>
                <w:szCs w:val="21"/>
              </w:rPr>
              <w:t>评审委员会根据其中其他商务要求条款响应情况进行评审：</w:t>
            </w:r>
            <w:r>
              <w:rPr>
                <w:rFonts w:hint="eastAsia" w:ascii="宋体" w:hAnsi="宋体" w:cs="仿宋"/>
                <w:szCs w:val="21"/>
              </w:rPr>
              <w:br w:type="textWrapping"/>
            </w:r>
            <w:r>
              <w:rPr>
                <w:rFonts w:hint="eastAsia" w:asciiTheme="minorEastAsia" w:hAnsiTheme="minorEastAsia" w:eastAsiaTheme="minorEastAsia" w:cstheme="minorEastAsia"/>
                <w:szCs w:val="21"/>
              </w:rPr>
              <w:t>全部满足要求的得</w:t>
            </w:r>
            <w:r>
              <w:rPr>
                <w:rFonts w:hint="eastAsia" w:asciiTheme="minorEastAsia" w:hAnsiTheme="minorEastAsia" w:eastAsiaTheme="minorEastAsia" w:cstheme="minorEastAsia"/>
                <w:szCs w:val="21"/>
                <w:lang w:val="en-US" w:eastAsia="zh-CN"/>
              </w:rPr>
              <w:t>1分，</w:t>
            </w:r>
            <w:r>
              <w:rPr>
                <w:rFonts w:hint="eastAsia" w:ascii="宋体" w:hAnsi="宋体" w:cs="宋体"/>
                <w:szCs w:val="21"/>
              </w:rPr>
              <w:t>每1小项负偏离</w:t>
            </w:r>
            <w:r>
              <w:rPr>
                <w:rFonts w:hint="eastAsia" w:ascii="宋体" w:hAnsi="宋体" w:cs="仿宋"/>
                <w:szCs w:val="21"/>
              </w:rPr>
              <w:t>扣</w:t>
            </w:r>
            <w:r>
              <w:rPr>
                <w:rFonts w:hint="eastAsia" w:ascii="宋体" w:hAnsi="宋体" w:cs="仿宋"/>
                <w:szCs w:val="21"/>
                <w:lang w:val="en-US" w:eastAsia="zh-CN"/>
              </w:rPr>
              <w:t>0.5</w:t>
            </w:r>
            <w:r>
              <w:rPr>
                <w:rFonts w:hint="eastAsia" w:ascii="宋体" w:hAnsi="宋体" w:cs="仿宋"/>
                <w:szCs w:val="21"/>
              </w:rPr>
              <w:t>分，最低得0分。</w:t>
            </w:r>
          </w:p>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default" w:ascii="宋体" w:hAnsi="宋体" w:cs="宋体" w:eastAsiaTheme="minorEastAsia"/>
                <w:szCs w:val="21"/>
                <w:lang w:val="en-US" w:eastAsia="zh-CN"/>
              </w:rPr>
            </w:pPr>
            <w:r>
              <w:rPr>
                <w:rFonts w:hint="eastAsia" w:ascii="宋体" w:hAnsi="宋体" w:cs="仿宋"/>
                <w:szCs w:val="21"/>
                <w:lang w:val="zh-CN"/>
              </w:rPr>
              <w:t>商务要求中包含子项条款的，按子项条款响应情况逐项评分。</w:t>
            </w:r>
          </w:p>
        </w:tc>
        <w:tc>
          <w:tcPr>
            <w:tcW w:w="1187" w:type="dxa"/>
            <w:vAlign w:val="center"/>
          </w:tcPr>
          <w:p>
            <w:pPr>
              <w:autoSpaceDE w:val="0"/>
              <w:autoSpaceDN w:val="0"/>
              <w:adjustRightInd w:val="0"/>
              <w:spacing w:line="360" w:lineRule="exact"/>
              <w:jc w:val="center"/>
              <w:rPr>
                <w:rFonts w:hint="eastAsia" w:ascii="宋体" w:hAnsi="宋体" w:cs="宋体"/>
                <w:szCs w:val="21"/>
              </w:rPr>
            </w:pPr>
            <w:r>
              <w:rPr>
                <w:rFonts w:hint="eastAsia" w:ascii="宋体" w:hAnsi="宋体" w:cs="宋体"/>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55" w:hRule="atLeast"/>
          <w:jc w:val="center"/>
        </w:trPr>
        <w:tc>
          <w:tcPr>
            <w:tcW w:w="754" w:type="dxa"/>
            <w:vAlign w:val="center"/>
          </w:tcPr>
          <w:p>
            <w:pPr>
              <w:autoSpaceDE w:val="0"/>
              <w:autoSpaceDN w:val="0"/>
              <w:adjustRightInd w:val="0"/>
              <w:spacing w:line="360" w:lineRule="exact"/>
              <w:jc w:val="center"/>
              <w:rPr>
                <w:rFonts w:hint="eastAsia" w:ascii="宋体" w:hAnsi="宋体" w:eastAsia="宋体" w:cs="宋体"/>
                <w:szCs w:val="21"/>
                <w:lang w:val="zh-CN" w:eastAsia="zh-CN"/>
              </w:rPr>
            </w:pPr>
            <w:r>
              <w:rPr>
                <w:rFonts w:hint="eastAsia" w:ascii="宋体" w:hAnsi="宋体" w:cs="宋体"/>
                <w:szCs w:val="21"/>
                <w:lang w:val="en-US" w:eastAsia="zh-CN"/>
              </w:rPr>
              <w:t>4</w:t>
            </w:r>
          </w:p>
        </w:tc>
        <w:tc>
          <w:tcPr>
            <w:tcW w:w="1143" w:type="dxa"/>
            <w:vAlign w:val="center"/>
          </w:tcPr>
          <w:p>
            <w:pPr>
              <w:spacing w:line="360" w:lineRule="exact"/>
              <w:jc w:val="center"/>
              <w:rPr>
                <w:rFonts w:ascii="宋体" w:hAnsi="宋体" w:cs="宋体"/>
                <w:szCs w:val="21"/>
              </w:rPr>
            </w:pPr>
            <w:r>
              <w:rPr>
                <w:rFonts w:hint="eastAsia" w:ascii="宋体" w:hAnsi="宋体" w:cs="宋体"/>
                <w:color w:val="000000"/>
                <w:kern w:val="0"/>
                <w:szCs w:val="21"/>
              </w:rPr>
              <w:t>同类项目业绩情况</w:t>
            </w:r>
          </w:p>
        </w:tc>
        <w:tc>
          <w:tcPr>
            <w:tcW w:w="709" w:type="dxa"/>
            <w:vAlign w:val="center"/>
          </w:tcPr>
          <w:p>
            <w:pPr>
              <w:spacing w:line="360" w:lineRule="exact"/>
              <w:jc w:val="center"/>
              <w:rPr>
                <w:rFonts w:ascii="宋体" w:hAnsi="宋体" w:cs="宋体"/>
                <w:szCs w:val="21"/>
              </w:rPr>
            </w:pPr>
            <w:r>
              <w:rPr>
                <w:rFonts w:hint="eastAsia" w:ascii="宋体" w:hAnsi="宋体" w:cs="宋体"/>
                <w:szCs w:val="21"/>
              </w:rPr>
              <w:t>3</w:t>
            </w:r>
          </w:p>
        </w:tc>
        <w:tc>
          <w:tcPr>
            <w:tcW w:w="5953" w:type="dxa"/>
            <w:vAlign w:val="center"/>
          </w:tcPr>
          <w:p>
            <w:pPr>
              <w:pStyle w:val="95"/>
              <w:spacing w:line="360" w:lineRule="exact"/>
              <w:ind w:firstLine="0" w:firstLineChars="0"/>
              <w:rPr>
                <w:rFonts w:ascii="宋体" w:hAnsi="宋体" w:cs="宋体"/>
                <w:szCs w:val="21"/>
              </w:rPr>
            </w:pPr>
            <w:r>
              <w:rPr>
                <w:rFonts w:hint="eastAsia" w:ascii="宋体" w:hAnsi="宋体" w:cs="宋体"/>
                <w:szCs w:val="21"/>
              </w:rPr>
              <w:t>（一）评分内容：</w:t>
            </w:r>
          </w:p>
          <w:p>
            <w:pPr>
              <w:widowControl/>
              <w:spacing w:line="360" w:lineRule="exact"/>
              <w:rPr>
                <w:rFonts w:ascii="宋体" w:hAnsi="宋体" w:cs="宋体"/>
                <w:szCs w:val="21"/>
              </w:rPr>
            </w:pPr>
            <w:r>
              <w:rPr>
                <w:rFonts w:hint="eastAsia" w:ascii="宋体" w:hAnsi="宋体" w:cs="宋体"/>
                <w:szCs w:val="21"/>
              </w:rPr>
              <w:t>2020年1月1日至本项目投标截止日（以合同签订日期为准），投标人具有同类项目业绩的，每提供1个项目得1分，最高得3分。</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（二）评分依据：</w:t>
            </w:r>
          </w:p>
          <w:p>
            <w:pPr>
              <w:adjustRightInd w:val="0"/>
              <w:snapToGrid w:val="0"/>
              <w:spacing w:line="360" w:lineRule="exact"/>
              <w:rPr>
                <w:rFonts w:ascii="宋体" w:hAnsi="宋体" w:cs="宋体"/>
                <w:szCs w:val="21"/>
              </w:rPr>
            </w:pPr>
            <w:r>
              <w:rPr>
                <w:rFonts w:hint="eastAsia" w:ascii="宋体" w:hAnsi="宋体" w:cs="宋体"/>
                <w:szCs w:val="21"/>
              </w:rPr>
              <w:t>1. 提供合同关键页（需</w:t>
            </w:r>
            <w:r>
              <w:rPr>
                <w:rFonts w:hint="eastAsia" w:ascii="宋体" w:hAnsi="宋体" w:cs="宋体"/>
                <w:bCs/>
                <w:szCs w:val="21"/>
              </w:rPr>
              <w:t>体现签订日期</w:t>
            </w:r>
            <w:r>
              <w:rPr>
                <w:rFonts w:hint="eastAsia" w:ascii="宋体" w:hAnsi="宋体" w:cs="宋体"/>
                <w:szCs w:val="21"/>
              </w:rPr>
              <w:t>）</w:t>
            </w:r>
            <w:r>
              <w:rPr>
                <w:rFonts w:hint="eastAsia" w:ascii="宋体" w:hAnsi="宋体" w:cs="宋体"/>
                <w:bCs/>
                <w:szCs w:val="21"/>
              </w:rPr>
              <w:t>且各项信息不得有任何遮挡</w:t>
            </w:r>
            <w:r>
              <w:rPr>
                <w:rFonts w:hint="eastAsia" w:ascii="宋体" w:hAnsi="宋体" w:cs="宋体"/>
                <w:szCs w:val="21"/>
              </w:rPr>
              <w:t>；</w:t>
            </w:r>
          </w:p>
          <w:p>
            <w:pPr>
              <w:widowControl/>
              <w:spacing w:line="360" w:lineRule="exact"/>
              <w:rPr>
                <w:rFonts w:ascii="宋体" w:hAnsi="宋体" w:cs="宋体"/>
                <w:szCs w:val="21"/>
              </w:rPr>
            </w:pPr>
            <w:r>
              <w:rPr>
                <w:rFonts w:hint="eastAsia" w:ascii="宋体" w:hAnsi="宋体" w:cs="宋体"/>
                <w:szCs w:val="21"/>
              </w:rPr>
              <w:t>2.</w:t>
            </w:r>
            <w:r>
              <w:rPr>
                <w:rFonts w:hint="eastAsia" w:ascii="宋体" w:hAnsi="宋体" w:cs="宋体"/>
                <w:kern w:val="0"/>
                <w:szCs w:val="21"/>
              </w:rPr>
              <w:t xml:space="preserve"> 以上</w:t>
            </w:r>
            <w:r>
              <w:rPr>
                <w:rFonts w:hint="eastAsia" w:ascii="宋体" w:hAnsi="宋体" w:cs="宋体"/>
                <w:szCs w:val="21"/>
              </w:rPr>
              <w:t>证明文件</w:t>
            </w:r>
            <w:r>
              <w:rPr>
                <w:rFonts w:hint="eastAsia" w:ascii="宋体" w:hAnsi="宋体" w:cs="宋体"/>
                <w:kern w:val="0"/>
                <w:szCs w:val="21"/>
              </w:rPr>
              <w:t>均提供复印件或扫描件加盖投标人公章，原件备查。</w:t>
            </w:r>
            <w:r>
              <w:rPr>
                <w:rFonts w:hint="eastAsia" w:ascii="宋体" w:hAnsi="宋体" w:cs="宋体"/>
                <w:szCs w:val="21"/>
              </w:rPr>
              <w:t>未按要求提供有效证明材料或提供不清晰导致评委无法识别的不计得分。</w:t>
            </w:r>
          </w:p>
        </w:tc>
        <w:tc>
          <w:tcPr>
            <w:tcW w:w="1187" w:type="dxa"/>
            <w:vAlign w:val="center"/>
          </w:tcPr>
          <w:p>
            <w:pPr>
              <w:spacing w:line="360" w:lineRule="exact"/>
              <w:jc w:val="center"/>
              <w:rPr>
                <w:rFonts w:ascii="宋体" w:hAnsi="宋体" w:cs="宋体"/>
                <w:szCs w:val="21"/>
                <w:lang w:val="zh-CN"/>
              </w:rPr>
            </w:pPr>
            <w:r>
              <w:rPr>
                <w:rFonts w:hint="eastAsia" w:ascii="宋体" w:hAnsi="宋体" w:cs="宋体"/>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37" w:hRule="atLeast"/>
          <w:jc w:val="center"/>
        </w:trPr>
        <w:tc>
          <w:tcPr>
            <w:tcW w:w="754" w:type="dxa"/>
            <w:vAlign w:val="center"/>
          </w:tcPr>
          <w:p>
            <w:pPr>
              <w:autoSpaceDE w:val="0"/>
              <w:autoSpaceDN w:val="0"/>
              <w:adjustRightInd w:val="0"/>
              <w:spacing w:line="360" w:lineRule="exact"/>
              <w:jc w:val="center"/>
              <w:rPr>
                <w:rFonts w:hint="eastAsia" w:ascii="宋体" w:hAnsi="宋体" w:eastAsia="宋体" w:cs="宋体"/>
                <w:szCs w:val="21"/>
                <w:lang w:val="zh-CN" w:eastAsia="zh-CN"/>
              </w:rPr>
            </w:pPr>
            <w:r>
              <w:rPr>
                <w:rFonts w:hint="eastAsia" w:ascii="宋体" w:hAnsi="宋体" w:cs="宋体"/>
                <w:szCs w:val="21"/>
                <w:lang w:val="en-US" w:eastAsia="zh-CN"/>
              </w:rPr>
              <w:t>5</w:t>
            </w:r>
          </w:p>
        </w:tc>
        <w:tc>
          <w:tcPr>
            <w:tcW w:w="1143" w:type="dxa"/>
            <w:vAlign w:val="center"/>
          </w:tcPr>
          <w:p>
            <w:pPr>
              <w:spacing w:line="360" w:lineRule="exact"/>
              <w:jc w:val="center"/>
              <w:rPr>
                <w:rFonts w:ascii="宋体" w:hAnsi="宋体" w:cs="宋体"/>
                <w:szCs w:val="21"/>
              </w:rPr>
            </w:pPr>
            <w:r>
              <w:rPr>
                <w:rFonts w:hint="eastAsia" w:ascii="宋体" w:hAnsi="宋体" w:cs="宋体"/>
                <w:szCs w:val="21"/>
              </w:rPr>
              <w:t>诚信评审</w:t>
            </w:r>
          </w:p>
        </w:tc>
        <w:tc>
          <w:tcPr>
            <w:tcW w:w="709" w:type="dxa"/>
            <w:vAlign w:val="center"/>
          </w:tcPr>
          <w:p>
            <w:pPr>
              <w:spacing w:line="360" w:lineRule="exact"/>
              <w:jc w:val="center"/>
              <w:rPr>
                <w:rFonts w:ascii="宋体" w:hAnsi="宋体" w:cs="宋体"/>
                <w:szCs w:val="21"/>
              </w:rPr>
            </w:pPr>
            <w:r>
              <w:rPr>
                <w:rFonts w:hint="eastAsia" w:ascii="宋体" w:hAnsi="宋体" w:cs="宋体"/>
                <w:szCs w:val="21"/>
              </w:rPr>
              <w:t>5</w:t>
            </w:r>
          </w:p>
        </w:tc>
        <w:tc>
          <w:tcPr>
            <w:tcW w:w="5953" w:type="dxa"/>
            <w:vAlign w:val="center"/>
          </w:tcPr>
          <w:p>
            <w:pPr>
              <w:pStyle w:val="95"/>
              <w:spacing w:line="360" w:lineRule="exact"/>
              <w:ind w:left="34" w:leftChars="16" w:firstLine="0" w:firstLineChars="0"/>
              <w:rPr>
                <w:rFonts w:ascii="宋体" w:hAnsi="宋体" w:cs="宋体"/>
                <w:szCs w:val="21"/>
              </w:rPr>
            </w:pPr>
            <w:r>
              <w:rPr>
                <w:rFonts w:hint="eastAsia" w:ascii="宋体" w:hAnsi="宋体" w:cs="宋体"/>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pPr>
              <w:tabs>
                <w:tab w:val="left" w:pos="175"/>
              </w:tabs>
              <w:spacing w:line="360" w:lineRule="exact"/>
              <w:ind w:left="33"/>
              <w:jc w:val="left"/>
              <w:rPr>
                <w:rFonts w:ascii="宋体" w:hAnsi="宋体" w:cs="宋体"/>
                <w:szCs w:val="21"/>
              </w:rPr>
            </w:pPr>
            <w:r>
              <w:rPr>
                <w:rFonts w:hint="eastAsia" w:ascii="宋体" w:hAnsi="宋体" w:cs="宋体"/>
                <w:szCs w:val="21"/>
              </w:rPr>
              <w:t>（采购代理机构通过“信用中国”、“中国政府采购网”、“深圳市政府采购监管网”以及市、区财政部门认定的其他渠道查询供应商信用信息，投标人无需提供证明材料。）</w:t>
            </w:r>
          </w:p>
        </w:tc>
        <w:tc>
          <w:tcPr>
            <w:tcW w:w="1187" w:type="dxa"/>
            <w:vAlign w:val="center"/>
          </w:tcPr>
          <w:p>
            <w:pPr>
              <w:spacing w:line="360" w:lineRule="exact"/>
              <w:jc w:val="center"/>
              <w:rPr>
                <w:rFonts w:ascii="宋体" w:hAnsi="宋体" w:cs="宋体"/>
                <w:szCs w:val="21"/>
                <w:lang w:val="zh-CN"/>
              </w:rPr>
            </w:pPr>
            <w:r>
              <w:rPr>
                <w:rFonts w:hint="eastAsia" w:ascii="宋体" w:hAnsi="宋体" w:cs="宋体"/>
                <w:szCs w:val="21"/>
              </w:rPr>
              <w:t>评委打分</w:t>
            </w:r>
          </w:p>
        </w:tc>
      </w:tr>
    </w:tbl>
    <w:p>
      <w:pPr>
        <w:pStyle w:val="4"/>
        <w:spacing w:before="0" w:after="0"/>
        <w:jc w:val="left"/>
        <w:rPr>
          <w:rFonts w:asciiTheme="minorEastAsia" w:hAnsiTheme="minorEastAsia"/>
          <w:bCs w:val="0"/>
          <w:sz w:val="21"/>
          <w:szCs w:val="21"/>
        </w:rPr>
      </w:pPr>
      <w:r>
        <w:rPr>
          <w:rFonts w:hint="eastAsia" w:asciiTheme="minorEastAsia" w:hAnsiTheme="minorEastAsia"/>
          <w:bCs w:val="0"/>
          <w:sz w:val="21"/>
          <w:szCs w:val="21"/>
        </w:rPr>
        <w:t>备注：</w:t>
      </w:r>
      <w:bookmarkEnd w:id="10"/>
      <w:bookmarkEnd w:id="11"/>
      <w:bookmarkEnd w:id="12"/>
      <w:bookmarkEnd w:id="13"/>
      <w:bookmarkEnd w:id="14"/>
    </w:p>
    <w:p>
      <w:pPr>
        <w:pStyle w:val="3"/>
        <w:spacing w:before="0" w:after="0"/>
      </w:pPr>
      <w:bookmarkStart w:id="15" w:name="_Toc135293327"/>
      <w:r>
        <w:rPr>
          <w:rFonts w:hint="eastAsia"/>
        </w:rPr>
        <w:t>1、资质证书有效期</w:t>
      </w:r>
      <w:bookmarkEnd w:id="15"/>
    </w:p>
    <w:p>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pPr>
        <w:adjustRightInd w:val="0"/>
        <w:spacing w:line="360" w:lineRule="exact"/>
        <w:rPr>
          <w:rFonts w:asciiTheme="minorEastAsia" w:hAnsiTheme="minorEastAsia" w:eastAsiaTheme="minorEastAsia"/>
          <w:b/>
        </w:rPr>
      </w:pPr>
    </w:p>
    <w:p>
      <w:pPr>
        <w:pStyle w:val="3"/>
        <w:spacing w:before="0" w:after="0"/>
        <w:rPr>
          <w:rFonts w:asciiTheme="minorEastAsia" w:hAnsiTheme="minorEastAsia" w:eastAsiaTheme="minorEastAsia"/>
        </w:rPr>
      </w:pPr>
      <w:bookmarkStart w:id="16" w:name="_Toc135293328"/>
      <w:r>
        <w:rPr>
          <w:rFonts w:hint="eastAsia" w:asciiTheme="minorEastAsia" w:hAnsiTheme="minorEastAsia" w:eastAsiaTheme="minorEastAsia"/>
        </w:rPr>
        <w:t>2、政府采购扶持政策</w:t>
      </w:r>
      <w:bookmarkEnd w:id="16"/>
    </w:p>
    <w:p>
      <w:pPr>
        <w:spacing w:after="60" w:line="360" w:lineRule="auto"/>
        <w:ind w:firstLine="426" w:firstLineChars="202"/>
        <w:rPr>
          <w:rFonts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 xml:space="preserve"> 工业 </w:t>
      </w:r>
      <w:r>
        <w:rPr>
          <w:rFonts w:hint="eastAsia" w:ascii="宋体" w:hAnsi="宋体"/>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（二）价格评审优惠</w:t>
      </w:r>
    </w:p>
    <w:p>
      <w:pPr>
        <w:spacing w:line="360" w:lineRule="auto"/>
        <w:ind w:firstLine="371" w:firstLineChars="177"/>
        <w:rPr>
          <w:rFonts w:cs="仿宋" w:asciiTheme="minorEastAsia" w:hAnsiTheme="minorEastAsia" w:eastAsiaTheme="minorEastAsia"/>
          <w:szCs w:val="21"/>
        </w:rPr>
      </w:pPr>
      <w:r>
        <w:rPr>
          <w:rFonts w:hint="eastAsia" w:asciiTheme="minorEastAsia" w:hAnsiTheme="minorEastAsia" w:eastAsiaTheme="minorEastAsia"/>
          <w:szCs w:val="21"/>
        </w:rPr>
        <w:t>□</w:t>
      </w:r>
      <w:r>
        <w:rPr>
          <w:rFonts w:hint="eastAsia" w:ascii="Calibri" w:hAnsi="宋体"/>
        </w:rPr>
        <w:t>预留份额专门面向中小企业采购的采购项目或采购包</w:t>
      </w:r>
      <w:r>
        <w:rPr>
          <w:rFonts w:hint="eastAsia" w:cs="仿宋" w:asciiTheme="minorEastAsia" w:hAnsiTheme="minorEastAsia" w:eastAsiaTheme="minorEastAsia"/>
          <w:szCs w:val="21"/>
        </w:rPr>
        <w:t>：不执行价格评审优惠的扶持政策。</w:t>
      </w:r>
    </w:p>
    <w:p>
      <w:pPr>
        <w:widowControl/>
        <w:spacing w:line="360" w:lineRule="auto"/>
        <w:ind w:firstLine="371" w:firstLineChars="177"/>
        <w:jc w:val="left"/>
        <w:rPr>
          <w:rFonts w:cs="仿宋" w:asciiTheme="minorEastAsia" w:hAnsiTheme="minorEastAsia" w:eastAsiaTheme="minorEastAsia"/>
          <w:szCs w:val="21"/>
        </w:rPr>
      </w:pPr>
      <w:r>
        <w:rPr>
          <w:rFonts w:hint="eastAsia" w:ascii="宋体" w:eastAsia="MS Mincho" w:cs="MS Mincho" w:hAnsiTheme="minorEastAsia"/>
          <w:kern w:val="0"/>
          <w:szCs w:val="21"/>
        </w:rPr>
        <w:t>☑</w:t>
      </w:r>
      <w:r>
        <w:rPr>
          <w:rFonts w:hint="eastAsia" w:ascii="Segoe UI Symbol" w:hAnsi="Segoe UI Symbol"/>
        </w:rPr>
        <w:t>未</w:t>
      </w:r>
      <w:r>
        <w:rPr>
          <w:rFonts w:hint="eastAsia" w:ascii="Calibri" w:hAnsi="宋体"/>
        </w:rPr>
        <w:t>预留份额专门面向中小企业采购的采购项目或采购包</w:t>
      </w:r>
      <w:r>
        <w:rPr>
          <w:rFonts w:hint="eastAsia" w:asciiTheme="minorEastAsia" w:hAnsiTheme="minorEastAsia" w:eastAsiaTheme="minorEastAsia"/>
          <w:szCs w:val="21"/>
        </w:rPr>
        <w:t>：</w:t>
      </w:r>
    </w:p>
    <w:p>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szCs w:val="22"/>
        </w:rPr>
        <w:t>其投标报价扣除</w:t>
      </w:r>
      <w:r>
        <w:rPr>
          <w:rFonts w:hint="eastAsia" w:asciiTheme="minorEastAsia" w:hAnsiTheme="minorEastAsia" w:eastAsiaTheme="minorEastAsia"/>
          <w:b/>
          <w:szCs w:val="22"/>
          <w:u w:val="single"/>
        </w:rPr>
        <w:t xml:space="preserve"> 10 </w:t>
      </w:r>
      <w:r>
        <w:rPr>
          <w:rFonts w:hint="eastAsia" w:asciiTheme="minorEastAsia" w:hAnsiTheme="minorEastAsia" w:eastAsiaTheme="minorEastAsia"/>
          <w:b/>
          <w:szCs w:val="22"/>
        </w:rPr>
        <w:t>%（请在10%-20%范围内选择）后参与评审</w:t>
      </w:r>
      <w:r>
        <w:rPr>
          <w:rFonts w:hint="eastAsia" w:asciiTheme="minorEastAsia" w:hAnsiTheme="minorEastAsia" w:eastAsiaTheme="minorEastAsia"/>
          <w:szCs w:val="22"/>
        </w:rPr>
        <w:t>。</w:t>
      </w:r>
    </w:p>
    <w:p>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（2）联合协议中约定，小型、微型企业的协议合同金额占到联合体协议合同总金额30%以上的，可给予</w:t>
      </w:r>
      <w:r>
        <w:rPr>
          <w:rFonts w:hint="eastAsia" w:asciiTheme="minorEastAsia" w:hAnsiTheme="minorEastAsia" w:eastAsiaTheme="minorEastAsia"/>
          <w:b/>
          <w:szCs w:val="22"/>
        </w:rPr>
        <w:t>联合体</w:t>
      </w:r>
      <w:r>
        <w:rPr>
          <w:rFonts w:hint="eastAsia" w:asciiTheme="minorEastAsia" w:hAnsiTheme="minorEastAsia" w:eastAsiaTheme="minorEastAsia"/>
          <w:b/>
          <w:szCs w:val="22"/>
          <w:u w:val="single"/>
        </w:rPr>
        <w:t xml:space="preserve"> /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r>
        <w:rPr>
          <w:rFonts w:hint="eastAsia" w:asciiTheme="minorEastAsia" w:hAnsiTheme="minorEastAsia" w:eastAsiaTheme="minorEastAsia"/>
          <w:szCs w:val="22"/>
        </w:rPr>
        <w:t>。如联合体各方均为小型、微型企业，联合体视同为小型、微型企业，享受</w:t>
      </w:r>
      <w:r>
        <w:rPr>
          <w:rFonts w:hint="eastAsia" w:asciiTheme="minorEastAsia" w:hAnsiTheme="minorEastAsia" w:eastAsiaTheme="minorEastAsia"/>
          <w:b/>
          <w:szCs w:val="22"/>
        </w:rPr>
        <w:t>第（1）项</w:t>
      </w:r>
      <w:r>
        <w:rPr>
          <w:rFonts w:hint="eastAsia" w:asciiTheme="minorEastAsia" w:hAnsiTheme="minorEastAsia" w:eastAsiaTheme="minorEastAsia"/>
          <w:szCs w:val="22"/>
        </w:rPr>
        <w:t>的评审优惠。</w:t>
      </w:r>
    </w:p>
    <w:p>
      <w:pPr>
        <w:spacing w:after="60" w:line="360" w:lineRule="auto"/>
        <w:ind w:firstLine="424" w:firstLineChars="202"/>
        <w:rPr>
          <w:rFonts w:ascii="宋体" w:hAnsi="宋体"/>
          <w:szCs w:val="22"/>
        </w:rPr>
      </w:pPr>
      <w:r>
        <w:rPr>
          <w:rFonts w:hint="eastAsia" w:ascii="宋体" w:hAnsi="宋体"/>
          <w:szCs w:val="22"/>
        </w:rPr>
        <w:t>（3）分包意向协议约定，小型、微型企业的协议合同金额占到合同总金额30%以上的，可给予投标人</w:t>
      </w:r>
      <w:r>
        <w:rPr>
          <w:rFonts w:hint="eastAsia" w:ascii="宋体" w:hAnsi="宋体"/>
          <w:b/>
          <w:szCs w:val="22"/>
          <w:u w:val="single"/>
        </w:rPr>
        <w:t xml:space="preserve">  </w:t>
      </w:r>
      <w:r>
        <w:rPr>
          <w:rFonts w:hint="eastAsia" w:asciiTheme="minorEastAsia" w:hAnsiTheme="minorEastAsia" w:eastAsiaTheme="minorEastAsia"/>
          <w:b/>
          <w:szCs w:val="22"/>
          <w:u w:val="single"/>
        </w:rPr>
        <w:t xml:space="preserve">/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p>
    <w:p>
      <w:pPr>
        <w:spacing w:after="60" w:line="360" w:lineRule="auto"/>
        <w:ind w:firstLine="424" w:firstLineChars="202"/>
        <w:rPr>
          <w:rFonts w:ascii="宋体" w:hAnsi="宋体"/>
          <w:szCs w:val="22"/>
        </w:rPr>
      </w:pPr>
      <w:r>
        <w:rPr>
          <w:rFonts w:hint="eastAsia" w:ascii="宋体" w:hAnsi="宋体"/>
          <w:szCs w:val="22"/>
        </w:rPr>
        <w:t>（4）</w:t>
      </w:r>
      <w:r>
        <w:rPr>
          <w:rFonts w:hint="eastAsia" w:asciiTheme="minorEastAsia" w:hAnsiTheme="minorEastAsia" w:eastAsiaTheme="minorEastAsia"/>
          <w:szCs w:val="22"/>
        </w:rPr>
        <w:t>如供应商为</w:t>
      </w:r>
      <w:r>
        <w:rPr>
          <w:rFonts w:hint="eastAsia" w:ascii="Calibri" w:hAnsi="宋体"/>
          <w:szCs w:val="22"/>
        </w:rPr>
        <w:t>监狱企业</w:t>
      </w:r>
      <w:r>
        <w:rPr>
          <w:rFonts w:hint="eastAsia" w:ascii="Calibri" w:hAnsi="宋体"/>
          <w:szCs w:val="21"/>
        </w:rPr>
        <w:t>或残疾人福利性单位，</w:t>
      </w:r>
      <w:r>
        <w:rPr>
          <w:rFonts w:hint="eastAsia" w:ascii="Calibri" w:hAnsi="宋体"/>
          <w:szCs w:val="22"/>
        </w:rPr>
        <w:t>视同</w:t>
      </w:r>
      <w:r>
        <w:rPr>
          <w:rFonts w:hint="eastAsia" w:asciiTheme="minorEastAsia" w:hAnsiTheme="minorEastAsia" w:eastAsiaTheme="minorEastAsia"/>
          <w:szCs w:val="22"/>
        </w:rPr>
        <w:t>小型、微型企业，</w:t>
      </w:r>
      <w:r>
        <w:rPr>
          <w:rFonts w:hint="eastAsia" w:ascii="Calibri" w:hAnsi="宋体"/>
          <w:szCs w:val="22"/>
        </w:rPr>
        <w:t>享受以上预留份额、评审中价格扣除等政府采购促进中小企业发展的政府采购政策；</w:t>
      </w:r>
      <w:r>
        <w:rPr>
          <w:rFonts w:hint="eastAsia" w:asciiTheme="minorEastAsia" w:hAnsiTheme="minorEastAsia" w:eastAsiaTheme="minorEastAsia"/>
          <w:szCs w:val="22"/>
        </w:rPr>
        <w:t>对于同时属于小型、微型企业、监狱企业或残疾人福利性单位的供应商，不重复享受政策。</w:t>
      </w:r>
    </w:p>
    <w:p>
      <w:pPr>
        <w:spacing w:after="60" w:line="360" w:lineRule="auto"/>
        <w:ind w:firstLine="424" w:firstLineChars="202"/>
        <w:rPr>
          <w:rFonts w:ascii="宋体" w:hAnsi="宋体"/>
          <w:szCs w:val="22"/>
        </w:rPr>
      </w:pPr>
      <w:r>
        <w:rPr>
          <w:rFonts w:hint="eastAsia" w:ascii="宋体" w:hAnsi="宋体"/>
          <w:szCs w:val="22"/>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（三）绿色采购</w:t>
      </w:r>
    </w:p>
    <w:p>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rPr>
        <w:t>（1）投标产品属于《关于调整优化节能产品环境标志产品政府采购执行机制的通知》（财库〔2019〕9号）、《关于印发环境标志产品政府采购品目清单的通知》（财库〔2019〕18号）和《关于印发节能产品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rPr>
        <w:t>对符合条件的获证产品</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1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pPr>
        <w:autoSpaceDE w:val="0"/>
        <w:autoSpaceDN w:val="0"/>
        <w:adjustRightInd w:val="0"/>
        <w:spacing w:line="360" w:lineRule="auto"/>
        <w:ind w:firstLine="369" w:firstLineChars="176"/>
        <w:jc w:val="left"/>
        <w:rPr>
          <w:rFonts w:ascii="宋体" w:hAnsi="宋体" w:eastAsia="黑体"/>
          <w:b/>
          <w:bCs/>
          <w:kern w:val="44"/>
          <w:sz w:val="28"/>
          <w:szCs w:val="44"/>
        </w:rPr>
      </w:pPr>
      <w:r>
        <w:rPr>
          <w:rFonts w:hint="eastAsia" w:asciiTheme="minorEastAsia" w:hAnsiTheme="minorEastAsia" w:eastAsiaTheme="minor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pPr>
        <w:spacing w:line="360" w:lineRule="auto"/>
        <w:ind w:firstLine="422" w:firstLineChars="200"/>
        <w:rPr>
          <w:rFonts w:ascii="宋体" w:hAnsi="宋体"/>
          <w:b/>
          <w:szCs w:val="21"/>
        </w:rPr>
      </w:pPr>
      <w:r>
        <w:rPr>
          <w:rFonts w:hint="eastAsia" w:asciiTheme="minorEastAsia" w:hAnsiTheme="minorEastAsia" w:eastAsiaTheme="minorEastAsia"/>
          <w:b/>
          <w:szCs w:val="21"/>
        </w:rPr>
        <w:t>（四）</w:t>
      </w:r>
      <w:r>
        <w:rPr>
          <w:rFonts w:hint="eastAsia"/>
          <w:b/>
        </w:rPr>
        <w:t>其他说明</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rPr>
        <w:t>为缓解中小企业融资难题，深圳市推出政府采购订单融资改革举措。订单融资具体流程及试点金融机构订单融资服务承诺可参阅深圳市政府采购监管网（zfcg.sz.gov.cn）政府采购订单融资栏目。</w:t>
      </w:r>
    </w:p>
    <w:p>
      <w:pPr>
        <w:spacing w:line="240" w:lineRule="exact"/>
        <w:ind w:firstLine="424" w:firstLineChars="202"/>
        <w:jc w:val="left"/>
        <w:rPr>
          <w:rFonts w:asciiTheme="minorEastAsia" w:hAnsiTheme="minorEastAsia" w:eastAsiaTheme="minorEastAsia"/>
          <w:szCs w:val="21"/>
        </w:rPr>
      </w:pPr>
    </w:p>
    <w:p>
      <w:pPr>
        <w:spacing w:line="240" w:lineRule="exact"/>
        <w:ind w:firstLine="424" w:firstLineChars="202"/>
        <w:jc w:val="left"/>
        <w:rPr>
          <w:rFonts w:asciiTheme="minorEastAsia" w:hAnsiTheme="minorEastAsia" w:eastAsiaTheme="minorEastAsia"/>
          <w:szCs w:val="21"/>
        </w:rPr>
      </w:pPr>
    </w:p>
    <w:p>
      <w:pPr>
        <w:spacing w:line="240" w:lineRule="exact"/>
        <w:ind w:firstLine="424" w:firstLineChars="202"/>
        <w:jc w:val="left"/>
        <w:rPr>
          <w:rFonts w:asciiTheme="minorEastAsia" w:hAnsiTheme="minorEastAsia" w:eastAsiaTheme="minorEastAsia"/>
          <w:szCs w:val="21"/>
        </w:rPr>
      </w:pPr>
    </w:p>
    <w:p>
      <w:pPr>
        <w:spacing w:line="240" w:lineRule="exact"/>
        <w:ind w:firstLine="424" w:firstLineChars="202"/>
        <w:jc w:val="left"/>
        <w:rPr>
          <w:rFonts w:asciiTheme="minorEastAsia" w:hAnsiTheme="minorEastAsia" w:eastAsiaTheme="minorEastAsia"/>
          <w:szCs w:val="21"/>
        </w:rPr>
      </w:pPr>
    </w:p>
    <w:p>
      <w:pPr>
        <w:spacing w:line="240" w:lineRule="exact"/>
        <w:ind w:firstLine="424" w:firstLineChars="202"/>
        <w:jc w:val="left"/>
        <w:rPr>
          <w:rFonts w:asciiTheme="minorEastAsia" w:hAnsiTheme="minorEastAsia" w:eastAsiaTheme="minorEastAsia"/>
          <w:szCs w:val="21"/>
        </w:rPr>
      </w:pPr>
    </w:p>
    <w:p>
      <w:pPr>
        <w:widowControl/>
        <w:jc w:val="left"/>
        <w:rPr>
          <w:rFonts w:asciiTheme="minorEastAsia" w:hAnsiTheme="minorEastAsia" w:eastAsiaTheme="minorEastAsia"/>
          <w:szCs w:val="21"/>
        </w:rPr>
      </w:pPr>
      <w:r>
        <w:rPr>
          <w:rFonts w:asciiTheme="minorEastAsia" w:hAnsiTheme="minorEastAsia" w:eastAsiaTheme="minorEastAsia"/>
          <w:szCs w:val="21"/>
        </w:rPr>
        <w:br w:type="page"/>
      </w:r>
    </w:p>
    <w:p>
      <w:pPr>
        <w:spacing w:line="240" w:lineRule="exact"/>
        <w:ind w:firstLine="424" w:firstLineChars="202"/>
        <w:jc w:val="left"/>
        <w:rPr>
          <w:rFonts w:asciiTheme="minorEastAsia" w:hAnsiTheme="minorEastAsia" w:eastAsiaTheme="minorEastAsia"/>
          <w:szCs w:val="21"/>
        </w:rPr>
      </w:pPr>
    </w:p>
    <w:p>
      <w:pPr>
        <w:pStyle w:val="2"/>
      </w:pPr>
      <w:bookmarkStart w:id="17" w:name="_Toc135293329"/>
      <w:r>
        <w:rPr>
          <w:rFonts w:hint="eastAsia"/>
        </w:rPr>
        <w:t>第五章  投标人须知前附表</w:t>
      </w:r>
      <w:bookmarkEnd w:id="17"/>
    </w:p>
    <w:p>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0"/>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项号</w:t>
            </w:r>
          </w:p>
        </w:tc>
        <w:tc>
          <w:tcPr>
            <w:tcW w:w="1038" w:type="dxa"/>
            <w:vAlign w:val="center"/>
          </w:tcPr>
          <w:p>
            <w:pPr>
              <w:pStyle w:val="26"/>
              <w:spacing w:line="360" w:lineRule="auto"/>
              <w:jc w:val="center"/>
              <w:rPr>
                <w:rFonts w:hAnsi="宋体"/>
              </w:rPr>
            </w:pPr>
            <w:r>
              <w:rPr>
                <w:rFonts w:hint="eastAsia" w:hAnsi="宋体"/>
              </w:rPr>
              <w:t>条款号</w:t>
            </w:r>
          </w:p>
        </w:tc>
        <w:tc>
          <w:tcPr>
            <w:tcW w:w="1843" w:type="dxa"/>
            <w:vAlign w:val="center"/>
          </w:tcPr>
          <w:p>
            <w:pPr>
              <w:pStyle w:val="26"/>
              <w:spacing w:line="360" w:lineRule="auto"/>
              <w:jc w:val="center"/>
              <w:rPr>
                <w:rFonts w:hAnsi="宋体"/>
              </w:rPr>
            </w:pPr>
            <w:r>
              <w:rPr>
                <w:rFonts w:hint="eastAsia" w:hAnsi="宋体"/>
              </w:rPr>
              <w:t>内容</w:t>
            </w:r>
          </w:p>
        </w:tc>
        <w:tc>
          <w:tcPr>
            <w:tcW w:w="6520" w:type="dxa"/>
          </w:tcPr>
          <w:p>
            <w:pPr>
              <w:pStyle w:val="26"/>
              <w:spacing w:line="360" w:lineRule="auto"/>
              <w:jc w:val="center"/>
              <w:rPr>
                <w:rFonts w:hAnsi="宋体"/>
              </w:rPr>
            </w:pPr>
            <w:r>
              <w:rPr>
                <w:rFonts w:hint="eastAsia" w:hAnsi="宋体"/>
              </w:rPr>
              <w:t>内容规定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Ansi="宋体"/>
              </w:rPr>
              <w:t>1</w:t>
            </w:r>
          </w:p>
        </w:tc>
        <w:tc>
          <w:tcPr>
            <w:tcW w:w="1038" w:type="dxa"/>
            <w:vAlign w:val="center"/>
          </w:tcPr>
          <w:p>
            <w:pPr>
              <w:pStyle w:val="26"/>
              <w:spacing w:line="360" w:lineRule="auto"/>
              <w:jc w:val="center"/>
              <w:rPr>
                <w:rFonts w:hAnsi="宋体"/>
              </w:rPr>
            </w:pPr>
            <w:r>
              <w:rPr>
                <w:rFonts w:hAnsi="宋体"/>
              </w:rPr>
              <w:t>1.1</w:t>
            </w:r>
          </w:p>
        </w:tc>
        <w:tc>
          <w:tcPr>
            <w:tcW w:w="1843" w:type="dxa"/>
            <w:vAlign w:val="center"/>
          </w:tcPr>
          <w:p>
            <w:pPr>
              <w:pStyle w:val="26"/>
              <w:spacing w:line="360" w:lineRule="exact"/>
              <w:jc w:val="center"/>
              <w:rPr>
                <w:rFonts w:hAnsi="宋体"/>
              </w:rPr>
            </w:pPr>
            <w:r>
              <w:rPr>
                <w:rFonts w:hint="eastAsia" w:hAnsi="宋体"/>
              </w:rPr>
              <w:t>项目名称</w:t>
            </w:r>
          </w:p>
        </w:tc>
        <w:tc>
          <w:tcPr>
            <w:tcW w:w="6520" w:type="dxa"/>
            <w:vAlign w:val="center"/>
          </w:tcPr>
          <w:p>
            <w:pPr>
              <w:pStyle w:val="26"/>
              <w:spacing w:line="360" w:lineRule="exact"/>
            </w:pPr>
            <w:r>
              <w:rPr>
                <w:rFonts w:hint="eastAsia" w:asciiTheme="minorEastAsia" w:hAnsiTheme="minorEastAsia" w:eastAsiaTheme="minorEastAsia"/>
              </w:rPr>
              <w:t>便携式多导睡眠记录仪</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2</w:t>
            </w:r>
          </w:p>
        </w:tc>
        <w:tc>
          <w:tcPr>
            <w:tcW w:w="1038" w:type="dxa"/>
            <w:vAlign w:val="center"/>
          </w:tcPr>
          <w:p>
            <w:pPr>
              <w:pStyle w:val="26"/>
              <w:spacing w:line="360" w:lineRule="auto"/>
              <w:jc w:val="center"/>
              <w:rPr>
                <w:rFonts w:hAnsi="宋体"/>
              </w:rPr>
            </w:pPr>
            <w:r>
              <w:rPr>
                <w:rFonts w:hAnsi="宋体"/>
              </w:rPr>
              <w:t>2.1</w:t>
            </w:r>
          </w:p>
        </w:tc>
        <w:tc>
          <w:tcPr>
            <w:tcW w:w="1843" w:type="dxa"/>
            <w:vAlign w:val="center"/>
          </w:tcPr>
          <w:p>
            <w:pPr>
              <w:pStyle w:val="26"/>
              <w:spacing w:line="360" w:lineRule="exact"/>
              <w:jc w:val="center"/>
              <w:rPr>
                <w:rFonts w:hAnsi="宋体"/>
              </w:rPr>
            </w:pPr>
            <w:r>
              <w:rPr>
                <w:rFonts w:hint="eastAsia" w:hAnsi="宋体"/>
              </w:rPr>
              <w:t>采购人</w:t>
            </w:r>
          </w:p>
        </w:tc>
        <w:tc>
          <w:tcPr>
            <w:tcW w:w="6520" w:type="dxa"/>
            <w:vAlign w:val="center"/>
          </w:tcPr>
          <w:p>
            <w:pPr>
              <w:pStyle w:val="26"/>
              <w:spacing w:line="360" w:lineRule="exact"/>
              <w:rPr>
                <w:rFonts w:hAnsi="宋体"/>
                <w:szCs w:val="24"/>
              </w:rPr>
            </w:pPr>
            <w:r>
              <w:rPr>
                <w:rFonts w:hint="eastAsia" w:hAnsi="宋体" w:cs="宋体"/>
                <w:color w:val="000000"/>
                <w:szCs w:val="21"/>
              </w:rPr>
              <w:t>深圳市康宁医院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3</w:t>
            </w:r>
          </w:p>
        </w:tc>
        <w:tc>
          <w:tcPr>
            <w:tcW w:w="1038" w:type="dxa"/>
            <w:vAlign w:val="center"/>
          </w:tcPr>
          <w:p>
            <w:pPr>
              <w:pStyle w:val="26"/>
              <w:spacing w:line="360" w:lineRule="auto"/>
              <w:jc w:val="center"/>
              <w:rPr>
                <w:rFonts w:hAnsi="宋体"/>
              </w:rPr>
            </w:pPr>
            <w:r>
              <w:rPr>
                <w:rFonts w:hAnsi="宋体"/>
              </w:rPr>
              <w:t>2.2</w:t>
            </w:r>
          </w:p>
        </w:tc>
        <w:tc>
          <w:tcPr>
            <w:tcW w:w="1843" w:type="dxa"/>
            <w:vAlign w:val="center"/>
          </w:tcPr>
          <w:p>
            <w:pPr>
              <w:pStyle w:val="26"/>
              <w:spacing w:line="360" w:lineRule="exact"/>
              <w:jc w:val="center"/>
              <w:rPr>
                <w:rFonts w:hAnsi="宋体"/>
              </w:rPr>
            </w:pPr>
            <w:r>
              <w:rPr>
                <w:rFonts w:hint="eastAsia" w:hAnsi="宋体"/>
              </w:rPr>
              <w:t>采购代理机构</w:t>
            </w:r>
          </w:p>
        </w:tc>
        <w:tc>
          <w:tcPr>
            <w:tcW w:w="6520" w:type="dxa"/>
            <w:vAlign w:val="center"/>
          </w:tcPr>
          <w:p>
            <w:pPr>
              <w:pStyle w:val="26"/>
              <w:spacing w:line="360" w:lineRule="exact"/>
              <w:rPr>
                <w:rFonts w:hAnsi="宋体"/>
              </w:rPr>
            </w:pPr>
            <w:r>
              <w:rPr>
                <w:rFonts w:hAnsi="宋体"/>
              </w:rPr>
              <w:t>深圳市中正招标有限公司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pPr>
              <w:pStyle w:val="26"/>
              <w:spacing w:line="360" w:lineRule="auto"/>
              <w:jc w:val="center"/>
              <w:rPr>
                <w:rFonts w:hAnsi="宋体"/>
              </w:rPr>
            </w:pPr>
            <w:r>
              <w:rPr>
                <w:rFonts w:hint="eastAsia" w:hAnsi="宋体"/>
              </w:rPr>
              <w:t>4</w:t>
            </w:r>
          </w:p>
        </w:tc>
        <w:tc>
          <w:tcPr>
            <w:tcW w:w="1038" w:type="dxa"/>
            <w:vAlign w:val="center"/>
          </w:tcPr>
          <w:p>
            <w:pPr>
              <w:pStyle w:val="26"/>
              <w:spacing w:line="360" w:lineRule="auto"/>
              <w:jc w:val="center"/>
              <w:rPr>
                <w:rFonts w:hAnsi="宋体"/>
              </w:rPr>
            </w:pPr>
            <w:r>
              <w:rPr>
                <w:rFonts w:hint="eastAsia" w:hAnsi="宋体"/>
              </w:rPr>
              <w:t>3.1</w:t>
            </w:r>
          </w:p>
        </w:tc>
        <w:tc>
          <w:tcPr>
            <w:tcW w:w="1843" w:type="dxa"/>
            <w:vAlign w:val="center"/>
          </w:tcPr>
          <w:p>
            <w:pPr>
              <w:pStyle w:val="26"/>
              <w:spacing w:line="360" w:lineRule="exact"/>
              <w:jc w:val="center"/>
              <w:rPr>
                <w:rFonts w:hAnsi="宋体"/>
              </w:rPr>
            </w:pPr>
            <w:r>
              <w:rPr>
                <w:rFonts w:hint="eastAsia" w:hAnsi="宋体"/>
              </w:rPr>
              <w:t>资金来源</w:t>
            </w:r>
          </w:p>
        </w:tc>
        <w:tc>
          <w:tcPr>
            <w:tcW w:w="6520" w:type="dxa"/>
            <w:vAlign w:val="center"/>
          </w:tcPr>
          <w:p>
            <w:pPr>
              <w:pStyle w:val="26"/>
              <w:spacing w:line="360" w:lineRule="exact"/>
              <w:rPr>
                <w:rFonts w:hAnsi="宋体"/>
              </w:rPr>
            </w:pPr>
            <w:r>
              <w:rPr>
                <w:rFonts w:hint="eastAsia" w:hAnsi="宋体" w:eastAsia="MS Mincho" w:cs="MS Mincho"/>
                <w:sz w:val="24"/>
                <w:szCs w:val="24"/>
              </w:rPr>
              <w:t>☑</w:t>
            </w:r>
            <w:r>
              <w:rPr>
                <w:rFonts w:hint="eastAsia" w:hAnsi="宋体"/>
              </w:rPr>
              <w:t>财政资金/□自筹资金/□其它资金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pPr>
              <w:pStyle w:val="26"/>
              <w:spacing w:line="360" w:lineRule="auto"/>
              <w:jc w:val="center"/>
              <w:rPr>
                <w:rFonts w:hAnsi="宋体"/>
              </w:rPr>
            </w:pPr>
            <w:r>
              <w:rPr>
                <w:rFonts w:hint="eastAsia" w:hAnsi="宋体"/>
              </w:rPr>
              <w:t>5</w:t>
            </w:r>
          </w:p>
        </w:tc>
        <w:tc>
          <w:tcPr>
            <w:tcW w:w="1038" w:type="dxa"/>
            <w:vAlign w:val="center"/>
          </w:tcPr>
          <w:p>
            <w:pPr>
              <w:pStyle w:val="26"/>
              <w:spacing w:line="360" w:lineRule="auto"/>
              <w:jc w:val="center"/>
              <w:rPr>
                <w:rFonts w:hAnsi="宋体"/>
              </w:rPr>
            </w:pPr>
            <w:r>
              <w:rPr>
                <w:rFonts w:hint="eastAsia" w:hAnsi="宋体"/>
              </w:rPr>
              <w:t>4.7</w:t>
            </w:r>
          </w:p>
        </w:tc>
        <w:tc>
          <w:tcPr>
            <w:tcW w:w="1843" w:type="dxa"/>
            <w:vAlign w:val="center"/>
          </w:tcPr>
          <w:p>
            <w:pPr>
              <w:pStyle w:val="26"/>
              <w:spacing w:line="360" w:lineRule="auto"/>
              <w:jc w:val="center"/>
              <w:rPr>
                <w:rFonts w:hAnsi="宋体"/>
              </w:rPr>
            </w:pPr>
            <w:r>
              <w:rPr>
                <w:rFonts w:hint="eastAsia" w:hAnsi="宋体"/>
              </w:rPr>
              <w:t>投标人资格要求</w:t>
            </w:r>
          </w:p>
        </w:tc>
        <w:tc>
          <w:tcPr>
            <w:tcW w:w="6520" w:type="dxa"/>
            <w:vAlign w:val="center"/>
          </w:tcPr>
          <w:p>
            <w:pPr>
              <w:pStyle w:val="26"/>
              <w:spacing w:line="360" w:lineRule="auto"/>
              <w:rPr>
                <w:rFonts w:hAnsi="宋体"/>
                <w:szCs w:val="21"/>
              </w:rPr>
            </w:pPr>
            <w:r>
              <w:rPr>
                <w:rFonts w:hint="eastAsia" w:hAnsi="宋体"/>
                <w:szCs w:val="21"/>
              </w:rPr>
              <w:t>详见《第一章 投标邀请》“申请人的资格要求”</w:t>
            </w:r>
          </w:p>
          <w:p>
            <w:pPr>
              <w:pStyle w:val="26"/>
              <w:spacing w:line="360" w:lineRule="auto"/>
              <w:rPr>
                <w:rFonts w:hAnsi="宋体"/>
                <w:b/>
                <w:bCs/>
                <w:szCs w:val="21"/>
              </w:rPr>
            </w:pPr>
            <w:r>
              <w:rPr>
                <w:rFonts w:hint="eastAsia" w:hAnsi="宋体"/>
                <w:b/>
                <w:bCs/>
                <w:szCs w:val="21"/>
              </w:rPr>
              <w:t>（投标人资格证明文件详见第七章 投标文件格式）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6</w:t>
            </w:r>
          </w:p>
        </w:tc>
        <w:tc>
          <w:tcPr>
            <w:tcW w:w="1038" w:type="dxa"/>
            <w:vAlign w:val="center"/>
          </w:tcPr>
          <w:p>
            <w:pPr>
              <w:pStyle w:val="26"/>
              <w:spacing w:line="360" w:lineRule="auto"/>
              <w:jc w:val="center"/>
              <w:rPr>
                <w:rFonts w:hAnsi="宋体"/>
              </w:rPr>
            </w:pPr>
            <w:r>
              <w:rPr>
                <w:rFonts w:hint="eastAsia" w:hAnsi="宋体"/>
              </w:rPr>
              <w:t>4.8</w:t>
            </w:r>
          </w:p>
        </w:tc>
        <w:tc>
          <w:tcPr>
            <w:tcW w:w="1843" w:type="dxa"/>
            <w:vAlign w:val="center"/>
          </w:tcPr>
          <w:p>
            <w:pPr>
              <w:pStyle w:val="26"/>
              <w:spacing w:line="360" w:lineRule="auto"/>
              <w:jc w:val="center"/>
              <w:rPr>
                <w:rFonts w:hAnsi="宋体"/>
              </w:rPr>
            </w:pPr>
            <w:r>
              <w:rPr>
                <w:rFonts w:hint="eastAsia" w:hAnsi="宋体"/>
              </w:rPr>
              <w:t>联合体投标</w:t>
            </w:r>
          </w:p>
        </w:tc>
        <w:tc>
          <w:tcPr>
            <w:tcW w:w="6520" w:type="dxa"/>
          </w:tcPr>
          <w:p>
            <w:pPr>
              <w:pStyle w:val="26"/>
              <w:spacing w:line="360" w:lineRule="auto"/>
              <w:rPr>
                <w:rFonts w:hAnsi="宋体"/>
              </w:rPr>
            </w:pPr>
            <w:r>
              <w:rPr>
                <w:rFonts w:hint="eastAsia" w:hAnsi="宋体"/>
              </w:rPr>
              <w:t>不接受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7</w:t>
            </w:r>
          </w:p>
        </w:tc>
        <w:tc>
          <w:tcPr>
            <w:tcW w:w="1038" w:type="dxa"/>
            <w:vAlign w:val="center"/>
          </w:tcPr>
          <w:p>
            <w:pPr>
              <w:pStyle w:val="26"/>
              <w:spacing w:line="360" w:lineRule="auto"/>
              <w:jc w:val="center"/>
              <w:rPr>
                <w:rFonts w:hAnsi="宋体"/>
              </w:rPr>
            </w:pPr>
            <w:r>
              <w:rPr>
                <w:rFonts w:hint="eastAsia" w:hAnsi="宋体"/>
              </w:rPr>
              <w:t>6.1</w:t>
            </w:r>
          </w:p>
        </w:tc>
        <w:tc>
          <w:tcPr>
            <w:tcW w:w="1843" w:type="dxa"/>
            <w:vAlign w:val="center"/>
          </w:tcPr>
          <w:p>
            <w:pPr>
              <w:pStyle w:val="26"/>
              <w:spacing w:line="360" w:lineRule="auto"/>
              <w:jc w:val="center"/>
              <w:rPr>
                <w:rFonts w:hAnsi="宋体"/>
              </w:rPr>
            </w:pPr>
            <w:r>
              <w:rPr>
                <w:rFonts w:hint="eastAsia" w:hAnsi="宋体"/>
              </w:rPr>
              <w:t>踏勘现场</w:t>
            </w:r>
          </w:p>
        </w:tc>
        <w:tc>
          <w:tcPr>
            <w:tcW w:w="6520" w:type="dxa"/>
          </w:tcPr>
          <w:p>
            <w:pPr>
              <w:pStyle w:val="26"/>
              <w:spacing w:line="360" w:lineRule="auto"/>
              <w:rPr>
                <w:rFonts w:hAnsi="宋体"/>
              </w:rPr>
            </w:pPr>
            <w:r>
              <w:rPr>
                <w:rFonts w:hint="eastAsia" w:hAnsi="宋体"/>
              </w:rPr>
              <w:t>不统一组织</w:t>
            </w:r>
            <w:r>
              <w:rPr>
                <w:rFonts w:hint="eastAsia"/>
                <w:snapToGrid w:val="0"/>
              </w:rPr>
              <w:t>，由各投标人自行查看现场。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28" w:type="dxa"/>
            <w:vAlign w:val="center"/>
          </w:tcPr>
          <w:p>
            <w:pPr>
              <w:pStyle w:val="26"/>
              <w:spacing w:line="360" w:lineRule="auto"/>
              <w:jc w:val="center"/>
              <w:rPr>
                <w:rFonts w:hAnsi="宋体"/>
              </w:rPr>
            </w:pPr>
            <w:r>
              <w:rPr>
                <w:rFonts w:hint="eastAsia" w:hAnsi="宋体"/>
              </w:rPr>
              <w:t>8</w:t>
            </w:r>
          </w:p>
        </w:tc>
        <w:tc>
          <w:tcPr>
            <w:tcW w:w="1038" w:type="dxa"/>
            <w:vAlign w:val="center"/>
          </w:tcPr>
          <w:p>
            <w:pPr>
              <w:pStyle w:val="26"/>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pPr>
              <w:pStyle w:val="26"/>
              <w:spacing w:line="360" w:lineRule="auto"/>
              <w:jc w:val="center"/>
              <w:rPr>
                <w:rFonts w:hAnsi="宋体"/>
              </w:rPr>
            </w:pPr>
            <w:r>
              <w:rPr>
                <w:rFonts w:hint="eastAsia" w:hAnsi="宋体"/>
              </w:rPr>
              <w:t>投标有效期</w:t>
            </w:r>
          </w:p>
        </w:tc>
        <w:tc>
          <w:tcPr>
            <w:tcW w:w="6520" w:type="dxa"/>
          </w:tcPr>
          <w:p>
            <w:pPr>
              <w:pStyle w:val="26"/>
              <w:spacing w:line="360" w:lineRule="auto"/>
              <w:rPr>
                <w:rFonts w:hAnsi="宋体"/>
              </w:rPr>
            </w:pPr>
            <w:r>
              <w:rPr>
                <w:rFonts w:hint="eastAsia" w:hAnsi="宋体"/>
              </w:rPr>
              <w:t>90</w:t>
            </w:r>
            <w:r>
              <w:rPr>
                <w:rFonts w:hAnsi="宋体"/>
              </w:rPr>
              <w:t>日历天（从投标截止之日算起）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8" w:type="dxa"/>
            <w:vAlign w:val="center"/>
          </w:tcPr>
          <w:p>
            <w:pPr>
              <w:pStyle w:val="26"/>
              <w:spacing w:line="360" w:lineRule="auto"/>
              <w:jc w:val="center"/>
              <w:rPr>
                <w:rFonts w:hAnsi="宋体"/>
              </w:rPr>
            </w:pPr>
            <w:r>
              <w:rPr>
                <w:rFonts w:hint="eastAsia" w:hAnsi="宋体"/>
              </w:rPr>
              <w:t>9</w:t>
            </w:r>
          </w:p>
        </w:tc>
        <w:tc>
          <w:tcPr>
            <w:tcW w:w="1038" w:type="dxa"/>
            <w:vAlign w:val="center"/>
          </w:tcPr>
          <w:p>
            <w:pPr>
              <w:pStyle w:val="26"/>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pPr>
              <w:pStyle w:val="26"/>
              <w:spacing w:line="360" w:lineRule="auto"/>
              <w:jc w:val="center"/>
              <w:rPr>
                <w:rFonts w:hAnsi="宋体"/>
              </w:rPr>
            </w:pPr>
            <w:r>
              <w:rPr>
                <w:rFonts w:hint="eastAsia" w:hAnsi="宋体"/>
              </w:rPr>
              <w:t>投标保证金</w:t>
            </w:r>
          </w:p>
        </w:tc>
        <w:tc>
          <w:tcPr>
            <w:tcW w:w="6520" w:type="dxa"/>
            <w:vAlign w:val="center"/>
          </w:tcPr>
          <w:p>
            <w:pPr>
              <w:tabs>
                <w:tab w:val="left" w:pos="915"/>
              </w:tabs>
              <w:spacing w:line="360" w:lineRule="exact"/>
              <w:rPr>
                <w:rFonts w:hAnsi="宋体"/>
              </w:rPr>
            </w:pPr>
            <w:r>
              <w:rPr>
                <w:rFonts w:hint="eastAsia" w:hAnsi="宋体"/>
              </w:rPr>
              <w:t>不要求向采购代理机构提交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pPr>
              <w:pStyle w:val="26"/>
              <w:spacing w:line="360" w:lineRule="auto"/>
              <w:jc w:val="center"/>
              <w:rPr>
                <w:rFonts w:hAnsi="宋体"/>
              </w:rPr>
            </w:pPr>
            <w:r>
              <w:rPr>
                <w:rFonts w:hint="eastAsia" w:hAnsi="宋体"/>
              </w:rPr>
              <w:t>10</w:t>
            </w:r>
          </w:p>
        </w:tc>
        <w:tc>
          <w:tcPr>
            <w:tcW w:w="1038" w:type="dxa"/>
            <w:vAlign w:val="center"/>
          </w:tcPr>
          <w:p>
            <w:pPr>
              <w:pStyle w:val="26"/>
              <w:spacing w:line="360" w:lineRule="auto"/>
              <w:jc w:val="center"/>
              <w:rPr>
                <w:rFonts w:hAnsi="宋体"/>
              </w:rPr>
            </w:pPr>
            <w:r>
              <w:rPr>
                <w:rFonts w:hint="eastAsia" w:hAnsi="宋体"/>
              </w:rPr>
              <w:t>16.1</w:t>
            </w:r>
          </w:p>
        </w:tc>
        <w:tc>
          <w:tcPr>
            <w:tcW w:w="1843" w:type="dxa"/>
            <w:vAlign w:val="center"/>
          </w:tcPr>
          <w:p>
            <w:pPr>
              <w:pStyle w:val="26"/>
              <w:spacing w:line="360" w:lineRule="auto"/>
              <w:jc w:val="center"/>
              <w:rPr>
                <w:rFonts w:hAnsi="宋体"/>
              </w:rPr>
            </w:pPr>
            <w:r>
              <w:rPr>
                <w:rFonts w:hint="eastAsia" w:hAnsi="宋体"/>
              </w:rPr>
              <w:t>投标预备会</w:t>
            </w:r>
          </w:p>
          <w:p>
            <w:pPr>
              <w:pStyle w:val="26"/>
              <w:spacing w:line="360" w:lineRule="auto"/>
              <w:jc w:val="center"/>
              <w:rPr>
                <w:rFonts w:hAnsi="宋体"/>
              </w:rPr>
            </w:pPr>
            <w:r>
              <w:rPr>
                <w:rFonts w:hint="eastAsia" w:hAnsi="宋体"/>
              </w:rPr>
              <w:t>（答疑会）</w:t>
            </w:r>
          </w:p>
        </w:tc>
        <w:tc>
          <w:tcPr>
            <w:tcW w:w="6520" w:type="dxa"/>
            <w:vAlign w:val="center"/>
          </w:tcPr>
          <w:p>
            <w:pPr>
              <w:pStyle w:val="26"/>
              <w:spacing w:line="360" w:lineRule="auto"/>
              <w:rPr>
                <w:rFonts w:hAnsi="宋体"/>
              </w:rPr>
            </w:pPr>
            <w:r>
              <w:rPr>
                <w:rFonts w:hint="eastAsia" w:hAnsi="宋体"/>
              </w:rPr>
              <w:t>不召开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11</w:t>
            </w:r>
          </w:p>
        </w:tc>
        <w:tc>
          <w:tcPr>
            <w:tcW w:w="1038" w:type="dxa"/>
            <w:vAlign w:val="center"/>
          </w:tcPr>
          <w:p>
            <w:pPr>
              <w:pStyle w:val="26"/>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pPr>
              <w:pStyle w:val="26"/>
              <w:spacing w:line="360" w:lineRule="auto"/>
              <w:jc w:val="center"/>
              <w:rPr>
                <w:rFonts w:hAnsi="宋体"/>
              </w:rPr>
            </w:pPr>
            <w:r>
              <w:rPr>
                <w:rFonts w:hint="eastAsia" w:hAnsi="宋体"/>
              </w:rPr>
              <w:t>投标文件份数</w:t>
            </w:r>
          </w:p>
        </w:tc>
        <w:tc>
          <w:tcPr>
            <w:tcW w:w="6520" w:type="dxa"/>
          </w:tcPr>
          <w:p>
            <w:pPr>
              <w:pStyle w:val="26"/>
              <w:spacing w:line="360" w:lineRule="auto"/>
              <w:rPr>
                <w:rFonts w:hAnsi="宋体"/>
              </w:rPr>
            </w:pPr>
            <w:r>
              <w:rPr>
                <w:rFonts w:asciiTheme="minorEastAsia" w:hAnsiTheme="minorEastAsia" w:eastAsiaTheme="minorEastAsia"/>
              </w:rPr>
              <w:t>正本1份，副本</w:t>
            </w:r>
            <w:r>
              <w:rPr>
                <w:rFonts w:hint="eastAsia" w:asciiTheme="minorEastAsia" w:hAnsiTheme="minorEastAsia" w:eastAsiaTheme="minorEastAsia"/>
              </w:rPr>
              <w:t>5</w:t>
            </w:r>
            <w:r>
              <w:rPr>
                <w:rFonts w:asciiTheme="minorEastAsia" w:hAnsiTheme="minorEastAsia" w:eastAsiaTheme="minorEastAsia"/>
              </w:rPr>
              <w:t>份，</w:t>
            </w:r>
            <w:r>
              <w:rPr>
                <w:rFonts w:hint="eastAsia" w:asciiTheme="minorEastAsia" w:hAnsiTheme="minorEastAsia" w:eastAsiaTheme="minorEastAsia"/>
              </w:rPr>
              <w:t>电子</w:t>
            </w:r>
            <w:r>
              <w:rPr>
                <w:rFonts w:asciiTheme="minorEastAsia" w:hAnsiTheme="minorEastAsia" w:eastAsiaTheme="minorEastAsia"/>
              </w:rPr>
              <w:t>备份光盘（或U盘）1份</w:t>
            </w:r>
            <w:r>
              <w:rPr>
                <w:rFonts w:hint="eastAsia" w:asciiTheme="minorEastAsia" w:hAnsiTheme="minorEastAsia" w:eastAsiaTheme="minorEastAsia"/>
              </w:rPr>
              <w:t>（内容为投标文件正本盖章扫描件），</w:t>
            </w:r>
            <w:r>
              <w:rPr>
                <w:rFonts w:hint="eastAsia" w:asciiTheme="minorEastAsia" w:hAnsiTheme="minorEastAsia" w:eastAsiaTheme="minorEastAsia"/>
                <w:snapToGrid w:val="0"/>
                <w:kern w:val="0"/>
              </w:rPr>
              <w:t>投标文件必须标注页码并装订成册</w:t>
            </w:r>
            <w:r>
              <w:rPr>
                <w:rFonts w:hint="eastAsia" w:asciiTheme="minorEastAsia" w:hAnsiTheme="minorEastAsia" w:eastAsiaTheme="minorEastAsia"/>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12</w:t>
            </w:r>
          </w:p>
        </w:tc>
        <w:tc>
          <w:tcPr>
            <w:tcW w:w="1038" w:type="dxa"/>
            <w:vAlign w:val="center"/>
          </w:tcPr>
          <w:p>
            <w:pPr>
              <w:pStyle w:val="26"/>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pPr>
              <w:pStyle w:val="26"/>
              <w:spacing w:line="360" w:lineRule="auto"/>
              <w:jc w:val="center"/>
              <w:rPr>
                <w:rFonts w:hAnsi="宋体"/>
              </w:rPr>
            </w:pPr>
            <w:r>
              <w:rPr>
                <w:rFonts w:hint="eastAsia" w:hAnsi="宋体"/>
              </w:rPr>
              <w:t>开标</w:t>
            </w:r>
          </w:p>
        </w:tc>
        <w:tc>
          <w:tcPr>
            <w:tcW w:w="6520" w:type="dxa"/>
          </w:tcPr>
          <w:p>
            <w:pPr>
              <w:pStyle w:val="26"/>
              <w:spacing w:line="360" w:lineRule="auto"/>
              <w:rPr>
                <w:rFonts w:hAnsi="宋体"/>
              </w:rPr>
            </w:pPr>
            <w:r>
              <w:rPr>
                <w:rFonts w:hint="eastAsia" w:hAnsi="宋体"/>
                <w:szCs w:val="21"/>
              </w:rPr>
              <w:t>详见《第一章 投标邀请》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13</w:t>
            </w:r>
          </w:p>
        </w:tc>
        <w:tc>
          <w:tcPr>
            <w:tcW w:w="1038" w:type="dxa"/>
            <w:vAlign w:val="center"/>
          </w:tcPr>
          <w:p>
            <w:pPr>
              <w:pStyle w:val="26"/>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pPr>
              <w:pStyle w:val="26"/>
              <w:spacing w:line="360" w:lineRule="auto"/>
              <w:jc w:val="center"/>
              <w:rPr>
                <w:rFonts w:hAnsi="宋体"/>
              </w:rPr>
            </w:pPr>
            <w:r>
              <w:rPr>
                <w:rFonts w:hint="eastAsia" w:hAnsi="宋体"/>
              </w:rPr>
              <w:t>投标截止时间</w:t>
            </w:r>
          </w:p>
        </w:tc>
        <w:tc>
          <w:tcPr>
            <w:tcW w:w="6520" w:type="dxa"/>
          </w:tcPr>
          <w:p>
            <w:pPr>
              <w:pStyle w:val="26"/>
              <w:spacing w:line="360" w:lineRule="auto"/>
              <w:rPr>
                <w:rFonts w:hAnsi="宋体"/>
                <w:b/>
              </w:rPr>
            </w:pPr>
            <w:r>
              <w:rPr>
                <w:rFonts w:hint="eastAsia" w:hAnsi="宋体"/>
                <w:szCs w:val="21"/>
              </w:rPr>
              <w:t>详见《第一章 投标邀请》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14</w:t>
            </w:r>
          </w:p>
        </w:tc>
        <w:tc>
          <w:tcPr>
            <w:tcW w:w="1038" w:type="dxa"/>
            <w:vAlign w:val="center"/>
          </w:tcPr>
          <w:p>
            <w:pPr>
              <w:pStyle w:val="26"/>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pPr>
              <w:pStyle w:val="26"/>
              <w:spacing w:line="360" w:lineRule="auto"/>
              <w:jc w:val="center"/>
              <w:rPr>
                <w:rFonts w:hAnsi="宋体"/>
              </w:rPr>
            </w:pPr>
            <w:r>
              <w:rPr>
                <w:rFonts w:hint="eastAsia" w:hAnsi="宋体"/>
              </w:rPr>
              <w:t>评标办法</w:t>
            </w:r>
          </w:p>
        </w:tc>
        <w:tc>
          <w:tcPr>
            <w:tcW w:w="6520" w:type="dxa"/>
          </w:tcPr>
          <w:p>
            <w:pPr>
              <w:pStyle w:val="26"/>
              <w:spacing w:line="360" w:lineRule="auto"/>
              <w:rPr>
                <w:rFonts w:hAnsi="宋体"/>
              </w:rPr>
            </w:pPr>
            <w:r>
              <w:rPr>
                <w:rFonts w:hint="eastAsia" w:hAnsi="宋体"/>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15</w:t>
            </w:r>
          </w:p>
        </w:tc>
        <w:tc>
          <w:tcPr>
            <w:tcW w:w="1038" w:type="dxa"/>
            <w:vAlign w:val="center"/>
          </w:tcPr>
          <w:p>
            <w:pPr>
              <w:pStyle w:val="26"/>
              <w:spacing w:line="360" w:lineRule="auto"/>
              <w:jc w:val="center"/>
              <w:rPr>
                <w:rFonts w:hAnsi="宋体"/>
              </w:rPr>
            </w:pPr>
            <w:r>
              <w:rPr>
                <w:rFonts w:hint="eastAsia" w:hAnsi="宋体"/>
              </w:rPr>
              <w:t>33</w:t>
            </w:r>
            <w:r>
              <w:rPr>
                <w:rFonts w:hAnsi="宋体"/>
              </w:rPr>
              <w:t>.1</w:t>
            </w:r>
          </w:p>
        </w:tc>
        <w:tc>
          <w:tcPr>
            <w:tcW w:w="1843" w:type="dxa"/>
            <w:vAlign w:val="center"/>
          </w:tcPr>
          <w:p>
            <w:pPr>
              <w:pStyle w:val="26"/>
              <w:spacing w:line="360" w:lineRule="auto"/>
              <w:jc w:val="center"/>
              <w:rPr>
                <w:snapToGrid w:val="0"/>
                <w:kern w:val="0"/>
              </w:rPr>
            </w:pPr>
            <w:r>
              <w:rPr>
                <w:rFonts w:hint="eastAsia"/>
                <w:snapToGrid w:val="0"/>
                <w:kern w:val="0"/>
              </w:rPr>
              <w:t>履约保证金</w:t>
            </w:r>
          </w:p>
        </w:tc>
        <w:tc>
          <w:tcPr>
            <w:tcW w:w="6520" w:type="dxa"/>
          </w:tcPr>
          <w:p>
            <w:pPr>
              <w:pStyle w:val="26"/>
              <w:spacing w:line="360" w:lineRule="auto"/>
              <w:rPr>
                <w:rFonts w:hAnsi="宋体"/>
              </w:rPr>
            </w:pPr>
            <w:r>
              <w:rPr>
                <w:rFonts w:hint="eastAsia"/>
                <w:snapToGrid w:val="0"/>
                <w:kern w:val="0"/>
              </w:rPr>
              <w:t>按签订的合同条款执行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pStyle w:val="26"/>
              <w:spacing w:line="360" w:lineRule="auto"/>
              <w:jc w:val="center"/>
              <w:rPr>
                <w:rFonts w:hAnsi="宋体"/>
              </w:rPr>
            </w:pPr>
            <w:r>
              <w:rPr>
                <w:rFonts w:hint="eastAsia" w:hAnsi="宋体"/>
              </w:rPr>
              <w:t>16</w:t>
            </w:r>
          </w:p>
        </w:tc>
        <w:tc>
          <w:tcPr>
            <w:tcW w:w="1038" w:type="dxa"/>
            <w:vAlign w:val="center"/>
          </w:tcPr>
          <w:p>
            <w:pPr>
              <w:pStyle w:val="26"/>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pPr>
              <w:pStyle w:val="26"/>
              <w:spacing w:line="360" w:lineRule="auto"/>
              <w:jc w:val="center"/>
              <w:rPr>
                <w:rFonts w:hAnsi="宋体"/>
              </w:rPr>
            </w:pPr>
            <w:r>
              <w:rPr>
                <w:rFonts w:hint="eastAsia" w:hAnsi="宋体"/>
              </w:rPr>
              <w:t>中标服务费</w:t>
            </w:r>
          </w:p>
        </w:tc>
        <w:tc>
          <w:tcPr>
            <w:tcW w:w="6520" w:type="dxa"/>
          </w:tcPr>
          <w:p>
            <w:pPr>
              <w:pStyle w:val="26"/>
              <w:spacing w:line="360" w:lineRule="auto"/>
              <w:rPr>
                <w:rFonts w:asciiTheme="minorEastAsia" w:hAnsiTheme="minorEastAsia" w:eastAsiaTheme="minorEastAsia"/>
                <w:szCs w:val="21"/>
              </w:rPr>
            </w:pPr>
            <w:r>
              <w:rPr>
                <w:rFonts w:hint="eastAsia" w:asciiTheme="minorEastAsia" w:hAnsiTheme="minorEastAsia" w:eastAsiaTheme="minorEastAsia"/>
                <w:szCs w:val="21"/>
              </w:rPr>
              <w:t>按深财购[2018]27号文件规定的代理费用参考标准，向中标供应商收取中标服务费，具体如下：</w:t>
            </w:r>
          </w:p>
          <w:p>
            <w:pPr>
              <w:pStyle w:val="26"/>
              <w:spacing w:line="360" w:lineRule="auto"/>
              <w:rPr>
                <w:rFonts w:asciiTheme="minorEastAsia" w:hAnsiTheme="minorEastAsia" w:eastAsiaTheme="minorEastAsia"/>
              </w:rPr>
            </w:pPr>
            <w:r>
              <w:rPr>
                <w:rFonts w:hint="eastAsia" w:hAnsi="宋体" w:eastAsia="MS Mincho" w:cs="MS Mincho"/>
                <w:sz w:val="24"/>
                <w:szCs w:val="24"/>
              </w:rPr>
              <w:t>☑</w:t>
            </w:r>
            <w:r>
              <w:rPr>
                <w:rFonts w:hint="eastAsia" w:asciiTheme="minorEastAsia" w:hAnsiTheme="minorEastAsia" w:eastAsiaTheme="minorEastAsia"/>
                <w:szCs w:val="21"/>
              </w:rPr>
              <w:t>以中标金额作为计算依据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10  </w:t>
            </w:r>
            <w:r>
              <w:rPr>
                <w:rFonts w:hint="eastAsia" w:asciiTheme="minorEastAsia" w:hAnsiTheme="minorEastAsia" w:eastAsiaTheme="minorEastAsia"/>
              </w:rPr>
              <w:t>%，最低收取人民币4500元。</w:t>
            </w:r>
          </w:p>
          <w:p>
            <w:pPr>
              <w:pStyle w:val="26"/>
              <w:spacing w:line="360" w:lineRule="auto"/>
              <w:rPr>
                <w:rFonts w:hAnsi="宋体"/>
              </w:rPr>
            </w:pPr>
            <w:r>
              <w:rPr>
                <w:rFonts w:hint="eastAsia" w:hAnsi="宋体"/>
              </w:rPr>
              <w:t>□</w:t>
            </w:r>
            <w:r>
              <w:rPr>
                <w:rFonts w:hint="eastAsia" w:asciiTheme="minorEastAsia" w:hAnsiTheme="minorEastAsia" w:eastAsiaTheme="minorEastAsia"/>
                <w:szCs w:val="21"/>
              </w:rPr>
              <w:t>以预算金额（支付上限）作为计算依据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%，收取中标服务费：人民币</w:t>
            </w:r>
            <w:r>
              <w:rPr>
                <w:rFonts w:hint="eastAsia" w:asciiTheme="minorEastAsia" w:hAnsiTheme="minorEastAsia" w:eastAsiaTheme="minorEastAsia"/>
                <w:u w:val="single"/>
              </w:rPr>
              <w:t xml:space="preserve">        </w:t>
            </w:r>
            <w:r>
              <w:rPr>
                <w:rFonts w:hint="eastAsia" w:asciiTheme="minorEastAsia" w:hAnsiTheme="minorEastAsia" w:eastAsiaTheme="minorEastAsia"/>
              </w:rPr>
              <w:t>元。</w:t>
            </w:r>
          </w:p>
        </w:tc>
      </w:tr>
    </w:tbl>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pStyle w:val="2"/>
      </w:pPr>
      <w:bookmarkStart w:id="18" w:name="_Toc135293330"/>
      <w:r>
        <w:rPr>
          <w:rFonts w:hint="eastAsia"/>
        </w:rPr>
        <w:t>第六章  投标人须知</w:t>
      </w:r>
      <w:bookmarkEnd w:id="18"/>
    </w:p>
    <w:p>
      <w:pPr>
        <w:pStyle w:val="4"/>
        <w:spacing w:before="0" w:after="0"/>
      </w:pPr>
      <w:bookmarkStart w:id="19" w:name="_Toc135293331"/>
      <w:r>
        <w:rPr>
          <w:rFonts w:hint="eastAsia"/>
        </w:rPr>
        <w:t>一、说</w:t>
      </w:r>
      <w:r>
        <w:t xml:space="preserve">  </w:t>
      </w:r>
      <w:r>
        <w:rPr>
          <w:rFonts w:hint="eastAsia"/>
        </w:rPr>
        <w:t>明</w:t>
      </w:r>
      <w:bookmarkEnd w:id="19"/>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《中华人民共和国政府采购法》、《深圳经济特区政府采购条例》</w:t>
      </w:r>
      <w:r>
        <w:rPr>
          <w:rFonts w:hint="eastAsia" w:asciiTheme="minorEastAsia" w:hAnsiTheme="minorEastAsia" w:eastAsiaTheme="minorEastAsia"/>
          <w:snapToGrid w:val="0"/>
          <w:kern w:val="0"/>
        </w:rPr>
        <w:t>及有关招投标法规、规章、规定，通过招标来择优选定供应商。</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”是指前附表第2项所述。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”是提前附表第3项所述。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  “投标人”是指向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提交投标文件的供应商。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  “货物”是指各种形态和种类的物品，包括原材料、燃料、设备、产品等。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  “服务”是指除货物和工程以外的其他政府采购对象，包括政府自身需要的服务和政府向社会公众提供的公共服务。</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r>
        <w:rPr>
          <w:rFonts w:asciiTheme="minorEastAsia" w:hAnsiTheme="minorEastAsia" w:eastAsiaTheme="minorEastAsia"/>
          <w:snapToGrid w:val="0"/>
          <w:kern w:val="0"/>
        </w:rPr>
        <w:t xml:space="preserve"> </w:t>
      </w:r>
    </w:p>
    <w:p>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（2）联合体中有同类资质的供应商按照联合体分工承担相同工作的，应当按照资质等级较低的供应商确定资质等级。</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（3）是否允许联合体参加投标，应当由采购人和采购代理机构根据项目的实际情况和潜在供应商的数量自主决定，如果决定接受联合体投标则应当在采购公告中明示。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（5）投标人的投标文件及中标后签署的合同协议对联合体各方均具法律约束力。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（6）联合体各方应当签订共同投标协议，明确约定各方拟承担的工作和责任，该共同投标协议应作为投标文件不可缺的组成部分。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（7）联合体中标后，联合体各方应当共同与采购人签订合同，就中标项目向采购人承担连带责任。</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（8）联合体的各方应当共同推荐一联合体投标授权代表，由联合体各方提交一份授权书，证明其有资格代表联合体各方签署投标文件，该授权书应作为投标文件不可缺的组成部分。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（10）本次招标中“投标人”一词亦指联合体各方，《投标人须知前附表》另有规定或说明的除外。</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pPr>
        <w:spacing w:line="360" w:lineRule="auto"/>
        <w:rPr>
          <w:rFonts w:asciiTheme="minorEastAsia" w:hAnsiTheme="minorEastAsia" w:eastAsiaTheme="minorEastAsia"/>
        </w:rPr>
      </w:pPr>
      <w:r>
        <w:rPr>
          <w:rFonts w:hint="eastAsia" w:asciiTheme="minorEastAsia" w:hAnsiTheme="minorEastAsia" w:eastAsiaTheme="minorEastAsia"/>
        </w:rPr>
        <w:t>6.1  本项目按前附表第7项的规定安排现场踏勘，以便投标人获取须自己负责的有关编制投标文件和签署合同所需的所有资料。踏勘现场所发生的费用由投标人自己承担。</w:t>
      </w:r>
    </w:p>
    <w:p>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对投标人由此而做出的推论、理解和结论概不负责。</w:t>
      </w:r>
    </w:p>
    <w:p>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pPr>
        <w:adjustRightInd w:val="0"/>
        <w:spacing w:line="360" w:lineRule="auto"/>
        <w:jc w:val="center"/>
        <w:rPr>
          <w:rFonts w:asciiTheme="minorEastAsia" w:hAnsiTheme="minorEastAsia" w:eastAsiaTheme="minorEastAsia"/>
          <w:b/>
          <w:snapToGrid w:val="0"/>
          <w:kern w:val="0"/>
        </w:rPr>
      </w:pPr>
      <w:bookmarkStart w:id="20" w:name="q5"/>
      <w:bookmarkEnd w:id="20"/>
    </w:p>
    <w:p>
      <w:pPr>
        <w:pStyle w:val="4"/>
        <w:spacing w:before="0" w:after="0"/>
      </w:pPr>
      <w:bookmarkStart w:id="21" w:name="_Toc135293332"/>
      <w:r>
        <w:rPr>
          <w:rFonts w:hint="eastAsia"/>
        </w:rPr>
        <w:t>二、招标文件说明</w:t>
      </w:r>
      <w:bookmarkEnd w:id="21"/>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招标文件是用以阐明所需设备及服务的情况，以及招标、投标程序和相应的合同条款。招标文件由下述部分组成：</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r>
        <w:rPr>
          <w:rFonts w:asciiTheme="minorEastAsia" w:hAnsiTheme="minorEastAsia" w:eastAsiaTheme="minorEastAsia"/>
          <w:snapToGrid w:val="0"/>
          <w:kern w:val="0"/>
        </w:rPr>
        <w:t xml:space="preserve"> </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5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在投标截止日3日前，采购代理机构可主动或依据投标人要求澄清的问题修改招标文件，并以书面形式通知所有购买招标文件的每一投标人，对方在收到该通知后应立即以书面的形式予以确认。</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pPr>
        <w:adjustRightInd w:val="0"/>
        <w:spacing w:line="360" w:lineRule="auto"/>
        <w:ind w:firstLine="600"/>
        <w:jc w:val="center"/>
        <w:rPr>
          <w:rFonts w:asciiTheme="minorEastAsia" w:hAnsiTheme="minorEastAsia" w:eastAsiaTheme="minorEastAsia"/>
          <w:b/>
          <w:snapToGrid w:val="0"/>
          <w:kern w:val="0"/>
        </w:rPr>
      </w:pPr>
    </w:p>
    <w:p>
      <w:pPr>
        <w:pStyle w:val="4"/>
        <w:spacing w:before="0" w:after="0"/>
      </w:pPr>
      <w:bookmarkStart w:id="22" w:name="q6"/>
      <w:bookmarkEnd w:id="22"/>
      <w:bookmarkStart w:id="23" w:name="_Toc135293333"/>
      <w:r>
        <w:rPr>
          <w:rFonts w:hint="eastAsia"/>
        </w:rPr>
        <w:t>三、投标文件的编写</w:t>
      </w:r>
      <w:bookmarkEnd w:id="23"/>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（2）政府采购违法行为风险知悉确认书</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（3）评标指引表</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hint="eastAsia"/>
          <w:snapToGrid w:val="0"/>
          <w:kern w:val="0"/>
          <w:szCs w:val="21"/>
        </w:rPr>
        <w:t>法定代表人（负责人）证明书及授权委托书</w:t>
      </w:r>
      <w:r>
        <w:rPr>
          <w:rFonts w:hint="eastAsia" w:asciiTheme="minorEastAsia" w:hAnsiTheme="minorEastAsia" w:eastAsiaTheme="minorEastAsia"/>
          <w:snapToGrid w:val="0"/>
          <w:kern w:val="0"/>
        </w:rPr>
        <w:t>（投标文件格式2）</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（6）投标函（投标文件格式3） </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（8）报价表（投标文件格式6）</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（9）技术规格（投标文件格式7）</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（10）交付进度（投标文件格式8）</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（11）售后服务和质量承诺（投标文件格式9）</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w:t>
      </w: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 xml:space="preserve"> （投标文件格式10）</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（13）偏离表（投标文件格式11）</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（14）招标文件要求的其他资料或投标人认为需要补充的资料（投标文件格式12）</w:t>
      </w:r>
    </w:p>
    <w:p>
      <w:pPr>
        <w:adjustRightInd w:val="0"/>
        <w:spacing w:line="360" w:lineRule="auto"/>
        <w:ind w:left="848" w:leftChars="99" w:hanging="640" w:hangingChars="305"/>
        <w:rPr>
          <w:rFonts w:asciiTheme="minorEastAsia" w:hAnsiTheme="minorEastAsia" w:eastAsiaTheme="minorEastAsia"/>
          <w:snapToGrid w:val="0"/>
          <w:kern w:val="0"/>
        </w:rPr>
      </w:pPr>
      <w:r>
        <w:rPr>
          <w:rFonts w:hint="eastAsia" w:asciiTheme="minorEastAsia" w:hAnsiTheme="minorEastAsia" w:eastAsiaTheme="minorEastAsia"/>
          <w:snapToGrid w:val="0"/>
          <w:kern w:val="0"/>
        </w:rPr>
        <w:t>（15）装有“法定代表人（负责人）证明书、法定代表人（负责人）授权委托书”和“开标一览表”单独密封的信封</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（16）装有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（内容为投标文件正本盖章扫描件）</w:t>
      </w:r>
      <w:r>
        <w:rPr>
          <w:rFonts w:hint="eastAsia" w:asciiTheme="minorEastAsia" w:hAnsiTheme="minorEastAsia" w:eastAsiaTheme="minorEastAsia"/>
          <w:snapToGrid w:val="0"/>
          <w:kern w:val="0"/>
        </w:rPr>
        <w:t>单独密封的信封</w:t>
      </w:r>
    </w:p>
    <w:p>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（17）产品样品或产品样板（如有）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投标报价应以人民币为结算单位。</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应分别在招标文件所附的“开标一览表”（投标文件格式5）和“报价表”（投标文件格式6）上写明投标货物的单价和投标总价。投标人对每种项目只允许有一个报价，采购代理机构不接受有任何选择的报价。</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投标人必须提交证明其有资格进行投标，和中标后有能力履行合同的证明文件（投标文件格式1与格式10），作为投标文件的一部分。</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既不要求也不允许其修改投标文件。</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snapToGrid w:val="0"/>
          <w:kern w:val="0"/>
        </w:rPr>
        <w:t>以下有关投标保证金的条款仅适用于需要缴纳投标保证金的项目。是否需要缴纳投标保证金以《投标人须知前附表》中的规定或说明为准。</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提交一笔不少于前附表第9项所规定的投标保证金。投标保证金为投标文件的组成部分之一。</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投标保证金应以支票、银行转账或招标机构能够接受的其它非现金形式提交。（注：投标保证金必须从投标供应商基本账户转出，否则属于隐瞒真实情况，提供虚假资料。）</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未中标的投标人的投标保证金，采购代理机构将在中标通知书发出且收到投标人的《投标保证金退还申请表》后5个工作日内退还。</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中标人的投标保证金，采购代理机构将在中标人签订合同并支付中标服务费后5个工作日内退还。</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已递交了投标保证金的投标人放弃投标，而没有在投标保证金递交截止时间前书面通知采购代理机构的；</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如果中标人未能做到：</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按本须知第31条规定签订合同；或</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按本须知第32条规定提供履约保证金；或</w:t>
      </w:r>
    </w:p>
    <w:p>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按本须知第33条规定缴纳中标服务费。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主持的投标预备会。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投标文件的份数和签署</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投标文件数量按前附表第11项所述，须在每一份投标文件上明确注明“正本”或“副本”字样。一旦正本和副本有差异，以正本为准。 </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为了便于投标文件保存，需提交一份投标文件备份光盘（或U盘）。</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投标文件正本及开标一览表须打印，并经法定代表人或其授权代表签字和盖章，投标文件的副本可采用正本复印件。</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除投标人对错处做必要修改外，投标文件中不许有加行、涂抹或改写，如有修改遗漏处，必须由投标人法定代表人或其授权代表签字和盖章。</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电报、电话、传真形式的投标概不接受。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17.6  投标文件必须标注页码并装订成册。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17.7  投标文件不符合上述规定的，为无效投标。</w:t>
      </w:r>
    </w:p>
    <w:p>
      <w:pPr>
        <w:adjustRightInd w:val="0"/>
        <w:spacing w:line="360" w:lineRule="auto"/>
        <w:rPr>
          <w:rFonts w:asciiTheme="minorEastAsia" w:hAnsiTheme="minorEastAsia" w:eastAsiaTheme="minorEastAsia"/>
          <w:snapToGrid w:val="0"/>
          <w:kern w:val="0"/>
        </w:rPr>
      </w:pPr>
    </w:p>
    <w:p>
      <w:pPr>
        <w:pStyle w:val="4"/>
        <w:spacing w:before="0" w:after="0"/>
      </w:pPr>
      <w:bookmarkStart w:id="24" w:name="q7"/>
      <w:bookmarkEnd w:id="24"/>
      <w:bookmarkStart w:id="25" w:name="_Toc135293334"/>
      <w:r>
        <w:rPr>
          <w:rFonts w:hint="eastAsia"/>
        </w:rPr>
        <w:t>四、投标文件的递交</w:t>
      </w:r>
      <w:bookmarkEnd w:id="25"/>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投标文件的密封和标记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w:t>
      </w:r>
      <w:r>
        <w:rPr>
          <w:rFonts w:hint="eastAsia" w:asciiTheme="minorEastAsia" w:hAnsiTheme="minorEastAsia" w:eastAsiaTheme="minorEastAsia"/>
          <w:snapToGrid w:val="0"/>
          <w:kern w:val="0"/>
        </w:rPr>
        <w:t>信封，在信封上注明“备份光盘（或U盘）”。</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将投标文件“正本”、“副本”和密封好的“备份光盘（或U盘）”一起封装在同一个外层包封中，同时还应在封套上载明以下信息：</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w:t>
      </w:r>
      <w:r>
        <w:rPr>
          <w:rFonts w:hint="eastAsia"/>
          <w:snapToGrid w:val="0"/>
          <w:kern w:val="0"/>
        </w:rPr>
        <w:t>备份光</w:t>
      </w:r>
      <w:r>
        <w:rPr>
          <w:rFonts w:hint="eastAsia" w:asciiTheme="minorEastAsia" w:hAnsiTheme="minorEastAsia" w:eastAsiaTheme="minorEastAsia"/>
          <w:snapToGrid w:val="0"/>
          <w:kern w:val="0"/>
        </w:rPr>
        <w:t>盘（或U盘）”；</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投标人应将“法定代表人（负责人）证明书、法定代表人（负责人）授权委托书”和“开标一览表”单独密封于一信封，在递交投标文件时单独交予</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投标人应按18.1～18.7中的规定进行密封和标记后，将投标文件按照前附表第12项中注明的地址送至采购代理机构。</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26" w:name="_Hlt35050056"/>
      <w:bookmarkEnd w:id="26"/>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在投标截止时间前30分钟开始接收投标文件。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将拒绝接收在投标截止时间后递交的投标文件。</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pPr>
        <w:tabs>
          <w:tab w:val="left" w:pos="0"/>
        </w:tabs>
        <w:adjustRightInd w:val="0"/>
        <w:spacing w:line="360" w:lineRule="auto"/>
        <w:rPr>
          <w:rFonts w:asciiTheme="minorEastAsia" w:hAnsiTheme="minorEastAsia" w:eastAsiaTheme="minorEastAsia"/>
          <w:snapToGrid w:val="0"/>
          <w:kern w:val="0"/>
        </w:rPr>
      </w:pPr>
    </w:p>
    <w:p>
      <w:pPr>
        <w:pStyle w:val="4"/>
        <w:spacing w:before="0" w:after="0"/>
      </w:pPr>
      <w:bookmarkStart w:id="27" w:name="q8"/>
      <w:bookmarkEnd w:id="27"/>
      <w:bookmarkStart w:id="28" w:name="_Toc135293335"/>
      <w:r>
        <w:rPr>
          <w:rFonts w:hint="eastAsia"/>
        </w:rPr>
        <w:t>五、开标和评标</w:t>
      </w:r>
      <w:bookmarkEnd w:id="28"/>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22.2.3  投标人未参加开标的，视同认可开标结果。投标人不足3家的，不得开标。</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招标机构就投标文件中的资格证明等内容对投标供应商进行资格性审查，审查不合格的，认定其投标无效。合格投标人不足3家的，不得评标。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zCs w:val="21"/>
        </w:rPr>
        <w:t>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评标委员会判断投标文件的响应性，仅基于招标文件和投标文件本身而不靠外部证据。</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评标委员会将拒绝被确定为非实质性响应的投标人。投标人不能通过修正或撤销不符之处，而使其投标成为实质性响应的投标。</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评标委员会允许修改投标中不构成重大偏离的、微小的、非正规、不一致或不规则的地方。</w:t>
      </w:r>
    </w:p>
    <w:p>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24.8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djustRightInd w:val="0"/>
        <w:spacing w:line="360" w:lineRule="auto"/>
        <w:rPr>
          <w:snapToGrid w:val="0"/>
          <w:kern w:val="0"/>
        </w:rPr>
      </w:pPr>
      <w:r>
        <w:rPr>
          <w:rFonts w:hint="eastAsia" w:asciiTheme="minorEastAsia" w:hAnsiTheme="minorEastAsia" w:eastAsiaTheme="minor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24.10 经</w:t>
      </w:r>
      <w:r>
        <w:rPr>
          <w:rFonts w:hint="eastAsia"/>
          <w:snapToGrid w:val="0"/>
          <w:kern w:val="0"/>
        </w:rPr>
        <w:t>评标委员会审查，</w:t>
      </w:r>
      <w:r>
        <w:rPr>
          <w:rFonts w:hint="eastAsia" w:ascii="宋体" w:hAnsi="宋体" w:cs="仿宋_GB2312"/>
          <w:kern w:val="0"/>
          <w:szCs w:val="21"/>
        </w:rPr>
        <w:t>有效投标的供应商不足三家的，按公开招标失败处理。</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评标方法和标准”所述进行详细评审，并推荐候选中标供应商。</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评委会不向落标方解释落标原因，不退还投标文件。</w:t>
      </w:r>
    </w:p>
    <w:p>
      <w:pPr>
        <w:adjustRightInd w:val="0"/>
        <w:spacing w:line="360" w:lineRule="auto"/>
        <w:ind w:left="357"/>
        <w:jc w:val="center"/>
        <w:rPr>
          <w:rFonts w:asciiTheme="minorEastAsia" w:hAnsiTheme="minorEastAsia" w:eastAsiaTheme="minorEastAsia"/>
          <w:b/>
          <w:snapToGrid w:val="0"/>
          <w:kern w:val="0"/>
        </w:rPr>
      </w:pPr>
      <w:bookmarkStart w:id="29" w:name="q9"/>
      <w:bookmarkEnd w:id="29"/>
    </w:p>
    <w:p>
      <w:pPr>
        <w:pStyle w:val="4"/>
        <w:spacing w:before="0" w:after="0"/>
      </w:pPr>
      <w:bookmarkStart w:id="30" w:name="_Toc135293336"/>
      <w:r>
        <w:rPr>
          <w:rFonts w:hint="eastAsia"/>
        </w:rPr>
        <w:t>六、授予合同</w:t>
      </w:r>
      <w:bookmarkEnd w:id="30"/>
    </w:p>
    <w:p>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hAnsiTheme="minorEastAsia" w:eastAsiaTheme="minorEastAsia"/>
          <w:snapToGrid w:val="0"/>
          <w:kern w:val="0"/>
        </w:rPr>
        <w:t xml:space="preserve"> </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中标人向采购代理机构支付中标服务费后，领取《中标通知书》。</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中标人应按《中标通知书》或按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招标文件、中标人的投标文件及其澄清文件等，均为签订合同的依据。</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中标人须按招标文件的规定或根据合同条款的规定向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中标服务费按前附表第16项所述。</w:t>
      </w:r>
    </w:p>
    <w:p>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0"/>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166" w:type="dxa"/>
          </w:tcPr>
          <w:p>
            <w:pPr>
              <w:ind w:firstLine="1219" w:firstLineChars="578"/>
              <w:rPr>
                <w:rFonts w:ascii="宋体" w:hAnsi="宋体"/>
                <w:b/>
                <w:szCs w:val="21"/>
              </w:rPr>
            </w:pPr>
            <w:r>
              <w:rPr>
                <w:rFonts w:ascii="宋体" w:hAnsi="宋体"/>
                <w:b/>
                <w:szCs w:val="21"/>
              </w:rPr>
              <w:pict>
                <v:line id="直线 6" o:spid="_x0000_s3102" o:spt="20" style="position:absolute;left:0pt;flip:x y;margin-left:48.8pt;margin-top:0.9pt;height:57.65pt;width:114.3pt;z-index:251665408;mso-width-relative:page;mso-height-relative:page;" coordsize="21600,21600" o:allowincell="f" o:gfxdata="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ho4KQdAAAAAIAQAADwAAAAAAAAABACAA&#10;AAAiAAAAZHJzL2Rvd25yZXYueG1sUEsBAhQAFAAAAAgAh07iQCuupHzcAQAApgMAAA4AAAAAAAAA&#10;AQAgAAAAHwEAAGRycy9lMm9Eb2MueG1sUEsFBgAAAAAGAAYAWQEAAG0FAAAAAA==&#10;">
                  <v:path arrowok="t"/>
                  <v:fill focussize="0,0"/>
                  <v:stroke/>
                  <v:imagedata o:title=""/>
                  <o:lock v:ext="edit"/>
                </v:line>
              </w:pict>
            </w:r>
            <w:r>
              <w:rPr>
                <w:rFonts w:ascii="宋体" w:hAnsi="宋体"/>
                <w:b/>
                <w:szCs w:val="21"/>
              </w:rPr>
              <w:pict>
                <v:line id="直线 7" o:spid="_x0000_s3103" o:spt="20" style="position:absolute;left:0pt;flip:x y;margin-left:7.1pt;margin-top:25.35pt;height:33.2pt;width:156pt;z-index:251666432;mso-width-relative:page;mso-height-relative:page;" coordsize="21600,21600" o:allowincell="f" o:gfxdata="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gVUKbUAAAACgEAAA8AAAAAAAAA&#10;AQAgAAAAIgAAAGRycy9kb3ducmV2LnhtbFBLAQIUABQAAAAIAIdO4kClKU/S3AEAAKYDAAAOAAAA&#10;AAAAAAEAIAAAACMBAABkcnMvZTJvRG9jLnhtbFBLBQYAAAAABgAGAFkBAABxBQAAAAA=&#10;">
                  <v:path arrowok="t"/>
                  <v:fill focussize="0,0"/>
                  <v:stroke/>
                  <v:imagedata o:title=""/>
                  <o:lock v:ext="edit"/>
                </v:line>
              </w:pict>
            </w:r>
            <w:r>
              <w:rPr>
                <w:rFonts w:ascii="宋体" w:hAnsi="宋体"/>
                <w:b/>
                <w:szCs w:val="21"/>
              </w:rPr>
              <w:pict>
                <v:line id="直线 5" o:spid="_x0000_s3101" o:spt="20" style="position:absolute;left:0pt;margin-left:-9pt;margin-top:-0.5pt;height:0pt;width:0.05pt;z-index:251664384;mso-width-relative:page;mso-height-relative:page;" coordsize="21600,21600" o:allowincell="f" o:gfxdata="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G0d729IAAAAJAQAADwAAAAAAAAABACAAAAAiAAAAZHJzL2Rvd25yZXYueG1s&#10;UEsBAhQAFAAAAAgAh07iQPoFRwzFAQAAhwMAAA4AAAAAAAAAAQAgAAAAIQEAAGRycy9lMm9Eb2Mu&#10;eG1sUEsFBgAAAAAGAAYAWQEAAFgFAAAAAA==&#10;">
                  <v:path arrowok="t"/>
                  <v:fill focussize="0,0"/>
                  <v:stroke/>
                  <v:imagedata o:title=""/>
                  <o:lock v:ext="edit"/>
                </v:line>
              </w:pict>
            </w:r>
            <w:r>
              <w:rPr>
                <w:rFonts w:hint="eastAsia" w:ascii="宋体" w:hAnsi="宋体"/>
                <w:b/>
                <w:szCs w:val="21"/>
              </w:rPr>
              <w:t xml:space="preserve">    服务类型</w:t>
            </w:r>
          </w:p>
          <w:p>
            <w:pPr>
              <w:ind w:firstLine="392" w:firstLineChars="186"/>
              <w:rPr>
                <w:rFonts w:ascii="宋体" w:hAnsi="宋体"/>
                <w:b/>
                <w:szCs w:val="21"/>
              </w:rPr>
            </w:pPr>
            <w:r>
              <w:rPr>
                <w:rFonts w:hint="eastAsia" w:ascii="宋体" w:hAnsi="宋体"/>
                <w:b/>
                <w:szCs w:val="21"/>
              </w:rPr>
              <w:t>费率　　　　　</w:t>
            </w:r>
          </w:p>
          <w:p>
            <w:pPr>
              <w:ind w:firstLine="1054"/>
              <w:rPr>
                <w:rFonts w:ascii="宋体" w:hAnsi="宋体"/>
                <w:b/>
                <w:szCs w:val="21"/>
              </w:rPr>
            </w:pPr>
            <w:r>
              <w:rPr>
                <w:rFonts w:hint="eastAsia" w:ascii="宋体" w:hAnsi="宋体"/>
                <w:b/>
                <w:szCs w:val="21"/>
              </w:rPr>
              <w:t>　　　</w:t>
            </w:r>
          </w:p>
          <w:p>
            <w:pPr>
              <w:rPr>
                <w:rFonts w:ascii="宋体" w:hAnsi="宋体"/>
                <w:b/>
                <w:szCs w:val="21"/>
              </w:rPr>
            </w:pPr>
            <w:r>
              <w:rPr>
                <w:rFonts w:hint="eastAsia" w:ascii="宋体" w:hAnsi="宋体"/>
                <w:b/>
                <w:szCs w:val="21"/>
              </w:rPr>
              <w:t>中标金额</w:t>
            </w:r>
          </w:p>
        </w:tc>
        <w:tc>
          <w:tcPr>
            <w:tcW w:w="2056" w:type="dxa"/>
            <w:vAlign w:val="center"/>
          </w:tcPr>
          <w:p>
            <w:pPr>
              <w:jc w:val="center"/>
              <w:rPr>
                <w:rFonts w:ascii="宋体" w:hAnsi="宋体"/>
                <w:b/>
                <w:szCs w:val="21"/>
              </w:rPr>
            </w:pPr>
            <w:r>
              <w:rPr>
                <w:rFonts w:hint="eastAsia" w:ascii="宋体" w:hAnsi="宋体"/>
                <w:b/>
                <w:szCs w:val="21"/>
              </w:rPr>
              <w:t>货物采购</w:t>
            </w:r>
          </w:p>
        </w:tc>
        <w:tc>
          <w:tcPr>
            <w:tcW w:w="2056" w:type="dxa"/>
            <w:vAlign w:val="center"/>
          </w:tcPr>
          <w:p>
            <w:pPr>
              <w:jc w:val="center"/>
              <w:rPr>
                <w:rFonts w:ascii="宋体" w:hAnsi="宋体"/>
                <w:b/>
                <w:szCs w:val="21"/>
              </w:rPr>
            </w:pPr>
            <w:r>
              <w:rPr>
                <w:rFonts w:hint="eastAsia" w:ascii="宋体" w:hAnsi="宋体"/>
                <w:b/>
                <w:szCs w:val="21"/>
              </w:rPr>
              <w:t>服务采购</w:t>
            </w:r>
          </w:p>
        </w:tc>
        <w:tc>
          <w:tcPr>
            <w:tcW w:w="2057" w:type="dxa"/>
            <w:vAlign w:val="center"/>
          </w:tcPr>
          <w:p>
            <w:pPr>
              <w:jc w:val="center"/>
              <w:rPr>
                <w:rFonts w:ascii="宋体" w:hAnsi="宋体"/>
                <w:b/>
                <w:szCs w:val="21"/>
              </w:rPr>
            </w:pPr>
            <w:r>
              <w:rPr>
                <w:rFonts w:hint="eastAsia" w:ascii="宋体" w:hAnsi="宋体"/>
                <w:b/>
                <w:szCs w:val="21"/>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100万元以下</w:t>
            </w:r>
          </w:p>
        </w:tc>
        <w:tc>
          <w:tcPr>
            <w:tcW w:w="2056" w:type="dxa"/>
            <w:vAlign w:val="center"/>
          </w:tcPr>
          <w:p>
            <w:pPr>
              <w:widowControl/>
              <w:jc w:val="center"/>
              <w:rPr>
                <w:rFonts w:ascii="宋体" w:hAnsi="宋体"/>
                <w:kern w:val="0"/>
                <w:szCs w:val="21"/>
              </w:rPr>
            </w:pPr>
            <w:r>
              <w:rPr>
                <w:rFonts w:hint="eastAsia" w:ascii="宋体" w:hAnsi="宋体"/>
                <w:kern w:val="0"/>
                <w:szCs w:val="21"/>
              </w:rPr>
              <w:t>1.500%</w:t>
            </w:r>
          </w:p>
        </w:tc>
        <w:tc>
          <w:tcPr>
            <w:tcW w:w="2056" w:type="dxa"/>
            <w:vAlign w:val="center"/>
          </w:tcPr>
          <w:p>
            <w:pPr>
              <w:widowControl/>
              <w:jc w:val="center"/>
              <w:rPr>
                <w:rFonts w:ascii="宋体" w:hAnsi="宋体"/>
                <w:kern w:val="0"/>
                <w:szCs w:val="21"/>
              </w:rPr>
            </w:pPr>
            <w:r>
              <w:rPr>
                <w:rFonts w:hint="eastAsia" w:ascii="宋体" w:hAnsi="宋体"/>
                <w:kern w:val="0"/>
                <w:szCs w:val="21"/>
              </w:rPr>
              <w:t>1.500%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100万元（含）-500万元</w:t>
            </w:r>
          </w:p>
        </w:tc>
        <w:tc>
          <w:tcPr>
            <w:tcW w:w="2056" w:type="dxa"/>
            <w:vAlign w:val="center"/>
          </w:tcPr>
          <w:p>
            <w:pPr>
              <w:widowControl/>
              <w:jc w:val="center"/>
              <w:rPr>
                <w:rFonts w:ascii="宋体" w:hAnsi="宋体"/>
                <w:kern w:val="0"/>
                <w:szCs w:val="21"/>
              </w:rPr>
            </w:pPr>
            <w:r>
              <w:rPr>
                <w:rFonts w:hint="eastAsia" w:ascii="宋体" w:hAnsi="宋体"/>
                <w:kern w:val="0"/>
                <w:szCs w:val="21"/>
              </w:rPr>
              <w:t>1.100%</w:t>
            </w:r>
          </w:p>
        </w:tc>
        <w:tc>
          <w:tcPr>
            <w:tcW w:w="2056" w:type="dxa"/>
            <w:vAlign w:val="center"/>
          </w:tcPr>
          <w:p>
            <w:pPr>
              <w:widowControl/>
              <w:jc w:val="center"/>
              <w:rPr>
                <w:rFonts w:ascii="宋体" w:hAnsi="宋体"/>
                <w:kern w:val="0"/>
                <w:szCs w:val="21"/>
              </w:rPr>
            </w:pPr>
            <w:r>
              <w:rPr>
                <w:rFonts w:hint="eastAsia" w:ascii="宋体" w:hAnsi="宋体"/>
                <w:kern w:val="0"/>
                <w:szCs w:val="21"/>
              </w:rPr>
              <w:t>0.800%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500万元（含）-1000万元</w:t>
            </w:r>
          </w:p>
        </w:tc>
        <w:tc>
          <w:tcPr>
            <w:tcW w:w="2056" w:type="dxa"/>
            <w:vAlign w:val="center"/>
          </w:tcPr>
          <w:p>
            <w:pPr>
              <w:widowControl/>
              <w:jc w:val="center"/>
              <w:rPr>
                <w:rFonts w:ascii="宋体" w:hAnsi="宋体"/>
                <w:kern w:val="0"/>
                <w:szCs w:val="21"/>
              </w:rPr>
            </w:pPr>
            <w:r>
              <w:rPr>
                <w:rFonts w:hint="eastAsia" w:ascii="宋体" w:hAnsi="宋体"/>
                <w:kern w:val="0"/>
                <w:szCs w:val="21"/>
              </w:rPr>
              <w:t>0.800%</w:t>
            </w:r>
          </w:p>
        </w:tc>
        <w:tc>
          <w:tcPr>
            <w:tcW w:w="2056" w:type="dxa"/>
            <w:vAlign w:val="center"/>
          </w:tcPr>
          <w:p>
            <w:pPr>
              <w:widowControl/>
              <w:jc w:val="center"/>
              <w:rPr>
                <w:rFonts w:ascii="宋体" w:hAnsi="宋体"/>
                <w:kern w:val="0"/>
                <w:szCs w:val="21"/>
              </w:rPr>
            </w:pPr>
            <w:r>
              <w:rPr>
                <w:rFonts w:hint="eastAsia" w:ascii="宋体" w:hAnsi="宋体"/>
                <w:kern w:val="0"/>
                <w:szCs w:val="21"/>
              </w:rPr>
              <w:t>0.450%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1000万元（含）-5000万元</w:t>
            </w:r>
          </w:p>
        </w:tc>
        <w:tc>
          <w:tcPr>
            <w:tcW w:w="2056" w:type="dxa"/>
            <w:vAlign w:val="center"/>
          </w:tcPr>
          <w:p>
            <w:pPr>
              <w:widowControl/>
              <w:jc w:val="center"/>
              <w:rPr>
                <w:rFonts w:ascii="宋体" w:hAnsi="宋体"/>
                <w:kern w:val="0"/>
                <w:szCs w:val="21"/>
              </w:rPr>
            </w:pPr>
            <w:r>
              <w:rPr>
                <w:rFonts w:hint="eastAsia" w:ascii="宋体" w:hAnsi="宋体"/>
                <w:kern w:val="0"/>
                <w:szCs w:val="21"/>
              </w:rPr>
              <w:t>0.500%</w:t>
            </w:r>
          </w:p>
        </w:tc>
        <w:tc>
          <w:tcPr>
            <w:tcW w:w="2056" w:type="dxa"/>
            <w:vAlign w:val="center"/>
          </w:tcPr>
          <w:p>
            <w:pPr>
              <w:widowControl/>
              <w:jc w:val="center"/>
              <w:rPr>
                <w:rFonts w:ascii="宋体" w:hAnsi="宋体"/>
                <w:kern w:val="0"/>
                <w:szCs w:val="21"/>
              </w:rPr>
            </w:pPr>
            <w:r>
              <w:rPr>
                <w:rFonts w:hint="eastAsia" w:ascii="宋体" w:hAnsi="宋体"/>
                <w:kern w:val="0"/>
                <w:szCs w:val="21"/>
              </w:rPr>
              <w:t>0.250%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5000万元（含）-1亿元</w:t>
            </w:r>
          </w:p>
        </w:tc>
        <w:tc>
          <w:tcPr>
            <w:tcW w:w="2056" w:type="dxa"/>
            <w:vAlign w:val="center"/>
          </w:tcPr>
          <w:p>
            <w:pPr>
              <w:widowControl/>
              <w:jc w:val="center"/>
              <w:rPr>
                <w:rFonts w:ascii="宋体" w:hAnsi="宋体"/>
                <w:kern w:val="0"/>
                <w:szCs w:val="21"/>
              </w:rPr>
            </w:pPr>
            <w:r>
              <w:rPr>
                <w:rFonts w:hint="eastAsia" w:ascii="宋体" w:hAnsi="宋体"/>
                <w:kern w:val="0"/>
                <w:szCs w:val="21"/>
              </w:rPr>
              <w:t>0.250%</w:t>
            </w:r>
          </w:p>
        </w:tc>
        <w:tc>
          <w:tcPr>
            <w:tcW w:w="2056" w:type="dxa"/>
            <w:vAlign w:val="center"/>
          </w:tcPr>
          <w:p>
            <w:pPr>
              <w:widowControl/>
              <w:jc w:val="center"/>
              <w:rPr>
                <w:rFonts w:ascii="宋体" w:hAnsi="宋体"/>
                <w:kern w:val="0"/>
                <w:szCs w:val="21"/>
              </w:rPr>
            </w:pPr>
            <w:r>
              <w:rPr>
                <w:rFonts w:hint="eastAsia" w:ascii="宋体" w:hAnsi="宋体"/>
                <w:kern w:val="0"/>
                <w:szCs w:val="21"/>
              </w:rPr>
              <w:t>0.100%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1亿元（含）-5亿元</w:t>
            </w:r>
          </w:p>
        </w:tc>
        <w:tc>
          <w:tcPr>
            <w:tcW w:w="2056" w:type="dxa"/>
            <w:vAlign w:val="center"/>
          </w:tcPr>
          <w:p>
            <w:pPr>
              <w:widowControl/>
              <w:jc w:val="center"/>
              <w:rPr>
                <w:rFonts w:ascii="宋体" w:hAnsi="宋体"/>
                <w:kern w:val="0"/>
                <w:szCs w:val="21"/>
              </w:rPr>
            </w:pPr>
            <w:r>
              <w:rPr>
                <w:rFonts w:hint="eastAsia" w:ascii="宋体" w:hAnsi="宋体"/>
                <w:kern w:val="0"/>
                <w:szCs w:val="21"/>
              </w:rPr>
              <w:t>0.050%</w:t>
            </w:r>
          </w:p>
        </w:tc>
        <w:tc>
          <w:tcPr>
            <w:tcW w:w="2056" w:type="dxa"/>
            <w:vAlign w:val="center"/>
          </w:tcPr>
          <w:p>
            <w:pPr>
              <w:widowControl/>
              <w:jc w:val="center"/>
              <w:rPr>
                <w:rFonts w:ascii="宋体" w:hAnsi="宋体"/>
                <w:kern w:val="0"/>
                <w:szCs w:val="21"/>
              </w:rPr>
            </w:pPr>
            <w:r>
              <w:rPr>
                <w:rFonts w:hint="eastAsia" w:ascii="宋体" w:hAnsi="宋体"/>
                <w:kern w:val="0"/>
                <w:szCs w:val="21"/>
              </w:rPr>
              <w:t>0.050%</w:t>
            </w:r>
          </w:p>
        </w:tc>
        <w:tc>
          <w:tcPr>
            <w:tcW w:w="2057" w:type="dxa"/>
            <w:vAlign w:val="center"/>
          </w:tcPr>
          <w:p>
            <w:pPr>
              <w:widowControl/>
              <w:snapToGrid w:val="0"/>
              <w:jc w:val="center"/>
              <w:rPr>
                <w:rFonts w:ascii="宋体" w:hAnsi="宋体"/>
                <w:kern w:val="0"/>
                <w:szCs w:val="21"/>
              </w:rPr>
            </w:pPr>
            <w:r>
              <w:rPr>
                <w:rFonts w:hint="eastAsia" w:ascii="宋体" w:hAnsi="宋体"/>
                <w:kern w:val="0"/>
                <w:szCs w:val="21"/>
              </w:rPr>
              <w:t>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5亿元（含）-10亿元</w:t>
            </w:r>
          </w:p>
        </w:tc>
        <w:tc>
          <w:tcPr>
            <w:tcW w:w="2056" w:type="dxa"/>
            <w:vAlign w:val="center"/>
          </w:tcPr>
          <w:p>
            <w:pPr>
              <w:widowControl/>
              <w:jc w:val="center"/>
              <w:rPr>
                <w:rFonts w:ascii="宋体" w:hAnsi="宋体"/>
                <w:kern w:val="0"/>
                <w:szCs w:val="21"/>
              </w:rPr>
            </w:pPr>
            <w:r>
              <w:rPr>
                <w:rFonts w:hint="eastAsia" w:ascii="宋体" w:hAnsi="宋体"/>
                <w:kern w:val="0"/>
                <w:szCs w:val="21"/>
              </w:rPr>
              <w:t>0.035%</w:t>
            </w:r>
          </w:p>
        </w:tc>
        <w:tc>
          <w:tcPr>
            <w:tcW w:w="2056" w:type="dxa"/>
            <w:vAlign w:val="center"/>
          </w:tcPr>
          <w:p>
            <w:pPr>
              <w:widowControl/>
              <w:jc w:val="center"/>
              <w:rPr>
                <w:rFonts w:ascii="宋体" w:hAnsi="宋体"/>
                <w:kern w:val="0"/>
                <w:szCs w:val="21"/>
              </w:rPr>
            </w:pPr>
            <w:r>
              <w:rPr>
                <w:rFonts w:hint="eastAsia" w:ascii="宋体" w:hAnsi="宋体"/>
                <w:kern w:val="0"/>
                <w:szCs w:val="21"/>
              </w:rPr>
              <w:t>0.035%</w:t>
            </w:r>
          </w:p>
        </w:tc>
        <w:tc>
          <w:tcPr>
            <w:tcW w:w="2057" w:type="dxa"/>
            <w:vAlign w:val="center"/>
          </w:tcPr>
          <w:p>
            <w:pPr>
              <w:widowControl/>
              <w:snapToGrid w:val="0"/>
              <w:jc w:val="center"/>
              <w:rPr>
                <w:rFonts w:ascii="宋体" w:hAnsi="宋体"/>
                <w:bCs/>
                <w:kern w:val="0"/>
                <w:szCs w:val="21"/>
              </w:rPr>
            </w:pPr>
            <w:r>
              <w:rPr>
                <w:rFonts w:hint="eastAsia" w:ascii="宋体" w:hAnsi="宋体"/>
                <w:bCs/>
                <w:kern w:val="0"/>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10亿元（含）-50亿元</w:t>
            </w:r>
          </w:p>
        </w:tc>
        <w:tc>
          <w:tcPr>
            <w:tcW w:w="2056" w:type="dxa"/>
            <w:vAlign w:val="center"/>
          </w:tcPr>
          <w:p>
            <w:pPr>
              <w:widowControl/>
              <w:jc w:val="center"/>
              <w:rPr>
                <w:rFonts w:ascii="宋体" w:hAnsi="宋体"/>
                <w:kern w:val="0"/>
                <w:szCs w:val="21"/>
              </w:rPr>
            </w:pPr>
            <w:r>
              <w:rPr>
                <w:rFonts w:hint="eastAsia" w:ascii="宋体" w:hAnsi="宋体"/>
                <w:kern w:val="0"/>
                <w:szCs w:val="21"/>
              </w:rPr>
              <w:t>0.008%</w:t>
            </w:r>
          </w:p>
        </w:tc>
        <w:tc>
          <w:tcPr>
            <w:tcW w:w="2056" w:type="dxa"/>
            <w:vAlign w:val="center"/>
          </w:tcPr>
          <w:p>
            <w:pPr>
              <w:widowControl/>
              <w:jc w:val="center"/>
              <w:rPr>
                <w:rFonts w:ascii="宋体" w:hAnsi="宋体"/>
                <w:kern w:val="0"/>
                <w:szCs w:val="21"/>
              </w:rPr>
            </w:pPr>
            <w:r>
              <w:rPr>
                <w:rFonts w:hint="eastAsia" w:ascii="宋体" w:hAnsi="宋体"/>
                <w:kern w:val="0"/>
                <w:szCs w:val="21"/>
              </w:rPr>
              <w:t>0.008%</w:t>
            </w:r>
          </w:p>
        </w:tc>
        <w:tc>
          <w:tcPr>
            <w:tcW w:w="2057" w:type="dxa"/>
            <w:vAlign w:val="center"/>
          </w:tcPr>
          <w:p>
            <w:pPr>
              <w:widowControl/>
              <w:snapToGrid w:val="0"/>
              <w:jc w:val="center"/>
              <w:rPr>
                <w:rFonts w:ascii="宋体" w:hAnsi="宋体"/>
                <w:bCs/>
                <w:kern w:val="0"/>
                <w:szCs w:val="21"/>
              </w:rPr>
            </w:pPr>
            <w:r>
              <w:rPr>
                <w:rFonts w:hint="eastAsia" w:ascii="宋体" w:hAnsi="宋体"/>
                <w:bCs/>
                <w:kern w:val="0"/>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50亿元（含）-100亿元</w:t>
            </w:r>
          </w:p>
        </w:tc>
        <w:tc>
          <w:tcPr>
            <w:tcW w:w="2056" w:type="dxa"/>
            <w:vAlign w:val="center"/>
          </w:tcPr>
          <w:p>
            <w:pPr>
              <w:widowControl/>
              <w:jc w:val="center"/>
              <w:rPr>
                <w:rFonts w:ascii="宋体" w:hAnsi="宋体"/>
                <w:kern w:val="0"/>
                <w:szCs w:val="21"/>
              </w:rPr>
            </w:pPr>
            <w:r>
              <w:rPr>
                <w:rFonts w:hint="eastAsia" w:ascii="宋体" w:hAnsi="宋体"/>
                <w:kern w:val="0"/>
                <w:szCs w:val="21"/>
              </w:rPr>
              <w:t>0.006%</w:t>
            </w:r>
          </w:p>
        </w:tc>
        <w:tc>
          <w:tcPr>
            <w:tcW w:w="2056" w:type="dxa"/>
            <w:vAlign w:val="center"/>
          </w:tcPr>
          <w:p>
            <w:pPr>
              <w:widowControl/>
              <w:jc w:val="center"/>
              <w:rPr>
                <w:rFonts w:ascii="宋体" w:hAnsi="宋体"/>
                <w:kern w:val="0"/>
                <w:szCs w:val="21"/>
              </w:rPr>
            </w:pPr>
            <w:r>
              <w:rPr>
                <w:rFonts w:hint="eastAsia" w:ascii="宋体" w:hAnsi="宋体"/>
                <w:kern w:val="0"/>
                <w:szCs w:val="21"/>
              </w:rPr>
              <w:t>0.006%</w:t>
            </w:r>
          </w:p>
        </w:tc>
        <w:tc>
          <w:tcPr>
            <w:tcW w:w="2057" w:type="dxa"/>
            <w:vAlign w:val="center"/>
          </w:tcPr>
          <w:p>
            <w:pPr>
              <w:widowControl/>
              <w:snapToGrid w:val="0"/>
              <w:jc w:val="center"/>
              <w:rPr>
                <w:rFonts w:ascii="宋体" w:hAnsi="宋体"/>
                <w:bCs/>
                <w:kern w:val="0"/>
                <w:szCs w:val="21"/>
              </w:rPr>
            </w:pPr>
            <w:r>
              <w:rPr>
                <w:rFonts w:hint="eastAsia" w:ascii="宋体" w:hAnsi="宋体"/>
                <w:bCs/>
                <w:kern w:val="0"/>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pPr>
              <w:widowControl/>
              <w:jc w:val="center"/>
              <w:rPr>
                <w:rFonts w:ascii="宋体" w:hAnsi="宋体"/>
                <w:kern w:val="0"/>
                <w:szCs w:val="21"/>
              </w:rPr>
            </w:pPr>
            <w:r>
              <w:rPr>
                <w:rFonts w:hint="eastAsia" w:ascii="宋体" w:hAnsi="宋体"/>
                <w:kern w:val="0"/>
                <w:szCs w:val="21"/>
              </w:rPr>
              <w:t>100亿元（含）以上</w:t>
            </w:r>
          </w:p>
        </w:tc>
        <w:tc>
          <w:tcPr>
            <w:tcW w:w="2056" w:type="dxa"/>
            <w:vAlign w:val="center"/>
          </w:tcPr>
          <w:p>
            <w:pPr>
              <w:widowControl/>
              <w:jc w:val="center"/>
              <w:rPr>
                <w:rFonts w:ascii="宋体" w:hAnsi="宋体"/>
                <w:kern w:val="0"/>
                <w:szCs w:val="21"/>
              </w:rPr>
            </w:pPr>
            <w:r>
              <w:rPr>
                <w:rFonts w:hint="eastAsia" w:ascii="宋体" w:hAnsi="宋体"/>
                <w:kern w:val="0"/>
                <w:szCs w:val="21"/>
              </w:rPr>
              <w:t>0.004%</w:t>
            </w:r>
          </w:p>
        </w:tc>
        <w:tc>
          <w:tcPr>
            <w:tcW w:w="2056" w:type="dxa"/>
            <w:vAlign w:val="center"/>
          </w:tcPr>
          <w:p>
            <w:pPr>
              <w:widowControl/>
              <w:jc w:val="center"/>
              <w:rPr>
                <w:rFonts w:ascii="宋体" w:hAnsi="宋体"/>
                <w:kern w:val="0"/>
                <w:szCs w:val="21"/>
              </w:rPr>
            </w:pPr>
            <w:r>
              <w:rPr>
                <w:rFonts w:hint="eastAsia" w:ascii="宋体" w:hAnsi="宋体"/>
                <w:kern w:val="0"/>
                <w:szCs w:val="21"/>
              </w:rPr>
              <w:t>0.004%</w:t>
            </w:r>
          </w:p>
        </w:tc>
        <w:tc>
          <w:tcPr>
            <w:tcW w:w="2057" w:type="dxa"/>
            <w:vAlign w:val="center"/>
          </w:tcPr>
          <w:p>
            <w:pPr>
              <w:widowControl/>
              <w:snapToGrid w:val="0"/>
              <w:jc w:val="center"/>
              <w:rPr>
                <w:rFonts w:ascii="宋体" w:hAnsi="宋体"/>
                <w:bCs/>
                <w:kern w:val="0"/>
                <w:szCs w:val="21"/>
              </w:rPr>
            </w:pPr>
            <w:r>
              <w:rPr>
                <w:rFonts w:hint="eastAsia" w:ascii="宋体" w:hAnsi="宋体"/>
                <w:bCs/>
                <w:kern w:val="0"/>
                <w:szCs w:val="21"/>
              </w:rPr>
              <w:t>0.004%</w:t>
            </w:r>
          </w:p>
        </w:tc>
      </w:tr>
    </w:tbl>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注：1、中标服务费按差额定率累进法计算。例如：某货物类项目中标金额为1000万元，计算中标服务费如下：</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（500-100）万元×1.1%=4.4万元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（1000-500）×0.8%=4万元</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合计收费=1.5+4.4+4＝9.9（万元）</w:t>
      </w:r>
    </w:p>
    <w:p>
      <w:pPr>
        <w:spacing w:line="360" w:lineRule="auto"/>
        <w:ind w:firstLine="1044" w:firstLineChars="200"/>
        <w:rPr>
          <w:b/>
          <w:sz w:val="52"/>
          <w:szCs w:val="52"/>
        </w:rPr>
      </w:pPr>
    </w:p>
    <w:p>
      <w:pPr>
        <w:pStyle w:val="4"/>
        <w:spacing w:before="0" w:after="0"/>
      </w:pPr>
      <w:bookmarkStart w:id="31" w:name="_Toc135293337"/>
      <w:r>
        <w:rPr>
          <w:rFonts w:hint="eastAsia"/>
        </w:rPr>
        <w:t>七、质疑处理</w:t>
      </w:r>
      <w:bookmarkEnd w:id="31"/>
    </w:p>
    <w:p>
      <w:pPr>
        <w:spacing w:line="360" w:lineRule="auto"/>
        <w:rPr>
          <w:rFonts w:asciiTheme="majorEastAsia" w:hAnsiTheme="majorEastAsia" w:eastAsiaTheme="majorEastAsia"/>
          <w:b/>
          <w:bCs/>
          <w:szCs w:val="21"/>
        </w:rPr>
      </w:pPr>
      <w:bookmarkStart w:id="32" w:name="_Hlk72439706"/>
      <w:r>
        <w:rPr>
          <w:rFonts w:hint="eastAsia" w:asciiTheme="majorEastAsia" w:hAnsiTheme="majorEastAsia" w:eastAsiaTheme="majorEastAsia"/>
          <w:b/>
          <w:bCs/>
          <w:szCs w:val="21"/>
        </w:rPr>
        <w:t>35.质疑提出与答复</w:t>
      </w:r>
    </w:p>
    <w:p>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35.3质疑条件</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33" w:name="_Hlk75374941"/>
      <w:r>
        <w:rPr>
          <w:rFonts w:hint="eastAsia" w:asciiTheme="majorEastAsia" w:hAnsiTheme="majorEastAsia" w:eastAsiaTheme="majorEastAsia"/>
          <w:szCs w:val="21"/>
        </w:rPr>
        <w:t>以联合体形式参与的，质疑应当由组成联合体的所有成员共同提出</w:t>
      </w:r>
      <w:bookmarkEnd w:id="33"/>
      <w:r>
        <w:rPr>
          <w:rFonts w:hint="eastAsia" w:asciiTheme="majorEastAsia" w:hAnsiTheme="majorEastAsia" w:eastAsiaTheme="majorEastAsia"/>
          <w:szCs w:val="21"/>
        </w:rPr>
        <w:t>；</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35.7质疑答复时限</w:t>
      </w:r>
    </w:p>
    <w:p>
      <w:pPr>
        <w:spacing w:line="360" w:lineRule="auto"/>
        <w:ind w:firstLine="424" w:firstLineChars="202"/>
        <w:rPr>
          <w:rFonts w:asciiTheme="majorEastAsia" w:hAnsiTheme="majorEastAsia" w:eastAsiaTheme="majorEastAsia"/>
          <w:szCs w:val="21"/>
        </w:rPr>
      </w:pPr>
      <w:r>
        <w:rPr>
          <w:rFonts w:hint="eastAsia" w:asciiTheme="majorEastAsia" w:hAnsiTheme="majorEastAsia" w:eastAsiaTheme="majorEastAsia"/>
          <w:szCs w:val="21"/>
        </w:rPr>
        <w:t>自收文之日起七个工作日内。</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35.8投诉</w:t>
      </w:r>
    </w:p>
    <w:p>
      <w:pPr>
        <w:spacing w:line="360" w:lineRule="auto"/>
        <w:ind w:firstLine="424" w:firstLineChars="202"/>
        <w:rPr>
          <w:rFonts w:asciiTheme="majorEastAsia" w:hAnsiTheme="majorEastAsia" w:eastAsiaTheme="majorEastAsia"/>
          <w:szCs w:val="21"/>
        </w:rPr>
      </w:pPr>
      <w:r>
        <w:rPr>
          <w:rFonts w:hint="eastAsia" w:asciiTheme="majorEastAsia" w:hAnsiTheme="majorEastAsia" w:eastAsiaTheme="majorEastAsia"/>
          <w:szCs w:val="21"/>
        </w:rPr>
        <w:t>对质疑答复不满意或者未在规定时间内答复的，提出质疑的供应商可以在答复期满后15个工作日内向同级财政部门投诉。</w:t>
      </w:r>
      <w:bookmarkEnd w:id="32"/>
    </w:p>
    <w:p/>
    <w:p/>
    <w:p/>
    <w:p/>
    <w:p/>
    <w:p/>
    <w:p/>
    <w:p>
      <w:pPr>
        <w:pStyle w:val="2"/>
      </w:pPr>
      <w:bookmarkStart w:id="34" w:name="_Toc135293338"/>
      <w:r>
        <w:rPr>
          <w:rFonts w:hint="eastAsia"/>
        </w:rPr>
        <w:t>第七章  投标文件格式</w:t>
      </w:r>
      <w:bookmarkEnd w:id="34"/>
    </w:p>
    <w:p>
      <w:pPr>
        <w:jc w:val="center"/>
        <w:rPr>
          <w:b/>
          <w:sz w:val="52"/>
          <w:szCs w:val="52"/>
        </w:rPr>
      </w:pPr>
    </w:p>
    <w:p>
      <w:pPr>
        <w:pStyle w:val="4"/>
        <w:spacing w:line="400" w:lineRule="exact"/>
        <w:rPr>
          <w:rFonts w:ascii="仿宋" w:hAnsi="仿宋" w:eastAsia="仿宋"/>
        </w:rPr>
      </w:pPr>
      <w:bookmarkStart w:id="35" w:name="_Toc25194"/>
      <w:bookmarkStart w:id="36" w:name="_Toc14934"/>
      <w:bookmarkStart w:id="37" w:name="_Toc11772"/>
      <w:bookmarkStart w:id="38" w:name="_Toc44690704"/>
      <w:bookmarkStart w:id="39" w:name="_Toc135293339"/>
      <w:bookmarkStart w:id="40" w:name="_Toc44690431"/>
      <w:bookmarkStart w:id="41" w:name="_Toc44691395"/>
      <w:bookmarkStart w:id="42" w:name="_Toc44691163"/>
      <w:bookmarkStart w:id="43" w:name="_Toc31468"/>
      <w:r>
        <w:rPr>
          <w:rFonts w:hint="eastAsia" w:ascii="仿宋" w:hAnsi="仿宋" w:eastAsia="仿宋"/>
        </w:rPr>
        <w:t>投标文件编制说明</w:t>
      </w:r>
      <w:bookmarkEnd w:id="35"/>
      <w:bookmarkEnd w:id="36"/>
      <w:bookmarkEnd w:id="37"/>
      <w:bookmarkEnd w:id="38"/>
      <w:bookmarkEnd w:id="39"/>
      <w:bookmarkEnd w:id="40"/>
      <w:bookmarkEnd w:id="41"/>
      <w:bookmarkEnd w:id="42"/>
      <w:bookmarkEnd w:id="43"/>
    </w:p>
    <w:tbl>
      <w:tblPr>
        <w:tblStyle w:val="51"/>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957"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名称</w:t>
            </w:r>
          </w:p>
        </w:tc>
        <w:tc>
          <w:tcPr>
            <w:tcW w:w="3004"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内容规定</w:t>
            </w:r>
          </w:p>
        </w:tc>
        <w:tc>
          <w:tcPr>
            <w:tcW w:w="4161"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957"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投标文件的组成</w:t>
            </w:r>
          </w:p>
        </w:tc>
        <w:tc>
          <w:tcPr>
            <w:tcW w:w="3004"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详见第六章“投标人须知”第10条</w:t>
            </w:r>
          </w:p>
        </w:tc>
        <w:tc>
          <w:tcPr>
            <w:tcW w:w="4161" w:type="dxa"/>
            <w:vAlign w:val="center"/>
          </w:tcPr>
          <w:p>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1.1 投标人选取本章相应格式编制投标文件，如没有相应格式的，由投标人根据招标要求自行编制。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957"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投标文件的密封和标记</w:t>
            </w:r>
          </w:p>
        </w:tc>
        <w:tc>
          <w:tcPr>
            <w:tcW w:w="3004"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详见第六章“投标人须知”第17-18条</w:t>
            </w:r>
          </w:p>
        </w:tc>
        <w:tc>
          <w:tcPr>
            <w:tcW w:w="4161" w:type="dxa"/>
            <w:vAlign w:val="center"/>
          </w:tcPr>
          <w:p>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投标文件应按以下两部分，分别密封包装和标记：</w:t>
            </w:r>
          </w:p>
          <w:p>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2.1 投标文件正本、副本和密封好的备份光盘（或U盘）（封包1）。</w:t>
            </w:r>
          </w:p>
          <w:p>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2.2 法定代表人（负责人）证明书、法定代表人（负责人）授权委托书和开标一览表（封包2）。</w:t>
            </w:r>
          </w:p>
          <w:p>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注：</w:t>
            </w:r>
            <w:r>
              <w:rPr>
                <w:rFonts w:hint="eastAsia" w:asciiTheme="minorEastAsia" w:hAnsiTheme="minorEastAsia" w:eastAsiaTheme="minorEastAsia"/>
                <w:snapToGrid w:val="0"/>
                <w:kern w:val="0"/>
                <w:szCs w:val="21"/>
              </w:rPr>
              <w:t>投标文件必须标注页码并装订成册。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957"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投标文件的签字和盖章</w:t>
            </w:r>
          </w:p>
        </w:tc>
        <w:tc>
          <w:tcPr>
            <w:tcW w:w="3004" w:type="dxa"/>
            <w:vAlign w:val="center"/>
          </w:tcPr>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投标文件应按招标文件要求签字和盖章（包括投标文件格式要求、评标标准对证明文件的要求等）。</w:t>
            </w:r>
          </w:p>
        </w:tc>
        <w:tc>
          <w:tcPr>
            <w:tcW w:w="4161" w:type="dxa"/>
            <w:vAlign w:val="center"/>
          </w:tcPr>
          <w:p>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3.1 公章指投标人经备案的行政公章，不包括“投标专用章”、“业务专用章”、“合同专用章”、“财务专用章”等。</w:t>
            </w:r>
          </w:p>
          <w:p>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3.2 投标文件应加盖骑缝章。</w:t>
            </w:r>
          </w:p>
          <w:p>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3.3 签字方式可以是手写方式、盖人名章方式或盖手签章方式。</w:t>
            </w:r>
          </w:p>
        </w:tc>
      </w:tr>
    </w:tbl>
    <w:p>
      <w:pPr>
        <w:spacing w:line="360" w:lineRule="auto"/>
        <w:ind w:firstLine="420" w:firstLineChars="200"/>
        <w:rPr>
          <w:rFonts w:asciiTheme="minorEastAsia" w:hAnsiTheme="minorEastAsia" w:eastAsiaTheme="minorEastAsia"/>
        </w:rPr>
      </w:pPr>
    </w:p>
    <w:p>
      <w:pPr>
        <w:spacing w:line="360" w:lineRule="auto"/>
        <w:ind w:firstLine="420" w:firstLineChars="200"/>
        <w:rPr>
          <w:rFonts w:asciiTheme="minorEastAsia" w:hAnsiTheme="minorEastAsia" w:eastAsiaTheme="minorEastAsia"/>
        </w:rPr>
      </w:pPr>
    </w:p>
    <w:p>
      <w:pPr>
        <w:jc w:val="center"/>
        <w:rPr>
          <w:b/>
          <w:sz w:val="52"/>
          <w:szCs w:val="52"/>
        </w:rPr>
      </w:pPr>
    </w:p>
    <w:p/>
    <w:p/>
    <w:p/>
    <w:p/>
    <w:p/>
    <w:p>
      <w:pPr>
        <w:jc w:val="center"/>
        <w:rPr>
          <w:b/>
          <w:bCs/>
          <w:sz w:val="52"/>
        </w:rPr>
      </w:pPr>
    </w:p>
    <w:p>
      <w:pPr>
        <w:jc w:val="center"/>
        <w:rPr>
          <w:b/>
          <w:bCs/>
          <w:sz w:val="52"/>
        </w:rPr>
      </w:pPr>
      <w:r>
        <w:rPr>
          <w:rFonts w:hint="eastAsia"/>
          <w:b/>
          <w:bCs/>
          <w:sz w:val="52"/>
        </w:rPr>
        <w:t>投 标 文 件</w:t>
      </w: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rFonts w:ascii="宋体" w:hAnsi="宋体"/>
          <w:b/>
          <w:bCs/>
          <w:sz w:val="30"/>
          <w:szCs w:val="30"/>
        </w:rPr>
      </w:pPr>
      <w:r>
        <w:rPr>
          <w:rFonts w:hint="eastAsia" w:ascii="宋体" w:hAnsi="宋体"/>
          <w:b/>
          <w:bCs/>
          <w:sz w:val="30"/>
          <w:szCs w:val="30"/>
        </w:rPr>
        <w:t>（正本/副本）</w:t>
      </w: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pPr>
        <w:spacing w:line="480" w:lineRule="auto"/>
        <w:ind w:firstLine="1275" w:firstLineChars="529"/>
        <w:rPr>
          <w:b/>
          <w:bCs/>
          <w:sz w:val="24"/>
        </w:rPr>
      </w:pPr>
      <w:r>
        <w:rPr>
          <w:rFonts w:hint="eastAsia"/>
          <w:b/>
          <w:bCs/>
          <w:sz w:val="24"/>
        </w:rPr>
        <w:t>法定代表人或</w:t>
      </w:r>
    </w:p>
    <w:p>
      <w:pPr>
        <w:spacing w:line="480" w:lineRule="auto"/>
        <w:ind w:firstLine="1275" w:firstLineChars="529"/>
        <w:rPr>
          <w:sz w:val="24"/>
          <w:u w:val="dotted"/>
        </w:rPr>
      </w:pPr>
      <w:r>
        <w:rPr>
          <w:rFonts w:hint="eastAsia"/>
          <w:b/>
          <w:bCs/>
          <w:sz w:val="24"/>
        </w:rPr>
        <w:t>委 托 代理人：</w:t>
      </w:r>
      <w:r>
        <w:rPr>
          <w:rFonts w:hint="eastAsia"/>
          <w:b/>
          <w:sz w:val="24"/>
          <w:u w:val="single"/>
        </w:rPr>
        <w:t xml:space="preserve">                                      </w:t>
      </w:r>
    </w:p>
    <w:p>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pPr>
        <w:spacing w:line="480" w:lineRule="auto"/>
        <w:ind w:firstLine="1275" w:firstLineChars="529"/>
        <w:rPr>
          <w:b/>
          <w:bCs/>
        </w:rPr>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pPr>
        <w:spacing w:line="400" w:lineRule="exact"/>
        <w:rPr>
          <w:rFonts w:ascii="仿宋" w:hAnsi="仿宋" w:eastAsia="仿宋"/>
        </w:rPr>
      </w:pPr>
      <w:bookmarkStart w:id="44" w:name="_投标文件格式（第一册）"/>
      <w:bookmarkEnd w:id="44"/>
      <w:bookmarkStart w:id="45" w:name="q0"/>
    </w:p>
    <w:p>
      <w:pPr>
        <w:spacing w:line="400" w:lineRule="exact"/>
        <w:rPr>
          <w:rFonts w:ascii="仿宋" w:hAnsi="仿宋" w:eastAsia="仿宋"/>
        </w:rPr>
      </w:pPr>
    </w:p>
    <w:p>
      <w:pPr>
        <w:spacing w:line="400" w:lineRule="exact"/>
        <w:rPr>
          <w:rFonts w:ascii="仿宋" w:hAnsi="仿宋" w:eastAsia="仿宋"/>
        </w:rPr>
      </w:pPr>
    </w:p>
    <w:p>
      <w:pPr>
        <w:pStyle w:val="4"/>
        <w:spacing w:line="400" w:lineRule="exact"/>
        <w:rPr>
          <w:rFonts w:ascii="仿宋" w:hAnsi="仿宋" w:eastAsia="仿宋"/>
        </w:rPr>
      </w:pPr>
      <w:bookmarkStart w:id="46" w:name="_Toc135293340"/>
      <w:r>
        <w:rPr>
          <w:rFonts w:hint="eastAsia" w:ascii="仿宋" w:hAnsi="仿宋" w:eastAsia="仿宋"/>
        </w:rPr>
        <w:t>投标文件格式</w:t>
      </w:r>
      <w:bookmarkEnd w:id="46"/>
    </w:p>
    <w:bookmarkEnd w:id="45"/>
    <w:p>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目录（自拟）</w:t>
      </w:r>
    </w:p>
    <w:p>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政府采购违法行为风险知悉确认书</w:t>
      </w:r>
    </w:p>
    <w:p>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评标指引表</w:t>
      </w:r>
    </w:p>
    <w:p>
      <w:pPr>
        <w:numPr>
          <w:ilvl w:val="0"/>
          <w:numId w:val="5"/>
        </w:numPr>
        <w:adjustRightInd w:val="0"/>
        <w:spacing w:line="360" w:lineRule="auto"/>
        <w:rPr>
          <w:snapToGrid w:val="0"/>
          <w:kern w:val="0"/>
          <w:szCs w:val="21"/>
        </w:rPr>
      </w:pPr>
      <w:r>
        <w:rPr>
          <w:rFonts w:hint="eastAsia"/>
          <w:snapToGrid w:val="0"/>
          <w:kern w:val="0"/>
          <w:szCs w:val="21"/>
        </w:rPr>
        <w:t>投标人资格证明文件（格式1）</w:t>
      </w:r>
    </w:p>
    <w:p>
      <w:pPr>
        <w:numPr>
          <w:ilvl w:val="0"/>
          <w:numId w:val="5"/>
        </w:numPr>
        <w:adjustRightInd w:val="0"/>
        <w:spacing w:line="360" w:lineRule="auto"/>
        <w:rPr>
          <w:snapToGrid w:val="0"/>
          <w:kern w:val="0"/>
          <w:szCs w:val="21"/>
        </w:rPr>
      </w:pPr>
      <w:r>
        <w:rPr>
          <w:rFonts w:hint="eastAsia"/>
          <w:snapToGrid w:val="0"/>
          <w:kern w:val="0"/>
          <w:szCs w:val="21"/>
        </w:rPr>
        <w:t>法定代表人（负责人）证明书及授权委托书</w:t>
      </w:r>
      <w:r>
        <w:rPr>
          <w:rFonts w:hint="eastAsia" w:ascii="宋体" w:hAnsi="宋体"/>
          <w:snapToGrid w:val="0"/>
          <w:kern w:val="0"/>
          <w:szCs w:val="21"/>
        </w:rPr>
        <w:t>（格式2）</w:t>
      </w:r>
    </w:p>
    <w:p>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投标函（格式3）</w:t>
      </w:r>
    </w:p>
    <w:p>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评分中涉及的承诺及声明函（格式4）</w:t>
      </w:r>
    </w:p>
    <w:p>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开标一览表（格式5）</w:t>
      </w:r>
    </w:p>
    <w:p>
      <w:pPr>
        <w:adjustRightInd w:val="0"/>
        <w:spacing w:line="360" w:lineRule="auto"/>
        <w:ind w:firstLine="422" w:firstLineChars="200"/>
        <w:rPr>
          <w:rFonts w:ascii="宋体" w:hAnsi="宋体"/>
          <w:b/>
          <w:bCs/>
          <w:snapToGrid w:val="0"/>
          <w:kern w:val="0"/>
          <w:szCs w:val="21"/>
        </w:rPr>
      </w:pPr>
      <w:r>
        <w:rPr>
          <w:rFonts w:hint="eastAsia" w:ascii="宋体" w:hAnsi="宋体"/>
          <w:b/>
          <w:snapToGrid w:val="0"/>
          <w:kern w:val="0"/>
          <w:szCs w:val="21"/>
        </w:rPr>
        <w:t>注：此表应与“法定代表人（负责人）证明书、法定代表人（负责人）授权委托书”一起密封于一信封，在递交投标文件时单独交予</w:t>
      </w:r>
      <w:r>
        <w:rPr>
          <w:rFonts w:hint="eastAsia" w:ascii="宋体" w:hAnsi="宋体"/>
          <w:b/>
          <w:bCs/>
          <w:snapToGrid w:val="0"/>
          <w:kern w:val="0"/>
          <w:szCs w:val="21"/>
        </w:rPr>
        <w:t>采购代理机构。</w:t>
      </w:r>
    </w:p>
    <w:p>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报价表（格式6）</w:t>
      </w:r>
    </w:p>
    <w:p>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技术规格（格式7）</w:t>
      </w:r>
    </w:p>
    <w:p>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交付进度（格式8）</w:t>
      </w:r>
    </w:p>
    <w:p>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售后服务和质量承诺（格式9）</w:t>
      </w:r>
    </w:p>
    <w:p>
      <w:pPr>
        <w:numPr>
          <w:ilvl w:val="0"/>
          <w:numId w:val="5"/>
        </w:numPr>
        <w:adjustRightInd w:val="0"/>
        <w:spacing w:line="360" w:lineRule="auto"/>
        <w:rPr>
          <w:rFonts w:ascii="宋体" w:hAnsi="宋体"/>
          <w:snapToGrid w:val="0"/>
          <w:kern w:val="0"/>
          <w:szCs w:val="21"/>
        </w:rPr>
      </w:pPr>
      <w:r>
        <w:rPr>
          <w:rFonts w:ascii="宋体" w:hAnsi="宋体"/>
          <w:snapToGrid w:val="0"/>
          <w:kern w:val="0"/>
        </w:rPr>
        <w:t>投标人情况介绍</w:t>
      </w:r>
      <w:r>
        <w:rPr>
          <w:rFonts w:hint="eastAsia" w:ascii="宋体" w:hAnsi="宋体"/>
          <w:snapToGrid w:val="0"/>
          <w:kern w:val="0"/>
        </w:rPr>
        <w:t>（</w:t>
      </w:r>
      <w:r>
        <w:rPr>
          <w:rFonts w:ascii="宋体" w:hAnsi="宋体"/>
          <w:snapToGrid w:val="0"/>
          <w:kern w:val="0"/>
        </w:rPr>
        <w:t>格式</w:t>
      </w:r>
      <w:r>
        <w:rPr>
          <w:rFonts w:hint="eastAsia" w:ascii="宋体" w:hAnsi="宋体"/>
          <w:snapToGrid w:val="0"/>
          <w:kern w:val="0"/>
        </w:rPr>
        <w:t>10</w:t>
      </w:r>
      <w:r>
        <w:rPr>
          <w:rFonts w:ascii="宋体" w:hAnsi="宋体"/>
          <w:snapToGrid w:val="0"/>
          <w:kern w:val="0"/>
        </w:rPr>
        <w:t>）</w:t>
      </w:r>
    </w:p>
    <w:p>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偏离</w:t>
      </w:r>
      <w:r>
        <w:rPr>
          <w:rFonts w:ascii="宋体" w:hAnsi="宋体"/>
          <w:snapToGrid w:val="0"/>
          <w:kern w:val="0"/>
          <w:szCs w:val="21"/>
        </w:rPr>
        <w:t>表（格式</w:t>
      </w:r>
      <w:r>
        <w:rPr>
          <w:rFonts w:hint="eastAsia" w:ascii="宋体" w:hAnsi="宋体"/>
          <w:snapToGrid w:val="0"/>
          <w:kern w:val="0"/>
          <w:szCs w:val="21"/>
        </w:rPr>
        <w:t>11</w:t>
      </w:r>
      <w:r>
        <w:rPr>
          <w:rFonts w:ascii="宋体" w:hAnsi="宋体"/>
          <w:snapToGrid w:val="0"/>
          <w:kern w:val="0"/>
          <w:szCs w:val="21"/>
        </w:rPr>
        <w:t>）</w:t>
      </w:r>
    </w:p>
    <w:p>
      <w:pPr>
        <w:numPr>
          <w:ilvl w:val="0"/>
          <w:numId w:val="5"/>
        </w:numPr>
        <w:adjustRightInd w:val="0"/>
        <w:spacing w:line="360" w:lineRule="auto"/>
        <w:rPr>
          <w:rFonts w:ascii="宋体" w:hAnsi="宋体"/>
          <w:snapToGrid w:val="0"/>
          <w:kern w:val="0"/>
          <w:szCs w:val="21"/>
        </w:rPr>
      </w:pPr>
      <w:r>
        <w:rPr>
          <w:rFonts w:hint="eastAsia" w:ascii="宋体" w:hAnsi="宋体"/>
          <w:snapToGrid w:val="0"/>
          <w:kern w:val="0"/>
        </w:rPr>
        <w:t>招标文件要求的其他资料或投标人认为需要补充的资料</w:t>
      </w:r>
      <w:r>
        <w:rPr>
          <w:rFonts w:hint="eastAsia" w:ascii="宋体" w:hAnsi="宋体"/>
          <w:snapToGrid w:val="0"/>
          <w:kern w:val="0"/>
          <w:szCs w:val="21"/>
        </w:rPr>
        <w:t>（格式12）</w:t>
      </w:r>
    </w:p>
    <w:p>
      <w:pPr>
        <w:adjustRightInd w:val="0"/>
        <w:spacing w:line="300" w:lineRule="auto"/>
        <w:ind w:left="-2"/>
        <w:rPr>
          <w:rFonts w:ascii="宋体" w:hAnsi="宋体"/>
          <w:snapToGrid w:val="0"/>
          <w:kern w:val="0"/>
          <w:szCs w:val="21"/>
        </w:rPr>
      </w:pPr>
    </w:p>
    <w:p>
      <w:pPr>
        <w:adjustRightInd w:val="0"/>
        <w:spacing w:line="300" w:lineRule="auto"/>
        <w:ind w:left="-2"/>
        <w:rPr>
          <w:rFonts w:ascii="宋体" w:hAnsi="宋体"/>
          <w:snapToGrid w:val="0"/>
          <w:kern w:val="0"/>
          <w:szCs w:val="21"/>
        </w:rPr>
      </w:pPr>
    </w:p>
    <w:p>
      <w:pPr>
        <w:adjustRightInd w:val="0"/>
        <w:spacing w:line="300" w:lineRule="auto"/>
        <w:ind w:left="-2"/>
        <w:rPr>
          <w:rFonts w:ascii="宋体" w:hAnsi="宋体"/>
          <w:snapToGrid w:val="0"/>
          <w:kern w:val="0"/>
          <w:szCs w:val="21"/>
        </w:rPr>
      </w:pPr>
    </w:p>
    <w:p>
      <w:pPr>
        <w:ind w:hanging="2"/>
        <w:rPr>
          <w:b/>
          <w:bCs/>
          <w:sz w:val="28"/>
        </w:rPr>
      </w:pPr>
    </w:p>
    <w:p>
      <w:pPr>
        <w:adjustRightInd w:val="0"/>
        <w:snapToGrid w:val="0"/>
        <w:spacing w:line="300" w:lineRule="auto"/>
        <w:jc w:val="center"/>
      </w:pPr>
      <w:bookmarkStart w:id="47" w:name="_格式1__投标人资格证明文件"/>
      <w:bookmarkEnd w:id="47"/>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adjustRightInd w:val="0"/>
        <w:snapToGrid w:val="0"/>
        <w:spacing w:line="300" w:lineRule="auto"/>
        <w:jc w:val="center"/>
      </w:pPr>
    </w:p>
    <w:p>
      <w:pPr>
        <w:pStyle w:val="4"/>
        <w:spacing w:line="400" w:lineRule="exact"/>
        <w:rPr>
          <w:rFonts w:ascii="仿宋" w:hAnsi="仿宋" w:eastAsia="仿宋"/>
        </w:rPr>
      </w:pPr>
      <w:bookmarkStart w:id="48" w:name="_Toc135293341"/>
      <w:bookmarkStart w:id="49" w:name="_Toc73610158"/>
      <w:r>
        <w:rPr>
          <w:rFonts w:hint="eastAsia" w:ascii="仿宋" w:hAnsi="仿宋" w:eastAsia="仿宋"/>
        </w:rPr>
        <w:t>政府采购违法行为风险知悉确认书</w:t>
      </w:r>
      <w:bookmarkEnd w:id="48"/>
    </w:p>
    <w:p>
      <w:pPr>
        <w:spacing w:line="360" w:lineRule="auto"/>
        <w:ind w:firstLine="420" w:firstLineChars="200"/>
        <w:rPr>
          <w:rFonts w:ascii="宋体" w:hAnsi="宋体"/>
          <w:szCs w:val="21"/>
        </w:rPr>
      </w:pPr>
      <w:r>
        <w:rPr>
          <w:rFonts w:hint="eastAsia" w:ascii="宋体" w:hAnsi="宋体"/>
          <w:szCs w:val="21"/>
        </w:rPr>
        <w:t>本公司在投标前已充分知悉以下情形为参与政府采购活动时的重大风险事项，并承诺已对下述风险提示事项重点排查，做到严谨、诚信、依法依规参与政府采购活动。</w:t>
      </w:r>
    </w:p>
    <w:p>
      <w:pPr>
        <w:spacing w:line="360" w:lineRule="auto"/>
        <w:ind w:firstLine="422" w:firstLineChars="200"/>
        <w:rPr>
          <w:rFonts w:ascii="宋体" w:hAnsi="宋体"/>
          <w:b/>
          <w:szCs w:val="21"/>
        </w:rPr>
      </w:pPr>
      <w:r>
        <w:rPr>
          <w:rFonts w:hint="eastAsia" w:ascii="宋体" w:hAnsi="宋体"/>
          <w:b/>
          <w:szCs w:val="21"/>
        </w:rPr>
        <w:t>一、本公司已充分知悉“隐瞒真实情况，提供虚假资料”的法定情形，相关情形包括但不限于：</w:t>
      </w:r>
    </w:p>
    <w:p>
      <w:pPr>
        <w:spacing w:line="360" w:lineRule="auto"/>
        <w:ind w:firstLine="420" w:firstLineChars="200"/>
        <w:rPr>
          <w:rFonts w:ascii="宋体" w:hAnsi="宋体"/>
          <w:szCs w:val="21"/>
        </w:rPr>
      </w:pPr>
      <w:r>
        <w:rPr>
          <w:rFonts w:hint="eastAsia" w:ascii="宋体" w:hAnsi="宋体"/>
          <w:szCs w:val="21"/>
        </w:rPr>
        <w:t>（一）通过转让或者租借等方式从其他单位获取资格或者资质证书投标的。</w:t>
      </w:r>
    </w:p>
    <w:p>
      <w:pPr>
        <w:spacing w:line="360" w:lineRule="auto"/>
        <w:ind w:firstLine="420" w:firstLineChars="200"/>
        <w:rPr>
          <w:rFonts w:ascii="宋体" w:hAnsi="宋体"/>
          <w:szCs w:val="21"/>
        </w:rPr>
      </w:pPr>
      <w:r>
        <w:rPr>
          <w:rFonts w:hint="eastAsia" w:ascii="宋体" w:hAnsi="宋体"/>
          <w:szCs w:val="21"/>
        </w:rPr>
        <w:t>（二）由其他单位或者其他单位负责人在投标供应商编制的投标文件上加盖印章或者签字的。</w:t>
      </w:r>
    </w:p>
    <w:p>
      <w:pPr>
        <w:spacing w:line="360" w:lineRule="auto"/>
        <w:ind w:firstLine="420" w:firstLineChars="200"/>
        <w:rPr>
          <w:rFonts w:ascii="宋体" w:hAnsi="宋体"/>
          <w:szCs w:val="21"/>
        </w:rPr>
      </w:pPr>
      <w:r>
        <w:rPr>
          <w:rFonts w:hint="eastAsia" w:ascii="宋体" w:hAnsi="宋体"/>
          <w:szCs w:val="21"/>
        </w:rPr>
        <w:t>（三）项目负责人或者主要技术人员不是本单位人员的。</w:t>
      </w:r>
    </w:p>
    <w:p>
      <w:pPr>
        <w:spacing w:line="360" w:lineRule="auto"/>
        <w:ind w:firstLine="420" w:firstLineChars="200"/>
        <w:rPr>
          <w:rFonts w:ascii="宋体" w:hAnsi="宋体"/>
          <w:szCs w:val="21"/>
        </w:rPr>
      </w:pPr>
      <w:r>
        <w:rPr>
          <w:rFonts w:hint="eastAsia" w:ascii="宋体" w:hAnsi="宋体"/>
          <w:szCs w:val="21"/>
        </w:rPr>
        <w:t>（四）投标保证金不是从投标供应商基本账户转出的。</w:t>
      </w:r>
    </w:p>
    <w:p>
      <w:pPr>
        <w:spacing w:line="360" w:lineRule="auto"/>
        <w:ind w:firstLine="420" w:firstLineChars="200"/>
        <w:rPr>
          <w:rFonts w:ascii="宋体" w:hAnsi="宋体"/>
          <w:szCs w:val="21"/>
        </w:rPr>
      </w:pPr>
      <w:r>
        <w:rPr>
          <w:rFonts w:hint="eastAsia" w:ascii="宋体" w:hAnsi="宋体"/>
          <w:szCs w:val="21"/>
        </w:rPr>
        <w:t>（五）其他隐瞒真实情况、提供虚假资料的行为。</w:t>
      </w:r>
    </w:p>
    <w:p>
      <w:pPr>
        <w:spacing w:line="360" w:lineRule="auto"/>
        <w:ind w:firstLine="422" w:firstLineChars="200"/>
        <w:rPr>
          <w:rFonts w:ascii="宋体" w:hAnsi="宋体"/>
          <w:b/>
          <w:szCs w:val="21"/>
        </w:rPr>
      </w:pPr>
      <w:r>
        <w:rPr>
          <w:rFonts w:hint="eastAsia" w:ascii="宋体" w:hAnsi="宋体"/>
          <w:b/>
          <w:szCs w:val="21"/>
        </w:rPr>
        <w:t>二、本公司已充分知悉“与其他采购参加人串通投标”的法定情形，相关情形包括但不限于：</w:t>
      </w:r>
    </w:p>
    <w:p>
      <w:pPr>
        <w:spacing w:line="360" w:lineRule="auto"/>
        <w:ind w:firstLine="420" w:firstLineChars="200"/>
        <w:rPr>
          <w:rFonts w:ascii="宋体" w:hAnsi="宋体"/>
          <w:szCs w:val="21"/>
        </w:rPr>
      </w:pPr>
      <w:r>
        <w:rPr>
          <w:rFonts w:hint="eastAsia" w:ascii="宋体" w:hAnsi="宋体"/>
          <w:szCs w:val="21"/>
        </w:rPr>
        <w:t>（一）投标供应商之间相互约定给予未中标的供应商利益补偿。</w:t>
      </w:r>
    </w:p>
    <w:p>
      <w:pPr>
        <w:spacing w:line="360" w:lineRule="auto"/>
        <w:ind w:firstLine="420" w:firstLineChars="200"/>
        <w:rPr>
          <w:rFonts w:ascii="宋体" w:hAnsi="宋体"/>
          <w:szCs w:val="21"/>
        </w:rPr>
      </w:pPr>
      <w:r>
        <w:rPr>
          <w:rFonts w:hint="eastAsia" w:ascii="宋体" w:hAnsi="宋体"/>
          <w:szCs w:val="21"/>
        </w:rPr>
        <w:t>（二）不同投标供应商的法定代表人、主要经营负责人、项目投标授权代表人、项目负责人、主要技术人员为同一人、属同一单位或者在同一单位缴纳社会保险。</w:t>
      </w:r>
    </w:p>
    <w:p>
      <w:pPr>
        <w:spacing w:line="360" w:lineRule="auto"/>
        <w:ind w:firstLine="420" w:firstLineChars="200"/>
        <w:rPr>
          <w:rFonts w:ascii="宋体" w:hAnsi="宋体"/>
          <w:szCs w:val="21"/>
        </w:rPr>
      </w:pPr>
      <w:r>
        <w:rPr>
          <w:rFonts w:hint="eastAsia" w:ascii="宋体" w:hAnsi="宋体"/>
          <w:szCs w:val="21"/>
        </w:rPr>
        <w:t>（三）不同投标供应商的投标文件由同一单位或者同一人编制，或者由同一人分阶段参与编制的。</w:t>
      </w:r>
    </w:p>
    <w:p>
      <w:pPr>
        <w:spacing w:line="360" w:lineRule="auto"/>
        <w:ind w:firstLine="420" w:firstLineChars="200"/>
        <w:rPr>
          <w:rFonts w:ascii="宋体" w:hAnsi="宋体"/>
          <w:szCs w:val="21"/>
        </w:rPr>
      </w:pPr>
      <w:r>
        <w:rPr>
          <w:rFonts w:hint="eastAsia" w:ascii="宋体" w:hAnsi="宋体"/>
          <w:szCs w:val="21"/>
        </w:rPr>
        <w:t>（四）不同投标供应商的投标文件或部分投标文件相互混装。</w:t>
      </w:r>
    </w:p>
    <w:p>
      <w:pPr>
        <w:spacing w:line="360" w:lineRule="auto"/>
        <w:ind w:firstLine="420" w:firstLineChars="200"/>
        <w:rPr>
          <w:rFonts w:ascii="宋体" w:hAnsi="宋体"/>
          <w:szCs w:val="21"/>
        </w:rPr>
      </w:pPr>
      <w:r>
        <w:rPr>
          <w:rFonts w:hint="eastAsia" w:ascii="宋体" w:hAnsi="宋体"/>
          <w:szCs w:val="21"/>
        </w:rPr>
        <w:t>（五）不同投标供应商的投标文件内容存在非正常一致。</w:t>
      </w:r>
    </w:p>
    <w:p>
      <w:pPr>
        <w:spacing w:line="360" w:lineRule="auto"/>
        <w:ind w:firstLine="420" w:firstLineChars="200"/>
        <w:rPr>
          <w:rFonts w:ascii="宋体" w:hAnsi="宋体"/>
          <w:szCs w:val="21"/>
        </w:rPr>
      </w:pPr>
      <w:r>
        <w:rPr>
          <w:rFonts w:hint="eastAsia" w:ascii="宋体" w:hAnsi="宋体"/>
          <w:szCs w:val="21"/>
        </w:rPr>
        <w:t>（六）由同一单位工作人员为两家以上（含两家）供应商进行同一项投标活动的。</w:t>
      </w:r>
    </w:p>
    <w:p>
      <w:pPr>
        <w:spacing w:line="360" w:lineRule="auto"/>
        <w:ind w:firstLine="420" w:firstLineChars="200"/>
        <w:rPr>
          <w:rFonts w:ascii="宋体" w:hAnsi="宋体"/>
          <w:szCs w:val="21"/>
        </w:rPr>
      </w:pPr>
      <w:r>
        <w:rPr>
          <w:rFonts w:hint="eastAsia" w:ascii="宋体" w:hAnsi="宋体"/>
          <w:szCs w:val="21"/>
        </w:rPr>
        <w:t>（七）不同投标人的投标报价呈规律性差异。</w:t>
      </w:r>
    </w:p>
    <w:p>
      <w:pPr>
        <w:spacing w:line="360" w:lineRule="auto"/>
        <w:ind w:firstLine="420" w:firstLineChars="200"/>
        <w:rPr>
          <w:rFonts w:ascii="宋体" w:hAnsi="宋体"/>
          <w:szCs w:val="21"/>
        </w:rPr>
      </w:pPr>
      <w:r>
        <w:rPr>
          <w:rFonts w:hint="eastAsia" w:ascii="宋体" w:hAnsi="宋体"/>
          <w:szCs w:val="21"/>
        </w:rPr>
        <w:t>（八）不同投标人的投标保证金从同一单位或者个人的账户转出。</w:t>
      </w:r>
    </w:p>
    <w:p>
      <w:pPr>
        <w:spacing w:line="360" w:lineRule="auto"/>
        <w:ind w:firstLine="420" w:firstLineChars="200"/>
        <w:rPr>
          <w:rFonts w:ascii="宋体" w:hAnsi="宋体"/>
          <w:szCs w:val="21"/>
        </w:rPr>
      </w:pPr>
      <w:r>
        <w:rPr>
          <w:rFonts w:hint="eastAsia" w:ascii="宋体" w:hAnsi="宋体"/>
          <w:szCs w:val="21"/>
        </w:rPr>
        <w:t>（九）主管部门依照法律、法规认定的其他情形。</w:t>
      </w:r>
    </w:p>
    <w:p>
      <w:pPr>
        <w:spacing w:line="360" w:lineRule="auto"/>
        <w:ind w:firstLine="422" w:firstLineChars="200"/>
        <w:rPr>
          <w:rFonts w:ascii="宋体" w:hAnsi="宋体"/>
          <w:b/>
          <w:szCs w:val="21"/>
        </w:rPr>
      </w:pPr>
      <w:r>
        <w:rPr>
          <w:rFonts w:hint="eastAsia" w:ascii="宋体" w:hAnsi="宋体"/>
          <w:b/>
          <w:szCs w:val="21"/>
        </w:rPr>
        <w:t>三、本公司已充分知悉下列情形所对应的法律风险，并在投标前已对相关风险事项进行排查。</w:t>
      </w:r>
    </w:p>
    <w:p>
      <w:pPr>
        <w:spacing w:line="360" w:lineRule="auto"/>
        <w:ind w:firstLine="420" w:firstLineChars="200"/>
        <w:rPr>
          <w:rFonts w:ascii="宋体" w:hAnsi="宋体"/>
          <w:b/>
          <w:szCs w:val="21"/>
        </w:rPr>
      </w:pPr>
      <w:r>
        <w:rPr>
          <w:rFonts w:hint="eastAsia" w:ascii="宋体" w:hAnsi="宋体"/>
          <w:szCs w:val="21"/>
        </w:rPr>
        <w:t>（一）对于从其他主体获取的投标资料，供应商应审慎核查，确保投标资料的真实性。</w:t>
      </w:r>
      <w:r>
        <w:rPr>
          <w:rFonts w:hint="eastAsia" w:ascii="宋体" w:hAnsi="宋体"/>
          <w:b/>
          <w:szCs w:val="21"/>
        </w:rPr>
        <w:t>如主管部门查实投标文件中存在虚假资料的，无论相关资料是否由第三方或本公司员工提供，均不影响主管部门对供应商存在“隐瞒真实情况，提供虚假资料”违法行为的认定。</w:t>
      </w:r>
    </w:p>
    <w:p>
      <w:pPr>
        <w:spacing w:line="360" w:lineRule="auto"/>
        <w:ind w:firstLine="420" w:firstLineChars="200"/>
        <w:rPr>
          <w:rFonts w:ascii="宋体" w:hAnsi="宋体"/>
          <w:szCs w:val="21"/>
        </w:rPr>
      </w:pPr>
      <w:r>
        <w:rPr>
          <w:rFonts w:hint="eastAsia" w:ascii="宋体" w:hAnsi="宋体"/>
          <w:szCs w:val="21"/>
        </w:rPr>
        <w:t>（二）对于涉及国家机关出具的公文、证件、证明材料等文件，一旦涉嫌虚假，经查实，主管部门将依法从严处理，并移送有关部门追究法律责任；涉嫌犯罪的，主管部门将一并移送司法机关追究法律责任。</w:t>
      </w:r>
    </w:p>
    <w:p>
      <w:pPr>
        <w:spacing w:line="360" w:lineRule="auto"/>
        <w:ind w:firstLine="420" w:firstLineChars="200"/>
        <w:rPr>
          <w:rFonts w:ascii="宋体" w:hAnsi="宋体"/>
          <w:szCs w:val="21"/>
        </w:rPr>
      </w:pPr>
      <w:r>
        <w:rPr>
          <w:rFonts w:hint="eastAsia" w:ascii="宋体" w:hAnsi="宋体"/>
          <w:szCs w:val="21"/>
        </w:rPr>
        <w:t>（三）对于涉及安全生产、特种作业、抢险救灾、防疫等政府采购项目，供应商实施提供虚假资料、串通投标等违法行为的，主管部门将依法从严处理。</w:t>
      </w:r>
    </w:p>
    <w:p>
      <w:pPr>
        <w:spacing w:line="360" w:lineRule="auto"/>
        <w:ind w:firstLine="420" w:firstLineChars="200"/>
        <w:rPr>
          <w:rFonts w:ascii="宋体" w:hAnsi="宋体"/>
          <w:szCs w:val="21"/>
        </w:rPr>
      </w:pPr>
      <w:r>
        <w:rPr>
          <w:rFonts w:hint="eastAsia" w:ascii="宋体" w:hAnsi="宋体"/>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line="360" w:lineRule="auto"/>
        <w:ind w:firstLine="420" w:firstLineChars="200"/>
        <w:rPr>
          <w:rFonts w:ascii="宋体" w:hAnsi="宋体"/>
          <w:szCs w:val="21"/>
        </w:rPr>
      </w:pPr>
      <w:r>
        <w:rPr>
          <w:rFonts w:hint="eastAsia" w:ascii="宋体" w:hAnsi="宋体"/>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360" w:lineRule="auto"/>
        <w:ind w:firstLine="420" w:firstLineChars="200"/>
        <w:rPr>
          <w:rFonts w:ascii="宋体" w:hAnsi="宋体"/>
          <w:szCs w:val="21"/>
        </w:rPr>
      </w:pPr>
      <w:r>
        <w:rPr>
          <w:rFonts w:hint="eastAsia" w:ascii="宋体" w:hAnsi="宋体"/>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line="360" w:lineRule="auto"/>
        <w:ind w:firstLine="422" w:firstLineChars="200"/>
        <w:rPr>
          <w:rFonts w:ascii="宋体" w:hAnsi="宋体"/>
          <w:szCs w:val="21"/>
        </w:rPr>
      </w:pPr>
      <w:r>
        <w:rPr>
          <w:rFonts w:hint="eastAsia" w:ascii="宋体" w:hAnsi="宋体"/>
          <w:b/>
          <w:szCs w:val="21"/>
        </w:rPr>
        <w:t>四、本公司已充分知悉政府采购违法、违规行为的法律后果。</w:t>
      </w:r>
      <w:r>
        <w:rPr>
          <w:rFonts w:hint="eastAsia" w:ascii="宋体" w:hAnsi="宋体"/>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360" w:lineRule="auto"/>
        <w:ind w:firstLine="422" w:firstLineChars="200"/>
        <w:rPr>
          <w:rFonts w:ascii="宋体" w:hAnsi="宋体"/>
          <w:b/>
          <w:szCs w:val="21"/>
        </w:rPr>
      </w:pPr>
      <w:r>
        <w:rPr>
          <w:rFonts w:hint="eastAsia" w:ascii="宋体" w:hAnsi="宋体"/>
          <w:b/>
          <w:szCs w:val="21"/>
        </w:rPr>
        <w:t>以下文字请投标供应商抄写并确认：“本公司已仔细阅读《政府采购违法行为风险知悉确认书》，充分知悉违法行为的法律后果，并承诺将严谨、诚信、依法依规参与政府采购活动”。</w:t>
      </w:r>
    </w:p>
    <w:p>
      <w:pPr>
        <w:spacing w:line="360" w:lineRule="auto"/>
        <w:ind w:firstLine="420" w:firstLineChars="200"/>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pPr>
        <w:spacing w:line="360" w:lineRule="auto"/>
        <w:ind w:firstLine="420" w:firstLineChars="200"/>
        <w:rPr>
          <w:rFonts w:ascii="宋体" w:hAnsi="宋体"/>
          <w:szCs w:val="21"/>
          <w:u w:val="single"/>
        </w:rPr>
      </w:pPr>
    </w:p>
    <w:p>
      <w:pPr>
        <w:spacing w:line="360" w:lineRule="auto"/>
        <w:ind w:firstLine="420" w:firstLineChars="200"/>
        <w:rPr>
          <w:rFonts w:ascii="宋体" w:hAnsi="宋体"/>
          <w:szCs w:val="21"/>
        </w:rPr>
      </w:pPr>
      <w:r>
        <w:rPr>
          <w:rFonts w:hint="eastAsia" w:ascii="宋体" w:hAnsi="宋体"/>
          <w:szCs w:val="21"/>
        </w:rPr>
        <w:t>负责人</w:t>
      </w:r>
      <w:r>
        <w:rPr>
          <w:rFonts w:ascii="宋体" w:hAnsi="宋体"/>
          <w:szCs w:val="21"/>
        </w:rPr>
        <w:t>/</w:t>
      </w:r>
      <w:r>
        <w:rPr>
          <w:rFonts w:hint="eastAsia" w:ascii="宋体" w:hAnsi="宋体"/>
          <w:szCs w:val="21"/>
        </w:rPr>
        <w:t>投标授权代表签名：</w:t>
      </w:r>
    </w:p>
    <w:p>
      <w:pPr>
        <w:spacing w:line="360" w:lineRule="auto"/>
        <w:ind w:firstLine="420" w:firstLineChars="200"/>
        <w:rPr>
          <w:rFonts w:ascii="宋体" w:hAnsi="宋体"/>
          <w:szCs w:val="21"/>
        </w:rPr>
      </w:pPr>
      <w:r>
        <w:rPr>
          <w:rFonts w:hint="eastAsia" w:ascii="宋体" w:hAnsi="宋体"/>
          <w:szCs w:val="21"/>
        </w:rPr>
        <w:t>知悉人（公章）：</w:t>
      </w:r>
    </w:p>
    <w:p>
      <w:pPr>
        <w:spacing w:line="360" w:lineRule="auto"/>
        <w:ind w:firstLine="420" w:firstLineChars="200"/>
        <w:rPr>
          <w:rFonts w:ascii="宋体" w:hAnsi="宋体"/>
          <w:szCs w:val="21"/>
        </w:rPr>
      </w:pPr>
      <w:r>
        <w:rPr>
          <w:rFonts w:hint="eastAsia" w:ascii="宋体" w:hAnsi="宋体"/>
          <w:szCs w:val="21"/>
        </w:rPr>
        <w:t>日期：</w:t>
      </w: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pStyle w:val="4"/>
        <w:spacing w:line="400" w:lineRule="exact"/>
        <w:rPr>
          <w:rFonts w:ascii="仿宋" w:hAnsi="仿宋" w:eastAsia="仿宋"/>
        </w:rPr>
      </w:pPr>
      <w:bookmarkStart w:id="50" w:name="_Toc135293342"/>
      <w:r>
        <w:rPr>
          <w:rFonts w:hint="eastAsia" w:ascii="仿宋" w:hAnsi="仿宋" w:eastAsia="仿宋"/>
        </w:rPr>
        <w:t>评标指引表</w:t>
      </w:r>
      <w:bookmarkEnd w:id="49"/>
      <w:bookmarkEnd w:id="50"/>
    </w:p>
    <w:p>
      <w:pPr>
        <w:jc w:val="center"/>
        <w:rPr>
          <w:b/>
          <w:szCs w:val="21"/>
        </w:rPr>
      </w:pPr>
    </w:p>
    <w:p>
      <w:pPr>
        <w:spacing w:line="360" w:lineRule="auto"/>
        <w:ind w:firstLine="420" w:firstLineChars="200"/>
        <w:rPr>
          <w:rFonts w:ascii="宋体" w:hAnsi="宋体"/>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pPr>
        <w:spacing w:line="360" w:lineRule="auto"/>
        <w:ind w:firstLine="420" w:firstLineChars="200"/>
        <w:rPr>
          <w:rFonts w:ascii="宋体" w:hAnsi="宋体"/>
          <w:szCs w:val="21"/>
        </w:rPr>
      </w:pP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一、综合评分指引（评分内容见第四章  评标方法和标准）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评分类别</w:t>
            </w:r>
          </w:p>
        </w:tc>
        <w:tc>
          <w:tcPr>
            <w:tcW w:w="4854" w:type="dxa"/>
            <w:vAlign w:val="center"/>
          </w:tcPr>
          <w:p>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2169" w:type="dxa"/>
            <w:vAlign w:val="center"/>
          </w:tcPr>
          <w:p>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pPr>
              <w:spacing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价格部分</w:t>
            </w:r>
          </w:p>
        </w:tc>
        <w:tc>
          <w:tcPr>
            <w:tcW w:w="4854" w:type="dxa"/>
            <w:vAlign w:val="center"/>
          </w:tcPr>
          <w:p>
            <w:pPr>
              <w:rPr>
                <w:rFonts w:asciiTheme="minorEastAsia" w:hAnsiTheme="minorEastAsia" w:eastAsiaTheme="minorEastAsia"/>
              </w:rPr>
            </w:pPr>
            <w:r>
              <w:rPr>
                <w:rFonts w:hint="eastAsia" w:asciiTheme="minorEastAsia" w:hAnsiTheme="minorEastAsia" w:eastAsiaTheme="minorEastAsia"/>
                <w:szCs w:val="21"/>
              </w:rPr>
              <w:t>《节能产品政府采购品目清单》或《环境标志产品政府采购品目清单》中列示的产品，或</w:t>
            </w: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技术部分</w:t>
            </w:r>
          </w:p>
        </w:tc>
        <w:tc>
          <w:tcPr>
            <w:tcW w:w="4854" w:type="dxa"/>
          </w:tcPr>
          <w:p>
            <w:pPr>
              <w:spacing w:line="360" w:lineRule="exact"/>
              <w:jc w:val="center"/>
              <w:rPr>
                <w:rFonts w:ascii="宋体" w:hAnsi="宋体"/>
                <w:szCs w:val="21"/>
              </w:rPr>
            </w:pPr>
            <w:r>
              <w:rPr>
                <w:rFonts w:hint="eastAsia" w:ascii="宋体" w:hAnsi="宋体"/>
                <w:szCs w:val="21"/>
              </w:rPr>
              <w:t>1.……</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2.……</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pPr>
              <w:spacing w:line="360" w:lineRule="exact"/>
              <w:jc w:val="center"/>
              <w:rPr>
                <w:rFonts w:ascii="宋体" w:hAnsi="宋体"/>
                <w:szCs w:val="21"/>
              </w:rPr>
            </w:pPr>
            <w:r>
              <w:rPr>
                <w:rFonts w:hint="eastAsia" w:ascii="宋体" w:hAnsi="宋体"/>
                <w:szCs w:val="21"/>
              </w:rPr>
              <w:t>商务部分</w:t>
            </w:r>
          </w:p>
        </w:tc>
        <w:tc>
          <w:tcPr>
            <w:tcW w:w="4854" w:type="dxa"/>
          </w:tcPr>
          <w:p>
            <w:pPr>
              <w:spacing w:line="360" w:lineRule="exact"/>
              <w:jc w:val="center"/>
              <w:rPr>
                <w:rFonts w:ascii="宋体" w:hAnsi="宋体"/>
                <w:szCs w:val="21"/>
              </w:rPr>
            </w:pPr>
            <w:r>
              <w:rPr>
                <w:rFonts w:hint="eastAsia" w:ascii="宋体" w:hAnsi="宋体"/>
                <w:szCs w:val="21"/>
              </w:rPr>
              <w:t>1.……</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2.……</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line="360" w:lineRule="exact"/>
              <w:jc w:val="center"/>
              <w:rPr>
                <w:rFonts w:ascii="宋体" w:hAnsi="宋体"/>
                <w:szCs w:val="21"/>
              </w:rPr>
            </w:pPr>
          </w:p>
        </w:tc>
        <w:tc>
          <w:tcPr>
            <w:tcW w:w="4854" w:type="dxa"/>
          </w:tcPr>
          <w:p>
            <w:pPr>
              <w:spacing w:line="360" w:lineRule="exact"/>
              <w:jc w:val="center"/>
              <w:rPr>
                <w:rFonts w:ascii="宋体" w:hAnsi="宋体"/>
                <w:szCs w:val="21"/>
              </w:rPr>
            </w:pPr>
            <w:r>
              <w:rPr>
                <w:rFonts w:hint="eastAsia" w:ascii="宋体" w:hAnsi="宋体"/>
                <w:szCs w:val="21"/>
              </w:rPr>
              <w:t>……</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二、其他评标指引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057" w:type="dxa"/>
            <w:vAlign w:val="center"/>
          </w:tcPr>
          <w:p>
            <w:pPr>
              <w:spacing w:line="360" w:lineRule="exact"/>
              <w:jc w:val="center"/>
              <w:rPr>
                <w:rFonts w:ascii="宋体" w:hAnsi="宋体"/>
                <w:szCs w:val="21"/>
              </w:rPr>
            </w:pPr>
            <w:r>
              <w:rPr>
                <w:rFonts w:hint="eastAsia" w:ascii="宋体" w:hAnsi="宋体"/>
                <w:szCs w:val="21"/>
              </w:rPr>
              <w:t>其他资料</w:t>
            </w:r>
          </w:p>
        </w:tc>
        <w:tc>
          <w:tcPr>
            <w:tcW w:w="4854" w:type="dxa"/>
            <w:vAlign w:val="center"/>
          </w:tcPr>
          <w:p>
            <w:pPr>
              <w:rPr>
                <w:rFonts w:asciiTheme="minorEastAsia" w:hAnsiTheme="minorEastAsia" w:eastAsiaTheme="minorEastAsia"/>
              </w:rPr>
            </w:pPr>
            <w:r>
              <w:rPr>
                <w:rFonts w:hint="eastAsia" w:asciiTheme="minorEastAsia" w:hAnsiTheme="minorEastAsia" w:eastAsiaTheme="minorEastAsia"/>
                <w:color w:val="FF0000"/>
                <w:kern w:val="0"/>
                <w:szCs w:val="21"/>
              </w:rPr>
              <w:t>投标单位法定代表人、主要经营负责人、项目投标授权代表人、项目负责人及主要技术人员近一年社保缴纳查询记录（包含在投标单位及其他缴纳社保单位的记录）；社保缴纳不满一年的按实际缴纳情况提供。</w:t>
            </w:r>
          </w:p>
        </w:tc>
        <w:tc>
          <w:tcPr>
            <w:tcW w:w="2169" w:type="dxa"/>
            <w:vAlign w:val="center"/>
          </w:tcPr>
          <w:p>
            <w:pPr>
              <w:spacing w:line="360" w:lineRule="exact"/>
              <w:jc w:val="center"/>
              <w:rPr>
                <w:rFonts w:ascii="宋体" w:hAnsi="宋体"/>
                <w:b/>
                <w:szCs w:val="21"/>
              </w:rPr>
            </w:pPr>
          </w:p>
        </w:tc>
        <w:tc>
          <w:tcPr>
            <w:tcW w:w="1472" w:type="dxa"/>
            <w:vAlign w:val="center"/>
          </w:tcPr>
          <w:p>
            <w:pPr>
              <w:spacing w:line="360" w:lineRule="exact"/>
              <w:jc w:val="center"/>
              <w:rPr>
                <w:rFonts w:ascii="宋体" w:hAnsi="宋体"/>
                <w:b/>
                <w:szCs w:val="21"/>
              </w:rPr>
            </w:pPr>
          </w:p>
        </w:tc>
      </w:tr>
    </w:tbl>
    <w:p>
      <w:pPr>
        <w:pStyle w:val="26"/>
        <w:spacing w:line="360" w:lineRule="auto"/>
        <w:ind w:firstLine="424" w:firstLineChars="201"/>
        <w:rPr>
          <w:rFonts w:hAnsi="宋体"/>
          <w:b/>
          <w:szCs w:val="21"/>
        </w:rPr>
      </w:pPr>
    </w:p>
    <w:p>
      <w:pPr>
        <w:pStyle w:val="26"/>
        <w:spacing w:line="360" w:lineRule="auto"/>
        <w:ind w:firstLine="424" w:firstLineChars="201"/>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p/>
    <w:p/>
    <w:p/>
    <w:p/>
    <w:p/>
    <w:p/>
    <w:p>
      <w:pPr>
        <w:pStyle w:val="3"/>
        <w:tabs>
          <w:tab w:val="left" w:pos="371"/>
        </w:tabs>
        <w:spacing w:before="120" w:after="120"/>
        <w:ind w:left="-1" w:leftChars="-1" w:hanging="1"/>
        <w:jc w:val="center"/>
        <w:rPr>
          <w:rFonts w:asciiTheme="minorEastAsia" w:hAnsiTheme="minorEastAsia" w:eastAsiaTheme="minorEastAsia"/>
          <w:snapToGrid w:val="0"/>
          <w:kern w:val="0"/>
        </w:rPr>
      </w:pPr>
      <w:bookmarkStart w:id="51" w:name="_Toc44690705"/>
      <w:bookmarkStart w:id="52" w:name="_Toc44690432"/>
      <w:bookmarkStart w:id="53" w:name="_Toc135293343"/>
      <w:bookmarkStart w:id="54" w:name="_Toc44691396"/>
      <w:bookmarkStart w:id="55" w:name="_Toc44691164"/>
      <w:r>
        <w:rPr>
          <w:rFonts w:hint="eastAsia" w:asciiTheme="minorEastAsia" w:hAnsiTheme="minorEastAsia" w:eastAsiaTheme="minorEastAsia"/>
        </w:rPr>
        <w:t>格式1  投标人资格证明文件</w:t>
      </w:r>
      <w:bookmarkEnd w:id="51"/>
      <w:bookmarkEnd w:id="52"/>
      <w:bookmarkEnd w:id="53"/>
      <w:bookmarkEnd w:id="54"/>
      <w:bookmarkEnd w:id="55"/>
    </w:p>
    <w:p>
      <w:pPr>
        <w:adjustRightInd w:val="0"/>
        <w:snapToGrid w:val="0"/>
        <w:spacing w:line="360" w:lineRule="auto"/>
        <w:rPr>
          <w:rFonts w:ascii="宋体" w:hAnsi="宋体"/>
          <w:bCs/>
          <w:snapToGrid w:val="0"/>
          <w:kern w:val="0"/>
          <w:szCs w:val="21"/>
        </w:rPr>
      </w:pPr>
    </w:p>
    <w:p>
      <w:pPr>
        <w:adjustRightInd w:val="0"/>
        <w:snapToGrid w:val="0"/>
        <w:spacing w:line="360" w:lineRule="auto"/>
        <w:ind w:firstLine="424" w:firstLineChars="202"/>
        <w:rPr>
          <w:rFonts w:ascii="宋体" w:hAnsi="宋体"/>
          <w:bCs/>
          <w:snapToGrid w:val="0"/>
          <w:kern w:val="0"/>
          <w:szCs w:val="21"/>
        </w:rPr>
      </w:pPr>
      <w:r>
        <w:rPr>
          <w:rFonts w:hint="eastAsia" w:ascii="宋体" w:hAnsi="宋体"/>
          <w:bCs/>
          <w:snapToGrid w:val="0"/>
          <w:kern w:val="0"/>
          <w:szCs w:val="21"/>
        </w:rPr>
        <w:t>1、</w:t>
      </w:r>
      <w:r>
        <w:rPr>
          <w:rFonts w:ascii="宋体" w:hAnsi="宋体"/>
          <w:bCs/>
          <w:snapToGrid w:val="0"/>
          <w:kern w:val="0"/>
          <w:szCs w:val="21"/>
        </w:rPr>
        <w:t>营业执照</w:t>
      </w:r>
      <w:r>
        <w:rPr>
          <w:rFonts w:hint="eastAsia" w:ascii="宋体" w:hAnsi="宋体"/>
          <w:bCs/>
          <w:snapToGrid w:val="0"/>
          <w:kern w:val="0"/>
          <w:szCs w:val="21"/>
        </w:rPr>
        <w:t>或法人证书</w:t>
      </w:r>
      <w:r>
        <w:rPr>
          <w:rFonts w:hint="eastAsia" w:hAnsi="宋体"/>
          <w:szCs w:val="21"/>
        </w:rPr>
        <w:t>等证明材料</w:t>
      </w:r>
      <w:r>
        <w:rPr>
          <w:rFonts w:hint="eastAsia" w:ascii="宋体" w:hAnsi="宋体"/>
          <w:bCs/>
          <w:snapToGrid w:val="0"/>
          <w:kern w:val="0"/>
          <w:szCs w:val="21"/>
        </w:rPr>
        <w:t>（复印件或扫描件）</w:t>
      </w:r>
    </w:p>
    <w:p>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pPr>
        <w:adjustRightInd w:val="0"/>
        <w:snapToGrid w:val="0"/>
        <w:spacing w:line="360" w:lineRule="auto"/>
        <w:ind w:firstLine="424" w:firstLineChars="202"/>
        <w:rPr>
          <w:rFonts w:ascii="宋体" w:hAnsi="宋体"/>
        </w:rPr>
      </w:pPr>
      <w:r>
        <w:rPr>
          <w:rFonts w:hint="eastAsia" w:ascii="宋体" w:hAnsi="宋体"/>
        </w:rPr>
        <w:t>3、其它资格证明材料（如有，按第一章投标邀请“申请人的资格要求”提供）</w:t>
      </w:r>
    </w:p>
    <w:p>
      <w:pPr>
        <w:adjustRightInd w:val="0"/>
        <w:snapToGrid w:val="0"/>
        <w:spacing w:line="360" w:lineRule="auto"/>
        <w:rPr>
          <w:rFonts w:ascii="宋体" w:hAnsi="宋体"/>
          <w:bCs/>
          <w:snapToGrid w:val="0"/>
          <w:kern w:val="0"/>
        </w:rPr>
      </w:pPr>
    </w:p>
    <w:p>
      <w:pPr>
        <w:adjustRightInd w:val="0"/>
        <w:snapToGrid w:val="0"/>
        <w:spacing w:line="360" w:lineRule="auto"/>
        <w:ind w:firstLine="424" w:firstLineChars="201"/>
        <w:rPr>
          <w:rFonts w:ascii="楷体_GB2312" w:eastAsia="楷体_GB2312"/>
          <w:b/>
          <w:bCs/>
          <w:snapToGrid w:val="0"/>
          <w:kern w:val="0"/>
          <w:szCs w:val="21"/>
        </w:rPr>
      </w:pPr>
      <w:r>
        <w:rPr>
          <w:rFonts w:hint="eastAsia" w:ascii="楷体_GB2312" w:eastAsia="楷体_GB2312"/>
          <w:b/>
          <w:bCs/>
          <w:snapToGrid w:val="0"/>
          <w:kern w:val="0"/>
          <w:szCs w:val="21"/>
        </w:rPr>
        <w:t>注：投标人提供的以上资料若为复印件或扫描件需加盖公章</w:t>
      </w:r>
    </w:p>
    <w:p>
      <w:pPr>
        <w:adjustRightInd w:val="0"/>
        <w:snapToGrid w:val="0"/>
        <w:spacing w:line="300" w:lineRule="auto"/>
        <w:jc w:val="right"/>
        <w:rPr>
          <w:snapToGrid w:val="0"/>
          <w:kern w:val="0"/>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napToGrid w:val="0"/>
        <w:spacing w:line="300" w:lineRule="auto"/>
        <w:jc w:val="center"/>
        <w:rPr>
          <w:b/>
          <w:snapToGrid w:val="0"/>
          <w:sz w:val="32"/>
          <w:szCs w:val="32"/>
        </w:rPr>
      </w:pPr>
    </w:p>
    <w:p>
      <w:pPr>
        <w:adjustRightInd w:val="0"/>
        <w:spacing w:line="300" w:lineRule="auto"/>
        <w:ind w:hanging="2"/>
        <w:jc w:val="center"/>
        <w:rPr>
          <w:b/>
          <w:snapToGrid w:val="0"/>
          <w:kern w:val="0"/>
          <w:sz w:val="28"/>
        </w:rPr>
      </w:pPr>
    </w:p>
    <w:p>
      <w:pPr>
        <w:adjustRightInd w:val="0"/>
        <w:spacing w:line="300" w:lineRule="auto"/>
        <w:ind w:hanging="2"/>
        <w:jc w:val="center"/>
        <w:rPr>
          <w:b/>
          <w:snapToGrid w:val="0"/>
          <w:kern w:val="0"/>
          <w:sz w:val="28"/>
        </w:rPr>
      </w:pPr>
    </w:p>
    <w:p>
      <w:pPr>
        <w:adjustRightInd w:val="0"/>
        <w:spacing w:line="300" w:lineRule="auto"/>
        <w:ind w:hanging="2"/>
        <w:jc w:val="center"/>
        <w:rPr>
          <w:b/>
          <w:snapToGrid w:val="0"/>
          <w:kern w:val="0"/>
          <w:sz w:val="28"/>
        </w:rPr>
      </w:pPr>
    </w:p>
    <w:p>
      <w:pPr>
        <w:adjustRightInd w:val="0"/>
        <w:spacing w:line="300" w:lineRule="auto"/>
        <w:ind w:hanging="2"/>
        <w:jc w:val="center"/>
      </w:pPr>
      <w:r>
        <w:rPr>
          <w:rFonts w:hint="eastAsia"/>
          <w:b/>
          <w:snapToGrid w:val="0"/>
          <w:kern w:val="0"/>
          <w:sz w:val="28"/>
        </w:rPr>
        <w:t>政府采购投标及履约承诺函</w:t>
      </w:r>
    </w:p>
    <w:p>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1.我单位满足《中华人民共和国政府采购法》第二十二条规定的下列条件：</w:t>
      </w:r>
    </w:p>
    <w:p>
      <w:pPr>
        <w:spacing w:line="400" w:lineRule="exact"/>
        <w:ind w:firstLine="420" w:firstLineChars="200"/>
        <w:rPr>
          <w:rFonts w:ascii="宋体" w:hAnsi="宋体"/>
          <w:szCs w:val="21"/>
        </w:rPr>
      </w:pPr>
      <w:r>
        <w:rPr>
          <w:rFonts w:hint="eastAsia" w:ascii="宋体" w:hAnsi="宋体"/>
          <w:szCs w:val="21"/>
        </w:rPr>
        <w:t>（一）具有独立承担民事责任的能力；</w:t>
      </w:r>
    </w:p>
    <w:p>
      <w:pPr>
        <w:spacing w:line="400" w:lineRule="exact"/>
        <w:ind w:firstLine="420" w:firstLineChars="200"/>
        <w:rPr>
          <w:rFonts w:ascii="宋体" w:hAnsi="宋体"/>
          <w:szCs w:val="21"/>
        </w:rPr>
      </w:pPr>
      <w:r>
        <w:rPr>
          <w:rFonts w:hint="eastAsia" w:ascii="宋体" w:hAnsi="宋体"/>
          <w:szCs w:val="21"/>
        </w:rPr>
        <w:t>（二）具有良好的商业信誉和健全的财务会计制度；</w:t>
      </w:r>
    </w:p>
    <w:p>
      <w:pPr>
        <w:spacing w:line="400" w:lineRule="exact"/>
        <w:ind w:firstLine="420" w:firstLineChars="200"/>
        <w:rPr>
          <w:rFonts w:ascii="宋体" w:hAnsi="宋体"/>
          <w:szCs w:val="21"/>
        </w:rPr>
      </w:pPr>
      <w:r>
        <w:rPr>
          <w:rFonts w:hint="eastAsia" w:ascii="宋体" w:hAnsi="宋体"/>
          <w:szCs w:val="21"/>
        </w:rPr>
        <w:t>（三）具有履行合同所必需的设备和专业技术能力；</w:t>
      </w:r>
    </w:p>
    <w:p>
      <w:pPr>
        <w:spacing w:line="400" w:lineRule="exact"/>
        <w:ind w:firstLine="420" w:firstLineChars="200"/>
        <w:rPr>
          <w:rFonts w:ascii="宋体" w:hAnsi="宋体"/>
          <w:szCs w:val="21"/>
        </w:rPr>
      </w:pPr>
      <w:r>
        <w:rPr>
          <w:rFonts w:hint="eastAsia" w:ascii="宋体" w:hAnsi="宋体"/>
          <w:szCs w:val="21"/>
        </w:rPr>
        <w:t>（四）有依法缴纳税收和社会保障资金的良好记录；</w:t>
      </w:r>
    </w:p>
    <w:p>
      <w:pPr>
        <w:spacing w:line="400" w:lineRule="exact"/>
        <w:ind w:firstLine="420" w:firstLineChars="200"/>
        <w:rPr>
          <w:rFonts w:ascii="宋体" w:hAnsi="宋体"/>
          <w:szCs w:val="21"/>
        </w:rPr>
      </w:pPr>
      <w:r>
        <w:rPr>
          <w:rFonts w:hint="eastAsia" w:ascii="宋体" w:hAnsi="宋体"/>
          <w:szCs w:val="21"/>
        </w:rPr>
        <w:t>（五）参加政府采购活动前三年内，在经营活动中没有重大违法记录；</w:t>
      </w:r>
    </w:p>
    <w:p>
      <w:pPr>
        <w:spacing w:line="400" w:lineRule="exact"/>
        <w:ind w:firstLine="420" w:firstLineChars="200"/>
        <w:rPr>
          <w:rFonts w:ascii="宋体" w:hAnsi="宋体"/>
          <w:szCs w:val="21"/>
        </w:rPr>
      </w:pPr>
      <w:r>
        <w:rPr>
          <w:rFonts w:hint="eastAsia" w:ascii="宋体" w:hAnsi="宋体"/>
          <w:szCs w:val="21"/>
        </w:rPr>
        <w:t>（六）法律、行政法规规定的其他条件。</w:t>
      </w:r>
    </w:p>
    <w:p>
      <w:pPr>
        <w:spacing w:line="400" w:lineRule="exact"/>
        <w:ind w:firstLine="420" w:firstLineChars="200"/>
        <w:rPr>
          <w:rFonts w:ascii="宋体" w:hAnsi="宋体"/>
          <w:szCs w:val="21"/>
        </w:rPr>
      </w:pPr>
      <w:r>
        <w:rPr>
          <w:rFonts w:hint="eastAsia" w:ascii="宋体" w:hAnsi="宋体"/>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pPr>
        <w:spacing w:line="400" w:lineRule="exact"/>
        <w:ind w:firstLine="420" w:firstLineChars="200"/>
        <w:rPr>
          <w:rFonts w:ascii="宋体" w:hAnsi="宋体"/>
          <w:szCs w:val="21"/>
        </w:rPr>
      </w:pPr>
      <w:r>
        <w:rPr>
          <w:rFonts w:hint="eastAsia" w:ascii="宋体" w:hAnsi="宋体"/>
          <w:szCs w:val="21"/>
        </w:rPr>
        <w:t>4.我单位承诺非</w:t>
      </w:r>
      <w:r>
        <w:rPr>
          <w:rFonts w:hint="eastAsia" w:asciiTheme="minorEastAsia" w:hAnsiTheme="minorEastAsia" w:eastAsiaTheme="minorEastAsia"/>
          <w:snapToGrid w:val="0"/>
        </w:rPr>
        <w:t>联合体投标，</w:t>
      </w:r>
      <w:r>
        <w:rPr>
          <w:rFonts w:hint="eastAsia" w:ascii="宋体" w:hAnsi="宋体"/>
          <w:szCs w:val="21"/>
        </w:rPr>
        <w:t>不非法转包或分包。</w:t>
      </w:r>
    </w:p>
    <w:p>
      <w:pPr>
        <w:spacing w:line="400" w:lineRule="exact"/>
        <w:ind w:firstLine="420" w:firstLineChars="200"/>
        <w:rPr>
          <w:rFonts w:ascii="宋体" w:hAnsi="宋体"/>
          <w:szCs w:val="21"/>
        </w:rPr>
      </w:pPr>
      <w:r>
        <w:rPr>
          <w:rFonts w:hint="eastAsia" w:ascii="宋体" w:hAnsi="宋体"/>
          <w:szCs w:val="21"/>
        </w:rPr>
        <w:t>5.我单位本招标项目所提供的货物或服务未侵犯知识产权。</w:t>
      </w:r>
    </w:p>
    <w:p>
      <w:pPr>
        <w:spacing w:line="400" w:lineRule="exact"/>
        <w:ind w:firstLine="420" w:firstLineChars="200"/>
        <w:rPr>
          <w:rFonts w:ascii="宋体" w:hAnsi="宋体"/>
          <w:szCs w:val="21"/>
        </w:rPr>
      </w:pPr>
      <w:r>
        <w:rPr>
          <w:rFonts w:hint="eastAsia" w:ascii="宋体" w:hAnsi="宋体"/>
          <w:szCs w:val="21"/>
        </w:rPr>
        <w:t>6.我单位参与该项目投标，严格遵循公平竞争的原则，不妨碍其他投标人的竞争行为，不损害采购人或者其他投标人的合法权益，</w:t>
      </w:r>
      <w:r>
        <w:rPr>
          <w:rFonts w:hint="eastAsia" w:ascii="宋体" w:hAnsi="宋体" w:cs="仿宋_GB2312"/>
          <w:kern w:val="0"/>
          <w:szCs w:val="21"/>
        </w:rPr>
        <w:t>与其他采购参加人</w:t>
      </w:r>
      <w:r>
        <w:rPr>
          <w:rFonts w:hint="eastAsia" w:ascii="宋体" w:hAnsi="宋体"/>
          <w:szCs w:val="21"/>
        </w:rPr>
        <w:t>不存在下列</w:t>
      </w:r>
      <w:r>
        <w:rPr>
          <w:rFonts w:hint="eastAsia" w:ascii="宋体" w:hAnsi="宋体" w:cs="仿宋_GB2312"/>
          <w:kern w:val="0"/>
          <w:szCs w:val="21"/>
        </w:rPr>
        <w:t>串通投标</w:t>
      </w:r>
      <w:r>
        <w:rPr>
          <w:rFonts w:hint="eastAsia" w:ascii="宋体" w:hAnsi="宋体"/>
          <w:szCs w:val="21"/>
        </w:rPr>
        <w:t>情形：</w:t>
      </w:r>
    </w:p>
    <w:p>
      <w:pPr>
        <w:spacing w:line="400" w:lineRule="exact"/>
        <w:ind w:firstLine="420" w:firstLineChars="200"/>
        <w:rPr>
          <w:rFonts w:ascii="宋体" w:hAnsi="宋体"/>
          <w:szCs w:val="21"/>
        </w:rPr>
      </w:pPr>
      <w:r>
        <w:rPr>
          <w:rFonts w:hint="eastAsia" w:ascii="宋体" w:hAnsi="宋体"/>
          <w:szCs w:val="21"/>
        </w:rPr>
        <w:t>（1）投标供应商之间相互约定给予未中标的供应商利益补偿；</w:t>
      </w:r>
    </w:p>
    <w:p>
      <w:pPr>
        <w:spacing w:line="400" w:lineRule="exact"/>
        <w:ind w:firstLine="420" w:firstLineChars="200"/>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pPr>
        <w:spacing w:line="400" w:lineRule="exact"/>
        <w:ind w:firstLine="420" w:firstLineChars="200"/>
        <w:rPr>
          <w:rFonts w:ascii="宋体" w:hAnsi="宋体"/>
          <w:szCs w:val="21"/>
        </w:rPr>
      </w:pPr>
      <w:r>
        <w:rPr>
          <w:rFonts w:hint="eastAsia" w:ascii="宋体" w:hAnsi="宋体"/>
          <w:szCs w:val="21"/>
        </w:rPr>
        <w:t>（3）不同投标供应商的投标文件由同一单位或者同一人编制，或者由同一人分阶段参与编制的；</w:t>
      </w:r>
    </w:p>
    <w:p>
      <w:pPr>
        <w:spacing w:line="400" w:lineRule="exact"/>
        <w:ind w:firstLine="420" w:firstLineChars="200"/>
        <w:rPr>
          <w:rFonts w:ascii="宋体" w:hAnsi="宋体"/>
          <w:szCs w:val="21"/>
        </w:rPr>
      </w:pPr>
      <w:r>
        <w:rPr>
          <w:rFonts w:hint="eastAsia" w:ascii="宋体" w:hAnsi="宋体"/>
          <w:szCs w:val="21"/>
        </w:rPr>
        <w:t>（4）不同投标供应商的投标文件或部分投标文件相互混装；</w:t>
      </w:r>
    </w:p>
    <w:p>
      <w:pPr>
        <w:spacing w:line="400" w:lineRule="exact"/>
        <w:ind w:firstLine="420" w:firstLineChars="200"/>
        <w:rPr>
          <w:rFonts w:ascii="宋体" w:hAnsi="宋体"/>
          <w:szCs w:val="21"/>
        </w:rPr>
      </w:pPr>
      <w:r>
        <w:rPr>
          <w:rFonts w:hint="eastAsia" w:ascii="宋体" w:hAnsi="宋体"/>
          <w:szCs w:val="21"/>
        </w:rPr>
        <w:t>（5）不同投标供应商的投标文件内容存在非正常一致；</w:t>
      </w:r>
    </w:p>
    <w:p>
      <w:pPr>
        <w:spacing w:line="400" w:lineRule="exact"/>
        <w:ind w:firstLine="420" w:firstLineChars="200"/>
        <w:rPr>
          <w:rFonts w:ascii="宋体" w:hAnsi="宋体"/>
          <w:szCs w:val="21"/>
        </w:rPr>
      </w:pPr>
      <w:r>
        <w:rPr>
          <w:rFonts w:hint="eastAsia" w:ascii="宋体" w:hAnsi="宋体"/>
          <w:szCs w:val="21"/>
        </w:rPr>
        <w:t>（6）由同一单位工作人员为两家以上（含两家）供应商进行同一项投标活动的；</w:t>
      </w:r>
    </w:p>
    <w:p>
      <w:pPr>
        <w:spacing w:line="400" w:lineRule="exact"/>
        <w:ind w:firstLine="420" w:firstLineChars="200"/>
        <w:rPr>
          <w:rFonts w:ascii="宋体" w:hAnsi="宋体"/>
          <w:szCs w:val="21"/>
        </w:rPr>
      </w:pPr>
      <w:r>
        <w:rPr>
          <w:rFonts w:hint="eastAsia" w:ascii="宋体" w:hAnsi="宋体"/>
          <w:szCs w:val="21"/>
        </w:rPr>
        <w:t>（7）主管部门依照法律、法规认定的其他情形。</w:t>
      </w:r>
    </w:p>
    <w:p>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pPr>
        <w:spacing w:line="360" w:lineRule="auto"/>
        <w:ind w:firstLine="600"/>
        <w:rPr>
          <w:rFonts w:cs="Courier New"/>
          <w:snapToGrid w:val="0"/>
          <w:szCs w:val="18"/>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法定代表人或其授权代表：（签字）</w:t>
      </w:r>
    </w:p>
    <w:p>
      <w:pPr>
        <w:adjustRightInd w:val="0"/>
        <w:snapToGrid w:val="0"/>
        <w:spacing w:line="300" w:lineRule="auto"/>
        <w:ind w:right="420"/>
        <w:rPr>
          <w:snapToGrid w:val="0"/>
          <w:kern w:val="0"/>
        </w:rPr>
      </w:pPr>
    </w:p>
    <w:p>
      <w:pPr>
        <w:adjustRightInd w:val="0"/>
        <w:snapToGrid w:val="0"/>
        <w:spacing w:line="360" w:lineRule="auto"/>
        <w:ind w:firstLine="600"/>
        <w:jc w:val="right"/>
      </w:pPr>
      <w:r>
        <w:rPr>
          <w:rFonts w:hint="eastAsia"/>
        </w:rPr>
        <w:t>年     月    日</w:t>
      </w: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60" w:lineRule="auto"/>
        <w:ind w:firstLine="600"/>
        <w:jc w:val="right"/>
      </w:pPr>
    </w:p>
    <w:p>
      <w:pPr>
        <w:adjustRightInd w:val="0"/>
        <w:snapToGrid w:val="0"/>
        <w:spacing w:line="300" w:lineRule="auto"/>
        <w:jc w:val="center"/>
        <w:rPr>
          <w:b/>
          <w:snapToGrid w:val="0"/>
          <w:sz w:val="32"/>
          <w:szCs w:val="32"/>
        </w:rPr>
      </w:pPr>
    </w:p>
    <w:p>
      <w:pPr>
        <w:pStyle w:val="3"/>
        <w:tabs>
          <w:tab w:val="left" w:pos="371"/>
        </w:tabs>
        <w:spacing w:before="120" w:after="120"/>
        <w:ind w:left="-1" w:leftChars="-1" w:hanging="1"/>
        <w:jc w:val="center"/>
        <w:rPr>
          <w:rFonts w:asciiTheme="minorEastAsia" w:hAnsiTheme="minorEastAsia" w:eastAsiaTheme="minorEastAsia"/>
          <w:snapToGrid w:val="0"/>
          <w:kern w:val="0"/>
        </w:rPr>
      </w:pPr>
      <w:bookmarkStart w:id="56" w:name="_Toc135293344"/>
      <w:r>
        <w:rPr>
          <w:rFonts w:hint="eastAsia" w:asciiTheme="minorEastAsia" w:hAnsiTheme="minorEastAsia" w:eastAsiaTheme="minorEastAsia"/>
        </w:rPr>
        <w:t>格式2  法定代表人（负责人）证明书及授权委托书</w:t>
      </w:r>
      <w:bookmarkEnd w:id="56"/>
    </w:p>
    <w:p>
      <w:pPr>
        <w:adjustRightInd w:val="0"/>
        <w:snapToGrid w:val="0"/>
        <w:spacing w:line="300" w:lineRule="auto"/>
        <w:jc w:val="center"/>
        <w:rPr>
          <w:b/>
          <w:snapToGrid w:val="0"/>
          <w:sz w:val="32"/>
          <w:szCs w:val="32"/>
        </w:rPr>
      </w:pPr>
    </w:p>
    <w:p>
      <w:pPr>
        <w:tabs>
          <w:tab w:val="left" w:pos="450"/>
        </w:tabs>
        <w:jc w:val="center"/>
        <w:rPr>
          <w:rFonts w:ascii="宋体" w:hAnsi="宋体"/>
          <w:b/>
          <w:sz w:val="28"/>
          <w:szCs w:val="28"/>
        </w:rPr>
      </w:pPr>
      <w:r>
        <w:rPr>
          <w:rFonts w:hint="eastAsia" w:ascii="宋体" w:hAnsi="宋体"/>
          <w:b/>
          <w:sz w:val="28"/>
          <w:szCs w:val="28"/>
        </w:rPr>
        <w:t>法定代表人（负责人）证明书（参考）</w:t>
      </w:r>
    </w:p>
    <w:p>
      <w:pPr>
        <w:spacing w:line="400" w:lineRule="exact"/>
        <w:rPr>
          <w:rFonts w:ascii="宋体" w:hAnsi="宋体"/>
          <w:bCs/>
          <w:sz w:val="28"/>
        </w:rPr>
      </w:pPr>
    </w:p>
    <w:p>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pPr>
        <w:spacing w:line="480" w:lineRule="auto"/>
        <w:ind w:firstLine="420" w:firstLineChars="200"/>
        <w:rPr>
          <w:rFonts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pPr>
        <w:spacing w:line="480" w:lineRule="auto"/>
        <w:ind w:firstLine="420" w:firstLineChars="200"/>
        <w:rPr>
          <w:rFonts w:ascii="宋体" w:hAnsi="宋体"/>
        </w:rPr>
      </w:pPr>
      <w:r>
        <w:rPr>
          <w:rFonts w:hint="eastAsia" w:ascii="宋体" w:hAnsi="宋体"/>
        </w:rPr>
        <w:t>附：</w:t>
      </w:r>
    </w:p>
    <w:p>
      <w:pPr>
        <w:spacing w:line="480" w:lineRule="auto"/>
        <w:ind w:firstLine="840" w:firstLineChars="400"/>
        <w:rPr>
          <w:rFonts w:ascii="宋体" w:hAnsi="宋体"/>
        </w:rPr>
      </w:pPr>
      <w:r>
        <w:rPr>
          <w:rFonts w:hint="eastAsia" w:ascii="宋体" w:hAnsi="宋体"/>
        </w:rPr>
        <w:t xml:space="preserve">营业执照（注册号）：                       </w:t>
      </w:r>
    </w:p>
    <w:p>
      <w:pPr>
        <w:spacing w:line="480" w:lineRule="auto"/>
        <w:ind w:firstLine="840" w:firstLineChars="400"/>
        <w:rPr>
          <w:rFonts w:ascii="宋体" w:hAnsi="宋体"/>
        </w:rPr>
      </w:pPr>
      <w:r>
        <w:rPr>
          <w:rFonts w:hint="eastAsia" w:ascii="宋体" w:hAnsi="宋体"/>
        </w:rPr>
        <w:t>经济性质：</w:t>
      </w:r>
    </w:p>
    <w:p>
      <w:pPr>
        <w:spacing w:line="480" w:lineRule="auto"/>
        <w:ind w:firstLine="840" w:firstLineChars="400"/>
        <w:rPr>
          <w:rFonts w:ascii="宋体" w:hAnsi="宋体"/>
        </w:rPr>
      </w:pPr>
      <w:r>
        <w:rPr>
          <w:rFonts w:hint="eastAsia" w:ascii="宋体" w:hAnsi="宋体"/>
        </w:rPr>
        <w:t>主营（产）：</w:t>
      </w:r>
    </w:p>
    <w:p>
      <w:pPr>
        <w:spacing w:line="480" w:lineRule="auto"/>
        <w:ind w:firstLine="840" w:firstLineChars="400"/>
        <w:rPr>
          <w:rFonts w:ascii="宋体" w:hAnsi="宋体"/>
        </w:rPr>
      </w:pPr>
      <w:r>
        <w:rPr>
          <w:rFonts w:hint="eastAsia" w:ascii="宋体" w:hAnsi="宋体"/>
        </w:rPr>
        <w:t>兼营（产）：</w:t>
      </w:r>
    </w:p>
    <w:p>
      <w:pPr>
        <w:spacing w:line="480" w:lineRule="auto"/>
        <w:ind w:firstLine="960" w:firstLineChars="400"/>
        <w:rPr>
          <w:rFonts w:ascii="宋体" w:hAnsi="宋体"/>
          <w:sz w:val="24"/>
        </w:rPr>
      </w:pPr>
    </w:p>
    <w:p>
      <w:pPr>
        <w:spacing w:line="500" w:lineRule="exact"/>
        <w:rPr>
          <w:rFonts w:ascii="宋体"/>
          <w:b/>
          <w:bCs/>
        </w:rPr>
      </w:pPr>
      <w:r>
        <w:rPr>
          <w:rFonts w:ascii="宋体"/>
          <w:b/>
          <w:bCs/>
        </w:rPr>
        <w:pict>
          <v:rect id="Rectangle 5" o:spid="_x0000_s3096" o:spt="1" style="position:absolute;left:0pt;margin-left:250.65pt;margin-top:10.75pt;height:156pt;width:243pt;z-index:251663360;mso-width-relative:page;mso-height-relative:page;" coordsize="21600,21600">
            <v:path/>
            <v:fill focussize="0,0"/>
            <v:stroke/>
            <v:imagedata o:title=""/>
            <o:lock v:ext="edit"/>
            <v:textbox>
              <w:txbxContent>
                <w:p>
                  <w:pPr>
                    <w:ind w:firstLine="1260" w:firstLineChars="600"/>
                  </w:pPr>
                  <w:r>
                    <w:rPr>
                      <w:rFonts w:hint="eastAsia"/>
                    </w:rPr>
                    <w:t>法定代表人（负责人）</w:t>
                  </w:r>
                </w:p>
                <w:p>
                  <w:pPr>
                    <w:ind w:firstLine="1050" w:firstLineChars="500"/>
                  </w:pPr>
                  <w:r>
                    <w:rPr>
                      <w:rFonts w:hint="eastAsia"/>
                    </w:rPr>
                    <w:t xml:space="preserve"> 居民身份证复印件粘贴处</w:t>
                  </w:r>
                </w:p>
                <w:p>
                  <w:pPr>
                    <w:ind w:firstLine="1050" w:firstLineChars="500"/>
                  </w:pPr>
                </w:p>
                <w:p>
                  <w:pPr>
                    <w:ind w:firstLine="1785" w:firstLineChars="850"/>
                  </w:pPr>
                  <w:r>
                    <w:rPr>
                      <w:rFonts w:hint="eastAsia"/>
                    </w:rPr>
                    <w:t>（反面）</w:t>
                  </w:r>
                </w:p>
                <w:p>
                  <w:pPr>
                    <w:ind w:firstLine="1050" w:firstLineChars="500"/>
                  </w:pPr>
                </w:p>
                <w:p/>
              </w:txbxContent>
            </v:textbox>
          </v:rect>
        </w:pict>
      </w:r>
      <w:r>
        <w:rPr>
          <w:rFonts w:ascii="宋体"/>
          <w:b/>
          <w:bCs/>
        </w:rPr>
        <w:pict>
          <v:rect id="Rectangle 4" o:spid="_x0000_s3095" o:spt="1" style="position:absolute;left:0pt;margin-left:-11.85pt;margin-top:10.75pt;height:156pt;width:243pt;z-index:251662336;mso-width-relative:page;mso-height-relative:page;" coordsize="21600,21600">
            <v:path/>
            <v:fill focussize="0,0"/>
            <v:stroke/>
            <v:imagedata o:title=""/>
            <o:lock v:ext="edit"/>
            <v:textbox>
              <w:txbxContent>
                <w:p>
                  <w:pPr>
                    <w:ind w:firstLine="1260" w:firstLineChars="600"/>
                    <w:jc w:val="left"/>
                  </w:pPr>
                  <w:r>
                    <w:rPr>
                      <w:rFonts w:hint="eastAsia"/>
                    </w:rPr>
                    <w:t>法定代表人（负责人）</w:t>
                  </w:r>
                </w:p>
                <w:p>
                  <w:pPr>
                    <w:ind w:firstLine="1050" w:firstLineChars="500"/>
                    <w:jc w:val="left"/>
                  </w:pPr>
                  <w:r>
                    <w:rPr>
                      <w:rFonts w:hint="eastAsia"/>
                    </w:rPr>
                    <w:t xml:space="preserve"> 居民身份证复印件粘贴处</w:t>
                  </w:r>
                </w:p>
                <w:p>
                  <w:pPr>
                    <w:ind w:firstLine="1050" w:firstLineChars="500"/>
                    <w:jc w:val="left"/>
                  </w:pPr>
                </w:p>
                <w:p>
                  <w:pPr>
                    <w:ind w:firstLine="1785" w:firstLineChars="850"/>
                    <w:jc w:val="left"/>
                  </w:pPr>
                  <w:r>
                    <w:rPr>
                      <w:rFonts w:hint="eastAsia"/>
                    </w:rPr>
                    <w:t>（正面）</w:t>
                  </w:r>
                </w:p>
                <w:p>
                  <w:pPr>
                    <w:ind w:firstLine="1050" w:firstLineChars="500"/>
                    <w:jc w:val="left"/>
                  </w:pPr>
                </w:p>
                <w:p>
                  <w:pPr>
                    <w:jc w:val="left"/>
                  </w:pPr>
                </w:p>
              </w:txbxContent>
            </v:textbox>
          </v:rect>
        </w:pict>
      </w: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r>
        <w:rPr>
          <w:rFonts w:hint="eastAsia" w:ascii="宋体"/>
          <w:b/>
          <w:bCs/>
        </w:rPr>
        <w:t xml:space="preserve">                         </w:t>
      </w:r>
    </w:p>
    <w:p>
      <w:pPr>
        <w:spacing w:line="360" w:lineRule="auto"/>
        <w:ind w:firstLine="539" w:firstLineChars="257"/>
      </w:pPr>
    </w:p>
    <w:p>
      <w:pPr>
        <w:spacing w:line="360" w:lineRule="auto"/>
        <w:ind w:firstLine="539" w:firstLineChars="257"/>
      </w:pPr>
      <w:r>
        <w:rPr>
          <w:rFonts w:hint="eastAsia"/>
        </w:rPr>
        <w:t>单位名称：（公章）</w:t>
      </w:r>
      <w:r>
        <w:rPr>
          <w:rFonts w:hint="eastAsia"/>
          <w:u w:val="single"/>
        </w:rPr>
        <w:t xml:space="preserve">                                         </w:t>
      </w:r>
    </w:p>
    <w:p>
      <w:pPr>
        <w:spacing w:line="360" w:lineRule="auto"/>
        <w:ind w:firstLine="539" w:firstLineChars="257"/>
      </w:pPr>
    </w:p>
    <w:p>
      <w:pPr>
        <w:spacing w:line="360" w:lineRule="auto"/>
        <w:ind w:firstLine="539" w:firstLineChars="257"/>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ind w:firstLine="2249" w:firstLineChars="800"/>
        <w:rPr>
          <w:b/>
          <w:bCs/>
          <w:sz w:val="28"/>
        </w:rPr>
      </w:pPr>
    </w:p>
    <w:p>
      <w:pPr>
        <w:ind w:firstLine="2249" w:firstLineChars="800"/>
        <w:rPr>
          <w:b/>
          <w:bCs/>
          <w:sz w:val="28"/>
        </w:rPr>
      </w:pPr>
    </w:p>
    <w:p>
      <w:pPr>
        <w:ind w:firstLine="2249" w:firstLineChars="800"/>
        <w:rPr>
          <w:b/>
          <w:bCs/>
          <w:sz w:val="28"/>
        </w:rPr>
      </w:pPr>
    </w:p>
    <w:p>
      <w:pPr>
        <w:jc w:val="center"/>
        <w:rPr>
          <w:b/>
          <w:bCs/>
          <w:sz w:val="28"/>
        </w:rPr>
      </w:pPr>
      <w:r>
        <w:rPr>
          <w:rFonts w:hint="eastAsia"/>
          <w:b/>
          <w:bCs/>
          <w:sz w:val="28"/>
        </w:rPr>
        <w:t>法定代表人（负责人）授权委托书（参考）</w:t>
      </w:r>
    </w:p>
    <w:p/>
    <w:p>
      <w:pPr>
        <w:rPr>
          <w:b/>
          <w:bCs/>
        </w:rPr>
      </w:pPr>
      <w:r>
        <w:rPr>
          <w:rFonts w:hint="eastAsia"/>
        </w:rPr>
        <w:t>深圳市中正招标有限公司</w:t>
      </w:r>
      <w:r>
        <w:rPr>
          <w:rFonts w:hint="eastAsia"/>
          <w:b/>
          <w:bCs/>
        </w:rPr>
        <w:t>：</w:t>
      </w:r>
    </w:p>
    <w:p>
      <w:pPr>
        <w:ind w:firstLine="630"/>
      </w:pPr>
    </w:p>
    <w:p>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pPr>
        <w:adjustRightInd w:val="0"/>
        <w:snapToGrid w:val="0"/>
        <w:spacing w:line="360" w:lineRule="auto"/>
        <w:ind w:firstLine="629"/>
      </w:pPr>
    </w:p>
    <w:p>
      <w:pPr>
        <w:ind w:firstLine="630"/>
      </w:pPr>
    </w:p>
    <w:p>
      <w:pPr>
        <w:adjustRightInd w:val="0"/>
        <w:snapToGrid w:val="0"/>
        <w:spacing w:line="360" w:lineRule="auto"/>
        <w:ind w:firstLine="629"/>
        <w:rPr>
          <w:b/>
          <w:bCs/>
        </w:rPr>
      </w:pPr>
      <w:r>
        <w:rPr>
          <w:rFonts w:hint="eastAsia"/>
          <w:b/>
          <w:bCs/>
        </w:rPr>
        <w:t>附授权代表情况：</w:t>
      </w:r>
    </w:p>
    <w:p>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pPr>
        <w:adjustRightInd w:val="0"/>
        <w:snapToGrid w:val="0"/>
        <w:spacing w:line="360" w:lineRule="auto"/>
        <w:ind w:firstLine="629"/>
      </w:pPr>
      <w:r>
        <w:rPr>
          <w:rFonts w:hint="eastAsia"/>
        </w:rPr>
        <w:t>职务：</w:t>
      </w:r>
    </w:p>
    <w:p>
      <w:pPr>
        <w:adjustRightInd w:val="0"/>
        <w:snapToGrid w:val="0"/>
        <w:spacing w:line="360" w:lineRule="auto"/>
        <w:ind w:firstLine="629"/>
      </w:pPr>
      <w:r>
        <w:rPr>
          <w:rFonts w:hint="eastAsia"/>
        </w:rPr>
        <w:t>身份证号码：</w:t>
      </w:r>
    </w:p>
    <w:p>
      <w:pPr>
        <w:adjustRightInd w:val="0"/>
        <w:snapToGrid w:val="0"/>
        <w:spacing w:line="360" w:lineRule="auto"/>
        <w:ind w:firstLine="629"/>
        <w:rPr>
          <w:b/>
          <w:bCs/>
        </w:rPr>
      </w:pPr>
      <w:r>
        <w:rPr>
          <w:rFonts w:hint="eastAsia"/>
        </w:rPr>
        <w:t>邮编：</w:t>
      </w:r>
      <w:r>
        <w:rPr>
          <w:rFonts w:hint="eastAsia"/>
          <w:b/>
          <w:bCs/>
        </w:rPr>
        <w:t xml:space="preserve"> </w:t>
      </w:r>
    </w:p>
    <w:p>
      <w:pPr>
        <w:adjustRightInd w:val="0"/>
        <w:snapToGrid w:val="0"/>
        <w:spacing w:line="360" w:lineRule="auto"/>
        <w:ind w:firstLine="629"/>
      </w:pPr>
      <w:r>
        <w:rPr>
          <w:rFonts w:hint="eastAsia"/>
        </w:rPr>
        <w:t>通讯地址：</w:t>
      </w:r>
      <w:r>
        <w:rPr>
          <w:rFonts w:hint="eastAsia"/>
          <w:b/>
          <w:bCs/>
        </w:rPr>
        <w:t xml:space="preserve"> </w:t>
      </w:r>
    </w:p>
    <w:p>
      <w:pPr>
        <w:adjustRightInd w:val="0"/>
        <w:snapToGrid w:val="0"/>
        <w:spacing w:line="360" w:lineRule="auto"/>
        <w:ind w:firstLine="629"/>
      </w:pPr>
      <w:r>
        <w:rPr>
          <w:rFonts w:hint="eastAsia"/>
        </w:rPr>
        <w:t>电话：</w:t>
      </w:r>
    </w:p>
    <w:p>
      <w:pPr>
        <w:adjustRightInd w:val="0"/>
        <w:snapToGrid w:val="0"/>
        <w:spacing w:line="360" w:lineRule="auto"/>
        <w:ind w:firstLine="629"/>
      </w:pPr>
      <w:r>
        <w:rPr>
          <w:rFonts w:hint="eastAsia"/>
        </w:rPr>
        <w:t xml:space="preserve"> </w:t>
      </w:r>
    </w:p>
    <w:p>
      <w:pPr>
        <w:ind w:firstLine="630"/>
      </w:pPr>
      <w:r>
        <w:rPr>
          <w:rFonts w:hint="eastAsia"/>
        </w:rPr>
        <w:t>单位名称：（公章）</w:t>
      </w:r>
    </w:p>
    <w:p>
      <w:pPr>
        <w:ind w:firstLine="630"/>
      </w:pPr>
    </w:p>
    <w:p>
      <w:pPr>
        <w:ind w:firstLine="630"/>
      </w:pPr>
      <w:r>
        <w:rPr>
          <w:rFonts w:hint="eastAsia"/>
        </w:rPr>
        <w:t>法定代表人（负责人）：（签字）</w:t>
      </w:r>
    </w:p>
    <w:p>
      <w:pPr>
        <w:ind w:firstLine="630"/>
      </w:pPr>
    </w:p>
    <w:p>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pPr>
        <w:spacing w:line="440" w:lineRule="exact"/>
        <w:rPr>
          <w:rFonts w:ascii="黑体" w:eastAsia="黑体"/>
        </w:rPr>
      </w:pPr>
      <w:bookmarkStart w:id="57" w:name="_Toc226217114"/>
      <w:r>
        <w:rPr>
          <w:rFonts w:ascii="宋体"/>
        </w:rPr>
        <w:pict>
          <v:rect id="Rectangle 2" o:spid="_x0000_s3093" o:spt="1" style="position:absolute;left:0pt;margin-left:-10.35pt;margin-top:5.6pt;height:156pt;width:243pt;z-index:251660288;mso-width-relative:page;mso-height-relative:page;" coordsize="21600,21600">
            <v:path/>
            <v:fill focussize="0,0"/>
            <v:stroke/>
            <v:imagedata o:title=""/>
            <o:lock v:ext="edit"/>
            <v:textbo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jc w:val="center"/>
                  </w:pPr>
                  <w:r>
                    <w:rPr>
                      <w:rFonts w:hint="eastAsia"/>
                    </w:rPr>
                    <w:t>（正面）</w:t>
                  </w:r>
                </w:p>
              </w:txbxContent>
            </v:textbox>
          </v:rect>
        </w:pict>
      </w:r>
      <w:r>
        <w:rPr>
          <w:rFonts w:ascii="黑体" w:eastAsia="黑体"/>
        </w:rPr>
        <w:pict>
          <v:rect id="Rectangle 3" o:spid="_x0000_s3094" o:spt="1" style="position:absolute;left:0pt;margin-left:249.9pt;margin-top:5.6pt;height:156pt;width:243pt;z-index:251661312;mso-width-relative:page;mso-height-relative:page;" coordsize="21600,21600">
            <v:path/>
            <v:fill focussize="0,0"/>
            <v:stroke/>
            <v:imagedata o:title=""/>
            <o:lock v:ext="edit"/>
            <v:textbox>
              <w:txbxContent>
                <w:p>
                  <w:pPr>
                    <w:ind w:firstLine="1260" w:firstLineChars="600"/>
                  </w:pPr>
                  <w:r>
                    <w:rPr>
                      <w:rFonts w:hint="eastAsia"/>
                    </w:rPr>
                    <w:t>被授权人（授权代表）</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（反面）</w:t>
                  </w:r>
                </w:p>
                <w:p/>
              </w:txbxContent>
            </v:textbox>
          </v:rect>
        </w:pict>
      </w:r>
      <w:bookmarkEnd w:id="57"/>
    </w:p>
    <w:p>
      <w:pPr>
        <w:spacing w:line="440" w:lineRule="exact"/>
        <w:rPr>
          <w:rFonts w:ascii="黑体" w:eastAsia="黑体"/>
        </w:rPr>
      </w:pPr>
    </w:p>
    <w:p>
      <w:pPr>
        <w:spacing w:line="440" w:lineRule="exact"/>
        <w:rPr>
          <w:rFonts w:ascii="黑体" w:eastAsia="黑体"/>
        </w:rPr>
      </w:pPr>
    </w:p>
    <w:p>
      <w:pPr>
        <w:spacing w:line="440" w:lineRule="exact"/>
        <w:rPr>
          <w:rFonts w:ascii="黑体" w:eastAsia="黑体"/>
        </w:rPr>
      </w:pPr>
    </w:p>
    <w:p>
      <w:pPr>
        <w:spacing w:line="440" w:lineRule="exact"/>
        <w:rPr>
          <w:rFonts w:ascii="黑体" w:eastAsia="黑体"/>
        </w:rPr>
      </w:pPr>
    </w:p>
    <w:p>
      <w:pPr>
        <w:tabs>
          <w:tab w:val="left" w:pos="5115"/>
        </w:tabs>
        <w:spacing w:line="440" w:lineRule="exact"/>
        <w:rPr>
          <w:rFonts w:ascii="黑体" w:eastAsia="黑体"/>
        </w:rPr>
      </w:pPr>
      <w:r>
        <w:rPr>
          <w:rFonts w:ascii="黑体" w:eastAsia="黑体"/>
        </w:rPr>
        <w:tab/>
      </w:r>
    </w:p>
    <w:p>
      <w:pPr>
        <w:spacing w:line="440" w:lineRule="exact"/>
        <w:rPr>
          <w:rFonts w:ascii="黑体" w:eastAsia="黑体"/>
        </w:rPr>
      </w:pPr>
    </w:p>
    <w:p>
      <w:pPr>
        <w:adjustRightInd w:val="0"/>
        <w:snapToGrid w:val="0"/>
        <w:spacing w:line="300" w:lineRule="auto"/>
        <w:ind w:firstLine="5008" w:firstLineChars="2385"/>
      </w:pPr>
    </w:p>
    <w:p>
      <w:pPr>
        <w:adjustRightInd w:val="0"/>
        <w:snapToGrid w:val="0"/>
        <w:spacing w:line="300" w:lineRule="auto"/>
      </w:pPr>
    </w:p>
    <w:p>
      <w:pPr>
        <w:adjustRightInd w:val="0"/>
        <w:snapToGrid w:val="0"/>
        <w:spacing w:line="300" w:lineRule="auto"/>
      </w:pPr>
    </w:p>
    <w:p>
      <w:pPr>
        <w:adjustRightInd w:val="0"/>
        <w:snapToGrid w:val="0"/>
        <w:spacing w:line="300" w:lineRule="auto"/>
      </w:pPr>
      <w:r>
        <w:rPr>
          <w:rFonts w:hint="eastAsia" w:asciiTheme="majorEastAsia" w:hAnsiTheme="majorEastAsia" w:eastAsiaTheme="majorEastAsia"/>
          <w:b/>
          <w:sz w:val="24"/>
        </w:rPr>
        <w:t>注：法定代表人（负责人）证明书和法定代表人（负责人）授权委托书除装订于投标文件中外，还须另置一份按“投标人须知”18.4项要求单独密封。</w:t>
      </w:r>
    </w:p>
    <w:p>
      <w:pPr>
        <w:widowControl/>
        <w:snapToGrid w:val="0"/>
        <w:spacing w:line="360" w:lineRule="auto"/>
        <w:jc w:val="left"/>
      </w:pPr>
    </w:p>
    <w:p>
      <w:pPr>
        <w:widowControl/>
        <w:snapToGrid w:val="0"/>
        <w:spacing w:line="360" w:lineRule="auto"/>
        <w:jc w:val="left"/>
      </w:pPr>
    </w:p>
    <w:p>
      <w:pPr>
        <w:widowControl/>
        <w:snapToGrid w:val="0"/>
        <w:spacing w:line="360" w:lineRule="auto"/>
        <w:jc w:val="left"/>
        <w:rPr>
          <w:rFonts w:asciiTheme="minorEastAsia" w:hAnsiTheme="minorEastAsia" w:eastAsiaTheme="minorEastAsia"/>
          <w:color w:val="FF0000"/>
          <w:kern w:val="0"/>
          <w:szCs w:val="21"/>
        </w:rPr>
      </w:pPr>
    </w:p>
    <w:p>
      <w:pPr>
        <w:pStyle w:val="3"/>
        <w:tabs>
          <w:tab w:val="left" w:pos="371"/>
        </w:tabs>
        <w:spacing w:before="120" w:after="120"/>
        <w:ind w:left="-1" w:leftChars="-1" w:hanging="1"/>
        <w:jc w:val="center"/>
        <w:rPr>
          <w:rFonts w:asciiTheme="minorEastAsia" w:hAnsiTheme="minorEastAsia" w:eastAsiaTheme="minorEastAsia"/>
        </w:rPr>
      </w:pPr>
      <w:bookmarkStart w:id="58" w:name="_Toc135293345"/>
      <w:r>
        <w:rPr>
          <w:rFonts w:hint="eastAsia" w:asciiTheme="minorEastAsia" w:hAnsiTheme="minorEastAsia" w:eastAsiaTheme="minorEastAsia"/>
        </w:rPr>
        <w:t>格式3  投</w:t>
      </w:r>
      <w:r>
        <w:rPr>
          <w:rFonts w:asciiTheme="minorEastAsia" w:hAnsiTheme="minorEastAsia" w:eastAsiaTheme="minorEastAsia"/>
        </w:rPr>
        <w:t xml:space="preserve"> </w:t>
      </w:r>
      <w:r>
        <w:rPr>
          <w:rFonts w:hint="eastAsia" w:asciiTheme="minorEastAsia" w:hAnsiTheme="minorEastAsia" w:eastAsiaTheme="minorEastAsia"/>
        </w:rPr>
        <w:t>标</w:t>
      </w:r>
      <w:r>
        <w:rPr>
          <w:rFonts w:asciiTheme="minorEastAsia" w:hAnsiTheme="minorEastAsia" w:eastAsiaTheme="minorEastAsia"/>
        </w:rPr>
        <w:t xml:space="preserve"> </w:t>
      </w:r>
      <w:r>
        <w:rPr>
          <w:rFonts w:hint="eastAsia" w:asciiTheme="minorEastAsia" w:hAnsiTheme="minorEastAsia" w:eastAsiaTheme="minorEastAsia"/>
        </w:rPr>
        <w:t>函</w:t>
      </w:r>
      <w:bookmarkEnd w:id="58"/>
    </w:p>
    <w:p>
      <w:pPr>
        <w:adjustRightInd w:val="0"/>
        <w:snapToGrid w:val="0"/>
        <w:spacing w:line="312" w:lineRule="auto"/>
      </w:pPr>
    </w:p>
    <w:p>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2．我单位提交的投标文件为：投标书正本一份，副本五份，电子备份光盘（或U盘）一份（内容为投标文件正本盖章扫描件）。</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6．我单位愿按《中华人民共和国民法典》履行自己的全部责任。</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我单位承诺在收到代理服务费缴费通知后7个工作日内领取中标（成交）通知书，逾期将视为我单位放弃中标（成交）资格。</w:t>
      </w:r>
    </w:p>
    <w:p>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pPr>
        <w:adjustRightInd w:val="0"/>
        <w:snapToGrid w:val="0"/>
        <w:spacing w:line="360" w:lineRule="auto"/>
        <w:ind w:firstLine="600"/>
      </w:pPr>
    </w:p>
    <w:p>
      <w:pPr>
        <w:adjustRightInd w:val="0"/>
        <w:snapToGrid w:val="0"/>
        <w:spacing w:line="360" w:lineRule="auto"/>
        <w:ind w:firstLine="426"/>
      </w:pPr>
      <w:r>
        <w:t>单    位： （盖章）</w:t>
      </w:r>
    </w:p>
    <w:p>
      <w:pPr>
        <w:adjustRightInd w:val="0"/>
        <w:snapToGrid w:val="0"/>
        <w:spacing w:line="360" w:lineRule="auto"/>
        <w:ind w:firstLine="426"/>
      </w:pPr>
      <w:r>
        <w:t xml:space="preserve">地    址： </w:t>
      </w:r>
    </w:p>
    <w:p>
      <w:pPr>
        <w:adjustRightInd w:val="0"/>
        <w:snapToGrid w:val="0"/>
        <w:spacing w:line="360" w:lineRule="auto"/>
        <w:ind w:firstLine="426"/>
      </w:pPr>
      <w:r>
        <w:t xml:space="preserve">电    话：     </w:t>
      </w:r>
    </w:p>
    <w:p>
      <w:pPr>
        <w:adjustRightInd w:val="0"/>
        <w:snapToGrid w:val="0"/>
        <w:spacing w:line="360" w:lineRule="auto"/>
        <w:ind w:firstLine="426"/>
      </w:pPr>
      <w:r>
        <w:t>传    真：</w:t>
      </w:r>
    </w:p>
    <w:p>
      <w:pPr>
        <w:adjustRightInd w:val="0"/>
        <w:snapToGrid w:val="0"/>
        <w:spacing w:line="360" w:lineRule="auto"/>
        <w:ind w:firstLine="426"/>
      </w:pPr>
      <w:r>
        <w:t>邮    编：</w:t>
      </w:r>
    </w:p>
    <w:p>
      <w:pPr>
        <w:adjustRightInd w:val="0"/>
        <w:snapToGrid w:val="0"/>
        <w:spacing w:line="360" w:lineRule="auto"/>
        <w:ind w:firstLine="426"/>
      </w:pPr>
      <w:r>
        <w:t xml:space="preserve">联 系 人： </w:t>
      </w:r>
    </w:p>
    <w:p>
      <w:pPr>
        <w:adjustRightInd w:val="0"/>
        <w:snapToGrid w:val="0"/>
        <w:spacing w:line="360" w:lineRule="auto"/>
        <w:ind w:firstLine="600"/>
      </w:pPr>
    </w:p>
    <w:p>
      <w:pPr>
        <w:adjustRightInd w:val="0"/>
        <w:snapToGrid w:val="0"/>
        <w:spacing w:line="360" w:lineRule="auto"/>
        <w:ind w:firstLine="600"/>
        <w:jc w:val="right"/>
      </w:pPr>
      <w:r>
        <w:rPr>
          <w:rFonts w:hint="eastAsia"/>
        </w:rPr>
        <w:t>年     月    日</w:t>
      </w:r>
    </w:p>
    <w:p>
      <w:pPr>
        <w:adjustRightInd w:val="0"/>
        <w:snapToGrid w:val="0"/>
        <w:spacing w:line="360" w:lineRule="auto"/>
        <w:ind w:firstLine="600"/>
        <w:jc w:val="right"/>
      </w:pPr>
    </w:p>
    <w:p>
      <w:pPr>
        <w:tabs>
          <w:tab w:val="left" w:pos="371"/>
        </w:tabs>
        <w:spacing w:before="120" w:after="120"/>
        <w:ind w:left="-1" w:leftChars="-1" w:hanging="1"/>
        <w:jc w:val="center"/>
        <w:rPr>
          <w:b/>
          <w:snapToGrid w:val="0"/>
          <w:kern w:val="0"/>
          <w:sz w:val="28"/>
        </w:rPr>
      </w:pPr>
    </w:p>
    <w:p>
      <w:pPr>
        <w:tabs>
          <w:tab w:val="left" w:pos="371"/>
        </w:tabs>
        <w:spacing w:before="120" w:after="120"/>
        <w:ind w:left="-1" w:leftChars="-1" w:hanging="1"/>
        <w:jc w:val="center"/>
        <w:rPr>
          <w:rFonts w:asciiTheme="minorEastAsia" w:hAnsiTheme="minorEastAsia" w:eastAsiaTheme="minorEastAsia"/>
          <w:sz w:val="24"/>
        </w:rPr>
      </w:pPr>
    </w:p>
    <w:p>
      <w:pPr>
        <w:pStyle w:val="3"/>
        <w:tabs>
          <w:tab w:val="left" w:pos="371"/>
        </w:tabs>
        <w:spacing w:before="120" w:after="120"/>
        <w:ind w:left="-1" w:leftChars="-1" w:hanging="1"/>
        <w:jc w:val="center"/>
        <w:rPr>
          <w:rFonts w:asciiTheme="minorEastAsia" w:hAnsiTheme="minorEastAsia" w:eastAsiaTheme="minorEastAsia"/>
        </w:rPr>
      </w:pPr>
      <w:bookmarkStart w:id="59" w:name="_Toc135293346"/>
      <w:r>
        <w:rPr>
          <w:rFonts w:hint="eastAsia" w:asciiTheme="minorEastAsia" w:hAnsiTheme="minorEastAsia" w:eastAsiaTheme="minorEastAsia"/>
        </w:rPr>
        <w:t>格式4  评分中涉及的承诺及声明函</w:t>
      </w:r>
      <w:bookmarkEnd w:id="59"/>
    </w:p>
    <w:p>
      <w:pPr>
        <w:widowControl/>
        <w:snapToGrid w:val="0"/>
        <w:spacing w:line="360" w:lineRule="auto"/>
        <w:jc w:val="left"/>
        <w:rPr>
          <w:rFonts w:ascii="仿宋" w:hAnsi="仿宋" w:eastAsia="仿宋"/>
          <w:b/>
          <w:bCs/>
          <w:kern w:val="0"/>
          <w:sz w:val="25"/>
          <w:szCs w:val="25"/>
        </w:rPr>
      </w:pPr>
    </w:p>
    <w:p>
      <w:pPr>
        <w:widowControl/>
        <w:snapToGrid w:val="0"/>
        <w:spacing w:line="360" w:lineRule="auto"/>
        <w:jc w:val="left"/>
        <w:outlineLvl w:val="3"/>
        <w:rPr>
          <w:rFonts w:ascii="仿宋" w:hAnsi="仿宋" w:eastAsia="仿宋"/>
          <w:b/>
          <w:bCs/>
          <w:kern w:val="0"/>
          <w:sz w:val="25"/>
          <w:szCs w:val="25"/>
        </w:rPr>
      </w:pPr>
      <w:r>
        <w:rPr>
          <w:rFonts w:hint="eastAsia" w:ascii="仿宋" w:hAnsi="仿宋" w:eastAsia="仿宋"/>
          <w:b/>
          <w:bCs/>
          <w:kern w:val="0"/>
          <w:sz w:val="25"/>
          <w:szCs w:val="25"/>
        </w:rPr>
        <w:t>填写指引：</w:t>
      </w:r>
    </w:p>
    <w:p>
      <w:pPr>
        <w:widowControl/>
        <w:snapToGrid w:val="0"/>
        <w:spacing w:line="360" w:lineRule="auto"/>
        <w:ind w:firstLine="424" w:firstLineChars="202"/>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1、该部分内容由投标人根据自身实际情况填写，投标人提供的声明函不属实的，属于提供虚假资料谋取中标，依照《中华人民共和国政府采购法》等国家有关规定追究相应责任。</w:t>
      </w:r>
    </w:p>
    <w:p>
      <w:pPr>
        <w:widowControl/>
        <w:snapToGrid w:val="0"/>
        <w:spacing w:line="360" w:lineRule="auto"/>
        <w:ind w:firstLine="426"/>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60" w:name="_Hlk71925120"/>
      <w:r>
        <w:rPr>
          <w:rFonts w:hint="eastAsia" w:asciiTheme="minorEastAsia" w:hAnsiTheme="minorEastAsia" w:eastAsiaTheme="minorEastAsia"/>
          <w:kern w:val="0"/>
          <w:szCs w:val="21"/>
        </w:rPr>
        <w:t>《关于印发中小企业划型标准规定的通知》（工信部联企业〔2011〕300 号</w:t>
      </w:r>
      <w:bookmarkEnd w:id="60"/>
      <w:r>
        <w:rPr>
          <w:rFonts w:hint="eastAsia" w:asciiTheme="minorEastAsia" w:hAnsiTheme="minorEastAsia" w:eastAsiaTheme="minorEastAsia"/>
          <w:kern w:val="0"/>
          <w:szCs w:val="21"/>
        </w:rPr>
        <w:t>）</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pPr>
        <w:widowControl/>
        <w:snapToGrid w:val="0"/>
        <w:spacing w:line="360" w:lineRule="auto"/>
        <w:ind w:firstLine="555"/>
        <w:jc w:val="left"/>
        <w:rPr>
          <w:rFonts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3、请依照招标文件提供的格式和内容填写声明函，不要随意变更格式；满足多项优惠政策的投标人，不重复享受多项价格扣除政策。不符合要求的供应商可以不填写。</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4、《中小企业声明函》填写要求：</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（3）在“标的名称”下划线处填写所采购标的（货物或服务或工程）的具体名称</w:t>
      </w:r>
      <w:r>
        <w:rPr>
          <w:rFonts w:hint="eastAsia" w:asciiTheme="minorEastAsia" w:hAnsiTheme="minorEastAsia" w:eastAsiaTheme="minorEastAsia"/>
          <w:b/>
          <w:bCs/>
          <w:color w:val="FF0000"/>
          <w:kern w:val="0"/>
          <w:szCs w:val="21"/>
        </w:rPr>
        <w:t>（具体详见第二章项目需求，如涉及多项标的，投标人需逐项进行响应）</w:t>
      </w:r>
      <w:r>
        <w:rPr>
          <w:rFonts w:hint="eastAsia" w:asciiTheme="minorEastAsia" w:hAnsiTheme="minorEastAsia" w:eastAsiaTheme="minorEastAsia"/>
          <w:kern w:val="0"/>
          <w:szCs w:val="21"/>
        </w:rPr>
        <w:t>；</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（详见第四章 评标方法和标准）</w:t>
      </w:r>
      <w:r>
        <w:rPr>
          <w:rFonts w:hint="eastAsia" w:asciiTheme="minorEastAsia" w:hAnsiTheme="minorEastAsia" w:eastAsiaTheme="minorEastAsia"/>
          <w:kern w:val="0"/>
          <w:szCs w:val="21"/>
        </w:rPr>
        <w:t>；</w:t>
      </w:r>
    </w:p>
    <w:p>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上一年度从业人员、营业收入、资产总额，无上一年度数据的新成立企业可以不填报；</w:t>
      </w:r>
    </w:p>
    <w:p>
      <w:pPr>
        <w:widowControl/>
        <w:snapToGrid w:val="0"/>
        <w:spacing w:line="360" w:lineRule="auto"/>
        <w:ind w:firstLine="424" w:firstLineChars="202"/>
        <w:jc w:val="left"/>
        <w:rPr>
          <w:rFonts w:ascii="宋体" w:hAnsi="宋体" w:eastAsiaTheme="minorEastAsia" w:cstheme="minorBidi"/>
          <w:kern w:val="0"/>
          <w:szCs w:val="21"/>
        </w:rPr>
      </w:pPr>
      <w:r>
        <w:rPr>
          <w:rFonts w:hint="eastAsia" w:asciiTheme="minorEastAsia" w:hAnsiTheme="minorEastAsia" w:eastAsiaTheme="minorEastAsia"/>
          <w:kern w:val="0"/>
          <w:szCs w:val="21"/>
        </w:rPr>
        <w:t>（6）在“中型企业、小型企业、微型企业”下划线处如实依照工信部联企业〔2011〕300号文填写相应的企业类型</w:t>
      </w:r>
      <w:r>
        <w:rPr>
          <w:rFonts w:hint="eastAsia" w:ascii="宋体" w:hAnsi="宋体" w:eastAsiaTheme="minorEastAsia" w:cstheme="minorBidi"/>
          <w:kern w:val="0"/>
          <w:szCs w:val="21"/>
        </w:rPr>
        <w:t>；</w:t>
      </w:r>
    </w:p>
    <w:p>
      <w:pPr>
        <w:widowControl/>
        <w:snapToGrid w:val="0"/>
        <w:spacing w:line="360" w:lineRule="auto"/>
        <w:ind w:firstLine="426" w:firstLineChars="202"/>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（7）如为联合体投标或以分包形式投标的，需分别填写每家中小企业的企业名称、从业人员、营业收入、资产总额、企业类别（中型企业、小型企业、微型企业）等信息；</w:t>
      </w:r>
    </w:p>
    <w:p>
      <w:pPr>
        <w:widowControl/>
        <w:snapToGrid w:val="0"/>
        <w:spacing w:line="360" w:lineRule="auto"/>
        <w:ind w:firstLine="426" w:firstLineChars="202"/>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（8）</w:t>
      </w:r>
      <w:r>
        <w:rPr>
          <w:rFonts w:hint="eastAsia" w:asciiTheme="minorHAnsi" w:hAnsiTheme="minorHAnsi" w:eastAsiaTheme="minorEastAsia" w:cstheme="minorBidi"/>
          <w:b/>
          <w:color w:val="FF0000"/>
          <w:szCs w:val="22"/>
        </w:rPr>
        <w:t>《中小企业声明函》中制造商、承接/承建企业所属行业应当与招标文件要求的行业相一致</w:t>
      </w:r>
      <w:r>
        <w:rPr>
          <w:rFonts w:hint="eastAsia" w:asciiTheme="minorHAnsi" w:hAnsiTheme="minorHAnsi" w:eastAsiaTheme="minorEastAsia" w:cstheme="minorBidi"/>
          <w:szCs w:val="22"/>
        </w:rPr>
        <w:t>，供应商如有疑问，可根据《国民经济行业分类》（GB/T4754-2002），结合《关于印发中小企业划型标准规定的通知》（工信部联企业〔2011〕300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p>
    <w:p>
      <w:pPr>
        <w:widowControl/>
        <w:snapToGrid w:val="0"/>
        <w:spacing w:line="360" w:lineRule="auto"/>
        <w:ind w:firstLine="426" w:firstLineChars="202"/>
        <w:jc w:val="left"/>
        <w:rPr>
          <w:rFonts w:asciiTheme="minorEastAsia" w:hAnsiTheme="minorEastAsia" w:eastAsiaTheme="minorEastAsia"/>
          <w:b/>
          <w:color w:val="FF0000"/>
          <w:kern w:val="0"/>
          <w:szCs w:val="21"/>
        </w:rPr>
      </w:pPr>
    </w:p>
    <w:p>
      <w:pPr>
        <w:pStyle w:val="5"/>
        <w:tabs>
          <w:tab w:val="left" w:pos="0"/>
        </w:tabs>
        <w:jc w:val="center"/>
        <w:rPr>
          <w:rFonts w:ascii="宋体" w:hAnsi="宋体" w:eastAsia="宋体"/>
        </w:rPr>
      </w:pPr>
      <w:r>
        <w:rPr>
          <w:rFonts w:hint="eastAsia" w:ascii="宋体" w:hAnsi="宋体" w:eastAsia="宋体"/>
        </w:rPr>
        <w:t>中小企业声明函</w:t>
      </w:r>
    </w:p>
    <w:p>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提供的货物全部由符合政策要求的中小企业制造</w:t>
      </w:r>
      <w:r>
        <w:rPr>
          <w:rFonts w:asciiTheme="minorEastAsia" w:hAnsiTheme="minorEastAsia" w:eastAsiaTheme="minorEastAsia"/>
          <w:szCs w:val="21"/>
        </w:rPr>
        <w:t>。相关企业（含联合体中的中小企业、签订分包意向协议的中小企业）的具体情况如下：</w:t>
      </w:r>
    </w:p>
    <w:p>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hint="eastAsia" w:asciiTheme="minorEastAsia" w:hAnsiTheme="minorEastAsia" w:eastAsiaTheme="minorEastAsia"/>
          <w:szCs w:val="21"/>
        </w:rPr>
        <w:t>行业</w:t>
      </w:r>
      <w:r>
        <w:rPr>
          <w:rFonts w:asciiTheme="minorEastAsia" w:hAnsiTheme="minorEastAsia" w:eastAsiaTheme="minorEastAsia"/>
          <w:szCs w:val="21"/>
        </w:rPr>
        <w:t>；</w:t>
      </w:r>
      <w:r>
        <w:rPr>
          <w:rFonts w:hint="eastAsia" w:asciiTheme="minorEastAsia" w:hAnsiTheme="minorEastAsia" w:eastAsiaTheme="minorEastAsia"/>
          <w:szCs w:val="21"/>
        </w:rPr>
        <w:t>制造商</w:t>
      </w:r>
      <w:r>
        <w:rPr>
          <w:rFonts w:asciiTheme="minorEastAsia" w:hAnsiTheme="minorEastAsia" w:eastAsiaTheme="minorEastAsia"/>
          <w:szCs w:val="21"/>
        </w:rPr>
        <w:t>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hint="eastAsia" w:asciiTheme="minorEastAsia" w:hAnsiTheme="minorEastAsia" w:eastAsiaTheme="minorEastAsia"/>
          <w:szCs w:val="21"/>
        </w:rPr>
        <w:t>行业</w:t>
      </w:r>
      <w:r>
        <w:rPr>
          <w:rFonts w:asciiTheme="minorEastAsia" w:hAnsiTheme="minorEastAsia" w:eastAsiaTheme="minorEastAsia"/>
          <w:szCs w:val="21"/>
        </w:rPr>
        <w:t>；</w:t>
      </w:r>
      <w:r>
        <w:rPr>
          <w:rFonts w:hint="eastAsia" w:asciiTheme="minorEastAsia" w:hAnsiTheme="minorEastAsia" w:eastAsiaTheme="minorEastAsia"/>
          <w:szCs w:val="21"/>
        </w:rPr>
        <w:t>制造商</w:t>
      </w:r>
      <w:r>
        <w:rPr>
          <w:rFonts w:asciiTheme="minorEastAsia" w:hAnsiTheme="minorEastAsia" w:eastAsiaTheme="minorEastAsia"/>
          <w:szCs w:val="21"/>
        </w:rPr>
        <w:t>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pPr>
        <w:pStyle w:val="20"/>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pPr>
        <w:pStyle w:val="20"/>
        <w:spacing w:before="108" w:line="304" w:lineRule="auto"/>
        <w:ind w:right="-1" w:firstLine="408"/>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pPr>
        <w:spacing w:line="360" w:lineRule="auto"/>
        <w:ind w:right="-1" w:firstLine="420" w:firstLineChars="200"/>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pPr>
        <w:spacing w:line="360" w:lineRule="auto"/>
        <w:ind w:right="-1" w:firstLine="420" w:firstLineChars="200"/>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ind w:firstLine="420" w:firstLineChars="200"/>
        <w:rPr>
          <w:rFonts w:ascii="宋体" w:hAnsi="宋体"/>
          <w:szCs w:val="21"/>
        </w:rPr>
      </w:pPr>
      <w:r>
        <w:rPr>
          <w:rFonts w:hint="eastAsia" w:ascii="宋体" w:hAnsi="宋体"/>
          <w:szCs w:val="21"/>
        </w:rPr>
        <w:t>备注：</w:t>
      </w:r>
    </w:p>
    <w:p>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pPr>
        <w:spacing w:line="360" w:lineRule="auto"/>
        <w:ind w:firstLine="420" w:firstLineChars="200"/>
        <w:rPr>
          <w:rFonts w:ascii="宋体" w:hAnsi="宋体"/>
          <w:szCs w:val="21"/>
        </w:rPr>
      </w:pPr>
      <w:r>
        <w:rPr>
          <w:rFonts w:hint="eastAsia" w:ascii="宋体" w:hAnsi="宋体"/>
          <w:szCs w:val="21"/>
        </w:rPr>
        <w:t>2、从业人员、营业收入、资产总额填报上一年度数据，无上一年度数据的新成立企业可不填报。</w:t>
      </w:r>
    </w:p>
    <w:p>
      <w:pPr>
        <w:spacing w:line="360" w:lineRule="auto"/>
        <w:ind w:firstLine="424" w:firstLineChars="202"/>
        <w:rPr>
          <w:rFonts w:ascii="宋体" w:hAnsi="宋体"/>
          <w:szCs w:val="21"/>
        </w:rPr>
      </w:pPr>
      <w:r>
        <w:rPr>
          <w:rFonts w:hint="eastAsia" w:ascii="宋体" w:hAnsi="宋体"/>
          <w:szCs w:val="21"/>
        </w:rPr>
        <w:t>3、供应商提供的货物既有中小企业制造货物，也有大型企业制造货物的，不享受中小企业扶持政策。</w:t>
      </w:r>
    </w:p>
    <w:p>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4、中小企业参加政府采购活动，应当按照国务院批准的《中小企业划型标准规定》（工信部联企业〔2011〕300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hint="eastAsia" w:asciiTheme="minorEastAsia" w:hAnsiTheme="minorEastAsia" w:eastAsiaTheme="minorEastAsia" w:cstheme="minorBidi"/>
          <w:b/>
          <w:szCs w:val="22"/>
        </w:rPr>
        <w:t>《中小企业声明函》中相关企业所属行业应当与采购标的所属行业相一致</w:t>
      </w:r>
      <w:r>
        <w:rPr>
          <w:rFonts w:hint="eastAsia" w:asciiTheme="minorEastAsia" w:hAnsiTheme="minorEastAsia" w:eastAsiaTheme="minorEastAsia" w:cstheme="minorBidi"/>
          <w:szCs w:val="22"/>
        </w:rPr>
        <w:t>。</w:t>
      </w:r>
    </w:p>
    <w:p>
      <w:pPr>
        <w:spacing w:line="360" w:lineRule="auto"/>
        <w:ind w:firstLine="420" w:firstLineChars="200"/>
        <w:rPr>
          <w:rFonts w:ascii="宋体" w:hAnsi="宋体"/>
          <w:szCs w:val="21"/>
        </w:rPr>
      </w:pPr>
    </w:p>
    <w:p>
      <w:pPr>
        <w:pStyle w:val="5"/>
        <w:tabs>
          <w:tab w:val="left" w:pos="0"/>
        </w:tabs>
        <w:jc w:val="center"/>
        <w:rPr>
          <w:rFonts w:ascii="宋体" w:hAnsi="宋体" w:eastAsia="宋体"/>
        </w:rPr>
      </w:pPr>
      <w:r>
        <w:rPr>
          <w:rFonts w:hint="eastAsia" w:ascii="宋体" w:hAnsi="宋体" w:eastAsia="宋体"/>
        </w:rPr>
        <w:t>监狱企业声明函</w:t>
      </w:r>
    </w:p>
    <w:p>
      <w:pPr>
        <w:spacing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ind w:firstLine="420" w:firstLineChars="200"/>
        <w:jc w:val="right"/>
        <w:rPr>
          <w:rFonts w:ascii="宋体" w:hAnsi="宋体"/>
          <w:szCs w:val="21"/>
        </w:rPr>
      </w:pPr>
    </w:p>
    <w:p>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pPr>
        <w:spacing w:line="360" w:lineRule="auto"/>
        <w:ind w:left="723" w:hanging="723" w:hangingChars="300"/>
        <w:rPr>
          <w:b/>
          <w:sz w:val="24"/>
        </w:rPr>
      </w:pPr>
    </w:p>
    <w:p>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pPr>
        <w:pStyle w:val="5"/>
        <w:tabs>
          <w:tab w:val="left" w:pos="0"/>
        </w:tabs>
        <w:jc w:val="center"/>
        <w:rPr>
          <w:rFonts w:ascii="宋体" w:hAnsi="宋体" w:eastAsia="宋体"/>
        </w:rPr>
      </w:pPr>
      <w:r>
        <w:rPr>
          <w:rFonts w:hint="eastAsia" w:ascii="宋体" w:hAnsi="宋体" w:eastAsia="宋体"/>
        </w:rPr>
        <w:t>残疾人福利性单位声明函</w:t>
      </w: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jc w:val="left"/>
        <w:rPr>
          <w:rFonts w:ascii="宋体" w:hAnsi="宋体"/>
          <w:szCs w:val="21"/>
        </w:rPr>
      </w:pPr>
      <w:r>
        <w:rPr>
          <w:rFonts w:hint="eastAsia" w:ascii="宋体" w:hAnsi="宋体"/>
          <w:szCs w:val="21"/>
        </w:rPr>
        <w:t xml:space="preserve">    备注：填写前请认真阅读《财政部、民政部、中国残疾人联合会关于促进残疾人就业政府采购政策的通知》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pPr>
        <w:pStyle w:val="5"/>
        <w:tabs>
          <w:tab w:val="left" w:pos="0"/>
        </w:tabs>
        <w:jc w:val="center"/>
        <w:rPr>
          <w:rFonts w:ascii="宋体" w:hAnsi="宋体" w:eastAsia="宋体"/>
        </w:rPr>
      </w:pPr>
      <w:r>
        <w:rPr>
          <w:rFonts w:hint="eastAsia" w:ascii="宋体" w:hAnsi="宋体" w:eastAsia="宋体"/>
        </w:rPr>
        <w:t>列入政府优先采购清单的投标产品一览表</w:t>
      </w:r>
    </w:p>
    <w:tbl>
      <w:tblPr>
        <w:tblStyle w:val="50"/>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restart"/>
            <w:vAlign w:val="center"/>
          </w:tcPr>
          <w:p>
            <w:pPr>
              <w:jc w:val="center"/>
              <w:rPr>
                <w:b/>
                <w:szCs w:val="21"/>
              </w:rPr>
            </w:pPr>
            <w:r>
              <w:rPr>
                <w:rFonts w:hint="eastAsia"/>
                <w:b/>
                <w:szCs w:val="21"/>
              </w:rPr>
              <w:t>序号</w:t>
            </w:r>
          </w:p>
        </w:tc>
        <w:tc>
          <w:tcPr>
            <w:tcW w:w="1213" w:type="dxa"/>
            <w:vMerge w:val="restart"/>
            <w:vAlign w:val="center"/>
          </w:tcPr>
          <w:p>
            <w:pPr>
              <w:jc w:val="center"/>
              <w:rPr>
                <w:b/>
                <w:szCs w:val="21"/>
              </w:rPr>
            </w:pPr>
            <w:r>
              <w:rPr>
                <w:rFonts w:hint="eastAsia"/>
                <w:b/>
                <w:szCs w:val="21"/>
              </w:rPr>
              <w:t>投标产品名称</w:t>
            </w:r>
          </w:p>
        </w:tc>
        <w:tc>
          <w:tcPr>
            <w:tcW w:w="1840" w:type="dxa"/>
            <w:vMerge w:val="restart"/>
            <w:vAlign w:val="center"/>
          </w:tcPr>
          <w:p>
            <w:pPr>
              <w:jc w:val="center"/>
              <w:rPr>
                <w:b/>
                <w:szCs w:val="21"/>
              </w:rPr>
            </w:pPr>
            <w:r>
              <w:rPr>
                <w:rFonts w:hint="eastAsia"/>
                <w:b/>
                <w:szCs w:val="21"/>
              </w:rPr>
              <w:t>规格及型号</w:t>
            </w:r>
          </w:p>
        </w:tc>
        <w:tc>
          <w:tcPr>
            <w:tcW w:w="4351" w:type="dxa"/>
            <w:gridSpan w:val="3"/>
            <w:vAlign w:val="center"/>
          </w:tcPr>
          <w:p>
            <w:pPr>
              <w:jc w:val="center"/>
              <w:rPr>
                <w:b/>
                <w:szCs w:val="21"/>
              </w:rPr>
            </w:pPr>
            <w:r>
              <w:rPr>
                <w:rFonts w:hint="eastAsia"/>
                <w:b/>
                <w:szCs w:val="21"/>
              </w:rPr>
              <w:t>投标产品报价</w:t>
            </w:r>
          </w:p>
        </w:tc>
        <w:tc>
          <w:tcPr>
            <w:tcW w:w="1503" w:type="dxa"/>
            <w:vMerge w:val="restart"/>
            <w:vAlign w:val="center"/>
          </w:tcPr>
          <w:p>
            <w:pPr>
              <w:jc w:val="center"/>
              <w:rPr>
                <w:b/>
                <w:szCs w:val="21"/>
              </w:rPr>
            </w:pPr>
            <w:r>
              <w:rPr>
                <w:rFonts w:hint="eastAsia"/>
                <w:b/>
                <w:szCs w:val="21"/>
              </w:rPr>
              <w:t>属于优先采购清单的类别</w:t>
            </w:r>
          </w:p>
        </w:tc>
        <w:tc>
          <w:tcPr>
            <w:tcW w:w="720" w:type="dxa"/>
            <w:vMerge w:val="restart"/>
            <w:vAlign w:val="center"/>
          </w:tcPr>
          <w:p>
            <w:pPr>
              <w:jc w:val="center"/>
              <w:rPr>
                <w:b/>
                <w:szCs w:val="21"/>
              </w:rPr>
            </w:pPr>
            <w:r>
              <w:rPr>
                <w:rFonts w:hint="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pPr>
              <w:rPr>
                <w:szCs w:val="21"/>
              </w:rPr>
            </w:pPr>
          </w:p>
        </w:tc>
        <w:tc>
          <w:tcPr>
            <w:tcW w:w="1213" w:type="dxa"/>
            <w:vMerge w:val="continue"/>
            <w:vAlign w:val="center"/>
          </w:tcPr>
          <w:p>
            <w:pPr>
              <w:rPr>
                <w:szCs w:val="21"/>
              </w:rPr>
            </w:pPr>
          </w:p>
        </w:tc>
        <w:tc>
          <w:tcPr>
            <w:tcW w:w="1840" w:type="dxa"/>
            <w:vMerge w:val="continue"/>
            <w:vAlign w:val="center"/>
          </w:tcPr>
          <w:p>
            <w:pPr>
              <w:rPr>
                <w:szCs w:val="21"/>
              </w:rPr>
            </w:pPr>
          </w:p>
        </w:tc>
        <w:tc>
          <w:tcPr>
            <w:tcW w:w="818" w:type="dxa"/>
            <w:vAlign w:val="center"/>
          </w:tcPr>
          <w:p>
            <w:pPr>
              <w:rPr>
                <w:szCs w:val="21"/>
              </w:rPr>
            </w:pPr>
            <w:r>
              <w:rPr>
                <w:rFonts w:hint="eastAsia"/>
                <w:szCs w:val="21"/>
              </w:rPr>
              <w:t>数量</w:t>
            </w:r>
          </w:p>
        </w:tc>
        <w:tc>
          <w:tcPr>
            <w:tcW w:w="1241" w:type="dxa"/>
            <w:vAlign w:val="center"/>
          </w:tcPr>
          <w:p>
            <w:pPr>
              <w:jc w:val="center"/>
              <w:rPr>
                <w:szCs w:val="21"/>
              </w:rPr>
            </w:pPr>
            <w:r>
              <w:rPr>
                <w:rFonts w:hint="eastAsia"/>
                <w:szCs w:val="21"/>
              </w:rPr>
              <w:t>投标单价（元）</w:t>
            </w:r>
          </w:p>
        </w:tc>
        <w:tc>
          <w:tcPr>
            <w:tcW w:w="2292" w:type="dxa"/>
            <w:vAlign w:val="center"/>
          </w:tcPr>
          <w:p>
            <w:pPr>
              <w:jc w:val="center"/>
              <w:rPr>
                <w:szCs w:val="21"/>
              </w:rPr>
            </w:pPr>
            <w:r>
              <w:rPr>
                <w:rFonts w:hint="eastAsia"/>
                <w:szCs w:val="21"/>
              </w:rPr>
              <w:t>投标</w:t>
            </w:r>
            <w:r>
              <w:rPr>
                <w:rFonts w:hint="eastAsia" w:ascii="宋体" w:hAnsi="宋体"/>
                <w:szCs w:val="21"/>
              </w:rPr>
              <w:t>合计</w:t>
            </w:r>
            <w:r>
              <w:rPr>
                <w:rFonts w:hint="eastAsia"/>
                <w:szCs w:val="21"/>
              </w:rPr>
              <w:t>报价（元）</w:t>
            </w:r>
          </w:p>
        </w:tc>
        <w:tc>
          <w:tcPr>
            <w:tcW w:w="1503" w:type="dxa"/>
            <w:vMerge w:val="continue"/>
            <w:vAlign w:val="center"/>
          </w:tcPr>
          <w:p>
            <w:pPr>
              <w:rPr>
                <w:szCs w:val="21"/>
              </w:rPr>
            </w:pPr>
          </w:p>
        </w:tc>
        <w:tc>
          <w:tcPr>
            <w:tcW w:w="720" w:type="dxa"/>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jc w:val="center"/>
              <w:rPr>
                <w:rFonts w:ascii="宋体" w:hAnsi="宋体"/>
                <w:szCs w:val="21"/>
              </w:rPr>
            </w:pPr>
            <w:r>
              <w:rPr>
                <w:rFonts w:hint="eastAsia" w:ascii="宋体" w:hAnsi="宋体"/>
                <w:szCs w:val="21"/>
              </w:rPr>
              <w:t>1</w:t>
            </w:r>
          </w:p>
        </w:tc>
        <w:tc>
          <w:tcPr>
            <w:tcW w:w="1213" w:type="dxa"/>
            <w:vAlign w:val="center"/>
          </w:tcPr>
          <w:p>
            <w:pPr>
              <w:jc w:val="center"/>
              <w:rPr>
                <w:szCs w:val="21"/>
              </w:rPr>
            </w:pPr>
          </w:p>
        </w:tc>
        <w:tc>
          <w:tcPr>
            <w:tcW w:w="1840" w:type="dxa"/>
            <w:vAlign w:val="center"/>
          </w:tcPr>
          <w:p>
            <w:pPr>
              <w:jc w:val="center"/>
              <w:rPr>
                <w:szCs w:val="21"/>
              </w:rPr>
            </w:pPr>
          </w:p>
        </w:tc>
        <w:tc>
          <w:tcPr>
            <w:tcW w:w="818" w:type="dxa"/>
            <w:vAlign w:val="center"/>
          </w:tcPr>
          <w:p>
            <w:pPr>
              <w:jc w:val="center"/>
              <w:rPr>
                <w:szCs w:val="21"/>
              </w:rPr>
            </w:pPr>
          </w:p>
        </w:tc>
        <w:tc>
          <w:tcPr>
            <w:tcW w:w="1241" w:type="dxa"/>
            <w:vAlign w:val="center"/>
          </w:tcPr>
          <w:p>
            <w:pPr>
              <w:jc w:val="center"/>
              <w:rPr>
                <w:szCs w:val="21"/>
              </w:rPr>
            </w:pPr>
          </w:p>
        </w:tc>
        <w:tc>
          <w:tcPr>
            <w:tcW w:w="2292" w:type="dxa"/>
            <w:vAlign w:val="center"/>
          </w:tcPr>
          <w:p>
            <w:pPr>
              <w:jc w:val="center"/>
              <w:rPr>
                <w:szCs w:val="21"/>
              </w:rPr>
            </w:pPr>
          </w:p>
        </w:tc>
        <w:tc>
          <w:tcPr>
            <w:tcW w:w="1503" w:type="dxa"/>
            <w:vAlign w:val="center"/>
          </w:tcPr>
          <w:p>
            <w:pPr>
              <w:jc w:val="center"/>
              <w:rPr>
                <w:szCs w:val="21"/>
              </w:rPr>
            </w:pPr>
          </w:p>
        </w:tc>
        <w:tc>
          <w:tcPr>
            <w:tcW w:w="72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jc w:val="center"/>
              <w:rPr>
                <w:rFonts w:ascii="宋体" w:hAnsi="宋体"/>
                <w:szCs w:val="21"/>
              </w:rPr>
            </w:pPr>
            <w:r>
              <w:rPr>
                <w:rFonts w:hint="eastAsia" w:ascii="宋体" w:hAnsi="宋体"/>
                <w:szCs w:val="21"/>
              </w:rPr>
              <w:t>2</w:t>
            </w:r>
          </w:p>
        </w:tc>
        <w:tc>
          <w:tcPr>
            <w:tcW w:w="1213" w:type="dxa"/>
            <w:vAlign w:val="center"/>
          </w:tcPr>
          <w:p>
            <w:pPr>
              <w:jc w:val="center"/>
              <w:rPr>
                <w:szCs w:val="21"/>
              </w:rPr>
            </w:pPr>
          </w:p>
        </w:tc>
        <w:tc>
          <w:tcPr>
            <w:tcW w:w="1840" w:type="dxa"/>
            <w:vAlign w:val="center"/>
          </w:tcPr>
          <w:p>
            <w:pPr>
              <w:jc w:val="center"/>
              <w:rPr>
                <w:szCs w:val="21"/>
              </w:rPr>
            </w:pPr>
          </w:p>
        </w:tc>
        <w:tc>
          <w:tcPr>
            <w:tcW w:w="818" w:type="dxa"/>
            <w:vAlign w:val="center"/>
          </w:tcPr>
          <w:p>
            <w:pPr>
              <w:jc w:val="center"/>
              <w:rPr>
                <w:szCs w:val="21"/>
              </w:rPr>
            </w:pPr>
          </w:p>
        </w:tc>
        <w:tc>
          <w:tcPr>
            <w:tcW w:w="1241" w:type="dxa"/>
            <w:vAlign w:val="center"/>
          </w:tcPr>
          <w:p>
            <w:pPr>
              <w:jc w:val="center"/>
              <w:rPr>
                <w:szCs w:val="21"/>
              </w:rPr>
            </w:pPr>
          </w:p>
        </w:tc>
        <w:tc>
          <w:tcPr>
            <w:tcW w:w="2292" w:type="dxa"/>
            <w:vAlign w:val="center"/>
          </w:tcPr>
          <w:p>
            <w:pPr>
              <w:jc w:val="center"/>
              <w:rPr>
                <w:szCs w:val="21"/>
              </w:rPr>
            </w:pPr>
          </w:p>
        </w:tc>
        <w:tc>
          <w:tcPr>
            <w:tcW w:w="1503" w:type="dxa"/>
            <w:vAlign w:val="center"/>
          </w:tcPr>
          <w:p>
            <w:pPr>
              <w:jc w:val="center"/>
              <w:rPr>
                <w:szCs w:val="21"/>
              </w:rPr>
            </w:pPr>
          </w:p>
        </w:tc>
        <w:tc>
          <w:tcPr>
            <w:tcW w:w="720" w:type="dxa"/>
            <w:vAlign w:val="center"/>
          </w:tcPr>
          <w:p>
            <w:pPr>
              <w:jc w:val="center"/>
              <w:rPr>
                <w:szCs w:val="21"/>
              </w:rPr>
            </w:pPr>
          </w:p>
        </w:tc>
      </w:tr>
    </w:tbl>
    <w:p>
      <w:pPr>
        <w:spacing w:line="360" w:lineRule="auto"/>
        <w:rPr>
          <w:szCs w:val="21"/>
        </w:rPr>
      </w:pPr>
      <w:r>
        <w:rPr>
          <w:rFonts w:hint="eastAsia"/>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rPr>
          <w:rFonts w:hint="eastAsia"/>
          <w:szCs w:val="21"/>
        </w:rPr>
        <w:t>投标产品若不属于上述清单或目录范围内，则无需填写该表。</w:t>
      </w:r>
    </w:p>
    <w:p>
      <w:pPr>
        <w:spacing w:line="360" w:lineRule="auto"/>
        <w:rPr>
          <w:rFonts w:ascii="宋体" w:hAnsi="宋体"/>
          <w:szCs w:val="21"/>
        </w:rPr>
      </w:pPr>
      <w:r>
        <w:rPr>
          <w:rFonts w:hint="eastAsia" w:ascii="宋体" w:hAnsi="宋体"/>
          <w:szCs w:val="21"/>
        </w:rPr>
        <w:t>2. “投标产品报价”栏中须准确填报该投标产品的投标单价、数量及投标合计报价；投标产品名称、规格型号、价格应与“分项价格表”一致，如不一致，以“分项价格表”为准。</w:t>
      </w:r>
    </w:p>
    <w:p>
      <w:pPr>
        <w:spacing w:line="360" w:lineRule="auto"/>
        <w:rPr>
          <w:rFonts w:ascii="宋体" w:hAnsi="宋体"/>
          <w:szCs w:val="21"/>
        </w:rPr>
      </w:pPr>
      <w:r>
        <w:rPr>
          <w:rFonts w:hint="eastAsia" w:ascii="宋体" w:hAnsi="宋体"/>
          <w:szCs w:val="21"/>
        </w:rPr>
        <w:t>3. “属于优先采购清单的类别”栏中填写“节能产品政府采购品目清单”或“环境标志产品政府采购品目清单”。</w:t>
      </w:r>
    </w:p>
    <w:p>
      <w:pPr>
        <w:adjustRightInd w:val="0"/>
        <w:snapToGrid w:val="0"/>
        <w:spacing w:line="360" w:lineRule="auto"/>
        <w:ind w:firstLine="600"/>
        <w:jc w:val="right"/>
      </w:pPr>
    </w:p>
    <w:p>
      <w:pPr>
        <w:adjustRightInd w:val="0"/>
        <w:spacing w:line="300" w:lineRule="auto"/>
        <w:ind w:hanging="2"/>
        <w:jc w:val="center"/>
        <w:rPr>
          <w:b/>
          <w:snapToGrid w:val="0"/>
          <w:kern w:val="0"/>
          <w:sz w:val="28"/>
        </w:rPr>
      </w:pPr>
    </w:p>
    <w:p>
      <w:pPr>
        <w:adjustRightInd w:val="0"/>
        <w:spacing w:line="300" w:lineRule="auto"/>
        <w:ind w:hanging="2"/>
        <w:jc w:val="center"/>
        <w:rPr>
          <w:b/>
          <w:snapToGrid w:val="0"/>
          <w:kern w:val="0"/>
          <w:sz w:val="28"/>
        </w:rPr>
      </w:pPr>
    </w:p>
    <w:p>
      <w:pPr>
        <w:adjustRightInd w:val="0"/>
        <w:spacing w:line="300" w:lineRule="auto"/>
        <w:ind w:hanging="2"/>
        <w:jc w:val="center"/>
        <w:rPr>
          <w:b/>
          <w:snapToGrid w:val="0"/>
          <w:kern w:val="0"/>
          <w:sz w:val="28"/>
        </w:rPr>
      </w:pPr>
    </w:p>
    <w:p>
      <w:pPr>
        <w:adjustRightInd w:val="0"/>
        <w:spacing w:line="300" w:lineRule="auto"/>
        <w:ind w:hanging="2"/>
        <w:jc w:val="center"/>
        <w:rPr>
          <w:b/>
          <w:snapToGrid w:val="0"/>
          <w:kern w:val="0"/>
          <w:sz w:val="28"/>
        </w:rPr>
      </w:pPr>
    </w:p>
    <w:p>
      <w:pPr>
        <w:adjustRightInd w:val="0"/>
        <w:spacing w:line="300" w:lineRule="auto"/>
        <w:ind w:hanging="2"/>
        <w:jc w:val="center"/>
        <w:rPr>
          <w:b/>
          <w:snapToGrid w:val="0"/>
          <w:kern w:val="0"/>
          <w:sz w:val="28"/>
        </w:rPr>
      </w:pPr>
    </w:p>
    <w:p>
      <w:pPr>
        <w:adjustRightInd w:val="0"/>
        <w:spacing w:line="300" w:lineRule="auto"/>
        <w:ind w:hanging="2"/>
        <w:jc w:val="center"/>
        <w:rPr>
          <w:b/>
          <w:snapToGrid w:val="0"/>
          <w:kern w:val="0"/>
          <w:sz w:val="28"/>
        </w:rPr>
      </w:pPr>
    </w:p>
    <w:p>
      <w:pPr>
        <w:adjustRightInd w:val="0"/>
        <w:snapToGrid w:val="0"/>
        <w:spacing w:line="360" w:lineRule="auto"/>
        <w:ind w:firstLine="600"/>
        <w:jc w:val="left"/>
      </w:pPr>
    </w:p>
    <w:p>
      <w:pPr>
        <w:adjustRightInd w:val="0"/>
        <w:snapToGrid w:val="0"/>
        <w:spacing w:line="360" w:lineRule="auto"/>
        <w:ind w:firstLine="600"/>
        <w:jc w:val="left"/>
      </w:pPr>
    </w:p>
    <w:p>
      <w:pPr>
        <w:pStyle w:val="3"/>
        <w:tabs>
          <w:tab w:val="left" w:pos="371"/>
        </w:tabs>
        <w:spacing w:before="120" w:after="120"/>
        <w:ind w:left="-1" w:leftChars="-1" w:hanging="1"/>
        <w:jc w:val="center"/>
        <w:rPr>
          <w:rFonts w:asciiTheme="minorEastAsia" w:hAnsiTheme="minorEastAsia" w:eastAsiaTheme="minorEastAsia"/>
        </w:rPr>
      </w:pPr>
      <w:bookmarkStart w:id="61" w:name="_Toc44690706"/>
      <w:bookmarkStart w:id="62" w:name="_Toc44690433"/>
      <w:bookmarkStart w:id="63" w:name="_Toc44691397"/>
      <w:bookmarkStart w:id="64" w:name="_Toc135293347"/>
      <w:bookmarkStart w:id="65" w:name="_Toc44691165"/>
      <w:r>
        <w:rPr>
          <w:rFonts w:hint="eastAsia" w:asciiTheme="minorEastAsia" w:hAnsiTheme="minorEastAsia" w:eastAsiaTheme="minorEastAsia"/>
        </w:rPr>
        <w:t>格式5  开标一览表</w:t>
      </w:r>
      <w:bookmarkEnd w:id="61"/>
      <w:bookmarkEnd w:id="62"/>
      <w:bookmarkEnd w:id="63"/>
      <w:bookmarkEnd w:id="64"/>
      <w:bookmarkEnd w:id="65"/>
    </w:p>
    <w:p>
      <w:pPr>
        <w:adjustRightInd w:val="0"/>
        <w:snapToGrid w:val="0"/>
        <w:spacing w:line="360" w:lineRule="auto"/>
        <w:rPr>
          <w:bCs/>
          <w:snapToGrid w:val="0"/>
          <w:kern w:val="0"/>
        </w:rPr>
      </w:pPr>
    </w:p>
    <w:p>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6"/>
        <w:gridCol w:w="4396"/>
        <w:gridCol w:w="226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2976"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snapToGrid w:val="0"/>
                <w:kern w:val="0"/>
              </w:rPr>
              <w:t>项目名称</w:t>
            </w:r>
          </w:p>
        </w:tc>
        <w:tc>
          <w:tcPr>
            <w:tcW w:w="4396"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pPr>
              <w:adjustRightInd w:val="0"/>
              <w:snapToGrid w:val="0"/>
              <w:spacing w:line="360" w:lineRule="auto"/>
              <w:jc w:val="center"/>
              <w:rPr>
                <w:snapToGrid w:val="0"/>
                <w:kern w:val="0"/>
              </w:rPr>
            </w:pPr>
            <w:r>
              <w:rPr>
                <w:snapToGrid w:val="0"/>
                <w:kern w:val="0"/>
              </w:rPr>
              <w:t>（人民币元）</w:t>
            </w:r>
          </w:p>
        </w:tc>
        <w:tc>
          <w:tcPr>
            <w:tcW w:w="2261" w:type="dxa"/>
            <w:tcBorders>
              <w:top w:val="double" w:color="auto" w:sz="4" w:space="0"/>
              <w:bottom w:val="single" w:color="auto" w:sz="4" w:space="0"/>
            </w:tcBorders>
            <w:vAlign w:val="center"/>
          </w:tcPr>
          <w:p>
            <w:pPr>
              <w:adjustRightInd w:val="0"/>
              <w:snapToGrid w:val="0"/>
              <w:spacing w:line="360" w:lineRule="auto"/>
              <w:jc w:val="center"/>
              <w:rPr>
                <w:snapToGrid w:val="0"/>
                <w:kern w:val="0"/>
              </w:rPr>
            </w:pPr>
            <w:r>
              <w:rPr>
                <w:rFonts w:hint="eastAsia"/>
                <w:snapToGrid w:val="0"/>
                <w:kern w:val="0"/>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2976" w:type="dxa"/>
            <w:tcBorders>
              <w:top w:val="single" w:color="auto" w:sz="4" w:space="0"/>
            </w:tcBorders>
            <w:vAlign w:val="center"/>
          </w:tcPr>
          <w:p>
            <w:pPr>
              <w:adjustRightInd w:val="0"/>
              <w:snapToGrid w:val="0"/>
              <w:spacing w:line="360" w:lineRule="auto"/>
              <w:jc w:val="center"/>
            </w:pPr>
            <w:r>
              <w:rPr>
                <w:rFonts w:hint="eastAsia"/>
              </w:rPr>
              <w:t>便携式多导睡眠记录仪</w:t>
            </w:r>
          </w:p>
        </w:tc>
        <w:tc>
          <w:tcPr>
            <w:tcW w:w="4396" w:type="dxa"/>
            <w:tcBorders>
              <w:top w:val="single" w:color="auto" w:sz="4" w:space="0"/>
            </w:tcBorders>
            <w:vAlign w:val="center"/>
          </w:tcPr>
          <w:p>
            <w:pPr>
              <w:adjustRightInd w:val="0"/>
              <w:snapToGrid w:val="0"/>
              <w:spacing w:line="360" w:lineRule="auto"/>
              <w:jc w:val="center"/>
              <w:rPr>
                <w:snapToGrid w:val="0"/>
                <w:kern w:val="0"/>
                <w:u w:val="single"/>
              </w:rPr>
            </w:pPr>
          </w:p>
        </w:tc>
        <w:tc>
          <w:tcPr>
            <w:tcW w:w="2261" w:type="dxa"/>
            <w:tcBorders>
              <w:top w:val="single" w:color="auto" w:sz="4" w:space="0"/>
            </w:tcBorders>
            <w:vAlign w:val="center"/>
          </w:tcPr>
          <w:p>
            <w:pPr>
              <w:adjustRightInd w:val="0"/>
              <w:snapToGrid w:val="0"/>
              <w:spacing w:line="360" w:lineRule="auto"/>
              <w:jc w:val="center"/>
              <w:rPr>
                <w:snapToGrid w:val="0"/>
                <w:kern w:val="0"/>
              </w:rPr>
            </w:pPr>
          </w:p>
        </w:tc>
      </w:tr>
    </w:tbl>
    <w:p>
      <w:pPr>
        <w:adjustRightInd w:val="0"/>
        <w:snapToGrid w:val="0"/>
        <w:spacing w:line="360" w:lineRule="auto"/>
        <w:rPr>
          <w:snapToGrid w:val="0"/>
          <w:kern w:val="0"/>
        </w:rPr>
      </w:pPr>
    </w:p>
    <w:p>
      <w:pPr>
        <w:adjustRightInd w:val="0"/>
        <w:snapToGrid w:val="0"/>
        <w:spacing w:line="360" w:lineRule="auto"/>
        <w:rPr>
          <w:snapToGrid w:val="0"/>
          <w:kern w:val="0"/>
        </w:rPr>
      </w:pPr>
    </w:p>
    <w:p>
      <w:pPr>
        <w:adjustRightInd w:val="0"/>
        <w:snapToGrid w:val="0"/>
        <w:spacing w:line="360" w:lineRule="auto"/>
        <w:rPr>
          <w:snapToGrid w:val="0"/>
          <w:kern w:val="0"/>
        </w:rPr>
      </w:pPr>
      <w:r>
        <w:rPr>
          <w:snapToGrid w:val="0"/>
          <w:kern w:val="0"/>
        </w:rPr>
        <w:t>投标单位：（盖章）</w:t>
      </w:r>
    </w:p>
    <w:p>
      <w:pPr>
        <w:adjustRightInd w:val="0"/>
        <w:snapToGrid w:val="0"/>
        <w:spacing w:line="360" w:lineRule="auto"/>
        <w:rPr>
          <w:snapToGrid w:val="0"/>
          <w:kern w:val="0"/>
        </w:rPr>
      </w:pPr>
    </w:p>
    <w:p>
      <w:pPr>
        <w:adjustRightInd w:val="0"/>
        <w:snapToGrid w:val="0"/>
        <w:spacing w:line="360" w:lineRule="auto"/>
        <w:rPr>
          <w:snapToGrid w:val="0"/>
          <w:kern w:val="0"/>
        </w:rPr>
      </w:pPr>
    </w:p>
    <w:p>
      <w:pPr>
        <w:adjustRightInd w:val="0"/>
        <w:snapToGrid w:val="0"/>
        <w:spacing w:line="360" w:lineRule="auto"/>
        <w:rPr>
          <w:snapToGrid w:val="0"/>
          <w:kern w:val="0"/>
        </w:rPr>
      </w:pPr>
      <w:r>
        <w:rPr>
          <w:snapToGrid w:val="0"/>
          <w:kern w:val="0"/>
        </w:rPr>
        <w:t>法定代表人或其授权代表：（签字）</w:t>
      </w:r>
    </w:p>
    <w:p>
      <w:pPr>
        <w:adjustRightInd w:val="0"/>
        <w:snapToGrid w:val="0"/>
        <w:spacing w:line="360" w:lineRule="auto"/>
        <w:ind w:firstLine="6825" w:firstLineChars="3250"/>
        <w:rPr>
          <w:snapToGrid w:val="0"/>
          <w:kern w:val="0"/>
        </w:rPr>
      </w:pPr>
      <w:r>
        <w:rPr>
          <w:snapToGrid w:val="0"/>
          <w:kern w:val="0"/>
        </w:rPr>
        <w:t>年    月    日</w:t>
      </w:r>
    </w:p>
    <w:p>
      <w:pPr>
        <w:adjustRightInd w:val="0"/>
        <w:snapToGrid w:val="0"/>
        <w:spacing w:line="360" w:lineRule="auto"/>
        <w:ind w:firstLine="1050" w:firstLineChars="500"/>
        <w:rPr>
          <w:snapToGrid w:val="0"/>
          <w:kern w:val="0"/>
        </w:rPr>
      </w:pPr>
    </w:p>
    <w:p>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r>
        <w:rPr>
          <w:rFonts w:hint="eastAsia" w:ascii="宋体" w:hAnsi="宋体"/>
          <w:bCs/>
        </w:rPr>
        <w:t>，允许仅填报小写金额</w:t>
      </w:r>
      <w:r>
        <w:rPr>
          <w:rFonts w:ascii="宋体" w:hAnsi="宋体"/>
          <w:bCs/>
        </w:rPr>
        <w:t>。</w:t>
      </w:r>
    </w:p>
    <w:p>
      <w:pPr>
        <w:adjustRightInd w:val="0"/>
        <w:spacing w:line="312" w:lineRule="auto"/>
        <w:ind w:left="2" w:firstLine="424" w:firstLineChars="202"/>
        <w:rPr>
          <w:rFonts w:ascii="宋体" w:hAnsi="宋体"/>
          <w:bCs/>
        </w:rPr>
      </w:pPr>
      <w:r>
        <w:rPr>
          <w:rFonts w:ascii="宋体" w:hAnsi="宋体"/>
          <w:bCs/>
        </w:rPr>
        <w:t>2、</w:t>
      </w:r>
      <w:r>
        <w:rPr>
          <w:rFonts w:hint="eastAsia" w:ascii="宋体" w:hAnsi="宋体"/>
          <w:bCs/>
        </w:rPr>
        <w:t>投标</w:t>
      </w:r>
      <w:r>
        <w:rPr>
          <w:rFonts w:hint="eastAsia"/>
          <w:snapToGrid w:val="0"/>
          <w:kern w:val="0"/>
        </w:rPr>
        <w:t>总</w:t>
      </w:r>
      <w:r>
        <w:rPr>
          <w:rFonts w:hint="eastAsia" w:ascii="宋体" w:hAnsi="宋体"/>
          <w:bCs/>
        </w:rPr>
        <w:t>价必须是完成该项目的一切费用总和，包含设备费、运输费、装卸费、安装费、调试费、保险费、技术培训费、售后服务费、国家规定的各项税费等全部费用。</w:t>
      </w:r>
    </w:p>
    <w:p>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djustRightInd w:val="0"/>
        <w:spacing w:line="312" w:lineRule="auto"/>
        <w:ind w:left="2" w:firstLine="420" w:firstLineChars="200"/>
        <w:rPr>
          <w:rFonts w:ascii="宋体" w:hAnsi="宋体"/>
          <w:szCs w:val="21"/>
        </w:rPr>
      </w:pPr>
      <w:r>
        <w:rPr>
          <w:rFonts w:hint="eastAsia" w:ascii="宋体" w:hAnsi="宋体"/>
          <w:szCs w:val="21"/>
        </w:rPr>
        <w:t>4、</w:t>
      </w:r>
      <w:r>
        <w:rPr>
          <w:rFonts w:ascii="宋体" w:hAnsi="宋体"/>
          <w:snapToGrid w:val="0"/>
          <w:kern w:val="0"/>
        </w:rPr>
        <w:t>此表应经法定代表人或其授权委托人签名，并加盖公章。</w:t>
      </w:r>
    </w:p>
    <w:p>
      <w:pPr>
        <w:adjustRightInd w:val="0"/>
        <w:spacing w:line="312" w:lineRule="auto"/>
        <w:ind w:firstLine="437"/>
      </w:pPr>
      <w:r>
        <w:rPr>
          <w:rFonts w:hint="eastAsia" w:ascii="宋体" w:hAnsi="宋体"/>
          <w:b/>
          <w:snapToGrid w:val="0"/>
          <w:kern w:val="0"/>
          <w:sz w:val="24"/>
        </w:rPr>
        <w:t>5、</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pPr>
        <w:pStyle w:val="28"/>
        <w:adjustRightInd w:val="0"/>
        <w:snapToGrid w:val="0"/>
        <w:spacing w:line="312" w:lineRule="auto"/>
        <w:jc w:val="center"/>
        <w:rPr>
          <w:rFonts w:ascii="Times New Roman" w:hAnsi="Times New Roman"/>
          <w:b/>
          <w:sz w:val="28"/>
        </w:rPr>
      </w:pPr>
    </w:p>
    <w:p/>
    <w:p/>
    <w:p/>
    <w:p/>
    <w:p/>
    <w:p/>
    <w:p/>
    <w:p/>
    <w:p>
      <w:pPr>
        <w:pStyle w:val="3"/>
        <w:tabs>
          <w:tab w:val="left" w:pos="371"/>
        </w:tabs>
        <w:spacing w:before="120" w:after="120"/>
        <w:ind w:left="-1" w:leftChars="-1" w:hanging="1"/>
        <w:jc w:val="center"/>
        <w:rPr>
          <w:rFonts w:asciiTheme="minorEastAsia" w:hAnsiTheme="minorEastAsia" w:eastAsiaTheme="minorEastAsia"/>
        </w:rPr>
      </w:pPr>
      <w:bookmarkStart w:id="66" w:name="_Toc44691166"/>
      <w:bookmarkStart w:id="67" w:name="_Toc44691398"/>
      <w:bookmarkStart w:id="68" w:name="_Toc44690707"/>
      <w:bookmarkStart w:id="69" w:name="_Toc44690434"/>
      <w:bookmarkStart w:id="70" w:name="_Toc135293348"/>
      <w:r>
        <w:rPr>
          <w:rFonts w:hint="eastAsia" w:asciiTheme="minorEastAsia" w:hAnsiTheme="minorEastAsia" w:eastAsiaTheme="minorEastAsia"/>
        </w:rPr>
        <w:t>格式6  报价表</w:t>
      </w:r>
      <w:bookmarkEnd w:id="66"/>
      <w:bookmarkEnd w:id="67"/>
      <w:bookmarkEnd w:id="68"/>
      <w:bookmarkEnd w:id="69"/>
      <w:bookmarkEnd w:id="70"/>
    </w:p>
    <w:p>
      <w:pPr>
        <w:spacing w:line="300" w:lineRule="auto"/>
        <w:rPr>
          <w:rFonts w:ascii="楷体_GB2312" w:eastAsia="楷体_GB2312"/>
          <w:b/>
          <w:sz w:val="24"/>
        </w:rPr>
      </w:pPr>
      <w:r>
        <w:rPr>
          <w:rFonts w:hint="eastAsia" w:ascii="楷体_GB2312" w:eastAsia="楷体_GB2312"/>
          <w:b/>
          <w:sz w:val="24"/>
        </w:rPr>
        <w:t>1   报价要求</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报价包</w:t>
      </w:r>
      <w:r>
        <w:rPr>
          <w:rFonts w:hint="eastAsia" w:ascii="宋体" w:hAnsi="宋体"/>
          <w:bCs/>
        </w:rPr>
        <w:t>含</w:t>
      </w:r>
      <w:r>
        <w:rPr>
          <w:rFonts w:hint="eastAsia" w:asciiTheme="minorEastAsia" w:hAnsiTheme="minorEastAsia" w:eastAsiaTheme="minorEastAsia"/>
          <w:bCs/>
        </w:rPr>
        <w:t>设备费、运输费、装卸费、安装费、调试费、保险费、技术培训费、售后服务费、国家规定的各项税费等全部费用</w:t>
      </w:r>
      <w:r>
        <w:rPr>
          <w:rFonts w:hint="eastAsia" w:asciiTheme="minorEastAsia" w:hAnsiTheme="minorEastAsia" w:eastAsiaTheme="minorEastAsia"/>
          <w:snapToGrid w:val="0"/>
          <w:kern w:val="0"/>
        </w:rPr>
        <w:t>。</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1.3 “分项价格表”应将所有设备报价，并分别列出“品牌、型号、产地及制造厂商”。</w:t>
      </w:r>
    </w:p>
    <w:p>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1.4  此表应经法定代表人或授权委托人签名，并加盖公章。</w:t>
      </w:r>
    </w:p>
    <w:p>
      <w:pPr>
        <w:adjustRightInd w:val="0"/>
        <w:snapToGrid w:val="0"/>
        <w:spacing w:line="300" w:lineRule="auto"/>
        <w:rPr>
          <w:snapToGrid w:val="0"/>
          <w:kern w:val="0"/>
        </w:rPr>
      </w:pPr>
    </w:p>
    <w:p>
      <w:pPr>
        <w:spacing w:line="300" w:lineRule="auto"/>
        <w:rPr>
          <w:rFonts w:eastAsia="楷体_GB2312"/>
          <w:b/>
          <w:sz w:val="24"/>
        </w:rPr>
      </w:pPr>
      <w:r>
        <w:rPr>
          <w:rFonts w:hint="eastAsia" w:eastAsia="楷体_GB2312"/>
          <w:b/>
          <w:sz w:val="24"/>
        </w:rPr>
        <w:t>2   报价表</w:t>
      </w:r>
    </w:p>
    <w:p>
      <w:pPr>
        <w:adjustRightInd w:val="0"/>
        <w:snapToGrid w:val="0"/>
        <w:spacing w:line="300" w:lineRule="auto"/>
        <w:rPr>
          <w:snapToGrid w:val="0"/>
          <w:kern w:val="0"/>
        </w:rPr>
      </w:pPr>
    </w:p>
    <w:p>
      <w:pPr>
        <w:adjustRightInd w:val="0"/>
        <w:snapToGrid w:val="0"/>
        <w:spacing w:line="300" w:lineRule="auto"/>
        <w:jc w:val="center"/>
        <w:rPr>
          <w:rFonts w:asciiTheme="minorEastAsia" w:hAnsiTheme="minorEastAsia" w:eastAsiaTheme="minorEastAsia"/>
          <w:bCs/>
          <w:snapToGrid w:val="0"/>
          <w:kern w:val="0"/>
          <w:sz w:val="24"/>
          <w:u w:val="single"/>
        </w:rPr>
      </w:pPr>
      <w:r>
        <w:rPr>
          <w:rFonts w:hint="eastAsia" w:asciiTheme="minorEastAsia" w:hAnsiTheme="minorEastAsia" w:eastAsiaTheme="minorEastAsia"/>
          <w:snapToGrid w:val="0"/>
          <w:kern w:val="0"/>
          <w:sz w:val="24"/>
        </w:rPr>
        <w:t>（一）</w:t>
      </w:r>
      <w:r>
        <w:rPr>
          <w:rFonts w:hint="eastAsia" w:asciiTheme="minorEastAsia" w:hAnsiTheme="minorEastAsia" w:eastAsiaTheme="minorEastAsia"/>
          <w:bCs/>
          <w:snapToGrid w:val="0"/>
          <w:kern w:val="0"/>
          <w:sz w:val="24"/>
        </w:rPr>
        <w:t>报价总表</w:t>
      </w:r>
    </w:p>
    <w:p>
      <w:pPr>
        <w:adjustRightInd w:val="0"/>
        <w:snapToGrid w:val="0"/>
        <w:spacing w:line="300" w:lineRule="auto"/>
        <w:rPr>
          <w:rFonts w:asciiTheme="minorEastAsia" w:hAnsiTheme="minorEastAsia" w:eastAsiaTheme="minorEastAsia"/>
          <w:bCs/>
          <w:snapToGrid w:val="0"/>
          <w:kern w:val="0"/>
          <w:u w:val="single"/>
        </w:rPr>
      </w:pPr>
      <w:r>
        <w:rPr>
          <w:rFonts w:hint="eastAsia" w:asciiTheme="minorEastAsia" w:hAnsiTheme="minorEastAsia" w:eastAsiaTheme="minorEastAsia"/>
          <w:bCs/>
          <w:snapToGrid w:val="0"/>
          <w:kern w:val="0"/>
        </w:rPr>
        <w:t>项目名称：</w:t>
      </w:r>
      <w:r>
        <w:rPr>
          <w:rFonts w:hint="eastAsia" w:asciiTheme="minorEastAsia" w:hAnsiTheme="minorEastAsia" w:eastAsiaTheme="minorEastAsia"/>
          <w:bCs/>
          <w:snapToGrid w:val="0"/>
          <w:kern w:val="0"/>
          <w:u w:val="single"/>
        </w:rPr>
        <w:t xml:space="preserve">               </w:t>
      </w:r>
    </w:p>
    <w:p>
      <w:pPr>
        <w:adjustRightInd w:val="0"/>
        <w:snapToGrid w:val="0"/>
        <w:spacing w:line="300" w:lineRule="auto"/>
        <w:rPr>
          <w:rFonts w:asciiTheme="minorEastAsia" w:hAnsiTheme="minorEastAsia" w:eastAsiaTheme="minorEastAsia"/>
          <w:bCs/>
          <w:snapToGrid w:val="0"/>
          <w:kern w:val="0"/>
        </w:rPr>
      </w:pPr>
      <w:r>
        <w:rPr>
          <w:rFonts w:hint="eastAsia" w:asciiTheme="minorEastAsia" w:hAnsiTheme="minorEastAsia" w:eastAsiaTheme="minorEastAsia"/>
          <w:bCs/>
          <w:snapToGrid w:val="0"/>
          <w:kern w:val="0"/>
        </w:rPr>
        <w:t>项目编号：</w:t>
      </w:r>
      <w:r>
        <w:rPr>
          <w:rFonts w:hint="eastAsia" w:asciiTheme="minorEastAsia" w:hAnsiTheme="minorEastAsia" w:eastAsiaTheme="minorEastAsia"/>
          <w:bCs/>
          <w:snapToGrid w:val="0"/>
          <w:kern w:val="0"/>
          <w:u w:val="single"/>
        </w:rPr>
        <w:t xml:space="preserve">               </w:t>
      </w:r>
      <w:r>
        <w:rPr>
          <w:rFonts w:hint="eastAsia" w:asciiTheme="minorEastAsia" w:hAnsiTheme="minorEastAsia" w:eastAsiaTheme="minorEastAsia"/>
          <w:bCs/>
          <w:snapToGrid w:val="0"/>
          <w:kern w:val="0"/>
        </w:rPr>
        <w:t xml:space="preserve">  </w:t>
      </w:r>
    </w:p>
    <w:tbl>
      <w:tblPr>
        <w:tblStyle w:val="50"/>
        <w:tblW w:w="1051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4939"/>
        <w:gridCol w:w="483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序号</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名称</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总价（单位：元）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设备费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2</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运输费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3</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装卸费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安装费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调试费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6</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保险费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技术培训费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售后服务费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国家规定的各项税费</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6"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p>
        </w:tc>
        <w:tc>
          <w:tcPr>
            <w:tcW w:w="493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其它</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85" w:type="dxa"/>
            <w:gridSpan w:val="2"/>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合   计</w:t>
            </w:r>
          </w:p>
        </w:tc>
        <w:tc>
          <w:tcPr>
            <w:tcW w:w="4833" w:type="dxa"/>
            <w:vAlign w:val="center"/>
          </w:tcPr>
          <w:p>
            <w:pPr>
              <w:adjustRightInd w:val="0"/>
              <w:snapToGrid w:val="0"/>
              <w:spacing w:line="300" w:lineRule="auto"/>
              <w:jc w:val="center"/>
              <w:rPr>
                <w:rFonts w:asciiTheme="minorEastAsia" w:hAnsiTheme="minorEastAsia" w:eastAsiaTheme="minorEastAsia"/>
                <w:snapToGrid w:val="0"/>
                <w:kern w:val="0"/>
              </w:rPr>
            </w:pPr>
          </w:p>
        </w:tc>
      </w:tr>
    </w:tbl>
    <w:p>
      <w:pPr>
        <w:rPr>
          <w:rFonts w:asciiTheme="minorEastAsia" w:hAnsiTheme="minorEastAsia" w:eastAsiaTheme="minorEastAsia"/>
          <w:szCs w:val="21"/>
        </w:rPr>
      </w:pPr>
      <w:r>
        <w:rPr>
          <w:rFonts w:hint="eastAsia" w:asciiTheme="minorEastAsia" w:hAnsiTheme="minorEastAsia" w:eastAsiaTheme="minorEastAsia"/>
          <w:szCs w:val="21"/>
        </w:rPr>
        <w:t>备注：1、</w:t>
      </w:r>
      <w:r>
        <w:rPr>
          <w:rFonts w:hint="eastAsia" w:asciiTheme="minorEastAsia" w:hAnsiTheme="minorEastAsia" w:eastAsiaTheme="minorEastAsia"/>
          <w:bCs/>
          <w:szCs w:val="21"/>
        </w:rPr>
        <w:t>本表格仅为指导性范本，供应商可根据项目具体情况对各分项内容进行调整。</w:t>
      </w:r>
    </w:p>
    <w:p>
      <w:pPr>
        <w:adjustRightInd w:val="0"/>
        <w:jc w:val="left"/>
        <w:rPr>
          <w:rFonts w:asciiTheme="minorEastAsia" w:hAnsiTheme="minorEastAsia" w:eastAsiaTheme="minorEastAsia"/>
          <w:snapToGrid w:val="0"/>
          <w:kern w:val="0"/>
          <w:szCs w:val="21"/>
        </w:rPr>
      </w:pPr>
      <w:r>
        <w:rPr>
          <w:rFonts w:hint="eastAsia" w:asciiTheme="minorEastAsia" w:hAnsiTheme="minorEastAsia" w:eastAsiaTheme="minorEastAsia"/>
          <w:szCs w:val="21"/>
        </w:rPr>
        <w:t xml:space="preserve">      2、</w:t>
      </w:r>
      <w:r>
        <w:rPr>
          <w:rFonts w:hint="eastAsia" w:asciiTheme="minorEastAsia" w:hAnsiTheme="minorEastAsia" w:eastAsiaTheme="minorEastAsia"/>
        </w:rPr>
        <w:t>开标一览表中的投标</w:t>
      </w:r>
      <w:r>
        <w:rPr>
          <w:rFonts w:hint="eastAsia"/>
          <w:snapToGrid w:val="0"/>
          <w:kern w:val="0"/>
        </w:rPr>
        <w:t>总</w:t>
      </w:r>
      <w:r>
        <w:rPr>
          <w:rFonts w:hint="eastAsia" w:asciiTheme="minorEastAsia" w:hAnsiTheme="minorEastAsia" w:eastAsiaTheme="minorEastAsia"/>
        </w:rPr>
        <w:t>价应与本表中的报价合计金额一致</w:t>
      </w:r>
      <w:r>
        <w:rPr>
          <w:rFonts w:hint="eastAsia" w:asciiTheme="minorEastAsia" w:hAnsiTheme="minorEastAsia" w:eastAsiaTheme="minorEastAsia"/>
          <w:szCs w:val="21"/>
        </w:rPr>
        <w:t>。</w:t>
      </w:r>
    </w:p>
    <w:p>
      <w:pPr>
        <w:adjustRightInd w:val="0"/>
        <w:snapToGrid w:val="0"/>
        <w:spacing w:line="300" w:lineRule="auto"/>
        <w:rPr>
          <w:rFonts w:asciiTheme="minorEastAsia" w:hAnsiTheme="minorEastAsia" w:eastAsiaTheme="minorEastAsia"/>
          <w:snapToGrid w:val="0"/>
          <w:kern w:val="0"/>
        </w:rPr>
      </w:pPr>
    </w:p>
    <w:p>
      <w:pPr>
        <w:adjustRightInd w:val="0"/>
        <w:snapToGrid w:val="0"/>
        <w:spacing w:line="300" w:lineRule="auto"/>
        <w:jc w:val="center"/>
        <w:rPr>
          <w:rFonts w:asciiTheme="minorEastAsia" w:hAnsiTheme="minorEastAsia" w:eastAsiaTheme="minorEastAsia"/>
          <w:bCs/>
        </w:rPr>
      </w:pPr>
      <w:r>
        <w:rPr>
          <w:rFonts w:hint="eastAsia" w:asciiTheme="minorEastAsia" w:hAnsiTheme="minorEastAsia" w:eastAsiaTheme="minorEastAsia"/>
          <w:snapToGrid w:val="0"/>
          <w:kern w:val="0"/>
          <w:sz w:val="24"/>
        </w:rPr>
        <w:t>（二）</w:t>
      </w:r>
      <w:r>
        <w:rPr>
          <w:rFonts w:asciiTheme="minorEastAsia" w:hAnsiTheme="minorEastAsia" w:eastAsiaTheme="minorEastAsia"/>
          <w:snapToGrid w:val="0"/>
          <w:kern w:val="0"/>
          <w:sz w:val="24"/>
        </w:rPr>
        <w:t>分项价格表</w:t>
      </w:r>
    </w:p>
    <w:p>
      <w:pPr>
        <w:adjustRightInd w:val="0"/>
        <w:snapToGrid w:val="0"/>
        <w:spacing w:line="300" w:lineRule="auto"/>
        <w:rPr>
          <w:rFonts w:asciiTheme="minorEastAsia" w:hAnsiTheme="minorEastAsia" w:eastAsiaTheme="minorEastAsia"/>
          <w:bCs/>
          <w:snapToGrid w:val="0"/>
          <w:kern w:val="0"/>
          <w:u w:val="single"/>
        </w:rPr>
      </w:pPr>
      <w:r>
        <w:rPr>
          <w:rFonts w:hint="eastAsia" w:asciiTheme="minorEastAsia" w:hAnsiTheme="minorEastAsia" w:eastAsiaTheme="minorEastAsia"/>
          <w:bCs/>
          <w:snapToGrid w:val="0"/>
          <w:kern w:val="0"/>
        </w:rPr>
        <w:t>项目名称：</w:t>
      </w:r>
      <w:r>
        <w:rPr>
          <w:rFonts w:hint="eastAsia" w:asciiTheme="minorEastAsia" w:hAnsiTheme="minorEastAsia" w:eastAsiaTheme="minorEastAsia"/>
          <w:bCs/>
          <w:snapToGrid w:val="0"/>
          <w:kern w:val="0"/>
          <w:u w:val="single"/>
        </w:rPr>
        <w:t xml:space="preserve">               </w:t>
      </w:r>
    </w:p>
    <w:p>
      <w:pPr>
        <w:adjustRightInd w:val="0"/>
        <w:snapToGrid w:val="0"/>
        <w:spacing w:line="300" w:lineRule="auto"/>
        <w:rPr>
          <w:rFonts w:asciiTheme="minorEastAsia" w:hAnsiTheme="minorEastAsia" w:eastAsiaTheme="minorEastAsia"/>
          <w:snapToGrid w:val="0"/>
          <w:kern w:val="0"/>
          <w:sz w:val="24"/>
        </w:rPr>
      </w:pPr>
      <w:r>
        <w:rPr>
          <w:rFonts w:hint="eastAsia" w:asciiTheme="minorEastAsia" w:hAnsiTheme="minorEastAsia" w:eastAsiaTheme="minorEastAsia"/>
          <w:bCs/>
          <w:snapToGrid w:val="0"/>
          <w:kern w:val="0"/>
        </w:rPr>
        <w:t>项目编号：</w:t>
      </w:r>
      <w:r>
        <w:rPr>
          <w:rFonts w:hint="eastAsia" w:asciiTheme="minorEastAsia" w:hAnsiTheme="minorEastAsia" w:eastAsiaTheme="minorEastAsia"/>
          <w:bCs/>
          <w:snapToGrid w:val="0"/>
          <w:kern w:val="0"/>
          <w:u w:val="single"/>
        </w:rPr>
        <w:t xml:space="preserve">               </w:t>
      </w:r>
      <w:r>
        <w:rPr>
          <w:rFonts w:hint="eastAsia" w:asciiTheme="minorEastAsia" w:hAnsiTheme="minorEastAsia" w:eastAsiaTheme="minorEastAsia"/>
          <w:bCs/>
          <w:snapToGrid w:val="0"/>
          <w:kern w:val="0"/>
        </w:rPr>
        <w:t xml:space="preserve">  </w:t>
      </w:r>
      <w:r>
        <w:rPr>
          <w:rFonts w:asciiTheme="minorEastAsia" w:hAnsiTheme="minorEastAsia" w:eastAsiaTheme="minorEastAsia"/>
          <w:bCs/>
          <w:snapToGrid w:val="0"/>
          <w:kern w:val="0"/>
        </w:rPr>
        <w:t xml:space="preserve"> </w:t>
      </w:r>
    </w:p>
    <w:tbl>
      <w:tblPr>
        <w:tblStyle w:val="50"/>
        <w:tblW w:w="1095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821"/>
        <w:gridCol w:w="709"/>
        <w:gridCol w:w="851"/>
        <w:gridCol w:w="1417"/>
        <w:gridCol w:w="992"/>
        <w:gridCol w:w="651"/>
        <w:gridCol w:w="725"/>
        <w:gridCol w:w="709"/>
        <w:gridCol w:w="773"/>
        <w:gridCol w:w="980"/>
        <w:gridCol w:w="65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序号</w:t>
            </w:r>
          </w:p>
        </w:tc>
        <w:tc>
          <w:tcPr>
            <w:tcW w:w="1821"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货物</w:t>
            </w:r>
            <w:r>
              <w:rPr>
                <w:rFonts w:asciiTheme="minorEastAsia" w:hAnsiTheme="minorEastAsia" w:eastAsiaTheme="minorEastAsia"/>
                <w:snapToGrid w:val="0"/>
                <w:kern w:val="0"/>
              </w:rPr>
              <w:t>名称</w:t>
            </w: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品牌</w:t>
            </w: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zCs w:val="21"/>
              </w:rPr>
              <w:t>规格/型号</w:t>
            </w: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制造厂商</w:t>
            </w: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原产地</w:t>
            </w:r>
          </w:p>
        </w:tc>
        <w:tc>
          <w:tcPr>
            <w:tcW w:w="651" w:type="dxa"/>
            <w:vAlign w:val="center"/>
          </w:tcPr>
          <w:p>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数量</w:t>
            </w:r>
          </w:p>
        </w:tc>
        <w:tc>
          <w:tcPr>
            <w:tcW w:w="725"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单位</w:t>
            </w: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单价</w:t>
            </w:r>
          </w:p>
        </w:tc>
        <w:tc>
          <w:tcPr>
            <w:tcW w:w="773" w:type="dxa"/>
            <w:vAlign w:val="center"/>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合</w:t>
            </w:r>
            <w:r>
              <w:rPr>
                <w:rFonts w:asciiTheme="minorEastAsia" w:hAnsiTheme="minorEastAsia" w:eastAsiaTheme="minorEastAsia"/>
                <w:snapToGrid w:val="0"/>
                <w:kern w:val="0"/>
              </w:rPr>
              <w:t>价</w:t>
            </w:r>
          </w:p>
        </w:tc>
        <w:tc>
          <w:tcPr>
            <w:tcW w:w="980" w:type="dxa"/>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预算金额或最高限价（如有）</w:t>
            </w:r>
          </w:p>
        </w:tc>
        <w:tc>
          <w:tcPr>
            <w:tcW w:w="657" w:type="dxa"/>
          </w:tcPr>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是否为进口产品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821" w:type="dxa"/>
            <w:vAlign w:val="center"/>
          </w:tcPr>
          <w:p>
            <w:pPr>
              <w:widowControl/>
              <w:spacing w:line="360" w:lineRule="auto"/>
              <w:jc w:val="center"/>
              <w:rPr>
                <w:rFonts w:cs="宋体"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73" w:type="dxa"/>
          </w:tcPr>
          <w:p>
            <w:pPr>
              <w:adjustRightInd w:val="0"/>
              <w:snapToGrid w:val="0"/>
              <w:spacing w:line="300" w:lineRule="auto"/>
              <w:jc w:val="center"/>
              <w:rPr>
                <w:rFonts w:asciiTheme="minorEastAsia" w:hAnsiTheme="minorEastAsia" w:eastAsiaTheme="minorEastAsia"/>
                <w:snapToGrid w:val="0"/>
                <w:kern w:val="0"/>
              </w:rPr>
            </w:pPr>
          </w:p>
        </w:tc>
        <w:tc>
          <w:tcPr>
            <w:tcW w:w="980" w:type="dxa"/>
          </w:tcPr>
          <w:p>
            <w:pPr>
              <w:adjustRightInd w:val="0"/>
              <w:snapToGrid w:val="0"/>
              <w:spacing w:line="300" w:lineRule="auto"/>
              <w:jc w:val="center"/>
              <w:rPr>
                <w:rFonts w:asciiTheme="minorEastAsia" w:hAnsiTheme="minorEastAsia" w:eastAsiaTheme="minorEastAsia"/>
                <w:snapToGrid w:val="0"/>
                <w:kern w:val="0"/>
              </w:rPr>
            </w:pPr>
          </w:p>
        </w:tc>
        <w:tc>
          <w:tcPr>
            <w:tcW w:w="657" w:type="dxa"/>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2</w:t>
            </w:r>
          </w:p>
        </w:tc>
        <w:tc>
          <w:tcPr>
            <w:tcW w:w="1821" w:type="dxa"/>
            <w:vAlign w:val="center"/>
          </w:tcPr>
          <w:p>
            <w:pPr>
              <w:widowControl/>
              <w:spacing w:line="360" w:lineRule="auto"/>
              <w:jc w:val="center"/>
              <w:rPr>
                <w:rFonts w:cs="宋体"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73" w:type="dxa"/>
          </w:tcPr>
          <w:p>
            <w:pPr>
              <w:adjustRightInd w:val="0"/>
              <w:snapToGrid w:val="0"/>
              <w:spacing w:line="300" w:lineRule="auto"/>
              <w:jc w:val="center"/>
              <w:rPr>
                <w:rFonts w:asciiTheme="minorEastAsia" w:hAnsiTheme="minorEastAsia" w:eastAsiaTheme="minorEastAsia"/>
                <w:snapToGrid w:val="0"/>
                <w:kern w:val="0"/>
              </w:rPr>
            </w:pPr>
          </w:p>
        </w:tc>
        <w:tc>
          <w:tcPr>
            <w:tcW w:w="980" w:type="dxa"/>
          </w:tcPr>
          <w:p>
            <w:pPr>
              <w:adjustRightInd w:val="0"/>
              <w:snapToGrid w:val="0"/>
              <w:spacing w:line="300" w:lineRule="auto"/>
              <w:jc w:val="center"/>
              <w:rPr>
                <w:rFonts w:asciiTheme="minorEastAsia" w:hAnsiTheme="minorEastAsia" w:eastAsiaTheme="minorEastAsia"/>
                <w:snapToGrid w:val="0"/>
                <w:kern w:val="0"/>
              </w:rPr>
            </w:pPr>
          </w:p>
        </w:tc>
        <w:tc>
          <w:tcPr>
            <w:tcW w:w="657" w:type="dxa"/>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3</w:t>
            </w:r>
          </w:p>
        </w:tc>
        <w:tc>
          <w:tcPr>
            <w:tcW w:w="1821" w:type="dxa"/>
            <w:vAlign w:val="center"/>
          </w:tcPr>
          <w:p>
            <w:pPr>
              <w:widowControl/>
              <w:spacing w:line="360" w:lineRule="auto"/>
              <w:jc w:val="center"/>
              <w:rPr>
                <w:rFonts w:cs="宋体"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73" w:type="dxa"/>
          </w:tcPr>
          <w:p>
            <w:pPr>
              <w:adjustRightInd w:val="0"/>
              <w:snapToGrid w:val="0"/>
              <w:spacing w:line="300" w:lineRule="auto"/>
              <w:jc w:val="center"/>
              <w:rPr>
                <w:rFonts w:asciiTheme="minorEastAsia" w:hAnsiTheme="minorEastAsia" w:eastAsiaTheme="minorEastAsia"/>
                <w:snapToGrid w:val="0"/>
                <w:kern w:val="0"/>
              </w:rPr>
            </w:pPr>
          </w:p>
        </w:tc>
        <w:tc>
          <w:tcPr>
            <w:tcW w:w="980" w:type="dxa"/>
          </w:tcPr>
          <w:p>
            <w:pPr>
              <w:adjustRightInd w:val="0"/>
              <w:snapToGrid w:val="0"/>
              <w:spacing w:line="300" w:lineRule="auto"/>
              <w:jc w:val="center"/>
              <w:rPr>
                <w:rFonts w:asciiTheme="minorEastAsia" w:hAnsiTheme="minorEastAsia" w:eastAsiaTheme="minorEastAsia"/>
                <w:snapToGrid w:val="0"/>
                <w:kern w:val="0"/>
              </w:rPr>
            </w:pPr>
          </w:p>
        </w:tc>
        <w:tc>
          <w:tcPr>
            <w:tcW w:w="657" w:type="dxa"/>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4</w:t>
            </w:r>
          </w:p>
        </w:tc>
        <w:tc>
          <w:tcPr>
            <w:tcW w:w="1821" w:type="dxa"/>
            <w:vAlign w:val="center"/>
          </w:tcPr>
          <w:p>
            <w:pPr>
              <w:widowControl/>
              <w:spacing w:line="360" w:lineRule="auto"/>
              <w:jc w:val="center"/>
              <w:rPr>
                <w:rFonts w:cs="宋体"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73" w:type="dxa"/>
          </w:tcPr>
          <w:p>
            <w:pPr>
              <w:adjustRightInd w:val="0"/>
              <w:snapToGrid w:val="0"/>
              <w:spacing w:line="300" w:lineRule="auto"/>
              <w:jc w:val="center"/>
              <w:rPr>
                <w:rFonts w:asciiTheme="minorEastAsia" w:hAnsiTheme="minorEastAsia" w:eastAsiaTheme="minorEastAsia"/>
                <w:snapToGrid w:val="0"/>
                <w:kern w:val="0"/>
              </w:rPr>
            </w:pPr>
          </w:p>
        </w:tc>
        <w:tc>
          <w:tcPr>
            <w:tcW w:w="980" w:type="dxa"/>
          </w:tcPr>
          <w:p>
            <w:pPr>
              <w:adjustRightInd w:val="0"/>
              <w:snapToGrid w:val="0"/>
              <w:spacing w:line="300" w:lineRule="auto"/>
              <w:jc w:val="center"/>
              <w:rPr>
                <w:rFonts w:asciiTheme="minorEastAsia" w:hAnsiTheme="minorEastAsia" w:eastAsiaTheme="minorEastAsia"/>
                <w:snapToGrid w:val="0"/>
                <w:kern w:val="0"/>
              </w:rPr>
            </w:pPr>
          </w:p>
        </w:tc>
        <w:tc>
          <w:tcPr>
            <w:tcW w:w="657" w:type="dxa"/>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9" w:type="dxa"/>
            <w:vAlign w:val="center"/>
          </w:tcPr>
          <w:p>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5</w:t>
            </w:r>
          </w:p>
        </w:tc>
        <w:tc>
          <w:tcPr>
            <w:tcW w:w="1821" w:type="dxa"/>
            <w:vAlign w:val="center"/>
          </w:tcPr>
          <w:p>
            <w:pPr>
              <w:widowControl/>
              <w:spacing w:line="360" w:lineRule="auto"/>
              <w:jc w:val="center"/>
              <w:rPr>
                <w:rFonts w:cs="宋体" w:asciiTheme="minorEastAsia" w:hAnsiTheme="minorEastAsia" w:eastAsiaTheme="minorEastAsia"/>
                <w:kern w:val="0"/>
                <w:szCs w:val="21"/>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8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1417"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pPr>
              <w:adjustRightInd w:val="0"/>
              <w:snapToGrid w:val="0"/>
              <w:spacing w:line="300" w:lineRule="auto"/>
              <w:jc w:val="center"/>
              <w:rPr>
                <w:rFonts w:asciiTheme="minorEastAsia" w:hAnsiTheme="minorEastAsia" w:eastAsiaTheme="minorEastAsia"/>
                <w:snapToGrid w:val="0"/>
                <w:kern w:val="0"/>
              </w:rPr>
            </w:pPr>
          </w:p>
        </w:tc>
        <w:tc>
          <w:tcPr>
            <w:tcW w:w="773" w:type="dxa"/>
          </w:tcPr>
          <w:p>
            <w:pPr>
              <w:adjustRightInd w:val="0"/>
              <w:snapToGrid w:val="0"/>
              <w:spacing w:line="300" w:lineRule="auto"/>
              <w:jc w:val="center"/>
              <w:rPr>
                <w:rFonts w:asciiTheme="minorEastAsia" w:hAnsiTheme="minorEastAsia" w:eastAsiaTheme="minorEastAsia"/>
                <w:snapToGrid w:val="0"/>
                <w:kern w:val="0"/>
              </w:rPr>
            </w:pPr>
          </w:p>
        </w:tc>
        <w:tc>
          <w:tcPr>
            <w:tcW w:w="980" w:type="dxa"/>
          </w:tcPr>
          <w:p>
            <w:pPr>
              <w:adjustRightInd w:val="0"/>
              <w:snapToGrid w:val="0"/>
              <w:spacing w:line="300" w:lineRule="auto"/>
              <w:jc w:val="center"/>
              <w:rPr>
                <w:rFonts w:asciiTheme="minorEastAsia" w:hAnsiTheme="minorEastAsia" w:eastAsiaTheme="minorEastAsia"/>
                <w:snapToGrid w:val="0"/>
                <w:kern w:val="0"/>
              </w:rPr>
            </w:pPr>
          </w:p>
        </w:tc>
        <w:tc>
          <w:tcPr>
            <w:tcW w:w="657" w:type="dxa"/>
          </w:tcPr>
          <w:p>
            <w:pPr>
              <w:adjustRightInd w:val="0"/>
              <w:snapToGrid w:val="0"/>
              <w:spacing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954" w:type="dxa"/>
            <w:gridSpan w:val="12"/>
            <w:vAlign w:val="center"/>
          </w:tcPr>
          <w:p>
            <w:pPr>
              <w:adjustRightInd w:val="0"/>
              <w:snapToGrid w:val="0"/>
              <w:spacing w:line="300" w:lineRule="auto"/>
              <w:jc w:val="left"/>
              <w:rPr>
                <w:rFonts w:asciiTheme="minorEastAsia" w:hAnsiTheme="minorEastAsia" w:eastAsiaTheme="minorEastAsia"/>
                <w:snapToGrid w:val="0"/>
                <w:kern w:val="0"/>
              </w:rPr>
            </w:pPr>
            <w:r>
              <w:rPr>
                <w:rFonts w:hint="eastAsia" w:asciiTheme="minorEastAsia" w:hAnsiTheme="minorEastAsia" w:eastAsiaTheme="minorEastAsia"/>
                <w:sz w:val="24"/>
              </w:rPr>
              <w:t>总计（即投标总价；币种：人民币；单位：元）：</w:t>
            </w:r>
          </w:p>
        </w:tc>
      </w:tr>
    </w:tbl>
    <w:p>
      <w:pPr>
        <w:rPr>
          <w:rFonts w:asciiTheme="minorEastAsia" w:hAnsiTheme="minorEastAsia" w:eastAsiaTheme="minorEastAsia"/>
        </w:rPr>
      </w:pPr>
      <w:r>
        <w:rPr>
          <w:rFonts w:hint="eastAsia" w:asciiTheme="minorEastAsia" w:hAnsiTheme="minorEastAsia" w:eastAsiaTheme="minorEastAsia"/>
          <w:snapToGrid w:val="0"/>
          <w:kern w:val="0"/>
        </w:rPr>
        <w:t>注：</w:t>
      </w:r>
      <w:r>
        <w:rPr>
          <w:rFonts w:hint="eastAsia" w:asciiTheme="minorEastAsia" w:hAnsiTheme="minorEastAsia" w:eastAsiaTheme="minorEastAsia"/>
        </w:rPr>
        <w:t>1. 本表</w:t>
      </w:r>
      <w:r>
        <w:rPr>
          <w:rFonts w:asciiTheme="minorEastAsia" w:hAnsiTheme="minorEastAsia" w:eastAsiaTheme="minorEastAsia"/>
        </w:rPr>
        <w:t>应</w:t>
      </w:r>
      <w:r>
        <w:rPr>
          <w:rFonts w:hint="eastAsia" w:asciiTheme="minorEastAsia" w:hAnsiTheme="minorEastAsia" w:eastAsiaTheme="minorEastAsia"/>
        </w:rPr>
        <w:t>根据</w:t>
      </w:r>
      <w:r>
        <w:rPr>
          <w:rFonts w:hint="eastAsia" w:ascii="宋体" w:hAnsi="宋体" w:cs="Arial"/>
          <w:bCs/>
          <w:szCs w:val="21"/>
        </w:rPr>
        <w:t>招标文件第二章《项目需求》中</w:t>
      </w:r>
      <w:r>
        <w:rPr>
          <w:rFonts w:hint="eastAsia" w:asciiTheme="minorEastAsia" w:hAnsiTheme="minorEastAsia" w:eastAsiaTheme="minorEastAsia"/>
        </w:rPr>
        <w:t>“一、采购范围”的</w:t>
      </w:r>
      <w:r>
        <w:rPr>
          <w:rFonts w:hint="eastAsia" w:asciiTheme="minorEastAsia" w:hAnsiTheme="minorEastAsia" w:eastAsiaTheme="minorEastAsia"/>
          <w:b/>
          <w:szCs w:val="21"/>
        </w:rPr>
        <w:t>“（二）货物清单明细”</w:t>
      </w:r>
      <w:r>
        <w:rPr>
          <w:rFonts w:hint="eastAsia" w:asciiTheme="minorEastAsia" w:hAnsiTheme="minorEastAsia" w:eastAsiaTheme="minorEastAsia"/>
        </w:rPr>
        <w:t>填写</w:t>
      </w:r>
      <w:r>
        <w:rPr>
          <w:rFonts w:asciiTheme="minorEastAsia" w:hAnsiTheme="minorEastAsia" w:eastAsiaTheme="minorEastAsia"/>
        </w:rPr>
        <w:t>，</w:t>
      </w:r>
      <w:r>
        <w:rPr>
          <w:rFonts w:hint="eastAsia" w:asciiTheme="minorEastAsia" w:hAnsiTheme="minorEastAsia" w:eastAsiaTheme="minorEastAsia"/>
          <w:b/>
        </w:rPr>
        <w:t>本表格式不得修改</w:t>
      </w:r>
      <w:r>
        <w:rPr>
          <w:rFonts w:hint="eastAsia" w:asciiTheme="minorEastAsia" w:hAnsiTheme="minorEastAsia" w:eastAsiaTheme="minorEastAsia"/>
        </w:rPr>
        <w:t>（续行除外）。</w:t>
      </w:r>
      <w:r>
        <w:rPr>
          <w:rFonts w:hint="eastAsia" w:asciiTheme="minorEastAsia" w:hAnsiTheme="minorEastAsia" w:eastAsiaTheme="minorEastAsia"/>
          <w:b/>
        </w:rPr>
        <w:t>对于定制类产品，可以不填写品牌、型号等信息，但必须注明“定制”，否则该产品技术参数按负偏离处理</w:t>
      </w:r>
      <w:r>
        <w:rPr>
          <w:rFonts w:asciiTheme="minorEastAsia" w:hAnsiTheme="minorEastAsia" w:eastAsiaTheme="minorEastAsia"/>
          <w:b/>
        </w:rPr>
        <w:t>。</w:t>
      </w:r>
    </w:p>
    <w:p>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2、</w:t>
      </w:r>
      <w:r>
        <w:rPr>
          <w:rFonts w:hint="eastAsia" w:ascii="宋体" w:hAnsi="宋体"/>
          <w:szCs w:val="21"/>
        </w:rPr>
        <w:t>投标人必须对照进口产品的规定明确其投标产品是否为进口产品。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r>
        <w:rPr>
          <w:rFonts w:hint="eastAsia" w:asciiTheme="minorEastAsia" w:hAnsiTheme="minorEastAsia" w:eastAsiaTheme="minorEastAsia"/>
        </w:rPr>
        <w:t>。</w:t>
      </w:r>
    </w:p>
    <w:p>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3、投标总价应为以上各分项价格之和；投标总价和表中单个采购条目报价均不得超过对应的财政预算限额，否则将导致无效投标。</w:t>
      </w:r>
    </w:p>
    <w:p>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4、开标一览表中的投标</w:t>
      </w:r>
      <w:r>
        <w:rPr>
          <w:rFonts w:hint="eastAsia"/>
          <w:snapToGrid w:val="0"/>
          <w:kern w:val="0"/>
        </w:rPr>
        <w:t>总</w:t>
      </w:r>
      <w:r>
        <w:rPr>
          <w:rFonts w:hint="eastAsia" w:asciiTheme="minorEastAsia" w:hAnsiTheme="minorEastAsia" w:eastAsiaTheme="minorEastAsia"/>
        </w:rPr>
        <w:t>价应与本表中的投标总价金额一致。</w:t>
      </w:r>
    </w:p>
    <w:p>
      <w:pPr>
        <w:adjustRightInd w:val="0"/>
        <w:snapToGrid w:val="0"/>
        <w:spacing w:line="300" w:lineRule="auto"/>
        <w:rPr>
          <w:rFonts w:asciiTheme="minorEastAsia" w:hAnsiTheme="minorEastAsia" w:eastAsiaTheme="minorEastAsia"/>
          <w:snapToGrid w:val="0"/>
          <w:kern w:val="0"/>
        </w:rPr>
      </w:pPr>
      <w:r>
        <w:rPr>
          <w:rFonts w:hint="eastAsia" w:asciiTheme="minorEastAsia" w:hAnsiTheme="minorEastAsia" w:eastAsiaTheme="minorEastAsia"/>
        </w:rPr>
        <w:t>5、</w:t>
      </w:r>
      <w:r>
        <w:rPr>
          <w:rFonts w:hint="eastAsia"/>
        </w:rPr>
        <w:t>“原产地”是指货物的实际生产加工地，非品牌所在地；“制造商”是指产品品牌厂商，同一品牌国内外均有制造商的，应填写国内制造商；产品代工制造的，应填写接受委托生产制造的制造商等</w:t>
      </w:r>
      <w:r>
        <w:rPr>
          <w:rFonts w:hint="eastAsia" w:asciiTheme="minorEastAsia" w:hAnsiTheme="minorEastAsia" w:eastAsiaTheme="minorEastAsia"/>
        </w:rPr>
        <w:t>。</w:t>
      </w:r>
    </w:p>
    <w:p>
      <w:pPr>
        <w:adjustRightInd w:val="0"/>
        <w:snapToGrid w:val="0"/>
        <w:spacing w:line="300" w:lineRule="auto"/>
        <w:jc w:val="center"/>
        <w:rPr>
          <w:rFonts w:asciiTheme="minorEastAsia" w:hAnsiTheme="minorEastAsia" w:eastAsiaTheme="minorEastAsia"/>
          <w:snapToGrid w:val="0"/>
          <w:kern w:val="0"/>
        </w:rPr>
      </w:pPr>
    </w:p>
    <w:p>
      <w:pPr>
        <w:adjustRightInd w:val="0"/>
        <w:snapToGrid w:val="0"/>
        <w:spacing w:line="300" w:lineRule="auto"/>
        <w:jc w:val="center"/>
        <w:rPr>
          <w:rFonts w:ascii="宋体" w:hAnsi="宋体" w:cs="宋体"/>
          <w:color w:val="000000"/>
          <w:kern w:val="0"/>
          <w:sz w:val="24"/>
        </w:rPr>
      </w:pPr>
      <w:r>
        <w:rPr>
          <w:rFonts w:hint="eastAsia" w:ascii="宋体" w:hAnsi="宋体" w:cs="宋体"/>
          <w:color w:val="000000"/>
          <w:kern w:val="0"/>
          <w:sz w:val="24"/>
        </w:rPr>
        <w:t>（三）【可选】零配件、消耗品和延续保修合同报价明细清单</w:t>
      </w:r>
    </w:p>
    <w:p>
      <w:pPr>
        <w:adjustRightInd w:val="0"/>
        <w:snapToGrid w:val="0"/>
        <w:spacing w:line="300" w:lineRule="auto"/>
        <w:jc w:val="center"/>
        <w:rPr>
          <w:rFonts w:ascii="宋体" w:hAnsi="宋体" w:cs="宋体"/>
          <w:color w:val="000000"/>
          <w:kern w:val="0"/>
          <w:sz w:val="24"/>
        </w:rPr>
      </w:pPr>
      <w:r>
        <w:rPr>
          <w:rFonts w:hint="eastAsia" w:ascii="宋体" w:hAnsi="宋体" w:cs="宋体"/>
          <w:color w:val="000000"/>
          <w:kern w:val="0"/>
          <w:sz w:val="24"/>
        </w:rPr>
        <w:t>（该部分报价不包括在投标总价内）</w:t>
      </w:r>
    </w:p>
    <w:tbl>
      <w:tblPr>
        <w:tblStyle w:val="50"/>
        <w:tblW w:w="902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136"/>
        <w:gridCol w:w="1843"/>
        <w:gridCol w:w="1417"/>
        <w:gridCol w:w="1134"/>
        <w:gridCol w:w="267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adjustRightInd w:val="0"/>
              <w:snapToGrid w:val="0"/>
              <w:spacing w:line="300" w:lineRule="auto"/>
              <w:jc w:val="center"/>
              <w:rPr>
                <w:snapToGrid w:val="0"/>
                <w:color w:val="000000"/>
                <w:kern w:val="0"/>
              </w:rPr>
            </w:pPr>
            <w:r>
              <w:rPr>
                <w:snapToGrid w:val="0"/>
                <w:color w:val="000000"/>
                <w:kern w:val="0"/>
              </w:rPr>
              <w:t>序号</w:t>
            </w:r>
          </w:p>
        </w:tc>
        <w:tc>
          <w:tcPr>
            <w:tcW w:w="1136" w:type="dxa"/>
            <w:vAlign w:val="center"/>
          </w:tcPr>
          <w:p>
            <w:pPr>
              <w:adjustRightInd w:val="0"/>
              <w:snapToGrid w:val="0"/>
              <w:spacing w:line="300" w:lineRule="auto"/>
              <w:jc w:val="center"/>
              <w:rPr>
                <w:snapToGrid w:val="0"/>
                <w:kern w:val="0"/>
              </w:rPr>
            </w:pPr>
            <w:r>
              <w:rPr>
                <w:rFonts w:hint="eastAsia"/>
                <w:snapToGrid w:val="0"/>
                <w:kern w:val="0"/>
              </w:rPr>
              <w:t>货物</w:t>
            </w:r>
            <w:r>
              <w:rPr>
                <w:snapToGrid w:val="0"/>
                <w:kern w:val="0"/>
              </w:rPr>
              <w:t>名称</w:t>
            </w:r>
          </w:p>
        </w:tc>
        <w:tc>
          <w:tcPr>
            <w:tcW w:w="1843" w:type="dxa"/>
            <w:vAlign w:val="center"/>
          </w:tcPr>
          <w:p>
            <w:pPr>
              <w:adjustRightInd w:val="0"/>
              <w:snapToGrid w:val="0"/>
              <w:spacing w:line="300" w:lineRule="auto"/>
              <w:jc w:val="center"/>
              <w:rPr>
                <w:snapToGrid w:val="0"/>
                <w:kern w:val="0"/>
              </w:rPr>
            </w:pPr>
            <w:r>
              <w:rPr>
                <w:rFonts w:hint="eastAsia"/>
                <w:szCs w:val="21"/>
              </w:rPr>
              <w:t>规格/型号</w:t>
            </w:r>
          </w:p>
        </w:tc>
        <w:tc>
          <w:tcPr>
            <w:tcW w:w="1417" w:type="dxa"/>
            <w:vAlign w:val="center"/>
          </w:tcPr>
          <w:p>
            <w:pPr>
              <w:adjustRightInd w:val="0"/>
              <w:snapToGrid w:val="0"/>
              <w:spacing w:line="300" w:lineRule="auto"/>
              <w:jc w:val="center"/>
              <w:rPr>
                <w:snapToGrid w:val="0"/>
                <w:kern w:val="0"/>
              </w:rPr>
            </w:pPr>
            <w:r>
              <w:rPr>
                <w:snapToGrid w:val="0"/>
                <w:kern w:val="0"/>
              </w:rPr>
              <w:t>制造厂商</w:t>
            </w:r>
          </w:p>
        </w:tc>
        <w:tc>
          <w:tcPr>
            <w:tcW w:w="1134" w:type="dxa"/>
            <w:vAlign w:val="center"/>
          </w:tcPr>
          <w:p>
            <w:pPr>
              <w:adjustRightInd w:val="0"/>
              <w:snapToGrid w:val="0"/>
              <w:spacing w:line="300" w:lineRule="auto"/>
              <w:jc w:val="center"/>
              <w:rPr>
                <w:snapToGrid w:val="0"/>
                <w:kern w:val="0"/>
              </w:rPr>
            </w:pPr>
            <w:r>
              <w:rPr>
                <w:rFonts w:hint="eastAsia"/>
                <w:snapToGrid w:val="0"/>
                <w:kern w:val="0"/>
              </w:rPr>
              <w:t>原产地</w:t>
            </w:r>
          </w:p>
        </w:tc>
        <w:tc>
          <w:tcPr>
            <w:tcW w:w="2670" w:type="dxa"/>
            <w:vAlign w:val="center"/>
          </w:tcPr>
          <w:p>
            <w:pPr>
              <w:jc w:val="center"/>
              <w:rPr>
                <w:szCs w:val="21"/>
              </w:rPr>
            </w:pPr>
            <w:r>
              <w:rPr>
                <w:rFonts w:hint="eastAsia"/>
                <w:szCs w:val="21"/>
              </w:rPr>
              <w:t>单价(元)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adjustRightInd w:val="0"/>
              <w:snapToGrid w:val="0"/>
              <w:spacing w:line="300" w:lineRule="auto"/>
              <w:jc w:val="center"/>
              <w:rPr>
                <w:snapToGrid w:val="0"/>
                <w:color w:val="000000"/>
                <w:kern w:val="0"/>
              </w:rPr>
            </w:pPr>
            <w:r>
              <w:rPr>
                <w:rFonts w:hint="eastAsia"/>
                <w:snapToGrid w:val="0"/>
                <w:color w:val="000000"/>
                <w:kern w:val="0"/>
              </w:rPr>
              <w:t>1</w:t>
            </w:r>
          </w:p>
        </w:tc>
        <w:tc>
          <w:tcPr>
            <w:tcW w:w="1136" w:type="dxa"/>
            <w:vAlign w:val="center"/>
          </w:tcPr>
          <w:p>
            <w:pPr>
              <w:adjustRightInd w:val="0"/>
              <w:snapToGrid w:val="0"/>
              <w:spacing w:line="300" w:lineRule="auto"/>
              <w:jc w:val="center"/>
              <w:rPr>
                <w:snapToGrid w:val="0"/>
                <w:color w:val="000000"/>
                <w:kern w:val="0"/>
              </w:rPr>
            </w:pPr>
          </w:p>
        </w:tc>
        <w:tc>
          <w:tcPr>
            <w:tcW w:w="1843" w:type="dxa"/>
            <w:vAlign w:val="center"/>
          </w:tcPr>
          <w:p>
            <w:pPr>
              <w:adjustRightInd w:val="0"/>
              <w:snapToGrid w:val="0"/>
              <w:spacing w:line="300" w:lineRule="auto"/>
              <w:jc w:val="center"/>
              <w:rPr>
                <w:snapToGrid w:val="0"/>
                <w:color w:val="000000"/>
                <w:kern w:val="0"/>
              </w:rPr>
            </w:pPr>
          </w:p>
        </w:tc>
        <w:tc>
          <w:tcPr>
            <w:tcW w:w="1417" w:type="dxa"/>
            <w:vAlign w:val="center"/>
          </w:tcPr>
          <w:p>
            <w:pPr>
              <w:adjustRightInd w:val="0"/>
              <w:snapToGrid w:val="0"/>
              <w:spacing w:line="300" w:lineRule="auto"/>
              <w:jc w:val="center"/>
              <w:rPr>
                <w:snapToGrid w:val="0"/>
                <w:color w:val="000000"/>
                <w:kern w:val="0"/>
              </w:rPr>
            </w:pPr>
          </w:p>
        </w:tc>
        <w:tc>
          <w:tcPr>
            <w:tcW w:w="1134" w:type="dxa"/>
            <w:vAlign w:val="center"/>
          </w:tcPr>
          <w:p>
            <w:pPr>
              <w:adjustRightInd w:val="0"/>
              <w:snapToGrid w:val="0"/>
              <w:spacing w:line="300" w:lineRule="auto"/>
              <w:jc w:val="center"/>
              <w:rPr>
                <w:snapToGrid w:val="0"/>
                <w:color w:val="000000"/>
                <w:kern w:val="0"/>
              </w:rPr>
            </w:pPr>
          </w:p>
        </w:tc>
        <w:tc>
          <w:tcPr>
            <w:tcW w:w="2670" w:type="dxa"/>
          </w:tcPr>
          <w:p>
            <w:pPr>
              <w:adjustRightInd w:val="0"/>
              <w:snapToGrid w:val="0"/>
              <w:spacing w:line="300" w:lineRule="auto"/>
              <w:jc w:val="center"/>
              <w:rPr>
                <w:snapToGrid w:val="0"/>
                <w:color w:val="00000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adjustRightInd w:val="0"/>
              <w:snapToGrid w:val="0"/>
              <w:spacing w:line="300" w:lineRule="auto"/>
              <w:jc w:val="center"/>
              <w:rPr>
                <w:snapToGrid w:val="0"/>
                <w:color w:val="000000"/>
                <w:kern w:val="0"/>
              </w:rPr>
            </w:pPr>
            <w:r>
              <w:rPr>
                <w:rFonts w:hint="eastAsia"/>
                <w:snapToGrid w:val="0"/>
                <w:color w:val="000000"/>
                <w:kern w:val="0"/>
              </w:rPr>
              <w:t>...</w:t>
            </w:r>
          </w:p>
        </w:tc>
        <w:tc>
          <w:tcPr>
            <w:tcW w:w="1136" w:type="dxa"/>
            <w:vAlign w:val="center"/>
          </w:tcPr>
          <w:p>
            <w:pPr>
              <w:adjustRightInd w:val="0"/>
              <w:snapToGrid w:val="0"/>
              <w:spacing w:line="300" w:lineRule="auto"/>
              <w:jc w:val="center"/>
              <w:rPr>
                <w:snapToGrid w:val="0"/>
                <w:color w:val="000000"/>
                <w:kern w:val="0"/>
              </w:rPr>
            </w:pPr>
          </w:p>
        </w:tc>
        <w:tc>
          <w:tcPr>
            <w:tcW w:w="1843" w:type="dxa"/>
            <w:vAlign w:val="center"/>
          </w:tcPr>
          <w:p>
            <w:pPr>
              <w:adjustRightInd w:val="0"/>
              <w:snapToGrid w:val="0"/>
              <w:spacing w:line="300" w:lineRule="auto"/>
              <w:jc w:val="center"/>
              <w:rPr>
                <w:snapToGrid w:val="0"/>
                <w:color w:val="000000"/>
                <w:kern w:val="0"/>
              </w:rPr>
            </w:pPr>
          </w:p>
        </w:tc>
        <w:tc>
          <w:tcPr>
            <w:tcW w:w="1417" w:type="dxa"/>
            <w:vAlign w:val="center"/>
          </w:tcPr>
          <w:p>
            <w:pPr>
              <w:adjustRightInd w:val="0"/>
              <w:snapToGrid w:val="0"/>
              <w:spacing w:line="300" w:lineRule="auto"/>
              <w:jc w:val="center"/>
              <w:rPr>
                <w:snapToGrid w:val="0"/>
                <w:color w:val="000000"/>
                <w:kern w:val="0"/>
              </w:rPr>
            </w:pPr>
          </w:p>
        </w:tc>
        <w:tc>
          <w:tcPr>
            <w:tcW w:w="1134" w:type="dxa"/>
            <w:vAlign w:val="center"/>
          </w:tcPr>
          <w:p>
            <w:pPr>
              <w:adjustRightInd w:val="0"/>
              <w:snapToGrid w:val="0"/>
              <w:spacing w:line="300" w:lineRule="auto"/>
              <w:jc w:val="center"/>
              <w:rPr>
                <w:snapToGrid w:val="0"/>
                <w:color w:val="000000"/>
                <w:kern w:val="0"/>
              </w:rPr>
            </w:pPr>
          </w:p>
        </w:tc>
        <w:tc>
          <w:tcPr>
            <w:tcW w:w="2670" w:type="dxa"/>
          </w:tcPr>
          <w:p>
            <w:pPr>
              <w:adjustRightInd w:val="0"/>
              <w:snapToGrid w:val="0"/>
              <w:spacing w:line="300" w:lineRule="auto"/>
              <w:jc w:val="center"/>
              <w:rPr>
                <w:snapToGrid w:val="0"/>
                <w:color w:val="00000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adjustRightInd w:val="0"/>
              <w:snapToGrid w:val="0"/>
              <w:spacing w:line="300" w:lineRule="auto"/>
              <w:jc w:val="center"/>
              <w:rPr>
                <w:snapToGrid w:val="0"/>
                <w:color w:val="000000"/>
                <w:kern w:val="0"/>
              </w:rPr>
            </w:pPr>
          </w:p>
        </w:tc>
        <w:tc>
          <w:tcPr>
            <w:tcW w:w="1136" w:type="dxa"/>
            <w:vAlign w:val="center"/>
          </w:tcPr>
          <w:p>
            <w:pPr>
              <w:adjustRightInd w:val="0"/>
              <w:snapToGrid w:val="0"/>
              <w:spacing w:line="300" w:lineRule="auto"/>
              <w:jc w:val="center"/>
              <w:rPr>
                <w:snapToGrid w:val="0"/>
                <w:color w:val="000000"/>
                <w:kern w:val="0"/>
              </w:rPr>
            </w:pPr>
          </w:p>
        </w:tc>
        <w:tc>
          <w:tcPr>
            <w:tcW w:w="1843" w:type="dxa"/>
            <w:vAlign w:val="center"/>
          </w:tcPr>
          <w:p>
            <w:pPr>
              <w:adjustRightInd w:val="0"/>
              <w:snapToGrid w:val="0"/>
              <w:spacing w:line="300" w:lineRule="auto"/>
              <w:jc w:val="center"/>
              <w:rPr>
                <w:snapToGrid w:val="0"/>
                <w:color w:val="000000"/>
                <w:kern w:val="0"/>
              </w:rPr>
            </w:pPr>
          </w:p>
        </w:tc>
        <w:tc>
          <w:tcPr>
            <w:tcW w:w="1417" w:type="dxa"/>
            <w:vAlign w:val="center"/>
          </w:tcPr>
          <w:p>
            <w:pPr>
              <w:adjustRightInd w:val="0"/>
              <w:snapToGrid w:val="0"/>
              <w:spacing w:line="300" w:lineRule="auto"/>
              <w:jc w:val="center"/>
              <w:rPr>
                <w:snapToGrid w:val="0"/>
                <w:color w:val="000000"/>
                <w:kern w:val="0"/>
              </w:rPr>
            </w:pPr>
          </w:p>
        </w:tc>
        <w:tc>
          <w:tcPr>
            <w:tcW w:w="1134" w:type="dxa"/>
            <w:vAlign w:val="center"/>
          </w:tcPr>
          <w:p>
            <w:pPr>
              <w:adjustRightInd w:val="0"/>
              <w:snapToGrid w:val="0"/>
              <w:spacing w:line="300" w:lineRule="auto"/>
              <w:jc w:val="center"/>
              <w:rPr>
                <w:snapToGrid w:val="0"/>
                <w:color w:val="000000"/>
                <w:kern w:val="0"/>
              </w:rPr>
            </w:pPr>
          </w:p>
        </w:tc>
        <w:tc>
          <w:tcPr>
            <w:tcW w:w="2670" w:type="dxa"/>
          </w:tcPr>
          <w:p>
            <w:pPr>
              <w:adjustRightInd w:val="0"/>
              <w:snapToGrid w:val="0"/>
              <w:spacing w:line="300" w:lineRule="auto"/>
              <w:jc w:val="center"/>
              <w:rPr>
                <w:snapToGrid w:val="0"/>
                <w:color w:val="000000"/>
                <w:kern w:val="0"/>
              </w:rPr>
            </w:pPr>
          </w:p>
        </w:tc>
      </w:tr>
    </w:tbl>
    <w:p>
      <w:pPr>
        <w:adjustRightInd w:val="0"/>
        <w:snapToGrid w:val="0"/>
        <w:spacing w:line="300" w:lineRule="auto"/>
        <w:rPr>
          <w:snapToGrid w:val="0"/>
          <w:color w:val="000000"/>
          <w:kern w:val="0"/>
        </w:rPr>
      </w:pPr>
    </w:p>
    <w:tbl>
      <w:tblPr>
        <w:tblStyle w:val="50"/>
        <w:tblW w:w="907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2543"/>
        <w:gridCol w:w="2797"/>
        <w:gridCol w:w="269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pPr>
              <w:jc w:val="center"/>
              <w:rPr>
                <w:szCs w:val="21"/>
              </w:rPr>
            </w:pPr>
            <w:r>
              <w:rPr>
                <w:rFonts w:hint="eastAsia"/>
                <w:szCs w:val="21"/>
              </w:rPr>
              <w:t>序号</w:t>
            </w:r>
          </w:p>
        </w:tc>
        <w:tc>
          <w:tcPr>
            <w:tcW w:w="2543" w:type="dxa"/>
          </w:tcPr>
          <w:p>
            <w:pPr>
              <w:jc w:val="center"/>
              <w:rPr>
                <w:szCs w:val="21"/>
              </w:rPr>
            </w:pPr>
            <w:r>
              <w:rPr>
                <w:rFonts w:hint="eastAsia"/>
                <w:szCs w:val="21"/>
              </w:rPr>
              <w:t>服务名称</w:t>
            </w:r>
          </w:p>
        </w:tc>
        <w:tc>
          <w:tcPr>
            <w:tcW w:w="2797" w:type="dxa"/>
          </w:tcPr>
          <w:p>
            <w:pPr>
              <w:jc w:val="center"/>
              <w:rPr>
                <w:szCs w:val="21"/>
              </w:rPr>
            </w:pPr>
            <w:r>
              <w:rPr>
                <w:rFonts w:hint="eastAsia"/>
                <w:szCs w:val="21"/>
              </w:rPr>
              <w:t>服务内容</w:t>
            </w:r>
          </w:p>
        </w:tc>
        <w:tc>
          <w:tcPr>
            <w:tcW w:w="2693" w:type="dxa"/>
          </w:tcPr>
          <w:p>
            <w:pPr>
              <w:jc w:val="center"/>
              <w:rPr>
                <w:szCs w:val="21"/>
              </w:rPr>
            </w:pPr>
            <w:r>
              <w:rPr>
                <w:rFonts w:hint="eastAsia"/>
                <w:szCs w:val="21"/>
              </w:rPr>
              <w:t>价格（元）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pPr>
              <w:ind w:right="-69" w:rightChars="-33"/>
              <w:jc w:val="center"/>
              <w:rPr>
                <w:szCs w:val="21"/>
              </w:rPr>
            </w:pPr>
            <w:r>
              <w:rPr>
                <w:rFonts w:hint="eastAsia"/>
                <w:szCs w:val="21"/>
              </w:rPr>
              <w:t>1</w:t>
            </w:r>
          </w:p>
        </w:tc>
        <w:tc>
          <w:tcPr>
            <w:tcW w:w="2543" w:type="dxa"/>
          </w:tcPr>
          <w:p>
            <w:pPr>
              <w:jc w:val="center"/>
              <w:rPr>
                <w:szCs w:val="21"/>
              </w:rPr>
            </w:pPr>
            <w:r>
              <w:rPr>
                <w:rFonts w:hint="eastAsia"/>
                <w:szCs w:val="21"/>
              </w:rPr>
              <w:t>延续保修合同</w:t>
            </w:r>
          </w:p>
        </w:tc>
        <w:tc>
          <w:tcPr>
            <w:tcW w:w="2797" w:type="dxa"/>
          </w:tcPr>
          <w:p>
            <w:pPr>
              <w:jc w:val="center"/>
              <w:rPr>
                <w:rFonts w:hAnsi="宋体"/>
                <w:bCs/>
                <w:szCs w:val="21"/>
              </w:rPr>
            </w:pPr>
            <w:r>
              <w:rPr>
                <w:rFonts w:hint="eastAsia" w:hAnsi="宋体"/>
                <w:bCs/>
                <w:szCs w:val="21"/>
              </w:rPr>
              <w:t>年度保修</w:t>
            </w:r>
          </w:p>
        </w:tc>
        <w:tc>
          <w:tcPr>
            <w:tcW w:w="2693" w:type="dxa"/>
          </w:tcPr>
          <w:p>
            <w:pPr>
              <w:jc w:val="center"/>
              <w:rPr>
                <w:rFonts w:hAnsi="宋体"/>
                <w:b/>
                <w:bCs/>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pPr>
              <w:ind w:right="-69" w:rightChars="-33"/>
              <w:jc w:val="center"/>
              <w:rPr>
                <w:szCs w:val="21"/>
              </w:rPr>
            </w:pPr>
            <w:r>
              <w:rPr>
                <w:szCs w:val="21"/>
              </w:rPr>
              <w:t>…</w:t>
            </w:r>
          </w:p>
        </w:tc>
        <w:tc>
          <w:tcPr>
            <w:tcW w:w="2543" w:type="dxa"/>
          </w:tcPr>
          <w:p>
            <w:pPr>
              <w:jc w:val="center"/>
              <w:rPr>
                <w:szCs w:val="21"/>
              </w:rPr>
            </w:pPr>
          </w:p>
        </w:tc>
        <w:tc>
          <w:tcPr>
            <w:tcW w:w="2797" w:type="dxa"/>
          </w:tcPr>
          <w:p>
            <w:pPr>
              <w:jc w:val="center"/>
              <w:rPr>
                <w:rFonts w:hAnsi="宋体"/>
                <w:b/>
                <w:bCs/>
                <w:szCs w:val="21"/>
              </w:rPr>
            </w:pPr>
          </w:p>
        </w:tc>
        <w:tc>
          <w:tcPr>
            <w:tcW w:w="2693" w:type="dxa"/>
          </w:tcPr>
          <w:p>
            <w:pPr>
              <w:jc w:val="center"/>
              <w:rPr>
                <w:rFonts w:hAnsi="宋体"/>
                <w:b/>
                <w:bCs/>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pPr>
              <w:ind w:right="-69" w:rightChars="-33"/>
              <w:jc w:val="center"/>
              <w:rPr>
                <w:szCs w:val="21"/>
              </w:rPr>
            </w:pPr>
          </w:p>
        </w:tc>
        <w:tc>
          <w:tcPr>
            <w:tcW w:w="2543" w:type="dxa"/>
          </w:tcPr>
          <w:p>
            <w:pPr>
              <w:jc w:val="center"/>
              <w:rPr>
                <w:szCs w:val="21"/>
              </w:rPr>
            </w:pPr>
          </w:p>
        </w:tc>
        <w:tc>
          <w:tcPr>
            <w:tcW w:w="2797" w:type="dxa"/>
          </w:tcPr>
          <w:p>
            <w:pPr>
              <w:jc w:val="center"/>
              <w:rPr>
                <w:rFonts w:hAnsi="宋体"/>
                <w:b/>
                <w:bCs/>
                <w:szCs w:val="21"/>
              </w:rPr>
            </w:pPr>
          </w:p>
        </w:tc>
        <w:tc>
          <w:tcPr>
            <w:tcW w:w="2693" w:type="dxa"/>
          </w:tcPr>
          <w:p>
            <w:pPr>
              <w:jc w:val="center"/>
              <w:rPr>
                <w:rFonts w:hAnsi="宋体"/>
                <w:b/>
                <w:bCs/>
                <w:szCs w:val="21"/>
              </w:rPr>
            </w:pPr>
          </w:p>
        </w:tc>
      </w:tr>
    </w:tbl>
    <w:p>
      <w:pPr>
        <w:adjustRightInd w:val="0"/>
        <w:snapToGrid w:val="0"/>
        <w:spacing w:line="300" w:lineRule="auto"/>
        <w:ind w:firstLine="285" w:firstLineChars="135"/>
        <w:jc w:val="left"/>
        <w:rPr>
          <w:rFonts w:asciiTheme="minorEastAsia" w:hAnsiTheme="minorEastAsia" w:eastAsiaTheme="minorEastAsia"/>
          <w:b/>
          <w:snapToGrid w:val="0"/>
          <w:color w:val="000000"/>
          <w:kern w:val="0"/>
        </w:rPr>
      </w:pPr>
      <w:r>
        <w:rPr>
          <w:rFonts w:hint="eastAsia" w:asciiTheme="minorEastAsia" w:hAnsiTheme="minorEastAsia" w:eastAsiaTheme="minorEastAsia"/>
          <w:b/>
          <w:snapToGrid w:val="0"/>
          <w:color w:val="000000"/>
          <w:kern w:val="0"/>
        </w:rPr>
        <w:t>注：价格最高的前</w:t>
      </w:r>
      <w:r>
        <w:rPr>
          <w:rFonts w:asciiTheme="minorEastAsia" w:hAnsiTheme="minorEastAsia" w:eastAsiaTheme="minorEastAsia"/>
          <w:b/>
          <w:snapToGrid w:val="0"/>
          <w:color w:val="000000"/>
          <w:kern w:val="0"/>
        </w:rPr>
        <w:t>5</w:t>
      </w:r>
      <w:r>
        <w:rPr>
          <w:rFonts w:hint="eastAsia" w:asciiTheme="minorEastAsia" w:hAnsiTheme="minorEastAsia" w:eastAsiaTheme="minorEastAsia"/>
          <w:b/>
          <w:snapToGrid w:val="0"/>
          <w:color w:val="000000"/>
          <w:kern w:val="0"/>
        </w:rPr>
        <w:t>项零配件、消耗品和延续保修合同的报价明细需填写于此表。</w:t>
      </w:r>
    </w:p>
    <w:p>
      <w:pPr>
        <w:adjustRightInd w:val="0"/>
        <w:snapToGrid w:val="0"/>
        <w:spacing w:line="300" w:lineRule="auto"/>
        <w:rPr>
          <w:rFonts w:asciiTheme="minorEastAsia" w:hAnsiTheme="minorEastAsia" w:eastAsiaTheme="minorEastAsia"/>
          <w:snapToGrid w:val="0"/>
          <w:kern w:val="0"/>
        </w:rPr>
      </w:pPr>
    </w:p>
    <w:p>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（四）</w:t>
      </w:r>
      <w:r>
        <w:rPr>
          <w:rFonts w:hint="eastAsia" w:ascii="宋体" w:hAnsi="宋体" w:cs="宋体"/>
          <w:color w:val="000000"/>
          <w:kern w:val="0"/>
          <w:sz w:val="24"/>
        </w:rPr>
        <w:t>【可选】</w:t>
      </w:r>
      <w:r>
        <w:rPr>
          <w:rFonts w:hint="eastAsia" w:asciiTheme="minorEastAsia" w:hAnsiTheme="minorEastAsia" w:eastAsiaTheme="minorEastAsia"/>
          <w:bCs/>
          <w:sz w:val="24"/>
        </w:rPr>
        <w:t>供应商认为需要涉及的其他内容报价清单</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法定代表人或其授权代表：（签字）</w:t>
      </w:r>
    </w:p>
    <w:p>
      <w:pPr>
        <w:adjustRightInd w:val="0"/>
        <w:snapToGrid w:val="0"/>
        <w:spacing w:line="300" w:lineRule="auto"/>
        <w:rPr>
          <w:snapToGrid w:val="0"/>
          <w:kern w:val="0"/>
        </w:rPr>
      </w:pPr>
    </w:p>
    <w:p>
      <w:pPr>
        <w:wordWrap w:val="0"/>
        <w:adjustRightInd w:val="0"/>
        <w:snapToGrid w:val="0"/>
        <w:spacing w:line="300" w:lineRule="auto"/>
        <w:jc w:val="right"/>
      </w:pPr>
      <w:r>
        <w:rPr>
          <w:rFonts w:hint="eastAsia"/>
          <w:snapToGrid w:val="0"/>
          <w:kern w:val="0"/>
        </w:rPr>
        <w:t>年    月   日</w:t>
      </w:r>
    </w:p>
    <w:p/>
    <w:p>
      <w:pPr>
        <w:tabs>
          <w:tab w:val="left" w:pos="371"/>
        </w:tabs>
        <w:spacing w:before="120" w:after="120"/>
        <w:ind w:left="-1" w:leftChars="-1" w:hanging="1"/>
        <w:jc w:val="center"/>
        <w:rPr>
          <w:rFonts w:asciiTheme="minorEastAsia" w:hAnsiTheme="minorEastAsia" w:eastAsiaTheme="minorEastAsia"/>
          <w:sz w:val="24"/>
        </w:rPr>
      </w:pPr>
      <w:bookmarkStart w:id="71" w:name="_Toc44691399"/>
      <w:bookmarkStart w:id="72" w:name="_Toc44690435"/>
      <w:bookmarkStart w:id="73" w:name="_Toc44691167"/>
      <w:bookmarkStart w:id="74" w:name="_Toc44690708"/>
    </w:p>
    <w:p>
      <w:pPr>
        <w:pStyle w:val="3"/>
        <w:tabs>
          <w:tab w:val="left" w:pos="371"/>
        </w:tabs>
        <w:spacing w:before="120" w:after="120"/>
        <w:ind w:left="-1" w:leftChars="-1" w:hanging="1"/>
        <w:jc w:val="center"/>
        <w:rPr>
          <w:rFonts w:asciiTheme="minorEastAsia" w:hAnsiTheme="minorEastAsia" w:eastAsiaTheme="minorEastAsia"/>
        </w:rPr>
      </w:pPr>
      <w:bookmarkStart w:id="75" w:name="_Toc135293349"/>
      <w:r>
        <w:rPr>
          <w:rFonts w:hint="eastAsia" w:asciiTheme="minorEastAsia" w:hAnsiTheme="minorEastAsia" w:eastAsiaTheme="minorEastAsia"/>
        </w:rPr>
        <w:t>格式7  技术规格</w:t>
      </w:r>
      <w:bookmarkEnd w:id="71"/>
      <w:bookmarkEnd w:id="72"/>
      <w:bookmarkEnd w:id="73"/>
      <w:bookmarkEnd w:id="74"/>
      <w:bookmarkEnd w:id="75"/>
    </w:p>
    <w:p>
      <w:pPr>
        <w:pStyle w:val="7"/>
      </w:pPr>
    </w:p>
    <w:p>
      <w:pPr>
        <w:spacing w:line="360" w:lineRule="auto"/>
        <w:ind w:left="420"/>
        <w:rPr>
          <w:rFonts w:ascii="宋体" w:hAnsi="宋体"/>
        </w:rPr>
      </w:pPr>
      <w:r>
        <w:rPr>
          <w:rFonts w:hint="eastAsia" w:ascii="宋体" w:hAnsi="宋体"/>
        </w:rPr>
        <w:t>1、对投标产品的整体描述（包括采用文字、表格等形式）</w:t>
      </w:r>
    </w:p>
    <w:p>
      <w:pPr>
        <w:spacing w:line="360" w:lineRule="auto"/>
        <w:ind w:left="420"/>
        <w:rPr>
          <w:rFonts w:ascii="宋体" w:hAnsi="宋体"/>
        </w:rPr>
      </w:pPr>
      <w:r>
        <w:rPr>
          <w:rFonts w:hint="eastAsia" w:ascii="宋体" w:hAnsi="宋体"/>
        </w:rPr>
        <w:t>2、投标产品采用的技术标准</w:t>
      </w:r>
    </w:p>
    <w:p>
      <w:pPr>
        <w:spacing w:line="360" w:lineRule="auto"/>
        <w:ind w:left="420"/>
        <w:rPr>
          <w:rFonts w:ascii="宋体" w:hAnsi="宋体"/>
        </w:rPr>
      </w:pPr>
      <w:r>
        <w:rPr>
          <w:rFonts w:hint="eastAsia" w:ascii="宋体" w:hAnsi="宋体"/>
        </w:rPr>
        <w:t>3、投标产品的性能特点（包括新技术、新工艺、新材料的应用等）</w:t>
      </w:r>
    </w:p>
    <w:p>
      <w:pPr>
        <w:spacing w:line="360" w:lineRule="auto"/>
        <w:ind w:left="420"/>
        <w:rPr>
          <w:rFonts w:ascii="宋体" w:hAnsi="宋体"/>
        </w:rPr>
      </w:pPr>
      <w:r>
        <w:rPr>
          <w:rFonts w:hint="eastAsia" w:ascii="宋体" w:hAnsi="宋体"/>
        </w:rPr>
        <w:t>4、投标产品的外形尺寸图、成品的彩色图样等</w:t>
      </w:r>
    </w:p>
    <w:p>
      <w:pPr>
        <w:spacing w:line="360" w:lineRule="auto"/>
        <w:ind w:left="420"/>
        <w:rPr>
          <w:rFonts w:ascii="宋体" w:hAnsi="宋体"/>
        </w:rPr>
      </w:pPr>
      <w:r>
        <w:rPr>
          <w:rFonts w:hint="eastAsia" w:ascii="宋体" w:hAnsi="宋体"/>
        </w:rPr>
        <w:t>5、投标产品的说明书等</w:t>
      </w:r>
    </w:p>
    <w:p>
      <w:pPr>
        <w:spacing w:line="360" w:lineRule="auto"/>
        <w:ind w:left="420"/>
        <w:rPr>
          <w:rFonts w:ascii="宋体" w:hAnsi="宋体"/>
        </w:rPr>
      </w:pPr>
      <w:r>
        <w:rPr>
          <w:rFonts w:hint="eastAsia" w:ascii="宋体" w:hAnsi="宋体"/>
        </w:rPr>
        <w:t>6、其它</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法定代表人或其授权代表：（签字）</w:t>
      </w:r>
    </w:p>
    <w:p>
      <w:pPr>
        <w:adjustRightInd w:val="0"/>
        <w:snapToGrid w:val="0"/>
        <w:spacing w:line="300" w:lineRule="auto"/>
        <w:rPr>
          <w:snapToGrid w:val="0"/>
          <w:kern w:val="0"/>
        </w:rPr>
      </w:pPr>
    </w:p>
    <w:p>
      <w:pPr>
        <w:adjustRightInd w:val="0"/>
        <w:snapToGrid w:val="0"/>
        <w:spacing w:line="300" w:lineRule="auto"/>
        <w:rPr>
          <w:snapToGrid w:val="0"/>
          <w:kern w:val="0"/>
        </w:rPr>
      </w:pPr>
    </w:p>
    <w:p>
      <w:pPr>
        <w:wordWrap w:val="0"/>
        <w:adjustRightInd w:val="0"/>
        <w:snapToGrid w:val="0"/>
        <w:spacing w:line="300" w:lineRule="auto"/>
        <w:jc w:val="right"/>
        <w:rPr>
          <w:snapToGrid w:val="0"/>
          <w:kern w:val="0"/>
        </w:rPr>
      </w:pPr>
      <w:r>
        <w:rPr>
          <w:rFonts w:hint="eastAsia"/>
          <w:snapToGrid w:val="0"/>
          <w:kern w:val="0"/>
        </w:rPr>
        <w:t>年    月   日</w:t>
      </w: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pStyle w:val="28"/>
        <w:adjustRightInd w:val="0"/>
        <w:snapToGrid w:val="0"/>
        <w:spacing w:line="312" w:lineRule="auto"/>
        <w:jc w:val="left"/>
        <w:rPr>
          <w:rFonts w:ascii="Times New Roman" w:hAnsi="Times New Roman"/>
          <w:b/>
          <w:sz w:val="21"/>
          <w:szCs w:val="21"/>
        </w:rPr>
      </w:pPr>
    </w:p>
    <w:p>
      <w:pPr>
        <w:pStyle w:val="3"/>
        <w:tabs>
          <w:tab w:val="left" w:pos="371"/>
        </w:tabs>
        <w:spacing w:before="120" w:after="120"/>
        <w:ind w:left="-1" w:leftChars="-1" w:hanging="1"/>
        <w:jc w:val="center"/>
        <w:rPr>
          <w:rFonts w:asciiTheme="minorEastAsia" w:hAnsiTheme="minorEastAsia" w:eastAsiaTheme="minorEastAsia"/>
        </w:rPr>
      </w:pPr>
      <w:bookmarkStart w:id="76" w:name="_Toc135293350"/>
      <w:r>
        <w:rPr>
          <w:rFonts w:asciiTheme="minorEastAsia" w:hAnsiTheme="minorEastAsia" w:eastAsiaTheme="minorEastAsia"/>
        </w:rPr>
        <w:t>格式</w:t>
      </w:r>
      <w:r>
        <w:rPr>
          <w:rFonts w:hint="eastAsia" w:asciiTheme="minorEastAsia" w:hAnsiTheme="minorEastAsia" w:eastAsiaTheme="minorEastAsia"/>
        </w:rPr>
        <w:t>8</w:t>
      </w:r>
      <w:r>
        <w:rPr>
          <w:rFonts w:asciiTheme="minorEastAsia" w:hAnsiTheme="minorEastAsia" w:eastAsiaTheme="minorEastAsia"/>
        </w:rPr>
        <w:t xml:space="preserve">  交付进度</w:t>
      </w:r>
      <w:bookmarkEnd w:id="76"/>
    </w:p>
    <w:p/>
    <w:p>
      <w:pPr>
        <w:jc w:val="center"/>
      </w:pPr>
      <w:r>
        <w:t>货物交付进度表</w:t>
      </w:r>
    </w:p>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630"/>
        <w:gridCol w:w="2520"/>
        <w:gridCol w:w="735"/>
        <w:gridCol w:w="735"/>
        <w:gridCol w:w="1500"/>
        <w:gridCol w:w="1530"/>
        <w:gridCol w:w="153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名    称</w:t>
            </w:r>
          </w:p>
        </w:tc>
        <w:tc>
          <w:tcPr>
            <w:tcW w:w="735"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530" w:type="dxa"/>
          </w:tcPr>
          <w:p>
            <w:pPr>
              <w:autoSpaceDE w:val="0"/>
              <w:autoSpaceDN w:val="0"/>
              <w:adjustRightInd w:val="0"/>
              <w:spacing w:before="120" w:after="120" w:line="240" w:lineRule="atLeast"/>
              <w:ind w:left="15" w:right="28"/>
              <w:jc w:val="center"/>
              <w:rPr>
                <w:kern w:val="0"/>
                <w:sz w:val="18"/>
                <w:szCs w:val="22"/>
              </w:rPr>
            </w:pPr>
            <w:r>
              <w:rPr>
                <w:kern w:val="0"/>
                <w:sz w:val="18"/>
                <w:szCs w:val="22"/>
              </w:rPr>
              <w:t>交付地点</w:t>
            </w:r>
          </w:p>
        </w:tc>
        <w:tc>
          <w:tcPr>
            <w:tcW w:w="1530"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备  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pPr>
              <w:autoSpaceDE w:val="0"/>
              <w:autoSpaceDN w:val="0"/>
              <w:adjustRightInd w:val="0"/>
              <w:spacing w:before="120" w:after="120" w:line="240" w:lineRule="atLeast"/>
              <w:ind w:left="28" w:right="28"/>
              <w:jc w:val="center"/>
              <w:rPr>
                <w:kern w:val="0"/>
                <w:sz w:val="18"/>
                <w:szCs w:val="22"/>
              </w:rPr>
            </w:pPr>
          </w:p>
        </w:tc>
        <w:tc>
          <w:tcPr>
            <w:tcW w:w="2520"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1500" w:type="dxa"/>
          </w:tcPr>
          <w:p>
            <w:pPr>
              <w:autoSpaceDE w:val="0"/>
              <w:autoSpaceDN w:val="0"/>
              <w:adjustRightInd w:val="0"/>
              <w:spacing w:before="120" w:after="120" w:line="240" w:lineRule="atLeast"/>
              <w:ind w:left="15" w:right="28"/>
              <w:jc w:val="center"/>
              <w:rPr>
                <w:kern w:val="0"/>
                <w:sz w:val="18"/>
                <w:szCs w:val="22"/>
              </w:rPr>
            </w:pPr>
          </w:p>
        </w:tc>
        <w:tc>
          <w:tcPr>
            <w:tcW w:w="1530" w:type="dxa"/>
          </w:tcPr>
          <w:p>
            <w:pPr>
              <w:autoSpaceDE w:val="0"/>
              <w:autoSpaceDN w:val="0"/>
              <w:adjustRightInd w:val="0"/>
              <w:spacing w:before="120" w:after="120" w:line="240" w:lineRule="atLeast"/>
              <w:ind w:left="15" w:right="28"/>
              <w:jc w:val="center"/>
              <w:rPr>
                <w:kern w:val="0"/>
                <w:sz w:val="18"/>
                <w:szCs w:val="22"/>
              </w:rPr>
            </w:pPr>
          </w:p>
        </w:tc>
        <w:tc>
          <w:tcPr>
            <w:tcW w:w="1530" w:type="dxa"/>
          </w:tcPr>
          <w:p>
            <w:pPr>
              <w:autoSpaceDE w:val="0"/>
              <w:autoSpaceDN w:val="0"/>
              <w:adjustRightInd w:val="0"/>
              <w:spacing w:before="120" w:after="120" w:line="240" w:lineRule="atLeast"/>
              <w:ind w:left="15" w:right="28"/>
              <w:jc w:val="center"/>
              <w:rPr>
                <w:kern w:val="0"/>
                <w:sz w:val="18"/>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pPr>
              <w:autoSpaceDE w:val="0"/>
              <w:autoSpaceDN w:val="0"/>
              <w:adjustRightInd w:val="0"/>
              <w:spacing w:before="120" w:after="120" w:line="240" w:lineRule="atLeast"/>
              <w:ind w:left="28" w:right="28"/>
              <w:jc w:val="center"/>
              <w:rPr>
                <w:kern w:val="0"/>
                <w:sz w:val="18"/>
                <w:szCs w:val="22"/>
              </w:rPr>
            </w:pPr>
          </w:p>
        </w:tc>
        <w:tc>
          <w:tcPr>
            <w:tcW w:w="2520"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1500" w:type="dxa"/>
          </w:tcPr>
          <w:p>
            <w:pPr>
              <w:autoSpaceDE w:val="0"/>
              <w:autoSpaceDN w:val="0"/>
              <w:adjustRightInd w:val="0"/>
              <w:spacing w:before="120" w:after="120" w:line="240" w:lineRule="atLeast"/>
              <w:ind w:left="15" w:right="28"/>
              <w:jc w:val="center"/>
              <w:rPr>
                <w:kern w:val="0"/>
                <w:sz w:val="18"/>
                <w:szCs w:val="22"/>
              </w:rPr>
            </w:pPr>
          </w:p>
        </w:tc>
        <w:tc>
          <w:tcPr>
            <w:tcW w:w="1530" w:type="dxa"/>
          </w:tcPr>
          <w:p>
            <w:pPr>
              <w:autoSpaceDE w:val="0"/>
              <w:autoSpaceDN w:val="0"/>
              <w:adjustRightInd w:val="0"/>
              <w:spacing w:before="120" w:after="120" w:line="240" w:lineRule="atLeast"/>
              <w:ind w:left="15" w:right="28"/>
              <w:jc w:val="center"/>
              <w:rPr>
                <w:kern w:val="0"/>
                <w:sz w:val="18"/>
                <w:szCs w:val="22"/>
              </w:rPr>
            </w:pPr>
          </w:p>
        </w:tc>
        <w:tc>
          <w:tcPr>
            <w:tcW w:w="1530" w:type="dxa"/>
          </w:tcPr>
          <w:p>
            <w:pPr>
              <w:autoSpaceDE w:val="0"/>
              <w:autoSpaceDN w:val="0"/>
              <w:adjustRightInd w:val="0"/>
              <w:spacing w:before="120" w:after="120" w:line="240" w:lineRule="atLeast"/>
              <w:ind w:left="15" w:right="28"/>
              <w:jc w:val="center"/>
              <w:rPr>
                <w:kern w:val="0"/>
                <w:sz w:val="18"/>
                <w:szCs w:val="22"/>
              </w:rPr>
            </w:pPr>
          </w:p>
        </w:tc>
      </w:tr>
    </w:tbl>
    <w:p/>
    <w:p/>
    <w:p>
      <w:pPr>
        <w:jc w:val="center"/>
      </w:pPr>
      <w:r>
        <w:t>安装调试进度表</w:t>
      </w:r>
    </w:p>
    <w:p>
      <w:pPr>
        <w:jc w:val="center"/>
      </w:pP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630"/>
        <w:gridCol w:w="2520"/>
        <w:gridCol w:w="735"/>
        <w:gridCol w:w="735"/>
        <w:gridCol w:w="1500"/>
        <w:gridCol w:w="1851"/>
        <w:gridCol w:w="120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名    称</w:t>
            </w:r>
          </w:p>
        </w:tc>
        <w:tc>
          <w:tcPr>
            <w:tcW w:w="735"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851"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安装调试地点</w:t>
            </w:r>
          </w:p>
        </w:tc>
        <w:tc>
          <w:tcPr>
            <w:tcW w:w="1209" w:type="dxa"/>
          </w:tcPr>
          <w:p>
            <w:pPr>
              <w:autoSpaceDE w:val="0"/>
              <w:autoSpaceDN w:val="0"/>
              <w:adjustRightInd w:val="0"/>
              <w:spacing w:before="120" w:after="120" w:line="240" w:lineRule="atLeast"/>
              <w:ind w:left="15" w:right="28"/>
              <w:jc w:val="center"/>
              <w:rPr>
                <w:kern w:val="0"/>
                <w:sz w:val="18"/>
                <w:szCs w:val="22"/>
              </w:rPr>
            </w:pPr>
            <w:r>
              <w:rPr>
                <w:kern w:val="0"/>
                <w:sz w:val="18"/>
                <w:szCs w:val="22"/>
              </w:rPr>
              <w:t>备  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pPr>
              <w:autoSpaceDE w:val="0"/>
              <w:autoSpaceDN w:val="0"/>
              <w:adjustRightInd w:val="0"/>
              <w:spacing w:before="120" w:after="120" w:line="240" w:lineRule="atLeast"/>
              <w:ind w:left="28" w:right="28"/>
              <w:jc w:val="center"/>
              <w:rPr>
                <w:kern w:val="0"/>
                <w:sz w:val="18"/>
                <w:szCs w:val="22"/>
              </w:rPr>
            </w:pPr>
          </w:p>
        </w:tc>
        <w:tc>
          <w:tcPr>
            <w:tcW w:w="2520"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1500" w:type="dxa"/>
          </w:tcPr>
          <w:p>
            <w:pPr>
              <w:autoSpaceDE w:val="0"/>
              <w:autoSpaceDN w:val="0"/>
              <w:adjustRightInd w:val="0"/>
              <w:spacing w:before="120" w:after="120" w:line="240" w:lineRule="atLeast"/>
              <w:ind w:left="15" w:right="28"/>
              <w:jc w:val="center"/>
              <w:rPr>
                <w:kern w:val="0"/>
                <w:sz w:val="18"/>
                <w:szCs w:val="22"/>
              </w:rPr>
            </w:pPr>
          </w:p>
        </w:tc>
        <w:tc>
          <w:tcPr>
            <w:tcW w:w="1851" w:type="dxa"/>
          </w:tcPr>
          <w:p>
            <w:pPr>
              <w:autoSpaceDE w:val="0"/>
              <w:autoSpaceDN w:val="0"/>
              <w:adjustRightInd w:val="0"/>
              <w:spacing w:before="120" w:after="120" w:line="240" w:lineRule="atLeast"/>
              <w:ind w:left="15" w:right="28"/>
              <w:jc w:val="center"/>
              <w:rPr>
                <w:kern w:val="0"/>
                <w:sz w:val="18"/>
                <w:szCs w:val="22"/>
              </w:rPr>
            </w:pPr>
          </w:p>
        </w:tc>
        <w:tc>
          <w:tcPr>
            <w:tcW w:w="1209" w:type="dxa"/>
          </w:tcPr>
          <w:p>
            <w:pPr>
              <w:autoSpaceDE w:val="0"/>
              <w:autoSpaceDN w:val="0"/>
              <w:adjustRightInd w:val="0"/>
              <w:spacing w:before="120" w:after="120" w:line="240" w:lineRule="atLeast"/>
              <w:ind w:left="15" w:right="28"/>
              <w:jc w:val="center"/>
              <w:rPr>
                <w:kern w:val="0"/>
                <w:sz w:val="18"/>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pPr>
              <w:autoSpaceDE w:val="0"/>
              <w:autoSpaceDN w:val="0"/>
              <w:adjustRightInd w:val="0"/>
              <w:spacing w:before="120" w:after="120" w:line="240" w:lineRule="atLeast"/>
              <w:ind w:left="28" w:right="28"/>
              <w:jc w:val="center"/>
              <w:rPr>
                <w:kern w:val="0"/>
                <w:sz w:val="18"/>
                <w:szCs w:val="22"/>
              </w:rPr>
            </w:pPr>
          </w:p>
        </w:tc>
        <w:tc>
          <w:tcPr>
            <w:tcW w:w="2520"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735" w:type="dxa"/>
          </w:tcPr>
          <w:p>
            <w:pPr>
              <w:autoSpaceDE w:val="0"/>
              <w:autoSpaceDN w:val="0"/>
              <w:adjustRightInd w:val="0"/>
              <w:spacing w:before="120" w:after="120" w:line="240" w:lineRule="atLeast"/>
              <w:ind w:left="15" w:right="28"/>
              <w:jc w:val="center"/>
              <w:rPr>
                <w:kern w:val="0"/>
                <w:sz w:val="18"/>
                <w:szCs w:val="22"/>
              </w:rPr>
            </w:pPr>
          </w:p>
        </w:tc>
        <w:tc>
          <w:tcPr>
            <w:tcW w:w="1500" w:type="dxa"/>
          </w:tcPr>
          <w:p>
            <w:pPr>
              <w:autoSpaceDE w:val="0"/>
              <w:autoSpaceDN w:val="0"/>
              <w:adjustRightInd w:val="0"/>
              <w:spacing w:before="120" w:after="120" w:line="240" w:lineRule="atLeast"/>
              <w:ind w:left="15" w:right="28"/>
              <w:jc w:val="center"/>
              <w:rPr>
                <w:kern w:val="0"/>
                <w:sz w:val="18"/>
                <w:szCs w:val="22"/>
              </w:rPr>
            </w:pPr>
          </w:p>
        </w:tc>
        <w:tc>
          <w:tcPr>
            <w:tcW w:w="1851" w:type="dxa"/>
          </w:tcPr>
          <w:p>
            <w:pPr>
              <w:autoSpaceDE w:val="0"/>
              <w:autoSpaceDN w:val="0"/>
              <w:adjustRightInd w:val="0"/>
              <w:spacing w:before="120" w:after="120" w:line="240" w:lineRule="atLeast"/>
              <w:ind w:left="15" w:right="28"/>
              <w:jc w:val="center"/>
              <w:rPr>
                <w:kern w:val="0"/>
                <w:sz w:val="18"/>
                <w:szCs w:val="22"/>
              </w:rPr>
            </w:pPr>
          </w:p>
        </w:tc>
        <w:tc>
          <w:tcPr>
            <w:tcW w:w="1209" w:type="dxa"/>
          </w:tcPr>
          <w:p>
            <w:pPr>
              <w:autoSpaceDE w:val="0"/>
              <w:autoSpaceDN w:val="0"/>
              <w:adjustRightInd w:val="0"/>
              <w:spacing w:before="120" w:after="120" w:line="240" w:lineRule="atLeast"/>
              <w:ind w:left="15" w:right="28"/>
              <w:jc w:val="center"/>
              <w:rPr>
                <w:kern w:val="0"/>
                <w:sz w:val="18"/>
                <w:szCs w:val="22"/>
              </w:rPr>
            </w:pPr>
          </w:p>
        </w:tc>
      </w:tr>
    </w:tbl>
    <w:p>
      <w:pPr>
        <w:jc w:val="cente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法定代表人或其授权代表：（签字）</w:t>
      </w: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rPr>
          <w:snapToGrid w:val="0"/>
          <w:kern w:val="0"/>
        </w:rPr>
      </w:pPr>
    </w:p>
    <w:p>
      <w:pPr>
        <w:adjustRightInd w:val="0"/>
        <w:snapToGrid w:val="0"/>
        <w:spacing w:line="300" w:lineRule="auto"/>
        <w:ind w:right="420" w:firstLine="6195" w:firstLineChars="2950"/>
        <w:rPr>
          <w:snapToGrid w:val="0"/>
          <w:kern w:val="0"/>
        </w:rPr>
      </w:pPr>
      <w:r>
        <w:rPr>
          <w:rFonts w:hint="eastAsia"/>
          <w:snapToGrid w:val="0"/>
          <w:kern w:val="0"/>
        </w:rPr>
        <w:t>年       月      日</w:t>
      </w:r>
    </w:p>
    <w:p>
      <w:pPr>
        <w:rPr>
          <w:rFonts w:ascii="宋体" w:hAnsi="宋体"/>
          <w:sz w:val="28"/>
        </w:rPr>
      </w:pPr>
    </w:p>
    <w:p/>
    <w:p/>
    <w:p/>
    <w:p/>
    <w:p/>
    <w:p/>
    <w:p/>
    <w:p>
      <w:pPr>
        <w:tabs>
          <w:tab w:val="left" w:pos="371"/>
        </w:tabs>
        <w:spacing w:before="120" w:after="120"/>
        <w:ind w:left="-1" w:leftChars="-1" w:hanging="1"/>
        <w:jc w:val="center"/>
      </w:pPr>
      <w:bookmarkStart w:id="77" w:name="_Toc44691400"/>
      <w:bookmarkStart w:id="78" w:name="_Toc44690436"/>
      <w:bookmarkStart w:id="79" w:name="_Toc44690709"/>
      <w:bookmarkStart w:id="80" w:name="_Toc44691168"/>
    </w:p>
    <w:p>
      <w:pPr>
        <w:tabs>
          <w:tab w:val="left" w:pos="371"/>
        </w:tabs>
        <w:spacing w:before="120" w:after="120"/>
        <w:ind w:left="-1" w:leftChars="-1" w:hanging="1"/>
        <w:jc w:val="center"/>
      </w:pPr>
    </w:p>
    <w:p>
      <w:pPr>
        <w:tabs>
          <w:tab w:val="left" w:pos="371"/>
        </w:tabs>
        <w:spacing w:before="120" w:after="120"/>
        <w:ind w:left="-1" w:leftChars="-1" w:hanging="1"/>
        <w:jc w:val="center"/>
        <w:rPr>
          <w:rFonts w:asciiTheme="minorEastAsia" w:hAnsiTheme="minorEastAsia" w:eastAsiaTheme="minorEastAsia"/>
          <w:sz w:val="24"/>
        </w:rPr>
      </w:pPr>
    </w:p>
    <w:p>
      <w:pPr>
        <w:pStyle w:val="3"/>
        <w:tabs>
          <w:tab w:val="left" w:pos="371"/>
        </w:tabs>
        <w:spacing w:before="120" w:after="120"/>
        <w:ind w:left="-1" w:leftChars="-1" w:hanging="1"/>
        <w:jc w:val="center"/>
        <w:rPr>
          <w:rFonts w:asciiTheme="minorEastAsia" w:hAnsiTheme="minorEastAsia" w:eastAsiaTheme="minorEastAsia"/>
        </w:rPr>
      </w:pPr>
      <w:bookmarkStart w:id="81" w:name="_Toc135293351"/>
      <w:r>
        <w:rPr>
          <w:rFonts w:hint="eastAsia" w:asciiTheme="minorEastAsia" w:hAnsiTheme="minorEastAsia" w:eastAsiaTheme="minorEastAsia"/>
        </w:rPr>
        <w:t>格式9  售后服务和质量承诺</w:t>
      </w:r>
      <w:bookmarkEnd w:id="77"/>
      <w:bookmarkEnd w:id="78"/>
      <w:bookmarkEnd w:id="79"/>
      <w:bookmarkEnd w:id="80"/>
      <w:bookmarkEnd w:id="81"/>
    </w:p>
    <w:p>
      <w:pPr>
        <w:adjustRightInd w:val="0"/>
        <w:snapToGrid w:val="0"/>
        <w:spacing w:line="360" w:lineRule="auto"/>
        <w:rPr>
          <w:rFonts w:ascii="宋体" w:hAnsi="宋体"/>
        </w:rPr>
      </w:pPr>
    </w:p>
    <w:p>
      <w:pPr>
        <w:adjustRightInd w:val="0"/>
        <w:snapToGrid w:val="0"/>
        <w:spacing w:line="360" w:lineRule="auto"/>
        <w:rPr>
          <w:rFonts w:ascii="宋体" w:hAnsi="宋体"/>
        </w:rPr>
      </w:pPr>
      <w:r>
        <w:rPr>
          <w:rFonts w:hint="eastAsia" w:ascii="宋体" w:hAnsi="宋体"/>
        </w:rPr>
        <w:t>1、</w:t>
      </w:r>
      <w:r>
        <w:rPr>
          <w:rFonts w:hint="eastAsia"/>
        </w:rPr>
        <w:t>质保期和保修期服务承诺</w:t>
      </w:r>
    </w:p>
    <w:p>
      <w:pPr>
        <w:adjustRightInd w:val="0"/>
        <w:snapToGrid w:val="0"/>
        <w:spacing w:line="360" w:lineRule="auto"/>
        <w:rPr>
          <w:rFonts w:ascii="宋体" w:hAnsi="宋体"/>
        </w:rPr>
      </w:pPr>
      <w:r>
        <w:rPr>
          <w:rFonts w:hint="eastAsia" w:ascii="宋体" w:hAnsi="宋体"/>
        </w:rPr>
        <w:t>2、</w:t>
      </w:r>
      <w:r>
        <w:rPr>
          <w:rFonts w:hint="eastAsia"/>
        </w:rPr>
        <w:t>售后服务机构及维护人员配置</w:t>
      </w:r>
    </w:p>
    <w:p>
      <w:pPr>
        <w:adjustRightInd w:val="0"/>
        <w:snapToGrid w:val="0"/>
        <w:spacing w:line="360" w:lineRule="auto"/>
        <w:rPr>
          <w:rFonts w:ascii="宋体" w:hAnsi="宋体"/>
        </w:rPr>
      </w:pPr>
      <w:r>
        <w:rPr>
          <w:rFonts w:hint="eastAsia" w:ascii="宋体" w:hAnsi="宋体"/>
        </w:rPr>
        <w:t>3、</w:t>
      </w:r>
      <w:r>
        <w:rPr>
          <w:rFonts w:hint="eastAsia"/>
        </w:rPr>
        <w:t>售后服务应急措施</w:t>
      </w:r>
    </w:p>
    <w:p>
      <w:pPr>
        <w:adjustRightInd w:val="0"/>
        <w:snapToGrid w:val="0"/>
        <w:spacing w:line="360" w:lineRule="auto"/>
        <w:rPr>
          <w:rFonts w:ascii="宋体" w:hAnsi="宋体"/>
        </w:rPr>
      </w:pPr>
      <w:r>
        <w:rPr>
          <w:rFonts w:hint="eastAsia" w:ascii="宋体" w:hAnsi="宋体"/>
        </w:rPr>
        <w:t>4、</w:t>
      </w:r>
      <w:r>
        <w:rPr>
          <w:rFonts w:hint="eastAsia"/>
        </w:rPr>
        <w:t>故障或技术支持响应时间</w:t>
      </w:r>
    </w:p>
    <w:p>
      <w:pPr>
        <w:adjustRightInd w:val="0"/>
        <w:snapToGrid w:val="0"/>
        <w:spacing w:line="360" w:lineRule="auto"/>
        <w:rPr>
          <w:rFonts w:ascii="宋体" w:hAnsi="宋体"/>
        </w:rPr>
      </w:pPr>
      <w:r>
        <w:rPr>
          <w:rFonts w:hint="eastAsia" w:ascii="宋体" w:hAnsi="宋体"/>
        </w:rPr>
        <w:t>5、技术培训计划</w:t>
      </w:r>
    </w:p>
    <w:p>
      <w:pPr>
        <w:adjustRightInd w:val="0"/>
        <w:snapToGrid w:val="0"/>
        <w:spacing w:line="360" w:lineRule="auto"/>
        <w:rPr>
          <w:rFonts w:ascii="宋体" w:hAnsi="宋体"/>
        </w:rPr>
      </w:pPr>
      <w:r>
        <w:rPr>
          <w:rFonts w:hint="eastAsia" w:ascii="宋体" w:hAnsi="宋体"/>
        </w:rPr>
        <w:t>6、备/配件支持计划</w:t>
      </w:r>
    </w:p>
    <w:p>
      <w:pPr>
        <w:adjustRightInd w:val="0"/>
        <w:snapToGrid w:val="0"/>
        <w:spacing w:line="360" w:lineRule="auto"/>
        <w:rPr>
          <w:rFonts w:ascii="宋体" w:hAnsi="宋体"/>
          <w:bCs/>
        </w:rPr>
      </w:pPr>
      <w:r>
        <w:rPr>
          <w:rFonts w:hint="eastAsia" w:ascii="宋体" w:hAnsi="宋体"/>
        </w:rPr>
        <w:t>7、非</w:t>
      </w:r>
      <w:r>
        <w:rPr>
          <w:rFonts w:hint="eastAsia" w:ascii="宋体" w:hAnsi="宋体"/>
          <w:bCs/>
        </w:rPr>
        <w:t>保修期维修费用收取标准</w:t>
      </w:r>
    </w:p>
    <w:p>
      <w:pPr>
        <w:adjustRightInd w:val="0"/>
        <w:snapToGrid w:val="0"/>
        <w:spacing w:line="300" w:lineRule="auto"/>
        <w:rPr>
          <w:rFonts w:ascii="宋体" w:hAnsi="宋体"/>
          <w:bCs/>
        </w:rPr>
      </w:pPr>
      <w:r>
        <w:rPr>
          <w:rFonts w:hint="eastAsia" w:ascii="宋体" w:hAnsi="宋体"/>
          <w:bCs/>
        </w:rPr>
        <w:t>8、其它</w:t>
      </w: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adjustRightInd w:val="0"/>
        <w:snapToGrid w:val="0"/>
        <w:spacing w:line="300" w:lineRule="auto"/>
        <w:jc w:val="right"/>
        <w:rPr>
          <w:snapToGrid w:val="0"/>
          <w:kern w:val="0"/>
        </w:rPr>
      </w:pPr>
    </w:p>
    <w:p>
      <w:pPr>
        <w:tabs>
          <w:tab w:val="left" w:pos="480"/>
        </w:tabs>
        <w:adjustRightInd w:val="0"/>
        <w:snapToGrid w:val="0"/>
        <w:spacing w:line="300" w:lineRule="auto"/>
        <w:rPr>
          <w:snapToGrid w:val="0"/>
          <w:kern w:val="0"/>
        </w:rPr>
      </w:pPr>
      <w:r>
        <w:rPr>
          <w:snapToGrid w:val="0"/>
          <w:kern w:val="0"/>
        </w:rPr>
        <w:tab/>
      </w:r>
    </w:p>
    <w:p>
      <w:pPr>
        <w:tabs>
          <w:tab w:val="left" w:pos="480"/>
        </w:tabs>
        <w:adjustRightInd w:val="0"/>
        <w:snapToGrid w:val="0"/>
        <w:spacing w:line="300" w:lineRule="auto"/>
        <w:rPr>
          <w:snapToGrid w:val="0"/>
          <w:kern w:val="0"/>
        </w:rPr>
      </w:pPr>
    </w:p>
    <w:p>
      <w:pPr>
        <w:tabs>
          <w:tab w:val="left" w:pos="480"/>
        </w:tabs>
        <w:adjustRightInd w:val="0"/>
        <w:snapToGrid w:val="0"/>
        <w:spacing w:line="300" w:lineRule="auto"/>
        <w:rPr>
          <w:snapToGrid w:val="0"/>
          <w:kern w:val="0"/>
        </w:rPr>
      </w:pPr>
    </w:p>
    <w:p>
      <w:pPr>
        <w:tabs>
          <w:tab w:val="left" w:pos="1200"/>
        </w:tabs>
        <w:adjustRightInd w:val="0"/>
        <w:snapToGrid w:val="0"/>
        <w:spacing w:line="300" w:lineRule="auto"/>
        <w:rPr>
          <w:snapToGrid w:val="0"/>
          <w:kern w:val="0"/>
        </w:rPr>
      </w:pPr>
    </w:p>
    <w:p>
      <w:pPr>
        <w:tabs>
          <w:tab w:val="left" w:pos="1200"/>
        </w:tabs>
        <w:adjustRightInd w:val="0"/>
        <w:snapToGrid w:val="0"/>
        <w:spacing w:line="300" w:lineRule="auto"/>
        <w:rPr>
          <w:snapToGrid w:val="0"/>
          <w:kern w:val="0"/>
        </w:rPr>
      </w:pPr>
    </w:p>
    <w:p>
      <w:pPr>
        <w:tabs>
          <w:tab w:val="left" w:pos="1200"/>
        </w:tabs>
        <w:adjustRightInd w:val="0"/>
        <w:snapToGrid w:val="0"/>
        <w:spacing w:line="300" w:lineRule="auto"/>
        <w:rPr>
          <w:snapToGrid w:val="0"/>
          <w:kern w:val="0"/>
        </w:rPr>
      </w:pPr>
    </w:p>
    <w:p>
      <w:pPr>
        <w:tabs>
          <w:tab w:val="left" w:pos="1200"/>
        </w:tabs>
        <w:adjustRightInd w:val="0"/>
        <w:snapToGrid w:val="0"/>
        <w:spacing w:line="300" w:lineRule="auto"/>
        <w:rPr>
          <w:snapToGrid w:val="0"/>
          <w:kern w:val="0"/>
        </w:rPr>
      </w:pPr>
    </w:p>
    <w:p>
      <w:pPr>
        <w:tabs>
          <w:tab w:val="left" w:pos="1200"/>
        </w:tabs>
        <w:adjustRightInd w:val="0"/>
        <w:snapToGrid w:val="0"/>
        <w:spacing w:line="300" w:lineRule="auto"/>
        <w:rPr>
          <w:snapToGrid w:val="0"/>
          <w:kern w:val="0"/>
        </w:rPr>
      </w:pPr>
    </w:p>
    <w:p>
      <w:pPr>
        <w:pStyle w:val="3"/>
        <w:tabs>
          <w:tab w:val="left" w:pos="371"/>
        </w:tabs>
        <w:spacing w:before="120" w:after="120"/>
        <w:ind w:left="-1" w:leftChars="-1" w:hanging="1"/>
        <w:jc w:val="center"/>
        <w:rPr>
          <w:rFonts w:asciiTheme="minorEastAsia" w:hAnsiTheme="minorEastAsia" w:eastAsiaTheme="minorEastAsia"/>
        </w:rPr>
      </w:pPr>
      <w:bookmarkStart w:id="82" w:name="_格式2__投标保证金凭证"/>
      <w:bookmarkEnd w:id="82"/>
      <w:bookmarkStart w:id="83" w:name="_格式4__"/>
      <w:bookmarkEnd w:id="83"/>
      <w:bookmarkStart w:id="84" w:name="q17"/>
      <w:bookmarkEnd w:id="84"/>
      <w:bookmarkStart w:id="85" w:name="_格式3__"/>
      <w:bookmarkEnd w:id="85"/>
      <w:bookmarkStart w:id="86" w:name="_格式5__"/>
      <w:bookmarkEnd w:id="86"/>
      <w:bookmarkStart w:id="87" w:name="q15"/>
      <w:bookmarkEnd w:id="87"/>
      <w:bookmarkStart w:id="88" w:name="q16"/>
      <w:bookmarkEnd w:id="88"/>
      <w:r>
        <w:rPr>
          <w:rFonts w:asciiTheme="minorEastAsia" w:hAnsiTheme="minorEastAsia" w:eastAsiaTheme="minorEastAsia"/>
        </w:rPr>
        <w:tab/>
      </w:r>
      <w:bookmarkStart w:id="89" w:name="_Toc44691401"/>
      <w:bookmarkStart w:id="90" w:name="_Toc44690710"/>
      <w:bookmarkStart w:id="91" w:name="_Toc44690437"/>
      <w:bookmarkStart w:id="92" w:name="_Toc135293352"/>
      <w:bookmarkStart w:id="93" w:name="_Toc44691169"/>
      <w:r>
        <w:rPr>
          <w:rFonts w:hint="eastAsia" w:asciiTheme="minorEastAsia" w:hAnsiTheme="minorEastAsia" w:eastAsiaTheme="minorEastAsia"/>
        </w:rPr>
        <w:t>格式10  投标人情况介绍</w:t>
      </w:r>
      <w:bookmarkEnd w:id="89"/>
      <w:bookmarkEnd w:id="90"/>
      <w:bookmarkEnd w:id="91"/>
      <w:bookmarkEnd w:id="92"/>
      <w:bookmarkEnd w:id="93"/>
    </w:p>
    <w:p>
      <w:pPr>
        <w:snapToGrid w:val="0"/>
        <w:spacing w:line="300" w:lineRule="auto"/>
        <w:rPr>
          <w:rFonts w:ascii="宋体" w:hAnsi="宋体"/>
        </w:rPr>
      </w:pPr>
    </w:p>
    <w:p>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pPr>
        <w:adjustRightInd w:val="0"/>
        <w:snapToGrid w:val="0"/>
        <w:spacing w:line="360" w:lineRule="auto"/>
        <w:rPr>
          <w:rFonts w:ascii="宋体" w:hAnsi="宋体"/>
          <w:bCs/>
          <w:snapToGrid w:val="0"/>
          <w:kern w:val="0"/>
          <w:szCs w:val="21"/>
        </w:rPr>
      </w:pPr>
    </w:p>
    <w:p>
      <w:pPr>
        <w:adjustRightInd w:val="0"/>
        <w:snapToGrid w:val="0"/>
        <w:spacing w:line="360" w:lineRule="auto"/>
        <w:rPr>
          <w:rFonts w:ascii="宋体" w:hAnsi="宋体"/>
          <w:snapToGrid w:val="0"/>
          <w:kern w:val="0"/>
          <w:szCs w:val="21"/>
        </w:rPr>
      </w:pPr>
      <w:r>
        <w:rPr>
          <w:rFonts w:hint="eastAsia" w:ascii="宋体" w:hAnsi="宋体"/>
          <w:bCs/>
          <w:snapToGrid w:val="0"/>
          <w:kern w:val="0"/>
          <w:szCs w:val="21"/>
        </w:rPr>
        <w:t>2、</w:t>
      </w:r>
      <w:r>
        <w:rPr>
          <w:rFonts w:hint="eastAsia" w:ascii="宋体" w:hAnsi="宋体"/>
          <w:bCs/>
          <w:snapToGrid w:val="0"/>
          <w:kern w:val="0"/>
        </w:rPr>
        <w:t>投标人认为有必要提供的其他文件。</w:t>
      </w:r>
    </w:p>
    <w:p>
      <w:pPr>
        <w:adjustRightInd w:val="0"/>
        <w:snapToGrid w:val="0"/>
        <w:spacing w:line="360" w:lineRule="auto"/>
        <w:rPr>
          <w:bCs/>
          <w:snapToGrid w:val="0"/>
          <w:kern w:val="0"/>
        </w:rPr>
      </w:pPr>
    </w:p>
    <w:p>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pPr>
        <w:adjustRightInd w:val="0"/>
        <w:snapToGrid w:val="0"/>
        <w:spacing w:line="360" w:lineRule="auto"/>
        <w:rPr>
          <w:bCs/>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jc w:val="center"/>
        <w:rPr>
          <w:snapToGrid w:val="0"/>
          <w:kern w:val="0"/>
        </w:rPr>
      </w:pPr>
    </w:p>
    <w:p>
      <w:pPr>
        <w:spacing w:line="360" w:lineRule="auto"/>
        <w:jc w:val="center"/>
        <w:rPr>
          <w:b/>
          <w:szCs w:val="21"/>
        </w:rPr>
      </w:pPr>
      <w:bookmarkStart w:id="94" w:name="_格式7__投标人资格声明"/>
      <w:bookmarkEnd w:id="94"/>
      <w:bookmarkStart w:id="95" w:name="q40"/>
    </w:p>
    <w:p>
      <w:pPr>
        <w:pStyle w:val="3"/>
        <w:tabs>
          <w:tab w:val="left" w:pos="371"/>
        </w:tabs>
        <w:spacing w:before="120" w:after="120"/>
        <w:ind w:left="-1" w:leftChars="-1" w:hanging="1"/>
        <w:jc w:val="center"/>
        <w:rPr>
          <w:rFonts w:asciiTheme="minorEastAsia" w:hAnsiTheme="minorEastAsia" w:eastAsiaTheme="minorEastAsia"/>
        </w:rPr>
      </w:pPr>
      <w:bookmarkStart w:id="96" w:name="_Toc135293353"/>
      <w:r>
        <w:rPr>
          <w:rFonts w:hint="eastAsia" w:asciiTheme="minorEastAsia" w:hAnsiTheme="minorEastAsia" w:eastAsiaTheme="minorEastAsia"/>
        </w:rPr>
        <w:t>格式11  偏离表</w:t>
      </w:r>
      <w:bookmarkEnd w:id="96"/>
    </w:p>
    <w:bookmarkEnd w:id="95"/>
    <w:p>
      <w:pPr>
        <w:spacing w:line="360" w:lineRule="auto"/>
        <w:jc w:val="center"/>
      </w:pPr>
    </w:p>
    <w:p>
      <w:pPr>
        <w:snapToGrid w:val="0"/>
        <w:spacing w:line="360" w:lineRule="auto"/>
        <w:jc w:val="center"/>
        <w:rPr>
          <w:b/>
        </w:rPr>
      </w:pPr>
      <w:r>
        <w:rPr>
          <w:rFonts w:hint="eastAsia"/>
          <w:b/>
        </w:rPr>
        <w:t>技术规格偏离表</w:t>
      </w:r>
    </w:p>
    <w:tbl>
      <w:tblPr>
        <w:tblStyle w:val="50"/>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18"/>
        <w:gridCol w:w="2482"/>
        <w:gridCol w:w="1701"/>
        <w:gridCol w:w="1275"/>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ascii="宋体" w:hAnsi="宋体"/>
                <w:szCs w:val="21"/>
              </w:rPr>
            </w:pPr>
            <w:r>
              <w:rPr>
                <w:rFonts w:hint="eastAsia" w:ascii="宋体" w:hAnsi="宋体"/>
                <w:szCs w:val="21"/>
              </w:rPr>
              <w:t>序号</w:t>
            </w:r>
          </w:p>
        </w:tc>
        <w:tc>
          <w:tcPr>
            <w:tcW w:w="1418" w:type="dxa"/>
            <w:vAlign w:val="center"/>
          </w:tcPr>
          <w:p>
            <w:pPr>
              <w:spacing w:line="360" w:lineRule="auto"/>
              <w:jc w:val="center"/>
              <w:rPr>
                <w:rFonts w:ascii="宋体" w:hAnsi="宋体"/>
                <w:szCs w:val="21"/>
              </w:rPr>
            </w:pPr>
            <w:r>
              <w:rPr>
                <w:rFonts w:hint="eastAsia" w:ascii="宋体" w:hAnsi="宋体"/>
                <w:szCs w:val="21"/>
              </w:rPr>
              <w:t>货物名称</w:t>
            </w:r>
          </w:p>
        </w:tc>
        <w:tc>
          <w:tcPr>
            <w:tcW w:w="2482" w:type="dxa"/>
            <w:vAlign w:val="center"/>
          </w:tcPr>
          <w:p>
            <w:pPr>
              <w:spacing w:line="360" w:lineRule="auto"/>
              <w:jc w:val="center"/>
              <w:rPr>
                <w:rFonts w:ascii="宋体" w:hAnsi="宋体"/>
                <w:szCs w:val="21"/>
              </w:rPr>
            </w:pPr>
            <w:r>
              <w:rPr>
                <w:rFonts w:hint="eastAsia" w:ascii="宋体" w:hAnsi="宋体"/>
                <w:szCs w:val="21"/>
              </w:rPr>
              <w:t>招标技术要求</w:t>
            </w:r>
          </w:p>
        </w:tc>
        <w:tc>
          <w:tcPr>
            <w:tcW w:w="1701" w:type="dxa"/>
            <w:vAlign w:val="center"/>
          </w:tcPr>
          <w:p>
            <w:pPr>
              <w:spacing w:line="360" w:lineRule="auto"/>
              <w:jc w:val="center"/>
              <w:rPr>
                <w:rFonts w:ascii="宋体" w:hAnsi="宋体"/>
                <w:szCs w:val="21"/>
              </w:rPr>
            </w:pPr>
            <w:r>
              <w:rPr>
                <w:rFonts w:hint="eastAsia" w:ascii="宋体" w:hAnsi="宋体"/>
                <w:szCs w:val="21"/>
              </w:rPr>
              <w:t>投标技术响应</w:t>
            </w:r>
          </w:p>
        </w:tc>
        <w:tc>
          <w:tcPr>
            <w:tcW w:w="1275" w:type="dxa"/>
            <w:vAlign w:val="center"/>
          </w:tcPr>
          <w:p>
            <w:pPr>
              <w:spacing w:line="360" w:lineRule="auto"/>
              <w:jc w:val="center"/>
              <w:rPr>
                <w:rFonts w:ascii="宋体" w:hAnsi="宋体"/>
                <w:szCs w:val="21"/>
              </w:rPr>
            </w:pPr>
            <w:r>
              <w:rPr>
                <w:rFonts w:hint="eastAsia" w:ascii="宋体" w:hAnsi="宋体"/>
                <w:szCs w:val="21"/>
              </w:rPr>
              <w:t>偏离情况</w:t>
            </w:r>
          </w:p>
        </w:tc>
        <w:tc>
          <w:tcPr>
            <w:tcW w:w="2304" w:type="dxa"/>
            <w:vAlign w:val="center"/>
          </w:tcPr>
          <w:p>
            <w:pPr>
              <w:spacing w:line="360" w:lineRule="auto"/>
              <w:jc w:val="center"/>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ascii="宋体" w:hAnsi="宋体"/>
                <w:szCs w:val="21"/>
              </w:rPr>
            </w:pPr>
          </w:p>
        </w:tc>
        <w:tc>
          <w:tcPr>
            <w:tcW w:w="1418" w:type="dxa"/>
            <w:vAlign w:val="center"/>
          </w:tcPr>
          <w:p>
            <w:pPr>
              <w:spacing w:line="360" w:lineRule="auto"/>
              <w:jc w:val="center"/>
              <w:rPr>
                <w:rFonts w:ascii="宋体" w:hAnsi="宋体"/>
                <w:szCs w:val="21"/>
              </w:rPr>
            </w:pPr>
          </w:p>
        </w:tc>
        <w:tc>
          <w:tcPr>
            <w:tcW w:w="2482" w:type="dxa"/>
            <w:vAlign w:val="center"/>
          </w:tcPr>
          <w:p>
            <w:pPr>
              <w:spacing w:line="360" w:lineRule="auto"/>
              <w:jc w:val="center"/>
              <w:rPr>
                <w:rFonts w:ascii="宋体" w:hAnsi="宋体"/>
                <w:szCs w:val="21"/>
              </w:rPr>
            </w:pPr>
          </w:p>
        </w:tc>
        <w:tc>
          <w:tcPr>
            <w:tcW w:w="1701" w:type="dxa"/>
            <w:vAlign w:val="center"/>
          </w:tcPr>
          <w:p>
            <w:pPr>
              <w:spacing w:line="360" w:lineRule="auto"/>
              <w:jc w:val="center"/>
              <w:rPr>
                <w:rFonts w:ascii="宋体" w:hAnsi="宋体"/>
                <w:szCs w:val="21"/>
              </w:rPr>
            </w:pPr>
          </w:p>
        </w:tc>
        <w:tc>
          <w:tcPr>
            <w:tcW w:w="1275" w:type="dxa"/>
            <w:vAlign w:val="center"/>
          </w:tcPr>
          <w:p>
            <w:pPr>
              <w:spacing w:line="360" w:lineRule="auto"/>
              <w:jc w:val="center"/>
              <w:rPr>
                <w:rFonts w:ascii="宋体" w:hAnsi="宋体"/>
                <w:szCs w:val="21"/>
              </w:rPr>
            </w:pPr>
          </w:p>
        </w:tc>
        <w:tc>
          <w:tcPr>
            <w:tcW w:w="2304" w:type="dxa"/>
            <w:vAlign w:val="center"/>
          </w:tcPr>
          <w:p>
            <w:pPr>
              <w:jc w:val="center"/>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ascii="宋体" w:hAnsi="宋体"/>
                <w:szCs w:val="21"/>
              </w:rPr>
            </w:pPr>
          </w:p>
        </w:tc>
        <w:tc>
          <w:tcPr>
            <w:tcW w:w="1418" w:type="dxa"/>
            <w:vAlign w:val="center"/>
          </w:tcPr>
          <w:p>
            <w:pPr>
              <w:spacing w:line="360" w:lineRule="auto"/>
              <w:jc w:val="center"/>
              <w:rPr>
                <w:rFonts w:ascii="宋体" w:hAnsi="宋体"/>
                <w:szCs w:val="21"/>
              </w:rPr>
            </w:pPr>
          </w:p>
        </w:tc>
        <w:tc>
          <w:tcPr>
            <w:tcW w:w="2482" w:type="dxa"/>
            <w:vAlign w:val="center"/>
          </w:tcPr>
          <w:p>
            <w:pPr>
              <w:spacing w:line="360" w:lineRule="auto"/>
              <w:jc w:val="center"/>
              <w:rPr>
                <w:rFonts w:ascii="宋体" w:hAnsi="宋体"/>
                <w:szCs w:val="21"/>
              </w:rPr>
            </w:pPr>
          </w:p>
        </w:tc>
        <w:tc>
          <w:tcPr>
            <w:tcW w:w="1701" w:type="dxa"/>
            <w:vAlign w:val="center"/>
          </w:tcPr>
          <w:p>
            <w:pPr>
              <w:spacing w:line="360" w:lineRule="auto"/>
              <w:jc w:val="center"/>
              <w:rPr>
                <w:rFonts w:ascii="宋体" w:hAnsi="宋体"/>
                <w:szCs w:val="21"/>
              </w:rPr>
            </w:pPr>
          </w:p>
        </w:tc>
        <w:tc>
          <w:tcPr>
            <w:tcW w:w="1275" w:type="dxa"/>
            <w:vAlign w:val="center"/>
          </w:tcPr>
          <w:p>
            <w:pPr>
              <w:spacing w:line="360" w:lineRule="auto"/>
              <w:jc w:val="center"/>
              <w:rPr>
                <w:rFonts w:ascii="宋体" w:hAnsi="宋体"/>
                <w:szCs w:val="21"/>
              </w:rPr>
            </w:pPr>
          </w:p>
        </w:tc>
        <w:tc>
          <w:tcPr>
            <w:tcW w:w="230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ascii="宋体" w:hAnsi="宋体"/>
                <w:szCs w:val="21"/>
              </w:rPr>
            </w:pPr>
          </w:p>
        </w:tc>
        <w:tc>
          <w:tcPr>
            <w:tcW w:w="1418" w:type="dxa"/>
            <w:vAlign w:val="center"/>
          </w:tcPr>
          <w:p>
            <w:pPr>
              <w:spacing w:line="360" w:lineRule="auto"/>
              <w:jc w:val="center"/>
              <w:rPr>
                <w:rFonts w:ascii="宋体" w:hAnsi="宋体"/>
                <w:szCs w:val="21"/>
              </w:rPr>
            </w:pPr>
          </w:p>
        </w:tc>
        <w:tc>
          <w:tcPr>
            <w:tcW w:w="2482" w:type="dxa"/>
            <w:vAlign w:val="center"/>
          </w:tcPr>
          <w:p>
            <w:pPr>
              <w:spacing w:line="360" w:lineRule="auto"/>
              <w:jc w:val="center"/>
              <w:rPr>
                <w:rFonts w:ascii="宋体" w:hAnsi="宋体"/>
                <w:szCs w:val="21"/>
              </w:rPr>
            </w:pPr>
          </w:p>
        </w:tc>
        <w:tc>
          <w:tcPr>
            <w:tcW w:w="1701" w:type="dxa"/>
            <w:vAlign w:val="center"/>
          </w:tcPr>
          <w:p>
            <w:pPr>
              <w:spacing w:line="360" w:lineRule="auto"/>
              <w:jc w:val="center"/>
              <w:rPr>
                <w:rFonts w:ascii="宋体" w:hAnsi="宋体"/>
                <w:szCs w:val="21"/>
              </w:rPr>
            </w:pPr>
          </w:p>
        </w:tc>
        <w:tc>
          <w:tcPr>
            <w:tcW w:w="1275" w:type="dxa"/>
            <w:vAlign w:val="center"/>
          </w:tcPr>
          <w:p>
            <w:pPr>
              <w:spacing w:line="360" w:lineRule="auto"/>
              <w:jc w:val="center"/>
              <w:rPr>
                <w:rFonts w:ascii="宋体" w:hAnsi="宋体"/>
                <w:szCs w:val="21"/>
              </w:rPr>
            </w:pPr>
          </w:p>
        </w:tc>
        <w:tc>
          <w:tcPr>
            <w:tcW w:w="230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pPr>
              <w:spacing w:line="360" w:lineRule="auto"/>
              <w:jc w:val="center"/>
              <w:rPr>
                <w:rFonts w:ascii="宋体" w:hAnsi="宋体"/>
                <w:szCs w:val="21"/>
              </w:rPr>
            </w:pPr>
          </w:p>
        </w:tc>
        <w:tc>
          <w:tcPr>
            <w:tcW w:w="1418" w:type="dxa"/>
            <w:vAlign w:val="center"/>
          </w:tcPr>
          <w:p>
            <w:pPr>
              <w:spacing w:line="360" w:lineRule="auto"/>
              <w:jc w:val="center"/>
              <w:rPr>
                <w:rFonts w:ascii="宋体" w:hAnsi="宋体"/>
                <w:szCs w:val="21"/>
              </w:rPr>
            </w:pPr>
          </w:p>
        </w:tc>
        <w:tc>
          <w:tcPr>
            <w:tcW w:w="2482" w:type="dxa"/>
            <w:vAlign w:val="center"/>
          </w:tcPr>
          <w:p>
            <w:pPr>
              <w:spacing w:line="360" w:lineRule="auto"/>
              <w:jc w:val="center"/>
              <w:rPr>
                <w:rFonts w:ascii="宋体" w:hAnsi="宋体"/>
                <w:szCs w:val="21"/>
              </w:rPr>
            </w:pPr>
          </w:p>
        </w:tc>
        <w:tc>
          <w:tcPr>
            <w:tcW w:w="1701" w:type="dxa"/>
            <w:vAlign w:val="center"/>
          </w:tcPr>
          <w:p>
            <w:pPr>
              <w:spacing w:line="360" w:lineRule="auto"/>
              <w:jc w:val="center"/>
              <w:rPr>
                <w:rFonts w:ascii="宋体" w:hAnsi="宋体"/>
                <w:szCs w:val="21"/>
              </w:rPr>
            </w:pPr>
          </w:p>
        </w:tc>
        <w:tc>
          <w:tcPr>
            <w:tcW w:w="1275" w:type="dxa"/>
            <w:vAlign w:val="center"/>
          </w:tcPr>
          <w:p>
            <w:pPr>
              <w:spacing w:line="360" w:lineRule="auto"/>
              <w:jc w:val="center"/>
              <w:rPr>
                <w:rFonts w:ascii="宋体" w:hAnsi="宋体"/>
                <w:szCs w:val="21"/>
              </w:rPr>
            </w:pPr>
          </w:p>
        </w:tc>
        <w:tc>
          <w:tcPr>
            <w:tcW w:w="2304" w:type="dxa"/>
            <w:vAlign w:val="center"/>
          </w:tcPr>
          <w:p>
            <w:pPr>
              <w:spacing w:line="360" w:lineRule="auto"/>
              <w:jc w:val="center"/>
              <w:rPr>
                <w:rFonts w:ascii="宋体" w:hAnsi="宋体"/>
                <w:szCs w:val="21"/>
              </w:rPr>
            </w:pPr>
          </w:p>
        </w:tc>
      </w:tr>
    </w:tbl>
    <w:p>
      <w:pPr>
        <w:spacing w:line="400" w:lineRule="exact"/>
        <w:rPr>
          <w:rFonts w:ascii="宋体" w:hAnsi="宋体" w:cs="Arial"/>
          <w:b/>
          <w:bCs/>
          <w:szCs w:val="21"/>
        </w:rPr>
      </w:pPr>
      <w:r>
        <w:rPr>
          <w:rFonts w:hint="eastAsia" w:ascii="宋体" w:hAnsi="宋体" w:cs="Arial"/>
          <w:bCs/>
          <w:szCs w:val="21"/>
        </w:rPr>
        <w:t>备注：1、“</w:t>
      </w:r>
      <w:r>
        <w:rPr>
          <w:rFonts w:hint="eastAsia" w:ascii="宋体" w:hAnsi="宋体"/>
          <w:szCs w:val="21"/>
        </w:rPr>
        <w:t>招标技术要求</w:t>
      </w:r>
      <w:r>
        <w:rPr>
          <w:rFonts w:hint="eastAsia" w:ascii="宋体" w:hAnsi="宋体" w:cs="Arial"/>
          <w:bCs/>
          <w:szCs w:val="21"/>
        </w:rPr>
        <w:t>”一栏逐一列出招标文件第二章《项目需求》中“</w:t>
      </w:r>
      <w:r>
        <w:rPr>
          <w:rFonts w:hint="eastAsia" w:ascii="宋体" w:hAnsi="宋体" w:cs="Arial"/>
          <w:b/>
          <w:bCs/>
          <w:szCs w:val="21"/>
        </w:rPr>
        <w:t>二、</w:t>
      </w:r>
      <w:r>
        <w:rPr>
          <w:rFonts w:hint="eastAsia" w:ascii="宋体" w:hAnsi="宋体"/>
          <w:b/>
          <w:bCs/>
          <w:snapToGrid w:val="0"/>
          <w:szCs w:val="21"/>
        </w:rPr>
        <w:t>技术要求</w:t>
      </w:r>
      <w:r>
        <w:rPr>
          <w:rFonts w:hint="eastAsia" w:ascii="宋体" w:hAnsi="宋体" w:cs="Arial"/>
          <w:bCs/>
          <w:szCs w:val="21"/>
        </w:rPr>
        <w:t>”的内容；“</w:t>
      </w:r>
      <w:r>
        <w:rPr>
          <w:rFonts w:hint="eastAsia" w:ascii="宋体" w:hAnsi="宋体"/>
          <w:szCs w:val="21"/>
        </w:rPr>
        <w:t>投标技术响应</w:t>
      </w:r>
      <w:r>
        <w:rPr>
          <w:rFonts w:hint="eastAsia" w:ascii="宋体" w:hAnsi="宋体" w:cs="Arial"/>
          <w:bCs/>
          <w:szCs w:val="21"/>
        </w:rPr>
        <w:t>”一栏应详细填写投标产品的具体参数响应情况。</w:t>
      </w:r>
    </w:p>
    <w:p>
      <w:pPr>
        <w:spacing w:line="400" w:lineRule="exact"/>
        <w:ind w:firstLine="424" w:firstLineChars="202"/>
        <w:rPr>
          <w:rFonts w:ascii="宋体" w:hAnsi="宋体" w:cs="Arial"/>
          <w:bCs/>
          <w:szCs w:val="21"/>
        </w:rPr>
      </w:pPr>
      <w:r>
        <w:rPr>
          <w:rFonts w:hint="eastAsia" w:ascii="宋体" w:hAnsi="宋体" w:cs="Arial"/>
          <w:bCs/>
          <w:szCs w:val="21"/>
        </w:rPr>
        <w:t>2、“偏离情况”栏中应如实填写“正偏离”、“负偏离”或“无偏离”。</w:t>
      </w:r>
      <w:r>
        <w:rPr>
          <w:rFonts w:hint="eastAsia" w:ascii="宋体" w:hAnsi="宋体"/>
          <w:kern w:val="0"/>
          <w:szCs w:val="21"/>
        </w:rPr>
        <w:t>★</w:t>
      </w:r>
      <w:r>
        <w:rPr>
          <w:rFonts w:hint="eastAsia" w:asciiTheme="minorEastAsia" w:hAnsiTheme="minorEastAsia" w:eastAsiaTheme="minorEastAsia"/>
          <w:szCs w:val="21"/>
        </w:rPr>
        <w:t>条款为不可负偏离条款，投标文件响应为“负偏离”或未响应的，投标文件将按无效投标处理。</w:t>
      </w:r>
    </w:p>
    <w:p>
      <w:pPr>
        <w:spacing w:line="400" w:lineRule="exact"/>
        <w:ind w:firstLine="424" w:firstLineChars="202"/>
        <w:rPr>
          <w:rFonts w:asciiTheme="minorEastAsia" w:hAnsiTheme="minorEastAsia" w:eastAsiaTheme="minorEastAsia"/>
          <w:szCs w:val="21"/>
        </w:rPr>
      </w:pPr>
      <w:r>
        <w:rPr>
          <w:rFonts w:hint="eastAsia" w:ascii="宋体" w:hAnsi="宋体" w:cs="Arial"/>
          <w:bCs/>
          <w:szCs w:val="21"/>
        </w:rPr>
        <w:t>3、</w:t>
      </w:r>
      <w:r>
        <w:rPr>
          <w:rFonts w:hint="eastAsia" w:asciiTheme="minorEastAsia" w:hAnsiTheme="minorEastAsia" w:eastAsiaTheme="minorEastAsia"/>
          <w:b/>
          <w:szCs w:val="21"/>
        </w:rPr>
        <w:t>投标产品的技术参数应按</w:t>
      </w:r>
      <w:r>
        <w:rPr>
          <w:rFonts w:hint="eastAsia" w:ascii="宋体" w:hAnsi="宋体" w:cs="Arial"/>
          <w:b/>
          <w:bCs/>
          <w:szCs w:val="21"/>
        </w:rPr>
        <w:t>招标文件第二章《项目需求》中“二、</w:t>
      </w:r>
      <w:r>
        <w:rPr>
          <w:rFonts w:hint="eastAsia" w:ascii="宋体" w:hAnsi="宋体"/>
          <w:b/>
          <w:bCs/>
          <w:snapToGrid w:val="0"/>
          <w:szCs w:val="21"/>
        </w:rPr>
        <w:t>技术要求</w:t>
      </w:r>
      <w:r>
        <w:rPr>
          <w:rFonts w:hint="eastAsia" w:ascii="宋体" w:hAnsi="宋体" w:cs="Arial"/>
          <w:b/>
          <w:bCs/>
          <w:szCs w:val="21"/>
        </w:rPr>
        <w:t>”</w:t>
      </w:r>
      <w:r>
        <w:rPr>
          <w:rFonts w:hint="eastAsia" w:asciiTheme="minorEastAsia" w:hAnsiTheme="minorEastAsia" w:eastAsiaTheme="minorEastAsia"/>
          <w:b/>
          <w:szCs w:val="21"/>
        </w:rPr>
        <w:t>中的要求提供相应的证明资料，以证明投标人响应的真实性。</w:t>
      </w:r>
      <w:r>
        <w:rPr>
          <w:rFonts w:hint="eastAsia" w:asciiTheme="minorEastAsia" w:hAnsiTheme="minorEastAsia" w:eastAsiaTheme="minorEastAsia"/>
          <w:szCs w:val="21"/>
        </w:rPr>
        <w:t>投标人应在“说明”一栏中列出技术参数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pPr>
        <w:adjustRightInd w:val="0"/>
        <w:snapToGrid w:val="0"/>
        <w:spacing w:line="360" w:lineRule="auto"/>
        <w:rPr>
          <w:bCs/>
          <w:snapToGrid w:val="0"/>
        </w:rPr>
      </w:pPr>
    </w:p>
    <w:p>
      <w:pPr>
        <w:snapToGrid w:val="0"/>
        <w:spacing w:line="360" w:lineRule="auto"/>
        <w:jc w:val="center"/>
        <w:rPr>
          <w:b/>
        </w:rPr>
      </w:pPr>
      <w:r>
        <w:rPr>
          <w:rFonts w:hint="eastAsia"/>
          <w:b/>
        </w:rPr>
        <w:t>商务条款偏离表</w:t>
      </w:r>
    </w:p>
    <w:tbl>
      <w:tblPr>
        <w:tblStyle w:val="50"/>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077"/>
        <w:gridCol w:w="2735"/>
        <w:gridCol w:w="1801"/>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pPr>
              <w:spacing w:line="360" w:lineRule="auto"/>
              <w:jc w:val="center"/>
              <w:rPr>
                <w:rFonts w:ascii="宋体" w:hAnsi="宋体"/>
                <w:szCs w:val="21"/>
              </w:rPr>
            </w:pPr>
            <w:r>
              <w:rPr>
                <w:rFonts w:hint="eastAsia" w:ascii="宋体" w:hAnsi="宋体"/>
                <w:szCs w:val="21"/>
              </w:rPr>
              <w:t>序号</w:t>
            </w:r>
          </w:p>
        </w:tc>
        <w:tc>
          <w:tcPr>
            <w:tcW w:w="3077" w:type="dxa"/>
            <w:vAlign w:val="center"/>
          </w:tcPr>
          <w:p>
            <w:pPr>
              <w:spacing w:line="360" w:lineRule="auto"/>
              <w:jc w:val="center"/>
              <w:rPr>
                <w:rFonts w:ascii="宋体" w:hAnsi="宋体"/>
                <w:szCs w:val="21"/>
              </w:rPr>
            </w:pPr>
            <w:r>
              <w:rPr>
                <w:rFonts w:hint="eastAsia" w:ascii="宋体" w:hAnsi="宋体"/>
                <w:szCs w:val="21"/>
              </w:rPr>
              <w:t>招标商务需求</w:t>
            </w:r>
          </w:p>
        </w:tc>
        <w:tc>
          <w:tcPr>
            <w:tcW w:w="2735" w:type="dxa"/>
            <w:vAlign w:val="center"/>
          </w:tcPr>
          <w:p>
            <w:pPr>
              <w:spacing w:line="360" w:lineRule="auto"/>
              <w:jc w:val="center"/>
              <w:rPr>
                <w:rFonts w:ascii="宋体" w:hAnsi="宋体"/>
                <w:szCs w:val="21"/>
              </w:rPr>
            </w:pPr>
            <w:r>
              <w:rPr>
                <w:rFonts w:hint="eastAsia" w:ascii="宋体" w:hAnsi="宋体"/>
                <w:szCs w:val="21"/>
              </w:rPr>
              <w:t>投标商务响应</w:t>
            </w:r>
          </w:p>
        </w:tc>
        <w:tc>
          <w:tcPr>
            <w:tcW w:w="1801" w:type="dxa"/>
            <w:vAlign w:val="center"/>
          </w:tcPr>
          <w:p>
            <w:pPr>
              <w:spacing w:line="360" w:lineRule="auto"/>
              <w:jc w:val="center"/>
              <w:rPr>
                <w:rFonts w:ascii="宋体" w:hAnsi="宋体"/>
                <w:szCs w:val="21"/>
              </w:rPr>
            </w:pPr>
            <w:r>
              <w:rPr>
                <w:rFonts w:hint="eastAsia" w:ascii="宋体" w:hAnsi="宋体"/>
                <w:szCs w:val="21"/>
              </w:rPr>
              <w:t>偏离情况</w:t>
            </w:r>
          </w:p>
        </w:tc>
        <w:tc>
          <w:tcPr>
            <w:tcW w:w="1515" w:type="dxa"/>
            <w:vAlign w:val="center"/>
          </w:tcPr>
          <w:p>
            <w:pPr>
              <w:spacing w:line="360" w:lineRule="auto"/>
              <w:jc w:val="center"/>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pPr>
              <w:spacing w:line="360" w:lineRule="auto"/>
              <w:jc w:val="center"/>
              <w:rPr>
                <w:rFonts w:ascii="宋体" w:hAnsi="宋体" w:cs="宋体"/>
                <w:bCs/>
                <w:szCs w:val="21"/>
              </w:rPr>
            </w:pPr>
          </w:p>
        </w:tc>
        <w:tc>
          <w:tcPr>
            <w:tcW w:w="3077" w:type="dxa"/>
          </w:tcPr>
          <w:p>
            <w:pPr>
              <w:spacing w:line="360" w:lineRule="auto"/>
              <w:rPr>
                <w:rFonts w:ascii="宋体" w:hAnsi="宋体"/>
                <w:bCs/>
                <w:szCs w:val="21"/>
              </w:rPr>
            </w:pPr>
          </w:p>
        </w:tc>
        <w:tc>
          <w:tcPr>
            <w:tcW w:w="2735" w:type="dxa"/>
          </w:tcPr>
          <w:p>
            <w:pPr>
              <w:spacing w:line="360" w:lineRule="auto"/>
              <w:rPr>
                <w:rFonts w:ascii="宋体" w:hAnsi="宋体" w:cs="宋体"/>
                <w:szCs w:val="21"/>
              </w:rPr>
            </w:pPr>
          </w:p>
        </w:tc>
        <w:tc>
          <w:tcPr>
            <w:tcW w:w="1801" w:type="dxa"/>
          </w:tcPr>
          <w:p>
            <w:pPr>
              <w:spacing w:line="360" w:lineRule="auto"/>
              <w:rPr>
                <w:rFonts w:ascii="宋体" w:hAnsi="宋体" w:cs="宋体"/>
                <w:szCs w:val="21"/>
              </w:rPr>
            </w:pPr>
          </w:p>
        </w:tc>
        <w:tc>
          <w:tcPr>
            <w:tcW w:w="1515" w:type="dxa"/>
          </w:tcPr>
          <w:p>
            <w:pPr>
              <w:rPr>
                <w:rFonts w:ascii="宋体" w:hAnsi="宋体" w:cs="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pPr>
              <w:spacing w:line="360" w:lineRule="auto"/>
              <w:jc w:val="center"/>
              <w:rPr>
                <w:rFonts w:ascii="宋体" w:hAnsi="宋体" w:cs="宋体"/>
                <w:bCs/>
                <w:szCs w:val="21"/>
              </w:rPr>
            </w:pPr>
          </w:p>
        </w:tc>
        <w:tc>
          <w:tcPr>
            <w:tcW w:w="3077" w:type="dxa"/>
          </w:tcPr>
          <w:p>
            <w:pPr>
              <w:spacing w:line="360" w:lineRule="auto"/>
              <w:rPr>
                <w:rFonts w:ascii="宋体" w:hAnsi="宋体" w:cs="宋体"/>
                <w:b/>
                <w:szCs w:val="21"/>
              </w:rPr>
            </w:pPr>
          </w:p>
        </w:tc>
        <w:tc>
          <w:tcPr>
            <w:tcW w:w="2735" w:type="dxa"/>
          </w:tcPr>
          <w:p>
            <w:pPr>
              <w:spacing w:line="360" w:lineRule="auto"/>
              <w:rPr>
                <w:rFonts w:ascii="宋体" w:hAnsi="宋体" w:cs="宋体"/>
                <w:szCs w:val="21"/>
              </w:rPr>
            </w:pPr>
          </w:p>
        </w:tc>
        <w:tc>
          <w:tcPr>
            <w:tcW w:w="1801" w:type="dxa"/>
          </w:tcPr>
          <w:p>
            <w:pPr>
              <w:spacing w:line="360" w:lineRule="auto"/>
              <w:rPr>
                <w:rFonts w:ascii="宋体" w:hAnsi="宋体" w:cs="宋体"/>
                <w:szCs w:val="21"/>
              </w:rPr>
            </w:pPr>
          </w:p>
        </w:tc>
        <w:tc>
          <w:tcPr>
            <w:tcW w:w="1515"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pPr>
              <w:spacing w:line="360" w:lineRule="auto"/>
              <w:jc w:val="center"/>
              <w:rPr>
                <w:rFonts w:ascii="宋体" w:hAnsi="宋体" w:cs="宋体"/>
                <w:bCs/>
                <w:szCs w:val="21"/>
              </w:rPr>
            </w:pPr>
          </w:p>
        </w:tc>
        <w:tc>
          <w:tcPr>
            <w:tcW w:w="3077" w:type="dxa"/>
          </w:tcPr>
          <w:p>
            <w:pPr>
              <w:spacing w:line="360" w:lineRule="auto"/>
              <w:rPr>
                <w:rFonts w:ascii="宋体" w:hAnsi="宋体"/>
                <w:bCs/>
                <w:szCs w:val="21"/>
              </w:rPr>
            </w:pPr>
          </w:p>
        </w:tc>
        <w:tc>
          <w:tcPr>
            <w:tcW w:w="2735" w:type="dxa"/>
          </w:tcPr>
          <w:p>
            <w:pPr>
              <w:spacing w:line="360" w:lineRule="auto"/>
              <w:rPr>
                <w:rFonts w:ascii="宋体" w:hAnsi="宋体" w:cs="宋体"/>
                <w:szCs w:val="21"/>
              </w:rPr>
            </w:pPr>
          </w:p>
        </w:tc>
        <w:tc>
          <w:tcPr>
            <w:tcW w:w="1801" w:type="dxa"/>
          </w:tcPr>
          <w:p>
            <w:pPr>
              <w:spacing w:line="360" w:lineRule="auto"/>
              <w:rPr>
                <w:rFonts w:ascii="宋体" w:hAnsi="宋体" w:cs="宋体"/>
                <w:szCs w:val="21"/>
              </w:rPr>
            </w:pPr>
          </w:p>
        </w:tc>
        <w:tc>
          <w:tcPr>
            <w:tcW w:w="1515"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pPr>
              <w:spacing w:line="360" w:lineRule="auto"/>
              <w:jc w:val="center"/>
              <w:rPr>
                <w:rFonts w:ascii="宋体" w:hAnsi="宋体" w:cs="宋体"/>
                <w:bCs/>
                <w:szCs w:val="21"/>
              </w:rPr>
            </w:pPr>
          </w:p>
        </w:tc>
        <w:tc>
          <w:tcPr>
            <w:tcW w:w="3077" w:type="dxa"/>
          </w:tcPr>
          <w:p>
            <w:pPr>
              <w:spacing w:line="360" w:lineRule="auto"/>
              <w:rPr>
                <w:rFonts w:ascii="宋体" w:hAnsi="宋体" w:cs="宋体"/>
                <w:b/>
                <w:szCs w:val="21"/>
              </w:rPr>
            </w:pPr>
          </w:p>
        </w:tc>
        <w:tc>
          <w:tcPr>
            <w:tcW w:w="2735" w:type="dxa"/>
          </w:tcPr>
          <w:p>
            <w:pPr>
              <w:spacing w:line="360" w:lineRule="auto"/>
              <w:rPr>
                <w:rFonts w:ascii="宋体" w:hAnsi="宋体" w:cs="宋体"/>
                <w:szCs w:val="21"/>
              </w:rPr>
            </w:pPr>
          </w:p>
        </w:tc>
        <w:tc>
          <w:tcPr>
            <w:tcW w:w="1801" w:type="dxa"/>
          </w:tcPr>
          <w:p>
            <w:pPr>
              <w:spacing w:line="360" w:lineRule="auto"/>
              <w:rPr>
                <w:rFonts w:ascii="宋体" w:hAnsi="宋体" w:cs="宋体"/>
                <w:szCs w:val="21"/>
              </w:rPr>
            </w:pPr>
          </w:p>
        </w:tc>
        <w:tc>
          <w:tcPr>
            <w:tcW w:w="1515" w:type="dxa"/>
          </w:tcPr>
          <w:p>
            <w:pPr>
              <w:spacing w:line="360" w:lineRule="auto"/>
              <w:rPr>
                <w:rFonts w:ascii="宋体" w:hAnsi="宋体" w:cs="宋体"/>
                <w:szCs w:val="21"/>
              </w:rPr>
            </w:pPr>
          </w:p>
        </w:tc>
      </w:tr>
    </w:tbl>
    <w:p>
      <w:pPr>
        <w:spacing w:line="400" w:lineRule="exact"/>
        <w:rPr>
          <w:rFonts w:ascii="宋体" w:hAnsi="宋体" w:cs="Arial"/>
          <w:bCs/>
          <w:szCs w:val="21"/>
        </w:rPr>
      </w:pPr>
      <w:r>
        <w:rPr>
          <w:rFonts w:hint="eastAsia" w:ascii="宋体" w:hAnsi="宋体" w:cs="Arial"/>
          <w:bCs/>
          <w:szCs w:val="21"/>
        </w:rPr>
        <w:t>备注：1、“</w:t>
      </w:r>
      <w:r>
        <w:rPr>
          <w:rFonts w:hint="eastAsia" w:ascii="宋体" w:hAnsi="宋体"/>
          <w:szCs w:val="21"/>
        </w:rPr>
        <w:t>招标商务需求</w:t>
      </w:r>
      <w:r>
        <w:rPr>
          <w:rFonts w:hint="eastAsia" w:ascii="宋体" w:hAnsi="宋体" w:cs="Arial"/>
          <w:bCs/>
          <w:szCs w:val="21"/>
        </w:rPr>
        <w:t>”一栏逐一列出招标文件第二章《项目需求》中“</w:t>
      </w:r>
      <w:r>
        <w:rPr>
          <w:rFonts w:hint="eastAsia" w:ascii="宋体" w:hAnsi="宋体" w:cs="Arial"/>
          <w:b/>
          <w:bCs/>
          <w:szCs w:val="21"/>
        </w:rPr>
        <w:t>三、商务要求</w:t>
      </w:r>
      <w:r>
        <w:rPr>
          <w:rFonts w:hint="eastAsia" w:ascii="宋体" w:hAnsi="宋体" w:cs="Arial"/>
          <w:bCs/>
          <w:szCs w:val="21"/>
        </w:rPr>
        <w:t>”的内容；“</w:t>
      </w:r>
      <w:r>
        <w:rPr>
          <w:rFonts w:hint="eastAsia" w:ascii="宋体" w:hAnsi="宋体"/>
          <w:szCs w:val="21"/>
        </w:rPr>
        <w:t>投标商务响应</w:t>
      </w:r>
      <w:r>
        <w:rPr>
          <w:rFonts w:hint="eastAsia" w:ascii="宋体" w:hAnsi="宋体" w:cs="Arial"/>
          <w:bCs/>
          <w:szCs w:val="21"/>
        </w:rPr>
        <w:t>”一栏应详细填写投标商务条款的响应内容。</w:t>
      </w:r>
    </w:p>
    <w:p>
      <w:pPr>
        <w:spacing w:line="400" w:lineRule="exact"/>
        <w:ind w:firstLine="420" w:firstLineChars="200"/>
      </w:pPr>
      <w:r>
        <w:rPr>
          <w:rFonts w:hint="eastAsia" w:ascii="宋体" w:hAnsi="宋体" w:cs="Arial"/>
          <w:bCs/>
          <w:szCs w:val="21"/>
        </w:rPr>
        <w:t>2、“偏离情况”栏中应如实填写“正偏离”、“负偏离”或“无偏离”</w:t>
      </w:r>
      <w:r>
        <w:rPr>
          <w:rFonts w:hint="eastAsia"/>
        </w:rPr>
        <w:t>。</w:t>
      </w:r>
      <w:r>
        <w:rPr>
          <w:rFonts w:hint="eastAsia" w:ascii="宋体" w:hAnsi="宋体"/>
          <w:kern w:val="0"/>
          <w:szCs w:val="21"/>
        </w:rPr>
        <w:t>★</w:t>
      </w:r>
      <w:r>
        <w:rPr>
          <w:rFonts w:hint="eastAsia" w:asciiTheme="minorEastAsia" w:hAnsiTheme="minorEastAsia" w:eastAsiaTheme="minorEastAsia"/>
          <w:szCs w:val="21"/>
        </w:rPr>
        <w:t>条款为不可负偏离条款，投标文件响应为“负偏离”或未响应的，投标文件将按无效投标处理。</w:t>
      </w:r>
    </w:p>
    <w:p>
      <w:pPr>
        <w:spacing w:line="400" w:lineRule="exact"/>
        <w:ind w:firstLine="420" w:firstLineChars="200"/>
      </w:pPr>
      <w:r>
        <w:rPr>
          <w:rFonts w:hint="eastAsia" w:asciiTheme="minorEastAsia" w:hAnsiTheme="minorEastAsia" w:eastAsiaTheme="minorEastAsia"/>
          <w:szCs w:val="21"/>
        </w:rPr>
        <w:t>3、</w:t>
      </w:r>
      <w:r>
        <w:rPr>
          <w:rFonts w:hint="eastAsia" w:ascii="宋体" w:hAnsi="宋体" w:cs="宋体"/>
          <w:bCs/>
          <w:szCs w:val="21"/>
        </w:rPr>
        <w:t>如采购文件要求提供证明材料，</w:t>
      </w:r>
      <w:r>
        <w:rPr>
          <w:rFonts w:hint="eastAsia" w:asciiTheme="minorEastAsia" w:hAnsiTheme="minorEastAsia" w:eastAsiaTheme="minorEastAsia"/>
          <w:szCs w:val="21"/>
        </w:rPr>
        <w:t>投标人应在“说明”一栏中列出商务条款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pPr>
        <w:spacing w:line="400" w:lineRule="exact"/>
        <w:ind w:firstLine="420" w:firstLineChars="200"/>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投标单位：（盖章）</w:t>
      </w: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p>
    <w:p>
      <w:pPr>
        <w:adjustRightInd w:val="0"/>
        <w:snapToGrid w:val="0"/>
        <w:spacing w:line="300" w:lineRule="auto"/>
        <w:rPr>
          <w:snapToGrid w:val="0"/>
          <w:kern w:val="0"/>
        </w:rPr>
      </w:pPr>
      <w:r>
        <w:rPr>
          <w:rFonts w:hint="eastAsia"/>
          <w:snapToGrid w:val="0"/>
          <w:kern w:val="0"/>
        </w:rPr>
        <w:t>法定代表人或其授权代表：（签字）</w:t>
      </w:r>
    </w:p>
    <w:p>
      <w:pPr>
        <w:adjustRightInd w:val="0"/>
        <w:snapToGrid w:val="0"/>
        <w:spacing w:line="300" w:lineRule="auto"/>
        <w:rPr>
          <w:snapToGrid w:val="0"/>
          <w:kern w:val="0"/>
        </w:rPr>
      </w:pPr>
    </w:p>
    <w:p>
      <w:pPr>
        <w:adjustRightInd w:val="0"/>
        <w:snapToGrid w:val="0"/>
        <w:spacing w:line="300" w:lineRule="auto"/>
        <w:ind w:right="420"/>
        <w:jc w:val="center"/>
      </w:pPr>
      <w:r>
        <w:rPr>
          <w:rFonts w:hint="eastAsia"/>
          <w:snapToGrid w:val="0"/>
          <w:kern w:val="0"/>
        </w:rPr>
        <w:t xml:space="preserve">                                                            年    月    日</w:t>
      </w: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adjustRightInd w:val="0"/>
        <w:snapToGrid w:val="0"/>
        <w:spacing w:line="300" w:lineRule="auto"/>
        <w:ind w:right="420"/>
        <w:jc w:val="center"/>
      </w:pPr>
    </w:p>
    <w:p>
      <w:pPr>
        <w:pStyle w:val="3"/>
        <w:tabs>
          <w:tab w:val="left" w:pos="371"/>
        </w:tabs>
        <w:spacing w:before="120" w:after="120"/>
        <w:ind w:left="-1" w:leftChars="-1" w:hanging="1"/>
        <w:jc w:val="center"/>
        <w:rPr>
          <w:rFonts w:asciiTheme="minorEastAsia" w:hAnsiTheme="minorEastAsia" w:eastAsiaTheme="minorEastAsia"/>
        </w:rPr>
      </w:pPr>
      <w:bookmarkStart w:id="97" w:name="_Toc135293354"/>
    </w:p>
    <w:p/>
    <w:p/>
    <w:p/>
    <w:p/>
    <w:p/>
    <w:p>
      <w:pPr>
        <w:pStyle w:val="3"/>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格式12  招标文件要求的其他资料或投标人认为需要补充的资料</w:t>
      </w:r>
      <w:bookmarkEnd w:id="97"/>
    </w:p>
    <w:p>
      <w:pPr>
        <w:spacing w:line="360" w:lineRule="auto"/>
        <w:jc w:val="center"/>
      </w:pPr>
    </w:p>
    <w:p>
      <w:pPr>
        <w:widowControl/>
        <w:snapToGrid w:val="0"/>
        <w:spacing w:line="360" w:lineRule="auto"/>
        <w:jc w:val="left"/>
        <w:outlineLvl w:val="3"/>
        <w:rPr>
          <w:rFonts w:ascii="仿宋" w:hAnsi="仿宋" w:eastAsia="仿宋"/>
          <w:b/>
          <w:bCs/>
          <w:color w:val="FF0000"/>
          <w:kern w:val="0"/>
          <w:sz w:val="25"/>
          <w:szCs w:val="25"/>
        </w:rPr>
      </w:pPr>
      <w:r>
        <w:rPr>
          <w:rFonts w:hint="eastAsia" w:ascii="仿宋" w:hAnsi="仿宋" w:eastAsia="仿宋"/>
          <w:b/>
          <w:bCs/>
          <w:color w:val="FF0000"/>
          <w:kern w:val="0"/>
          <w:sz w:val="25"/>
          <w:szCs w:val="25"/>
        </w:rPr>
        <w:t>特别提醒：</w:t>
      </w:r>
    </w:p>
    <w:p>
      <w:pPr>
        <w:widowControl/>
        <w:snapToGrid w:val="0"/>
        <w:spacing w:line="360" w:lineRule="auto"/>
        <w:jc w:val="left"/>
        <w:rPr>
          <w:rFonts w:ascii="宋体" w:hAnsi="宋体"/>
          <w:color w:val="FF0000"/>
          <w:szCs w:val="21"/>
        </w:rPr>
      </w:pPr>
      <w:r>
        <w:rPr>
          <w:rFonts w:hint="eastAsia" w:ascii="仿宋" w:hAnsi="仿宋" w:eastAsia="仿宋"/>
          <w:color w:val="FF0000"/>
          <w:kern w:val="0"/>
          <w:sz w:val="25"/>
          <w:szCs w:val="25"/>
        </w:rPr>
        <w:t xml:space="preserve">  </w:t>
      </w:r>
      <w:r>
        <w:rPr>
          <w:rFonts w:hint="eastAsia" w:asciiTheme="minorEastAsia" w:hAnsiTheme="minorEastAsia" w:eastAsiaTheme="minorEastAsia"/>
          <w:color w:val="FF0000"/>
          <w:kern w:val="0"/>
          <w:szCs w:val="21"/>
        </w:rPr>
        <w:t xml:space="preserve">  《深圳经济特区政府采购条例实施细则》</w:t>
      </w:r>
      <w:r>
        <w:rPr>
          <w:rFonts w:hint="eastAsia" w:ascii="宋体" w:hAnsi="宋体"/>
          <w:color w:val="FF0000"/>
          <w:szCs w:val="21"/>
        </w:rPr>
        <w:t>第七十五条规定：供应商有下列情形的，属于采购条例所称的串通投标行为。</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（一）投标供应商之间相互约定给予未中标的供应商利益补偿；</w:t>
      </w:r>
    </w:p>
    <w:p>
      <w:pPr>
        <w:widowControl/>
        <w:snapToGrid w:val="0"/>
        <w:spacing w:line="360" w:lineRule="auto"/>
        <w:ind w:firstLine="426" w:firstLineChars="202"/>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（二）不同投标供应商的法定代表人、主要经营负责人、项目投标授权代表人、项目负责人、主要技术人员为同一人、属同一单位或者在同一单位缴纳社会保险；</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（三）不同投标供应商的投标文件由同一单位或者同一人编制，或者由同一人分阶段参与编制的；</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（四）不同投标供应商的投标文件或部分投标文件相互混装；</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（五）不同投标供应商的投标文件内容存在非正常一致；</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（六）由同一单位工作人员为两家以上（含两家）供应商进行同一项投标活动的；</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（七）主管部门依照法律、法规认定的其他情形。</w:t>
      </w:r>
    </w:p>
    <w:p>
      <w:pPr>
        <w:widowControl/>
        <w:snapToGrid w:val="0"/>
        <w:spacing w:line="360" w:lineRule="auto"/>
        <w:jc w:val="left"/>
        <w:rPr>
          <w:rFonts w:asciiTheme="minorEastAsia" w:hAnsiTheme="minorEastAsia" w:eastAsiaTheme="minorEastAsia"/>
          <w:color w:val="FF0000"/>
          <w:kern w:val="0"/>
          <w:szCs w:val="21"/>
        </w:rPr>
      </w:pPr>
    </w:p>
    <w:p>
      <w:pPr>
        <w:widowControl/>
        <w:snapToGrid w:val="0"/>
        <w:spacing w:line="360" w:lineRule="auto"/>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投标人提供以下资料（格式自拟）：</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1、投标单位法定代表人、主要经营负责人、项目投标授权代表人、项目负责人及主要技术人员近一年社保缴纳查询记录（包含在投标单位及其他缴纳社保单位的记录）；社保缴纳不满一年的按实际缴纳情况提供（因社保部门或税务部门原因暂时无法提供社保证明的，需提供加盖公章的情况说明或者证明材料。）</w:t>
      </w:r>
    </w:p>
    <w:p>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2、其他招标文件要求提供的资料或投标人认为需要补充的资料。</w:t>
      </w:r>
    </w:p>
    <w:p>
      <w:pPr>
        <w:adjustRightInd w:val="0"/>
        <w:snapToGrid w:val="0"/>
        <w:spacing w:line="300" w:lineRule="auto"/>
        <w:ind w:firstLine="482" w:firstLineChars="200"/>
        <w:rPr>
          <w:b/>
          <w:snapToGrid w:val="0"/>
          <w:kern w:val="0"/>
          <w:sz w:val="24"/>
        </w:rPr>
      </w:pPr>
    </w:p>
    <w:p>
      <w:pPr>
        <w:rPr>
          <w:snapToGrid w:val="0"/>
          <w:kern w:val="0"/>
          <w:sz w:val="52"/>
          <w:szCs w:val="52"/>
        </w:rPr>
      </w:pPr>
    </w:p>
    <w:p/>
    <w:p/>
    <w:p/>
    <w:p/>
    <w:p/>
    <w:p/>
    <w:p/>
    <w:p/>
    <w:p/>
    <w:p/>
    <w:p/>
    <w:p/>
    <w:p/>
    <w:p/>
    <w:p/>
    <w:p/>
    <w:p>
      <w:pPr>
        <w:pStyle w:val="2"/>
      </w:pPr>
      <w:bookmarkStart w:id="98" w:name="_Toc135293355"/>
      <w:r>
        <w:rPr>
          <w:rFonts w:hint="eastAsia"/>
        </w:rPr>
        <w:t>第八章  合同条款</w:t>
      </w:r>
      <w:bookmarkEnd w:id="98"/>
    </w:p>
    <w:p>
      <w:pPr>
        <w:jc w:val="center"/>
        <w:rPr>
          <w:b/>
          <w:szCs w:val="21"/>
        </w:rPr>
      </w:pPr>
    </w:p>
    <w:p>
      <w:pPr>
        <w:adjustRightInd w:val="0"/>
        <w:snapToGrid w:val="0"/>
        <w:spacing w:after="60" w:line="360" w:lineRule="auto"/>
        <w:jc w:val="center"/>
        <w:rPr>
          <w:b/>
          <w:snapToGrid w:val="0"/>
          <w:kern w:val="0"/>
          <w:sz w:val="24"/>
        </w:rPr>
      </w:pPr>
      <w:r>
        <w:rPr>
          <w:rFonts w:hint="eastAsia"/>
          <w:b/>
          <w:snapToGrid w:val="0"/>
          <w:kern w:val="0"/>
          <w:sz w:val="24"/>
        </w:rPr>
        <w:t>（拟签订的合同文本）</w:t>
      </w:r>
    </w:p>
    <w:p>
      <w:pPr>
        <w:pStyle w:val="26"/>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pPr>
        <w:adjustRightInd w:val="0"/>
        <w:snapToGrid w:val="0"/>
        <w:spacing w:line="360" w:lineRule="auto"/>
        <w:jc w:val="center"/>
        <w:rPr>
          <w:b/>
          <w:snapToGrid w:val="0"/>
          <w:kern w:val="0"/>
          <w:sz w:val="28"/>
        </w:rPr>
      </w:pPr>
    </w:p>
    <w:p>
      <w:pPr>
        <w:spacing w:line="360" w:lineRule="auto"/>
        <w:rPr>
          <w:rFonts w:asciiTheme="minorEastAsia" w:hAnsiTheme="minorEastAsia"/>
          <w:b/>
          <w:bCs/>
          <w:szCs w:val="21"/>
        </w:rPr>
      </w:pPr>
      <w:r>
        <w:rPr>
          <w:rFonts w:hint="eastAsia" w:asciiTheme="minorEastAsia" w:hAnsiTheme="minorEastAsia"/>
          <w:b/>
          <w:bCs/>
          <w:szCs w:val="21"/>
        </w:rPr>
        <w:t>甲方（采购人）：</w:t>
      </w:r>
    </w:p>
    <w:p>
      <w:pPr>
        <w:spacing w:line="360" w:lineRule="auto"/>
        <w:rPr>
          <w:rFonts w:asciiTheme="minorEastAsia" w:hAnsiTheme="minorEastAsia"/>
          <w:szCs w:val="21"/>
        </w:rPr>
      </w:pPr>
      <w:r>
        <w:rPr>
          <w:rFonts w:hint="eastAsia" w:asciiTheme="minorEastAsia" w:hAnsiTheme="minorEastAsia"/>
          <w:b/>
          <w:bCs/>
          <w:szCs w:val="21"/>
        </w:rPr>
        <w:t>乙方（中标人）：</w:t>
      </w:r>
    </w:p>
    <w:p>
      <w:pPr>
        <w:snapToGrid w:val="0"/>
        <w:spacing w:line="360" w:lineRule="auto"/>
        <w:ind w:firstLine="420" w:firstLineChars="200"/>
        <w:rPr>
          <w:rFonts w:ascii="宋体" w:hAnsi="宋体"/>
          <w:szCs w:val="21"/>
        </w:rPr>
      </w:pPr>
    </w:p>
    <w:p>
      <w:pPr>
        <w:snapToGrid w:val="0"/>
        <w:spacing w:line="360" w:lineRule="auto"/>
        <w:ind w:firstLine="420" w:firstLineChars="200"/>
        <w:rPr>
          <w:rFonts w:ascii="宋体" w:hAnsi="宋体"/>
          <w:szCs w:val="21"/>
        </w:rPr>
      </w:pPr>
      <w:r>
        <w:rPr>
          <w:rFonts w:hint="eastAsia" w:ascii="宋体" w:hAnsi="宋体"/>
          <w:szCs w:val="21"/>
        </w:rPr>
        <w:t>根据</w:t>
      </w:r>
      <w:r>
        <w:rPr>
          <w:rFonts w:hint="eastAsia" w:ascii="宋体" w:hAnsi="宋体"/>
          <w:szCs w:val="21"/>
          <w:u w:val="single"/>
        </w:rPr>
        <w:t xml:space="preserve">                </w:t>
      </w:r>
      <w:r>
        <w:rPr>
          <w:rFonts w:hint="eastAsia" w:ascii="宋体" w:hAnsi="宋体"/>
          <w:szCs w:val="21"/>
        </w:rPr>
        <w:t>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根据《中华人民共和国政府采购法》、《深圳经济特区政府采购条例》、《中华人民共和国民法典》之规定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第一条</w:t>
      </w:r>
      <w:r>
        <w:rPr>
          <w:rFonts w:asciiTheme="minorEastAsia" w:hAnsiTheme="minorEastAsia"/>
          <w:b/>
          <w:szCs w:val="21"/>
        </w:rPr>
        <w:t xml:space="preserve">  </w:t>
      </w:r>
      <w:r>
        <w:rPr>
          <w:rFonts w:hint="eastAsia" w:asciiTheme="minorEastAsia" w:hAnsiTheme="minorEastAsia"/>
          <w:b/>
          <w:szCs w:val="21"/>
        </w:rPr>
        <w:t>合同标的</w:t>
      </w:r>
    </w:p>
    <w:p>
      <w:pPr>
        <w:spacing w:line="360" w:lineRule="auto"/>
        <w:ind w:firstLine="420" w:firstLineChars="200"/>
        <w:rPr>
          <w:rFonts w:asciiTheme="minorEastAsia" w:hAnsiTheme="minorEastAsia"/>
          <w:szCs w:val="21"/>
        </w:rPr>
      </w:pPr>
      <w:r>
        <w:rPr>
          <w:rFonts w:hint="eastAsia" w:asciiTheme="minorEastAsia" w:hAnsiTheme="minorEastAsia"/>
          <w:szCs w:val="21"/>
        </w:rPr>
        <w:t>货物名称、规格型号、制造商、产地、单位、数量、单价、合同价，详见</w:t>
      </w:r>
      <w:r>
        <w:rPr>
          <w:rFonts w:asciiTheme="minorEastAsia" w:hAnsiTheme="minorEastAsia"/>
          <w:b/>
          <w:szCs w:val="21"/>
          <w:u w:val="single"/>
        </w:rPr>
        <w:t xml:space="preserve">                  </w:t>
      </w:r>
      <w:r>
        <w:rPr>
          <w:rFonts w:hint="eastAsia" w:asciiTheme="minorEastAsia" w:hAnsiTheme="minorEastAsia"/>
          <w:szCs w:val="21"/>
        </w:rPr>
        <w:t>。</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第二条</w:t>
      </w:r>
      <w:r>
        <w:rPr>
          <w:rFonts w:asciiTheme="minorEastAsia" w:hAnsiTheme="minorEastAsia"/>
          <w:b/>
          <w:szCs w:val="21"/>
        </w:rPr>
        <w:t xml:space="preserve">  </w:t>
      </w:r>
      <w:r>
        <w:rPr>
          <w:rFonts w:hint="eastAsia" w:asciiTheme="minorEastAsia" w:hAnsiTheme="minorEastAsia"/>
          <w:b/>
          <w:szCs w:val="21"/>
        </w:rPr>
        <w:t>合同价款</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本合同项下总价款为</w:t>
      </w:r>
      <w:r>
        <w:rPr>
          <w:rFonts w:asciiTheme="minorEastAsia" w:hAnsiTheme="minorEastAsia"/>
          <w:szCs w:val="21"/>
          <w:u w:val="single"/>
        </w:rPr>
        <w:t xml:space="preserve">              </w:t>
      </w:r>
      <w:r>
        <w:rPr>
          <w:rFonts w:hint="eastAsia" w:asciiTheme="minorEastAsia" w:hAnsiTheme="minorEastAsia"/>
          <w:szCs w:val="21"/>
        </w:rPr>
        <w:t>（大写）人民币，分项价款详见</w:t>
      </w:r>
      <w:r>
        <w:rPr>
          <w:rFonts w:asciiTheme="minorEastAsia" w:hAnsiTheme="minorEastAsia"/>
          <w:b/>
          <w:szCs w:val="21"/>
          <w:u w:val="single"/>
        </w:rPr>
        <w:t xml:space="preserve">          </w:t>
      </w:r>
      <w:r>
        <w:rPr>
          <w:rFonts w:hint="eastAsia" w:asciiTheme="minorEastAsia" w:hAnsiTheme="minorEastAsia"/>
          <w:szCs w:val="21"/>
        </w:rPr>
        <w:t>。本合同总价款已包括乙方为履行本合同义务所发生的一切费用，系固定不变价格，且不随通货膨胀的影响而波动。</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第三条</w:t>
      </w:r>
      <w:r>
        <w:rPr>
          <w:rFonts w:asciiTheme="minorEastAsia" w:hAnsiTheme="minorEastAsia"/>
          <w:b/>
          <w:szCs w:val="21"/>
        </w:rPr>
        <w:t xml:space="preserve">  </w:t>
      </w:r>
      <w:r>
        <w:rPr>
          <w:rFonts w:hint="eastAsia" w:asciiTheme="minorEastAsia" w:hAnsiTheme="minorEastAsia"/>
          <w:b/>
          <w:szCs w:val="21"/>
        </w:rPr>
        <w:t>交货时间、地点和交货状态</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3.1交货时间：</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3.2交货地点：</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3.3交货状态：</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第四条</w:t>
      </w:r>
      <w:r>
        <w:rPr>
          <w:rFonts w:asciiTheme="minorEastAsia" w:hAnsiTheme="minorEastAsia"/>
          <w:b/>
          <w:szCs w:val="21"/>
        </w:rPr>
        <w:t xml:space="preserve">  </w:t>
      </w:r>
      <w:r>
        <w:rPr>
          <w:rFonts w:hint="eastAsia" w:asciiTheme="minorEastAsia" w:hAnsiTheme="minorEastAsia"/>
          <w:b/>
          <w:szCs w:val="21"/>
        </w:rPr>
        <w:t>质量标准和要求</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4.1乙方所提供的货物质量标准按照国家标准或者行业标准或者企业标准明确。没有国家标准、行业标准或企业标准的，按照通常标准或者符合合同目的的特定标准确定。</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4.2乙方应保证货物是全新、未使用过的原装合格正品（包括零部件），并完全符合甲方要求的质量、规格和性能的要求。如货物安装或配置了软件的，乙方保证相关软件均为正版软件。</w:t>
      </w:r>
    </w:p>
    <w:p>
      <w:pPr>
        <w:spacing w:line="360" w:lineRule="auto"/>
        <w:ind w:firstLine="420" w:firstLineChars="200"/>
        <w:jc w:val="left"/>
        <w:rPr>
          <w:rFonts w:asciiTheme="minorEastAsia" w:hAnsiTheme="minorEastAsia"/>
          <w:szCs w:val="21"/>
        </w:rPr>
      </w:pPr>
      <w:r>
        <w:rPr>
          <w:rFonts w:asciiTheme="minorEastAsia" w:hAnsiTheme="minorEastAsia"/>
          <w:szCs w:val="21"/>
        </w:rPr>
        <w:t>4.3乙方保证交货时一并提供货物的质量合格凭证或文件。</w:t>
      </w:r>
    </w:p>
    <w:p>
      <w:pPr>
        <w:spacing w:line="360" w:lineRule="auto"/>
        <w:ind w:firstLine="420" w:firstLineChars="200"/>
        <w:jc w:val="left"/>
        <w:rPr>
          <w:rFonts w:asciiTheme="minorEastAsia" w:hAnsiTheme="minorEastAsia"/>
          <w:szCs w:val="21"/>
        </w:rPr>
      </w:pPr>
      <w:r>
        <w:rPr>
          <w:rFonts w:asciiTheme="minorEastAsia" w:hAnsiTheme="minorEastAsia"/>
          <w:szCs w:val="21"/>
        </w:rPr>
        <w:t>4.4乙方所提供的全部货物均应按照标准保护措施进行包装，包装应适用于远距离运输、防潮、防震、防锈、防野蛮装卸等要求，以确保货物安全无损抵运指定交货地点。</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第五条</w:t>
      </w:r>
      <w:r>
        <w:rPr>
          <w:rFonts w:asciiTheme="minorEastAsia" w:hAnsiTheme="minorEastAsia"/>
          <w:b/>
          <w:szCs w:val="21"/>
        </w:rPr>
        <w:t xml:space="preserve">  </w:t>
      </w:r>
      <w:r>
        <w:rPr>
          <w:rFonts w:hint="eastAsia" w:asciiTheme="minorEastAsia" w:hAnsiTheme="minorEastAsia"/>
          <w:b/>
          <w:szCs w:val="21"/>
        </w:rPr>
        <w:t>权利保证</w:t>
      </w:r>
    </w:p>
    <w:p>
      <w:pPr>
        <w:spacing w:line="360" w:lineRule="auto"/>
        <w:ind w:firstLine="420" w:firstLineChars="200"/>
        <w:jc w:val="left"/>
        <w:rPr>
          <w:rFonts w:asciiTheme="minorEastAsia" w:hAnsiTheme="minorEastAsia"/>
          <w:szCs w:val="21"/>
        </w:rPr>
      </w:pPr>
      <w:r>
        <w:rPr>
          <w:rFonts w:asciiTheme="minorEastAsia" w:hAnsiTheme="minorEastAsia"/>
          <w:szCs w:val="21"/>
        </w:rPr>
        <w:t>5.1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pPr>
        <w:spacing w:line="360" w:lineRule="auto"/>
        <w:ind w:firstLine="420" w:firstLineChars="200"/>
        <w:jc w:val="left"/>
        <w:rPr>
          <w:rFonts w:asciiTheme="minorEastAsia" w:hAnsiTheme="minorEastAsia"/>
          <w:szCs w:val="21"/>
        </w:rPr>
      </w:pPr>
      <w:r>
        <w:rPr>
          <w:rFonts w:asciiTheme="minorEastAsia" w:hAnsiTheme="minorEastAsia"/>
          <w:szCs w:val="21"/>
        </w:rPr>
        <w:t>5.2乙方应保证其提供的货物不存在任何未曾向甲方透漏的担保物权，如抵押权、质押权、留置权等。</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第六条</w:t>
      </w:r>
      <w:r>
        <w:rPr>
          <w:rFonts w:asciiTheme="minorEastAsia" w:hAnsiTheme="minorEastAsia"/>
          <w:b/>
          <w:szCs w:val="21"/>
        </w:rPr>
        <w:t xml:space="preserve">  </w:t>
      </w:r>
      <w:r>
        <w:rPr>
          <w:rFonts w:hint="eastAsia" w:asciiTheme="minorEastAsia" w:hAnsiTheme="minorEastAsia"/>
          <w:b/>
          <w:szCs w:val="21"/>
        </w:rPr>
        <w:t>质量保障</w:t>
      </w:r>
    </w:p>
    <w:p>
      <w:pPr>
        <w:spacing w:line="360" w:lineRule="auto"/>
        <w:ind w:firstLine="420" w:firstLineChars="200"/>
        <w:jc w:val="left"/>
        <w:rPr>
          <w:rFonts w:asciiTheme="minorEastAsia" w:hAnsiTheme="minorEastAsia"/>
          <w:szCs w:val="21"/>
        </w:rPr>
      </w:pPr>
      <w:r>
        <w:rPr>
          <w:rFonts w:asciiTheme="minorEastAsia" w:hAnsiTheme="minorEastAsia"/>
          <w:szCs w:val="21"/>
        </w:rPr>
        <w:t>6.1乙方应保证其提供的货物是全新的，未使用过的，并且完全符合合同规定的质量、规格和性能要求。乙方应保证其提供的货物在正确安装、正常使用和保养条件下，在其使用寿命期限内应具有很满意的性能。在货物最终交付验收后的质量保证期限内，乙方应对由于设计、工艺或材料的缺陷而产生的故障承担责任。</w:t>
      </w:r>
    </w:p>
    <w:p>
      <w:pPr>
        <w:spacing w:line="360" w:lineRule="auto"/>
        <w:ind w:firstLine="420" w:firstLineChars="200"/>
        <w:jc w:val="left"/>
        <w:rPr>
          <w:rFonts w:asciiTheme="minorEastAsia" w:hAnsiTheme="minorEastAsia"/>
          <w:szCs w:val="21"/>
        </w:rPr>
      </w:pPr>
      <w:r>
        <w:rPr>
          <w:rFonts w:asciiTheme="minorEastAsia" w:hAnsiTheme="minorEastAsia"/>
          <w:szCs w:val="21"/>
        </w:rPr>
        <w:t>6.2在质量保证期限内，如果货物的质量或规格与合同不符，或者证实货物存在缺陷的，包括潜在的缺陷或者使用不符合要求的材料等，甲方可根据本合同追究乙方相应违约责任。</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第七条</w:t>
      </w:r>
      <w:r>
        <w:rPr>
          <w:rFonts w:asciiTheme="minorEastAsia" w:hAnsiTheme="minorEastAsia"/>
          <w:b/>
          <w:szCs w:val="21"/>
        </w:rPr>
        <w:t xml:space="preserve">  </w:t>
      </w:r>
      <w:r>
        <w:rPr>
          <w:rFonts w:hint="eastAsia" w:asciiTheme="minorEastAsia" w:hAnsiTheme="minorEastAsia"/>
          <w:b/>
          <w:szCs w:val="21"/>
        </w:rPr>
        <w:t>交货和验收</w:t>
      </w:r>
    </w:p>
    <w:p>
      <w:pPr>
        <w:spacing w:line="360" w:lineRule="auto"/>
        <w:ind w:firstLine="420" w:firstLineChars="200"/>
        <w:jc w:val="left"/>
        <w:rPr>
          <w:rFonts w:asciiTheme="minorEastAsia" w:hAnsiTheme="minorEastAsia"/>
          <w:szCs w:val="21"/>
        </w:rPr>
      </w:pPr>
      <w:r>
        <w:rPr>
          <w:rFonts w:asciiTheme="minorEastAsia" w:hAnsiTheme="minorEastAsia"/>
          <w:szCs w:val="21"/>
        </w:rPr>
        <w:t>7.1乙方应按照本合同或招投标文件规定的时间和方式向甲方交付货物，交货地点由甲方指定。因交货产生的费用由乙方自行承担。</w:t>
      </w:r>
    </w:p>
    <w:p>
      <w:pPr>
        <w:spacing w:line="360" w:lineRule="auto"/>
        <w:ind w:firstLine="420" w:firstLineChars="200"/>
        <w:jc w:val="left"/>
        <w:rPr>
          <w:rFonts w:asciiTheme="minorEastAsia" w:hAnsiTheme="minorEastAsia"/>
          <w:szCs w:val="21"/>
        </w:rPr>
      </w:pPr>
      <w:r>
        <w:rPr>
          <w:rFonts w:asciiTheme="minorEastAsia" w:hAnsiTheme="minorEastAsia"/>
          <w:szCs w:val="21"/>
        </w:rPr>
        <w:t>7.2乙方交付的货物应当完全符合招投标文件所规定的货物、数量、质量和规格要求。乙方提供的货物不符合招投标文件和合同规定的，甲方有权拒收货物，由此引起的风险，由乙方承担。</w:t>
      </w:r>
    </w:p>
    <w:p>
      <w:pPr>
        <w:spacing w:line="360" w:lineRule="auto"/>
        <w:ind w:firstLine="420" w:firstLineChars="200"/>
        <w:jc w:val="left"/>
        <w:rPr>
          <w:rFonts w:asciiTheme="minorEastAsia" w:hAnsiTheme="minorEastAsia"/>
          <w:szCs w:val="21"/>
        </w:rPr>
      </w:pPr>
      <w:r>
        <w:rPr>
          <w:rFonts w:asciiTheme="minorEastAsia" w:hAnsiTheme="minorEastAsia"/>
          <w:szCs w:val="21"/>
        </w:rPr>
        <w:t>7.3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pPr>
        <w:spacing w:line="360" w:lineRule="auto"/>
        <w:ind w:firstLine="420" w:firstLineChars="200"/>
        <w:jc w:val="left"/>
        <w:rPr>
          <w:rFonts w:asciiTheme="minorEastAsia" w:hAnsiTheme="minorEastAsia"/>
          <w:szCs w:val="21"/>
        </w:rPr>
      </w:pPr>
      <w:r>
        <w:rPr>
          <w:rFonts w:asciiTheme="minorEastAsia" w:hAnsiTheme="minorEastAsia"/>
          <w:szCs w:val="21"/>
        </w:rPr>
        <w:t>7.4甲方应当在到货后的</w:t>
      </w:r>
      <w:r>
        <w:rPr>
          <w:rFonts w:asciiTheme="minorEastAsia" w:hAnsiTheme="minorEastAsia"/>
          <w:szCs w:val="21"/>
          <w:u w:val="single"/>
        </w:rPr>
        <w:t xml:space="preserve">       </w:t>
      </w:r>
      <w:r>
        <w:rPr>
          <w:rFonts w:hint="eastAsia" w:asciiTheme="minorEastAsia" w:hAnsiTheme="minorEastAsia"/>
          <w:szCs w:val="21"/>
        </w:rPr>
        <w:t>个工作日内对货物进行验收；需要乙方对货物或系统进行安装调试的，甲方应在货物安装调试完毕后的</w:t>
      </w:r>
      <w:r>
        <w:rPr>
          <w:rFonts w:asciiTheme="minorEastAsia" w:hAnsiTheme="minorEastAsia"/>
          <w:szCs w:val="21"/>
          <w:u w:val="single"/>
        </w:rPr>
        <w:t xml:space="preserve">       </w:t>
      </w:r>
      <w:r>
        <w:rPr>
          <w:rFonts w:hint="eastAsia" w:asciiTheme="minorEastAsia" w:hAnsiTheme="minorEastAsia"/>
          <w:szCs w:val="21"/>
        </w:rPr>
        <w:t>个工作日内进行质量验收。</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第八条</w:t>
      </w:r>
      <w:r>
        <w:rPr>
          <w:rFonts w:asciiTheme="minorEastAsia" w:hAnsiTheme="minorEastAsia"/>
          <w:b/>
          <w:szCs w:val="21"/>
        </w:rPr>
        <w:t xml:space="preserve">  </w:t>
      </w:r>
      <w:r>
        <w:rPr>
          <w:rFonts w:hint="eastAsia" w:asciiTheme="minorEastAsia" w:hAnsiTheme="minorEastAsia"/>
          <w:b/>
          <w:szCs w:val="21"/>
        </w:rPr>
        <w:t>保修及其他服务</w:t>
      </w:r>
    </w:p>
    <w:p>
      <w:pPr>
        <w:spacing w:line="360" w:lineRule="auto"/>
        <w:ind w:firstLine="420" w:firstLineChars="200"/>
        <w:jc w:val="left"/>
        <w:rPr>
          <w:rFonts w:asciiTheme="minorEastAsia" w:hAnsiTheme="minorEastAsia"/>
          <w:szCs w:val="21"/>
        </w:rPr>
      </w:pPr>
      <w:r>
        <w:rPr>
          <w:rFonts w:asciiTheme="minorEastAsia" w:hAnsiTheme="minorEastAsia"/>
          <w:szCs w:val="21"/>
        </w:rPr>
        <w:t>8.1乙方应按照国家有关法律法规规章和“三包”规定和招标文件的要求及乙方在投标文件的相关承诺提供保修及其他服务。</w:t>
      </w:r>
    </w:p>
    <w:p>
      <w:pPr>
        <w:spacing w:line="360" w:lineRule="auto"/>
        <w:ind w:firstLine="420" w:firstLineChars="200"/>
        <w:jc w:val="left"/>
        <w:rPr>
          <w:rFonts w:asciiTheme="minorEastAsia" w:hAnsiTheme="minorEastAsia"/>
          <w:szCs w:val="21"/>
        </w:rPr>
      </w:pPr>
      <w:r>
        <w:rPr>
          <w:rFonts w:asciiTheme="minorEastAsia" w:hAnsiTheme="minorEastAsia"/>
          <w:szCs w:val="21"/>
        </w:rPr>
        <w:t>8.2保修期内，乙方负责对其提供的货物进行维修和系统维护，不再收取任何费用。</w:t>
      </w:r>
      <w:r>
        <w:rPr>
          <w:rFonts w:hint="eastAsia" w:asciiTheme="minorEastAsia" w:hAnsiTheme="minorEastAsia"/>
          <w:szCs w:val="21"/>
        </w:rPr>
        <w:t>所有货物保修服务方式均为乙方上门保修，即由乙方派员到货物使用现场维修，由此产生的一切费用均由乙方承担。保修期后的货物维护另行协商。</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第九条</w:t>
      </w:r>
      <w:r>
        <w:rPr>
          <w:rFonts w:asciiTheme="minorEastAsia" w:hAnsiTheme="minorEastAsia"/>
          <w:b/>
          <w:szCs w:val="21"/>
        </w:rPr>
        <w:t xml:space="preserve">  </w:t>
      </w:r>
      <w:r>
        <w:rPr>
          <w:rFonts w:hint="eastAsia" w:asciiTheme="minorEastAsia" w:hAnsiTheme="minorEastAsia"/>
          <w:b/>
          <w:szCs w:val="21"/>
        </w:rPr>
        <w:t>履约保证金</w:t>
      </w:r>
    </w:p>
    <w:p>
      <w:pPr>
        <w:spacing w:line="360" w:lineRule="auto"/>
        <w:ind w:firstLine="420" w:firstLineChars="200"/>
        <w:jc w:val="left"/>
        <w:rPr>
          <w:rFonts w:asciiTheme="minorEastAsia" w:hAnsiTheme="minorEastAsia"/>
          <w:szCs w:val="21"/>
        </w:rPr>
      </w:pPr>
      <w:r>
        <w:rPr>
          <w:rFonts w:asciiTheme="minorEastAsia" w:hAnsiTheme="minorEastAsia"/>
          <w:szCs w:val="21"/>
        </w:rPr>
        <w:t>9.1乙方应在签订本合同之日，向甲方或甲方指定的机构提交履约保证金_________元。</w:t>
      </w:r>
    </w:p>
    <w:p>
      <w:pPr>
        <w:spacing w:line="360" w:lineRule="auto"/>
        <w:ind w:firstLine="420" w:firstLineChars="200"/>
        <w:jc w:val="left"/>
        <w:rPr>
          <w:rFonts w:asciiTheme="minorEastAsia" w:hAnsiTheme="minorEastAsia"/>
          <w:szCs w:val="21"/>
        </w:rPr>
      </w:pPr>
      <w:r>
        <w:rPr>
          <w:rFonts w:asciiTheme="minorEastAsia" w:hAnsiTheme="minorEastAsia"/>
          <w:szCs w:val="21"/>
        </w:rPr>
        <w:t>9.2如乙方未能履行合同规定的义务，甲方有权从履约保证金中取得补偿。</w:t>
      </w:r>
    </w:p>
    <w:p>
      <w:pPr>
        <w:spacing w:line="360" w:lineRule="auto"/>
        <w:ind w:firstLine="420" w:firstLineChars="200"/>
        <w:jc w:val="left"/>
        <w:rPr>
          <w:rFonts w:asciiTheme="minorEastAsia" w:hAnsiTheme="minorEastAsia"/>
          <w:szCs w:val="21"/>
        </w:rPr>
      </w:pPr>
      <w:r>
        <w:rPr>
          <w:rFonts w:asciiTheme="minorEastAsia" w:hAnsiTheme="minorEastAsia"/>
          <w:szCs w:val="21"/>
        </w:rPr>
        <w:t>9.3甲方在乙方履行完毕本合同项下全部义务后______天内无息退还乙方。</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第十条</w:t>
      </w:r>
      <w:r>
        <w:rPr>
          <w:rFonts w:asciiTheme="minorEastAsia" w:hAnsiTheme="minorEastAsia"/>
          <w:b/>
          <w:szCs w:val="21"/>
        </w:rPr>
        <w:t xml:space="preserve">  </w:t>
      </w:r>
      <w:r>
        <w:rPr>
          <w:rFonts w:hint="eastAsia" w:asciiTheme="minorEastAsia" w:hAnsiTheme="minorEastAsia"/>
          <w:b/>
          <w:szCs w:val="21"/>
        </w:rPr>
        <w:t>货款支付</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10.1本合同以人民币付款。</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10.2付款条件：</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10.3付款方式和时间：</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第十一条</w:t>
      </w:r>
      <w:r>
        <w:rPr>
          <w:rFonts w:asciiTheme="minorEastAsia" w:hAnsiTheme="minorEastAsia"/>
          <w:b/>
          <w:szCs w:val="21"/>
        </w:rPr>
        <w:t xml:space="preserve">  </w:t>
      </w:r>
      <w:r>
        <w:rPr>
          <w:rFonts w:hint="eastAsia" w:asciiTheme="minorEastAsia" w:hAnsiTheme="minorEastAsia"/>
          <w:b/>
          <w:szCs w:val="21"/>
        </w:rPr>
        <w:t>违约责任</w:t>
      </w:r>
    </w:p>
    <w:p>
      <w:pPr>
        <w:spacing w:line="360" w:lineRule="auto"/>
        <w:ind w:firstLine="420" w:firstLineChars="200"/>
        <w:jc w:val="left"/>
        <w:rPr>
          <w:rFonts w:asciiTheme="minorEastAsia" w:hAnsiTheme="minorEastAsia"/>
          <w:szCs w:val="21"/>
        </w:rPr>
      </w:pPr>
      <w:r>
        <w:rPr>
          <w:rFonts w:asciiTheme="minorEastAsia" w:hAnsiTheme="minorEastAsia"/>
          <w:szCs w:val="21"/>
        </w:rPr>
        <w:t>11.1甲方无正当理由拒收货物、拒付货物款的，由甲方向乙方偿付合同总价的【】%违约金。</w:t>
      </w:r>
    </w:p>
    <w:p>
      <w:pPr>
        <w:spacing w:line="360" w:lineRule="auto"/>
        <w:ind w:firstLine="420" w:firstLineChars="200"/>
        <w:jc w:val="left"/>
        <w:rPr>
          <w:rFonts w:asciiTheme="minorEastAsia" w:hAnsiTheme="minorEastAsia"/>
          <w:szCs w:val="21"/>
        </w:rPr>
      </w:pPr>
      <w:r>
        <w:rPr>
          <w:rFonts w:asciiTheme="minorEastAsia" w:hAnsiTheme="minorEastAsia"/>
          <w:szCs w:val="21"/>
        </w:rPr>
        <w:t>11.2甲方未按合同规定的期限向乙方支付货款的，每逾期1天甲方向乙方偿付欠款总额的【】‰滞纳金，但累计滞纳金总额不超过欠款总额的【】%。</w:t>
      </w:r>
    </w:p>
    <w:p>
      <w:pPr>
        <w:spacing w:line="360" w:lineRule="auto"/>
        <w:ind w:firstLine="420" w:firstLineChars="200"/>
        <w:jc w:val="left"/>
        <w:rPr>
          <w:rFonts w:asciiTheme="minorEastAsia" w:hAnsiTheme="minorEastAsia"/>
          <w:szCs w:val="21"/>
        </w:rPr>
      </w:pPr>
      <w:r>
        <w:rPr>
          <w:rFonts w:asciiTheme="minorEastAsia" w:hAnsiTheme="minorEastAsia"/>
          <w:szCs w:val="21"/>
        </w:rPr>
        <w:t>11.3乙方逾期交付货物的</w:t>
      </w:r>
      <w:r>
        <w:rPr>
          <w:rFonts w:hint="eastAsia" w:asciiTheme="minorEastAsia" w:hAnsiTheme="minorEastAsia"/>
          <w:szCs w:val="21"/>
        </w:rPr>
        <w:t>，</w:t>
      </w:r>
      <w:r>
        <w:rPr>
          <w:rFonts w:asciiTheme="minorEastAsia" w:hAnsiTheme="minorEastAsia"/>
          <w:szCs w:val="21"/>
        </w:rPr>
        <w:t>每逾期1天，乙方向甲方偿付逾期交货部分货款总额的</w:t>
      </w:r>
      <w:r>
        <w:rPr>
          <w:rFonts w:hint="eastAsia" w:asciiTheme="minorEastAsia" w:hAnsiTheme="minorEastAsia"/>
          <w:szCs w:val="21"/>
        </w:rPr>
        <w:t>【】</w:t>
      </w:r>
      <w:r>
        <w:rPr>
          <w:rFonts w:asciiTheme="minorEastAsia" w:hAnsiTheme="minorEastAsia"/>
          <w:szCs w:val="21"/>
        </w:rPr>
        <w:t>‰的滞纳金</w:t>
      </w:r>
      <w:r>
        <w:rPr>
          <w:rFonts w:hint="eastAsia" w:asciiTheme="minorEastAsia" w:hAnsiTheme="minorEastAsia"/>
          <w:szCs w:val="21"/>
        </w:rPr>
        <w:t>。如乙方逾期交货达</w:t>
      </w:r>
      <w:r>
        <w:rPr>
          <w:rFonts w:asciiTheme="minorEastAsia" w:hAnsiTheme="minorEastAsia"/>
          <w:szCs w:val="21"/>
          <w:u w:val="single"/>
        </w:rPr>
        <w:t xml:space="preserve">    </w:t>
      </w:r>
      <w:r>
        <w:rPr>
          <w:rFonts w:hint="eastAsia" w:asciiTheme="minorEastAsia" w:hAnsiTheme="minorEastAsia"/>
          <w:szCs w:val="21"/>
        </w:rPr>
        <w:t>天，甲方有权解除合同，履约保证金不予退回，同时乙方应向甲方支付合同总价【】％的违约金。</w:t>
      </w:r>
    </w:p>
    <w:p>
      <w:pPr>
        <w:spacing w:line="360" w:lineRule="auto"/>
        <w:ind w:firstLine="420" w:firstLineChars="200"/>
        <w:jc w:val="left"/>
        <w:rPr>
          <w:rFonts w:asciiTheme="minorEastAsia" w:hAnsiTheme="minorEastAsia"/>
          <w:szCs w:val="21"/>
        </w:rPr>
      </w:pPr>
      <w:r>
        <w:rPr>
          <w:rFonts w:asciiTheme="minorEastAsia" w:hAnsiTheme="minorEastAsia"/>
          <w:szCs w:val="21"/>
        </w:rPr>
        <w:t>11.4乙方所交付的货物品种、型号、规格不符合合同规定的，甲方有权拒收。甲方拒收的，乙方应向甲方支付货款总额【】%的违约金。</w:t>
      </w:r>
    </w:p>
    <w:p>
      <w:pPr>
        <w:spacing w:line="360" w:lineRule="auto"/>
        <w:ind w:firstLine="420" w:firstLineChars="200"/>
        <w:jc w:val="left"/>
        <w:rPr>
          <w:rFonts w:asciiTheme="minorEastAsia" w:hAnsiTheme="minorEastAsia"/>
          <w:szCs w:val="21"/>
        </w:rPr>
      </w:pPr>
      <w:r>
        <w:rPr>
          <w:rFonts w:asciiTheme="minorEastAsia" w:hAnsiTheme="minorEastAsia"/>
          <w:szCs w:val="21"/>
        </w:rPr>
        <w:t>11.5在乙方承诺的或国家规定的质量保证期内（取两者中最长的期限），如经乙方两次维修</w:t>
      </w:r>
      <w:r>
        <w:rPr>
          <w:rFonts w:hint="eastAsia" w:asciiTheme="minorEastAsia" w:hAnsiTheme="minorEastAsia"/>
          <w:szCs w:val="21"/>
        </w:rPr>
        <w:t>或更换</w:t>
      </w:r>
      <w:r>
        <w:rPr>
          <w:rFonts w:asciiTheme="minorEastAsia" w:hAnsiTheme="minorEastAsia"/>
          <w:szCs w:val="21"/>
        </w:rPr>
        <w:t>，货物仍不能达到合同约定</w:t>
      </w:r>
      <w:r>
        <w:rPr>
          <w:rFonts w:hint="eastAsia" w:asciiTheme="minorEastAsia" w:hAnsiTheme="minorEastAsia"/>
          <w:szCs w:val="21"/>
        </w:rPr>
        <w:t>的</w:t>
      </w:r>
      <w:r>
        <w:rPr>
          <w:rFonts w:asciiTheme="minorEastAsia" w:hAnsiTheme="minorEastAsia"/>
          <w:szCs w:val="21"/>
        </w:rPr>
        <w:t>质量标准，甲方有权退货，乙方</w:t>
      </w:r>
      <w:r>
        <w:rPr>
          <w:rFonts w:hint="eastAsia" w:asciiTheme="minorEastAsia" w:hAnsiTheme="minorEastAsia"/>
          <w:szCs w:val="21"/>
        </w:rPr>
        <w:t>应</w:t>
      </w:r>
      <w:r>
        <w:rPr>
          <w:rFonts w:asciiTheme="minorEastAsia" w:hAnsiTheme="minorEastAsia"/>
          <w:szCs w:val="21"/>
        </w:rPr>
        <w:t>退回全部货款</w:t>
      </w:r>
      <w:r>
        <w:rPr>
          <w:rFonts w:hint="eastAsia" w:asciiTheme="minorEastAsia" w:hAnsiTheme="minorEastAsia"/>
          <w:szCs w:val="21"/>
        </w:rPr>
        <w:t>并</w:t>
      </w:r>
      <w:r>
        <w:rPr>
          <w:rFonts w:asciiTheme="minorEastAsia" w:hAnsiTheme="minorEastAsia"/>
          <w:szCs w:val="21"/>
        </w:rPr>
        <w:t>赔偿甲方因此遭受的损失。</w:t>
      </w:r>
    </w:p>
    <w:p>
      <w:pPr>
        <w:spacing w:line="360" w:lineRule="auto"/>
        <w:ind w:firstLine="420" w:firstLineChars="200"/>
        <w:jc w:val="left"/>
        <w:rPr>
          <w:rFonts w:asciiTheme="minorEastAsia" w:hAnsiTheme="minorEastAsia"/>
          <w:szCs w:val="21"/>
        </w:rPr>
      </w:pPr>
      <w:r>
        <w:rPr>
          <w:rFonts w:asciiTheme="minorEastAsia" w:hAnsiTheme="minorEastAsia"/>
          <w:szCs w:val="21"/>
        </w:rPr>
        <w:t>11.6乙方未履行本合同项下的其他义务或违反其在投标文件中的相关承诺的，应按合同总价款的【】%向甲方承担违约责任。</w:t>
      </w:r>
    </w:p>
    <w:p>
      <w:pPr>
        <w:spacing w:line="360" w:lineRule="auto"/>
        <w:ind w:firstLine="420" w:firstLineChars="200"/>
        <w:jc w:val="left"/>
        <w:rPr>
          <w:rFonts w:asciiTheme="minorEastAsia" w:hAnsiTheme="minorEastAsia"/>
          <w:szCs w:val="21"/>
        </w:rPr>
      </w:pPr>
      <w:r>
        <w:rPr>
          <w:rFonts w:asciiTheme="minorEastAsia" w:hAnsiTheme="minorEastAsia"/>
          <w:szCs w:val="21"/>
        </w:rPr>
        <w:t>11.7乙方在承担上述一项或多项违约责任后，仍应继续履行合同规定的义务（甲方解除合同的除外）。甲方未能及时追究乙方的任何一项违约责任并不表明甲方放弃追究乙方该项或其他违约责任。</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第十二条</w:t>
      </w:r>
      <w:r>
        <w:rPr>
          <w:rFonts w:asciiTheme="minorEastAsia" w:hAnsiTheme="minorEastAsia"/>
          <w:b/>
          <w:szCs w:val="21"/>
        </w:rPr>
        <w:t xml:space="preserve">  </w:t>
      </w:r>
      <w:r>
        <w:rPr>
          <w:rFonts w:hint="eastAsia" w:asciiTheme="minorEastAsia" w:hAnsiTheme="minorEastAsia"/>
          <w:b/>
          <w:szCs w:val="21"/>
        </w:rPr>
        <w:t>合同的变更、解除或终止</w:t>
      </w:r>
    </w:p>
    <w:p>
      <w:pPr>
        <w:spacing w:line="360" w:lineRule="auto"/>
        <w:ind w:firstLine="420" w:firstLineChars="200"/>
        <w:jc w:val="left"/>
        <w:rPr>
          <w:rFonts w:asciiTheme="minorEastAsia" w:hAnsiTheme="minorEastAsia"/>
          <w:szCs w:val="21"/>
        </w:rPr>
      </w:pPr>
      <w:r>
        <w:rPr>
          <w:rFonts w:asciiTheme="minorEastAsia" w:hAnsiTheme="minorEastAsia"/>
          <w:szCs w:val="21"/>
        </w:rPr>
        <w:t>12.1在合同履行中，甲方需追加与合同标的项目的货物、工程或者服务的，应按照《深圳经济特区政府采购条例》第四十条、第四十八条规定办理相关手续。</w:t>
      </w:r>
    </w:p>
    <w:p>
      <w:pPr>
        <w:spacing w:line="360" w:lineRule="auto"/>
        <w:ind w:firstLine="420" w:firstLineChars="200"/>
        <w:jc w:val="left"/>
        <w:rPr>
          <w:rFonts w:asciiTheme="minorEastAsia" w:hAnsiTheme="minorEastAsia"/>
          <w:szCs w:val="21"/>
        </w:rPr>
      </w:pPr>
      <w:r>
        <w:rPr>
          <w:rFonts w:asciiTheme="minorEastAsia" w:hAnsiTheme="minorEastAsia"/>
          <w:szCs w:val="21"/>
        </w:rPr>
        <w:t>12.</w:t>
      </w:r>
      <w:r>
        <w:rPr>
          <w:rFonts w:hint="eastAsia" w:asciiTheme="minorEastAsia" w:hAnsiTheme="minorEastAsia"/>
          <w:szCs w:val="21"/>
        </w:rPr>
        <w:t>2</w:t>
      </w:r>
      <w:r>
        <w:rPr>
          <w:rFonts w:asciiTheme="minorEastAsia" w:hAnsiTheme="minorEastAsia"/>
          <w:szCs w:val="21"/>
        </w:rPr>
        <w:t>除《中华人民共和国政府采购法》第49条、第50条第二款规定的情形外，本合同一经签订，甲乙双方不得擅自变更、中止或终止合同。</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第十三条</w:t>
      </w:r>
      <w:r>
        <w:rPr>
          <w:rFonts w:asciiTheme="minorEastAsia" w:hAnsiTheme="minorEastAsia"/>
          <w:b/>
          <w:szCs w:val="21"/>
        </w:rPr>
        <w:t xml:space="preserve">  </w:t>
      </w:r>
      <w:r>
        <w:rPr>
          <w:rFonts w:hint="eastAsia" w:asciiTheme="minorEastAsia" w:hAnsiTheme="minorEastAsia"/>
          <w:b/>
          <w:szCs w:val="21"/>
        </w:rPr>
        <w:t>争议的解决</w:t>
      </w:r>
    </w:p>
    <w:p>
      <w:pPr>
        <w:spacing w:line="360" w:lineRule="auto"/>
        <w:ind w:firstLine="420" w:firstLineChars="200"/>
        <w:jc w:val="left"/>
        <w:rPr>
          <w:rFonts w:asciiTheme="minorEastAsia" w:hAnsiTheme="minorEastAsia"/>
          <w:szCs w:val="21"/>
        </w:rPr>
      </w:pPr>
      <w:r>
        <w:rPr>
          <w:rFonts w:asciiTheme="minorEastAsia" w:hAnsiTheme="minorEastAsia"/>
          <w:szCs w:val="21"/>
        </w:rPr>
        <w:t>13.1因货物的质量问题发生争议的，应当邀请国家认可的质量检测机构对货物质量进行鉴定。货物符合标准的，鉴定费由甲方承担；货物不符合质量标准的，鉴定费由乙方承担。</w:t>
      </w:r>
    </w:p>
    <w:p>
      <w:pPr>
        <w:spacing w:line="360" w:lineRule="auto"/>
        <w:ind w:firstLine="420" w:firstLineChars="200"/>
        <w:jc w:val="left"/>
        <w:rPr>
          <w:rFonts w:asciiTheme="minorEastAsia" w:hAnsiTheme="minorEastAsia"/>
          <w:szCs w:val="21"/>
        </w:rPr>
      </w:pPr>
      <w:r>
        <w:rPr>
          <w:rFonts w:asciiTheme="minorEastAsia" w:hAnsiTheme="minorEastAsia"/>
          <w:szCs w:val="21"/>
        </w:rPr>
        <w:t>13.2因履行本合同引起的或与本合同有关的争议，甲、乙双方应首先通过友好协商解决，如果协商不能解决争议，则向甲方所在地有管辖权的人民法院提起诉讼。</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第十四条</w:t>
      </w:r>
      <w:r>
        <w:rPr>
          <w:rFonts w:asciiTheme="minorEastAsia" w:hAnsiTheme="minorEastAsia"/>
          <w:b/>
          <w:szCs w:val="21"/>
        </w:rPr>
        <w:t xml:space="preserve">  </w:t>
      </w:r>
      <w:r>
        <w:rPr>
          <w:rFonts w:hint="eastAsia" w:asciiTheme="minorEastAsia" w:hAnsiTheme="minorEastAsia"/>
          <w:b/>
          <w:szCs w:val="21"/>
        </w:rPr>
        <w:t>合同生效及其他</w:t>
      </w:r>
    </w:p>
    <w:p>
      <w:pPr>
        <w:spacing w:line="360" w:lineRule="auto"/>
        <w:ind w:firstLine="420" w:firstLineChars="200"/>
        <w:jc w:val="left"/>
        <w:rPr>
          <w:rFonts w:asciiTheme="minorEastAsia" w:hAnsiTheme="minorEastAsia"/>
          <w:szCs w:val="21"/>
        </w:rPr>
      </w:pPr>
      <w:r>
        <w:rPr>
          <w:rFonts w:asciiTheme="minorEastAsia" w:hAnsiTheme="minorEastAsia"/>
          <w:szCs w:val="21"/>
        </w:rPr>
        <w:t>14.1下列文件均为本合同的组成部分：</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1）</w:t>
      </w:r>
      <w:r>
        <w:rPr>
          <w:rFonts w:hint="eastAsia" w:asciiTheme="minorEastAsia" w:hAnsiTheme="minorEastAsia"/>
          <w:szCs w:val="21"/>
        </w:rPr>
        <w:t>招标文件、答疑及补充通知；</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2）乙方的投标文件；</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3）本合同执行中甲乙双方共同签署的补充与修正文件。</w:t>
      </w:r>
    </w:p>
    <w:p>
      <w:pPr>
        <w:spacing w:line="360" w:lineRule="auto"/>
        <w:ind w:firstLine="420" w:firstLineChars="200"/>
        <w:jc w:val="left"/>
        <w:rPr>
          <w:rFonts w:asciiTheme="minorEastAsia" w:hAnsiTheme="minorEastAsia"/>
          <w:szCs w:val="21"/>
        </w:rPr>
      </w:pPr>
      <w:r>
        <w:rPr>
          <w:rFonts w:asciiTheme="minorEastAsia" w:hAnsiTheme="minorEastAsia"/>
          <w:szCs w:val="21"/>
        </w:rPr>
        <w:t>14.2本合同一式</w:t>
      </w:r>
      <w:r>
        <w:rPr>
          <w:rFonts w:asciiTheme="minorEastAsia" w:hAnsiTheme="minorEastAsia"/>
          <w:szCs w:val="21"/>
          <w:u w:val="single"/>
        </w:rPr>
        <w:t xml:space="preserve">     </w:t>
      </w:r>
      <w:r>
        <w:rPr>
          <w:rFonts w:hint="eastAsia" w:asciiTheme="minorEastAsia" w:hAnsiTheme="minorEastAsia"/>
          <w:szCs w:val="21"/>
        </w:rPr>
        <w:t>份，甲、乙方双方各执</w:t>
      </w:r>
      <w:r>
        <w:rPr>
          <w:rFonts w:asciiTheme="minorEastAsia" w:hAnsiTheme="minorEastAsia"/>
          <w:szCs w:val="21"/>
          <w:u w:val="single"/>
        </w:rPr>
        <w:t xml:space="preserve">     </w:t>
      </w:r>
      <w:r>
        <w:rPr>
          <w:rFonts w:hint="eastAsia" w:asciiTheme="minorEastAsia" w:hAnsiTheme="minorEastAsia"/>
          <w:szCs w:val="21"/>
        </w:rPr>
        <w:t>份，具有同等法律效力。本合同自双方签字并盖章之日起生效。</w:t>
      </w:r>
    </w:p>
    <w:p>
      <w:pPr>
        <w:snapToGrid w:val="0"/>
        <w:spacing w:line="360" w:lineRule="auto"/>
        <w:ind w:firstLine="420" w:firstLineChars="200"/>
        <w:rPr>
          <w:rFonts w:ascii="宋体" w:hAnsi="宋体"/>
          <w:szCs w:val="21"/>
        </w:rPr>
      </w:pPr>
      <w:r>
        <w:rPr>
          <w:rFonts w:asciiTheme="minorEastAsia" w:hAnsiTheme="minorEastAsia"/>
          <w:szCs w:val="21"/>
        </w:rPr>
        <w:t>14.</w:t>
      </w:r>
      <w:r>
        <w:rPr>
          <w:rFonts w:hint="eastAsia" w:asciiTheme="minorEastAsia" w:hAnsiTheme="minorEastAsia"/>
          <w:szCs w:val="21"/>
        </w:rPr>
        <w:t>3</w:t>
      </w:r>
      <w:r>
        <w:rPr>
          <w:rFonts w:hint="eastAsia" w:ascii="宋体" w:hAnsi="宋体"/>
          <w:szCs w:val="21"/>
        </w:rPr>
        <w:t>本合同未尽事宜，双方友好协商，达成解决方案，经双方签字后，可作为本合同的有效附件。</w:t>
      </w:r>
    </w:p>
    <w:p>
      <w:pPr>
        <w:spacing w:line="360" w:lineRule="auto"/>
        <w:ind w:firstLine="420" w:firstLineChars="200"/>
        <w:jc w:val="left"/>
        <w:rPr>
          <w:rFonts w:asciiTheme="minorEastAsia" w:hAnsiTheme="minorEastAsia"/>
          <w:szCs w:val="21"/>
        </w:rPr>
      </w:pPr>
    </w:p>
    <w:p>
      <w:pPr>
        <w:pStyle w:val="26"/>
        <w:snapToGrid w:val="0"/>
        <w:spacing w:line="360" w:lineRule="auto"/>
        <w:ind w:firstLine="420" w:firstLineChars="200"/>
        <w:rPr>
          <w:rFonts w:hAnsi="宋体"/>
          <w:szCs w:val="21"/>
        </w:rPr>
      </w:pPr>
      <w:r>
        <w:rPr>
          <w:rFonts w:hint="eastAsia" w:hAnsi="宋体"/>
          <w:szCs w:val="21"/>
        </w:rPr>
        <w:t>附件：</w:t>
      </w:r>
    </w:p>
    <w:p>
      <w:pPr>
        <w:snapToGrid w:val="0"/>
        <w:spacing w:line="360" w:lineRule="auto"/>
        <w:ind w:firstLine="420" w:firstLineChars="200"/>
        <w:rPr>
          <w:rFonts w:ascii="宋体" w:hAnsi="宋体"/>
          <w:szCs w:val="21"/>
        </w:rPr>
      </w:pPr>
      <w:r>
        <w:rPr>
          <w:rFonts w:hint="eastAsia" w:ascii="宋体" w:hAnsi="宋体"/>
          <w:szCs w:val="21"/>
        </w:rPr>
        <w:t>1、《中标通知书》</w:t>
      </w:r>
    </w:p>
    <w:p>
      <w:pPr>
        <w:snapToGrid w:val="0"/>
        <w:spacing w:line="360" w:lineRule="auto"/>
        <w:ind w:firstLine="420" w:firstLineChars="200"/>
        <w:rPr>
          <w:rFonts w:ascii="宋体" w:hAnsi="宋体"/>
          <w:szCs w:val="21"/>
        </w:rPr>
      </w:pPr>
      <w:r>
        <w:rPr>
          <w:rFonts w:hint="eastAsia" w:ascii="宋体" w:hAnsi="宋体"/>
          <w:szCs w:val="21"/>
        </w:rPr>
        <w:t>2、《投标文件》</w:t>
      </w:r>
    </w:p>
    <w:p>
      <w:pPr>
        <w:snapToGrid w:val="0"/>
        <w:spacing w:line="360" w:lineRule="auto"/>
        <w:ind w:firstLine="420" w:firstLineChars="200"/>
        <w:rPr>
          <w:rFonts w:ascii="宋体" w:hAnsi="宋体"/>
          <w:szCs w:val="21"/>
        </w:rPr>
      </w:pPr>
      <w:r>
        <w:rPr>
          <w:rFonts w:hint="eastAsia" w:ascii="宋体" w:hAnsi="宋体"/>
          <w:szCs w:val="21"/>
        </w:rPr>
        <w:t>3、《招标文件》</w:t>
      </w:r>
    </w:p>
    <w:p>
      <w:pPr>
        <w:spacing w:line="360" w:lineRule="auto"/>
        <w:ind w:firstLine="420" w:firstLineChars="200"/>
        <w:jc w:val="left"/>
        <w:rPr>
          <w:rFonts w:asciiTheme="minorEastAsia" w:hAnsiTheme="minorEastAsia"/>
          <w:szCs w:val="21"/>
        </w:rPr>
      </w:pP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 xml:space="preserve">章）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委托代理人：</w:t>
      </w:r>
    </w:p>
    <w:p>
      <w:pPr>
        <w:spacing w:line="360" w:lineRule="auto"/>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w:t>
      </w:r>
      <w:r>
        <w:rPr>
          <w:rFonts w:hint="eastAsia" w:asciiTheme="minorEastAsia" w:hAnsiTheme="minorEastAsia"/>
          <w:szCs w:val="21"/>
        </w:rPr>
        <w:t xml:space="preserve">              </w:t>
      </w:r>
      <w:r>
        <w:rPr>
          <w:rFonts w:asciiTheme="minorEastAsia" w:hAnsiTheme="minorEastAsia"/>
          <w:szCs w:val="21"/>
        </w:rPr>
        <w:t xml:space="preserve">  日期：   年     月    日</w:t>
      </w:r>
    </w:p>
    <w:p>
      <w:pPr>
        <w:jc w:val="center"/>
        <w:rPr>
          <w:b/>
          <w:sz w:val="52"/>
          <w:szCs w:val="52"/>
        </w:rPr>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Pr>
        <w:tabs>
          <w:tab w:val="left" w:pos="1875"/>
        </w:tabs>
      </w:pPr>
    </w:p>
    <w:p/>
    <w:p>
      <w:pPr>
        <w:pStyle w:val="2"/>
      </w:pPr>
      <w:bookmarkStart w:id="99" w:name="_Toc135293356"/>
      <w:r>
        <w:rPr>
          <w:rFonts w:hint="eastAsia"/>
        </w:rPr>
        <w:t>第九章  附件</w:t>
      </w:r>
      <w:bookmarkEnd w:id="99"/>
    </w:p>
    <w:p>
      <w:pPr>
        <w:pStyle w:val="4"/>
        <w:spacing w:before="0" w:after="0"/>
      </w:pPr>
      <w:bookmarkStart w:id="100" w:name="_Toc135293357"/>
      <w:bookmarkStart w:id="101" w:name="_Toc73610162"/>
      <w:bookmarkStart w:id="102" w:name="_Toc73613644"/>
      <w:r>
        <w:rPr>
          <w:rFonts w:hint="eastAsia"/>
        </w:rPr>
        <w:t>一、财政部 工业和信息化部关于印发《政府采购促进中小企业发展管理办法》的通知</w:t>
      </w:r>
      <w:bookmarkEnd w:id="100"/>
      <w:bookmarkEnd w:id="101"/>
      <w:bookmarkEnd w:id="102"/>
    </w:p>
    <w:p>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财库〔2020〕46号</w:t>
      </w:r>
    </w:p>
    <w:p>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各中央预算单位办公厅（室），各省、自治区、直辖市、计划单列市财政厅（局）、工业和信息化主管部门，新疆生产建设兵团财政局、工业和信息化主管部门：</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附件：政府采购促进中小企业发展管理办法</w:t>
      </w:r>
    </w:p>
    <w:p>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财　　政　　部</w:t>
      </w:r>
    </w:p>
    <w:p>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工业和信息化部</w:t>
      </w:r>
    </w:p>
    <w:p>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2020年12月18日</w:t>
      </w:r>
    </w:p>
    <w:p>
      <w:pPr>
        <w:widowControl/>
        <w:shd w:val="clear" w:color="auto" w:fill="FFFFFF"/>
        <w:spacing w:line="360" w:lineRule="auto"/>
        <w:ind w:firstLine="480"/>
        <w:rPr>
          <w:rFonts w:cs="宋体" w:asciiTheme="minorEastAsia" w:hAnsiTheme="minorEastAsia" w:eastAsiaTheme="minorEastAsia"/>
          <w:color w:val="333333"/>
          <w:kern w:val="0"/>
          <w:szCs w:val="21"/>
        </w:rPr>
      </w:pPr>
    </w:p>
    <w:p>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附件</w:t>
      </w:r>
    </w:p>
    <w:p>
      <w:pPr>
        <w:widowControl/>
        <w:shd w:val="clear" w:color="auto" w:fill="FFFFFF"/>
        <w:spacing w:line="360" w:lineRule="auto"/>
        <w:ind w:firstLine="480"/>
        <w:rPr>
          <w:rFonts w:cs="宋体" w:asciiTheme="minorEastAsia" w:hAnsiTheme="minorEastAsia" w:eastAsiaTheme="minorEastAsia"/>
          <w:color w:val="333333"/>
          <w:kern w:val="0"/>
          <w:szCs w:val="21"/>
        </w:rPr>
      </w:pPr>
    </w:p>
    <w:p>
      <w:pPr>
        <w:widowControl/>
        <w:shd w:val="clear" w:color="auto" w:fill="FFFFFF"/>
        <w:spacing w:line="360" w:lineRule="auto"/>
        <w:jc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政府采购促进中小企业发展管理办法</w:t>
      </w:r>
    </w:p>
    <w:p>
      <w:pPr>
        <w:widowControl/>
        <w:shd w:val="clear" w:color="auto" w:fill="FFFFFF"/>
        <w:spacing w:line="360" w:lineRule="auto"/>
        <w:ind w:firstLine="480"/>
        <w:rPr>
          <w:rFonts w:cs="宋体" w:asciiTheme="minorEastAsia" w:hAnsiTheme="minorEastAsia" w:eastAsiaTheme="minorEastAsia"/>
          <w:color w:val="333333"/>
          <w:kern w:val="0"/>
          <w:szCs w:val="21"/>
        </w:rPr>
      </w:pP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第一条</w:t>
      </w:r>
      <w:r>
        <w:rPr>
          <w:rFonts w:hint="eastAsia" w:cs="宋体" w:asciiTheme="minorEastAsia" w:hAnsiTheme="minorEastAsia" w:eastAsiaTheme="minorEastAsia"/>
          <w:color w:val="333333"/>
          <w:kern w:val="0"/>
          <w:szCs w:val="21"/>
        </w:rPr>
        <w:t>　为了发挥政府采购的政策功能，促进中小企业健康发展，根据《中华人民共和国政府采购法》、《中华人民共和国中小企业促进法》等有关法律法规，制定本办法。</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第二条</w:t>
      </w:r>
      <w:r>
        <w:rPr>
          <w:rFonts w:hint="eastAsia" w:cs="宋体" w:asciiTheme="minorEastAsia" w:hAnsiTheme="minorEastAsia" w:eastAsiaTheme="minorEastAsia"/>
          <w:color w:val="333333"/>
          <w:kern w:val="0"/>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符合中小企业划分标准的个体工商户，在政府采购活动中视同中小企业。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第三条</w:t>
      </w:r>
      <w:r>
        <w:rPr>
          <w:rFonts w:hint="eastAsia" w:cs="宋体" w:asciiTheme="minorEastAsia" w:hAnsiTheme="minorEastAsia" w:eastAsiaTheme="minorEastAsia"/>
          <w:color w:val="333333"/>
          <w:kern w:val="0"/>
          <w:szCs w:val="21"/>
        </w:rPr>
        <w:t>　采购人在政府采购活动中应当通过加强采购需求管理，落实预留采购份额、价格评审优惠、优先采购等措施，提高中小企业在政府采购中的份额，支持中小企业发展。</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第四条</w:t>
      </w:r>
      <w:r>
        <w:rPr>
          <w:rFonts w:hint="eastAsia" w:cs="宋体" w:asciiTheme="minorEastAsia" w:hAnsiTheme="minorEastAsia" w:eastAsiaTheme="minorEastAsia"/>
          <w:color w:val="333333"/>
          <w:kern w:val="0"/>
          <w:szCs w:val="21"/>
        </w:rPr>
        <w:t>　在政府采购活动中，供应商提供的货物、工程或者服务符合下列情形的，享受本办法规定的中小企业扶持政策：</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（一）在货物采购项目中，货物由中小企业制造，即货物由中小企业生产且使用该中小企业商号或者注册商标；</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（二）在工程采购项目中，工程由中小企业承建，即工程施工单位为中小企业；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（三）在服务采购项目中，服务由中小企业承接，即提供服务的人员为中小企业依照《中华人民共和国劳动合同法》订立劳动合同的从业人员。</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在货物采购项目中，供应商提供的货物既有中小企业制造货物，也有大型企业制造货物的，不享受本办法规定的中小企业扶持政策。</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以联合体形式参加政府采购活动，联合体各方均为中小企业的，联合体视同中小企业。其中，联合体各方均为小微企业的，联合体视同小微企业。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第五条</w:t>
      </w:r>
      <w:r>
        <w:rPr>
          <w:rFonts w:hint="eastAsia" w:cs="宋体" w:asciiTheme="minorEastAsia" w:hAnsiTheme="minorEastAsia" w:eastAsiaTheme="minorEastAsia"/>
          <w:color w:val="333333"/>
          <w:kern w:val="0"/>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第六条</w:t>
      </w:r>
      <w:r>
        <w:rPr>
          <w:rFonts w:hint="eastAsia" w:cs="宋体" w:asciiTheme="minorEastAsia" w:hAnsiTheme="minorEastAsia" w:eastAsiaTheme="minorEastAsia"/>
          <w:color w:val="333333"/>
          <w:kern w:val="0"/>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符合下列情形之一的，可不专门面向中小企业预留采购份额：</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（一）法律法规和国家有关政策明确规定优先或者应当面向事业单位、社会组织等非企业主体采购的；</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（二）因确需使用不可替代的专利、专有技术，基础设施限制，或者提供特定公共服务等原因，只能从中小企业之外的供应商处采购的；</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（三）按照本办法规定预留采购份额无法确保充分供应、充分竞争，或者存在可能影响政府采购目标实现的情形；</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（四）框架协议采购项目；</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（五）省级以上人民政府财政部门规定的其他情形。</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除上述情形外，其他均为适宜由中小企业提供的情形。</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第七条</w:t>
      </w:r>
      <w:r>
        <w:rPr>
          <w:rFonts w:hint="eastAsia" w:cs="宋体" w:asciiTheme="minorEastAsia" w:hAnsiTheme="minorEastAsia" w:eastAsiaTheme="minorEastAsia"/>
          <w:color w:val="333333"/>
          <w:kern w:val="0"/>
          <w:szCs w:val="21"/>
        </w:rPr>
        <w:t>　采购限额标准以上，200万元以下的货物和服务采购项目、400万元以下的工程采购项目，适宜由中小企业提供的，采购人应当专门面向中小企业采购。</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第八条</w:t>
      </w:r>
      <w:r>
        <w:rPr>
          <w:rFonts w:hint="eastAsia" w:cs="宋体" w:asciiTheme="minorEastAsia" w:hAnsiTheme="minorEastAsia" w:eastAsiaTheme="minorEastAsia"/>
          <w:color w:val="333333"/>
          <w:kern w:val="0"/>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（一）将采购项目整体或者设置采购包专门面向中小企业采购；</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（二）要求供应商以联合体形式参加采购活动，且联合体中中小企业承担的部分达到一定比例；</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（三）要求获得采购合同的供应商将采购项目中的一定比例分包给一家或者多家中小企业。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组成联合体或者接受分包合同的中小企业与联合体内其他企业、分包企业之间不得存在直接控股、管理关系。</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第九条</w:t>
      </w:r>
      <w:r>
        <w:rPr>
          <w:rFonts w:hint="eastAsia" w:cs="宋体" w:asciiTheme="minorEastAsia" w:hAnsiTheme="minorEastAsia" w:eastAsiaTheme="minorEastAsia"/>
          <w:color w:val="333333"/>
          <w:kern w:val="0"/>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第十条</w:t>
      </w:r>
      <w:r>
        <w:rPr>
          <w:rFonts w:hint="eastAsia" w:cs="宋体" w:asciiTheme="minorEastAsia" w:hAnsiTheme="minorEastAsia" w:eastAsiaTheme="minorEastAsia"/>
          <w:color w:val="333333"/>
          <w:kern w:val="0"/>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第十一条</w:t>
      </w:r>
      <w:r>
        <w:rPr>
          <w:rFonts w:hint="eastAsia" w:cs="宋体" w:asciiTheme="minorEastAsia" w:hAnsiTheme="minorEastAsia" w:eastAsiaTheme="minorEastAsia"/>
          <w:color w:val="333333"/>
          <w:kern w:val="0"/>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第十二条</w:t>
      </w:r>
      <w:r>
        <w:rPr>
          <w:rFonts w:hint="eastAsia" w:cs="宋体" w:asciiTheme="minorEastAsia" w:hAnsiTheme="minorEastAsia" w:eastAsiaTheme="minorEastAsia"/>
          <w:color w:val="333333"/>
          <w:kern w:val="0"/>
          <w:szCs w:val="21"/>
        </w:rPr>
        <w:t>　采购项目涉及中小企业采购的，采购文件应当明确以下内容：</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（一）预留份额的采购项目或者采购包，明确该项目或相关采购包专门面向中小企业采购，以及相关标的及预算金额；</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（二）要求以联合体形式参加或者合同分包的，明确联合协议或者分包意向协议中中小企业合同金额应当达到的比例，并作为供应商资格条件；</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（三）非预留份额的采购项目或者采购包，明确有关价格扣除比例或者价格分加分比例；</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（四）规定依据本办法规定享受扶持政策获得政府采购合同的，小微企业不得将合同分包给大中型企业，中型企业不得将合同分包给大型企业；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（五）采购人认为具备相关条件的，明确对中小企业在资金支付期限、预付款比例等方面的优惠措施；</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（六）明确采购标的对应的中小企业划分标准所属行业；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（七）法律法规和省级以上人民政府财政部门规定的其他事项。</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第十三条</w:t>
      </w:r>
      <w:r>
        <w:rPr>
          <w:rFonts w:hint="eastAsia" w:cs="宋体" w:asciiTheme="minorEastAsia" w:hAnsiTheme="minorEastAsia" w:eastAsiaTheme="minorEastAsia"/>
          <w:color w:val="333333"/>
          <w:kern w:val="0"/>
          <w:szCs w:val="21"/>
        </w:rPr>
        <w:t>　中标、成交供应商享受本办法规定的中小企业扶持政策的，采购人、采购代理机构应当随中标、成交结果公开中标、成交供应商的《中小企业声明函》。</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适用招标投标法的政府采购工程建设项目，应当在公示中标候选人时公开中标候选人的《中小企业声明函》。</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第十四条</w:t>
      </w:r>
      <w:r>
        <w:rPr>
          <w:rFonts w:hint="eastAsia" w:cs="宋体" w:asciiTheme="minorEastAsia" w:hAnsiTheme="minorEastAsia" w:eastAsiaTheme="minorEastAsia"/>
          <w:color w:val="333333"/>
          <w:kern w:val="0"/>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第十五条</w:t>
      </w:r>
      <w:r>
        <w:rPr>
          <w:rFonts w:hint="eastAsia" w:cs="宋体" w:asciiTheme="minorEastAsia" w:hAnsiTheme="minorEastAsia" w:eastAsiaTheme="minorEastAsia"/>
          <w:color w:val="333333"/>
          <w:kern w:val="0"/>
          <w:szCs w:val="21"/>
        </w:rPr>
        <w:t>　鼓励各地区、各部门在采购活动中允许中小企业引入信用担保手段，为中小企业在投标（响应）保证、履约保证等方面提供专业化服务。鼓励中小企业依法合规通过政府采购合同融资。</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第十六条</w:t>
      </w:r>
      <w:r>
        <w:rPr>
          <w:rFonts w:hint="eastAsia" w:cs="宋体" w:asciiTheme="minorEastAsia" w:hAnsiTheme="minorEastAsia" w:eastAsiaTheme="minorEastAsia"/>
          <w:color w:val="333333"/>
          <w:kern w:val="0"/>
          <w:szCs w:val="21"/>
        </w:rPr>
        <w:t>　政府采购监督检查、投诉处理及政府采购行政处罚中对中小企业的认定，由货物制造商或者工程、服务供应商注册登记所在地的县级以上人民政府中小企业主管部门负责。</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中小企业主管部门应当在收到财政部门或者有关招标投标行政监督部门关于协助开展中小企业认定函后10个工作日内做出书面答复。</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第十七条</w:t>
      </w:r>
      <w:r>
        <w:rPr>
          <w:rFonts w:hint="eastAsia" w:cs="宋体" w:asciiTheme="minorEastAsia" w:hAnsiTheme="minorEastAsia" w:eastAsiaTheme="minorEastAsia"/>
          <w:color w:val="333333"/>
          <w:kern w:val="0"/>
          <w:szCs w:val="21"/>
        </w:rPr>
        <w:t>　各地区、各部门应当对涉及中小企业采购的预算项目实施全过程绩效管理，合理设置绩效目标和指标，落实扶持中小企业有关政策要求，定期开展绩效监控和评价，强化绩效评价结果应用。</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第十八条</w:t>
      </w:r>
      <w:r>
        <w:rPr>
          <w:rFonts w:hint="eastAsia" w:cs="宋体" w:asciiTheme="minorEastAsia" w:hAnsiTheme="minorEastAsia" w:eastAsiaTheme="minorEastAsia"/>
          <w:color w:val="333333"/>
          <w:kern w:val="0"/>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第十九条</w:t>
      </w:r>
      <w:r>
        <w:rPr>
          <w:rFonts w:hint="eastAsia" w:cs="宋体" w:asciiTheme="minorEastAsia" w:hAnsiTheme="minorEastAsia" w:eastAsiaTheme="minorEastAsia"/>
          <w:color w:val="333333"/>
          <w:kern w:val="0"/>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第二十条</w:t>
      </w:r>
      <w:r>
        <w:rPr>
          <w:rFonts w:hint="eastAsia" w:cs="宋体" w:asciiTheme="minorEastAsia" w:hAnsiTheme="minorEastAsia" w:eastAsiaTheme="minorEastAsia"/>
          <w:color w:val="333333"/>
          <w:kern w:val="0"/>
          <w:szCs w:val="21"/>
        </w:rPr>
        <w:t>　供应商按照本办法规定提供声明函内容不实的，属于提供虚假材料谋取中标、成交，依照《中华人民共和国政府采购法》等国家有关规定追究相应责任。</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第二十一条</w:t>
      </w:r>
      <w:r>
        <w:rPr>
          <w:rFonts w:hint="eastAsia" w:cs="宋体" w:asciiTheme="minorEastAsia" w:hAnsiTheme="minorEastAsia" w:eastAsiaTheme="minorEastAsia"/>
          <w:color w:val="333333"/>
          <w:kern w:val="0"/>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第二十二条</w:t>
      </w:r>
      <w:r>
        <w:rPr>
          <w:rFonts w:hint="eastAsia" w:cs="宋体" w:asciiTheme="minorEastAsia" w:hAnsiTheme="minorEastAsia" w:eastAsiaTheme="minorEastAsia"/>
          <w:color w:val="333333"/>
          <w:kern w:val="0"/>
          <w:szCs w:val="21"/>
        </w:rPr>
        <w:t>　对外援助项目、国家相关资格或者资质管理制度另有规定的项目，不适用本办法。</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第二十三条</w:t>
      </w:r>
      <w:r>
        <w:rPr>
          <w:rFonts w:hint="eastAsia" w:cs="宋体" w:asciiTheme="minorEastAsia" w:hAnsiTheme="minorEastAsia" w:eastAsiaTheme="minorEastAsia"/>
          <w:color w:val="333333"/>
          <w:kern w:val="0"/>
          <w:szCs w:val="21"/>
        </w:rPr>
        <w:t>　关于视同中小企业的其他主体的政府采购扶持政策，由财政部会同有关部门另行规定。</w:t>
      </w:r>
    </w:p>
    <w:p>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第二十四条</w:t>
      </w:r>
      <w:r>
        <w:rPr>
          <w:rFonts w:hint="eastAsia" w:cs="宋体" w:asciiTheme="minorEastAsia" w:hAnsiTheme="minorEastAsia" w:eastAsiaTheme="minorEastAsia"/>
          <w:color w:val="333333"/>
          <w:kern w:val="0"/>
          <w:szCs w:val="21"/>
        </w:rPr>
        <w:t>　省级财政部门可以会同中小企业主管部门根据本办法的规定制定具体实施办法。</w:t>
      </w:r>
    </w:p>
    <w:p>
      <w:pPr>
        <w:widowControl/>
        <w:shd w:val="clear" w:color="auto" w:fill="FFFFFF"/>
        <w:spacing w:line="360" w:lineRule="auto"/>
        <w:ind w:firstLine="480"/>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第二十五条</w:t>
      </w:r>
      <w:r>
        <w:rPr>
          <w:rFonts w:hint="eastAsia" w:cs="宋体" w:asciiTheme="minorEastAsia" w:hAnsiTheme="minorEastAsia" w:eastAsiaTheme="minorEastAsia"/>
          <w:color w:val="333333"/>
          <w:kern w:val="0"/>
          <w:szCs w:val="21"/>
        </w:rPr>
        <w:t>　本办法自2021年1月1日起施行。《财政部 工业和信息化部关于印发〈政府采购促进中小企业发展暂行办法〉的通知》（财库〔2011〕181号）同时废止。</w:t>
      </w:r>
    </w:p>
    <w:p>
      <w:pPr>
        <w:widowControl/>
        <w:shd w:val="clear" w:color="auto" w:fill="FFFFFF"/>
        <w:spacing w:line="360" w:lineRule="auto"/>
        <w:ind w:firstLine="480"/>
        <w:jc w:val="left"/>
        <w:rPr>
          <w:rFonts w:cs="宋体" w:asciiTheme="minorEastAsia" w:hAnsiTheme="minorEastAsia" w:eastAsiaTheme="minorEastAsia"/>
          <w:color w:val="333333"/>
          <w:kern w:val="0"/>
          <w:szCs w:val="21"/>
        </w:rPr>
      </w:pPr>
    </w:p>
    <w:p>
      <w:pPr>
        <w:spacing w:line="360" w:lineRule="auto"/>
        <w:rPr>
          <w:rFonts w:asciiTheme="minorEastAsia" w:hAnsiTheme="minorEastAsia" w:eastAsiaTheme="minorEastAsia"/>
          <w:szCs w:val="21"/>
        </w:rPr>
      </w:pPr>
    </w:p>
    <w:p>
      <w:pPr>
        <w:pStyle w:val="4"/>
        <w:spacing w:before="0" w:after="0"/>
      </w:pPr>
      <w:bookmarkStart w:id="103" w:name="_Toc73610163"/>
      <w:bookmarkStart w:id="104" w:name="_Toc135293358"/>
      <w:bookmarkStart w:id="105" w:name="_Toc73613645"/>
      <w:r>
        <w:rPr>
          <w:rFonts w:hint="eastAsia"/>
        </w:rPr>
        <w:t>二、关于印发中小企业划型标准规定的通知</w:t>
      </w:r>
      <w:bookmarkEnd w:id="103"/>
      <w:bookmarkEnd w:id="104"/>
      <w:bookmarkEnd w:id="105"/>
    </w:p>
    <w:p>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工信部联企业〔2011〕300号</w:t>
      </w:r>
    </w:p>
    <w:p>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各省、自治区、直辖市人民政府，国务院各部委、各直属机构及有关单位：</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widowControl/>
        <w:shd w:val="clear" w:color="auto" w:fill="FFFFFF"/>
        <w:spacing w:before="100" w:beforeAutospacing="1" w:after="100" w:afterAutospacing="1" w:line="360" w:lineRule="auto"/>
        <w:jc w:val="righ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工业和信息化部　国家统计局</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国家发展和改革委员会　财政部</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二○一一年六月十八日</w:t>
      </w:r>
    </w:p>
    <w:p>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rPr>
        <w:t>中小企业划型标准规定</w:t>
      </w:r>
    </w:p>
    <w:p>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一、根据《中华人民共和国中小企业促进法》和《国务院关于进一步促进中小企业发展的若干意见》(国发〔2009〕36号)，制定本规定。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二、中小企业划分为中型、小型、微型三种类型，具体标准根据企业从业人员、营业收入、资产总额等指标，结合行业特点制定。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四、各行业划型标准为：</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（一）农、林、牧、渔业。营业收入20000万元以下的为中小微型企业。其中，营业收入500万元及以上的为中型企业，营业收入50万元及以上的为小型企业，营业收入50万元以下的为微型企业。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（十六）其他未列明行业。从业人员300人以下的为中小微型企业。其中，从业人员100人及以上的为中型企业；从业人员10人及以上的为小型企业；从业人员10人以下的为微型企业。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五、企业类型的划分以统计部门的统计数据为依据。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六、本规定适用于在中华人民共和国境内依法设立的各类所有制和各种组织形式的企业。个体工商户和本规定以外的行业，参照本规定进行划型。</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八、本规定由工业和信息化部、国家统计局会同有关部门根据《国民经济行业分类》修订情况和企业发展变化情况适时修订。</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九、本规定由工业和信息化部、国家统计局会同有关部门负责解释。</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十、本规定自发布之日起执行，原国家经贸委、原国家计委、财政部和国家统计局2003年颁布的《中小企业标准暂行规定》同时废止。</w:t>
      </w:r>
    </w:p>
    <w:p>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p>
    <w:p>
      <w:pPr>
        <w:pStyle w:val="4"/>
        <w:spacing w:before="0" w:after="0"/>
      </w:pPr>
      <w:bookmarkStart w:id="106" w:name="_Toc73613646"/>
      <w:bookmarkStart w:id="107" w:name="_Toc135293359"/>
      <w:bookmarkStart w:id="108" w:name="_Toc73610164"/>
      <w:r>
        <w:rPr>
          <w:rFonts w:hint="eastAsia"/>
        </w:rPr>
        <w:t>三、</w:t>
      </w:r>
      <w:r>
        <w:t>国家统计局关于印发《统计上大中小微型企业划分办法 （2017）》的通知</w:t>
      </w:r>
      <w:bookmarkEnd w:id="106"/>
      <w:bookmarkEnd w:id="107"/>
      <w:bookmarkEnd w:id="108"/>
      <w:r>
        <w:t> </w:t>
      </w:r>
    </w:p>
    <w:p>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pPr>
        <w:widowControl/>
        <w:spacing w:line="360" w:lineRule="auto"/>
        <w:jc w:val="center"/>
        <w:rPr>
          <w:rFonts w:cs="宋体" w:asciiTheme="minorEastAsia" w:hAnsiTheme="minorEastAsia" w:eastAsiaTheme="minorEastAsia"/>
          <w:b/>
          <w:bCs/>
          <w:kern w:val="0"/>
          <w:szCs w:val="21"/>
        </w:rPr>
      </w:pPr>
    </w:p>
    <w:p>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pPr>
        <w:widowControl/>
        <w:spacing w:line="360" w:lineRule="auto"/>
        <w:jc w:val="left"/>
        <w:rPr>
          <w:rFonts w:cs="宋体" w:asciiTheme="minorEastAsia" w:hAnsiTheme="minorEastAsia" w:eastAsiaTheme="minorEastAsia"/>
          <w:kern w:val="0"/>
          <w:szCs w:val="21"/>
        </w:rPr>
      </w:pPr>
    </w:p>
    <w:p>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pPr>
        <w:widowControl/>
        <w:spacing w:line="360" w:lineRule="auto"/>
        <w:jc w:val="left"/>
        <w:rPr>
          <w:rFonts w:cs="宋体" w:asciiTheme="minorEastAsia" w:hAnsiTheme="minorEastAsia" w:eastAsiaTheme="minorEastAsia"/>
          <w:kern w:val="0"/>
          <w:szCs w:val="21"/>
        </w:rPr>
      </w:pP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pPr>
        <w:widowControl/>
        <w:spacing w:line="360" w:lineRule="auto"/>
        <w:jc w:val="left"/>
        <w:rPr>
          <w:rFonts w:cs="宋体" w:asciiTheme="minorEastAsia" w:hAnsiTheme="minorEastAsia" w:eastAsiaTheme="minorEastAsia"/>
          <w:kern w:val="0"/>
          <w:szCs w:val="21"/>
        </w:rPr>
      </w:pP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pPr>
        <w:widowControl/>
        <w:spacing w:line="360" w:lineRule="auto"/>
        <w:jc w:val="left"/>
        <w:rPr>
          <w:rFonts w:cs="宋体" w:asciiTheme="minorEastAsia" w:hAnsiTheme="minorEastAsia" w:eastAsiaTheme="minorEastAsia"/>
          <w:kern w:val="0"/>
          <w:szCs w:val="21"/>
        </w:rPr>
      </w:pP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spacing w:line="360" w:lineRule="auto"/>
        <w:rPr>
          <w:rFonts w:asciiTheme="minorEastAsia" w:hAnsiTheme="minorEastAsia" w:eastAsiaTheme="minorEastAsia"/>
          <w:szCs w:val="21"/>
        </w:rPr>
      </w:pPr>
    </w:p>
    <w:p>
      <w:pPr>
        <w:pStyle w:val="4"/>
        <w:spacing w:before="0" w:after="0"/>
      </w:pPr>
      <w:bookmarkStart w:id="109" w:name="_Toc135293360"/>
      <w:bookmarkStart w:id="110" w:name="_Toc73613647"/>
      <w:bookmarkStart w:id="111" w:name="_Toc73610165"/>
      <w:r>
        <w:rPr>
          <w:rFonts w:hint="eastAsia"/>
        </w:rPr>
        <w:t>四、</w:t>
      </w:r>
      <w:r>
        <w:t>财政部 民政部 中国残疾人联合会关于促进残疾人就业 政府采购政策的通知</w:t>
      </w:r>
      <w:bookmarkEnd w:id="109"/>
      <w:bookmarkEnd w:id="110"/>
      <w:bookmarkEnd w:id="111"/>
      <w:r>
        <w:t xml:space="preserve"> </w:t>
      </w:r>
    </w:p>
    <w:p>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财库〔2017〕141号</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pPr>
        <w:widowControl/>
        <w:spacing w:line="360" w:lineRule="auto"/>
        <w:jc w:val="right"/>
        <w:rPr>
          <w:rFonts w:cs="宋体" w:asciiTheme="minorEastAsia" w:hAnsiTheme="minorEastAsia" w:eastAsiaTheme="minorEastAsia"/>
          <w:kern w:val="0"/>
          <w:szCs w:val="21"/>
        </w:rPr>
      </w:pP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pPr>
        <w:tabs>
          <w:tab w:val="left" w:pos="1875"/>
        </w:tabs>
        <w:rPr>
          <w:rFonts w:ascii="Calibri" w:hAnsi="Calibri"/>
          <w:szCs w:val="22"/>
        </w:rPr>
      </w:pPr>
    </w:p>
    <w:p>
      <w:pPr>
        <w:rPr>
          <w:rFonts w:ascii="Calibri" w:hAnsi="Calibri"/>
          <w:szCs w:val="22"/>
        </w:rPr>
      </w:pPr>
    </w:p>
    <w:p>
      <w:pPr>
        <w:pStyle w:val="4"/>
        <w:spacing w:before="0" w:after="0"/>
      </w:pPr>
      <w:bookmarkStart w:id="112" w:name="_Toc135293361"/>
      <w:r>
        <w:rPr>
          <w:rFonts w:hint="eastAsia"/>
        </w:rPr>
        <w:t>五、财政部 司法部关于政府采购支持监狱企业发展有关问题的通知</w:t>
      </w:r>
      <w:bookmarkEnd w:id="112"/>
      <w:r>
        <w:rPr>
          <w:rFonts w:hint="eastAsia"/>
        </w:rPr>
        <w:t xml:space="preserve"> </w:t>
      </w:r>
    </w:p>
    <w:p>
      <w:pPr>
        <w:widowControl/>
        <w:spacing w:line="360" w:lineRule="auto"/>
        <w:jc w:val="center"/>
        <w:rPr>
          <w:rFonts w:cs="宋体" w:asciiTheme="minorEastAsia" w:hAnsiTheme="minorEastAsia" w:eastAsiaTheme="minorEastAsia"/>
          <w:kern w:val="0"/>
          <w:szCs w:val="21"/>
        </w:rPr>
      </w:pPr>
    </w:p>
    <w:p>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pPr>
        <w:widowControl/>
        <w:spacing w:line="360" w:lineRule="auto"/>
        <w:jc w:val="left"/>
        <w:rPr>
          <w:rFonts w:cs="宋体" w:asciiTheme="minorEastAsia" w:hAnsiTheme="minorEastAsia" w:eastAsiaTheme="minorEastAsia"/>
          <w:kern w:val="0"/>
          <w:szCs w:val="21"/>
        </w:rPr>
      </w:pP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pPr>
        <w:widowControl/>
        <w:spacing w:line="360" w:lineRule="auto"/>
        <w:jc w:val="left"/>
        <w:rPr>
          <w:rFonts w:cs="宋体" w:asciiTheme="minorEastAsia" w:hAnsiTheme="minorEastAsia" w:eastAsiaTheme="minorEastAsia"/>
          <w:kern w:val="0"/>
          <w:szCs w:val="21"/>
        </w:rPr>
      </w:pP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p>
      <w:pPr>
        <w:pStyle w:val="4"/>
        <w:spacing w:before="0" w:after="0"/>
        <w:rPr>
          <w:rFonts w:asciiTheme="minorEastAsia" w:hAnsiTheme="minorEastAsia"/>
          <w:szCs w:val="21"/>
        </w:rPr>
      </w:pPr>
    </w:p>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宋体"/>
    <w:panose1 w:val="00000000000000000000"/>
    <w:charset w:val="86"/>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宋体"/>
    <w:panose1 w:val="00000000000000000000"/>
    <w:charset w:val="86"/>
    <w:family w:val="auto"/>
    <w:pitch w:val="default"/>
    <w:sig w:usb0="00000000" w:usb1="00000000" w:usb2="0000001E" w:usb3="00000000" w:csb0="00040000" w:csb1="00000000"/>
  </w:font>
  <w:font w:name="MS Mincho">
    <w:panose1 w:val="02020609040205080304"/>
    <w:charset w:val="80"/>
    <w:family w:val="modern"/>
    <w:pitch w:val="default"/>
    <w:sig w:usb0="A00002BF" w:usb1="68C7FCFB" w:usb2="00000010" w:usb3="00000000" w:csb0="4002009F" w:csb1="DFD70000"/>
  </w:font>
  <w:font w:name="Segoe UI Symbol">
    <w:panose1 w:val="020B0502040204020203"/>
    <w:charset w:val="00"/>
    <w:family w:val="swiss"/>
    <w:pitch w:val="default"/>
    <w:sig w:usb0="800001E3" w:usb1="1200FFEF" w:usb2="00040000" w:usb3="04000000" w:csb0="00000001" w:csb1="4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52</w:t>
    </w:r>
    <w:r>
      <w:rPr>
        <w:rStyle w:val="54"/>
      </w:rPr>
      <w:fldChar w:fldCharType="end"/>
    </w:r>
  </w:p>
  <w:p>
    <w:pPr>
      <w:pStyle w:val="31"/>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center" w:pos="4819"/>
        <w:tab w:val="right" w:pos="9638"/>
      </w:tabs>
      <w:jc w:val="left"/>
      <w:rPr>
        <w:rFonts w:asciiTheme="minorEastAsia" w:hAnsiTheme="minorEastAsia" w:eastAsiaTheme="minorEastAsia"/>
      </w:rPr>
    </w:pPr>
    <w:r>
      <w:tab/>
    </w:r>
    <w:r>
      <w:rPr>
        <w:rFonts w:hint="eastAsia" w:asciiTheme="minorEastAsia" w:hAnsiTheme="minorEastAsia" w:eastAsiaTheme="minorEastAsia"/>
      </w:rPr>
      <w:t>项目名称：便携式多导睡眠记录仪                                                  项目编号：SZZZ2024-QA0106</w:t>
    </w:r>
  </w:p>
  <w:p>
    <w:pPr>
      <w:pStyle w:val="32"/>
      <w:tabs>
        <w:tab w:val="center" w:pos="4819"/>
        <w:tab w:val="right" w:pos="9638"/>
      </w:tabs>
      <w:jc w:val="left"/>
      <w:rPr>
        <w:u w:val="single"/>
      </w:rPr>
    </w:pPr>
    <w:r>
      <w:rPr>
        <w:rFonts w:hint="eastAsia"/>
        <w:u w:val="single"/>
      </w:rPr>
      <w:t xml:space="preserve">                                                                                                       </w:t>
    </w:r>
    <w:r>
      <w:rPr>
        <w:u w:val="single"/>
      </w:rPr>
      <w:tab/>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38B221"/>
    <w:multiLevelType w:val="multilevel"/>
    <w:tmpl w:val="9038B221"/>
    <w:lvl w:ilvl="0" w:tentative="0">
      <w:start w:val="1"/>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0000002"/>
    <w:multiLevelType w:val="multilevel"/>
    <w:tmpl w:val="00000002"/>
    <w:lvl w:ilvl="0" w:tentative="0">
      <w:start w:val="1"/>
      <w:numFmt w:val="decimal"/>
      <w:pStyle w:val="16"/>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6"/>
      <w:lvlText w:val="%5)"/>
      <w:lvlJc w:val="left"/>
      <w:pPr>
        <w:tabs>
          <w:tab w:val="left" w:pos="2111"/>
        </w:tabs>
        <w:ind w:left="2111" w:hanging="420"/>
      </w:pPr>
    </w:lvl>
    <w:lvl w:ilvl="5" w:tentative="0">
      <w:start w:val="1"/>
      <w:numFmt w:val="lowerRoman"/>
      <w:pStyle w:val="8"/>
      <w:lvlText w:val="%6."/>
      <w:lvlJc w:val="right"/>
      <w:pPr>
        <w:tabs>
          <w:tab w:val="left" w:pos="2531"/>
        </w:tabs>
        <w:ind w:left="2531" w:hanging="420"/>
      </w:pPr>
    </w:lvl>
    <w:lvl w:ilvl="6" w:tentative="0">
      <w:start w:val="1"/>
      <w:numFmt w:val="decimal"/>
      <w:pStyle w:val="9"/>
      <w:lvlText w:val="%7."/>
      <w:lvlJc w:val="left"/>
      <w:pPr>
        <w:tabs>
          <w:tab w:val="left" w:pos="2951"/>
        </w:tabs>
        <w:ind w:left="2951" w:hanging="420"/>
      </w:pPr>
    </w:lvl>
    <w:lvl w:ilvl="7" w:tentative="0">
      <w:start w:val="1"/>
      <w:numFmt w:val="lowerLetter"/>
      <w:pStyle w:val="10"/>
      <w:lvlText w:val="%8)"/>
      <w:lvlJc w:val="left"/>
      <w:pPr>
        <w:tabs>
          <w:tab w:val="left" w:pos="3371"/>
        </w:tabs>
        <w:ind w:left="3371" w:hanging="420"/>
      </w:pPr>
    </w:lvl>
    <w:lvl w:ilvl="8" w:tentative="0">
      <w:start w:val="1"/>
      <w:numFmt w:val="lowerRoman"/>
      <w:pStyle w:val="11"/>
      <w:lvlText w:val="%9."/>
      <w:lvlJc w:val="right"/>
      <w:pPr>
        <w:tabs>
          <w:tab w:val="left" w:pos="3791"/>
        </w:tabs>
        <w:ind w:left="3791" w:hanging="420"/>
      </w:pPr>
    </w:lvl>
  </w:abstractNum>
  <w:abstractNum w:abstractNumId="2">
    <w:nsid w:val="0000002E"/>
    <w:multiLevelType w:val="multilevel"/>
    <w:tmpl w:val="0000002E"/>
    <w:lvl w:ilvl="0" w:tentative="0">
      <w:start w:val="1"/>
      <w:numFmt w:val="decimal"/>
      <w:pStyle w:val="397"/>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9F81FD3"/>
    <w:multiLevelType w:val="multilevel"/>
    <w:tmpl w:val="09F81FD3"/>
    <w:lvl w:ilvl="0" w:tentative="0">
      <w:start w:val="1"/>
      <w:numFmt w:val="japaneseCounting"/>
      <w:pStyle w:val="23"/>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VkZGVkYTNiOTU2NTQ1Nzc0OTI5NDMzOTUxZDg0ZWIifQ=="/>
  </w:docVars>
  <w:rsids>
    <w:rsidRoot w:val="00172A27"/>
    <w:rsid w:val="0000124D"/>
    <w:rsid w:val="0000134D"/>
    <w:rsid w:val="00001635"/>
    <w:rsid w:val="000035D6"/>
    <w:rsid w:val="000036D6"/>
    <w:rsid w:val="00003921"/>
    <w:rsid w:val="000039AF"/>
    <w:rsid w:val="00003A46"/>
    <w:rsid w:val="000042A3"/>
    <w:rsid w:val="0000430B"/>
    <w:rsid w:val="00004906"/>
    <w:rsid w:val="000049DE"/>
    <w:rsid w:val="00004AF7"/>
    <w:rsid w:val="00004FC4"/>
    <w:rsid w:val="00005751"/>
    <w:rsid w:val="00005C27"/>
    <w:rsid w:val="0000670A"/>
    <w:rsid w:val="00006922"/>
    <w:rsid w:val="00006E2A"/>
    <w:rsid w:val="000074B0"/>
    <w:rsid w:val="000103E3"/>
    <w:rsid w:val="00010937"/>
    <w:rsid w:val="00010B8D"/>
    <w:rsid w:val="00010DC3"/>
    <w:rsid w:val="00011A45"/>
    <w:rsid w:val="00011AAF"/>
    <w:rsid w:val="00012A6E"/>
    <w:rsid w:val="00012BC4"/>
    <w:rsid w:val="00012F81"/>
    <w:rsid w:val="00013127"/>
    <w:rsid w:val="00014515"/>
    <w:rsid w:val="00014625"/>
    <w:rsid w:val="000155DA"/>
    <w:rsid w:val="00015940"/>
    <w:rsid w:val="00015AF5"/>
    <w:rsid w:val="00016458"/>
    <w:rsid w:val="000165EF"/>
    <w:rsid w:val="00016FC3"/>
    <w:rsid w:val="000206A8"/>
    <w:rsid w:val="000208F8"/>
    <w:rsid w:val="00021304"/>
    <w:rsid w:val="0002197F"/>
    <w:rsid w:val="00022C27"/>
    <w:rsid w:val="00022F4F"/>
    <w:rsid w:val="00022FA9"/>
    <w:rsid w:val="00024FC9"/>
    <w:rsid w:val="000250AF"/>
    <w:rsid w:val="00025B21"/>
    <w:rsid w:val="00025D5B"/>
    <w:rsid w:val="00026249"/>
    <w:rsid w:val="00026BDD"/>
    <w:rsid w:val="00027415"/>
    <w:rsid w:val="000274F7"/>
    <w:rsid w:val="000307C5"/>
    <w:rsid w:val="00030D77"/>
    <w:rsid w:val="00031415"/>
    <w:rsid w:val="00031887"/>
    <w:rsid w:val="000319D1"/>
    <w:rsid w:val="00034043"/>
    <w:rsid w:val="0003479B"/>
    <w:rsid w:val="000347CB"/>
    <w:rsid w:val="00034900"/>
    <w:rsid w:val="0003493D"/>
    <w:rsid w:val="0003524E"/>
    <w:rsid w:val="00035FE0"/>
    <w:rsid w:val="000367ED"/>
    <w:rsid w:val="0003688B"/>
    <w:rsid w:val="000370BD"/>
    <w:rsid w:val="000372E9"/>
    <w:rsid w:val="00037359"/>
    <w:rsid w:val="0003762A"/>
    <w:rsid w:val="0003795A"/>
    <w:rsid w:val="0004022A"/>
    <w:rsid w:val="00040784"/>
    <w:rsid w:val="00041122"/>
    <w:rsid w:val="000414AB"/>
    <w:rsid w:val="00042758"/>
    <w:rsid w:val="000430AA"/>
    <w:rsid w:val="0004315F"/>
    <w:rsid w:val="00043926"/>
    <w:rsid w:val="00043D2B"/>
    <w:rsid w:val="00043FC3"/>
    <w:rsid w:val="000447F6"/>
    <w:rsid w:val="00044A93"/>
    <w:rsid w:val="000450E0"/>
    <w:rsid w:val="00045923"/>
    <w:rsid w:val="00045EB5"/>
    <w:rsid w:val="00046595"/>
    <w:rsid w:val="0004741F"/>
    <w:rsid w:val="00047612"/>
    <w:rsid w:val="00047852"/>
    <w:rsid w:val="00047A79"/>
    <w:rsid w:val="00050F73"/>
    <w:rsid w:val="00051378"/>
    <w:rsid w:val="000529DE"/>
    <w:rsid w:val="00053074"/>
    <w:rsid w:val="000530DF"/>
    <w:rsid w:val="00053F8F"/>
    <w:rsid w:val="000545F7"/>
    <w:rsid w:val="00054837"/>
    <w:rsid w:val="000550A3"/>
    <w:rsid w:val="0005520A"/>
    <w:rsid w:val="0005526E"/>
    <w:rsid w:val="000558BB"/>
    <w:rsid w:val="00056374"/>
    <w:rsid w:val="0005650D"/>
    <w:rsid w:val="00056617"/>
    <w:rsid w:val="00057655"/>
    <w:rsid w:val="00060349"/>
    <w:rsid w:val="00060526"/>
    <w:rsid w:val="00061300"/>
    <w:rsid w:val="000621B0"/>
    <w:rsid w:val="00062570"/>
    <w:rsid w:val="0006264D"/>
    <w:rsid w:val="0006301D"/>
    <w:rsid w:val="0006339B"/>
    <w:rsid w:val="00064787"/>
    <w:rsid w:val="00064A61"/>
    <w:rsid w:val="00066813"/>
    <w:rsid w:val="000668F4"/>
    <w:rsid w:val="0006745C"/>
    <w:rsid w:val="00067D3F"/>
    <w:rsid w:val="000700C5"/>
    <w:rsid w:val="00070384"/>
    <w:rsid w:val="00071507"/>
    <w:rsid w:val="0007191E"/>
    <w:rsid w:val="00071BA1"/>
    <w:rsid w:val="0007211D"/>
    <w:rsid w:val="000730F3"/>
    <w:rsid w:val="00073348"/>
    <w:rsid w:val="00073A35"/>
    <w:rsid w:val="00073B23"/>
    <w:rsid w:val="00073DB3"/>
    <w:rsid w:val="00073EE2"/>
    <w:rsid w:val="00074554"/>
    <w:rsid w:val="00074BEF"/>
    <w:rsid w:val="00075A0C"/>
    <w:rsid w:val="00075AD5"/>
    <w:rsid w:val="00080168"/>
    <w:rsid w:val="00080188"/>
    <w:rsid w:val="00080A90"/>
    <w:rsid w:val="00080C2D"/>
    <w:rsid w:val="00081B06"/>
    <w:rsid w:val="000820E6"/>
    <w:rsid w:val="000825F6"/>
    <w:rsid w:val="00082956"/>
    <w:rsid w:val="00082ABE"/>
    <w:rsid w:val="000835A4"/>
    <w:rsid w:val="000839DA"/>
    <w:rsid w:val="00083D3F"/>
    <w:rsid w:val="00083E84"/>
    <w:rsid w:val="0008402F"/>
    <w:rsid w:val="00085134"/>
    <w:rsid w:val="000851F8"/>
    <w:rsid w:val="00085317"/>
    <w:rsid w:val="00085419"/>
    <w:rsid w:val="000855C1"/>
    <w:rsid w:val="00085908"/>
    <w:rsid w:val="0008596C"/>
    <w:rsid w:val="00085DE9"/>
    <w:rsid w:val="00085F1A"/>
    <w:rsid w:val="00085FFE"/>
    <w:rsid w:val="000866A3"/>
    <w:rsid w:val="000867FB"/>
    <w:rsid w:val="00086F62"/>
    <w:rsid w:val="000870F2"/>
    <w:rsid w:val="000871D6"/>
    <w:rsid w:val="000871FE"/>
    <w:rsid w:val="000878FF"/>
    <w:rsid w:val="00087F07"/>
    <w:rsid w:val="0009127F"/>
    <w:rsid w:val="0009133A"/>
    <w:rsid w:val="0009145A"/>
    <w:rsid w:val="00091526"/>
    <w:rsid w:val="00091CAC"/>
    <w:rsid w:val="00092BD5"/>
    <w:rsid w:val="00093007"/>
    <w:rsid w:val="00094366"/>
    <w:rsid w:val="00095198"/>
    <w:rsid w:val="00095806"/>
    <w:rsid w:val="00095F61"/>
    <w:rsid w:val="00096CE6"/>
    <w:rsid w:val="00097B04"/>
    <w:rsid w:val="000A0947"/>
    <w:rsid w:val="000A0ABE"/>
    <w:rsid w:val="000A0DC0"/>
    <w:rsid w:val="000A24AF"/>
    <w:rsid w:val="000A274D"/>
    <w:rsid w:val="000A2C52"/>
    <w:rsid w:val="000A2D79"/>
    <w:rsid w:val="000A3358"/>
    <w:rsid w:val="000A43D6"/>
    <w:rsid w:val="000A530C"/>
    <w:rsid w:val="000A54E6"/>
    <w:rsid w:val="000A584E"/>
    <w:rsid w:val="000A58B9"/>
    <w:rsid w:val="000A5A8E"/>
    <w:rsid w:val="000A5CD4"/>
    <w:rsid w:val="000A6F16"/>
    <w:rsid w:val="000A7A6C"/>
    <w:rsid w:val="000A7C5A"/>
    <w:rsid w:val="000B0205"/>
    <w:rsid w:val="000B0817"/>
    <w:rsid w:val="000B10D9"/>
    <w:rsid w:val="000B1ED2"/>
    <w:rsid w:val="000B1F40"/>
    <w:rsid w:val="000B20FC"/>
    <w:rsid w:val="000B3202"/>
    <w:rsid w:val="000B493E"/>
    <w:rsid w:val="000B4F60"/>
    <w:rsid w:val="000B5CC8"/>
    <w:rsid w:val="000B5DFC"/>
    <w:rsid w:val="000B61BF"/>
    <w:rsid w:val="000B620E"/>
    <w:rsid w:val="000B67E1"/>
    <w:rsid w:val="000C080D"/>
    <w:rsid w:val="000C16F5"/>
    <w:rsid w:val="000C1B95"/>
    <w:rsid w:val="000C299D"/>
    <w:rsid w:val="000C2A5E"/>
    <w:rsid w:val="000C3B21"/>
    <w:rsid w:val="000C428C"/>
    <w:rsid w:val="000C4328"/>
    <w:rsid w:val="000C4401"/>
    <w:rsid w:val="000C48DA"/>
    <w:rsid w:val="000C605A"/>
    <w:rsid w:val="000C63AE"/>
    <w:rsid w:val="000C69B9"/>
    <w:rsid w:val="000C6BB0"/>
    <w:rsid w:val="000C7685"/>
    <w:rsid w:val="000D0C86"/>
    <w:rsid w:val="000D0C91"/>
    <w:rsid w:val="000D11F6"/>
    <w:rsid w:val="000D1EAF"/>
    <w:rsid w:val="000D2056"/>
    <w:rsid w:val="000D2C8E"/>
    <w:rsid w:val="000D2CA8"/>
    <w:rsid w:val="000D2D97"/>
    <w:rsid w:val="000D3787"/>
    <w:rsid w:val="000D3909"/>
    <w:rsid w:val="000D39D7"/>
    <w:rsid w:val="000D3DAF"/>
    <w:rsid w:val="000D47BD"/>
    <w:rsid w:val="000D4816"/>
    <w:rsid w:val="000D48D5"/>
    <w:rsid w:val="000D5E0E"/>
    <w:rsid w:val="000D5E7D"/>
    <w:rsid w:val="000D6088"/>
    <w:rsid w:val="000D6CFF"/>
    <w:rsid w:val="000D6D74"/>
    <w:rsid w:val="000D6F21"/>
    <w:rsid w:val="000D7803"/>
    <w:rsid w:val="000D7D8E"/>
    <w:rsid w:val="000D7DC6"/>
    <w:rsid w:val="000E063E"/>
    <w:rsid w:val="000E0EA4"/>
    <w:rsid w:val="000E1550"/>
    <w:rsid w:val="000E18B0"/>
    <w:rsid w:val="000E1BD5"/>
    <w:rsid w:val="000E1C6E"/>
    <w:rsid w:val="000E214A"/>
    <w:rsid w:val="000E21D9"/>
    <w:rsid w:val="000E2823"/>
    <w:rsid w:val="000E3219"/>
    <w:rsid w:val="000E321B"/>
    <w:rsid w:val="000E3D76"/>
    <w:rsid w:val="000E52FA"/>
    <w:rsid w:val="000E5602"/>
    <w:rsid w:val="000E6437"/>
    <w:rsid w:val="000E671E"/>
    <w:rsid w:val="000F06E7"/>
    <w:rsid w:val="000F0B03"/>
    <w:rsid w:val="000F0D6F"/>
    <w:rsid w:val="000F1A24"/>
    <w:rsid w:val="000F1DAB"/>
    <w:rsid w:val="000F1EDD"/>
    <w:rsid w:val="000F23CA"/>
    <w:rsid w:val="000F243B"/>
    <w:rsid w:val="000F262E"/>
    <w:rsid w:val="000F3580"/>
    <w:rsid w:val="000F3F04"/>
    <w:rsid w:val="000F420E"/>
    <w:rsid w:val="000F454C"/>
    <w:rsid w:val="000F4EE2"/>
    <w:rsid w:val="000F4EEC"/>
    <w:rsid w:val="000F527A"/>
    <w:rsid w:val="000F5C16"/>
    <w:rsid w:val="000F6308"/>
    <w:rsid w:val="000F6C6E"/>
    <w:rsid w:val="000F6CC6"/>
    <w:rsid w:val="000F7241"/>
    <w:rsid w:val="000F7836"/>
    <w:rsid w:val="000F7F62"/>
    <w:rsid w:val="001001FD"/>
    <w:rsid w:val="00100694"/>
    <w:rsid w:val="001018E6"/>
    <w:rsid w:val="00101DFC"/>
    <w:rsid w:val="00102684"/>
    <w:rsid w:val="00102A12"/>
    <w:rsid w:val="00102CC6"/>
    <w:rsid w:val="00102F0D"/>
    <w:rsid w:val="00102F55"/>
    <w:rsid w:val="001048BE"/>
    <w:rsid w:val="0010529C"/>
    <w:rsid w:val="001072EB"/>
    <w:rsid w:val="001075C1"/>
    <w:rsid w:val="00107924"/>
    <w:rsid w:val="001079CD"/>
    <w:rsid w:val="0011014B"/>
    <w:rsid w:val="00111274"/>
    <w:rsid w:val="001113BF"/>
    <w:rsid w:val="001117B9"/>
    <w:rsid w:val="00112EFC"/>
    <w:rsid w:val="0011317D"/>
    <w:rsid w:val="001134EF"/>
    <w:rsid w:val="00113EE1"/>
    <w:rsid w:val="00114386"/>
    <w:rsid w:val="00114496"/>
    <w:rsid w:val="001148BD"/>
    <w:rsid w:val="001151A9"/>
    <w:rsid w:val="00115CCC"/>
    <w:rsid w:val="0011668B"/>
    <w:rsid w:val="00116BDF"/>
    <w:rsid w:val="00117C18"/>
    <w:rsid w:val="0012030F"/>
    <w:rsid w:val="00120AB4"/>
    <w:rsid w:val="00120B0D"/>
    <w:rsid w:val="00120BE1"/>
    <w:rsid w:val="00121A55"/>
    <w:rsid w:val="00121C20"/>
    <w:rsid w:val="00121CCD"/>
    <w:rsid w:val="00122C88"/>
    <w:rsid w:val="00123367"/>
    <w:rsid w:val="00123EA6"/>
    <w:rsid w:val="00124206"/>
    <w:rsid w:val="0012456B"/>
    <w:rsid w:val="00124932"/>
    <w:rsid w:val="0012537B"/>
    <w:rsid w:val="0012558C"/>
    <w:rsid w:val="0012714F"/>
    <w:rsid w:val="00127915"/>
    <w:rsid w:val="0013031C"/>
    <w:rsid w:val="00130801"/>
    <w:rsid w:val="00130A8C"/>
    <w:rsid w:val="001310AA"/>
    <w:rsid w:val="001312DF"/>
    <w:rsid w:val="00132670"/>
    <w:rsid w:val="001328E9"/>
    <w:rsid w:val="00133AF2"/>
    <w:rsid w:val="00133E88"/>
    <w:rsid w:val="001340B8"/>
    <w:rsid w:val="0013411A"/>
    <w:rsid w:val="001349F3"/>
    <w:rsid w:val="001356AB"/>
    <w:rsid w:val="0013581C"/>
    <w:rsid w:val="001359F5"/>
    <w:rsid w:val="00136615"/>
    <w:rsid w:val="00136BA5"/>
    <w:rsid w:val="00137077"/>
    <w:rsid w:val="00137241"/>
    <w:rsid w:val="00137B1E"/>
    <w:rsid w:val="00140047"/>
    <w:rsid w:val="001403D0"/>
    <w:rsid w:val="00141229"/>
    <w:rsid w:val="00141E96"/>
    <w:rsid w:val="00142681"/>
    <w:rsid w:val="00142BD9"/>
    <w:rsid w:val="00143392"/>
    <w:rsid w:val="001438E5"/>
    <w:rsid w:val="00143AB1"/>
    <w:rsid w:val="00143D73"/>
    <w:rsid w:val="001448C4"/>
    <w:rsid w:val="001453BC"/>
    <w:rsid w:val="0014619B"/>
    <w:rsid w:val="001467AB"/>
    <w:rsid w:val="001468DA"/>
    <w:rsid w:val="00146E88"/>
    <w:rsid w:val="00147B19"/>
    <w:rsid w:val="00150618"/>
    <w:rsid w:val="00150E64"/>
    <w:rsid w:val="00151766"/>
    <w:rsid w:val="00152417"/>
    <w:rsid w:val="0015247A"/>
    <w:rsid w:val="00152F39"/>
    <w:rsid w:val="00153226"/>
    <w:rsid w:val="00153918"/>
    <w:rsid w:val="0015395B"/>
    <w:rsid w:val="001547E1"/>
    <w:rsid w:val="00154F74"/>
    <w:rsid w:val="001557A3"/>
    <w:rsid w:val="00156320"/>
    <w:rsid w:val="00156E27"/>
    <w:rsid w:val="001570A5"/>
    <w:rsid w:val="001571E8"/>
    <w:rsid w:val="0015749F"/>
    <w:rsid w:val="00157606"/>
    <w:rsid w:val="00160375"/>
    <w:rsid w:val="00160D4E"/>
    <w:rsid w:val="00160F50"/>
    <w:rsid w:val="00161522"/>
    <w:rsid w:val="001617AE"/>
    <w:rsid w:val="00161E4F"/>
    <w:rsid w:val="0016263C"/>
    <w:rsid w:val="001628C8"/>
    <w:rsid w:val="00162AE8"/>
    <w:rsid w:val="00162C56"/>
    <w:rsid w:val="00162DB2"/>
    <w:rsid w:val="001633C5"/>
    <w:rsid w:val="00163EA0"/>
    <w:rsid w:val="00164626"/>
    <w:rsid w:val="00164924"/>
    <w:rsid w:val="00164A55"/>
    <w:rsid w:val="001657B1"/>
    <w:rsid w:val="00166DCC"/>
    <w:rsid w:val="00167927"/>
    <w:rsid w:val="0017073E"/>
    <w:rsid w:val="00170C17"/>
    <w:rsid w:val="00170C6E"/>
    <w:rsid w:val="0017173E"/>
    <w:rsid w:val="00171CA3"/>
    <w:rsid w:val="001722D8"/>
    <w:rsid w:val="00172715"/>
    <w:rsid w:val="00172A27"/>
    <w:rsid w:val="00172AE3"/>
    <w:rsid w:val="00172C34"/>
    <w:rsid w:val="00173149"/>
    <w:rsid w:val="00173759"/>
    <w:rsid w:val="001739A3"/>
    <w:rsid w:val="00173A21"/>
    <w:rsid w:val="00173D26"/>
    <w:rsid w:val="00173DD9"/>
    <w:rsid w:val="001742DD"/>
    <w:rsid w:val="00174312"/>
    <w:rsid w:val="0017434A"/>
    <w:rsid w:val="00175A5E"/>
    <w:rsid w:val="00175B46"/>
    <w:rsid w:val="00177212"/>
    <w:rsid w:val="001774D4"/>
    <w:rsid w:val="00177549"/>
    <w:rsid w:val="00177744"/>
    <w:rsid w:val="00177780"/>
    <w:rsid w:val="001778BE"/>
    <w:rsid w:val="00177F89"/>
    <w:rsid w:val="00180498"/>
    <w:rsid w:val="00180551"/>
    <w:rsid w:val="00180B0D"/>
    <w:rsid w:val="00181389"/>
    <w:rsid w:val="00181FEA"/>
    <w:rsid w:val="00182706"/>
    <w:rsid w:val="0018284B"/>
    <w:rsid w:val="00183600"/>
    <w:rsid w:val="00183836"/>
    <w:rsid w:val="00183DB4"/>
    <w:rsid w:val="001845E9"/>
    <w:rsid w:val="00184630"/>
    <w:rsid w:val="001846D7"/>
    <w:rsid w:val="00184815"/>
    <w:rsid w:val="001856C0"/>
    <w:rsid w:val="00185CB5"/>
    <w:rsid w:val="001864FF"/>
    <w:rsid w:val="00186D2F"/>
    <w:rsid w:val="0018745B"/>
    <w:rsid w:val="00187B3E"/>
    <w:rsid w:val="0019091C"/>
    <w:rsid w:val="00190D18"/>
    <w:rsid w:val="0019153B"/>
    <w:rsid w:val="001915A3"/>
    <w:rsid w:val="001919EB"/>
    <w:rsid w:val="00191B94"/>
    <w:rsid w:val="0019227B"/>
    <w:rsid w:val="00192D08"/>
    <w:rsid w:val="00193031"/>
    <w:rsid w:val="0019368B"/>
    <w:rsid w:val="001938D2"/>
    <w:rsid w:val="001938DD"/>
    <w:rsid w:val="001941C8"/>
    <w:rsid w:val="00194A96"/>
    <w:rsid w:val="00195B8B"/>
    <w:rsid w:val="00195DCB"/>
    <w:rsid w:val="00195F14"/>
    <w:rsid w:val="001961A2"/>
    <w:rsid w:val="00196787"/>
    <w:rsid w:val="00196ACD"/>
    <w:rsid w:val="00196B4C"/>
    <w:rsid w:val="001970AD"/>
    <w:rsid w:val="00197204"/>
    <w:rsid w:val="00197AAE"/>
    <w:rsid w:val="001A040A"/>
    <w:rsid w:val="001A0F0D"/>
    <w:rsid w:val="001A10F7"/>
    <w:rsid w:val="001A173C"/>
    <w:rsid w:val="001A1844"/>
    <w:rsid w:val="001A1998"/>
    <w:rsid w:val="001A1BE9"/>
    <w:rsid w:val="001A20CA"/>
    <w:rsid w:val="001A29AF"/>
    <w:rsid w:val="001A2B9F"/>
    <w:rsid w:val="001A2D43"/>
    <w:rsid w:val="001A2DA7"/>
    <w:rsid w:val="001A2E47"/>
    <w:rsid w:val="001A3B13"/>
    <w:rsid w:val="001A3CF6"/>
    <w:rsid w:val="001A3EE7"/>
    <w:rsid w:val="001A4420"/>
    <w:rsid w:val="001A5725"/>
    <w:rsid w:val="001A5BD1"/>
    <w:rsid w:val="001A68EC"/>
    <w:rsid w:val="001A6C49"/>
    <w:rsid w:val="001A7C91"/>
    <w:rsid w:val="001B0220"/>
    <w:rsid w:val="001B0850"/>
    <w:rsid w:val="001B0AEB"/>
    <w:rsid w:val="001B1281"/>
    <w:rsid w:val="001B1712"/>
    <w:rsid w:val="001B1D39"/>
    <w:rsid w:val="001B2126"/>
    <w:rsid w:val="001B238D"/>
    <w:rsid w:val="001B23F5"/>
    <w:rsid w:val="001B2A31"/>
    <w:rsid w:val="001B2BC4"/>
    <w:rsid w:val="001B2D49"/>
    <w:rsid w:val="001B3D9D"/>
    <w:rsid w:val="001B57AB"/>
    <w:rsid w:val="001B5B42"/>
    <w:rsid w:val="001B6DDB"/>
    <w:rsid w:val="001B7078"/>
    <w:rsid w:val="001B7107"/>
    <w:rsid w:val="001B7491"/>
    <w:rsid w:val="001B75CF"/>
    <w:rsid w:val="001B7A8D"/>
    <w:rsid w:val="001B7EBE"/>
    <w:rsid w:val="001C06C0"/>
    <w:rsid w:val="001C0924"/>
    <w:rsid w:val="001C10E5"/>
    <w:rsid w:val="001C1A12"/>
    <w:rsid w:val="001C1D46"/>
    <w:rsid w:val="001C1F6C"/>
    <w:rsid w:val="001C21BB"/>
    <w:rsid w:val="001C3041"/>
    <w:rsid w:val="001C30D1"/>
    <w:rsid w:val="001C33D6"/>
    <w:rsid w:val="001C35B7"/>
    <w:rsid w:val="001C36F7"/>
    <w:rsid w:val="001C3AE0"/>
    <w:rsid w:val="001C3BAD"/>
    <w:rsid w:val="001C4182"/>
    <w:rsid w:val="001C5F9A"/>
    <w:rsid w:val="001C6695"/>
    <w:rsid w:val="001C7E49"/>
    <w:rsid w:val="001D012D"/>
    <w:rsid w:val="001D0702"/>
    <w:rsid w:val="001D0A25"/>
    <w:rsid w:val="001D1659"/>
    <w:rsid w:val="001D296C"/>
    <w:rsid w:val="001D2F3D"/>
    <w:rsid w:val="001D325B"/>
    <w:rsid w:val="001D33C3"/>
    <w:rsid w:val="001D3C8D"/>
    <w:rsid w:val="001D3DED"/>
    <w:rsid w:val="001D3DF8"/>
    <w:rsid w:val="001D4078"/>
    <w:rsid w:val="001D4E6F"/>
    <w:rsid w:val="001D5573"/>
    <w:rsid w:val="001D5E80"/>
    <w:rsid w:val="001D6157"/>
    <w:rsid w:val="001D6356"/>
    <w:rsid w:val="001D64D4"/>
    <w:rsid w:val="001D6A56"/>
    <w:rsid w:val="001D6EC3"/>
    <w:rsid w:val="001D710C"/>
    <w:rsid w:val="001E11B1"/>
    <w:rsid w:val="001E208F"/>
    <w:rsid w:val="001E233C"/>
    <w:rsid w:val="001E4950"/>
    <w:rsid w:val="001E5014"/>
    <w:rsid w:val="001E5337"/>
    <w:rsid w:val="001E630A"/>
    <w:rsid w:val="001E67F4"/>
    <w:rsid w:val="001E7838"/>
    <w:rsid w:val="001E7A22"/>
    <w:rsid w:val="001E7D19"/>
    <w:rsid w:val="001F015A"/>
    <w:rsid w:val="001F03A2"/>
    <w:rsid w:val="001F0CFA"/>
    <w:rsid w:val="001F1464"/>
    <w:rsid w:val="001F1905"/>
    <w:rsid w:val="001F1EAE"/>
    <w:rsid w:val="001F1F7F"/>
    <w:rsid w:val="001F2E14"/>
    <w:rsid w:val="001F37E0"/>
    <w:rsid w:val="001F401A"/>
    <w:rsid w:val="001F4A76"/>
    <w:rsid w:val="001F4D92"/>
    <w:rsid w:val="001F4F4A"/>
    <w:rsid w:val="001F534F"/>
    <w:rsid w:val="001F543D"/>
    <w:rsid w:val="001F56BD"/>
    <w:rsid w:val="001F5989"/>
    <w:rsid w:val="001F5F83"/>
    <w:rsid w:val="001F64C1"/>
    <w:rsid w:val="001F6E30"/>
    <w:rsid w:val="001F6FA9"/>
    <w:rsid w:val="001F722E"/>
    <w:rsid w:val="001F7746"/>
    <w:rsid w:val="002001F1"/>
    <w:rsid w:val="00201348"/>
    <w:rsid w:val="002014D7"/>
    <w:rsid w:val="00201A4E"/>
    <w:rsid w:val="00201B09"/>
    <w:rsid w:val="00201C8A"/>
    <w:rsid w:val="00202525"/>
    <w:rsid w:val="002035A2"/>
    <w:rsid w:val="00203669"/>
    <w:rsid w:val="00203887"/>
    <w:rsid w:val="002046D6"/>
    <w:rsid w:val="00204D09"/>
    <w:rsid w:val="00205C71"/>
    <w:rsid w:val="00205E32"/>
    <w:rsid w:val="002070C1"/>
    <w:rsid w:val="0020717B"/>
    <w:rsid w:val="002071DB"/>
    <w:rsid w:val="00207468"/>
    <w:rsid w:val="00207844"/>
    <w:rsid w:val="00210436"/>
    <w:rsid w:val="0021043B"/>
    <w:rsid w:val="0021054E"/>
    <w:rsid w:val="0021095C"/>
    <w:rsid w:val="00210AC5"/>
    <w:rsid w:val="00210E7E"/>
    <w:rsid w:val="00211084"/>
    <w:rsid w:val="00211254"/>
    <w:rsid w:val="002122AD"/>
    <w:rsid w:val="0021299B"/>
    <w:rsid w:val="0021361F"/>
    <w:rsid w:val="002139CD"/>
    <w:rsid w:val="00213E88"/>
    <w:rsid w:val="00214C22"/>
    <w:rsid w:val="00214C4A"/>
    <w:rsid w:val="00214FDD"/>
    <w:rsid w:val="0021647A"/>
    <w:rsid w:val="00216574"/>
    <w:rsid w:val="002170FD"/>
    <w:rsid w:val="002175FD"/>
    <w:rsid w:val="0021781A"/>
    <w:rsid w:val="00217A9E"/>
    <w:rsid w:val="002201AC"/>
    <w:rsid w:val="0022067E"/>
    <w:rsid w:val="00221029"/>
    <w:rsid w:val="0022131F"/>
    <w:rsid w:val="002216BD"/>
    <w:rsid w:val="00221E89"/>
    <w:rsid w:val="00221FE8"/>
    <w:rsid w:val="00222B4E"/>
    <w:rsid w:val="00222F08"/>
    <w:rsid w:val="00223045"/>
    <w:rsid w:val="002237FD"/>
    <w:rsid w:val="0022383D"/>
    <w:rsid w:val="00223B99"/>
    <w:rsid w:val="00223DBF"/>
    <w:rsid w:val="0022435D"/>
    <w:rsid w:val="0022442C"/>
    <w:rsid w:val="002245B1"/>
    <w:rsid w:val="00224A1D"/>
    <w:rsid w:val="00225340"/>
    <w:rsid w:val="00226433"/>
    <w:rsid w:val="002269FF"/>
    <w:rsid w:val="002274F2"/>
    <w:rsid w:val="00227BE4"/>
    <w:rsid w:val="002303B3"/>
    <w:rsid w:val="00230D0C"/>
    <w:rsid w:val="00230EA4"/>
    <w:rsid w:val="00232069"/>
    <w:rsid w:val="002326BE"/>
    <w:rsid w:val="0023316C"/>
    <w:rsid w:val="002333EF"/>
    <w:rsid w:val="00233C0A"/>
    <w:rsid w:val="00233EA8"/>
    <w:rsid w:val="00233EE9"/>
    <w:rsid w:val="00234E09"/>
    <w:rsid w:val="00235237"/>
    <w:rsid w:val="00235CCD"/>
    <w:rsid w:val="0023602F"/>
    <w:rsid w:val="00236048"/>
    <w:rsid w:val="002362ED"/>
    <w:rsid w:val="00237036"/>
    <w:rsid w:val="002372AC"/>
    <w:rsid w:val="00237A33"/>
    <w:rsid w:val="00240B0F"/>
    <w:rsid w:val="00240E54"/>
    <w:rsid w:val="00241314"/>
    <w:rsid w:val="00241B92"/>
    <w:rsid w:val="00241BD9"/>
    <w:rsid w:val="00242B67"/>
    <w:rsid w:val="00243381"/>
    <w:rsid w:val="00243EFD"/>
    <w:rsid w:val="002442A5"/>
    <w:rsid w:val="00244AF3"/>
    <w:rsid w:val="00244CB3"/>
    <w:rsid w:val="00244EFB"/>
    <w:rsid w:val="00245008"/>
    <w:rsid w:val="002451ED"/>
    <w:rsid w:val="0024561B"/>
    <w:rsid w:val="002458E4"/>
    <w:rsid w:val="00245DD0"/>
    <w:rsid w:val="00245DD8"/>
    <w:rsid w:val="00245EAC"/>
    <w:rsid w:val="002477EA"/>
    <w:rsid w:val="002506EE"/>
    <w:rsid w:val="00250E89"/>
    <w:rsid w:val="00252912"/>
    <w:rsid w:val="00252A3B"/>
    <w:rsid w:val="00252AED"/>
    <w:rsid w:val="00252D49"/>
    <w:rsid w:val="00253C51"/>
    <w:rsid w:val="002548D3"/>
    <w:rsid w:val="0025568B"/>
    <w:rsid w:val="002561B7"/>
    <w:rsid w:val="00257054"/>
    <w:rsid w:val="00257131"/>
    <w:rsid w:val="002572D1"/>
    <w:rsid w:val="0025733E"/>
    <w:rsid w:val="00257A12"/>
    <w:rsid w:val="00257F6B"/>
    <w:rsid w:val="002600E9"/>
    <w:rsid w:val="00260DC9"/>
    <w:rsid w:val="00261B4C"/>
    <w:rsid w:val="00261C50"/>
    <w:rsid w:val="00261DE4"/>
    <w:rsid w:val="00261E06"/>
    <w:rsid w:val="0026249A"/>
    <w:rsid w:val="002625B4"/>
    <w:rsid w:val="00263090"/>
    <w:rsid w:val="002640AD"/>
    <w:rsid w:val="0026452A"/>
    <w:rsid w:val="00264570"/>
    <w:rsid w:val="00264D98"/>
    <w:rsid w:val="00265054"/>
    <w:rsid w:val="0026523F"/>
    <w:rsid w:val="002659F4"/>
    <w:rsid w:val="002664AE"/>
    <w:rsid w:val="0026696D"/>
    <w:rsid w:val="00266A00"/>
    <w:rsid w:val="00266BE6"/>
    <w:rsid w:val="00267127"/>
    <w:rsid w:val="00267325"/>
    <w:rsid w:val="00267935"/>
    <w:rsid w:val="002703AB"/>
    <w:rsid w:val="00270B8F"/>
    <w:rsid w:val="00271B39"/>
    <w:rsid w:val="00271CD9"/>
    <w:rsid w:val="0027313B"/>
    <w:rsid w:val="002731CD"/>
    <w:rsid w:val="00273A25"/>
    <w:rsid w:val="00273CF6"/>
    <w:rsid w:val="00273F3E"/>
    <w:rsid w:val="00274F13"/>
    <w:rsid w:val="002752E7"/>
    <w:rsid w:val="00275388"/>
    <w:rsid w:val="00275567"/>
    <w:rsid w:val="00275D52"/>
    <w:rsid w:val="002763F5"/>
    <w:rsid w:val="00276536"/>
    <w:rsid w:val="00276BC6"/>
    <w:rsid w:val="0027723E"/>
    <w:rsid w:val="002772D9"/>
    <w:rsid w:val="002772EA"/>
    <w:rsid w:val="00277FDA"/>
    <w:rsid w:val="0028026F"/>
    <w:rsid w:val="0028028C"/>
    <w:rsid w:val="00280915"/>
    <w:rsid w:val="00280BAD"/>
    <w:rsid w:val="002812B8"/>
    <w:rsid w:val="002814FA"/>
    <w:rsid w:val="00281922"/>
    <w:rsid w:val="00281DA0"/>
    <w:rsid w:val="002823EE"/>
    <w:rsid w:val="0028242D"/>
    <w:rsid w:val="00282D45"/>
    <w:rsid w:val="00283253"/>
    <w:rsid w:val="002836C6"/>
    <w:rsid w:val="002843DE"/>
    <w:rsid w:val="0028615B"/>
    <w:rsid w:val="00286848"/>
    <w:rsid w:val="00286DFC"/>
    <w:rsid w:val="00287102"/>
    <w:rsid w:val="00290002"/>
    <w:rsid w:val="0029069C"/>
    <w:rsid w:val="002913B8"/>
    <w:rsid w:val="0029244F"/>
    <w:rsid w:val="0029328F"/>
    <w:rsid w:val="00293B82"/>
    <w:rsid w:val="00293DA4"/>
    <w:rsid w:val="002965D8"/>
    <w:rsid w:val="002A0381"/>
    <w:rsid w:val="002A0425"/>
    <w:rsid w:val="002A0651"/>
    <w:rsid w:val="002A06BD"/>
    <w:rsid w:val="002A11FB"/>
    <w:rsid w:val="002A120C"/>
    <w:rsid w:val="002A1891"/>
    <w:rsid w:val="002A1996"/>
    <w:rsid w:val="002A1F00"/>
    <w:rsid w:val="002A1F34"/>
    <w:rsid w:val="002A2185"/>
    <w:rsid w:val="002A21D9"/>
    <w:rsid w:val="002A2603"/>
    <w:rsid w:val="002A334F"/>
    <w:rsid w:val="002A3F84"/>
    <w:rsid w:val="002A41C2"/>
    <w:rsid w:val="002A4C00"/>
    <w:rsid w:val="002A52CC"/>
    <w:rsid w:val="002A55AD"/>
    <w:rsid w:val="002A588A"/>
    <w:rsid w:val="002A58FF"/>
    <w:rsid w:val="002A5C6C"/>
    <w:rsid w:val="002A5FBD"/>
    <w:rsid w:val="002A6046"/>
    <w:rsid w:val="002A632B"/>
    <w:rsid w:val="002A6542"/>
    <w:rsid w:val="002A6C04"/>
    <w:rsid w:val="002A6E4D"/>
    <w:rsid w:val="002A7153"/>
    <w:rsid w:val="002A728A"/>
    <w:rsid w:val="002A7310"/>
    <w:rsid w:val="002A73C5"/>
    <w:rsid w:val="002A7D4F"/>
    <w:rsid w:val="002B011D"/>
    <w:rsid w:val="002B021E"/>
    <w:rsid w:val="002B0899"/>
    <w:rsid w:val="002B08F6"/>
    <w:rsid w:val="002B0FEF"/>
    <w:rsid w:val="002B175A"/>
    <w:rsid w:val="002B2CF6"/>
    <w:rsid w:val="002B2E09"/>
    <w:rsid w:val="002B366D"/>
    <w:rsid w:val="002B3959"/>
    <w:rsid w:val="002B3C7C"/>
    <w:rsid w:val="002B4B5E"/>
    <w:rsid w:val="002B4F70"/>
    <w:rsid w:val="002B4FE5"/>
    <w:rsid w:val="002B6528"/>
    <w:rsid w:val="002B661A"/>
    <w:rsid w:val="002B6CA8"/>
    <w:rsid w:val="002B6DB3"/>
    <w:rsid w:val="002C065B"/>
    <w:rsid w:val="002C08AB"/>
    <w:rsid w:val="002C183E"/>
    <w:rsid w:val="002C1AA0"/>
    <w:rsid w:val="002C1D83"/>
    <w:rsid w:val="002C237E"/>
    <w:rsid w:val="002C24DC"/>
    <w:rsid w:val="002C3057"/>
    <w:rsid w:val="002C365A"/>
    <w:rsid w:val="002C3B3A"/>
    <w:rsid w:val="002C44A2"/>
    <w:rsid w:val="002C467A"/>
    <w:rsid w:val="002C4AC6"/>
    <w:rsid w:val="002C526F"/>
    <w:rsid w:val="002C5303"/>
    <w:rsid w:val="002C55AB"/>
    <w:rsid w:val="002C588A"/>
    <w:rsid w:val="002C5B4B"/>
    <w:rsid w:val="002C5EEF"/>
    <w:rsid w:val="002C6527"/>
    <w:rsid w:val="002C7D6D"/>
    <w:rsid w:val="002D13DF"/>
    <w:rsid w:val="002D195A"/>
    <w:rsid w:val="002D3B6B"/>
    <w:rsid w:val="002D41A4"/>
    <w:rsid w:val="002D603D"/>
    <w:rsid w:val="002D6332"/>
    <w:rsid w:val="002D7735"/>
    <w:rsid w:val="002D7FC5"/>
    <w:rsid w:val="002E00AD"/>
    <w:rsid w:val="002E032F"/>
    <w:rsid w:val="002E075F"/>
    <w:rsid w:val="002E08C1"/>
    <w:rsid w:val="002E0B56"/>
    <w:rsid w:val="002E0B5D"/>
    <w:rsid w:val="002E0B99"/>
    <w:rsid w:val="002E1650"/>
    <w:rsid w:val="002E1773"/>
    <w:rsid w:val="002E1DA6"/>
    <w:rsid w:val="002E214F"/>
    <w:rsid w:val="002E24BD"/>
    <w:rsid w:val="002E27B9"/>
    <w:rsid w:val="002E3C98"/>
    <w:rsid w:val="002E40AA"/>
    <w:rsid w:val="002E4681"/>
    <w:rsid w:val="002E4D51"/>
    <w:rsid w:val="002E554F"/>
    <w:rsid w:val="002E57C9"/>
    <w:rsid w:val="002E6371"/>
    <w:rsid w:val="002E6740"/>
    <w:rsid w:val="002E67D8"/>
    <w:rsid w:val="002E6A58"/>
    <w:rsid w:val="002E6D98"/>
    <w:rsid w:val="002E7881"/>
    <w:rsid w:val="002E7975"/>
    <w:rsid w:val="002E7A31"/>
    <w:rsid w:val="002F01F2"/>
    <w:rsid w:val="002F0F57"/>
    <w:rsid w:val="002F11D5"/>
    <w:rsid w:val="002F2B63"/>
    <w:rsid w:val="002F3765"/>
    <w:rsid w:val="002F3D84"/>
    <w:rsid w:val="002F3D91"/>
    <w:rsid w:val="002F44A0"/>
    <w:rsid w:val="002F4F44"/>
    <w:rsid w:val="002F50DA"/>
    <w:rsid w:val="002F56B1"/>
    <w:rsid w:val="002F584B"/>
    <w:rsid w:val="002F5EEE"/>
    <w:rsid w:val="002F5FC3"/>
    <w:rsid w:val="002F6CC7"/>
    <w:rsid w:val="002F6EF2"/>
    <w:rsid w:val="002F79E2"/>
    <w:rsid w:val="002F7D39"/>
    <w:rsid w:val="002F7E4F"/>
    <w:rsid w:val="002F7E8D"/>
    <w:rsid w:val="003022E5"/>
    <w:rsid w:val="00302461"/>
    <w:rsid w:val="00302899"/>
    <w:rsid w:val="00302A04"/>
    <w:rsid w:val="003033D9"/>
    <w:rsid w:val="00303F98"/>
    <w:rsid w:val="00304338"/>
    <w:rsid w:val="003044F5"/>
    <w:rsid w:val="003051C9"/>
    <w:rsid w:val="00305782"/>
    <w:rsid w:val="00305C1F"/>
    <w:rsid w:val="00305D1D"/>
    <w:rsid w:val="00306166"/>
    <w:rsid w:val="00306448"/>
    <w:rsid w:val="003066B4"/>
    <w:rsid w:val="00306B5E"/>
    <w:rsid w:val="0030700E"/>
    <w:rsid w:val="00307766"/>
    <w:rsid w:val="00307A2D"/>
    <w:rsid w:val="003100B2"/>
    <w:rsid w:val="00310D4B"/>
    <w:rsid w:val="00311161"/>
    <w:rsid w:val="003122A3"/>
    <w:rsid w:val="003130EA"/>
    <w:rsid w:val="003132C3"/>
    <w:rsid w:val="003137E8"/>
    <w:rsid w:val="00313A3B"/>
    <w:rsid w:val="00313BCE"/>
    <w:rsid w:val="00313E20"/>
    <w:rsid w:val="00314F5B"/>
    <w:rsid w:val="00314FA5"/>
    <w:rsid w:val="00315243"/>
    <w:rsid w:val="00315A94"/>
    <w:rsid w:val="003164FD"/>
    <w:rsid w:val="00316926"/>
    <w:rsid w:val="003171B3"/>
    <w:rsid w:val="00317240"/>
    <w:rsid w:val="0031737C"/>
    <w:rsid w:val="00320073"/>
    <w:rsid w:val="003201A8"/>
    <w:rsid w:val="003203BF"/>
    <w:rsid w:val="00320626"/>
    <w:rsid w:val="00320DE9"/>
    <w:rsid w:val="003214C3"/>
    <w:rsid w:val="003214D6"/>
    <w:rsid w:val="003219DD"/>
    <w:rsid w:val="00321CC1"/>
    <w:rsid w:val="0032244E"/>
    <w:rsid w:val="003226A5"/>
    <w:rsid w:val="00323373"/>
    <w:rsid w:val="003242E5"/>
    <w:rsid w:val="00324DD8"/>
    <w:rsid w:val="00324F38"/>
    <w:rsid w:val="003256E0"/>
    <w:rsid w:val="00325E6C"/>
    <w:rsid w:val="00327114"/>
    <w:rsid w:val="003278F8"/>
    <w:rsid w:val="00327B3E"/>
    <w:rsid w:val="00327D2C"/>
    <w:rsid w:val="00327EA3"/>
    <w:rsid w:val="00330181"/>
    <w:rsid w:val="003308E0"/>
    <w:rsid w:val="00330FB0"/>
    <w:rsid w:val="00331CE4"/>
    <w:rsid w:val="00332227"/>
    <w:rsid w:val="00332486"/>
    <w:rsid w:val="00332B76"/>
    <w:rsid w:val="0033321A"/>
    <w:rsid w:val="00333676"/>
    <w:rsid w:val="003336FD"/>
    <w:rsid w:val="00333A02"/>
    <w:rsid w:val="00333A55"/>
    <w:rsid w:val="00333D3B"/>
    <w:rsid w:val="00333E4C"/>
    <w:rsid w:val="00334224"/>
    <w:rsid w:val="0033425B"/>
    <w:rsid w:val="003342F6"/>
    <w:rsid w:val="00334680"/>
    <w:rsid w:val="00334DBC"/>
    <w:rsid w:val="003350A3"/>
    <w:rsid w:val="00335235"/>
    <w:rsid w:val="0033586C"/>
    <w:rsid w:val="00335EFB"/>
    <w:rsid w:val="00336334"/>
    <w:rsid w:val="003364EB"/>
    <w:rsid w:val="003374CB"/>
    <w:rsid w:val="00337D7C"/>
    <w:rsid w:val="00340405"/>
    <w:rsid w:val="00340445"/>
    <w:rsid w:val="00342098"/>
    <w:rsid w:val="00342BAE"/>
    <w:rsid w:val="003431F0"/>
    <w:rsid w:val="0034429E"/>
    <w:rsid w:val="00344388"/>
    <w:rsid w:val="00345387"/>
    <w:rsid w:val="00345A3A"/>
    <w:rsid w:val="00345AD6"/>
    <w:rsid w:val="00345E2A"/>
    <w:rsid w:val="00345F25"/>
    <w:rsid w:val="00346772"/>
    <w:rsid w:val="00346E05"/>
    <w:rsid w:val="00350C97"/>
    <w:rsid w:val="00351F42"/>
    <w:rsid w:val="00352BC1"/>
    <w:rsid w:val="003536EE"/>
    <w:rsid w:val="00353939"/>
    <w:rsid w:val="00354882"/>
    <w:rsid w:val="00354E1D"/>
    <w:rsid w:val="00354FA4"/>
    <w:rsid w:val="00355855"/>
    <w:rsid w:val="003558FD"/>
    <w:rsid w:val="003571E8"/>
    <w:rsid w:val="0035737C"/>
    <w:rsid w:val="0035749F"/>
    <w:rsid w:val="00357CBA"/>
    <w:rsid w:val="003602AF"/>
    <w:rsid w:val="003619E8"/>
    <w:rsid w:val="00361FC9"/>
    <w:rsid w:val="00363CCB"/>
    <w:rsid w:val="003640EA"/>
    <w:rsid w:val="003642A2"/>
    <w:rsid w:val="003646C5"/>
    <w:rsid w:val="00365006"/>
    <w:rsid w:val="00365258"/>
    <w:rsid w:val="00365ABF"/>
    <w:rsid w:val="003664D4"/>
    <w:rsid w:val="00366FA8"/>
    <w:rsid w:val="0037017C"/>
    <w:rsid w:val="003703D0"/>
    <w:rsid w:val="003706B3"/>
    <w:rsid w:val="003706EF"/>
    <w:rsid w:val="003709F9"/>
    <w:rsid w:val="00372522"/>
    <w:rsid w:val="003728C9"/>
    <w:rsid w:val="00373353"/>
    <w:rsid w:val="00373923"/>
    <w:rsid w:val="00373A07"/>
    <w:rsid w:val="003744B5"/>
    <w:rsid w:val="003745F2"/>
    <w:rsid w:val="00374BA5"/>
    <w:rsid w:val="003750B5"/>
    <w:rsid w:val="003750DD"/>
    <w:rsid w:val="003755E0"/>
    <w:rsid w:val="003756AA"/>
    <w:rsid w:val="0037593F"/>
    <w:rsid w:val="00376309"/>
    <w:rsid w:val="00376B23"/>
    <w:rsid w:val="003773D2"/>
    <w:rsid w:val="00377942"/>
    <w:rsid w:val="00377B2A"/>
    <w:rsid w:val="00377D0B"/>
    <w:rsid w:val="003805AC"/>
    <w:rsid w:val="00380AE6"/>
    <w:rsid w:val="00381308"/>
    <w:rsid w:val="00381408"/>
    <w:rsid w:val="003814E4"/>
    <w:rsid w:val="00381578"/>
    <w:rsid w:val="003824ED"/>
    <w:rsid w:val="00382561"/>
    <w:rsid w:val="00382B9E"/>
    <w:rsid w:val="00382C17"/>
    <w:rsid w:val="0038318E"/>
    <w:rsid w:val="00383BA5"/>
    <w:rsid w:val="003843EC"/>
    <w:rsid w:val="00384585"/>
    <w:rsid w:val="003847A5"/>
    <w:rsid w:val="00385229"/>
    <w:rsid w:val="003853E7"/>
    <w:rsid w:val="00387884"/>
    <w:rsid w:val="00387F66"/>
    <w:rsid w:val="0039022F"/>
    <w:rsid w:val="0039048F"/>
    <w:rsid w:val="003909DB"/>
    <w:rsid w:val="00390B62"/>
    <w:rsid w:val="00391591"/>
    <w:rsid w:val="00391BDF"/>
    <w:rsid w:val="00392CF1"/>
    <w:rsid w:val="00393028"/>
    <w:rsid w:val="0039313E"/>
    <w:rsid w:val="003934F9"/>
    <w:rsid w:val="00393CB5"/>
    <w:rsid w:val="003947A1"/>
    <w:rsid w:val="00394848"/>
    <w:rsid w:val="00394A73"/>
    <w:rsid w:val="00394BD9"/>
    <w:rsid w:val="00394CBF"/>
    <w:rsid w:val="00394D1B"/>
    <w:rsid w:val="00394EA1"/>
    <w:rsid w:val="00394FBE"/>
    <w:rsid w:val="00395AE1"/>
    <w:rsid w:val="003960EC"/>
    <w:rsid w:val="0039729C"/>
    <w:rsid w:val="00397BFA"/>
    <w:rsid w:val="003A03CE"/>
    <w:rsid w:val="003A0BE4"/>
    <w:rsid w:val="003A1771"/>
    <w:rsid w:val="003A1BD8"/>
    <w:rsid w:val="003A1CDA"/>
    <w:rsid w:val="003A1D06"/>
    <w:rsid w:val="003A1F30"/>
    <w:rsid w:val="003A236B"/>
    <w:rsid w:val="003A268D"/>
    <w:rsid w:val="003A2908"/>
    <w:rsid w:val="003A394A"/>
    <w:rsid w:val="003A3C39"/>
    <w:rsid w:val="003A3CAC"/>
    <w:rsid w:val="003A3EFB"/>
    <w:rsid w:val="003A407A"/>
    <w:rsid w:val="003A44F3"/>
    <w:rsid w:val="003A574F"/>
    <w:rsid w:val="003A58D0"/>
    <w:rsid w:val="003A6FDB"/>
    <w:rsid w:val="003B01FA"/>
    <w:rsid w:val="003B0946"/>
    <w:rsid w:val="003B0A1B"/>
    <w:rsid w:val="003B1B85"/>
    <w:rsid w:val="003B23AD"/>
    <w:rsid w:val="003B246D"/>
    <w:rsid w:val="003B2926"/>
    <w:rsid w:val="003B2EFD"/>
    <w:rsid w:val="003B3713"/>
    <w:rsid w:val="003B3AA5"/>
    <w:rsid w:val="003B445F"/>
    <w:rsid w:val="003B44F9"/>
    <w:rsid w:val="003B495A"/>
    <w:rsid w:val="003B4982"/>
    <w:rsid w:val="003B4B46"/>
    <w:rsid w:val="003B5C4E"/>
    <w:rsid w:val="003B65AB"/>
    <w:rsid w:val="003B6CFD"/>
    <w:rsid w:val="003B6F24"/>
    <w:rsid w:val="003B7115"/>
    <w:rsid w:val="003B77CE"/>
    <w:rsid w:val="003B7B4E"/>
    <w:rsid w:val="003C043F"/>
    <w:rsid w:val="003C053A"/>
    <w:rsid w:val="003C0812"/>
    <w:rsid w:val="003C0BD9"/>
    <w:rsid w:val="003C0DD9"/>
    <w:rsid w:val="003C1E4A"/>
    <w:rsid w:val="003C1F0B"/>
    <w:rsid w:val="003C2E11"/>
    <w:rsid w:val="003C3323"/>
    <w:rsid w:val="003C3359"/>
    <w:rsid w:val="003C3E94"/>
    <w:rsid w:val="003C44A5"/>
    <w:rsid w:val="003C4544"/>
    <w:rsid w:val="003C488F"/>
    <w:rsid w:val="003C4DA4"/>
    <w:rsid w:val="003C4E2E"/>
    <w:rsid w:val="003C5286"/>
    <w:rsid w:val="003C5B59"/>
    <w:rsid w:val="003C63D8"/>
    <w:rsid w:val="003C6619"/>
    <w:rsid w:val="003D06D4"/>
    <w:rsid w:val="003D08DD"/>
    <w:rsid w:val="003D16D0"/>
    <w:rsid w:val="003D18C4"/>
    <w:rsid w:val="003D27FB"/>
    <w:rsid w:val="003D2F60"/>
    <w:rsid w:val="003D35B0"/>
    <w:rsid w:val="003D3955"/>
    <w:rsid w:val="003D3FDB"/>
    <w:rsid w:val="003D482D"/>
    <w:rsid w:val="003D53DC"/>
    <w:rsid w:val="003D589A"/>
    <w:rsid w:val="003D5A2F"/>
    <w:rsid w:val="003D647B"/>
    <w:rsid w:val="003D6826"/>
    <w:rsid w:val="003D6A20"/>
    <w:rsid w:val="003D6E2F"/>
    <w:rsid w:val="003D7964"/>
    <w:rsid w:val="003D7BA8"/>
    <w:rsid w:val="003D7DF8"/>
    <w:rsid w:val="003E0E08"/>
    <w:rsid w:val="003E1C2F"/>
    <w:rsid w:val="003E1EDB"/>
    <w:rsid w:val="003E2286"/>
    <w:rsid w:val="003E27AC"/>
    <w:rsid w:val="003E2AFF"/>
    <w:rsid w:val="003E2D32"/>
    <w:rsid w:val="003E3074"/>
    <w:rsid w:val="003E3167"/>
    <w:rsid w:val="003E437E"/>
    <w:rsid w:val="003E4428"/>
    <w:rsid w:val="003E4571"/>
    <w:rsid w:val="003E45C2"/>
    <w:rsid w:val="003E4DF3"/>
    <w:rsid w:val="003E5226"/>
    <w:rsid w:val="003E56DC"/>
    <w:rsid w:val="003E5802"/>
    <w:rsid w:val="003E622C"/>
    <w:rsid w:val="003E6315"/>
    <w:rsid w:val="003E6495"/>
    <w:rsid w:val="003E662D"/>
    <w:rsid w:val="003E69D8"/>
    <w:rsid w:val="003E6B1E"/>
    <w:rsid w:val="003E6EAB"/>
    <w:rsid w:val="003E722F"/>
    <w:rsid w:val="003E7E77"/>
    <w:rsid w:val="003F00CA"/>
    <w:rsid w:val="003F0CC4"/>
    <w:rsid w:val="003F179E"/>
    <w:rsid w:val="003F1823"/>
    <w:rsid w:val="003F1DDF"/>
    <w:rsid w:val="003F1F28"/>
    <w:rsid w:val="003F253B"/>
    <w:rsid w:val="003F2DC7"/>
    <w:rsid w:val="003F3D4F"/>
    <w:rsid w:val="003F3ED0"/>
    <w:rsid w:val="003F447B"/>
    <w:rsid w:val="003F48D0"/>
    <w:rsid w:val="003F4F4B"/>
    <w:rsid w:val="003F50A1"/>
    <w:rsid w:val="003F5132"/>
    <w:rsid w:val="003F538A"/>
    <w:rsid w:val="003F5E65"/>
    <w:rsid w:val="003F65B3"/>
    <w:rsid w:val="003F6B1B"/>
    <w:rsid w:val="003F6BA8"/>
    <w:rsid w:val="003F6D1D"/>
    <w:rsid w:val="003F7D12"/>
    <w:rsid w:val="003F7F24"/>
    <w:rsid w:val="00400133"/>
    <w:rsid w:val="004004F2"/>
    <w:rsid w:val="0040061D"/>
    <w:rsid w:val="004009A7"/>
    <w:rsid w:val="00400A0B"/>
    <w:rsid w:val="00400A9F"/>
    <w:rsid w:val="00400AA9"/>
    <w:rsid w:val="00400D1B"/>
    <w:rsid w:val="004015AD"/>
    <w:rsid w:val="00401E65"/>
    <w:rsid w:val="00402593"/>
    <w:rsid w:val="004025F3"/>
    <w:rsid w:val="00402776"/>
    <w:rsid w:val="00402AB6"/>
    <w:rsid w:val="00402FEE"/>
    <w:rsid w:val="004030E9"/>
    <w:rsid w:val="00403343"/>
    <w:rsid w:val="004035B9"/>
    <w:rsid w:val="00403DA9"/>
    <w:rsid w:val="00404E9B"/>
    <w:rsid w:val="00404F25"/>
    <w:rsid w:val="004054BD"/>
    <w:rsid w:val="00405A2A"/>
    <w:rsid w:val="00405AF2"/>
    <w:rsid w:val="00405C91"/>
    <w:rsid w:val="00405E73"/>
    <w:rsid w:val="004061A4"/>
    <w:rsid w:val="004061E0"/>
    <w:rsid w:val="0040632D"/>
    <w:rsid w:val="004077BD"/>
    <w:rsid w:val="00407B04"/>
    <w:rsid w:val="00407BC7"/>
    <w:rsid w:val="00407C5E"/>
    <w:rsid w:val="00410BE7"/>
    <w:rsid w:val="00410D26"/>
    <w:rsid w:val="0041105B"/>
    <w:rsid w:val="00411271"/>
    <w:rsid w:val="004124E8"/>
    <w:rsid w:val="004126E5"/>
    <w:rsid w:val="00412B1A"/>
    <w:rsid w:val="00413625"/>
    <w:rsid w:val="00413661"/>
    <w:rsid w:val="00413BFD"/>
    <w:rsid w:val="004146C1"/>
    <w:rsid w:val="00414A4F"/>
    <w:rsid w:val="00414EA4"/>
    <w:rsid w:val="00415756"/>
    <w:rsid w:val="0041594E"/>
    <w:rsid w:val="00415B9C"/>
    <w:rsid w:val="00415FC6"/>
    <w:rsid w:val="0041688D"/>
    <w:rsid w:val="004168DB"/>
    <w:rsid w:val="00416907"/>
    <w:rsid w:val="00416A9F"/>
    <w:rsid w:val="004170BB"/>
    <w:rsid w:val="00417724"/>
    <w:rsid w:val="00417C59"/>
    <w:rsid w:val="00417D63"/>
    <w:rsid w:val="00417D79"/>
    <w:rsid w:val="004201B7"/>
    <w:rsid w:val="00421FC0"/>
    <w:rsid w:val="00422A18"/>
    <w:rsid w:val="00422B01"/>
    <w:rsid w:val="00422C29"/>
    <w:rsid w:val="00423668"/>
    <w:rsid w:val="00423C36"/>
    <w:rsid w:val="004242E7"/>
    <w:rsid w:val="00424697"/>
    <w:rsid w:val="00424B8A"/>
    <w:rsid w:val="00424DD1"/>
    <w:rsid w:val="00425A62"/>
    <w:rsid w:val="00426433"/>
    <w:rsid w:val="00426B44"/>
    <w:rsid w:val="004274C8"/>
    <w:rsid w:val="004274CF"/>
    <w:rsid w:val="00427BF1"/>
    <w:rsid w:val="00430022"/>
    <w:rsid w:val="00430051"/>
    <w:rsid w:val="004303FE"/>
    <w:rsid w:val="004304D3"/>
    <w:rsid w:val="00430640"/>
    <w:rsid w:val="00430E30"/>
    <w:rsid w:val="00431428"/>
    <w:rsid w:val="00432AF7"/>
    <w:rsid w:val="004342A5"/>
    <w:rsid w:val="0043621F"/>
    <w:rsid w:val="00436AF4"/>
    <w:rsid w:val="00436D58"/>
    <w:rsid w:val="00437066"/>
    <w:rsid w:val="0043740E"/>
    <w:rsid w:val="00437998"/>
    <w:rsid w:val="004379D3"/>
    <w:rsid w:val="004406D0"/>
    <w:rsid w:val="004407FB"/>
    <w:rsid w:val="00441233"/>
    <w:rsid w:val="0044149E"/>
    <w:rsid w:val="00441512"/>
    <w:rsid w:val="00441873"/>
    <w:rsid w:val="00441DB9"/>
    <w:rsid w:val="00441F5D"/>
    <w:rsid w:val="00442241"/>
    <w:rsid w:val="004424D0"/>
    <w:rsid w:val="00442CBE"/>
    <w:rsid w:val="00442D09"/>
    <w:rsid w:val="004434AB"/>
    <w:rsid w:val="00443DFB"/>
    <w:rsid w:val="0044427D"/>
    <w:rsid w:val="0044493B"/>
    <w:rsid w:val="00444C0A"/>
    <w:rsid w:val="00444CD2"/>
    <w:rsid w:val="0044510F"/>
    <w:rsid w:val="00445E9A"/>
    <w:rsid w:val="00446573"/>
    <w:rsid w:val="0044696A"/>
    <w:rsid w:val="004469FF"/>
    <w:rsid w:val="00446B90"/>
    <w:rsid w:val="0045026B"/>
    <w:rsid w:val="004503FD"/>
    <w:rsid w:val="00450BA1"/>
    <w:rsid w:val="00450E38"/>
    <w:rsid w:val="0045124F"/>
    <w:rsid w:val="004515EC"/>
    <w:rsid w:val="0045181C"/>
    <w:rsid w:val="00451AE9"/>
    <w:rsid w:val="00451DFC"/>
    <w:rsid w:val="00453895"/>
    <w:rsid w:val="004540FE"/>
    <w:rsid w:val="00454176"/>
    <w:rsid w:val="004548A5"/>
    <w:rsid w:val="00454B0F"/>
    <w:rsid w:val="004553EB"/>
    <w:rsid w:val="00455D28"/>
    <w:rsid w:val="00455D9A"/>
    <w:rsid w:val="004562BC"/>
    <w:rsid w:val="004562F1"/>
    <w:rsid w:val="004567EA"/>
    <w:rsid w:val="00456A9B"/>
    <w:rsid w:val="0045708B"/>
    <w:rsid w:val="00460233"/>
    <w:rsid w:val="004619CC"/>
    <w:rsid w:val="00461A62"/>
    <w:rsid w:val="00461E36"/>
    <w:rsid w:val="0046392A"/>
    <w:rsid w:val="00463A0A"/>
    <w:rsid w:val="0046451D"/>
    <w:rsid w:val="00464A3F"/>
    <w:rsid w:val="00464A7E"/>
    <w:rsid w:val="004652F8"/>
    <w:rsid w:val="00465B3E"/>
    <w:rsid w:val="00465C0D"/>
    <w:rsid w:val="00465DED"/>
    <w:rsid w:val="004662D1"/>
    <w:rsid w:val="00466945"/>
    <w:rsid w:val="00466ED5"/>
    <w:rsid w:val="00467388"/>
    <w:rsid w:val="004677B7"/>
    <w:rsid w:val="00470261"/>
    <w:rsid w:val="00470367"/>
    <w:rsid w:val="004705C5"/>
    <w:rsid w:val="00470934"/>
    <w:rsid w:val="00470AE5"/>
    <w:rsid w:val="0047124D"/>
    <w:rsid w:val="004712EC"/>
    <w:rsid w:val="004717B7"/>
    <w:rsid w:val="00471CC8"/>
    <w:rsid w:val="00471F5C"/>
    <w:rsid w:val="004732C5"/>
    <w:rsid w:val="00473546"/>
    <w:rsid w:val="0047365F"/>
    <w:rsid w:val="00474CD6"/>
    <w:rsid w:val="004751E7"/>
    <w:rsid w:val="0047562B"/>
    <w:rsid w:val="00475D1D"/>
    <w:rsid w:val="00477276"/>
    <w:rsid w:val="004776B9"/>
    <w:rsid w:val="00477C17"/>
    <w:rsid w:val="004813C6"/>
    <w:rsid w:val="004818F7"/>
    <w:rsid w:val="00481B7C"/>
    <w:rsid w:val="00482DF6"/>
    <w:rsid w:val="0048578C"/>
    <w:rsid w:val="00485872"/>
    <w:rsid w:val="00485EA4"/>
    <w:rsid w:val="004868AB"/>
    <w:rsid w:val="00486C08"/>
    <w:rsid w:val="0048757E"/>
    <w:rsid w:val="00487C54"/>
    <w:rsid w:val="00487F2E"/>
    <w:rsid w:val="00490335"/>
    <w:rsid w:val="00490561"/>
    <w:rsid w:val="0049059F"/>
    <w:rsid w:val="00491EB7"/>
    <w:rsid w:val="004926B9"/>
    <w:rsid w:val="00492CA8"/>
    <w:rsid w:val="00492E5C"/>
    <w:rsid w:val="00493018"/>
    <w:rsid w:val="004932D3"/>
    <w:rsid w:val="00493783"/>
    <w:rsid w:val="00493EFE"/>
    <w:rsid w:val="004940C3"/>
    <w:rsid w:val="004945B1"/>
    <w:rsid w:val="00494C12"/>
    <w:rsid w:val="0049511F"/>
    <w:rsid w:val="0049523D"/>
    <w:rsid w:val="00495625"/>
    <w:rsid w:val="00496420"/>
    <w:rsid w:val="00496B30"/>
    <w:rsid w:val="00496C58"/>
    <w:rsid w:val="004975A9"/>
    <w:rsid w:val="004977A8"/>
    <w:rsid w:val="00497E2B"/>
    <w:rsid w:val="004A002C"/>
    <w:rsid w:val="004A0AD0"/>
    <w:rsid w:val="004A0F14"/>
    <w:rsid w:val="004A1565"/>
    <w:rsid w:val="004A1D55"/>
    <w:rsid w:val="004A262B"/>
    <w:rsid w:val="004A2B58"/>
    <w:rsid w:val="004A2E82"/>
    <w:rsid w:val="004A3080"/>
    <w:rsid w:val="004A33CF"/>
    <w:rsid w:val="004A37C4"/>
    <w:rsid w:val="004A3D79"/>
    <w:rsid w:val="004A4862"/>
    <w:rsid w:val="004A4E10"/>
    <w:rsid w:val="004A565E"/>
    <w:rsid w:val="004A59A4"/>
    <w:rsid w:val="004A62AF"/>
    <w:rsid w:val="004A6E06"/>
    <w:rsid w:val="004A6E75"/>
    <w:rsid w:val="004A73C9"/>
    <w:rsid w:val="004A7475"/>
    <w:rsid w:val="004A7F95"/>
    <w:rsid w:val="004B261D"/>
    <w:rsid w:val="004B32DD"/>
    <w:rsid w:val="004B35DD"/>
    <w:rsid w:val="004B38D4"/>
    <w:rsid w:val="004B6062"/>
    <w:rsid w:val="004B7A5F"/>
    <w:rsid w:val="004B7F2B"/>
    <w:rsid w:val="004C067A"/>
    <w:rsid w:val="004C1447"/>
    <w:rsid w:val="004C262D"/>
    <w:rsid w:val="004C2758"/>
    <w:rsid w:val="004C3CB6"/>
    <w:rsid w:val="004C54EE"/>
    <w:rsid w:val="004C57D7"/>
    <w:rsid w:val="004C586A"/>
    <w:rsid w:val="004C6477"/>
    <w:rsid w:val="004C6F5B"/>
    <w:rsid w:val="004C7132"/>
    <w:rsid w:val="004C725E"/>
    <w:rsid w:val="004C73AB"/>
    <w:rsid w:val="004C77BC"/>
    <w:rsid w:val="004D032D"/>
    <w:rsid w:val="004D03B3"/>
    <w:rsid w:val="004D05E3"/>
    <w:rsid w:val="004D0729"/>
    <w:rsid w:val="004D07D8"/>
    <w:rsid w:val="004D10AE"/>
    <w:rsid w:val="004D176E"/>
    <w:rsid w:val="004D1F1A"/>
    <w:rsid w:val="004D241E"/>
    <w:rsid w:val="004D3409"/>
    <w:rsid w:val="004D36B7"/>
    <w:rsid w:val="004D411E"/>
    <w:rsid w:val="004D591C"/>
    <w:rsid w:val="004D5B92"/>
    <w:rsid w:val="004D5ED0"/>
    <w:rsid w:val="004D6A22"/>
    <w:rsid w:val="004D6CA1"/>
    <w:rsid w:val="004D6F8E"/>
    <w:rsid w:val="004D7070"/>
    <w:rsid w:val="004D7151"/>
    <w:rsid w:val="004D7D6F"/>
    <w:rsid w:val="004D7DAB"/>
    <w:rsid w:val="004E019A"/>
    <w:rsid w:val="004E05BE"/>
    <w:rsid w:val="004E0BF6"/>
    <w:rsid w:val="004E0D9C"/>
    <w:rsid w:val="004E10C4"/>
    <w:rsid w:val="004E1BC0"/>
    <w:rsid w:val="004E2860"/>
    <w:rsid w:val="004E290B"/>
    <w:rsid w:val="004E345A"/>
    <w:rsid w:val="004E3F06"/>
    <w:rsid w:val="004E4394"/>
    <w:rsid w:val="004E4C26"/>
    <w:rsid w:val="004E52D5"/>
    <w:rsid w:val="004E59C7"/>
    <w:rsid w:val="004E5C61"/>
    <w:rsid w:val="004E67CC"/>
    <w:rsid w:val="004E6BED"/>
    <w:rsid w:val="004E7CCE"/>
    <w:rsid w:val="004F0090"/>
    <w:rsid w:val="004F0094"/>
    <w:rsid w:val="004F091C"/>
    <w:rsid w:val="004F10DF"/>
    <w:rsid w:val="004F1279"/>
    <w:rsid w:val="004F1DD7"/>
    <w:rsid w:val="004F266B"/>
    <w:rsid w:val="004F2CF9"/>
    <w:rsid w:val="004F3163"/>
    <w:rsid w:val="004F3E76"/>
    <w:rsid w:val="004F4097"/>
    <w:rsid w:val="004F4B8F"/>
    <w:rsid w:val="004F5901"/>
    <w:rsid w:val="004F59D0"/>
    <w:rsid w:val="004F5B1F"/>
    <w:rsid w:val="004F644E"/>
    <w:rsid w:val="004F76DE"/>
    <w:rsid w:val="004F797F"/>
    <w:rsid w:val="004F7E38"/>
    <w:rsid w:val="0050043A"/>
    <w:rsid w:val="00500875"/>
    <w:rsid w:val="00500F74"/>
    <w:rsid w:val="005011A8"/>
    <w:rsid w:val="0050193A"/>
    <w:rsid w:val="00501956"/>
    <w:rsid w:val="00501E03"/>
    <w:rsid w:val="00501E5A"/>
    <w:rsid w:val="00501EB7"/>
    <w:rsid w:val="00502668"/>
    <w:rsid w:val="0050276C"/>
    <w:rsid w:val="005027F7"/>
    <w:rsid w:val="0050367F"/>
    <w:rsid w:val="00503D58"/>
    <w:rsid w:val="00503E1C"/>
    <w:rsid w:val="00503FE5"/>
    <w:rsid w:val="00504068"/>
    <w:rsid w:val="00504889"/>
    <w:rsid w:val="005049EE"/>
    <w:rsid w:val="00504F17"/>
    <w:rsid w:val="00505297"/>
    <w:rsid w:val="0050563F"/>
    <w:rsid w:val="0050650A"/>
    <w:rsid w:val="00507045"/>
    <w:rsid w:val="00507439"/>
    <w:rsid w:val="00507643"/>
    <w:rsid w:val="00507FA4"/>
    <w:rsid w:val="005100BF"/>
    <w:rsid w:val="00510424"/>
    <w:rsid w:val="00510D49"/>
    <w:rsid w:val="0051105A"/>
    <w:rsid w:val="0051110D"/>
    <w:rsid w:val="00511D21"/>
    <w:rsid w:val="005120FE"/>
    <w:rsid w:val="00512690"/>
    <w:rsid w:val="00512B7A"/>
    <w:rsid w:val="00512CCA"/>
    <w:rsid w:val="00512EFD"/>
    <w:rsid w:val="005134DC"/>
    <w:rsid w:val="0051352C"/>
    <w:rsid w:val="00513896"/>
    <w:rsid w:val="00513998"/>
    <w:rsid w:val="00513C16"/>
    <w:rsid w:val="0051453F"/>
    <w:rsid w:val="00514823"/>
    <w:rsid w:val="00514E08"/>
    <w:rsid w:val="00515523"/>
    <w:rsid w:val="00516294"/>
    <w:rsid w:val="00516640"/>
    <w:rsid w:val="00516987"/>
    <w:rsid w:val="00517097"/>
    <w:rsid w:val="00517439"/>
    <w:rsid w:val="005174ED"/>
    <w:rsid w:val="00517982"/>
    <w:rsid w:val="00517F8B"/>
    <w:rsid w:val="005202AA"/>
    <w:rsid w:val="00520894"/>
    <w:rsid w:val="00520A35"/>
    <w:rsid w:val="00521376"/>
    <w:rsid w:val="0052173E"/>
    <w:rsid w:val="00521B62"/>
    <w:rsid w:val="00521FE3"/>
    <w:rsid w:val="00522BB9"/>
    <w:rsid w:val="00522FA1"/>
    <w:rsid w:val="00523815"/>
    <w:rsid w:val="00523995"/>
    <w:rsid w:val="00523B53"/>
    <w:rsid w:val="00523BBD"/>
    <w:rsid w:val="0052405C"/>
    <w:rsid w:val="005241B2"/>
    <w:rsid w:val="00524351"/>
    <w:rsid w:val="00524414"/>
    <w:rsid w:val="005244D3"/>
    <w:rsid w:val="00524765"/>
    <w:rsid w:val="00524818"/>
    <w:rsid w:val="00524D1C"/>
    <w:rsid w:val="00524D26"/>
    <w:rsid w:val="00525027"/>
    <w:rsid w:val="005265E5"/>
    <w:rsid w:val="005266E1"/>
    <w:rsid w:val="00527307"/>
    <w:rsid w:val="00527637"/>
    <w:rsid w:val="00527E4A"/>
    <w:rsid w:val="00530122"/>
    <w:rsid w:val="00530202"/>
    <w:rsid w:val="00530617"/>
    <w:rsid w:val="00530B1B"/>
    <w:rsid w:val="005313D4"/>
    <w:rsid w:val="005316D5"/>
    <w:rsid w:val="00531C5E"/>
    <w:rsid w:val="00532A52"/>
    <w:rsid w:val="00532FBE"/>
    <w:rsid w:val="0053354C"/>
    <w:rsid w:val="005337BE"/>
    <w:rsid w:val="005352B6"/>
    <w:rsid w:val="00535772"/>
    <w:rsid w:val="005360B6"/>
    <w:rsid w:val="00536139"/>
    <w:rsid w:val="0053616B"/>
    <w:rsid w:val="00536AB7"/>
    <w:rsid w:val="0053785A"/>
    <w:rsid w:val="00540796"/>
    <w:rsid w:val="005408EA"/>
    <w:rsid w:val="00540B90"/>
    <w:rsid w:val="00541618"/>
    <w:rsid w:val="005418F9"/>
    <w:rsid w:val="00541F2C"/>
    <w:rsid w:val="005422F4"/>
    <w:rsid w:val="005426BA"/>
    <w:rsid w:val="0054330F"/>
    <w:rsid w:val="00543654"/>
    <w:rsid w:val="005438BB"/>
    <w:rsid w:val="005439CF"/>
    <w:rsid w:val="00543AB5"/>
    <w:rsid w:val="005448D4"/>
    <w:rsid w:val="005459D3"/>
    <w:rsid w:val="00545B7C"/>
    <w:rsid w:val="00545D4C"/>
    <w:rsid w:val="00545FC1"/>
    <w:rsid w:val="00546C0C"/>
    <w:rsid w:val="00546C41"/>
    <w:rsid w:val="00547260"/>
    <w:rsid w:val="00547A02"/>
    <w:rsid w:val="00547A8E"/>
    <w:rsid w:val="00547D3F"/>
    <w:rsid w:val="00550163"/>
    <w:rsid w:val="00550FF4"/>
    <w:rsid w:val="00551A35"/>
    <w:rsid w:val="00552287"/>
    <w:rsid w:val="005531EF"/>
    <w:rsid w:val="0055408C"/>
    <w:rsid w:val="00555289"/>
    <w:rsid w:val="00555AEF"/>
    <w:rsid w:val="00556504"/>
    <w:rsid w:val="00556B5A"/>
    <w:rsid w:val="00556DFE"/>
    <w:rsid w:val="0055788E"/>
    <w:rsid w:val="00557BE8"/>
    <w:rsid w:val="00560452"/>
    <w:rsid w:val="0056097F"/>
    <w:rsid w:val="00560E39"/>
    <w:rsid w:val="005622D6"/>
    <w:rsid w:val="00562AD4"/>
    <w:rsid w:val="00563583"/>
    <w:rsid w:val="005635DB"/>
    <w:rsid w:val="00563722"/>
    <w:rsid w:val="00563DF0"/>
    <w:rsid w:val="00563E78"/>
    <w:rsid w:val="00564CC4"/>
    <w:rsid w:val="00565126"/>
    <w:rsid w:val="0056554D"/>
    <w:rsid w:val="0056605B"/>
    <w:rsid w:val="005660CD"/>
    <w:rsid w:val="00566509"/>
    <w:rsid w:val="00566BEE"/>
    <w:rsid w:val="005677FA"/>
    <w:rsid w:val="005705DB"/>
    <w:rsid w:val="005709EF"/>
    <w:rsid w:val="0057109F"/>
    <w:rsid w:val="00571971"/>
    <w:rsid w:val="005721D9"/>
    <w:rsid w:val="00572770"/>
    <w:rsid w:val="00572A16"/>
    <w:rsid w:val="00572D02"/>
    <w:rsid w:val="005731E7"/>
    <w:rsid w:val="00573353"/>
    <w:rsid w:val="00573836"/>
    <w:rsid w:val="0057383F"/>
    <w:rsid w:val="00573880"/>
    <w:rsid w:val="00573C96"/>
    <w:rsid w:val="00574200"/>
    <w:rsid w:val="00574266"/>
    <w:rsid w:val="00574539"/>
    <w:rsid w:val="00574776"/>
    <w:rsid w:val="00574ADD"/>
    <w:rsid w:val="00574BF4"/>
    <w:rsid w:val="00575FD0"/>
    <w:rsid w:val="00576547"/>
    <w:rsid w:val="005766D7"/>
    <w:rsid w:val="00576ED0"/>
    <w:rsid w:val="00576F87"/>
    <w:rsid w:val="0057780A"/>
    <w:rsid w:val="005800A3"/>
    <w:rsid w:val="00580E5C"/>
    <w:rsid w:val="00580F97"/>
    <w:rsid w:val="00581587"/>
    <w:rsid w:val="00581F5A"/>
    <w:rsid w:val="00582B82"/>
    <w:rsid w:val="00582EF6"/>
    <w:rsid w:val="00583464"/>
    <w:rsid w:val="00583A9B"/>
    <w:rsid w:val="00585D80"/>
    <w:rsid w:val="00586A60"/>
    <w:rsid w:val="00586C42"/>
    <w:rsid w:val="0058774E"/>
    <w:rsid w:val="00587847"/>
    <w:rsid w:val="00587868"/>
    <w:rsid w:val="00587E0C"/>
    <w:rsid w:val="00591025"/>
    <w:rsid w:val="00591555"/>
    <w:rsid w:val="00592E85"/>
    <w:rsid w:val="00592F69"/>
    <w:rsid w:val="00593557"/>
    <w:rsid w:val="005935DB"/>
    <w:rsid w:val="0059385F"/>
    <w:rsid w:val="005946F1"/>
    <w:rsid w:val="005953FD"/>
    <w:rsid w:val="00595BF2"/>
    <w:rsid w:val="00595D58"/>
    <w:rsid w:val="00597E2F"/>
    <w:rsid w:val="005A02B7"/>
    <w:rsid w:val="005A07C9"/>
    <w:rsid w:val="005A10EF"/>
    <w:rsid w:val="005A12C1"/>
    <w:rsid w:val="005A12E3"/>
    <w:rsid w:val="005A1307"/>
    <w:rsid w:val="005A1548"/>
    <w:rsid w:val="005A1D55"/>
    <w:rsid w:val="005A371D"/>
    <w:rsid w:val="005A385F"/>
    <w:rsid w:val="005A4642"/>
    <w:rsid w:val="005A4851"/>
    <w:rsid w:val="005A4B6B"/>
    <w:rsid w:val="005A5344"/>
    <w:rsid w:val="005A579A"/>
    <w:rsid w:val="005A5C02"/>
    <w:rsid w:val="005A6614"/>
    <w:rsid w:val="005A66D1"/>
    <w:rsid w:val="005A708D"/>
    <w:rsid w:val="005A7559"/>
    <w:rsid w:val="005A7587"/>
    <w:rsid w:val="005A7A5A"/>
    <w:rsid w:val="005B1ADB"/>
    <w:rsid w:val="005B1C58"/>
    <w:rsid w:val="005B2A88"/>
    <w:rsid w:val="005B342A"/>
    <w:rsid w:val="005B37AA"/>
    <w:rsid w:val="005B4418"/>
    <w:rsid w:val="005B4B65"/>
    <w:rsid w:val="005B5529"/>
    <w:rsid w:val="005B645D"/>
    <w:rsid w:val="005B663F"/>
    <w:rsid w:val="005B6B95"/>
    <w:rsid w:val="005B6F4F"/>
    <w:rsid w:val="005B707A"/>
    <w:rsid w:val="005B7160"/>
    <w:rsid w:val="005B73A6"/>
    <w:rsid w:val="005B768C"/>
    <w:rsid w:val="005B7C61"/>
    <w:rsid w:val="005C0EE2"/>
    <w:rsid w:val="005C160D"/>
    <w:rsid w:val="005C1691"/>
    <w:rsid w:val="005C283A"/>
    <w:rsid w:val="005C33DE"/>
    <w:rsid w:val="005C3571"/>
    <w:rsid w:val="005C3983"/>
    <w:rsid w:val="005C3DAD"/>
    <w:rsid w:val="005C403A"/>
    <w:rsid w:val="005C4C1F"/>
    <w:rsid w:val="005C5F97"/>
    <w:rsid w:val="005C6799"/>
    <w:rsid w:val="005C6AC7"/>
    <w:rsid w:val="005C7036"/>
    <w:rsid w:val="005C7053"/>
    <w:rsid w:val="005D0181"/>
    <w:rsid w:val="005D1B22"/>
    <w:rsid w:val="005D1F87"/>
    <w:rsid w:val="005D247E"/>
    <w:rsid w:val="005D2797"/>
    <w:rsid w:val="005D2821"/>
    <w:rsid w:val="005D29AB"/>
    <w:rsid w:val="005D2AD9"/>
    <w:rsid w:val="005D383B"/>
    <w:rsid w:val="005D487B"/>
    <w:rsid w:val="005D557C"/>
    <w:rsid w:val="005D569E"/>
    <w:rsid w:val="005D6A20"/>
    <w:rsid w:val="005D75A8"/>
    <w:rsid w:val="005D7F63"/>
    <w:rsid w:val="005D7FD7"/>
    <w:rsid w:val="005E0134"/>
    <w:rsid w:val="005E01D6"/>
    <w:rsid w:val="005E0D2C"/>
    <w:rsid w:val="005E0FBF"/>
    <w:rsid w:val="005E10AA"/>
    <w:rsid w:val="005E1A94"/>
    <w:rsid w:val="005E1E5E"/>
    <w:rsid w:val="005E2235"/>
    <w:rsid w:val="005E2578"/>
    <w:rsid w:val="005E2C82"/>
    <w:rsid w:val="005E320C"/>
    <w:rsid w:val="005E3644"/>
    <w:rsid w:val="005E43D7"/>
    <w:rsid w:val="005E43D9"/>
    <w:rsid w:val="005E4A78"/>
    <w:rsid w:val="005E4D2B"/>
    <w:rsid w:val="005E4DFD"/>
    <w:rsid w:val="005E4E92"/>
    <w:rsid w:val="005E5326"/>
    <w:rsid w:val="005E5E26"/>
    <w:rsid w:val="005E5F05"/>
    <w:rsid w:val="005E60DE"/>
    <w:rsid w:val="005E6788"/>
    <w:rsid w:val="005E778F"/>
    <w:rsid w:val="005E78C9"/>
    <w:rsid w:val="005E78D5"/>
    <w:rsid w:val="005F037B"/>
    <w:rsid w:val="005F0DF2"/>
    <w:rsid w:val="005F1192"/>
    <w:rsid w:val="005F1569"/>
    <w:rsid w:val="005F1684"/>
    <w:rsid w:val="005F186F"/>
    <w:rsid w:val="005F2A09"/>
    <w:rsid w:val="005F354D"/>
    <w:rsid w:val="005F41E6"/>
    <w:rsid w:val="005F48E7"/>
    <w:rsid w:val="005F5C60"/>
    <w:rsid w:val="005F5D4D"/>
    <w:rsid w:val="005F65D7"/>
    <w:rsid w:val="005F6F37"/>
    <w:rsid w:val="005F7277"/>
    <w:rsid w:val="005F7BA5"/>
    <w:rsid w:val="0060015E"/>
    <w:rsid w:val="00600FF2"/>
    <w:rsid w:val="0060107B"/>
    <w:rsid w:val="006015B7"/>
    <w:rsid w:val="006016E9"/>
    <w:rsid w:val="00601744"/>
    <w:rsid w:val="00601EEB"/>
    <w:rsid w:val="0060324A"/>
    <w:rsid w:val="00603B00"/>
    <w:rsid w:val="00604156"/>
    <w:rsid w:val="006041F6"/>
    <w:rsid w:val="00604586"/>
    <w:rsid w:val="00604591"/>
    <w:rsid w:val="00604A3E"/>
    <w:rsid w:val="00604E98"/>
    <w:rsid w:val="00605518"/>
    <w:rsid w:val="00605593"/>
    <w:rsid w:val="006058CE"/>
    <w:rsid w:val="0060751C"/>
    <w:rsid w:val="00607D49"/>
    <w:rsid w:val="00607E9C"/>
    <w:rsid w:val="00610586"/>
    <w:rsid w:val="00610A0E"/>
    <w:rsid w:val="00611ED2"/>
    <w:rsid w:val="00611EE1"/>
    <w:rsid w:val="00613239"/>
    <w:rsid w:val="00614D9F"/>
    <w:rsid w:val="0061600A"/>
    <w:rsid w:val="00616417"/>
    <w:rsid w:val="0061657A"/>
    <w:rsid w:val="00617620"/>
    <w:rsid w:val="006177C3"/>
    <w:rsid w:val="00620141"/>
    <w:rsid w:val="006203C2"/>
    <w:rsid w:val="0062090B"/>
    <w:rsid w:val="00620CCA"/>
    <w:rsid w:val="0062159C"/>
    <w:rsid w:val="00622077"/>
    <w:rsid w:val="00622880"/>
    <w:rsid w:val="00622A7B"/>
    <w:rsid w:val="00623647"/>
    <w:rsid w:val="00623D4B"/>
    <w:rsid w:val="006246EF"/>
    <w:rsid w:val="00624C5D"/>
    <w:rsid w:val="00625599"/>
    <w:rsid w:val="00626F31"/>
    <w:rsid w:val="00627AAB"/>
    <w:rsid w:val="00627B99"/>
    <w:rsid w:val="00627E79"/>
    <w:rsid w:val="006300C1"/>
    <w:rsid w:val="006304B1"/>
    <w:rsid w:val="00631533"/>
    <w:rsid w:val="00631EC7"/>
    <w:rsid w:val="0063209E"/>
    <w:rsid w:val="00633165"/>
    <w:rsid w:val="006335B0"/>
    <w:rsid w:val="00633D19"/>
    <w:rsid w:val="00633D42"/>
    <w:rsid w:val="00634056"/>
    <w:rsid w:val="00634CAD"/>
    <w:rsid w:val="00634E82"/>
    <w:rsid w:val="006363FA"/>
    <w:rsid w:val="0063655E"/>
    <w:rsid w:val="00636979"/>
    <w:rsid w:val="00636B5D"/>
    <w:rsid w:val="006372D5"/>
    <w:rsid w:val="006379A7"/>
    <w:rsid w:val="00637EA1"/>
    <w:rsid w:val="00640040"/>
    <w:rsid w:val="00640237"/>
    <w:rsid w:val="00640F67"/>
    <w:rsid w:val="0064124F"/>
    <w:rsid w:val="00641AB6"/>
    <w:rsid w:val="00642173"/>
    <w:rsid w:val="00642440"/>
    <w:rsid w:val="00642997"/>
    <w:rsid w:val="00642BFD"/>
    <w:rsid w:val="006436D0"/>
    <w:rsid w:val="00643E85"/>
    <w:rsid w:val="00643F7D"/>
    <w:rsid w:val="006453A3"/>
    <w:rsid w:val="00645BC8"/>
    <w:rsid w:val="00645DD3"/>
    <w:rsid w:val="0064650B"/>
    <w:rsid w:val="00646B2F"/>
    <w:rsid w:val="00646FF5"/>
    <w:rsid w:val="00647CD3"/>
    <w:rsid w:val="0065022E"/>
    <w:rsid w:val="0065047A"/>
    <w:rsid w:val="006510E7"/>
    <w:rsid w:val="00651D1E"/>
    <w:rsid w:val="006524CF"/>
    <w:rsid w:val="00652AB2"/>
    <w:rsid w:val="006532AB"/>
    <w:rsid w:val="006539B3"/>
    <w:rsid w:val="00653D97"/>
    <w:rsid w:val="00653DB2"/>
    <w:rsid w:val="00654F65"/>
    <w:rsid w:val="006556B0"/>
    <w:rsid w:val="0065588A"/>
    <w:rsid w:val="00655983"/>
    <w:rsid w:val="00656065"/>
    <w:rsid w:val="00656AE4"/>
    <w:rsid w:val="006571CF"/>
    <w:rsid w:val="0065748E"/>
    <w:rsid w:val="00657934"/>
    <w:rsid w:val="00657A63"/>
    <w:rsid w:val="006604AF"/>
    <w:rsid w:val="0066067A"/>
    <w:rsid w:val="006612B7"/>
    <w:rsid w:val="00661497"/>
    <w:rsid w:val="00661503"/>
    <w:rsid w:val="006617A5"/>
    <w:rsid w:val="00661EB0"/>
    <w:rsid w:val="0066235E"/>
    <w:rsid w:val="00662523"/>
    <w:rsid w:val="00662B0D"/>
    <w:rsid w:val="00663E53"/>
    <w:rsid w:val="006644CF"/>
    <w:rsid w:val="006654F4"/>
    <w:rsid w:val="00666308"/>
    <w:rsid w:val="00666BB7"/>
    <w:rsid w:val="00666C4C"/>
    <w:rsid w:val="00667518"/>
    <w:rsid w:val="00670342"/>
    <w:rsid w:val="00670C82"/>
    <w:rsid w:val="00670D33"/>
    <w:rsid w:val="00671921"/>
    <w:rsid w:val="00671AFA"/>
    <w:rsid w:val="006722F6"/>
    <w:rsid w:val="006725F0"/>
    <w:rsid w:val="00672886"/>
    <w:rsid w:val="00672A00"/>
    <w:rsid w:val="0067332F"/>
    <w:rsid w:val="00674A25"/>
    <w:rsid w:val="00674DCE"/>
    <w:rsid w:val="00675104"/>
    <w:rsid w:val="006755EE"/>
    <w:rsid w:val="00675A8E"/>
    <w:rsid w:val="00675D1F"/>
    <w:rsid w:val="00676955"/>
    <w:rsid w:val="00676D3E"/>
    <w:rsid w:val="00677048"/>
    <w:rsid w:val="0068046C"/>
    <w:rsid w:val="006812C0"/>
    <w:rsid w:val="006817D3"/>
    <w:rsid w:val="00682313"/>
    <w:rsid w:val="006828B7"/>
    <w:rsid w:val="00682A54"/>
    <w:rsid w:val="00683085"/>
    <w:rsid w:val="0068387C"/>
    <w:rsid w:val="00683942"/>
    <w:rsid w:val="00683ACE"/>
    <w:rsid w:val="00683E1A"/>
    <w:rsid w:val="0068574F"/>
    <w:rsid w:val="00686222"/>
    <w:rsid w:val="0068634C"/>
    <w:rsid w:val="00686C68"/>
    <w:rsid w:val="00686F04"/>
    <w:rsid w:val="00686F62"/>
    <w:rsid w:val="00687043"/>
    <w:rsid w:val="00690724"/>
    <w:rsid w:val="00690B64"/>
    <w:rsid w:val="00691476"/>
    <w:rsid w:val="00691F51"/>
    <w:rsid w:val="006922DF"/>
    <w:rsid w:val="00692328"/>
    <w:rsid w:val="0069241A"/>
    <w:rsid w:val="00693531"/>
    <w:rsid w:val="006935B9"/>
    <w:rsid w:val="00694848"/>
    <w:rsid w:val="00695224"/>
    <w:rsid w:val="00695257"/>
    <w:rsid w:val="006953B6"/>
    <w:rsid w:val="006959D4"/>
    <w:rsid w:val="00695AB8"/>
    <w:rsid w:val="00695AF5"/>
    <w:rsid w:val="00696290"/>
    <w:rsid w:val="00696667"/>
    <w:rsid w:val="00696EA4"/>
    <w:rsid w:val="00697A24"/>
    <w:rsid w:val="00697C1D"/>
    <w:rsid w:val="006A0902"/>
    <w:rsid w:val="006A0DC0"/>
    <w:rsid w:val="006A104A"/>
    <w:rsid w:val="006A158C"/>
    <w:rsid w:val="006A189A"/>
    <w:rsid w:val="006A1938"/>
    <w:rsid w:val="006A19BD"/>
    <w:rsid w:val="006A1BD9"/>
    <w:rsid w:val="006A1D13"/>
    <w:rsid w:val="006A20E5"/>
    <w:rsid w:val="006A231D"/>
    <w:rsid w:val="006A231F"/>
    <w:rsid w:val="006A256B"/>
    <w:rsid w:val="006A2F27"/>
    <w:rsid w:val="006A333F"/>
    <w:rsid w:val="006A33B2"/>
    <w:rsid w:val="006A38CC"/>
    <w:rsid w:val="006A4592"/>
    <w:rsid w:val="006A48DE"/>
    <w:rsid w:val="006A4A68"/>
    <w:rsid w:val="006A5013"/>
    <w:rsid w:val="006A5734"/>
    <w:rsid w:val="006A610B"/>
    <w:rsid w:val="006A6598"/>
    <w:rsid w:val="006A6C76"/>
    <w:rsid w:val="006A75E1"/>
    <w:rsid w:val="006A7DA2"/>
    <w:rsid w:val="006B09B1"/>
    <w:rsid w:val="006B1298"/>
    <w:rsid w:val="006B1923"/>
    <w:rsid w:val="006B1CFA"/>
    <w:rsid w:val="006B260C"/>
    <w:rsid w:val="006B2CFA"/>
    <w:rsid w:val="006B2E18"/>
    <w:rsid w:val="006B3D4C"/>
    <w:rsid w:val="006B445B"/>
    <w:rsid w:val="006B541F"/>
    <w:rsid w:val="006B5DC9"/>
    <w:rsid w:val="006B65F2"/>
    <w:rsid w:val="006B66F8"/>
    <w:rsid w:val="006B6C8C"/>
    <w:rsid w:val="006B6CDF"/>
    <w:rsid w:val="006B71C3"/>
    <w:rsid w:val="006B7604"/>
    <w:rsid w:val="006B77FE"/>
    <w:rsid w:val="006B7A32"/>
    <w:rsid w:val="006C0088"/>
    <w:rsid w:val="006C01F1"/>
    <w:rsid w:val="006C0CC8"/>
    <w:rsid w:val="006C0EE3"/>
    <w:rsid w:val="006C1D0E"/>
    <w:rsid w:val="006C1E75"/>
    <w:rsid w:val="006C1FFC"/>
    <w:rsid w:val="006C2185"/>
    <w:rsid w:val="006C2192"/>
    <w:rsid w:val="006C2237"/>
    <w:rsid w:val="006C2A33"/>
    <w:rsid w:val="006C3391"/>
    <w:rsid w:val="006C3C53"/>
    <w:rsid w:val="006C3CBA"/>
    <w:rsid w:val="006C3E30"/>
    <w:rsid w:val="006C3E96"/>
    <w:rsid w:val="006C4AC7"/>
    <w:rsid w:val="006C511D"/>
    <w:rsid w:val="006C5552"/>
    <w:rsid w:val="006C5F50"/>
    <w:rsid w:val="006C7833"/>
    <w:rsid w:val="006D0435"/>
    <w:rsid w:val="006D05EF"/>
    <w:rsid w:val="006D0878"/>
    <w:rsid w:val="006D0BDD"/>
    <w:rsid w:val="006D0CB8"/>
    <w:rsid w:val="006D0CDA"/>
    <w:rsid w:val="006D133B"/>
    <w:rsid w:val="006D150F"/>
    <w:rsid w:val="006D2028"/>
    <w:rsid w:val="006D2762"/>
    <w:rsid w:val="006D2A1D"/>
    <w:rsid w:val="006D32D2"/>
    <w:rsid w:val="006D33A7"/>
    <w:rsid w:val="006D41C9"/>
    <w:rsid w:val="006D5920"/>
    <w:rsid w:val="006D59CA"/>
    <w:rsid w:val="006D6A01"/>
    <w:rsid w:val="006D703E"/>
    <w:rsid w:val="006D7222"/>
    <w:rsid w:val="006D776D"/>
    <w:rsid w:val="006D7DAF"/>
    <w:rsid w:val="006D7E04"/>
    <w:rsid w:val="006E0126"/>
    <w:rsid w:val="006E02B6"/>
    <w:rsid w:val="006E0848"/>
    <w:rsid w:val="006E11AC"/>
    <w:rsid w:val="006E1E03"/>
    <w:rsid w:val="006E28B4"/>
    <w:rsid w:val="006E42A9"/>
    <w:rsid w:val="006E4C76"/>
    <w:rsid w:val="006E5C0D"/>
    <w:rsid w:val="006E67A9"/>
    <w:rsid w:val="006E6FF8"/>
    <w:rsid w:val="006E7584"/>
    <w:rsid w:val="006F0B48"/>
    <w:rsid w:val="006F1D0E"/>
    <w:rsid w:val="006F1F52"/>
    <w:rsid w:val="006F2368"/>
    <w:rsid w:val="006F2601"/>
    <w:rsid w:val="006F2B93"/>
    <w:rsid w:val="006F2C93"/>
    <w:rsid w:val="006F4258"/>
    <w:rsid w:val="006F4A3B"/>
    <w:rsid w:val="006F4B32"/>
    <w:rsid w:val="006F6278"/>
    <w:rsid w:val="006F6F4D"/>
    <w:rsid w:val="006F7BB8"/>
    <w:rsid w:val="00700576"/>
    <w:rsid w:val="0070066B"/>
    <w:rsid w:val="00701022"/>
    <w:rsid w:val="0070184D"/>
    <w:rsid w:val="00701ADD"/>
    <w:rsid w:val="00701DDF"/>
    <w:rsid w:val="00702247"/>
    <w:rsid w:val="007033F1"/>
    <w:rsid w:val="00704CBD"/>
    <w:rsid w:val="00705148"/>
    <w:rsid w:val="0070597A"/>
    <w:rsid w:val="007059E9"/>
    <w:rsid w:val="00705DC2"/>
    <w:rsid w:val="0070655B"/>
    <w:rsid w:val="00706FFC"/>
    <w:rsid w:val="00707536"/>
    <w:rsid w:val="00707A84"/>
    <w:rsid w:val="00707DE3"/>
    <w:rsid w:val="00710292"/>
    <w:rsid w:val="00714054"/>
    <w:rsid w:val="00714083"/>
    <w:rsid w:val="007157B2"/>
    <w:rsid w:val="00716097"/>
    <w:rsid w:val="00716559"/>
    <w:rsid w:val="00716825"/>
    <w:rsid w:val="007205F0"/>
    <w:rsid w:val="00720A0D"/>
    <w:rsid w:val="0072127E"/>
    <w:rsid w:val="007215B3"/>
    <w:rsid w:val="0072271B"/>
    <w:rsid w:val="007237D7"/>
    <w:rsid w:val="00723C90"/>
    <w:rsid w:val="0072460F"/>
    <w:rsid w:val="00724702"/>
    <w:rsid w:val="00724AD9"/>
    <w:rsid w:val="00725268"/>
    <w:rsid w:val="007258FF"/>
    <w:rsid w:val="00725968"/>
    <w:rsid w:val="00725CA4"/>
    <w:rsid w:val="00725EFC"/>
    <w:rsid w:val="007264FB"/>
    <w:rsid w:val="00727237"/>
    <w:rsid w:val="00730B23"/>
    <w:rsid w:val="00731614"/>
    <w:rsid w:val="007325D2"/>
    <w:rsid w:val="00732A5E"/>
    <w:rsid w:val="00732F1C"/>
    <w:rsid w:val="00733153"/>
    <w:rsid w:val="0073339B"/>
    <w:rsid w:val="00733B22"/>
    <w:rsid w:val="00733FF7"/>
    <w:rsid w:val="007356DE"/>
    <w:rsid w:val="00735C72"/>
    <w:rsid w:val="007367CA"/>
    <w:rsid w:val="00736C6D"/>
    <w:rsid w:val="007377B5"/>
    <w:rsid w:val="00737C0A"/>
    <w:rsid w:val="00740187"/>
    <w:rsid w:val="0074160D"/>
    <w:rsid w:val="00741C58"/>
    <w:rsid w:val="00741C5E"/>
    <w:rsid w:val="00741CDA"/>
    <w:rsid w:val="00743262"/>
    <w:rsid w:val="00744153"/>
    <w:rsid w:val="007444BF"/>
    <w:rsid w:val="007444FA"/>
    <w:rsid w:val="00744BE0"/>
    <w:rsid w:val="0074533B"/>
    <w:rsid w:val="00745374"/>
    <w:rsid w:val="00745BD2"/>
    <w:rsid w:val="00746164"/>
    <w:rsid w:val="007463BC"/>
    <w:rsid w:val="00746A22"/>
    <w:rsid w:val="00746AEF"/>
    <w:rsid w:val="00746F94"/>
    <w:rsid w:val="00746FB8"/>
    <w:rsid w:val="0074712F"/>
    <w:rsid w:val="00747C97"/>
    <w:rsid w:val="00747CEF"/>
    <w:rsid w:val="0075028B"/>
    <w:rsid w:val="00750D85"/>
    <w:rsid w:val="00750D90"/>
    <w:rsid w:val="00751041"/>
    <w:rsid w:val="00751196"/>
    <w:rsid w:val="00751C20"/>
    <w:rsid w:val="00751F63"/>
    <w:rsid w:val="00751FBC"/>
    <w:rsid w:val="007529FC"/>
    <w:rsid w:val="00752B74"/>
    <w:rsid w:val="00752CDD"/>
    <w:rsid w:val="00752E07"/>
    <w:rsid w:val="00752FEA"/>
    <w:rsid w:val="00753B52"/>
    <w:rsid w:val="00753F35"/>
    <w:rsid w:val="0075447B"/>
    <w:rsid w:val="0075523F"/>
    <w:rsid w:val="00755530"/>
    <w:rsid w:val="007559C0"/>
    <w:rsid w:val="00755A5C"/>
    <w:rsid w:val="00755E79"/>
    <w:rsid w:val="007566DE"/>
    <w:rsid w:val="00756F86"/>
    <w:rsid w:val="0075777A"/>
    <w:rsid w:val="0076013E"/>
    <w:rsid w:val="0076131E"/>
    <w:rsid w:val="00761F0C"/>
    <w:rsid w:val="007645ED"/>
    <w:rsid w:val="00765002"/>
    <w:rsid w:val="0076501C"/>
    <w:rsid w:val="00766293"/>
    <w:rsid w:val="007675F7"/>
    <w:rsid w:val="0077091F"/>
    <w:rsid w:val="00771266"/>
    <w:rsid w:val="00772036"/>
    <w:rsid w:val="0077203D"/>
    <w:rsid w:val="00772114"/>
    <w:rsid w:val="00772150"/>
    <w:rsid w:val="007721E3"/>
    <w:rsid w:val="00775123"/>
    <w:rsid w:val="00775850"/>
    <w:rsid w:val="00776534"/>
    <w:rsid w:val="007768AE"/>
    <w:rsid w:val="00776F7B"/>
    <w:rsid w:val="00777322"/>
    <w:rsid w:val="00777B5D"/>
    <w:rsid w:val="00777C1D"/>
    <w:rsid w:val="00777E1B"/>
    <w:rsid w:val="00780D57"/>
    <w:rsid w:val="00780F67"/>
    <w:rsid w:val="007811DE"/>
    <w:rsid w:val="007818C5"/>
    <w:rsid w:val="00781EF6"/>
    <w:rsid w:val="00781F40"/>
    <w:rsid w:val="00782BCF"/>
    <w:rsid w:val="00782CE7"/>
    <w:rsid w:val="00782F5F"/>
    <w:rsid w:val="00784306"/>
    <w:rsid w:val="00784450"/>
    <w:rsid w:val="00784DDD"/>
    <w:rsid w:val="00785434"/>
    <w:rsid w:val="007854AB"/>
    <w:rsid w:val="00785789"/>
    <w:rsid w:val="007857B5"/>
    <w:rsid w:val="00785ECF"/>
    <w:rsid w:val="00785F9C"/>
    <w:rsid w:val="00786820"/>
    <w:rsid w:val="00786D03"/>
    <w:rsid w:val="007874E8"/>
    <w:rsid w:val="00787A4E"/>
    <w:rsid w:val="00787E46"/>
    <w:rsid w:val="00790714"/>
    <w:rsid w:val="00790B36"/>
    <w:rsid w:val="00790C65"/>
    <w:rsid w:val="007914C4"/>
    <w:rsid w:val="007919AA"/>
    <w:rsid w:val="00792891"/>
    <w:rsid w:val="00794258"/>
    <w:rsid w:val="00794997"/>
    <w:rsid w:val="0079543C"/>
    <w:rsid w:val="00795707"/>
    <w:rsid w:val="007958A2"/>
    <w:rsid w:val="00795A32"/>
    <w:rsid w:val="00795C4E"/>
    <w:rsid w:val="007970DC"/>
    <w:rsid w:val="00797438"/>
    <w:rsid w:val="00797A25"/>
    <w:rsid w:val="00797EDC"/>
    <w:rsid w:val="007A03B1"/>
    <w:rsid w:val="007A0520"/>
    <w:rsid w:val="007A0605"/>
    <w:rsid w:val="007A0E19"/>
    <w:rsid w:val="007A0E2F"/>
    <w:rsid w:val="007A10E6"/>
    <w:rsid w:val="007A1136"/>
    <w:rsid w:val="007A241F"/>
    <w:rsid w:val="007A26FB"/>
    <w:rsid w:val="007A2DBE"/>
    <w:rsid w:val="007A2E07"/>
    <w:rsid w:val="007A3506"/>
    <w:rsid w:val="007A4153"/>
    <w:rsid w:val="007A424B"/>
    <w:rsid w:val="007A46C9"/>
    <w:rsid w:val="007A4983"/>
    <w:rsid w:val="007A501A"/>
    <w:rsid w:val="007A530D"/>
    <w:rsid w:val="007A5CB7"/>
    <w:rsid w:val="007A5CE6"/>
    <w:rsid w:val="007A6113"/>
    <w:rsid w:val="007A6DFA"/>
    <w:rsid w:val="007A6F5D"/>
    <w:rsid w:val="007A7B86"/>
    <w:rsid w:val="007A7F19"/>
    <w:rsid w:val="007B1A47"/>
    <w:rsid w:val="007B1DED"/>
    <w:rsid w:val="007B2741"/>
    <w:rsid w:val="007B398C"/>
    <w:rsid w:val="007B3EEC"/>
    <w:rsid w:val="007B3F83"/>
    <w:rsid w:val="007B3FFF"/>
    <w:rsid w:val="007B47BA"/>
    <w:rsid w:val="007B4B17"/>
    <w:rsid w:val="007B5883"/>
    <w:rsid w:val="007B62F5"/>
    <w:rsid w:val="007B6B45"/>
    <w:rsid w:val="007B7A1F"/>
    <w:rsid w:val="007B7ACF"/>
    <w:rsid w:val="007C07D2"/>
    <w:rsid w:val="007C0C41"/>
    <w:rsid w:val="007C0E51"/>
    <w:rsid w:val="007C0F7B"/>
    <w:rsid w:val="007C12FC"/>
    <w:rsid w:val="007C1A56"/>
    <w:rsid w:val="007C1BD2"/>
    <w:rsid w:val="007C22A2"/>
    <w:rsid w:val="007C2322"/>
    <w:rsid w:val="007C2370"/>
    <w:rsid w:val="007C44C4"/>
    <w:rsid w:val="007C4B16"/>
    <w:rsid w:val="007C573D"/>
    <w:rsid w:val="007C5EB7"/>
    <w:rsid w:val="007C79F6"/>
    <w:rsid w:val="007D02AD"/>
    <w:rsid w:val="007D0368"/>
    <w:rsid w:val="007D04E6"/>
    <w:rsid w:val="007D06EE"/>
    <w:rsid w:val="007D0D57"/>
    <w:rsid w:val="007D1D33"/>
    <w:rsid w:val="007D2628"/>
    <w:rsid w:val="007D2656"/>
    <w:rsid w:val="007D27C9"/>
    <w:rsid w:val="007D2C1F"/>
    <w:rsid w:val="007D2D2D"/>
    <w:rsid w:val="007D3809"/>
    <w:rsid w:val="007D3ABD"/>
    <w:rsid w:val="007D3E32"/>
    <w:rsid w:val="007D3F81"/>
    <w:rsid w:val="007D45FE"/>
    <w:rsid w:val="007D4A85"/>
    <w:rsid w:val="007D4BBF"/>
    <w:rsid w:val="007D52F4"/>
    <w:rsid w:val="007D53E8"/>
    <w:rsid w:val="007D5CFE"/>
    <w:rsid w:val="007D5FFC"/>
    <w:rsid w:val="007D6907"/>
    <w:rsid w:val="007D723B"/>
    <w:rsid w:val="007D7965"/>
    <w:rsid w:val="007E03E4"/>
    <w:rsid w:val="007E0EDD"/>
    <w:rsid w:val="007E0F1F"/>
    <w:rsid w:val="007E1165"/>
    <w:rsid w:val="007E12CB"/>
    <w:rsid w:val="007E1EBF"/>
    <w:rsid w:val="007E21CA"/>
    <w:rsid w:val="007E24F9"/>
    <w:rsid w:val="007E2D10"/>
    <w:rsid w:val="007E31D2"/>
    <w:rsid w:val="007E3300"/>
    <w:rsid w:val="007E3601"/>
    <w:rsid w:val="007E3899"/>
    <w:rsid w:val="007E4431"/>
    <w:rsid w:val="007E479E"/>
    <w:rsid w:val="007E5533"/>
    <w:rsid w:val="007E5555"/>
    <w:rsid w:val="007E5691"/>
    <w:rsid w:val="007E56DD"/>
    <w:rsid w:val="007E5983"/>
    <w:rsid w:val="007E614B"/>
    <w:rsid w:val="007E6353"/>
    <w:rsid w:val="007E637E"/>
    <w:rsid w:val="007E7BB8"/>
    <w:rsid w:val="007E7BEA"/>
    <w:rsid w:val="007F0400"/>
    <w:rsid w:val="007F040C"/>
    <w:rsid w:val="007F0568"/>
    <w:rsid w:val="007F0A9F"/>
    <w:rsid w:val="007F10D9"/>
    <w:rsid w:val="007F1B06"/>
    <w:rsid w:val="007F215B"/>
    <w:rsid w:val="007F2594"/>
    <w:rsid w:val="007F268D"/>
    <w:rsid w:val="007F2907"/>
    <w:rsid w:val="007F2930"/>
    <w:rsid w:val="007F2AD8"/>
    <w:rsid w:val="007F2BEA"/>
    <w:rsid w:val="007F3346"/>
    <w:rsid w:val="007F345B"/>
    <w:rsid w:val="007F36BA"/>
    <w:rsid w:val="007F3731"/>
    <w:rsid w:val="007F497F"/>
    <w:rsid w:val="007F5019"/>
    <w:rsid w:val="007F5124"/>
    <w:rsid w:val="007F53C0"/>
    <w:rsid w:val="007F577C"/>
    <w:rsid w:val="007F6AC2"/>
    <w:rsid w:val="00800F5C"/>
    <w:rsid w:val="00801AB1"/>
    <w:rsid w:val="00801EA6"/>
    <w:rsid w:val="00802C82"/>
    <w:rsid w:val="008033B8"/>
    <w:rsid w:val="008033C1"/>
    <w:rsid w:val="00803689"/>
    <w:rsid w:val="00803DDC"/>
    <w:rsid w:val="00803EBA"/>
    <w:rsid w:val="0080434A"/>
    <w:rsid w:val="0080498C"/>
    <w:rsid w:val="008049DB"/>
    <w:rsid w:val="0080557B"/>
    <w:rsid w:val="00805B7B"/>
    <w:rsid w:val="00805D34"/>
    <w:rsid w:val="00806393"/>
    <w:rsid w:val="00806D7C"/>
    <w:rsid w:val="00806FF0"/>
    <w:rsid w:val="0080774A"/>
    <w:rsid w:val="00810A80"/>
    <w:rsid w:val="00811009"/>
    <w:rsid w:val="00812CAB"/>
    <w:rsid w:val="00812D0A"/>
    <w:rsid w:val="00813405"/>
    <w:rsid w:val="0081357E"/>
    <w:rsid w:val="00813C9D"/>
    <w:rsid w:val="00814F99"/>
    <w:rsid w:val="00815C51"/>
    <w:rsid w:val="00816BEF"/>
    <w:rsid w:val="0081722B"/>
    <w:rsid w:val="00817646"/>
    <w:rsid w:val="008179EA"/>
    <w:rsid w:val="00817F99"/>
    <w:rsid w:val="0082025A"/>
    <w:rsid w:val="00820DCE"/>
    <w:rsid w:val="00820DEF"/>
    <w:rsid w:val="008210EA"/>
    <w:rsid w:val="00821B46"/>
    <w:rsid w:val="008222AD"/>
    <w:rsid w:val="00822512"/>
    <w:rsid w:val="00822561"/>
    <w:rsid w:val="008225F9"/>
    <w:rsid w:val="00822D3C"/>
    <w:rsid w:val="00822FFE"/>
    <w:rsid w:val="00823691"/>
    <w:rsid w:val="008239AF"/>
    <w:rsid w:val="00824151"/>
    <w:rsid w:val="008254A4"/>
    <w:rsid w:val="008266CC"/>
    <w:rsid w:val="008275A6"/>
    <w:rsid w:val="00827773"/>
    <w:rsid w:val="00827B06"/>
    <w:rsid w:val="00827E2A"/>
    <w:rsid w:val="00830148"/>
    <w:rsid w:val="00830AF2"/>
    <w:rsid w:val="00830BFC"/>
    <w:rsid w:val="00830EAB"/>
    <w:rsid w:val="008310D2"/>
    <w:rsid w:val="00831F24"/>
    <w:rsid w:val="008320E3"/>
    <w:rsid w:val="00832458"/>
    <w:rsid w:val="00832601"/>
    <w:rsid w:val="00832DD9"/>
    <w:rsid w:val="00832EE1"/>
    <w:rsid w:val="00833A00"/>
    <w:rsid w:val="0083687A"/>
    <w:rsid w:val="0083775C"/>
    <w:rsid w:val="008400CE"/>
    <w:rsid w:val="00841487"/>
    <w:rsid w:val="008415DF"/>
    <w:rsid w:val="0084170D"/>
    <w:rsid w:val="00841AE6"/>
    <w:rsid w:val="00841D6A"/>
    <w:rsid w:val="00841F99"/>
    <w:rsid w:val="0084293B"/>
    <w:rsid w:val="00842ACC"/>
    <w:rsid w:val="00842BD7"/>
    <w:rsid w:val="008430B9"/>
    <w:rsid w:val="00843A6E"/>
    <w:rsid w:val="008443F1"/>
    <w:rsid w:val="00844AC8"/>
    <w:rsid w:val="0084510F"/>
    <w:rsid w:val="0084544D"/>
    <w:rsid w:val="008454E1"/>
    <w:rsid w:val="00845E68"/>
    <w:rsid w:val="008460C4"/>
    <w:rsid w:val="008469B2"/>
    <w:rsid w:val="00847032"/>
    <w:rsid w:val="008472DB"/>
    <w:rsid w:val="008473FE"/>
    <w:rsid w:val="008476CA"/>
    <w:rsid w:val="0084776B"/>
    <w:rsid w:val="00850E57"/>
    <w:rsid w:val="0085101E"/>
    <w:rsid w:val="00852470"/>
    <w:rsid w:val="008524EA"/>
    <w:rsid w:val="00852846"/>
    <w:rsid w:val="008532A7"/>
    <w:rsid w:val="008538E8"/>
    <w:rsid w:val="00854BF0"/>
    <w:rsid w:val="00854CBF"/>
    <w:rsid w:val="00855CB8"/>
    <w:rsid w:val="00856618"/>
    <w:rsid w:val="008566CA"/>
    <w:rsid w:val="008568C5"/>
    <w:rsid w:val="0085699B"/>
    <w:rsid w:val="00856B2E"/>
    <w:rsid w:val="008576E8"/>
    <w:rsid w:val="0086183B"/>
    <w:rsid w:val="00862342"/>
    <w:rsid w:val="00862457"/>
    <w:rsid w:val="00862708"/>
    <w:rsid w:val="00862D18"/>
    <w:rsid w:val="008632E4"/>
    <w:rsid w:val="008638FB"/>
    <w:rsid w:val="00864BA7"/>
    <w:rsid w:val="00864FA0"/>
    <w:rsid w:val="00864FD5"/>
    <w:rsid w:val="00865CCE"/>
    <w:rsid w:val="00867216"/>
    <w:rsid w:val="0086743B"/>
    <w:rsid w:val="0087014B"/>
    <w:rsid w:val="00870347"/>
    <w:rsid w:val="0087052B"/>
    <w:rsid w:val="008708C1"/>
    <w:rsid w:val="00870CEF"/>
    <w:rsid w:val="0087154B"/>
    <w:rsid w:val="00871579"/>
    <w:rsid w:val="00871889"/>
    <w:rsid w:val="00871B86"/>
    <w:rsid w:val="00872962"/>
    <w:rsid w:val="008729E8"/>
    <w:rsid w:val="00872C52"/>
    <w:rsid w:val="00872D02"/>
    <w:rsid w:val="008731BF"/>
    <w:rsid w:val="0087367B"/>
    <w:rsid w:val="0087379B"/>
    <w:rsid w:val="00873A05"/>
    <w:rsid w:val="00873C79"/>
    <w:rsid w:val="008742B8"/>
    <w:rsid w:val="008745FB"/>
    <w:rsid w:val="00874903"/>
    <w:rsid w:val="00874AFA"/>
    <w:rsid w:val="00874BE6"/>
    <w:rsid w:val="00874BEF"/>
    <w:rsid w:val="00874C43"/>
    <w:rsid w:val="00875044"/>
    <w:rsid w:val="008752CF"/>
    <w:rsid w:val="008752D5"/>
    <w:rsid w:val="00875D1B"/>
    <w:rsid w:val="00876093"/>
    <w:rsid w:val="008774B2"/>
    <w:rsid w:val="0088119F"/>
    <w:rsid w:val="008815C0"/>
    <w:rsid w:val="00882183"/>
    <w:rsid w:val="0088250C"/>
    <w:rsid w:val="008832BB"/>
    <w:rsid w:val="00883477"/>
    <w:rsid w:val="00884182"/>
    <w:rsid w:val="008844CC"/>
    <w:rsid w:val="00884DE8"/>
    <w:rsid w:val="0088501E"/>
    <w:rsid w:val="0088512A"/>
    <w:rsid w:val="00885B9F"/>
    <w:rsid w:val="00885F38"/>
    <w:rsid w:val="008864C3"/>
    <w:rsid w:val="00886B83"/>
    <w:rsid w:val="00887545"/>
    <w:rsid w:val="00887AA2"/>
    <w:rsid w:val="008900AB"/>
    <w:rsid w:val="00890CC0"/>
    <w:rsid w:val="00891630"/>
    <w:rsid w:val="008916E6"/>
    <w:rsid w:val="00891B0F"/>
    <w:rsid w:val="0089263D"/>
    <w:rsid w:val="008926B9"/>
    <w:rsid w:val="00892BD6"/>
    <w:rsid w:val="00892C69"/>
    <w:rsid w:val="00892CA6"/>
    <w:rsid w:val="00893562"/>
    <w:rsid w:val="008935B1"/>
    <w:rsid w:val="00894579"/>
    <w:rsid w:val="008959FD"/>
    <w:rsid w:val="00895C6B"/>
    <w:rsid w:val="00896D0A"/>
    <w:rsid w:val="0089751D"/>
    <w:rsid w:val="00897A46"/>
    <w:rsid w:val="00897F8F"/>
    <w:rsid w:val="008A0126"/>
    <w:rsid w:val="008A01B8"/>
    <w:rsid w:val="008A07C5"/>
    <w:rsid w:val="008A0954"/>
    <w:rsid w:val="008A0D61"/>
    <w:rsid w:val="008A241B"/>
    <w:rsid w:val="008A2A96"/>
    <w:rsid w:val="008A3F58"/>
    <w:rsid w:val="008A4D01"/>
    <w:rsid w:val="008A531F"/>
    <w:rsid w:val="008A596A"/>
    <w:rsid w:val="008A5DAC"/>
    <w:rsid w:val="008A636F"/>
    <w:rsid w:val="008A6F31"/>
    <w:rsid w:val="008A7065"/>
    <w:rsid w:val="008A78FE"/>
    <w:rsid w:val="008A79F4"/>
    <w:rsid w:val="008A7B70"/>
    <w:rsid w:val="008A7EC2"/>
    <w:rsid w:val="008B11DE"/>
    <w:rsid w:val="008B1807"/>
    <w:rsid w:val="008B2637"/>
    <w:rsid w:val="008B2706"/>
    <w:rsid w:val="008B2FB4"/>
    <w:rsid w:val="008B3114"/>
    <w:rsid w:val="008B319C"/>
    <w:rsid w:val="008B3E6B"/>
    <w:rsid w:val="008B4A88"/>
    <w:rsid w:val="008B5768"/>
    <w:rsid w:val="008B591C"/>
    <w:rsid w:val="008B5B1F"/>
    <w:rsid w:val="008B5F93"/>
    <w:rsid w:val="008B5FD5"/>
    <w:rsid w:val="008B63BB"/>
    <w:rsid w:val="008B65E7"/>
    <w:rsid w:val="008B6948"/>
    <w:rsid w:val="008B6DA0"/>
    <w:rsid w:val="008B6E0E"/>
    <w:rsid w:val="008B6FAF"/>
    <w:rsid w:val="008B71AE"/>
    <w:rsid w:val="008B761D"/>
    <w:rsid w:val="008B7D5A"/>
    <w:rsid w:val="008C0190"/>
    <w:rsid w:val="008C01FF"/>
    <w:rsid w:val="008C0A9D"/>
    <w:rsid w:val="008C17E1"/>
    <w:rsid w:val="008C2E17"/>
    <w:rsid w:val="008C32C7"/>
    <w:rsid w:val="008C455A"/>
    <w:rsid w:val="008C4A4A"/>
    <w:rsid w:val="008C4CA8"/>
    <w:rsid w:val="008C4EDA"/>
    <w:rsid w:val="008C5305"/>
    <w:rsid w:val="008C5566"/>
    <w:rsid w:val="008C562A"/>
    <w:rsid w:val="008C5863"/>
    <w:rsid w:val="008C5A85"/>
    <w:rsid w:val="008C5A8C"/>
    <w:rsid w:val="008C6D7A"/>
    <w:rsid w:val="008C7124"/>
    <w:rsid w:val="008C713E"/>
    <w:rsid w:val="008C76FE"/>
    <w:rsid w:val="008C7B9B"/>
    <w:rsid w:val="008D0D6B"/>
    <w:rsid w:val="008D0E73"/>
    <w:rsid w:val="008D0EAD"/>
    <w:rsid w:val="008D14B9"/>
    <w:rsid w:val="008D1648"/>
    <w:rsid w:val="008D2745"/>
    <w:rsid w:val="008D2A84"/>
    <w:rsid w:val="008D45C6"/>
    <w:rsid w:val="008D4D1D"/>
    <w:rsid w:val="008D5D67"/>
    <w:rsid w:val="008D5F2F"/>
    <w:rsid w:val="008D6448"/>
    <w:rsid w:val="008D6EE1"/>
    <w:rsid w:val="008D7E7E"/>
    <w:rsid w:val="008E02FA"/>
    <w:rsid w:val="008E1922"/>
    <w:rsid w:val="008E1CD3"/>
    <w:rsid w:val="008E1F25"/>
    <w:rsid w:val="008E202D"/>
    <w:rsid w:val="008E27CB"/>
    <w:rsid w:val="008E2AE3"/>
    <w:rsid w:val="008E449D"/>
    <w:rsid w:val="008E57B4"/>
    <w:rsid w:val="008E58A8"/>
    <w:rsid w:val="008E5DD0"/>
    <w:rsid w:val="008E6374"/>
    <w:rsid w:val="008E6791"/>
    <w:rsid w:val="008E72A7"/>
    <w:rsid w:val="008E7C43"/>
    <w:rsid w:val="008F0134"/>
    <w:rsid w:val="008F04AE"/>
    <w:rsid w:val="008F0682"/>
    <w:rsid w:val="008F06E3"/>
    <w:rsid w:val="008F0D7F"/>
    <w:rsid w:val="008F247C"/>
    <w:rsid w:val="008F249A"/>
    <w:rsid w:val="008F2C96"/>
    <w:rsid w:val="008F349F"/>
    <w:rsid w:val="008F3767"/>
    <w:rsid w:val="008F3AB4"/>
    <w:rsid w:val="008F432B"/>
    <w:rsid w:val="008F43F9"/>
    <w:rsid w:val="008F4452"/>
    <w:rsid w:val="008F4F69"/>
    <w:rsid w:val="008F4FFD"/>
    <w:rsid w:val="008F53DF"/>
    <w:rsid w:val="008F6E39"/>
    <w:rsid w:val="00900473"/>
    <w:rsid w:val="009005B3"/>
    <w:rsid w:val="00900ED9"/>
    <w:rsid w:val="009013F6"/>
    <w:rsid w:val="00901880"/>
    <w:rsid w:val="009018CE"/>
    <w:rsid w:val="00901BEE"/>
    <w:rsid w:val="00901D16"/>
    <w:rsid w:val="00901EB2"/>
    <w:rsid w:val="009024D4"/>
    <w:rsid w:val="00902AA5"/>
    <w:rsid w:val="009044CE"/>
    <w:rsid w:val="00904F14"/>
    <w:rsid w:val="0090562E"/>
    <w:rsid w:val="00905A66"/>
    <w:rsid w:val="00905DB4"/>
    <w:rsid w:val="00906446"/>
    <w:rsid w:val="00906459"/>
    <w:rsid w:val="00906C94"/>
    <w:rsid w:val="00911100"/>
    <w:rsid w:val="009130F8"/>
    <w:rsid w:val="00913494"/>
    <w:rsid w:val="009134BC"/>
    <w:rsid w:val="00913574"/>
    <w:rsid w:val="00913699"/>
    <w:rsid w:val="00913C46"/>
    <w:rsid w:val="00913F80"/>
    <w:rsid w:val="009144AB"/>
    <w:rsid w:val="00914654"/>
    <w:rsid w:val="00914F50"/>
    <w:rsid w:val="009152A9"/>
    <w:rsid w:val="00915CC4"/>
    <w:rsid w:val="0091602F"/>
    <w:rsid w:val="00916161"/>
    <w:rsid w:val="00916292"/>
    <w:rsid w:val="00916BE3"/>
    <w:rsid w:val="009175C2"/>
    <w:rsid w:val="0091789A"/>
    <w:rsid w:val="00917BAD"/>
    <w:rsid w:val="00917D64"/>
    <w:rsid w:val="009201D9"/>
    <w:rsid w:val="0092047A"/>
    <w:rsid w:val="009209BA"/>
    <w:rsid w:val="0092251C"/>
    <w:rsid w:val="009226C5"/>
    <w:rsid w:val="009229C9"/>
    <w:rsid w:val="0092357A"/>
    <w:rsid w:val="0092402B"/>
    <w:rsid w:val="00924346"/>
    <w:rsid w:val="00924588"/>
    <w:rsid w:val="009249A0"/>
    <w:rsid w:val="00924A9F"/>
    <w:rsid w:val="00925042"/>
    <w:rsid w:val="009251E0"/>
    <w:rsid w:val="00925E8E"/>
    <w:rsid w:val="009269BD"/>
    <w:rsid w:val="00926AA3"/>
    <w:rsid w:val="00927B07"/>
    <w:rsid w:val="009303D6"/>
    <w:rsid w:val="009306E3"/>
    <w:rsid w:val="00930B44"/>
    <w:rsid w:val="00931225"/>
    <w:rsid w:val="0093126B"/>
    <w:rsid w:val="0093128F"/>
    <w:rsid w:val="00931CCE"/>
    <w:rsid w:val="00931D72"/>
    <w:rsid w:val="00932288"/>
    <w:rsid w:val="00932774"/>
    <w:rsid w:val="00933023"/>
    <w:rsid w:val="00933603"/>
    <w:rsid w:val="009350DA"/>
    <w:rsid w:val="0093570B"/>
    <w:rsid w:val="009357E4"/>
    <w:rsid w:val="009362C2"/>
    <w:rsid w:val="0093646B"/>
    <w:rsid w:val="00937522"/>
    <w:rsid w:val="0093791B"/>
    <w:rsid w:val="009401AB"/>
    <w:rsid w:val="00940D6C"/>
    <w:rsid w:val="00941303"/>
    <w:rsid w:val="0094165E"/>
    <w:rsid w:val="00941FD2"/>
    <w:rsid w:val="009429B6"/>
    <w:rsid w:val="009443AE"/>
    <w:rsid w:val="00944B51"/>
    <w:rsid w:val="00944BA6"/>
    <w:rsid w:val="00944CFB"/>
    <w:rsid w:val="00944F50"/>
    <w:rsid w:val="00945022"/>
    <w:rsid w:val="00945199"/>
    <w:rsid w:val="009457AA"/>
    <w:rsid w:val="00945A29"/>
    <w:rsid w:val="00945BA0"/>
    <w:rsid w:val="00946797"/>
    <w:rsid w:val="00946800"/>
    <w:rsid w:val="00946822"/>
    <w:rsid w:val="00947C03"/>
    <w:rsid w:val="009511EB"/>
    <w:rsid w:val="00951479"/>
    <w:rsid w:val="00951870"/>
    <w:rsid w:val="00951EE6"/>
    <w:rsid w:val="00952B25"/>
    <w:rsid w:val="0095390F"/>
    <w:rsid w:val="00953D69"/>
    <w:rsid w:val="00954226"/>
    <w:rsid w:val="00954658"/>
    <w:rsid w:val="00956153"/>
    <w:rsid w:val="009561B4"/>
    <w:rsid w:val="009565AE"/>
    <w:rsid w:val="00956AA3"/>
    <w:rsid w:val="009574B7"/>
    <w:rsid w:val="009605F6"/>
    <w:rsid w:val="009611D3"/>
    <w:rsid w:val="0096138E"/>
    <w:rsid w:val="0096171A"/>
    <w:rsid w:val="00962193"/>
    <w:rsid w:val="009627CF"/>
    <w:rsid w:val="00962A11"/>
    <w:rsid w:val="00962E7D"/>
    <w:rsid w:val="0096406A"/>
    <w:rsid w:val="00964A4F"/>
    <w:rsid w:val="00964B6C"/>
    <w:rsid w:val="00964D10"/>
    <w:rsid w:val="00965153"/>
    <w:rsid w:val="00965371"/>
    <w:rsid w:val="00965468"/>
    <w:rsid w:val="00965874"/>
    <w:rsid w:val="00965E71"/>
    <w:rsid w:val="009667F1"/>
    <w:rsid w:val="009668D3"/>
    <w:rsid w:val="009670C2"/>
    <w:rsid w:val="00970100"/>
    <w:rsid w:val="0097040B"/>
    <w:rsid w:val="0097088C"/>
    <w:rsid w:val="00972177"/>
    <w:rsid w:val="00973222"/>
    <w:rsid w:val="00973DF4"/>
    <w:rsid w:val="00974624"/>
    <w:rsid w:val="00975087"/>
    <w:rsid w:val="0097574B"/>
    <w:rsid w:val="00975C59"/>
    <w:rsid w:val="00975DEE"/>
    <w:rsid w:val="00976215"/>
    <w:rsid w:val="00976309"/>
    <w:rsid w:val="00976487"/>
    <w:rsid w:val="0097700C"/>
    <w:rsid w:val="009773D6"/>
    <w:rsid w:val="00977A8A"/>
    <w:rsid w:val="00977C0C"/>
    <w:rsid w:val="00980692"/>
    <w:rsid w:val="009808B3"/>
    <w:rsid w:val="009808F5"/>
    <w:rsid w:val="0098149C"/>
    <w:rsid w:val="00982626"/>
    <w:rsid w:val="00982DCA"/>
    <w:rsid w:val="00982E5A"/>
    <w:rsid w:val="00983210"/>
    <w:rsid w:val="009833D1"/>
    <w:rsid w:val="0098376A"/>
    <w:rsid w:val="00983F50"/>
    <w:rsid w:val="0098413C"/>
    <w:rsid w:val="0098560B"/>
    <w:rsid w:val="0098605C"/>
    <w:rsid w:val="0098675C"/>
    <w:rsid w:val="00987290"/>
    <w:rsid w:val="009872EB"/>
    <w:rsid w:val="009876EE"/>
    <w:rsid w:val="00987AA2"/>
    <w:rsid w:val="00987B8C"/>
    <w:rsid w:val="00987CEE"/>
    <w:rsid w:val="00990650"/>
    <w:rsid w:val="00990C19"/>
    <w:rsid w:val="00991530"/>
    <w:rsid w:val="009916DA"/>
    <w:rsid w:val="00991932"/>
    <w:rsid w:val="00991D80"/>
    <w:rsid w:val="00991EA5"/>
    <w:rsid w:val="009920AC"/>
    <w:rsid w:val="00992B33"/>
    <w:rsid w:val="00993D2F"/>
    <w:rsid w:val="009945E8"/>
    <w:rsid w:val="00994FC7"/>
    <w:rsid w:val="009959BD"/>
    <w:rsid w:val="00995E92"/>
    <w:rsid w:val="00996363"/>
    <w:rsid w:val="009964CD"/>
    <w:rsid w:val="009967CE"/>
    <w:rsid w:val="00997309"/>
    <w:rsid w:val="00997DE4"/>
    <w:rsid w:val="009A0338"/>
    <w:rsid w:val="009A055F"/>
    <w:rsid w:val="009A0F7D"/>
    <w:rsid w:val="009A1344"/>
    <w:rsid w:val="009A1365"/>
    <w:rsid w:val="009A14FA"/>
    <w:rsid w:val="009A20BC"/>
    <w:rsid w:val="009A24FB"/>
    <w:rsid w:val="009A26E1"/>
    <w:rsid w:val="009A2CF1"/>
    <w:rsid w:val="009A363C"/>
    <w:rsid w:val="009A3C08"/>
    <w:rsid w:val="009A3C57"/>
    <w:rsid w:val="009A4A0D"/>
    <w:rsid w:val="009A4AA5"/>
    <w:rsid w:val="009A55FF"/>
    <w:rsid w:val="009A57CD"/>
    <w:rsid w:val="009A5D5A"/>
    <w:rsid w:val="009A5DEE"/>
    <w:rsid w:val="009A6277"/>
    <w:rsid w:val="009A6783"/>
    <w:rsid w:val="009A73C8"/>
    <w:rsid w:val="009A76E5"/>
    <w:rsid w:val="009A7788"/>
    <w:rsid w:val="009A7AFF"/>
    <w:rsid w:val="009A7D13"/>
    <w:rsid w:val="009B0472"/>
    <w:rsid w:val="009B0773"/>
    <w:rsid w:val="009B0DA6"/>
    <w:rsid w:val="009B1362"/>
    <w:rsid w:val="009B1A87"/>
    <w:rsid w:val="009B1B04"/>
    <w:rsid w:val="009B21EE"/>
    <w:rsid w:val="009B2247"/>
    <w:rsid w:val="009B2576"/>
    <w:rsid w:val="009B297F"/>
    <w:rsid w:val="009B298D"/>
    <w:rsid w:val="009B31C1"/>
    <w:rsid w:val="009B3D52"/>
    <w:rsid w:val="009B4548"/>
    <w:rsid w:val="009B4699"/>
    <w:rsid w:val="009B4E55"/>
    <w:rsid w:val="009B5487"/>
    <w:rsid w:val="009B55EE"/>
    <w:rsid w:val="009B5882"/>
    <w:rsid w:val="009B6644"/>
    <w:rsid w:val="009B69BA"/>
    <w:rsid w:val="009C0631"/>
    <w:rsid w:val="009C1008"/>
    <w:rsid w:val="009C1AFF"/>
    <w:rsid w:val="009C218C"/>
    <w:rsid w:val="009C21E3"/>
    <w:rsid w:val="009C222F"/>
    <w:rsid w:val="009C25F1"/>
    <w:rsid w:val="009C2C60"/>
    <w:rsid w:val="009C3B12"/>
    <w:rsid w:val="009C3EC8"/>
    <w:rsid w:val="009C4186"/>
    <w:rsid w:val="009C47F5"/>
    <w:rsid w:val="009C59C1"/>
    <w:rsid w:val="009C5FB2"/>
    <w:rsid w:val="009C6134"/>
    <w:rsid w:val="009C7301"/>
    <w:rsid w:val="009C7484"/>
    <w:rsid w:val="009C749C"/>
    <w:rsid w:val="009C788F"/>
    <w:rsid w:val="009C795B"/>
    <w:rsid w:val="009C7ACB"/>
    <w:rsid w:val="009C7EF2"/>
    <w:rsid w:val="009D0643"/>
    <w:rsid w:val="009D135A"/>
    <w:rsid w:val="009D16E4"/>
    <w:rsid w:val="009D1A50"/>
    <w:rsid w:val="009D2F15"/>
    <w:rsid w:val="009D321C"/>
    <w:rsid w:val="009D32F7"/>
    <w:rsid w:val="009D3F25"/>
    <w:rsid w:val="009D4A53"/>
    <w:rsid w:val="009D4B3F"/>
    <w:rsid w:val="009D500B"/>
    <w:rsid w:val="009D5228"/>
    <w:rsid w:val="009D57AF"/>
    <w:rsid w:val="009D5899"/>
    <w:rsid w:val="009D5EFF"/>
    <w:rsid w:val="009D60D2"/>
    <w:rsid w:val="009D648F"/>
    <w:rsid w:val="009D719E"/>
    <w:rsid w:val="009D737C"/>
    <w:rsid w:val="009D7683"/>
    <w:rsid w:val="009D7811"/>
    <w:rsid w:val="009D7E70"/>
    <w:rsid w:val="009D7EC6"/>
    <w:rsid w:val="009E0313"/>
    <w:rsid w:val="009E1C84"/>
    <w:rsid w:val="009E1E04"/>
    <w:rsid w:val="009E1FF9"/>
    <w:rsid w:val="009E4179"/>
    <w:rsid w:val="009E447B"/>
    <w:rsid w:val="009E4732"/>
    <w:rsid w:val="009E59F4"/>
    <w:rsid w:val="009E5C5E"/>
    <w:rsid w:val="009E5D79"/>
    <w:rsid w:val="009E7266"/>
    <w:rsid w:val="009E7D74"/>
    <w:rsid w:val="009F0190"/>
    <w:rsid w:val="009F047C"/>
    <w:rsid w:val="009F0F0E"/>
    <w:rsid w:val="009F1217"/>
    <w:rsid w:val="009F1D5A"/>
    <w:rsid w:val="009F1DEF"/>
    <w:rsid w:val="009F2418"/>
    <w:rsid w:val="009F2588"/>
    <w:rsid w:val="009F26DE"/>
    <w:rsid w:val="009F36C5"/>
    <w:rsid w:val="009F3CE4"/>
    <w:rsid w:val="009F3D5F"/>
    <w:rsid w:val="009F51A2"/>
    <w:rsid w:val="009F56CE"/>
    <w:rsid w:val="009F5C1C"/>
    <w:rsid w:val="009F5F4C"/>
    <w:rsid w:val="009F6D94"/>
    <w:rsid w:val="009F7480"/>
    <w:rsid w:val="009F7689"/>
    <w:rsid w:val="00A00170"/>
    <w:rsid w:val="00A00BB2"/>
    <w:rsid w:val="00A013B0"/>
    <w:rsid w:val="00A017CD"/>
    <w:rsid w:val="00A01E51"/>
    <w:rsid w:val="00A04494"/>
    <w:rsid w:val="00A04EC8"/>
    <w:rsid w:val="00A0546E"/>
    <w:rsid w:val="00A0551C"/>
    <w:rsid w:val="00A05BB8"/>
    <w:rsid w:val="00A06295"/>
    <w:rsid w:val="00A06427"/>
    <w:rsid w:val="00A07156"/>
    <w:rsid w:val="00A076BA"/>
    <w:rsid w:val="00A11B67"/>
    <w:rsid w:val="00A121A7"/>
    <w:rsid w:val="00A12416"/>
    <w:rsid w:val="00A125BD"/>
    <w:rsid w:val="00A12C45"/>
    <w:rsid w:val="00A136C6"/>
    <w:rsid w:val="00A136CE"/>
    <w:rsid w:val="00A13755"/>
    <w:rsid w:val="00A13A89"/>
    <w:rsid w:val="00A13AA8"/>
    <w:rsid w:val="00A13FE3"/>
    <w:rsid w:val="00A14158"/>
    <w:rsid w:val="00A14256"/>
    <w:rsid w:val="00A146AA"/>
    <w:rsid w:val="00A14BAC"/>
    <w:rsid w:val="00A14D5C"/>
    <w:rsid w:val="00A15326"/>
    <w:rsid w:val="00A154F9"/>
    <w:rsid w:val="00A15D6B"/>
    <w:rsid w:val="00A15F65"/>
    <w:rsid w:val="00A1666B"/>
    <w:rsid w:val="00A16D77"/>
    <w:rsid w:val="00A16DD2"/>
    <w:rsid w:val="00A16FBE"/>
    <w:rsid w:val="00A170A7"/>
    <w:rsid w:val="00A17BA4"/>
    <w:rsid w:val="00A207DC"/>
    <w:rsid w:val="00A20CEB"/>
    <w:rsid w:val="00A21118"/>
    <w:rsid w:val="00A22977"/>
    <w:rsid w:val="00A229E4"/>
    <w:rsid w:val="00A232E0"/>
    <w:rsid w:val="00A234D4"/>
    <w:rsid w:val="00A23A82"/>
    <w:rsid w:val="00A241F9"/>
    <w:rsid w:val="00A24437"/>
    <w:rsid w:val="00A252B6"/>
    <w:rsid w:val="00A25FFF"/>
    <w:rsid w:val="00A2607B"/>
    <w:rsid w:val="00A27980"/>
    <w:rsid w:val="00A27A38"/>
    <w:rsid w:val="00A27C3C"/>
    <w:rsid w:val="00A27D03"/>
    <w:rsid w:val="00A27DB4"/>
    <w:rsid w:val="00A303A5"/>
    <w:rsid w:val="00A30430"/>
    <w:rsid w:val="00A30E89"/>
    <w:rsid w:val="00A314A0"/>
    <w:rsid w:val="00A31ADE"/>
    <w:rsid w:val="00A31C7D"/>
    <w:rsid w:val="00A320DB"/>
    <w:rsid w:val="00A3249C"/>
    <w:rsid w:val="00A3295D"/>
    <w:rsid w:val="00A32A75"/>
    <w:rsid w:val="00A32F43"/>
    <w:rsid w:val="00A33BE0"/>
    <w:rsid w:val="00A33C93"/>
    <w:rsid w:val="00A3410E"/>
    <w:rsid w:val="00A3522A"/>
    <w:rsid w:val="00A35ACD"/>
    <w:rsid w:val="00A35AFF"/>
    <w:rsid w:val="00A36A84"/>
    <w:rsid w:val="00A370B4"/>
    <w:rsid w:val="00A37836"/>
    <w:rsid w:val="00A406E6"/>
    <w:rsid w:val="00A41B17"/>
    <w:rsid w:val="00A421B2"/>
    <w:rsid w:val="00A4292D"/>
    <w:rsid w:val="00A42E17"/>
    <w:rsid w:val="00A4329A"/>
    <w:rsid w:val="00A4334A"/>
    <w:rsid w:val="00A43DB0"/>
    <w:rsid w:val="00A443E2"/>
    <w:rsid w:val="00A450A0"/>
    <w:rsid w:val="00A45961"/>
    <w:rsid w:val="00A45B2B"/>
    <w:rsid w:val="00A4621A"/>
    <w:rsid w:val="00A46B6F"/>
    <w:rsid w:val="00A4787F"/>
    <w:rsid w:val="00A47C6D"/>
    <w:rsid w:val="00A5091A"/>
    <w:rsid w:val="00A50E22"/>
    <w:rsid w:val="00A5145B"/>
    <w:rsid w:val="00A51586"/>
    <w:rsid w:val="00A5192E"/>
    <w:rsid w:val="00A52936"/>
    <w:rsid w:val="00A52EE9"/>
    <w:rsid w:val="00A53746"/>
    <w:rsid w:val="00A54141"/>
    <w:rsid w:val="00A541FD"/>
    <w:rsid w:val="00A54589"/>
    <w:rsid w:val="00A54811"/>
    <w:rsid w:val="00A54BD8"/>
    <w:rsid w:val="00A54CB9"/>
    <w:rsid w:val="00A551E5"/>
    <w:rsid w:val="00A55987"/>
    <w:rsid w:val="00A560B3"/>
    <w:rsid w:val="00A56340"/>
    <w:rsid w:val="00A565AC"/>
    <w:rsid w:val="00A57688"/>
    <w:rsid w:val="00A57A69"/>
    <w:rsid w:val="00A57F82"/>
    <w:rsid w:val="00A60351"/>
    <w:rsid w:val="00A607BD"/>
    <w:rsid w:val="00A608B7"/>
    <w:rsid w:val="00A60B3B"/>
    <w:rsid w:val="00A60FE1"/>
    <w:rsid w:val="00A61836"/>
    <w:rsid w:val="00A61853"/>
    <w:rsid w:val="00A618C6"/>
    <w:rsid w:val="00A622E3"/>
    <w:rsid w:val="00A62436"/>
    <w:rsid w:val="00A62A4D"/>
    <w:rsid w:val="00A62CC5"/>
    <w:rsid w:val="00A6317B"/>
    <w:rsid w:val="00A63184"/>
    <w:rsid w:val="00A639B1"/>
    <w:rsid w:val="00A63A95"/>
    <w:rsid w:val="00A63DF1"/>
    <w:rsid w:val="00A63F97"/>
    <w:rsid w:val="00A6410C"/>
    <w:rsid w:val="00A6421C"/>
    <w:rsid w:val="00A6435A"/>
    <w:rsid w:val="00A647CD"/>
    <w:rsid w:val="00A6560B"/>
    <w:rsid w:val="00A65C42"/>
    <w:rsid w:val="00A65EF7"/>
    <w:rsid w:val="00A66396"/>
    <w:rsid w:val="00A671D1"/>
    <w:rsid w:val="00A67879"/>
    <w:rsid w:val="00A67EF5"/>
    <w:rsid w:val="00A7218B"/>
    <w:rsid w:val="00A7234D"/>
    <w:rsid w:val="00A72703"/>
    <w:rsid w:val="00A72852"/>
    <w:rsid w:val="00A72E28"/>
    <w:rsid w:val="00A732BA"/>
    <w:rsid w:val="00A74454"/>
    <w:rsid w:val="00A754DD"/>
    <w:rsid w:val="00A75510"/>
    <w:rsid w:val="00A75723"/>
    <w:rsid w:val="00A75E47"/>
    <w:rsid w:val="00A766AD"/>
    <w:rsid w:val="00A76961"/>
    <w:rsid w:val="00A76BFB"/>
    <w:rsid w:val="00A8122B"/>
    <w:rsid w:val="00A81726"/>
    <w:rsid w:val="00A81A20"/>
    <w:rsid w:val="00A81B8D"/>
    <w:rsid w:val="00A81D7B"/>
    <w:rsid w:val="00A81EC8"/>
    <w:rsid w:val="00A82EDC"/>
    <w:rsid w:val="00A82F09"/>
    <w:rsid w:val="00A8326D"/>
    <w:rsid w:val="00A83DDC"/>
    <w:rsid w:val="00A83F37"/>
    <w:rsid w:val="00A84018"/>
    <w:rsid w:val="00A84AF3"/>
    <w:rsid w:val="00A84BED"/>
    <w:rsid w:val="00A8536F"/>
    <w:rsid w:val="00A85511"/>
    <w:rsid w:val="00A857C4"/>
    <w:rsid w:val="00A85CD9"/>
    <w:rsid w:val="00A85E27"/>
    <w:rsid w:val="00A86D6F"/>
    <w:rsid w:val="00A86E3E"/>
    <w:rsid w:val="00A875A7"/>
    <w:rsid w:val="00A87BAE"/>
    <w:rsid w:val="00A9015D"/>
    <w:rsid w:val="00A90976"/>
    <w:rsid w:val="00A90B03"/>
    <w:rsid w:val="00A913A1"/>
    <w:rsid w:val="00A91ACB"/>
    <w:rsid w:val="00A92584"/>
    <w:rsid w:val="00A925DB"/>
    <w:rsid w:val="00A93DC6"/>
    <w:rsid w:val="00A94354"/>
    <w:rsid w:val="00A94796"/>
    <w:rsid w:val="00A94CEF"/>
    <w:rsid w:val="00A9501F"/>
    <w:rsid w:val="00A951AC"/>
    <w:rsid w:val="00A951C2"/>
    <w:rsid w:val="00A95452"/>
    <w:rsid w:val="00A95EE0"/>
    <w:rsid w:val="00A96B79"/>
    <w:rsid w:val="00A96EF6"/>
    <w:rsid w:val="00A97CF6"/>
    <w:rsid w:val="00AA096E"/>
    <w:rsid w:val="00AA1293"/>
    <w:rsid w:val="00AA14C3"/>
    <w:rsid w:val="00AA188D"/>
    <w:rsid w:val="00AA3EDF"/>
    <w:rsid w:val="00AA4239"/>
    <w:rsid w:val="00AA4D46"/>
    <w:rsid w:val="00AA5361"/>
    <w:rsid w:val="00AA54AE"/>
    <w:rsid w:val="00AA6816"/>
    <w:rsid w:val="00AA69E5"/>
    <w:rsid w:val="00AA7322"/>
    <w:rsid w:val="00AA75CE"/>
    <w:rsid w:val="00AB023A"/>
    <w:rsid w:val="00AB0C43"/>
    <w:rsid w:val="00AB1098"/>
    <w:rsid w:val="00AB173C"/>
    <w:rsid w:val="00AB188D"/>
    <w:rsid w:val="00AB1B38"/>
    <w:rsid w:val="00AB217D"/>
    <w:rsid w:val="00AB2581"/>
    <w:rsid w:val="00AB2643"/>
    <w:rsid w:val="00AB27C6"/>
    <w:rsid w:val="00AB3031"/>
    <w:rsid w:val="00AB32E7"/>
    <w:rsid w:val="00AB3379"/>
    <w:rsid w:val="00AB3F05"/>
    <w:rsid w:val="00AB4013"/>
    <w:rsid w:val="00AB462F"/>
    <w:rsid w:val="00AB4BB5"/>
    <w:rsid w:val="00AB4C0D"/>
    <w:rsid w:val="00AB557D"/>
    <w:rsid w:val="00AB6477"/>
    <w:rsid w:val="00AB6533"/>
    <w:rsid w:val="00AB689D"/>
    <w:rsid w:val="00AB6EB6"/>
    <w:rsid w:val="00AB7675"/>
    <w:rsid w:val="00AB7AA7"/>
    <w:rsid w:val="00AB7E48"/>
    <w:rsid w:val="00AC070D"/>
    <w:rsid w:val="00AC1A14"/>
    <w:rsid w:val="00AC2A94"/>
    <w:rsid w:val="00AC322C"/>
    <w:rsid w:val="00AC33E2"/>
    <w:rsid w:val="00AC3674"/>
    <w:rsid w:val="00AC4423"/>
    <w:rsid w:val="00AC4A20"/>
    <w:rsid w:val="00AC4FEA"/>
    <w:rsid w:val="00AC5213"/>
    <w:rsid w:val="00AC53F3"/>
    <w:rsid w:val="00AC56B3"/>
    <w:rsid w:val="00AC584E"/>
    <w:rsid w:val="00AC5B6E"/>
    <w:rsid w:val="00AC5E1A"/>
    <w:rsid w:val="00AC7B80"/>
    <w:rsid w:val="00AD0A32"/>
    <w:rsid w:val="00AD1442"/>
    <w:rsid w:val="00AD14AB"/>
    <w:rsid w:val="00AD1B73"/>
    <w:rsid w:val="00AD20ED"/>
    <w:rsid w:val="00AD20FA"/>
    <w:rsid w:val="00AD2CBD"/>
    <w:rsid w:val="00AD2DAA"/>
    <w:rsid w:val="00AD2DED"/>
    <w:rsid w:val="00AD2F04"/>
    <w:rsid w:val="00AD2FE7"/>
    <w:rsid w:val="00AD30DD"/>
    <w:rsid w:val="00AD39EF"/>
    <w:rsid w:val="00AD3BC2"/>
    <w:rsid w:val="00AD4264"/>
    <w:rsid w:val="00AD4434"/>
    <w:rsid w:val="00AD53AA"/>
    <w:rsid w:val="00AD72BC"/>
    <w:rsid w:val="00AD79BF"/>
    <w:rsid w:val="00AD7C84"/>
    <w:rsid w:val="00AE03CE"/>
    <w:rsid w:val="00AE07E1"/>
    <w:rsid w:val="00AE1170"/>
    <w:rsid w:val="00AE1D52"/>
    <w:rsid w:val="00AE2133"/>
    <w:rsid w:val="00AE2622"/>
    <w:rsid w:val="00AE43F4"/>
    <w:rsid w:val="00AE4550"/>
    <w:rsid w:val="00AE4D32"/>
    <w:rsid w:val="00AE5099"/>
    <w:rsid w:val="00AE50D3"/>
    <w:rsid w:val="00AE597B"/>
    <w:rsid w:val="00AE5A64"/>
    <w:rsid w:val="00AE606A"/>
    <w:rsid w:val="00AE7312"/>
    <w:rsid w:val="00AF013B"/>
    <w:rsid w:val="00AF0A66"/>
    <w:rsid w:val="00AF0B6C"/>
    <w:rsid w:val="00AF0CF8"/>
    <w:rsid w:val="00AF218F"/>
    <w:rsid w:val="00AF262C"/>
    <w:rsid w:val="00AF381C"/>
    <w:rsid w:val="00AF415A"/>
    <w:rsid w:val="00AF4288"/>
    <w:rsid w:val="00AF44F2"/>
    <w:rsid w:val="00AF4950"/>
    <w:rsid w:val="00AF53AB"/>
    <w:rsid w:val="00AF53BA"/>
    <w:rsid w:val="00AF69B4"/>
    <w:rsid w:val="00AF717B"/>
    <w:rsid w:val="00B00415"/>
    <w:rsid w:val="00B00CD0"/>
    <w:rsid w:val="00B00D77"/>
    <w:rsid w:val="00B0117B"/>
    <w:rsid w:val="00B011BD"/>
    <w:rsid w:val="00B01283"/>
    <w:rsid w:val="00B0153C"/>
    <w:rsid w:val="00B02A46"/>
    <w:rsid w:val="00B03253"/>
    <w:rsid w:val="00B035B9"/>
    <w:rsid w:val="00B03EBB"/>
    <w:rsid w:val="00B04DD4"/>
    <w:rsid w:val="00B0530B"/>
    <w:rsid w:val="00B05993"/>
    <w:rsid w:val="00B060CD"/>
    <w:rsid w:val="00B0686C"/>
    <w:rsid w:val="00B06E97"/>
    <w:rsid w:val="00B077F2"/>
    <w:rsid w:val="00B102AD"/>
    <w:rsid w:val="00B10681"/>
    <w:rsid w:val="00B10B50"/>
    <w:rsid w:val="00B116D4"/>
    <w:rsid w:val="00B1238A"/>
    <w:rsid w:val="00B134E7"/>
    <w:rsid w:val="00B13A79"/>
    <w:rsid w:val="00B13FC8"/>
    <w:rsid w:val="00B14B59"/>
    <w:rsid w:val="00B14FC0"/>
    <w:rsid w:val="00B159F7"/>
    <w:rsid w:val="00B1649D"/>
    <w:rsid w:val="00B16524"/>
    <w:rsid w:val="00B165E7"/>
    <w:rsid w:val="00B16E86"/>
    <w:rsid w:val="00B17315"/>
    <w:rsid w:val="00B20364"/>
    <w:rsid w:val="00B20661"/>
    <w:rsid w:val="00B2130C"/>
    <w:rsid w:val="00B215D0"/>
    <w:rsid w:val="00B219ED"/>
    <w:rsid w:val="00B21EDE"/>
    <w:rsid w:val="00B226A9"/>
    <w:rsid w:val="00B2300D"/>
    <w:rsid w:val="00B230F6"/>
    <w:rsid w:val="00B23139"/>
    <w:rsid w:val="00B232D6"/>
    <w:rsid w:val="00B23368"/>
    <w:rsid w:val="00B23539"/>
    <w:rsid w:val="00B23551"/>
    <w:rsid w:val="00B23639"/>
    <w:rsid w:val="00B2482B"/>
    <w:rsid w:val="00B24DC8"/>
    <w:rsid w:val="00B25335"/>
    <w:rsid w:val="00B2556A"/>
    <w:rsid w:val="00B2564C"/>
    <w:rsid w:val="00B25FA0"/>
    <w:rsid w:val="00B26391"/>
    <w:rsid w:val="00B26A06"/>
    <w:rsid w:val="00B27AD5"/>
    <w:rsid w:val="00B27F3D"/>
    <w:rsid w:val="00B30E74"/>
    <w:rsid w:val="00B3108F"/>
    <w:rsid w:val="00B3114E"/>
    <w:rsid w:val="00B3148D"/>
    <w:rsid w:val="00B31CC5"/>
    <w:rsid w:val="00B32AD4"/>
    <w:rsid w:val="00B3357B"/>
    <w:rsid w:val="00B33D79"/>
    <w:rsid w:val="00B33E3B"/>
    <w:rsid w:val="00B33F59"/>
    <w:rsid w:val="00B34483"/>
    <w:rsid w:val="00B34DAE"/>
    <w:rsid w:val="00B359E3"/>
    <w:rsid w:val="00B365CA"/>
    <w:rsid w:val="00B36CA1"/>
    <w:rsid w:val="00B379C8"/>
    <w:rsid w:val="00B40514"/>
    <w:rsid w:val="00B40DCD"/>
    <w:rsid w:val="00B41014"/>
    <w:rsid w:val="00B41534"/>
    <w:rsid w:val="00B4154B"/>
    <w:rsid w:val="00B41784"/>
    <w:rsid w:val="00B42E68"/>
    <w:rsid w:val="00B43910"/>
    <w:rsid w:val="00B4420E"/>
    <w:rsid w:val="00B44DFC"/>
    <w:rsid w:val="00B45669"/>
    <w:rsid w:val="00B46554"/>
    <w:rsid w:val="00B466F0"/>
    <w:rsid w:val="00B467BB"/>
    <w:rsid w:val="00B47E3B"/>
    <w:rsid w:val="00B50892"/>
    <w:rsid w:val="00B511ED"/>
    <w:rsid w:val="00B51602"/>
    <w:rsid w:val="00B51F21"/>
    <w:rsid w:val="00B52540"/>
    <w:rsid w:val="00B5264A"/>
    <w:rsid w:val="00B53C34"/>
    <w:rsid w:val="00B53F0D"/>
    <w:rsid w:val="00B5455A"/>
    <w:rsid w:val="00B5657A"/>
    <w:rsid w:val="00B56966"/>
    <w:rsid w:val="00B56B84"/>
    <w:rsid w:val="00B57961"/>
    <w:rsid w:val="00B57C56"/>
    <w:rsid w:val="00B60BE1"/>
    <w:rsid w:val="00B61614"/>
    <w:rsid w:val="00B61672"/>
    <w:rsid w:val="00B61B8F"/>
    <w:rsid w:val="00B61EEB"/>
    <w:rsid w:val="00B62488"/>
    <w:rsid w:val="00B628A4"/>
    <w:rsid w:val="00B62D2F"/>
    <w:rsid w:val="00B63293"/>
    <w:rsid w:val="00B635D3"/>
    <w:rsid w:val="00B64774"/>
    <w:rsid w:val="00B64B13"/>
    <w:rsid w:val="00B64D8D"/>
    <w:rsid w:val="00B64E06"/>
    <w:rsid w:val="00B65CB5"/>
    <w:rsid w:val="00B65D4A"/>
    <w:rsid w:val="00B668FC"/>
    <w:rsid w:val="00B66B65"/>
    <w:rsid w:val="00B70A11"/>
    <w:rsid w:val="00B70F06"/>
    <w:rsid w:val="00B70FEF"/>
    <w:rsid w:val="00B7145B"/>
    <w:rsid w:val="00B71881"/>
    <w:rsid w:val="00B718FB"/>
    <w:rsid w:val="00B721B5"/>
    <w:rsid w:val="00B7241F"/>
    <w:rsid w:val="00B728FD"/>
    <w:rsid w:val="00B72FA4"/>
    <w:rsid w:val="00B73290"/>
    <w:rsid w:val="00B7374F"/>
    <w:rsid w:val="00B74500"/>
    <w:rsid w:val="00B74AFB"/>
    <w:rsid w:val="00B7547E"/>
    <w:rsid w:val="00B754EA"/>
    <w:rsid w:val="00B75A04"/>
    <w:rsid w:val="00B7605A"/>
    <w:rsid w:val="00B760EE"/>
    <w:rsid w:val="00B768AD"/>
    <w:rsid w:val="00B76D77"/>
    <w:rsid w:val="00B7702D"/>
    <w:rsid w:val="00B774E3"/>
    <w:rsid w:val="00B7761D"/>
    <w:rsid w:val="00B77BCD"/>
    <w:rsid w:val="00B77E2A"/>
    <w:rsid w:val="00B8050E"/>
    <w:rsid w:val="00B80BF0"/>
    <w:rsid w:val="00B80E48"/>
    <w:rsid w:val="00B810CD"/>
    <w:rsid w:val="00B81196"/>
    <w:rsid w:val="00B81393"/>
    <w:rsid w:val="00B81607"/>
    <w:rsid w:val="00B81787"/>
    <w:rsid w:val="00B8203D"/>
    <w:rsid w:val="00B8280A"/>
    <w:rsid w:val="00B83638"/>
    <w:rsid w:val="00B839BC"/>
    <w:rsid w:val="00B83C5F"/>
    <w:rsid w:val="00B84738"/>
    <w:rsid w:val="00B84B83"/>
    <w:rsid w:val="00B8517C"/>
    <w:rsid w:val="00B853F9"/>
    <w:rsid w:val="00B8583D"/>
    <w:rsid w:val="00B860D7"/>
    <w:rsid w:val="00B86158"/>
    <w:rsid w:val="00B868DC"/>
    <w:rsid w:val="00B92342"/>
    <w:rsid w:val="00B92412"/>
    <w:rsid w:val="00B92971"/>
    <w:rsid w:val="00B92D1A"/>
    <w:rsid w:val="00B93445"/>
    <w:rsid w:val="00B93720"/>
    <w:rsid w:val="00B938AB"/>
    <w:rsid w:val="00B939A1"/>
    <w:rsid w:val="00B93B87"/>
    <w:rsid w:val="00B9423E"/>
    <w:rsid w:val="00B9431E"/>
    <w:rsid w:val="00B9465D"/>
    <w:rsid w:val="00B9473D"/>
    <w:rsid w:val="00B94881"/>
    <w:rsid w:val="00B9517B"/>
    <w:rsid w:val="00B954D6"/>
    <w:rsid w:val="00B95517"/>
    <w:rsid w:val="00B95C12"/>
    <w:rsid w:val="00B961F1"/>
    <w:rsid w:val="00B96885"/>
    <w:rsid w:val="00B96C4E"/>
    <w:rsid w:val="00B973E7"/>
    <w:rsid w:val="00B979CC"/>
    <w:rsid w:val="00B97C50"/>
    <w:rsid w:val="00BA0AC7"/>
    <w:rsid w:val="00BA1434"/>
    <w:rsid w:val="00BA261C"/>
    <w:rsid w:val="00BA2DF6"/>
    <w:rsid w:val="00BA3212"/>
    <w:rsid w:val="00BA3B4B"/>
    <w:rsid w:val="00BA40BE"/>
    <w:rsid w:val="00BA467B"/>
    <w:rsid w:val="00BA4D41"/>
    <w:rsid w:val="00BA57F5"/>
    <w:rsid w:val="00BA58BB"/>
    <w:rsid w:val="00BA67FC"/>
    <w:rsid w:val="00BA6B8E"/>
    <w:rsid w:val="00BA6C85"/>
    <w:rsid w:val="00BA70FF"/>
    <w:rsid w:val="00BA711E"/>
    <w:rsid w:val="00BA7285"/>
    <w:rsid w:val="00BA7BE8"/>
    <w:rsid w:val="00BB08F7"/>
    <w:rsid w:val="00BB0BA7"/>
    <w:rsid w:val="00BB0CA1"/>
    <w:rsid w:val="00BB0EAB"/>
    <w:rsid w:val="00BB133D"/>
    <w:rsid w:val="00BB1924"/>
    <w:rsid w:val="00BB222A"/>
    <w:rsid w:val="00BB2616"/>
    <w:rsid w:val="00BB26EB"/>
    <w:rsid w:val="00BB2C15"/>
    <w:rsid w:val="00BB2FDC"/>
    <w:rsid w:val="00BB37AA"/>
    <w:rsid w:val="00BB3C8A"/>
    <w:rsid w:val="00BB4049"/>
    <w:rsid w:val="00BB5150"/>
    <w:rsid w:val="00BB5E0A"/>
    <w:rsid w:val="00BB7AF7"/>
    <w:rsid w:val="00BC00C1"/>
    <w:rsid w:val="00BC0230"/>
    <w:rsid w:val="00BC0688"/>
    <w:rsid w:val="00BC11B0"/>
    <w:rsid w:val="00BC1478"/>
    <w:rsid w:val="00BC1BFE"/>
    <w:rsid w:val="00BC1EF2"/>
    <w:rsid w:val="00BC2264"/>
    <w:rsid w:val="00BC2C3A"/>
    <w:rsid w:val="00BC358A"/>
    <w:rsid w:val="00BC3982"/>
    <w:rsid w:val="00BC3B6C"/>
    <w:rsid w:val="00BC3CA7"/>
    <w:rsid w:val="00BC3CE2"/>
    <w:rsid w:val="00BC3E3B"/>
    <w:rsid w:val="00BC52DE"/>
    <w:rsid w:val="00BC69C6"/>
    <w:rsid w:val="00BC6BFD"/>
    <w:rsid w:val="00BC6D8E"/>
    <w:rsid w:val="00BC7956"/>
    <w:rsid w:val="00BD0288"/>
    <w:rsid w:val="00BD02E6"/>
    <w:rsid w:val="00BD065D"/>
    <w:rsid w:val="00BD0B23"/>
    <w:rsid w:val="00BD0CF8"/>
    <w:rsid w:val="00BD0DDA"/>
    <w:rsid w:val="00BD0F7B"/>
    <w:rsid w:val="00BD1469"/>
    <w:rsid w:val="00BD154F"/>
    <w:rsid w:val="00BD1AFC"/>
    <w:rsid w:val="00BD1E2C"/>
    <w:rsid w:val="00BD1FF6"/>
    <w:rsid w:val="00BD2256"/>
    <w:rsid w:val="00BD24B6"/>
    <w:rsid w:val="00BD3080"/>
    <w:rsid w:val="00BD3124"/>
    <w:rsid w:val="00BD316A"/>
    <w:rsid w:val="00BD33EC"/>
    <w:rsid w:val="00BD3A94"/>
    <w:rsid w:val="00BD49DE"/>
    <w:rsid w:val="00BD4CF5"/>
    <w:rsid w:val="00BD5C38"/>
    <w:rsid w:val="00BD661C"/>
    <w:rsid w:val="00BD6C08"/>
    <w:rsid w:val="00BD72A6"/>
    <w:rsid w:val="00BD762F"/>
    <w:rsid w:val="00BD7A8E"/>
    <w:rsid w:val="00BD7D70"/>
    <w:rsid w:val="00BE0529"/>
    <w:rsid w:val="00BE09C7"/>
    <w:rsid w:val="00BE12EF"/>
    <w:rsid w:val="00BE1AA5"/>
    <w:rsid w:val="00BE1BBB"/>
    <w:rsid w:val="00BE2ACB"/>
    <w:rsid w:val="00BE3013"/>
    <w:rsid w:val="00BE367D"/>
    <w:rsid w:val="00BE3CB6"/>
    <w:rsid w:val="00BE4035"/>
    <w:rsid w:val="00BE4239"/>
    <w:rsid w:val="00BE4A58"/>
    <w:rsid w:val="00BE4B70"/>
    <w:rsid w:val="00BE4C67"/>
    <w:rsid w:val="00BE5120"/>
    <w:rsid w:val="00BE5756"/>
    <w:rsid w:val="00BE576D"/>
    <w:rsid w:val="00BE59E5"/>
    <w:rsid w:val="00BE64BF"/>
    <w:rsid w:val="00BE654A"/>
    <w:rsid w:val="00BE6653"/>
    <w:rsid w:val="00BE6B77"/>
    <w:rsid w:val="00BE7783"/>
    <w:rsid w:val="00BE7B46"/>
    <w:rsid w:val="00BF02D4"/>
    <w:rsid w:val="00BF0724"/>
    <w:rsid w:val="00BF15B9"/>
    <w:rsid w:val="00BF1896"/>
    <w:rsid w:val="00BF324E"/>
    <w:rsid w:val="00BF329F"/>
    <w:rsid w:val="00BF3D79"/>
    <w:rsid w:val="00BF3DDC"/>
    <w:rsid w:val="00BF4038"/>
    <w:rsid w:val="00BF4674"/>
    <w:rsid w:val="00BF47B7"/>
    <w:rsid w:val="00BF5020"/>
    <w:rsid w:val="00BF521F"/>
    <w:rsid w:val="00BF55BA"/>
    <w:rsid w:val="00BF58F2"/>
    <w:rsid w:val="00BF590D"/>
    <w:rsid w:val="00BF63BD"/>
    <w:rsid w:val="00BF6637"/>
    <w:rsid w:val="00BF756C"/>
    <w:rsid w:val="00BF7870"/>
    <w:rsid w:val="00BF794A"/>
    <w:rsid w:val="00BF7E92"/>
    <w:rsid w:val="00C00D9E"/>
    <w:rsid w:val="00C017D4"/>
    <w:rsid w:val="00C023E0"/>
    <w:rsid w:val="00C024DF"/>
    <w:rsid w:val="00C028F9"/>
    <w:rsid w:val="00C02F52"/>
    <w:rsid w:val="00C0308D"/>
    <w:rsid w:val="00C035A7"/>
    <w:rsid w:val="00C0387C"/>
    <w:rsid w:val="00C04A2A"/>
    <w:rsid w:val="00C04FA3"/>
    <w:rsid w:val="00C051F1"/>
    <w:rsid w:val="00C05216"/>
    <w:rsid w:val="00C05754"/>
    <w:rsid w:val="00C0586E"/>
    <w:rsid w:val="00C05C1A"/>
    <w:rsid w:val="00C05F6F"/>
    <w:rsid w:val="00C06021"/>
    <w:rsid w:val="00C06091"/>
    <w:rsid w:val="00C06AFA"/>
    <w:rsid w:val="00C06BCC"/>
    <w:rsid w:val="00C077A9"/>
    <w:rsid w:val="00C10D34"/>
    <w:rsid w:val="00C11612"/>
    <w:rsid w:val="00C11B8C"/>
    <w:rsid w:val="00C12101"/>
    <w:rsid w:val="00C1230F"/>
    <w:rsid w:val="00C12EC3"/>
    <w:rsid w:val="00C13810"/>
    <w:rsid w:val="00C13934"/>
    <w:rsid w:val="00C13B21"/>
    <w:rsid w:val="00C14234"/>
    <w:rsid w:val="00C14C9F"/>
    <w:rsid w:val="00C155CC"/>
    <w:rsid w:val="00C157E6"/>
    <w:rsid w:val="00C15941"/>
    <w:rsid w:val="00C15A4A"/>
    <w:rsid w:val="00C160D1"/>
    <w:rsid w:val="00C168BD"/>
    <w:rsid w:val="00C16E20"/>
    <w:rsid w:val="00C16F02"/>
    <w:rsid w:val="00C170CD"/>
    <w:rsid w:val="00C1762F"/>
    <w:rsid w:val="00C2047B"/>
    <w:rsid w:val="00C20A4F"/>
    <w:rsid w:val="00C215BB"/>
    <w:rsid w:val="00C216C9"/>
    <w:rsid w:val="00C21801"/>
    <w:rsid w:val="00C22208"/>
    <w:rsid w:val="00C2304D"/>
    <w:rsid w:val="00C236EB"/>
    <w:rsid w:val="00C23BE9"/>
    <w:rsid w:val="00C24016"/>
    <w:rsid w:val="00C24904"/>
    <w:rsid w:val="00C24BC8"/>
    <w:rsid w:val="00C2541E"/>
    <w:rsid w:val="00C25F86"/>
    <w:rsid w:val="00C2649C"/>
    <w:rsid w:val="00C26623"/>
    <w:rsid w:val="00C26685"/>
    <w:rsid w:val="00C268C0"/>
    <w:rsid w:val="00C26D74"/>
    <w:rsid w:val="00C2701E"/>
    <w:rsid w:val="00C2748B"/>
    <w:rsid w:val="00C27850"/>
    <w:rsid w:val="00C30824"/>
    <w:rsid w:val="00C30AA8"/>
    <w:rsid w:val="00C30F87"/>
    <w:rsid w:val="00C31BF8"/>
    <w:rsid w:val="00C3273C"/>
    <w:rsid w:val="00C3307F"/>
    <w:rsid w:val="00C33F77"/>
    <w:rsid w:val="00C348FF"/>
    <w:rsid w:val="00C34CC3"/>
    <w:rsid w:val="00C34F30"/>
    <w:rsid w:val="00C35F8E"/>
    <w:rsid w:val="00C363E7"/>
    <w:rsid w:val="00C3640A"/>
    <w:rsid w:val="00C36F96"/>
    <w:rsid w:val="00C37086"/>
    <w:rsid w:val="00C3796D"/>
    <w:rsid w:val="00C4057F"/>
    <w:rsid w:val="00C40753"/>
    <w:rsid w:val="00C40815"/>
    <w:rsid w:val="00C40B89"/>
    <w:rsid w:val="00C40B90"/>
    <w:rsid w:val="00C41BEB"/>
    <w:rsid w:val="00C427A2"/>
    <w:rsid w:val="00C42E64"/>
    <w:rsid w:val="00C438A2"/>
    <w:rsid w:val="00C43C61"/>
    <w:rsid w:val="00C441C2"/>
    <w:rsid w:val="00C4421D"/>
    <w:rsid w:val="00C47715"/>
    <w:rsid w:val="00C47B24"/>
    <w:rsid w:val="00C50040"/>
    <w:rsid w:val="00C507A3"/>
    <w:rsid w:val="00C511FE"/>
    <w:rsid w:val="00C5183A"/>
    <w:rsid w:val="00C51B9C"/>
    <w:rsid w:val="00C51BEC"/>
    <w:rsid w:val="00C521AE"/>
    <w:rsid w:val="00C52B13"/>
    <w:rsid w:val="00C53591"/>
    <w:rsid w:val="00C547CC"/>
    <w:rsid w:val="00C54A87"/>
    <w:rsid w:val="00C55428"/>
    <w:rsid w:val="00C55A10"/>
    <w:rsid w:val="00C55DE1"/>
    <w:rsid w:val="00C56373"/>
    <w:rsid w:val="00C56A7A"/>
    <w:rsid w:val="00C56BC5"/>
    <w:rsid w:val="00C57185"/>
    <w:rsid w:val="00C572FF"/>
    <w:rsid w:val="00C57683"/>
    <w:rsid w:val="00C57991"/>
    <w:rsid w:val="00C60B64"/>
    <w:rsid w:val="00C60D23"/>
    <w:rsid w:val="00C6144E"/>
    <w:rsid w:val="00C615B8"/>
    <w:rsid w:val="00C61AFD"/>
    <w:rsid w:val="00C62D67"/>
    <w:rsid w:val="00C633BA"/>
    <w:rsid w:val="00C6356B"/>
    <w:rsid w:val="00C652E2"/>
    <w:rsid w:val="00C653FB"/>
    <w:rsid w:val="00C65CBF"/>
    <w:rsid w:val="00C66375"/>
    <w:rsid w:val="00C667D0"/>
    <w:rsid w:val="00C66998"/>
    <w:rsid w:val="00C66AD7"/>
    <w:rsid w:val="00C66E3C"/>
    <w:rsid w:val="00C67EA5"/>
    <w:rsid w:val="00C70107"/>
    <w:rsid w:val="00C70E36"/>
    <w:rsid w:val="00C71279"/>
    <w:rsid w:val="00C71351"/>
    <w:rsid w:val="00C71A08"/>
    <w:rsid w:val="00C72625"/>
    <w:rsid w:val="00C7271D"/>
    <w:rsid w:val="00C72B6C"/>
    <w:rsid w:val="00C732DE"/>
    <w:rsid w:val="00C73FAB"/>
    <w:rsid w:val="00C747DA"/>
    <w:rsid w:val="00C74CF6"/>
    <w:rsid w:val="00C75062"/>
    <w:rsid w:val="00C7526B"/>
    <w:rsid w:val="00C75A01"/>
    <w:rsid w:val="00C75BCA"/>
    <w:rsid w:val="00C75C66"/>
    <w:rsid w:val="00C75DB6"/>
    <w:rsid w:val="00C76E04"/>
    <w:rsid w:val="00C76FB0"/>
    <w:rsid w:val="00C81278"/>
    <w:rsid w:val="00C81326"/>
    <w:rsid w:val="00C81A2C"/>
    <w:rsid w:val="00C81E27"/>
    <w:rsid w:val="00C82647"/>
    <w:rsid w:val="00C8285E"/>
    <w:rsid w:val="00C82F2D"/>
    <w:rsid w:val="00C83260"/>
    <w:rsid w:val="00C836F0"/>
    <w:rsid w:val="00C8398B"/>
    <w:rsid w:val="00C84318"/>
    <w:rsid w:val="00C848B7"/>
    <w:rsid w:val="00C856BE"/>
    <w:rsid w:val="00C85F2C"/>
    <w:rsid w:val="00C86485"/>
    <w:rsid w:val="00C8734C"/>
    <w:rsid w:val="00C87388"/>
    <w:rsid w:val="00C87A9E"/>
    <w:rsid w:val="00C91633"/>
    <w:rsid w:val="00C9382C"/>
    <w:rsid w:val="00C94C71"/>
    <w:rsid w:val="00C94F15"/>
    <w:rsid w:val="00C954BD"/>
    <w:rsid w:val="00C95615"/>
    <w:rsid w:val="00C97517"/>
    <w:rsid w:val="00C97CC0"/>
    <w:rsid w:val="00C97D75"/>
    <w:rsid w:val="00CA0261"/>
    <w:rsid w:val="00CA04BA"/>
    <w:rsid w:val="00CA136D"/>
    <w:rsid w:val="00CA147B"/>
    <w:rsid w:val="00CA1DF5"/>
    <w:rsid w:val="00CA2400"/>
    <w:rsid w:val="00CA24A1"/>
    <w:rsid w:val="00CA27F3"/>
    <w:rsid w:val="00CA2D7A"/>
    <w:rsid w:val="00CA41B5"/>
    <w:rsid w:val="00CA47F5"/>
    <w:rsid w:val="00CA4CA2"/>
    <w:rsid w:val="00CA5103"/>
    <w:rsid w:val="00CA5368"/>
    <w:rsid w:val="00CA6310"/>
    <w:rsid w:val="00CA6FE5"/>
    <w:rsid w:val="00CA7B88"/>
    <w:rsid w:val="00CB0113"/>
    <w:rsid w:val="00CB058C"/>
    <w:rsid w:val="00CB0BE4"/>
    <w:rsid w:val="00CB0DD0"/>
    <w:rsid w:val="00CB121D"/>
    <w:rsid w:val="00CB14A4"/>
    <w:rsid w:val="00CB2CCA"/>
    <w:rsid w:val="00CB30D0"/>
    <w:rsid w:val="00CB3502"/>
    <w:rsid w:val="00CB37A5"/>
    <w:rsid w:val="00CB3C01"/>
    <w:rsid w:val="00CB3EBC"/>
    <w:rsid w:val="00CB44B7"/>
    <w:rsid w:val="00CB493B"/>
    <w:rsid w:val="00CB4EC9"/>
    <w:rsid w:val="00CB5187"/>
    <w:rsid w:val="00CB5256"/>
    <w:rsid w:val="00CB570A"/>
    <w:rsid w:val="00CB5A4C"/>
    <w:rsid w:val="00CB679C"/>
    <w:rsid w:val="00CB6A84"/>
    <w:rsid w:val="00CB6A85"/>
    <w:rsid w:val="00CB7121"/>
    <w:rsid w:val="00CB7364"/>
    <w:rsid w:val="00CB768E"/>
    <w:rsid w:val="00CB7B4A"/>
    <w:rsid w:val="00CB7C4A"/>
    <w:rsid w:val="00CB7ECC"/>
    <w:rsid w:val="00CC0B1E"/>
    <w:rsid w:val="00CC0C76"/>
    <w:rsid w:val="00CC1475"/>
    <w:rsid w:val="00CC1DED"/>
    <w:rsid w:val="00CC319E"/>
    <w:rsid w:val="00CC340A"/>
    <w:rsid w:val="00CC36E9"/>
    <w:rsid w:val="00CC3860"/>
    <w:rsid w:val="00CC597B"/>
    <w:rsid w:val="00CC5AA0"/>
    <w:rsid w:val="00CC669A"/>
    <w:rsid w:val="00CC75B6"/>
    <w:rsid w:val="00CC779B"/>
    <w:rsid w:val="00CD0261"/>
    <w:rsid w:val="00CD0BBF"/>
    <w:rsid w:val="00CD288F"/>
    <w:rsid w:val="00CD28B2"/>
    <w:rsid w:val="00CD2DD0"/>
    <w:rsid w:val="00CD33EE"/>
    <w:rsid w:val="00CD3776"/>
    <w:rsid w:val="00CD4B48"/>
    <w:rsid w:val="00CD4D65"/>
    <w:rsid w:val="00CD5120"/>
    <w:rsid w:val="00CD55B1"/>
    <w:rsid w:val="00CD5DA2"/>
    <w:rsid w:val="00CD648D"/>
    <w:rsid w:val="00CD6B80"/>
    <w:rsid w:val="00CD7616"/>
    <w:rsid w:val="00CD775A"/>
    <w:rsid w:val="00CE01B5"/>
    <w:rsid w:val="00CE021F"/>
    <w:rsid w:val="00CE0765"/>
    <w:rsid w:val="00CE0959"/>
    <w:rsid w:val="00CE0B98"/>
    <w:rsid w:val="00CE2312"/>
    <w:rsid w:val="00CE336E"/>
    <w:rsid w:val="00CE384F"/>
    <w:rsid w:val="00CE3CDF"/>
    <w:rsid w:val="00CE3D08"/>
    <w:rsid w:val="00CE3E07"/>
    <w:rsid w:val="00CE455E"/>
    <w:rsid w:val="00CE68A3"/>
    <w:rsid w:val="00CE749F"/>
    <w:rsid w:val="00CE79A8"/>
    <w:rsid w:val="00CE7BC1"/>
    <w:rsid w:val="00CE7E34"/>
    <w:rsid w:val="00CF0639"/>
    <w:rsid w:val="00CF0AE5"/>
    <w:rsid w:val="00CF12B7"/>
    <w:rsid w:val="00CF14A0"/>
    <w:rsid w:val="00CF19DF"/>
    <w:rsid w:val="00CF1ED5"/>
    <w:rsid w:val="00CF1F8D"/>
    <w:rsid w:val="00CF2172"/>
    <w:rsid w:val="00CF25F6"/>
    <w:rsid w:val="00CF2BBB"/>
    <w:rsid w:val="00CF32CA"/>
    <w:rsid w:val="00CF366B"/>
    <w:rsid w:val="00CF3B6C"/>
    <w:rsid w:val="00CF4810"/>
    <w:rsid w:val="00CF4D38"/>
    <w:rsid w:val="00CF4F1F"/>
    <w:rsid w:val="00CF4F47"/>
    <w:rsid w:val="00CF5030"/>
    <w:rsid w:val="00CF6A40"/>
    <w:rsid w:val="00CF6ED0"/>
    <w:rsid w:val="00CF7193"/>
    <w:rsid w:val="00D00511"/>
    <w:rsid w:val="00D005B4"/>
    <w:rsid w:val="00D00784"/>
    <w:rsid w:val="00D00BC5"/>
    <w:rsid w:val="00D00D4D"/>
    <w:rsid w:val="00D00E6F"/>
    <w:rsid w:val="00D01549"/>
    <w:rsid w:val="00D019EA"/>
    <w:rsid w:val="00D01AD1"/>
    <w:rsid w:val="00D02277"/>
    <w:rsid w:val="00D022F4"/>
    <w:rsid w:val="00D02BB4"/>
    <w:rsid w:val="00D03128"/>
    <w:rsid w:val="00D033C8"/>
    <w:rsid w:val="00D03B43"/>
    <w:rsid w:val="00D03C14"/>
    <w:rsid w:val="00D046B2"/>
    <w:rsid w:val="00D04B2D"/>
    <w:rsid w:val="00D04C84"/>
    <w:rsid w:val="00D04E2F"/>
    <w:rsid w:val="00D052B0"/>
    <w:rsid w:val="00D053AF"/>
    <w:rsid w:val="00D0545B"/>
    <w:rsid w:val="00D058FD"/>
    <w:rsid w:val="00D05F86"/>
    <w:rsid w:val="00D06433"/>
    <w:rsid w:val="00D070BE"/>
    <w:rsid w:val="00D07169"/>
    <w:rsid w:val="00D07583"/>
    <w:rsid w:val="00D0769F"/>
    <w:rsid w:val="00D07C40"/>
    <w:rsid w:val="00D1003B"/>
    <w:rsid w:val="00D102A5"/>
    <w:rsid w:val="00D109FA"/>
    <w:rsid w:val="00D10F4D"/>
    <w:rsid w:val="00D10F85"/>
    <w:rsid w:val="00D111EF"/>
    <w:rsid w:val="00D11712"/>
    <w:rsid w:val="00D11EC0"/>
    <w:rsid w:val="00D120D2"/>
    <w:rsid w:val="00D1312B"/>
    <w:rsid w:val="00D13294"/>
    <w:rsid w:val="00D13A91"/>
    <w:rsid w:val="00D13CB3"/>
    <w:rsid w:val="00D14D12"/>
    <w:rsid w:val="00D171C8"/>
    <w:rsid w:val="00D20137"/>
    <w:rsid w:val="00D208E6"/>
    <w:rsid w:val="00D2190E"/>
    <w:rsid w:val="00D21A55"/>
    <w:rsid w:val="00D22651"/>
    <w:rsid w:val="00D23AD0"/>
    <w:rsid w:val="00D23B0A"/>
    <w:rsid w:val="00D23E23"/>
    <w:rsid w:val="00D24239"/>
    <w:rsid w:val="00D24BAF"/>
    <w:rsid w:val="00D24C26"/>
    <w:rsid w:val="00D255C6"/>
    <w:rsid w:val="00D25F2F"/>
    <w:rsid w:val="00D2620A"/>
    <w:rsid w:val="00D27091"/>
    <w:rsid w:val="00D277EE"/>
    <w:rsid w:val="00D27D59"/>
    <w:rsid w:val="00D309DD"/>
    <w:rsid w:val="00D30C09"/>
    <w:rsid w:val="00D30C66"/>
    <w:rsid w:val="00D30ECB"/>
    <w:rsid w:val="00D31163"/>
    <w:rsid w:val="00D31D1F"/>
    <w:rsid w:val="00D31D60"/>
    <w:rsid w:val="00D3238A"/>
    <w:rsid w:val="00D3239D"/>
    <w:rsid w:val="00D3330C"/>
    <w:rsid w:val="00D3330E"/>
    <w:rsid w:val="00D3349D"/>
    <w:rsid w:val="00D33682"/>
    <w:rsid w:val="00D34598"/>
    <w:rsid w:val="00D3511A"/>
    <w:rsid w:val="00D35572"/>
    <w:rsid w:val="00D35F28"/>
    <w:rsid w:val="00D36458"/>
    <w:rsid w:val="00D3672A"/>
    <w:rsid w:val="00D368A2"/>
    <w:rsid w:val="00D368FF"/>
    <w:rsid w:val="00D369D2"/>
    <w:rsid w:val="00D36D8E"/>
    <w:rsid w:val="00D374D1"/>
    <w:rsid w:val="00D37596"/>
    <w:rsid w:val="00D37899"/>
    <w:rsid w:val="00D37FCE"/>
    <w:rsid w:val="00D40238"/>
    <w:rsid w:val="00D40D79"/>
    <w:rsid w:val="00D4117C"/>
    <w:rsid w:val="00D41258"/>
    <w:rsid w:val="00D420F0"/>
    <w:rsid w:val="00D43430"/>
    <w:rsid w:val="00D439C3"/>
    <w:rsid w:val="00D449C6"/>
    <w:rsid w:val="00D44A3B"/>
    <w:rsid w:val="00D451A0"/>
    <w:rsid w:val="00D451C2"/>
    <w:rsid w:val="00D45385"/>
    <w:rsid w:val="00D45C34"/>
    <w:rsid w:val="00D4777F"/>
    <w:rsid w:val="00D478D3"/>
    <w:rsid w:val="00D5062B"/>
    <w:rsid w:val="00D50B46"/>
    <w:rsid w:val="00D512DF"/>
    <w:rsid w:val="00D51867"/>
    <w:rsid w:val="00D519DD"/>
    <w:rsid w:val="00D51AD4"/>
    <w:rsid w:val="00D53414"/>
    <w:rsid w:val="00D54B76"/>
    <w:rsid w:val="00D54E08"/>
    <w:rsid w:val="00D5508A"/>
    <w:rsid w:val="00D55828"/>
    <w:rsid w:val="00D55C1D"/>
    <w:rsid w:val="00D56305"/>
    <w:rsid w:val="00D5641F"/>
    <w:rsid w:val="00D56495"/>
    <w:rsid w:val="00D566F1"/>
    <w:rsid w:val="00D57388"/>
    <w:rsid w:val="00D61A0D"/>
    <w:rsid w:val="00D62790"/>
    <w:rsid w:val="00D63F0E"/>
    <w:rsid w:val="00D63F45"/>
    <w:rsid w:val="00D64048"/>
    <w:rsid w:val="00D645A6"/>
    <w:rsid w:val="00D64B80"/>
    <w:rsid w:val="00D64E9D"/>
    <w:rsid w:val="00D65A11"/>
    <w:rsid w:val="00D65B91"/>
    <w:rsid w:val="00D662C7"/>
    <w:rsid w:val="00D6688A"/>
    <w:rsid w:val="00D66CD5"/>
    <w:rsid w:val="00D67145"/>
    <w:rsid w:val="00D7057C"/>
    <w:rsid w:val="00D70FF2"/>
    <w:rsid w:val="00D7160F"/>
    <w:rsid w:val="00D7197E"/>
    <w:rsid w:val="00D71DAC"/>
    <w:rsid w:val="00D726FD"/>
    <w:rsid w:val="00D72C26"/>
    <w:rsid w:val="00D73242"/>
    <w:rsid w:val="00D73288"/>
    <w:rsid w:val="00D73686"/>
    <w:rsid w:val="00D7371E"/>
    <w:rsid w:val="00D741DB"/>
    <w:rsid w:val="00D742A0"/>
    <w:rsid w:val="00D74451"/>
    <w:rsid w:val="00D74AA1"/>
    <w:rsid w:val="00D74E88"/>
    <w:rsid w:val="00D75216"/>
    <w:rsid w:val="00D756A7"/>
    <w:rsid w:val="00D75BC1"/>
    <w:rsid w:val="00D75D33"/>
    <w:rsid w:val="00D75E56"/>
    <w:rsid w:val="00D76167"/>
    <w:rsid w:val="00D763AE"/>
    <w:rsid w:val="00D76CD8"/>
    <w:rsid w:val="00D76F2E"/>
    <w:rsid w:val="00D77919"/>
    <w:rsid w:val="00D779D4"/>
    <w:rsid w:val="00D8158C"/>
    <w:rsid w:val="00D8359E"/>
    <w:rsid w:val="00D85096"/>
    <w:rsid w:val="00D857FE"/>
    <w:rsid w:val="00D86F69"/>
    <w:rsid w:val="00D86F82"/>
    <w:rsid w:val="00D86FDB"/>
    <w:rsid w:val="00D87458"/>
    <w:rsid w:val="00D87AC4"/>
    <w:rsid w:val="00D901F7"/>
    <w:rsid w:val="00D90311"/>
    <w:rsid w:val="00D907DF"/>
    <w:rsid w:val="00D907F2"/>
    <w:rsid w:val="00D913F3"/>
    <w:rsid w:val="00D915FF"/>
    <w:rsid w:val="00D91CC6"/>
    <w:rsid w:val="00D92BBF"/>
    <w:rsid w:val="00D933F6"/>
    <w:rsid w:val="00D93F68"/>
    <w:rsid w:val="00D94010"/>
    <w:rsid w:val="00D948C4"/>
    <w:rsid w:val="00D94E85"/>
    <w:rsid w:val="00D962CF"/>
    <w:rsid w:val="00D9652E"/>
    <w:rsid w:val="00D96531"/>
    <w:rsid w:val="00D96E0B"/>
    <w:rsid w:val="00D97A0A"/>
    <w:rsid w:val="00D97CEB"/>
    <w:rsid w:val="00DA0A11"/>
    <w:rsid w:val="00DA0AF3"/>
    <w:rsid w:val="00DA0F56"/>
    <w:rsid w:val="00DA0F9F"/>
    <w:rsid w:val="00DA26B3"/>
    <w:rsid w:val="00DA2FCF"/>
    <w:rsid w:val="00DA3113"/>
    <w:rsid w:val="00DA3199"/>
    <w:rsid w:val="00DA38EC"/>
    <w:rsid w:val="00DA3AAC"/>
    <w:rsid w:val="00DA3F40"/>
    <w:rsid w:val="00DA435A"/>
    <w:rsid w:val="00DA43EB"/>
    <w:rsid w:val="00DA465F"/>
    <w:rsid w:val="00DA4823"/>
    <w:rsid w:val="00DA4E2E"/>
    <w:rsid w:val="00DA518C"/>
    <w:rsid w:val="00DA5635"/>
    <w:rsid w:val="00DA5B16"/>
    <w:rsid w:val="00DA654C"/>
    <w:rsid w:val="00DA6636"/>
    <w:rsid w:val="00DA77DE"/>
    <w:rsid w:val="00DA7C18"/>
    <w:rsid w:val="00DB0A0F"/>
    <w:rsid w:val="00DB2AEF"/>
    <w:rsid w:val="00DB2B51"/>
    <w:rsid w:val="00DB341C"/>
    <w:rsid w:val="00DB35FD"/>
    <w:rsid w:val="00DB4525"/>
    <w:rsid w:val="00DB47A5"/>
    <w:rsid w:val="00DB4CE3"/>
    <w:rsid w:val="00DB4D17"/>
    <w:rsid w:val="00DB51F4"/>
    <w:rsid w:val="00DB55E1"/>
    <w:rsid w:val="00DB5EDA"/>
    <w:rsid w:val="00DB7CED"/>
    <w:rsid w:val="00DC09FC"/>
    <w:rsid w:val="00DC102C"/>
    <w:rsid w:val="00DC15B7"/>
    <w:rsid w:val="00DC1EC8"/>
    <w:rsid w:val="00DC2E18"/>
    <w:rsid w:val="00DC2FA0"/>
    <w:rsid w:val="00DC30FE"/>
    <w:rsid w:val="00DC3512"/>
    <w:rsid w:val="00DC385E"/>
    <w:rsid w:val="00DC3BBF"/>
    <w:rsid w:val="00DC3C05"/>
    <w:rsid w:val="00DC3EC8"/>
    <w:rsid w:val="00DC4068"/>
    <w:rsid w:val="00DC4145"/>
    <w:rsid w:val="00DC493B"/>
    <w:rsid w:val="00DC5FC9"/>
    <w:rsid w:val="00DC759F"/>
    <w:rsid w:val="00DD0B51"/>
    <w:rsid w:val="00DD0BE6"/>
    <w:rsid w:val="00DD1707"/>
    <w:rsid w:val="00DD1C59"/>
    <w:rsid w:val="00DD23B0"/>
    <w:rsid w:val="00DD2FD9"/>
    <w:rsid w:val="00DD3272"/>
    <w:rsid w:val="00DD3467"/>
    <w:rsid w:val="00DD45B5"/>
    <w:rsid w:val="00DD474F"/>
    <w:rsid w:val="00DD4A1A"/>
    <w:rsid w:val="00DD52FC"/>
    <w:rsid w:val="00DD5516"/>
    <w:rsid w:val="00DD592D"/>
    <w:rsid w:val="00DD5C14"/>
    <w:rsid w:val="00DD5C3A"/>
    <w:rsid w:val="00DD6405"/>
    <w:rsid w:val="00DD64C8"/>
    <w:rsid w:val="00DD674D"/>
    <w:rsid w:val="00DD701C"/>
    <w:rsid w:val="00DD7DA4"/>
    <w:rsid w:val="00DD7E8C"/>
    <w:rsid w:val="00DE017D"/>
    <w:rsid w:val="00DE0CC3"/>
    <w:rsid w:val="00DE0F83"/>
    <w:rsid w:val="00DE2C73"/>
    <w:rsid w:val="00DE3136"/>
    <w:rsid w:val="00DE39F4"/>
    <w:rsid w:val="00DE39F8"/>
    <w:rsid w:val="00DE3A27"/>
    <w:rsid w:val="00DE3A6B"/>
    <w:rsid w:val="00DE3C7D"/>
    <w:rsid w:val="00DE4965"/>
    <w:rsid w:val="00DE4EA8"/>
    <w:rsid w:val="00DE50FD"/>
    <w:rsid w:val="00DE5854"/>
    <w:rsid w:val="00DE587D"/>
    <w:rsid w:val="00DE5C42"/>
    <w:rsid w:val="00DE5CC8"/>
    <w:rsid w:val="00DE6805"/>
    <w:rsid w:val="00DE7807"/>
    <w:rsid w:val="00DE7C25"/>
    <w:rsid w:val="00DF0CCC"/>
    <w:rsid w:val="00DF0D0A"/>
    <w:rsid w:val="00DF1211"/>
    <w:rsid w:val="00DF1385"/>
    <w:rsid w:val="00DF1FB9"/>
    <w:rsid w:val="00DF2469"/>
    <w:rsid w:val="00DF2EB3"/>
    <w:rsid w:val="00DF316E"/>
    <w:rsid w:val="00DF3626"/>
    <w:rsid w:val="00DF3FC2"/>
    <w:rsid w:val="00DF58E5"/>
    <w:rsid w:val="00DF7634"/>
    <w:rsid w:val="00DF79E1"/>
    <w:rsid w:val="00E000D0"/>
    <w:rsid w:val="00E00F2E"/>
    <w:rsid w:val="00E01525"/>
    <w:rsid w:val="00E0160E"/>
    <w:rsid w:val="00E0186E"/>
    <w:rsid w:val="00E01D83"/>
    <w:rsid w:val="00E01FE1"/>
    <w:rsid w:val="00E024B2"/>
    <w:rsid w:val="00E025CC"/>
    <w:rsid w:val="00E02FCC"/>
    <w:rsid w:val="00E03063"/>
    <w:rsid w:val="00E036B3"/>
    <w:rsid w:val="00E03797"/>
    <w:rsid w:val="00E057EA"/>
    <w:rsid w:val="00E05BBB"/>
    <w:rsid w:val="00E06FAA"/>
    <w:rsid w:val="00E07AA2"/>
    <w:rsid w:val="00E1015B"/>
    <w:rsid w:val="00E106AE"/>
    <w:rsid w:val="00E10723"/>
    <w:rsid w:val="00E10E5A"/>
    <w:rsid w:val="00E11A5C"/>
    <w:rsid w:val="00E1223A"/>
    <w:rsid w:val="00E122A9"/>
    <w:rsid w:val="00E12ABE"/>
    <w:rsid w:val="00E1415F"/>
    <w:rsid w:val="00E15683"/>
    <w:rsid w:val="00E1603D"/>
    <w:rsid w:val="00E171AC"/>
    <w:rsid w:val="00E177C6"/>
    <w:rsid w:val="00E1784D"/>
    <w:rsid w:val="00E20A95"/>
    <w:rsid w:val="00E20E02"/>
    <w:rsid w:val="00E21806"/>
    <w:rsid w:val="00E21BD1"/>
    <w:rsid w:val="00E2282E"/>
    <w:rsid w:val="00E2294D"/>
    <w:rsid w:val="00E2297A"/>
    <w:rsid w:val="00E229C1"/>
    <w:rsid w:val="00E22C09"/>
    <w:rsid w:val="00E2339C"/>
    <w:rsid w:val="00E238C8"/>
    <w:rsid w:val="00E239E9"/>
    <w:rsid w:val="00E23FAE"/>
    <w:rsid w:val="00E25C75"/>
    <w:rsid w:val="00E26416"/>
    <w:rsid w:val="00E2796A"/>
    <w:rsid w:val="00E30003"/>
    <w:rsid w:val="00E30CDC"/>
    <w:rsid w:val="00E31053"/>
    <w:rsid w:val="00E313CE"/>
    <w:rsid w:val="00E31F09"/>
    <w:rsid w:val="00E320DB"/>
    <w:rsid w:val="00E32733"/>
    <w:rsid w:val="00E32DB0"/>
    <w:rsid w:val="00E331D5"/>
    <w:rsid w:val="00E33AB2"/>
    <w:rsid w:val="00E33E69"/>
    <w:rsid w:val="00E3493A"/>
    <w:rsid w:val="00E3497F"/>
    <w:rsid w:val="00E34E6A"/>
    <w:rsid w:val="00E34F1E"/>
    <w:rsid w:val="00E35F0A"/>
    <w:rsid w:val="00E36245"/>
    <w:rsid w:val="00E363CF"/>
    <w:rsid w:val="00E36D49"/>
    <w:rsid w:val="00E36E14"/>
    <w:rsid w:val="00E408E9"/>
    <w:rsid w:val="00E418F1"/>
    <w:rsid w:val="00E41C29"/>
    <w:rsid w:val="00E4238A"/>
    <w:rsid w:val="00E423EE"/>
    <w:rsid w:val="00E4324D"/>
    <w:rsid w:val="00E43812"/>
    <w:rsid w:val="00E4443F"/>
    <w:rsid w:val="00E4461A"/>
    <w:rsid w:val="00E44935"/>
    <w:rsid w:val="00E4579A"/>
    <w:rsid w:val="00E458C7"/>
    <w:rsid w:val="00E46771"/>
    <w:rsid w:val="00E46E0B"/>
    <w:rsid w:val="00E471ED"/>
    <w:rsid w:val="00E475F3"/>
    <w:rsid w:val="00E478DA"/>
    <w:rsid w:val="00E479FF"/>
    <w:rsid w:val="00E47B4E"/>
    <w:rsid w:val="00E5076A"/>
    <w:rsid w:val="00E50934"/>
    <w:rsid w:val="00E50E1F"/>
    <w:rsid w:val="00E52538"/>
    <w:rsid w:val="00E528AD"/>
    <w:rsid w:val="00E52A22"/>
    <w:rsid w:val="00E53041"/>
    <w:rsid w:val="00E535C2"/>
    <w:rsid w:val="00E53728"/>
    <w:rsid w:val="00E53914"/>
    <w:rsid w:val="00E540D5"/>
    <w:rsid w:val="00E54A4F"/>
    <w:rsid w:val="00E564BC"/>
    <w:rsid w:val="00E5696B"/>
    <w:rsid w:val="00E57EC1"/>
    <w:rsid w:val="00E60221"/>
    <w:rsid w:val="00E6098E"/>
    <w:rsid w:val="00E60A5A"/>
    <w:rsid w:val="00E61389"/>
    <w:rsid w:val="00E61780"/>
    <w:rsid w:val="00E6301A"/>
    <w:rsid w:val="00E649E1"/>
    <w:rsid w:val="00E65663"/>
    <w:rsid w:val="00E661DB"/>
    <w:rsid w:val="00E662E6"/>
    <w:rsid w:val="00E66781"/>
    <w:rsid w:val="00E66C88"/>
    <w:rsid w:val="00E67BA3"/>
    <w:rsid w:val="00E67D73"/>
    <w:rsid w:val="00E67D7A"/>
    <w:rsid w:val="00E71086"/>
    <w:rsid w:val="00E715A6"/>
    <w:rsid w:val="00E71B32"/>
    <w:rsid w:val="00E72079"/>
    <w:rsid w:val="00E72E8F"/>
    <w:rsid w:val="00E72F98"/>
    <w:rsid w:val="00E736AA"/>
    <w:rsid w:val="00E7391F"/>
    <w:rsid w:val="00E745BB"/>
    <w:rsid w:val="00E748D7"/>
    <w:rsid w:val="00E75BEC"/>
    <w:rsid w:val="00E7632F"/>
    <w:rsid w:val="00E767E3"/>
    <w:rsid w:val="00E76AB0"/>
    <w:rsid w:val="00E773B2"/>
    <w:rsid w:val="00E777A5"/>
    <w:rsid w:val="00E77BF3"/>
    <w:rsid w:val="00E77E2D"/>
    <w:rsid w:val="00E77E32"/>
    <w:rsid w:val="00E800B4"/>
    <w:rsid w:val="00E809C8"/>
    <w:rsid w:val="00E80EE9"/>
    <w:rsid w:val="00E8173D"/>
    <w:rsid w:val="00E81907"/>
    <w:rsid w:val="00E81B11"/>
    <w:rsid w:val="00E81DA3"/>
    <w:rsid w:val="00E823DF"/>
    <w:rsid w:val="00E825D5"/>
    <w:rsid w:val="00E82A5B"/>
    <w:rsid w:val="00E82D76"/>
    <w:rsid w:val="00E82FC8"/>
    <w:rsid w:val="00E8339E"/>
    <w:rsid w:val="00E834BF"/>
    <w:rsid w:val="00E83987"/>
    <w:rsid w:val="00E84CC4"/>
    <w:rsid w:val="00E87BD5"/>
    <w:rsid w:val="00E87C5D"/>
    <w:rsid w:val="00E90B12"/>
    <w:rsid w:val="00E91E57"/>
    <w:rsid w:val="00E921EF"/>
    <w:rsid w:val="00E92BF5"/>
    <w:rsid w:val="00E95897"/>
    <w:rsid w:val="00E95C12"/>
    <w:rsid w:val="00E95DDA"/>
    <w:rsid w:val="00E972A2"/>
    <w:rsid w:val="00E97E4F"/>
    <w:rsid w:val="00EA021F"/>
    <w:rsid w:val="00EA0243"/>
    <w:rsid w:val="00EA03AA"/>
    <w:rsid w:val="00EA0837"/>
    <w:rsid w:val="00EA12EA"/>
    <w:rsid w:val="00EA141E"/>
    <w:rsid w:val="00EA1B41"/>
    <w:rsid w:val="00EA1DF6"/>
    <w:rsid w:val="00EA2134"/>
    <w:rsid w:val="00EA23AC"/>
    <w:rsid w:val="00EA288F"/>
    <w:rsid w:val="00EA2B29"/>
    <w:rsid w:val="00EA2BF9"/>
    <w:rsid w:val="00EA2C90"/>
    <w:rsid w:val="00EA35FC"/>
    <w:rsid w:val="00EA3942"/>
    <w:rsid w:val="00EA3F5C"/>
    <w:rsid w:val="00EA5A78"/>
    <w:rsid w:val="00EA5DE5"/>
    <w:rsid w:val="00EA71D3"/>
    <w:rsid w:val="00EA7791"/>
    <w:rsid w:val="00EB00BA"/>
    <w:rsid w:val="00EB051D"/>
    <w:rsid w:val="00EB1072"/>
    <w:rsid w:val="00EB1A14"/>
    <w:rsid w:val="00EB1A97"/>
    <w:rsid w:val="00EB1C52"/>
    <w:rsid w:val="00EB1DDC"/>
    <w:rsid w:val="00EB2196"/>
    <w:rsid w:val="00EB2610"/>
    <w:rsid w:val="00EB2A87"/>
    <w:rsid w:val="00EB2C1A"/>
    <w:rsid w:val="00EB2D92"/>
    <w:rsid w:val="00EB3229"/>
    <w:rsid w:val="00EB341F"/>
    <w:rsid w:val="00EB43C4"/>
    <w:rsid w:val="00EB5C2A"/>
    <w:rsid w:val="00EB686E"/>
    <w:rsid w:val="00EB6974"/>
    <w:rsid w:val="00EB6D6E"/>
    <w:rsid w:val="00EB7570"/>
    <w:rsid w:val="00EB76BD"/>
    <w:rsid w:val="00EC05A9"/>
    <w:rsid w:val="00EC07EF"/>
    <w:rsid w:val="00EC1FD3"/>
    <w:rsid w:val="00EC2103"/>
    <w:rsid w:val="00EC27C8"/>
    <w:rsid w:val="00EC2BE5"/>
    <w:rsid w:val="00EC2CCA"/>
    <w:rsid w:val="00EC2E57"/>
    <w:rsid w:val="00EC2E71"/>
    <w:rsid w:val="00EC48A6"/>
    <w:rsid w:val="00EC4BC3"/>
    <w:rsid w:val="00EC4D53"/>
    <w:rsid w:val="00EC5347"/>
    <w:rsid w:val="00EC5B41"/>
    <w:rsid w:val="00EC5FAC"/>
    <w:rsid w:val="00EC6B91"/>
    <w:rsid w:val="00EC7083"/>
    <w:rsid w:val="00EC7652"/>
    <w:rsid w:val="00EC766D"/>
    <w:rsid w:val="00EC7835"/>
    <w:rsid w:val="00ED05EB"/>
    <w:rsid w:val="00ED0D53"/>
    <w:rsid w:val="00ED0ED2"/>
    <w:rsid w:val="00ED25BD"/>
    <w:rsid w:val="00ED3605"/>
    <w:rsid w:val="00ED3CE8"/>
    <w:rsid w:val="00ED47E4"/>
    <w:rsid w:val="00ED4B01"/>
    <w:rsid w:val="00ED5511"/>
    <w:rsid w:val="00ED58AD"/>
    <w:rsid w:val="00ED5E13"/>
    <w:rsid w:val="00ED6524"/>
    <w:rsid w:val="00ED659F"/>
    <w:rsid w:val="00ED6A91"/>
    <w:rsid w:val="00ED6C71"/>
    <w:rsid w:val="00ED71AE"/>
    <w:rsid w:val="00ED73A4"/>
    <w:rsid w:val="00ED781B"/>
    <w:rsid w:val="00ED7D8F"/>
    <w:rsid w:val="00EE1A53"/>
    <w:rsid w:val="00EE1BEE"/>
    <w:rsid w:val="00EE22A7"/>
    <w:rsid w:val="00EE3627"/>
    <w:rsid w:val="00EE4D2B"/>
    <w:rsid w:val="00EE559E"/>
    <w:rsid w:val="00EE5D97"/>
    <w:rsid w:val="00EE5DE3"/>
    <w:rsid w:val="00EE6288"/>
    <w:rsid w:val="00EE66AD"/>
    <w:rsid w:val="00EE66D4"/>
    <w:rsid w:val="00EE6B64"/>
    <w:rsid w:val="00EE6C36"/>
    <w:rsid w:val="00EE6F5D"/>
    <w:rsid w:val="00EE725D"/>
    <w:rsid w:val="00EF00D3"/>
    <w:rsid w:val="00EF0280"/>
    <w:rsid w:val="00EF12CC"/>
    <w:rsid w:val="00EF1613"/>
    <w:rsid w:val="00EF2355"/>
    <w:rsid w:val="00EF3011"/>
    <w:rsid w:val="00EF3786"/>
    <w:rsid w:val="00EF3793"/>
    <w:rsid w:val="00EF3822"/>
    <w:rsid w:val="00EF3BE1"/>
    <w:rsid w:val="00EF41A1"/>
    <w:rsid w:val="00EF4351"/>
    <w:rsid w:val="00EF4927"/>
    <w:rsid w:val="00EF4B23"/>
    <w:rsid w:val="00EF5363"/>
    <w:rsid w:val="00EF5387"/>
    <w:rsid w:val="00EF59F2"/>
    <w:rsid w:val="00EF622F"/>
    <w:rsid w:val="00EF6E4E"/>
    <w:rsid w:val="00EF713B"/>
    <w:rsid w:val="00EF780A"/>
    <w:rsid w:val="00EF7B3E"/>
    <w:rsid w:val="00F0026E"/>
    <w:rsid w:val="00F0069B"/>
    <w:rsid w:val="00F01D44"/>
    <w:rsid w:val="00F01F24"/>
    <w:rsid w:val="00F02BF0"/>
    <w:rsid w:val="00F03C49"/>
    <w:rsid w:val="00F03F33"/>
    <w:rsid w:val="00F0432C"/>
    <w:rsid w:val="00F04516"/>
    <w:rsid w:val="00F04DA1"/>
    <w:rsid w:val="00F062F5"/>
    <w:rsid w:val="00F06535"/>
    <w:rsid w:val="00F07A6D"/>
    <w:rsid w:val="00F1097C"/>
    <w:rsid w:val="00F121F0"/>
    <w:rsid w:val="00F123F4"/>
    <w:rsid w:val="00F12F63"/>
    <w:rsid w:val="00F1310D"/>
    <w:rsid w:val="00F13971"/>
    <w:rsid w:val="00F14133"/>
    <w:rsid w:val="00F144D6"/>
    <w:rsid w:val="00F14C5F"/>
    <w:rsid w:val="00F14FC4"/>
    <w:rsid w:val="00F1511E"/>
    <w:rsid w:val="00F15860"/>
    <w:rsid w:val="00F15A42"/>
    <w:rsid w:val="00F15DA5"/>
    <w:rsid w:val="00F16108"/>
    <w:rsid w:val="00F16136"/>
    <w:rsid w:val="00F16D91"/>
    <w:rsid w:val="00F1705F"/>
    <w:rsid w:val="00F173F4"/>
    <w:rsid w:val="00F201FD"/>
    <w:rsid w:val="00F2085A"/>
    <w:rsid w:val="00F2166C"/>
    <w:rsid w:val="00F2199B"/>
    <w:rsid w:val="00F2227C"/>
    <w:rsid w:val="00F23548"/>
    <w:rsid w:val="00F2359A"/>
    <w:rsid w:val="00F2404C"/>
    <w:rsid w:val="00F2429E"/>
    <w:rsid w:val="00F25371"/>
    <w:rsid w:val="00F25545"/>
    <w:rsid w:val="00F26340"/>
    <w:rsid w:val="00F265B9"/>
    <w:rsid w:val="00F266AA"/>
    <w:rsid w:val="00F2685A"/>
    <w:rsid w:val="00F2701E"/>
    <w:rsid w:val="00F27557"/>
    <w:rsid w:val="00F27661"/>
    <w:rsid w:val="00F27FFD"/>
    <w:rsid w:val="00F3079C"/>
    <w:rsid w:val="00F3223F"/>
    <w:rsid w:val="00F3267F"/>
    <w:rsid w:val="00F327B1"/>
    <w:rsid w:val="00F33779"/>
    <w:rsid w:val="00F33B9C"/>
    <w:rsid w:val="00F340F6"/>
    <w:rsid w:val="00F34129"/>
    <w:rsid w:val="00F3424C"/>
    <w:rsid w:val="00F3454A"/>
    <w:rsid w:val="00F354AA"/>
    <w:rsid w:val="00F3604D"/>
    <w:rsid w:val="00F3659C"/>
    <w:rsid w:val="00F37037"/>
    <w:rsid w:val="00F373AE"/>
    <w:rsid w:val="00F3771F"/>
    <w:rsid w:val="00F37869"/>
    <w:rsid w:val="00F37A08"/>
    <w:rsid w:val="00F37BB9"/>
    <w:rsid w:val="00F406EC"/>
    <w:rsid w:val="00F40B80"/>
    <w:rsid w:val="00F41B49"/>
    <w:rsid w:val="00F423F0"/>
    <w:rsid w:val="00F42726"/>
    <w:rsid w:val="00F42C78"/>
    <w:rsid w:val="00F4346B"/>
    <w:rsid w:val="00F43C32"/>
    <w:rsid w:val="00F44601"/>
    <w:rsid w:val="00F453B6"/>
    <w:rsid w:val="00F4568C"/>
    <w:rsid w:val="00F45854"/>
    <w:rsid w:val="00F45D0C"/>
    <w:rsid w:val="00F45F5F"/>
    <w:rsid w:val="00F468F2"/>
    <w:rsid w:val="00F4697F"/>
    <w:rsid w:val="00F46B56"/>
    <w:rsid w:val="00F46D54"/>
    <w:rsid w:val="00F50DC4"/>
    <w:rsid w:val="00F52363"/>
    <w:rsid w:val="00F524C0"/>
    <w:rsid w:val="00F52A72"/>
    <w:rsid w:val="00F53548"/>
    <w:rsid w:val="00F548BE"/>
    <w:rsid w:val="00F5528F"/>
    <w:rsid w:val="00F567D9"/>
    <w:rsid w:val="00F568B3"/>
    <w:rsid w:val="00F568CD"/>
    <w:rsid w:val="00F569C2"/>
    <w:rsid w:val="00F56AE4"/>
    <w:rsid w:val="00F57527"/>
    <w:rsid w:val="00F57C62"/>
    <w:rsid w:val="00F57FC5"/>
    <w:rsid w:val="00F6000C"/>
    <w:rsid w:val="00F61269"/>
    <w:rsid w:val="00F61EFA"/>
    <w:rsid w:val="00F62DFC"/>
    <w:rsid w:val="00F62F58"/>
    <w:rsid w:val="00F6362F"/>
    <w:rsid w:val="00F6381A"/>
    <w:rsid w:val="00F63D95"/>
    <w:rsid w:val="00F64983"/>
    <w:rsid w:val="00F64CD0"/>
    <w:rsid w:val="00F65403"/>
    <w:rsid w:val="00F658BB"/>
    <w:rsid w:val="00F6598F"/>
    <w:rsid w:val="00F65FF3"/>
    <w:rsid w:val="00F66292"/>
    <w:rsid w:val="00F66475"/>
    <w:rsid w:val="00F6694F"/>
    <w:rsid w:val="00F67026"/>
    <w:rsid w:val="00F70012"/>
    <w:rsid w:val="00F702ED"/>
    <w:rsid w:val="00F7048F"/>
    <w:rsid w:val="00F70A5D"/>
    <w:rsid w:val="00F70D04"/>
    <w:rsid w:val="00F71756"/>
    <w:rsid w:val="00F717ED"/>
    <w:rsid w:val="00F722AD"/>
    <w:rsid w:val="00F72E37"/>
    <w:rsid w:val="00F72ED6"/>
    <w:rsid w:val="00F72EDE"/>
    <w:rsid w:val="00F73F4D"/>
    <w:rsid w:val="00F748DB"/>
    <w:rsid w:val="00F7494B"/>
    <w:rsid w:val="00F74B62"/>
    <w:rsid w:val="00F74E67"/>
    <w:rsid w:val="00F7509D"/>
    <w:rsid w:val="00F75BD6"/>
    <w:rsid w:val="00F76257"/>
    <w:rsid w:val="00F765FF"/>
    <w:rsid w:val="00F76B38"/>
    <w:rsid w:val="00F76DA5"/>
    <w:rsid w:val="00F76F1C"/>
    <w:rsid w:val="00F76FC2"/>
    <w:rsid w:val="00F770EF"/>
    <w:rsid w:val="00F775E1"/>
    <w:rsid w:val="00F77672"/>
    <w:rsid w:val="00F7791F"/>
    <w:rsid w:val="00F77BDA"/>
    <w:rsid w:val="00F77EC2"/>
    <w:rsid w:val="00F808A8"/>
    <w:rsid w:val="00F80E09"/>
    <w:rsid w:val="00F812FC"/>
    <w:rsid w:val="00F81687"/>
    <w:rsid w:val="00F81CE3"/>
    <w:rsid w:val="00F81D23"/>
    <w:rsid w:val="00F82060"/>
    <w:rsid w:val="00F820BF"/>
    <w:rsid w:val="00F82B2A"/>
    <w:rsid w:val="00F83B27"/>
    <w:rsid w:val="00F83E60"/>
    <w:rsid w:val="00F83FD9"/>
    <w:rsid w:val="00F84289"/>
    <w:rsid w:val="00F84293"/>
    <w:rsid w:val="00F857D6"/>
    <w:rsid w:val="00F87193"/>
    <w:rsid w:val="00F8722D"/>
    <w:rsid w:val="00F8768E"/>
    <w:rsid w:val="00F87F99"/>
    <w:rsid w:val="00F87FCA"/>
    <w:rsid w:val="00F902E6"/>
    <w:rsid w:val="00F90B82"/>
    <w:rsid w:val="00F9196A"/>
    <w:rsid w:val="00F92621"/>
    <w:rsid w:val="00F92790"/>
    <w:rsid w:val="00F92920"/>
    <w:rsid w:val="00F92ACA"/>
    <w:rsid w:val="00F92E7C"/>
    <w:rsid w:val="00F92EAB"/>
    <w:rsid w:val="00F93083"/>
    <w:rsid w:val="00F930D9"/>
    <w:rsid w:val="00F93EEE"/>
    <w:rsid w:val="00F93FDA"/>
    <w:rsid w:val="00F94352"/>
    <w:rsid w:val="00F944E3"/>
    <w:rsid w:val="00F954CA"/>
    <w:rsid w:val="00F96280"/>
    <w:rsid w:val="00F96E84"/>
    <w:rsid w:val="00F97914"/>
    <w:rsid w:val="00FA01D4"/>
    <w:rsid w:val="00FA084F"/>
    <w:rsid w:val="00FA08FD"/>
    <w:rsid w:val="00FA0DE6"/>
    <w:rsid w:val="00FA2BD7"/>
    <w:rsid w:val="00FA30F5"/>
    <w:rsid w:val="00FA3BAD"/>
    <w:rsid w:val="00FA3F06"/>
    <w:rsid w:val="00FA416A"/>
    <w:rsid w:val="00FA4744"/>
    <w:rsid w:val="00FA4872"/>
    <w:rsid w:val="00FA4B78"/>
    <w:rsid w:val="00FA6067"/>
    <w:rsid w:val="00FA62E0"/>
    <w:rsid w:val="00FA63D3"/>
    <w:rsid w:val="00FA6741"/>
    <w:rsid w:val="00FA6DE6"/>
    <w:rsid w:val="00FA6F37"/>
    <w:rsid w:val="00FA6FA7"/>
    <w:rsid w:val="00FA7658"/>
    <w:rsid w:val="00FB0336"/>
    <w:rsid w:val="00FB0630"/>
    <w:rsid w:val="00FB0862"/>
    <w:rsid w:val="00FB089A"/>
    <w:rsid w:val="00FB109B"/>
    <w:rsid w:val="00FB119A"/>
    <w:rsid w:val="00FB1431"/>
    <w:rsid w:val="00FB181F"/>
    <w:rsid w:val="00FB1918"/>
    <w:rsid w:val="00FB1AE8"/>
    <w:rsid w:val="00FB1D7A"/>
    <w:rsid w:val="00FB24C0"/>
    <w:rsid w:val="00FB286E"/>
    <w:rsid w:val="00FB2A18"/>
    <w:rsid w:val="00FB3F9C"/>
    <w:rsid w:val="00FB4206"/>
    <w:rsid w:val="00FB4D9A"/>
    <w:rsid w:val="00FB526E"/>
    <w:rsid w:val="00FB5A66"/>
    <w:rsid w:val="00FB5B30"/>
    <w:rsid w:val="00FB5CF6"/>
    <w:rsid w:val="00FB62B5"/>
    <w:rsid w:val="00FB6C8D"/>
    <w:rsid w:val="00FB6D76"/>
    <w:rsid w:val="00FB6F8F"/>
    <w:rsid w:val="00FB7430"/>
    <w:rsid w:val="00FB7450"/>
    <w:rsid w:val="00FB7968"/>
    <w:rsid w:val="00FC0562"/>
    <w:rsid w:val="00FC0EFA"/>
    <w:rsid w:val="00FC1079"/>
    <w:rsid w:val="00FC1327"/>
    <w:rsid w:val="00FC1533"/>
    <w:rsid w:val="00FC1B8F"/>
    <w:rsid w:val="00FC1BE4"/>
    <w:rsid w:val="00FC1D4B"/>
    <w:rsid w:val="00FC201C"/>
    <w:rsid w:val="00FC242A"/>
    <w:rsid w:val="00FC2580"/>
    <w:rsid w:val="00FC314B"/>
    <w:rsid w:val="00FC39CA"/>
    <w:rsid w:val="00FC3AE8"/>
    <w:rsid w:val="00FC3C18"/>
    <w:rsid w:val="00FC4226"/>
    <w:rsid w:val="00FC4A41"/>
    <w:rsid w:val="00FC5866"/>
    <w:rsid w:val="00FC5E6F"/>
    <w:rsid w:val="00FC7615"/>
    <w:rsid w:val="00FC7785"/>
    <w:rsid w:val="00FC7F4D"/>
    <w:rsid w:val="00FD058E"/>
    <w:rsid w:val="00FD05BC"/>
    <w:rsid w:val="00FD0E60"/>
    <w:rsid w:val="00FD2102"/>
    <w:rsid w:val="00FD2718"/>
    <w:rsid w:val="00FD3634"/>
    <w:rsid w:val="00FD3889"/>
    <w:rsid w:val="00FD45D6"/>
    <w:rsid w:val="00FD465C"/>
    <w:rsid w:val="00FD4D73"/>
    <w:rsid w:val="00FD562A"/>
    <w:rsid w:val="00FD6411"/>
    <w:rsid w:val="00FD64EF"/>
    <w:rsid w:val="00FD683A"/>
    <w:rsid w:val="00FD7771"/>
    <w:rsid w:val="00FD7B26"/>
    <w:rsid w:val="00FE0294"/>
    <w:rsid w:val="00FE14D4"/>
    <w:rsid w:val="00FE18B4"/>
    <w:rsid w:val="00FE2F0E"/>
    <w:rsid w:val="00FE2F48"/>
    <w:rsid w:val="00FE357B"/>
    <w:rsid w:val="00FE37C2"/>
    <w:rsid w:val="00FE4F46"/>
    <w:rsid w:val="00FE5276"/>
    <w:rsid w:val="00FE563B"/>
    <w:rsid w:val="00FE5DA3"/>
    <w:rsid w:val="00FE66FB"/>
    <w:rsid w:val="00FE6997"/>
    <w:rsid w:val="00FE6FAA"/>
    <w:rsid w:val="00FE7053"/>
    <w:rsid w:val="00FE7884"/>
    <w:rsid w:val="00FE7D12"/>
    <w:rsid w:val="00FE7EBD"/>
    <w:rsid w:val="00FF3DBD"/>
    <w:rsid w:val="00FF4204"/>
    <w:rsid w:val="00FF4314"/>
    <w:rsid w:val="00FF456E"/>
    <w:rsid w:val="00FF4A19"/>
    <w:rsid w:val="00FF4CE2"/>
    <w:rsid w:val="00FF520E"/>
    <w:rsid w:val="00FF70F3"/>
    <w:rsid w:val="00FF7533"/>
    <w:rsid w:val="00FF7BA6"/>
    <w:rsid w:val="00FF7C38"/>
    <w:rsid w:val="01F0299B"/>
    <w:rsid w:val="024617F2"/>
    <w:rsid w:val="026E4F91"/>
    <w:rsid w:val="03BD5214"/>
    <w:rsid w:val="03D8291E"/>
    <w:rsid w:val="041D095D"/>
    <w:rsid w:val="049C1B9D"/>
    <w:rsid w:val="05A21435"/>
    <w:rsid w:val="05C375FE"/>
    <w:rsid w:val="05C87DB9"/>
    <w:rsid w:val="05F94DCD"/>
    <w:rsid w:val="061E65E2"/>
    <w:rsid w:val="07155C37"/>
    <w:rsid w:val="077E68D5"/>
    <w:rsid w:val="09093516"/>
    <w:rsid w:val="090E293E"/>
    <w:rsid w:val="0961739E"/>
    <w:rsid w:val="098E6083"/>
    <w:rsid w:val="0A9D666F"/>
    <w:rsid w:val="0B0C7D1A"/>
    <w:rsid w:val="0B205B2B"/>
    <w:rsid w:val="0B782559"/>
    <w:rsid w:val="0D566BC9"/>
    <w:rsid w:val="0D682962"/>
    <w:rsid w:val="0D6B4533"/>
    <w:rsid w:val="0E180322"/>
    <w:rsid w:val="0E8C4995"/>
    <w:rsid w:val="0EF27BFB"/>
    <w:rsid w:val="0FBC50EF"/>
    <w:rsid w:val="10225127"/>
    <w:rsid w:val="10615A49"/>
    <w:rsid w:val="115F3FD7"/>
    <w:rsid w:val="116C0B49"/>
    <w:rsid w:val="119B6753"/>
    <w:rsid w:val="11A259DD"/>
    <w:rsid w:val="11EB4164"/>
    <w:rsid w:val="120027E5"/>
    <w:rsid w:val="120474A0"/>
    <w:rsid w:val="12393FFC"/>
    <w:rsid w:val="12D116C5"/>
    <w:rsid w:val="13102ABE"/>
    <w:rsid w:val="139B3968"/>
    <w:rsid w:val="1494463F"/>
    <w:rsid w:val="15282FD9"/>
    <w:rsid w:val="15B81821"/>
    <w:rsid w:val="162063B0"/>
    <w:rsid w:val="16247C45"/>
    <w:rsid w:val="165A75D3"/>
    <w:rsid w:val="167D280D"/>
    <w:rsid w:val="17047766"/>
    <w:rsid w:val="17314774"/>
    <w:rsid w:val="17935895"/>
    <w:rsid w:val="17F52C18"/>
    <w:rsid w:val="184530EF"/>
    <w:rsid w:val="19227A4B"/>
    <w:rsid w:val="1A1A3838"/>
    <w:rsid w:val="1A6B4094"/>
    <w:rsid w:val="1ABC044C"/>
    <w:rsid w:val="1B3E182A"/>
    <w:rsid w:val="1B4B5195"/>
    <w:rsid w:val="1BF55BDB"/>
    <w:rsid w:val="1C174C6F"/>
    <w:rsid w:val="1C7C020D"/>
    <w:rsid w:val="1C8F78BA"/>
    <w:rsid w:val="1C9B0D84"/>
    <w:rsid w:val="1CDD3F3B"/>
    <w:rsid w:val="1D4D6869"/>
    <w:rsid w:val="1D6A0633"/>
    <w:rsid w:val="1F10520A"/>
    <w:rsid w:val="1F170346"/>
    <w:rsid w:val="1F6C5682"/>
    <w:rsid w:val="207A545D"/>
    <w:rsid w:val="20BB11A5"/>
    <w:rsid w:val="21760101"/>
    <w:rsid w:val="22B25284"/>
    <w:rsid w:val="22C07D9F"/>
    <w:rsid w:val="23056CBA"/>
    <w:rsid w:val="233F37B6"/>
    <w:rsid w:val="234C1E42"/>
    <w:rsid w:val="23BC770E"/>
    <w:rsid w:val="23C6059E"/>
    <w:rsid w:val="23C95079"/>
    <w:rsid w:val="24031A53"/>
    <w:rsid w:val="24307C26"/>
    <w:rsid w:val="24861ACA"/>
    <w:rsid w:val="248E5D4C"/>
    <w:rsid w:val="24C47897"/>
    <w:rsid w:val="24E337F8"/>
    <w:rsid w:val="258D3B57"/>
    <w:rsid w:val="25B635FC"/>
    <w:rsid w:val="261A4BC0"/>
    <w:rsid w:val="262336EE"/>
    <w:rsid w:val="2624159B"/>
    <w:rsid w:val="269E4C0C"/>
    <w:rsid w:val="27024D1A"/>
    <w:rsid w:val="28035FB0"/>
    <w:rsid w:val="28545777"/>
    <w:rsid w:val="29C56BF1"/>
    <w:rsid w:val="2A2523F1"/>
    <w:rsid w:val="2ACA5882"/>
    <w:rsid w:val="2AD85037"/>
    <w:rsid w:val="2B74267D"/>
    <w:rsid w:val="2BD0253B"/>
    <w:rsid w:val="2C444480"/>
    <w:rsid w:val="2C564DC3"/>
    <w:rsid w:val="2CBE5A91"/>
    <w:rsid w:val="2D582265"/>
    <w:rsid w:val="2D6C141D"/>
    <w:rsid w:val="2EB64B4B"/>
    <w:rsid w:val="2EDB590A"/>
    <w:rsid w:val="2F0A29E3"/>
    <w:rsid w:val="2FAC144B"/>
    <w:rsid w:val="300E34E3"/>
    <w:rsid w:val="303074BA"/>
    <w:rsid w:val="30817D6A"/>
    <w:rsid w:val="30847806"/>
    <w:rsid w:val="30D8545C"/>
    <w:rsid w:val="3157114E"/>
    <w:rsid w:val="31F2037F"/>
    <w:rsid w:val="329B11F6"/>
    <w:rsid w:val="336E087E"/>
    <w:rsid w:val="33A65CE5"/>
    <w:rsid w:val="33C3087D"/>
    <w:rsid w:val="33EB26F5"/>
    <w:rsid w:val="347167BC"/>
    <w:rsid w:val="35961B12"/>
    <w:rsid w:val="35D415B6"/>
    <w:rsid w:val="364523AD"/>
    <w:rsid w:val="36700D38"/>
    <w:rsid w:val="36C4673D"/>
    <w:rsid w:val="379C3B5A"/>
    <w:rsid w:val="37B10B63"/>
    <w:rsid w:val="37D17C49"/>
    <w:rsid w:val="390721D7"/>
    <w:rsid w:val="39113C01"/>
    <w:rsid w:val="393B510C"/>
    <w:rsid w:val="393F4767"/>
    <w:rsid w:val="39A97E97"/>
    <w:rsid w:val="39AC4C67"/>
    <w:rsid w:val="3A260C29"/>
    <w:rsid w:val="3B57268D"/>
    <w:rsid w:val="3B6176CE"/>
    <w:rsid w:val="3B675D5A"/>
    <w:rsid w:val="3BB403D1"/>
    <w:rsid w:val="3BF9504C"/>
    <w:rsid w:val="3C776471"/>
    <w:rsid w:val="3CF11603"/>
    <w:rsid w:val="3D6F4D41"/>
    <w:rsid w:val="3D7507FB"/>
    <w:rsid w:val="3D7D2741"/>
    <w:rsid w:val="3E0E070F"/>
    <w:rsid w:val="3E832EAB"/>
    <w:rsid w:val="3EB5127A"/>
    <w:rsid w:val="3EC51715"/>
    <w:rsid w:val="3F503E5E"/>
    <w:rsid w:val="3F762A0F"/>
    <w:rsid w:val="3FC16214"/>
    <w:rsid w:val="3FCE45FA"/>
    <w:rsid w:val="4037219F"/>
    <w:rsid w:val="4044666A"/>
    <w:rsid w:val="407C5E04"/>
    <w:rsid w:val="41576FF8"/>
    <w:rsid w:val="41D9164E"/>
    <w:rsid w:val="41DD521D"/>
    <w:rsid w:val="423B7022"/>
    <w:rsid w:val="428B1E08"/>
    <w:rsid w:val="4389060E"/>
    <w:rsid w:val="43C8028A"/>
    <w:rsid w:val="43D51667"/>
    <w:rsid w:val="43D83C99"/>
    <w:rsid w:val="442E297B"/>
    <w:rsid w:val="443B2C25"/>
    <w:rsid w:val="4480259C"/>
    <w:rsid w:val="448421F1"/>
    <w:rsid w:val="4530540F"/>
    <w:rsid w:val="45561319"/>
    <w:rsid w:val="45D37D9B"/>
    <w:rsid w:val="46A231F7"/>
    <w:rsid w:val="46E464B1"/>
    <w:rsid w:val="47E04E9C"/>
    <w:rsid w:val="48194FD5"/>
    <w:rsid w:val="482D3E87"/>
    <w:rsid w:val="484514CB"/>
    <w:rsid w:val="48516103"/>
    <w:rsid w:val="488D09CC"/>
    <w:rsid w:val="48C86EE1"/>
    <w:rsid w:val="49E5139C"/>
    <w:rsid w:val="49FA6EF8"/>
    <w:rsid w:val="4A784961"/>
    <w:rsid w:val="4ACF3A3C"/>
    <w:rsid w:val="4B1700DF"/>
    <w:rsid w:val="4B3C4946"/>
    <w:rsid w:val="4B63653E"/>
    <w:rsid w:val="4BF929FE"/>
    <w:rsid w:val="4D2301C1"/>
    <w:rsid w:val="4DC1579E"/>
    <w:rsid w:val="4DDA0CCD"/>
    <w:rsid w:val="4DDF5C24"/>
    <w:rsid w:val="4F0E67C1"/>
    <w:rsid w:val="4F0F6A19"/>
    <w:rsid w:val="4F440434"/>
    <w:rsid w:val="4F8F4C9C"/>
    <w:rsid w:val="51B66C9C"/>
    <w:rsid w:val="51D10A66"/>
    <w:rsid w:val="526130AB"/>
    <w:rsid w:val="528A390F"/>
    <w:rsid w:val="528C6991"/>
    <w:rsid w:val="52AA2341"/>
    <w:rsid w:val="537B63EF"/>
    <w:rsid w:val="53BB4A3D"/>
    <w:rsid w:val="54054633"/>
    <w:rsid w:val="540605E4"/>
    <w:rsid w:val="547F0032"/>
    <w:rsid w:val="54A02A20"/>
    <w:rsid w:val="556B60FA"/>
    <w:rsid w:val="55C87B3E"/>
    <w:rsid w:val="57566F57"/>
    <w:rsid w:val="57997E30"/>
    <w:rsid w:val="57D72641"/>
    <w:rsid w:val="58D67D8C"/>
    <w:rsid w:val="58E10577"/>
    <w:rsid w:val="59165EF7"/>
    <w:rsid w:val="59702A12"/>
    <w:rsid w:val="5976568E"/>
    <w:rsid w:val="59AC5554"/>
    <w:rsid w:val="5A2C5B56"/>
    <w:rsid w:val="5AD159B6"/>
    <w:rsid w:val="5AED2A9C"/>
    <w:rsid w:val="5B0722E6"/>
    <w:rsid w:val="5B712604"/>
    <w:rsid w:val="5BC746C9"/>
    <w:rsid w:val="5C2374B9"/>
    <w:rsid w:val="5CC61F72"/>
    <w:rsid w:val="5CF206F7"/>
    <w:rsid w:val="5D5C2DED"/>
    <w:rsid w:val="5E8A5738"/>
    <w:rsid w:val="5EA0340D"/>
    <w:rsid w:val="5ED66C3C"/>
    <w:rsid w:val="5F7E21D0"/>
    <w:rsid w:val="5FDD643B"/>
    <w:rsid w:val="5FF23595"/>
    <w:rsid w:val="60BA3E42"/>
    <w:rsid w:val="6194383B"/>
    <w:rsid w:val="61A14A39"/>
    <w:rsid w:val="61CB5375"/>
    <w:rsid w:val="623348CA"/>
    <w:rsid w:val="62EF5C05"/>
    <w:rsid w:val="63D062E3"/>
    <w:rsid w:val="65CA685B"/>
    <w:rsid w:val="65CF34A7"/>
    <w:rsid w:val="65F660EF"/>
    <w:rsid w:val="6673798C"/>
    <w:rsid w:val="67050051"/>
    <w:rsid w:val="671B1623"/>
    <w:rsid w:val="673905B6"/>
    <w:rsid w:val="681C3942"/>
    <w:rsid w:val="68460AAC"/>
    <w:rsid w:val="68AC1CFE"/>
    <w:rsid w:val="6962178B"/>
    <w:rsid w:val="6A682DD1"/>
    <w:rsid w:val="6AA81420"/>
    <w:rsid w:val="6B1236DE"/>
    <w:rsid w:val="6B403D4E"/>
    <w:rsid w:val="6BCD1DE6"/>
    <w:rsid w:val="6C360CAD"/>
    <w:rsid w:val="6C505023"/>
    <w:rsid w:val="6CD40BF2"/>
    <w:rsid w:val="6D14299F"/>
    <w:rsid w:val="6D672A1E"/>
    <w:rsid w:val="6DC237D1"/>
    <w:rsid w:val="6E5F098F"/>
    <w:rsid w:val="6E6B7334"/>
    <w:rsid w:val="6EED7D49"/>
    <w:rsid w:val="6EFF7A7C"/>
    <w:rsid w:val="6F40725E"/>
    <w:rsid w:val="6F865E37"/>
    <w:rsid w:val="6FBB7E47"/>
    <w:rsid w:val="70384FF4"/>
    <w:rsid w:val="70DA60AB"/>
    <w:rsid w:val="711172CF"/>
    <w:rsid w:val="713E63D0"/>
    <w:rsid w:val="71FD54DD"/>
    <w:rsid w:val="73397A01"/>
    <w:rsid w:val="739F35DC"/>
    <w:rsid w:val="73E86D31"/>
    <w:rsid w:val="740A314B"/>
    <w:rsid w:val="7410294D"/>
    <w:rsid w:val="76D71644"/>
    <w:rsid w:val="776C2FB6"/>
    <w:rsid w:val="77F9150C"/>
    <w:rsid w:val="7883527A"/>
    <w:rsid w:val="79982284"/>
    <w:rsid w:val="7998662D"/>
    <w:rsid w:val="79D15C97"/>
    <w:rsid w:val="79F673A7"/>
    <w:rsid w:val="7A2B76DE"/>
    <w:rsid w:val="7A7632E8"/>
    <w:rsid w:val="7A8157E9"/>
    <w:rsid w:val="7A8C5878"/>
    <w:rsid w:val="7AF97A75"/>
    <w:rsid w:val="7B3F649D"/>
    <w:rsid w:val="7B471854"/>
    <w:rsid w:val="7BAD0F8C"/>
    <w:rsid w:val="7BE10C35"/>
    <w:rsid w:val="7C552333"/>
    <w:rsid w:val="7CA86C55"/>
    <w:rsid w:val="7CF019C1"/>
    <w:rsid w:val="7CF068AD"/>
    <w:rsid w:val="7D461CAD"/>
    <w:rsid w:val="7E28286A"/>
    <w:rsid w:val="7E4515FE"/>
    <w:rsid w:val="7EAD59B2"/>
    <w:rsid w:val="7F345520"/>
    <w:rsid w:val="7F8C710A"/>
    <w:rsid w:val="7F9127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61"/>
    <w:qFormat/>
    <w:uiPriority w:val="0"/>
    <w:pPr>
      <w:spacing w:before="460" w:after="450" w:line="360" w:lineRule="auto"/>
      <w:jc w:val="center"/>
      <w:outlineLvl w:val="0"/>
    </w:pPr>
    <w:rPr>
      <w:rFonts w:eastAsiaTheme="minorEastAsia"/>
      <w:bCs w:val="0"/>
      <w:kern w:val="44"/>
      <w:sz w:val="44"/>
      <w:szCs w:val="28"/>
    </w:rPr>
  </w:style>
  <w:style w:type="paragraph" w:styleId="4">
    <w:name w:val="heading 2"/>
    <w:basedOn w:val="1"/>
    <w:next w:val="1"/>
    <w:link w:val="62"/>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3">
    <w:name w:val="heading 3"/>
    <w:basedOn w:val="1"/>
    <w:next w:val="1"/>
    <w:link w:val="60"/>
    <w:qFormat/>
    <w:uiPriority w:val="0"/>
    <w:pPr>
      <w:keepNext/>
      <w:keepLines/>
      <w:spacing w:before="260" w:after="260" w:line="416" w:lineRule="auto"/>
      <w:jc w:val="left"/>
      <w:outlineLvl w:val="2"/>
    </w:pPr>
    <w:rPr>
      <w:b/>
      <w:bCs/>
      <w:sz w:val="24"/>
      <w:szCs w:val="32"/>
    </w:rPr>
  </w:style>
  <w:style w:type="paragraph" w:styleId="5">
    <w:name w:val="heading 4"/>
    <w:basedOn w:val="1"/>
    <w:next w:val="1"/>
    <w:link w:val="63"/>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5"/>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7"/>
    <w:link w:val="66"/>
    <w:qFormat/>
    <w:uiPriority w:val="9"/>
    <w:pPr>
      <w:keepNext/>
      <w:keepLines/>
      <w:numPr>
        <w:ilvl w:val="5"/>
        <w:numId w:val="1"/>
      </w:numPr>
      <w:spacing w:before="240" w:after="64" w:line="319" w:lineRule="auto"/>
      <w:outlineLvl w:val="5"/>
    </w:pPr>
    <w:rPr>
      <w:rFonts w:ascii="Arial" w:hAnsi="Arial" w:eastAsia="黑体"/>
      <w:b/>
      <w:sz w:val="24"/>
    </w:rPr>
  </w:style>
  <w:style w:type="paragraph" w:styleId="9">
    <w:name w:val="heading 7"/>
    <w:basedOn w:val="1"/>
    <w:next w:val="7"/>
    <w:link w:val="67"/>
    <w:qFormat/>
    <w:uiPriority w:val="9"/>
    <w:pPr>
      <w:keepNext/>
      <w:keepLines/>
      <w:numPr>
        <w:ilvl w:val="6"/>
        <w:numId w:val="1"/>
      </w:numPr>
      <w:spacing w:before="240" w:after="64" w:line="319" w:lineRule="auto"/>
      <w:outlineLvl w:val="6"/>
    </w:pPr>
    <w:rPr>
      <w:b/>
      <w:sz w:val="24"/>
    </w:rPr>
  </w:style>
  <w:style w:type="paragraph" w:styleId="10">
    <w:name w:val="heading 8"/>
    <w:basedOn w:val="1"/>
    <w:next w:val="7"/>
    <w:link w:val="68"/>
    <w:qFormat/>
    <w:uiPriority w:val="9"/>
    <w:pPr>
      <w:keepNext/>
      <w:keepLines/>
      <w:numPr>
        <w:ilvl w:val="7"/>
        <w:numId w:val="1"/>
      </w:numPr>
      <w:spacing w:before="240" w:after="64" w:line="319" w:lineRule="auto"/>
      <w:outlineLvl w:val="7"/>
    </w:pPr>
    <w:rPr>
      <w:rFonts w:ascii="Arial" w:hAnsi="Arial" w:eastAsia="黑体"/>
      <w:sz w:val="24"/>
    </w:rPr>
  </w:style>
  <w:style w:type="paragraph" w:styleId="11">
    <w:name w:val="heading 9"/>
    <w:basedOn w:val="1"/>
    <w:next w:val="7"/>
    <w:link w:val="69"/>
    <w:qFormat/>
    <w:uiPriority w:val="0"/>
    <w:pPr>
      <w:keepNext/>
      <w:keepLines/>
      <w:numPr>
        <w:ilvl w:val="8"/>
        <w:numId w:val="1"/>
      </w:numPr>
      <w:spacing w:before="240" w:after="64" w:line="319"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4"/>
    <w:qFormat/>
    <w:uiPriority w:val="0"/>
    <w:pPr>
      <w:ind w:firstLine="420" w:firstLineChars="200"/>
    </w:pPr>
  </w:style>
  <w:style w:type="paragraph" w:styleId="12">
    <w:name w:val="toc 7"/>
    <w:basedOn w:val="1"/>
    <w:next w:val="1"/>
    <w:qFormat/>
    <w:uiPriority w:val="0"/>
    <w:pPr>
      <w:ind w:left="1260"/>
      <w:jc w:val="left"/>
    </w:pPr>
    <w:rPr>
      <w:szCs w:val="21"/>
    </w:rPr>
  </w:style>
  <w:style w:type="paragraph" w:styleId="13">
    <w:name w:val="List Number 2"/>
    <w:basedOn w:val="1"/>
    <w:qFormat/>
    <w:uiPriority w:val="0"/>
    <w:pPr>
      <w:tabs>
        <w:tab w:val="left" w:pos="780"/>
      </w:tabs>
      <w:ind w:left="780" w:hanging="360"/>
    </w:pPr>
    <w:rPr>
      <w:szCs w:val="20"/>
    </w:rPr>
  </w:style>
  <w:style w:type="paragraph" w:styleId="14">
    <w:name w:val="List Bullet 4"/>
    <w:basedOn w:val="1"/>
    <w:qFormat/>
    <w:uiPriority w:val="0"/>
    <w:pPr>
      <w:tabs>
        <w:tab w:val="left" w:pos="425"/>
        <w:tab w:val="left" w:pos="1620"/>
      </w:tabs>
      <w:ind w:left="425" w:hanging="425"/>
    </w:pPr>
    <w:rPr>
      <w:szCs w:val="20"/>
    </w:rPr>
  </w:style>
  <w:style w:type="paragraph" w:styleId="15">
    <w:name w:val="caption"/>
    <w:basedOn w:val="1"/>
    <w:next w:val="1"/>
    <w:link w:val="297"/>
    <w:qFormat/>
    <w:uiPriority w:val="0"/>
    <w:rPr>
      <w:rFonts w:ascii="Cambria" w:hAnsi="Cambria" w:eastAsia="黑体"/>
    </w:rPr>
  </w:style>
  <w:style w:type="paragraph" w:styleId="16">
    <w:name w:val="List Bullet"/>
    <w:basedOn w:val="1"/>
    <w:qFormat/>
    <w:uiPriority w:val="0"/>
    <w:pPr>
      <w:numPr>
        <w:ilvl w:val="0"/>
        <w:numId w:val="1"/>
      </w:numPr>
      <w:tabs>
        <w:tab w:val="left" w:pos="360"/>
        <w:tab w:val="clear" w:pos="371"/>
      </w:tabs>
    </w:pPr>
    <w:rPr>
      <w:szCs w:val="20"/>
    </w:rPr>
  </w:style>
  <w:style w:type="paragraph" w:styleId="17">
    <w:name w:val="Document Map"/>
    <w:basedOn w:val="1"/>
    <w:link w:val="74"/>
    <w:qFormat/>
    <w:uiPriority w:val="0"/>
    <w:pPr>
      <w:shd w:val="clear" w:color="auto" w:fill="000080"/>
    </w:pPr>
  </w:style>
  <w:style w:type="paragraph" w:styleId="18">
    <w:name w:val="annotation text"/>
    <w:basedOn w:val="1"/>
    <w:link w:val="70"/>
    <w:qFormat/>
    <w:uiPriority w:val="0"/>
    <w:pPr>
      <w:jc w:val="left"/>
    </w:pPr>
  </w:style>
  <w:style w:type="paragraph" w:styleId="19">
    <w:name w:val="Body Text 3"/>
    <w:basedOn w:val="1"/>
    <w:link w:val="458"/>
    <w:unhideWhenUsed/>
    <w:qFormat/>
    <w:uiPriority w:val="0"/>
    <w:pPr>
      <w:spacing w:after="120"/>
    </w:pPr>
    <w:rPr>
      <w:sz w:val="16"/>
      <w:szCs w:val="16"/>
    </w:rPr>
  </w:style>
  <w:style w:type="paragraph" w:styleId="20">
    <w:name w:val="Body Text"/>
    <w:basedOn w:val="1"/>
    <w:link w:val="72"/>
    <w:qFormat/>
    <w:uiPriority w:val="0"/>
    <w:pPr>
      <w:spacing w:after="120"/>
    </w:pPr>
  </w:style>
  <w:style w:type="paragraph" w:styleId="21">
    <w:name w:val="Body Text Indent"/>
    <w:basedOn w:val="1"/>
    <w:link w:val="75"/>
    <w:qFormat/>
    <w:uiPriority w:val="0"/>
    <w:pPr>
      <w:spacing w:after="120"/>
      <w:ind w:left="420" w:leftChars="200"/>
    </w:pPr>
  </w:style>
  <w:style w:type="paragraph" w:styleId="22">
    <w:name w:val="Block Text"/>
    <w:basedOn w:val="1"/>
    <w:qFormat/>
    <w:uiPriority w:val="0"/>
    <w:pPr>
      <w:spacing w:after="120"/>
      <w:ind w:left="1440" w:leftChars="700" w:right="1440" w:rightChars="700"/>
    </w:pPr>
  </w:style>
  <w:style w:type="paragraph" w:styleId="23">
    <w:name w:val="List Bullet 2"/>
    <w:basedOn w:val="1"/>
    <w:qFormat/>
    <w:uiPriority w:val="0"/>
    <w:pPr>
      <w:numPr>
        <w:ilvl w:val="0"/>
        <w:numId w:val="2"/>
      </w:numPr>
      <w:tabs>
        <w:tab w:val="left" w:pos="780"/>
      </w:tabs>
    </w:pPr>
    <w:rPr>
      <w:szCs w:val="20"/>
    </w:rPr>
  </w:style>
  <w:style w:type="paragraph" w:styleId="24">
    <w:name w:val="toc 5"/>
    <w:basedOn w:val="1"/>
    <w:next w:val="1"/>
    <w:qFormat/>
    <w:uiPriority w:val="0"/>
    <w:pPr>
      <w:ind w:left="840"/>
      <w:jc w:val="left"/>
    </w:pPr>
    <w:rPr>
      <w:szCs w:val="21"/>
    </w:rPr>
  </w:style>
  <w:style w:type="paragraph" w:styleId="25">
    <w:name w:val="toc 3"/>
    <w:basedOn w:val="1"/>
    <w:next w:val="1"/>
    <w:qFormat/>
    <w:uiPriority w:val="39"/>
    <w:pPr>
      <w:ind w:left="420"/>
      <w:jc w:val="left"/>
    </w:pPr>
    <w:rPr>
      <w:iCs/>
    </w:rPr>
  </w:style>
  <w:style w:type="paragraph" w:styleId="26">
    <w:name w:val="Plain Text"/>
    <w:basedOn w:val="1"/>
    <w:link w:val="76"/>
    <w:qFormat/>
    <w:uiPriority w:val="0"/>
    <w:rPr>
      <w:rFonts w:ascii="宋体" w:hAnsi="Courier New"/>
      <w:szCs w:val="20"/>
    </w:rPr>
  </w:style>
  <w:style w:type="paragraph" w:styleId="27">
    <w:name w:val="toc 8"/>
    <w:basedOn w:val="1"/>
    <w:next w:val="1"/>
    <w:qFormat/>
    <w:uiPriority w:val="0"/>
    <w:pPr>
      <w:ind w:left="1470"/>
      <w:jc w:val="left"/>
    </w:pPr>
    <w:rPr>
      <w:szCs w:val="21"/>
    </w:rPr>
  </w:style>
  <w:style w:type="paragraph" w:styleId="28">
    <w:name w:val="Date"/>
    <w:basedOn w:val="1"/>
    <w:next w:val="1"/>
    <w:link w:val="316"/>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9">
    <w:name w:val="Body Text Indent 2"/>
    <w:basedOn w:val="1"/>
    <w:link w:val="77"/>
    <w:qFormat/>
    <w:uiPriority w:val="0"/>
    <w:pPr>
      <w:spacing w:after="120" w:line="480" w:lineRule="auto"/>
      <w:ind w:left="420" w:leftChars="200"/>
    </w:pPr>
  </w:style>
  <w:style w:type="paragraph" w:styleId="30">
    <w:name w:val="Balloon Text"/>
    <w:basedOn w:val="1"/>
    <w:link w:val="78"/>
    <w:qFormat/>
    <w:uiPriority w:val="0"/>
    <w:rPr>
      <w:sz w:val="18"/>
      <w:szCs w:val="18"/>
    </w:rPr>
  </w:style>
  <w:style w:type="paragraph" w:styleId="31">
    <w:name w:val="footer"/>
    <w:basedOn w:val="1"/>
    <w:link w:val="79"/>
    <w:qFormat/>
    <w:uiPriority w:val="99"/>
    <w:pPr>
      <w:tabs>
        <w:tab w:val="center" w:pos="4153"/>
        <w:tab w:val="right" w:pos="8306"/>
      </w:tabs>
      <w:snapToGrid w:val="0"/>
      <w:jc w:val="left"/>
    </w:pPr>
    <w:rPr>
      <w:sz w:val="18"/>
      <w:szCs w:val="18"/>
    </w:rPr>
  </w:style>
  <w:style w:type="paragraph" w:styleId="32">
    <w:name w:val="header"/>
    <w:basedOn w:val="1"/>
    <w:link w:val="80"/>
    <w:qFormat/>
    <w:uiPriority w:val="99"/>
    <w:pPr>
      <w:pBdr>
        <w:bottom w:val="single" w:color="auto" w:sz="6" w:space="1"/>
      </w:pBdr>
      <w:tabs>
        <w:tab w:val="center" w:pos="4153"/>
        <w:tab w:val="right" w:pos="8306"/>
      </w:tabs>
      <w:snapToGrid w:val="0"/>
      <w:jc w:val="center"/>
    </w:pPr>
    <w:rPr>
      <w:sz w:val="18"/>
      <w:szCs w:val="18"/>
    </w:rPr>
  </w:style>
  <w:style w:type="paragraph" w:styleId="33">
    <w:name w:val="Signature"/>
    <w:basedOn w:val="1"/>
    <w:link w:val="287"/>
    <w:qFormat/>
    <w:uiPriority w:val="0"/>
    <w:pPr>
      <w:ind w:left="4320"/>
    </w:pPr>
    <w:rPr>
      <w:rFonts w:eastAsia="楷体_GB2312"/>
      <w:szCs w:val="20"/>
    </w:rPr>
  </w:style>
  <w:style w:type="paragraph" w:styleId="34">
    <w:name w:val="toc 1"/>
    <w:basedOn w:val="1"/>
    <w:next w:val="1"/>
    <w:qFormat/>
    <w:uiPriority w:val="39"/>
    <w:pPr>
      <w:spacing w:before="120" w:after="120"/>
      <w:jc w:val="left"/>
    </w:pPr>
    <w:rPr>
      <w:b/>
      <w:bCs/>
      <w:caps/>
    </w:rPr>
  </w:style>
  <w:style w:type="paragraph" w:styleId="35">
    <w:name w:val="toc 4"/>
    <w:basedOn w:val="1"/>
    <w:next w:val="1"/>
    <w:qFormat/>
    <w:uiPriority w:val="0"/>
    <w:pPr>
      <w:ind w:left="630"/>
      <w:jc w:val="left"/>
    </w:pPr>
    <w:rPr>
      <w:szCs w:val="21"/>
    </w:rPr>
  </w:style>
  <w:style w:type="paragraph" w:styleId="36">
    <w:name w:val="index heading"/>
    <w:basedOn w:val="1"/>
    <w:next w:val="37"/>
    <w:qFormat/>
    <w:uiPriority w:val="0"/>
    <w:rPr>
      <w:szCs w:val="20"/>
    </w:rPr>
  </w:style>
  <w:style w:type="paragraph" w:styleId="37">
    <w:name w:val="index 1"/>
    <w:basedOn w:val="1"/>
    <w:next w:val="1"/>
    <w:qFormat/>
    <w:uiPriority w:val="0"/>
  </w:style>
  <w:style w:type="paragraph" w:styleId="38">
    <w:name w:val="footnote text"/>
    <w:basedOn w:val="1"/>
    <w:link w:val="463"/>
    <w:qFormat/>
    <w:uiPriority w:val="0"/>
    <w:pPr>
      <w:snapToGrid w:val="0"/>
      <w:jc w:val="left"/>
    </w:pPr>
    <w:rPr>
      <w:sz w:val="18"/>
      <w:szCs w:val="18"/>
    </w:rPr>
  </w:style>
  <w:style w:type="paragraph" w:styleId="39">
    <w:name w:val="toc 6"/>
    <w:basedOn w:val="1"/>
    <w:next w:val="1"/>
    <w:qFormat/>
    <w:uiPriority w:val="0"/>
    <w:pPr>
      <w:ind w:left="1050"/>
      <w:jc w:val="left"/>
    </w:pPr>
    <w:rPr>
      <w:szCs w:val="21"/>
    </w:rPr>
  </w:style>
  <w:style w:type="paragraph" w:styleId="40">
    <w:name w:val="Body Text Indent 3"/>
    <w:basedOn w:val="1"/>
    <w:link w:val="313"/>
    <w:qFormat/>
    <w:uiPriority w:val="0"/>
    <w:pPr>
      <w:ind w:firstLine="426"/>
    </w:pPr>
    <w:rPr>
      <w:szCs w:val="20"/>
    </w:rPr>
  </w:style>
  <w:style w:type="paragraph" w:styleId="41">
    <w:name w:val="toc 2"/>
    <w:basedOn w:val="1"/>
    <w:next w:val="1"/>
    <w:qFormat/>
    <w:uiPriority w:val="39"/>
    <w:pPr>
      <w:ind w:left="210"/>
      <w:jc w:val="left"/>
    </w:pPr>
    <w:rPr>
      <w:smallCaps/>
    </w:rPr>
  </w:style>
  <w:style w:type="paragraph" w:styleId="42">
    <w:name w:val="toc 9"/>
    <w:basedOn w:val="1"/>
    <w:next w:val="1"/>
    <w:qFormat/>
    <w:uiPriority w:val="0"/>
    <w:pPr>
      <w:ind w:left="1680"/>
      <w:jc w:val="left"/>
    </w:pPr>
    <w:rPr>
      <w:szCs w:val="21"/>
    </w:rPr>
  </w:style>
  <w:style w:type="paragraph" w:styleId="43">
    <w:name w:val="Body Text 2"/>
    <w:basedOn w:val="1"/>
    <w:link w:val="306"/>
    <w:qFormat/>
    <w:uiPriority w:val="0"/>
    <w:rPr>
      <w:sz w:val="28"/>
      <w:szCs w:val="20"/>
    </w:rPr>
  </w:style>
  <w:style w:type="paragraph" w:styleId="44">
    <w:name w:val="HTML Preformatted"/>
    <w:basedOn w:val="1"/>
    <w:link w:val="8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qFormat/>
    <w:uiPriority w:val="99"/>
    <w:pPr>
      <w:widowControl/>
      <w:spacing w:before="100" w:beforeAutospacing="1" w:after="100" w:afterAutospacing="1"/>
      <w:jc w:val="left"/>
    </w:pPr>
    <w:rPr>
      <w:kern w:val="0"/>
      <w:sz w:val="24"/>
    </w:rPr>
  </w:style>
  <w:style w:type="paragraph" w:styleId="46">
    <w:name w:val="Title"/>
    <w:basedOn w:val="1"/>
    <w:link w:val="82"/>
    <w:qFormat/>
    <w:uiPriority w:val="0"/>
    <w:pPr>
      <w:spacing w:before="240" w:after="60"/>
      <w:jc w:val="center"/>
      <w:outlineLvl w:val="0"/>
    </w:pPr>
    <w:rPr>
      <w:rFonts w:ascii="Arial" w:hAnsi="Arial" w:eastAsia="隶书"/>
      <w:b/>
      <w:bCs/>
      <w:sz w:val="32"/>
      <w:szCs w:val="32"/>
    </w:rPr>
  </w:style>
  <w:style w:type="paragraph" w:styleId="47">
    <w:name w:val="annotation subject"/>
    <w:basedOn w:val="18"/>
    <w:next w:val="18"/>
    <w:link w:val="71"/>
    <w:qFormat/>
    <w:uiPriority w:val="0"/>
    <w:rPr>
      <w:b/>
      <w:bCs/>
    </w:rPr>
  </w:style>
  <w:style w:type="paragraph" w:styleId="48">
    <w:name w:val="Body Text First Indent"/>
    <w:basedOn w:val="20"/>
    <w:link w:val="73"/>
    <w:qFormat/>
    <w:uiPriority w:val="0"/>
    <w:pPr>
      <w:ind w:firstLine="420" w:firstLineChars="100"/>
    </w:pPr>
  </w:style>
  <w:style w:type="paragraph" w:styleId="49">
    <w:name w:val="Body Text First Indent 2"/>
    <w:basedOn w:val="21"/>
    <w:link w:val="292"/>
    <w:qFormat/>
    <w:uiPriority w:val="0"/>
    <w:pPr>
      <w:spacing w:after="160" w:line="360" w:lineRule="auto"/>
      <w:ind w:firstLine="480" w:firstLineChars="200"/>
    </w:pPr>
    <w:rPr>
      <w:kern w:val="0"/>
      <w:sz w:val="24"/>
    </w:rPr>
  </w:style>
  <w:style w:type="table" w:styleId="51">
    <w:name w:val="Table Grid"/>
    <w:basedOn w:val="5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basedOn w:val="52"/>
    <w:unhideWhenUsed/>
    <w:qFormat/>
    <w:uiPriority w:val="0"/>
    <w:rPr>
      <w:color w:val="800080"/>
      <w:u w:val="single"/>
    </w:rPr>
  </w:style>
  <w:style w:type="character" w:styleId="56">
    <w:name w:val="Emphasis"/>
    <w:qFormat/>
    <w:uiPriority w:val="20"/>
    <w:rPr>
      <w:i/>
      <w:iCs/>
    </w:rPr>
  </w:style>
  <w:style w:type="character" w:styleId="57">
    <w:name w:val="Hyperlink"/>
    <w:qFormat/>
    <w:uiPriority w:val="99"/>
    <w:rPr>
      <w:color w:val="0000FF"/>
      <w:u w:val="single"/>
    </w:rPr>
  </w:style>
  <w:style w:type="character" w:styleId="58">
    <w:name w:val="annotation reference"/>
    <w:qFormat/>
    <w:uiPriority w:val="0"/>
    <w:rPr>
      <w:sz w:val="21"/>
      <w:szCs w:val="21"/>
    </w:rPr>
  </w:style>
  <w:style w:type="paragraph" w:customStyle="1" w:styleId="59">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character" w:customStyle="1" w:styleId="60">
    <w:name w:val="标题 3 Char"/>
    <w:basedOn w:val="52"/>
    <w:link w:val="3"/>
    <w:qFormat/>
    <w:uiPriority w:val="0"/>
    <w:rPr>
      <w:b/>
      <w:bCs/>
      <w:kern w:val="2"/>
      <w:sz w:val="24"/>
      <w:szCs w:val="32"/>
    </w:rPr>
  </w:style>
  <w:style w:type="character" w:customStyle="1" w:styleId="61">
    <w:name w:val="标题 1 Char"/>
    <w:basedOn w:val="52"/>
    <w:link w:val="2"/>
    <w:qFormat/>
    <w:uiPriority w:val="0"/>
    <w:rPr>
      <w:rFonts w:eastAsiaTheme="minorEastAsia"/>
      <w:b/>
      <w:kern w:val="44"/>
      <w:sz w:val="44"/>
      <w:szCs w:val="28"/>
    </w:rPr>
  </w:style>
  <w:style w:type="character" w:customStyle="1" w:styleId="62">
    <w:name w:val="标题 2 Char"/>
    <w:basedOn w:val="52"/>
    <w:link w:val="4"/>
    <w:qFormat/>
    <w:uiPriority w:val="0"/>
    <w:rPr>
      <w:rFonts w:ascii="Arial" w:hAnsi="Arial" w:eastAsiaTheme="minorEastAsia"/>
      <w:b/>
      <w:bCs/>
      <w:kern w:val="2"/>
      <w:sz w:val="28"/>
      <w:szCs w:val="32"/>
    </w:rPr>
  </w:style>
  <w:style w:type="character" w:customStyle="1" w:styleId="63">
    <w:name w:val="标题 4 Char1"/>
    <w:basedOn w:val="52"/>
    <w:link w:val="5"/>
    <w:qFormat/>
    <w:uiPriority w:val="99"/>
    <w:rPr>
      <w:rFonts w:ascii="Arial" w:hAnsi="Arial" w:eastAsia="黑体"/>
      <w:b/>
      <w:bCs/>
      <w:kern w:val="2"/>
      <w:sz w:val="28"/>
      <w:szCs w:val="28"/>
    </w:rPr>
  </w:style>
  <w:style w:type="character" w:customStyle="1" w:styleId="64">
    <w:name w:val="正文缩进 Char"/>
    <w:link w:val="7"/>
    <w:qFormat/>
    <w:uiPriority w:val="0"/>
    <w:rPr>
      <w:rFonts w:eastAsia="宋体"/>
      <w:kern w:val="2"/>
      <w:sz w:val="21"/>
      <w:szCs w:val="24"/>
      <w:lang w:val="en-US" w:eastAsia="zh-CN" w:bidi="ar-SA"/>
    </w:rPr>
  </w:style>
  <w:style w:type="character" w:customStyle="1" w:styleId="65">
    <w:name w:val="标题 5 Char1"/>
    <w:basedOn w:val="52"/>
    <w:link w:val="6"/>
    <w:qFormat/>
    <w:uiPriority w:val="0"/>
    <w:rPr>
      <w:b/>
      <w:kern w:val="2"/>
      <w:sz w:val="28"/>
      <w:szCs w:val="24"/>
    </w:rPr>
  </w:style>
  <w:style w:type="character" w:customStyle="1" w:styleId="66">
    <w:name w:val="标题 6 Char1"/>
    <w:basedOn w:val="52"/>
    <w:link w:val="8"/>
    <w:qFormat/>
    <w:uiPriority w:val="9"/>
    <w:rPr>
      <w:rFonts w:ascii="Arial" w:hAnsi="Arial" w:eastAsia="黑体"/>
      <w:b/>
      <w:kern w:val="2"/>
      <w:sz w:val="24"/>
      <w:szCs w:val="24"/>
    </w:rPr>
  </w:style>
  <w:style w:type="character" w:customStyle="1" w:styleId="67">
    <w:name w:val="标题 7 Char1"/>
    <w:basedOn w:val="52"/>
    <w:link w:val="9"/>
    <w:qFormat/>
    <w:uiPriority w:val="9"/>
    <w:rPr>
      <w:b/>
      <w:kern w:val="2"/>
      <w:sz w:val="24"/>
      <w:szCs w:val="24"/>
    </w:rPr>
  </w:style>
  <w:style w:type="character" w:customStyle="1" w:styleId="68">
    <w:name w:val="标题 8 Char1"/>
    <w:basedOn w:val="52"/>
    <w:link w:val="10"/>
    <w:qFormat/>
    <w:uiPriority w:val="9"/>
    <w:rPr>
      <w:rFonts w:ascii="Arial" w:hAnsi="Arial" w:eastAsia="黑体"/>
      <w:kern w:val="2"/>
      <w:sz w:val="24"/>
      <w:szCs w:val="24"/>
    </w:rPr>
  </w:style>
  <w:style w:type="character" w:customStyle="1" w:styleId="69">
    <w:name w:val="标题 9 Char1"/>
    <w:basedOn w:val="52"/>
    <w:link w:val="11"/>
    <w:qFormat/>
    <w:uiPriority w:val="0"/>
    <w:rPr>
      <w:rFonts w:ascii="Arial" w:hAnsi="Arial" w:eastAsia="黑体"/>
      <w:kern w:val="2"/>
      <w:sz w:val="21"/>
      <w:szCs w:val="24"/>
    </w:rPr>
  </w:style>
  <w:style w:type="character" w:customStyle="1" w:styleId="70">
    <w:name w:val="批注文字 Char"/>
    <w:link w:val="18"/>
    <w:qFormat/>
    <w:uiPriority w:val="0"/>
    <w:rPr>
      <w:kern w:val="2"/>
      <w:sz w:val="21"/>
      <w:szCs w:val="24"/>
    </w:rPr>
  </w:style>
  <w:style w:type="character" w:customStyle="1" w:styleId="71">
    <w:name w:val="批注主题 Char"/>
    <w:basedOn w:val="70"/>
    <w:link w:val="47"/>
    <w:qFormat/>
    <w:uiPriority w:val="0"/>
    <w:rPr>
      <w:b/>
      <w:bCs/>
      <w:kern w:val="2"/>
      <w:sz w:val="21"/>
      <w:szCs w:val="24"/>
    </w:rPr>
  </w:style>
  <w:style w:type="character" w:customStyle="1" w:styleId="72">
    <w:name w:val="正文文本 Char"/>
    <w:basedOn w:val="52"/>
    <w:link w:val="20"/>
    <w:qFormat/>
    <w:uiPriority w:val="0"/>
    <w:rPr>
      <w:kern w:val="2"/>
      <w:sz w:val="21"/>
      <w:szCs w:val="24"/>
    </w:rPr>
  </w:style>
  <w:style w:type="character" w:customStyle="1" w:styleId="73">
    <w:name w:val="正文首行缩进 Char"/>
    <w:link w:val="48"/>
    <w:qFormat/>
    <w:uiPriority w:val="0"/>
    <w:rPr>
      <w:rFonts w:eastAsia="宋体"/>
      <w:kern w:val="2"/>
      <w:sz w:val="21"/>
      <w:szCs w:val="24"/>
      <w:lang w:val="en-US" w:eastAsia="zh-CN" w:bidi="ar-SA"/>
    </w:rPr>
  </w:style>
  <w:style w:type="character" w:customStyle="1" w:styleId="74">
    <w:name w:val="文档结构图 Char"/>
    <w:basedOn w:val="52"/>
    <w:link w:val="17"/>
    <w:qFormat/>
    <w:uiPriority w:val="0"/>
    <w:rPr>
      <w:kern w:val="2"/>
      <w:sz w:val="21"/>
      <w:szCs w:val="24"/>
      <w:shd w:val="clear" w:color="auto" w:fill="000080"/>
    </w:rPr>
  </w:style>
  <w:style w:type="character" w:customStyle="1" w:styleId="75">
    <w:name w:val="正文文本缩进 Char1"/>
    <w:basedOn w:val="52"/>
    <w:link w:val="21"/>
    <w:qFormat/>
    <w:uiPriority w:val="0"/>
    <w:rPr>
      <w:kern w:val="2"/>
      <w:sz w:val="21"/>
      <w:szCs w:val="24"/>
    </w:rPr>
  </w:style>
  <w:style w:type="character" w:customStyle="1" w:styleId="76">
    <w:name w:val="纯文本 Char"/>
    <w:link w:val="26"/>
    <w:qFormat/>
    <w:uiPriority w:val="0"/>
    <w:rPr>
      <w:rFonts w:ascii="宋体" w:hAnsi="Courier New" w:eastAsia="宋体"/>
      <w:kern w:val="2"/>
      <w:sz w:val="21"/>
      <w:lang w:val="en-US" w:eastAsia="zh-CN" w:bidi="ar-SA"/>
    </w:rPr>
  </w:style>
  <w:style w:type="character" w:customStyle="1" w:styleId="77">
    <w:name w:val="正文文本缩进 2 Char1"/>
    <w:link w:val="29"/>
    <w:qFormat/>
    <w:uiPriority w:val="0"/>
    <w:rPr>
      <w:kern w:val="2"/>
      <w:sz w:val="21"/>
      <w:szCs w:val="24"/>
    </w:rPr>
  </w:style>
  <w:style w:type="character" w:customStyle="1" w:styleId="78">
    <w:name w:val="批注框文本 Char"/>
    <w:basedOn w:val="52"/>
    <w:link w:val="30"/>
    <w:qFormat/>
    <w:uiPriority w:val="99"/>
    <w:rPr>
      <w:kern w:val="2"/>
      <w:sz w:val="18"/>
      <w:szCs w:val="18"/>
    </w:rPr>
  </w:style>
  <w:style w:type="character" w:customStyle="1" w:styleId="79">
    <w:name w:val="页脚 Char"/>
    <w:basedOn w:val="52"/>
    <w:link w:val="31"/>
    <w:qFormat/>
    <w:uiPriority w:val="99"/>
    <w:rPr>
      <w:kern w:val="2"/>
      <w:sz w:val="18"/>
      <w:szCs w:val="18"/>
    </w:rPr>
  </w:style>
  <w:style w:type="character" w:customStyle="1" w:styleId="80">
    <w:name w:val="页眉 Char"/>
    <w:link w:val="32"/>
    <w:qFormat/>
    <w:uiPriority w:val="99"/>
    <w:rPr>
      <w:kern w:val="2"/>
      <w:sz w:val="18"/>
      <w:szCs w:val="18"/>
    </w:rPr>
  </w:style>
  <w:style w:type="character" w:customStyle="1" w:styleId="81">
    <w:name w:val="HTML 预设格式 Char1"/>
    <w:link w:val="44"/>
    <w:qFormat/>
    <w:uiPriority w:val="0"/>
    <w:rPr>
      <w:rFonts w:ascii="宋体" w:hAnsi="宋体" w:cs="宋体"/>
      <w:sz w:val="24"/>
      <w:szCs w:val="24"/>
    </w:rPr>
  </w:style>
  <w:style w:type="character" w:customStyle="1" w:styleId="82">
    <w:name w:val="标题 Char"/>
    <w:link w:val="46"/>
    <w:qFormat/>
    <w:uiPriority w:val="0"/>
    <w:rPr>
      <w:rFonts w:ascii="Arial" w:hAnsi="Arial" w:eastAsia="隶书" w:cs="Arial"/>
      <w:b/>
      <w:bCs/>
      <w:kern w:val="2"/>
      <w:sz w:val="32"/>
      <w:szCs w:val="32"/>
    </w:rPr>
  </w:style>
  <w:style w:type="paragraph" w:customStyle="1" w:styleId="83">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4">
    <w:name w:val="样式1 Char Char"/>
    <w:basedOn w:val="1"/>
    <w:next w:val="1"/>
    <w:link w:val="85"/>
    <w:qFormat/>
    <w:uiPriority w:val="0"/>
    <w:pPr>
      <w:spacing w:line="360" w:lineRule="auto"/>
      <w:ind w:firstLine="516" w:firstLineChars="215"/>
    </w:pPr>
    <w:rPr>
      <w:sz w:val="24"/>
      <w:szCs w:val="20"/>
    </w:rPr>
  </w:style>
  <w:style w:type="character" w:customStyle="1" w:styleId="85">
    <w:name w:val="样式1 Char Char Char"/>
    <w:link w:val="84"/>
    <w:qFormat/>
    <w:uiPriority w:val="0"/>
    <w:rPr>
      <w:rFonts w:eastAsia="宋体"/>
      <w:kern w:val="2"/>
      <w:sz w:val="24"/>
      <w:lang w:val="en-US" w:eastAsia="zh-CN" w:bidi="ar-SA"/>
    </w:rPr>
  </w:style>
  <w:style w:type="paragraph" w:customStyle="1" w:styleId="86">
    <w:name w:val="样式1"/>
    <w:basedOn w:val="46"/>
    <w:link w:val="87"/>
    <w:qFormat/>
    <w:uiPriority w:val="0"/>
    <w:pPr>
      <w:spacing w:before="120" w:after="120"/>
    </w:pPr>
    <w:rPr>
      <w:rFonts w:eastAsia="黑体" w:cs="Arial"/>
      <w:b w:val="0"/>
      <w:sz w:val="30"/>
      <w:szCs w:val="21"/>
    </w:rPr>
  </w:style>
  <w:style w:type="character" w:customStyle="1" w:styleId="87">
    <w:name w:val="样式1 Char"/>
    <w:link w:val="86"/>
    <w:qFormat/>
    <w:uiPriority w:val="0"/>
    <w:rPr>
      <w:rFonts w:ascii="Arial" w:hAnsi="Arial" w:eastAsia="黑体" w:cs="Arial"/>
      <w:bCs/>
      <w:kern w:val="2"/>
      <w:sz w:val="30"/>
      <w:szCs w:val="21"/>
      <w:lang w:val="en-US" w:eastAsia="zh-CN" w:bidi="ar-SA"/>
    </w:rPr>
  </w:style>
  <w:style w:type="paragraph" w:customStyle="1" w:styleId="88">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0">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1">
    <w:name w:val="Char1"/>
    <w:basedOn w:val="1"/>
    <w:qFormat/>
    <w:uiPriority w:val="0"/>
    <w:rPr>
      <w:rFonts w:ascii="仿宋_GB2312" w:eastAsia="仿宋_GB2312"/>
      <w:b/>
      <w:sz w:val="32"/>
      <w:szCs w:val="32"/>
    </w:rPr>
  </w:style>
  <w:style w:type="character" w:customStyle="1" w:styleId="92">
    <w:name w:val="tpc_title1"/>
    <w:qFormat/>
    <w:uiPriority w:val="0"/>
    <w:rPr>
      <w:b/>
      <w:bCs/>
      <w:sz w:val="18"/>
      <w:szCs w:val="18"/>
    </w:rPr>
  </w:style>
  <w:style w:type="character" w:customStyle="1" w:styleId="93">
    <w:name w:val="tpc_content1"/>
    <w:qFormat/>
    <w:uiPriority w:val="0"/>
    <w:rPr>
      <w:sz w:val="20"/>
      <w:szCs w:val="20"/>
    </w:rPr>
  </w:style>
  <w:style w:type="paragraph" w:customStyle="1" w:styleId="94">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5">
    <w:name w:val="列出段落1"/>
    <w:basedOn w:val="1"/>
    <w:link w:val="96"/>
    <w:qFormat/>
    <w:uiPriority w:val="0"/>
    <w:pPr>
      <w:ind w:firstLine="420" w:firstLineChars="200"/>
    </w:pPr>
  </w:style>
  <w:style w:type="character" w:customStyle="1" w:styleId="96">
    <w:name w:val="列表段落 字符"/>
    <w:link w:val="95"/>
    <w:qFormat/>
    <w:uiPriority w:val="0"/>
    <w:rPr>
      <w:kern w:val="2"/>
      <w:sz w:val="21"/>
      <w:szCs w:val="24"/>
    </w:rPr>
  </w:style>
  <w:style w:type="paragraph" w:customStyle="1" w:styleId="97">
    <w:name w:val="正文1"/>
    <w:basedOn w:val="1"/>
    <w:qFormat/>
    <w:uiPriority w:val="0"/>
    <w:pPr>
      <w:tabs>
        <w:tab w:val="left" w:pos="4"/>
      </w:tabs>
      <w:spacing w:line="360" w:lineRule="auto"/>
      <w:ind w:left="-2" w:firstLine="482"/>
    </w:pPr>
    <w:rPr>
      <w:rFonts w:ascii="宋体" w:hAnsi="宋体"/>
      <w:sz w:val="24"/>
    </w:rPr>
  </w:style>
  <w:style w:type="paragraph" w:customStyle="1" w:styleId="98">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9">
    <w:name w:val="缩进正文"/>
    <w:basedOn w:val="1"/>
    <w:link w:val="100"/>
    <w:qFormat/>
    <w:uiPriority w:val="0"/>
    <w:pPr>
      <w:ind w:firstLine="560" w:firstLineChars="200"/>
    </w:pPr>
    <w:rPr>
      <w:rFonts w:eastAsia="仿宋_GB2312" w:cs="宋体"/>
      <w:sz w:val="28"/>
      <w:szCs w:val="20"/>
    </w:rPr>
  </w:style>
  <w:style w:type="character" w:customStyle="1" w:styleId="100">
    <w:name w:val="缩进正文 Char"/>
    <w:link w:val="99"/>
    <w:qFormat/>
    <w:uiPriority w:val="0"/>
    <w:rPr>
      <w:rFonts w:eastAsia="仿宋_GB2312" w:cs="宋体"/>
      <w:kern w:val="2"/>
      <w:sz w:val="28"/>
      <w:lang w:val="en-US" w:eastAsia="zh-CN" w:bidi="ar-SA"/>
    </w:rPr>
  </w:style>
  <w:style w:type="character" w:customStyle="1" w:styleId="101">
    <w:name w:val="访问过的超链接1"/>
    <w:qFormat/>
    <w:uiPriority w:val="0"/>
    <w:rPr>
      <w:color w:val="800080"/>
      <w:u w:val="single"/>
    </w:rPr>
  </w:style>
  <w:style w:type="paragraph" w:customStyle="1" w:styleId="102">
    <w:name w:val="Char Char Char Char Char Char Char"/>
    <w:basedOn w:val="1"/>
    <w:qFormat/>
    <w:uiPriority w:val="0"/>
    <w:pPr>
      <w:widowControl/>
      <w:adjustRightInd w:val="0"/>
      <w:spacing w:after="160" w:line="240" w:lineRule="exact"/>
      <w:jc w:val="left"/>
      <w:textAlignment w:val="baseline"/>
    </w:pPr>
  </w:style>
  <w:style w:type="character" w:customStyle="1" w:styleId="103">
    <w:name w:val="正文缩进 Char1"/>
    <w:qFormat/>
    <w:uiPriority w:val="0"/>
    <w:rPr>
      <w:rFonts w:eastAsia="宋体"/>
      <w:kern w:val="2"/>
      <w:sz w:val="21"/>
      <w:lang w:val="en-US" w:eastAsia="zh-CN" w:bidi="ar-SA"/>
    </w:rPr>
  </w:style>
  <w:style w:type="paragraph" w:customStyle="1" w:styleId="104">
    <w:name w:val="列出段落11"/>
    <w:basedOn w:val="1"/>
    <w:unhideWhenUsed/>
    <w:qFormat/>
    <w:uiPriority w:val="34"/>
    <w:pPr>
      <w:ind w:firstLine="420" w:firstLineChars="200"/>
    </w:pPr>
  </w:style>
  <w:style w:type="paragraph" w:customStyle="1" w:styleId="105">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6">
    <w:name w:val="font11"/>
    <w:basedOn w:val="52"/>
    <w:qFormat/>
    <w:uiPriority w:val="0"/>
    <w:rPr>
      <w:rFonts w:hint="eastAsia" w:ascii="宋体" w:hAnsi="宋体" w:eastAsia="宋体" w:cs="宋体"/>
      <w:b/>
      <w:color w:val="000000"/>
      <w:sz w:val="21"/>
      <w:szCs w:val="21"/>
      <w:u w:val="none"/>
    </w:rPr>
  </w:style>
  <w:style w:type="character" w:customStyle="1" w:styleId="107">
    <w:name w:val="批注文字 Char1"/>
    <w:qFormat/>
    <w:locked/>
    <w:uiPriority w:val="0"/>
    <w:rPr>
      <w:rFonts w:ascii="Calibri" w:hAnsi="Calibri" w:eastAsia="宋体" w:cs="Calibri"/>
      <w:szCs w:val="21"/>
    </w:rPr>
  </w:style>
  <w:style w:type="character" w:customStyle="1" w:styleId="108">
    <w:name w:val="title1"/>
    <w:qFormat/>
    <w:uiPriority w:val="0"/>
    <w:rPr>
      <w:rFonts w:hint="eastAsia" w:ascii="微软雅黑" w:hAnsi="微软雅黑" w:eastAsia="微软雅黑"/>
      <w:sz w:val="21"/>
      <w:szCs w:val="21"/>
    </w:rPr>
  </w:style>
  <w:style w:type="character" w:customStyle="1" w:styleId="109">
    <w:name w:val="sect2title1"/>
    <w:qFormat/>
    <w:uiPriority w:val="0"/>
    <w:rPr>
      <w:rFonts w:hint="eastAsia" w:ascii="微软雅黑" w:hAnsi="微软雅黑" w:eastAsia="微软雅黑"/>
      <w:b/>
      <w:bCs/>
      <w:sz w:val="21"/>
      <w:szCs w:val="21"/>
    </w:rPr>
  </w:style>
  <w:style w:type="paragraph" w:customStyle="1" w:styleId="110">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1">
    <w:name w:val="font01"/>
    <w:basedOn w:val="52"/>
    <w:qFormat/>
    <w:uiPriority w:val="0"/>
    <w:rPr>
      <w:rFonts w:ascii="Tahoma" w:hAnsi="Tahoma" w:eastAsia="Tahoma" w:cs="Tahoma"/>
      <w:color w:val="000000"/>
      <w:sz w:val="20"/>
      <w:szCs w:val="20"/>
      <w:u w:val="none"/>
    </w:rPr>
  </w:style>
  <w:style w:type="paragraph" w:customStyle="1" w:styleId="112">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6">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8">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19">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0">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1">
    <w:name w:val="xl76"/>
    <w:basedOn w:val="1"/>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2">
    <w:name w:val="xl77"/>
    <w:basedOn w:val="1"/>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6">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29">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1">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4">
    <w:name w:val="xl89"/>
    <w:basedOn w:val="1"/>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7">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39">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2">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4">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5">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6">
    <w:name w:val="xl101"/>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8">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9">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1">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5">
    <w:name w:val="xl11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8">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59">
    <w:name w:val="xl11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2">
    <w:name w:val="xl11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3">
    <w:name w:val="xl118"/>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4">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6">
    <w:name w:val="font41"/>
    <w:basedOn w:val="52"/>
    <w:qFormat/>
    <w:uiPriority w:val="0"/>
    <w:rPr>
      <w:rFonts w:hint="eastAsia" w:ascii="仿宋_GB2312" w:eastAsia="仿宋_GB2312" w:cs="仿宋_GB2312"/>
      <w:color w:val="000000"/>
      <w:sz w:val="20"/>
      <w:szCs w:val="20"/>
      <w:u w:val="none"/>
    </w:rPr>
  </w:style>
  <w:style w:type="character" w:customStyle="1" w:styleId="167">
    <w:name w:val="font31"/>
    <w:basedOn w:val="52"/>
    <w:qFormat/>
    <w:uiPriority w:val="0"/>
    <w:rPr>
      <w:rFonts w:hint="default" w:ascii="Symbol" w:hAnsi="Symbol" w:cs="Symbol"/>
      <w:color w:val="000000"/>
      <w:sz w:val="20"/>
      <w:szCs w:val="20"/>
      <w:u w:val="none"/>
    </w:rPr>
  </w:style>
  <w:style w:type="character" w:customStyle="1" w:styleId="168">
    <w:name w:val="font71"/>
    <w:basedOn w:val="52"/>
    <w:qFormat/>
    <w:uiPriority w:val="0"/>
    <w:rPr>
      <w:rFonts w:ascii="Arial" w:hAnsi="Arial" w:cs="Arial"/>
      <w:color w:val="000000"/>
      <w:sz w:val="20"/>
      <w:szCs w:val="20"/>
      <w:u w:val="none"/>
    </w:rPr>
  </w:style>
  <w:style w:type="character" w:customStyle="1" w:styleId="169">
    <w:name w:val="font21"/>
    <w:basedOn w:val="52"/>
    <w:qFormat/>
    <w:uiPriority w:val="0"/>
    <w:rPr>
      <w:rFonts w:hint="default" w:ascii="Symbol" w:hAnsi="Symbol" w:cs="Symbol"/>
      <w:color w:val="000000"/>
      <w:sz w:val="20"/>
      <w:szCs w:val="20"/>
      <w:u w:val="none"/>
    </w:rPr>
  </w:style>
  <w:style w:type="character" w:customStyle="1" w:styleId="170">
    <w:name w:val="font91"/>
    <w:basedOn w:val="52"/>
    <w:qFormat/>
    <w:uiPriority w:val="0"/>
    <w:rPr>
      <w:rFonts w:ascii="Arial" w:hAnsi="Arial" w:cs="Arial"/>
      <w:color w:val="000000"/>
      <w:sz w:val="20"/>
      <w:szCs w:val="20"/>
      <w:u w:val="none"/>
    </w:rPr>
  </w:style>
  <w:style w:type="character" w:customStyle="1" w:styleId="171">
    <w:name w:val="font51"/>
    <w:basedOn w:val="52"/>
    <w:qFormat/>
    <w:uiPriority w:val="0"/>
    <w:rPr>
      <w:rFonts w:ascii="仿宋" w:hAnsi="仿宋" w:eastAsia="仿宋" w:cs="仿宋"/>
      <w:color w:val="000000"/>
      <w:sz w:val="21"/>
      <w:szCs w:val="21"/>
      <w:u w:val="none"/>
    </w:rPr>
  </w:style>
  <w:style w:type="character" w:customStyle="1" w:styleId="172">
    <w:name w:val="font101"/>
    <w:basedOn w:val="52"/>
    <w:qFormat/>
    <w:uiPriority w:val="0"/>
    <w:rPr>
      <w:rFonts w:hint="eastAsia" w:ascii="仿宋_GB2312" w:eastAsia="仿宋_GB2312" w:cs="仿宋_GB2312"/>
      <w:color w:val="000000"/>
      <w:sz w:val="20"/>
      <w:szCs w:val="20"/>
      <w:u w:val="none"/>
    </w:rPr>
  </w:style>
  <w:style w:type="character" w:customStyle="1" w:styleId="173">
    <w:name w:val="font61"/>
    <w:basedOn w:val="52"/>
    <w:qFormat/>
    <w:uiPriority w:val="0"/>
    <w:rPr>
      <w:rFonts w:hint="eastAsia" w:ascii="宋体" w:hAnsi="宋体" w:eastAsia="宋体" w:cs="宋体"/>
      <w:color w:val="000000"/>
      <w:sz w:val="20"/>
      <w:szCs w:val="20"/>
      <w:u w:val="none"/>
    </w:rPr>
  </w:style>
  <w:style w:type="character" w:customStyle="1" w:styleId="174">
    <w:name w:val="font81"/>
    <w:basedOn w:val="52"/>
    <w:qFormat/>
    <w:uiPriority w:val="0"/>
    <w:rPr>
      <w:rFonts w:hint="eastAsia" w:ascii="仿宋" w:hAnsi="仿宋" w:eastAsia="仿宋" w:cs="仿宋"/>
      <w:color w:val="000000"/>
      <w:sz w:val="21"/>
      <w:szCs w:val="21"/>
      <w:u w:val="none"/>
    </w:rPr>
  </w:style>
  <w:style w:type="character" w:customStyle="1" w:styleId="175">
    <w:name w:val="font111"/>
    <w:basedOn w:val="52"/>
    <w:qFormat/>
    <w:uiPriority w:val="0"/>
    <w:rPr>
      <w:rFonts w:hint="eastAsia" w:ascii="仿宋_GB2312" w:eastAsia="仿宋_GB2312" w:cs="仿宋_GB2312"/>
      <w:color w:val="000000"/>
      <w:sz w:val="21"/>
      <w:szCs w:val="21"/>
      <w:u w:val="none"/>
    </w:rPr>
  </w:style>
  <w:style w:type="character" w:customStyle="1" w:styleId="176">
    <w:name w:val="font121"/>
    <w:basedOn w:val="52"/>
    <w:qFormat/>
    <w:uiPriority w:val="0"/>
    <w:rPr>
      <w:rFonts w:ascii="Arial" w:hAnsi="Arial" w:cs="Arial"/>
      <w:color w:val="000000"/>
      <w:sz w:val="20"/>
      <w:szCs w:val="20"/>
      <w:u w:val="none"/>
    </w:rPr>
  </w:style>
  <w:style w:type="character" w:customStyle="1" w:styleId="177">
    <w:name w:val="font112"/>
    <w:basedOn w:val="52"/>
    <w:qFormat/>
    <w:uiPriority w:val="0"/>
    <w:rPr>
      <w:rFonts w:hint="eastAsia" w:ascii="仿宋_GB2312" w:eastAsia="仿宋_GB2312" w:cs="仿宋_GB2312"/>
      <w:color w:val="000000"/>
      <w:sz w:val="21"/>
      <w:szCs w:val="21"/>
      <w:u w:val="none"/>
    </w:rPr>
  </w:style>
  <w:style w:type="paragraph" w:customStyle="1" w:styleId="178">
    <w:name w:val="xl29164"/>
    <w:basedOn w:val="1"/>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79">
    <w:name w:val="xl291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29166"/>
    <w:basedOn w:val="1"/>
    <w:qFormat/>
    <w:uiPriority w:val="0"/>
    <w:pPr>
      <w:widowControl/>
      <w:spacing w:before="100" w:beforeAutospacing="1" w:after="100" w:afterAutospacing="1"/>
      <w:jc w:val="left"/>
    </w:pPr>
    <w:rPr>
      <w:rFonts w:ascii="宋体" w:hAnsi="宋体" w:cs="宋体"/>
      <w:kern w:val="0"/>
      <w:sz w:val="24"/>
    </w:rPr>
  </w:style>
  <w:style w:type="paragraph" w:customStyle="1" w:styleId="181">
    <w:name w:val="xl29167"/>
    <w:basedOn w:val="1"/>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2">
    <w:name w:val="xl29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3">
    <w:name w:val="xl29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4">
    <w:name w:val="xl29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5">
    <w:name w:val="xl29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7">
    <w:name w:val="xl291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89">
    <w:name w:val="xl29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2">
    <w:name w:val="xl29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4">
    <w:name w:val="xl29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8">
    <w:name w:val="xl29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99">
    <w:name w:val="xl29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0">
    <w:name w:val="xl29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1">
    <w:name w:val="xl29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2">
    <w:name w:val="xl29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3">
    <w:name w:val="xl29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4">
    <w:name w:val="xl29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6">
    <w:name w:val="xl29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7">
    <w:name w:val="xl29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0">
    <w:name w:val="xl2919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20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6">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7">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2">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3">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5">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8">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9">
    <w:name w:val="xl303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2">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3">
    <w:name w:val="xl303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4">
    <w:name w:val="xl303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5">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6">
    <w:name w:val="xl30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7">
    <w:name w:val="xl3032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8">
    <w:name w:val="xl30324"/>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1">
    <w:name w:val="xl303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2">
    <w:name w:val="xl303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5">
    <w:name w:val="xl30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6">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49">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1">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3">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5">
    <w:name w:val=".正文"/>
    <w:basedOn w:val="1"/>
    <w:qFormat/>
    <w:uiPriority w:val="0"/>
    <w:pPr>
      <w:spacing w:beforeLines="50"/>
      <w:ind w:firstLine="200" w:firstLineChars="200"/>
    </w:pPr>
    <w:rPr>
      <w:rFonts w:ascii="Calibri" w:hAnsi="Calibri" w:eastAsia="华文仿宋"/>
      <w:szCs w:val="22"/>
    </w:rPr>
  </w:style>
  <w:style w:type="paragraph" w:customStyle="1" w:styleId="256">
    <w:name w:val="正文A缩进"/>
    <w:basedOn w:val="1"/>
    <w:qFormat/>
    <w:uiPriority w:val="0"/>
    <w:pPr>
      <w:spacing w:line="360" w:lineRule="auto"/>
      <w:ind w:firstLine="200" w:firstLineChars="200"/>
    </w:pPr>
    <w:rPr>
      <w:kern w:val="0"/>
      <w:sz w:val="28"/>
      <w:szCs w:val="20"/>
    </w:rPr>
  </w:style>
  <w:style w:type="paragraph" w:customStyle="1" w:styleId="257">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8">
    <w:name w:val="标题 5 Char"/>
    <w:basedOn w:val="52"/>
    <w:qFormat/>
    <w:uiPriority w:val="0"/>
    <w:rPr>
      <w:b/>
      <w:bCs/>
      <w:kern w:val="2"/>
      <w:sz w:val="28"/>
      <w:szCs w:val="28"/>
    </w:rPr>
  </w:style>
  <w:style w:type="character" w:customStyle="1" w:styleId="259">
    <w:name w:val="标题 6 Char"/>
    <w:basedOn w:val="52"/>
    <w:qFormat/>
    <w:uiPriority w:val="9"/>
    <w:rPr>
      <w:rFonts w:asciiTheme="majorHAnsi" w:hAnsiTheme="majorHAnsi" w:eastAsiaTheme="majorEastAsia" w:cstheme="majorBidi"/>
      <w:b/>
      <w:bCs/>
      <w:kern w:val="2"/>
      <w:sz w:val="24"/>
      <w:szCs w:val="24"/>
    </w:rPr>
  </w:style>
  <w:style w:type="character" w:customStyle="1" w:styleId="260">
    <w:name w:val="标题 7 Char"/>
    <w:basedOn w:val="52"/>
    <w:qFormat/>
    <w:uiPriority w:val="9"/>
    <w:rPr>
      <w:b/>
      <w:bCs/>
      <w:kern w:val="2"/>
      <w:sz w:val="24"/>
      <w:szCs w:val="24"/>
    </w:rPr>
  </w:style>
  <w:style w:type="character" w:customStyle="1" w:styleId="261">
    <w:name w:val="标题 8 Char"/>
    <w:basedOn w:val="52"/>
    <w:qFormat/>
    <w:uiPriority w:val="9"/>
    <w:rPr>
      <w:rFonts w:asciiTheme="majorHAnsi" w:hAnsiTheme="majorHAnsi" w:eastAsiaTheme="majorEastAsia" w:cstheme="majorBidi"/>
      <w:kern w:val="2"/>
      <w:sz w:val="24"/>
      <w:szCs w:val="24"/>
    </w:rPr>
  </w:style>
  <w:style w:type="character" w:customStyle="1" w:styleId="262">
    <w:name w:val="标题 9 Char"/>
    <w:basedOn w:val="52"/>
    <w:qFormat/>
    <w:uiPriority w:val="0"/>
    <w:rPr>
      <w:rFonts w:asciiTheme="majorHAnsi" w:hAnsiTheme="majorHAnsi" w:eastAsiaTheme="majorEastAsia" w:cstheme="majorBidi"/>
      <w:kern w:val="2"/>
      <w:sz w:val="21"/>
      <w:szCs w:val="21"/>
    </w:rPr>
  </w:style>
  <w:style w:type="paragraph" w:customStyle="1" w:styleId="263">
    <w:name w:val="！表格内容"/>
    <w:basedOn w:val="1"/>
    <w:qFormat/>
    <w:uiPriority w:val="0"/>
    <w:pPr>
      <w:spacing w:line="320" w:lineRule="atLeast"/>
    </w:pPr>
  </w:style>
  <w:style w:type="character" w:customStyle="1" w:styleId="264">
    <w:name w:val="页眉 Char2"/>
    <w:basedOn w:val="52"/>
    <w:qFormat/>
    <w:uiPriority w:val="99"/>
    <w:rPr>
      <w:rFonts w:ascii="Times New Roman" w:hAnsi="Times New Roman" w:eastAsia="宋体" w:cs="Times New Roman"/>
      <w:sz w:val="18"/>
      <w:szCs w:val="18"/>
    </w:rPr>
  </w:style>
  <w:style w:type="character" w:customStyle="1" w:styleId="265">
    <w:name w:val="页脚 Char1"/>
    <w:basedOn w:val="52"/>
    <w:qFormat/>
    <w:uiPriority w:val="99"/>
    <w:rPr>
      <w:rFonts w:ascii="Times New Roman" w:hAnsi="Times New Roman" w:eastAsia="宋体" w:cs="Times New Roman"/>
      <w:sz w:val="18"/>
      <w:szCs w:val="18"/>
    </w:rPr>
  </w:style>
  <w:style w:type="paragraph" w:customStyle="1" w:styleId="266">
    <w:name w:val="Ｒ03－xoL"/>
    <w:next w:val="1"/>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7">
    <w:name w:val="批注文字 字符"/>
    <w:basedOn w:val="52"/>
    <w:qFormat/>
    <w:uiPriority w:val="99"/>
    <w:rPr>
      <w:rFonts w:ascii="Times New Roman" w:hAnsi="Times New Roman" w:eastAsia="宋体" w:cs="Times New Roman"/>
      <w:szCs w:val="24"/>
    </w:rPr>
  </w:style>
  <w:style w:type="character" w:customStyle="1" w:styleId="268">
    <w:name w:val="文档结构图 Char1"/>
    <w:basedOn w:val="52"/>
    <w:qFormat/>
    <w:uiPriority w:val="0"/>
    <w:rPr>
      <w:rFonts w:ascii="宋体" w:hAnsi="Times New Roman" w:eastAsia="宋体" w:cs="Times New Roman"/>
      <w:sz w:val="18"/>
      <w:szCs w:val="18"/>
    </w:rPr>
  </w:style>
  <w:style w:type="character" w:customStyle="1" w:styleId="269">
    <w:name w:val="批注主题 Char1"/>
    <w:basedOn w:val="107"/>
    <w:qFormat/>
    <w:uiPriority w:val="0"/>
    <w:rPr>
      <w:rFonts w:ascii="Times New Roman" w:hAnsi="Times New Roman" w:eastAsia="宋体" w:cs="Times New Roman"/>
      <w:b/>
      <w:bCs/>
      <w:szCs w:val="24"/>
    </w:rPr>
  </w:style>
  <w:style w:type="character" w:customStyle="1" w:styleId="270">
    <w:name w:val="批注框文本 Char1"/>
    <w:basedOn w:val="52"/>
    <w:qFormat/>
    <w:uiPriority w:val="0"/>
    <w:rPr>
      <w:rFonts w:ascii="Times New Roman" w:hAnsi="Times New Roman" w:eastAsia="宋体" w:cs="Times New Roman"/>
      <w:sz w:val="18"/>
      <w:szCs w:val="18"/>
    </w:rPr>
  </w:style>
  <w:style w:type="character" w:customStyle="1" w:styleId="271">
    <w:name w:val="标题 1 Char1"/>
    <w:basedOn w:val="52"/>
    <w:qFormat/>
    <w:uiPriority w:val="0"/>
    <w:rPr>
      <w:b/>
      <w:bCs/>
      <w:kern w:val="44"/>
      <w:sz w:val="44"/>
      <w:szCs w:val="44"/>
    </w:rPr>
  </w:style>
  <w:style w:type="character" w:customStyle="1" w:styleId="272">
    <w:name w:val="标题 2 Char1"/>
    <w:basedOn w:val="52"/>
    <w:qFormat/>
    <w:uiPriority w:val="0"/>
    <w:rPr>
      <w:rFonts w:asciiTheme="majorHAnsi" w:hAnsiTheme="majorHAnsi" w:eastAsiaTheme="majorEastAsia" w:cstheme="majorBidi"/>
      <w:b/>
      <w:bCs/>
      <w:kern w:val="2"/>
      <w:sz w:val="32"/>
      <w:szCs w:val="32"/>
    </w:rPr>
  </w:style>
  <w:style w:type="character" w:customStyle="1" w:styleId="273">
    <w:name w:val="标题 3 Char1"/>
    <w:basedOn w:val="52"/>
    <w:qFormat/>
    <w:uiPriority w:val="99"/>
    <w:rPr>
      <w:rFonts w:ascii="宋体" w:hAnsi="Arial"/>
      <w:b/>
      <w:kern w:val="2"/>
      <w:sz w:val="28"/>
    </w:rPr>
  </w:style>
  <w:style w:type="character" w:customStyle="1" w:styleId="274">
    <w:name w:val="Char Char3"/>
    <w:qFormat/>
    <w:uiPriority w:val="0"/>
    <w:rPr>
      <w:rFonts w:hint="eastAsia" w:ascii="宋体" w:hAnsi="宋体" w:eastAsia="宋体"/>
      <w:kern w:val="2"/>
      <w:sz w:val="21"/>
      <w:szCs w:val="24"/>
      <w:lang w:val="en-US" w:eastAsia="zh-CN" w:bidi="ar-SA"/>
    </w:rPr>
  </w:style>
  <w:style w:type="character" w:customStyle="1" w:styleId="275">
    <w:name w:val="正文－段落 Char Char"/>
    <w:link w:val="276"/>
    <w:qFormat/>
    <w:uiPriority w:val="0"/>
    <w:rPr>
      <w:rFonts w:eastAsia="Times New Roman"/>
      <w:sz w:val="24"/>
      <w:szCs w:val="24"/>
    </w:rPr>
  </w:style>
  <w:style w:type="paragraph" w:customStyle="1" w:styleId="276">
    <w:name w:val="正文－段落"/>
    <w:link w:val="275"/>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7">
    <w:name w:val="纯文本 Char1"/>
    <w:qFormat/>
    <w:uiPriority w:val="0"/>
    <w:rPr>
      <w:rFonts w:ascii="宋体" w:hAnsi="Courier New"/>
      <w:spacing w:val="-8"/>
      <w:kern w:val="2"/>
      <w:sz w:val="24"/>
    </w:rPr>
  </w:style>
  <w:style w:type="character" w:customStyle="1" w:styleId="278">
    <w:name w:val="日期 Char"/>
    <w:qFormat/>
    <w:uiPriority w:val="0"/>
    <w:rPr>
      <w:rFonts w:ascii="宋体" w:hAnsi="宋体"/>
      <w:sz w:val="24"/>
    </w:rPr>
  </w:style>
  <w:style w:type="character" w:customStyle="1" w:styleId="279">
    <w:name w:val="Char Char9"/>
    <w:qFormat/>
    <w:uiPriority w:val="0"/>
    <w:rPr>
      <w:rFonts w:hint="default" w:ascii="Calibri" w:hAnsi="Calibri" w:eastAsia="宋体"/>
      <w:sz w:val="18"/>
      <w:szCs w:val="18"/>
      <w:lang w:bidi="ar-SA"/>
    </w:rPr>
  </w:style>
  <w:style w:type="character" w:customStyle="1" w:styleId="280">
    <w:name w:val="Char Char17"/>
    <w:qFormat/>
    <w:uiPriority w:val="0"/>
    <w:rPr>
      <w:rFonts w:hint="eastAsia" w:ascii="仿宋_GB2312" w:hAnsi="Calibri" w:eastAsia="仿宋_GB2312"/>
      <w:b/>
      <w:bCs/>
      <w:color w:val="000000"/>
      <w:kern w:val="2"/>
      <w:sz w:val="32"/>
      <w:szCs w:val="32"/>
      <w:lang w:bidi="ar-SA"/>
    </w:rPr>
  </w:style>
  <w:style w:type="character" w:customStyle="1" w:styleId="281">
    <w:name w:val="HTML 预设格式 Char"/>
    <w:qFormat/>
    <w:uiPriority w:val="0"/>
    <w:rPr>
      <w:rFonts w:ascii="黑体" w:hAnsi="Courier New" w:eastAsia="黑体" w:cs="Courier New"/>
    </w:rPr>
  </w:style>
  <w:style w:type="character" w:customStyle="1" w:styleId="282">
    <w:name w:val="1.5倍行距 Char Char"/>
    <w:link w:val="283"/>
    <w:qFormat/>
    <w:uiPriority w:val="0"/>
    <w:rPr>
      <w:kern w:val="2"/>
      <w:sz w:val="21"/>
      <w:szCs w:val="24"/>
    </w:rPr>
  </w:style>
  <w:style w:type="paragraph" w:customStyle="1" w:styleId="283">
    <w:name w:val="1.5倍行距"/>
    <w:basedOn w:val="1"/>
    <w:link w:val="282"/>
    <w:qFormat/>
    <w:uiPriority w:val="0"/>
    <w:pPr>
      <w:spacing w:line="360" w:lineRule="auto"/>
      <w:ind w:firstLine="420"/>
    </w:pPr>
  </w:style>
  <w:style w:type="character" w:customStyle="1" w:styleId="284">
    <w:name w:val="H2 Char1"/>
    <w:qFormat/>
    <w:uiPriority w:val="0"/>
    <w:rPr>
      <w:rFonts w:ascii="Cambria" w:hAnsi="Cambria"/>
      <w:b/>
      <w:bCs/>
      <w:sz w:val="32"/>
      <w:szCs w:val="32"/>
    </w:rPr>
  </w:style>
  <w:style w:type="character" w:customStyle="1" w:styleId="285">
    <w:name w:val="Char Char4"/>
    <w:qFormat/>
    <w:uiPriority w:val="0"/>
    <w:rPr>
      <w:rFonts w:hint="default" w:ascii="Calibri" w:hAnsi="Calibri" w:eastAsia="宋体"/>
      <w:kern w:val="2"/>
      <w:sz w:val="21"/>
      <w:szCs w:val="22"/>
      <w:lang w:val="en-US" w:eastAsia="zh-CN" w:bidi="ar-SA"/>
    </w:rPr>
  </w:style>
  <w:style w:type="character" w:customStyle="1" w:styleId="286">
    <w:name w:val="正文文本缩进 2 Char"/>
    <w:qFormat/>
    <w:uiPriority w:val="0"/>
    <w:rPr>
      <w:kern w:val="2"/>
      <w:sz w:val="21"/>
    </w:rPr>
  </w:style>
  <w:style w:type="character" w:customStyle="1" w:styleId="287">
    <w:name w:val="签名 Char1"/>
    <w:link w:val="33"/>
    <w:qFormat/>
    <w:uiPriority w:val="0"/>
    <w:rPr>
      <w:rFonts w:eastAsia="楷体_GB2312"/>
      <w:kern w:val="2"/>
      <w:sz w:val="21"/>
    </w:rPr>
  </w:style>
  <w:style w:type="character" w:customStyle="1" w:styleId="288">
    <w:name w:val="标题2 Char"/>
    <w:link w:val="289"/>
    <w:qFormat/>
    <w:uiPriority w:val="0"/>
    <w:rPr>
      <w:rFonts w:ascii="仿宋" w:hAnsi="仿宋" w:eastAsia="仿宋"/>
      <w:b/>
      <w:bCs/>
      <w:color w:val="000000"/>
      <w:kern w:val="2"/>
      <w:sz w:val="24"/>
      <w:szCs w:val="24"/>
    </w:rPr>
  </w:style>
  <w:style w:type="paragraph" w:customStyle="1" w:styleId="289">
    <w:name w:val="标题2"/>
    <w:basedOn w:val="290"/>
    <w:link w:val="288"/>
    <w:qFormat/>
    <w:uiPriority w:val="0"/>
    <w:pPr>
      <w:tabs>
        <w:tab w:val="left" w:pos="425"/>
        <w:tab w:val="left" w:pos="709"/>
        <w:tab w:val="left" w:pos="851"/>
        <w:tab w:val="left" w:pos="1419"/>
      </w:tabs>
    </w:pPr>
    <w:rPr>
      <w:szCs w:val="24"/>
    </w:rPr>
  </w:style>
  <w:style w:type="paragraph" w:customStyle="1" w:styleId="290">
    <w:name w:val="三级"/>
    <w:basedOn w:val="3"/>
    <w:link w:val="291"/>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1">
    <w:name w:val="三级 Char"/>
    <w:link w:val="290"/>
    <w:qFormat/>
    <w:uiPriority w:val="0"/>
    <w:rPr>
      <w:rFonts w:ascii="仿宋" w:hAnsi="仿宋" w:eastAsia="仿宋"/>
      <w:b/>
      <w:bCs/>
      <w:color w:val="000000"/>
      <w:kern w:val="2"/>
      <w:sz w:val="32"/>
      <w:szCs w:val="32"/>
    </w:rPr>
  </w:style>
  <w:style w:type="character" w:customStyle="1" w:styleId="292">
    <w:name w:val="正文首行缩进 2 Char"/>
    <w:link w:val="49"/>
    <w:qFormat/>
    <w:uiPriority w:val="0"/>
    <w:rPr>
      <w:sz w:val="24"/>
      <w:szCs w:val="24"/>
    </w:rPr>
  </w:style>
  <w:style w:type="character" w:customStyle="1" w:styleId="293">
    <w:name w:val="正文首行缩进 Char Char Char1"/>
    <w:qFormat/>
    <w:uiPriority w:val="0"/>
    <w:rPr>
      <w:rFonts w:ascii="Times New Roman" w:hAnsi="Times New Roman"/>
      <w:kern w:val="2"/>
      <w:sz w:val="24"/>
      <w:szCs w:val="24"/>
    </w:rPr>
  </w:style>
  <w:style w:type="character" w:customStyle="1" w:styleId="294">
    <w:name w:val="标题 Char1"/>
    <w:qFormat/>
    <w:uiPriority w:val="0"/>
    <w:rPr>
      <w:rFonts w:ascii="Arial" w:hAnsi="Arial"/>
      <w:b/>
      <w:kern w:val="2"/>
      <w:sz w:val="36"/>
      <w:szCs w:val="24"/>
    </w:rPr>
  </w:style>
  <w:style w:type="character" w:customStyle="1" w:styleId="295">
    <w:name w:val="正文文本 字符"/>
    <w:qFormat/>
    <w:uiPriority w:val="0"/>
    <w:rPr>
      <w:rFonts w:eastAsia="宋体"/>
      <w:kern w:val="2"/>
      <w:sz w:val="21"/>
      <w:szCs w:val="24"/>
      <w:lang w:bidi="ar-SA"/>
    </w:rPr>
  </w:style>
  <w:style w:type="character" w:customStyle="1" w:styleId="296">
    <w:name w:val="正文文本缩进 Char"/>
    <w:qFormat/>
    <w:uiPriority w:val="0"/>
    <w:rPr>
      <w:kern w:val="2"/>
      <w:sz w:val="24"/>
    </w:rPr>
  </w:style>
  <w:style w:type="character" w:customStyle="1" w:styleId="297">
    <w:name w:val="题注 Char1"/>
    <w:link w:val="15"/>
    <w:qFormat/>
    <w:uiPriority w:val="0"/>
    <w:rPr>
      <w:rFonts w:ascii="Cambria" w:hAnsi="Cambria" w:eastAsia="黑体"/>
      <w:kern w:val="2"/>
      <w:sz w:val="21"/>
      <w:szCs w:val="24"/>
    </w:rPr>
  </w:style>
  <w:style w:type="character" w:customStyle="1" w:styleId="298">
    <w:name w:val="bt Char1"/>
    <w:qFormat/>
    <w:uiPriority w:val="0"/>
    <w:rPr>
      <w:rFonts w:ascii="Times New Roman" w:hAnsi="Times New Roman"/>
      <w:kern w:val="2"/>
      <w:sz w:val="24"/>
      <w:szCs w:val="24"/>
    </w:rPr>
  </w:style>
  <w:style w:type="character" w:customStyle="1" w:styleId="299">
    <w:name w:val="Char Char18"/>
    <w:qFormat/>
    <w:uiPriority w:val="0"/>
    <w:rPr>
      <w:rFonts w:hint="default" w:ascii="Cambria" w:hAnsi="Cambria" w:eastAsia="宋体"/>
      <w:b/>
      <w:bCs/>
      <w:sz w:val="32"/>
      <w:szCs w:val="32"/>
      <w:lang w:bidi="ar-SA"/>
    </w:rPr>
  </w:style>
  <w:style w:type="character" w:customStyle="1" w:styleId="300">
    <w:name w:val="四级 Char"/>
    <w:link w:val="301"/>
    <w:qFormat/>
    <w:uiPriority w:val="0"/>
    <w:rPr>
      <w:rFonts w:ascii="仿宋" w:hAnsi="仿宋" w:eastAsia="仿宋"/>
      <w:bCs/>
      <w:kern w:val="2"/>
      <w:sz w:val="32"/>
      <w:szCs w:val="32"/>
    </w:rPr>
  </w:style>
  <w:style w:type="paragraph" w:customStyle="1" w:styleId="301">
    <w:name w:val="四级"/>
    <w:basedOn w:val="5"/>
    <w:link w:val="300"/>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2">
    <w:name w:val="cnfont1"/>
    <w:basedOn w:val="52"/>
    <w:qFormat/>
    <w:uiPriority w:val="0"/>
  </w:style>
  <w:style w:type="character" w:customStyle="1" w:styleId="303">
    <w:name w:val="p141"/>
    <w:qFormat/>
    <w:uiPriority w:val="0"/>
    <w:rPr>
      <w:sz w:val="21"/>
      <w:szCs w:val="21"/>
    </w:rPr>
  </w:style>
  <w:style w:type="character" w:customStyle="1" w:styleId="304">
    <w:name w:val="正文文本缩进 3 Char"/>
    <w:qFormat/>
    <w:uiPriority w:val="0"/>
    <w:rPr>
      <w:kern w:val="2"/>
      <w:sz w:val="21"/>
    </w:rPr>
  </w:style>
  <w:style w:type="character" w:customStyle="1" w:styleId="305">
    <w:name w:val="Char Char13"/>
    <w:qFormat/>
    <w:uiPriority w:val="0"/>
    <w:rPr>
      <w:rFonts w:ascii="Cambria" w:hAnsi="Cambria" w:eastAsia="宋体"/>
      <w:sz w:val="24"/>
      <w:szCs w:val="24"/>
      <w:lang w:bidi="ar-SA"/>
    </w:rPr>
  </w:style>
  <w:style w:type="character" w:customStyle="1" w:styleId="306">
    <w:name w:val="正文文本 2 Char1"/>
    <w:link w:val="43"/>
    <w:qFormat/>
    <w:uiPriority w:val="0"/>
    <w:rPr>
      <w:kern w:val="2"/>
      <w:sz w:val="28"/>
    </w:rPr>
  </w:style>
  <w:style w:type="character" w:customStyle="1" w:styleId="307">
    <w:name w:val="Char Char5"/>
    <w:qFormat/>
    <w:uiPriority w:val="0"/>
    <w:rPr>
      <w:rFonts w:ascii="宋体" w:hAnsi="宋体" w:eastAsia="宋体"/>
      <w:b/>
      <w:bCs/>
      <w:szCs w:val="24"/>
      <w:lang w:bidi="ar-SA"/>
    </w:rPr>
  </w:style>
  <w:style w:type="character" w:customStyle="1" w:styleId="308">
    <w:name w:val="正文文本 2 Char"/>
    <w:qFormat/>
    <w:uiPriority w:val="0"/>
    <w:rPr>
      <w:kern w:val="2"/>
      <w:sz w:val="28"/>
    </w:rPr>
  </w:style>
  <w:style w:type="character" w:customStyle="1" w:styleId="309">
    <w:name w:val="Char Char6"/>
    <w:qFormat/>
    <w:uiPriority w:val="0"/>
    <w:rPr>
      <w:rFonts w:ascii="宋体" w:hAnsi="宋体" w:eastAsia="宋体"/>
      <w:szCs w:val="24"/>
      <w:lang w:bidi="ar-SA"/>
    </w:rPr>
  </w:style>
  <w:style w:type="character" w:customStyle="1" w:styleId="310">
    <w:name w:val="Char Char15"/>
    <w:qFormat/>
    <w:uiPriority w:val="0"/>
    <w:rPr>
      <w:rFonts w:hint="default" w:ascii="Cambria" w:hAnsi="Cambria" w:eastAsia="宋体"/>
      <w:b/>
      <w:bCs/>
      <w:sz w:val="24"/>
      <w:szCs w:val="24"/>
      <w:lang w:bidi="ar-SA"/>
    </w:rPr>
  </w:style>
  <w:style w:type="character" w:customStyle="1" w:styleId="311">
    <w:name w:val="H4 Char"/>
    <w:qFormat/>
    <w:uiPriority w:val="0"/>
    <w:rPr>
      <w:rFonts w:ascii="Cambria" w:hAnsi="Cambria" w:eastAsia="仿宋_GB2312"/>
      <w:b/>
      <w:bCs/>
      <w:sz w:val="32"/>
      <w:szCs w:val="28"/>
    </w:rPr>
  </w:style>
  <w:style w:type="character" w:customStyle="1" w:styleId="312">
    <w:name w:val="Char Char20"/>
    <w:qFormat/>
    <w:uiPriority w:val="0"/>
    <w:rPr>
      <w:rFonts w:eastAsia="宋体"/>
      <w:b/>
      <w:kern w:val="2"/>
      <w:sz w:val="28"/>
      <w:lang w:bidi="ar-SA"/>
    </w:rPr>
  </w:style>
  <w:style w:type="character" w:customStyle="1" w:styleId="313">
    <w:name w:val="正文文本缩进 3 Char1"/>
    <w:link w:val="40"/>
    <w:qFormat/>
    <w:uiPriority w:val="0"/>
    <w:rPr>
      <w:kern w:val="2"/>
      <w:sz w:val="21"/>
    </w:rPr>
  </w:style>
  <w:style w:type="character" w:customStyle="1" w:styleId="314">
    <w:name w:val="Char Char16"/>
    <w:qFormat/>
    <w:uiPriority w:val="0"/>
    <w:rPr>
      <w:rFonts w:hint="eastAsia" w:ascii="仿宋_GB2313" w:hAnsi="仿宋_GB2313" w:eastAsia="仿宋_GB2312"/>
      <w:b/>
      <w:bCs/>
      <w:sz w:val="32"/>
      <w:szCs w:val="28"/>
      <w:lang w:bidi="ar-SA"/>
    </w:rPr>
  </w:style>
  <w:style w:type="character" w:customStyle="1" w:styleId="315">
    <w:name w:val="Char Char7"/>
    <w:qFormat/>
    <w:uiPriority w:val="0"/>
    <w:rPr>
      <w:rFonts w:ascii="宋体" w:hAnsi="宋体" w:eastAsia="宋体"/>
      <w:sz w:val="24"/>
      <w:szCs w:val="24"/>
      <w:lang w:bidi="ar-SA"/>
    </w:rPr>
  </w:style>
  <w:style w:type="character" w:customStyle="1" w:styleId="316">
    <w:name w:val="日期 Char1"/>
    <w:link w:val="28"/>
    <w:qFormat/>
    <w:uiPriority w:val="0"/>
    <w:rPr>
      <w:rFonts w:ascii="宋体" w:hAnsi="宋体"/>
      <w:kern w:val="2"/>
      <w:sz w:val="24"/>
      <w:szCs w:val="24"/>
    </w:rPr>
  </w:style>
  <w:style w:type="character" w:customStyle="1" w:styleId="317">
    <w:name w:val="Char Char12"/>
    <w:qFormat/>
    <w:uiPriority w:val="0"/>
    <w:rPr>
      <w:rFonts w:hint="default" w:ascii="Cambria" w:hAnsi="Cambria" w:eastAsia="宋体"/>
      <w:szCs w:val="21"/>
      <w:lang w:bidi="ar-SA"/>
    </w:rPr>
  </w:style>
  <w:style w:type="character" w:customStyle="1" w:styleId="318">
    <w:name w:val="标题 4 Char"/>
    <w:qFormat/>
    <w:uiPriority w:val="0"/>
    <w:rPr>
      <w:rFonts w:ascii="Arial" w:hAnsi="Arial" w:eastAsia="黑体"/>
      <w:b/>
      <w:kern w:val="2"/>
      <w:sz w:val="24"/>
    </w:rPr>
  </w:style>
  <w:style w:type="character" w:customStyle="1" w:styleId="319">
    <w:name w:val="Char Char2"/>
    <w:qFormat/>
    <w:uiPriority w:val="0"/>
    <w:rPr>
      <w:rFonts w:ascii="宋体" w:hAnsi="宋体" w:eastAsia="宋体"/>
      <w:kern w:val="2"/>
      <w:sz w:val="24"/>
      <w:szCs w:val="24"/>
      <w:lang w:val="en-US" w:eastAsia="zh-CN" w:bidi="ar-SA"/>
    </w:rPr>
  </w:style>
  <w:style w:type="character" w:customStyle="1" w:styleId="320">
    <w:name w:val="*正文 Char"/>
    <w:link w:val="321"/>
    <w:qFormat/>
    <w:uiPriority w:val="0"/>
    <w:rPr>
      <w:rFonts w:ascii="宋体" w:hAnsi="宋体"/>
      <w:sz w:val="24"/>
      <w:szCs w:val="24"/>
    </w:rPr>
  </w:style>
  <w:style w:type="paragraph" w:customStyle="1" w:styleId="321">
    <w:name w:val="*正文"/>
    <w:basedOn w:val="1"/>
    <w:link w:val="320"/>
    <w:qFormat/>
    <w:uiPriority w:val="0"/>
    <w:pPr>
      <w:spacing w:line="360" w:lineRule="auto"/>
      <w:ind w:firstLine="200" w:firstLineChars="200"/>
    </w:pPr>
    <w:rPr>
      <w:rFonts w:ascii="宋体" w:hAnsi="宋体"/>
      <w:kern w:val="0"/>
      <w:sz w:val="24"/>
    </w:rPr>
  </w:style>
  <w:style w:type="character" w:customStyle="1" w:styleId="322">
    <w:name w:val="页脚 字符1"/>
    <w:qFormat/>
    <w:uiPriority w:val="0"/>
    <w:rPr>
      <w:rFonts w:eastAsia="宋体"/>
      <w:kern w:val="2"/>
      <w:sz w:val="18"/>
      <w:lang w:bidi="ar-SA"/>
    </w:rPr>
  </w:style>
  <w:style w:type="character" w:customStyle="1" w:styleId="323">
    <w:name w:val="GP正文[858D7CFB-ED40-4347-BF05-701D383B685F]"/>
    <w:link w:val="324"/>
    <w:qFormat/>
    <w:uiPriority w:val="0"/>
    <w:rPr>
      <w:rFonts w:ascii="宋体" w:hAnsi="宋体"/>
      <w:kern w:val="2"/>
      <w:sz w:val="24"/>
      <w:szCs w:val="24"/>
    </w:rPr>
  </w:style>
  <w:style w:type="paragraph" w:customStyle="1" w:styleId="324">
    <w:name w:val="GP正文"/>
    <w:basedOn w:val="1"/>
    <w:link w:val="323"/>
    <w:qFormat/>
    <w:uiPriority w:val="0"/>
    <w:pPr>
      <w:spacing w:line="360" w:lineRule="auto"/>
      <w:ind w:firstLine="200" w:firstLineChars="200"/>
      <w:jc w:val="left"/>
    </w:pPr>
    <w:rPr>
      <w:rFonts w:ascii="宋体" w:hAnsi="宋体"/>
      <w:sz w:val="24"/>
    </w:rPr>
  </w:style>
  <w:style w:type="character" w:customStyle="1" w:styleId="325">
    <w:name w:val="Char Char14"/>
    <w:qFormat/>
    <w:uiPriority w:val="0"/>
    <w:rPr>
      <w:rFonts w:ascii="Calibri" w:hAnsi="Calibri" w:eastAsia="宋体"/>
      <w:b/>
      <w:bCs/>
      <w:sz w:val="24"/>
      <w:szCs w:val="24"/>
      <w:lang w:bidi="ar-SA"/>
    </w:rPr>
  </w:style>
  <w:style w:type="character" w:customStyle="1" w:styleId="326">
    <w:name w:val="Char Char19"/>
    <w:qFormat/>
    <w:uiPriority w:val="0"/>
    <w:rPr>
      <w:rFonts w:ascii="Arial" w:hAnsi="Arial" w:eastAsia="黑体"/>
      <w:b/>
      <w:kern w:val="2"/>
      <w:sz w:val="24"/>
      <w:lang w:bidi="ar-SA"/>
    </w:rPr>
  </w:style>
  <w:style w:type="character" w:customStyle="1" w:styleId="327">
    <w:name w:val="正文文本 Char1"/>
    <w:qFormat/>
    <w:uiPriority w:val="0"/>
    <w:rPr>
      <w:kern w:val="2"/>
      <w:sz w:val="21"/>
      <w:szCs w:val="24"/>
    </w:rPr>
  </w:style>
  <w:style w:type="character" w:customStyle="1" w:styleId="328">
    <w:name w:val="二级 Char"/>
    <w:link w:val="329"/>
    <w:qFormat/>
    <w:uiPriority w:val="0"/>
    <w:rPr>
      <w:rFonts w:ascii="仿宋" w:hAnsi="仿宋" w:eastAsia="仿宋"/>
      <w:b/>
      <w:bCs/>
      <w:spacing w:val="24"/>
      <w:kern w:val="2"/>
      <w:sz w:val="32"/>
      <w:szCs w:val="32"/>
    </w:rPr>
  </w:style>
  <w:style w:type="paragraph" w:customStyle="1" w:styleId="329">
    <w:name w:val="二级"/>
    <w:basedOn w:val="4"/>
    <w:link w:val="328"/>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0">
    <w:name w:val="签名 Char"/>
    <w:qFormat/>
    <w:uiPriority w:val="0"/>
    <w:rPr>
      <w:rFonts w:eastAsia="楷体_GB2312"/>
      <w:kern w:val="2"/>
      <w:sz w:val="21"/>
    </w:rPr>
  </w:style>
  <w:style w:type="character" w:customStyle="1" w:styleId="331">
    <w:name w:val="Char Char"/>
    <w:qFormat/>
    <w:uiPriority w:val="0"/>
    <w:rPr>
      <w:rFonts w:hint="eastAsia" w:ascii="宋体" w:hAnsi="Courier New" w:eastAsia="宋体"/>
      <w:spacing w:val="-8"/>
      <w:kern w:val="2"/>
      <w:sz w:val="24"/>
      <w:lang w:val="en-US" w:eastAsia="zh-CN" w:bidi="ar-SA"/>
    </w:rPr>
  </w:style>
  <w:style w:type="character" w:customStyle="1" w:styleId="332">
    <w:name w:val="Char Char11"/>
    <w:qFormat/>
    <w:uiPriority w:val="0"/>
    <w:rPr>
      <w:rFonts w:hint="default" w:ascii="Calibri" w:hAnsi="Calibri" w:eastAsia="宋体"/>
      <w:sz w:val="18"/>
      <w:szCs w:val="18"/>
      <w:lang w:bidi="ar-SA"/>
    </w:rPr>
  </w:style>
  <w:style w:type="character" w:customStyle="1" w:styleId="333">
    <w:name w:val="页眉 字符1"/>
    <w:qFormat/>
    <w:uiPriority w:val="0"/>
    <w:rPr>
      <w:rFonts w:eastAsia="宋体"/>
      <w:kern w:val="2"/>
      <w:sz w:val="18"/>
      <w:szCs w:val="18"/>
      <w:lang w:bidi="ar-SA"/>
    </w:rPr>
  </w:style>
  <w:style w:type="character" w:customStyle="1" w:styleId="334">
    <w:name w:val="正文首行缩进 Char1"/>
    <w:qFormat/>
    <w:uiPriority w:val="0"/>
    <w:rPr>
      <w:kern w:val="2"/>
      <w:sz w:val="21"/>
    </w:rPr>
  </w:style>
  <w:style w:type="character" w:customStyle="1" w:styleId="335">
    <w:name w:val="页眉 Char1"/>
    <w:qFormat/>
    <w:uiPriority w:val="0"/>
    <w:rPr>
      <w:rFonts w:eastAsia="宋体"/>
      <w:kern w:val="2"/>
      <w:sz w:val="18"/>
      <w:szCs w:val="18"/>
      <w:lang w:val="en-US" w:eastAsia="zh-CN" w:bidi="ar-SA"/>
    </w:rPr>
  </w:style>
  <w:style w:type="character" w:customStyle="1" w:styleId="336">
    <w:name w:val="题注 Char"/>
    <w:qFormat/>
    <w:uiPriority w:val="0"/>
    <w:rPr>
      <w:rFonts w:ascii="Cambria" w:hAnsi="Cambria" w:eastAsia="黑体"/>
      <w:kern w:val="2"/>
      <w:lang w:bidi="ar-SA"/>
    </w:rPr>
  </w:style>
  <w:style w:type="character" w:customStyle="1" w:styleId="337">
    <w:name w:val="样式 标题 3 + 小四 Char"/>
    <w:qFormat/>
    <w:uiPriority w:val="0"/>
    <w:rPr>
      <w:rFonts w:ascii="宋体" w:hAnsi="宋体" w:cs="Arial"/>
      <w:b/>
      <w:bCs/>
      <w:smallCaps/>
      <w:sz w:val="24"/>
      <w:lang w:val="en-US" w:eastAsia="zh-CN"/>
    </w:rPr>
  </w:style>
  <w:style w:type="character" w:customStyle="1" w:styleId="338">
    <w:name w:val="unnamed21"/>
    <w:qFormat/>
    <w:uiPriority w:val="0"/>
    <w:rPr>
      <w:color w:val="CC6633"/>
      <w:u w:val="none"/>
    </w:rPr>
  </w:style>
  <w:style w:type="character" w:customStyle="1" w:styleId="339">
    <w:name w:val="16"/>
    <w:qFormat/>
    <w:uiPriority w:val="0"/>
    <w:rPr>
      <w:rFonts w:hint="eastAsia" w:ascii="宋体" w:hAnsi="宋体" w:eastAsia="宋体" w:cs="Arial"/>
      <w:b/>
      <w:bCs/>
      <w:smallCaps/>
      <w:kern w:val="2"/>
      <w:sz w:val="24"/>
      <w:szCs w:val="24"/>
    </w:rPr>
  </w:style>
  <w:style w:type="character" w:customStyle="1" w:styleId="340">
    <w:name w:val="正文文本缩进 字符"/>
    <w:qFormat/>
    <w:uiPriority w:val="0"/>
    <w:rPr>
      <w:rFonts w:eastAsia="宋体"/>
      <w:kern w:val="2"/>
      <w:sz w:val="24"/>
      <w:lang w:bidi="ar-SA"/>
    </w:rPr>
  </w:style>
  <w:style w:type="character" w:customStyle="1" w:styleId="341">
    <w:name w:val="Char Char8"/>
    <w:qFormat/>
    <w:uiPriority w:val="0"/>
    <w:rPr>
      <w:rFonts w:hint="default" w:ascii="Calibri" w:hAnsi="Calibri" w:eastAsia="宋体"/>
      <w:kern w:val="2"/>
      <w:sz w:val="21"/>
      <w:szCs w:val="22"/>
      <w:lang w:val="en-US" w:eastAsia="zh-CN" w:bidi="ar-SA"/>
    </w:rPr>
  </w:style>
  <w:style w:type="character" w:customStyle="1" w:styleId="342">
    <w:name w:val="H3 Char1"/>
    <w:qFormat/>
    <w:uiPriority w:val="0"/>
    <w:rPr>
      <w:rFonts w:ascii="仿宋_GB2312" w:eastAsia="仿宋_GB2312"/>
      <w:b/>
      <w:bCs/>
      <w:color w:val="000000"/>
      <w:kern w:val="2"/>
      <w:sz w:val="32"/>
      <w:szCs w:val="32"/>
    </w:rPr>
  </w:style>
  <w:style w:type="character" w:customStyle="1" w:styleId="343">
    <w:name w:val="Char Char1"/>
    <w:qFormat/>
    <w:uiPriority w:val="0"/>
    <w:rPr>
      <w:rFonts w:hint="eastAsia" w:ascii="宋体" w:hAnsi="宋体" w:eastAsia="宋体"/>
      <w:kern w:val="2"/>
      <w:sz w:val="21"/>
      <w:szCs w:val="24"/>
      <w:lang w:val="en-US" w:eastAsia="zh-CN" w:bidi="ar-SA"/>
    </w:rPr>
  </w:style>
  <w:style w:type="character" w:customStyle="1" w:styleId="344">
    <w:name w:val="Char Char10"/>
    <w:qFormat/>
    <w:uiPriority w:val="0"/>
    <w:rPr>
      <w:rFonts w:eastAsia="宋体"/>
      <w:kern w:val="2"/>
      <w:sz w:val="18"/>
      <w:szCs w:val="18"/>
      <w:lang w:val="en-US" w:eastAsia="zh-CN" w:bidi="ar-SA"/>
    </w:rPr>
  </w:style>
  <w:style w:type="character" w:customStyle="1" w:styleId="345">
    <w:name w:val="文档正文 Char"/>
    <w:link w:val="346"/>
    <w:qFormat/>
    <w:uiPriority w:val="0"/>
    <w:rPr>
      <w:rFonts w:ascii="Arial" w:hAnsi="Arial" w:cs="Arial"/>
      <w:bCs/>
      <w:kern w:val="2"/>
      <w:sz w:val="24"/>
      <w:szCs w:val="24"/>
    </w:rPr>
  </w:style>
  <w:style w:type="paragraph" w:customStyle="1" w:styleId="346">
    <w:name w:val="文档正文"/>
    <w:basedOn w:val="1"/>
    <w:link w:val="345"/>
    <w:qFormat/>
    <w:uiPriority w:val="0"/>
    <w:rPr>
      <w:rFonts w:ascii="Arial" w:hAnsi="Arial" w:cs="Arial"/>
      <w:bCs/>
      <w:sz w:val="24"/>
    </w:rPr>
  </w:style>
  <w:style w:type="character" w:customStyle="1" w:styleId="347">
    <w:name w:val="正文文本 2 Char2"/>
    <w:basedOn w:val="52"/>
    <w:semiHidden/>
    <w:qFormat/>
    <w:uiPriority w:val="0"/>
    <w:rPr>
      <w:kern w:val="2"/>
      <w:sz w:val="21"/>
      <w:szCs w:val="24"/>
    </w:rPr>
  </w:style>
  <w:style w:type="character" w:customStyle="1" w:styleId="348">
    <w:name w:val="标题 字符1"/>
    <w:basedOn w:val="52"/>
    <w:qFormat/>
    <w:uiPriority w:val="10"/>
    <w:rPr>
      <w:rFonts w:asciiTheme="majorHAnsi" w:hAnsiTheme="majorHAnsi" w:eastAsiaTheme="majorEastAsia" w:cstheme="majorBidi"/>
      <w:b/>
      <w:bCs/>
      <w:kern w:val="2"/>
      <w:sz w:val="32"/>
      <w:szCs w:val="32"/>
    </w:rPr>
  </w:style>
  <w:style w:type="character" w:customStyle="1" w:styleId="349">
    <w:name w:val="正文首行缩进 2 Char1"/>
    <w:basedOn w:val="75"/>
    <w:qFormat/>
    <w:uiPriority w:val="0"/>
    <w:rPr>
      <w:kern w:val="2"/>
      <w:sz w:val="21"/>
      <w:szCs w:val="24"/>
    </w:rPr>
  </w:style>
  <w:style w:type="character" w:customStyle="1" w:styleId="350">
    <w:name w:val="签名 Char2"/>
    <w:basedOn w:val="52"/>
    <w:semiHidden/>
    <w:qFormat/>
    <w:uiPriority w:val="0"/>
    <w:rPr>
      <w:kern w:val="2"/>
      <w:sz w:val="21"/>
      <w:szCs w:val="24"/>
    </w:rPr>
  </w:style>
  <w:style w:type="character" w:customStyle="1" w:styleId="351">
    <w:name w:val="正文文本缩进 3 Char2"/>
    <w:basedOn w:val="52"/>
    <w:semiHidden/>
    <w:qFormat/>
    <w:uiPriority w:val="0"/>
    <w:rPr>
      <w:kern w:val="2"/>
      <w:sz w:val="16"/>
      <w:szCs w:val="16"/>
    </w:rPr>
  </w:style>
  <w:style w:type="character" w:customStyle="1" w:styleId="352">
    <w:name w:val="日期 Char2"/>
    <w:basedOn w:val="52"/>
    <w:semiHidden/>
    <w:qFormat/>
    <w:uiPriority w:val="0"/>
    <w:rPr>
      <w:kern w:val="2"/>
      <w:sz w:val="21"/>
      <w:szCs w:val="24"/>
    </w:rPr>
  </w:style>
  <w:style w:type="paragraph" w:customStyle="1" w:styleId="353">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54">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6">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357">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8">
    <w:name w:val="Table Heading"/>
    <w:basedOn w:val="1"/>
    <w:qFormat/>
    <w:uiPriority w:val="0"/>
    <w:pPr>
      <w:widowControl/>
      <w:jc w:val="center"/>
    </w:pPr>
    <w:rPr>
      <w:rFonts w:ascii="Arial" w:hAnsi="Arial"/>
      <w:b/>
      <w:kern w:val="0"/>
      <w:sz w:val="18"/>
      <w:szCs w:val="20"/>
    </w:rPr>
  </w:style>
  <w:style w:type="paragraph" w:customStyle="1" w:styleId="359">
    <w:name w:val="4"/>
    <w:basedOn w:val="1"/>
    <w:next w:val="1"/>
    <w:qFormat/>
    <w:uiPriority w:val="0"/>
  </w:style>
  <w:style w:type="paragraph" w:customStyle="1" w:styleId="36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1">
    <w:name w:val="--规划正文"/>
    <w:basedOn w:val="1"/>
    <w:qFormat/>
    <w:uiPriority w:val="0"/>
    <w:pPr>
      <w:spacing w:line="360" w:lineRule="auto"/>
      <w:ind w:firstLine="200" w:firstLineChars="200"/>
    </w:pPr>
    <w:rPr>
      <w:szCs w:val="20"/>
    </w:rPr>
  </w:style>
  <w:style w:type="paragraph" w:customStyle="1" w:styleId="362">
    <w:name w:val="样式 标题 5H5dashdsddh5PIM 5口一heading 5Titre5Table label...3"/>
    <w:basedOn w:val="6"/>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3">
    <w:name w:val="修订1"/>
    <w:qFormat/>
    <w:uiPriority w:val="99"/>
    <w:rPr>
      <w:rFonts w:ascii="Times New Roman" w:hAnsi="Times New Roman" w:eastAsia="宋体" w:cs="Times New Roman"/>
      <w:kern w:val="2"/>
      <w:sz w:val="21"/>
      <w:szCs w:val="22"/>
      <w:lang w:val="en-US" w:eastAsia="zh-CN" w:bidi="ar-SA"/>
    </w:rPr>
  </w:style>
  <w:style w:type="paragraph" w:customStyle="1" w:styleId="364">
    <w:name w:val="样式2"/>
    <w:basedOn w:val="25"/>
    <w:qFormat/>
    <w:uiPriority w:val="0"/>
    <w:pPr>
      <w:tabs>
        <w:tab w:val="right" w:leader="dot" w:pos="9458"/>
      </w:tabs>
    </w:pPr>
    <w:rPr>
      <w:rFonts w:ascii="Arial" w:cs="Arial"/>
      <w:i/>
    </w:rPr>
  </w:style>
  <w:style w:type="paragraph" w:customStyle="1" w:styleId="36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6">
    <w:name w:val="l2"/>
    <w:basedOn w:val="1"/>
    <w:qFormat/>
    <w:uiPriority w:val="0"/>
    <w:pPr>
      <w:keepLines/>
      <w:widowControl/>
      <w:spacing w:beforeLines="50" w:afterLines="50" w:line="300" w:lineRule="auto"/>
    </w:pPr>
    <w:rPr>
      <w:rFonts w:ascii="Arial" w:hAnsi="Arial"/>
      <w:bCs/>
    </w:rPr>
  </w:style>
  <w:style w:type="paragraph" w:customStyle="1" w:styleId="367">
    <w:name w:val="样式5"/>
    <w:basedOn w:val="368"/>
    <w:next w:val="368"/>
    <w:qFormat/>
    <w:uiPriority w:val="0"/>
    <w:pPr>
      <w:tabs>
        <w:tab w:val="right" w:leader="dot" w:pos="9458"/>
      </w:tabs>
    </w:pPr>
  </w:style>
  <w:style w:type="paragraph" w:customStyle="1" w:styleId="368">
    <w:name w:val="样式4"/>
    <w:basedOn w:val="34"/>
    <w:qFormat/>
    <w:uiPriority w:val="0"/>
    <w:pPr>
      <w:tabs>
        <w:tab w:val="right" w:leader="dot" w:pos="9458"/>
      </w:tabs>
    </w:pPr>
    <w:rPr>
      <w:b w:val="0"/>
    </w:rPr>
  </w:style>
  <w:style w:type="paragraph" w:customStyle="1" w:styleId="369">
    <w:name w:val="TOC 标题1"/>
    <w:basedOn w:val="2"/>
    <w:next w:val="1"/>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1">
    <w:name w:val="Char Char Char Char Char Char1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able Body"/>
    <w:basedOn w:val="1"/>
    <w:qFormat/>
    <w:uiPriority w:val="0"/>
    <w:pPr>
      <w:widowControl/>
      <w:jc w:val="center"/>
    </w:pPr>
    <w:rPr>
      <w:rFonts w:ascii="Arial" w:hAnsi="Arial"/>
      <w:snapToGrid w:val="0"/>
      <w:kern w:val="0"/>
      <w:sz w:val="18"/>
      <w:szCs w:val="20"/>
    </w:rPr>
  </w:style>
  <w:style w:type="paragraph" w:customStyle="1" w:styleId="374">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签名 - 公司"/>
    <w:basedOn w:val="33"/>
    <w:next w:val="378"/>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8">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79">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2">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4">
    <w:name w:val="正文缩进1"/>
    <w:basedOn w:val="1"/>
    <w:qFormat/>
    <w:uiPriority w:val="0"/>
    <w:pPr>
      <w:ind w:firstLine="567"/>
    </w:pPr>
    <w:rPr>
      <w:spacing w:val="20"/>
      <w:sz w:val="24"/>
      <w:szCs w:val="20"/>
    </w:rPr>
  </w:style>
  <w:style w:type="paragraph" w:customStyle="1" w:styleId="385">
    <w:name w:val="_正文"/>
    <w:basedOn w:val="1"/>
    <w:qFormat/>
    <w:uiPriority w:val="99"/>
    <w:pPr>
      <w:spacing w:line="360" w:lineRule="auto"/>
      <w:ind w:firstLine="200" w:firstLineChars="200"/>
    </w:pPr>
    <w:rPr>
      <w:rFonts w:ascii="宋体" w:hAnsi="宋体"/>
      <w:sz w:val="24"/>
    </w:rPr>
  </w:style>
  <w:style w:type="paragraph" w:customStyle="1" w:styleId="386">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7">
    <w:name w:val="列出段落6"/>
    <w:basedOn w:val="1"/>
    <w:qFormat/>
    <w:uiPriority w:val="0"/>
    <w:pPr>
      <w:ind w:firstLine="420" w:firstLineChars="200"/>
    </w:pPr>
    <w:rPr>
      <w:rFonts w:ascii="仿宋_GB2312" w:eastAsia="仿宋_GB2312" w:cs="宋体"/>
      <w:spacing w:val="6"/>
      <w:sz w:val="30"/>
      <w:szCs w:val="30"/>
    </w:rPr>
  </w:style>
  <w:style w:type="paragraph" w:customStyle="1" w:styleId="388">
    <w:name w:val="_Style 15"/>
    <w:basedOn w:val="1"/>
    <w:qFormat/>
    <w:uiPriority w:val="0"/>
  </w:style>
  <w:style w:type="paragraph" w:customStyle="1" w:styleId="38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0">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1">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2">
    <w:name w:val="样式 标题 4 + 加粗"/>
    <w:basedOn w:val="5"/>
    <w:next w:val="1"/>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3">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4">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96">
    <w:name w:val="样式"/>
    <w:basedOn w:val="1"/>
    <w:next w:val="22"/>
    <w:qFormat/>
    <w:uiPriority w:val="0"/>
    <w:pPr>
      <w:ind w:left="572" w:right="32" w:firstLine="478"/>
    </w:pPr>
    <w:rPr>
      <w:szCs w:val="21"/>
    </w:rPr>
  </w:style>
  <w:style w:type="paragraph" w:customStyle="1" w:styleId="397">
    <w:name w:val="Bullet w/Single Space"/>
    <w:basedOn w:val="1"/>
    <w:qFormat/>
    <w:uiPriority w:val="0"/>
    <w:pPr>
      <w:widowControl/>
      <w:numPr>
        <w:ilvl w:val="0"/>
        <w:numId w:val="3"/>
      </w:numPr>
      <w:ind w:left="720"/>
      <w:jc w:val="left"/>
    </w:pPr>
    <w:rPr>
      <w:kern w:val="0"/>
      <w:sz w:val="24"/>
      <w:szCs w:val="20"/>
      <w:lang w:eastAsia="en-US"/>
    </w:rPr>
  </w:style>
  <w:style w:type="paragraph" w:customStyle="1" w:styleId="398">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399">
    <w:name w:val="图表"/>
    <w:basedOn w:val="1"/>
    <w:qFormat/>
    <w:uiPriority w:val="0"/>
    <w:pPr>
      <w:spacing w:line="360" w:lineRule="auto"/>
      <w:ind w:hanging="420"/>
      <w:jc w:val="center"/>
    </w:pPr>
    <w:rPr>
      <w:sz w:val="24"/>
      <w:szCs w:val="20"/>
    </w:rPr>
  </w:style>
  <w:style w:type="paragraph" w:customStyle="1" w:styleId="400">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1">
    <w:name w:val="正文_0"/>
    <w:basedOn w:val="1"/>
    <w:qFormat/>
    <w:uiPriority w:val="0"/>
  </w:style>
  <w:style w:type="paragraph" w:customStyle="1" w:styleId="402">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3">
    <w:name w:val="正文2"/>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4">
    <w:name w:val="简单回函地址"/>
    <w:basedOn w:val="1"/>
    <w:qFormat/>
    <w:uiPriority w:val="0"/>
  </w:style>
  <w:style w:type="paragraph" w:customStyle="1" w:styleId="40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6">
    <w:name w:val="样式3"/>
    <w:basedOn w:val="25"/>
    <w:qFormat/>
    <w:uiPriority w:val="0"/>
    <w:pPr>
      <w:tabs>
        <w:tab w:val="right" w:leader="dot" w:pos="9458"/>
      </w:tabs>
    </w:pPr>
    <w:rPr>
      <w:i/>
    </w:rPr>
  </w:style>
  <w:style w:type="paragraph" w:customStyle="1" w:styleId="407">
    <w:name w:val="msolistparagraph"/>
    <w:basedOn w:val="1"/>
    <w:qFormat/>
    <w:uiPriority w:val="0"/>
    <w:pPr>
      <w:ind w:firstLine="420" w:firstLineChars="200"/>
    </w:pPr>
    <w:rPr>
      <w:rFonts w:ascii="Calibri" w:hAnsi="Calibri"/>
      <w:szCs w:val="22"/>
    </w:rPr>
  </w:style>
  <w:style w:type="paragraph" w:customStyle="1" w:styleId="408">
    <w:name w:val="Char Char16 Char Char"/>
    <w:basedOn w:val="1"/>
    <w:qFormat/>
    <w:uiPriority w:val="0"/>
    <w:rPr>
      <w:rFonts w:ascii="Tahoma" w:hAnsi="Tahoma"/>
      <w:sz w:val="24"/>
      <w:szCs w:val="20"/>
    </w:rPr>
  </w:style>
  <w:style w:type="paragraph" w:customStyle="1" w:styleId="409">
    <w:name w:val="正文内容"/>
    <w:basedOn w:val="1"/>
    <w:qFormat/>
    <w:uiPriority w:val="0"/>
    <w:rPr>
      <w:rFonts w:ascii="Arial" w:hAnsi="Arial"/>
      <w:spacing w:val="-12"/>
      <w:szCs w:val="20"/>
    </w:rPr>
  </w:style>
  <w:style w:type="paragraph" w:customStyle="1" w:styleId="41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1">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WPSOffice手动目录 1"/>
    <w:qFormat/>
    <w:uiPriority w:val="0"/>
    <w:rPr>
      <w:rFonts w:ascii="Times New Roman" w:hAnsi="Times New Roman" w:eastAsia="宋体" w:cs="Times New Roman"/>
      <w:lang w:val="en-US" w:eastAsia="zh-CN" w:bidi="ar-SA"/>
    </w:rPr>
  </w:style>
  <w:style w:type="paragraph" w:customStyle="1" w:styleId="41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4">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16">
    <w:name w:val="正文(首行缩进)"/>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8">
    <w:name w:val="Char1 Char Char Char Char Char Char Char Char"/>
    <w:basedOn w:val="1"/>
    <w:qFormat/>
    <w:uiPriority w:val="0"/>
  </w:style>
  <w:style w:type="paragraph" w:customStyle="1" w:styleId="419">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0">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1">
    <w:name w:val="标题5"/>
    <w:basedOn w:val="1"/>
    <w:qFormat/>
    <w:uiPriority w:val="0"/>
    <w:pPr>
      <w:spacing w:before="120" w:after="120"/>
    </w:pPr>
    <w:rPr>
      <w:rFonts w:ascii="宋体"/>
      <w:b/>
      <w:sz w:val="28"/>
    </w:rPr>
  </w:style>
  <w:style w:type="paragraph" w:customStyle="1" w:styleId="422">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正文-段落"/>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5">
    <w:name w:val="Char4"/>
    <w:basedOn w:val="1"/>
    <w:qFormat/>
    <w:uiPriority w:val="0"/>
    <w:pPr>
      <w:ind w:left="980" w:hanging="420"/>
    </w:pPr>
    <w:rPr>
      <w:sz w:val="24"/>
    </w:rPr>
  </w:style>
  <w:style w:type="paragraph" w:customStyle="1" w:styleId="426">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8">
    <w:name w:val="样式 首行缩进:  0.85 厘米"/>
    <w:basedOn w:val="1"/>
    <w:qFormat/>
    <w:uiPriority w:val="0"/>
    <w:pPr>
      <w:ind w:firstLine="480" w:firstLineChars="200"/>
    </w:pPr>
    <w:rPr>
      <w:rFonts w:cs="宋体"/>
      <w:szCs w:val="20"/>
    </w:rPr>
  </w:style>
  <w:style w:type="paragraph" w:customStyle="1" w:styleId="429">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font2"/>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2">
    <w:name w:val="font3"/>
    <w:basedOn w:val="1"/>
    <w:qFormat/>
    <w:uiPriority w:val="0"/>
    <w:pPr>
      <w:widowControl/>
      <w:spacing w:before="100" w:beforeAutospacing="1" w:after="100" w:afterAutospacing="1"/>
      <w:jc w:val="left"/>
    </w:pPr>
    <w:rPr>
      <w:color w:val="000000"/>
      <w:kern w:val="0"/>
      <w:sz w:val="14"/>
      <w:szCs w:val="14"/>
    </w:rPr>
  </w:style>
  <w:style w:type="paragraph" w:customStyle="1" w:styleId="433">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1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8"/>
    <w:basedOn w:val="1"/>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7">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4">
    <w:name w:val="列出段落 Char"/>
    <w:link w:val="455"/>
    <w:qFormat/>
    <w:uiPriority w:val="34"/>
    <w:rPr>
      <w:kern w:val="2"/>
      <w:sz w:val="21"/>
      <w:szCs w:val="24"/>
    </w:rPr>
  </w:style>
  <w:style w:type="paragraph" w:styleId="455">
    <w:name w:val="List Paragraph"/>
    <w:basedOn w:val="1"/>
    <w:link w:val="454"/>
    <w:qFormat/>
    <w:uiPriority w:val="34"/>
    <w:pPr>
      <w:ind w:firstLine="420" w:firstLineChars="200"/>
    </w:pPr>
  </w:style>
  <w:style w:type="paragraph" w:customStyle="1" w:styleId="456">
    <w:name w:val="yiv1649619028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qFormat/>
    <w:uiPriority w:val="0"/>
    <w:pPr>
      <w:spacing w:afterLines="20"/>
      <w:ind w:firstLine="1446" w:firstLineChars="200"/>
    </w:pPr>
    <w:rPr>
      <w:rFonts w:ascii="Calibri" w:hAnsi="Calibri"/>
      <w:sz w:val="24"/>
    </w:rPr>
  </w:style>
  <w:style w:type="character" w:customStyle="1" w:styleId="458">
    <w:name w:val="正文文本 3 Char"/>
    <w:basedOn w:val="52"/>
    <w:link w:val="19"/>
    <w:qFormat/>
    <w:uiPriority w:val="0"/>
    <w:rPr>
      <w:kern w:val="2"/>
      <w:sz w:val="16"/>
      <w:szCs w:val="16"/>
    </w:rPr>
  </w:style>
  <w:style w:type="character" w:customStyle="1" w:styleId="459">
    <w:name w:val="content"/>
    <w:basedOn w:val="52"/>
    <w:qFormat/>
    <w:uiPriority w:val="0"/>
  </w:style>
  <w:style w:type="character" w:customStyle="1" w:styleId="460">
    <w:name w:val="ca-3"/>
    <w:basedOn w:val="52"/>
    <w:qFormat/>
    <w:uiPriority w:val="0"/>
  </w:style>
  <w:style w:type="character" w:customStyle="1" w:styleId="461">
    <w:name w:val="textcontents1"/>
    <w:qFormat/>
    <w:uiPriority w:val="0"/>
    <w:rPr>
      <w:rFonts w:hint="default" w:ascii="ˎ̥" w:hAnsi="ˎ̥"/>
      <w:sz w:val="21"/>
      <w:szCs w:val="21"/>
    </w:rPr>
  </w:style>
  <w:style w:type="character" w:customStyle="1" w:styleId="462">
    <w:name w:val="脚注文本 Char1"/>
    <w:qFormat/>
    <w:uiPriority w:val="0"/>
    <w:rPr>
      <w:kern w:val="2"/>
      <w:sz w:val="18"/>
      <w:szCs w:val="18"/>
    </w:rPr>
  </w:style>
  <w:style w:type="character" w:customStyle="1" w:styleId="463">
    <w:name w:val="脚注文本 Char"/>
    <w:link w:val="38"/>
    <w:qFormat/>
    <w:uiPriority w:val="0"/>
    <w:rPr>
      <w:kern w:val="2"/>
      <w:sz w:val="18"/>
      <w:szCs w:val="18"/>
    </w:rPr>
  </w:style>
  <w:style w:type="character" w:customStyle="1" w:styleId="464">
    <w:name w:val="正文首行缩进（绿盟科技） Char"/>
    <w:link w:val="465"/>
    <w:qFormat/>
    <w:uiPriority w:val="0"/>
    <w:rPr>
      <w:rFonts w:ascii="Arial" w:hAnsi="Arial"/>
      <w:szCs w:val="21"/>
    </w:rPr>
  </w:style>
  <w:style w:type="paragraph" w:customStyle="1" w:styleId="465">
    <w:name w:val="正文首行缩进（绿盟科技）"/>
    <w:basedOn w:val="1"/>
    <w:link w:val="464"/>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2"/>
    <w:qFormat/>
    <w:uiPriority w:val="0"/>
  </w:style>
  <w:style w:type="character" w:customStyle="1" w:styleId="467">
    <w:name w:val="Char Char21"/>
    <w:qFormat/>
    <w:uiPriority w:val="0"/>
    <w:rPr>
      <w:b/>
      <w:bCs/>
      <w:kern w:val="2"/>
      <w:sz w:val="32"/>
      <w:szCs w:val="32"/>
    </w:rPr>
  </w:style>
  <w:style w:type="character" w:customStyle="1" w:styleId="468">
    <w:name w:val="content1"/>
    <w:qFormat/>
    <w:uiPriority w:val="0"/>
    <w:rPr>
      <w:rFonts w:hint="default" w:ascii="??" w:hAnsi="??"/>
      <w:sz w:val="16"/>
      <w:szCs w:val="16"/>
      <w:u w:val="none"/>
    </w:rPr>
  </w:style>
  <w:style w:type="character" w:customStyle="1" w:styleId="469">
    <w:name w:val="text21"/>
    <w:basedOn w:val="52"/>
    <w:qFormat/>
    <w:uiPriority w:val="0"/>
  </w:style>
  <w:style w:type="character" w:customStyle="1" w:styleId="470">
    <w:name w:val="apple-style-span"/>
    <w:basedOn w:val="52"/>
    <w:qFormat/>
    <w:uiPriority w:val="0"/>
  </w:style>
  <w:style w:type="paragraph" w:customStyle="1" w:styleId="471">
    <w:name w:val="缺省文本"/>
    <w:basedOn w:val="1"/>
    <w:qFormat/>
    <w:uiPriority w:val="0"/>
    <w:pPr>
      <w:autoSpaceDE w:val="0"/>
      <w:autoSpaceDN w:val="0"/>
      <w:adjustRightInd w:val="0"/>
      <w:jc w:val="left"/>
    </w:pPr>
    <w:rPr>
      <w:kern w:val="0"/>
      <w:sz w:val="24"/>
    </w:rPr>
  </w:style>
  <w:style w:type="paragraph" w:customStyle="1" w:styleId="472">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6"/>
    <w:qFormat/>
    <w:uiPriority w:val="0"/>
    <w:rPr>
      <w:rFonts w:ascii="宋体" w:hAnsi="Courier New"/>
      <w:szCs w:val="20"/>
    </w:rPr>
  </w:style>
  <w:style w:type="paragraph" w:customStyle="1" w:styleId="474">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qFormat/>
    <w:uiPriority w:val="0"/>
    <w:pPr>
      <w:widowControl/>
      <w:spacing w:after="160" w:line="240" w:lineRule="exact"/>
      <w:jc w:val="left"/>
    </w:pPr>
  </w:style>
  <w:style w:type="paragraph" w:customStyle="1" w:styleId="476">
    <w:name w:val="USE 1"/>
    <w:basedOn w:val="1"/>
    <w:qFormat/>
    <w:uiPriority w:val="0"/>
    <w:pPr>
      <w:spacing w:line="200" w:lineRule="atLeast"/>
      <w:jc w:val="left"/>
    </w:pPr>
    <w:rPr>
      <w:rFonts w:ascii="宋体" w:hAnsi="宋体"/>
      <w:b/>
      <w:sz w:val="24"/>
      <w:szCs w:val="28"/>
    </w:rPr>
  </w:style>
  <w:style w:type="paragraph" w:customStyle="1" w:styleId="477">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6"/>
    <w:qFormat/>
    <w:uiPriority w:val="0"/>
    <w:rPr>
      <w:rFonts w:ascii="宋体" w:hAnsi="Courier New"/>
      <w:szCs w:val="20"/>
    </w:rPr>
  </w:style>
  <w:style w:type="character" w:customStyle="1" w:styleId="481">
    <w:name w:val="脚注文本 Char2"/>
    <w:basedOn w:val="52"/>
    <w:semiHidden/>
    <w:qFormat/>
    <w:uiPriority w:val="0"/>
    <w:rPr>
      <w:kern w:val="2"/>
      <w:sz w:val="18"/>
      <w:szCs w:val="18"/>
    </w:rPr>
  </w:style>
  <w:style w:type="paragraph" w:customStyle="1" w:styleId="482">
    <w:name w:val="_Style 56"/>
    <w:basedOn w:val="1"/>
    <w:next w:val="26"/>
    <w:qFormat/>
    <w:uiPriority w:val="0"/>
    <w:rPr>
      <w:rFonts w:ascii="宋体" w:hAnsi="Courier New"/>
      <w:szCs w:val="20"/>
    </w:rPr>
  </w:style>
  <w:style w:type="paragraph" w:customStyle="1" w:styleId="483">
    <w:name w:val="Char Char Char Char2"/>
    <w:basedOn w:val="1"/>
    <w:qFormat/>
    <w:uiPriority w:val="0"/>
    <w:pPr>
      <w:widowControl/>
      <w:spacing w:after="160" w:line="240" w:lineRule="exact"/>
      <w:jc w:val="center"/>
    </w:pPr>
  </w:style>
  <w:style w:type="paragraph" w:customStyle="1" w:styleId="484">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qFormat/>
    <w:uiPriority w:val="0"/>
    <w:pPr>
      <w:widowControl/>
      <w:spacing w:after="160" w:line="240" w:lineRule="exact"/>
      <w:jc w:val="left"/>
    </w:pPr>
  </w:style>
  <w:style w:type="paragraph" w:customStyle="1" w:styleId="490">
    <w:name w:val="_Style 50"/>
    <w:basedOn w:val="1"/>
    <w:next w:val="29"/>
    <w:qFormat/>
    <w:uiPriority w:val="0"/>
    <w:pPr>
      <w:adjustRightInd w:val="0"/>
      <w:snapToGrid w:val="0"/>
      <w:spacing w:line="300" w:lineRule="auto"/>
      <w:ind w:firstLine="630" w:firstLineChars="300"/>
    </w:pPr>
    <w:rPr>
      <w:snapToGrid w:val="0"/>
      <w:kern w:val="0"/>
    </w:rPr>
  </w:style>
  <w:style w:type="paragraph" w:customStyle="1" w:styleId="491">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49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6"/>
    <w:qFormat/>
    <w:uiPriority w:val="0"/>
    <w:rPr>
      <w:rFonts w:ascii="宋体" w:hAnsi="Courier New"/>
      <w:szCs w:val="20"/>
    </w:rPr>
  </w:style>
  <w:style w:type="paragraph" w:customStyle="1" w:styleId="495">
    <w:name w:val="Char Char Char"/>
    <w:basedOn w:val="1"/>
    <w:qFormat/>
    <w:uiPriority w:val="0"/>
    <w:rPr>
      <w:szCs w:val="20"/>
    </w:rPr>
  </w:style>
  <w:style w:type="paragraph" w:customStyle="1" w:styleId="496">
    <w:name w:val="Char2"/>
    <w:basedOn w:val="1"/>
    <w:qFormat/>
    <w:uiPriority w:val="0"/>
    <w:rPr>
      <w:rFonts w:ascii="Tahoma" w:hAnsi="Tahoma"/>
      <w:sz w:val="24"/>
      <w:szCs w:val="20"/>
    </w:rPr>
  </w:style>
  <w:style w:type="paragraph" w:customStyle="1" w:styleId="49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6"/>
    <w:qFormat/>
    <w:uiPriority w:val="0"/>
    <w:rPr>
      <w:rFonts w:ascii="宋体" w:hAnsi="Courier New"/>
      <w:szCs w:val="20"/>
    </w:rPr>
  </w:style>
  <w:style w:type="paragraph" w:customStyle="1" w:styleId="501">
    <w:name w:val="2"/>
    <w:basedOn w:val="1"/>
    <w:next w:val="45"/>
    <w:qFormat/>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29"/>
    <w:qFormat/>
    <w:uiPriority w:val="0"/>
    <w:pPr>
      <w:adjustRightInd w:val="0"/>
      <w:snapToGrid w:val="0"/>
      <w:spacing w:line="300" w:lineRule="auto"/>
      <w:ind w:firstLine="630" w:firstLineChars="300"/>
    </w:pPr>
    <w:rPr>
      <w:snapToGrid w:val="0"/>
      <w:kern w:val="0"/>
    </w:rPr>
  </w:style>
  <w:style w:type="paragraph" w:customStyle="1" w:styleId="503">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366091" w:themeColor="accent1" w:themeShade="BF"/>
      <w:kern w:val="0"/>
    </w:rPr>
  </w:style>
  <w:style w:type="character" w:customStyle="1" w:styleId="505">
    <w:name w:val="纯文本 Char2"/>
    <w:qFormat/>
    <w:uiPriority w:val="99"/>
    <w:rPr>
      <w:rFonts w:ascii="宋体" w:hAnsi="Courier New"/>
      <w:kern w:val="2"/>
      <w:sz w:val="21"/>
    </w:rPr>
  </w:style>
  <w:style w:type="paragraph" w:customStyle="1" w:styleId="506">
    <w:name w:val="Ｒ07-正!!文"/>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Info spid="_x0000_s3102"/>
    <customShpInfo spid="_x0000_s3103"/>
    <customShpInfo spid="_x0000_s3101"/>
    <customShpInfo spid="_x0000_s3096"/>
    <customShpInfo spid="_x0000_s3095"/>
    <customShpInfo spid="_x0000_s3093"/>
    <customShpInfo spid="_x0000_s309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32C28A-7F13-4836-ADE3-C6659AE6BC07}">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82</Pages>
  <Words>51239</Words>
  <Characters>54443</Characters>
  <Lines>437</Lines>
  <Paragraphs>123</Paragraphs>
  <TotalTime>28</TotalTime>
  <ScaleCrop>false</ScaleCrop>
  <LinksUpToDate>false</LinksUpToDate>
  <CharactersWithSpaces>57154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2019-11-08T01:16:00Z</dcterms:created>
  <dc:creator>微软用户</dc:creator>
  <cp:lastModifiedBy>中正招标罗敏仪</cp:lastModifiedBy>
  <cp:lastPrinted>2020-05-26T01:03:00Z</cp:lastPrinted>
  <dcterms:modified xsi:type="dcterms:W3CDTF">2024-06-12T07:36:50Z</dcterms:modified>
  <dc:title>招标编号：UHO2010-G0029</dc:title>
  <cp:revision>674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6A6C1E1828F04A5CACD946AD466EC4A4</vt:lpwstr>
  </property>
</Properties>
</file>