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2025年省市主备线路和基地裸光纤租用项目（</w:t>
      </w:r>
      <w:r>
        <w:rPr>
          <w:rFonts w:hint="eastAsia" w:asciiTheme="minorEastAsia" w:hAnsiTheme="minorEastAsia" w:eastAsiaTheme="minorEastAsia"/>
          <w:b/>
          <w:bCs/>
          <w:snapToGrid w:val="0"/>
          <w:kern w:val="0"/>
          <w:sz w:val="72"/>
          <w:szCs w:val="72"/>
          <w:lang w:val="en-US" w:eastAsia="zh-CN"/>
        </w:rPr>
        <w:t>第二次招标</w:t>
      </w:r>
      <w:r>
        <w:rPr>
          <w:rFonts w:hint="eastAsia" w:asciiTheme="minorEastAsia" w:hAnsiTheme="minorEastAsia" w:eastAsiaTheme="minorEastAsia"/>
          <w:b/>
          <w:bCs/>
          <w:snapToGrid w:val="0"/>
          <w:kern w:val="0"/>
          <w:sz w:val="72"/>
          <w:szCs w:val="72"/>
          <w:lang w:eastAsia="zh-CN"/>
        </w:rPr>
        <w:t>）</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SZZZ2025-QC0078</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三</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32036EEC">
          <w:pPr>
            <w:pStyle w:val="35"/>
            <w:tabs>
              <w:tab w:val="right" w:leader="dot" w:pos="9628"/>
            </w:tabs>
            <w:rPr>
              <w:rFonts w:ascii="仿宋_GB2312" w:eastAsia="仿宋_GB2312"/>
              <w:sz w:val="24"/>
            </w:rPr>
          </w:pPr>
        </w:p>
        <w:p w14:paraId="7B270614">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78</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2"/>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2025年省市主备线路和基地裸光纤租用项目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SZZZ2025-QC0078</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2025年省市主备线路和基地裸光纤租用项目</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400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400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2025年省市主备线路和基地裸光纤租用项目</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w:t>
      </w:r>
      <w:r>
        <w:rPr>
          <w:rFonts w:hint="eastAsia" w:ascii="宋体" w:hAnsi="宋体" w:eastAsia="宋体"/>
          <w:snapToGrid w:val="0"/>
          <w:color w:val="auto"/>
          <w:sz w:val="21"/>
          <w:szCs w:val="21"/>
          <w:lang w:val="en-US" w:eastAsia="zh-CN"/>
        </w:rPr>
        <w:t>深圳公共资源交易中心网站（www.szexgrp.com）</w:t>
      </w:r>
      <w:bookmarkStart w:id="116" w:name="_GoBack"/>
      <w:bookmarkEnd w:id="116"/>
      <w:r>
        <w:rPr>
          <w:rFonts w:hint="eastAsia" w:ascii="宋体" w:hAnsi="宋体" w:eastAsia="宋体"/>
          <w:snapToGrid w:val="0"/>
          <w:color w:val="auto"/>
          <w:sz w:val="21"/>
          <w:szCs w:val="21"/>
        </w:rPr>
        <w:t>；</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val="en-US" w:eastAsia="zh-CN"/>
        </w:rPr>
        <w:t>深圳市国家气候观象台</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地址：深圳市福田区香蜜湖街道竹子林园博园东气象路1号气象雷达塔12楼</w:t>
      </w:r>
    </w:p>
    <w:p w14:paraId="4C32D8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曹工，</w:t>
      </w:r>
      <w:r>
        <w:rPr>
          <w:rFonts w:hint="eastAsia" w:ascii="宋体" w:hAnsi="宋体" w:eastAsia="宋体"/>
          <w:snapToGrid w:val="0"/>
          <w:color w:val="auto"/>
          <w:sz w:val="21"/>
          <w:szCs w:val="21"/>
        </w:rPr>
        <w:t>0755-82511656</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罗工</w:t>
      </w:r>
      <w:r>
        <w:rPr>
          <w:rFonts w:hint="eastAsia" w:ascii="宋体" w:hAnsi="宋体" w:eastAsia="宋体"/>
          <w:snapToGrid w:val="0"/>
          <w:color w:val="auto"/>
          <w:sz w:val="21"/>
          <w:szCs w:val="21"/>
        </w:rPr>
        <w:t>，0755-83026699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罗工</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2025年省市主备线路和基地裸光纤租用项目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lang w:val="en-US" w:eastAsia="zh-CN"/>
              </w:rPr>
              <w:t>400</w:t>
            </w:r>
            <w:r>
              <w:rPr>
                <w:rFonts w:hint="eastAsia" w:ascii="宋体" w:hAnsi="宋体" w:cs="宋体"/>
                <w:szCs w:val="21"/>
              </w:rPr>
              <w:t>,</w:t>
            </w:r>
            <w:r>
              <w:rPr>
                <w:rFonts w:hint="eastAsia" w:ascii="宋体" w:hAnsi="宋体" w:cs="宋体"/>
                <w:szCs w:val="21"/>
                <w:lang w:val="en-US" w:eastAsia="zh-CN"/>
              </w:rPr>
              <w:t>000</w:t>
            </w:r>
            <w:r>
              <w:rPr>
                <w:rFonts w:hint="eastAsia" w:ascii="宋体" w:hAnsi="宋体" w:cs="宋体"/>
                <w:szCs w:val="21"/>
              </w:rPr>
              <w:t>.</w:t>
            </w:r>
            <w:r>
              <w:rPr>
                <w:rFonts w:hint="eastAsia" w:ascii="宋体" w:hAnsi="宋体" w:cs="宋体"/>
                <w:szCs w:val="21"/>
                <w:lang w:val="en-US" w:eastAsia="zh-CN"/>
              </w:rPr>
              <w:t>0</w:t>
            </w:r>
            <w:r>
              <w:rPr>
                <w:rFonts w:hint="eastAsia" w:ascii="宋体" w:hAnsi="宋体" w:cs="宋体"/>
                <w:szCs w:val="21"/>
              </w:rPr>
              <w:t>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76ECADB1">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气象业务专线作为接收、汇聚和提供气象服务的关键基础设施。为确保深圳市气象局与广东省气象局之间能够实时、准确地传输大量气象数据，完善深圳市气象局基地环路网络，租用3条线路：省市主线路1Gbps MSTP 专线、新一代雷达省市传输专线（备线路）500Mbps MSTP 专线和石岩基地至龙岗基地 裸光纤(67km)。这些专线均采用租用方式，通过专业的通讯技术服务提供商，确保气象数据的快速、稳定传输，为气象预报、灾害预警和公共服务提供网络支撑。</w:t>
      </w:r>
    </w:p>
    <w:p w14:paraId="5901462F">
      <w:pPr>
        <w:pStyle w:val="506"/>
        <w:wordWrap/>
        <w:spacing w:afterLines="0" w:line="360" w:lineRule="auto"/>
        <w:ind w:firstLine="420"/>
        <w:rPr>
          <w:rFonts w:hint="eastAsia" w:cs="Times New Roman"/>
          <w:snapToGrid/>
          <w:spacing w:val="0"/>
          <w:sz w:val="21"/>
          <w:szCs w:val="21"/>
          <w:lang w:val="en-US" w:eastAsia="zh-CN"/>
        </w:rPr>
      </w:pPr>
      <w:r>
        <w:rPr>
          <w:rFonts w:hint="eastAsia" w:cs="Times New Roman"/>
          <w:snapToGrid/>
          <w:spacing w:val="0"/>
          <w:sz w:val="21"/>
          <w:szCs w:val="21"/>
          <w:lang w:val="en-US" w:eastAsia="zh-CN"/>
        </w:rPr>
        <w:t>租用清单如下：</w:t>
      </w:r>
    </w:p>
    <w:tbl>
      <w:tblPr>
        <w:tblStyle w:val="5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137"/>
        <w:gridCol w:w="688"/>
        <w:gridCol w:w="775"/>
        <w:gridCol w:w="825"/>
        <w:gridCol w:w="2657"/>
      </w:tblGrid>
      <w:tr w14:paraId="52B2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46" w:type="dxa"/>
            <w:noWrap w:val="0"/>
          </w:tcPr>
          <w:p w14:paraId="0415CAE0">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序号</w:t>
            </w:r>
          </w:p>
        </w:tc>
        <w:tc>
          <w:tcPr>
            <w:tcW w:w="3137" w:type="dxa"/>
            <w:noWrap w:val="0"/>
          </w:tcPr>
          <w:p w14:paraId="5EABA796">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需求内容</w:t>
            </w:r>
          </w:p>
        </w:tc>
        <w:tc>
          <w:tcPr>
            <w:tcW w:w="688" w:type="dxa"/>
            <w:noWrap w:val="0"/>
          </w:tcPr>
          <w:p w14:paraId="52F39F49">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数量</w:t>
            </w:r>
          </w:p>
        </w:tc>
        <w:tc>
          <w:tcPr>
            <w:tcW w:w="775" w:type="dxa"/>
            <w:noWrap w:val="0"/>
          </w:tcPr>
          <w:p w14:paraId="2D2A7D0B">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单位</w:t>
            </w:r>
          </w:p>
        </w:tc>
        <w:tc>
          <w:tcPr>
            <w:tcW w:w="825" w:type="dxa"/>
            <w:noWrap w:val="0"/>
          </w:tcPr>
          <w:p w14:paraId="1488CCA3">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备注</w:t>
            </w:r>
          </w:p>
        </w:tc>
        <w:tc>
          <w:tcPr>
            <w:tcW w:w="2657" w:type="dxa"/>
            <w:noWrap w:val="0"/>
          </w:tcPr>
          <w:p w14:paraId="7B70D2AC">
            <w:pPr>
              <w:pStyle w:val="506"/>
              <w:wordWrap/>
              <w:spacing w:afterLines="0" w:line="360" w:lineRule="auto"/>
              <w:ind w:left="210" w:leftChars="0" w:hanging="210" w:hangingChars="10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财政预算限</w:t>
            </w:r>
            <w:r>
              <w:rPr>
                <w:rFonts w:hint="eastAsia" w:cs="Times New Roman"/>
                <w:snapToGrid/>
                <w:spacing w:val="0"/>
                <w:sz w:val="21"/>
                <w:szCs w:val="21"/>
                <w:lang w:val="en-US" w:eastAsia="zh-CN"/>
              </w:rPr>
              <w:t xml:space="preserve"> </w:t>
            </w:r>
            <w:r>
              <w:rPr>
                <w:rFonts w:hint="default" w:cs="Times New Roman"/>
                <w:snapToGrid/>
                <w:spacing w:val="0"/>
                <w:sz w:val="21"/>
                <w:szCs w:val="21"/>
                <w:lang w:val="en-US" w:eastAsia="zh-CN"/>
              </w:rPr>
              <w:t>（万元）</w:t>
            </w:r>
          </w:p>
        </w:tc>
      </w:tr>
      <w:tr w14:paraId="5F35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46" w:type="dxa"/>
            <w:noWrap w:val="0"/>
            <w:vAlign w:val="center"/>
          </w:tcPr>
          <w:p w14:paraId="306BD749">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w:t>
            </w:r>
          </w:p>
        </w:tc>
        <w:tc>
          <w:tcPr>
            <w:tcW w:w="3137" w:type="dxa"/>
            <w:noWrap w:val="0"/>
            <w:vAlign w:val="center"/>
          </w:tcPr>
          <w:p w14:paraId="674BE34D">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1Gbps(MSTP专线)</w:t>
            </w:r>
          </w:p>
        </w:tc>
        <w:tc>
          <w:tcPr>
            <w:tcW w:w="688" w:type="dxa"/>
            <w:noWrap w:val="0"/>
            <w:vAlign w:val="center"/>
          </w:tcPr>
          <w:p w14:paraId="17828A8A">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w:t>
            </w:r>
          </w:p>
        </w:tc>
        <w:tc>
          <w:tcPr>
            <w:tcW w:w="775" w:type="dxa"/>
            <w:noWrap w:val="0"/>
            <w:vAlign w:val="center"/>
          </w:tcPr>
          <w:p w14:paraId="79FFFE1F">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条</w:t>
            </w:r>
          </w:p>
        </w:tc>
        <w:tc>
          <w:tcPr>
            <w:tcW w:w="825" w:type="dxa"/>
            <w:noWrap w:val="0"/>
            <w:vAlign w:val="center"/>
          </w:tcPr>
          <w:p w14:paraId="0B257D39">
            <w:pPr>
              <w:pStyle w:val="506"/>
              <w:wordWrap/>
              <w:spacing w:afterLines="0" w:line="360" w:lineRule="auto"/>
              <w:ind w:firstLine="420"/>
              <w:jc w:val="center"/>
              <w:rPr>
                <w:rFonts w:hint="default" w:cs="Times New Roman"/>
                <w:snapToGrid/>
                <w:spacing w:val="0"/>
                <w:sz w:val="21"/>
                <w:szCs w:val="21"/>
                <w:lang w:val="en-US" w:eastAsia="zh-CN"/>
              </w:rPr>
            </w:pPr>
          </w:p>
        </w:tc>
        <w:tc>
          <w:tcPr>
            <w:tcW w:w="2657" w:type="dxa"/>
            <w:noWrap w:val="0"/>
            <w:vAlign w:val="center"/>
          </w:tcPr>
          <w:p w14:paraId="380A1FC3">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19</w:t>
            </w:r>
          </w:p>
        </w:tc>
      </w:tr>
      <w:tr w14:paraId="717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46" w:type="dxa"/>
            <w:noWrap w:val="0"/>
            <w:vAlign w:val="center"/>
          </w:tcPr>
          <w:p w14:paraId="32233099">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2</w:t>
            </w:r>
          </w:p>
        </w:tc>
        <w:tc>
          <w:tcPr>
            <w:tcW w:w="3137" w:type="dxa"/>
            <w:noWrap w:val="0"/>
            <w:vAlign w:val="center"/>
          </w:tcPr>
          <w:p w14:paraId="014A26C9">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500Mbps(MSTP专线)</w:t>
            </w:r>
          </w:p>
        </w:tc>
        <w:tc>
          <w:tcPr>
            <w:tcW w:w="688" w:type="dxa"/>
            <w:noWrap w:val="0"/>
            <w:vAlign w:val="center"/>
          </w:tcPr>
          <w:p w14:paraId="7CE05311">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w:t>
            </w:r>
          </w:p>
        </w:tc>
        <w:tc>
          <w:tcPr>
            <w:tcW w:w="775" w:type="dxa"/>
            <w:noWrap w:val="0"/>
            <w:vAlign w:val="center"/>
          </w:tcPr>
          <w:p w14:paraId="26A0F898">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条</w:t>
            </w:r>
          </w:p>
        </w:tc>
        <w:tc>
          <w:tcPr>
            <w:tcW w:w="825" w:type="dxa"/>
            <w:noWrap w:val="0"/>
            <w:vAlign w:val="center"/>
          </w:tcPr>
          <w:p w14:paraId="1461ACD6">
            <w:pPr>
              <w:pStyle w:val="506"/>
              <w:wordWrap/>
              <w:spacing w:afterLines="0" w:line="360" w:lineRule="auto"/>
              <w:ind w:firstLine="420"/>
              <w:jc w:val="center"/>
              <w:rPr>
                <w:rFonts w:hint="default" w:cs="Times New Roman"/>
                <w:snapToGrid/>
                <w:spacing w:val="0"/>
                <w:sz w:val="21"/>
                <w:szCs w:val="21"/>
                <w:lang w:val="en-US" w:eastAsia="zh-CN"/>
              </w:rPr>
            </w:pPr>
          </w:p>
        </w:tc>
        <w:tc>
          <w:tcPr>
            <w:tcW w:w="2657" w:type="dxa"/>
            <w:noWrap w:val="0"/>
            <w:vAlign w:val="center"/>
          </w:tcPr>
          <w:p w14:paraId="71906417">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10.92</w:t>
            </w:r>
          </w:p>
        </w:tc>
      </w:tr>
      <w:tr w14:paraId="17D0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46" w:type="dxa"/>
            <w:noWrap w:val="0"/>
            <w:vAlign w:val="center"/>
          </w:tcPr>
          <w:p w14:paraId="01D90701">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3</w:t>
            </w:r>
          </w:p>
        </w:tc>
        <w:tc>
          <w:tcPr>
            <w:tcW w:w="3137" w:type="dxa"/>
            <w:noWrap w:val="0"/>
            <w:vAlign w:val="center"/>
          </w:tcPr>
          <w:p w14:paraId="341AFFF6">
            <w:pPr>
              <w:pStyle w:val="506"/>
              <w:wordWrap/>
              <w:spacing w:afterLines="0" w:line="360" w:lineRule="auto"/>
              <w:ind w:firstLine="42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裸光纤(67km)</w:t>
            </w:r>
          </w:p>
        </w:tc>
        <w:tc>
          <w:tcPr>
            <w:tcW w:w="688" w:type="dxa"/>
            <w:noWrap w:val="0"/>
            <w:vAlign w:val="center"/>
          </w:tcPr>
          <w:p w14:paraId="11C5BA39">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w:t>
            </w:r>
          </w:p>
        </w:tc>
        <w:tc>
          <w:tcPr>
            <w:tcW w:w="775" w:type="dxa"/>
            <w:noWrap w:val="0"/>
            <w:vAlign w:val="center"/>
          </w:tcPr>
          <w:p w14:paraId="431E55F2">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条</w:t>
            </w:r>
          </w:p>
        </w:tc>
        <w:tc>
          <w:tcPr>
            <w:tcW w:w="825" w:type="dxa"/>
            <w:noWrap w:val="0"/>
            <w:vAlign w:val="center"/>
          </w:tcPr>
          <w:p w14:paraId="016A20CD">
            <w:pPr>
              <w:pStyle w:val="506"/>
              <w:wordWrap/>
              <w:spacing w:afterLines="0" w:line="360" w:lineRule="auto"/>
              <w:ind w:firstLine="420"/>
              <w:jc w:val="center"/>
              <w:rPr>
                <w:rFonts w:hint="default" w:cs="Times New Roman"/>
                <w:snapToGrid/>
                <w:spacing w:val="0"/>
                <w:sz w:val="21"/>
                <w:szCs w:val="21"/>
                <w:lang w:val="en-US" w:eastAsia="zh-CN"/>
              </w:rPr>
            </w:pPr>
          </w:p>
        </w:tc>
        <w:tc>
          <w:tcPr>
            <w:tcW w:w="2657" w:type="dxa"/>
            <w:noWrap w:val="0"/>
            <w:vAlign w:val="center"/>
          </w:tcPr>
          <w:p w14:paraId="455CBA2E">
            <w:pPr>
              <w:pStyle w:val="506"/>
              <w:wordWrap/>
              <w:spacing w:afterLines="0" w:line="360" w:lineRule="auto"/>
              <w:ind w:left="0" w:leftChars="0" w:firstLine="0" w:firstLineChars="0"/>
              <w:jc w:val="center"/>
              <w:rPr>
                <w:rFonts w:hint="default" w:cs="Times New Roman"/>
                <w:snapToGrid/>
                <w:spacing w:val="0"/>
                <w:sz w:val="21"/>
                <w:szCs w:val="21"/>
                <w:lang w:val="en-US" w:eastAsia="zh-CN"/>
              </w:rPr>
            </w:pPr>
            <w:r>
              <w:rPr>
                <w:rFonts w:hint="default" w:cs="Times New Roman"/>
                <w:snapToGrid/>
                <w:spacing w:val="0"/>
                <w:sz w:val="21"/>
                <w:szCs w:val="21"/>
                <w:lang w:val="en-US" w:eastAsia="zh-CN"/>
              </w:rPr>
              <w:t>10.08</w:t>
            </w:r>
          </w:p>
        </w:tc>
      </w:tr>
    </w:tbl>
    <w:p w14:paraId="682877D6">
      <w:pPr>
        <w:pStyle w:val="506"/>
        <w:wordWrap/>
        <w:spacing w:afterLines="0" w:line="360" w:lineRule="auto"/>
        <w:ind w:left="0" w:leftChars="0" w:firstLine="0" w:firstLineChars="0"/>
        <w:rPr>
          <w:rFonts w:cs="Times New Roman"/>
          <w:snapToGrid/>
          <w:spacing w:val="0"/>
          <w:sz w:val="21"/>
          <w:szCs w:val="21"/>
        </w:rPr>
      </w:pPr>
    </w:p>
    <w:p w14:paraId="105A0AED">
      <w:pPr>
        <w:pStyle w:val="321"/>
        <w:ind w:firstLine="0" w:firstLineChars="0"/>
        <w:rPr>
          <w:b/>
        </w:rPr>
      </w:pPr>
      <w:r>
        <w:rPr>
          <w:rFonts w:hint="eastAsia"/>
          <w:b/>
        </w:rPr>
        <w:t>二、项目服务要求</w:t>
      </w:r>
    </w:p>
    <w:p w14:paraId="78C37771">
      <w:pPr>
        <w:pStyle w:val="506"/>
        <w:wordWrap/>
        <w:spacing w:afterLines="0" w:line="360" w:lineRule="auto"/>
        <w:ind w:firstLine="420"/>
        <w:rPr>
          <w:rFonts w:hint="eastAsia" w:cs="Times New Roman"/>
          <w:snapToGrid/>
          <w:spacing w:val="0"/>
          <w:sz w:val="21"/>
          <w:szCs w:val="21"/>
          <w:highlight w:val="yellow"/>
          <w:lang w:eastAsia="zh-CN"/>
        </w:rPr>
      </w:pP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lang w:val="en-US" w:eastAsia="zh-CN"/>
        </w:rPr>
        <w:t>一</w:t>
      </w:r>
      <w:r>
        <w:rPr>
          <w:rFonts w:hint="eastAsia" w:cs="Times New Roman"/>
          <w:b/>
          <w:bCs/>
          <w:snapToGrid/>
          <w:spacing w:val="0"/>
          <w:sz w:val="21"/>
          <w:szCs w:val="21"/>
          <w:highlight w:val="yellow"/>
          <w:lang w:eastAsia="zh-CN"/>
        </w:rPr>
        <w:t>）服务内容</w:t>
      </w:r>
    </w:p>
    <w:p w14:paraId="15E71B8E">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提供以下专用专线租用服务</w:t>
      </w:r>
      <w:r>
        <w:rPr>
          <w:rFonts w:cs="Times New Roman"/>
          <w:b/>
          <w:bCs/>
          <w:snapToGrid/>
          <w:spacing w:val="0"/>
          <w:sz w:val="21"/>
          <w:szCs w:val="21"/>
          <w:highlight w:val="yellow"/>
          <w:lang w:val="en"/>
        </w:rPr>
        <w:t>,</w:t>
      </w:r>
      <w:r>
        <w:rPr>
          <w:rFonts w:hint="eastAsia" w:cs="Times New Roman"/>
          <w:b/>
          <w:bCs/>
          <w:snapToGrid/>
          <w:spacing w:val="0"/>
          <w:sz w:val="21"/>
          <w:szCs w:val="21"/>
          <w:highlight w:val="yellow"/>
        </w:rPr>
        <w:t>具体清单如下：</w:t>
      </w:r>
    </w:p>
    <w:tbl>
      <w:tblPr>
        <w:tblStyle w:val="50"/>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326"/>
        <w:gridCol w:w="1672"/>
        <w:gridCol w:w="749"/>
        <w:gridCol w:w="1049"/>
        <w:gridCol w:w="3037"/>
      </w:tblGrid>
      <w:tr w14:paraId="49CF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1" w:type="dxa"/>
            <w:noWrap w:val="0"/>
            <w:vAlign w:val="center"/>
          </w:tcPr>
          <w:p w14:paraId="253C4E9A">
            <w:pPr>
              <w:pStyle w:val="506"/>
              <w:wordWrap/>
              <w:spacing w:afterLines="0" w:line="360" w:lineRule="auto"/>
              <w:ind w:left="0" w:leftChars="0" w:firstLine="0" w:firstLineChars="0"/>
              <w:rPr>
                <w:rFonts w:hint="eastAsia" w:cs="Times New Roman"/>
                <w:b/>
                <w:bCs/>
                <w:snapToGrid/>
                <w:spacing w:val="0"/>
                <w:sz w:val="21"/>
                <w:szCs w:val="21"/>
                <w:highlight w:val="yellow"/>
              </w:rPr>
            </w:pPr>
            <w:r>
              <w:rPr>
                <w:rFonts w:hint="eastAsia" w:cs="Times New Roman"/>
                <w:b/>
                <w:bCs/>
                <w:snapToGrid/>
                <w:spacing w:val="0"/>
                <w:sz w:val="21"/>
                <w:szCs w:val="21"/>
                <w:highlight w:val="yellow"/>
              </w:rPr>
              <w:t>序号</w:t>
            </w:r>
          </w:p>
        </w:tc>
        <w:tc>
          <w:tcPr>
            <w:tcW w:w="1326" w:type="dxa"/>
            <w:noWrap w:val="0"/>
            <w:vAlign w:val="center"/>
          </w:tcPr>
          <w:p w14:paraId="7E2AA0BA">
            <w:pPr>
              <w:pStyle w:val="506"/>
              <w:wordWrap/>
              <w:spacing w:afterLines="0" w:line="360" w:lineRule="auto"/>
              <w:ind w:left="0" w:leftChars="0" w:firstLine="0" w:firstLineChars="0"/>
              <w:rPr>
                <w:rFonts w:hint="eastAsia" w:cs="Times New Roman"/>
                <w:b/>
                <w:bCs/>
                <w:snapToGrid/>
                <w:spacing w:val="0"/>
                <w:sz w:val="21"/>
                <w:szCs w:val="21"/>
                <w:highlight w:val="yellow"/>
              </w:rPr>
            </w:pPr>
            <w:r>
              <w:rPr>
                <w:rFonts w:hint="eastAsia" w:cs="Times New Roman"/>
                <w:b/>
                <w:bCs/>
                <w:snapToGrid/>
                <w:spacing w:val="0"/>
                <w:sz w:val="21"/>
                <w:szCs w:val="21"/>
                <w:highlight w:val="yellow"/>
              </w:rPr>
              <w:t>采购需求</w:t>
            </w:r>
          </w:p>
        </w:tc>
        <w:tc>
          <w:tcPr>
            <w:tcW w:w="1672" w:type="dxa"/>
            <w:noWrap w:val="0"/>
            <w:vAlign w:val="center"/>
          </w:tcPr>
          <w:p w14:paraId="72610B04">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需求内容</w:t>
            </w:r>
          </w:p>
        </w:tc>
        <w:tc>
          <w:tcPr>
            <w:tcW w:w="749" w:type="dxa"/>
            <w:noWrap w:val="0"/>
            <w:vAlign w:val="center"/>
          </w:tcPr>
          <w:p w14:paraId="6683F6FD">
            <w:pPr>
              <w:pStyle w:val="506"/>
              <w:wordWrap/>
              <w:spacing w:afterLines="0" w:line="360" w:lineRule="auto"/>
              <w:ind w:left="0" w:leftChars="0" w:firstLine="0" w:firstLineChars="0"/>
              <w:rPr>
                <w:rFonts w:hint="eastAsia" w:cs="Times New Roman"/>
                <w:b/>
                <w:bCs/>
                <w:snapToGrid/>
                <w:spacing w:val="0"/>
                <w:sz w:val="21"/>
                <w:szCs w:val="21"/>
                <w:highlight w:val="yellow"/>
              </w:rPr>
            </w:pPr>
            <w:r>
              <w:rPr>
                <w:rFonts w:hint="eastAsia" w:cs="Times New Roman"/>
                <w:b/>
                <w:bCs/>
                <w:snapToGrid/>
                <w:spacing w:val="0"/>
                <w:sz w:val="21"/>
                <w:szCs w:val="21"/>
                <w:highlight w:val="yellow"/>
              </w:rPr>
              <w:t>数量</w:t>
            </w:r>
          </w:p>
        </w:tc>
        <w:tc>
          <w:tcPr>
            <w:tcW w:w="1049" w:type="dxa"/>
            <w:noWrap w:val="0"/>
            <w:vAlign w:val="center"/>
          </w:tcPr>
          <w:p w14:paraId="24EF808C">
            <w:pPr>
              <w:pStyle w:val="506"/>
              <w:wordWrap/>
              <w:spacing w:afterLines="0" w:line="360" w:lineRule="auto"/>
              <w:ind w:left="0" w:leftChars="0" w:firstLine="0" w:firstLineChars="0"/>
              <w:rPr>
                <w:rFonts w:hint="eastAsia" w:cs="Times New Roman"/>
                <w:b/>
                <w:bCs/>
                <w:snapToGrid/>
                <w:spacing w:val="0"/>
                <w:sz w:val="21"/>
                <w:szCs w:val="21"/>
                <w:highlight w:val="yellow"/>
              </w:rPr>
            </w:pPr>
            <w:r>
              <w:rPr>
                <w:rFonts w:hint="eastAsia" w:cs="Times New Roman"/>
                <w:b/>
                <w:bCs/>
                <w:snapToGrid/>
                <w:spacing w:val="0"/>
                <w:sz w:val="21"/>
                <w:szCs w:val="21"/>
                <w:highlight w:val="yellow"/>
              </w:rPr>
              <w:t>单位</w:t>
            </w:r>
          </w:p>
        </w:tc>
        <w:tc>
          <w:tcPr>
            <w:tcW w:w="3037" w:type="dxa"/>
            <w:noWrap w:val="0"/>
            <w:vAlign w:val="center"/>
          </w:tcPr>
          <w:p w14:paraId="57545ED5">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线路A\B端地点</w:t>
            </w:r>
          </w:p>
        </w:tc>
      </w:tr>
      <w:tr w14:paraId="5C2E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noWrap w:val="0"/>
            <w:vAlign w:val="center"/>
          </w:tcPr>
          <w:p w14:paraId="13B2A0DF">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1</w:t>
            </w:r>
          </w:p>
        </w:tc>
        <w:tc>
          <w:tcPr>
            <w:tcW w:w="1326" w:type="dxa"/>
            <w:noWrap w:val="0"/>
            <w:vAlign w:val="center"/>
          </w:tcPr>
          <w:p w14:paraId="64BF0F54">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省市主线路</w:t>
            </w:r>
          </w:p>
        </w:tc>
        <w:tc>
          <w:tcPr>
            <w:tcW w:w="1672" w:type="dxa"/>
            <w:noWrap w:val="0"/>
            <w:vAlign w:val="center"/>
          </w:tcPr>
          <w:p w14:paraId="718FA6CF">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1Gbps(MSTP专线)</w:t>
            </w:r>
          </w:p>
        </w:tc>
        <w:tc>
          <w:tcPr>
            <w:tcW w:w="749" w:type="dxa"/>
            <w:noWrap w:val="0"/>
            <w:vAlign w:val="center"/>
          </w:tcPr>
          <w:p w14:paraId="3EF9E84F">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1</w:t>
            </w:r>
          </w:p>
        </w:tc>
        <w:tc>
          <w:tcPr>
            <w:tcW w:w="1049" w:type="dxa"/>
            <w:noWrap w:val="0"/>
            <w:vAlign w:val="center"/>
          </w:tcPr>
          <w:p w14:paraId="35298AA5">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条</w:t>
            </w:r>
          </w:p>
        </w:tc>
        <w:tc>
          <w:tcPr>
            <w:tcW w:w="3037" w:type="dxa"/>
            <w:noWrap w:val="0"/>
            <w:vAlign w:val="center"/>
          </w:tcPr>
          <w:p w14:paraId="0EF7A936">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A端地址：深圳市福田区竹子林深圳市气象局机房；</w:t>
            </w:r>
          </w:p>
          <w:p w14:paraId="4AF23229">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B端地址：广州市天河区东莞庄路280号气象预警中心</w:t>
            </w:r>
          </w:p>
        </w:tc>
      </w:tr>
      <w:tr w14:paraId="76A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ins w:id="0" w:author="作者" w:date="2024-12-17T18:25:00Z"/>
        </w:trPr>
        <w:tc>
          <w:tcPr>
            <w:tcW w:w="801" w:type="dxa"/>
            <w:noWrap w:val="0"/>
            <w:vAlign w:val="center"/>
          </w:tcPr>
          <w:p w14:paraId="6BE9A28F">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2</w:t>
            </w:r>
          </w:p>
        </w:tc>
        <w:tc>
          <w:tcPr>
            <w:tcW w:w="1326" w:type="dxa"/>
            <w:noWrap w:val="0"/>
            <w:vAlign w:val="center"/>
          </w:tcPr>
          <w:p w14:paraId="126A787A">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新一代雷达省市传输专线（备线路）</w:t>
            </w:r>
          </w:p>
        </w:tc>
        <w:tc>
          <w:tcPr>
            <w:tcW w:w="1672" w:type="dxa"/>
            <w:noWrap w:val="0"/>
            <w:vAlign w:val="center"/>
          </w:tcPr>
          <w:p w14:paraId="16982450">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500Mps(MSTP专线)</w:t>
            </w:r>
          </w:p>
        </w:tc>
        <w:tc>
          <w:tcPr>
            <w:tcW w:w="749" w:type="dxa"/>
            <w:noWrap w:val="0"/>
            <w:vAlign w:val="center"/>
          </w:tcPr>
          <w:p w14:paraId="4EBFB88C">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1</w:t>
            </w:r>
          </w:p>
        </w:tc>
        <w:tc>
          <w:tcPr>
            <w:tcW w:w="1049" w:type="dxa"/>
            <w:noWrap w:val="0"/>
            <w:vAlign w:val="center"/>
          </w:tcPr>
          <w:p w14:paraId="7A4F83F8">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条</w:t>
            </w:r>
          </w:p>
        </w:tc>
        <w:tc>
          <w:tcPr>
            <w:tcW w:w="3037" w:type="dxa"/>
            <w:noWrap w:val="0"/>
            <w:vAlign w:val="center"/>
          </w:tcPr>
          <w:p w14:paraId="144ECF16">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A端地址：深圳市宝安区学子路求雨坛山新一代雷达机房；</w:t>
            </w:r>
          </w:p>
          <w:p w14:paraId="33DA0F32">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B端地址：广州市天河区东莞庄路280号气象预警中心</w:t>
            </w:r>
          </w:p>
        </w:tc>
      </w:tr>
      <w:tr w14:paraId="49C9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01" w:type="dxa"/>
            <w:noWrap w:val="0"/>
            <w:vAlign w:val="center"/>
          </w:tcPr>
          <w:p w14:paraId="54D1F473">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3</w:t>
            </w:r>
          </w:p>
        </w:tc>
        <w:tc>
          <w:tcPr>
            <w:tcW w:w="1326" w:type="dxa"/>
            <w:noWrap w:val="0"/>
            <w:vAlign w:val="center"/>
          </w:tcPr>
          <w:p w14:paraId="70B629DE">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石岩基地至龙岗基地</w:t>
            </w:r>
          </w:p>
        </w:tc>
        <w:tc>
          <w:tcPr>
            <w:tcW w:w="1672" w:type="dxa"/>
            <w:noWrap w:val="0"/>
            <w:vAlign w:val="center"/>
          </w:tcPr>
          <w:p w14:paraId="20C90ADD">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裸光纤(67km)</w:t>
            </w:r>
          </w:p>
        </w:tc>
        <w:tc>
          <w:tcPr>
            <w:tcW w:w="749" w:type="dxa"/>
            <w:noWrap w:val="0"/>
            <w:vAlign w:val="center"/>
          </w:tcPr>
          <w:p w14:paraId="663669EF">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1</w:t>
            </w:r>
          </w:p>
        </w:tc>
        <w:tc>
          <w:tcPr>
            <w:tcW w:w="1049" w:type="dxa"/>
            <w:noWrap w:val="0"/>
            <w:vAlign w:val="center"/>
          </w:tcPr>
          <w:p w14:paraId="363E71C4">
            <w:pPr>
              <w:pStyle w:val="506"/>
              <w:wordWrap/>
              <w:spacing w:afterLines="0" w:line="360" w:lineRule="auto"/>
              <w:ind w:left="0" w:leftChars="0" w:firstLine="0" w:firstLineChars="0"/>
              <w:jc w:val="center"/>
              <w:rPr>
                <w:rFonts w:hint="eastAsia" w:cs="Times New Roman"/>
                <w:b/>
                <w:bCs/>
                <w:snapToGrid/>
                <w:spacing w:val="0"/>
                <w:sz w:val="21"/>
                <w:szCs w:val="21"/>
                <w:highlight w:val="yellow"/>
              </w:rPr>
            </w:pPr>
            <w:r>
              <w:rPr>
                <w:rFonts w:hint="eastAsia" w:cs="Times New Roman"/>
                <w:b/>
                <w:bCs/>
                <w:snapToGrid/>
                <w:spacing w:val="0"/>
                <w:sz w:val="21"/>
                <w:szCs w:val="21"/>
                <w:highlight w:val="yellow"/>
              </w:rPr>
              <w:t>条</w:t>
            </w:r>
          </w:p>
        </w:tc>
        <w:tc>
          <w:tcPr>
            <w:tcW w:w="3037" w:type="dxa"/>
            <w:noWrap w:val="0"/>
            <w:vAlign w:val="center"/>
          </w:tcPr>
          <w:p w14:paraId="77EE771C">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A端地址：宝安区石岩气象观测基地机房；</w:t>
            </w:r>
          </w:p>
          <w:p w14:paraId="2CBD3970">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B端地址：龙岗区龙翔大道2188号深圳信息职业技术学院格坑</w:t>
            </w:r>
          </w:p>
        </w:tc>
      </w:tr>
    </w:tbl>
    <w:p w14:paraId="022DB06E">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二</w:t>
      </w:r>
      <w:r>
        <w:rPr>
          <w:rFonts w:hint="eastAsia" w:cs="Times New Roman"/>
          <w:b/>
          <w:bCs/>
          <w:snapToGrid/>
          <w:spacing w:val="0"/>
          <w:sz w:val="21"/>
          <w:szCs w:val="21"/>
          <w:lang w:eastAsia="zh-CN"/>
        </w:rPr>
        <w:t>）</w:t>
      </w:r>
      <w:r>
        <w:rPr>
          <w:rFonts w:hint="eastAsia" w:cs="Times New Roman"/>
          <w:b/>
          <w:bCs/>
          <w:snapToGrid/>
          <w:spacing w:val="0"/>
          <w:sz w:val="21"/>
          <w:szCs w:val="21"/>
        </w:rPr>
        <w:t>服务方式</w:t>
      </w:r>
    </w:p>
    <w:p w14:paraId="44F0C9BB">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rPr>
        <w:t>2</w:t>
      </w:r>
      <w:r>
        <w:rPr>
          <w:rFonts w:cs="Times New Roman"/>
          <w:b/>
          <w:bCs/>
          <w:snapToGrid/>
          <w:spacing w:val="0"/>
          <w:sz w:val="21"/>
          <w:szCs w:val="21"/>
        </w:rPr>
        <w:t>.1</w:t>
      </w:r>
      <w:r>
        <w:rPr>
          <w:rFonts w:hint="eastAsia" w:cs="Times New Roman"/>
          <w:b/>
          <w:bCs/>
          <w:snapToGrid/>
          <w:spacing w:val="0"/>
          <w:sz w:val="21"/>
          <w:szCs w:val="21"/>
        </w:rPr>
        <w:t>网络技术</w:t>
      </w:r>
      <w:r>
        <w:rPr>
          <w:rFonts w:cs="Times New Roman"/>
          <w:b/>
          <w:bCs/>
          <w:snapToGrid/>
          <w:spacing w:val="0"/>
          <w:sz w:val="21"/>
          <w:szCs w:val="21"/>
        </w:rPr>
        <w:t>服务</w:t>
      </w:r>
    </w:p>
    <w:p w14:paraId="1886B946">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rPr>
        <w:t>2</w:t>
      </w:r>
      <w:r>
        <w:rPr>
          <w:rFonts w:cs="Times New Roman"/>
          <w:b/>
          <w:bCs/>
          <w:snapToGrid/>
          <w:spacing w:val="0"/>
          <w:sz w:val="21"/>
          <w:szCs w:val="21"/>
        </w:rPr>
        <w:t>.1.1运维服务方式</w:t>
      </w:r>
    </w:p>
    <w:p w14:paraId="53C5C8B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为保证线路开通后正常运行，应提供7x24小时故障响应服务，提供现场应急支援服务，系统运维服务包括专线通道运行维护、信息安全保障、网络技术服务等保障服务。</w:t>
      </w:r>
    </w:p>
    <w:p w14:paraId="2FC8E48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电话咨询和指导：根据故障的类别、故障对系统性能和服务的影响，将技术服务请求按照紧迫性分为三个等级：紧急故障服务请求、重大故障服务请求和一般故障服务请求，等级由采购方确定。在接到故障申告、咨询或技术服务请求后，根据故障类型的不同，安排相应的技术支援工程师立即予以电话指导，电话技术指导服务为7x24小时。</w:t>
      </w:r>
    </w:p>
    <w:p w14:paraId="2E3C026C">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现场支持：在接到技术支持服务请求后，如果电话咨询和指导无法解决系统发生的技术故障，需要进行现场支持的情况下，收到故障报告服务请求后，30分钟响应，4小时内立即解决问题。专项工作期间，采购方视情况可要求中标方安排专人到指定地点现场值守保障。当由于不可抗力导致的重大故障无法在4小时内解决时</w:t>
      </w:r>
      <w:r>
        <w:rPr>
          <w:rFonts w:cs="Times New Roman"/>
          <w:snapToGrid/>
          <w:spacing w:val="0"/>
          <w:sz w:val="21"/>
          <w:szCs w:val="21"/>
        </w:rPr>
        <w:t>，</w:t>
      </w:r>
      <w:r>
        <w:rPr>
          <w:rFonts w:hint="eastAsia" w:cs="Times New Roman"/>
          <w:snapToGrid/>
          <w:spacing w:val="0"/>
          <w:sz w:val="21"/>
          <w:szCs w:val="21"/>
        </w:rPr>
        <w:t>应提供临时解决方案，并在12小时内恢复线路通讯</w:t>
      </w:r>
      <w:r>
        <w:rPr>
          <w:rFonts w:cs="Times New Roman"/>
          <w:snapToGrid/>
          <w:spacing w:val="0"/>
          <w:sz w:val="21"/>
          <w:szCs w:val="21"/>
        </w:rPr>
        <w:t>。</w:t>
      </w:r>
    </w:p>
    <w:p w14:paraId="735BC41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（3）对专线网络作定期或不定期技术巡检服务并建立完整的技术维护档案，将每次技术维护的类型、日期、维护内容、维护措施、维护人员、故障原因、处理结果等要素详细记录。</w:t>
      </w:r>
    </w:p>
    <w:p w14:paraId="19646705">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rPr>
        <w:t>2</w:t>
      </w:r>
      <w:r>
        <w:rPr>
          <w:rFonts w:cs="Times New Roman"/>
          <w:b/>
          <w:bCs/>
          <w:snapToGrid/>
          <w:spacing w:val="0"/>
          <w:sz w:val="21"/>
          <w:szCs w:val="21"/>
        </w:rPr>
        <w:t>.1.2运行维护内容</w:t>
      </w:r>
    </w:p>
    <w:p w14:paraId="16FA0A88">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专线</w:t>
      </w:r>
      <w:r>
        <w:rPr>
          <w:rFonts w:cs="Times New Roman"/>
          <w:snapToGrid/>
          <w:spacing w:val="0"/>
          <w:sz w:val="21"/>
          <w:szCs w:val="21"/>
        </w:rPr>
        <w:t>运行维护</w:t>
      </w:r>
      <w:r>
        <w:rPr>
          <w:rFonts w:hint="eastAsia" w:cs="Times New Roman"/>
          <w:snapToGrid/>
          <w:spacing w:val="0"/>
          <w:sz w:val="21"/>
          <w:szCs w:val="21"/>
        </w:rPr>
        <w:t>服务</w:t>
      </w:r>
      <w:r>
        <w:rPr>
          <w:rFonts w:cs="Times New Roman"/>
          <w:snapToGrid/>
          <w:spacing w:val="0"/>
          <w:sz w:val="21"/>
          <w:szCs w:val="21"/>
        </w:rPr>
        <w:t>主要包括</w:t>
      </w:r>
      <w:r>
        <w:rPr>
          <w:rFonts w:hint="eastAsia" w:cs="Times New Roman"/>
          <w:snapToGrid/>
          <w:spacing w:val="0"/>
          <w:sz w:val="21"/>
          <w:szCs w:val="21"/>
        </w:rPr>
        <w:t>专线线路维护,</w:t>
      </w:r>
      <w:r>
        <w:rPr>
          <w:rFonts w:cs="Times New Roman"/>
          <w:snapToGrid/>
          <w:spacing w:val="0"/>
          <w:sz w:val="21"/>
          <w:szCs w:val="21"/>
        </w:rPr>
        <w:t>具体如下：</w:t>
      </w:r>
    </w:p>
    <w:p w14:paraId="7C54E86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（1）定期对机房侧专线线路设备进行巡检，监测线路通道状态。</w:t>
      </w:r>
    </w:p>
    <w:p w14:paraId="6CB59497">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（2）通过网络层ping测试监测通道连通状态。</w:t>
      </w:r>
    </w:p>
    <w:p w14:paraId="456EB806">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（3）编制通道故障应急处理方案，如果线路出现异常，立即启动应急处理方案解决故障。</w:t>
      </w:r>
    </w:p>
    <w:p w14:paraId="556D3D7B">
      <w:pPr>
        <w:pStyle w:val="506"/>
        <w:wordWrap/>
        <w:spacing w:afterLines="0" w:line="360" w:lineRule="auto"/>
        <w:ind w:firstLine="420"/>
        <w:rPr>
          <w:rFonts w:hint="eastAsia" w:cs="Times New Roman"/>
          <w:snapToGrid/>
          <w:spacing w:val="0"/>
          <w:sz w:val="21"/>
          <w:szCs w:val="21"/>
          <w:highlight w:val="yellow"/>
        </w:rPr>
      </w:pPr>
      <w:r>
        <w:rPr>
          <w:rFonts w:hint="eastAsia" w:cs="Times New Roman"/>
          <w:b/>
          <w:bCs/>
          <w:snapToGrid/>
          <w:spacing w:val="0"/>
          <w:sz w:val="21"/>
          <w:szCs w:val="21"/>
          <w:highlight w:val="yellow"/>
        </w:rPr>
        <w:t>★</w:t>
      </w: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lang w:val="en-US" w:eastAsia="zh-CN"/>
        </w:rPr>
        <w:t>三</w:t>
      </w: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rPr>
        <w:t>提交成果</w:t>
      </w:r>
    </w:p>
    <w:p w14:paraId="6C2A80FC">
      <w:pPr>
        <w:pStyle w:val="506"/>
        <w:wordWrap/>
        <w:spacing w:afterLines="0" w:line="360" w:lineRule="auto"/>
        <w:ind w:firstLine="420"/>
        <w:rPr>
          <w:rFonts w:hint="eastAsia" w:cs="Times New Roman"/>
          <w:b/>
          <w:bCs/>
          <w:snapToGrid/>
          <w:spacing w:val="0"/>
          <w:sz w:val="21"/>
          <w:szCs w:val="21"/>
          <w:highlight w:val="yellow"/>
        </w:rPr>
      </w:pPr>
      <w:r>
        <w:rPr>
          <w:rFonts w:hint="eastAsia" w:cs="Times New Roman"/>
          <w:b/>
          <w:bCs/>
          <w:snapToGrid/>
          <w:spacing w:val="0"/>
          <w:sz w:val="21"/>
          <w:szCs w:val="21"/>
          <w:highlight w:val="yellow"/>
        </w:rPr>
        <w:t>1</w:t>
      </w:r>
      <w:r>
        <w:rPr>
          <w:rFonts w:hint="eastAsia" w:cs="Times New Roman"/>
          <w:b/>
          <w:bCs/>
          <w:snapToGrid/>
          <w:spacing w:val="0"/>
          <w:sz w:val="21"/>
          <w:szCs w:val="21"/>
          <w:highlight w:val="yellow"/>
          <w:lang w:eastAsia="zh-CN"/>
        </w:rPr>
        <w:t>、</w:t>
      </w:r>
      <w:r>
        <w:rPr>
          <w:rFonts w:hint="eastAsia" w:cs="Times New Roman"/>
          <w:b/>
          <w:bCs/>
          <w:snapToGrid/>
          <w:spacing w:val="0"/>
          <w:sz w:val="21"/>
          <w:szCs w:val="21"/>
          <w:highlight w:val="yellow"/>
        </w:rPr>
        <w:t>提供省市主线路、新一代雷达省市传输专线、石岩基地至龙岗基地三条线路，并出具符合服务内容的测试报告。</w:t>
      </w:r>
    </w:p>
    <w:p w14:paraId="77913C9B">
      <w:pPr>
        <w:pStyle w:val="506"/>
        <w:wordWrap/>
        <w:spacing w:afterLines="0" w:line="360" w:lineRule="auto"/>
        <w:ind w:firstLine="420"/>
        <w:rPr>
          <w:rFonts w:hint="eastAsia" w:cs="Times New Roman"/>
          <w:b w:val="0"/>
          <w:bCs w:val="0"/>
          <w:snapToGrid/>
          <w:spacing w:val="0"/>
          <w:sz w:val="21"/>
          <w:szCs w:val="21"/>
          <w:highlight w:val="none"/>
        </w:rPr>
      </w:pPr>
      <w:r>
        <w:rPr>
          <w:rFonts w:hint="eastAsia" w:cs="Times New Roman"/>
          <w:b w:val="0"/>
          <w:bCs w:val="0"/>
          <w:snapToGrid/>
          <w:spacing w:val="0"/>
          <w:sz w:val="21"/>
          <w:szCs w:val="21"/>
          <w:highlight w:val="none"/>
          <w:lang w:eastAsia="zh-CN"/>
        </w:rPr>
        <w:t>（</w:t>
      </w:r>
      <w:r>
        <w:rPr>
          <w:rFonts w:hint="eastAsia" w:cs="Times New Roman"/>
          <w:b w:val="0"/>
          <w:bCs w:val="0"/>
          <w:snapToGrid/>
          <w:spacing w:val="0"/>
          <w:sz w:val="21"/>
          <w:szCs w:val="21"/>
          <w:highlight w:val="none"/>
          <w:lang w:val="en-US" w:eastAsia="zh-CN"/>
        </w:rPr>
        <w:t>四</w:t>
      </w:r>
      <w:r>
        <w:rPr>
          <w:rFonts w:hint="eastAsia" w:cs="Times New Roman"/>
          <w:b w:val="0"/>
          <w:bCs w:val="0"/>
          <w:snapToGrid/>
          <w:spacing w:val="0"/>
          <w:sz w:val="21"/>
          <w:szCs w:val="21"/>
          <w:highlight w:val="none"/>
          <w:lang w:eastAsia="zh-CN"/>
        </w:rPr>
        <w:t>）</w:t>
      </w:r>
      <w:r>
        <w:rPr>
          <w:rFonts w:hint="eastAsia" w:cs="Times New Roman"/>
          <w:b w:val="0"/>
          <w:bCs w:val="0"/>
          <w:snapToGrid/>
          <w:spacing w:val="0"/>
          <w:sz w:val="21"/>
          <w:szCs w:val="21"/>
          <w:highlight w:val="none"/>
        </w:rPr>
        <w:t>人员要求</w:t>
      </w:r>
    </w:p>
    <w:p w14:paraId="31663501">
      <w:pPr>
        <w:pStyle w:val="506"/>
        <w:wordWrap/>
        <w:spacing w:afterLines="0" w:line="360" w:lineRule="auto"/>
        <w:ind w:firstLine="420"/>
        <w:rPr>
          <w:rFonts w:hint="eastAsia" w:cs="Times New Roman"/>
          <w:b w:val="0"/>
          <w:bCs w:val="0"/>
          <w:snapToGrid/>
          <w:spacing w:val="0"/>
          <w:sz w:val="21"/>
          <w:szCs w:val="21"/>
          <w:highlight w:val="none"/>
        </w:rPr>
      </w:pPr>
      <w:r>
        <w:rPr>
          <w:rFonts w:hint="eastAsia" w:cs="Times New Roman"/>
          <w:b w:val="0"/>
          <w:bCs w:val="0"/>
          <w:snapToGrid/>
          <w:spacing w:val="0"/>
          <w:sz w:val="21"/>
          <w:szCs w:val="21"/>
          <w:highlight w:val="none"/>
          <w:lang w:val="en-US" w:eastAsia="zh-CN"/>
        </w:rPr>
        <w:t xml:space="preserve">  1、项目负责人：承担本项目服务运营管理，需具有服务管理能力，具有本科或学历及专业管理能力和资质证书。</w:t>
      </w:r>
    </w:p>
    <w:p w14:paraId="5946D5CE">
      <w:pPr>
        <w:pStyle w:val="506"/>
        <w:wordWrap/>
        <w:spacing w:afterLines="0" w:line="360" w:lineRule="auto"/>
        <w:ind w:firstLine="420"/>
        <w:rPr>
          <w:rFonts w:hint="eastAsia" w:cs="Times New Roman"/>
          <w:b w:val="0"/>
          <w:bCs w:val="0"/>
          <w:snapToGrid/>
          <w:spacing w:val="0"/>
          <w:sz w:val="21"/>
          <w:szCs w:val="21"/>
          <w:highlight w:val="none"/>
        </w:rPr>
      </w:pPr>
      <w:r>
        <w:rPr>
          <w:rFonts w:hint="eastAsia" w:cs="Times New Roman"/>
          <w:b w:val="0"/>
          <w:bCs w:val="0"/>
          <w:snapToGrid/>
          <w:spacing w:val="0"/>
          <w:sz w:val="21"/>
          <w:szCs w:val="21"/>
          <w:highlight w:val="none"/>
          <w:lang w:val="en-US" w:eastAsia="zh-CN"/>
        </w:rPr>
        <w:t xml:space="preserve">  2、项目团队成员（项目负责人除外）：配合项目负责人，为本项目网络的正常服务提供技术支持，具备相应网络及安全等技术能力和资质。</w:t>
      </w:r>
    </w:p>
    <w:p w14:paraId="3E8C5246">
      <w:pPr>
        <w:pStyle w:val="506"/>
        <w:wordWrap/>
        <w:spacing w:afterLines="0" w:line="360" w:lineRule="auto"/>
        <w:ind w:firstLine="420"/>
        <w:rPr>
          <w:rFonts w:hint="eastAsia" w:cs="Times New Roman"/>
          <w:b/>
          <w:bCs/>
          <w:snapToGrid/>
          <w:spacing w:val="0"/>
          <w:sz w:val="21"/>
          <w:szCs w:val="21"/>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五</w:t>
      </w:r>
      <w:r>
        <w:rPr>
          <w:rFonts w:hint="eastAsia" w:cs="Times New Roman"/>
          <w:b/>
          <w:bCs/>
          <w:snapToGrid/>
          <w:spacing w:val="0"/>
          <w:sz w:val="21"/>
          <w:szCs w:val="21"/>
          <w:lang w:eastAsia="zh-CN"/>
        </w:rPr>
        <w:t>）</w:t>
      </w:r>
      <w:r>
        <w:rPr>
          <w:rFonts w:hint="eastAsia" w:cs="Times New Roman"/>
          <w:b/>
          <w:bCs/>
          <w:snapToGrid/>
          <w:spacing w:val="0"/>
          <w:sz w:val="21"/>
          <w:szCs w:val="21"/>
        </w:rPr>
        <w:t>验收要求</w:t>
      </w:r>
    </w:p>
    <w:p w14:paraId="56741F2E">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1</w:t>
      </w:r>
      <w:r>
        <w:rPr>
          <w:rFonts w:hint="eastAsia" w:cs="Times New Roman"/>
          <w:snapToGrid/>
          <w:spacing w:val="0"/>
          <w:sz w:val="21"/>
          <w:szCs w:val="21"/>
          <w:lang w:eastAsia="zh-CN"/>
        </w:rPr>
        <w:t>、</w:t>
      </w:r>
      <w:r>
        <w:rPr>
          <w:rFonts w:hint="eastAsia" w:cs="Times New Roman"/>
          <w:snapToGrid/>
          <w:spacing w:val="0"/>
          <w:sz w:val="21"/>
          <w:szCs w:val="21"/>
        </w:rPr>
        <w:t>省市主线路和新一代雷达省市传输的MSTP专线</w:t>
      </w:r>
      <w:r>
        <w:rPr>
          <w:rFonts w:hint="eastAsia" w:cs="Times New Roman"/>
          <w:snapToGrid/>
          <w:spacing w:val="0"/>
          <w:sz w:val="21"/>
          <w:szCs w:val="21"/>
          <w:lang w:val="en"/>
        </w:rPr>
        <w:t>通过</w:t>
      </w:r>
      <w:r>
        <w:rPr>
          <w:rFonts w:hint="eastAsia" w:cs="Times New Roman"/>
          <w:snapToGrid/>
          <w:spacing w:val="0"/>
          <w:sz w:val="21"/>
          <w:szCs w:val="21"/>
        </w:rPr>
        <w:t>RFC254</w:t>
      </w:r>
      <w:r>
        <w:rPr>
          <w:rFonts w:cs="Times New Roman"/>
          <w:snapToGrid/>
          <w:spacing w:val="0"/>
          <w:sz w:val="21"/>
          <w:szCs w:val="21"/>
          <w:lang w:val="en"/>
        </w:rPr>
        <w:t>4</w:t>
      </w:r>
      <w:r>
        <w:rPr>
          <w:rFonts w:hint="eastAsia" w:cs="Times New Roman"/>
          <w:snapToGrid/>
          <w:spacing w:val="0"/>
          <w:sz w:val="21"/>
          <w:szCs w:val="21"/>
          <w:lang w:val="en"/>
        </w:rPr>
        <w:t>测试，并出具报告；</w:t>
      </w:r>
    </w:p>
    <w:p w14:paraId="7567D7AF">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2</w:t>
      </w:r>
      <w:r>
        <w:rPr>
          <w:rFonts w:hint="eastAsia" w:cs="Times New Roman"/>
          <w:snapToGrid/>
          <w:spacing w:val="0"/>
          <w:sz w:val="21"/>
          <w:szCs w:val="21"/>
          <w:lang w:eastAsia="zh-CN"/>
        </w:rPr>
        <w:t>、</w:t>
      </w:r>
      <w:r>
        <w:rPr>
          <w:rFonts w:hint="eastAsia" w:cs="Times New Roman"/>
          <w:snapToGrid/>
          <w:spacing w:val="0"/>
          <w:sz w:val="21"/>
          <w:szCs w:val="21"/>
        </w:rPr>
        <w:t>省市主线路吞吐量1Gbps、线路延时不高于5毫秒，新一代雷达省市传输专线吞吐量500Mbps、线路延时不高于5毫秒；</w:t>
      </w:r>
    </w:p>
    <w:p w14:paraId="4270A782">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3</w:t>
      </w:r>
      <w:r>
        <w:rPr>
          <w:rFonts w:hint="eastAsia" w:cs="Times New Roman"/>
          <w:snapToGrid/>
          <w:spacing w:val="0"/>
          <w:sz w:val="21"/>
          <w:szCs w:val="21"/>
          <w:lang w:eastAsia="zh-CN"/>
        </w:rPr>
        <w:t>、</w:t>
      </w:r>
      <w:r>
        <w:rPr>
          <w:rFonts w:hint="eastAsia" w:cs="Times New Roman"/>
          <w:snapToGrid/>
          <w:spacing w:val="0"/>
          <w:sz w:val="21"/>
          <w:szCs w:val="21"/>
        </w:rPr>
        <w:t>石岩基地至龙岗基地光纤链路需保证为物理光纤，为采购方独立使用。单芯光纤10km的整体衰减不高于11db，80km的整体衰减不高于25d.</w:t>
      </w:r>
    </w:p>
    <w:p w14:paraId="1E67260F">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6FB5C81F">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bookmarkStart w:id="8" w:name="_Toc135293161"/>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lang w:val="en-US" w:eastAsia="zh-CN"/>
        </w:rPr>
        <w:t>一</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支付要求</w:t>
      </w:r>
    </w:p>
    <w:p w14:paraId="31B89C21">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firstLine="420" w:firstLineChars="200"/>
        <w:textAlignment w:val="auto"/>
        <w:rPr>
          <w:rFonts w:hint="default" w:ascii="Times New Roman" w:hAnsi="Times New Roman" w:eastAsia="宋体" w:cs="Times New Roman"/>
          <w:color w:val="auto"/>
          <w:spacing w:val="0"/>
          <w:position w:val="0"/>
          <w:sz w:val="21"/>
          <w:szCs w:val="21"/>
        </w:rPr>
      </w:pPr>
      <w:r>
        <w:rPr>
          <w:rFonts w:hint="default" w:ascii="宋体" w:hAnsi="宋体" w:eastAsia="宋体" w:cs="宋体"/>
          <w:color w:val="000000"/>
          <w:spacing w:val="0"/>
          <w:position w:val="0"/>
          <w:sz w:val="21"/>
          <w:szCs w:val="21"/>
        </w:rPr>
        <w:t xml:space="preserve"> 1、线路租用费用自合同签订后线路开通之日起支付32%；</w:t>
      </w:r>
      <w:r>
        <w:rPr>
          <w:rFonts w:hint="default" w:ascii="宋体" w:hAnsi="宋体" w:eastAsia="宋体" w:cs="宋体"/>
          <w:color w:val="0D0D0D"/>
          <w:spacing w:val="0"/>
          <w:position w:val="0"/>
          <w:sz w:val="21"/>
          <w:szCs w:val="21"/>
        </w:rPr>
        <w:t>专线租用满六个月,提交租用总结与线路维护报告，满足绩效目标后</w:t>
      </w:r>
      <w:r>
        <w:rPr>
          <w:rFonts w:hint="default" w:ascii="宋体" w:hAnsi="宋体" w:eastAsia="宋体" w:cs="宋体"/>
          <w:color w:val="000000"/>
          <w:spacing w:val="0"/>
          <w:position w:val="0"/>
          <w:sz w:val="21"/>
          <w:szCs w:val="21"/>
        </w:rPr>
        <w:t>,支付进度款32%；2026年通过验收后，支付36%尾款。累计支付总金额不得超过项目中标金额；</w:t>
      </w:r>
    </w:p>
    <w:p w14:paraId="12FFA5FA">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pacing w:before="0" w:beforeAutospacing="0" w:after="160" w:afterAutospacing="0" w:line="360" w:lineRule="auto"/>
        <w:ind w:left="0" w:right="0" w:firstLine="420" w:firstLineChars="0"/>
        <w:jc w:val="both"/>
        <w:textAlignment w:val="auto"/>
        <w:rPr>
          <w:rFonts w:hint="eastAsia" w:ascii="宋体" w:hAnsi="宋体" w:eastAsia="宋体" w:cs="宋体"/>
          <w:color w:val="000000"/>
          <w:spacing w:val="0"/>
          <w:kern w:val="2"/>
          <w:position w:val="0"/>
          <w:sz w:val="21"/>
          <w:szCs w:val="21"/>
          <w:lang w:val="en-US" w:eastAsia="zh-CN" w:bidi="ar-SA"/>
        </w:rPr>
      </w:pPr>
      <w:r>
        <w:rPr>
          <w:rFonts w:hint="eastAsia" w:ascii="宋体" w:hAnsi="宋体" w:eastAsia="宋体" w:cs="宋体"/>
          <w:color w:val="000000"/>
          <w:spacing w:val="0"/>
          <w:kern w:val="2"/>
          <w:position w:val="0"/>
          <w:sz w:val="21"/>
          <w:szCs w:val="21"/>
          <w:lang w:val="en-US" w:eastAsia="zh-TW" w:bidi="ar-SA"/>
        </w:rPr>
        <w:t>2、服务费采用银行托收的付款方式；</w:t>
      </w:r>
    </w:p>
    <w:p w14:paraId="38954339">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0" w:right="0" w:firstLine="420" w:firstLineChars="200"/>
        <w:jc w:val="both"/>
        <w:textAlignment w:val="auto"/>
        <w:rPr>
          <w:rFonts w:hint="eastAsia" w:ascii="宋体" w:hAnsi="宋体" w:eastAsia="宋体" w:cs="宋体"/>
          <w:color w:val="000000"/>
          <w:spacing w:val="0"/>
          <w:kern w:val="2"/>
          <w:position w:val="0"/>
          <w:sz w:val="21"/>
          <w:szCs w:val="21"/>
          <w:lang w:val="en-US" w:eastAsia="zh-CN" w:bidi="ar-SA"/>
        </w:rPr>
      </w:pPr>
      <w:r>
        <w:rPr>
          <w:rFonts w:hint="eastAsia" w:ascii="宋体" w:hAnsi="宋体" w:eastAsia="宋体" w:cs="宋体"/>
          <w:color w:val="000000"/>
          <w:spacing w:val="0"/>
          <w:kern w:val="2"/>
          <w:position w:val="0"/>
          <w:sz w:val="21"/>
          <w:szCs w:val="21"/>
          <w:lang w:val="en-US" w:eastAsia="zh-TW" w:bidi="ar-SA"/>
        </w:rPr>
        <w:t>3、每次按合同支付款项前，中标人应向采购人提交与支付等额的有效发票，且收款方、出具发票方、合同乙方均必须与中标人名称一致。</w:t>
      </w:r>
    </w:p>
    <w:p w14:paraId="79DD1714">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highlight w:val="yellow"/>
        </w:rPr>
      </w:pPr>
      <w:r>
        <w:rPr>
          <w:rFonts w:hint="eastAsia" w:ascii="宋体" w:hAnsi="宋体" w:eastAsia="宋体" w:cs="宋体"/>
          <w:b/>
          <w:bCs/>
          <w:color w:val="000000"/>
          <w:spacing w:val="0"/>
          <w:position w:val="0"/>
          <w:sz w:val="21"/>
          <w:szCs w:val="21"/>
          <w:highlight w:val="yellow"/>
          <w:lang w:eastAsia="zh-CN"/>
        </w:rPr>
        <w:t>★（</w:t>
      </w:r>
      <w:r>
        <w:rPr>
          <w:rFonts w:hint="eastAsia" w:ascii="宋体" w:hAnsi="宋体" w:eastAsia="宋体" w:cs="宋体"/>
          <w:b/>
          <w:bCs/>
          <w:color w:val="000000"/>
          <w:spacing w:val="0"/>
          <w:position w:val="0"/>
          <w:sz w:val="21"/>
          <w:szCs w:val="21"/>
          <w:highlight w:val="yellow"/>
          <w:lang w:val="en-US" w:eastAsia="zh-CN"/>
        </w:rPr>
        <w:t>二</w:t>
      </w:r>
      <w:r>
        <w:rPr>
          <w:rFonts w:hint="eastAsia" w:ascii="宋体" w:hAnsi="宋体" w:eastAsia="宋体" w:cs="宋体"/>
          <w:b/>
          <w:bCs/>
          <w:color w:val="000000"/>
          <w:spacing w:val="0"/>
          <w:position w:val="0"/>
          <w:sz w:val="21"/>
          <w:szCs w:val="21"/>
          <w:highlight w:val="yellow"/>
          <w:lang w:eastAsia="zh-CN"/>
        </w:rPr>
        <w:t>）</w:t>
      </w:r>
      <w:r>
        <w:rPr>
          <w:rFonts w:hint="eastAsia" w:ascii="宋体" w:hAnsi="宋体" w:eastAsia="宋体" w:cs="宋体"/>
          <w:b/>
          <w:bCs/>
          <w:color w:val="000000"/>
          <w:spacing w:val="0"/>
          <w:position w:val="0"/>
          <w:sz w:val="21"/>
          <w:szCs w:val="21"/>
          <w:highlight w:val="yellow"/>
        </w:rPr>
        <w:t>合同服务期限</w:t>
      </w:r>
    </w:p>
    <w:p w14:paraId="1D7F9F66">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val="0"/>
        <w:spacing w:before="0" w:beforeAutospacing="0" w:after="160" w:afterAutospacing="0" w:line="360" w:lineRule="auto"/>
        <w:ind w:left="0" w:right="0" w:firstLine="411" w:firstLineChars="196"/>
        <w:textAlignment w:val="auto"/>
        <w:rPr>
          <w:rFonts w:hint="eastAsia" w:ascii="宋体" w:hAnsi="宋体" w:eastAsia="宋体" w:cs="宋体"/>
          <w:b/>
          <w:i/>
          <w:iCs/>
          <w:color w:val="000000"/>
          <w:spacing w:val="0"/>
          <w:position w:val="0"/>
          <w:sz w:val="21"/>
          <w:szCs w:val="21"/>
          <w:highlight w:val="yellow"/>
        </w:rPr>
      </w:pPr>
      <w:r>
        <w:rPr>
          <w:rFonts w:hint="eastAsia" w:ascii="宋体" w:hAnsi="宋体" w:eastAsia="宋体" w:cs="宋体"/>
          <w:color w:val="000000"/>
          <w:spacing w:val="0"/>
          <w:position w:val="0"/>
          <w:sz w:val="21"/>
          <w:szCs w:val="21"/>
          <w:highlight w:val="yellow"/>
        </w:rPr>
        <w:t>1.项目服务期限：本项目服务期自合同签订后线路开通之日起1年。</w:t>
      </w:r>
    </w:p>
    <w:p w14:paraId="60648416">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val="0"/>
        <w:spacing w:before="0" w:beforeAutospacing="0" w:after="160" w:afterAutospacing="0" w:line="360" w:lineRule="auto"/>
        <w:ind w:left="0" w:right="0" w:firstLine="411" w:firstLineChars="196"/>
        <w:jc w:val="left"/>
        <w:textAlignment w:val="auto"/>
        <w:rPr>
          <w:rFonts w:hint="eastAsia" w:ascii="宋体" w:hAnsi="宋体" w:eastAsia="宋体" w:cs="Times New Roman"/>
          <w:color w:val="000000"/>
          <w:spacing w:val="0"/>
          <w:kern w:val="2"/>
          <w:position w:val="0"/>
          <w:sz w:val="21"/>
          <w:szCs w:val="21"/>
          <w:highlight w:val="yellow"/>
          <w:lang w:val="en-US" w:eastAsia="zh-CN" w:bidi="ar-SA"/>
        </w:rPr>
      </w:pPr>
      <w:r>
        <w:rPr>
          <w:rFonts w:hint="eastAsia" w:ascii="宋体" w:hAnsi="宋体" w:eastAsia="宋体" w:cs="宋体"/>
          <w:color w:val="000000"/>
          <w:spacing w:val="0"/>
          <w:kern w:val="2"/>
          <w:position w:val="0"/>
          <w:sz w:val="21"/>
          <w:szCs w:val="21"/>
          <w:highlight w:val="yellow"/>
          <w:lang w:val="en-US" w:eastAsia="zh-CN" w:bidi="ar-SA"/>
        </w:rPr>
        <w:t>2.本项目为长期服务项目，政府采购合同一年一签，履行期限最长不得超过三十六个月,</w:t>
      </w:r>
      <w:r>
        <w:rPr>
          <w:rFonts w:hint="eastAsia" w:ascii="Calibri" w:hAnsi="Calibri" w:eastAsia="宋体" w:cs="Times New Roman"/>
          <w:color w:val="000000"/>
          <w:spacing w:val="0"/>
          <w:kern w:val="2"/>
          <w:position w:val="0"/>
          <w:sz w:val="21"/>
          <w:szCs w:val="21"/>
          <w:highlight w:val="yellow"/>
          <w:lang w:val="en-US" w:eastAsia="zh-CN" w:bidi="ar-SA"/>
        </w:rPr>
        <w:t>最多续签两次，合同一年一签</w:t>
      </w:r>
      <w:r>
        <w:rPr>
          <w:rFonts w:hint="eastAsia" w:ascii="宋体" w:hAnsi="宋体" w:eastAsia="宋体" w:cs="宋体"/>
          <w:color w:val="000000"/>
          <w:spacing w:val="0"/>
          <w:kern w:val="2"/>
          <w:position w:val="0"/>
          <w:sz w:val="21"/>
          <w:szCs w:val="21"/>
          <w:highlight w:val="yellow"/>
          <w:lang w:val="en-US" w:eastAsia="zh-CN" w:bidi="ar-SA"/>
        </w:rPr>
        <w:t>。合同到期前，采购人开展项目履约评价，如采购人对履约情况不满意，采购人不再续约。</w:t>
      </w:r>
    </w:p>
    <w:p w14:paraId="30610952">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color w:val="000000"/>
          <w:spacing w:val="0"/>
          <w:position w:val="0"/>
          <w:sz w:val="21"/>
          <w:szCs w:val="21"/>
        </w:rPr>
      </w:pPr>
      <w:r>
        <w:rPr>
          <w:rFonts w:hint="eastAsia" w:ascii="宋体" w:hAnsi="宋体" w:eastAsia="宋体" w:cs="宋体"/>
          <w:b/>
          <w:color w:val="000000"/>
          <w:spacing w:val="0"/>
          <w:position w:val="0"/>
          <w:sz w:val="21"/>
          <w:szCs w:val="21"/>
          <w:lang w:eastAsia="zh-CN"/>
        </w:rPr>
        <w:t>（</w:t>
      </w:r>
      <w:r>
        <w:rPr>
          <w:rFonts w:hint="eastAsia" w:ascii="宋体" w:hAnsi="宋体" w:cs="宋体"/>
          <w:b/>
          <w:color w:val="000000"/>
          <w:spacing w:val="0"/>
          <w:position w:val="0"/>
          <w:sz w:val="21"/>
          <w:szCs w:val="21"/>
          <w:lang w:val="en-US" w:eastAsia="zh-CN"/>
        </w:rPr>
        <w:t>三</w:t>
      </w:r>
      <w:r>
        <w:rPr>
          <w:rFonts w:hint="eastAsia" w:ascii="宋体" w:hAnsi="宋体" w:eastAsia="宋体" w:cs="宋体"/>
          <w:b/>
          <w:color w:val="000000"/>
          <w:spacing w:val="0"/>
          <w:position w:val="0"/>
          <w:sz w:val="21"/>
          <w:szCs w:val="21"/>
          <w:lang w:eastAsia="zh-CN"/>
        </w:rPr>
        <w:t>）</w:t>
      </w:r>
      <w:r>
        <w:rPr>
          <w:rFonts w:hint="eastAsia" w:ascii="宋体" w:hAnsi="宋体" w:eastAsia="宋体" w:cs="宋体"/>
          <w:b/>
          <w:color w:val="000000"/>
          <w:spacing w:val="0"/>
          <w:position w:val="0"/>
          <w:sz w:val="21"/>
          <w:szCs w:val="21"/>
        </w:rPr>
        <w:t>保密要求</w:t>
      </w:r>
    </w:p>
    <w:p w14:paraId="4083408B">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val="0"/>
        <w:spacing w:before="0" w:beforeAutospacing="0" w:after="160" w:afterAutospacing="0" w:line="360" w:lineRule="auto"/>
        <w:ind w:left="0" w:right="0" w:firstLine="420" w:firstLineChars="200"/>
        <w:textAlignment w:val="auto"/>
        <w:rPr>
          <w:rFonts w:hint="eastAsia" w:ascii="宋体" w:hAnsi="宋体" w:eastAsia="宋体" w:cs="宋体"/>
          <w:color w:val="000000"/>
          <w:spacing w:val="0"/>
          <w:position w:val="0"/>
          <w:sz w:val="21"/>
          <w:szCs w:val="21"/>
        </w:rPr>
      </w:pPr>
      <w:r>
        <w:rPr>
          <w:rFonts w:hint="eastAsia" w:ascii="宋体" w:hAnsi="宋体" w:eastAsia="宋体" w:cs="宋体"/>
          <w:color w:val="000000"/>
          <w:spacing w:val="0"/>
          <w:position w:val="0"/>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543668C8">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color w:val="000000"/>
          <w:spacing w:val="0"/>
          <w:kern w:val="0"/>
          <w:position w:val="0"/>
          <w:sz w:val="21"/>
          <w:szCs w:val="21"/>
          <w:highlight w:val="yellow"/>
        </w:rPr>
      </w:pPr>
      <w:r>
        <w:rPr>
          <w:rFonts w:hint="eastAsia" w:ascii="宋体" w:hAnsi="宋体" w:eastAsia="宋体" w:cs="宋体"/>
          <w:b/>
          <w:bCs/>
          <w:color w:val="000000"/>
          <w:spacing w:val="0"/>
          <w:position w:val="0"/>
          <w:sz w:val="21"/>
          <w:szCs w:val="21"/>
          <w:highlight w:val="yellow"/>
          <w:lang w:eastAsia="zh-CN"/>
        </w:rPr>
        <w:t>★（</w:t>
      </w:r>
      <w:r>
        <w:rPr>
          <w:rFonts w:hint="eastAsia" w:ascii="宋体" w:hAnsi="宋体" w:cs="宋体"/>
          <w:b/>
          <w:bCs/>
          <w:color w:val="000000"/>
          <w:spacing w:val="0"/>
          <w:position w:val="0"/>
          <w:sz w:val="21"/>
          <w:szCs w:val="21"/>
          <w:highlight w:val="yellow"/>
          <w:lang w:val="en-US" w:eastAsia="zh-CN"/>
        </w:rPr>
        <w:t>四</w:t>
      </w:r>
      <w:r>
        <w:rPr>
          <w:rFonts w:hint="eastAsia" w:ascii="宋体" w:hAnsi="宋体" w:eastAsia="宋体" w:cs="宋体"/>
          <w:b/>
          <w:bCs/>
          <w:color w:val="000000"/>
          <w:spacing w:val="0"/>
          <w:position w:val="0"/>
          <w:sz w:val="21"/>
          <w:szCs w:val="21"/>
          <w:highlight w:val="yellow"/>
          <w:lang w:eastAsia="zh-CN"/>
        </w:rPr>
        <w:t>）</w:t>
      </w:r>
      <w:r>
        <w:rPr>
          <w:rFonts w:hint="eastAsia" w:ascii="宋体" w:hAnsi="宋体" w:eastAsia="宋体" w:cs="宋体"/>
          <w:b/>
          <w:bCs/>
          <w:color w:val="000000"/>
          <w:spacing w:val="0"/>
          <w:position w:val="0"/>
          <w:sz w:val="21"/>
          <w:szCs w:val="21"/>
          <w:highlight w:val="yellow"/>
        </w:rPr>
        <w:t>违约责任</w:t>
      </w:r>
      <w:r>
        <w:rPr>
          <w:rFonts w:hint="eastAsia" w:ascii="宋体" w:hAnsi="宋体" w:eastAsia="宋体" w:cs="宋体"/>
          <w:b/>
          <w:bCs/>
          <w:color w:val="000000"/>
          <w:spacing w:val="0"/>
          <w:position w:val="0"/>
          <w:sz w:val="21"/>
          <w:szCs w:val="21"/>
          <w:highlight w:val="yellow"/>
        </w:rPr>
        <w:tab/>
      </w:r>
    </w:p>
    <w:p w14:paraId="67EC76B1">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pacing w:before="0" w:beforeAutospacing="0" w:after="160" w:afterAutospacing="0" w:line="360" w:lineRule="auto"/>
        <w:ind w:left="0" w:right="0" w:firstLine="422" w:firstLineChars="200"/>
        <w:jc w:val="both"/>
        <w:textAlignment w:val="auto"/>
        <w:rPr>
          <w:rFonts w:hint="default" w:ascii="仿宋_GB2312" w:hAnsi="Times New Roman" w:eastAsia="仿宋_GB2312" w:cs="Times New Roman"/>
          <w:b/>
          <w:bCs/>
          <w:color w:val="000000"/>
          <w:spacing w:val="0"/>
          <w:kern w:val="0"/>
          <w:position w:val="0"/>
          <w:sz w:val="21"/>
          <w:szCs w:val="21"/>
          <w:highlight w:val="yellow"/>
          <w:lang w:val="en-US" w:eastAsia="zh-CN" w:bidi="ar-SA"/>
        </w:rPr>
      </w:pPr>
      <w:r>
        <w:rPr>
          <w:rFonts w:hint="eastAsia" w:ascii="宋体" w:hAnsi="宋体" w:eastAsia="宋体" w:cs="宋体"/>
          <w:b/>
          <w:bCs/>
          <w:color w:val="000000"/>
          <w:spacing w:val="0"/>
          <w:kern w:val="0"/>
          <w:position w:val="0"/>
          <w:sz w:val="21"/>
          <w:szCs w:val="21"/>
          <w:highlight w:val="yellow"/>
          <w:lang w:val="en-US" w:eastAsia="zh-CN" w:bidi="ar-SA"/>
        </w:rPr>
        <w:t>1、租用服务期内，因中标人的原因造成线路中断、传输出现问题的，给采购人造成业务影响的，中标人</w:t>
      </w:r>
      <w:r>
        <w:rPr>
          <w:rFonts w:hint="eastAsia" w:ascii="宋体" w:hAnsi="宋体" w:eastAsia="宋体" w:cs="宋体"/>
          <w:b/>
          <w:bCs/>
          <w:color w:val="000000"/>
          <w:spacing w:val="0"/>
          <w:kern w:val="2"/>
          <w:position w:val="0"/>
          <w:sz w:val="21"/>
          <w:szCs w:val="21"/>
          <w:highlight w:val="yellow"/>
          <w:lang w:val="en-US" w:eastAsia="zh-CN" w:bidi="ar-SA"/>
        </w:rPr>
        <w:t>未按照约定时间内完成修复</w:t>
      </w:r>
      <w:r>
        <w:rPr>
          <w:rFonts w:hint="eastAsia" w:ascii="宋体" w:hAnsi="宋体" w:eastAsia="宋体" w:cs="宋体"/>
          <w:b/>
          <w:bCs/>
          <w:color w:val="000000"/>
          <w:spacing w:val="0"/>
          <w:kern w:val="0"/>
          <w:position w:val="0"/>
          <w:sz w:val="21"/>
          <w:szCs w:val="21"/>
          <w:highlight w:val="yellow"/>
          <w:lang w:val="en-US" w:eastAsia="zh-CN" w:bidi="ar-SA"/>
        </w:rPr>
        <w:t>，</w:t>
      </w:r>
      <w:r>
        <w:rPr>
          <w:rFonts w:hint="eastAsia" w:ascii="宋体" w:hAnsi="宋体" w:eastAsia="宋体" w:cs="宋体"/>
          <w:b/>
          <w:bCs/>
          <w:color w:val="000000"/>
          <w:spacing w:val="0"/>
          <w:kern w:val="2"/>
          <w:position w:val="0"/>
          <w:sz w:val="21"/>
          <w:szCs w:val="21"/>
          <w:highlight w:val="yellow"/>
          <w:lang w:val="en-US" w:eastAsia="zh-CN" w:bidi="ar-SA"/>
        </w:rPr>
        <w:t>导致采购单位的气象数据传输考核业务被扣分，每次扣4000元、导致气象业务受影响，每次扣2000元。</w:t>
      </w:r>
    </w:p>
    <w:p w14:paraId="1BBCA3AC">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pacing w:before="0" w:beforeAutospacing="0" w:after="160" w:afterAutospacing="0" w:line="360" w:lineRule="auto"/>
        <w:ind w:left="0" w:right="0" w:firstLine="0" w:firstLineChars="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rPr>
        <w:t xml:space="preserve">   2</w:t>
      </w:r>
      <w:r>
        <w:rPr>
          <w:rFonts w:hint="eastAsia" w:ascii="宋体" w:hAnsi="宋体" w:eastAsia="宋体" w:cs="宋体"/>
          <w:b/>
          <w:bCs/>
          <w:color w:val="000000"/>
          <w:spacing w:val="0"/>
          <w:kern w:val="0"/>
          <w:position w:val="0"/>
          <w:sz w:val="21"/>
          <w:szCs w:val="21"/>
          <w:highlight w:val="yellow"/>
          <w:lang w:eastAsia="zh-CN"/>
        </w:rPr>
        <w:t>、</w:t>
      </w:r>
      <w:r>
        <w:rPr>
          <w:rFonts w:hint="eastAsia" w:ascii="宋体" w:hAnsi="宋体" w:eastAsia="宋体" w:cs="宋体"/>
          <w:b/>
          <w:bCs/>
          <w:color w:val="000000"/>
          <w:spacing w:val="0"/>
          <w:kern w:val="0"/>
          <w:position w:val="0"/>
          <w:sz w:val="21"/>
          <w:szCs w:val="21"/>
          <w:highlight w:val="yellow"/>
        </w:rPr>
        <w:t>在合同租用服务期内：中标人在接到采购人的报修电话或通知后，中标人应在30分钟内响应、4小时内解决故障问题。在合同租用服务期内，由于质量或其他任何原因（包括但不限于非人为破坏、中标人管理不善等原因）造成线路和光纤的任何损伤和损坏，由中标人负责修理，并由此承担责任和相关费用。租用服务期内，中标人不履行保修义务或者拖延履行保修义务的，采购人有权责令其改正，要求中标人承担合同总金额2%的违约金，并承担由此给采购人造成的实际损失。采购人在通知中标人后，中标人在2次规定限期内不履行保修义务或未及时解决故障问题，采购人有权终止本项目服务合同，并要求中标人承担合同总金额20%的违约金。</w:t>
      </w:r>
    </w:p>
    <w:p w14:paraId="06F3D6B0">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tabs>
          <w:tab w:val="left" w:pos="540"/>
          <w:tab w:val="left" w:pos="780"/>
        </w:tabs>
        <w:kinsoku/>
        <w:wordWrap/>
        <w:overflowPunct/>
        <w:topLinePunct w:val="0"/>
        <w:autoSpaceDE/>
        <w:autoSpaceDN/>
        <w:bidi w:val="0"/>
        <w:adjustRightInd/>
        <w:snapToGrid w:val="0"/>
        <w:spacing w:before="0" w:beforeAutospacing="0" w:after="160" w:afterAutospacing="0" w:line="360" w:lineRule="auto"/>
        <w:ind w:left="0" w:right="0" w:firstLine="422" w:firstLineChars="20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rPr>
        <w:t>3</w:t>
      </w:r>
      <w:r>
        <w:rPr>
          <w:rFonts w:hint="eastAsia" w:ascii="宋体" w:hAnsi="宋体" w:eastAsia="宋体" w:cs="宋体"/>
          <w:b/>
          <w:bCs/>
          <w:color w:val="000000"/>
          <w:spacing w:val="0"/>
          <w:kern w:val="0"/>
          <w:position w:val="0"/>
          <w:sz w:val="21"/>
          <w:szCs w:val="21"/>
          <w:highlight w:val="yellow"/>
          <w:lang w:eastAsia="zh-CN"/>
        </w:rPr>
        <w:t>、</w:t>
      </w:r>
      <w:r>
        <w:rPr>
          <w:rFonts w:hint="eastAsia" w:ascii="宋体" w:hAnsi="宋体" w:eastAsia="宋体" w:cs="宋体"/>
          <w:b/>
          <w:bCs/>
          <w:color w:val="000000"/>
          <w:spacing w:val="0"/>
          <w:kern w:val="0"/>
          <w:position w:val="0"/>
          <w:sz w:val="21"/>
          <w:szCs w:val="21"/>
          <w:highlight w:val="yellow"/>
        </w:rPr>
        <w:t>如中标人提供的技术服务或技术服务文件不符合质量要求，必须在采购人提出要求后7天（</w:t>
      </w:r>
      <w:r>
        <w:rPr>
          <w:rFonts w:hint="eastAsia" w:ascii="Times New Roman" w:hAnsi="Times New Roman" w:eastAsia="宋体" w:cs="Times New Roman"/>
          <w:b/>
          <w:bCs/>
          <w:color w:val="000000"/>
          <w:spacing w:val="0"/>
          <w:position w:val="0"/>
          <w:sz w:val="21"/>
          <w:szCs w:val="21"/>
          <w:highlight w:val="yellow"/>
        </w:rPr>
        <w:t>日历日</w:t>
      </w:r>
      <w:r>
        <w:rPr>
          <w:rFonts w:hint="eastAsia" w:ascii="宋体" w:hAnsi="宋体" w:eastAsia="宋体" w:cs="宋体"/>
          <w:b/>
          <w:bCs/>
          <w:color w:val="000000"/>
          <w:spacing w:val="0"/>
          <w:kern w:val="0"/>
          <w:position w:val="0"/>
          <w:sz w:val="21"/>
          <w:szCs w:val="21"/>
          <w:highlight w:val="yellow"/>
        </w:rPr>
        <w:t>）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027F0736">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pacing w:before="0" w:beforeAutospacing="0" w:after="120" w:afterAutospacing="0" w:line="360" w:lineRule="auto"/>
        <w:ind w:left="0" w:right="0" w:firstLine="422" w:firstLineChars="200"/>
        <w:jc w:val="both"/>
        <w:textAlignment w:val="auto"/>
        <w:rPr>
          <w:rFonts w:hint="eastAsia" w:ascii="宋体" w:hAnsi="宋体" w:eastAsia="宋体" w:cs="宋体"/>
          <w:b/>
          <w:bCs/>
          <w:color w:val="000000"/>
          <w:spacing w:val="0"/>
          <w:kern w:val="0"/>
          <w:position w:val="0"/>
          <w:sz w:val="21"/>
          <w:szCs w:val="21"/>
          <w:highlight w:val="yellow"/>
          <w:lang w:val="en-US" w:eastAsia="zh-CN" w:bidi="ar-SA"/>
        </w:rPr>
      </w:pPr>
      <w:r>
        <w:rPr>
          <w:rFonts w:hint="eastAsia" w:ascii="宋体" w:hAnsi="宋体" w:eastAsia="宋体" w:cs="宋体"/>
          <w:b/>
          <w:bCs/>
          <w:color w:val="000000"/>
          <w:spacing w:val="0"/>
          <w:kern w:val="0"/>
          <w:position w:val="0"/>
          <w:sz w:val="21"/>
          <w:szCs w:val="21"/>
          <w:highlight w:val="yellow"/>
          <w:lang w:val="en-US" w:eastAsia="zh-CN" w:bidi="ar-SA"/>
        </w:rPr>
        <w:t>4、采购人每季度对工作服务质量进行一次评价，如有两次服务质量评价不合格，采购人有权终止合同。</w:t>
      </w:r>
    </w:p>
    <w:p w14:paraId="53F928D4">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beforeAutospacing="0" w:after="160" w:afterAutospacing="0" w:line="360" w:lineRule="auto"/>
        <w:ind w:left="0" w:right="0" w:firstLine="422" w:firstLineChars="200"/>
        <w:jc w:val="left"/>
        <w:textAlignment w:val="auto"/>
        <w:rPr>
          <w:rFonts w:hint="eastAsia" w:ascii="宋体" w:hAnsi="宋体" w:eastAsia="宋体" w:cs="宋体"/>
          <w:b/>
          <w:bCs/>
          <w:color w:val="000000"/>
          <w:spacing w:val="0"/>
          <w:kern w:val="0"/>
          <w:position w:val="0"/>
          <w:sz w:val="21"/>
          <w:szCs w:val="21"/>
          <w:highlight w:val="yellow"/>
          <w:lang w:val="en-US" w:eastAsia="zh-CN" w:bidi="ar-SA"/>
        </w:rPr>
      </w:pPr>
      <w:r>
        <w:rPr>
          <w:rFonts w:hint="eastAsia" w:ascii="宋体" w:hAnsi="宋体" w:eastAsia="宋体" w:cs="宋体"/>
          <w:b/>
          <w:bCs/>
          <w:color w:val="000000"/>
          <w:spacing w:val="0"/>
          <w:kern w:val="0"/>
          <w:position w:val="0"/>
          <w:sz w:val="21"/>
          <w:szCs w:val="21"/>
          <w:highlight w:val="yellow"/>
          <w:lang w:val="en-US" w:eastAsia="zh-CN" w:bidi="ar-SA"/>
        </w:rPr>
        <w:t>5、如中标人违反保密义务或提供的项目服务或项目成果侵犯第三方知识产权的，采购人有权解除合同，中标人应当返还采购人已支付款项并向采购人支付采购合同总价款20%的违约金；</w:t>
      </w:r>
    </w:p>
    <w:p w14:paraId="18CE8819">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beforeAutospacing="0" w:after="160" w:afterAutospacing="0" w:line="360" w:lineRule="auto"/>
        <w:ind w:left="0" w:right="0" w:firstLine="422" w:firstLineChars="200"/>
        <w:jc w:val="left"/>
        <w:textAlignment w:val="auto"/>
        <w:rPr>
          <w:rFonts w:hint="eastAsia" w:ascii="宋体" w:hAnsi="宋体" w:eastAsia="宋体" w:cs="宋体"/>
          <w:b/>
          <w:bCs/>
          <w:color w:val="000000"/>
          <w:spacing w:val="0"/>
          <w:kern w:val="0"/>
          <w:position w:val="0"/>
          <w:sz w:val="21"/>
          <w:szCs w:val="21"/>
          <w:highlight w:val="yellow"/>
          <w:lang w:val="en-US" w:eastAsia="zh-CN" w:bidi="ar-SA"/>
        </w:rPr>
      </w:pPr>
      <w:r>
        <w:rPr>
          <w:rFonts w:hint="eastAsia" w:ascii="宋体" w:hAnsi="宋体" w:eastAsia="宋体" w:cs="宋体"/>
          <w:b/>
          <w:bCs/>
          <w:color w:val="000000"/>
          <w:spacing w:val="0"/>
          <w:kern w:val="0"/>
          <w:position w:val="0"/>
          <w:sz w:val="21"/>
          <w:szCs w:val="21"/>
          <w:highlight w:val="yellow"/>
          <w:lang w:val="en-US" w:eastAsia="zh-CN" w:bidi="ar-SA"/>
        </w:rPr>
        <w:t>6、未经采购人同意，中标人不得将项目转包或分包给其他第三方，如若违反，采购人有权解除合同，中标人应当返还采购人已支付的款项并向采购人支付采购合同总价款20%的违约金。</w:t>
      </w:r>
    </w:p>
    <w:p w14:paraId="78C2A564">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cs="宋体"/>
          <w:b/>
          <w:bCs/>
          <w:color w:val="000000"/>
          <w:spacing w:val="0"/>
          <w:position w:val="0"/>
          <w:sz w:val="21"/>
          <w:szCs w:val="21"/>
          <w:lang w:val="en-US" w:eastAsia="zh-CN"/>
        </w:rPr>
        <w:t>五</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合同的变更</w:t>
      </w:r>
    </w:p>
    <w:p w14:paraId="312691D8">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rightChars="0" w:firstLine="420" w:firstLineChars="20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1、</w:t>
      </w:r>
      <w:r>
        <w:rPr>
          <w:rFonts w:hint="eastAsia" w:ascii="宋体" w:hAnsi="宋体" w:eastAsia="宋体" w:cs="宋体"/>
          <w:color w:val="000000"/>
          <w:spacing w:val="0"/>
          <w:kern w:val="0"/>
          <w:position w:val="0"/>
          <w:sz w:val="21"/>
          <w:szCs w:val="21"/>
        </w:rPr>
        <w:t>在合同履行过程中，采购人、中标人双方可就合同履行的时间、地点和方式等协商进行变更。协商一致后，双方应签订书面的补充协议。</w:t>
      </w:r>
    </w:p>
    <w:p w14:paraId="34DB98B2">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rightChars="0" w:firstLine="420" w:firstLineChars="20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2、</w:t>
      </w:r>
      <w:r>
        <w:rPr>
          <w:rFonts w:hint="eastAsia" w:ascii="宋体" w:hAnsi="宋体" w:eastAsia="宋体" w:cs="宋体"/>
          <w:color w:val="000000"/>
          <w:spacing w:val="0"/>
          <w:kern w:val="0"/>
          <w:position w:val="0"/>
          <w:sz w:val="21"/>
          <w:szCs w:val="21"/>
        </w:rPr>
        <w:t>在不改变合同其他条款的前提下，采购人有权在合同价款改变百分之十的范围内追加与合同标的相同的货物或服务，并就此与中标人签订补充合同，中标人不得拒绝。</w:t>
      </w:r>
    </w:p>
    <w:p w14:paraId="4874916F">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3、</w:t>
      </w:r>
      <w:r>
        <w:rPr>
          <w:rFonts w:hint="eastAsia" w:ascii="宋体" w:hAnsi="宋体" w:eastAsia="宋体" w:cs="宋体"/>
          <w:color w:val="000000"/>
          <w:spacing w:val="0"/>
          <w:kern w:val="0"/>
          <w:position w:val="0"/>
          <w:sz w:val="21"/>
          <w:szCs w:val="21"/>
        </w:rPr>
        <w:t>除了双方签署书面协议，并成为合同不可分割的一部分之外，合同条件不得有任何变更。</w:t>
      </w:r>
    </w:p>
    <w:p w14:paraId="415D5D63">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cs="宋体"/>
          <w:b/>
          <w:bCs/>
          <w:color w:val="000000"/>
          <w:spacing w:val="0"/>
          <w:position w:val="0"/>
          <w:sz w:val="21"/>
          <w:szCs w:val="21"/>
          <w:lang w:val="en-US" w:eastAsia="zh-CN"/>
        </w:rPr>
        <w:t>六</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解决争议的方法</w:t>
      </w:r>
      <w:r>
        <w:rPr>
          <w:rFonts w:hint="eastAsia" w:ascii="宋体" w:hAnsi="宋体" w:eastAsia="宋体" w:cs="宋体"/>
          <w:b/>
          <w:bCs/>
          <w:color w:val="000000"/>
          <w:spacing w:val="0"/>
          <w:position w:val="0"/>
          <w:sz w:val="21"/>
          <w:szCs w:val="21"/>
        </w:rPr>
        <w:tab/>
      </w:r>
    </w:p>
    <w:p w14:paraId="5AFA7E34">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1、</w:t>
      </w:r>
      <w:r>
        <w:rPr>
          <w:rFonts w:hint="eastAsia" w:ascii="宋体" w:hAnsi="宋体" w:eastAsia="宋体" w:cs="宋体"/>
          <w:color w:val="000000"/>
          <w:spacing w:val="0"/>
          <w:kern w:val="0"/>
          <w:position w:val="0"/>
          <w:sz w:val="21"/>
          <w:szCs w:val="21"/>
        </w:rPr>
        <w:t>合同各方应通过友好协商，解决在执行合同过程中所发生的或与合同有关的一切争端。</w:t>
      </w:r>
    </w:p>
    <w:p w14:paraId="299AEBC2">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2、</w:t>
      </w:r>
      <w:r>
        <w:rPr>
          <w:rFonts w:hint="eastAsia" w:ascii="宋体" w:hAnsi="宋体" w:eastAsia="宋体" w:cs="宋体"/>
          <w:color w:val="000000"/>
          <w:spacing w:val="0"/>
          <w:kern w:val="0"/>
          <w:position w:val="0"/>
          <w:sz w:val="21"/>
          <w:szCs w:val="21"/>
        </w:rPr>
        <w:t>如从协商开始30</w:t>
      </w:r>
      <w:r>
        <w:rPr>
          <w:rFonts w:hint="eastAsia" w:ascii="Times New Roman" w:hAnsi="Times New Roman" w:eastAsia="宋体" w:cs="Times New Roman"/>
          <w:color w:val="000000"/>
          <w:spacing w:val="0"/>
          <w:position w:val="0"/>
          <w:sz w:val="21"/>
          <w:szCs w:val="21"/>
        </w:rPr>
        <w:t>天（日历日）</w:t>
      </w:r>
      <w:r>
        <w:rPr>
          <w:rFonts w:hint="eastAsia" w:ascii="宋体" w:hAnsi="宋体" w:eastAsia="宋体" w:cs="宋体"/>
          <w:color w:val="000000"/>
          <w:spacing w:val="0"/>
          <w:kern w:val="0"/>
          <w:position w:val="0"/>
          <w:sz w:val="21"/>
          <w:szCs w:val="21"/>
        </w:rPr>
        <w:t>内仍不能解决，任一方可向采购人所在地的深圳国际仲裁院仲裁。</w:t>
      </w:r>
    </w:p>
    <w:p w14:paraId="0ECE63E6">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3、</w:t>
      </w:r>
      <w:r>
        <w:rPr>
          <w:rFonts w:hint="eastAsia" w:ascii="宋体" w:hAnsi="宋体" w:eastAsia="宋体" w:cs="宋体"/>
          <w:color w:val="000000"/>
          <w:spacing w:val="0"/>
          <w:kern w:val="0"/>
          <w:position w:val="0"/>
          <w:sz w:val="21"/>
          <w:szCs w:val="21"/>
        </w:rPr>
        <w:t>在诉讼期间，除正在进行诉讼的部分外，合同的其他部分应继续执行。</w:t>
      </w:r>
    </w:p>
    <w:p w14:paraId="20D2F661">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cs="宋体"/>
          <w:b/>
          <w:bCs/>
          <w:color w:val="000000"/>
          <w:spacing w:val="0"/>
          <w:position w:val="0"/>
          <w:sz w:val="21"/>
          <w:szCs w:val="21"/>
          <w:lang w:val="en-US" w:eastAsia="zh-CN"/>
        </w:rPr>
        <w:t>七</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合同语言</w:t>
      </w:r>
      <w:r>
        <w:rPr>
          <w:rFonts w:hint="eastAsia" w:ascii="宋体" w:hAnsi="宋体" w:eastAsia="宋体" w:cs="宋体"/>
          <w:b/>
          <w:bCs/>
          <w:color w:val="000000"/>
          <w:spacing w:val="0"/>
          <w:position w:val="0"/>
          <w:sz w:val="21"/>
          <w:szCs w:val="21"/>
        </w:rPr>
        <w:tab/>
      </w:r>
    </w:p>
    <w:p w14:paraId="5053C141">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right="0" w:firstLine="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合同以及双方来住的与合同有关的信件、传真和其它文件应用中文书写。</w:t>
      </w:r>
    </w:p>
    <w:p w14:paraId="1C5F1929">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cs="宋体"/>
          <w:b/>
          <w:bCs/>
          <w:color w:val="000000"/>
          <w:spacing w:val="0"/>
          <w:position w:val="0"/>
          <w:sz w:val="21"/>
          <w:szCs w:val="21"/>
          <w:lang w:val="en-US" w:eastAsia="zh-CN"/>
        </w:rPr>
        <w:t>八</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法律适用</w:t>
      </w:r>
      <w:r>
        <w:rPr>
          <w:rFonts w:hint="eastAsia" w:ascii="宋体" w:hAnsi="宋体" w:eastAsia="宋体" w:cs="宋体"/>
          <w:b/>
          <w:bCs/>
          <w:color w:val="000000"/>
          <w:spacing w:val="0"/>
          <w:position w:val="0"/>
          <w:sz w:val="21"/>
          <w:szCs w:val="21"/>
        </w:rPr>
        <w:tab/>
      </w:r>
    </w:p>
    <w:p w14:paraId="701CBE8C">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firstLine="420" w:firstLineChars="20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合同适用中华人民共和国现行法律、行政法规和规章，如合同条款与法律、行政法规和规章不一致的，按照法律、行政法规和规章修改合同。</w:t>
      </w:r>
    </w:p>
    <w:p w14:paraId="097511E7">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cs="宋体"/>
          <w:b/>
          <w:bCs/>
          <w:color w:val="000000"/>
          <w:spacing w:val="0"/>
          <w:position w:val="0"/>
          <w:sz w:val="21"/>
          <w:szCs w:val="21"/>
          <w:lang w:val="en-US" w:eastAsia="zh-CN"/>
        </w:rPr>
        <w:t>九</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通知</w:t>
      </w:r>
      <w:r>
        <w:rPr>
          <w:rFonts w:hint="eastAsia" w:ascii="宋体" w:hAnsi="宋体" w:eastAsia="宋体" w:cs="宋体"/>
          <w:b/>
          <w:bCs/>
          <w:color w:val="000000"/>
          <w:spacing w:val="0"/>
          <w:position w:val="0"/>
          <w:sz w:val="21"/>
          <w:szCs w:val="21"/>
        </w:rPr>
        <w:tab/>
      </w:r>
    </w:p>
    <w:p w14:paraId="500595D5">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1、</w:t>
      </w:r>
      <w:r>
        <w:rPr>
          <w:rFonts w:hint="eastAsia" w:ascii="宋体" w:hAnsi="宋体" w:eastAsia="宋体" w:cs="宋体"/>
          <w:color w:val="000000"/>
          <w:spacing w:val="0"/>
          <w:kern w:val="0"/>
          <w:position w:val="0"/>
          <w:sz w:val="21"/>
          <w:szCs w:val="21"/>
        </w:rPr>
        <w:t>合同一方给另一方的通知均应采用书面形式，传真或快递送到对方的地址和办理签收手续。</w:t>
      </w:r>
    </w:p>
    <w:p w14:paraId="24406D9B">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lang w:val="en-US" w:eastAsia="zh-CN"/>
        </w:rPr>
        <w:t>2、</w:t>
      </w:r>
      <w:r>
        <w:rPr>
          <w:rFonts w:hint="eastAsia" w:ascii="宋体" w:hAnsi="宋体" w:eastAsia="宋体" w:cs="宋体"/>
          <w:color w:val="000000"/>
          <w:spacing w:val="0"/>
          <w:kern w:val="0"/>
          <w:position w:val="0"/>
          <w:sz w:val="21"/>
          <w:szCs w:val="21"/>
        </w:rPr>
        <w:t>通知以送到之日或通知书中规定的生效之日起生效，两者中以较迟之日为准。</w:t>
      </w:r>
    </w:p>
    <w:p w14:paraId="7A0B930C">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highlight w:val="yellow"/>
        </w:rPr>
      </w:pPr>
      <w:r>
        <w:rPr>
          <w:rFonts w:hint="eastAsia" w:ascii="宋体" w:hAnsi="宋体" w:eastAsia="宋体" w:cs="宋体"/>
          <w:b/>
          <w:bCs/>
          <w:color w:val="000000"/>
          <w:spacing w:val="0"/>
          <w:position w:val="0"/>
          <w:sz w:val="21"/>
          <w:szCs w:val="21"/>
          <w:highlight w:val="yellow"/>
          <w:lang w:eastAsia="zh-CN"/>
        </w:rPr>
        <w:t>（</w:t>
      </w:r>
      <w:r>
        <w:rPr>
          <w:rFonts w:hint="eastAsia" w:ascii="宋体" w:hAnsi="宋体" w:eastAsia="宋体" w:cs="宋体"/>
          <w:b/>
          <w:bCs/>
          <w:color w:val="000000"/>
          <w:spacing w:val="0"/>
          <w:position w:val="0"/>
          <w:sz w:val="21"/>
          <w:szCs w:val="21"/>
          <w:highlight w:val="yellow"/>
          <w:lang w:val="en-US" w:eastAsia="zh-CN"/>
        </w:rPr>
        <w:t>十</w:t>
      </w:r>
      <w:r>
        <w:rPr>
          <w:rFonts w:hint="eastAsia" w:ascii="宋体" w:hAnsi="宋体" w:eastAsia="宋体" w:cs="宋体"/>
          <w:b/>
          <w:bCs/>
          <w:color w:val="000000"/>
          <w:spacing w:val="0"/>
          <w:position w:val="0"/>
          <w:sz w:val="21"/>
          <w:szCs w:val="21"/>
          <w:highlight w:val="yellow"/>
          <w:lang w:eastAsia="zh-CN"/>
        </w:rPr>
        <w:t>）</w:t>
      </w:r>
      <w:r>
        <w:rPr>
          <w:rFonts w:hint="eastAsia" w:ascii="宋体" w:hAnsi="宋体" w:eastAsia="宋体" w:cs="宋体"/>
          <w:b/>
          <w:bCs/>
          <w:color w:val="000000"/>
          <w:spacing w:val="0"/>
          <w:position w:val="0"/>
          <w:sz w:val="21"/>
          <w:szCs w:val="21"/>
          <w:highlight w:val="yellow"/>
        </w:rPr>
        <w:t>★知识产权</w:t>
      </w:r>
    </w:p>
    <w:p w14:paraId="04801B15">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rightChars="0" w:firstLine="422" w:firstLineChars="20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lang w:val="en-US" w:eastAsia="zh-CN"/>
        </w:rPr>
        <w:t>1、</w:t>
      </w:r>
      <w:r>
        <w:rPr>
          <w:rFonts w:hint="eastAsia" w:ascii="宋体" w:hAnsi="宋体" w:eastAsia="宋体" w:cs="宋体"/>
          <w:b/>
          <w:bCs/>
          <w:color w:val="000000"/>
          <w:spacing w:val="0"/>
          <w:kern w:val="0"/>
          <w:position w:val="0"/>
          <w:sz w:val="21"/>
          <w:szCs w:val="21"/>
          <w:highlight w:val="yellow"/>
        </w:rPr>
        <w:t>中标人在履行合同的过程中不得侵犯他人知识产权，不得提供虚假知识产权申请材料或者违背知识产权合规性承诺，否则依法追究其违约等责任，并将其失信违法信息依法纳入公共信用信息系统。</w:t>
      </w:r>
    </w:p>
    <w:p w14:paraId="3255AB0C">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rightChars="0" w:firstLine="422" w:firstLineChars="20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lang w:val="en-US" w:eastAsia="zh-CN"/>
        </w:rPr>
        <w:t>2、</w:t>
      </w:r>
      <w:r>
        <w:rPr>
          <w:rFonts w:hint="eastAsia" w:ascii="宋体" w:hAnsi="宋体" w:eastAsia="宋体" w:cs="宋体"/>
          <w:b/>
          <w:bCs/>
          <w:color w:val="000000"/>
          <w:spacing w:val="0"/>
          <w:kern w:val="0"/>
          <w:position w:val="0"/>
          <w:sz w:val="21"/>
          <w:szCs w:val="21"/>
          <w:highlight w:val="yellow"/>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9A1C7C6">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420" w:leftChars="0" w:right="0" w:rightChars="0"/>
        <w:jc w:val="both"/>
        <w:textAlignment w:val="auto"/>
        <w:rPr>
          <w:rFonts w:hint="eastAsia" w:ascii="宋体" w:hAnsi="宋体" w:eastAsia="宋体" w:cs="宋体"/>
          <w:b/>
          <w:bCs/>
          <w:color w:val="000000"/>
          <w:spacing w:val="0"/>
          <w:kern w:val="0"/>
          <w:position w:val="0"/>
          <w:sz w:val="21"/>
          <w:szCs w:val="21"/>
          <w:highlight w:val="yellow"/>
          <w:lang w:val="en-US" w:eastAsia="zh-CN" w:bidi="ar-SA"/>
        </w:rPr>
      </w:pPr>
      <w:r>
        <w:rPr>
          <w:rFonts w:hint="eastAsia" w:ascii="宋体" w:hAnsi="宋体" w:eastAsia="宋体" w:cs="宋体"/>
          <w:b/>
          <w:bCs/>
          <w:color w:val="000000"/>
          <w:spacing w:val="0"/>
          <w:kern w:val="0"/>
          <w:position w:val="0"/>
          <w:sz w:val="21"/>
          <w:szCs w:val="21"/>
          <w:highlight w:val="yellow"/>
          <w:lang w:val="en-US" w:eastAsia="zh-CN" w:bidi="ar-SA"/>
        </w:rPr>
        <w:t>3、中标人实施本项目所形成成果的知识产权归采购人所有，未经采购人许可，中标人不得随意使用。</w:t>
      </w:r>
    </w:p>
    <w:p w14:paraId="555452A9">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rightChars="0" w:firstLine="422" w:firstLineChars="200"/>
        <w:jc w:val="both"/>
        <w:textAlignment w:val="auto"/>
        <w:rPr>
          <w:rFonts w:hint="eastAsia" w:ascii="宋体" w:hAnsi="宋体" w:eastAsia="宋体" w:cs="宋体"/>
          <w:b/>
          <w:bCs/>
          <w:color w:val="FF0000"/>
          <w:spacing w:val="0"/>
          <w:kern w:val="0"/>
          <w:position w:val="0"/>
          <w:sz w:val="21"/>
          <w:szCs w:val="21"/>
          <w:highlight w:val="yellow"/>
          <w:lang w:val="en-US" w:eastAsia="zh-CN" w:bidi="ar-SA"/>
        </w:rPr>
      </w:pPr>
      <w:r>
        <w:rPr>
          <w:rFonts w:hint="eastAsia" w:ascii="宋体" w:hAnsi="宋体" w:eastAsia="宋体" w:cs="宋体"/>
          <w:b/>
          <w:bCs/>
          <w:color w:val="FF0000"/>
          <w:spacing w:val="0"/>
          <w:kern w:val="0"/>
          <w:position w:val="0"/>
          <w:sz w:val="21"/>
          <w:szCs w:val="21"/>
          <w:highlight w:val="yellow"/>
          <w:lang w:val="en-US" w:eastAsia="zh-CN" w:bidi="ar-SA"/>
        </w:rPr>
        <w:t>★4、投标人需提供参加本项目投标所提供的货物或服务未侵犯他人知识产权的合规性书面承诺（提供《承诺函》加盖投标人公章，格式自拟）。</w:t>
      </w:r>
    </w:p>
    <w:p w14:paraId="6A45A589">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position w:val="0"/>
          <w:sz w:val="21"/>
          <w:szCs w:val="21"/>
        </w:rPr>
      </w:pP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lang w:val="en-US" w:eastAsia="zh-CN"/>
        </w:rPr>
        <w:t>十</w:t>
      </w:r>
      <w:r>
        <w:rPr>
          <w:rFonts w:hint="eastAsia" w:ascii="宋体" w:hAnsi="宋体" w:cs="宋体"/>
          <w:b/>
          <w:bCs/>
          <w:color w:val="000000"/>
          <w:spacing w:val="0"/>
          <w:position w:val="0"/>
          <w:sz w:val="21"/>
          <w:szCs w:val="21"/>
          <w:lang w:val="en-US" w:eastAsia="zh-CN"/>
        </w:rPr>
        <w:t>一</w:t>
      </w:r>
      <w:r>
        <w:rPr>
          <w:rFonts w:hint="eastAsia" w:ascii="宋体" w:hAnsi="宋体" w:eastAsia="宋体" w:cs="宋体"/>
          <w:b/>
          <w:bCs/>
          <w:color w:val="000000"/>
          <w:spacing w:val="0"/>
          <w:position w:val="0"/>
          <w:sz w:val="21"/>
          <w:szCs w:val="21"/>
          <w:lang w:eastAsia="zh-CN"/>
        </w:rPr>
        <w:t>）</w:t>
      </w:r>
      <w:r>
        <w:rPr>
          <w:rFonts w:hint="eastAsia" w:ascii="宋体" w:hAnsi="宋体" w:eastAsia="宋体" w:cs="宋体"/>
          <w:b/>
          <w:bCs/>
          <w:color w:val="000000"/>
          <w:spacing w:val="0"/>
          <w:position w:val="0"/>
          <w:sz w:val="21"/>
          <w:szCs w:val="21"/>
        </w:rPr>
        <w:t>合同解除和终止</w:t>
      </w:r>
      <w:r>
        <w:rPr>
          <w:rFonts w:hint="eastAsia" w:ascii="宋体" w:hAnsi="宋体" w:eastAsia="宋体" w:cs="宋体"/>
          <w:b/>
          <w:bCs/>
          <w:color w:val="000000"/>
          <w:spacing w:val="0"/>
          <w:position w:val="0"/>
          <w:sz w:val="21"/>
          <w:szCs w:val="21"/>
        </w:rPr>
        <w:tab/>
      </w:r>
    </w:p>
    <w:p w14:paraId="5255AC2F">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right="0" w:firstLine="630" w:firstLineChars="30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1、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263317CD">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kern w:val="0"/>
          <w:position w:val="0"/>
          <w:sz w:val="21"/>
          <w:szCs w:val="21"/>
        </w:rPr>
      </w:pPr>
      <w:r>
        <w:rPr>
          <w:rFonts w:hint="eastAsia" w:ascii="宋体" w:hAnsi="宋体" w:eastAsia="宋体" w:cs="宋体"/>
          <w:b/>
          <w:bCs/>
          <w:color w:val="000000"/>
          <w:spacing w:val="0"/>
          <w:kern w:val="0"/>
          <w:position w:val="0"/>
          <w:sz w:val="21"/>
          <w:szCs w:val="21"/>
          <w:lang w:eastAsia="zh-CN"/>
        </w:rPr>
        <w:t>（</w:t>
      </w:r>
      <w:r>
        <w:rPr>
          <w:rFonts w:hint="eastAsia" w:ascii="宋体" w:hAnsi="宋体" w:eastAsia="宋体" w:cs="宋体"/>
          <w:b/>
          <w:bCs/>
          <w:color w:val="000000"/>
          <w:spacing w:val="0"/>
          <w:kern w:val="0"/>
          <w:position w:val="0"/>
          <w:sz w:val="21"/>
          <w:szCs w:val="21"/>
          <w:lang w:val="en-US" w:eastAsia="zh-CN"/>
        </w:rPr>
        <w:t>十</w:t>
      </w:r>
      <w:r>
        <w:rPr>
          <w:rFonts w:hint="eastAsia" w:ascii="宋体" w:hAnsi="宋体" w:cs="宋体"/>
          <w:b/>
          <w:bCs/>
          <w:color w:val="000000"/>
          <w:spacing w:val="0"/>
          <w:kern w:val="0"/>
          <w:position w:val="0"/>
          <w:sz w:val="21"/>
          <w:szCs w:val="21"/>
          <w:lang w:val="en-US" w:eastAsia="zh-CN"/>
        </w:rPr>
        <w:t>二</w:t>
      </w:r>
      <w:r>
        <w:rPr>
          <w:rFonts w:hint="eastAsia" w:ascii="宋体" w:hAnsi="宋体" w:eastAsia="宋体" w:cs="宋体"/>
          <w:b/>
          <w:bCs/>
          <w:color w:val="000000"/>
          <w:spacing w:val="0"/>
          <w:kern w:val="0"/>
          <w:position w:val="0"/>
          <w:sz w:val="21"/>
          <w:szCs w:val="21"/>
          <w:lang w:eastAsia="zh-CN"/>
        </w:rPr>
        <w:t>）</w:t>
      </w:r>
      <w:r>
        <w:rPr>
          <w:rFonts w:hint="eastAsia" w:ascii="宋体" w:hAnsi="宋体" w:eastAsia="宋体" w:cs="宋体"/>
          <w:b/>
          <w:bCs/>
          <w:color w:val="000000"/>
          <w:spacing w:val="0"/>
          <w:kern w:val="0"/>
          <w:position w:val="0"/>
          <w:sz w:val="21"/>
          <w:szCs w:val="21"/>
        </w:rPr>
        <w:t>税费</w:t>
      </w:r>
      <w:r>
        <w:rPr>
          <w:rFonts w:hint="eastAsia" w:ascii="宋体" w:hAnsi="宋体" w:eastAsia="宋体" w:cs="宋体"/>
          <w:b/>
          <w:bCs/>
          <w:color w:val="000000"/>
          <w:spacing w:val="0"/>
          <w:kern w:val="0"/>
          <w:position w:val="0"/>
          <w:sz w:val="21"/>
          <w:szCs w:val="21"/>
        </w:rPr>
        <w:tab/>
      </w:r>
    </w:p>
    <w:p w14:paraId="6ACEFC41">
      <w:pPr>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tabs>
          <w:tab w:val="left" w:pos="780"/>
        </w:tabs>
        <w:kinsoku/>
        <w:wordWrap/>
        <w:overflowPunct/>
        <w:topLinePunct w:val="0"/>
        <w:autoSpaceDE/>
        <w:autoSpaceDN/>
        <w:bidi w:val="0"/>
        <w:adjustRightInd/>
        <w:snapToGrid w:val="0"/>
        <w:spacing w:before="0" w:beforeAutospacing="0" w:after="160" w:afterAutospacing="0" w:line="360" w:lineRule="auto"/>
        <w:ind w:left="0" w:right="0" w:firstLine="630" w:firstLineChars="300"/>
        <w:textAlignment w:val="auto"/>
        <w:rPr>
          <w:rFonts w:hint="eastAsia" w:ascii="宋体" w:hAnsi="宋体" w:eastAsia="宋体" w:cs="宋体"/>
          <w:color w:val="000000"/>
          <w:spacing w:val="0"/>
          <w:kern w:val="0"/>
          <w:position w:val="0"/>
          <w:sz w:val="21"/>
          <w:szCs w:val="21"/>
        </w:rPr>
      </w:pPr>
      <w:r>
        <w:rPr>
          <w:rFonts w:hint="eastAsia" w:ascii="宋体" w:hAnsi="宋体" w:eastAsia="宋体" w:cs="宋体"/>
          <w:color w:val="000000"/>
          <w:spacing w:val="0"/>
          <w:kern w:val="0"/>
          <w:position w:val="0"/>
          <w:sz w:val="21"/>
          <w:szCs w:val="21"/>
        </w:rPr>
        <w:t>中国政府根据现行税法向中标人征收的与合同有关的一切税费均由中标人负责。</w:t>
      </w:r>
    </w:p>
    <w:p w14:paraId="530C92E9">
      <w:pPr>
        <w:keepNext w:val="0"/>
        <w:keepLines w:val="0"/>
        <w:pageBreakBefore w:val="0"/>
        <w:numPr>
          <w:ilvl w:val="0"/>
          <w:numId w:val="0"/>
        </w:numPr>
        <w:pBdr>
          <w:top w:val="none" w:color="000000" w:sz="0" w:space="0"/>
          <w:left w:val="none" w:color="000000" w:sz="0" w:space="0"/>
          <w:bottom w:val="none" w:color="000000" w:sz="0" w:space="0"/>
          <w:right w:val="none" w:color="000000" w:sz="0" w:space="0"/>
          <w:between w:val="none" w:color="000000" w:sz="0" w:space="0"/>
        </w:pBdr>
        <w:tabs>
          <w:tab w:val="left" w:pos="540"/>
        </w:tabs>
        <w:kinsoku/>
        <w:wordWrap/>
        <w:overflowPunct/>
        <w:topLinePunct w:val="0"/>
        <w:autoSpaceDE/>
        <w:autoSpaceDN/>
        <w:bidi w:val="0"/>
        <w:adjustRightInd/>
        <w:snapToGrid w:val="0"/>
        <w:spacing w:before="0" w:beforeAutospacing="0" w:after="160" w:afterAutospacing="0" w:line="360" w:lineRule="auto"/>
        <w:ind w:leftChars="0" w:right="0" w:rightChars="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lang w:eastAsia="zh-CN"/>
        </w:rPr>
        <w:t>★（</w:t>
      </w:r>
      <w:r>
        <w:rPr>
          <w:rFonts w:hint="eastAsia" w:ascii="宋体" w:hAnsi="宋体" w:eastAsia="宋体" w:cs="宋体"/>
          <w:b/>
          <w:bCs/>
          <w:color w:val="000000"/>
          <w:spacing w:val="0"/>
          <w:kern w:val="0"/>
          <w:position w:val="0"/>
          <w:sz w:val="21"/>
          <w:szCs w:val="21"/>
          <w:highlight w:val="yellow"/>
          <w:lang w:val="en-US" w:eastAsia="zh-CN"/>
        </w:rPr>
        <w:t>十</w:t>
      </w:r>
      <w:r>
        <w:rPr>
          <w:rFonts w:hint="eastAsia" w:ascii="宋体" w:hAnsi="宋体" w:cs="宋体"/>
          <w:b/>
          <w:bCs/>
          <w:color w:val="000000"/>
          <w:spacing w:val="0"/>
          <w:kern w:val="0"/>
          <w:position w:val="0"/>
          <w:sz w:val="21"/>
          <w:szCs w:val="21"/>
          <w:highlight w:val="yellow"/>
          <w:lang w:val="en-US" w:eastAsia="zh-CN"/>
        </w:rPr>
        <w:t>三</w:t>
      </w:r>
      <w:r>
        <w:rPr>
          <w:rFonts w:hint="eastAsia" w:ascii="宋体" w:hAnsi="宋体" w:eastAsia="宋体" w:cs="宋体"/>
          <w:b/>
          <w:bCs/>
          <w:color w:val="000000"/>
          <w:spacing w:val="0"/>
          <w:kern w:val="0"/>
          <w:position w:val="0"/>
          <w:sz w:val="21"/>
          <w:szCs w:val="21"/>
          <w:highlight w:val="yellow"/>
          <w:lang w:eastAsia="zh-CN"/>
        </w:rPr>
        <w:t>）</w:t>
      </w:r>
      <w:r>
        <w:rPr>
          <w:rFonts w:hint="eastAsia" w:ascii="宋体" w:hAnsi="宋体" w:eastAsia="宋体" w:cs="宋体"/>
          <w:b/>
          <w:bCs/>
          <w:color w:val="000000"/>
          <w:spacing w:val="0"/>
          <w:kern w:val="0"/>
          <w:position w:val="0"/>
          <w:sz w:val="21"/>
          <w:szCs w:val="21"/>
          <w:highlight w:val="yellow"/>
        </w:rPr>
        <w:t>工期要求</w:t>
      </w:r>
    </w:p>
    <w:p w14:paraId="31B418B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color w:val="000000"/>
          <w:spacing w:val="0"/>
          <w:kern w:val="0"/>
          <w:position w:val="0"/>
          <w:sz w:val="21"/>
          <w:szCs w:val="21"/>
          <w:highlight w:val="yellow"/>
        </w:rPr>
      </w:pPr>
      <w:r>
        <w:rPr>
          <w:rFonts w:hint="eastAsia" w:ascii="宋体" w:hAnsi="宋体" w:eastAsia="宋体" w:cs="宋体"/>
          <w:b/>
          <w:bCs/>
          <w:color w:val="000000"/>
          <w:spacing w:val="0"/>
          <w:kern w:val="0"/>
          <w:position w:val="0"/>
          <w:sz w:val="21"/>
          <w:szCs w:val="21"/>
          <w:highlight w:val="yellow"/>
        </w:rPr>
        <w:t>项目所涉及的链路需在合同签订后的</w:t>
      </w:r>
      <w:r>
        <w:rPr>
          <w:rFonts w:hint="eastAsia" w:ascii="宋体" w:hAnsi="宋体" w:eastAsia="宋体" w:cs="宋体"/>
          <w:b/>
          <w:bCs/>
          <w:color w:val="000000"/>
          <w:spacing w:val="0"/>
          <w:kern w:val="0"/>
          <w:position w:val="0"/>
          <w:sz w:val="21"/>
          <w:szCs w:val="21"/>
          <w:highlight w:val="yellow"/>
          <w:lang w:val="en-US" w:eastAsia="zh-CN"/>
        </w:rPr>
        <w:t>3</w:t>
      </w:r>
      <w:r>
        <w:rPr>
          <w:rFonts w:hint="eastAsia" w:ascii="宋体" w:hAnsi="宋体" w:eastAsia="宋体" w:cs="宋体"/>
          <w:b/>
          <w:bCs/>
          <w:color w:val="000000"/>
          <w:spacing w:val="0"/>
          <w:kern w:val="0"/>
          <w:position w:val="0"/>
          <w:sz w:val="21"/>
          <w:szCs w:val="21"/>
          <w:highlight w:val="yellow"/>
        </w:rPr>
        <w:t>个日历日内完成施工调试开通，保证线路能正常使用，否则将按违约终止合同，且追究违约责任。</w:t>
      </w:r>
    </w:p>
    <w:p w14:paraId="7C94827F">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br w:type="textWrapping"/>
      </w:r>
      <w:r>
        <w:rPr>
          <w:rFonts w:hint="eastAsia"/>
          <w:b/>
          <w:bCs/>
          <w:lang w:val="en-US" w:eastAsia="zh-CN"/>
        </w:rPr>
        <w:t>（十四）报价要求</w:t>
      </w:r>
    </w:p>
    <w:p w14:paraId="45B52EC3">
      <w:pPr>
        <w:widowControl/>
        <w:pBdr>
          <w:top w:val="none" w:color="000000" w:sz="0" w:space="0"/>
          <w:left w:val="none" w:color="000000" w:sz="0" w:space="0"/>
          <w:bottom w:val="none" w:color="000000" w:sz="0" w:space="0"/>
          <w:right w:val="none" w:color="000000" w:sz="0" w:space="0"/>
          <w:between w:val="none" w:color="000000" w:sz="0" w:space="0"/>
        </w:pBdr>
        <w:snapToGrid w:val="0"/>
        <w:spacing w:before="0" w:beforeAutospacing="0" w:after="160" w:afterAutospacing="0" w:line="360" w:lineRule="auto"/>
        <w:ind w:left="0" w:right="0" w:firstLine="420" w:firstLineChars="200"/>
        <w:outlineLvl w:val="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79CC9F">
      <w:pPr>
        <w:widowControl/>
        <w:pBdr>
          <w:top w:val="none" w:color="000000" w:sz="0" w:space="0"/>
          <w:left w:val="none" w:color="000000" w:sz="0" w:space="0"/>
          <w:bottom w:val="none" w:color="000000" w:sz="0" w:space="0"/>
          <w:right w:val="none" w:color="000000" w:sz="0" w:space="0"/>
          <w:between w:val="none" w:color="000000" w:sz="0" w:space="0"/>
        </w:pBdr>
        <w:snapToGrid w:val="0"/>
        <w:spacing w:before="0" w:beforeAutospacing="0" w:after="160" w:afterAutospacing="0" w:line="360" w:lineRule="auto"/>
        <w:ind w:left="0" w:right="0" w:firstLine="420" w:firstLineChars="200"/>
        <w:outlineLvl w:val="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2、投标人的投标报价，应是本项目招标范围和招标文件及合同条款上所列的各项内容中所述的全部，不得以任何理由予以重复，并以投标人在投标文件中提出的综合单价或总价为依据。</w:t>
      </w:r>
    </w:p>
    <w:p w14:paraId="767BF2FA">
      <w:pPr>
        <w:widowControl/>
        <w:pBdr>
          <w:top w:val="none" w:color="000000" w:sz="0" w:space="0"/>
          <w:left w:val="none" w:color="000000" w:sz="0" w:space="0"/>
          <w:bottom w:val="none" w:color="000000" w:sz="0" w:space="0"/>
          <w:right w:val="none" w:color="000000" w:sz="0" w:space="0"/>
          <w:between w:val="none" w:color="000000" w:sz="0" w:space="0"/>
        </w:pBdr>
        <w:snapToGrid w:val="0"/>
        <w:spacing w:before="0" w:beforeAutospacing="0" w:after="160" w:afterAutospacing="0" w:line="360" w:lineRule="auto"/>
        <w:ind w:left="0" w:right="0" w:firstLine="420" w:firstLineChars="200"/>
        <w:outlineLvl w:val="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63E590F">
      <w:pPr>
        <w:widowControl/>
        <w:pBdr>
          <w:top w:val="none" w:color="000000" w:sz="0" w:space="0"/>
          <w:left w:val="none" w:color="000000" w:sz="0" w:space="0"/>
          <w:bottom w:val="none" w:color="000000" w:sz="0" w:space="0"/>
          <w:right w:val="none" w:color="000000" w:sz="0" w:space="0"/>
          <w:between w:val="none" w:color="000000" w:sz="0" w:space="0"/>
        </w:pBdr>
        <w:snapToGrid w:val="0"/>
        <w:spacing w:before="0" w:beforeAutospacing="0" w:after="160" w:afterAutospacing="0" w:line="360" w:lineRule="auto"/>
        <w:ind w:left="0" w:right="0" w:firstLine="420" w:firstLineChars="200"/>
        <w:outlineLvl w:val="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4、投标人应充分了解项目的位置、情况、道路及任何其它足以影响投标报价的情况，任何因忽视或误解项目情况而导致的索赔或服务期限延长申请将不获批准。</w:t>
      </w:r>
    </w:p>
    <w:p w14:paraId="0A70EC8E">
      <w:pPr>
        <w:widowControl/>
        <w:pBdr>
          <w:top w:val="none" w:color="000000" w:sz="0" w:space="0"/>
          <w:left w:val="none" w:color="000000" w:sz="0" w:space="0"/>
          <w:bottom w:val="none" w:color="000000" w:sz="0" w:space="0"/>
          <w:right w:val="none" w:color="000000" w:sz="0" w:space="0"/>
          <w:between w:val="none" w:color="000000" w:sz="0" w:space="0"/>
        </w:pBdr>
        <w:snapToGrid w:val="0"/>
        <w:spacing w:before="0" w:beforeAutospacing="0" w:after="160" w:afterAutospacing="0" w:line="360" w:lineRule="auto"/>
        <w:ind w:left="0" w:right="0" w:firstLine="420" w:firstLineChars="200"/>
        <w:outlineLvl w:val="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18998754">
      <w:pPr>
        <w:pBdr>
          <w:top w:val="none" w:color="000000" w:sz="0" w:space="0"/>
          <w:left w:val="none" w:color="000000" w:sz="0" w:space="0"/>
          <w:bottom w:val="none" w:color="000000" w:sz="0" w:space="0"/>
          <w:right w:val="none" w:color="000000" w:sz="0" w:space="0"/>
          <w:between w:val="none" w:color="000000" w:sz="0" w:space="0"/>
        </w:pBdr>
        <w:tabs>
          <w:tab w:val="left" w:pos="780"/>
        </w:tabs>
        <w:snapToGrid w:val="0"/>
        <w:spacing w:before="0" w:beforeAutospacing="0" w:after="160" w:afterAutospacing="0" w:line="360" w:lineRule="auto"/>
        <w:ind w:left="0" w:right="0" w:firstLine="420" w:firstLineChars="200"/>
        <w:rPr>
          <w:rFonts w:hint="eastAsia" w:ascii="宋体" w:hAnsi="宋体" w:eastAsia="宋体" w:cs="宋体"/>
          <w:color w:val="000000"/>
          <w:spacing w:val="0"/>
          <w:position w:val="0"/>
          <w:szCs w:val="21"/>
        </w:rPr>
      </w:pPr>
      <w:r>
        <w:rPr>
          <w:rFonts w:hint="eastAsia" w:ascii="宋体" w:hAnsi="宋体" w:eastAsia="宋体" w:cs="宋体"/>
          <w:color w:val="000000"/>
          <w:spacing w:val="0"/>
          <w:position w:val="0"/>
          <w:szCs w:val="21"/>
        </w:rPr>
        <w:t>6、投标人须考虑本项目在实施期间的一切可能产生的费用。在项目实施过程中，如项目工作范围发生变更，由中标人和采购人双方协商解决；其余情况下，投标总价均不予调整。</w:t>
      </w:r>
    </w:p>
    <w:p w14:paraId="4E9A8D12">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textAlignment w:val="auto"/>
        <w:rPr>
          <w:rFonts w:hint="eastAsia"/>
        </w:rPr>
      </w:pPr>
      <w:r>
        <w:rPr>
          <w:rFonts w:hint="eastAsia" w:ascii="宋体" w:hAnsi="宋体" w:eastAsia="宋体" w:cs="宋体"/>
          <w:b/>
          <w:bCs/>
          <w:color w:val="000000"/>
          <w:spacing w:val="0"/>
          <w:kern w:val="2"/>
          <w:position w:val="0"/>
          <w:sz w:val="21"/>
          <w:szCs w:val="21"/>
          <w:highlight w:val="yellow"/>
          <w:lang w:val="en-US" w:eastAsia="zh-CN" w:bidi="ar-SA"/>
        </w:rPr>
        <w:t>★7、投标人须提供《投标分项报价表》，说明其投标报价的组成:省市主线路（1Gbps数字电路）年租赁费用报价不得高于人民币19万元，求雨坛机房至省局（500Mbps数字链路）年租赁费用报价不得高于人民币10.92万元，石岩基地至龙岗基地（10Gbps裸光纤）年租赁费用报价不得高于人民币10.08万元。</w:t>
      </w:r>
      <w:r>
        <w:rPr>
          <w:rFonts w:hint="eastAsia"/>
        </w:rPr>
        <w:br w:type="page"/>
      </w:r>
    </w:p>
    <w:p w14:paraId="260C741C">
      <w:pPr>
        <w:pStyle w:val="3"/>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87C552F">
      <w:pPr>
        <w:pStyle w:val="2"/>
        <w:jc w:val="both"/>
        <w:rPr>
          <w:rFonts w:hint="eastAsia"/>
        </w:rPr>
      </w:pPr>
      <w:r>
        <w:rPr>
          <w:rFonts w:hint="eastAsia"/>
        </w:rPr>
        <w:br w:type="textWrapping"/>
      </w:r>
    </w:p>
    <w:p w14:paraId="1271C4BC">
      <w:pPr>
        <w:rPr>
          <w:rFonts w:hint="eastAsia"/>
        </w:rPr>
      </w:pPr>
    </w:p>
    <w:p w14:paraId="1A9745C8">
      <w:pPr>
        <w:pStyle w:val="3"/>
        <w:spacing w:after="0"/>
        <w:jc w:val="center"/>
      </w:pPr>
      <w:r>
        <w:rPr>
          <w:rFonts w:hint="eastAsia"/>
        </w:rPr>
        <w:t>第四章  评标方法和标准</w:t>
      </w:r>
      <w:bookmarkEnd w:id="9"/>
    </w:p>
    <w:p w14:paraId="4A994828"/>
    <w:p w14:paraId="2F2DF2E1">
      <w:pPr>
        <w:pStyle w:val="2"/>
        <w:spacing w:before="0" w:after="0"/>
      </w:pPr>
      <w:bookmarkStart w:id="10" w:name="_Toc135293163"/>
      <w:bookmarkStart w:id="11" w:name="_Toc44691393"/>
      <w:bookmarkStart w:id="12" w:name="_Toc44690702"/>
      <w:bookmarkStart w:id="13" w:name="_Toc44690429"/>
      <w:bookmarkStart w:id="14" w:name="_Toc44691161"/>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lang w:val="en-US" w:eastAsia="zh-CN"/>
              </w:rPr>
              <w:t>20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default" w:asciiTheme="minorEastAsia" w:hAnsiTheme="minorEastAsia" w:eastAsiaTheme="minorEastAsia"/>
                <w:kern w:val="0"/>
                <w:szCs w:val="21"/>
              </w:rPr>
              <w:t>实施方案</w:t>
            </w:r>
          </w:p>
        </w:tc>
        <w:tc>
          <w:tcPr>
            <w:tcW w:w="709" w:type="dxa"/>
            <w:vAlign w:val="center"/>
          </w:tcPr>
          <w:p w14:paraId="490D2051">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w:t>
            </w:r>
          </w:p>
        </w:tc>
        <w:tc>
          <w:tcPr>
            <w:tcW w:w="5953" w:type="dxa"/>
            <w:vAlign w:val="center"/>
          </w:tcPr>
          <w:p w14:paraId="170319D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（一）评审内容：</w:t>
            </w:r>
          </w:p>
          <w:p w14:paraId="16B8B4FF">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针对本项目特点，投标人提供本项目实施方案，包括但不限于以下内容：</w:t>
            </w:r>
          </w:p>
          <w:p w14:paraId="152423C8">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1.项目现状及需求分析；</w:t>
            </w:r>
          </w:p>
          <w:p w14:paraId="42CE044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2.具体方案；</w:t>
            </w:r>
          </w:p>
          <w:p w14:paraId="18708453">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3.质量保障措施，故障处置方法；</w:t>
            </w:r>
          </w:p>
          <w:p w14:paraId="1EF9411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4.进度安排；</w:t>
            </w:r>
          </w:p>
          <w:p w14:paraId="4F3220BA">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5.新旧线路过渡方法；</w:t>
            </w:r>
          </w:p>
          <w:p w14:paraId="10FC77CA">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7CCAC59C">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方案包含以上五项内容得5分；包含以上四项内容得4分；包含以上三项内容得3分；包含以上两项内容得2分；包含以上一项内容得1分；其他情况不得分。</w:t>
            </w:r>
          </w:p>
          <w:p w14:paraId="793CCA90">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在此基础上，根据方案响应情况进一步评审：</w:t>
            </w:r>
          </w:p>
          <w:p w14:paraId="287FB995">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1.方案中针对①省市主线路1GbpsMSTP 专线；②新一代雷达省市传输专线(备线路)500MbpSMSTP专线；③石岩基地至龙岗基地裸光纤(67km)三项内容提出实施方案的加5分;</w:t>
            </w:r>
          </w:p>
          <w:p w14:paraId="694D1AD6">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2.方案中针对①省市主线路1GbpsMSTP 专线；②新一代雷达省市传输专线(备线路)500MbpSMSTP专线；③石岩基地至龙岗基地裸光纤(67km)任意两项内容提出实施方案的加3分;</w:t>
            </w:r>
          </w:p>
          <w:p w14:paraId="6FBD21A1">
            <w:pPr>
              <w:pStyle w:val="94"/>
              <w:spacing w:line="360" w:lineRule="exact"/>
              <w:ind w:firstLine="0" w:firstLineChars="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3.方案中针对①省市主线路1GbpsMSTP 专线；②新一代雷达省市传输专线(备线路)500MbpSMSTP专线；③石岩基地至龙岗基地裸光纤(67km)任意一项内容提出实施方案的加1分;</w:t>
            </w:r>
          </w:p>
          <w:p w14:paraId="5ABE136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4.其余情况，不加分。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default" w:asciiTheme="minorEastAsia" w:hAnsiTheme="minorEastAsia" w:eastAsiaTheme="minorEastAsia"/>
                <w:kern w:val="0"/>
                <w:szCs w:val="21"/>
              </w:rPr>
              <w:t>项目重点难点分析、应对措施及相关的合理化建议</w:t>
            </w:r>
          </w:p>
        </w:tc>
        <w:tc>
          <w:tcPr>
            <w:tcW w:w="709" w:type="dxa"/>
            <w:vAlign w:val="center"/>
          </w:tcPr>
          <w:p w14:paraId="74E131CA">
            <w:pPr>
              <w:widowControl/>
              <w:spacing w:line="360" w:lineRule="exact"/>
              <w:jc w:val="cente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10</w:t>
            </w:r>
          </w:p>
        </w:tc>
        <w:tc>
          <w:tcPr>
            <w:tcW w:w="5953" w:type="dxa"/>
            <w:vAlign w:val="center"/>
          </w:tcPr>
          <w:p w14:paraId="40E18FF4">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w:t>
            </w:r>
            <w:r>
              <w:rPr>
                <w:rFonts w:cs="宋体" w:asciiTheme="minorEastAsia" w:hAnsiTheme="minorEastAsia" w:eastAsiaTheme="minorEastAsia"/>
                <w:szCs w:val="21"/>
              </w:rPr>
              <w:t>评审内容：</w:t>
            </w:r>
          </w:p>
          <w:p w14:paraId="01D849D0">
            <w:pPr>
              <w:autoSpaceDE w:val="0"/>
              <w:autoSpaceDN w:val="0"/>
              <w:adjustRightIn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rPr>
              <w:t>针对本项目特点，投标人分析本项目的重点难点、提出应对措施及相关的合理化建议，</w:t>
            </w:r>
            <w:r>
              <w:rPr>
                <w:rFonts w:hint="eastAsia" w:cs="宋体" w:asciiTheme="minorEastAsia" w:hAnsiTheme="minorEastAsia" w:eastAsiaTheme="minorEastAsia"/>
                <w:szCs w:val="21"/>
              </w:rPr>
              <w:t>包括但不限于以下内容：</w:t>
            </w:r>
          </w:p>
          <w:p w14:paraId="7959A52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.重点</w:t>
            </w:r>
            <w:r>
              <w:rPr>
                <w:rFonts w:hint="eastAsia" w:cs="宋体" w:asciiTheme="minorEastAsia" w:hAnsiTheme="minorEastAsia" w:eastAsiaTheme="minorEastAsia"/>
                <w:szCs w:val="21"/>
              </w:rPr>
              <w:t>和</w:t>
            </w:r>
            <w:r>
              <w:rPr>
                <w:rFonts w:cs="宋体" w:asciiTheme="minorEastAsia" w:hAnsiTheme="minorEastAsia" w:eastAsiaTheme="minorEastAsia"/>
                <w:szCs w:val="21"/>
              </w:rPr>
              <w:t>难点</w:t>
            </w:r>
            <w:r>
              <w:rPr>
                <w:rFonts w:hint="eastAsia" w:cs="宋体" w:asciiTheme="minorEastAsia" w:hAnsiTheme="minorEastAsia" w:eastAsiaTheme="minorEastAsia"/>
                <w:szCs w:val="21"/>
              </w:rPr>
              <w:t>分析</w:t>
            </w:r>
            <w:r>
              <w:rPr>
                <w:rFonts w:cs="宋体" w:asciiTheme="minorEastAsia" w:hAnsiTheme="minorEastAsia" w:eastAsiaTheme="minorEastAsia"/>
                <w:szCs w:val="21"/>
              </w:rPr>
              <w:t>；</w:t>
            </w:r>
          </w:p>
          <w:p w14:paraId="7DB4D3EF">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cs="宋体" w:asciiTheme="minorEastAsia" w:hAnsiTheme="minorEastAsia" w:eastAsiaTheme="minorEastAsia"/>
                <w:szCs w:val="21"/>
              </w:rPr>
              <w:t>.重点</w:t>
            </w:r>
            <w:r>
              <w:rPr>
                <w:rFonts w:hint="eastAsia" w:cs="宋体" w:asciiTheme="minorEastAsia" w:hAnsiTheme="minorEastAsia" w:eastAsiaTheme="minorEastAsia"/>
                <w:szCs w:val="21"/>
              </w:rPr>
              <w:t>和</w:t>
            </w:r>
            <w:r>
              <w:rPr>
                <w:rFonts w:cs="宋体" w:asciiTheme="minorEastAsia" w:hAnsiTheme="minorEastAsia" w:eastAsiaTheme="minorEastAsia"/>
                <w:szCs w:val="21"/>
              </w:rPr>
              <w:t>难点</w:t>
            </w:r>
            <w:r>
              <w:rPr>
                <w:rFonts w:hint="eastAsia" w:cs="宋体" w:asciiTheme="minorEastAsia" w:hAnsiTheme="minorEastAsia" w:eastAsiaTheme="minorEastAsia"/>
                <w:szCs w:val="21"/>
              </w:rPr>
              <w:t>的应对措施；</w:t>
            </w:r>
          </w:p>
          <w:p w14:paraId="522A12DC">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提供相关的合理化建议</w:t>
            </w:r>
            <w:r>
              <w:rPr>
                <w:rFonts w:cs="宋体" w:asciiTheme="minorEastAsia" w:hAnsiTheme="minorEastAsia" w:eastAsiaTheme="minorEastAsia"/>
                <w:szCs w:val="21"/>
              </w:rPr>
              <w:t>。</w:t>
            </w:r>
          </w:p>
          <w:p w14:paraId="0041F1D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评分标准：</w:t>
            </w:r>
          </w:p>
          <w:p w14:paraId="20663C21">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评审内容1-3项要求累计得分，每提供一项得1分，最高得分3分。在此基础上，根据投标单位提供的实施方案内容综合评分：</w:t>
            </w:r>
          </w:p>
          <w:p w14:paraId="53E6FF2C">
            <w:pPr>
              <w:autoSpaceDE w:val="0"/>
              <w:autoSpaceDN w:val="0"/>
              <w:adjustRightInd w:val="0"/>
              <w:spacing w:line="360" w:lineRule="exact"/>
              <w:rPr>
                <w:rFonts w:cs="宋体" w:asciiTheme="minorEastAsia" w:hAnsiTheme="minorEastAsia" w:eastAsiaTheme="minorEastAsia"/>
                <w:szCs w:val="21"/>
              </w:rPr>
            </w:pPr>
            <w:r>
              <w:rPr>
                <w:rFonts w:cs="宋体" w:asciiTheme="minorEastAsia" w:hAnsiTheme="minorEastAsia" w:eastAsiaTheme="minorEastAsia"/>
                <w:szCs w:val="21"/>
              </w:rPr>
              <w:t>1.方案中针对</w:t>
            </w:r>
            <w:r>
              <w:rPr>
                <w:rFonts w:hint="eastAsia" w:cs="宋体" w:asciiTheme="minorEastAsia" w:hAnsiTheme="minorEastAsia" w:eastAsiaTheme="minorEastAsia"/>
                <w:szCs w:val="21"/>
              </w:rPr>
              <w:t>①</w:t>
            </w:r>
            <w:r>
              <w:rPr>
                <w:rFonts w:cs="宋体" w:asciiTheme="minorEastAsia" w:hAnsiTheme="minorEastAsia" w:eastAsiaTheme="minorEastAsia"/>
                <w:szCs w:val="21"/>
              </w:rPr>
              <w:t>省市主线路1GbpsMSTP 专线；</w:t>
            </w:r>
            <w:r>
              <w:rPr>
                <w:rFonts w:hint="eastAsia" w:cs="宋体" w:asciiTheme="minorEastAsia" w:hAnsiTheme="minorEastAsia" w:eastAsiaTheme="minorEastAsia"/>
                <w:szCs w:val="21"/>
              </w:rPr>
              <w:t>②</w:t>
            </w:r>
            <w:r>
              <w:rPr>
                <w:rFonts w:cs="宋体" w:asciiTheme="minorEastAsia" w:hAnsiTheme="minorEastAsia" w:eastAsiaTheme="minorEastAsia"/>
                <w:szCs w:val="21"/>
              </w:rPr>
              <w:t>新一代雷达省市传输专线(备线路)500MbpSMSTP专线；</w:t>
            </w:r>
            <w:r>
              <w:rPr>
                <w:rFonts w:hint="eastAsia" w:cs="宋体" w:asciiTheme="minorEastAsia" w:hAnsiTheme="minorEastAsia" w:eastAsiaTheme="minorEastAsia"/>
                <w:szCs w:val="21"/>
              </w:rPr>
              <w:t>③</w:t>
            </w:r>
            <w:r>
              <w:rPr>
                <w:rFonts w:cs="宋体" w:asciiTheme="minorEastAsia" w:hAnsiTheme="minorEastAsia" w:eastAsiaTheme="minorEastAsia"/>
                <w:szCs w:val="21"/>
              </w:rPr>
              <w:t>石岩基地至龙岗基地 裸光纤(67km)三项内容提出项目重点难点分析、应对措施及相关的合理化建议的加</w:t>
            </w:r>
            <w:r>
              <w:rPr>
                <w:rFonts w:hint="eastAsia" w:cs="宋体" w:asciiTheme="minorEastAsia" w:hAnsiTheme="minorEastAsia" w:eastAsiaTheme="minorEastAsia"/>
                <w:szCs w:val="21"/>
              </w:rPr>
              <w:t>7</w:t>
            </w:r>
            <w:r>
              <w:rPr>
                <w:rFonts w:cs="宋体" w:asciiTheme="minorEastAsia" w:hAnsiTheme="minorEastAsia" w:eastAsiaTheme="minorEastAsia"/>
                <w:szCs w:val="21"/>
              </w:rPr>
              <w:t>分;</w:t>
            </w:r>
          </w:p>
          <w:p w14:paraId="1C0F3A0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方案中针对</w:t>
            </w:r>
            <w:r>
              <w:rPr>
                <w:rFonts w:hint="eastAsia" w:cs="宋体" w:asciiTheme="minorEastAsia" w:hAnsiTheme="minorEastAsia" w:eastAsiaTheme="minorEastAsia"/>
                <w:szCs w:val="21"/>
              </w:rPr>
              <w:t>①</w:t>
            </w:r>
            <w:r>
              <w:rPr>
                <w:rFonts w:cs="宋体" w:asciiTheme="minorEastAsia" w:hAnsiTheme="minorEastAsia" w:eastAsiaTheme="minorEastAsia"/>
                <w:szCs w:val="21"/>
              </w:rPr>
              <w:t>省市主线路1GbpsMSTP 专线；</w:t>
            </w:r>
            <w:r>
              <w:rPr>
                <w:rFonts w:hint="eastAsia" w:cs="宋体" w:asciiTheme="minorEastAsia" w:hAnsiTheme="minorEastAsia" w:eastAsiaTheme="minorEastAsia"/>
                <w:szCs w:val="21"/>
              </w:rPr>
              <w:t>②</w:t>
            </w:r>
            <w:r>
              <w:rPr>
                <w:rFonts w:cs="宋体" w:asciiTheme="minorEastAsia" w:hAnsiTheme="minorEastAsia" w:eastAsiaTheme="minorEastAsia"/>
                <w:szCs w:val="21"/>
              </w:rPr>
              <w:t>新一代雷达省市传输专线(备线路)500MbpSMSTP专线；</w:t>
            </w:r>
            <w:r>
              <w:rPr>
                <w:rFonts w:hint="eastAsia" w:cs="宋体" w:asciiTheme="minorEastAsia" w:hAnsiTheme="minorEastAsia" w:eastAsiaTheme="minorEastAsia"/>
                <w:szCs w:val="21"/>
              </w:rPr>
              <w:t>③</w:t>
            </w:r>
            <w:r>
              <w:rPr>
                <w:rFonts w:cs="宋体" w:asciiTheme="minorEastAsia" w:hAnsiTheme="minorEastAsia" w:eastAsiaTheme="minorEastAsia"/>
                <w:szCs w:val="21"/>
              </w:rPr>
              <w:t>石岩基地至龙岗基地 裸光纤(67km)任意两项内容提出项目重点难点分析、应对措施及相关的合理化建议的加4分;</w:t>
            </w:r>
          </w:p>
          <w:p w14:paraId="7FF6C63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方案中针对</w:t>
            </w:r>
            <w:r>
              <w:rPr>
                <w:rFonts w:hint="eastAsia" w:cs="宋体" w:asciiTheme="minorEastAsia" w:hAnsiTheme="minorEastAsia" w:eastAsiaTheme="minorEastAsia"/>
                <w:szCs w:val="21"/>
              </w:rPr>
              <w:t>①</w:t>
            </w:r>
            <w:r>
              <w:rPr>
                <w:rFonts w:cs="宋体" w:asciiTheme="minorEastAsia" w:hAnsiTheme="minorEastAsia" w:eastAsiaTheme="minorEastAsia"/>
                <w:szCs w:val="21"/>
              </w:rPr>
              <w:t>省市主线路1GbpsMSTP 专线；</w:t>
            </w:r>
            <w:r>
              <w:rPr>
                <w:rFonts w:hint="eastAsia" w:cs="宋体" w:asciiTheme="minorEastAsia" w:hAnsiTheme="minorEastAsia" w:eastAsiaTheme="minorEastAsia"/>
                <w:szCs w:val="21"/>
              </w:rPr>
              <w:t>②</w:t>
            </w:r>
            <w:r>
              <w:rPr>
                <w:rFonts w:cs="宋体" w:asciiTheme="minorEastAsia" w:hAnsiTheme="minorEastAsia" w:eastAsiaTheme="minorEastAsia"/>
                <w:szCs w:val="21"/>
              </w:rPr>
              <w:t>新一代雷达省市传输专线(备线路)500MbpSMSTP专线；</w:t>
            </w:r>
            <w:r>
              <w:rPr>
                <w:rFonts w:hint="eastAsia" w:cs="宋体" w:asciiTheme="minorEastAsia" w:hAnsiTheme="minorEastAsia" w:eastAsiaTheme="minorEastAsia"/>
                <w:szCs w:val="21"/>
              </w:rPr>
              <w:t>③</w:t>
            </w:r>
            <w:r>
              <w:rPr>
                <w:rFonts w:cs="宋体" w:asciiTheme="minorEastAsia" w:hAnsiTheme="minorEastAsia" w:eastAsiaTheme="minorEastAsia"/>
                <w:szCs w:val="21"/>
              </w:rPr>
              <w:t>石岩基地至龙岗基地 裸光纤(67km)任意一项内容提出项目重点难点分析、应对措施及相关的合理化建议的加2分;</w:t>
            </w:r>
          </w:p>
          <w:p w14:paraId="3B034C3A">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4.</w:t>
            </w:r>
            <w:r>
              <w:rPr>
                <w:rFonts w:cs="宋体" w:asciiTheme="minorEastAsia" w:hAnsiTheme="minorEastAsia" w:eastAsiaTheme="minorEastAsia"/>
                <w:szCs w:val="21"/>
              </w:rPr>
              <w:t>其余情况，不加分。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5"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0B0E2B94">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网络平滑过渡</w:t>
            </w:r>
          </w:p>
        </w:tc>
        <w:tc>
          <w:tcPr>
            <w:tcW w:w="709" w:type="dxa"/>
            <w:vAlign w:val="center"/>
          </w:tcPr>
          <w:p w14:paraId="364828A2">
            <w:pPr>
              <w:widowControl/>
              <w:spacing w:line="360" w:lineRule="exact"/>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8</w:t>
            </w:r>
          </w:p>
        </w:tc>
        <w:tc>
          <w:tcPr>
            <w:tcW w:w="5953" w:type="dxa"/>
            <w:vAlign w:val="center"/>
          </w:tcPr>
          <w:p w14:paraId="0B214758">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0F422BA9">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根据投标人新旧网络的平滑过渡情况进行评分：</w:t>
            </w:r>
          </w:p>
          <w:p w14:paraId="1BBF20EA">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1、投标人承诺项目所涉及的专线，与采购人现有专线能够实现平滑过渡或无缝衔接，即确保采购人采购的三条专线上的实时气象数据传输业务、省市气象数据汇交及考核业务、气象视频会商、省市实时业务系统等不中断（中断时间为0），得 8分；</w:t>
            </w:r>
          </w:p>
          <w:p w14:paraId="33915E8C">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2、投标人承诺项目所涉及的专线，与采购人现有专线能够实现快速切换，即确保采购人采购的三条专线上的实时气象数据传输业务、省市气象数据汇交及考核业务、气象视频会商、省市实时业务系统等中断时间小于或等于30分钟，得 3分；</w:t>
            </w:r>
          </w:p>
          <w:p w14:paraId="045FF3BE">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3、投标人承诺项目所涉及的专线，与采购人现有专线能够实现正常切换，即确保采购人采购的三条专线上的实时气象数据传输业务、省市气象数据汇交及考核业务、气象视频会商、省市实时业务系统等中断时间大于30分钟且小于或等于60分钟，得 1分；</w:t>
            </w:r>
          </w:p>
          <w:p w14:paraId="42370521">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 xml:space="preserve">4、投标人未承诺切换时间的，得0分。 </w:t>
            </w:r>
          </w:p>
          <w:p w14:paraId="34AE6233">
            <w:pPr>
              <w:widowControl/>
              <w:snapToGrid w:val="0"/>
              <w:spacing w:line="360" w:lineRule="exact"/>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817C8A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要求提供《网络平滑过渡承诺函》，加盖投标人公章（格式自定）作为得分依据，未提供或内容不满足要求的不得分。采购人的线路切换基准时间为北京时间2025年4月4日23时59分。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故障响应承诺</w:t>
            </w:r>
          </w:p>
        </w:tc>
        <w:tc>
          <w:tcPr>
            <w:tcW w:w="709" w:type="dxa"/>
            <w:vAlign w:val="center"/>
          </w:tcPr>
          <w:p w14:paraId="7274A6F1">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7</w:t>
            </w:r>
          </w:p>
        </w:tc>
        <w:tc>
          <w:tcPr>
            <w:tcW w:w="5953" w:type="dxa"/>
            <w:vAlign w:val="center"/>
          </w:tcPr>
          <w:p w14:paraId="193F8781">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（一）评审内容：</w:t>
            </w:r>
          </w:p>
          <w:p w14:paraId="229C95CD">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投标人提供项目故障响应承诺书，承诺以下内容：</w:t>
            </w:r>
          </w:p>
          <w:p w14:paraId="52C3CB3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（1）一般故障响应时间不大于30分钟，恢复时间不大于4小时及提供7*24小时现场应急支援服务的，得</w:t>
            </w:r>
            <w:r>
              <w:rPr>
                <w:rFonts w:hint="eastAsia" w:cs="宋体" w:asciiTheme="minorEastAsia" w:hAnsiTheme="minorEastAsia" w:eastAsiaTheme="minorEastAsia"/>
                <w:szCs w:val="21"/>
                <w:lang w:val="en-US" w:eastAsia="zh-CN"/>
              </w:rPr>
              <w:t>7</w:t>
            </w:r>
            <w:r>
              <w:rPr>
                <w:rFonts w:hint="eastAsia" w:cs="宋体" w:asciiTheme="minorEastAsia" w:hAnsiTheme="minorEastAsia" w:eastAsiaTheme="minorEastAsia"/>
                <w:szCs w:val="21"/>
              </w:rPr>
              <w:t>分；</w:t>
            </w:r>
          </w:p>
          <w:p w14:paraId="2A1A77A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（2）一般故障响应时间不大于1小时，恢复时间＞4小时且小于5小时及提供7*24小时现场应急支援服务的，得</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w:t>
            </w:r>
          </w:p>
          <w:p w14:paraId="5F0E34AE">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（3）一般故障响应时间不大于1小时，恢复时间＞5小时且小于6小时及提供7*24小时现场应急支援服务的，得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3D7DB022">
            <w:pPr>
              <w:autoSpaceDE w:val="0"/>
              <w:autoSpaceDN w:val="0"/>
              <w:adjustRightInd w:val="0"/>
              <w:spacing w:line="360" w:lineRule="exact"/>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（4）未提供承诺或承诺内容不满足要求不得分</w:t>
            </w:r>
            <w:r>
              <w:rPr>
                <w:rFonts w:hint="eastAsia" w:cs="宋体" w:asciiTheme="minorEastAsia" w:hAnsiTheme="minorEastAsia" w:eastAsiaTheme="minorEastAsia"/>
                <w:szCs w:val="21"/>
                <w:lang w:eastAsia="zh-CN"/>
              </w:rPr>
              <w:t>。</w:t>
            </w:r>
          </w:p>
          <w:p w14:paraId="0F5B7E6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（二）评分依据：</w:t>
            </w:r>
          </w:p>
          <w:p w14:paraId="6515BF0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要求提供《故障响应承诺函》，加盖投标人公章（格式自定）作为得分依据，未提供承诺或承诺内容不满足要求的不得分。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54" w:type="dxa"/>
            <w:vAlign w:val="center"/>
          </w:tcPr>
          <w:p w14:paraId="643E565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30B1B80E">
            <w:pPr>
              <w:widowControl/>
              <w:spacing w:line="360" w:lineRule="exact"/>
              <w:jc w:val="center"/>
              <w:rPr>
                <w:rFonts w:cs="宋体" w:asciiTheme="minorEastAsia" w:hAnsiTheme="minorEastAsia" w:eastAsiaTheme="minorEastAsia"/>
                <w:szCs w:val="21"/>
              </w:rPr>
            </w:pPr>
            <w:r>
              <w:rPr>
                <w:rFonts w:hint="default" w:cs="宋体" w:asciiTheme="minorEastAsia" w:hAnsiTheme="minorEastAsia" w:eastAsiaTheme="minorEastAsia"/>
                <w:szCs w:val="21"/>
              </w:rPr>
              <w:t>违约承诺</w:t>
            </w:r>
          </w:p>
        </w:tc>
        <w:tc>
          <w:tcPr>
            <w:tcW w:w="709" w:type="dxa"/>
            <w:vAlign w:val="center"/>
          </w:tcPr>
          <w:p w14:paraId="38664A61">
            <w:pPr>
              <w:widowControl/>
              <w:spacing w:line="360" w:lineRule="exact"/>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5</w:t>
            </w:r>
          </w:p>
        </w:tc>
        <w:tc>
          <w:tcPr>
            <w:tcW w:w="5953" w:type="dxa"/>
            <w:vAlign w:val="center"/>
          </w:tcPr>
          <w:p w14:paraId="0682D1B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（一）评分内容：</w:t>
            </w:r>
          </w:p>
          <w:p w14:paraId="7FB8C6C2">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投标人提供项目违约承诺，满足以下全部要求的得5分，否则不得分。</w:t>
            </w:r>
          </w:p>
          <w:p w14:paraId="7819CC8C">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（1）人员严格按照投标文件配置； </w:t>
            </w:r>
          </w:p>
          <w:p w14:paraId="7424D72D">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（2）服务质量达到招标文件要求； </w:t>
            </w:r>
          </w:p>
          <w:p w14:paraId="57F64683">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（3）按售后服务承诺履行义务；</w:t>
            </w:r>
          </w:p>
          <w:p w14:paraId="3795D1C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（4）说明违约处理办法。</w:t>
            </w:r>
          </w:p>
          <w:p w14:paraId="16946C84">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（二）评分依据：</w:t>
            </w:r>
          </w:p>
          <w:p w14:paraId="6381C61B">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提供《违约承诺函》加盖投标人公章（格式自定）作为得分依据，未提供承诺或承诺内容不满足要求的不得分。</w:t>
            </w:r>
          </w:p>
        </w:tc>
        <w:tc>
          <w:tcPr>
            <w:tcW w:w="1187" w:type="dxa"/>
            <w:vAlign w:val="center"/>
          </w:tcPr>
          <w:p w14:paraId="65ED793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none"/>
                <w:lang w:val="en-US" w:eastAsia="zh-CN"/>
              </w:rPr>
              <w:t>40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投标人同类项目业绩情况</w:t>
            </w:r>
          </w:p>
        </w:tc>
        <w:tc>
          <w:tcPr>
            <w:tcW w:w="709" w:type="dxa"/>
            <w:vAlign w:val="center"/>
          </w:tcPr>
          <w:p w14:paraId="57882E34">
            <w:pPr>
              <w:spacing w:line="360" w:lineRule="exact"/>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szCs w:val="21"/>
                <w:lang w:val="en-US" w:eastAsia="zh-CN"/>
              </w:rPr>
              <w:t>10</w:t>
            </w:r>
          </w:p>
        </w:tc>
        <w:tc>
          <w:tcPr>
            <w:tcW w:w="5953" w:type="dxa"/>
            <w:vAlign w:val="center"/>
          </w:tcPr>
          <w:p w14:paraId="77D150DF">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04E796B0">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考察投标人自2022年1月1日起至投标截止之日(以合同签订时间为准)，有同类传输光缆服务项目经验，每提供一个得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分，最高得</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分，同一项目续签合同的不可重复得分。</w:t>
            </w:r>
          </w:p>
          <w:p w14:paraId="13985064">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66504B64">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1.要求提供合同关键信息（含签订合同双方的单位名称、合同项目名称、服务内容与含签订合同双方的落款盖章、签订日期的关键信息）。</w:t>
            </w:r>
          </w:p>
          <w:p w14:paraId="68FBBE57">
            <w:pPr>
              <w:autoSpaceDE w:val="0"/>
              <w:autoSpaceDN w:val="0"/>
              <w:adjustRightInd w:val="0"/>
              <w:spacing w:line="36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2.通过合同关键信息无法判断是否得分的，还须同时提供能证明得分的其它证明资料，如项目报告或合同甲方出具的证明文件等。</w:t>
            </w:r>
          </w:p>
          <w:p w14:paraId="781062F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3.以上资料均要求提供复印件或扫描件加盖投标人公章，原件备查。评分中出现无证明资料或专家无法凭所提供资料判断是否得分的情况，一律作不得分处理。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cs="宋体" w:asciiTheme="minorEastAsia" w:hAnsiTheme="minorEastAsia" w:eastAsiaTheme="minorEastAsia"/>
                <w:color w:val="000000"/>
                <w:kern w:val="0"/>
                <w:szCs w:val="21"/>
              </w:rPr>
              <w:t>拟安排的项目负责人情况（仅限一人）</w:t>
            </w:r>
          </w:p>
        </w:tc>
        <w:tc>
          <w:tcPr>
            <w:tcW w:w="709" w:type="dxa"/>
            <w:vAlign w:val="center"/>
          </w:tcPr>
          <w:p w14:paraId="49BF8994">
            <w:pPr>
              <w:adjustRightInd w:val="0"/>
              <w:snapToGrid w:val="0"/>
              <w:spacing w:line="360" w:lineRule="exact"/>
              <w:jc w:val="center"/>
              <w:rPr>
                <w:rFonts w:hint="default" w:asciiTheme="minorEastAsia" w:hAnsiTheme="minorEastAsia" w:eastAsiaTheme="minorEastAsia"/>
                <w:snapToGrid w:val="0"/>
                <w:kern w:val="0"/>
                <w:szCs w:val="21"/>
                <w:lang w:val="en-US" w:eastAsia="zh-CN"/>
              </w:rPr>
            </w:pPr>
            <w:r>
              <w:rPr>
                <w:rFonts w:hint="eastAsia" w:asciiTheme="minorEastAsia" w:hAnsiTheme="minorEastAsia" w:eastAsiaTheme="minorEastAsia"/>
                <w:snapToGrid w:val="0"/>
                <w:kern w:val="0"/>
                <w:szCs w:val="21"/>
                <w:lang w:val="en-US" w:eastAsia="zh-CN"/>
              </w:rPr>
              <w:t>10</w:t>
            </w:r>
          </w:p>
        </w:tc>
        <w:tc>
          <w:tcPr>
            <w:tcW w:w="5953" w:type="dxa"/>
            <w:vAlign w:val="center"/>
          </w:tcPr>
          <w:p w14:paraId="75030F41">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0B08A90F">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拟安排的项目负责人需为投标人正式聘任员工，否则本项不得分。在此基础上，按以下标准评分：</w:t>
            </w:r>
          </w:p>
          <w:p w14:paraId="0E041347">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1、项目负责人具有信息系统项目管理师证书，得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0D9706EB">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2、项目负责人具有本科（含）以上学历或学士（含）以上学位，得5分。</w:t>
            </w:r>
          </w:p>
          <w:p w14:paraId="494C5AD4">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0B07CA0E">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1.要求提供项目负责人上述资格证书和毕业证书（或学位证书）。</w:t>
            </w:r>
          </w:p>
          <w:p w14:paraId="5747B31C">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2.以上资料均要求提供复印件或扫描件（或官方网站截图）加盖投标人公章，原件备查。评分中出现无证明资料或专家无法凭所提供资料判断是否得分的情况，一律作不得分处理。</w:t>
            </w:r>
          </w:p>
          <w:p w14:paraId="66B17E14">
            <w:pPr>
              <w:adjustRightInd w:val="0"/>
              <w:snapToGri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3.提供项目负责人在职证明（劳动合同或社保证明）。</w:t>
            </w:r>
          </w:p>
          <w:p w14:paraId="280D51CC">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注：如提供社保证明需提供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6A17302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拟安排的项目主要团队成员（主要技术人员）情况（项目负责人除外）</w:t>
            </w:r>
          </w:p>
        </w:tc>
        <w:tc>
          <w:tcPr>
            <w:tcW w:w="709" w:type="dxa"/>
            <w:vAlign w:val="center"/>
          </w:tcPr>
          <w:p w14:paraId="03D227DE">
            <w:pPr>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15</w:t>
            </w:r>
          </w:p>
        </w:tc>
        <w:tc>
          <w:tcPr>
            <w:tcW w:w="5953" w:type="dxa"/>
            <w:vAlign w:val="center"/>
          </w:tcPr>
          <w:p w14:paraId="0B49A455">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（一）评分内容：</w:t>
            </w:r>
          </w:p>
          <w:p w14:paraId="7B740061">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拟安排的项目团队成员（项目负责人除外）需为投标人正式聘任员工，否则本项不得分。在此基础上，按以下标准评分：</w:t>
            </w:r>
          </w:p>
          <w:p w14:paraId="03E39CD8">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1、团队成员中具通信类或计算机类的中级或以上工程师证书，每提供一人得5分，本项最高得5分。</w:t>
            </w:r>
          </w:p>
          <w:p w14:paraId="30087F44">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2、团队成员中具有网络规划设计师证书，每提供一人得5分，本项最高得5分。</w:t>
            </w:r>
          </w:p>
          <w:p w14:paraId="55CC6E37">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3、团队成员中具有注册信息安全专业人员CISP证书，每提供一人得5分，本项最高得5分。</w:t>
            </w:r>
          </w:p>
          <w:p w14:paraId="7F265456">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注：同一人员不可累计得分，如同一人员具有上述多个证书的，按得分最优情况计分。</w:t>
            </w:r>
          </w:p>
          <w:p w14:paraId="1F9DB5B7">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（二）评分依据：</w:t>
            </w:r>
          </w:p>
          <w:p w14:paraId="67E8BA97">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1.要求提供项目团队成员上述资格证书、职称证书。</w:t>
            </w:r>
          </w:p>
          <w:p w14:paraId="71C81E15">
            <w:pPr>
              <w:tabs>
                <w:tab w:val="left" w:pos="175"/>
              </w:tabs>
              <w:spacing w:line="360" w:lineRule="exact"/>
              <w:ind w:left="33"/>
              <w:jc w:val="left"/>
              <w:rPr>
                <w:rFonts w:hint="eastAsia" w:asciiTheme="minorEastAsia" w:hAnsiTheme="minorEastAsia" w:eastAsiaTheme="minorEastAsia"/>
                <w:szCs w:val="21"/>
              </w:rPr>
            </w:pPr>
            <w:r>
              <w:rPr>
                <w:rFonts w:hint="eastAsia" w:asciiTheme="minorEastAsia" w:hAnsiTheme="minorEastAsia" w:eastAsiaTheme="minorEastAsia"/>
                <w:szCs w:val="21"/>
              </w:rPr>
              <w:t>2.以上资料均要求提供复印件或扫描件（或官方网站截图）加盖投标人公章，原件备查。</w:t>
            </w:r>
            <w:r>
              <w:rPr>
                <w:rFonts w:asciiTheme="minorEastAsia" w:hAnsiTheme="minorEastAsia" w:eastAsiaTheme="minorEastAsia"/>
                <w:szCs w:val="21"/>
              </w:rPr>
              <w:t>评分中出现无证明资料或专家无法凭所提供资料判断是否得分的情况，一律作不得分处理。</w:t>
            </w:r>
          </w:p>
          <w:p w14:paraId="7D1555CE">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3.提供团队成员在职证明（劳动合同或社保证明）。</w:t>
            </w:r>
          </w:p>
          <w:p w14:paraId="25249276">
            <w:pPr>
              <w:tabs>
                <w:tab w:val="left" w:pos="175"/>
              </w:tabs>
              <w:spacing w:line="360" w:lineRule="exact"/>
              <w:ind w:left="33"/>
              <w:jc w:val="left"/>
              <w:rPr>
                <w:rFonts w:asciiTheme="minorEastAsia" w:hAnsiTheme="minorEastAsia" w:eastAsiaTheme="minorEastAsia"/>
                <w:szCs w:val="21"/>
              </w:rPr>
            </w:pPr>
            <w:r>
              <w:rPr>
                <w:rFonts w:hint="eastAsia" w:asciiTheme="minorEastAsia" w:hAnsiTheme="minorEastAsia" w:eastAsiaTheme="minorEastAsia"/>
                <w:szCs w:val="21"/>
              </w:rPr>
              <w:t>注：如提供社保证明需提供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4</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市财政局诚信管理情况</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06E64993">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135293165"/>
      <w:bookmarkStart w:id="17" w:name="_Toc44691162"/>
      <w:bookmarkStart w:id="18" w:name="_Toc44690703"/>
      <w:bookmarkStart w:id="19" w:name="_Toc44691394"/>
      <w:bookmarkStart w:id="20" w:name="_Toc44690430"/>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信息传输业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7"/>
              <w:spacing w:line="360" w:lineRule="auto"/>
              <w:jc w:val="center"/>
              <w:rPr>
                <w:rFonts w:hAnsi="宋体"/>
              </w:rPr>
            </w:pPr>
            <w:r>
              <w:rPr>
                <w:rFonts w:hint="eastAsia" w:hAnsi="宋体"/>
              </w:rPr>
              <w:t>项号</w:t>
            </w:r>
          </w:p>
        </w:tc>
        <w:tc>
          <w:tcPr>
            <w:tcW w:w="1038" w:type="dxa"/>
            <w:vAlign w:val="center"/>
          </w:tcPr>
          <w:p w14:paraId="004FF1B2">
            <w:pPr>
              <w:pStyle w:val="27"/>
              <w:spacing w:line="360" w:lineRule="auto"/>
              <w:jc w:val="center"/>
              <w:rPr>
                <w:rFonts w:hAnsi="宋体"/>
              </w:rPr>
            </w:pPr>
            <w:r>
              <w:rPr>
                <w:rFonts w:hint="eastAsia" w:hAnsi="宋体"/>
              </w:rPr>
              <w:t>条款号</w:t>
            </w:r>
          </w:p>
        </w:tc>
        <w:tc>
          <w:tcPr>
            <w:tcW w:w="1843" w:type="dxa"/>
            <w:vAlign w:val="center"/>
          </w:tcPr>
          <w:p w14:paraId="39C88661">
            <w:pPr>
              <w:pStyle w:val="27"/>
              <w:spacing w:line="360" w:lineRule="auto"/>
              <w:jc w:val="center"/>
              <w:rPr>
                <w:rFonts w:hAnsi="宋体"/>
              </w:rPr>
            </w:pPr>
            <w:r>
              <w:rPr>
                <w:rFonts w:hint="eastAsia" w:hAnsi="宋体"/>
              </w:rPr>
              <w:t>内容</w:t>
            </w:r>
          </w:p>
        </w:tc>
        <w:tc>
          <w:tcPr>
            <w:tcW w:w="6520" w:type="dxa"/>
          </w:tcPr>
          <w:p w14:paraId="2FA7FB95">
            <w:pPr>
              <w:pStyle w:val="27"/>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7"/>
              <w:spacing w:line="360" w:lineRule="auto"/>
              <w:jc w:val="center"/>
              <w:rPr>
                <w:rFonts w:hAnsi="宋体"/>
              </w:rPr>
            </w:pPr>
            <w:r>
              <w:rPr>
                <w:rFonts w:hAnsi="宋体"/>
              </w:rPr>
              <w:t>1</w:t>
            </w:r>
          </w:p>
        </w:tc>
        <w:tc>
          <w:tcPr>
            <w:tcW w:w="1038" w:type="dxa"/>
            <w:vAlign w:val="center"/>
          </w:tcPr>
          <w:p w14:paraId="7A147954">
            <w:pPr>
              <w:pStyle w:val="27"/>
              <w:spacing w:line="360" w:lineRule="auto"/>
              <w:jc w:val="center"/>
              <w:rPr>
                <w:rFonts w:hAnsi="宋体"/>
              </w:rPr>
            </w:pPr>
            <w:r>
              <w:rPr>
                <w:rFonts w:hAnsi="宋体"/>
              </w:rPr>
              <w:t>1.1</w:t>
            </w:r>
          </w:p>
        </w:tc>
        <w:tc>
          <w:tcPr>
            <w:tcW w:w="1843" w:type="dxa"/>
            <w:vAlign w:val="center"/>
          </w:tcPr>
          <w:p w14:paraId="2345A54F">
            <w:pPr>
              <w:pStyle w:val="27"/>
              <w:spacing w:line="360" w:lineRule="exact"/>
              <w:jc w:val="center"/>
              <w:rPr>
                <w:rFonts w:hAnsi="宋体"/>
              </w:rPr>
            </w:pPr>
            <w:r>
              <w:rPr>
                <w:rFonts w:hint="eastAsia" w:hAnsi="宋体"/>
              </w:rPr>
              <w:t>项目名称</w:t>
            </w:r>
          </w:p>
        </w:tc>
        <w:tc>
          <w:tcPr>
            <w:tcW w:w="6520" w:type="dxa"/>
            <w:vAlign w:val="center"/>
          </w:tcPr>
          <w:p w14:paraId="69996866">
            <w:pPr>
              <w:pStyle w:val="27"/>
              <w:spacing w:line="360" w:lineRule="exact"/>
              <w:rPr>
                <w:rFonts w:hint="eastAsia" w:eastAsia="宋体"/>
                <w:lang w:eastAsia="zh-CN"/>
              </w:rPr>
            </w:pPr>
            <w:r>
              <w:rPr>
                <w:rFonts w:hint="eastAsia"/>
                <w:lang w:eastAsia="zh-CN"/>
              </w:rPr>
              <w:t>2025年省市主备线路和基地裸光纤租用项目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7"/>
              <w:spacing w:line="360" w:lineRule="auto"/>
              <w:jc w:val="center"/>
              <w:rPr>
                <w:rFonts w:hAnsi="宋体"/>
              </w:rPr>
            </w:pPr>
            <w:r>
              <w:rPr>
                <w:rFonts w:hint="eastAsia" w:hAnsi="宋体"/>
              </w:rPr>
              <w:t>2</w:t>
            </w:r>
          </w:p>
        </w:tc>
        <w:tc>
          <w:tcPr>
            <w:tcW w:w="1038" w:type="dxa"/>
            <w:vAlign w:val="center"/>
          </w:tcPr>
          <w:p w14:paraId="4A2440BC">
            <w:pPr>
              <w:pStyle w:val="27"/>
              <w:spacing w:line="360" w:lineRule="auto"/>
              <w:jc w:val="center"/>
              <w:rPr>
                <w:rFonts w:hAnsi="宋体"/>
              </w:rPr>
            </w:pPr>
            <w:r>
              <w:rPr>
                <w:rFonts w:hAnsi="宋体"/>
              </w:rPr>
              <w:t>2.1</w:t>
            </w:r>
          </w:p>
        </w:tc>
        <w:tc>
          <w:tcPr>
            <w:tcW w:w="1843" w:type="dxa"/>
            <w:vAlign w:val="center"/>
          </w:tcPr>
          <w:p w14:paraId="37A75B13">
            <w:pPr>
              <w:pStyle w:val="27"/>
              <w:spacing w:line="360" w:lineRule="exact"/>
              <w:jc w:val="center"/>
              <w:rPr>
                <w:rFonts w:hAnsi="宋体"/>
              </w:rPr>
            </w:pPr>
            <w:r>
              <w:rPr>
                <w:rFonts w:hint="eastAsia" w:hAnsi="宋体"/>
              </w:rPr>
              <w:t>采购人</w:t>
            </w:r>
          </w:p>
        </w:tc>
        <w:tc>
          <w:tcPr>
            <w:tcW w:w="6520" w:type="dxa"/>
            <w:vAlign w:val="center"/>
          </w:tcPr>
          <w:p w14:paraId="64AC917D">
            <w:pPr>
              <w:pStyle w:val="27"/>
              <w:spacing w:line="360" w:lineRule="exact"/>
              <w:rPr>
                <w:rFonts w:hAnsi="宋体"/>
                <w:szCs w:val="24"/>
              </w:rPr>
            </w:pPr>
            <w:r>
              <w:rPr>
                <w:rFonts w:hint="eastAsia" w:hAnsi="宋体"/>
                <w:snapToGrid w:val="0"/>
                <w:szCs w:val="21"/>
              </w:rPr>
              <w:t>深圳市国家气候观象台</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7"/>
              <w:spacing w:line="360" w:lineRule="auto"/>
              <w:jc w:val="center"/>
              <w:rPr>
                <w:rFonts w:hAnsi="宋体"/>
              </w:rPr>
            </w:pPr>
            <w:r>
              <w:rPr>
                <w:rFonts w:hint="eastAsia" w:hAnsi="宋体"/>
              </w:rPr>
              <w:t>3</w:t>
            </w:r>
          </w:p>
        </w:tc>
        <w:tc>
          <w:tcPr>
            <w:tcW w:w="1038" w:type="dxa"/>
            <w:vAlign w:val="center"/>
          </w:tcPr>
          <w:p w14:paraId="422E9C5A">
            <w:pPr>
              <w:pStyle w:val="27"/>
              <w:spacing w:line="360" w:lineRule="auto"/>
              <w:jc w:val="center"/>
              <w:rPr>
                <w:rFonts w:hAnsi="宋体"/>
              </w:rPr>
            </w:pPr>
            <w:r>
              <w:rPr>
                <w:rFonts w:hAnsi="宋体"/>
              </w:rPr>
              <w:t>2.2</w:t>
            </w:r>
          </w:p>
        </w:tc>
        <w:tc>
          <w:tcPr>
            <w:tcW w:w="1843" w:type="dxa"/>
            <w:vAlign w:val="center"/>
          </w:tcPr>
          <w:p w14:paraId="4C9A2A2B">
            <w:pPr>
              <w:pStyle w:val="27"/>
              <w:spacing w:line="360" w:lineRule="exact"/>
              <w:jc w:val="center"/>
              <w:rPr>
                <w:rFonts w:hAnsi="宋体"/>
              </w:rPr>
            </w:pPr>
            <w:r>
              <w:rPr>
                <w:rFonts w:hint="eastAsia" w:hAnsi="宋体"/>
              </w:rPr>
              <w:t>采购代理机构</w:t>
            </w:r>
          </w:p>
        </w:tc>
        <w:tc>
          <w:tcPr>
            <w:tcW w:w="6520" w:type="dxa"/>
            <w:vAlign w:val="center"/>
          </w:tcPr>
          <w:p w14:paraId="3A4B40E0">
            <w:pPr>
              <w:pStyle w:val="27"/>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7"/>
              <w:spacing w:line="360" w:lineRule="auto"/>
              <w:jc w:val="center"/>
              <w:rPr>
                <w:rFonts w:hAnsi="宋体"/>
              </w:rPr>
            </w:pPr>
            <w:r>
              <w:rPr>
                <w:rFonts w:hint="eastAsia" w:hAnsi="宋体"/>
              </w:rPr>
              <w:t>4</w:t>
            </w:r>
          </w:p>
        </w:tc>
        <w:tc>
          <w:tcPr>
            <w:tcW w:w="1038" w:type="dxa"/>
            <w:vAlign w:val="center"/>
          </w:tcPr>
          <w:p w14:paraId="0FE24216">
            <w:pPr>
              <w:pStyle w:val="27"/>
              <w:spacing w:line="360" w:lineRule="auto"/>
              <w:jc w:val="center"/>
              <w:rPr>
                <w:rFonts w:hAnsi="宋体"/>
              </w:rPr>
            </w:pPr>
            <w:r>
              <w:rPr>
                <w:rFonts w:hint="eastAsia" w:hAnsi="宋体"/>
              </w:rPr>
              <w:t>3.1</w:t>
            </w:r>
          </w:p>
        </w:tc>
        <w:tc>
          <w:tcPr>
            <w:tcW w:w="1843" w:type="dxa"/>
            <w:vAlign w:val="center"/>
          </w:tcPr>
          <w:p w14:paraId="26DEF2DF">
            <w:pPr>
              <w:pStyle w:val="27"/>
              <w:spacing w:line="360" w:lineRule="exact"/>
              <w:jc w:val="center"/>
              <w:rPr>
                <w:rFonts w:hAnsi="宋体"/>
              </w:rPr>
            </w:pPr>
            <w:r>
              <w:rPr>
                <w:rFonts w:hint="eastAsia" w:hAnsi="宋体"/>
              </w:rPr>
              <w:t>资金来源</w:t>
            </w:r>
          </w:p>
        </w:tc>
        <w:tc>
          <w:tcPr>
            <w:tcW w:w="6520" w:type="dxa"/>
            <w:vAlign w:val="center"/>
          </w:tcPr>
          <w:p w14:paraId="39F0A3BB">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7"/>
              <w:spacing w:line="360" w:lineRule="auto"/>
              <w:jc w:val="center"/>
              <w:rPr>
                <w:rFonts w:hAnsi="宋体"/>
              </w:rPr>
            </w:pPr>
            <w:r>
              <w:rPr>
                <w:rFonts w:hint="eastAsia" w:hAnsi="宋体"/>
              </w:rPr>
              <w:t>5</w:t>
            </w:r>
          </w:p>
        </w:tc>
        <w:tc>
          <w:tcPr>
            <w:tcW w:w="1038" w:type="dxa"/>
            <w:vAlign w:val="center"/>
          </w:tcPr>
          <w:p w14:paraId="6291A907">
            <w:pPr>
              <w:pStyle w:val="27"/>
              <w:spacing w:line="360" w:lineRule="auto"/>
              <w:jc w:val="center"/>
              <w:rPr>
                <w:rFonts w:hAnsi="宋体"/>
              </w:rPr>
            </w:pPr>
            <w:r>
              <w:rPr>
                <w:rFonts w:hint="eastAsia" w:hAnsi="宋体"/>
              </w:rPr>
              <w:t>4.7</w:t>
            </w:r>
          </w:p>
        </w:tc>
        <w:tc>
          <w:tcPr>
            <w:tcW w:w="1843" w:type="dxa"/>
            <w:vAlign w:val="center"/>
          </w:tcPr>
          <w:p w14:paraId="779D6175">
            <w:pPr>
              <w:pStyle w:val="27"/>
              <w:spacing w:line="360" w:lineRule="auto"/>
              <w:jc w:val="center"/>
              <w:rPr>
                <w:rFonts w:hAnsi="宋体"/>
              </w:rPr>
            </w:pPr>
            <w:r>
              <w:rPr>
                <w:rFonts w:hint="eastAsia" w:hAnsi="宋体"/>
              </w:rPr>
              <w:t>投标人资格要求</w:t>
            </w:r>
          </w:p>
        </w:tc>
        <w:tc>
          <w:tcPr>
            <w:tcW w:w="6520" w:type="dxa"/>
            <w:vAlign w:val="center"/>
          </w:tcPr>
          <w:p w14:paraId="746E7684">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7"/>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7"/>
              <w:spacing w:line="360" w:lineRule="auto"/>
              <w:jc w:val="center"/>
              <w:rPr>
                <w:rFonts w:hAnsi="宋体"/>
              </w:rPr>
            </w:pPr>
            <w:r>
              <w:rPr>
                <w:rFonts w:hint="eastAsia" w:hAnsi="宋体"/>
              </w:rPr>
              <w:t>6</w:t>
            </w:r>
          </w:p>
        </w:tc>
        <w:tc>
          <w:tcPr>
            <w:tcW w:w="1038" w:type="dxa"/>
            <w:vAlign w:val="center"/>
          </w:tcPr>
          <w:p w14:paraId="1A3D77A0">
            <w:pPr>
              <w:pStyle w:val="27"/>
              <w:spacing w:line="360" w:lineRule="auto"/>
              <w:jc w:val="center"/>
              <w:rPr>
                <w:rFonts w:hAnsi="宋体"/>
              </w:rPr>
            </w:pPr>
            <w:r>
              <w:rPr>
                <w:rFonts w:hint="eastAsia" w:hAnsi="宋体"/>
              </w:rPr>
              <w:t>4.8</w:t>
            </w:r>
          </w:p>
        </w:tc>
        <w:tc>
          <w:tcPr>
            <w:tcW w:w="1843" w:type="dxa"/>
            <w:vAlign w:val="center"/>
          </w:tcPr>
          <w:p w14:paraId="47A975DB">
            <w:pPr>
              <w:pStyle w:val="27"/>
              <w:spacing w:line="360" w:lineRule="auto"/>
              <w:jc w:val="center"/>
              <w:rPr>
                <w:rFonts w:hAnsi="宋体"/>
              </w:rPr>
            </w:pPr>
            <w:r>
              <w:rPr>
                <w:rFonts w:hint="eastAsia" w:hAnsi="宋体"/>
              </w:rPr>
              <w:t>联合体投标</w:t>
            </w:r>
          </w:p>
        </w:tc>
        <w:tc>
          <w:tcPr>
            <w:tcW w:w="6520" w:type="dxa"/>
          </w:tcPr>
          <w:p w14:paraId="0736499A">
            <w:pPr>
              <w:pStyle w:val="27"/>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7"/>
              <w:spacing w:line="360" w:lineRule="auto"/>
              <w:jc w:val="center"/>
              <w:rPr>
                <w:rFonts w:hAnsi="宋体"/>
              </w:rPr>
            </w:pPr>
            <w:r>
              <w:rPr>
                <w:rFonts w:hint="eastAsia" w:hAnsi="宋体"/>
              </w:rPr>
              <w:t>7</w:t>
            </w:r>
          </w:p>
        </w:tc>
        <w:tc>
          <w:tcPr>
            <w:tcW w:w="1038" w:type="dxa"/>
            <w:vAlign w:val="center"/>
          </w:tcPr>
          <w:p w14:paraId="497A0126">
            <w:pPr>
              <w:pStyle w:val="27"/>
              <w:spacing w:line="360" w:lineRule="auto"/>
              <w:jc w:val="center"/>
              <w:rPr>
                <w:rFonts w:hAnsi="宋体"/>
              </w:rPr>
            </w:pPr>
            <w:r>
              <w:rPr>
                <w:rFonts w:hint="eastAsia" w:hAnsi="宋体"/>
              </w:rPr>
              <w:t>6.1</w:t>
            </w:r>
          </w:p>
        </w:tc>
        <w:tc>
          <w:tcPr>
            <w:tcW w:w="1843" w:type="dxa"/>
            <w:vAlign w:val="center"/>
          </w:tcPr>
          <w:p w14:paraId="2863D47B">
            <w:pPr>
              <w:pStyle w:val="27"/>
              <w:spacing w:line="360" w:lineRule="auto"/>
              <w:jc w:val="center"/>
              <w:rPr>
                <w:rFonts w:hAnsi="宋体"/>
              </w:rPr>
            </w:pPr>
            <w:r>
              <w:rPr>
                <w:rFonts w:hint="eastAsia" w:hAnsi="宋体"/>
              </w:rPr>
              <w:t>踏勘现场</w:t>
            </w:r>
          </w:p>
        </w:tc>
        <w:tc>
          <w:tcPr>
            <w:tcW w:w="6520" w:type="dxa"/>
          </w:tcPr>
          <w:p w14:paraId="5647A1CB">
            <w:pPr>
              <w:pStyle w:val="27"/>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7"/>
              <w:spacing w:line="360" w:lineRule="auto"/>
              <w:jc w:val="center"/>
              <w:rPr>
                <w:rFonts w:hAnsi="宋体"/>
              </w:rPr>
            </w:pPr>
            <w:r>
              <w:rPr>
                <w:rFonts w:hint="eastAsia" w:hAnsi="宋体"/>
              </w:rPr>
              <w:t>8</w:t>
            </w:r>
          </w:p>
        </w:tc>
        <w:tc>
          <w:tcPr>
            <w:tcW w:w="1038" w:type="dxa"/>
            <w:vAlign w:val="center"/>
          </w:tcPr>
          <w:p w14:paraId="4F69E3C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7"/>
              <w:spacing w:line="360" w:lineRule="auto"/>
              <w:jc w:val="center"/>
              <w:rPr>
                <w:rFonts w:hAnsi="宋体"/>
              </w:rPr>
            </w:pPr>
            <w:r>
              <w:rPr>
                <w:rFonts w:hint="eastAsia" w:hAnsi="宋体"/>
              </w:rPr>
              <w:t>投标有效期</w:t>
            </w:r>
          </w:p>
        </w:tc>
        <w:tc>
          <w:tcPr>
            <w:tcW w:w="6520" w:type="dxa"/>
          </w:tcPr>
          <w:p w14:paraId="46B2DF29">
            <w:pPr>
              <w:pStyle w:val="27"/>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7"/>
              <w:spacing w:line="360" w:lineRule="auto"/>
              <w:jc w:val="center"/>
              <w:rPr>
                <w:rFonts w:hAnsi="宋体"/>
              </w:rPr>
            </w:pPr>
            <w:r>
              <w:rPr>
                <w:rFonts w:hint="eastAsia" w:hAnsi="宋体"/>
              </w:rPr>
              <w:t>9</w:t>
            </w:r>
          </w:p>
        </w:tc>
        <w:tc>
          <w:tcPr>
            <w:tcW w:w="1038" w:type="dxa"/>
            <w:vAlign w:val="center"/>
          </w:tcPr>
          <w:p w14:paraId="584E15B6">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7"/>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7"/>
              <w:spacing w:line="360" w:lineRule="auto"/>
              <w:jc w:val="center"/>
              <w:rPr>
                <w:rFonts w:hAnsi="宋体"/>
              </w:rPr>
            </w:pPr>
            <w:r>
              <w:rPr>
                <w:rFonts w:hint="eastAsia" w:hAnsi="宋体"/>
              </w:rPr>
              <w:t>10</w:t>
            </w:r>
          </w:p>
        </w:tc>
        <w:tc>
          <w:tcPr>
            <w:tcW w:w="1038" w:type="dxa"/>
            <w:vAlign w:val="center"/>
          </w:tcPr>
          <w:p w14:paraId="10018AC5">
            <w:pPr>
              <w:pStyle w:val="27"/>
              <w:spacing w:line="360" w:lineRule="auto"/>
              <w:jc w:val="center"/>
              <w:rPr>
                <w:rFonts w:hAnsi="宋体"/>
              </w:rPr>
            </w:pPr>
            <w:r>
              <w:rPr>
                <w:rFonts w:hint="eastAsia" w:hAnsi="宋体"/>
              </w:rPr>
              <w:t>16.1</w:t>
            </w:r>
          </w:p>
        </w:tc>
        <w:tc>
          <w:tcPr>
            <w:tcW w:w="1843" w:type="dxa"/>
            <w:vAlign w:val="center"/>
          </w:tcPr>
          <w:p w14:paraId="0AB9D9CB">
            <w:pPr>
              <w:pStyle w:val="27"/>
              <w:spacing w:line="360" w:lineRule="auto"/>
              <w:jc w:val="center"/>
              <w:rPr>
                <w:rFonts w:hAnsi="宋体"/>
              </w:rPr>
            </w:pPr>
            <w:r>
              <w:rPr>
                <w:rFonts w:hint="eastAsia" w:hAnsi="宋体"/>
              </w:rPr>
              <w:t>投标预备会</w:t>
            </w:r>
          </w:p>
          <w:p w14:paraId="53FE8470">
            <w:pPr>
              <w:pStyle w:val="27"/>
              <w:spacing w:line="360" w:lineRule="auto"/>
              <w:jc w:val="center"/>
              <w:rPr>
                <w:rFonts w:hAnsi="宋体"/>
              </w:rPr>
            </w:pPr>
            <w:r>
              <w:rPr>
                <w:rFonts w:hint="eastAsia" w:hAnsi="宋体"/>
              </w:rPr>
              <w:t>（答疑会）</w:t>
            </w:r>
          </w:p>
        </w:tc>
        <w:tc>
          <w:tcPr>
            <w:tcW w:w="6520" w:type="dxa"/>
            <w:vAlign w:val="center"/>
          </w:tcPr>
          <w:p w14:paraId="571F2922">
            <w:pPr>
              <w:pStyle w:val="27"/>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7"/>
              <w:spacing w:line="360" w:lineRule="auto"/>
              <w:jc w:val="center"/>
              <w:rPr>
                <w:rFonts w:hAnsi="宋体"/>
              </w:rPr>
            </w:pPr>
            <w:r>
              <w:rPr>
                <w:rFonts w:hint="eastAsia" w:hAnsi="宋体"/>
              </w:rPr>
              <w:t>11</w:t>
            </w:r>
          </w:p>
        </w:tc>
        <w:tc>
          <w:tcPr>
            <w:tcW w:w="1038" w:type="dxa"/>
            <w:vAlign w:val="center"/>
          </w:tcPr>
          <w:p w14:paraId="44D6EC10">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7"/>
              <w:spacing w:line="360" w:lineRule="auto"/>
              <w:jc w:val="center"/>
              <w:rPr>
                <w:rFonts w:hAnsi="宋体"/>
              </w:rPr>
            </w:pPr>
            <w:r>
              <w:rPr>
                <w:rFonts w:hint="eastAsia" w:hAnsi="宋体"/>
              </w:rPr>
              <w:t>投标文件数量</w:t>
            </w:r>
          </w:p>
        </w:tc>
        <w:tc>
          <w:tcPr>
            <w:tcW w:w="6520" w:type="dxa"/>
          </w:tcPr>
          <w:p w14:paraId="445A2CF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7"/>
              <w:spacing w:line="360" w:lineRule="auto"/>
              <w:jc w:val="center"/>
              <w:rPr>
                <w:rFonts w:hAnsi="宋体"/>
              </w:rPr>
            </w:pPr>
            <w:r>
              <w:rPr>
                <w:rFonts w:hint="eastAsia" w:hAnsi="宋体"/>
              </w:rPr>
              <w:t>12</w:t>
            </w:r>
          </w:p>
        </w:tc>
        <w:tc>
          <w:tcPr>
            <w:tcW w:w="1038" w:type="dxa"/>
            <w:vAlign w:val="center"/>
          </w:tcPr>
          <w:p w14:paraId="27CEC36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7"/>
              <w:spacing w:line="360" w:lineRule="auto"/>
              <w:jc w:val="center"/>
              <w:rPr>
                <w:rFonts w:hAnsi="宋体"/>
              </w:rPr>
            </w:pPr>
            <w:r>
              <w:rPr>
                <w:rFonts w:hint="eastAsia" w:hAnsi="宋体"/>
              </w:rPr>
              <w:t>开标</w:t>
            </w:r>
          </w:p>
        </w:tc>
        <w:tc>
          <w:tcPr>
            <w:tcW w:w="6520" w:type="dxa"/>
          </w:tcPr>
          <w:p w14:paraId="6819E80B">
            <w:pPr>
              <w:pStyle w:val="27"/>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7"/>
              <w:spacing w:line="360" w:lineRule="auto"/>
              <w:jc w:val="center"/>
              <w:rPr>
                <w:rFonts w:hAnsi="宋体"/>
              </w:rPr>
            </w:pPr>
            <w:r>
              <w:rPr>
                <w:rFonts w:hint="eastAsia" w:hAnsi="宋体"/>
              </w:rPr>
              <w:t>13</w:t>
            </w:r>
          </w:p>
        </w:tc>
        <w:tc>
          <w:tcPr>
            <w:tcW w:w="1038" w:type="dxa"/>
            <w:vAlign w:val="center"/>
          </w:tcPr>
          <w:p w14:paraId="455C0D57">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7"/>
              <w:spacing w:line="360" w:lineRule="auto"/>
              <w:jc w:val="center"/>
              <w:rPr>
                <w:rFonts w:hAnsi="宋体"/>
              </w:rPr>
            </w:pPr>
            <w:r>
              <w:rPr>
                <w:rFonts w:hint="eastAsia" w:hAnsi="宋体"/>
              </w:rPr>
              <w:t>投标截止时间</w:t>
            </w:r>
          </w:p>
        </w:tc>
        <w:tc>
          <w:tcPr>
            <w:tcW w:w="6520" w:type="dxa"/>
          </w:tcPr>
          <w:p w14:paraId="5FCF3CA3">
            <w:pPr>
              <w:pStyle w:val="27"/>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7"/>
              <w:spacing w:line="360" w:lineRule="auto"/>
              <w:jc w:val="center"/>
              <w:rPr>
                <w:rFonts w:hAnsi="宋体"/>
              </w:rPr>
            </w:pPr>
            <w:r>
              <w:rPr>
                <w:rFonts w:hint="eastAsia" w:hAnsi="宋体"/>
              </w:rPr>
              <w:t>14</w:t>
            </w:r>
          </w:p>
        </w:tc>
        <w:tc>
          <w:tcPr>
            <w:tcW w:w="1038" w:type="dxa"/>
            <w:vAlign w:val="center"/>
          </w:tcPr>
          <w:p w14:paraId="211F0790">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7"/>
              <w:spacing w:line="360" w:lineRule="auto"/>
              <w:jc w:val="center"/>
              <w:rPr>
                <w:rFonts w:hAnsi="宋体"/>
              </w:rPr>
            </w:pPr>
            <w:r>
              <w:rPr>
                <w:rFonts w:hint="eastAsia" w:hAnsi="宋体"/>
              </w:rPr>
              <w:t>评标办法</w:t>
            </w:r>
          </w:p>
        </w:tc>
        <w:tc>
          <w:tcPr>
            <w:tcW w:w="6520" w:type="dxa"/>
          </w:tcPr>
          <w:p w14:paraId="61612C12">
            <w:pPr>
              <w:pStyle w:val="27"/>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7"/>
              <w:spacing w:line="360" w:lineRule="auto"/>
              <w:jc w:val="center"/>
              <w:rPr>
                <w:rFonts w:hAnsi="宋体"/>
              </w:rPr>
            </w:pPr>
            <w:r>
              <w:rPr>
                <w:rFonts w:hint="eastAsia" w:hAnsi="宋体"/>
              </w:rPr>
              <w:t>15</w:t>
            </w:r>
          </w:p>
        </w:tc>
        <w:tc>
          <w:tcPr>
            <w:tcW w:w="1038" w:type="dxa"/>
            <w:vAlign w:val="center"/>
          </w:tcPr>
          <w:p w14:paraId="30D9A54C">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7"/>
              <w:spacing w:line="360" w:lineRule="auto"/>
              <w:jc w:val="center"/>
              <w:rPr>
                <w:snapToGrid w:val="0"/>
                <w:kern w:val="0"/>
              </w:rPr>
            </w:pPr>
            <w:r>
              <w:rPr>
                <w:rFonts w:hint="eastAsia"/>
                <w:snapToGrid w:val="0"/>
                <w:kern w:val="0"/>
              </w:rPr>
              <w:t>履约保证金</w:t>
            </w:r>
          </w:p>
        </w:tc>
        <w:tc>
          <w:tcPr>
            <w:tcW w:w="6520" w:type="dxa"/>
          </w:tcPr>
          <w:p w14:paraId="6303119F">
            <w:pPr>
              <w:pStyle w:val="27"/>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7"/>
              <w:spacing w:line="360" w:lineRule="auto"/>
              <w:jc w:val="center"/>
              <w:rPr>
                <w:rFonts w:hAnsi="宋体"/>
              </w:rPr>
            </w:pPr>
            <w:r>
              <w:rPr>
                <w:rFonts w:hint="eastAsia" w:hAnsi="宋体"/>
              </w:rPr>
              <w:t>16</w:t>
            </w:r>
          </w:p>
        </w:tc>
        <w:tc>
          <w:tcPr>
            <w:tcW w:w="1038" w:type="dxa"/>
            <w:vAlign w:val="center"/>
          </w:tcPr>
          <w:p w14:paraId="1AB423F3">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7"/>
              <w:spacing w:line="360" w:lineRule="auto"/>
              <w:jc w:val="center"/>
              <w:rPr>
                <w:rFonts w:hAnsi="宋体"/>
              </w:rPr>
            </w:pPr>
            <w:r>
              <w:rPr>
                <w:rFonts w:hint="eastAsia" w:hAnsi="宋体"/>
              </w:rPr>
              <w:t>中标服务费</w:t>
            </w:r>
          </w:p>
        </w:tc>
        <w:tc>
          <w:tcPr>
            <w:tcW w:w="6520" w:type="dxa"/>
          </w:tcPr>
          <w:p w14:paraId="0A52B2CB">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w:t>
            </w:r>
            <w:r>
              <w:rPr>
                <w:rFonts w:hint="eastAsia" w:asciiTheme="minorEastAsia" w:hAnsiTheme="minorEastAsia" w:eastAsiaTheme="minorEastAsia"/>
                <w:lang w:val="en-US" w:eastAsia="zh-CN"/>
              </w:rPr>
              <w:t>5</w:t>
            </w:r>
            <w:r>
              <w:rPr>
                <w:rFonts w:hint="eastAsia" w:asciiTheme="minorEastAsia" w:hAnsiTheme="minorEastAsia" w:eastAsiaTheme="minorEastAsia"/>
              </w:rPr>
              <w:t>00元。</w:t>
            </w:r>
          </w:p>
          <w:p w14:paraId="687E342D">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0" w:name="_Toc135293177"/>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25194"/>
      <w:bookmarkStart w:id="42" w:name="_Toc44691395"/>
      <w:bookmarkStart w:id="43" w:name="_Toc44690431"/>
      <w:bookmarkStart w:id="44" w:name="_Toc31468"/>
      <w:bookmarkStart w:id="45" w:name="_Toc44690704"/>
      <w:bookmarkStart w:id="46" w:name="_Toc44691163"/>
      <w:bookmarkStart w:id="47" w:name="_Toc11772"/>
      <w:bookmarkStart w:id="48" w:name="_Toc14934"/>
      <w:bookmarkStart w:id="49" w:name="_Toc13529317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2"/>
      </w:pPr>
    </w:p>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135293182"/>
      <w:bookmarkStart w:id="58" w:name="_Toc44690705"/>
      <w:bookmarkStart w:id="59" w:name="_Toc44691164"/>
      <w:bookmarkStart w:id="60" w:name="_Toc44690432"/>
      <w:bookmarkStart w:id="61" w:name="_Toc44691396"/>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0DAC9DBC">
      <w:pPr>
        <w:pStyle w:val="2"/>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2"/>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2"/>
        <w:spacing w:line="400" w:lineRule="exact"/>
        <w:jc w:val="center"/>
        <w:rPr>
          <w:rFonts w:hint="eastAsia" w:ascii="仿宋" w:hAnsi="仿宋" w:eastAsia="仿宋"/>
          <w:lang w:eastAsia="zh-CN"/>
        </w:rPr>
      </w:pPr>
    </w:p>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484195F">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0B706FB">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E99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0B10AC53">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BF235FE">
            <w:pPr>
              <w:jc w:val="center"/>
              <w:rPr>
                <w:rFonts w:hint="eastAsia" w:ascii="宋体" w:hAnsi="宋体" w:eastAsia="宋体" w:cs="宋体"/>
                <w:sz w:val="21"/>
                <w:szCs w:val="21"/>
              </w:rPr>
            </w:pPr>
          </w:p>
        </w:tc>
        <w:tc>
          <w:tcPr>
            <w:tcW w:w="1990" w:type="dxa"/>
            <w:gridSpan w:val="2"/>
            <w:vAlign w:val="top"/>
          </w:tcPr>
          <w:p w14:paraId="67FDD485">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6D1D9509">
            <w:pPr>
              <w:jc w:val="center"/>
              <w:rPr>
                <w:rFonts w:hint="eastAsia" w:ascii="宋体" w:hAnsi="宋体" w:eastAsia="宋体" w:cs="宋体"/>
                <w:sz w:val="21"/>
                <w:szCs w:val="21"/>
              </w:rPr>
            </w:pPr>
          </w:p>
        </w:tc>
      </w:tr>
      <w:tr w14:paraId="0BFF8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E295B1C">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5EC92A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759D7B7">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579CD3A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3EF1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FEF27C5">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72D7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50852ED9">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044E4F60">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13C2BD2E">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0C3A50A7">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114D91E4">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1CDBF038">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5A04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79463433">
            <w:pPr>
              <w:spacing w:line="252" w:lineRule="auto"/>
              <w:rPr>
                <w:rFonts w:hint="eastAsia" w:ascii="宋体" w:hAnsi="宋体" w:eastAsia="宋体" w:cs="宋体"/>
                <w:sz w:val="21"/>
                <w:szCs w:val="21"/>
              </w:rPr>
            </w:pPr>
          </w:p>
          <w:p w14:paraId="5D3C9C69">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163ED045">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64F5BDE5">
            <w:pPr>
              <w:jc w:val="center"/>
              <w:rPr>
                <w:rFonts w:hint="eastAsia" w:ascii="宋体" w:hAnsi="宋体" w:eastAsia="宋体" w:cs="宋体"/>
                <w:sz w:val="21"/>
                <w:szCs w:val="21"/>
              </w:rPr>
            </w:pPr>
          </w:p>
        </w:tc>
        <w:tc>
          <w:tcPr>
            <w:tcW w:w="1990" w:type="dxa"/>
            <w:gridSpan w:val="2"/>
            <w:vAlign w:val="center"/>
          </w:tcPr>
          <w:p w14:paraId="55CE9E87">
            <w:pPr>
              <w:jc w:val="center"/>
              <w:rPr>
                <w:rFonts w:hint="eastAsia" w:ascii="宋体" w:hAnsi="宋体" w:eastAsia="宋体" w:cs="宋体"/>
                <w:sz w:val="21"/>
                <w:szCs w:val="21"/>
              </w:rPr>
            </w:pPr>
          </w:p>
        </w:tc>
        <w:tc>
          <w:tcPr>
            <w:tcW w:w="1499" w:type="dxa"/>
            <w:vAlign w:val="center"/>
          </w:tcPr>
          <w:p w14:paraId="1452CD52">
            <w:pPr>
              <w:jc w:val="center"/>
              <w:rPr>
                <w:rFonts w:hint="eastAsia" w:ascii="宋体" w:hAnsi="宋体" w:eastAsia="宋体" w:cs="宋体"/>
                <w:sz w:val="21"/>
                <w:szCs w:val="21"/>
              </w:rPr>
            </w:pPr>
          </w:p>
        </w:tc>
        <w:tc>
          <w:tcPr>
            <w:tcW w:w="1489" w:type="dxa"/>
            <w:vAlign w:val="center"/>
          </w:tcPr>
          <w:p w14:paraId="1E01A5FA">
            <w:pPr>
              <w:jc w:val="center"/>
              <w:rPr>
                <w:rFonts w:hint="eastAsia" w:ascii="宋体" w:hAnsi="宋体" w:eastAsia="宋体" w:cs="宋体"/>
                <w:sz w:val="21"/>
                <w:szCs w:val="21"/>
              </w:rPr>
            </w:pPr>
          </w:p>
        </w:tc>
      </w:tr>
      <w:tr w14:paraId="3BBA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C4645A0">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50542D01">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6DE55413">
            <w:pPr>
              <w:jc w:val="center"/>
              <w:rPr>
                <w:rFonts w:hint="eastAsia" w:ascii="宋体" w:hAnsi="宋体" w:eastAsia="宋体" w:cs="宋体"/>
                <w:sz w:val="21"/>
                <w:szCs w:val="21"/>
              </w:rPr>
            </w:pPr>
          </w:p>
        </w:tc>
        <w:tc>
          <w:tcPr>
            <w:tcW w:w="1990" w:type="dxa"/>
            <w:gridSpan w:val="2"/>
            <w:vAlign w:val="center"/>
          </w:tcPr>
          <w:p w14:paraId="09E1E9CC">
            <w:pPr>
              <w:jc w:val="center"/>
              <w:rPr>
                <w:rFonts w:hint="eastAsia" w:ascii="宋体" w:hAnsi="宋体" w:eastAsia="宋体" w:cs="宋体"/>
                <w:sz w:val="21"/>
                <w:szCs w:val="21"/>
              </w:rPr>
            </w:pPr>
          </w:p>
        </w:tc>
        <w:tc>
          <w:tcPr>
            <w:tcW w:w="1499" w:type="dxa"/>
            <w:vAlign w:val="center"/>
          </w:tcPr>
          <w:p w14:paraId="6BD7179F">
            <w:pPr>
              <w:jc w:val="center"/>
              <w:rPr>
                <w:rFonts w:hint="eastAsia" w:ascii="宋体" w:hAnsi="宋体" w:eastAsia="宋体" w:cs="宋体"/>
                <w:sz w:val="21"/>
                <w:szCs w:val="21"/>
              </w:rPr>
            </w:pPr>
          </w:p>
        </w:tc>
        <w:tc>
          <w:tcPr>
            <w:tcW w:w="1489" w:type="dxa"/>
            <w:vAlign w:val="center"/>
          </w:tcPr>
          <w:p w14:paraId="4C38CC1D">
            <w:pPr>
              <w:jc w:val="center"/>
              <w:rPr>
                <w:rFonts w:hint="eastAsia" w:ascii="宋体" w:hAnsi="宋体" w:eastAsia="宋体" w:cs="宋体"/>
                <w:sz w:val="21"/>
                <w:szCs w:val="21"/>
              </w:rPr>
            </w:pPr>
          </w:p>
        </w:tc>
      </w:tr>
      <w:tr w14:paraId="1A57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BC2F8BC">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56244AFD">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0F658D0">
            <w:pPr>
              <w:jc w:val="center"/>
              <w:rPr>
                <w:rFonts w:hint="eastAsia" w:ascii="宋体" w:hAnsi="宋体" w:eastAsia="宋体" w:cs="宋体"/>
                <w:sz w:val="21"/>
                <w:szCs w:val="21"/>
              </w:rPr>
            </w:pPr>
          </w:p>
        </w:tc>
        <w:tc>
          <w:tcPr>
            <w:tcW w:w="1990" w:type="dxa"/>
            <w:gridSpan w:val="2"/>
            <w:vAlign w:val="center"/>
          </w:tcPr>
          <w:p w14:paraId="5742E631">
            <w:pPr>
              <w:jc w:val="center"/>
              <w:rPr>
                <w:rFonts w:hint="eastAsia" w:ascii="宋体" w:hAnsi="宋体" w:eastAsia="宋体" w:cs="宋体"/>
                <w:sz w:val="21"/>
                <w:szCs w:val="21"/>
              </w:rPr>
            </w:pPr>
          </w:p>
        </w:tc>
        <w:tc>
          <w:tcPr>
            <w:tcW w:w="1499" w:type="dxa"/>
            <w:vAlign w:val="center"/>
          </w:tcPr>
          <w:p w14:paraId="1D731097">
            <w:pPr>
              <w:jc w:val="center"/>
              <w:rPr>
                <w:rFonts w:hint="eastAsia" w:ascii="宋体" w:hAnsi="宋体" w:eastAsia="宋体" w:cs="宋体"/>
                <w:sz w:val="21"/>
                <w:szCs w:val="21"/>
              </w:rPr>
            </w:pPr>
          </w:p>
        </w:tc>
        <w:tc>
          <w:tcPr>
            <w:tcW w:w="1489" w:type="dxa"/>
            <w:vAlign w:val="center"/>
          </w:tcPr>
          <w:p w14:paraId="31F9613A">
            <w:pPr>
              <w:jc w:val="center"/>
              <w:rPr>
                <w:rFonts w:hint="eastAsia" w:ascii="宋体" w:hAnsi="宋体" w:eastAsia="宋体" w:cs="宋体"/>
                <w:sz w:val="21"/>
                <w:szCs w:val="21"/>
              </w:rPr>
            </w:pPr>
          </w:p>
        </w:tc>
      </w:tr>
      <w:tr w14:paraId="14A69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F1506D">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661E15D3">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0894DAF">
            <w:pPr>
              <w:jc w:val="center"/>
              <w:rPr>
                <w:rFonts w:hint="eastAsia" w:ascii="宋体" w:hAnsi="宋体" w:eastAsia="宋体" w:cs="宋体"/>
                <w:sz w:val="21"/>
                <w:szCs w:val="21"/>
              </w:rPr>
            </w:pPr>
          </w:p>
        </w:tc>
        <w:tc>
          <w:tcPr>
            <w:tcW w:w="1990" w:type="dxa"/>
            <w:gridSpan w:val="2"/>
            <w:vAlign w:val="center"/>
          </w:tcPr>
          <w:p w14:paraId="7097F37C">
            <w:pPr>
              <w:jc w:val="center"/>
              <w:rPr>
                <w:rFonts w:hint="eastAsia" w:ascii="宋体" w:hAnsi="宋体" w:eastAsia="宋体" w:cs="宋体"/>
                <w:sz w:val="21"/>
                <w:szCs w:val="21"/>
              </w:rPr>
            </w:pPr>
          </w:p>
        </w:tc>
        <w:tc>
          <w:tcPr>
            <w:tcW w:w="1499" w:type="dxa"/>
            <w:vAlign w:val="center"/>
          </w:tcPr>
          <w:p w14:paraId="07FBB11F">
            <w:pPr>
              <w:jc w:val="center"/>
              <w:rPr>
                <w:rFonts w:hint="eastAsia" w:ascii="宋体" w:hAnsi="宋体" w:eastAsia="宋体" w:cs="宋体"/>
                <w:sz w:val="21"/>
                <w:szCs w:val="21"/>
              </w:rPr>
            </w:pPr>
          </w:p>
        </w:tc>
        <w:tc>
          <w:tcPr>
            <w:tcW w:w="1489" w:type="dxa"/>
            <w:vAlign w:val="center"/>
          </w:tcPr>
          <w:p w14:paraId="74FCFA35">
            <w:pPr>
              <w:jc w:val="center"/>
              <w:rPr>
                <w:rFonts w:hint="eastAsia" w:ascii="宋体" w:hAnsi="宋体" w:eastAsia="宋体" w:cs="宋体"/>
                <w:sz w:val="21"/>
                <w:szCs w:val="21"/>
              </w:rPr>
            </w:pPr>
          </w:p>
        </w:tc>
      </w:tr>
      <w:tr w14:paraId="0D2A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00270F7D">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4A3B7061">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96890C0">
            <w:pPr>
              <w:jc w:val="center"/>
              <w:rPr>
                <w:rFonts w:hint="eastAsia" w:ascii="宋体" w:hAnsi="宋体" w:eastAsia="宋体" w:cs="宋体"/>
                <w:sz w:val="21"/>
                <w:szCs w:val="21"/>
              </w:rPr>
            </w:pPr>
          </w:p>
        </w:tc>
        <w:tc>
          <w:tcPr>
            <w:tcW w:w="1990" w:type="dxa"/>
            <w:gridSpan w:val="2"/>
            <w:vAlign w:val="center"/>
          </w:tcPr>
          <w:p w14:paraId="2D2DAA73">
            <w:pPr>
              <w:jc w:val="center"/>
              <w:rPr>
                <w:rFonts w:hint="eastAsia" w:ascii="宋体" w:hAnsi="宋体" w:eastAsia="宋体" w:cs="宋体"/>
                <w:sz w:val="21"/>
                <w:szCs w:val="21"/>
              </w:rPr>
            </w:pPr>
          </w:p>
        </w:tc>
        <w:tc>
          <w:tcPr>
            <w:tcW w:w="1499" w:type="dxa"/>
            <w:vAlign w:val="center"/>
          </w:tcPr>
          <w:p w14:paraId="50AC8630">
            <w:pPr>
              <w:jc w:val="center"/>
              <w:rPr>
                <w:rFonts w:hint="eastAsia" w:ascii="宋体" w:hAnsi="宋体" w:eastAsia="宋体" w:cs="宋体"/>
                <w:sz w:val="21"/>
                <w:szCs w:val="21"/>
              </w:rPr>
            </w:pPr>
          </w:p>
        </w:tc>
        <w:tc>
          <w:tcPr>
            <w:tcW w:w="1489" w:type="dxa"/>
            <w:vAlign w:val="center"/>
          </w:tcPr>
          <w:p w14:paraId="408B8500">
            <w:pPr>
              <w:jc w:val="center"/>
              <w:rPr>
                <w:rFonts w:hint="eastAsia" w:ascii="宋体" w:hAnsi="宋体" w:eastAsia="宋体" w:cs="宋体"/>
                <w:sz w:val="21"/>
                <w:szCs w:val="21"/>
              </w:rPr>
            </w:pPr>
          </w:p>
        </w:tc>
      </w:tr>
      <w:tr w14:paraId="147D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5B47BA6">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7856795D">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lang w:eastAsia="zh-CN"/>
              </w:rPr>
              <w:t>同一人员可以担任多个职务。上述项目负责人、主要技术人员必须为供应商本单位人员。</w:t>
            </w:r>
          </w:p>
        </w:tc>
      </w:tr>
      <w:tr w14:paraId="0F4E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494BE44B">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467E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779D4BB">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3F63F406">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2022D880">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416DAEAC">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78BD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36B59A16">
            <w:pPr>
              <w:spacing w:line="290" w:lineRule="auto"/>
              <w:rPr>
                <w:rFonts w:hint="eastAsia" w:ascii="宋体" w:hAnsi="宋体" w:eastAsia="宋体" w:cs="宋体"/>
                <w:sz w:val="21"/>
                <w:szCs w:val="21"/>
              </w:rPr>
            </w:pPr>
          </w:p>
          <w:p w14:paraId="09C78E85">
            <w:pPr>
              <w:spacing w:line="290" w:lineRule="auto"/>
              <w:rPr>
                <w:rFonts w:hint="eastAsia" w:ascii="宋体" w:hAnsi="宋体" w:eastAsia="宋体" w:cs="宋体"/>
                <w:sz w:val="21"/>
                <w:szCs w:val="21"/>
              </w:rPr>
            </w:pPr>
          </w:p>
          <w:p w14:paraId="3130E638">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657D74F">
            <w:pPr>
              <w:spacing w:line="274" w:lineRule="auto"/>
              <w:rPr>
                <w:rFonts w:hint="eastAsia" w:ascii="宋体" w:hAnsi="宋体" w:eastAsia="宋体" w:cs="宋体"/>
                <w:sz w:val="21"/>
                <w:szCs w:val="21"/>
              </w:rPr>
            </w:pPr>
          </w:p>
          <w:p w14:paraId="6170E198">
            <w:pPr>
              <w:spacing w:line="274" w:lineRule="auto"/>
              <w:rPr>
                <w:rFonts w:hint="eastAsia" w:ascii="宋体" w:hAnsi="宋体" w:eastAsia="宋体" w:cs="宋体"/>
                <w:sz w:val="21"/>
                <w:szCs w:val="21"/>
              </w:rPr>
            </w:pPr>
          </w:p>
          <w:p w14:paraId="74DDBC60">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E152C07">
            <w:pPr>
              <w:jc w:val="center"/>
              <w:rPr>
                <w:rFonts w:hint="eastAsia" w:ascii="宋体" w:hAnsi="宋体" w:eastAsia="宋体" w:cs="宋体"/>
                <w:sz w:val="21"/>
                <w:szCs w:val="21"/>
              </w:rPr>
            </w:pPr>
          </w:p>
        </w:tc>
        <w:tc>
          <w:tcPr>
            <w:tcW w:w="4187" w:type="dxa"/>
            <w:gridSpan w:val="3"/>
            <w:vAlign w:val="center"/>
          </w:tcPr>
          <w:p w14:paraId="2C0E9DA5">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C45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0C9A8BF1">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66DCDDEF">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37E3F84E">
            <w:pPr>
              <w:jc w:val="center"/>
              <w:rPr>
                <w:rFonts w:hint="eastAsia" w:ascii="宋体" w:hAnsi="宋体" w:eastAsia="宋体" w:cs="宋体"/>
                <w:sz w:val="21"/>
                <w:szCs w:val="21"/>
              </w:rPr>
            </w:pPr>
          </w:p>
        </w:tc>
        <w:tc>
          <w:tcPr>
            <w:tcW w:w="4187" w:type="dxa"/>
            <w:gridSpan w:val="3"/>
            <w:vAlign w:val="top"/>
          </w:tcPr>
          <w:p w14:paraId="47C533EF">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33C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16711D9E">
            <w:pPr>
              <w:pStyle w:val="509"/>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51379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w:t>
      </w:r>
      <w:r>
        <w:rPr>
          <w:rFonts w:hint="eastAsia" w:ascii="宋体" w:hAnsi="宋体" w:cs="宋体"/>
          <w:lang w:eastAsia="zh-CN"/>
        </w:rPr>
        <w:t>要求</w:t>
      </w:r>
      <w:r>
        <w:rPr>
          <w:rFonts w:hint="eastAsia" w:ascii="宋体" w:hAnsi="宋体" w:eastAsia="宋体" w:cs="宋体"/>
          <w:lang w:eastAsia="zh-CN"/>
        </w:rPr>
        <w:t>：</w:t>
      </w:r>
    </w:p>
    <w:p w14:paraId="219B6E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1、</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须如实填报《供应商基本情况表》并加盖</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公章。</w:t>
      </w:r>
    </w:p>
    <w:p w14:paraId="06627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2、</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需提供法定代表人、主要经营负责人、项目投标授权代表人、项目负责人、主要技术人员</w:t>
      </w:r>
      <w:r>
        <w:rPr>
          <w:rFonts w:hint="eastAsia" w:ascii="宋体" w:hAnsi="宋体" w:cs="宋体"/>
          <w:b/>
          <w:bCs/>
          <w:highlight w:val="yellow"/>
          <w:lang w:val="en-US" w:eastAsia="zh-CN"/>
        </w:rPr>
        <w:t>、投标文件编制人员</w:t>
      </w:r>
      <w:r>
        <w:rPr>
          <w:rFonts w:hint="eastAsia" w:ascii="宋体" w:hAnsi="宋体" w:eastAsia="宋体" w:cs="宋体"/>
          <w:b/>
          <w:bCs/>
          <w:highlight w:val="yellow"/>
          <w:lang w:val="en-US" w:eastAsia="zh-CN"/>
        </w:rPr>
        <w:t>最近一个月（投标当月）的社会保险证明</w:t>
      </w:r>
      <w:r>
        <w:rPr>
          <w:rFonts w:hint="eastAsia" w:ascii="宋体" w:hAnsi="宋体" w:cs="宋体"/>
          <w:b/>
          <w:bCs/>
          <w:highlight w:val="yellow"/>
          <w:lang w:val="en-US" w:eastAsia="zh-CN"/>
        </w:rPr>
        <w:t>材料</w:t>
      </w:r>
      <w:r>
        <w:rPr>
          <w:rFonts w:hint="eastAsia" w:ascii="宋体" w:hAnsi="宋体" w:eastAsia="宋体" w:cs="宋体"/>
          <w:b/>
          <w:bCs/>
          <w:highlight w:val="yellow"/>
          <w:lang w:val="en-US" w:eastAsia="zh-CN"/>
        </w:rPr>
        <w:t>。</w:t>
      </w:r>
    </w:p>
    <w:p w14:paraId="3D1E09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注：1)</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40D29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w:t>
      </w:r>
      <w:r>
        <w:rPr>
          <w:rFonts w:hint="eastAsia" w:ascii="宋体" w:hAnsi="宋体" w:cs="宋体"/>
          <w:highlight w:val="yellow"/>
          <w:lang w:val="en-US" w:eastAsia="zh-CN"/>
        </w:rPr>
        <w:t>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7290B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3)如</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为新成立单位且成立时间不足一个月或相关人员任职不足一个月，无法提供社保证明的，应提供加盖</w:t>
      </w:r>
      <w:r>
        <w:rPr>
          <w:rFonts w:hint="eastAsia" w:ascii="宋体" w:hAnsi="宋体" w:cs="宋体"/>
          <w:highlight w:val="yellow"/>
          <w:lang w:val="en-US" w:eastAsia="zh-CN"/>
        </w:rPr>
        <w:t>投标（响应）供应商</w:t>
      </w:r>
      <w:r>
        <w:rPr>
          <w:rFonts w:hint="eastAsia" w:ascii="宋体" w:hAnsi="宋体" w:eastAsia="宋体" w:cs="宋体"/>
          <w:highlight w:val="yellow"/>
          <w:lang w:val="en-US" w:eastAsia="zh-CN"/>
        </w:rPr>
        <w:t>公章的情况说明或者证明材料。</w:t>
      </w:r>
    </w:p>
    <w:p w14:paraId="3F3D0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4)如为退休人员，无法提供社保证明的，应提供退休证明。</w:t>
      </w:r>
    </w:p>
    <w:p w14:paraId="6B5D3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5)如为依法不需要缴纳社会保险的，应提供相应文件证明。</w:t>
      </w:r>
    </w:p>
    <w:p w14:paraId="3B0A3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6)如本项目未安排项目投标授权代表人、项目负责人、主要技术人员的，</w:t>
      </w:r>
      <w:r>
        <w:rPr>
          <w:rFonts w:hint="eastAsia" w:ascii="宋体" w:hAnsi="宋体" w:cs="宋体"/>
          <w:b/>
          <w:bCs/>
          <w:highlight w:val="yellow"/>
          <w:lang w:val="en-US" w:eastAsia="zh-CN"/>
        </w:rPr>
        <w:t>相关人员信息可填写“无”</w:t>
      </w:r>
      <w:r>
        <w:rPr>
          <w:rFonts w:hint="eastAsia" w:ascii="宋体" w:hAnsi="宋体" w:eastAsia="宋体" w:cs="宋体"/>
          <w:b/>
          <w:bCs/>
          <w:highlight w:val="yellow"/>
          <w:lang w:val="en-US" w:eastAsia="zh-CN"/>
        </w:rPr>
        <w:t>，无需提供</w:t>
      </w:r>
      <w:r>
        <w:rPr>
          <w:rFonts w:hint="eastAsia" w:ascii="宋体" w:hAnsi="宋体" w:cs="宋体"/>
          <w:b/>
          <w:bCs/>
          <w:highlight w:val="yellow"/>
          <w:lang w:val="en-US" w:eastAsia="zh-CN"/>
        </w:rPr>
        <w:t>未安排</w:t>
      </w:r>
      <w:r>
        <w:rPr>
          <w:rFonts w:hint="eastAsia" w:ascii="宋体" w:hAnsi="宋体" w:eastAsia="宋体" w:cs="宋体"/>
          <w:b/>
          <w:bCs/>
          <w:highlight w:val="yellow"/>
          <w:lang w:val="en-US" w:eastAsia="zh-CN"/>
        </w:rPr>
        <w:t>人员的社保</w:t>
      </w:r>
      <w:r>
        <w:rPr>
          <w:rFonts w:hint="eastAsia" w:ascii="宋体" w:hAnsi="宋体" w:cs="宋体"/>
          <w:b/>
          <w:bCs/>
          <w:highlight w:val="yellow"/>
          <w:lang w:val="en-US" w:eastAsia="zh-CN"/>
        </w:rPr>
        <w:t>证明</w:t>
      </w:r>
      <w:r>
        <w:rPr>
          <w:rFonts w:hint="eastAsia" w:ascii="宋体" w:hAnsi="宋体" w:eastAsia="宋体" w:cs="宋体"/>
          <w:b/>
          <w:bCs/>
          <w:highlight w:val="yellow"/>
          <w:lang w:val="en-US" w:eastAsia="zh-CN"/>
        </w:rPr>
        <w:t>。</w:t>
      </w:r>
    </w:p>
    <w:p w14:paraId="350541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bCs/>
          <w:highlight w:val="yellow"/>
          <w:lang w:val="en-US" w:eastAsia="zh-CN"/>
        </w:rPr>
        <w:t>7）本表中填报的人员姓名、身份证号码、缴纳社会保险单位应与社保证明材料中显示的信息相同。</w:t>
      </w:r>
    </w:p>
    <w:p w14:paraId="08A4F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yellow"/>
          <w:lang w:val="en-US" w:eastAsia="zh-CN"/>
        </w:rPr>
      </w:pPr>
      <w:r>
        <w:rPr>
          <w:rFonts w:hint="eastAsia" w:ascii="宋体" w:hAnsi="宋体" w:cs="宋体"/>
          <w:b/>
          <w:bCs/>
          <w:highlight w:val="yellow"/>
          <w:lang w:val="en-US" w:eastAsia="zh-CN"/>
        </w:rPr>
        <w:t>8）投标（响应）供应商未按要求填报《供应商基本情况表》或未加盖公章或未按要求提供证明材料的，将按投标（响应）无效处理。</w:t>
      </w:r>
    </w:p>
    <w:p w14:paraId="003543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eastAsia="宋体" w:cs="宋体"/>
          <w:b w:val="0"/>
          <w:bCs w:val="0"/>
          <w:highlight w:val="yellow"/>
          <w:lang w:val="en-US" w:eastAsia="zh-CN"/>
        </w:rPr>
        <w:t>★</w:t>
      </w:r>
      <w:r>
        <w:rPr>
          <w:rFonts w:hint="eastAsia" w:ascii="宋体" w:hAnsi="宋体" w:eastAsia="宋体" w:cs="宋体"/>
          <w:b/>
          <w:bCs/>
          <w:highlight w:val="yellow"/>
          <w:lang w:val="en-US" w:eastAsia="zh-CN"/>
        </w:rPr>
        <w:t>3、如采购代理机构审查发现</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yellow"/>
          <w:lang w:val="en-US" w:eastAsia="zh-CN"/>
        </w:rPr>
        <w:t>投标（响应）无效</w:t>
      </w:r>
      <w:r>
        <w:rPr>
          <w:rFonts w:hint="eastAsia" w:ascii="宋体" w:hAnsi="宋体" w:eastAsia="宋体" w:cs="宋体"/>
          <w:b/>
          <w:bCs/>
          <w:highlight w:val="yellow"/>
          <w:lang w:val="en-US" w:eastAsia="zh-CN"/>
        </w:rPr>
        <w:t>。</w:t>
      </w:r>
    </w:p>
    <w:p w14:paraId="0F6BAB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24EA8C1F">
      <w:pPr>
        <w:pStyle w:val="2"/>
        <w:rPr>
          <w:rFonts w:hint="eastAsia"/>
        </w:rPr>
      </w:pPr>
    </w:p>
    <w:p w14:paraId="712D1A91">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2"/>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433"/>
      <w:bookmarkStart w:id="68" w:name="_Toc135293186"/>
      <w:bookmarkStart w:id="69" w:name="_Toc44691165"/>
      <w:bookmarkStart w:id="70" w:name="_Toc44691397"/>
      <w:bookmarkStart w:id="71" w:name="_Toc4469070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2025年省市主备线路和基地裸光纤租用项目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44690707"/>
      <w:bookmarkStart w:id="73" w:name="_Toc44691166"/>
      <w:bookmarkStart w:id="74" w:name="_Toc135293187"/>
      <w:bookmarkStart w:id="75" w:name="_Toc44690434"/>
      <w:bookmarkStart w:id="76" w:name="_Toc44691398"/>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 xml:space="preserve">2   </w:t>
      </w:r>
      <w:r>
        <w:rPr>
          <w:rFonts w:hint="eastAsia" w:eastAsia="楷体_GB2312"/>
          <w:b/>
          <w:sz w:val="24"/>
          <w:lang w:val="en-US" w:eastAsia="zh-CN"/>
        </w:rPr>
        <w:t>投标分项</w:t>
      </w:r>
      <w:r>
        <w:rPr>
          <w:rFonts w:hint="eastAsia" w:eastAsia="楷体_GB2312"/>
          <w:b/>
          <w:sz w:val="24"/>
        </w:rPr>
        <w:t>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9"/>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1167"/>
      <w:bookmarkStart w:id="78" w:name="_Toc44691399"/>
      <w:bookmarkStart w:id="79" w:name="_Toc135293188"/>
      <w:bookmarkStart w:id="80" w:name="_Toc44690435"/>
      <w:bookmarkStart w:id="81" w:name="_Toc44690708"/>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2363EFB0">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网络平滑过渡</w:t>
      </w:r>
    </w:p>
    <w:p w14:paraId="42066D9D">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故障响应承诺</w:t>
      </w:r>
    </w:p>
    <w:p w14:paraId="7BF8C2A2">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、违约承诺</w:t>
      </w:r>
    </w:p>
    <w:p w14:paraId="67DE5C9D">
      <w:pPr>
        <w:spacing w:line="360" w:lineRule="auto"/>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、投标人同类项目业绩情况</w:t>
      </w:r>
    </w:p>
    <w:p w14:paraId="5D4F00B9">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8</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2"/>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1400"/>
      <w:bookmarkStart w:id="84" w:name="_Toc44690436"/>
      <w:bookmarkStart w:id="85" w:name="_Toc135293190"/>
      <w:bookmarkStart w:id="86" w:name="_Toc44690709"/>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_格式3__"/>
      <w:bookmarkEnd w:id="89"/>
      <w:bookmarkStart w:id="90" w:name="_格式5__"/>
      <w:bookmarkEnd w:id="90"/>
      <w:bookmarkStart w:id="91" w:name="q16"/>
      <w:bookmarkEnd w:id="91"/>
      <w:bookmarkStart w:id="92" w:name="q15"/>
      <w:bookmarkEnd w:id="92"/>
      <w:bookmarkStart w:id="93" w:name="_格式4__"/>
      <w:bookmarkEnd w:id="93"/>
      <w:bookmarkStart w:id="94" w:name="q17"/>
      <w:bookmarkEnd w:id="94"/>
      <w:r>
        <w:rPr>
          <w:rFonts w:asciiTheme="minorEastAsia" w:hAnsiTheme="minorEastAsia" w:eastAsiaTheme="minorEastAsia"/>
        </w:rPr>
        <w:tab/>
      </w:r>
      <w:bookmarkStart w:id="95" w:name="_Toc44690710"/>
      <w:bookmarkStart w:id="96" w:name="_Toc44691401"/>
      <w:bookmarkStart w:id="97" w:name="_Toc44691169"/>
      <w:bookmarkStart w:id="98" w:name="_Toc44690437"/>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7"/>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7"/>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7"/>
        <w:snapToGrid w:val="0"/>
        <w:spacing w:line="360" w:lineRule="auto"/>
        <w:ind w:firstLine="422" w:firstLineChars="200"/>
        <w:rPr>
          <w:rFonts w:hAnsi="宋体"/>
          <w:b/>
          <w:szCs w:val="21"/>
        </w:rPr>
      </w:pPr>
      <w:r>
        <w:rPr>
          <w:rFonts w:hint="eastAsia" w:hAnsi="宋体"/>
          <w:b/>
          <w:szCs w:val="21"/>
        </w:rPr>
        <w:t>二、合同金额</w:t>
      </w:r>
    </w:p>
    <w:p w14:paraId="1A9D4D7D">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7"/>
        <w:snapToGrid w:val="0"/>
        <w:spacing w:line="360" w:lineRule="auto"/>
        <w:ind w:firstLine="422" w:firstLineChars="200"/>
        <w:rPr>
          <w:rFonts w:hAnsi="宋体"/>
          <w:b/>
          <w:szCs w:val="21"/>
        </w:rPr>
      </w:pPr>
      <w:r>
        <w:rPr>
          <w:rFonts w:hint="eastAsia" w:hAnsi="宋体"/>
          <w:b/>
          <w:szCs w:val="21"/>
        </w:rPr>
        <w:t>三、技术资料</w:t>
      </w:r>
    </w:p>
    <w:p w14:paraId="53623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7"/>
        <w:snapToGrid w:val="0"/>
        <w:spacing w:line="360" w:lineRule="auto"/>
        <w:ind w:firstLine="422" w:firstLineChars="200"/>
        <w:rPr>
          <w:rFonts w:hAnsi="宋体"/>
          <w:b/>
          <w:szCs w:val="21"/>
        </w:rPr>
      </w:pPr>
      <w:r>
        <w:rPr>
          <w:rFonts w:hint="eastAsia" w:hAnsi="宋体"/>
          <w:b/>
          <w:szCs w:val="21"/>
        </w:rPr>
        <w:t>四、知识产权</w:t>
      </w:r>
    </w:p>
    <w:p w14:paraId="089B43B5">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7"/>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7"/>
        <w:snapToGrid w:val="0"/>
        <w:spacing w:line="360" w:lineRule="auto"/>
        <w:ind w:firstLine="422" w:firstLineChars="200"/>
        <w:rPr>
          <w:rFonts w:hAnsi="宋体"/>
          <w:b/>
          <w:szCs w:val="21"/>
        </w:rPr>
      </w:pPr>
      <w:r>
        <w:rPr>
          <w:rFonts w:hint="eastAsia" w:hAnsi="宋体"/>
          <w:b/>
          <w:szCs w:val="21"/>
        </w:rPr>
        <w:t>十、付款方式和税费</w:t>
      </w:r>
    </w:p>
    <w:p w14:paraId="2CAD3547">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7"/>
        <w:snapToGrid w:val="0"/>
        <w:spacing w:line="360" w:lineRule="auto"/>
        <w:ind w:firstLine="422" w:firstLineChars="200"/>
        <w:rPr>
          <w:rFonts w:hAnsi="宋体"/>
          <w:b/>
          <w:szCs w:val="21"/>
        </w:rPr>
      </w:pPr>
      <w:r>
        <w:rPr>
          <w:rFonts w:hint="eastAsia" w:hAnsi="宋体"/>
          <w:b/>
          <w:szCs w:val="21"/>
        </w:rPr>
        <w:t>十二、违约责任</w:t>
      </w:r>
    </w:p>
    <w:p w14:paraId="37297565">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7"/>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73610161"/>
      <w:bookmarkStart w:id="102" w:name="_Toc135293193"/>
      <w:r>
        <w:rPr>
          <w:rFonts w:hint="eastAsia"/>
        </w:rPr>
        <w:t>第九章  附件</w:t>
      </w:r>
      <w:bookmarkEnd w:id="101"/>
      <w:bookmarkEnd w:id="102"/>
    </w:p>
    <w:p w14:paraId="3C84BC95">
      <w:pPr>
        <w:pStyle w:val="2"/>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3646"/>
      <w:bookmarkStart w:id="110" w:name="_Toc73610164"/>
      <w:bookmarkStart w:id="111" w:name="_Toc13529319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73610165"/>
      <w:bookmarkStart w:id="113" w:name="_Toc135293197"/>
      <w:bookmarkStart w:id="114" w:name="_Toc73613647"/>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3"/>
      <w:tabs>
        <w:tab w:val="center" w:pos="4819"/>
        <w:tab w:val="right" w:pos="9638"/>
      </w:tabs>
      <w:jc w:val="left"/>
    </w:pPr>
    <w:r>
      <w:rPr>
        <w:rFonts w:hint="eastAsia"/>
      </w:rPr>
      <w:t>项目名称：</w:t>
    </w:r>
    <w:r>
      <w:rPr>
        <w:rFonts w:hint="eastAsia"/>
        <w:lang w:eastAsia="zh-CN"/>
      </w:rPr>
      <w:t>2025年省市主备线路和基地裸光纤租用项目</w:t>
    </w:r>
    <w:r>
      <w:rPr>
        <w:rFonts w:hint="eastAsia"/>
      </w:rPr>
      <w:t xml:space="preserve">                             项目编号：</w:t>
    </w:r>
    <w:r>
      <w:rPr>
        <w:rFonts w:hint="eastAsia" w:asciiTheme="minorEastAsia" w:hAnsiTheme="minorEastAsia" w:eastAsiaTheme="minorEastAsia"/>
        <w:lang w:eastAsia="zh-CN"/>
      </w:rPr>
      <w:t>SZZZ2025-QC0078</w:t>
    </w:r>
    <w:r>
      <w:tab/>
    </w:r>
  </w:p>
  <w:p w14:paraId="60593B1B">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1B68"/>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601F6E"/>
    <w:rsid w:val="026E4F91"/>
    <w:rsid w:val="02C77214"/>
    <w:rsid w:val="02CB1CF7"/>
    <w:rsid w:val="030D2310"/>
    <w:rsid w:val="03675DAC"/>
    <w:rsid w:val="041D095D"/>
    <w:rsid w:val="054247C4"/>
    <w:rsid w:val="05C87DB9"/>
    <w:rsid w:val="07B471FE"/>
    <w:rsid w:val="080A1514"/>
    <w:rsid w:val="08425EAC"/>
    <w:rsid w:val="085E53BC"/>
    <w:rsid w:val="08CC7876"/>
    <w:rsid w:val="08F04266"/>
    <w:rsid w:val="092403B3"/>
    <w:rsid w:val="0961739E"/>
    <w:rsid w:val="098E6083"/>
    <w:rsid w:val="09B74D83"/>
    <w:rsid w:val="09D354E6"/>
    <w:rsid w:val="0A92134D"/>
    <w:rsid w:val="0ADA4400"/>
    <w:rsid w:val="0B205B2B"/>
    <w:rsid w:val="0B3D0378"/>
    <w:rsid w:val="0B696551"/>
    <w:rsid w:val="0B782559"/>
    <w:rsid w:val="0BED0164"/>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953F6E"/>
    <w:rsid w:val="0FBC50EF"/>
    <w:rsid w:val="10050C09"/>
    <w:rsid w:val="10E01064"/>
    <w:rsid w:val="11080DB5"/>
    <w:rsid w:val="115F3FD7"/>
    <w:rsid w:val="11834124"/>
    <w:rsid w:val="11A259DD"/>
    <w:rsid w:val="11D90C91"/>
    <w:rsid w:val="11F9269A"/>
    <w:rsid w:val="120474A0"/>
    <w:rsid w:val="121D3BF2"/>
    <w:rsid w:val="122D5D5A"/>
    <w:rsid w:val="1299771C"/>
    <w:rsid w:val="12D15108"/>
    <w:rsid w:val="12ED5EA4"/>
    <w:rsid w:val="13102ABE"/>
    <w:rsid w:val="13165211"/>
    <w:rsid w:val="13A46CB7"/>
    <w:rsid w:val="14CF5677"/>
    <w:rsid w:val="14F055ED"/>
    <w:rsid w:val="163360DA"/>
    <w:rsid w:val="164B51D1"/>
    <w:rsid w:val="167D280D"/>
    <w:rsid w:val="17047766"/>
    <w:rsid w:val="174A5413"/>
    <w:rsid w:val="17935895"/>
    <w:rsid w:val="17F52C18"/>
    <w:rsid w:val="1807166C"/>
    <w:rsid w:val="18291542"/>
    <w:rsid w:val="184530EF"/>
    <w:rsid w:val="187842FE"/>
    <w:rsid w:val="189015C1"/>
    <w:rsid w:val="18EA041D"/>
    <w:rsid w:val="19227A4B"/>
    <w:rsid w:val="1A3B761A"/>
    <w:rsid w:val="1A4E7B88"/>
    <w:rsid w:val="1B1C7DC9"/>
    <w:rsid w:val="1B3E182A"/>
    <w:rsid w:val="1B4B5195"/>
    <w:rsid w:val="1C174C6F"/>
    <w:rsid w:val="1C7C020D"/>
    <w:rsid w:val="1C8F78BA"/>
    <w:rsid w:val="1C9B0D84"/>
    <w:rsid w:val="1CA7512B"/>
    <w:rsid w:val="1CDD3F3B"/>
    <w:rsid w:val="1D4D6869"/>
    <w:rsid w:val="1DF42FCA"/>
    <w:rsid w:val="1F51312D"/>
    <w:rsid w:val="20252FDD"/>
    <w:rsid w:val="204068EB"/>
    <w:rsid w:val="20707345"/>
    <w:rsid w:val="20FD7003"/>
    <w:rsid w:val="21022930"/>
    <w:rsid w:val="21760101"/>
    <w:rsid w:val="219F72F5"/>
    <w:rsid w:val="221A44BB"/>
    <w:rsid w:val="229A37FF"/>
    <w:rsid w:val="22B25284"/>
    <w:rsid w:val="22C07D9F"/>
    <w:rsid w:val="22E41AB5"/>
    <w:rsid w:val="23056CBA"/>
    <w:rsid w:val="234C1E42"/>
    <w:rsid w:val="23C6059E"/>
    <w:rsid w:val="23C95079"/>
    <w:rsid w:val="23FE5D77"/>
    <w:rsid w:val="24031A53"/>
    <w:rsid w:val="24307C26"/>
    <w:rsid w:val="24322559"/>
    <w:rsid w:val="248E5D4C"/>
    <w:rsid w:val="24C47897"/>
    <w:rsid w:val="24D521C3"/>
    <w:rsid w:val="24E337F8"/>
    <w:rsid w:val="252C71BA"/>
    <w:rsid w:val="257D4C7B"/>
    <w:rsid w:val="258D3B57"/>
    <w:rsid w:val="262336EE"/>
    <w:rsid w:val="269E4C0C"/>
    <w:rsid w:val="27024D1A"/>
    <w:rsid w:val="278F0C96"/>
    <w:rsid w:val="27AA4F6F"/>
    <w:rsid w:val="27D72D69"/>
    <w:rsid w:val="28247630"/>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2F3E547B"/>
    <w:rsid w:val="30601421"/>
    <w:rsid w:val="30817D6A"/>
    <w:rsid w:val="313F45C2"/>
    <w:rsid w:val="3157114E"/>
    <w:rsid w:val="315D7CF4"/>
    <w:rsid w:val="31F2037F"/>
    <w:rsid w:val="31F64758"/>
    <w:rsid w:val="329B11F6"/>
    <w:rsid w:val="336E087E"/>
    <w:rsid w:val="33A85DA6"/>
    <w:rsid w:val="33C3087D"/>
    <w:rsid w:val="344C0413"/>
    <w:rsid w:val="344F5E45"/>
    <w:rsid w:val="34842E9F"/>
    <w:rsid w:val="34BA37F6"/>
    <w:rsid w:val="34FA7B3A"/>
    <w:rsid w:val="350F28AA"/>
    <w:rsid w:val="35156C7E"/>
    <w:rsid w:val="35961B12"/>
    <w:rsid w:val="364523AD"/>
    <w:rsid w:val="36700D38"/>
    <w:rsid w:val="368636C2"/>
    <w:rsid w:val="36C4673D"/>
    <w:rsid w:val="36DF742A"/>
    <w:rsid w:val="377C6DA9"/>
    <w:rsid w:val="37B10B63"/>
    <w:rsid w:val="37B7226F"/>
    <w:rsid w:val="37D17C49"/>
    <w:rsid w:val="37DC0287"/>
    <w:rsid w:val="388C7258"/>
    <w:rsid w:val="38950836"/>
    <w:rsid w:val="3900628A"/>
    <w:rsid w:val="390721D7"/>
    <w:rsid w:val="393B510C"/>
    <w:rsid w:val="393F4767"/>
    <w:rsid w:val="39A97E97"/>
    <w:rsid w:val="3A260C29"/>
    <w:rsid w:val="3A651F6E"/>
    <w:rsid w:val="3AA53060"/>
    <w:rsid w:val="3AD26068"/>
    <w:rsid w:val="3B57268D"/>
    <w:rsid w:val="3B6176CE"/>
    <w:rsid w:val="3B9A52EF"/>
    <w:rsid w:val="3BF9504C"/>
    <w:rsid w:val="3C872BFA"/>
    <w:rsid w:val="3C9D3F8B"/>
    <w:rsid w:val="3CA60B04"/>
    <w:rsid w:val="3CF11603"/>
    <w:rsid w:val="3D5129F3"/>
    <w:rsid w:val="3D515A8A"/>
    <w:rsid w:val="3D623CEE"/>
    <w:rsid w:val="3D7507FB"/>
    <w:rsid w:val="3E974BA8"/>
    <w:rsid w:val="3EB137C5"/>
    <w:rsid w:val="3EB5127A"/>
    <w:rsid w:val="3EF341BE"/>
    <w:rsid w:val="3F2A1578"/>
    <w:rsid w:val="3F503E5E"/>
    <w:rsid w:val="3F812CA8"/>
    <w:rsid w:val="3FB547D5"/>
    <w:rsid w:val="3FC16214"/>
    <w:rsid w:val="41576FF8"/>
    <w:rsid w:val="41831414"/>
    <w:rsid w:val="41856F3A"/>
    <w:rsid w:val="418F600A"/>
    <w:rsid w:val="41935615"/>
    <w:rsid w:val="41D9164E"/>
    <w:rsid w:val="41DD521D"/>
    <w:rsid w:val="421870CD"/>
    <w:rsid w:val="423B7022"/>
    <w:rsid w:val="429A23DC"/>
    <w:rsid w:val="42A87124"/>
    <w:rsid w:val="42D633EC"/>
    <w:rsid w:val="430239C6"/>
    <w:rsid w:val="431111E7"/>
    <w:rsid w:val="4389060E"/>
    <w:rsid w:val="43C8028A"/>
    <w:rsid w:val="43D51667"/>
    <w:rsid w:val="443B2C25"/>
    <w:rsid w:val="444A6219"/>
    <w:rsid w:val="444F55DD"/>
    <w:rsid w:val="448421F1"/>
    <w:rsid w:val="44B931B7"/>
    <w:rsid w:val="44DC50C3"/>
    <w:rsid w:val="45D37D9B"/>
    <w:rsid w:val="46227145"/>
    <w:rsid w:val="46A11836"/>
    <w:rsid w:val="474642BA"/>
    <w:rsid w:val="47633879"/>
    <w:rsid w:val="48194FD5"/>
    <w:rsid w:val="484514CB"/>
    <w:rsid w:val="48C86EE1"/>
    <w:rsid w:val="4937532A"/>
    <w:rsid w:val="498272AD"/>
    <w:rsid w:val="49A34BDC"/>
    <w:rsid w:val="49BF4FB3"/>
    <w:rsid w:val="49FA6EF8"/>
    <w:rsid w:val="4A0701BA"/>
    <w:rsid w:val="4A784961"/>
    <w:rsid w:val="4ACF3A3C"/>
    <w:rsid w:val="4B1700DF"/>
    <w:rsid w:val="4B6E4EE3"/>
    <w:rsid w:val="4C085898"/>
    <w:rsid w:val="4C373527"/>
    <w:rsid w:val="4C602A7D"/>
    <w:rsid w:val="4CD90E2A"/>
    <w:rsid w:val="4CEF46B1"/>
    <w:rsid w:val="4E055E94"/>
    <w:rsid w:val="4E1910C7"/>
    <w:rsid w:val="4E6323B1"/>
    <w:rsid w:val="4EB175C0"/>
    <w:rsid w:val="4F0F6A19"/>
    <w:rsid w:val="4FB530E0"/>
    <w:rsid w:val="4FD7116E"/>
    <w:rsid w:val="51220301"/>
    <w:rsid w:val="51D10A66"/>
    <w:rsid w:val="51DA5080"/>
    <w:rsid w:val="51F51889"/>
    <w:rsid w:val="52232583"/>
    <w:rsid w:val="528A390F"/>
    <w:rsid w:val="528C6991"/>
    <w:rsid w:val="52C3297B"/>
    <w:rsid w:val="52D47D21"/>
    <w:rsid w:val="53A0100E"/>
    <w:rsid w:val="54054633"/>
    <w:rsid w:val="540605E4"/>
    <w:rsid w:val="547F0032"/>
    <w:rsid w:val="54A02A20"/>
    <w:rsid w:val="54E56F6E"/>
    <w:rsid w:val="551C775D"/>
    <w:rsid w:val="553D1BAE"/>
    <w:rsid w:val="55B24F8F"/>
    <w:rsid w:val="55C87B3E"/>
    <w:rsid w:val="565D002E"/>
    <w:rsid w:val="56A143BE"/>
    <w:rsid w:val="57142FA7"/>
    <w:rsid w:val="57BD5228"/>
    <w:rsid w:val="57F33150"/>
    <w:rsid w:val="585E62C0"/>
    <w:rsid w:val="58677DAE"/>
    <w:rsid w:val="58D67D8C"/>
    <w:rsid w:val="58E10577"/>
    <w:rsid w:val="59165EF7"/>
    <w:rsid w:val="59702A12"/>
    <w:rsid w:val="59CF1242"/>
    <w:rsid w:val="5AE46F75"/>
    <w:rsid w:val="5AED2A9C"/>
    <w:rsid w:val="5BC746C9"/>
    <w:rsid w:val="5CC61F72"/>
    <w:rsid w:val="5CF206F7"/>
    <w:rsid w:val="5D440F45"/>
    <w:rsid w:val="5D6121B1"/>
    <w:rsid w:val="5D6C0A93"/>
    <w:rsid w:val="5DA764EE"/>
    <w:rsid w:val="5DD07337"/>
    <w:rsid w:val="5EA0340D"/>
    <w:rsid w:val="5ED66C3C"/>
    <w:rsid w:val="5EE017FC"/>
    <w:rsid w:val="5F7A468D"/>
    <w:rsid w:val="5F9E76ED"/>
    <w:rsid w:val="5FDD643B"/>
    <w:rsid w:val="607249AE"/>
    <w:rsid w:val="60BA3E42"/>
    <w:rsid w:val="61181E1C"/>
    <w:rsid w:val="6155072E"/>
    <w:rsid w:val="6194383B"/>
    <w:rsid w:val="61A415C7"/>
    <w:rsid w:val="61C71D9F"/>
    <w:rsid w:val="61CB5375"/>
    <w:rsid w:val="61F21F72"/>
    <w:rsid w:val="623348CA"/>
    <w:rsid w:val="625421DB"/>
    <w:rsid w:val="63D11B11"/>
    <w:rsid w:val="643F18F7"/>
    <w:rsid w:val="64B37F11"/>
    <w:rsid w:val="65492532"/>
    <w:rsid w:val="65687212"/>
    <w:rsid w:val="658254E1"/>
    <w:rsid w:val="65C05392"/>
    <w:rsid w:val="65CA685B"/>
    <w:rsid w:val="65CF34A7"/>
    <w:rsid w:val="65F660EF"/>
    <w:rsid w:val="661E1452"/>
    <w:rsid w:val="6673798C"/>
    <w:rsid w:val="66F83B86"/>
    <w:rsid w:val="67087B42"/>
    <w:rsid w:val="673905B6"/>
    <w:rsid w:val="6808794F"/>
    <w:rsid w:val="681C3942"/>
    <w:rsid w:val="68460AAC"/>
    <w:rsid w:val="68AC1CFE"/>
    <w:rsid w:val="68EC626C"/>
    <w:rsid w:val="69227F4C"/>
    <w:rsid w:val="6B5B2936"/>
    <w:rsid w:val="6BCD1DE6"/>
    <w:rsid w:val="6C4443B0"/>
    <w:rsid w:val="6C505023"/>
    <w:rsid w:val="6CCE7457"/>
    <w:rsid w:val="6CF41368"/>
    <w:rsid w:val="6D14299F"/>
    <w:rsid w:val="6D672A1E"/>
    <w:rsid w:val="6DC237D1"/>
    <w:rsid w:val="6E681EA9"/>
    <w:rsid w:val="6E8421A4"/>
    <w:rsid w:val="6EB56801"/>
    <w:rsid w:val="6F40725E"/>
    <w:rsid w:val="6F4C2770"/>
    <w:rsid w:val="6F745D74"/>
    <w:rsid w:val="6F8F2BAE"/>
    <w:rsid w:val="6F984159"/>
    <w:rsid w:val="6FA10B33"/>
    <w:rsid w:val="70074E3A"/>
    <w:rsid w:val="704D7B76"/>
    <w:rsid w:val="70AE175A"/>
    <w:rsid w:val="711172CF"/>
    <w:rsid w:val="71B31BCA"/>
    <w:rsid w:val="71FD54DD"/>
    <w:rsid w:val="729A3A97"/>
    <w:rsid w:val="72CA287C"/>
    <w:rsid w:val="738E7E4C"/>
    <w:rsid w:val="739A7F5B"/>
    <w:rsid w:val="73C66DBA"/>
    <w:rsid w:val="73D55144"/>
    <w:rsid w:val="7410294D"/>
    <w:rsid w:val="74275AAB"/>
    <w:rsid w:val="74736F42"/>
    <w:rsid w:val="749E3893"/>
    <w:rsid w:val="750464B4"/>
    <w:rsid w:val="752B4572"/>
    <w:rsid w:val="75410DEE"/>
    <w:rsid w:val="75846F2D"/>
    <w:rsid w:val="75A86778"/>
    <w:rsid w:val="76373F9F"/>
    <w:rsid w:val="76A51ECB"/>
    <w:rsid w:val="76D71644"/>
    <w:rsid w:val="76EE69B8"/>
    <w:rsid w:val="776C2FB6"/>
    <w:rsid w:val="78E81581"/>
    <w:rsid w:val="790C34C1"/>
    <w:rsid w:val="79982284"/>
    <w:rsid w:val="7998662D"/>
    <w:rsid w:val="79F820B0"/>
    <w:rsid w:val="7A2F2846"/>
    <w:rsid w:val="7A8C5878"/>
    <w:rsid w:val="7AFB559C"/>
    <w:rsid w:val="7B471854"/>
    <w:rsid w:val="7B7535A0"/>
    <w:rsid w:val="7C552333"/>
    <w:rsid w:val="7CA103C5"/>
    <w:rsid w:val="7CA86C55"/>
    <w:rsid w:val="7CF019C1"/>
    <w:rsid w:val="7D461CAD"/>
    <w:rsid w:val="7E28286A"/>
    <w:rsid w:val="7E4515FE"/>
    <w:rsid w:val="7E634C57"/>
    <w:rsid w:val="7E747B3F"/>
    <w:rsid w:val="7EAD59B2"/>
    <w:rsid w:val="7EBF11BA"/>
    <w:rsid w:val="7F01514B"/>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autoRedefine/>
    <w:qFormat/>
    <w:uiPriority w:val="0"/>
    <w:rPr>
      <w:sz w:val="28"/>
      <w:szCs w:val="20"/>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21"/>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9"/>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84</Pages>
  <Words>15806</Words>
  <Characters>16665</Characters>
  <Lines>398</Lines>
  <Paragraphs>112</Paragraphs>
  <TotalTime>0</TotalTime>
  <ScaleCrop>false</ScaleCrop>
  <LinksUpToDate>false</LinksUpToDate>
  <CharactersWithSpaces>16872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中正招标--罗工</cp:lastModifiedBy>
  <cp:lastPrinted>2020-05-26T01:03:00Z</cp:lastPrinted>
  <dcterms:modified xsi:type="dcterms:W3CDTF">2025-03-17T08:29:58Z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E7EFCA99BA2A42C1A83BB3F37221F387</vt:lpwstr>
  </property>
  <property fmtid="{D5CDD505-2E9C-101B-9397-08002B2CF9AE}" pid="4" name="KSOTemplateDocerSaveRecord">
    <vt:lpwstr>eyJoZGlkIjoiOTM3MjBiNjhjY2U0ZDI0ZTM1OGYyYTNlZGQxMjhlMDciLCJ1c2VySWQiOiI0NjMwNjU1NzcifQ==</vt:lpwstr>
  </property>
</Properties>
</file>