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301B8777">
      <w:pPr>
        <w:adjustRightInd w:val="0"/>
        <w:snapToGrid w:val="0"/>
        <w:spacing w:line="300" w:lineRule="auto"/>
        <w:jc w:val="left"/>
        <w:rPr>
          <w:b/>
          <w:bCs/>
          <w:snapToGrid w:val="0"/>
          <w:kern w:val="0"/>
          <w:sz w:val="28"/>
          <w:szCs w:val="28"/>
        </w:rPr>
      </w:pPr>
      <w:r>
        <w:rPr>
          <w:b/>
          <w:bCs/>
          <w:snapToGrid w:val="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580390</wp:posOffset>
                </wp:positionH>
                <wp:positionV relativeFrom="paragraph">
                  <wp:posOffset>-41910</wp:posOffset>
                </wp:positionV>
                <wp:extent cx="3743960" cy="594360"/>
                <wp:effectExtent l="4445" t="4445" r="23495" b="10795"/>
                <wp:wrapNone/>
                <wp:docPr id="1" name="文本框 299"/>
                <wp:cNvGraphicFramePr/>
                <a:graphic xmlns:a="http://schemas.openxmlformats.org/drawingml/2006/main">
                  <a:graphicData uri="http://schemas.microsoft.com/office/word/2010/wordprocessingShape">
                    <wps:wsp>
                      <wps:cNvSpPr txBox="1"/>
                      <wps:spPr>
                        <a:xfrm>
                          <a:off x="0" y="0"/>
                          <a:ext cx="3743960" cy="594360"/>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2780151B">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14:paraId="437457F5">
                            <w:pPr>
                              <w:spacing w:line="400" w:lineRule="exact"/>
                              <w:rPr>
                                <w:rFonts w:ascii="仿宋" w:hAnsi="仿宋" w:eastAsia="仿宋"/>
                                <w:sz w:val="22"/>
                              </w:rPr>
                            </w:pPr>
                            <w:r>
                              <w:rPr>
                                <w:rFonts w:hint="eastAsia" w:ascii="仿宋" w:hAnsi="仿宋" w:eastAsia="仿宋"/>
                                <w:sz w:val="22"/>
                              </w:rPr>
                              <w:t>SHENZHEN ZHONGZHENG TENDERING CO.,LTD.</w:t>
                            </w:r>
                          </w:p>
                        </w:txbxContent>
                      </wps:txbx>
                      <wps:bodyPr upright="1"/>
                    </wps:wsp>
                  </a:graphicData>
                </a:graphic>
              </wp:anchor>
            </w:drawing>
          </mc:Choice>
          <mc:Fallback>
            <w:pict>
              <v:shape id="文本框 299" o:spid="_x0000_s1026" o:spt="202" type="#_x0000_t202" style="position:absolute;left:0pt;margin-left:45.7pt;margin-top:-3.3pt;height:46.8pt;width:294.8pt;z-index:251659264;mso-width-relative:page;mso-height-relative:page;" fillcolor="#FFFFFF" filled="t"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rurN3BgIAADgEAAAOAAAAZHJzL2Uyb0RvYy54bWytU02u&#10;0zAQ3iNxB8t7mr729UGjpk+CUjYIkB4cwLWdxJL/5HGb9AJwA1Zs2HOunoOxE/r+Nl2QhTP2fP5m&#10;5pvx6rY3mhxkAOVsRa8mU0qk5U4o21T029ftqzeUQGRWMO2srOhRAr1dv3yx6nwpZ651WshAkMRC&#10;2fmKtjH6siiAt9IwmDgvLTprFwyLuA1NIQLrkN3oYjad3hSdC8IHxyUAnm4GJx0ZwyWErq4VlxvH&#10;90baOLAGqVnEkqBVHug6Z1vXksfPdQ0yEl1RrDTmFYOgvUtrsV6xsgnMt4qPKbBLUnhSk2HKYtAz&#10;1YZFRvZBPaMyigcHro4T7kwxFJIVwSqupk+0uWuZl7kWlBr8WXT4f7T80+FLIErgJFBimcGGn37+&#10;OP36c/r9ncyWyyRQ56FE3J1HZOzfuj6Bx3PAw1R3XweT/lgRQT/KezzLK/tIOB7OX1/Plzfo4uhb&#10;LK/naCNNcX/bB4gfpDMkGRUN2L6sKjt8hDhA/0FSMHBaia3SOm9Cs3unAzkwbPU2fyP7I5i2pKvo&#10;cjFbYB4M57fGuUHTeNQAbJPjPboBlxGnxDYM2iGBzJDis9KoKEO2WsnEeytIPHrU2eLzoikZIwUl&#10;WuJrTFZGRqb0JUjUTluUMLVoaEWyYr/rkSaZOyeO2La9D6ppUdLcuAzHgcraj8OfJvbhPpPeP/j1&#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t8zXHXAAAACAEAAA8AAAAAAAAAAQAgAAAAIgAAAGRy&#10;cy9kb3ducmV2LnhtbFBLAQIUABQAAAAIAIdO4kArurN3BgIAADgEAAAOAAAAAAAAAAEAIAAAACYB&#10;AABkcnMvZTJvRG9jLnhtbFBLBQYAAAAABgAGAFkBAACeBQAAAAA=&#10;">
                <v:fill on="t" focussize="0,0"/>
                <v:stroke color="#FFFFFF" joinstyle="miter"/>
                <v:imagedata o:title=""/>
                <o:lock v:ext="edit" aspectratio="f"/>
                <v:textbox>
                  <w:txbxContent>
                    <w:p w14:paraId="2780151B">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14:paraId="437457F5">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mc:Fallback>
        </mc:AlternateConten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14:paraId="59C3CB7A">
      <w:pPr>
        <w:ind w:left="682" w:leftChars="-203" w:hanging="1108" w:hangingChars="154"/>
        <w:rPr>
          <w:sz w:val="72"/>
          <w:szCs w:val="72"/>
        </w:rPr>
      </w:pPr>
    </w:p>
    <w:p w14:paraId="05E4F351">
      <w:pPr>
        <w:adjustRightInd w:val="0"/>
        <w:snapToGrid w:val="0"/>
        <w:spacing w:line="300" w:lineRule="auto"/>
        <w:jc w:val="left"/>
        <w:rPr>
          <w:b/>
          <w:bCs/>
          <w:snapToGrid w:val="0"/>
          <w:kern w:val="0"/>
          <w:sz w:val="28"/>
          <w:szCs w:val="28"/>
        </w:rPr>
      </w:pPr>
    </w:p>
    <w:p w14:paraId="79FDBF43">
      <w:pPr>
        <w:adjustRightInd w:val="0"/>
        <w:snapToGrid w:val="0"/>
        <w:spacing w:line="300" w:lineRule="auto"/>
        <w:jc w:val="left"/>
        <w:rPr>
          <w:b/>
          <w:bCs/>
          <w:snapToGrid w:val="0"/>
          <w:kern w:val="0"/>
          <w:sz w:val="28"/>
          <w:szCs w:val="28"/>
        </w:rPr>
      </w:pPr>
      <w:r>
        <w:rPr>
          <w:rFonts w:hint="eastAsia"/>
          <w:b/>
          <w:bCs/>
          <w:snapToGrid w:val="0"/>
          <w:kern w:val="0"/>
          <w:sz w:val="28"/>
          <w:szCs w:val="28"/>
        </w:rPr>
        <w:t xml:space="preserve"> </w:t>
      </w:r>
    </w:p>
    <w:p w14:paraId="14BC194F">
      <w:pPr>
        <w:adjustRightInd w:val="0"/>
        <w:snapToGrid w:val="0"/>
        <w:spacing w:line="300" w:lineRule="auto"/>
        <w:jc w:val="left"/>
        <w:rPr>
          <w:b/>
          <w:bCs/>
          <w:snapToGrid w:val="0"/>
          <w:kern w:val="0"/>
          <w:sz w:val="28"/>
          <w:szCs w:val="28"/>
        </w:rPr>
      </w:pPr>
    </w:p>
    <w:p w14:paraId="33E03894">
      <w:pPr>
        <w:adjustRightInd w:val="0"/>
        <w:snapToGrid w:val="0"/>
        <w:spacing w:line="300" w:lineRule="auto"/>
        <w:jc w:val="center"/>
        <w:rPr>
          <w:rFonts w:hint="eastAsia" w:asciiTheme="minorEastAsia" w:hAnsiTheme="minorEastAsia" w:eastAsiaTheme="minorEastAsia"/>
          <w:b/>
          <w:snapToGrid w:val="0"/>
          <w:kern w:val="0"/>
          <w:sz w:val="80"/>
          <w:szCs w:val="80"/>
          <w:lang w:eastAsia="zh-CN"/>
        </w:rPr>
      </w:pPr>
      <w:r>
        <w:rPr>
          <w:rFonts w:hint="eastAsia" w:asciiTheme="minorEastAsia" w:hAnsiTheme="minorEastAsia" w:eastAsiaTheme="minorEastAsia"/>
          <w:b/>
          <w:bCs/>
          <w:snapToGrid w:val="0"/>
          <w:kern w:val="0"/>
          <w:sz w:val="72"/>
          <w:szCs w:val="72"/>
          <w:lang w:eastAsia="zh-CN"/>
        </w:rPr>
        <w:t>深圳市市场监督管理局龙岗监管局公务用车维修保养服务</w:t>
      </w:r>
    </w:p>
    <w:p w14:paraId="390C6CF9">
      <w:pPr>
        <w:adjustRightInd w:val="0"/>
        <w:snapToGrid w:val="0"/>
        <w:spacing w:line="300" w:lineRule="auto"/>
        <w:jc w:val="center"/>
        <w:rPr>
          <w:rFonts w:ascii="经典标宋简" w:eastAsia="经典标宋简"/>
          <w:b/>
          <w:snapToGrid w:val="0"/>
          <w:kern w:val="0"/>
          <w:sz w:val="44"/>
          <w:szCs w:val="44"/>
        </w:rPr>
      </w:pPr>
    </w:p>
    <w:p w14:paraId="061651E2">
      <w:pPr>
        <w:adjustRightInd w:val="0"/>
        <w:snapToGrid w:val="0"/>
        <w:spacing w:line="300" w:lineRule="auto"/>
        <w:jc w:val="center"/>
        <w:rPr>
          <w:rFonts w:ascii="经典标宋简" w:eastAsia="经典标宋简"/>
          <w:b/>
          <w:snapToGrid w:val="0"/>
          <w:kern w:val="0"/>
          <w:sz w:val="44"/>
          <w:szCs w:val="44"/>
        </w:rPr>
      </w:pPr>
    </w:p>
    <w:p w14:paraId="13C2A0AA">
      <w:pPr>
        <w:adjustRightInd w:val="0"/>
        <w:snapToGrid w:val="0"/>
        <w:spacing w:line="300" w:lineRule="auto"/>
        <w:jc w:val="center"/>
        <w:rPr>
          <w:rFonts w:ascii="经典标宋简" w:eastAsia="经典标宋简"/>
          <w:b/>
          <w:snapToGrid w:val="0"/>
          <w:kern w:val="0"/>
          <w:sz w:val="44"/>
          <w:szCs w:val="44"/>
        </w:rPr>
      </w:pPr>
    </w:p>
    <w:p w14:paraId="1E3EAB10">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服务类招标文件</w:t>
      </w:r>
    </w:p>
    <w:p w14:paraId="414D1962">
      <w:pPr>
        <w:adjustRightInd w:val="0"/>
        <w:snapToGrid w:val="0"/>
        <w:spacing w:line="300" w:lineRule="auto"/>
        <w:jc w:val="center"/>
        <w:rPr>
          <w:rFonts w:ascii="经典等线简" w:eastAsia="经典等线简"/>
          <w:b/>
          <w:snapToGrid w:val="0"/>
          <w:kern w:val="0"/>
          <w:sz w:val="32"/>
        </w:rPr>
      </w:pPr>
    </w:p>
    <w:p w14:paraId="0415C5BE">
      <w:pPr>
        <w:adjustRightInd w:val="0"/>
        <w:snapToGrid w:val="0"/>
        <w:spacing w:line="300" w:lineRule="auto"/>
        <w:jc w:val="center"/>
        <w:rPr>
          <w:rFonts w:hint="eastAsia" w:asciiTheme="minorEastAsia" w:hAnsiTheme="minorEastAsia" w:eastAsiaTheme="minorEastAsia"/>
          <w:b/>
          <w:snapToGrid w:val="0"/>
          <w:kern w:val="0"/>
          <w:sz w:val="32"/>
          <w:lang w:eastAsia="zh-CN"/>
        </w:rPr>
      </w:pPr>
      <w:r>
        <w:rPr>
          <w:rFonts w:hint="eastAsia" w:asciiTheme="minorEastAsia" w:hAnsiTheme="minorEastAsia" w:eastAsiaTheme="minorEastAsia"/>
          <w:b/>
          <w:snapToGrid w:val="0"/>
          <w:kern w:val="0"/>
          <w:sz w:val="32"/>
        </w:rPr>
        <w:t>项目编号：</w:t>
      </w:r>
      <w:r>
        <w:rPr>
          <w:rFonts w:hint="eastAsia" w:asciiTheme="minorEastAsia" w:hAnsiTheme="minorEastAsia" w:eastAsiaTheme="minorEastAsia"/>
          <w:b/>
          <w:snapToGrid w:val="0"/>
          <w:kern w:val="0"/>
          <w:sz w:val="32"/>
          <w:lang w:eastAsia="zh-CN"/>
        </w:rPr>
        <w:t>SZZZ2024-QC0293</w:t>
      </w:r>
    </w:p>
    <w:p w14:paraId="7C093634">
      <w:pPr>
        <w:adjustRightInd w:val="0"/>
        <w:snapToGrid w:val="0"/>
        <w:spacing w:line="300" w:lineRule="auto"/>
        <w:jc w:val="center"/>
        <w:rPr>
          <w:rFonts w:ascii="经典等线简" w:eastAsia="经典等线简"/>
          <w:b/>
          <w:snapToGrid w:val="0"/>
          <w:kern w:val="0"/>
          <w:sz w:val="18"/>
          <w:szCs w:val="18"/>
        </w:rPr>
      </w:pPr>
    </w:p>
    <w:p w14:paraId="15EBBAFA">
      <w:pPr>
        <w:adjustRightInd w:val="0"/>
        <w:snapToGrid w:val="0"/>
        <w:spacing w:line="300" w:lineRule="auto"/>
        <w:jc w:val="center"/>
        <w:rPr>
          <w:rFonts w:eastAsia="经典标宋简"/>
          <w:b/>
          <w:snapToGrid w:val="0"/>
          <w:kern w:val="0"/>
          <w:sz w:val="44"/>
        </w:rPr>
      </w:pPr>
    </w:p>
    <w:p w14:paraId="633DB4E7">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14:paraId="10420910">
      <w:pPr>
        <w:pStyle w:val="28"/>
        <w:adjustRightInd w:val="0"/>
        <w:snapToGrid w:val="0"/>
        <w:spacing w:line="300" w:lineRule="auto"/>
        <w:jc w:val="center"/>
        <w:rPr>
          <w:rFonts w:ascii="Times New Roman" w:hAnsi="Times New Roman" w:eastAsia="经典等线简"/>
          <w:b/>
          <w:snapToGrid w:val="0"/>
          <w:sz w:val="30"/>
        </w:rPr>
      </w:pPr>
    </w:p>
    <w:p w14:paraId="6618B997"/>
    <w:p w14:paraId="0B1E3AE1"/>
    <w:p w14:paraId="31D11E38"/>
    <w:p w14:paraId="63F6CBE0"/>
    <w:p w14:paraId="48CDE8E4">
      <w:pPr>
        <w:pStyle w:val="28"/>
        <w:adjustRightInd w:val="0"/>
        <w:snapToGrid w:val="0"/>
        <w:spacing w:line="300" w:lineRule="auto"/>
        <w:ind w:hanging="835"/>
        <w:jc w:val="center"/>
        <w:rPr>
          <w:rFonts w:hint="default" w:eastAsia="宋体"/>
          <w:b/>
          <w:snapToGrid w:val="0"/>
          <w:sz w:val="30"/>
          <w:lang w:val="en-US" w:eastAsia="zh-CN"/>
        </w:rPr>
      </w:pPr>
      <w:r>
        <w:rPr>
          <w:rFonts w:hint="eastAsia"/>
          <w:b/>
          <w:snapToGrid w:val="0"/>
          <w:sz w:val="30"/>
        </w:rPr>
        <w:t>二〇二四年</w:t>
      </w:r>
      <w:r>
        <w:rPr>
          <w:rFonts w:hint="eastAsia"/>
          <w:b/>
          <w:snapToGrid w:val="0"/>
          <w:sz w:val="30"/>
          <w:lang w:val="en-US" w:eastAsia="zh-CN"/>
        </w:rPr>
        <w:t>七月</w:t>
      </w:r>
    </w:p>
    <w:p w14:paraId="7008D4FF"/>
    <w:p w14:paraId="3D9EF32D">
      <w:pPr>
        <w:jc w:val="center"/>
        <w:rPr>
          <w:rFonts w:asciiTheme="minorEastAsia" w:hAnsiTheme="minorEastAsia" w:eastAsiaTheme="minorEastAsia"/>
          <w:b/>
          <w:bCs/>
          <w:szCs w:val="21"/>
        </w:rPr>
      </w:pPr>
    </w:p>
    <w:p w14:paraId="08D5582A">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14:paraId="527FF2F1">
      <w:pPr>
        <w:spacing w:line="360" w:lineRule="auto"/>
        <w:ind w:firstLine="480" w:firstLineChars="200"/>
        <w:rPr>
          <w:rFonts w:ascii="宋体" w:hAnsi="宋体"/>
          <w:sz w:val="24"/>
        </w:rPr>
      </w:pPr>
    </w:p>
    <w:p w14:paraId="481CA905">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w:t>
      </w:r>
    </w:p>
    <w:p w14:paraId="1144CC83">
      <w:pPr>
        <w:spacing w:line="440" w:lineRule="exact"/>
        <w:ind w:firstLine="480" w:firstLineChars="200"/>
        <w:rPr>
          <w:rFonts w:ascii="仿宋" w:hAnsi="仿宋" w:eastAsia="仿宋"/>
          <w:sz w:val="24"/>
        </w:rPr>
      </w:pPr>
      <w:r>
        <w:rPr>
          <w:rFonts w:hint="eastAsia" w:ascii="仿宋" w:hAnsi="仿宋" w:eastAsia="仿宋"/>
          <w:sz w:val="24"/>
        </w:rPr>
        <w:t>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14:paraId="2EFE7E36">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14:paraId="1085CB0E">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14:paraId="17A2361F">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14:paraId="6E7DAD35">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14:paraId="6314A8D5">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14:paraId="70D6342B">
      <w:pPr>
        <w:spacing w:line="440" w:lineRule="exact"/>
        <w:ind w:firstLine="480" w:firstLineChars="200"/>
        <w:rPr>
          <w:rFonts w:ascii="仿宋" w:hAnsi="仿宋" w:eastAsia="仿宋"/>
          <w:sz w:val="24"/>
        </w:rPr>
      </w:pPr>
      <w:r>
        <w:rPr>
          <w:rFonts w:hint="eastAsia" w:ascii="仿宋" w:hAnsi="仿宋" w:eastAsia="仿宋"/>
          <w:sz w:val="24"/>
        </w:rPr>
        <w:t>（六）恶意投诉的；</w:t>
      </w:r>
    </w:p>
    <w:p w14:paraId="7E299CCE">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14:paraId="2967695D">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14:paraId="7FB10B55">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14:paraId="70559287">
      <w:pPr>
        <w:spacing w:line="440" w:lineRule="exact"/>
        <w:ind w:firstLine="480" w:firstLineChars="200"/>
        <w:rPr>
          <w:rFonts w:ascii="仿宋" w:hAnsi="仿宋" w:eastAsia="仿宋"/>
          <w:sz w:val="24"/>
        </w:rPr>
      </w:pPr>
    </w:p>
    <w:p w14:paraId="739122B7">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w:t>
      </w:r>
    </w:p>
    <w:p w14:paraId="11743437">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第七十五条 供应商有下列情形的，属于采购条例所称的串通投标行为，按照采购条例第五十七条有关规定处理：</w:t>
      </w:r>
    </w:p>
    <w:p w14:paraId="382C7CD9">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（一）投标供应商之间相互约定给予未中标的供应商利益补偿；</w:t>
      </w:r>
    </w:p>
    <w:p w14:paraId="3B0B7F83">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 xml:space="preserve">（二）不同投标供应商的法定代表人、主要经营负责人、项目投标授权代表人、项目负责人、主要技术人员为同一人、属同一单位或者在同一单位缴纳社会保险；          </w:t>
      </w:r>
    </w:p>
    <w:p w14:paraId="06C8CDF2">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（三）不同投标供应商的投标文件由同一单位或者同一人编制，或者由同一人分阶段参与编制的；</w:t>
      </w:r>
    </w:p>
    <w:p w14:paraId="4E6A4A83">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（四）不同投标供应商的投标文件或部分投标文件相互混装；</w:t>
      </w:r>
    </w:p>
    <w:p w14:paraId="36EC8B7E">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（五）不同投标供应商的投标文件内容存在非正常一致；</w:t>
      </w:r>
    </w:p>
    <w:p w14:paraId="00503678">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（六）由同一单位工作人员为两家以上（含两家）供应商进行同一项投标活动的；</w:t>
      </w:r>
    </w:p>
    <w:p w14:paraId="6D90EEAB">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（七）主管部门依照法律、法规认定的其他情形。</w:t>
      </w:r>
    </w:p>
    <w:p w14:paraId="211E3045">
      <w:pPr>
        <w:spacing w:line="440" w:lineRule="exact"/>
        <w:ind w:firstLine="480" w:firstLineChars="200"/>
        <w:rPr>
          <w:rFonts w:ascii="仿宋" w:hAnsi="仿宋" w:eastAsia="仿宋"/>
          <w:sz w:val="24"/>
        </w:rPr>
      </w:pPr>
      <w:r>
        <w:rPr>
          <w:rFonts w:hint="eastAsia" w:ascii="仿宋" w:hAnsi="仿宋" w:eastAsia="仿宋"/>
          <w:sz w:val="24"/>
        </w:rPr>
        <w:t>第七十七条 供应商有下列情形之一的，属于隐瞒真实情况，提供虚假资料，按照采购条例第五十七的有关规定处理：</w:t>
      </w:r>
    </w:p>
    <w:p w14:paraId="55F0EB86">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14:paraId="5437BB0E">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14:paraId="6ADE9002">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14:paraId="40B51A0D">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14:paraId="5323B72F">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14:paraId="62A6B065">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14:paraId="0880D884">
      <w:pPr>
        <w:spacing w:line="440" w:lineRule="exact"/>
        <w:ind w:firstLine="480" w:firstLineChars="200"/>
        <w:rPr>
          <w:rFonts w:ascii="仿宋" w:hAnsi="仿宋" w:eastAsia="仿宋"/>
          <w:sz w:val="24"/>
        </w:rPr>
      </w:pPr>
    </w:p>
    <w:p w14:paraId="3F1D6FA3">
      <w:pPr>
        <w:spacing w:line="440" w:lineRule="exact"/>
        <w:ind w:firstLine="480" w:firstLineChars="200"/>
        <w:rPr>
          <w:rFonts w:ascii="仿宋" w:hAnsi="仿宋" w:eastAsia="仿宋"/>
          <w:sz w:val="24"/>
        </w:rPr>
      </w:pPr>
      <w:r>
        <w:rPr>
          <w:rFonts w:hint="eastAsia" w:ascii="仿宋" w:hAnsi="仿宋" w:eastAsia="仿宋"/>
          <w:sz w:val="24"/>
        </w:rPr>
        <w:t>三、《中华人民共和国政府采购法实施条例》</w:t>
      </w:r>
    </w:p>
    <w:p w14:paraId="77E1A4E3">
      <w:pPr>
        <w:spacing w:line="440" w:lineRule="exact"/>
        <w:ind w:firstLine="424" w:firstLineChars="177"/>
        <w:rPr>
          <w:rFonts w:ascii="仿宋" w:hAnsi="仿宋" w:eastAsia="仿宋"/>
          <w:sz w:val="24"/>
        </w:rPr>
      </w:pPr>
      <w:r>
        <w:rPr>
          <w:rFonts w:hint="eastAsia" w:ascii="仿宋" w:hAnsi="仿宋" w:eastAsia="仿宋"/>
          <w:sz w:val="24"/>
        </w:rPr>
        <w:t>第十八条 单位负责人为同一人或者存在直接控股、管理关系的不同供应商，不得参加同一合同项下的政府采购活动。</w:t>
      </w:r>
    </w:p>
    <w:p w14:paraId="1DF7E71B">
      <w:pPr>
        <w:spacing w:line="440" w:lineRule="exact"/>
        <w:ind w:firstLine="424" w:firstLineChars="177"/>
        <w:rPr>
          <w:rFonts w:ascii="仿宋" w:hAnsi="仿宋" w:eastAsia="仿宋"/>
          <w:sz w:val="24"/>
        </w:rPr>
      </w:pPr>
      <w:r>
        <w:rPr>
          <w:rFonts w:hint="eastAsia" w:ascii="仿宋" w:hAnsi="仿宋" w:eastAsia="仿宋"/>
          <w:sz w:val="24"/>
        </w:rPr>
        <w:t>除单一来源采购项目外，为采购项目提供整体设计、规范编制或者项目管理、监理、检测等服务的供应商，不得再参加该采购项目的其他采购活动。</w:t>
      </w:r>
    </w:p>
    <w:p w14:paraId="0C047A9D">
      <w:pPr>
        <w:spacing w:line="440" w:lineRule="exact"/>
        <w:ind w:firstLine="426" w:firstLineChars="177"/>
        <w:rPr>
          <w:rFonts w:ascii="仿宋_GB2312" w:eastAsia="仿宋_GB2312" w:hAnsiTheme="minorEastAsia"/>
          <w:b/>
          <w:color w:val="FF0000"/>
          <w:sz w:val="24"/>
        </w:rPr>
      </w:pPr>
    </w:p>
    <w:p w14:paraId="115291A2">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p>
    <w:p w14:paraId="4E3DD302">
      <w:pPr>
        <w:widowControl/>
        <w:spacing w:line="360" w:lineRule="auto"/>
        <w:ind w:firstLine="420" w:firstLineChars="200"/>
        <w:jc w:val="left"/>
      </w:pPr>
      <w:r>
        <w:br w:type="page"/>
      </w:r>
    </w:p>
    <w:p w14:paraId="1720507B"/>
    <w:sdt>
      <w:sdtPr>
        <w:rPr>
          <w:rFonts w:ascii="Times New Roman" w:hAnsi="Times New Roman" w:eastAsia="宋体" w:cs="Times New Roman"/>
          <w:b w:val="0"/>
          <w:bCs w:val="0"/>
          <w:smallCaps/>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smallCaps/>
          <w:color w:val="auto"/>
          <w:kern w:val="2"/>
          <w:sz w:val="21"/>
          <w:szCs w:val="24"/>
          <w:lang w:val="en-US"/>
        </w:rPr>
      </w:sdtEndPr>
      <w:sdtContent>
        <w:p w14:paraId="39EDD952">
          <w:pPr>
            <w:pStyle w:val="504"/>
            <w:jc w:val="center"/>
            <w:rPr>
              <w:color w:val="000000" w:themeColor="text1"/>
              <w:lang w:val="zh-CN"/>
              <w14:textFill>
                <w14:solidFill>
                  <w14:schemeClr w14:val="tx1"/>
                </w14:solidFill>
              </w14:textFill>
            </w:rPr>
          </w:pPr>
          <w:r>
            <w:rPr>
              <w:color w:val="000000" w:themeColor="text1"/>
              <w:lang w:val="zh-CN"/>
              <w14:textFill>
                <w14:solidFill>
                  <w14:schemeClr w14:val="tx1"/>
                </w14:solidFill>
              </w14:textFill>
            </w:rPr>
            <w:t>目</w:t>
          </w:r>
          <w:r>
            <w:rPr>
              <w:rFonts w:hint="eastAsia"/>
              <w:color w:val="000000" w:themeColor="text1"/>
              <w:lang w:val="zh-CN"/>
              <w14:textFill>
                <w14:solidFill>
                  <w14:schemeClr w14:val="tx1"/>
                </w14:solidFill>
              </w14:textFill>
            </w:rPr>
            <w:t xml:space="preserve">  </w:t>
          </w:r>
          <w:r>
            <w:rPr>
              <w:color w:val="000000" w:themeColor="text1"/>
              <w:lang w:val="zh-CN"/>
              <w14:textFill>
                <w14:solidFill>
                  <w14:schemeClr w14:val="tx1"/>
                </w14:solidFill>
              </w14:textFill>
            </w:rPr>
            <w:t>录</w:t>
          </w:r>
        </w:p>
        <w:p w14:paraId="78F05A72">
          <w:pPr>
            <w:rPr>
              <w:lang w:val="zh-CN"/>
            </w:rPr>
          </w:pPr>
        </w:p>
        <w:p w14:paraId="5F5F2FF6">
          <w:pPr>
            <w:pStyle w:val="34"/>
            <w:tabs>
              <w:tab w:val="right" w:leader="dot" w:pos="9628"/>
            </w:tabs>
            <w:spacing w:line="360" w:lineRule="exact"/>
            <w:rPr>
              <w:rFonts w:ascii="仿宋_GB2312" w:eastAsia="仿宋_GB2312" w:hAnsiTheme="minorHAnsi" w:cstheme="minorBidi"/>
              <w:b w:val="0"/>
              <w:bCs w:val="0"/>
              <w:caps w:val="0"/>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"_Toc115096771"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_Toc115096771 \h </w:instrText>
          </w:r>
          <w:r>
            <w:rPr>
              <w:rFonts w:hint="eastAsia" w:ascii="仿宋_GB2312" w:eastAsia="仿宋_GB2312"/>
              <w:sz w:val="24"/>
            </w:rPr>
            <w:fldChar w:fldCharType="separate"/>
          </w:r>
          <w:r>
            <w:rPr>
              <w:rFonts w:hint="eastAsia"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14:paraId="312ED709">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"_Toc115096772"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_Toc115096772 \h </w:instrText>
          </w:r>
          <w:r>
            <w:rPr>
              <w:rFonts w:hint="eastAsia" w:ascii="仿宋_GB2312" w:eastAsia="仿宋_GB2312"/>
              <w:sz w:val="24"/>
            </w:rPr>
            <w:fldChar w:fldCharType="separate"/>
          </w:r>
          <w:r>
            <w:rPr>
              <w:rFonts w:hint="eastAsia" w:ascii="仿宋_GB2312" w:eastAsia="仿宋_GB2312"/>
              <w:sz w:val="24"/>
            </w:rPr>
            <w:t>8</w:t>
          </w:r>
          <w:r>
            <w:rPr>
              <w:rFonts w:hint="eastAsia" w:ascii="仿宋_GB2312" w:eastAsia="仿宋_GB2312"/>
              <w:sz w:val="24"/>
            </w:rPr>
            <w:fldChar w:fldCharType="end"/>
          </w:r>
          <w:r>
            <w:rPr>
              <w:rFonts w:hint="eastAsia" w:ascii="仿宋_GB2312" w:eastAsia="仿宋_GB2312"/>
              <w:sz w:val="24"/>
            </w:rPr>
            <w:fldChar w:fldCharType="end"/>
          </w:r>
        </w:p>
        <w:p w14:paraId="4E5889BF">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"_Toc115096773"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_Toc115096773 \h </w:instrText>
          </w:r>
          <w:r>
            <w:rPr>
              <w:rFonts w:hint="eastAsia" w:ascii="仿宋_GB2312" w:eastAsia="仿宋_GB2312"/>
              <w:sz w:val="24"/>
            </w:rPr>
            <w:fldChar w:fldCharType="separate"/>
          </w:r>
          <w:r>
            <w:rPr>
              <w:rFonts w:hint="eastAsia" w:ascii="仿宋_GB2312" w:eastAsia="仿宋_GB2312"/>
              <w:sz w:val="24"/>
            </w:rPr>
            <w:t>11</w:t>
          </w:r>
          <w:r>
            <w:rPr>
              <w:rFonts w:hint="eastAsia" w:ascii="仿宋_GB2312" w:eastAsia="仿宋_GB2312"/>
              <w:sz w:val="24"/>
            </w:rPr>
            <w:fldChar w:fldCharType="end"/>
          </w:r>
          <w:r>
            <w:rPr>
              <w:rFonts w:hint="eastAsia" w:ascii="仿宋_GB2312" w:eastAsia="仿宋_GB2312"/>
              <w:sz w:val="24"/>
            </w:rPr>
            <w:fldChar w:fldCharType="end"/>
          </w:r>
        </w:p>
        <w:p w14:paraId="0B26E5CF">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"_Toc115096774"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_Toc115096774 \h </w:instrText>
          </w:r>
          <w:r>
            <w:rPr>
              <w:rFonts w:hint="eastAsia" w:ascii="仿宋_GB2312" w:eastAsia="仿宋_GB2312"/>
              <w:sz w:val="24"/>
            </w:rPr>
            <w:fldChar w:fldCharType="separate"/>
          </w:r>
          <w:r>
            <w:rPr>
              <w:rFonts w:hint="eastAsia" w:ascii="仿宋_GB2312" w:eastAsia="仿宋_GB2312"/>
              <w:sz w:val="24"/>
            </w:rPr>
            <w:t>12</w:t>
          </w:r>
          <w:r>
            <w:rPr>
              <w:rFonts w:hint="eastAsia" w:ascii="仿宋_GB2312" w:eastAsia="仿宋_GB2312"/>
              <w:sz w:val="24"/>
            </w:rPr>
            <w:fldChar w:fldCharType="end"/>
          </w:r>
          <w:r>
            <w:rPr>
              <w:rFonts w:hint="eastAsia" w:ascii="仿宋_GB2312" w:eastAsia="仿宋_GB2312"/>
              <w:sz w:val="24"/>
            </w:rPr>
            <w:fldChar w:fldCharType="end"/>
          </w:r>
        </w:p>
        <w:p w14:paraId="7C60B96E">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"_Toc115096775" </w:instrText>
          </w:r>
          <w:r>
            <w:fldChar w:fldCharType="separate"/>
          </w:r>
          <w:r>
            <w:rPr>
              <w:rStyle w:val="57"/>
              <w:rFonts w:hint="eastAsia" w:ascii="仿宋_GB2312" w:eastAsia="仿宋_GB2312"/>
              <w:sz w:val="24"/>
            </w:rPr>
            <w:t>一、评标方法（</w:t>
          </w:r>
          <w:r>
            <w:rPr>
              <w:rStyle w:val="57"/>
              <w:rFonts w:hint="eastAsia" w:ascii="仿宋_GB2312" w:eastAsia="仿宋_GB2312"/>
              <w:sz w:val="24"/>
              <w:lang w:eastAsia="zh-CN"/>
            </w:rPr>
            <w:t>适用于A、B、C包</w:t>
          </w:r>
          <w:r>
            <w:rPr>
              <w:rStyle w:val="57"/>
              <w:rFonts w:hint="eastAsia" w:ascii="仿宋_GB2312" w:eastAsia="仿宋_GB2312"/>
              <w:sz w:val="24"/>
            </w:rPr>
            <w:t>）</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_Toc115096775 \h </w:instrText>
          </w:r>
          <w:r>
            <w:rPr>
              <w:rFonts w:hint="eastAsia" w:ascii="仿宋_GB2312" w:eastAsia="仿宋_GB2312"/>
              <w:sz w:val="24"/>
            </w:rPr>
            <w:fldChar w:fldCharType="separate"/>
          </w:r>
          <w:r>
            <w:rPr>
              <w:rFonts w:hint="eastAsia" w:ascii="仿宋_GB2312" w:eastAsia="仿宋_GB2312"/>
              <w:sz w:val="24"/>
            </w:rPr>
            <w:t>12</w:t>
          </w:r>
          <w:r>
            <w:rPr>
              <w:rFonts w:hint="eastAsia" w:ascii="仿宋_GB2312" w:eastAsia="仿宋_GB2312"/>
              <w:sz w:val="24"/>
            </w:rPr>
            <w:fldChar w:fldCharType="end"/>
          </w:r>
          <w:r>
            <w:rPr>
              <w:rFonts w:hint="eastAsia" w:ascii="仿宋_GB2312" w:eastAsia="仿宋_GB2312"/>
              <w:sz w:val="24"/>
            </w:rPr>
            <w:fldChar w:fldCharType="end"/>
          </w:r>
        </w:p>
        <w:p w14:paraId="511B8D88">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"_Toc115096776" </w:instrText>
          </w:r>
          <w:r>
            <w:fldChar w:fldCharType="separate"/>
          </w:r>
          <w:r>
            <w:rPr>
              <w:rStyle w:val="57"/>
              <w:rFonts w:hint="eastAsia" w:ascii="仿宋_GB2312" w:eastAsia="仿宋_GB2312"/>
              <w:sz w:val="24"/>
            </w:rPr>
            <w:t>二、评标标准（</w:t>
          </w:r>
          <w:r>
            <w:rPr>
              <w:rStyle w:val="57"/>
              <w:rFonts w:hint="eastAsia" w:ascii="仿宋_GB2312" w:eastAsia="仿宋_GB2312"/>
              <w:sz w:val="24"/>
              <w:lang w:eastAsia="zh-CN"/>
            </w:rPr>
            <w:t>适用于A、B、C包</w:t>
          </w:r>
          <w:r>
            <w:rPr>
              <w:rStyle w:val="57"/>
              <w:rFonts w:hint="eastAsia" w:ascii="仿宋_GB2312" w:eastAsia="仿宋_GB2312"/>
              <w:sz w:val="24"/>
            </w:rPr>
            <w:t>）</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_Toc115096776 \h </w:instrText>
          </w:r>
          <w:r>
            <w:rPr>
              <w:rFonts w:hint="eastAsia" w:ascii="仿宋_GB2312" w:eastAsia="仿宋_GB2312"/>
              <w:sz w:val="24"/>
            </w:rPr>
            <w:fldChar w:fldCharType="separate"/>
          </w:r>
          <w:r>
            <w:rPr>
              <w:rFonts w:hint="eastAsia" w:ascii="仿宋_GB2312" w:eastAsia="仿宋_GB2312"/>
              <w:sz w:val="24"/>
            </w:rPr>
            <w:t>12</w:t>
          </w:r>
          <w:r>
            <w:rPr>
              <w:rFonts w:hint="eastAsia" w:ascii="仿宋_GB2312" w:eastAsia="仿宋_GB2312"/>
              <w:sz w:val="24"/>
            </w:rPr>
            <w:fldChar w:fldCharType="end"/>
          </w:r>
          <w:r>
            <w:rPr>
              <w:rFonts w:hint="eastAsia" w:ascii="仿宋_GB2312" w:eastAsia="仿宋_GB2312"/>
              <w:sz w:val="24"/>
            </w:rPr>
            <w:fldChar w:fldCharType="end"/>
          </w:r>
        </w:p>
        <w:p w14:paraId="31488F2A">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"_Toc115096777"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_Toc115096777 \h </w:instrText>
          </w:r>
          <w:r>
            <w:rPr>
              <w:rFonts w:hint="eastAsia" w:ascii="仿宋_GB2312" w:eastAsia="仿宋_GB2312"/>
              <w:sz w:val="24"/>
            </w:rPr>
            <w:fldChar w:fldCharType="separate"/>
          </w:r>
          <w:r>
            <w:rPr>
              <w:rFonts w:hint="eastAsia"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14:paraId="2DD44F0F">
          <w:pPr>
            <w:pStyle w:val="25"/>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"_Toc115096778"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_Toc115096778 \h </w:instrText>
          </w:r>
          <w:r>
            <w:rPr>
              <w:rFonts w:hint="eastAsia" w:ascii="仿宋_GB2312" w:eastAsia="仿宋_GB2312"/>
              <w:sz w:val="24"/>
            </w:rPr>
            <w:fldChar w:fldCharType="separate"/>
          </w:r>
          <w:r>
            <w:rPr>
              <w:rFonts w:hint="eastAsia"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14:paraId="33582A8A">
          <w:pPr>
            <w:pStyle w:val="25"/>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"_Toc115096779" </w:instrText>
          </w:r>
          <w:r>
            <w:fldChar w:fldCharType="separate"/>
          </w:r>
          <w:r>
            <w:rPr>
              <w:rStyle w:val="57"/>
              <w:rFonts w:hint="eastAsia" w:ascii="仿宋_GB2312" w:eastAsia="仿宋_GB2312" w:hAnsiTheme="minorEastAsia"/>
              <w:sz w:val="24"/>
            </w:rPr>
            <w:t>2、政府采购扶持政策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_Toc115096779 \h </w:instrText>
          </w:r>
          <w:r>
            <w:rPr>
              <w:rFonts w:hint="eastAsia" w:ascii="仿宋_GB2312" w:eastAsia="仿宋_GB2312"/>
              <w:sz w:val="24"/>
            </w:rPr>
            <w:fldChar w:fldCharType="separate"/>
          </w:r>
          <w:r>
            <w:rPr>
              <w:rFonts w:hint="eastAsia"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14:paraId="674A56AF">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"_Toc115096780"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_Toc115096780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14:paraId="70B2607C">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"_Toc115096781"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_Toc115096781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14:paraId="3B8DE257">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"_Toc115096782"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_Toc115096782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14:paraId="024EB312">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"_Toc115096783"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_Toc115096783 \h </w:instrText>
          </w:r>
          <w:r>
            <w:rPr>
              <w:rFonts w:hint="eastAsia" w:ascii="仿宋_GB2312" w:eastAsia="仿宋_GB2312"/>
              <w:sz w:val="24"/>
            </w:rPr>
            <w:fldChar w:fldCharType="separate"/>
          </w:r>
          <w:r>
            <w:rPr>
              <w:rFonts w:hint="eastAsia" w:ascii="仿宋_GB2312" w:eastAsia="仿宋_GB2312"/>
              <w:sz w:val="24"/>
            </w:rPr>
            <w:t>23</w:t>
          </w:r>
          <w:r>
            <w:rPr>
              <w:rFonts w:hint="eastAsia" w:ascii="仿宋_GB2312" w:eastAsia="仿宋_GB2312"/>
              <w:sz w:val="24"/>
            </w:rPr>
            <w:fldChar w:fldCharType="end"/>
          </w:r>
          <w:r>
            <w:rPr>
              <w:rFonts w:hint="eastAsia" w:ascii="仿宋_GB2312" w:eastAsia="仿宋_GB2312"/>
              <w:sz w:val="24"/>
            </w:rPr>
            <w:fldChar w:fldCharType="end"/>
          </w:r>
        </w:p>
        <w:p w14:paraId="25F43503">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"_Toc115096784"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_Toc115096784 \h </w:instrText>
          </w:r>
          <w:r>
            <w:rPr>
              <w:rFonts w:hint="eastAsia" w:ascii="仿宋_GB2312" w:eastAsia="仿宋_GB2312"/>
              <w:sz w:val="24"/>
            </w:rPr>
            <w:fldChar w:fldCharType="separate"/>
          </w:r>
          <w:r>
            <w:rPr>
              <w:rFonts w:hint="eastAsia"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14:paraId="45FB8CAE">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"_Toc115096785"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_Toc115096785 \h </w:instrText>
          </w:r>
          <w:r>
            <w:rPr>
              <w:rFonts w:hint="eastAsia" w:ascii="仿宋_GB2312" w:eastAsia="仿宋_GB2312"/>
              <w:sz w:val="24"/>
            </w:rPr>
            <w:fldChar w:fldCharType="separate"/>
          </w:r>
          <w:r>
            <w:rPr>
              <w:rFonts w:hint="eastAsia" w:ascii="仿宋_GB2312" w:eastAsia="仿宋_GB2312"/>
              <w:sz w:val="24"/>
            </w:rPr>
            <w:t>26</w:t>
          </w:r>
          <w:r>
            <w:rPr>
              <w:rFonts w:hint="eastAsia" w:ascii="仿宋_GB2312" w:eastAsia="仿宋_GB2312"/>
              <w:sz w:val="24"/>
            </w:rPr>
            <w:fldChar w:fldCharType="end"/>
          </w:r>
          <w:r>
            <w:rPr>
              <w:rFonts w:hint="eastAsia" w:ascii="仿宋_GB2312" w:eastAsia="仿宋_GB2312"/>
              <w:sz w:val="24"/>
            </w:rPr>
            <w:fldChar w:fldCharType="end"/>
          </w:r>
        </w:p>
        <w:p w14:paraId="33902D96">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"_Toc115096786"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_Toc115096786 \h </w:instrText>
          </w:r>
          <w:r>
            <w:rPr>
              <w:rFonts w:hint="eastAsia" w:ascii="仿宋_GB2312" w:eastAsia="仿宋_GB2312"/>
              <w:sz w:val="24"/>
            </w:rPr>
            <w:fldChar w:fldCharType="separate"/>
          </w:r>
          <w:r>
            <w:rPr>
              <w:rFonts w:hint="eastAsia" w:ascii="仿宋_GB2312" w:eastAsia="仿宋_GB2312"/>
              <w:sz w:val="24"/>
            </w:rPr>
            <w:t>28</w:t>
          </w:r>
          <w:r>
            <w:rPr>
              <w:rFonts w:hint="eastAsia" w:ascii="仿宋_GB2312" w:eastAsia="仿宋_GB2312"/>
              <w:sz w:val="24"/>
            </w:rPr>
            <w:fldChar w:fldCharType="end"/>
          </w:r>
          <w:r>
            <w:rPr>
              <w:rFonts w:hint="eastAsia" w:ascii="仿宋_GB2312" w:eastAsia="仿宋_GB2312"/>
              <w:sz w:val="24"/>
            </w:rPr>
            <w:fldChar w:fldCharType="end"/>
          </w:r>
        </w:p>
        <w:p w14:paraId="3FEF3896">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"_Toc115096787"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_Toc115096787 \h </w:instrText>
          </w:r>
          <w:r>
            <w:rPr>
              <w:rFonts w:hint="eastAsia" w:ascii="仿宋_GB2312" w:eastAsia="仿宋_GB2312"/>
              <w:sz w:val="24"/>
            </w:rPr>
            <w:fldChar w:fldCharType="separate"/>
          </w:r>
          <w:r>
            <w:rPr>
              <w:rFonts w:hint="eastAsia" w:ascii="仿宋_GB2312" w:eastAsia="仿宋_GB2312"/>
              <w:sz w:val="24"/>
            </w:rPr>
            <w:t>30</w:t>
          </w:r>
          <w:r>
            <w:rPr>
              <w:rFonts w:hint="eastAsia" w:ascii="仿宋_GB2312" w:eastAsia="仿宋_GB2312"/>
              <w:sz w:val="24"/>
            </w:rPr>
            <w:fldChar w:fldCharType="end"/>
          </w:r>
          <w:r>
            <w:rPr>
              <w:rFonts w:hint="eastAsia" w:ascii="仿宋_GB2312" w:eastAsia="仿宋_GB2312"/>
              <w:sz w:val="24"/>
            </w:rPr>
            <w:fldChar w:fldCharType="end"/>
          </w:r>
        </w:p>
        <w:p w14:paraId="7321334C">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"_Toc115096788" </w:instrText>
          </w:r>
          <w:r>
            <w:fldChar w:fldCharType="separate"/>
          </w:r>
          <w:r>
            <w:rPr>
              <w:rStyle w:val="57"/>
              <w:rFonts w:hint="eastAsia" w:ascii="仿宋_GB2312" w:eastAsia="仿宋_GB2312"/>
              <w:sz w:val="24"/>
            </w:rPr>
            <w:t>七、质疑处理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_Toc115096788 \h </w:instrText>
          </w:r>
          <w:r>
            <w:rPr>
              <w:rFonts w:hint="eastAsia" w:ascii="仿宋_GB2312" w:eastAsia="仿宋_GB2312"/>
              <w:sz w:val="24"/>
            </w:rPr>
            <w:fldChar w:fldCharType="separate"/>
          </w:r>
          <w:r>
            <w:rPr>
              <w:rFonts w:hint="eastAsia"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14:paraId="65A2465D">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"_Toc115096789"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_Toc115096789 \h </w:instrText>
          </w:r>
          <w:r>
            <w:rPr>
              <w:rFonts w:hint="eastAsia" w:ascii="仿宋_GB2312" w:eastAsia="仿宋_GB2312"/>
              <w:sz w:val="24"/>
            </w:rPr>
            <w:fldChar w:fldCharType="separate"/>
          </w:r>
          <w:r>
            <w:rPr>
              <w:rFonts w:hint="eastAsia" w:ascii="仿宋_GB2312" w:eastAsia="仿宋_GB2312"/>
              <w:sz w:val="24"/>
            </w:rPr>
            <w:t>34</w:t>
          </w:r>
          <w:r>
            <w:rPr>
              <w:rFonts w:hint="eastAsia" w:ascii="仿宋_GB2312" w:eastAsia="仿宋_GB2312"/>
              <w:sz w:val="24"/>
            </w:rPr>
            <w:fldChar w:fldCharType="end"/>
          </w:r>
          <w:r>
            <w:rPr>
              <w:rFonts w:hint="eastAsia" w:ascii="仿宋_GB2312" w:eastAsia="仿宋_GB2312"/>
              <w:sz w:val="24"/>
            </w:rPr>
            <w:fldChar w:fldCharType="end"/>
          </w:r>
        </w:p>
        <w:p w14:paraId="26E28091">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"_Toc115096790"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_Toc115096790 \h </w:instrText>
          </w:r>
          <w:r>
            <w:rPr>
              <w:rFonts w:hint="eastAsia" w:ascii="仿宋_GB2312" w:eastAsia="仿宋_GB2312"/>
              <w:sz w:val="24"/>
            </w:rPr>
            <w:fldChar w:fldCharType="separate"/>
          </w:r>
          <w:r>
            <w:rPr>
              <w:rFonts w:hint="eastAsia" w:ascii="仿宋_GB2312" w:eastAsia="仿宋_GB2312"/>
              <w:sz w:val="24"/>
            </w:rPr>
            <w:t>34</w:t>
          </w:r>
          <w:r>
            <w:rPr>
              <w:rFonts w:hint="eastAsia" w:ascii="仿宋_GB2312" w:eastAsia="仿宋_GB2312"/>
              <w:sz w:val="24"/>
            </w:rPr>
            <w:fldChar w:fldCharType="end"/>
          </w:r>
          <w:r>
            <w:rPr>
              <w:rFonts w:hint="eastAsia" w:ascii="仿宋_GB2312" w:eastAsia="仿宋_GB2312"/>
              <w:sz w:val="24"/>
            </w:rPr>
            <w:fldChar w:fldCharType="end"/>
          </w:r>
        </w:p>
        <w:p w14:paraId="461E2F65">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"_Toc115096791"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_Toc115096791 \h </w:instrText>
          </w:r>
          <w:r>
            <w:rPr>
              <w:rFonts w:hint="eastAsia" w:ascii="仿宋_GB2312" w:eastAsia="仿宋_GB2312"/>
              <w:sz w:val="24"/>
            </w:rPr>
            <w:fldChar w:fldCharType="separate"/>
          </w:r>
          <w:r>
            <w:rPr>
              <w:rFonts w:hint="eastAsia" w:ascii="仿宋_GB2312" w:eastAsia="仿宋_GB2312"/>
              <w:sz w:val="24"/>
            </w:rPr>
            <w:t>36</w:t>
          </w:r>
          <w:r>
            <w:rPr>
              <w:rFonts w:hint="eastAsia" w:ascii="仿宋_GB2312" w:eastAsia="仿宋_GB2312"/>
              <w:sz w:val="24"/>
            </w:rPr>
            <w:fldChar w:fldCharType="end"/>
          </w:r>
          <w:r>
            <w:rPr>
              <w:rFonts w:hint="eastAsia" w:ascii="仿宋_GB2312" w:eastAsia="仿宋_GB2312"/>
              <w:sz w:val="24"/>
            </w:rPr>
            <w:fldChar w:fldCharType="end"/>
          </w:r>
        </w:p>
        <w:p w14:paraId="5DBFF588">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"_Toc115096792" </w:instrText>
          </w:r>
          <w:r>
            <w:fldChar w:fldCharType="separate"/>
          </w:r>
          <w:r>
            <w:rPr>
              <w:rStyle w:val="57"/>
              <w:rFonts w:hint="eastAsia" w:ascii="仿宋_GB2312" w:hAnsi="仿宋" w:eastAsia="仿宋_GB2312"/>
              <w:sz w:val="24"/>
            </w:rPr>
            <w:t>政府采购违法行为风险知悉确认书</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_Toc115096792 \h </w:instrText>
          </w:r>
          <w:r>
            <w:rPr>
              <w:rFonts w:hint="eastAsia" w:ascii="仿宋_GB2312" w:eastAsia="仿宋_GB2312"/>
              <w:sz w:val="24"/>
            </w:rPr>
            <w:fldChar w:fldCharType="separate"/>
          </w:r>
          <w:r>
            <w:rPr>
              <w:rFonts w:hint="eastAsia" w:ascii="仿宋_GB2312" w:eastAsia="仿宋_GB2312"/>
              <w:sz w:val="24"/>
            </w:rPr>
            <w:t>37</w:t>
          </w:r>
          <w:r>
            <w:rPr>
              <w:rFonts w:hint="eastAsia" w:ascii="仿宋_GB2312" w:eastAsia="仿宋_GB2312"/>
              <w:sz w:val="24"/>
            </w:rPr>
            <w:fldChar w:fldCharType="end"/>
          </w:r>
          <w:r>
            <w:rPr>
              <w:rFonts w:hint="eastAsia" w:ascii="仿宋_GB2312" w:eastAsia="仿宋_GB2312"/>
              <w:sz w:val="24"/>
            </w:rPr>
            <w:fldChar w:fldCharType="end"/>
          </w:r>
        </w:p>
        <w:p w14:paraId="1EF16503">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"_Toc115096793" </w:instrText>
          </w:r>
          <w:r>
            <w:fldChar w:fldCharType="separate"/>
          </w:r>
          <w:r>
            <w:rPr>
              <w:rStyle w:val="57"/>
              <w:rFonts w:hint="eastAsia" w:ascii="仿宋_GB2312" w:hAnsi="仿宋" w:eastAsia="仿宋_GB2312"/>
              <w:sz w:val="24"/>
            </w:rPr>
            <w:t>评标指引表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_Toc115096793 \h </w:instrText>
          </w:r>
          <w:r>
            <w:rPr>
              <w:rFonts w:hint="eastAsia" w:ascii="仿宋_GB2312" w:eastAsia="仿宋_GB2312"/>
              <w:sz w:val="24"/>
            </w:rPr>
            <w:fldChar w:fldCharType="separate"/>
          </w:r>
          <w:r>
            <w:rPr>
              <w:rFonts w:hint="eastAsia" w:ascii="仿宋_GB2312" w:eastAsia="仿宋_GB2312"/>
              <w:sz w:val="24"/>
            </w:rPr>
            <w:t>39</w:t>
          </w:r>
          <w:r>
            <w:rPr>
              <w:rFonts w:hint="eastAsia" w:ascii="仿宋_GB2312" w:eastAsia="仿宋_GB2312"/>
              <w:sz w:val="24"/>
            </w:rPr>
            <w:fldChar w:fldCharType="end"/>
          </w:r>
          <w:r>
            <w:rPr>
              <w:rFonts w:hint="eastAsia" w:ascii="仿宋_GB2312" w:eastAsia="仿宋_GB2312"/>
              <w:sz w:val="24"/>
            </w:rPr>
            <w:fldChar w:fldCharType="end"/>
          </w:r>
        </w:p>
        <w:p w14:paraId="49DBADF0">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"_Toc115096795"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_Toc115096795 \h </w:instrText>
          </w:r>
          <w:r>
            <w:rPr>
              <w:rFonts w:hint="eastAsia" w:ascii="仿宋_GB2312" w:eastAsia="仿宋_GB2312"/>
              <w:sz w:val="24"/>
            </w:rPr>
            <w:fldChar w:fldCharType="separate"/>
          </w:r>
          <w:r>
            <w:rPr>
              <w:rFonts w:hint="eastAsia" w:ascii="仿宋_GB2312" w:eastAsia="仿宋_GB2312"/>
              <w:sz w:val="24"/>
            </w:rPr>
            <w:t>58</w:t>
          </w:r>
          <w:r>
            <w:rPr>
              <w:rFonts w:hint="eastAsia" w:ascii="仿宋_GB2312" w:eastAsia="仿宋_GB2312"/>
              <w:sz w:val="24"/>
            </w:rPr>
            <w:fldChar w:fldCharType="end"/>
          </w:r>
          <w:r>
            <w:rPr>
              <w:rFonts w:hint="eastAsia" w:ascii="仿宋_GB2312" w:eastAsia="仿宋_GB2312"/>
              <w:sz w:val="24"/>
            </w:rPr>
            <w:fldChar w:fldCharType="end"/>
          </w:r>
        </w:p>
        <w:p w14:paraId="034CEA83">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"_Toc115096796"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_Toc115096796 \h </w:instrText>
          </w:r>
          <w:r>
            <w:rPr>
              <w:rFonts w:hint="eastAsia" w:ascii="仿宋_GB2312" w:eastAsia="仿宋_GB2312"/>
              <w:sz w:val="24"/>
            </w:rPr>
            <w:fldChar w:fldCharType="separate"/>
          </w:r>
          <w:r>
            <w:rPr>
              <w:rFonts w:hint="eastAsia" w:ascii="仿宋_GB2312" w:eastAsia="仿宋_GB2312"/>
              <w:sz w:val="24"/>
            </w:rPr>
            <w:t>61</w:t>
          </w:r>
          <w:r>
            <w:rPr>
              <w:rFonts w:hint="eastAsia" w:ascii="仿宋_GB2312" w:eastAsia="仿宋_GB2312"/>
              <w:sz w:val="24"/>
            </w:rPr>
            <w:fldChar w:fldCharType="end"/>
          </w:r>
          <w:r>
            <w:rPr>
              <w:rFonts w:hint="eastAsia" w:ascii="仿宋_GB2312" w:eastAsia="仿宋_GB2312"/>
              <w:sz w:val="24"/>
            </w:rPr>
            <w:fldChar w:fldCharType="end"/>
          </w:r>
        </w:p>
        <w:p w14:paraId="0B46933D">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"_Toc115096797"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_Toc115096797 \h </w:instrText>
          </w:r>
          <w:r>
            <w:rPr>
              <w:rFonts w:hint="eastAsia" w:ascii="仿宋_GB2312" w:eastAsia="仿宋_GB2312"/>
              <w:sz w:val="24"/>
            </w:rPr>
            <w:fldChar w:fldCharType="separate"/>
          </w:r>
          <w:r>
            <w:rPr>
              <w:rFonts w:hint="eastAsia" w:ascii="仿宋_GB2312" w:eastAsia="仿宋_GB2312"/>
              <w:sz w:val="24"/>
            </w:rPr>
            <w:t>61</w:t>
          </w:r>
          <w:r>
            <w:rPr>
              <w:rFonts w:hint="eastAsia" w:ascii="仿宋_GB2312" w:eastAsia="仿宋_GB2312"/>
              <w:sz w:val="24"/>
            </w:rPr>
            <w:fldChar w:fldCharType="end"/>
          </w:r>
          <w:r>
            <w:rPr>
              <w:rFonts w:hint="eastAsia" w:ascii="仿宋_GB2312" w:eastAsia="仿宋_GB2312"/>
              <w:sz w:val="24"/>
            </w:rPr>
            <w:fldChar w:fldCharType="end"/>
          </w:r>
        </w:p>
        <w:p w14:paraId="376DEAF8">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"_Toc115096798"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_Toc115096798 \h </w:instrText>
          </w:r>
          <w:r>
            <w:rPr>
              <w:rFonts w:hint="eastAsia" w:ascii="仿宋_GB2312" w:eastAsia="仿宋_GB2312"/>
              <w:sz w:val="24"/>
            </w:rPr>
            <w:fldChar w:fldCharType="separate"/>
          </w:r>
          <w:r>
            <w:rPr>
              <w:rFonts w:hint="eastAsia" w:ascii="仿宋_GB2312" w:eastAsia="仿宋_GB2312"/>
              <w:sz w:val="24"/>
            </w:rPr>
            <w:t>65</w:t>
          </w:r>
          <w:r>
            <w:rPr>
              <w:rFonts w:hint="eastAsia" w:ascii="仿宋_GB2312" w:eastAsia="仿宋_GB2312"/>
              <w:sz w:val="24"/>
            </w:rPr>
            <w:fldChar w:fldCharType="end"/>
          </w:r>
          <w:r>
            <w:rPr>
              <w:rFonts w:hint="eastAsia" w:ascii="仿宋_GB2312" w:eastAsia="仿宋_GB2312"/>
              <w:sz w:val="24"/>
            </w:rPr>
            <w:fldChar w:fldCharType="end"/>
          </w:r>
        </w:p>
        <w:p w14:paraId="790D58D4">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"_Toc115096799" </w:instrText>
          </w:r>
          <w:r>
            <w:fldChar w:fldCharType="separate"/>
          </w:r>
          <w:r>
            <w:rPr>
              <w:rStyle w:val="57"/>
              <w:rFonts w:hint="eastAsia" w:ascii="仿宋_GB2312" w:eastAsia="仿宋_GB2312"/>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_Toc115096799 \h </w:instrText>
          </w:r>
          <w:r>
            <w:rPr>
              <w:rFonts w:hint="eastAsia" w:ascii="仿宋_GB2312" w:eastAsia="仿宋_GB2312"/>
              <w:sz w:val="24"/>
            </w:rPr>
            <w:fldChar w:fldCharType="separate"/>
          </w:r>
          <w:r>
            <w:rPr>
              <w:rFonts w:hint="eastAsia" w:ascii="仿宋_GB2312" w:eastAsia="仿宋_GB2312"/>
              <w:sz w:val="24"/>
            </w:rPr>
            <w:t>68</w:t>
          </w:r>
          <w:r>
            <w:rPr>
              <w:rFonts w:hint="eastAsia" w:ascii="仿宋_GB2312" w:eastAsia="仿宋_GB2312"/>
              <w:sz w:val="24"/>
            </w:rPr>
            <w:fldChar w:fldCharType="end"/>
          </w:r>
          <w:r>
            <w:rPr>
              <w:rFonts w:hint="eastAsia" w:ascii="仿宋_GB2312" w:eastAsia="仿宋_GB2312"/>
              <w:sz w:val="24"/>
            </w:rPr>
            <w:fldChar w:fldCharType="end"/>
          </w:r>
        </w:p>
        <w:p w14:paraId="2C7B53C6">
          <w:pPr>
            <w:pStyle w:val="41"/>
            <w:tabs>
              <w:tab w:val="right" w:leader="dot" w:pos="9628"/>
            </w:tabs>
            <w:spacing w:line="360" w:lineRule="exact"/>
          </w:pPr>
          <w:r>
            <w:fldChar w:fldCharType="begin"/>
          </w:r>
          <w:r>
            <w:instrText xml:space="preserve"> HYPERLINK \l "_Toc115096800"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_Toc115096800 \h </w:instrText>
          </w:r>
          <w:r>
            <w:rPr>
              <w:rFonts w:hint="eastAsia" w:ascii="仿宋_GB2312" w:eastAsia="仿宋_GB2312"/>
              <w:sz w:val="24"/>
            </w:rPr>
            <w:fldChar w:fldCharType="separate"/>
          </w:r>
          <w:r>
            <w:rPr>
              <w:rFonts w:hint="eastAsia" w:ascii="仿宋_GB2312" w:eastAsia="仿宋_GB2312"/>
              <w:sz w:val="24"/>
            </w:rPr>
            <w:t>71</w:t>
          </w:r>
          <w:r>
            <w:rPr>
              <w:rFonts w:hint="eastAsia" w:ascii="仿宋_GB2312" w:eastAsia="仿宋_GB2312"/>
              <w:sz w:val="24"/>
            </w:rPr>
            <w:fldChar w:fldCharType="end"/>
          </w:r>
          <w:r>
            <w:rPr>
              <w:rFonts w:hint="eastAsia" w:ascii="仿宋_GB2312" w:eastAsia="仿宋_GB2312"/>
              <w:sz w:val="24"/>
            </w:rPr>
            <w:fldChar w:fldCharType="end"/>
          </w:r>
          <w:r>
            <w:rPr>
              <w:rFonts w:hint="eastAsia" w:ascii="仿宋_GB2312" w:eastAsia="仿宋_GB2312"/>
              <w:sz w:val="24"/>
            </w:rPr>
            <w:fldChar w:fldCharType="end"/>
          </w:r>
        </w:p>
      </w:sdtContent>
    </w:sdt>
    <w:p w14:paraId="30840049">
      <w:pPr>
        <w:widowControl/>
        <w:jc w:val="left"/>
      </w:pPr>
      <w:r>
        <w:br w:type="page"/>
      </w:r>
    </w:p>
    <w:p w14:paraId="1BB60576"/>
    <w:p w14:paraId="00EFCB24">
      <w:pPr>
        <w:pStyle w:val="3"/>
        <w:keepNext w:val="0"/>
        <w:keepLines w:val="0"/>
        <w:pageBreakBefore w:val="0"/>
        <w:widowControl w:val="0"/>
        <w:kinsoku/>
        <w:wordWrap/>
        <w:overflowPunct/>
        <w:topLinePunct w:val="0"/>
        <w:autoSpaceDE/>
        <w:autoSpaceDN/>
        <w:bidi w:val="0"/>
        <w:textAlignment w:val="auto"/>
      </w:pPr>
      <w:bookmarkStart w:id="0" w:name="_Toc115096771"/>
      <w:r>
        <w:rPr>
          <w:rFonts w:hint="eastAsia"/>
        </w:rPr>
        <w:t>第一章  投标邀请</w:t>
      </w:r>
      <w:bookmarkEnd w:id="0"/>
    </w:p>
    <w:p w14:paraId="47D0A54C">
      <w:pPr>
        <w:keepNext w:val="0"/>
        <w:keepLines w:val="0"/>
        <w:pageBreakBefore w:val="0"/>
        <w:widowControl w:val="0"/>
        <w:pBdr>
          <w:top w:val="single" w:color="auto" w:sz="4" w:space="1"/>
          <w:left w:val="single" w:color="auto" w:sz="4" w:space="0"/>
          <w:bottom w:val="single" w:color="auto" w:sz="4" w:space="1"/>
          <w:right w:val="single" w:color="auto" w:sz="4" w:space="4"/>
        </w:pBdr>
        <w:kinsoku/>
        <w:wordWrap/>
        <w:overflowPunct/>
        <w:topLinePunct w:val="0"/>
        <w:autoSpaceDE/>
        <w:autoSpaceDN/>
        <w:bidi w:val="0"/>
        <w:spacing w:line="360" w:lineRule="auto"/>
        <w:ind w:firstLine="420" w:firstLineChars="200"/>
        <w:textAlignment w:val="auto"/>
        <w:rPr>
          <w:rFonts w:ascii="宋体" w:hAnsi="宋体" w:cs="Arial Unicode MS"/>
          <w:snapToGrid w:val="0"/>
          <w:kern w:val="0"/>
          <w:szCs w:val="21"/>
        </w:rPr>
      </w:pPr>
      <w:r>
        <w:rPr>
          <w:rFonts w:hint="eastAsia" w:ascii="宋体" w:hAnsi="宋体" w:cs="Arial Unicode MS"/>
          <w:snapToGrid w:val="0"/>
          <w:kern w:val="0"/>
          <w:szCs w:val="21"/>
        </w:rPr>
        <w:t>项目概况</w:t>
      </w:r>
    </w:p>
    <w:p w14:paraId="5278D43A">
      <w:pPr>
        <w:keepNext w:val="0"/>
        <w:keepLines w:val="0"/>
        <w:pageBreakBefore w:val="0"/>
        <w:widowControl w:val="0"/>
        <w:pBdr>
          <w:top w:val="single" w:color="auto" w:sz="4" w:space="1"/>
          <w:left w:val="single" w:color="auto" w:sz="4" w:space="0"/>
          <w:bottom w:val="single" w:color="auto" w:sz="4" w:space="1"/>
          <w:right w:val="single" w:color="auto" w:sz="4" w:space="4"/>
        </w:pBdr>
        <w:kinsoku/>
        <w:wordWrap/>
        <w:overflowPunct/>
        <w:topLinePunct w:val="0"/>
        <w:autoSpaceDE/>
        <w:autoSpaceDN/>
        <w:bidi w:val="0"/>
        <w:spacing w:line="360" w:lineRule="auto"/>
        <w:ind w:firstLine="420" w:firstLineChars="200"/>
        <w:textAlignment w:val="auto"/>
        <w:rPr>
          <w:rFonts w:ascii="宋体" w:hAnsi="宋体" w:cs="Arial Unicode MS"/>
          <w:snapToGrid w:val="0"/>
          <w:kern w:val="0"/>
          <w:szCs w:val="21"/>
        </w:rPr>
      </w:pPr>
      <w:r>
        <w:rPr>
          <w:rFonts w:hint="eastAsia" w:ascii="宋体" w:hAnsi="宋体"/>
          <w:snapToGrid w:val="0"/>
          <w:szCs w:val="21"/>
          <w:u w:val="single"/>
          <w:lang w:eastAsia="zh-CN"/>
        </w:rPr>
        <w:t>深圳市市场监督管理局龙岗监管局公务用车维修保养服务</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2024年</w:t>
      </w:r>
      <w:r>
        <w:rPr>
          <w:rFonts w:hint="eastAsia" w:ascii="宋体" w:hAnsi="宋体" w:cs="Arial Unicode MS"/>
          <w:snapToGrid w:val="0"/>
          <w:kern w:val="0"/>
          <w:szCs w:val="21"/>
          <w:u w:val="single"/>
          <w:lang w:val="en-US" w:eastAsia="zh-CN"/>
        </w:rPr>
        <w:t>07</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15</w:t>
      </w:r>
      <w:r>
        <w:rPr>
          <w:rFonts w:hint="eastAsia" w:ascii="宋体" w:hAnsi="宋体" w:cs="Arial Unicode MS"/>
          <w:snapToGrid w:val="0"/>
          <w:kern w:val="0"/>
          <w:szCs w:val="21"/>
          <w:u w:val="single"/>
        </w:rPr>
        <w:t>日</w:t>
      </w:r>
      <w:r>
        <w:rPr>
          <w:rFonts w:hint="eastAsia" w:ascii="宋体" w:hAnsi="宋体" w:cs="Arial Unicode MS"/>
          <w:snapToGrid w:val="0"/>
          <w:kern w:val="0"/>
          <w:szCs w:val="21"/>
          <w:u w:val="single"/>
          <w:lang w:val="en-US" w:eastAsia="zh-CN"/>
        </w:rPr>
        <w:t>15</w:t>
      </w:r>
      <w:r>
        <w:rPr>
          <w:rFonts w:hint="eastAsia" w:ascii="宋体" w:hAnsi="宋体" w:cs="Arial Unicode MS"/>
          <w:snapToGrid w:val="0"/>
          <w:kern w:val="0"/>
          <w:szCs w:val="21"/>
          <w:u w:val="single"/>
        </w:rPr>
        <w:t>点</w:t>
      </w:r>
      <w:r>
        <w:rPr>
          <w:rFonts w:hint="eastAsia" w:ascii="宋体" w:hAnsi="宋体" w:cs="Arial Unicode MS"/>
          <w:snapToGrid w:val="0"/>
          <w:kern w:val="0"/>
          <w:szCs w:val="21"/>
          <w:u w:val="single"/>
          <w:lang w:val="en-US" w:eastAsia="zh-CN"/>
        </w:rPr>
        <w:t>0</w:t>
      </w:r>
      <w:r>
        <w:rPr>
          <w:rFonts w:hint="eastAsia" w:ascii="宋体" w:hAnsi="宋体" w:cs="Arial Unicode MS"/>
          <w:snapToGrid w:val="0"/>
          <w:kern w:val="0"/>
          <w:szCs w:val="21"/>
          <w:u w:val="single"/>
        </w:rPr>
        <w:t>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14:paraId="6ED5752F">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cs="Arial Unicode MS"/>
          <w:snapToGrid w:val="0"/>
          <w:kern w:val="0"/>
          <w:szCs w:val="21"/>
        </w:rPr>
      </w:pPr>
    </w:p>
    <w:p w14:paraId="0CC281C8">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60" w:leftChars="1" w:hanging="358" w:hangingChars="170"/>
        <w:textAlignment w:val="auto"/>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14:paraId="0B0B64AF">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hint="eastAsia" w:ascii="宋体" w:hAnsi="宋体" w:eastAsia="宋体"/>
          <w:b/>
          <w:snapToGrid w:val="0"/>
          <w:color w:val="auto"/>
          <w:sz w:val="21"/>
          <w:szCs w:val="21"/>
          <w:lang w:eastAsia="zh-CN"/>
        </w:rPr>
      </w:pPr>
      <w:r>
        <w:rPr>
          <w:rFonts w:hint="eastAsia" w:ascii="宋体" w:hAnsi="宋体" w:eastAsia="宋体"/>
          <w:snapToGrid w:val="0"/>
          <w:color w:val="auto"/>
          <w:sz w:val="21"/>
          <w:szCs w:val="21"/>
        </w:rPr>
        <w:t>1、项目编号：</w:t>
      </w:r>
      <w:r>
        <w:rPr>
          <w:rFonts w:hint="eastAsia" w:ascii="宋体" w:hAnsi="宋体" w:eastAsia="宋体"/>
          <w:snapToGrid w:val="0"/>
          <w:color w:val="auto"/>
          <w:sz w:val="21"/>
          <w:lang w:eastAsia="zh-CN"/>
        </w:rPr>
        <w:t>SZZZ2024-QC0293</w:t>
      </w:r>
    </w:p>
    <w:p w14:paraId="407E645D">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hint="eastAsia" w:ascii="宋体" w:hAnsi="宋体" w:eastAsia="宋体"/>
          <w:b/>
          <w:snapToGrid w:val="0"/>
          <w:color w:val="auto"/>
          <w:sz w:val="21"/>
          <w:szCs w:val="21"/>
          <w:lang w:eastAsia="zh-CN"/>
        </w:rPr>
      </w:pPr>
      <w:r>
        <w:rPr>
          <w:rFonts w:hint="eastAsia" w:ascii="宋体" w:hAnsi="宋体" w:eastAsia="宋体"/>
          <w:snapToGrid w:val="0"/>
          <w:color w:val="auto"/>
          <w:sz w:val="21"/>
          <w:szCs w:val="21"/>
        </w:rPr>
        <w:t>2、项目名称：</w:t>
      </w:r>
      <w:r>
        <w:rPr>
          <w:rFonts w:hint="eastAsia" w:ascii="宋体" w:hAnsi="宋体" w:eastAsia="宋体"/>
          <w:snapToGrid w:val="0"/>
          <w:color w:val="auto"/>
          <w:sz w:val="21"/>
          <w:szCs w:val="21"/>
          <w:lang w:eastAsia="zh-CN"/>
        </w:rPr>
        <w:t>深圳市市场监督管理局龙岗监管局公务用车维修保养服务</w:t>
      </w:r>
    </w:p>
    <w:p w14:paraId="1541AFDB">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14:paraId="15C35E4D">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b/>
          <w:snapToGrid w:val="0"/>
          <w:color w:val="auto"/>
          <w:sz w:val="21"/>
          <w:szCs w:val="21"/>
          <w:u w:val="none"/>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none"/>
          <w:lang w:val="en-US" w:eastAsia="zh-CN"/>
        </w:rPr>
        <w:t>99万</w:t>
      </w:r>
      <w:r>
        <w:rPr>
          <w:rFonts w:hint="eastAsia" w:ascii="宋体" w:hAnsi="宋体" w:eastAsia="宋体"/>
          <w:snapToGrid w:val="0"/>
          <w:color w:val="auto"/>
          <w:sz w:val="21"/>
          <w:szCs w:val="21"/>
          <w:u w:val="none"/>
        </w:rPr>
        <w:t>元</w:t>
      </w:r>
    </w:p>
    <w:p w14:paraId="6F3834F6">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b/>
          <w:snapToGrid w:val="0"/>
          <w:color w:val="auto"/>
          <w:sz w:val="21"/>
          <w:szCs w:val="21"/>
        </w:rPr>
      </w:pPr>
      <w:r>
        <w:rPr>
          <w:rFonts w:hint="eastAsia" w:ascii="宋体" w:hAnsi="宋体" w:eastAsia="宋体"/>
          <w:snapToGrid w:val="0"/>
          <w:color w:val="auto"/>
          <w:sz w:val="21"/>
          <w:szCs w:val="21"/>
          <w:u w:val="none"/>
        </w:rPr>
        <w:t>5、最高限价：人民币</w:t>
      </w:r>
      <w:r>
        <w:rPr>
          <w:rFonts w:hint="eastAsia" w:ascii="宋体" w:hAnsi="宋体" w:eastAsia="宋体"/>
          <w:snapToGrid w:val="0"/>
          <w:color w:val="auto"/>
          <w:sz w:val="21"/>
          <w:szCs w:val="21"/>
          <w:u w:val="none"/>
          <w:lang w:val="en-US" w:eastAsia="zh-CN"/>
        </w:rPr>
        <w:t>99万</w:t>
      </w:r>
      <w:r>
        <w:rPr>
          <w:rFonts w:hint="eastAsia" w:ascii="宋体" w:hAnsi="宋体" w:eastAsia="宋体"/>
          <w:snapToGrid w:val="0"/>
          <w:color w:val="auto"/>
          <w:sz w:val="21"/>
          <w:szCs w:val="21"/>
        </w:rPr>
        <w:t>元</w:t>
      </w:r>
    </w:p>
    <w:p w14:paraId="79ED5BE9">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682"/>
        <w:gridCol w:w="2862"/>
        <w:gridCol w:w="779"/>
        <w:gridCol w:w="779"/>
        <w:gridCol w:w="2553"/>
        <w:gridCol w:w="2126"/>
      </w:tblGrid>
      <w:tr w14:paraId="646DA7B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682" w:type="dxa"/>
            <w:shd w:val="clear" w:color="auto" w:fill="ABCDEF"/>
            <w:vAlign w:val="center"/>
          </w:tcPr>
          <w:p w14:paraId="5624A93C">
            <w:pPr>
              <w:pStyle w:val="45"/>
              <w:keepNext w:val="0"/>
              <w:keepLines w:val="0"/>
              <w:pageBreakBefore w:val="0"/>
              <w:widowControl w:val="0"/>
              <w:kinsoku/>
              <w:wordWrap/>
              <w:overflowPunct/>
              <w:topLinePunct w:val="0"/>
              <w:autoSpaceDE/>
              <w:autoSpaceDN/>
              <w:bidi w:val="0"/>
              <w:spacing w:before="0" w:beforeAutospacing="0" w:after="0" w:afterAutospacing="0" w:line="360" w:lineRule="auto"/>
              <w:jc w:val="center"/>
              <w:textAlignment w:val="auto"/>
              <w:rPr>
                <w:sz w:val="21"/>
              </w:rPr>
            </w:pPr>
            <w:r>
              <w:rPr>
                <w:rFonts w:hint="eastAsia"/>
                <w:sz w:val="21"/>
              </w:rPr>
              <w:t>序号</w:t>
            </w:r>
          </w:p>
        </w:tc>
        <w:tc>
          <w:tcPr>
            <w:tcW w:w="2862" w:type="dxa"/>
            <w:shd w:val="clear" w:color="auto" w:fill="ABCDEF"/>
            <w:vAlign w:val="center"/>
          </w:tcPr>
          <w:p w14:paraId="2628E78B">
            <w:pPr>
              <w:pStyle w:val="45"/>
              <w:keepNext w:val="0"/>
              <w:keepLines w:val="0"/>
              <w:pageBreakBefore w:val="0"/>
              <w:widowControl w:val="0"/>
              <w:kinsoku/>
              <w:wordWrap/>
              <w:overflowPunct/>
              <w:topLinePunct w:val="0"/>
              <w:autoSpaceDE/>
              <w:autoSpaceDN/>
              <w:bidi w:val="0"/>
              <w:spacing w:line="360" w:lineRule="auto"/>
              <w:jc w:val="center"/>
              <w:textAlignment w:val="auto"/>
              <w:rPr>
                <w:sz w:val="21"/>
              </w:rPr>
            </w:pPr>
            <w:r>
              <w:rPr>
                <w:sz w:val="21"/>
              </w:rPr>
              <w:t>标的名称</w:t>
            </w:r>
          </w:p>
        </w:tc>
        <w:tc>
          <w:tcPr>
            <w:tcW w:w="779" w:type="dxa"/>
            <w:shd w:val="clear" w:color="auto" w:fill="ABCDEF"/>
            <w:vAlign w:val="center"/>
          </w:tcPr>
          <w:p w14:paraId="3BB93F9C">
            <w:pPr>
              <w:pStyle w:val="45"/>
              <w:keepNext w:val="0"/>
              <w:keepLines w:val="0"/>
              <w:pageBreakBefore w:val="0"/>
              <w:widowControl w:val="0"/>
              <w:kinsoku/>
              <w:wordWrap/>
              <w:overflowPunct/>
              <w:topLinePunct w:val="0"/>
              <w:autoSpaceDE/>
              <w:autoSpaceDN/>
              <w:bidi w:val="0"/>
              <w:spacing w:before="0" w:beforeAutospacing="0" w:after="0" w:afterAutospacing="0" w:line="360" w:lineRule="auto"/>
              <w:jc w:val="center"/>
              <w:textAlignment w:val="auto"/>
              <w:rPr>
                <w:sz w:val="21"/>
              </w:rPr>
            </w:pPr>
            <w:r>
              <w:rPr>
                <w:sz w:val="21"/>
              </w:rPr>
              <w:t>数量</w:t>
            </w:r>
          </w:p>
        </w:tc>
        <w:tc>
          <w:tcPr>
            <w:tcW w:w="779" w:type="dxa"/>
            <w:shd w:val="clear" w:color="auto" w:fill="ABCDEF"/>
            <w:vAlign w:val="center"/>
          </w:tcPr>
          <w:p w14:paraId="68F58E50">
            <w:pPr>
              <w:pStyle w:val="45"/>
              <w:keepNext w:val="0"/>
              <w:keepLines w:val="0"/>
              <w:pageBreakBefore w:val="0"/>
              <w:widowControl w:val="0"/>
              <w:kinsoku/>
              <w:wordWrap/>
              <w:overflowPunct/>
              <w:topLinePunct w:val="0"/>
              <w:autoSpaceDE/>
              <w:autoSpaceDN/>
              <w:bidi w:val="0"/>
              <w:spacing w:before="0" w:beforeAutospacing="0" w:after="0" w:afterAutospacing="0" w:line="360" w:lineRule="auto"/>
              <w:jc w:val="center"/>
              <w:textAlignment w:val="auto"/>
              <w:rPr>
                <w:sz w:val="21"/>
              </w:rPr>
            </w:pPr>
            <w:r>
              <w:rPr>
                <w:sz w:val="21"/>
              </w:rPr>
              <w:t>单位</w:t>
            </w:r>
          </w:p>
        </w:tc>
        <w:tc>
          <w:tcPr>
            <w:tcW w:w="2553" w:type="dxa"/>
            <w:shd w:val="clear" w:color="auto" w:fill="ABCDEF"/>
            <w:vAlign w:val="center"/>
          </w:tcPr>
          <w:p w14:paraId="1C66D0A6">
            <w:pPr>
              <w:pStyle w:val="45"/>
              <w:keepNext w:val="0"/>
              <w:keepLines w:val="0"/>
              <w:pageBreakBefore w:val="0"/>
              <w:widowControl w:val="0"/>
              <w:kinsoku/>
              <w:wordWrap/>
              <w:overflowPunct/>
              <w:topLinePunct w:val="0"/>
              <w:autoSpaceDE/>
              <w:autoSpaceDN/>
              <w:bidi w:val="0"/>
              <w:spacing w:before="0" w:beforeAutospacing="0" w:after="0" w:afterAutospacing="0" w:line="360" w:lineRule="auto"/>
              <w:jc w:val="center"/>
              <w:textAlignment w:val="auto"/>
              <w:rPr>
                <w:sz w:val="21"/>
              </w:rPr>
            </w:pPr>
            <w:r>
              <w:rPr>
                <w:rFonts w:hint="eastAsia"/>
                <w:sz w:val="21"/>
              </w:rPr>
              <w:t>简要技术需求或服务要求</w:t>
            </w:r>
          </w:p>
        </w:tc>
        <w:tc>
          <w:tcPr>
            <w:tcW w:w="2126" w:type="dxa"/>
            <w:shd w:val="clear" w:color="auto" w:fill="ABCDEF"/>
            <w:vAlign w:val="center"/>
          </w:tcPr>
          <w:p w14:paraId="1C7CEBC8">
            <w:pPr>
              <w:pStyle w:val="45"/>
              <w:keepNext w:val="0"/>
              <w:keepLines w:val="0"/>
              <w:pageBreakBefore w:val="0"/>
              <w:widowControl w:val="0"/>
              <w:kinsoku/>
              <w:wordWrap/>
              <w:overflowPunct/>
              <w:topLinePunct w:val="0"/>
              <w:autoSpaceDE/>
              <w:autoSpaceDN/>
              <w:bidi w:val="0"/>
              <w:spacing w:before="0" w:beforeAutospacing="0" w:after="0" w:afterAutospacing="0" w:line="360" w:lineRule="auto"/>
              <w:jc w:val="center"/>
              <w:textAlignment w:val="auto"/>
              <w:rPr>
                <w:sz w:val="21"/>
              </w:rPr>
            </w:pPr>
            <w:r>
              <w:rPr>
                <w:sz w:val="21"/>
              </w:rPr>
              <w:t>备注</w:t>
            </w:r>
          </w:p>
        </w:tc>
      </w:tr>
      <w:tr w14:paraId="54EE630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880" w:hRule="atLeast"/>
        </w:trPr>
        <w:tc>
          <w:tcPr>
            <w:tcW w:w="682" w:type="dxa"/>
            <w:shd w:val="clear" w:color="auto" w:fill="auto"/>
            <w:vAlign w:val="center"/>
          </w:tcPr>
          <w:p w14:paraId="6EF32F97">
            <w:pPr>
              <w:pStyle w:val="45"/>
              <w:keepNext w:val="0"/>
              <w:keepLines w:val="0"/>
              <w:pageBreakBefore w:val="0"/>
              <w:widowControl w:val="0"/>
              <w:kinsoku/>
              <w:wordWrap/>
              <w:overflowPunct/>
              <w:topLinePunct w:val="0"/>
              <w:autoSpaceDE/>
              <w:autoSpaceDN/>
              <w:bidi w:val="0"/>
              <w:spacing w:before="0" w:beforeAutospacing="0" w:after="0" w:afterAutospacing="0" w:line="360" w:lineRule="auto"/>
              <w:jc w:val="center"/>
              <w:textAlignment w:val="auto"/>
              <w:rPr>
                <w:rFonts w:asciiTheme="minorEastAsia" w:hAnsiTheme="minorEastAsia" w:eastAsiaTheme="minorEastAsia"/>
                <w:sz w:val="21"/>
              </w:rPr>
            </w:pPr>
            <w:r>
              <w:rPr>
                <w:rFonts w:hint="eastAsia" w:asciiTheme="minorEastAsia" w:hAnsiTheme="minorEastAsia" w:eastAsiaTheme="minorEastAsia"/>
                <w:sz w:val="21"/>
              </w:rPr>
              <w:t>1</w:t>
            </w:r>
          </w:p>
        </w:tc>
        <w:tc>
          <w:tcPr>
            <w:tcW w:w="2862" w:type="dxa"/>
            <w:shd w:val="clear" w:color="auto" w:fill="auto"/>
            <w:vAlign w:val="center"/>
          </w:tcPr>
          <w:p w14:paraId="158F1F45">
            <w:pPr>
              <w:pStyle w:val="45"/>
              <w:keepNext w:val="0"/>
              <w:keepLines w:val="0"/>
              <w:pageBreakBefore w:val="0"/>
              <w:widowControl w:val="0"/>
              <w:kinsoku/>
              <w:wordWrap/>
              <w:overflowPunct/>
              <w:topLinePunct w:val="0"/>
              <w:autoSpaceDE/>
              <w:autoSpaceDN/>
              <w:bidi w:val="0"/>
              <w:spacing w:line="360" w:lineRule="auto"/>
              <w:jc w:val="center"/>
              <w:textAlignment w:val="auto"/>
              <w:rPr>
                <w:rFonts w:hint="eastAsia" w:asciiTheme="minorEastAsia" w:hAnsiTheme="minorEastAsia" w:eastAsiaTheme="minorEastAsia"/>
                <w:sz w:val="21"/>
                <w:lang w:eastAsia="zh-CN"/>
              </w:rPr>
            </w:pPr>
            <w:r>
              <w:rPr>
                <w:rFonts w:hint="eastAsia" w:ascii="宋体" w:hAnsi="宋体" w:eastAsiaTheme="minorEastAsia"/>
                <w:snapToGrid w:val="0"/>
                <w:sz w:val="21"/>
                <w:szCs w:val="21"/>
                <w:lang w:eastAsia="zh-CN"/>
              </w:rPr>
              <w:t>深圳市市场监督管理局龙岗监管局公务用车维修保养服务</w:t>
            </w:r>
          </w:p>
        </w:tc>
        <w:tc>
          <w:tcPr>
            <w:tcW w:w="779" w:type="dxa"/>
            <w:shd w:val="clear" w:color="auto" w:fill="auto"/>
            <w:vAlign w:val="center"/>
          </w:tcPr>
          <w:p w14:paraId="669E8BFE">
            <w:pPr>
              <w:pStyle w:val="45"/>
              <w:keepNext w:val="0"/>
              <w:keepLines w:val="0"/>
              <w:pageBreakBefore w:val="0"/>
              <w:widowControl w:val="0"/>
              <w:kinsoku/>
              <w:wordWrap/>
              <w:overflowPunct/>
              <w:topLinePunct w:val="0"/>
              <w:autoSpaceDE/>
              <w:autoSpaceDN/>
              <w:bidi w:val="0"/>
              <w:spacing w:before="0" w:beforeAutospacing="0" w:after="0" w:afterAutospacing="0" w:line="360" w:lineRule="auto"/>
              <w:jc w:val="center"/>
              <w:textAlignment w:val="auto"/>
              <w:rPr>
                <w:rFonts w:asciiTheme="minorEastAsia" w:hAnsiTheme="minorEastAsia" w:eastAsiaTheme="minorEastAsia"/>
                <w:sz w:val="21"/>
              </w:rPr>
            </w:pPr>
            <w:r>
              <w:rPr>
                <w:rFonts w:hint="eastAsia" w:asciiTheme="minorEastAsia" w:hAnsiTheme="minorEastAsia" w:eastAsiaTheme="minorEastAsia"/>
                <w:sz w:val="21"/>
              </w:rPr>
              <w:t>1</w:t>
            </w:r>
          </w:p>
        </w:tc>
        <w:tc>
          <w:tcPr>
            <w:tcW w:w="779" w:type="dxa"/>
            <w:shd w:val="clear" w:color="auto" w:fill="auto"/>
            <w:vAlign w:val="center"/>
          </w:tcPr>
          <w:p w14:paraId="46D725A6">
            <w:pPr>
              <w:pStyle w:val="45"/>
              <w:keepNext w:val="0"/>
              <w:keepLines w:val="0"/>
              <w:pageBreakBefore w:val="0"/>
              <w:widowControl w:val="0"/>
              <w:kinsoku/>
              <w:wordWrap/>
              <w:overflowPunct/>
              <w:topLinePunct w:val="0"/>
              <w:autoSpaceDE/>
              <w:autoSpaceDN/>
              <w:bidi w:val="0"/>
              <w:spacing w:before="0" w:beforeAutospacing="0" w:after="0" w:afterAutospacing="0" w:line="360" w:lineRule="auto"/>
              <w:jc w:val="center"/>
              <w:textAlignment w:val="auto"/>
              <w:rPr>
                <w:rFonts w:asciiTheme="minorEastAsia" w:hAnsiTheme="minorEastAsia" w:eastAsiaTheme="minorEastAsia"/>
                <w:sz w:val="21"/>
              </w:rPr>
            </w:pPr>
            <w:r>
              <w:rPr>
                <w:rFonts w:hint="eastAsia" w:asciiTheme="minorEastAsia" w:hAnsiTheme="minorEastAsia" w:eastAsiaTheme="minorEastAsia"/>
                <w:sz w:val="21"/>
              </w:rPr>
              <w:t>项</w:t>
            </w:r>
          </w:p>
        </w:tc>
        <w:tc>
          <w:tcPr>
            <w:tcW w:w="2553" w:type="dxa"/>
            <w:shd w:val="clear" w:color="auto" w:fill="auto"/>
            <w:vAlign w:val="center"/>
          </w:tcPr>
          <w:p w14:paraId="4170809C">
            <w:pPr>
              <w:pStyle w:val="45"/>
              <w:keepNext w:val="0"/>
              <w:keepLines w:val="0"/>
              <w:pageBreakBefore w:val="0"/>
              <w:widowControl w:val="0"/>
              <w:kinsoku/>
              <w:wordWrap/>
              <w:overflowPunct/>
              <w:topLinePunct w:val="0"/>
              <w:autoSpaceDE/>
              <w:autoSpaceDN/>
              <w:bidi w:val="0"/>
              <w:spacing w:before="0" w:beforeAutospacing="0" w:after="0" w:afterAutospacing="0" w:line="360" w:lineRule="auto"/>
              <w:jc w:val="center"/>
              <w:textAlignment w:val="auto"/>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2126" w:type="dxa"/>
            <w:shd w:val="clear" w:color="auto" w:fill="auto"/>
            <w:vAlign w:val="center"/>
          </w:tcPr>
          <w:p w14:paraId="051980F6">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eastAsiaTheme="minorEastAsia"/>
              </w:rPr>
            </w:pPr>
            <w:r>
              <w:rPr>
                <w:rFonts w:hint="eastAsia" w:asciiTheme="minorEastAsia" w:hAnsiTheme="minorEastAsia" w:eastAsiaTheme="minorEastAsia"/>
              </w:rPr>
              <w:t>无</w:t>
            </w:r>
          </w:p>
        </w:tc>
      </w:tr>
    </w:tbl>
    <w:p w14:paraId="5E46FA39">
      <w:pPr>
        <w:pStyle w:val="453"/>
        <w:keepNext w:val="0"/>
        <w:keepLines w:val="0"/>
        <w:pageBreakBefore w:val="0"/>
        <w:widowControl w:val="0"/>
        <w:kinsoku/>
        <w:wordWrap/>
        <w:overflowPunct/>
        <w:topLinePunct w:val="0"/>
        <w:autoSpaceDE/>
        <w:autoSpaceDN/>
        <w:bidi w:val="0"/>
        <w:adjustRightInd w:val="0"/>
        <w:snapToGrid w:val="0"/>
        <w:spacing w:beforeLines="50" w:beforeAutospacing="0" w:after="0" w:afterAutospacing="0" w:line="360" w:lineRule="auto"/>
        <w:ind w:firstLine="422" w:firstLineChars="20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7、合同履行期限：详见招标文件</w:t>
      </w:r>
    </w:p>
    <w:p w14:paraId="65096C9D">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2" w:firstLineChars="20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14:paraId="468F69A7">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textAlignment w:val="auto"/>
        <w:rPr>
          <w:rFonts w:ascii="宋体" w:hAnsi="宋体" w:eastAsia="宋体"/>
          <w:b/>
          <w:snapToGrid w:val="0"/>
          <w:color w:val="auto"/>
          <w:sz w:val="21"/>
          <w:szCs w:val="21"/>
        </w:rPr>
      </w:pPr>
    </w:p>
    <w:p w14:paraId="1F93CCA8">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60" w:leftChars="1" w:hanging="358" w:hangingChars="170"/>
        <w:textAlignment w:val="auto"/>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14:paraId="2A48C73F">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如果是分支机构参与投标，还须同时提供其具有独立法人资格的上级主体出具的</w:t>
      </w:r>
      <w:r>
        <w:rPr>
          <w:rFonts w:hint="eastAsia" w:ascii="宋体" w:hAnsi="宋体" w:eastAsia="宋体"/>
          <w:snapToGrid w:val="0"/>
          <w:color w:val="auto"/>
          <w:sz w:val="21"/>
        </w:rPr>
        <w:t>有效授权书及</w:t>
      </w:r>
      <w:r>
        <w:rPr>
          <w:rFonts w:hint="eastAsia" w:asciiTheme="minorEastAsia" w:hAnsiTheme="minorEastAsia" w:eastAsiaTheme="minorEastAsia"/>
          <w:snapToGrid w:val="0"/>
          <w:color w:val="auto"/>
          <w:sz w:val="21"/>
        </w:rPr>
        <w:t>上级主体的</w:t>
      </w:r>
      <w:r>
        <w:rPr>
          <w:rFonts w:hint="eastAsia" w:ascii="宋体" w:hAnsi="宋体" w:eastAsia="宋体"/>
          <w:snapToGrid w:val="0"/>
          <w:color w:val="auto"/>
          <w:sz w:val="21"/>
        </w:rPr>
        <w:t>营业执照或法人证书等证明材料复印件或扫描件加盖</w:t>
      </w:r>
      <w:r>
        <w:rPr>
          <w:rFonts w:hint="eastAsia" w:asciiTheme="minorEastAsia" w:hAnsiTheme="minorEastAsia" w:eastAsiaTheme="minorEastAsia"/>
          <w:snapToGrid w:val="0"/>
          <w:color w:val="auto"/>
          <w:sz w:val="21"/>
        </w:rPr>
        <w:t>投标人</w:t>
      </w:r>
      <w:r>
        <w:rPr>
          <w:rFonts w:hint="eastAsia" w:ascii="宋体" w:hAnsi="宋体" w:eastAsia="宋体"/>
          <w:snapToGrid w:val="0"/>
          <w:color w:val="auto"/>
          <w:sz w:val="21"/>
        </w:rPr>
        <w:t>公章，原件备查</w:t>
      </w:r>
      <w:r>
        <w:rPr>
          <w:rFonts w:hint="eastAsia" w:asciiTheme="minorEastAsia" w:hAnsiTheme="minorEastAsia" w:eastAsiaTheme="minorEastAsia"/>
          <w:snapToGrid w:val="0"/>
          <w:color w:val="auto"/>
          <w:sz w:val="21"/>
        </w:rPr>
        <w:t>；</w:t>
      </w:r>
      <w:r>
        <w:rPr>
          <w:rFonts w:hint="eastAsia" w:ascii="宋体" w:hAnsi="宋体" w:eastAsia="宋体"/>
          <w:snapToGrid w:val="0"/>
          <w:color w:val="auto"/>
          <w:sz w:val="21"/>
        </w:rPr>
        <w:t>本项目不接受总公司与分支机构同时参与投标，也不接受同一总公司有两个或以上分支机构参与投标，如出现以上情形，该两家或以上投标人均按无效投标处理</w:t>
      </w:r>
      <w:r>
        <w:rPr>
          <w:rFonts w:hint="eastAsia" w:asciiTheme="minorEastAsia" w:hAnsiTheme="minorEastAsia" w:eastAsiaTheme="minorEastAsia"/>
          <w:snapToGrid w:val="0"/>
          <w:color w:val="auto"/>
          <w:sz w:val="21"/>
        </w:rPr>
        <w:t>。</w:t>
      </w:r>
    </w:p>
    <w:p w14:paraId="6C49BED0">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本项目属于专门面向小微企业采购的项目（提供符合要求的《中小企业声明函》，且供应商属于小型企业或微型企业；如供应商为残疾人福利性单位或监狱企业，视同小型、微型企业，提供《残疾人福利性单位声明函》或《监狱企业声明函》及监狱企业证明文件亦视为符合）。</w:t>
      </w:r>
    </w:p>
    <w:p w14:paraId="02BECCCF">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r>
        <w:rPr>
          <w:rFonts w:asciiTheme="minorEastAsia" w:hAnsiTheme="minorEastAsia" w:eastAsiaTheme="minorEastAsia"/>
          <w:snapToGrid w:val="0"/>
          <w:color w:val="auto"/>
          <w:sz w:val="21"/>
        </w:rPr>
        <w:t xml:space="preserve"> </w:t>
      </w:r>
    </w:p>
    <w:p w14:paraId="004A1FEF">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14:paraId="50593274">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14:paraId="3D9C640F">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14:paraId="49BA7815">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参与本项目政府采购活动不存在与其他采购参加人串通投标，隐瞒真实情况，提供虚假资料等违法违规情形，不存在《深圳市财政局政府采购供应商信用信息管理办法》（深财规〔2023〕3号）列明的严重违法失信行为（须按本项目投标文件格式要求提供《政府采购投标及履约承诺函》加盖投标人公章）；</w:t>
      </w:r>
    </w:p>
    <w:p w14:paraId="6919B937">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单位负责人为同一人或者存在直接控股、管理关系的不同供应商，不得参加同一合同项下的政府采购活动，采购代理机构通过国家企业信用信息公示系统（https://www.gsxt.gov.cn/index.html）或机关赋码和事业单位登记管理网（http://www.gjsy.gov.cn/sydwfrxxcx/）或全国社会组织信用信息公示平台（https://xxgs.chinanpo.mca.gov.cn/gsxt/newList）网站查询投标人信息，投标人无需提供证明材料；</w:t>
      </w:r>
    </w:p>
    <w:p w14:paraId="38433DFC">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未被列入失信被执行人、重大税收违法案件当事人名单及政府采购严重违法失信行为记录名单（信用中国网“信用服务”栏的“重大税收违法失信主体”、“失信被执行人”，中国政府采购网“政府采购严重违法失信行为记录名单”，深圳信用网以及深圳市政府采购监管网为投标人信用信息查询渠道，相关信息以开标当日的查询结果为准。由采购代理机构查询，投标人无需提供证明材料）；</w:t>
      </w:r>
    </w:p>
    <w:p w14:paraId="0F2B78BA">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hint="eastAsia" w:asciiTheme="minorEastAsia" w:hAnsiTheme="minorEastAsia" w:eastAsiaTheme="minorEastAsia"/>
          <w:snapToGrid w:val="0"/>
          <w:color w:val="auto"/>
          <w:sz w:val="21"/>
          <w:lang w:eastAsia="zh-CN"/>
        </w:rPr>
      </w:pPr>
      <w:r>
        <w:rPr>
          <w:rFonts w:hint="eastAsia" w:asciiTheme="minorEastAsia" w:hAnsiTheme="minorEastAsia" w:eastAsiaTheme="minorEastAsia"/>
          <w:snapToGrid w:val="0"/>
          <w:color w:val="auto"/>
          <w:sz w:val="21"/>
          <w:lang w:eastAsia="zh-CN"/>
        </w:rPr>
        <w:t>（</w:t>
      </w:r>
      <w:r>
        <w:rPr>
          <w:rFonts w:hint="eastAsia" w:asciiTheme="minorEastAsia" w:hAnsiTheme="minorEastAsia" w:eastAsiaTheme="minorEastAsia"/>
          <w:snapToGrid w:val="0"/>
          <w:color w:val="auto"/>
          <w:sz w:val="21"/>
          <w:lang w:val="en-US" w:eastAsia="zh-CN"/>
        </w:rPr>
        <w:t>7</w:t>
      </w:r>
      <w:r>
        <w:rPr>
          <w:rFonts w:hint="eastAsia" w:asciiTheme="minorEastAsia" w:hAnsiTheme="minorEastAsia" w:eastAsiaTheme="minorEastAsia"/>
          <w:snapToGrid w:val="0"/>
          <w:color w:val="auto"/>
          <w:sz w:val="21"/>
          <w:lang w:eastAsia="zh-CN"/>
        </w:rPr>
        <w:t>）</w:t>
      </w:r>
      <w:r>
        <w:rPr>
          <w:rFonts w:hint="eastAsia" w:asciiTheme="minorEastAsia" w:hAnsiTheme="minorEastAsia" w:eastAsiaTheme="minorEastAsia"/>
          <w:snapToGrid w:val="0"/>
          <w:color w:val="auto"/>
          <w:sz w:val="21"/>
          <w:lang w:val="en-US" w:eastAsia="zh-CN"/>
        </w:rPr>
        <w:t>投标人具有</w:t>
      </w:r>
      <w:r>
        <w:rPr>
          <w:rFonts w:hint="eastAsia" w:asciiTheme="minorEastAsia" w:hAnsiTheme="minorEastAsia" w:eastAsiaTheme="minorEastAsia"/>
          <w:snapToGrid w:val="0"/>
          <w:color w:val="auto"/>
          <w:sz w:val="21"/>
          <w:lang w:eastAsia="zh-CN"/>
        </w:rPr>
        <w:t>一类或二类汽车维修企业备案（提供备案证明截图或证明文件复印件或扫描件，证明材料中需体现投标人名称）；</w:t>
      </w:r>
    </w:p>
    <w:p w14:paraId="58779A02">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w:t>
      </w:r>
      <w:r>
        <w:rPr>
          <w:rFonts w:hint="eastAsia" w:asciiTheme="minorEastAsia" w:hAnsiTheme="minorEastAsia" w:eastAsiaTheme="minorEastAsia"/>
          <w:snapToGrid w:val="0"/>
          <w:color w:val="auto"/>
          <w:sz w:val="21"/>
          <w:lang w:val="en-US" w:eastAsia="zh-CN"/>
        </w:rPr>
        <w:t>8</w:t>
      </w:r>
      <w:r>
        <w:rPr>
          <w:rFonts w:hint="eastAsia" w:asciiTheme="minorEastAsia" w:hAnsiTheme="minorEastAsia" w:eastAsiaTheme="minorEastAsia"/>
          <w:snapToGrid w:val="0"/>
          <w:color w:val="auto"/>
          <w:sz w:val="21"/>
        </w:rPr>
        <w:t>）本项目不接受联合体投标，不允许非法分包或转包；</w:t>
      </w:r>
    </w:p>
    <w:p w14:paraId="36400EC8">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w:t>
      </w:r>
      <w:r>
        <w:rPr>
          <w:rFonts w:hint="eastAsia" w:asciiTheme="minorEastAsia" w:hAnsiTheme="minorEastAsia" w:eastAsiaTheme="minorEastAsia"/>
          <w:snapToGrid w:val="0"/>
          <w:color w:val="auto"/>
          <w:sz w:val="21"/>
          <w:lang w:val="en-US" w:eastAsia="zh-CN"/>
        </w:rPr>
        <w:t>9</w:t>
      </w:r>
      <w:r>
        <w:rPr>
          <w:rFonts w:hint="eastAsia" w:asciiTheme="minorEastAsia" w:hAnsiTheme="minorEastAsia" w:eastAsiaTheme="minorEastAsia"/>
          <w:snapToGrid w:val="0"/>
          <w:color w:val="auto"/>
          <w:sz w:val="21"/>
        </w:rPr>
        <w:t>）本项目分为A、B、C</w:t>
      </w:r>
      <w:r>
        <w:rPr>
          <w:rFonts w:hint="eastAsia" w:asciiTheme="minorEastAsia" w:hAnsiTheme="minorEastAsia" w:eastAsiaTheme="minorEastAsia"/>
          <w:snapToGrid w:val="0"/>
          <w:color w:val="auto"/>
          <w:sz w:val="21"/>
          <w:lang w:val="en-US" w:eastAsia="zh-CN"/>
        </w:rPr>
        <w:t>三</w:t>
      </w:r>
      <w:r>
        <w:rPr>
          <w:rFonts w:hint="eastAsia" w:asciiTheme="minorEastAsia" w:hAnsiTheme="minorEastAsia" w:eastAsiaTheme="minorEastAsia"/>
          <w:snapToGrid w:val="0"/>
          <w:color w:val="auto"/>
          <w:sz w:val="21"/>
        </w:rPr>
        <w:t>个包，投标人可参与任意一个包或多个包投标，但只能成为其中一个包的中标人，即可兼投但不可兼中。评标时按A至</w:t>
      </w:r>
      <w:r>
        <w:rPr>
          <w:rFonts w:hint="eastAsia" w:asciiTheme="minorEastAsia" w:hAnsiTheme="minorEastAsia" w:eastAsiaTheme="minorEastAsia"/>
          <w:snapToGrid w:val="0"/>
          <w:color w:val="auto"/>
          <w:sz w:val="21"/>
          <w:lang w:val="en-US" w:eastAsia="zh-CN"/>
        </w:rPr>
        <w:t>C</w:t>
      </w:r>
      <w:r>
        <w:rPr>
          <w:rFonts w:hint="eastAsia" w:asciiTheme="minorEastAsia" w:hAnsiTheme="minorEastAsia" w:eastAsiaTheme="minorEastAsia"/>
          <w:snapToGrid w:val="0"/>
          <w:color w:val="auto"/>
          <w:sz w:val="21"/>
        </w:rPr>
        <w:t>包的顺序评审，如投标人在A包被推荐为第一候选中标供应商，则不得再参与其他包组评审，以此类推。如某个包因供应商质疑等原因导致中标结果变更的，其他包的中标结果不因此而受影响。</w:t>
      </w:r>
    </w:p>
    <w:p w14:paraId="1BC200DC">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textAlignment w:val="auto"/>
        <w:rPr>
          <w:rFonts w:ascii="宋体" w:hAnsi="宋体" w:eastAsia="宋体"/>
          <w:snapToGrid w:val="0"/>
          <w:color w:val="auto"/>
          <w:sz w:val="21"/>
          <w:szCs w:val="21"/>
        </w:rPr>
      </w:pPr>
    </w:p>
    <w:p w14:paraId="7340B55D">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60" w:leftChars="1" w:hanging="358" w:hangingChars="170"/>
        <w:textAlignment w:val="auto"/>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14:paraId="54DAB2D8">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6"/>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2024年</w:t>
      </w:r>
      <w:r>
        <w:rPr>
          <w:rFonts w:hint="eastAsia" w:ascii="宋体" w:hAnsi="宋体" w:eastAsia="宋体"/>
          <w:snapToGrid w:val="0"/>
          <w:color w:val="auto"/>
          <w:sz w:val="21"/>
          <w:szCs w:val="21"/>
          <w:u w:val="single"/>
          <w:lang w:val="en-US" w:eastAsia="zh-CN"/>
        </w:rPr>
        <w:t>07</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02</w:t>
      </w:r>
      <w:r>
        <w:rPr>
          <w:rFonts w:hint="eastAsia" w:ascii="宋体" w:hAnsi="宋体" w:eastAsia="宋体"/>
          <w:snapToGrid w:val="0"/>
          <w:color w:val="auto"/>
          <w:sz w:val="21"/>
          <w:szCs w:val="21"/>
          <w:u w:val="single"/>
        </w:rPr>
        <w:t>日至2024年</w:t>
      </w:r>
      <w:r>
        <w:rPr>
          <w:rFonts w:hint="eastAsia" w:ascii="宋体" w:hAnsi="宋体" w:eastAsia="宋体"/>
          <w:snapToGrid w:val="0"/>
          <w:color w:val="auto"/>
          <w:sz w:val="21"/>
          <w:szCs w:val="21"/>
          <w:u w:val="single"/>
          <w:lang w:val="en-US" w:eastAsia="zh-CN"/>
        </w:rPr>
        <w:t>07</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09</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14:paraId="40503CB4">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6"/>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w:t>
      </w:r>
      <w:r>
        <w:rPr>
          <w:rFonts w:ascii="宋体" w:hAnsi="宋体" w:eastAsia="宋体"/>
          <w:snapToGrid w:val="0"/>
          <w:color w:val="auto"/>
          <w:sz w:val="21"/>
          <w:szCs w:val="21"/>
        </w:rPr>
        <w:t xml:space="preserve"> </w:t>
      </w:r>
    </w:p>
    <w:p w14:paraId="562F4EEC">
      <w:pPr>
        <w:keepNext w:val="0"/>
        <w:keepLines w:val="0"/>
        <w:pageBreakBefore w:val="0"/>
        <w:widowControl w:val="0"/>
        <w:kinsoku/>
        <w:wordWrap/>
        <w:overflowPunct/>
        <w:topLinePunct w:val="0"/>
        <w:autoSpaceDE/>
        <w:autoSpaceDN/>
        <w:bidi w:val="0"/>
        <w:adjustRightInd w:val="0"/>
        <w:snapToGrid w:val="0"/>
        <w:spacing w:line="360" w:lineRule="auto"/>
        <w:ind w:firstLine="426"/>
        <w:jc w:val="left"/>
        <w:textAlignment w:val="auto"/>
        <w:rPr>
          <w:rFonts w:ascii="宋体" w:hAnsi="宋体" w:cs="Arial Unicode MS"/>
          <w:snapToGrid w:val="0"/>
          <w:kern w:val="0"/>
          <w:szCs w:val="21"/>
        </w:rPr>
      </w:pPr>
      <w:r>
        <w:rPr>
          <w:rFonts w:hint="eastAsia" w:ascii="宋体" w:hAnsi="宋体" w:cs="Arial Unicode MS"/>
          <w:snapToGrid w:val="0"/>
          <w:kern w:val="0"/>
          <w:szCs w:val="21"/>
        </w:rPr>
        <w:t>3、方式：现场获取或线上获取</w:t>
      </w:r>
    </w:p>
    <w:p w14:paraId="7D896B36">
      <w:pPr>
        <w:keepNext w:val="0"/>
        <w:keepLines w:val="0"/>
        <w:pageBreakBefore w:val="0"/>
        <w:widowControl w:val="0"/>
        <w:kinsoku/>
        <w:wordWrap/>
        <w:overflowPunct/>
        <w:topLinePunct w:val="0"/>
        <w:autoSpaceDE/>
        <w:autoSpaceDN/>
        <w:bidi w:val="0"/>
        <w:adjustRightInd w:val="0"/>
        <w:snapToGrid w:val="0"/>
        <w:spacing w:line="360" w:lineRule="auto"/>
        <w:ind w:firstLine="426"/>
        <w:jc w:val="left"/>
        <w:textAlignment w:val="auto"/>
        <w:rPr>
          <w:rFonts w:ascii="宋体" w:hAnsi="宋体" w:cs="Arial Unicode MS"/>
          <w:snapToGrid w:val="0"/>
          <w:kern w:val="0"/>
          <w:szCs w:val="21"/>
        </w:rPr>
      </w:pPr>
      <w:r>
        <w:rPr>
          <w:rFonts w:hint="eastAsia" w:ascii="宋体" w:hAnsi="宋体" w:cs="Arial Unicode MS"/>
          <w:snapToGrid w:val="0"/>
          <w:kern w:val="0"/>
          <w:szCs w:val="21"/>
        </w:rPr>
        <w:t>（1）现场获取：投标人按以上时间和地点现场报名和获取招标文件（提供加盖公章的《购买标书登记表》），逾期不予受理。</w:t>
      </w:r>
    </w:p>
    <w:p w14:paraId="58AAF396">
      <w:pPr>
        <w:keepNext w:val="0"/>
        <w:keepLines w:val="0"/>
        <w:pageBreakBefore w:val="0"/>
        <w:widowControl w:val="0"/>
        <w:kinsoku/>
        <w:wordWrap/>
        <w:overflowPunct/>
        <w:topLinePunct w:val="0"/>
        <w:autoSpaceDE/>
        <w:autoSpaceDN/>
        <w:bidi w:val="0"/>
        <w:adjustRightInd w:val="0"/>
        <w:snapToGrid w:val="0"/>
        <w:spacing w:line="360" w:lineRule="auto"/>
        <w:ind w:firstLine="426"/>
        <w:jc w:val="left"/>
        <w:textAlignment w:val="auto"/>
        <w:rPr>
          <w:rFonts w:ascii="宋体" w:hAnsi="宋体" w:cs="Arial Unicode MS"/>
          <w:snapToGrid w:val="0"/>
          <w:kern w:val="0"/>
          <w:szCs w:val="21"/>
        </w:rPr>
      </w:pPr>
      <w:r>
        <w:rPr>
          <w:rFonts w:hint="eastAsia" w:ascii="宋体" w:hAnsi="宋体" w:cs="Arial Unicode MS"/>
          <w:snapToGrid w:val="0"/>
          <w:kern w:val="0"/>
          <w:szCs w:val="21"/>
        </w:rPr>
        <w:t xml:space="preserve">（2）线上获取：投标人通过邮件报名及获取招标文件，报名时间以我司邮箱收件时间为准（我司邮箱：qtszzzzb@163.com），逾期不予受理。需提供以下资料: </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1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①</w:t>
      </w:r>
      <w:r>
        <w:rPr>
          <w:rFonts w:ascii="宋体" w:hAnsi="宋体" w:cs="Arial Unicode MS"/>
          <w:snapToGrid w:val="0"/>
          <w:kern w:val="0"/>
          <w:szCs w:val="21"/>
        </w:rPr>
        <w:fldChar w:fldCharType="end"/>
      </w:r>
      <w:r>
        <w:rPr>
          <w:rFonts w:hint="eastAsia" w:ascii="宋体" w:hAnsi="宋体" w:cs="Arial Unicode MS"/>
          <w:snapToGrid w:val="0"/>
          <w:kern w:val="0"/>
          <w:szCs w:val="21"/>
        </w:rPr>
        <w:t>加盖公章的《购买标书登记表》（下载地址：www.szzzt.com 首页“下载中心”）；</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2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②</w:t>
      </w:r>
      <w:r>
        <w:rPr>
          <w:rFonts w:ascii="宋体" w:hAnsi="宋体" w:cs="Arial Unicode MS"/>
          <w:snapToGrid w:val="0"/>
          <w:kern w:val="0"/>
          <w:szCs w:val="21"/>
        </w:rPr>
        <w:fldChar w:fldCharType="end"/>
      </w:r>
      <w:r>
        <w:rPr>
          <w:rFonts w:hint="eastAsia" w:ascii="宋体" w:hAnsi="宋体" w:cs="Arial Unicode MS"/>
          <w:snapToGrid w:val="0"/>
          <w:kern w:val="0"/>
          <w:szCs w:val="21"/>
        </w:rPr>
        <w:t>购买招标文件费用的银行转账凭证。</w:t>
      </w:r>
    </w:p>
    <w:p w14:paraId="134FC5DC">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6"/>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4、售价：人民币600元/包，招标文件售后不退。购买招标文件账号信息如下：</w:t>
      </w:r>
    </w:p>
    <w:p w14:paraId="5113C2E2">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6"/>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14:paraId="33171299">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6"/>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14:paraId="076B7B68">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6"/>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开户银行：上海银行深圳天安支行</w:t>
      </w:r>
    </w:p>
    <w:p w14:paraId="030C9145">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textAlignment w:val="auto"/>
        <w:rPr>
          <w:rFonts w:ascii="宋体" w:hAnsi="宋体" w:eastAsia="宋体"/>
          <w:snapToGrid w:val="0"/>
          <w:color w:val="auto"/>
          <w:sz w:val="21"/>
          <w:szCs w:val="21"/>
        </w:rPr>
      </w:pPr>
    </w:p>
    <w:p w14:paraId="54BADD1F">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60" w:leftChars="1" w:hanging="358" w:hangingChars="170"/>
        <w:textAlignment w:val="auto"/>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14:paraId="4947BBA9">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2" w:firstLineChars="20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2024年</w:t>
      </w:r>
      <w:r>
        <w:rPr>
          <w:rFonts w:hint="eastAsia" w:ascii="宋体" w:hAnsi="宋体" w:eastAsia="宋体"/>
          <w:snapToGrid w:val="0"/>
          <w:color w:val="auto"/>
          <w:sz w:val="21"/>
          <w:szCs w:val="21"/>
          <w:u w:val="single"/>
          <w:lang w:val="en-US" w:eastAsia="zh-CN"/>
        </w:rPr>
        <w:t>07</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15</w:t>
      </w:r>
      <w:r>
        <w:rPr>
          <w:rFonts w:hint="eastAsia" w:ascii="宋体" w:hAnsi="宋体" w:eastAsia="宋体"/>
          <w:snapToGrid w:val="0"/>
          <w:color w:val="auto"/>
          <w:sz w:val="21"/>
          <w:szCs w:val="21"/>
          <w:u w:val="single"/>
        </w:rPr>
        <w:t>日</w:t>
      </w:r>
      <w:r>
        <w:rPr>
          <w:rFonts w:hint="eastAsia" w:ascii="宋体" w:hAnsi="宋体" w:eastAsia="宋体"/>
          <w:snapToGrid w:val="0"/>
          <w:color w:val="auto"/>
          <w:sz w:val="21"/>
          <w:szCs w:val="21"/>
          <w:u w:val="single"/>
          <w:lang w:val="en-US" w:eastAsia="zh-CN"/>
        </w:rPr>
        <w:t>15</w:t>
      </w:r>
      <w:r>
        <w:rPr>
          <w:rFonts w:hint="eastAsia" w:ascii="宋体" w:hAnsi="宋体" w:eastAsia="宋体"/>
          <w:snapToGrid w:val="0"/>
          <w:color w:val="auto"/>
          <w:sz w:val="21"/>
          <w:szCs w:val="21"/>
          <w:u w:val="single"/>
        </w:rPr>
        <w:t>点</w:t>
      </w:r>
      <w:r>
        <w:rPr>
          <w:rFonts w:hint="eastAsia" w:ascii="宋体" w:hAnsi="宋体" w:eastAsia="宋体"/>
          <w:snapToGrid w:val="0"/>
          <w:color w:val="auto"/>
          <w:sz w:val="21"/>
          <w:szCs w:val="21"/>
          <w:u w:val="single"/>
          <w:lang w:val="en-US" w:eastAsia="zh-CN"/>
        </w:rPr>
        <w:t>0</w:t>
      </w:r>
      <w:r>
        <w:rPr>
          <w:rFonts w:hint="eastAsia" w:ascii="宋体" w:hAnsi="宋体" w:eastAsia="宋体"/>
          <w:snapToGrid w:val="0"/>
          <w:color w:val="auto"/>
          <w:sz w:val="21"/>
          <w:szCs w:val="21"/>
          <w:u w:val="single"/>
        </w:rPr>
        <w:t>0分（北京时间）</w:t>
      </w:r>
    </w:p>
    <w:p w14:paraId="72680B70">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2" w:firstLineChars="201"/>
        <w:textAlignment w:val="auto"/>
        <w:rPr>
          <w:rFonts w:hint="eastAsia" w:ascii="宋体" w:hAnsi="宋体" w:eastAsia="宋体"/>
          <w:snapToGrid w:val="0"/>
          <w:color w:val="auto"/>
          <w:sz w:val="21"/>
          <w:szCs w:val="21"/>
          <w:lang w:eastAsia="zh-CN"/>
        </w:rPr>
      </w:pPr>
      <w:r>
        <w:rPr>
          <w:rFonts w:hint="eastAsia" w:ascii="宋体" w:hAnsi="宋体" w:eastAsia="宋体"/>
          <w:snapToGrid w:val="0"/>
          <w:color w:val="auto"/>
          <w:sz w:val="21"/>
          <w:szCs w:val="21"/>
        </w:rPr>
        <w:t>2、地点：</w:t>
      </w:r>
      <w:r>
        <w:rPr>
          <w:rFonts w:hint="eastAsia" w:ascii="宋体" w:hAnsi="宋体" w:eastAsia="宋体"/>
          <w:snapToGrid w:val="0"/>
          <w:color w:val="auto"/>
          <w:sz w:val="21"/>
          <w:szCs w:val="21"/>
          <w:lang w:eastAsia="zh-CN"/>
        </w:rPr>
        <w:t>深圳市龙岗区龙西社区添利鑫创业园添利鑫大厦801</w:t>
      </w:r>
    </w:p>
    <w:p w14:paraId="499043D3">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textAlignment w:val="auto"/>
        <w:rPr>
          <w:rFonts w:ascii="宋体" w:hAnsi="宋体" w:eastAsia="宋体"/>
          <w:snapToGrid w:val="0"/>
          <w:color w:val="auto"/>
          <w:sz w:val="21"/>
          <w:szCs w:val="21"/>
        </w:rPr>
      </w:pPr>
    </w:p>
    <w:p w14:paraId="662ED26F">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60" w:leftChars="1" w:hanging="358" w:hangingChars="170"/>
        <w:textAlignment w:val="auto"/>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14:paraId="094A41CC">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14:paraId="09D12B4D">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textAlignment w:val="auto"/>
        <w:rPr>
          <w:rFonts w:ascii="宋体" w:hAnsi="宋体" w:eastAsia="宋体"/>
          <w:snapToGrid w:val="0"/>
          <w:color w:val="auto"/>
          <w:sz w:val="21"/>
          <w:szCs w:val="21"/>
        </w:rPr>
      </w:pPr>
    </w:p>
    <w:p w14:paraId="6D2DF058">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60" w:leftChars="1" w:hanging="358" w:hangingChars="170"/>
        <w:textAlignment w:val="auto"/>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14:paraId="04C7EDAF">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1、本项目需要落实的政府采购政策：《关于印发&lt;政府采购促进中小企业发展管理办法&gt;的通知》(财库〔2020〕46号)、《关于政府采购支持监狱企业发展有关问题的通知》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w:t>
      </w:r>
    </w:p>
    <w:p w14:paraId="101DC900">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2、本项目相关公告在以下媒体发布：</w:t>
      </w:r>
    </w:p>
    <w:p w14:paraId="4AE53368">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14:paraId="302C8EE4">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14:paraId="7C4B70E9">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14:paraId="3A3749B7">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14:paraId="72E34EF1">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491" w:firstLineChars="234"/>
        <w:textAlignment w:val="auto"/>
        <w:rPr>
          <w:rFonts w:ascii="宋体" w:hAnsi="宋体" w:eastAsia="宋体"/>
          <w:snapToGrid w:val="0"/>
          <w:color w:val="auto"/>
          <w:sz w:val="21"/>
          <w:szCs w:val="21"/>
        </w:rPr>
      </w:pPr>
    </w:p>
    <w:p w14:paraId="51567F41">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60" w:leftChars="1" w:hanging="358" w:hangingChars="170"/>
        <w:textAlignment w:val="auto"/>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14:paraId="7EA208F2">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14:paraId="494F122F">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hint="eastAsia" w:ascii="宋体" w:hAnsi="宋体" w:eastAsia="宋体"/>
          <w:snapToGrid w:val="0"/>
          <w:color w:val="auto"/>
          <w:sz w:val="21"/>
          <w:szCs w:val="21"/>
          <w:lang w:eastAsia="zh-CN"/>
        </w:rPr>
      </w:pPr>
      <w:r>
        <w:rPr>
          <w:rFonts w:hint="eastAsia" w:ascii="宋体" w:hAnsi="宋体" w:eastAsia="宋体"/>
          <w:snapToGrid w:val="0"/>
          <w:color w:val="auto"/>
          <w:sz w:val="21"/>
          <w:szCs w:val="21"/>
        </w:rPr>
        <w:t>名称：</w:t>
      </w:r>
      <w:r>
        <w:rPr>
          <w:rFonts w:hint="eastAsia" w:ascii="宋体" w:hAnsi="宋体" w:eastAsia="宋体"/>
          <w:snapToGrid w:val="0"/>
          <w:color w:val="auto"/>
          <w:sz w:val="21"/>
          <w:szCs w:val="21"/>
          <w:lang w:eastAsia="zh-CN"/>
        </w:rPr>
        <w:t>深圳市市场监督管理局龙岗监管局</w:t>
      </w:r>
    </w:p>
    <w:p w14:paraId="477E0860">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地址：深圳市龙岗区行政路8号</w:t>
      </w:r>
    </w:p>
    <w:p w14:paraId="2BFC5471">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联系方式：何小姐，0755-28910082</w:t>
      </w:r>
    </w:p>
    <w:p w14:paraId="6CA87598">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14:paraId="20B41156">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14:paraId="31FF736F">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14:paraId="187A8B2F">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联系方式：</w:t>
      </w:r>
      <w:r>
        <w:rPr>
          <w:rFonts w:hint="eastAsia" w:ascii="宋体" w:hAnsi="宋体" w:eastAsia="宋体"/>
          <w:snapToGrid w:val="0"/>
          <w:color w:val="auto"/>
          <w:sz w:val="21"/>
          <w:szCs w:val="21"/>
          <w:lang w:val="en-US" w:eastAsia="zh-CN"/>
        </w:rPr>
        <w:t>李</w:t>
      </w:r>
      <w:r>
        <w:rPr>
          <w:rFonts w:hint="eastAsia" w:ascii="宋体" w:hAnsi="宋体" w:eastAsia="宋体"/>
          <w:snapToGrid w:val="0"/>
          <w:color w:val="auto"/>
          <w:sz w:val="21"/>
          <w:szCs w:val="21"/>
        </w:rPr>
        <w:t>先生，0755-83026699</w:t>
      </w:r>
    </w:p>
    <w:p w14:paraId="2A15684C">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14:paraId="00A28D50">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项目联系人：</w:t>
      </w:r>
      <w:r>
        <w:rPr>
          <w:rFonts w:hint="eastAsia" w:ascii="宋体" w:hAnsi="宋体" w:eastAsia="宋体"/>
          <w:snapToGrid w:val="0"/>
          <w:color w:val="auto"/>
          <w:sz w:val="21"/>
          <w:szCs w:val="21"/>
          <w:lang w:val="en-US" w:eastAsia="zh-CN"/>
        </w:rPr>
        <w:t>李</w:t>
      </w:r>
      <w:r>
        <w:rPr>
          <w:rFonts w:hint="eastAsia" w:ascii="宋体" w:hAnsi="宋体" w:eastAsia="宋体"/>
          <w:snapToGrid w:val="0"/>
          <w:color w:val="auto"/>
          <w:sz w:val="21"/>
          <w:szCs w:val="21"/>
        </w:rPr>
        <w:t>先生</w:t>
      </w:r>
    </w:p>
    <w:p w14:paraId="48A63EF6">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电话：0755-83026699</w:t>
      </w:r>
    </w:p>
    <w:p w14:paraId="31D9CD5E">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360" w:lineRule="auto"/>
        <w:ind w:left="5759" w:leftChars="2628" w:hanging="240" w:hangingChars="100"/>
        <w:jc w:val="right"/>
        <w:textAlignment w:val="auto"/>
        <w:rPr>
          <w:rFonts w:ascii="宋体" w:hAnsi="宋体"/>
          <w:snapToGrid w:val="0"/>
          <w:kern w:val="0"/>
          <w:sz w:val="24"/>
        </w:rPr>
      </w:pPr>
      <w:r>
        <w:rPr>
          <w:rFonts w:hint="eastAsia" w:ascii="宋体" w:hAnsi="宋体"/>
          <w:snapToGrid w:val="0"/>
          <w:kern w:val="0"/>
          <w:sz w:val="24"/>
        </w:rPr>
        <w:t>深圳市中正招标有限公司</w:t>
      </w:r>
    </w:p>
    <w:p w14:paraId="0B572454">
      <w:pPr>
        <w:keepNext w:val="0"/>
        <w:keepLines w:val="0"/>
        <w:pageBreakBefore w:val="0"/>
        <w:widowControl w:val="0"/>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360" w:lineRule="auto"/>
        <w:ind w:left="5758" w:leftChars="2742" w:firstLine="480" w:firstLineChars="200"/>
        <w:jc w:val="right"/>
        <w:textAlignment w:val="auto"/>
      </w:pPr>
      <w:r>
        <w:rPr>
          <w:rFonts w:ascii="宋体" w:hAnsi="宋体"/>
          <w:snapToGrid w:val="0"/>
          <w:kern w:val="0"/>
          <w:sz w:val="24"/>
        </w:rPr>
        <w:t>2024年</w:t>
      </w:r>
      <w:r>
        <w:rPr>
          <w:rFonts w:hint="eastAsia" w:ascii="宋体" w:hAnsi="宋体"/>
          <w:snapToGrid w:val="0"/>
          <w:kern w:val="0"/>
          <w:sz w:val="24"/>
          <w:lang w:val="en-US" w:eastAsia="zh-CN"/>
        </w:rPr>
        <w:t>07</w:t>
      </w:r>
      <w:r>
        <w:rPr>
          <w:rFonts w:ascii="宋体" w:hAnsi="宋体"/>
          <w:snapToGrid w:val="0"/>
          <w:kern w:val="0"/>
          <w:sz w:val="24"/>
        </w:rPr>
        <w:t>月</w:t>
      </w:r>
      <w:r>
        <w:rPr>
          <w:rFonts w:hint="eastAsia" w:ascii="宋体" w:hAnsi="宋体"/>
          <w:snapToGrid w:val="0"/>
          <w:kern w:val="0"/>
          <w:sz w:val="24"/>
          <w:lang w:val="en-US" w:eastAsia="zh-CN"/>
        </w:rPr>
        <w:t>02</w:t>
      </w:r>
      <w:r>
        <w:rPr>
          <w:rFonts w:hint="eastAsia" w:ascii="宋体" w:hAnsi="宋体"/>
          <w:snapToGrid w:val="0"/>
          <w:kern w:val="0"/>
          <w:sz w:val="24"/>
        </w:rPr>
        <w:t>日</w:t>
      </w:r>
      <w:r>
        <w:br w:type="page"/>
      </w:r>
    </w:p>
    <w:p w14:paraId="43D05359"/>
    <w:p w14:paraId="5747EAA1">
      <w:pPr>
        <w:pStyle w:val="3"/>
      </w:pPr>
      <w:bookmarkStart w:id="1" w:name="_Toc115096772"/>
      <w:r>
        <w:rPr>
          <w:rFonts w:hint="eastAsia"/>
        </w:rPr>
        <w:t>第二章  项目需求</w:t>
      </w:r>
      <w:bookmarkEnd w:id="1"/>
    </w:p>
    <w:p w14:paraId="43317BEF">
      <w:pPr>
        <w:spacing w:afterLines="50" w:line="360" w:lineRule="auto"/>
        <w:ind w:left="2"/>
        <w:jc w:val="center"/>
        <w:rPr>
          <w:rFonts w:ascii="宋体" w:hAnsi="宋体"/>
          <w:b/>
          <w:sz w:val="24"/>
        </w:rPr>
      </w:pPr>
      <w:r>
        <w:rPr>
          <w:rFonts w:hint="eastAsia" w:ascii="宋体" w:hAnsi="宋体"/>
          <w:b/>
          <w:sz w:val="24"/>
        </w:rPr>
        <w:t>特别说明</w:t>
      </w:r>
    </w:p>
    <w:p w14:paraId="4617322F">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14:paraId="18D624B4">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14:paraId="3E355424">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投标人提供证书或检测报告等证明材料的，颁发证书、出具报告的机构须是合法设立的机构，且具有颁发相应证书或者出具相应报告的资质。</w:t>
      </w:r>
    </w:p>
    <w:p w14:paraId="46221925">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3、加注▲的条款为重要条款要求，如不满足将按照第四章“评标标准”进行扣分。</w:t>
      </w:r>
    </w:p>
    <w:p w14:paraId="3B5DDD37">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4、加注★的条款为不可负偏离条款，任一项未响应或不满足要求的，将导致投标无效。</w:t>
      </w:r>
    </w:p>
    <w:p w14:paraId="035AC26E">
      <w:pPr>
        <w:pStyle w:val="321"/>
        <w:ind w:firstLine="0" w:firstLineChars="0"/>
        <w:rPr>
          <w:b/>
        </w:rPr>
      </w:pPr>
    </w:p>
    <w:p w14:paraId="27936BB3">
      <w:pPr>
        <w:pStyle w:val="321"/>
        <w:ind w:firstLine="0" w:firstLineChars="0"/>
        <w:rPr>
          <w:b/>
        </w:rPr>
      </w:pPr>
      <w:r>
        <w:rPr>
          <w:rFonts w:hint="eastAsia"/>
          <w:b/>
        </w:rPr>
        <w:t>一、项目概况</w:t>
      </w:r>
    </w:p>
    <w:p w14:paraId="7B808028">
      <w:pPr>
        <w:pStyle w:val="255"/>
        <w:spacing w:before="156"/>
        <w:ind w:firstLine="0" w:firstLineChars="0"/>
        <w:rPr>
          <w:rFonts w:asciiTheme="minorEastAsia" w:hAnsiTheme="minorEastAsia" w:eastAsiaTheme="minorEastAsia"/>
          <w:b/>
        </w:rPr>
      </w:pPr>
      <w:r>
        <w:rPr>
          <w:rFonts w:hint="eastAsia" w:asciiTheme="minorEastAsia" w:hAnsiTheme="minorEastAsia" w:eastAsiaTheme="minorEastAsia"/>
          <w:b/>
        </w:rPr>
        <w:t>（一）采购需求</w:t>
      </w:r>
    </w:p>
    <w:tbl>
      <w:tblPr>
        <w:tblStyle w:val="50"/>
        <w:tblW w:w="9796" w:type="dxa"/>
        <w:tblInd w:w="0" w:type="dxa"/>
        <w:tblLayout w:type="fixed"/>
        <w:tblCellMar>
          <w:top w:w="15" w:type="dxa"/>
          <w:left w:w="15" w:type="dxa"/>
          <w:bottom w:w="15" w:type="dxa"/>
          <w:right w:w="15" w:type="dxa"/>
        </w:tblCellMar>
      </w:tblPr>
      <w:tblGrid>
        <w:gridCol w:w="866"/>
        <w:gridCol w:w="3685"/>
        <w:gridCol w:w="921"/>
        <w:gridCol w:w="922"/>
        <w:gridCol w:w="1701"/>
        <w:gridCol w:w="1701"/>
      </w:tblGrid>
      <w:tr w14:paraId="4E6552AC">
        <w:tblPrEx>
          <w:tblCellMar>
            <w:top w:w="15" w:type="dxa"/>
            <w:left w:w="15" w:type="dxa"/>
            <w:bottom w:w="15" w:type="dxa"/>
            <w:right w:w="15" w:type="dxa"/>
          </w:tblCellMar>
        </w:tblPrEx>
        <w:trPr>
          <w:trHeight w:val="689" w:hRule="atLeast"/>
        </w:trPr>
        <w:tc>
          <w:tcPr>
            <w:tcW w:w="866" w:type="dxa"/>
            <w:tcBorders>
              <w:top w:val="single" w:color="000000" w:sz="4" w:space="0"/>
              <w:left w:val="single" w:color="000000" w:sz="4" w:space="0"/>
              <w:right w:val="single" w:color="000000" w:sz="4" w:space="0"/>
            </w:tcBorders>
            <w:vAlign w:val="center"/>
          </w:tcPr>
          <w:p w14:paraId="0236C74B">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序号</w:t>
            </w:r>
          </w:p>
        </w:tc>
        <w:tc>
          <w:tcPr>
            <w:tcW w:w="3685" w:type="dxa"/>
            <w:tcBorders>
              <w:top w:val="single" w:color="000000" w:sz="4" w:space="0"/>
              <w:left w:val="single" w:color="000000" w:sz="4" w:space="0"/>
              <w:bottom w:val="single" w:color="000000" w:sz="4" w:space="0"/>
              <w:right w:val="single" w:color="000000" w:sz="4" w:space="0"/>
            </w:tcBorders>
            <w:vAlign w:val="center"/>
          </w:tcPr>
          <w:p w14:paraId="78C4E9DE">
            <w:pPr>
              <w:widowControl/>
              <w:adjustRightInd w:val="0"/>
              <w:snapToGrid w:val="0"/>
              <w:spacing w:line="360" w:lineRule="auto"/>
              <w:jc w:val="center"/>
              <w:textAlignment w:val="center"/>
              <w:rPr>
                <w:rFonts w:ascii="宋体" w:hAnsi="宋体" w:cs="宋体"/>
                <w:b/>
                <w:color w:val="FF0000"/>
                <w:szCs w:val="21"/>
              </w:rPr>
            </w:pPr>
            <w:r>
              <w:rPr>
                <w:rFonts w:hint="eastAsia" w:ascii="宋体" w:hAnsi="宋体" w:cs="宋体"/>
                <w:b/>
                <w:color w:val="FF0000"/>
                <w:szCs w:val="21"/>
              </w:rPr>
              <w:t>标的名称</w:t>
            </w:r>
          </w:p>
        </w:tc>
        <w:tc>
          <w:tcPr>
            <w:tcW w:w="921" w:type="dxa"/>
            <w:tcBorders>
              <w:top w:val="single" w:color="000000" w:sz="4" w:space="0"/>
              <w:left w:val="single" w:color="000000" w:sz="4" w:space="0"/>
              <w:bottom w:val="single" w:color="000000" w:sz="4" w:space="0"/>
              <w:right w:val="single" w:color="000000" w:sz="4" w:space="0"/>
            </w:tcBorders>
            <w:vAlign w:val="center"/>
          </w:tcPr>
          <w:p w14:paraId="27D9ED97">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数量</w:t>
            </w:r>
          </w:p>
        </w:tc>
        <w:tc>
          <w:tcPr>
            <w:tcW w:w="922" w:type="dxa"/>
            <w:tcBorders>
              <w:top w:val="single" w:color="000000" w:sz="4" w:space="0"/>
              <w:left w:val="single" w:color="000000" w:sz="4" w:space="0"/>
              <w:bottom w:val="single" w:color="000000" w:sz="4" w:space="0"/>
              <w:right w:val="single" w:color="000000" w:sz="4" w:space="0"/>
            </w:tcBorders>
            <w:vAlign w:val="center"/>
          </w:tcPr>
          <w:p w14:paraId="2F9B116D">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单位</w:t>
            </w:r>
          </w:p>
        </w:tc>
        <w:tc>
          <w:tcPr>
            <w:tcW w:w="1701" w:type="dxa"/>
            <w:tcBorders>
              <w:top w:val="single" w:color="000000" w:sz="4" w:space="0"/>
              <w:left w:val="single" w:color="000000" w:sz="4" w:space="0"/>
              <w:bottom w:val="single" w:color="000000" w:sz="4" w:space="0"/>
              <w:right w:val="single" w:color="000000" w:sz="4" w:space="0"/>
            </w:tcBorders>
            <w:vAlign w:val="center"/>
          </w:tcPr>
          <w:p w14:paraId="4F74336F">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采购预算金额</w:t>
            </w:r>
          </w:p>
          <w:p w14:paraId="5F82F8D9">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（人民币元）</w:t>
            </w:r>
          </w:p>
        </w:tc>
        <w:tc>
          <w:tcPr>
            <w:tcW w:w="1701" w:type="dxa"/>
            <w:tcBorders>
              <w:top w:val="single" w:color="000000" w:sz="4" w:space="0"/>
              <w:left w:val="single" w:color="000000" w:sz="4" w:space="0"/>
              <w:bottom w:val="single" w:color="000000" w:sz="4" w:space="0"/>
              <w:right w:val="single" w:color="000000" w:sz="4" w:space="0"/>
            </w:tcBorders>
            <w:vAlign w:val="center"/>
          </w:tcPr>
          <w:p w14:paraId="46FBF505">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备注</w:t>
            </w:r>
          </w:p>
        </w:tc>
      </w:tr>
      <w:tr w14:paraId="0F6799D3">
        <w:tblPrEx>
          <w:tblCellMar>
            <w:top w:w="15" w:type="dxa"/>
            <w:left w:w="15" w:type="dxa"/>
            <w:bottom w:w="15" w:type="dxa"/>
            <w:right w:w="15" w:type="dxa"/>
          </w:tblCellMar>
        </w:tblPrEx>
        <w:trPr>
          <w:trHeight w:val="799" w:hRule="atLeast"/>
        </w:trPr>
        <w:tc>
          <w:tcPr>
            <w:tcW w:w="866" w:type="dxa"/>
            <w:tcBorders>
              <w:top w:val="single" w:color="000000" w:sz="4" w:space="0"/>
              <w:left w:val="single" w:color="000000" w:sz="4" w:space="0"/>
              <w:bottom w:val="single" w:color="000000" w:sz="4" w:space="0"/>
              <w:right w:val="single" w:color="000000" w:sz="4" w:space="0"/>
            </w:tcBorders>
            <w:vAlign w:val="center"/>
          </w:tcPr>
          <w:p w14:paraId="38B13459">
            <w:pPr>
              <w:widowControl/>
              <w:adjustRightInd w:val="0"/>
              <w:snapToGrid w:val="0"/>
              <w:spacing w:line="360" w:lineRule="auto"/>
              <w:jc w:val="center"/>
              <w:textAlignment w:val="center"/>
              <w:rPr>
                <w:rFonts w:ascii="宋体" w:hAnsi="宋体" w:cs="宋体"/>
                <w:szCs w:val="21"/>
              </w:rPr>
            </w:pPr>
            <w:r>
              <w:rPr>
                <w:rFonts w:hint="eastAsia"/>
              </w:rPr>
              <w:t>1</w:t>
            </w:r>
          </w:p>
        </w:tc>
        <w:tc>
          <w:tcPr>
            <w:tcW w:w="3685" w:type="dxa"/>
            <w:tcBorders>
              <w:top w:val="single" w:color="000000" w:sz="4" w:space="0"/>
              <w:left w:val="single" w:color="000000" w:sz="4" w:space="0"/>
              <w:bottom w:val="single" w:color="000000" w:sz="4" w:space="0"/>
              <w:right w:val="single" w:color="000000" w:sz="4" w:space="0"/>
            </w:tcBorders>
            <w:vAlign w:val="center"/>
          </w:tcPr>
          <w:p w14:paraId="46128D32">
            <w:pPr>
              <w:widowControl/>
              <w:adjustRightInd w:val="0"/>
              <w:snapToGrid w:val="0"/>
              <w:spacing w:line="360" w:lineRule="auto"/>
              <w:jc w:val="center"/>
              <w:textAlignment w:val="center"/>
              <w:rPr>
                <w:rFonts w:hint="eastAsia" w:ascii="宋体" w:hAnsi="宋体" w:eastAsia="宋体" w:cs="宋体"/>
                <w:szCs w:val="21"/>
                <w:lang w:eastAsia="zh-CN"/>
              </w:rPr>
            </w:pPr>
            <w:r>
              <w:rPr>
                <w:rFonts w:hint="eastAsia" w:ascii="宋体" w:hAnsi="宋体"/>
                <w:snapToGrid w:val="0"/>
                <w:szCs w:val="21"/>
                <w:lang w:eastAsia="zh-CN"/>
              </w:rPr>
              <w:t>深圳市市场监督管理局龙岗监管局公务用车维修保养服务</w:t>
            </w:r>
          </w:p>
        </w:tc>
        <w:tc>
          <w:tcPr>
            <w:tcW w:w="921" w:type="dxa"/>
            <w:tcBorders>
              <w:top w:val="single" w:color="000000" w:sz="4" w:space="0"/>
              <w:left w:val="single" w:color="000000" w:sz="4" w:space="0"/>
              <w:bottom w:val="single" w:color="000000" w:sz="4" w:space="0"/>
              <w:right w:val="single" w:color="000000" w:sz="4" w:space="0"/>
            </w:tcBorders>
            <w:vAlign w:val="center"/>
          </w:tcPr>
          <w:p w14:paraId="52B920A0">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1</w:t>
            </w:r>
          </w:p>
        </w:tc>
        <w:tc>
          <w:tcPr>
            <w:tcW w:w="922" w:type="dxa"/>
            <w:tcBorders>
              <w:top w:val="single" w:color="000000" w:sz="4" w:space="0"/>
              <w:left w:val="single" w:color="000000" w:sz="4" w:space="0"/>
              <w:bottom w:val="single" w:color="000000" w:sz="4" w:space="0"/>
              <w:right w:val="single" w:color="000000" w:sz="4" w:space="0"/>
            </w:tcBorders>
            <w:vAlign w:val="center"/>
          </w:tcPr>
          <w:p w14:paraId="70D54AEF">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项</w:t>
            </w:r>
          </w:p>
        </w:tc>
        <w:tc>
          <w:tcPr>
            <w:tcW w:w="1701" w:type="dxa"/>
            <w:tcBorders>
              <w:top w:val="single" w:color="000000" w:sz="4" w:space="0"/>
              <w:left w:val="single" w:color="000000" w:sz="4" w:space="0"/>
              <w:bottom w:val="single" w:color="000000" w:sz="4" w:space="0"/>
              <w:right w:val="single" w:color="000000" w:sz="4" w:space="0"/>
            </w:tcBorders>
            <w:vAlign w:val="center"/>
          </w:tcPr>
          <w:p w14:paraId="09E3CB4C">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lang w:val="en-US" w:eastAsia="zh-CN"/>
              </w:rPr>
              <w:t>99</w:t>
            </w:r>
            <w:r>
              <w:rPr>
                <w:rFonts w:ascii="宋体" w:hAnsi="宋体" w:cs="宋体"/>
                <w:szCs w:val="21"/>
              </w:rPr>
              <w:t>0</w:t>
            </w:r>
            <w:r>
              <w:rPr>
                <w:rFonts w:hint="eastAsia" w:ascii="宋体" w:hAnsi="宋体" w:cs="宋体"/>
                <w:szCs w:val="21"/>
              </w:rPr>
              <w:t>,</w:t>
            </w:r>
            <w:r>
              <w:rPr>
                <w:rFonts w:ascii="宋体" w:hAnsi="宋体" w:cs="宋体"/>
                <w:szCs w:val="21"/>
              </w:rPr>
              <w:t>000</w:t>
            </w:r>
            <w:r>
              <w:rPr>
                <w:rFonts w:hint="eastAsia" w:ascii="宋体" w:hAnsi="宋体" w:cs="宋体"/>
                <w:szCs w:val="21"/>
              </w:rPr>
              <w:t>.00</w:t>
            </w:r>
          </w:p>
        </w:tc>
        <w:tc>
          <w:tcPr>
            <w:tcW w:w="1701" w:type="dxa"/>
            <w:tcBorders>
              <w:top w:val="single" w:color="000000" w:sz="4" w:space="0"/>
              <w:left w:val="single" w:color="000000" w:sz="4" w:space="0"/>
              <w:bottom w:val="single" w:color="000000" w:sz="4" w:space="0"/>
              <w:right w:val="single" w:color="000000" w:sz="4" w:space="0"/>
            </w:tcBorders>
            <w:vAlign w:val="center"/>
          </w:tcPr>
          <w:p w14:paraId="5A5D58C9">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无</w:t>
            </w:r>
          </w:p>
        </w:tc>
      </w:tr>
    </w:tbl>
    <w:p w14:paraId="196D1B61">
      <w:pPr>
        <w:pStyle w:val="255"/>
        <w:spacing w:before="156"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（二）项目概况</w:t>
      </w:r>
    </w:p>
    <w:p w14:paraId="4BAD7E63">
      <w:pPr>
        <w:pStyle w:val="506"/>
        <w:wordWrap/>
        <w:spacing w:afterLines="0" w:line="360" w:lineRule="auto"/>
        <w:ind w:firstLine="420"/>
        <w:rPr>
          <w:rFonts w:hint="default" w:cs="Times New Roman" w:eastAsiaTheme="minorEastAsia"/>
          <w:snapToGrid/>
          <w:spacing w:val="0"/>
          <w:sz w:val="21"/>
          <w:szCs w:val="21"/>
          <w:lang w:val="en-US" w:eastAsia="zh-CN"/>
        </w:rPr>
      </w:pPr>
      <w:r>
        <w:rPr>
          <w:rFonts w:hint="eastAsia" w:cs="Times New Roman"/>
          <w:snapToGrid/>
          <w:spacing w:val="0"/>
          <w:sz w:val="21"/>
          <w:szCs w:val="21"/>
        </w:rPr>
        <w:t>本项目为深圳市市场监督管理局龙岗监管局（下称“龙岗局”）公务车维修服务项目，主要为龙岗局公务车提供定点维修保养服务。</w:t>
      </w:r>
      <w:r>
        <w:rPr>
          <w:rFonts w:hint="eastAsia" w:asciiTheme="minorEastAsia" w:hAnsiTheme="minorEastAsia" w:eastAsiaTheme="minorEastAsia"/>
          <w:snapToGrid w:val="0"/>
          <w:color w:val="auto"/>
          <w:sz w:val="21"/>
        </w:rPr>
        <w:t>本项目分为A、B、C</w:t>
      </w:r>
      <w:r>
        <w:rPr>
          <w:rFonts w:hint="eastAsia" w:asciiTheme="minorEastAsia" w:hAnsiTheme="minorEastAsia" w:eastAsiaTheme="minorEastAsia"/>
          <w:snapToGrid w:val="0"/>
          <w:color w:val="auto"/>
          <w:sz w:val="21"/>
          <w:lang w:val="en-US" w:eastAsia="zh-CN"/>
        </w:rPr>
        <w:t>三</w:t>
      </w:r>
      <w:r>
        <w:rPr>
          <w:rFonts w:hint="eastAsia" w:asciiTheme="minorEastAsia" w:hAnsiTheme="minorEastAsia" w:eastAsiaTheme="minorEastAsia"/>
          <w:snapToGrid w:val="0"/>
          <w:color w:val="auto"/>
          <w:sz w:val="21"/>
        </w:rPr>
        <w:t>个包，投标人可参与任意一个包或多个包投标，但只能成为其中一个包的中标人，即可兼投但不可兼中。</w:t>
      </w:r>
      <w:r>
        <w:rPr>
          <w:rFonts w:hint="eastAsia" w:asciiTheme="minorEastAsia" w:hAnsiTheme="minorEastAsia" w:eastAsiaTheme="minorEastAsia"/>
          <w:snapToGrid w:val="0"/>
          <w:color w:val="auto"/>
          <w:sz w:val="21"/>
          <w:lang w:val="en-US" w:eastAsia="zh-CN"/>
        </w:rPr>
        <w:t>其中A包的预算金额（支付上限）为人民币450,000.00元；B包的预算金额（支付上限）为人民币350,000.00元；C包的预算金额（支付上限）为人民币190,000.00元。</w:t>
      </w:r>
    </w:p>
    <w:p w14:paraId="64653CF3">
      <w:pPr>
        <w:pStyle w:val="321"/>
        <w:ind w:firstLine="0" w:firstLineChars="0"/>
        <w:rPr>
          <w:b/>
        </w:rPr>
      </w:pPr>
      <w:r>
        <w:rPr>
          <w:rFonts w:hint="eastAsia"/>
          <w:b/>
        </w:rPr>
        <w:t>二、项目服务要求（</w:t>
      </w:r>
      <w:r>
        <w:rPr>
          <w:rFonts w:hint="eastAsia"/>
          <w:b/>
          <w:lang w:eastAsia="zh-CN"/>
        </w:rPr>
        <w:t>适用于A、B、C包</w:t>
      </w:r>
      <w:r>
        <w:rPr>
          <w:rFonts w:hint="eastAsia"/>
          <w:b/>
        </w:rPr>
        <w:t>）</w:t>
      </w:r>
    </w:p>
    <w:p w14:paraId="4316EABA">
      <w:pPr>
        <w:keepNext w:val="0"/>
        <w:keepLines w:val="0"/>
        <w:pageBreakBefore w:val="0"/>
        <w:widowControl w:val="0"/>
        <w:kinsoku/>
        <w:overflowPunct/>
        <w:topLinePunct w:val="0"/>
        <w:bidi w:val="0"/>
        <w:spacing w:line="360" w:lineRule="auto"/>
        <w:ind w:firstLine="422" w:firstLineChars="200"/>
        <w:rPr>
          <w:rFonts w:hint="eastAsia" w:ascii="宋体" w:hAnsi="宋体" w:eastAsia="宋体" w:cs="宋体"/>
          <w:sz w:val="21"/>
          <w:szCs w:val="21"/>
        </w:rPr>
      </w:pPr>
      <w:r>
        <w:rPr>
          <w:rFonts w:hint="eastAsia" w:ascii="宋体" w:hAnsi="宋体" w:eastAsia="宋体" w:cs="宋体"/>
          <w:b/>
          <w:bCs/>
          <w:sz w:val="21"/>
          <w:szCs w:val="21"/>
        </w:rPr>
        <w:t>（一）服务总体要求</w:t>
      </w:r>
    </w:p>
    <w:p w14:paraId="2A68D4F5">
      <w:pPr>
        <w:keepNext w:val="0"/>
        <w:keepLines w:val="0"/>
        <w:pageBreakBefore w:val="0"/>
        <w:widowControl w:val="0"/>
        <w:kinsoku/>
        <w:overflowPunct/>
        <w:topLinePunct w:val="0"/>
        <w:bidi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中标人须根据本项目的实际情况，为本项目指定合格的项目负责人，并配备足够人员和技术力量的专门团队（不少于10人），项目团队人员需具备项目相关的专业能力知识背景及工作经验；为项目配备必要的服务资源及工具设备等；制定科学合理的服务方案及工作计划；负责完成招标要求的全部服务工作；应严格按制定的项目实施方案组织实施，并接受采购人监督，确保项目工作高质量完成。</w:t>
      </w:r>
      <w:r>
        <w:rPr>
          <w:rFonts w:hint="eastAsia" w:ascii="宋体" w:hAnsi="宋体" w:eastAsia="宋体" w:cs="宋体"/>
          <w:sz w:val="21"/>
          <w:szCs w:val="21"/>
        </w:rPr>
        <w:br w:type="textWrapping"/>
      </w:r>
      <w:r>
        <w:rPr>
          <w:rFonts w:hint="eastAsia" w:ascii="宋体" w:hAnsi="宋体" w:eastAsia="宋体" w:cs="宋体"/>
          <w:sz w:val="21"/>
          <w:szCs w:val="21"/>
        </w:rPr>
        <w:t xml:space="preserve">  </w:t>
      </w:r>
      <w:r>
        <w:rPr>
          <w:rFonts w:hint="eastAsia" w:ascii="宋体" w:hAnsi="宋体" w:eastAsia="宋体" w:cs="宋体"/>
          <w:b/>
          <w:bCs/>
          <w:sz w:val="21"/>
          <w:szCs w:val="21"/>
        </w:rPr>
        <w:t>（二）项目具体服务内容及服务要求</w:t>
      </w:r>
    </w:p>
    <w:p w14:paraId="4EAD20F5">
      <w:pPr>
        <w:keepNext w:val="0"/>
        <w:keepLines w:val="0"/>
        <w:pageBreakBefore w:val="0"/>
        <w:widowControl w:val="0"/>
        <w:kinsoku/>
        <w:overflowPunct/>
        <w:topLinePunct w:val="0"/>
        <w:bidi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rPr>
        <w:t>1、服务范围: 对深圳市市场监督管理局龙岗监管局公务车辆实行定点维修（相关维修清单由深圳市市场监督管理局龙岗监管局进行更新及发布）。</w:t>
      </w:r>
      <w:r>
        <w:rPr>
          <w:rFonts w:hint="eastAsia" w:ascii="宋体" w:hAnsi="宋体" w:eastAsia="宋体" w:cs="宋体"/>
          <w:sz w:val="21"/>
          <w:szCs w:val="21"/>
          <w:lang w:val="en-US" w:eastAsia="zh-CN"/>
        </w:rPr>
        <w:t>3</w:t>
      </w:r>
    </w:p>
    <w:p w14:paraId="2B16E41A">
      <w:pPr>
        <w:keepNext w:val="0"/>
        <w:keepLines w:val="0"/>
        <w:pageBreakBefore w:val="0"/>
        <w:widowControl w:val="0"/>
        <w:kinsoku/>
        <w:overflowPunct/>
        <w:topLinePunct w:val="0"/>
        <w:bidi w:val="0"/>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2、服务内容、技术标准、工作质量要求</w:t>
      </w:r>
      <w:r>
        <w:rPr>
          <w:rFonts w:hint="eastAsia" w:ascii="宋体" w:hAnsi="宋体" w:eastAsia="宋体" w:cs="宋体"/>
          <w:sz w:val="21"/>
          <w:szCs w:val="21"/>
          <w:lang w:eastAsia="zh-CN"/>
        </w:rPr>
        <w:t>：</w:t>
      </w:r>
    </w:p>
    <w:p w14:paraId="0C94CC3A">
      <w:pPr>
        <w:keepNext w:val="0"/>
        <w:keepLines w:val="0"/>
        <w:pageBreakBefore w:val="0"/>
        <w:widowControl w:val="0"/>
        <w:kinsoku/>
        <w:overflowPunct/>
        <w:topLinePunct w:val="0"/>
        <w:bidi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定点维修企业必须为用户单位提供以下服务：</w:t>
      </w:r>
    </w:p>
    <w:p w14:paraId="04F56466">
      <w:pPr>
        <w:pStyle w:val="455"/>
        <w:keepNext w:val="0"/>
        <w:keepLines w:val="0"/>
        <w:pageBreakBefore w:val="0"/>
        <w:widowControl w:val="0"/>
        <w:numPr>
          <w:ilvl w:val="0"/>
          <w:numId w:val="4"/>
        </w:numPr>
        <w:kinsoku/>
        <w:overflowPunct/>
        <w:topLinePunct w:val="0"/>
        <w:bidi w:val="0"/>
        <w:spacing w:line="360" w:lineRule="auto"/>
        <w:ind w:firstLineChars="0"/>
        <w:rPr>
          <w:rFonts w:hint="eastAsia" w:ascii="宋体" w:hAnsi="宋体" w:eastAsia="宋体" w:cs="宋体"/>
          <w:sz w:val="21"/>
          <w:szCs w:val="21"/>
        </w:rPr>
      </w:pPr>
      <w:r>
        <w:rPr>
          <w:rFonts w:hint="eastAsia" w:ascii="宋体" w:hAnsi="宋体" w:eastAsia="宋体" w:cs="宋体"/>
          <w:sz w:val="21"/>
          <w:szCs w:val="21"/>
        </w:rPr>
        <w:t>24小时免费拖车服务（含节假日）；</w:t>
      </w:r>
    </w:p>
    <w:p w14:paraId="467CD1AC">
      <w:pPr>
        <w:pStyle w:val="455"/>
        <w:keepNext w:val="0"/>
        <w:keepLines w:val="0"/>
        <w:pageBreakBefore w:val="0"/>
        <w:widowControl w:val="0"/>
        <w:numPr>
          <w:ilvl w:val="0"/>
          <w:numId w:val="4"/>
        </w:numPr>
        <w:kinsoku/>
        <w:overflowPunct/>
        <w:topLinePunct w:val="0"/>
        <w:bidi w:val="0"/>
        <w:spacing w:line="360" w:lineRule="auto"/>
        <w:ind w:firstLineChars="0"/>
        <w:rPr>
          <w:rFonts w:hint="eastAsia" w:ascii="宋体" w:hAnsi="宋体" w:eastAsia="宋体" w:cs="宋体"/>
          <w:sz w:val="21"/>
          <w:szCs w:val="21"/>
        </w:rPr>
      </w:pPr>
      <w:r>
        <w:rPr>
          <w:rFonts w:hint="eastAsia" w:ascii="宋体" w:hAnsi="宋体" w:eastAsia="宋体" w:cs="宋体"/>
          <w:sz w:val="21"/>
          <w:szCs w:val="21"/>
        </w:rPr>
        <w:t>24小时应急维修服务（含节假日）；</w:t>
      </w:r>
    </w:p>
    <w:p w14:paraId="1085398C">
      <w:pPr>
        <w:pStyle w:val="455"/>
        <w:keepNext w:val="0"/>
        <w:keepLines w:val="0"/>
        <w:pageBreakBefore w:val="0"/>
        <w:widowControl w:val="0"/>
        <w:numPr>
          <w:ilvl w:val="0"/>
          <w:numId w:val="4"/>
        </w:numPr>
        <w:kinsoku/>
        <w:overflowPunct/>
        <w:topLinePunct w:val="0"/>
        <w:bidi w:val="0"/>
        <w:spacing w:line="360" w:lineRule="auto"/>
        <w:ind w:firstLineChars="0"/>
        <w:rPr>
          <w:rFonts w:hint="eastAsia" w:ascii="宋体" w:hAnsi="宋体" w:eastAsia="宋体" w:cs="宋体"/>
          <w:sz w:val="21"/>
          <w:szCs w:val="21"/>
        </w:rPr>
      </w:pPr>
      <w:r>
        <w:rPr>
          <w:rFonts w:hint="eastAsia" w:ascii="宋体" w:hAnsi="宋体" w:eastAsia="宋体" w:cs="宋体"/>
          <w:sz w:val="21"/>
          <w:szCs w:val="21"/>
        </w:rPr>
        <w:t>提供代客户年检、免收代办费服务；</w:t>
      </w:r>
    </w:p>
    <w:p w14:paraId="511AB088">
      <w:pPr>
        <w:pStyle w:val="455"/>
        <w:keepNext w:val="0"/>
        <w:keepLines w:val="0"/>
        <w:pageBreakBefore w:val="0"/>
        <w:widowControl w:val="0"/>
        <w:numPr>
          <w:ilvl w:val="0"/>
          <w:numId w:val="4"/>
        </w:numPr>
        <w:kinsoku/>
        <w:overflowPunct/>
        <w:topLinePunct w:val="0"/>
        <w:bidi w:val="0"/>
        <w:spacing w:line="360" w:lineRule="auto"/>
        <w:ind w:firstLineChars="0"/>
        <w:rPr>
          <w:rFonts w:hint="eastAsia" w:ascii="宋体" w:hAnsi="宋体" w:eastAsia="宋体" w:cs="宋体"/>
          <w:sz w:val="21"/>
          <w:szCs w:val="21"/>
        </w:rPr>
      </w:pPr>
      <w:r>
        <w:rPr>
          <w:rFonts w:hint="eastAsia" w:ascii="宋体" w:hAnsi="宋体" w:eastAsia="宋体" w:cs="宋体"/>
          <w:sz w:val="21"/>
          <w:szCs w:val="21"/>
        </w:rPr>
        <w:t>提供保险索赔代理服务；</w:t>
      </w:r>
    </w:p>
    <w:p w14:paraId="7AD3965D">
      <w:pPr>
        <w:pStyle w:val="455"/>
        <w:keepNext w:val="0"/>
        <w:keepLines w:val="0"/>
        <w:pageBreakBefore w:val="0"/>
        <w:widowControl w:val="0"/>
        <w:numPr>
          <w:ilvl w:val="0"/>
          <w:numId w:val="4"/>
        </w:numPr>
        <w:kinsoku/>
        <w:overflowPunct/>
        <w:topLinePunct w:val="0"/>
        <w:bidi w:val="0"/>
        <w:spacing w:line="360" w:lineRule="auto"/>
        <w:ind w:firstLineChars="0"/>
        <w:rPr>
          <w:rFonts w:hint="eastAsia" w:ascii="宋体" w:hAnsi="宋体" w:eastAsia="宋体" w:cs="宋体"/>
          <w:sz w:val="21"/>
          <w:szCs w:val="21"/>
        </w:rPr>
      </w:pPr>
      <w:r>
        <w:rPr>
          <w:rFonts w:hint="eastAsia" w:ascii="宋体" w:hAnsi="宋体" w:eastAsia="宋体" w:cs="宋体"/>
          <w:sz w:val="21"/>
          <w:szCs w:val="21"/>
        </w:rPr>
        <w:t>为出厂车辆提供免费清洁、吸尘服务；</w:t>
      </w:r>
    </w:p>
    <w:p w14:paraId="15F724AE">
      <w:pPr>
        <w:pStyle w:val="455"/>
        <w:keepNext w:val="0"/>
        <w:keepLines w:val="0"/>
        <w:pageBreakBefore w:val="0"/>
        <w:widowControl w:val="0"/>
        <w:numPr>
          <w:ilvl w:val="0"/>
          <w:numId w:val="4"/>
        </w:numPr>
        <w:kinsoku/>
        <w:overflowPunct/>
        <w:topLinePunct w:val="0"/>
        <w:bidi w:val="0"/>
        <w:spacing w:line="360" w:lineRule="auto"/>
        <w:ind w:firstLineChars="0"/>
        <w:rPr>
          <w:rFonts w:hint="eastAsia" w:ascii="宋体" w:hAnsi="宋体" w:eastAsia="宋体" w:cs="宋体"/>
          <w:sz w:val="21"/>
          <w:szCs w:val="21"/>
        </w:rPr>
      </w:pPr>
      <w:r>
        <w:rPr>
          <w:rFonts w:hint="eastAsia" w:ascii="宋体" w:hAnsi="宋体" w:eastAsia="宋体" w:cs="宋体"/>
          <w:sz w:val="21"/>
          <w:szCs w:val="21"/>
        </w:rPr>
        <w:t>设立公务车维修专门联系人、服务专柜和专用联系电话，有专人提供从接车到送车出厂的全过程服务。为公务车提供优先服务，确保在规定的时限内完成维修项目，保障送修单位用车需要。公务车专门服务人员的联系方式如有变更，必须及时通知送修单位；</w:t>
      </w:r>
    </w:p>
    <w:p w14:paraId="5C3512FC">
      <w:pPr>
        <w:pStyle w:val="455"/>
        <w:keepNext w:val="0"/>
        <w:keepLines w:val="0"/>
        <w:pageBreakBefore w:val="0"/>
        <w:widowControl w:val="0"/>
        <w:numPr>
          <w:ilvl w:val="0"/>
          <w:numId w:val="4"/>
        </w:numPr>
        <w:kinsoku/>
        <w:overflowPunct/>
        <w:topLinePunct w:val="0"/>
        <w:bidi w:val="0"/>
        <w:spacing w:line="360" w:lineRule="auto"/>
        <w:ind w:firstLineChars="0"/>
        <w:rPr>
          <w:rFonts w:hint="eastAsia" w:ascii="宋体" w:hAnsi="宋体" w:eastAsia="宋体" w:cs="宋体"/>
          <w:sz w:val="21"/>
          <w:szCs w:val="21"/>
        </w:rPr>
      </w:pPr>
      <w:r>
        <w:rPr>
          <w:rFonts w:hint="eastAsia" w:ascii="宋体" w:hAnsi="宋体" w:eastAsia="宋体" w:cs="宋体"/>
          <w:sz w:val="21"/>
          <w:szCs w:val="21"/>
        </w:rPr>
        <w:t>增加技术力量，保证维修质量，质量保修期不低于广东省、深圳市维修标准；优先为公务用车服务，确保在规定的时限内完成维修项目，保障送修单位用车需要；不能无故拒绝维修项目；</w:t>
      </w:r>
    </w:p>
    <w:p w14:paraId="672EB458">
      <w:pPr>
        <w:pStyle w:val="455"/>
        <w:keepNext w:val="0"/>
        <w:keepLines w:val="0"/>
        <w:pageBreakBefore w:val="0"/>
        <w:widowControl w:val="0"/>
        <w:numPr>
          <w:ilvl w:val="0"/>
          <w:numId w:val="4"/>
        </w:numPr>
        <w:kinsoku/>
        <w:overflowPunct/>
        <w:topLinePunct w:val="0"/>
        <w:bidi w:val="0"/>
        <w:spacing w:line="360" w:lineRule="auto"/>
        <w:ind w:firstLineChars="0"/>
        <w:rPr>
          <w:rFonts w:hint="eastAsia" w:ascii="宋体" w:hAnsi="宋体" w:eastAsia="宋体" w:cs="宋体"/>
          <w:sz w:val="21"/>
          <w:szCs w:val="21"/>
        </w:rPr>
      </w:pPr>
      <w:r>
        <w:rPr>
          <w:rFonts w:hint="eastAsia" w:ascii="宋体" w:hAnsi="宋体" w:eastAsia="宋体" w:cs="宋体"/>
          <w:sz w:val="21"/>
          <w:szCs w:val="21"/>
        </w:rPr>
        <w:t>提供技术咨询，确保车辆具有良好的技术状况；</w:t>
      </w:r>
    </w:p>
    <w:p w14:paraId="10F71368">
      <w:pPr>
        <w:pStyle w:val="455"/>
        <w:keepNext w:val="0"/>
        <w:keepLines w:val="0"/>
        <w:pageBreakBefore w:val="0"/>
        <w:widowControl w:val="0"/>
        <w:numPr>
          <w:ilvl w:val="0"/>
          <w:numId w:val="4"/>
        </w:numPr>
        <w:kinsoku/>
        <w:overflowPunct/>
        <w:topLinePunct w:val="0"/>
        <w:bidi w:val="0"/>
        <w:spacing w:line="360" w:lineRule="auto"/>
        <w:ind w:firstLineChars="0"/>
        <w:rPr>
          <w:rFonts w:hint="eastAsia" w:ascii="宋体" w:hAnsi="宋体" w:eastAsia="宋体" w:cs="宋体"/>
          <w:sz w:val="21"/>
          <w:szCs w:val="21"/>
        </w:rPr>
      </w:pPr>
      <w:r>
        <w:rPr>
          <w:rFonts w:hint="eastAsia" w:ascii="宋体" w:hAnsi="宋体" w:eastAsia="宋体" w:cs="宋体"/>
          <w:sz w:val="21"/>
          <w:szCs w:val="21"/>
        </w:rPr>
        <w:t>建立公务车维修档案，保存好所有维修单据和资料，电子档案和纸质书面档案需对应。保证公务车“一车一档”存档备查。在公务车维修档案中，备齐与财务核算一致的收费结算单、相关供货单位发票、销售清单或发货单据（需有供货方印章）等复印件，以及相关配件物品的入库单、出库单或领料单与相关记账凭证、付款凭证复印件，并保证开具销售清单与开具发票的单位名称一致；</w:t>
      </w:r>
    </w:p>
    <w:p w14:paraId="2431245F">
      <w:pPr>
        <w:pStyle w:val="455"/>
        <w:keepNext w:val="0"/>
        <w:keepLines w:val="0"/>
        <w:pageBreakBefore w:val="0"/>
        <w:widowControl w:val="0"/>
        <w:numPr>
          <w:ilvl w:val="0"/>
          <w:numId w:val="4"/>
        </w:numPr>
        <w:kinsoku/>
        <w:overflowPunct/>
        <w:topLinePunct w:val="0"/>
        <w:bidi w:val="0"/>
        <w:spacing w:line="360" w:lineRule="auto"/>
        <w:ind w:firstLineChars="0"/>
        <w:rPr>
          <w:rFonts w:hint="eastAsia" w:ascii="宋体" w:hAnsi="宋体" w:eastAsia="宋体" w:cs="宋体"/>
          <w:sz w:val="21"/>
          <w:szCs w:val="21"/>
        </w:rPr>
      </w:pPr>
      <w:r>
        <w:rPr>
          <w:rFonts w:hint="eastAsia" w:ascii="宋体" w:hAnsi="宋体" w:eastAsia="宋体" w:cs="宋体"/>
          <w:sz w:val="21"/>
          <w:szCs w:val="21"/>
        </w:rPr>
        <w:t>所采用的零部件、配件等材料必须符合国家颁布标准，不得使用假冒伪劣产品或以次充好，以旧顶新。维修时，重在修理，以节省政府支出；确需更换零配件时，必须使用正厂或合格产品配件，在配件保质期内出现质量问题，必须免费更换；</w:t>
      </w:r>
    </w:p>
    <w:p w14:paraId="0948BBA5">
      <w:pPr>
        <w:pStyle w:val="455"/>
        <w:keepNext w:val="0"/>
        <w:keepLines w:val="0"/>
        <w:pageBreakBefore w:val="0"/>
        <w:widowControl w:val="0"/>
        <w:numPr>
          <w:ilvl w:val="0"/>
          <w:numId w:val="4"/>
        </w:numPr>
        <w:kinsoku/>
        <w:overflowPunct/>
        <w:topLinePunct w:val="0"/>
        <w:bidi w:val="0"/>
        <w:spacing w:line="360" w:lineRule="auto"/>
        <w:ind w:firstLineChars="0"/>
        <w:rPr>
          <w:rFonts w:hint="eastAsia" w:ascii="宋体" w:hAnsi="宋体" w:eastAsia="宋体" w:cs="宋体"/>
          <w:sz w:val="21"/>
          <w:szCs w:val="21"/>
        </w:rPr>
      </w:pPr>
      <w:r>
        <w:rPr>
          <w:rFonts w:hint="eastAsia" w:ascii="宋体" w:hAnsi="宋体" w:eastAsia="宋体" w:cs="宋体"/>
          <w:sz w:val="21"/>
          <w:szCs w:val="21"/>
        </w:rPr>
        <w:t>当维修车辆所需更换零配件单价在供应商标价1500元及以上时，需拍摄旧件附加车牌标识牌照片，并与旧件实物相符，照片应进行存档，保证公务车“一车一档”存档备查；</w:t>
      </w:r>
    </w:p>
    <w:p w14:paraId="46A722F5">
      <w:pPr>
        <w:pStyle w:val="455"/>
        <w:keepNext w:val="0"/>
        <w:keepLines w:val="0"/>
        <w:pageBreakBefore w:val="0"/>
        <w:widowControl w:val="0"/>
        <w:numPr>
          <w:ilvl w:val="0"/>
          <w:numId w:val="4"/>
        </w:numPr>
        <w:kinsoku/>
        <w:overflowPunct/>
        <w:topLinePunct w:val="0"/>
        <w:bidi w:val="0"/>
        <w:spacing w:line="360" w:lineRule="auto"/>
        <w:ind w:firstLineChars="0"/>
        <w:rPr>
          <w:rFonts w:hint="eastAsia" w:ascii="宋体" w:hAnsi="宋体" w:eastAsia="宋体" w:cs="宋体"/>
          <w:sz w:val="21"/>
          <w:szCs w:val="21"/>
        </w:rPr>
      </w:pPr>
      <w:r>
        <w:rPr>
          <w:rFonts w:hint="eastAsia" w:ascii="宋体" w:hAnsi="宋体" w:eastAsia="宋体" w:cs="宋体"/>
          <w:sz w:val="21"/>
          <w:szCs w:val="21"/>
        </w:rPr>
        <w:t>对于技术方面的纠纷，协议维修企业应当接受由政府采购主管部门委托的车辆维修行业的主管部门——深圳市交通运输局和深圳市市场监督管理局所进行的技术鉴定；价格纠纷由相关技术专家、受委托的会计师事务所以及政府采购主管部门组成的小组共同审定；</w:t>
      </w:r>
    </w:p>
    <w:p w14:paraId="156A8DCC">
      <w:pPr>
        <w:pStyle w:val="455"/>
        <w:keepNext w:val="0"/>
        <w:keepLines w:val="0"/>
        <w:pageBreakBefore w:val="0"/>
        <w:widowControl w:val="0"/>
        <w:numPr>
          <w:ilvl w:val="0"/>
          <w:numId w:val="4"/>
        </w:numPr>
        <w:kinsoku/>
        <w:overflowPunct/>
        <w:topLinePunct w:val="0"/>
        <w:bidi w:val="0"/>
        <w:spacing w:line="360" w:lineRule="auto"/>
        <w:ind w:firstLineChars="0"/>
        <w:rPr>
          <w:rFonts w:hint="eastAsia" w:ascii="宋体" w:hAnsi="宋体" w:eastAsia="宋体" w:cs="宋体"/>
          <w:sz w:val="21"/>
          <w:szCs w:val="21"/>
        </w:rPr>
      </w:pPr>
      <w:r>
        <w:rPr>
          <w:rFonts w:hint="eastAsia" w:ascii="宋体" w:hAnsi="宋体" w:eastAsia="宋体" w:cs="宋体"/>
          <w:sz w:val="21"/>
          <w:szCs w:val="21"/>
        </w:rPr>
        <w:t>招标文件中所要求的各证件、协议及相关证明文件如在履约期间到期，要及时更新并开具新的证件、协议及相关证明文件。</w:t>
      </w:r>
    </w:p>
    <w:p w14:paraId="348CA625">
      <w:pPr>
        <w:keepNext w:val="0"/>
        <w:keepLines w:val="0"/>
        <w:pageBreakBefore w:val="0"/>
        <w:widowControl w:val="0"/>
        <w:kinsoku/>
        <w:overflowPunct/>
        <w:topLinePunct w:val="0"/>
        <w:bidi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3、其他事项</w:t>
      </w:r>
    </w:p>
    <w:p w14:paraId="6F193DB2">
      <w:pPr>
        <w:keepNext w:val="0"/>
        <w:keepLines w:val="0"/>
        <w:pageBreakBefore w:val="0"/>
        <w:widowControl w:val="0"/>
        <w:kinsoku/>
        <w:overflowPunct/>
        <w:topLinePunct w:val="0"/>
        <w:bidi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1）特殊车辆，定点维修厂无法维修的，需要到其它维修厂维修的，应向采购单位报告，经采购单位批准后可选择市定点厂维修。</w:t>
      </w:r>
    </w:p>
    <w:p w14:paraId="72726BAB">
      <w:pPr>
        <w:keepNext w:val="0"/>
        <w:keepLines w:val="0"/>
        <w:pageBreakBefore w:val="0"/>
        <w:widowControl w:val="0"/>
        <w:kinsoku/>
        <w:overflowPunct/>
        <w:topLinePunct w:val="0"/>
        <w:bidi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2）维修项目</w:t>
      </w:r>
    </w:p>
    <w:p w14:paraId="56CF5F28">
      <w:pPr>
        <w:keepNext w:val="0"/>
        <w:keepLines w:val="0"/>
        <w:pageBreakBefore w:val="0"/>
        <w:widowControl w:val="0"/>
        <w:kinsoku/>
        <w:overflowPunct/>
        <w:topLinePunct w:val="0"/>
        <w:bidi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本方案中维修服务项目包括一级、二级车辆维护，大、中、小修理，车辆年审和其它有关的汽车维修服务项目；不包括汽车美容及装饰饰品、保险赔付维修项目、新购车辆免费维护保养或单次维修金额在500元以下的维修事项。并依照以下业务处理办法执行：</w:t>
      </w:r>
    </w:p>
    <w:p w14:paraId="17934028">
      <w:pPr>
        <w:keepNext w:val="0"/>
        <w:keepLines w:val="0"/>
        <w:pageBreakBefore w:val="0"/>
        <w:widowControl w:val="0"/>
        <w:kinsoku/>
        <w:overflowPunct/>
        <w:topLinePunct w:val="0"/>
        <w:bidi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lang w:val="en-US" w:eastAsia="zh-CN"/>
        </w:rPr>
        <w:t>.</w:t>
      </w:r>
      <w:r>
        <w:rPr>
          <w:rFonts w:hint="eastAsia" w:ascii="宋体" w:hAnsi="宋体" w:eastAsia="宋体" w:cs="宋体"/>
          <w:sz w:val="21"/>
          <w:szCs w:val="21"/>
        </w:rPr>
        <w:t>各使用单位发生本方案中维修项目范围内的维修项目时，用户单位可直接委托签约的定点维修企业维修。在维修前维修厂应按招标文件要求确定维修内容，填写“送修确认单”，由送修单位确认、单位领导批准后方可进行维修。</w:t>
      </w:r>
    </w:p>
    <w:p w14:paraId="33C8FF9D">
      <w:pPr>
        <w:keepNext w:val="0"/>
        <w:keepLines w:val="0"/>
        <w:pageBreakBefore w:val="0"/>
        <w:widowControl w:val="0"/>
        <w:kinsoku/>
        <w:overflowPunct/>
        <w:topLinePunct w:val="0"/>
        <w:bidi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B.</w:t>
      </w:r>
      <w:r>
        <w:rPr>
          <w:rFonts w:hint="eastAsia" w:ascii="宋体" w:hAnsi="宋体" w:eastAsia="宋体" w:cs="宋体"/>
          <w:sz w:val="21"/>
          <w:szCs w:val="21"/>
        </w:rPr>
        <w:t>维修过程中，如发现其它故障需增加维修项目的，维修厂应以书面形式通知送修单位，经送修单位同意并确认后，方可进行维修。</w:t>
      </w:r>
    </w:p>
    <w:p w14:paraId="5EFB82C3">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lang w:val="en-US" w:eastAsia="zh-CN"/>
        </w:rPr>
        <w:t>.</w:t>
      </w:r>
      <w:r>
        <w:rPr>
          <w:rFonts w:hint="eastAsia" w:ascii="宋体" w:hAnsi="宋体" w:eastAsia="宋体" w:cs="宋体"/>
          <w:sz w:val="21"/>
          <w:szCs w:val="21"/>
        </w:rPr>
        <w:t>送修车辆维修完工后，维修厂即填制“结算单”，提交送修单位同意并加盖单位公章确认后作为付款依据，维修费用由用户单位按维修清单确定的价格直接向维修企业支付。</w:t>
      </w:r>
    </w:p>
    <w:p w14:paraId="63C896FF">
      <w:pPr>
        <w:pStyle w:val="4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3)操作规范</w:t>
      </w:r>
    </w:p>
    <w:p w14:paraId="3ABD939D">
      <w:pPr>
        <w:pStyle w:val="4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各使用单位要切实做好本单位车辆维修的送修审核、维修跟踪、验收结算等各项工作，要加强内部管理，不断规范维修行为，防止同一维修项目分次维修、重复维修、虚开结算单和多次收费的行为发生。</w:t>
      </w:r>
    </w:p>
    <w:p w14:paraId="67E404EE">
      <w:pPr>
        <w:pStyle w:val="4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4)财务管理</w:t>
      </w:r>
    </w:p>
    <w:p w14:paraId="4CEEB935">
      <w:pPr>
        <w:pStyle w:val="321"/>
        <w:ind w:firstLine="420"/>
        <w:rPr>
          <w:rFonts w:hint="eastAsia" w:ascii="宋体" w:hAnsi="宋体" w:eastAsia="宋体" w:cs="宋体"/>
          <w:kern w:val="2"/>
          <w:sz w:val="21"/>
          <w:szCs w:val="21"/>
        </w:rPr>
      </w:pPr>
      <w:r>
        <w:rPr>
          <w:rFonts w:hint="eastAsia" w:ascii="宋体" w:hAnsi="宋体" w:eastAsia="宋体" w:cs="宋体"/>
          <w:sz w:val="21"/>
          <w:szCs w:val="21"/>
        </w:rPr>
        <w:t>各使用单位要高度重视公务车定点维修工作，切实加强经费支出和审批管理，并指定专人负责。维修有关经费的开支，必须严格按照财政局的相关规定执行，对于不在定点企业办理本通知维修项目范围内的各项经费开支，各单位财务不得予以报销。</w:t>
      </w:r>
    </w:p>
    <w:p w14:paraId="6015551C">
      <w:pPr>
        <w:pStyle w:val="321"/>
        <w:ind w:firstLine="0" w:firstLineChars="0"/>
        <w:rPr>
          <w:b/>
        </w:rPr>
      </w:pPr>
    </w:p>
    <w:p w14:paraId="13A263B6">
      <w:pPr>
        <w:rPr>
          <w:rFonts w:hint="eastAsia"/>
          <w:b/>
        </w:rPr>
      </w:pPr>
      <w:r>
        <w:rPr>
          <w:rFonts w:hint="eastAsia"/>
          <w:b/>
        </w:rPr>
        <w:br w:type="page"/>
      </w:r>
    </w:p>
    <w:p w14:paraId="076187EC">
      <w:pPr>
        <w:pStyle w:val="321"/>
        <w:ind w:firstLine="0" w:firstLineChars="0"/>
        <w:rPr>
          <w:b/>
        </w:rPr>
      </w:pPr>
      <w:r>
        <w:rPr>
          <w:rFonts w:hint="eastAsia"/>
          <w:b/>
        </w:rPr>
        <w:t>三、项目商务要求（</w:t>
      </w:r>
      <w:r>
        <w:rPr>
          <w:rFonts w:hint="eastAsia"/>
          <w:b/>
          <w:lang w:eastAsia="zh-CN"/>
        </w:rPr>
        <w:t>适用于A、B、C包</w:t>
      </w:r>
      <w:r>
        <w:rPr>
          <w:rFonts w:hint="eastAsia"/>
          <w:b/>
        </w:rPr>
        <w:t>）</w:t>
      </w:r>
    </w:p>
    <w:p w14:paraId="1A9F9F5E">
      <w:pPr>
        <w:pStyle w:val="321"/>
        <w:ind w:firstLine="480"/>
        <w:rPr>
          <w:rFonts w:hint="eastAsia"/>
          <w:b/>
          <w:kern w:val="2"/>
          <w:sz w:val="21"/>
          <w:szCs w:val="21"/>
          <w:highlight w:val="yellow"/>
        </w:rPr>
      </w:pPr>
      <w:r>
        <w:rPr>
          <w:rFonts w:hint="eastAsia" w:asciiTheme="minorEastAsia" w:hAnsiTheme="minorEastAsia" w:eastAsiaTheme="minorEastAsia"/>
          <w:highlight w:val="yellow"/>
        </w:rPr>
        <w:t>★</w:t>
      </w:r>
      <w:r>
        <w:rPr>
          <w:rFonts w:hint="eastAsia"/>
          <w:b/>
          <w:kern w:val="2"/>
          <w:sz w:val="21"/>
          <w:szCs w:val="21"/>
          <w:highlight w:val="yellow"/>
        </w:rPr>
        <w:t>1.服务期限：</w:t>
      </w:r>
    </w:p>
    <w:p w14:paraId="3C02DFEB">
      <w:pPr>
        <w:pStyle w:val="321"/>
        <w:ind w:firstLine="480"/>
        <w:rPr>
          <w:kern w:val="2"/>
          <w:sz w:val="21"/>
          <w:szCs w:val="21"/>
        </w:rPr>
      </w:pPr>
      <w:r>
        <w:rPr>
          <w:rFonts w:hint="eastAsia"/>
          <w:b/>
          <w:kern w:val="2"/>
          <w:sz w:val="21"/>
          <w:szCs w:val="21"/>
          <w:highlight w:val="yellow"/>
        </w:rPr>
        <w:t>合同签订之日起一年内。本项目属于长期服务项目。合同履行期限最长不得超过三十六个月，采购人可视中标供应商履约服务情况，决定是否续签。合同一年一签，最多续签两次。</w:t>
      </w:r>
    </w:p>
    <w:p w14:paraId="3C081051">
      <w:pPr>
        <w:pStyle w:val="321"/>
        <w:ind w:firstLine="420"/>
        <w:rPr>
          <w:kern w:val="2"/>
          <w:sz w:val="21"/>
          <w:szCs w:val="21"/>
        </w:rPr>
      </w:pPr>
      <w:r>
        <w:rPr>
          <w:rFonts w:hint="eastAsia"/>
          <w:b/>
          <w:bCs/>
          <w:kern w:val="2"/>
          <w:sz w:val="21"/>
          <w:szCs w:val="21"/>
        </w:rPr>
        <w:t>2.付款方式：</w:t>
      </w:r>
    </w:p>
    <w:p w14:paraId="327177B9">
      <w:pPr>
        <w:pStyle w:val="321"/>
        <w:ind w:firstLine="420"/>
        <w:rPr>
          <w:kern w:val="2"/>
          <w:sz w:val="21"/>
          <w:szCs w:val="21"/>
        </w:rPr>
      </w:pPr>
      <w:r>
        <w:rPr>
          <w:rFonts w:hint="eastAsia"/>
          <w:kern w:val="2"/>
          <w:sz w:val="21"/>
          <w:szCs w:val="21"/>
        </w:rPr>
        <w:t>结算方式为每月底结算一次，或</w:t>
      </w:r>
      <w:r>
        <w:rPr>
          <w:rFonts w:hint="eastAsia"/>
          <w:kern w:val="2"/>
          <w:sz w:val="21"/>
          <w:szCs w:val="21"/>
          <w:lang w:val="en-US" w:eastAsia="zh-CN"/>
        </w:rPr>
        <w:t>中标单位</w:t>
      </w:r>
      <w:r>
        <w:rPr>
          <w:rFonts w:hint="eastAsia"/>
          <w:kern w:val="2"/>
          <w:sz w:val="21"/>
          <w:szCs w:val="21"/>
        </w:rPr>
        <w:t>与用户单位另行约定，按双方签订协议为准。中标单位应在车辆交接完工时将结算单交予用户单位，用户单位确认无误后在结算单上签字，结算时，维修厂须向用户单位出示当月每次维修时填写的确认单和结算单，用户单位核算无误后支付有关费用。</w:t>
      </w:r>
    </w:p>
    <w:p w14:paraId="19379E5F">
      <w:pPr>
        <w:pStyle w:val="321"/>
        <w:ind w:firstLine="420"/>
        <w:rPr>
          <w:kern w:val="2"/>
          <w:sz w:val="21"/>
          <w:szCs w:val="21"/>
        </w:rPr>
      </w:pPr>
      <w:r>
        <w:rPr>
          <w:rFonts w:hint="eastAsia"/>
          <w:b/>
          <w:bCs/>
          <w:kern w:val="2"/>
          <w:sz w:val="21"/>
          <w:szCs w:val="21"/>
        </w:rPr>
        <w:t>3.知识产权：</w:t>
      </w:r>
    </w:p>
    <w:p w14:paraId="0B45E73A">
      <w:pPr>
        <w:pStyle w:val="321"/>
        <w:ind w:firstLine="420"/>
        <w:rPr>
          <w:rFonts w:hint="eastAsia"/>
          <w:kern w:val="2"/>
          <w:sz w:val="21"/>
          <w:szCs w:val="21"/>
        </w:rPr>
      </w:pPr>
      <w:r>
        <w:rPr>
          <w:rFonts w:hint="eastAsia"/>
          <w:kern w:val="2"/>
          <w:sz w:val="21"/>
          <w:szCs w:val="21"/>
        </w:rPr>
        <w:t>（1）中标人在项目实施过程中不得侵犯第三人知识产权以及其他权益。需要使用第三人知识产权的，中标人应取得权利人许可或者授权并由中标人承担费用。</w:t>
      </w:r>
    </w:p>
    <w:p w14:paraId="78D302EE">
      <w:pPr>
        <w:pStyle w:val="321"/>
        <w:ind w:firstLine="420"/>
        <w:rPr>
          <w:kern w:val="2"/>
          <w:sz w:val="21"/>
          <w:szCs w:val="21"/>
        </w:rPr>
      </w:pPr>
      <w:r>
        <w:rPr>
          <w:rFonts w:hint="eastAsia"/>
          <w:kern w:val="2"/>
          <w:sz w:val="21"/>
          <w:szCs w:val="21"/>
        </w:rPr>
        <w:t>（2）除第三人依法享有知识产权的除外，中标人实施本项目所形成成果的知识产权归采购人所有，未经采购人许可，中标人不得随意使用。</w:t>
      </w:r>
    </w:p>
    <w:p w14:paraId="59632EE7">
      <w:pPr>
        <w:pStyle w:val="321"/>
        <w:ind w:firstLine="420"/>
        <w:rPr>
          <w:kern w:val="2"/>
          <w:sz w:val="21"/>
          <w:szCs w:val="21"/>
        </w:rPr>
      </w:pPr>
      <w:r>
        <w:rPr>
          <w:rFonts w:hint="eastAsia"/>
          <w:b w:val="0"/>
          <w:bCs w:val="0"/>
          <w:kern w:val="2"/>
          <w:sz w:val="21"/>
          <w:szCs w:val="21"/>
          <w:highlight w:val="none"/>
        </w:rPr>
        <w:t>4.报价要求：</w:t>
      </w:r>
    </w:p>
    <w:p w14:paraId="4A1EE26A">
      <w:pPr>
        <w:pStyle w:val="321"/>
        <w:ind w:firstLine="420"/>
        <w:rPr>
          <w:rFonts w:hint="eastAsia"/>
          <w:kern w:val="2"/>
          <w:sz w:val="21"/>
          <w:szCs w:val="21"/>
        </w:rPr>
      </w:pPr>
      <w:r>
        <w:rPr>
          <w:rFonts w:hint="eastAsia"/>
          <w:kern w:val="2"/>
          <w:sz w:val="21"/>
          <w:szCs w:val="21"/>
        </w:rPr>
        <w:t>①本项目按实际发生金额结算。</w:t>
      </w:r>
    </w:p>
    <w:p w14:paraId="56B03989">
      <w:pPr>
        <w:pStyle w:val="321"/>
        <w:ind w:firstLine="420"/>
        <w:rPr>
          <w:rFonts w:hint="eastAsia"/>
          <w:kern w:val="2"/>
          <w:sz w:val="21"/>
          <w:szCs w:val="21"/>
        </w:rPr>
      </w:pPr>
      <w:r>
        <w:rPr>
          <w:rFonts w:hint="eastAsia"/>
          <w:kern w:val="2"/>
          <w:sz w:val="21"/>
          <w:szCs w:val="21"/>
        </w:rPr>
        <w:t>②投标人必须充分考虑竞争并如实填报工时单价和综合折扣率，此项作为监督参考依据，采购部门通过暗访及网上公示等方式进行监督，如存在中标人对本项目车辆执行的工时单价或零配件价格高于其对社会公众执行价格或高于投标时承诺的综合折扣率，发现两次将取消供应商中标资格。</w:t>
      </w:r>
    </w:p>
    <w:p w14:paraId="5D9B1EA3">
      <w:pPr>
        <w:pStyle w:val="321"/>
        <w:ind w:firstLine="420"/>
        <w:rPr>
          <w:rFonts w:hint="eastAsia"/>
          <w:kern w:val="2"/>
          <w:sz w:val="21"/>
          <w:szCs w:val="21"/>
        </w:rPr>
      </w:pPr>
      <w:r>
        <w:rPr>
          <w:rFonts w:hint="eastAsia"/>
          <w:kern w:val="2"/>
          <w:sz w:val="21"/>
          <w:szCs w:val="21"/>
        </w:rPr>
        <w:t>③折扣率</w:t>
      </w:r>
      <w:r>
        <w:rPr>
          <w:rFonts w:hint="eastAsia"/>
          <w:kern w:val="2"/>
          <w:sz w:val="21"/>
          <w:szCs w:val="21"/>
          <w:lang w:eastAsia="zh-CN"/>
        </w:rPr>
        <w:t>（</w:t>
      </w:r>
      <w:r>
        <w:rPr>
          <w:rFonts w:hint="eastAsia"/>
          <w:kern w:val="2"/>
          <w:sz w:val="21"/>
          <w:szCs w:val="21"/>
        </w:rPr>
        <w:t>包含正厂零配件综合折扣率和非正厂合格产品零配件综合折扣率</w:t>
      </w:r>
      <w:r>
        <w:rPr>
          <w:rFonts w:hint="eastAsia"/>
          <w:kern w:val="2"/>
          <w:sz w:val="21"/>
          <w:szCs w:val="21"/>
          <w:lang w:eastAsia="zh-CN"/>
        </w:rPr>
        <w:t>）</w:t>
      </w:r>
      <w:r>
        <w:rPr>
          <w:rFonts w:hint="eastAsia"/>
          <w:kern w:val="2"/>
          <w:sz w:val="21"/>
          <w:szCs w:val="21"/>
        </w:rPr>
        <w:t>=对采购方车辆执行价格÷对社会公众执行价格（0&lt;折扣率&lt;1，最多保留小数点后两位）</w:t>
      </w:r>
    </w:p>
    <w:p w14:paraId="4966A711">
      <w:pPr>
        <w:pStyle w:val="321"/>
        <w:ind w:firstLine="420"/>
        <w:rPr>
          <w:rFonts w:hint="eastAsia"/>
          <w:kern w:val="2"/>
          <w:sz w:val="21"/>
          <w:szCs w:val="21"/>
        </w:rPr>
      </w:pPr>
      <w:r>
        <w:rPr>
          <w:rFonts w:hint="eastAsia"/>
          <w:kern w:val="2"/>
          <w:sz w:val="21"/>
          <w:szCs w:val="21"/>
        </w:rPr>
        <w:t>④报价清单</w:t>
      </w:r>
    </w:p>
    <w:tbl>
      <w:tblPr>
        <w:tblStyle w:val="50"/>
        <w:tblW w:w="456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43"/>
        <w:gridCol w:w="5291"/>
        <w:gridCol w:w="2869"/>
      </w:tblGrid>
      <w:tr w14:paraId="3EAE433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jc w:val="center"/>
        </w:trPr>
        <w:tc>
          <w:tcPr>
            <w:tcW w:w="468" w:type="pct"/>
            <w:noWrap w:val="0"/>
            <w:vAlign w:val="center"/>
          </w:tcPr>
          <w:p w14:paraId="5C7C2CC6">
            <w:pPr>
              <w:pStyle w:val="321"/>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kern w:val="2"/>
                <w:sz w:val="21"/>
                <w:szCs w:val="21"/>
              </w:rPr>
            </w:pPr>
            <w:r>
              <w:rPr>
                <w:rFonts w:hint="eastAsia"/>
                <w:kern w:val="2"/>
                <w:sz w:val="21"/>
                <w:szCs w:val="21"/>
              </w:rPr>
              <w:t>序号</w:t>
            </w:r>
          </w:p>
        </w:tc>
        <w:tc>
          <w:tcPr>
            <w:tcW w:w="2938" w:type="pct"/>
            <w:noWrap w:val="0"/>
            <w:vAlign w:val="center"/>
          </w:tcPr>
          <w:p w14:paraId="50F24BBC">
            <w:pPr>
              <w:pStyle w:val="321"/>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kern w:val="2"/>
                <w:sz w:val="21"/>
                <w:szCs w:val="21"/>
              </w:rPr>
            </w:pPr>
            <w:r>
              <w:rPr>
                <w:rFonts w:hint="eastAsia"/>
                <w:kern w:val="2"/>
                <w:sz w:val="21"/>
                <w:szCs w:val="21"/>
              </w:rPr>
              <w:t>报价项目</w:t>
            </w:r>
          </w:p>
        </w:tc>
        <w:tc>
          <w:tcPr>
            <w:tcW w:w="1593" w:type="pct"/>
            <w:noWrap w:val="0"/>
            <w:vAlign w:val="center"/>
          </w:tcPr>
          <w:p w14:paraId="15F741F7">
            <w:pPr>
              <w:pStyle w:val="321"/>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kern w:val="2"/>
                <w:sz w:val="21"/>
                <w:szCs w:val="21"/>
              </w:rPr>
            </w:pPr>
            <w:r>
              <w:rPr>
                <w:rFonts w:hint="eastAsia"/>
                <w:kern w:val="2"/>
                <w:sz w:val="21"/>
                <w:szCs w:val="21"/>
              </w:rPr>
              <w:t>投标报价（折扣率）</w:t>
            </w:r>
          </w:p>
        </w:tc>
      </w:tr>
      <w:tr w14:paraId="03E2CDFA">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4" w:hRule="atLeast"/>
          <w:jc w:val="center"/>
        </w:trPr>
        <w:tc>
          <w:tcPr>
            <w:tcW w:w="468" w:type="pct"/>
            <w:noWrap w:val="0"/>
            <w:vAlign w:val="center"/>
          </w:tcPr>
          <w:p w14:paraId="41CD33F4">
            <w:pPr>
              <w:pStyle w:val="321"/>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kern w:val="2"/>
                <w:sz w:val="21"/>
                <w:szCs w:val="21"/>
              </w:rPr>
            </w:pPr>
            <w:r>
              <w:rPr>
                <w:rFonts w:hint="eastAsia"/>
                <w:kern w:val="2"/>
                <w:sz w:val="21"/>
                <w:szCs w:val="21"/>
              </w:rPr>
              <w:t>1</w:t>
            </w:r>
          </w:p>
        </w:tc>
        <w:tc>
          <w:tcPr>
            <w:tcW w:w="2938" w:type="pct"/>
            <w:noWrap w:val="0"/>
            <w:vAlign w:val="center"/>
          </w:tcPr>
          <w:p w14:paraId="449D775E">
            <w:pPr>
              <w:pStyle w:val="321"/>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kern w:val="2"/>
                <w:sz w:val="21"/>
                <w:szCs w:val="21"/>
              </w:rPr>
            </w:pPr>
            <w:r>
              <w:rPr>
                <w:rFonts w:hint="eastAsia"/>
                <w:kern w:val="2"/>
                <w:sz w:val="21"/>
                <w:szCs w:val="21"/>
              </w:rPr>
              <w:t>工时单价</w:t>
            </w:r>
          </w:p>
        </w:tc>
        <w:tc>
          <w:tcPr>
            <w:tcW w:w="1593" w:type="pct"/>
            <w:noWrap w:val="0"/>
            <w:vAlign w:val="center"/>
          </w:tcPr>
          <w:p w14:paraId="0E2C640F">
            <w:pPr>
              <w:pStyle w:val="321"/>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kern w:val="2"/>
                <w:sz w:val="21"/>
                <w:szCs w:val="21"/>
              </w:rPr>
            </w:pPr>
            <w:r>
              <w:rPr>
                <w:rFonts w:hint="eastAsia"/>
                <w:kern w:val="2"/>
                <w:sz w:val="21"/>
                <w:szCs w:val="21"/>
              </w:rPr>
              <w:t>元/工时</w:t>
            </w:r>
          </w:p>
        </w:tc>
      </w:tr>
      <w:tr w14:paraId="23EB07A5">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468" w:type="pct"/>
            <w:noWrap w:val="0"/>
            <w:vAlign w:val="center"/>
          </w:tcPr>
          <w:p w14:paraId="7FA1A7B2">
            <w:pPr>
              <w:pStyle w:val="321"/>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kern w:val="2"/>
                <w:sz w:val="21"/>
                <w:szCs w:val="21"/>
              </w:rPr>
            </w:pPr>
            <w:r>
              <w:rPr>
                <w:rFonts w:hint="eastAsia"/>
                <w:kern w:val="2"/>
                <w:sz w:val="21"/>
                <w:szCs w:val="21"/>
              </w:rPr>
              <w:t>2</w:t>
            </w:r>
          </w:p>
        </w:tc>
        <w:tc>
          <w:tcPr>
            <w:tcW w:w="2938" w:type="pct"/>
            <w:tcBorders>
              <w:right w:val="single" w:color="auto" w:sz="4" w:space="0"/>
            </w:tcBorders>
            <w:noWrap w:val="0"/>
            <w:vAlign w:val="center"/>
          </w:tcPr>
          <w:p w14:paraId="755DA7E3">
            <w:pPr>
              <w:pStyle w:val="321"/>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kern w:val="2"/>
                <w:sz w:val="21"/>
                <w:szCs w:val="21"/>
              </w:rPr>
            </w:pPr>
            <w:r>
              <w:rPr>
                <w:rFonts w:hint="eastAsia"/>
                <w:kern w:val="2"/>
                <w:sz w:val="21"/>
                <w:szCs w:val="21"/>
              </w:rPr>
              <w:t>正厂零配件综合折扣率</w:t>
            </w:r>
          </w:p>
        </w:tc>
        <w:tc>
          <w:tcPr>
            <w:tcW w:w="1593" w:type="pct"/>
            <w:tcBorders>
              <w:left w:val="single" w:color="auto" w:sz="4" w:space="0"/>
            </w:tcBorders>
            <w:noWrap w:val="0"/>
            <w:vAlign w:val="center"/>
          </w:tcPr>
          <w:p w14:paraId="229678FA">
            <w:pPr>
              <w:pStyle w:val="321"/>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kern w:val="2"/>
                <w:sz w:val="21"/>
                <w:szCs w:val="21"/>
              </w:rPr>
            </w:pPr>
          </w:p>
        </w:tc>
      </w:tr>
      <w:tr w14:paraId="522E7E21">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468" w:type="pct"/>
            <w:noWrap w:val="0"/>
            <w:vAlign w:val="center"/>
          </w:tcPr>
          <w:p w14:paraId="1E63C8C6">
            <w:pPr>
              <w:pStyle w:val="321"/>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kern w:val="2"/>
                <w:sz w:val="21"/>
                <w:szCs w:val="21"/>
              </w:rPr>
            </w:pPr>
            <w:r>
              <w:rPr>
                <w:rFonts w:hint="eastAsia"/>
                <w:kern w:val="2"/>
                <w:sz w:val="21"/>
                <w:szCs w:val="21"/>
              </w:rPr>
              <w:t>3</w:t>
            </w:r>
          </w:p>
        </w:tc>
        <w:tc>
          <w:tcPr>
            <w:tcW w:w="2938" w:type="pct"/>
            <w:tcBorders>
              <w:right w:val="single" w:color="auto" w:sz="4" w:space="0"/>
            </w:tcBorders>
            <w:noWrap w:val="0"/>
            <w:vAlign w:val="center"/>
          </w:tcPr>
          <w:p w14:paraId="66AF77EC">
            <w:pPr>
              <w:pStyle w:val="321"/>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kern w:val="2"/>
                <w:sz w:val="21"/>
                <w:szCs w:val="21"/>
              </w:rPr>
            </w:pPr>
            <w:r>
              <w:rPr>
                <w:rFonts w:hint="eastAsia"/>
                <w:kern w:val="2"/>
                <w:sz w:val="21"/>
                <w:szCs w:val="21"/>
              </w:rPr>
              <w:t>非正厂合格产品零配件综合折扣率</w:t>
            </w:r>
          </w:p>
        </w:tc>
        <w:tc>
          <w:tcPr>
            <w:tcW w:w="1593" w:type="pct"/>
            <w:tcBorders>
              <w:left w:val="single" w:color="auto" w:sz="4" w:space="0"/>
            </w:tcBorders>
            <w:noWrap w:val="0"/>
            <w:vAlign w:val="center"/>
          </w:tcPr>
          <w:p w14:paraId="13E2FED5">
            <w:pPr>
              <w:pStyle w:val="321"/>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kern w:val="2"/>
                <w:sz w:val="21"/>
                <w:szCs w:val="21"/>
              </w:rPr>
            </w:pPr>
          </w:p>
        </w:tc>
      </w:tr>
    </w:tbl>
    <w:p w14:paraId="7CE0D5F3">
      <w:pPr>
        <w:pStyle w:val="321"/>
        <w:ind w:firstLine="420"/>
        <w:rPr>
          <w:rFonts w:hint="eastAsia"/>
          <w:kern w:val="2"/>
          <w:sz w:val="21"/>
          <w:szCs w:val="21"/>
        </w:rPr>
      </w:pPr>
      <w:r>
        <w:rPr>
          <w:rFonts w:hint="eastAsia"/>
          <w:kern w:val="2"/>
          <w:sz w:val="21"/>
          <w:szCs w:val="21"/>
        </w:rPr>
        <w:t>⑤填写要求</w:t>
      </w:r>
    </w:p>
    <w:p w14:paraId="010E102E">
      <w:pPr>
        <w:pStyle w:val="321"/>
        <w:ind w:firstLine="420"/>
        <w:rPr>
          <w:rFonts w:hint="eastAsia"/>
          <w:kern w:val="2"/>
          <w:sz w:val="21"/>
          <w:szCs w:val="21"/>
          <w:lang w:val="en-US" w:eastAsia="zh-CN"/>
        </w:rPr>
      </w:pPr>
      <w:r>
        <w:rPr>
          <w:rFonts w:hint="eastAsia"/>
          <w:b/>
          <w:bCs/>
          <w:kern w:val="2"/>
          <w:sz w:val="21"/>
          <w:szCs w:val="21"/>
          <w:highlight w:val="yellow"/>
        </w:rPr>
        <w:t>★（1）“工时单价”填写要求：须参照深圳市交通局编制的《深圳市汽车维修工时定额》相关规定（少数国外高档车经物价部门核准另有规定的除外）执行。“工时单价”</w:t>
      </w:r>
      <w:r>
        <w:rPr>
          <w:rFonts w:hint="eastAsia"/>
          <w:b/>
          <w:bCs/>
          <w:kern w:val="2"/>
          <w:sz w:val="21"/>
          <w:szCs w:val="21"/>
          <w:highlight w:val="yellow"/>
          <w:lang w:eastAsia="zh-CN"/>
        </w:rPr>
        <w:t>最高限价为</w:t>
      </w:r>
      <w:r>
        <w:rPr>
          <w:rFonts w:hint="eastAsia"/>
          <w:b/>
          <w:bCs/>
          <w:kern w:val="2"/>
          <w:sz w:val="21"/>
          <w:szCs w:val="21"/>
          <w:highlight w:val="yellow"/>
          <w:lang w:val="en-US" w:eastAsia="zh-CN"/>
        </w:rPr>
        <w:t>80元/工时，投标人报价不得超过最高限价。</w:t>
      </w:r>
    </w:p>
    <w:p w14:paraId="362F3B1E">
      <w:pPr>
        <w:pStyle w:val="321"/>
        <w:ind w:firstLine="420"/>
        <w:rPr>
          <w:rFonts w:hint="eastAsia"/>
          <w:kern w:val="2"/>
          <w:sz w:val="21"/>
          <w:szCs w:val="21"/>
        </w:rPr>
      </w:pPr>
      <w:r>
        <w:rPr>
          <w:rFonts w:hint="eastAsia"/>
          <w:kern w:val="2"/>
          <w:sz w:val="21"/>
          <w:szCs w:val="21"/>
        </w:rPr>
        <w:t>（</w:t>
      </w:r>
      <w:r>
        <w:rPr>
          <w:rFonts w:hint="eastAsia"/>
          <w:kern w:val="2"/>
          <w:sz w:val="21"/>
          <w:szCs w:val="21"/>
          <w:lang w:val="en-US" w:eastAsia="zh-CN"/>
        </w:rPr>
        <w:t>2</w:t>
      </w:r>
      <w:r>
        <w:rPr>
          <w:rFonts w:hint="eastAsia"/>
          <w:kern w:val="2"/>
          <w:sz w:val="21"/>
          <w:szCs w:val="21"/>
        </w:rPr>
        <w:t>）“工时单价”</w:t>
      </w:r>
      <w:r>
        <w:rPr>
          <w:rFonts w:hint="eastAsia"/>
          <w:kern w:val="2"/>
          <w:sz w:val="21"/>
          <w:szCs w:val="21"/>
          <w:lang w:eastAsia="zh-CN"/>
        </w:rPr>
        <w:t>、</w:t>
      </w:r>
      <w:r>
        <w:rPr>
          <w:rFonts w:hint="eastAsia"/>
          <w:kern w:val="2"/>
          <w:sz w:val="21"/>
          <w:szCs w:val="21"/>
        </w:rPr>
        <w:t>“正厂零配件综合折扣率”</w:t>
      </w:r>
      <w:r>
        <w:rPr>
          <w:rFonts w:hint="eastAsia"/>
          <w:kern w:val="2"/>
          <w:sz w:val="21"/>
          <w:szCs w:val="21"/>
          <w:lang w:val="en-US" w:eastAsia="zh-CN"/>
        </w:rPr>
        <w:t>和“</w:t>
      </w:r>
      <w:r>
        <w:rPr>
          <w:rFonts w:hint="eastAsia"/>
          <w:kern w:val="2"/>
          <w:sz w:val="21"/>
          <w:szCs w:val="21"/>
        </w:rPr>
        <w:t>非正厂合格产品零配件综合折扣率</w:t>
      </w:r>
      <w:r>
        <w:rPr>
          <w:rFonts w:hint="eastAsia"/>
          <w:kern w:val="2"/>
          <w:sz w:val="21"/>
          <w:szCs w:val="21"/>
          <w:lang w:val="en-US" w:eastAsia="zh-CN"/>
        </w:rPr>
        <w:t>”</w:t>
      </w:r>
      <w:r>
        <w:rPr>
          <w:rFonts w:hint="eastAsia"/>
          <w:kern w:val="2"/>
          <w:sz w:val="21"/>
          <w:szCs w:val="21"/>
        </w:rPr>
        <w:t>都需完整填写，且每家只能是唯一确定的报价，上述内容是重要的评分标准之一，且为用户单位选取定点维修的重要依据。</w:t>
      </w:r>
    </w:p>
    <w:p w14:paraId="283C2EB5">
      <w:pPr>
        <w:pStyle w:val="321"/>
        <w:ind w:firstLine="420"/>
        <w:rPr>
          <w:rFonts w:hint="eastAsia"/>
          <w:kern w:val="2"/>
          <w:sz w:val="21"/>
          <w:szCs w:val="21"/>
        </w:rPr>
      </w:pPr>
      <w:r>
        <w:rPr>
          <w:rFonts w:hint="eastAsia"/>
          <w:kern w:val="2"/>
          <w:sz w:val="21"/>
          <w:szCs w:val="21"/>
        </w:rPr>
        <w:t>（4）投标人报价应充分考虑公务车维修成本。</w:t>
      </w:r>
    </w:p>
    <w:p w14:paraId="3024A194">
      <w:pPr>
        <w:pStyle w:val="321"/>
        <w:ind w:firstLine="420"/>
        <w:rPr>
          <w:rFonts w:hint="eastAsia"/>
          <w:kern w:val="2"/>
          <w:sz w:val="21"/>
          <w:szCs w:val="21"/>
        </w:rPr>
      </w:pPr>
      <w:r>
        <w:rPr>
          <w:rFonts w:hint="eastAsia"/>
          <w:b/>
          <w:bCs/>
          <w:kern w:val="2"/>
          <w:sz w:val="21"/>
          <w:szCs w:val="21"/>
          <w:highlight w:val="yellow"/>
        </w:rPr>
        <w:t>★（5）</w:t>
      </w:r>
      <w:r>
        <w:rPr>
          <w:rFonts w:hint="eastAsia"/>
          <w:b/>
          <w:bCs/>
          <w:kern w:val="2"/>
          <w:sz w:val="21"/>
          <w:szCs w:val="21"/>
          <w:highlight w:val="yellow"/>
          <w:lang w:eastAsia="zh-CN"/>
        </w:rPr>
        <w:t>投标</w:t>
      </w:r>
      <w:r>
        <w:rPr>
          <w:rFonts w:hint="eastAsia"/>
          <w:b/>
          <w:bCs/>
          <w:kern w:val="2"/>
          <w:sz w:val="21"/>
          <w:szCs w:val="21"/>
          <w:highlight w:val="yellow"/>
        </w:rPr>
        <w:t>折扣率</w:t>
      </w:r>
      <w:r>
        <w:rPr>
          <w:rFonts w:hint="eastAsia"/>
          <w:b/>
          <w:bCs/>
          <w:kern w:val="2"/>
          <w:sz w:val="21"/>
          <w:szCs w:val="21"/>
          <w:highlight w:val="yellow"/>
          <w:lang w:eastAsia="zh-CN"/>
        </w:rPr>
        <w:t>：</w:t>
      </w:r>
      <w:r>
        <w:rPr>
          <w:rFonts w:hint="eastAsia"/>
          <w:b/>
          <w:bCs/>
          <w:kern w:val="2"/>
          <w:sz w:val="21"/>
          <w:szCs w:val="21"/>
          <w:highlight w:val="yellow"/>
        </w:rPr>
        <w:t>前文报价表包含正厂零配件综合折扣率、非正厂合格产品零配件综合折扣率，不接受区间报价，投标折扣率报价范围：0&lt;投标折扣率&lt;1，最多保留小数点后两位。</w:t>
      </w:r>
    </w:p>
    <w:p w14:paraId="663B3158">
      <w:pPr>
        <w:pStyle w:val="321"/>
        <w:ind w:firstLine="420"/>
        <w:rPr>
          <w:rFonts w:hint="eastAsia"/>
          <w:kern w:val="2"/>
          <w:sz w:val="21"/>
          <w:szCs w:val="21"/>
        </w:rPr>
      </w:pPr>
      <w:r>
        <w:rPr>
          <w:rFonts w:hint="eastAsia"/>
          <w:kern w:val="2"/>
          <w:sz w:val="21"/>
          <w:szCs w:val="21"/>
        </w:rPr>
        <w:t>⑥投标人应当根据本单位的成本及采购文件所提供的资料自行决定投标报价，报价不止折扣率，还有工时单价。投标报价应当包括服务成本、法定税费和企业的利润。一经中标，投标</w:t>
      </w:r>
      <w:r>
        <w:rPr>
          <w:rFonts w:hint="eastAsia"/>
          <w:kern w:val="2"/>
          <w:sz w:val="21"/>
          <w:szCs w:val="21"/>
          <w:lang w:eastAsia="zh-CN"/>
        </w:rPr>
        <w:t>报价</w:t>
      </w:r>
      <w:r>
        <w:rPr>
          <w:rFonts w:hint="eastAsia"/>
          <w:kern w:val="2"/>
          <w:sz w:val="21"/>
          <w:szCs w:val="21"/>
        </w:rPr>
        <w:t>在合同期限内不做调整。</w:t>
      </w:r>
    </w:p>
    <w:p w14:paraId="11EBA2E1">
      <w:pPr>
        <w:pStyle w:val="321"/>
        <w:ind w:firstLine="420"/>
        <w:rPr>
          <w:rFonts w:hint="eastAsia"/>
          <w:kern w:val="2"/>
          <w:sz w:val="21"/>
          <w:szCs w:val="21"/>
        </w:rPr>
      </w:pPr>
      <w:r>
        <w:rPr>
          <w:rFonts w:hint="eastAsia"/>
          <w:kern w:val="2"/>
          <w:sz w:val="21"/>
          <w:szCs w:val="21"/>
        </w:rPr>
        <w:t>⑦投标人的投标</w:t>
      </w:r>
      <w:r>
        <w:rPr>
          <w:rFonts w:hint="eastAsia"/>
          <w:kern w:val="2"/>
          <w:sz w:val="21"/>
          <w:szCs w:val="21"/>
          <w:lang w:eastAsia="zh-CN"/>
        </w:rPr>
        <w:t>报价</w:t>
      </w:r>
      <w:r>
        <w:rPr>
          <w:rFonts w:hint="eastAsia"/>
          <w:kern w:val="2"/>
          <w:sz w:val="21"/>
          <w:szCs w:val="21"/>
        </w:rPr>
        <w:t>，应当是本项目采购范围和采购文件及合同条款上所列的各项内容中所述的全部，不得以任何理由予以重复。</w:t>
      </w:r>
    </w:p>
    <w:p w14:paraId="1385C1C9">
      <w:pPr>
        <w:pStyle w:val="321"/>
        <w:ind w:firstLine="420"/>
        <w:rPr>
          <w:rFonts w:hint="eastAsia"/>
          <w:kern w:val="2"/>
          <w:sz w:val="21"/>
          <w:szCs w:val="21"/>
        </w:rPr>
      </w:pPr>
      <w:r>
        <w:rPr>
          <w:rFonts w:hint="eastAsia"/>
          <w:kern w:val="2"/>
          <w:sz w:val="21"/>
          <w:szCs w:val="21"/>
        </w:rPr>
        <w:t>⑧除非采购人或采购代理机构通过修改采购文件予以更正，否则，投标人应毫无例外地按采购需求报价，并不得缺漏。</w:t>
      </w:r>
    </w:p>
    <w:p w14:paraId="2728469A">
      <w:pPr>
        <w:pStyle w:val="321"/>
        <w:ind w:firstLine="420"/>
        <w:rPr>
          <w:kern w:val="2"/>
          <w:sz w:val="21"/>
          <w:szCs w:val="21"/>
        </w:rPr>
      </w:pPr>
      <w:r>
        <w:rPr>
          <w:rFonts w:hint="eastAsia"/>
          <w:kern w:val="2"/>
          <w:sz w:val="21"/>
          <w:szCs w:val="21"/>
        </w:rPr>
        <w:t>⑨投标人不得期望通过索赔等方式获取补偿，否则，除可能遭到拒绝外，还可能将被作为不良行为记录在案，并可能影响其以后参加政府采购的项目投标。各投标人在报价时，应充分考虑报价的风险。</w:t>
      </w:r>
    </w:p>
    <w:p w14:paraId="7931F6E9">
      <w:pPr>
        <w:pStyle w:val="321"/>
        <w:ind w:firstLine="420"/>
        <w:rPr>
          <w:kern w:val="2"/>
          <w:sz w:val="21"/>
          <w:szCs w:val="21"/>
        </w:rPr>
      </w:pPr>
      <w:r>
        <w:rPr>
          <w:rFonts w:hint="eastAsia"/>
          <w:b/>
          <w:bCs/>
          <w:kern w:val="2"/>
          <w:sz w:val="21"/>
          <w:szCs w:val="21"/>
        </w:rPr>
        <w:t>5.验收</w:t>
      </w:r>
      <w:r>
        <w:rPr>
          <w:rFonts w:hint="eastAsia"/>
          <w:b/>
          <w:bCs/>
          <w:kern w:val="2"/>
          <w:sz w:val="21"/>
          <w:szCs w:val="21"/>
          <w:lang w:val="en-US" w:eastAsia="zh-CN"/>
        </w:rPr>
        <w:t>内容及标准</w:t>
      </w:r>
      <w:r>
        <w:rPr>
          <w:rFonts w:hint="eastAsia"/>
          <w:b/>
          <w:bCs/>
          <w:kern w:val="2"/>
          <w:sz w:val="21"/>
          <w:szCs w:val="21"/>
        </w:rPr>
        <w:t>：</w:t>
      </w:r>
    </w:p>
    <w:p w14:paraId="5BB7F162">
      <w:pPr>
        <w:pStyle w:val="321"/>
        <w:ind w:firstLine="420"/>
        <w:rPr>
          <w:rFonts w:hint="eastAsia"/>
          <w:kern w:val="2"/>
          <w:sz w:val="21"/>
          <w:szCs w:val="21"/>
        </w:rPr>
      </w:pPr>
      <w:r>
        <w:rPr>
          <w:rFonts w:hint="eastAsia"/>
          <w:kern w:val="2"/>
          <w:sz w:val="21"/>
          <w:szCs w:val="21"/>
        </w:rPr>
        <w:t>（1）采购人以采购项目的招标文件、投标文件、采购合同作为验收依据，按照采购合同的约定逐项核对技术、服务、安全标准的履约情况并确认；</w:t>
      </w:r>
    </w:p>
    <w:p w14:paraId="018909BE">
      <w:pPr>
        <w:pStyle w:val="321"/>
        <w:ind w:firstLine="420"/>
        <w:rPr>
          <w:rFonts w:hint="eastAsia"/>
          <w:kern w:val="2"/>
          <w:sz w:val="21"/>
          <w:szCs w:val="21"/>
        </w:rPr>
      </w:pPr>
      <w:r>
        <w:rPr>
          <w:rFonts w:hint="eastAsia"/>
          <w:kern w:val="2"/>
          <w:sz w:val="21"/>
          <w:szCs w:val="21"/>
        </w:rPr>
        <w:t>（2）本项目具体验收内容及标准：</w:t>
      </w:r>
    </w:p>
    <w:p w14:paraId="0A2B07FD">
      <w:pPr>
        <w:pStyle w:val="321"/>
        <w:ind w:firstLine="420"/>
        <w:rPr>
          <w:rFonts w:hint="eastAsia"/>
          <w:kern w:val="2"/>
          <w:sz w:val="21"/>
          <w:szCs w:val="21"/>
        </w:rPr>
      </w:pPr>
      <w:r>
        <w:rPr>
          <w:rFonts w:hint="eastAsia"/>
          <w:kern w:val="2"/>
          <w:sz w:val="21"/>
          <w:szCs w:val="21"/>
        </w:rPr>
        <w:t>1）实行一车一档案制度。档案内容包括：品牌、型号、建档时间、各次维修情况明细、经办人等。</w:t>
      </w:r>
    </w:p>
    <w:p w14:paraId="0BBEB813">
      <w:pPr>
        <w:pStyle w:val="321"/>
        <w:ind w:firstLine="420"/>
        <w:rPr>
          <w:rFonts w:hint="eastAsia"/>
          <w:kern w:val="2"/>
          <w:sz w:val="21"/>
          <w:szCs w:val="21"/>
        </w:rPr>
      </w:pPr>
      <w:r>
        <w:rPr>
          <w:rFonts w:hint="eastAsia"/>
          <w:kern w:val="2"/>
          <w:sz w:val="21"/>
          <w:szCs w:val="21"/>
        </w:rPr>
        <w:t>2）维修厂的各种维修所需工时，工时价格，各种零配件的价格必须向所有采购单位公开。</w:t>
      </w:r>
    </w:p>
    <w:p w14:paraId="6A5517E0">
      <w:pPr>
        <w:pStyle w:val="321"/>
        <w:ind w:firstLine="420"/>
        <w:rPr>
          <w:rFonts w:hint="eastAsia"/>
          <w:kern w:val="2"/>
          <w:sz w:val="21"/>
          <w:szCs w:val="21"/>
        </w:rPr>
      </w:pPr>
      <w:r>
        <w:rPr>
          <w:rFonts w:hint="eastAsia"/>
          <w:kern w:val="2"/>
          <w:sz w:val="21"/>
          <w:szCs w:val="21"/>
        </w:rPr>
        <w:t>3）采购中心要对维修厂的维修收费是否按公开的价格执行进行监管，制定违规处罚制度。</w:t>
      </w:r>
    </w:p>
    <w:p w14:paraId="17C9D32D">
      <w:pPr>
        <w:pStyle w:val="321"/>
        <w:ind w:firstLine="420"/>
        <w:rPr>
          <w:rFonts w:hint="eastAsia"/>
          <w:kern w:val="2"/>
          <w:sz w:val="21"/>
          <w:szCs w:val="21"/>
        </w:rPr>
      </w:pPr>
      <w:r>
        <w:rPr>
          <w:rFonts w:hint="eastAsia"/>
          <w:kern w:val="2"/>
          <w:sz w:val="21"/>
          <w:szCs w:val="21"/>
        </w:rPr>
        <w:t>4）用户单位要制定相关的管理制度防止工作人员与维修厂串通、虚列维修项目，虚列维修配件。</w:t>
      </w:r>
    </w:p>
    <w:p w14:paraId="2AACA011">
      <w:pPr>
        <w:pStyle w:val="321"/>
        <w:ind w:firstLine="420"/>
        <w:rPr>
          <w:rFonts w:hint="eastAsia"/>
          <w:kern w:val="2"/>
          <w:sz w:val="21"/>
          <w:szCs w:val="21"/>
        </w:rPr>
      </w:pPr>
      <w:r>
        <w:rPr>
          <w:rFonts w:hint="eastAsia"/>
          <w:kern w:val="2"/>
          <w:sz w:val="21"/>
          <w:szCs w:val="21"/>
        </w:rPr>
        <w:t>5）建立维修厂诚信档案，对严格违规情况进行通报以及处罚。</w:t>
      </w:r>
    </w:p>
    <w:p w14:paraId="0C1EBD3D">
      <w:pPr>
        <w:pStyle w:val="321"/>
        <w:ind w:firstLine="420"/>
        <w:rPr>
          <w:rFonts w:hint="eastAsia"/>
          <w:kern w:val="2"/>
          <w:sz w:val="21"/>
          <w:szCs w:val="21"/>
        </w:rPr>
      </w:pPr>
      <w:r>
        <w:rPr>
          <w:rFonts w:hint="eastAsia"/>
          <w:kern w:val="2"/>
          <w:sz w:val="21"/>
          <w:szCs w:val="21"/>
        </w:rPr>
        <w:t>6）采购单位在车辆送修时要督促维修厂诚信履约，发现维修厂不合理定损、以次充好、虚列项目、虚报配件等行为要及时向采购中心报告。采购中心核定后报区财政局对其作出相应处罚。情节严重的报财政局进行行政处罚。</w:t>
      </w:r>
    </w:p>
    <w:p w14:paraId="4B166B29">
      <w:pPr>
        <w:pStyle w:val="321"/>
        <w:ind w:firstLine="420"/>
        <w:rPr>
          <w:rFonts w:hint="eastAsia"/>
          <w:kern w:val="2"/>
          <w:sz w:val="21"/>
          <w:szCs w:val="21"/>
        </w:rPr>
      </w:pPr>
      <w:r>
        <w:rPr>
          <w:rFonts w:hint="eastAsia"/>
          <w:kern w:val="2"/>
          <w:sz w:val="21"/>
          <w:szCs w:val="21"/>
        </w:rPr>
        <w:t>7）有争议或重大维修项目可采用第三方的维修专家鉴定或定损。</w:t>
      </w:r>
    </w:p>
    <w:p w14:paraId="72DD1020">
      <w:pPr>
        <w:pStyle w:val="321"/>
        <w:ind w:firstLine="420"/>
        <w:rPr>
          <w:rFonts w:hint="eastAsia"/>
          <w:kern w:val="2"/>
          <w:sz w:val="21"/>
          <w:szCs w:val="21"/>
        </w:rPr>
      </w:pPr>
      <w:r>
        <w:rPr>
          <w:rFonts w:hint="eastAsia"/>
          <w:kern w:val="2"/>
          <w:sz w:val="21"/>
          <w:szCs w:val="21"/>
        </w:rPr>
        <w:t>8）虚开结算单情形：</w:t>
      </w:r>
    </w:p>
    <w:p w14:paraId="3D6528CD">
      <w:pPr>
        <w:pStyle w:val="321"/>
        <w:ind w:firstLine="420"/>
        <w:rPr>
          <w:rFonts w:hint="eastAsia"/>
          <w:kern w:val="2"/>
          <w:sz w:val="21"/>
          <w:szCs w:val="21"/>
        </w:rPr>
      </w:pPr>
      <w:r>
        <w:rPr>
          <w:rFonts w:hint="eastAsia"/>
          <w:kern w:val="2"/>
          <w:sz w:val="21"/>
          <w:szCs w:val="21"/>
        </w:rPr>
        <w:t>用户单位要制定相关的内部管理制度，责任到人，维修车辆审批需要多级把关，车辆使用人提出申请、车队核实、办公室审批等，超过一定金额的维修还应报批单位领导审定。制订车辆维修金额的标准的审批制度及定损措施，交叉监督防范作人员与维修厂串通。</w:t>
      </w:r>
    </w:p>
    <w:p w14:paraId="16AB61D0">
      <w:pPr>
        <w:pStyle w:val="321"/>
        <w:ind w:firstLine="420"/>
        <w:rPr>
          <w:rFonts w:hint="eastAsia"/>
          <w:kern w:val="2"/>
          <w:sz w:val="21"/>
          <w:szCs w:val="21"/>
        </w:rPr>
      </w:pPr>
      <w:r>
        <w:rPr>
          <w:rFonts w:hint="eastAsia"/>
          <w:kern w:val="2"/>
          <w:sz w:val="21"/>
          <w:szCs w:val="21"/>
        </w:rPr>
        <w:t>9）维修配件以次充好、货不对板情形：</w:t>
      </w:r>
    </w:p>
    <w:p w14:paraId="6DC19D80">
      <w:pPr>
        <w:pStyle w:val="321"/>
        <w:ind w:firstLine="420"/>
        <w:rPr>
          <w:rFonts w:hint="eastAsia"/>
          <w:kern w:val="2"/>
          <w:sz w:val="21"/>
          <w:szCs w:val="21"/>
        </w:rPr>
      </w:pPr>
      <w:r>
        <w:rPr>
          <w:rFonts w:hint="eastAsia"/>
          <w:kern w:val="2"/>
          <w:sz w:val="21"/>
          <w:szCs w:val="21"/>
        </w:rPr>
        <w:t>10）公务车辆定点维修企业须严格按照投标时所承诺的零配件综合优惠率、工时单价提供服务，并保证零配件价格和工时单价不高于本企业对外服务执行价。公务车辆定点维修企业需按时据实报送维修数据及真实反馈节约率，需按要求统一填写统一制定的车辆维修报价表，以备监督部门及采购单位随时翻查。</w:t>
      </w:r>
    </w:p>
    <w:p w14:paraId="37BD8F48">
      <w:pPr>
        <w:pStyle w:val="321"/>
        <w:ind w:firstLine="420"/>
        <w:rPr>
          <w:rFonts w:hint="eastAsia"/>
          <w:kern w:val="2"/>
          <w:sz w:val="21"/>
          <w:szCs w:val="21"/>
        </w:rPr>
      </w:pPr>
      <w:r>
        <w:rPr>
          <w:rFonts w:hint="eastAsia"/>
          <w:kern w:val="2"/>
          <w:sz w:val="21"/>
          <w:szCs w:val="21"/>
        </w:rPr>
        <w:t>11）采购单位相应的维修车辆管理制度必须明确责任，单位车辆管理部门及负责人员对维修车辆必须责任到人，维修更换的零件须核对后再安装，对完工的车辆进行维修后的查验，试车无问题的才可以由财务结账。对以次充好、货不对板的情形及时发现问题，责成维修厂解决问题，情节严重的上报监管部门。</w:t>
      </w:r>
    </w:p>
    <w:p w14:paraId="79992037">
      <w:pPr>
        <w:pStyle w:val="321"/>
        <w:ind w:firstLine="420"/>
        <w:rPr>
          <w:rFonts w:hint="eastAsia"/>
          <w:kern w:val="2"/>
          <w:sz w:val="21"/>
          <w:szCs w:val="21"/>
        </w:rPr>
      </w:pPr>
      <w:r>
        <w:rPr>
          <w:rFonts w:hint="eastAsia"/>
          <w:b/>
          <w:bCs/>
          <w:kern w:val="2"/>
          <w:sz w:val="21"/>
          <w:szCs w:val="21"/>
        </w:rPr>
        <w:t>6.违约责任：</w:t>
      </w:r>
      <w:r>
        <w:rPr>
          <w:rFonts w:hint="eastAsia"/>
          <w:kern w:val="2"/>
          <w:sz w:val="21"/>
          <w:szCs w:val="21"/>
        </w:rPr>
        <w:br w:type="textWrapping"/>
      </w:r>
      <w:r>
        <w:rPr>
          <w:rFonts w:hint="eastAsia"/>
          <w:kern w:val="2"/>
          <w:sz w:val="21"/>
          <w:szCs w:val="21"/>
        </w:rPr>
        <w:t xml:space="preserve">   （1）中标供应商未在约定期限内完成项目内容并提交成果的，每延迟一日按照</w:t>
      </w:r>
      <w:r>
        <w:rPr>
          <w:rFonts w:hint="eastAsia"/>
          <w:kern w:val="2"/>
          <w:sz w:val="21"/>
          <w:szCs w:val="21"/>
          <w:lang w:eastAsia="zh-CN"/>
        </w:rPr>
        <w:t>预算</w:t>
      </w:r>
      <w:r>
        <w:rPr>
          <w:rFonts w:hint="eastAsia"/>
          <w:kern w:val="2"/>
          <w:sz w:val="21"/>
          <w:szCs w:val="21"/>
        </w:rPr>
        <w:t>金额千分之一的标准向采购人支付违约金。延迟超过十日的，采购人有权解除合同并要求中标供应商返还已经支付的款项，未支付的不再支付。</w:t>
      </w:r>
    </w:p>
    <w:p w14:paraId="01CA8989">
      <w:pPr>
        <w:pStyle w:val="321"/>
        <w:ind w:firstLine="420"/>
        <w:rPr>
          <w:rFonts w:hint="eastAsia"/>
          <w:kern w:val="2"/>
          <w:sz w:val="21"/>
          <w:szCs w:val="21"/>
        </w:rPr>
      </w:pPr>
      <w:r>
        <w:rPr>
          <w:rFonts w:hint="eastAsia"/>
          <w:kern w:val="2"/>
          <w:sz w:val="21"/>
          <w:szCs w:val="21"/>
        </w:rPr>
        <w:t>（2）中标供应商交付的成果验收不合格的，经采购人要求整改再次验收仍不合格的或中标供应商提交的成果存在虚假、违法违规、重大错误的，采购人有权立即解除合同、要求中标供应商返还已经支付的款项并支付</w:t>
      </w:r>
      <w:r>
        <w:rPr>
          <w:rFonts w:hint="eastAsia"/>
          <w:kern w:val="2"/>
          <w:sz w:val="21"/>
          <w:szCs w:val="21"/>
          <w:lang w:eastAsia="zh-CN"/>
        </w:rPr>
        <w:t>预算</w:t>
      </w:r>
      <w:r>
        <w:rPr>
          <w:rFonts w:hint="eastAsia"/>
          <w:kern w:val="2"/>
          <w:sz w:val="21"/>
          <w:szCs w:val="21"/>
        </w:rPr>
        <w:t>总额20%的违约金。</w:t>
      </w:r>
    </w:p>
    <w:p w14:paraId="3A29310F">
      <w:pPr>
        <w:pStyle w:val="321"/>
        <w:ind w:firstLine="420"/>
        <w:rPr>
          <w:rFonts w:hint="eastAsia"/>
          <w:kern w:val="2"/>
          <w:sz w:val="21"/>
          <w:szCs w:val="21"/>
        </w:rPr>
      </w:pPr>
      <w:r>
        <w:rPr>
          <w:rFonts w:hint="eastAsia"/>
          <w:kern w:val="2"/>
          <w:sz w:val="21"/>
          <w:szCs w:val="21"/>
        </w:rPr>
        <w:t>（3）因中标供应商实施本项目过程中侵犯第三人合法权益或者违约导致采购人承担赔偿责任的，采购人有权向中标供应商追偿并有权解除合同、要求中标供应商返还已经支付的款项并支付</w:t>
      </w:r>
      <w:r>
        <w:rPr>
          <w:rFonts w:hint="eastAsia"/>
          <w:kern w:val="2"/>
          <w:sz w:val="21"/>
          <w:szCs w:val="21"/>
          <w:lang w:eastAsia="zh-CN"/>
        </w:rPr>
        <w:t>预算</w:t>
      </w:r>
      <w:r>
        <w:rPr>
          <w:rFonts w:hint="eastAsia"/>
          <w:kern w:val="2"/>
          <w:sz w:val="21"/>
          <w:szCs w:val="21"/>
        </w:rPr>
        <w:t>总额20%的违约金。</w:t>
      </w:r>
    </w:p>
    <w:p w14:paraId="1956FEA0">
      <w:pPr>
        <w:pStyle w:val="321"/>
        <w:ind w:firstLine="420"/>
        <w:rPr>
          <w:rFonts w:hint="eastAsia"/>
          <w:kern w:val="2"/>
          <w:sz w:val="21"/>
          <w:szCs w:val="21"/>
        </w:rPr>
      </w:pPr>
      <w:r>
        <w:rPr>
          <w:rFonts w:hint="eastAsia"/>
          <w:kern w:val="2"/>
          <w:sz w:val="21"/>
          <w:szCs w:val="21"/>
        </w:rPr>
        <w:t>（4）中标供应商签订合同后，实际配备的工作人员与投标文件的承诺不一致的，或实施本项目时已不符合招标文件要求的，采购人有权解除合同，并要求中标供应商返向采购人支付</w:t>
      </w:r>
      <w:r>
        <w:rPr>
          <w:rFonts w:hint="eastAsia"/>
          <w:kern w:val="2"/>
          <w:sz w:val="21"/>
          <w:szCs w:val="21"/>
          <w:lang w:eastAsia="zh-CN"/>
        </w:rPr>
        <w:t>预算</w:t>
      </w:r>
      <w:r>
        <w:rPr>
          <w:rFonts w:hint="eastAsia"/>
          <w:kern w:val="2"/>
          <w:sz w:val="21"/>
          <w:szCs w:val="21"/>
        </w:rPr>
        <w:t>总额  20  %的违约金。</w:t>
      </w:r>
    </w:p>
    <w:p w14:paraId="69B8761E">
      <w:pPr>
        <w:pStyle w:val="321"/>
        <w:ind w:firstLine="420"/>
        <w:rPr>
          <w:rFonts w:hint="eastAsia"/>
          <w:kern w:val="2"/>
          <w:sz w:val="21"/>
          <w:szCs w:val="21"/>
        </w:rPr>
      </w:pPr>
      <w:r>
        <w:rPr>
          <w:rFonts w:hint="eastAsia"/>
          <w:kern w:val="2"/>
          <w:sz w:val="21"/>
          <w:szCs w:val="21"/>
        </w:rPr>
        <w:t>（5）中标供应商无正当理由解除合同的，应向采购人支付</w:t>
      </w:r>
      <w:r>
        <w:rPr>
          <w:rFonts w:hint="eastAsia"/>
          <w:kern w:val="2"/>
          <w:sz w:val="21"/>
          <w:szCs w:val="21"/>
          <w:lang w:eastAsia="zh-CN"/>
        </w:rPr>
        <w:t>预算</w:t>
      </w:r>
      <w:r>
        <w:rPr>
          <w:rFonts w:hint="eastAsia"/>
          <w:kern w:val="2"/>
          <w:sz w:val="21"/>
          <w:szCs w:val="21"/>
        </w:rPr>
        <w:t>总额20%的违约金。</w:t>
      </w:r>
    </w:p>
    <w:p w14:paraId="5FBFB65F">
      <w:pPr>
        <w:pStyle w:val="321"/>
        <w:ind w:firstLine="420"/>
        <w:rPr>
          <w:rFonts w:hint="eastAsia"/>
          <w:kern w:val="2"/>
          <w:sz w:val="21"/>
          <w:szCs w:val="21"/>
        </w:rPr>
      </w:pPr>
      <w:r>
        <w:rPr>
          <w:rFonts w:hint="eastAsia"/>
          <w:kern w:val="2"/>
          <w:sz w:val="21"/>
          <w:szCs w:val="21"/>
        </w:rPr>
        <w:t>（6）中标供应商违反本需求知识产权相关内容的，应向采购人支付</w:t>
      </w:r>
      <w:r>
        <w:rPr>
          <w:rFonts w:hint="eastAsia"/>
          <w:kern w:val="2"/>
          <w:sz w:val="21"/>
          <w:szCs w:val="21"/>
          <w:lang w:eastAsia="zh-CN"/>
        </w:rPr>
        <w:t>预算</w:t>
      </w:r>
      <w:r>
        <w:rPr>
          <w:rFonts w:hint="eastAsia"/>
          <w:kern w:val="2"/>
          <w:sz w:val="21"/>
          <w:szCs w:val="21"/>
        </w:rPr>
        <w:t>总额  20  %的违约金。</w:t>
      </w:r>
      <w:r>
        <w:rPr>
          <w:rFonts w:hint="eastAsia"/>
          <w:kern w:val="2"/>
          <w:sz w:val="21"/>
          <w:szCs w:val="21"/>
        </w:rPr>
        <w:br w:type="textWrapping"/>
      </w:r>
      <w:r>
        <w:rPr>
          <w:rFonts w:hint="eastAsia"/>
          <w:kern w:val="2"/>
          <w:sz w:val="21"/>
          <w:szCs w:val="21"/>
          <w:lang w:val="en"/>
        </w:rPr>
        <w:t xml:space="preserve">    （7）</w:t>
      </w:r>
      <w:r>
        <w:rPr>
          <w:rFonts w:hint="eastAsia"/>
          <w:kern w:val="2"/>
          <w:sz w:val="21"/>
          <w:szCs w:val="21"/>
        </w:rPr>
        <w:t>未经</w:t>
      </w:r>
      <w:r>
        <w:rPr>
          <w:rFonts w:hint="eastAsia"/>
          <w:kern w:val="2"/>
          <w:sz w:val="21"/>
          <w:szCs w:val="21"/>
          <w:lang w:val="en"/>
        </w:rPr>
        <w:t>采购人</w:t>
      </w:r>
      <w:r>
        <w:rPr>
          <w:rFonts w:hint="eastAsia"/>
          <w:kern w:val="2"/>
          <w:sz w:val="21"/>
          <w:szCs w:val="21"/>
        </w:rPr>
        <w:t>同意，</w:t>
      </w:r>
      <w:r>
        <w:rPr>
          <w:rFonts w:hint="eastAsia"/>
          <w:kern w:val="2"/>
          <w:sz w:val="21"/>
          <w:szCs w:val="21"/>
          <w:lang w:val="en"/>
        </w:rPr>
        <w:t>中标供应商</w:t>
      </w:r>
      <w:r>
        <w:rPr>
          <w:rFonts w:hint="eastAsia"/>
          <w:kern w:val="2"/>
          <w:sz w:val="21"/>
          <w:szCs w:val="21"/>
        </w:rPr>
        <w:t>将本合同项目的任务全部或者一部分转委托给第三人</w:t>
      </w:r>
      <w:r>
        <w:rPr>
          <w:rFonts w:hint="eastAsia"/>
          <w:kern w:val="2"/>
          <w:sz w:val="21"/>
          <w:szCs w:val="21"/>
          <w:lang w:val="en"/>
        </w:rPr>
        <w:t>，采购人</w:t>
      </w:r>
      <w:r>
        <w:rPr>
          <w:rFonts w:hint="eastAsia"/>
          <w:kern w:val="2"/>
          <w:sz w:val="21"/>
          <w:szCs w:val="21"/>
        </w:rPr>
        <w:t>有权解除合同、要求</w:t>
      </w:r>
      <w:r>
        <w:rPr>
          <w:rFonts w:hint="eastAsia"/>
          <w:kern w:val="2"/>
          <w:sz w:val="21"/>
          <w:szCs w:val="21"/>
          <w:lang w:val="en"/>
        </w:rPr>
        <w:t>中标供应商</w:t>
      </w:r>
      <w:r>
        <w:rPr>
          <w:rFonts w:hint="eastAsia"/>
          <w:kern w:val="2"/>
          <w:sz w:val="21"/>
          <w:szCs w:val="21"/>
        </w:rPr>
        <w:t>返还已经支付的款项并支付</w:t>
      </w:r>
      <w:r>
        <w:rPr>
          <w:rFonts w:hint="eastAsia"/>
          <w:kern w:val="2"/>
          <w:sz w:val="21"/>
          <w:szCs w:val="21"/>
          <w:lang w:eastAsia="zh-CN"/>
        </w:rPr>
        <w:t>预算</w:t>
      </w:r>
      <w:r>
        <w:rPr>
          <w:rFonts w:hint="eastAsia"/>
          <w:kern w:val="2"/>
          <w:sz w:val="21"/>
          <w:szCs w:val="21"/>
        </w:rPr>
        <w:t>总额  20  %的违约金。</w:t>
      </w:r>
    </w:p>
    <w:p w14:paraId="78594D5B">
      <w:pPr>
        <w:pStyle w:val="321"/>
        <w:ind w:firstLine="420"/>
        <w:rPr>
          <w:rFonts w:hint="eastAsia"/>
          <w:kern w:val="2"/>
          <w:sz w:val="21"/>
          <w:szCs w:val="21"/>
        </w:rPr>
      </w:pPr>
      <w:r>
        <w:rPr>
          <w:rFonts w:hint="eastAsia"/>
          <w:kern w:val="2"/>
          <w:sz w:val="21"/>
          <w:szCs w:val="21"/>
        </w:rPr>
        <w:t>（8）</w:t>
      </w:r>
      <w:r>
        <w:rPr>
          <w:rFonts w:hint="eastAsia"/>
          <w:kern w:val="2"/>
          <w:sz w:val="21"/>
          <w:szCs w:val="21"/>
          <w:lang w:val="en"/>
        </w:rPr>
        <w:t>中标供应商相关违法、违规、违约行为处理</w:t>
      </w:r>
    </w:p>
    <w:p w14:paraId="30F4085D">
      <w:pPr>
        <w:pStyle w:val="321"/>
        <w:numPr>
          <w:ilvl w:val="0"/>
          <w:numId w:val="5"/>
        </w:numPr>
        <w:ind w:left="420" w:leftChars="0" w:hanging="420" w:firstLineChars="0"/>
        <w:rPr>
          <w:rFonts w:hint="eastAsia"/>
          <w:kern w:val="2"/>
          <w:sz w:val="21"/>
          <w:szCs w:val="21"/>
        </w:rPr>
      </w:pPr>
      <w:r>
        <w:rPr>
          <w:rFonts w:hint="eastAsia"/>
          <w:kern w:val="2"/>
          <w:sz w:val="21"/>
          <w:szCs w:val="21"/>
        </w:rPr>
        <w:t>违反法律法规及本实施办法有关规定要求被有关部门查处的；</w:t>
      </w:r>
    </w:p>
    <w:p w14:paraId="36C502A4">
      <w:pPr>
        <w:pStyle w:val="321"/>
        <w:numPr>
          <w:ilvl w:val="0"/>
          <w:numId w:val="5"/>
        </w:numPr>
        <w:ind w:left="420" w:leftChars="0" w:hanging="420" w:firstLineChars="0"/>
        <w:rPr>
          <w:rFonts w:hint="eastAsia"/>
          <w:kern w:val="2"/>
          <w:sz w:val="21"/>
          <w:szCs w:val="21"/>
        </w:rPr>
      </w:pPr>
      <w:r>
        <w:rPr>
          <w:rFonts w:hint="eastAsia"/>
          <w:kern w:val="2"/>
          <w:sz w:val="21"/>
          <w:szCs w:val="21"/>
        </w:rPr>
        <w:t>在公务车定点维修执行期间，定点维修企业被交通主管部门降低资质的；</w:t>
      </w:r>
    </w:p>
    <w:p w14:paraId="2436357A">
      <w:pPr>
        <w:pStyle w:val="321"/>
        <w:numPr>
          <w:ilvl w:val="0"/>
          <w:numId w:val="5"/>
        </w:numPr>
        <w:ind w:left="420" w:leftChars="0" w:hanging="420" w:firstLineChars="0"/>
        <w:rPr>
          <w:rFonts w:hint="eastAsia"/>
          <w:kern w:val="2"/>
          <w:sz w:val="21"/>
          <w:szCs w:val="21"/>
        </w:rPr>
      </w:pPr>
      <w:r>
        <w:rPr>
          <w:rFonts w:hint="eastAsia"/>
          <w:kern w:val="2"/>
          <w:sz w:val="21"/>
          <w:szCs w:val="21"/>
        </w:rPr>
        <w:t>未按时将产生废物的数量以《危险废物转移联单》的形式上报环保部门的；</w:t>
      </w:r>
    </w:p>
    <w:p w14:paraId="4526FF48">
      <w:pPr>
        <w:pStyle w:val="321"/>
        <w:numPr>
          <w:ilvl w:val="0"/>
          <w:numId w:val="5"/>
        </w:numPr>
        <w:ind w:left="420" w:leftChars="0" w:hanging="420" w:firstLineChars="0"/>
        <w:rPr>
          <w:rFonts w:hint="eastAsia"/>
          <w:kern w:val="2"/>
          <w:sz w:val="21"/>
          <w:szCs w:val="21"/>
        </w:rPr>
      </w:pPr>
      <w:r>
        <w:rPr>
          <w:rFonts w:hint="eastAsia"/>
          <w:kern w:val="2"/>
          <w:sz w:val="21"/>
          <w:szCs w:val="21"/>
        </w:rPr>
        <w:t>没有按照价格优惠要求，擅自抬高收费价格经查实的；</w:t>
      </w:r>
    </w:p>
    <w:p w14:paraId="1074A0FB">
      <w:pPr>
        <w:pStyle w:val="321"/>
        <w:numPr>
          <w:ilvl w:val="0"/>
          <w:numId w:val="5"/>
        </w:numPr>
        <w:ind w:left="420" w:leftChars="0" w:hanging="420" w:firstLineChars="0"/>
        <w:rPr>
          <w:rFonts w:hint="eastAsia"/>
          <w:kern w:val="2"/>
          <w:sz w:val="21"/>
          <w:szCs w:val="21"/>
        </w:rPr>
      </w:pPr>
      <w:r>
        <w:rPr>
          <w:rFonts w:hint="eastAsia"/>
          <w:kern w:val="2"/>
          <w:sz w:val="21"/>
          <w:szCs w:val="21"/>
        </w:rPr>
        <w:t>虚假修车或虚报维修项目经查实的；</w:t>
      </w:r>
    </w:p>
    <w:p w14:paraId="3D246161">
      <w:pPr>
        <w:pStyle w:val="321"/>
        <w:numPr>
          <w:ilvl w:val="0"/>
          <w:numId w:val="5"/>
        </w:numPr>
        <w:ind w:left="420" w:leftChars="0" w:hanging="420" w:firstLineChars="0"/>
        <w:rPr>
          <w:rFonts w:hint="eastAsia"/>
          <w:kern w:val="2"/>
          <w:sz w:val="21"/>
          <w:szCs w:val="21"/>
        </w:rPr>
      </w:pPr>
      <w:r>
        <w:rPr>
          <w:rFonts w:hint="eastAsia"/>
          <w:kern w:val="2"/>
          <w:sz w:val="21"/>
          <w:szCs w:val="21"/>
        </w:rPr>
        <w:t>弄虚作假，提供虚假材料的；</w:t>
      </w:r>
    </w:p>
    <w:p w14:paraId="4DF3CBFE">
      <w:pPr>
        <w:pStyle w:val="321"/>
        <w:numPr>
          <w:ilvl w:val="0"/>
          <w:numId w:val="5"/>
        </w:numPr>
        <w:ind w:left="420" w:leftChars="0" w:hanging="420" w:firstLineChars="0"/>
        <w:rPr>
          <w:rFonts w:hint="eastAsia"/>
          <w:kern w:val="2"/>
          <w:sz w:val="21"/>
          <w:szCs w:val="21"/>
        </w:rPr>
      </w:pPr>
      <w:r>
        <w:rPr>
          <w:rFonts w:hint="eastAsia"/>
          <w:kern w:val="2"/>
          <w:sz w:val="21"/>
          <w:szCs w:val="21"/>
        </w:rPr>
        <w:t>因维修质量、服务问题被投诉经查实的；</w:t>
      </w:r>
    </w:p>
    <w:p w14:paraId="0F47A16C">
      <w:pPr>
        <w:pStyle w:val="321"/>
        <w:numPr>
          <w:ilvl w:val="0"/>
          <w:numId w:val="5"/>
        </w:numPr>
        <w:ind w:left="420" w:leftChars="0" w:hanging="420" w:firstLineChars="0"/>
        <w:rPr>
          <w:rFonts w:hint="eastAsia"/>
          <w:kern w:val="2"/>
          <w:sz w:val="21"/>
          <w:szCs w:val="21"/>
        </w:rPr>
      </w:pPr>
      <w:r>
        <w:rPr>
          <w:rFonts w:hint="eastAsia"/>
          <w:kern w:val="2"/>
          <w:sz w:val="21"/>
          <w:szCs w:val="21"/>
        </w:rPr>
        <w:t>通过给回扣或变相给回扣等不正当方式招揽生意经查实的；</w:t>
      </w:r>
    </w:p>
    <w:p w14:paraId="010C53A5">
      <w:pPr>
        <w:pStyle w:val="321"/>
        <w:numPr>
          <w:ilvl w:val="0"/>
          <w:numId w:val="5"/>
        </w:numPr>
        <w:ind w:left="420" w:leftChars="0" w:hanging="420" w:firstLineChars="0"/>
        <w:rPr>
          <w:rFonts w:hint="eastAsia"/>
          <w:kern w:val="2"/>
          <w:sz w:val="21"/>
          <w:szCs w:val="21"/>
        </w:rPr>
      </w:pPr>
      <w:r>
        <w:rPr>
          <w:rFonts w:hint="eastAsia"/>
          <w:kern w:val="2"/>
          <w:sz w:val="21"/>
          <w:szCs w:val="21"/>
        </w:rPr>
        <w:t>未按要求及时提交维修月报表或数据不全，经协议单位提示后，拒不改正的；</w:t>
      </w:r>
    </w:p>
    <w:p w14:paraId="1AB4BAA9">
      <w:pPr>
        <w:pStyle w:val="321"/>
        <w:numPr>
          <w:ilvl w:val="0"/>
          <w:numId w:val="5"/>
        </w:numPr>
        <w:ind w:left="420" w:leftChars="0" w:hanging="420" w:firstLineChars="0"/>
        <w:rPr>
          <w:rFonts w:hint="eastAsia"/>
          <w:kern w:val="2"/>
          <w:sz w:val="21"/>
          <w:szCs w:val="21"/>
        </w:rPr>
      </w:pPr>
      <w:r>
        <w:rPr>
          <w:rFonts w:hint="eastAsia"/>
          <w:kern w:val="2"/>
          <w:sz w:val="21"/>
          <w:szCs w:val="21"/>
        </w:rPr>
        <w:t>在维修中选用的零配件等相关材料以假充真，使用假冒伪劣产品经查实的；</w:t>
      </w:r>
    </w:p>
    <w:p w14:paraId="3CCCBE39">
      <w:pPr>
        <w:pStyle w:val="321"/>
        <w:numPr>
          <w:ilvl w:val="0"/>
          <w:numId w:val="5"/>
        </w:numPr>
        <w:ind w:left="420" w:leftChars="0" w:hanging="420" w:firstLineChars="0"/>
        <w:rPr>
          <w:rFonts w:hint="eastAsia"/>
          <w:kern w:val="2"/>
          <w:sz w:val="21"/>
          <w:szCs w:val="21"/>
        </w:rPr>
      </w:pPr>
      <w:r>
        <w:rPr>
          <w:rFonts w:hint="eastAsia"/>
          <w:kern w:val="2"/>
          <w:sz w:val="21"/>
          <w:szCs w:val="21"/>
        </w:rPr>
        <w:t>擅自转由其他关联企业维修的；</w:t>
      </w:r>
    </w:p>
    <w:p w14:paraId="706D876F">
      <w:pPr>
        <w:pStyle w:val="321"/>
        <w:numPr>
          <w:ilvl w:val="0"/>
          <w:numId w:val="5"/>
        </w:numPr>
        <w:ind w:left="420" w:leftChars="0" w:hanging="420" w:firstLineChars="0"/>
        <w:rPr>
          <w:rFonts w:hint="eastAsia"/>
          <w:kern w:val="2"/>
          <w:sz w:val="21"/>
          <w:szCs w:val="21"/>
        </w:rPr>
      </w:pPr>
      <w:r>
        <w:rPr>
          <w:rFonts w:hint="eastAsia"/>
          <w:kern w:val="2"/>
          <w:sz w:val="21"/>
          <w:szCs w:val="21"/>
        </w:rPr>
        <w:t>其它严重违规行为。</w:t>
      </w:r>
    </w:p>
    <w:p w14:paraId="12DF874D">
      <w:pPr>
        <w:pStyle w:val="321"/>
        <w:ind w:firstLine="420"/>
        <w:rPr>
          <w:rFonts w:hint="eastAsia"/>
          <w:kern w:val="2"/>
          <w:sz w:val="21"/>
          <w:szCs w:val="21"/>
        </w:rPr>
      </w:pPr>
      <w:r>
        <w:rPr>
          <w:rFonts w:hint="eastAsia"/>
          <w:kern w:val="2"/>
          <w:sz w:val="21"/>
          <w:szCs w:val="21"/>
        </w:rPr>
        <w:t>2.供应商出现上述违法、违规、违约行为情形之一的，将视情况作如下处理：</w:t>
      </w:r>
    </w:p>
    <w:p w14:paraId="356845FF">
      <w:pPr>
        <w:pStyle w:val="321"/>
        <w:ind w:firstLine="420"/>
        <w:rPr>
          <w:rFonts w:hint="eastAsia"/>
          <w:kern w:val="2"/>
          <w:sz w:val="21"/>
          <w:szCs w:val="21"/>
        </w:rPr>
      </w:pPr>
      <w:r>
        <w:rPr>
          <w:rFonts w:hint="eastAsia"/>
          <w:kern w:val="2"/>
          <w:sz w:val="21"/>
          <w:szCs w:val="21"/>
        </w:rPr>
        <w:t>1）取消其本轮公务车协议维修服务的资格；</w:t>
      </w:r>
    </w:p>
    <w:p w14:paraId="5B30139B">
      <w:pPr>
        <w:pStyle w:val="321"/>
        <w:ind w:firstLine="420"/>
        <w:rPr>
          <w:rFonts w:hint="eastAsia"/>
          <w:kern w:val="2"/>
          <w:sz w:val="21"/>
          <w:szCs w:val="21"/>
        </w:rPr>
      </w:pPr>
      <w:r>
        <w:rPr>
          <w:rFonts w:hint="eastAsia"/>
          <w:kern w:val="2"/>
          <w:sz w:val="21"/>
          <w:szCs w:val="21"/>
        </w:rPr>
        <w:t>2）情节严重的，取消其下一轮的投标资格。</w:t>
      </w:r>
    </w:p>
    <w:p w14:paraId="3578748D">
      <w:pPr>
        <w:pStyle w:val="321"/>
        <w:ind w:firstLine="420"/>
        <w:rPr>
          <w:rFonts w:hint="eastAsia"/>
          <w:kern w:val="2"/>
          <w:sz w:val="21"/>
          <w:szCs w:val="21"/>
        </w:rPr>
      </w:pPr>
      <w:r>
        <w:rPr>
          <w:rFonts w:hint="eastAsia"/>
          <w:kern w:val="2"/>
          <w:sz w:val="21"/>
          <w:szCs w:val="21"/>
        </w:rPr>
        <w:t>3）有违反政府采购相关法律法规的行为，报政府采购主管部门，按法律规定对其实施行政处罚，给他人造成损失的，依法承担赔偿责任。</w:t>
      </w:r>
    </w:p>
    <w:p w14:paraId="3495CBA1">
      <w:pPr>
        <w:pStyle w:val="321"/>
        <w:ind w:firstLine="420"/>
        <w:rPr>
          <w:rFonts w:hint="eastAsia"/>
          <w:kern w:val="2"/>
          <w:sz w:val="21"/>
          <w:szCs w:val="21"/>
        </w:rPr>
      </w:pPr>
      <w:r>
        <w:rPr>
          <w:rFonts w:hint="eastAsia"/>
          <w:kern w:val="2"/>
          <w:sz w:val="21"/>
          <w:szCs w:val="21"/>
        </w:rPr>
        <w:t>（9）采购人违约的，应按照民法典有关规定承担违约责任。</w:t>
      </w:r>
      <w:r>
        <w:rPr>
          <w:rFonts w:hint="eastAsia"/>
          <w:kern w:val="2"/>
          <w:sz w:val="21"/>
          <w:szCs w:val="21"/>
        </w:rPr>
        <w:br w:type="textWrapping"/>
      </w:r>
      <w:r>
        <w:rPr>
          <w:rFonts w:hint="eastAsia"/>
          <w:kern w:val="2"/>
          <w:sz w:val="21"/>
          <w:szCs w:val="21"/>
        </w:rPr>
        <w:t xml:space="preserve">   </w:t>
      </w:r>
      <w:r>
        <w:rPr>
          <w:rFonts w:hint="eastAsia"/>
          <w:b/>
          <w:bCs/>
          <w:kern w:val="2"/>
          <w:sz w:val="21"/>
          <w:szCs w:val="21"/>
        </w:rPr>
        <w:t xml:space="preserve"> 7.售后服务：</w:t>
      </w:r>
    </w:p>
    <w:p w14:paraId="06364B43">
      <w:pPr>
        <w:pStyle w:val="321"/>
        <w:ind w:firstLine="420"/>
        <w:rPr>
          <w:rFonts w:hint="eastAsia"/>
          <w:kern w:val="2"/>
          <w:sz w:val="21"/>
          <w:szCs w:val="21"/>
        </w:rPr>
      </w:pPr>
      <w:r>
        <w:rPr>
          <w:rFonts w:hint="eastAsia"/>
          <w:kern w:val="2"/>
          <w:sz w:val="21"/>
          <w:szCs w:val="21"/>
        </w:rPr>
        <w:t>根据零配件及维修保养期限提供售后服务。</w:t>
      </w:r>
    </w:p>
    <w:p w14:paraId="1295B059">
      <w:pPr>
        <w:pStyle w:val="321"/>
        <w:ind w:firstLine="420"/>
        <w:rPr>
          <w:rFonts w:hint="eastAsia"/>
          <w:kern w:val="2"/>
          <w:sz w:val="21"/>
          <w:szCs w:val="21"/>
        </w:rPr>
      </w:pPr>
      <w:r>
        <w:rPr>
          <w:rFonts w:hint="eastAsia"/>
          <w:b/>
          <w:bCs/>
          <w:kern w:val="2"/>
          <w:sz w:val="21"/>
          <w:szCs w:val="21"/>
        </w:rPr>
        <w:t>8.解决争议的方法：</w:t>
      </w:r>
      <w:r>
        <w:rPr>
          <w:rFonts w:hint="eastAsia"/>
          <w:kern w:val="2"/>
          <w:sz w:val="21"/>
          <w:szCs w:val="21"/>
        </w:rPr>
        <w:br w:type="textWrapping"/>
      </w:r>
      <w:r>
        <w:rPr>
          <w:rFonts w:hint="eastAsia"/>
          <w:kern w:val="2"/>
          <w:sz w:val="21"/>
          <w:szCs w:val="21"/>
        </w:rPr>
        <w:t xml:space="preserve">    （1）双方因履行本项目发生争议的，可协商解决，无法协商解决的应向采购人住所地有管辖权的人民法院提起诉讼。</w:t>
      </w:r>
      <w:r>
        <w:rPr>
          <w:rFonts w:hint="eastAsia"/>
          <w:kern w:val="2"/>
          <w:sz w:val="21"/>
          <w:szCs w:val="21"/>
        </w:rPr>
        <w:br w:type="textWrapping"/>
      </w:r>
      <w:r>
        <w:rPr>
          <w:rFonts w:hint="eastAsia"/>
          <w:kern w:val="2"/>
          <w:sz w:val="21"/>
          <w:szCs w:val="21"/>
        </w:rPr>
        <w:t xml:space="preserve">    （2）诉讼进行过程中，双方将继续履行本项目未涉诉讼的其它部分。</w:t>
      </w:r>
    </w:p>
    <w:p w14:paraId="289FB14E">
      <w:pPr>
        <w:rPr>
          <w:sz w:val="21"/>
          <w:szCs w:val="21"/>
        </w:rPr>
      </w:pPr>
      <w:r>
        <w:rPr>
          <w:sz w:val="21"/>
          <w:szCs w:val="21"/>
        </w:rPr>
        <w:br w:type="page"/>
      </w:r>
    </w:p>
    <w:p w14:paraId="4C56EE55">
      <w:pPr>
        <w:pStyle w:val="456"/>
        <w:spacing w:before="0" w:beforeAutospacing="0" w:after="0" w:afterAutospacing="0" w:line="360" w:lineRule="auto"/>
        <w:rPr>
          <w:sz w:val="21"/>
          <w:szCs w:val="21"/>
        </w:rPr>
      </w:pPr>
    </w:p>
    <w:p w14:paraId="35332102">
      <w:pPr>
        <w:pStyle w:val="3"/>
      </w:pPr>
      <w:bookmarkStart w:id="2" w:name="_Toc115096773"/>
      <w:r>
        <w:rPr>
          <w:rFonts w:hint="eastAsia"/>
        </w:rPr>
        <w:t>第三章  投标文件初审</w:t>
      </w:r>
      <w:bookmarkEnd w:id="2"/>
    </w:p>
    <w:p w14:paraId="53248216">
      <w:pPr>
        <w:autoSpaceDE w:val="0"/>
        <w:autoSpaceDN w:val="0"/>
        <w:adjustRightInd w:val="0"/>
        <w:spacing w:line="360" w:lineRule="auto"/>
        <w:ind w:firstLine="480" w:firstLineChars="200"/>
        <w:jc w:val="left"/>
        <w:rPr>
          <w:rFonts w:ascii="仿宋_GB2312" w:eastAsia="仿宋_GB2312"/>
          <w:sz w:val="24"/>
        </w:rPr>
      </w:pPr>
    </w:p>
    <w:p w14:paraId="3E587DB0">
      <w:pPr>
        <w:adjustRightInd w:val="0"/>
        <w:spacing w:line="360" w:lineRule="auto"/>
        <w:ind w:firstLine="424" w:firstLineChars="201"/>
        <w:rPr>
          <w:rFonts w:ascii="宋体" w:hAnsi="宋体"/>
          <w:b/>
          <w:snapToGrid w:val="0"/>
          <w:kern w:val="0"/>
        </w:rPr>
      </w:pPr>
      <w:r>
        <w:rPr>
          <w:rFonts w:hint="eastAsia" w:ascii="宋体" w:hAnsi="宋体"/>
          <w:b/>
          <w:snapToGrid w:val="0"/>
          <w:kern w:val="0"/>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14:paraId="384CE909">
      <w:pPr>
        <w:adjustRightInd w:val="0"/>
        <w:spacing w:line="360" w:lineRule="auto"/>
        <w:ind w:firstLine="424" w:firstLineChars="201"/>
        <w:rPr>
          <w:rFonts w:ascii="宋体" w:hAnsi="宋体"/>
          <w:b/>
          <w:snapToGrid w:val="0"/>
          <w:kern w:val="0"/>
        </w:rPr>
      </w:pPr>
      <w:r>
        <w:rPr>
          <w:rFonts w:hint="eastAsia" w:ascii="宋体" w:hAnsi="宋体"/>
          <w:b/>
          <w:snapToGrid w:val="0"/>
          <w:kern w:val="0"/>
        </w:rPr>
        <w:t>请评委重点审查供应商是否存在《深圳经济特区政府采购条例实施细则》第七十五条规定的串通投标行为：</w:t>
      </w:r>
    </w:p>
    <w:p w14:paraId="7260A08A">
      <w:pPr>
        <w:adjustRightInd w:val="0"/>
        <w:spacing w:line="360" w:lineRule="auto"/>
        <w:ind w:firstLine="424" w:firstLineChars="201"/>
        <w:rPr>
          <w:rFonts w:ascii="宋体" w:hAnsi="宋体"/>
          <w:b/>
          <w:snapToGrid w:val="0"/>
          <w:kern w:val="0"/>
        </w:rPr>
      </w:pPr>
      <w:r>
        <w:rPr>
          <w:rFonts w:hint="eastAsia" w:ascii="宋体" w:hAnsi="宋体"/>
          <w:b/>
          <w:snapToGrid w:val="0"/>
          <w:kern w:val="0"/>
        </w:rPr>
        <w:t>（一）投标供应商之间相互约定给予未中标的供应商利益补偿；</w:t>
      </w:r>
    </w:p>
    <w:p w14:paraId="111E36DD">
      <w:pPr>
        <w:adjustRightInd w:val="0"/>
        <w:spacing w:line="360" w:lineRule="auto"/>
        <w:ind w:firstLine="424" w:firstLineChars="201"/>
        <w:rPr>
          <w:rFonts w:ascii="宋体" w:hAnsi="宋体"/>
          <w:b/>
          <w:snapToGrid w:val="0"/>
          <w:kern w:val="0"/>
        </w:rPr>
      </w:pPr>
      <w:r>
        <w:rPr>
          <w:rFonts w:hint="eastAsia" w:ascii="宋体" w:hAnsi="宋体"/>
          <w:b/>
          <w:snapToGrid w:val="0"/>
          <w:kern w:val="0"/>
        </w:rPr>
        <w:t>（二）不同投标供应商的法定代表人、主要经营负责人、项目投标授权代表人、项目负责人、主要技术人员为同一人、属同一单位或者在同一单位缴纳社会保险；</w:t>
      </w:r>
    </w:p>
    <w:p w14:paraId="2A3EA9F1">
      <w:pPr>
        <w:adjustRightInd w:val="0"/>
        <w:spacing w:line="360" w:lineRule="auto"/>
        <w:ind w:firstLine="424" w:firstLineChars="201"/>
        <w:rPr>
          <w:rFonts w:ascii="宋体" w:hAnsi="宋体"/>
          <w:b/>
          <w:snapToGrid w:val="0"/>
          <w:kern w:val="0"/>
        </w:rPr>
      </w:pPr>
      <w:r>
        <w:rPr>
          <w:rFonts w:hint="eastAsia" w:ascii="宋体" w:hAnsi="宋体"/>
          <w:b/>
          <w:snapToGrid w:val="0"/>
          <w:kern w:val="0"/>
        </w:rPr>
        <w:t>（三）不同投标供应商的投标文件由同一单位或者同一人编制，或者由同一人分阶段参与编制的；</w:t>
      </w:r>
    </w:p>
    <w:p w14:paraId="2E429A2D">
      <w:pPr>
        <w:adjustRightInd w:val="0"/>
        <w:spacing w:line="360" w:lineRule="auto"/>
        <w:ind w:firstLine="424" w:firstLineChars="201"/>
        <w:rPr>
          <w:rFonts w:ascii="宋体" w:hAnsi="宋体"/>
          <w:b/>
          <w:snapToGrid w:val="0"/>
          <w:kern w:val="0"/>
        </w:rPr>
      </w:pPr>
      <w:r>
        <w:rPr>
          <w:rFonts w:hint="eastAsia" w:ascii="宋体" w:hAnsi="宋体"/>
          <w:b/>
          <w:snapToGrid w:val="0"/>
          <w:kern w:val="0"/>
        </w:rPr>
        <w:t>（四）不同投标供应商的投标文件或部分投标文件相互混装；</w:t>
      </w:r>
    </w:p>
    <w:p w14:paraId="46783E22">
      <w:pPr>
        <w:adjustRightInd w:val="0"/>
        <w:spacing w:line="360" w:lineRule="auto"/>
        <w:ind w:firstLine="424" w:firstLineChars="201"/>
        <w:rPr>
          <w:rFonts w:ascii="宋体" w:hAnsi="宋体"/>
          <w:b/>
          <w:snapToGrid w:val="0"/>
          <w:kern w:val="0"/>
        </w:rPr>
      </w:pPr>
      <w:r>
        <w:rPr>
          <w:rFonts w:hint="eastAsia" w:ascii="宋体" w:hAnsi="宋体"/>
          <w:b/>
          <w:snapToGrid w:val="0"/>
          <w:kern w:val="0"/>
        </w:rPr>
        <w:t>（五）不同投标供应商的投标文件内容存在非正常一致；</w:t>
      </w:r>
    </w:p>
    <w:p w14:paraId="53A5939F">
      <w:pPr>
        <w:adjustRightInd w:val="0"/>
        <w:spacing w:line="360" w:lineRule="auto"/>
        <w:ind w:firstLine="424" w:firstLineChars="201"/>
        <w:rPr>
          <w:rFonts w:ascii="宋体" w:hAnsi="宋体"/>
          <w:b/>
          <w:snapToGrid w:val="0"/>
          <w:kern w:val="0"/>
        </w:rPr>
      </w:pPr>
      <w:r>
        <w:rPr>
          <w:rFonts w:hint="eastAsia" w:ascii="宋体" w:hAnsi="宋体"/>
          <w:b/>
          <w:snapToGrid w:val="0"/>
          <w:kern w:val="0"/>
        </w:rPr>
        <w:t>（六）由同一单位工作人员为两家以上（含两家）供应商进行同一项投标活动的；</w:t>
      </w:r>
    </w:p>
    <w:p w14:paraId="29949F69">
      <w:pPr>
        <w:adjustRightInd w:val="0"/>
        <w:spacing w:line="360" w:lineRule="auto"/>
        <w:ind w:firstLine="424" w:firstLineChars="201"/>
        <w:rPr>
          <w:rFonts w:ascii="宋体" w:hAnsi="宋体"/>
          <w:b/>
          <w:snapToGrid w:val="0"/>
          <w:kern w:val="0"/>
        </w:rPr>
      </w:pPr>
      <w:r>
        <w:rPr>
          <w:rFonts w:hint="eastAsia" w:ascii="宋体" w:hAnsi="宋体"/>
          <w:b/>
          <w:snapToGrid w:val="0"/>
          <w:kern w:val="0"/>
        </w:rPr>
        <w:t>（七）主管部门依照法律、法规认定的其他情形。</w:t>
      </w:r>
    </w:p>
    <w:p w14:paraId="183C7367">
      <w:pPr>
        <w:adjustRightInd w:val="0"/>
        <w:spacing w:line="360" w:lineRule="auto"/>
        <w:rPr>
          <w:snapToGrid w:val="0"/>
          <w:kern w:val="0"/>
        </w:rPr>
      </w:pPr>
    </w:p>
    <w:p w14:paraId="71DF2ADD">
      <w:pPr>
        <w:adjustRightInd w:val="0"/>
        <w:spacing w:line="360" w:lineRule="auto"/>
        <w:ind w:firstLine="422" w:firstLineChars="201"/>
        <w:rPr>
          <w:snapToGrid w:val="0"/>
          <w:kern w:val="0"/>
        </w:rPr>
      </w:pPr>
      <w:r>
        <w:rPr>
          <w:rFonts w:hint="eastAsia"/>
          <w:snapToGrid w:val="0"/>
          <w:kern w:val="0"/>
        </w:rPr>
        <w:t>一、资格性</w:t>
      </w:r>
      <w:r>
        <w:rPr>
          <w:rFonts w:hint="eastAsia" w:ascii="宋体" w:hAnsi="宋体"/>
          <w:snapToGrid w:val="0"/>
          <w:kern w:val="0"/>
        </w:rPr>
        <w:t>审查</w:t>
      </w:r>
    </w:p>
    <w:p w14:paraId="66AB8767">
      <w:pPr>
        <w:adjustRightInd w:val="0"/>
        <w:spacing w:line="360" w:lineRule="auto"/>
        <w:ind w:firstLine="422" w:firstLineChars="201"/>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14:paraId="14F33C64">
      <w:pPr>
        <w:adjustRightInd w:val="0"/>
        <w:spacing w:line="360" w:lineRule="auto"/>
        <w:ind w:firstLine="422" w:firstLineChars="201"/>
        <w:rPr>
          <w:rFonts w:ascii="宋体" w:hAnsi="宋体"/>
          <w:snapToGrid w:val="0"/>
          <w:kern w:val="0"/>
        </w:rPr>
      </w:pPr>
      <w:r>
        <w:rPr>
          <w:rFonts w:hint="eastAsia" w:ascii="宋体" w:hAnsi="宋体"/>
          <w:snapToGrid w:val="0"/>
          <w:kern w:val="0"/>
        </w:rPr>
        <w:t>二、符合性审查</w:t>
      </w:r>
    </w:p>
    <w:p w14:paraId="4CE09514">
      <w:pPr>
        <w:adjustRightInd w:val="0"/>
        <w:spacing w:line="360" w:lineRule="auto"/>
        <w:ind w:firstLine="422" w:firstLineChars="201"/>
        <w:rPr>
          <w:rFonts w:ascii="宋体" w:hAnsi="宋体"/>
          <w:snapToGrid w:val="0"/>
          <w:kern w:val="0"/>
        </w:rPr>
      </w:pPr>
      <w:r>
        <w:rPr>
          <w:rFonts w:hint="eastAsia" w:ascii="宋体" w:hAnsi="宋体"/>
          <w:snapToGrid w:val="0"/>
          <w:kern w:val="0"/>
        </w:rPr>
        <w:t>1、投标人提供的投标文件数量不符合招标文件要求。</w:t>
      </w:r>
    </w:p>
    <w:p w14:paraId="35CE088D">
      <w:pPr>
        <w:adjustRightInd w:val="0"/>
        <w:spacing w:line="360" w:lineRule="auto"/>
        <w:ind w:firstLine="422" w:firstLineChars="201"/>
        <w:rPr>
          <w:rFonts w:ascii="宋体" w:hAnsi="宋体"/>
          <w:snapToGrid w:val="0"/>
          <w:kern w:val="0"/>
        </w:rPr>
      </w:pPr>
      <w:r>
        <w:rPr>
          <w:rFonts w:hint="eastAsia" w:ascii="宋体" w:hAnsi="宋体"/>
          <w:snapToGrid w:val="0"/>
          <w:kern w:val="0"/>
        </w:rPr>
        <w:t>2、投标文件未按照招标文件要求制作、密封和标记。</w:t>
      </w:r>
    </w:p>
    <w:p w14:paraId="453F2884">
      <w:pPr>
        <w:adjustRightInd w:val="0"/>
        <w:spacing w:line="360" w:lineRule="auto"/>
        <w:ind w:firstLine="422" w:firstLineChars="201"/>
        <w:rPr>
          <w:rFonts w:ascii="宋体" w:hAnsi="宋体"/>
          <w:snapToGrid w:val="0"/>
          <w:kern w:val="0"/>
        </w:rPr>
      </w:pPr>
      <w:r>
        <w:rPr>
          <w:rFonts w:hint="eastAsia" w:ascii="宋体" w:hAnsi="宋体"/>
          <w:snapToGrid w:val="0"/>
          <w:kern w:val="0"/>
        </w:rPr>
        <w:t>3、未按招标文件要求提供法定代表人（负责人）证明书和法定代表人（负责人）授权委托书。</w:t>
      </w:r>
    </w:p>
    <w:p w14:paraId="2B119652">
      <w:pPr>
        <w:adjustRightInd w:val="0"/>
        <w:spacing w:line="360" w:lineRule="auto"/>
        <w:ind w:firstLine="422" w:firstLineChars="201"/>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14:paraId="5497C57E">
      <w:pPr>
        <w:adjustRightInd w:val="0"/>
        <w:spacing w:line="360" w:lineRule="auto"/>
        <w:ind w:firstLine="422" w:firstLineChars="201"/>
        <w:rPr>
          <w:rFonts w:ascii="宋体" w:hAnsi="宋体"/>
          <w:snapToGrid w:val="0"/>
          <w:kern w:val="0"/>
        </w:rPr>
      </w:pPr>
      <w:r>
        <w:rPr>
          <w:rFonts w:hint="eastAsia" w:ascii="宋体" w:hAnsi="宋体"/>
          <w:snapToGrid w:val="0"/>
          <w:kern w:val="0"/>
        </w:rPr>
        <w:t>5、投标文件的关键内容字迹模糊、无法辨认的。</w:t>
      </w:r>
    </w:p>
    <w:p w14:paraId="2D5F5BB4">
      <w:pPr>
        <w:adjustRightInd w:val="0"/>
        <w:spacing w:line="360" w:lineRule="auto"/>
        <w:ind w:firstLine="422" w:firstLineChars="201"/>
        <w:rPr>
          <w:rFonts w:ascii="宋体" w:hAnsi="宋体"/>
          <w:snapToGrid w:val="0"/>
          <w:kern w:val="0"/>
        </w:rPr>
      </w:pPr>
      <w:r>
        <w:rPr>
          <w:rFonts w:hint="eastAsia" w:ascii="宋体" w:hAnsi="宋体"/>
          <w:snapToGrid w:val="0"/>
          <w:kern w:val="0"/>
        </w:rPr>
        <w:t>6、对招标文件规定的货物或服务采购清单或工程量清单的项目或数量进行修改，评标委员会判定投标响应不满足采购需求的。</w:t>
      </w:r>
    </w:p>
    <w:p w14:paraId="3163B9EE">
      <w:pPr>
        <w:adjustRightInd w:val="0"/>
        <w:spacing w:line="360" w:lineRule="auto"/>
        <w:ind w:firstLine="422" w:firstLineChars="201"/>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14:paraId="1DFD232A">
      <w:pPr>
        <w:adjustRightInd w:val="0"/>
        <w:spacing w:line="360" w:lineRule="auto"/>
        <w:ind w:firstLine="422" w:firstLineChars="201"/>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14:paraId="4F2CFDDC">
      <w:pPr>
        <w:adjustRightInd w:val="0"/>
        <w:spacing w:line="360" w:lineRule="auto"/>
        <w:ind w:firstLine="422" w:firstLineChars="201"/>
        <w:rPr>
          <w:rFonts w:ascii="宋体" w:hAnsi="宋体"/>
          <w:snapToGrid w:val="0"/>
          <w:kern w:val="0"/>
        </w:rPr>
      </w:pPr>
      <w:r>
        <w:rPr>
          <w:rFonts w:hint="eastAsia" w:ascii="宋体" w:hAnsi="宋体"/>
          <w:snapToGrid w:val="0"/>
          <w:kern w:val="0"/>
        </w:rPr>
        <w:t>9、将一个项目包拆分投标，同时提供两套或以上的投标方案</w:t>
      </w:r>
      <w:r>
        <w:rPr>
          <w:szCs w:val="21"/>
        </w:rPr>
        <w:t>（招标文件另有规定的除外）</w:t>
      </w:r>
      <w:r>
        <w:rPr>
          <w:rFonts w:hint="eastAsia" w:ascii="宋体" w:hAnsi="宋体"/>
          <w:snapToGrid w:val="0"/>
          <w:kern w:val="0"/>
        </w:rPr>
        <w:t>。</w:t>
      </w:r>
    </w:p>
    <w:p w14:paraId="5445C585">
      <w:pPr>
        <w:adjustRightInd w:val="0"/>
        <w:spacing w:line="360" w:lineRule="auto"/>
        <w:ind w:firstLine="422" w:firstLineChars="201"/>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14:paraId="0AE6F760">
      <w:pPr>
        <w:adjustRightInd w:val="0"/>
        <w:spacing w:line="360" w:lineRule="auto"/>
        <w:ind w:firstLine="422" w:firstLineChars="201"/>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14:paraId="637CDBEF">
      <w:pPr>
        <w:adjustRightInd w:val="0"/>
        <w:spacing w:line="360" w:lineRule="auto"/>
        <w:ind w:firstLine="422" w:firstLineChars="201"/>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14:paraId="6CB75FBA">
      <w:pPr>
        <w:adjustRightInd w:val="0"/>
        <w:spacing w:line="360" w:lineRule="auto"/>
        <w:ind w:firstLine="422" w:firstLineChars="201"/>
        <w:rPr>
          <w:rFonts w:ascii="宋体" w:hAnsi="宋体"/>
          <w:snapToGrid w:val="0"/>
          <w:kern w:val="0"/>
        </w:rPr>
      </w:pPr>
      <w:r>
        <w:rPr>
          <w:rFonts w:hint="eastAsia" w:ascii="宋体" w:hAnsi="宋体"/>
          <w:snapToGrid w:val="0"/>
          <w:kern w:val="0"/>
        </w:rPr>
        <w:t>13、法律法规规定的其它情形。</w:t>
      </w:r>
    </w:p>
    <w:p w14:paraId="352527B9"/>
    <w:p w14:paraId="6D6AA98A">
      <w:pPr>
        <w:widowControl/>
        <w:jc w:val="left"/>
      </w:pPr>
      <w:r>
        <w:br w:type="page"/>
      </w:r>
    </w:p>
    <w:p w14:paraId="5D49AD5A"/>
    <w:p w14:paraId="1EC2C1D6">
      <w:pPr>
        <w:pStyle w:val="3"/>
        <w:spacing w:after="0"/>
      </w:pPr>
      <w:bookmarkStart w:id="3" w:name="_Toc115096774"/>
      <w:r>
        <w:rPr>
          <w:rFonts w:hint="eastAsia"/>
        </w:rPr>
        <w:t>第四章  评标方法和标准</w:t>
      </w:r>
      <w:bookmarkEnd w:id="3"/>
    </w:p>
    <w:p w14:paraId="3CDDE87E"/>
    <w:p w14:paraId="476EDC64">
      <w:pPr>
        <w:pStyle w:val="2"/>
        <w:spacing w:before="0" w:after="0"/>
      </w:pPr>
      <w:bookmarkStart w:id="4" w:name="_Toc44690702"/>
      <w:bookmarkStart w:id="5" w:name="_Toc44691161"/>
      <w:bookmarkStart w:id="6" w:name="_Toc44691393"/>
      <w:bookmarkStart w:id="7" w:name="_Toc44690429"/>
      <w:bookmarkStart w:id="8" w:name="_Toc115096775"/>
      <w:r>
        <w:rPr>
          <w:rFonts w:hint="eastAsia"/>
        </w:rPr>
        <w:t>一、</w:t>
      </w:r>
      <w:r>
        <w:t>评标方法</w:t>
      </w:r>
      <w:bookmarkEnd w:id="4"/>
      <w:bookmarkEnd w:id="5"/>
      <w:bookmarkEnd w:id="6"/>
      <w:bookmarkEnd w:id="7"/>
      <w:r>
        <w:rPr>
          <w:rFonts w:hint="eastAsia"/>
        </w:rPr>
        <w:t>（</w:t>
      </w:r>
      <w:r>
        <w:rPr>
          <w:rFonts w:hint="eastAsia"/>
          <w:lang w:eastAsia="zh-CN"/>
        </w:rPr>
        <w:t>适用于A、B、C包</w:t>
      </w:r>
      <w:r>
        <w:rPr>
          <w:rFonts w:hint="eastAsia"/>
        </w:rPr>
        <w:t>）</w:t>
      </w:r>
      <w:bookmarkEnd w:id="8"/>
    </w:p>
    <w:p w14:paraId="619E43C5">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14:paraId="554A973F">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综合评分法，是指在最大限度地满足招标文件实质性要求的前提下，按照招标文件中规定的各项因素进行综合评审，评标总得分排名前列的投标人，作为推荐的候选中标供应商。</w:t>
      </w:r>
    </w:p>
    <w:p w14:paraId="082297AB">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14:paraId="08554B70">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3、中标供应商及候选中标供应商数量：</w:t>
      </w:r>
      <w:r>
        <w:rPr>
          <w:rFonts w:hint="eastAsia" w:cs="仿宋" w:asciiTheme="minorEastAsia" w:hAnsiTheme="minorEastAsia" w:eastAsiaTheme="minorEastAsia"/>
          <w:kern w:val="2"/>
          <w:sz w:val="21"/>
          <w:szCs w:val="21"/>
        </w:rPr>
        <w:t>中标供应商数量：每个包组各1名，候选中标供应商数量：每个包组各3名。</w:t>
      </w:r>
    </w:p>
    <w:p w14:paraId="20A2AAFF">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14:paraId="2099D467">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”中的各项评审因素，对通过资格性审查和符合性审查的所有投标人的投标文件进行独立评审，并汇总每个投标人的得分，取算术平均值后确定其评审得分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14:paraId="310436CF">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排名结果按投标人评审得分由高到低顺序排列。得分相同的，按投标报价由低到高顺序排列。出现得分且投标报价相同的并列情况时，采取随机抽取的方式排名，具体操作办法及流程由评标委员会确定。</w:t>
      </w:r>
    </w:p>
    <w:p w14:paraId="59671E4D">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5、推荐候选中标供应商：</w:t>
      </w:r>
      <w:r>
        <w:rPr>
          <w:rFonts w:hint="eastAsia" w:cs="仿宋" w:asciiTheme="minorEastAsia" w:hAnsiTheme="minorEastAsia" w:eastAsiaTheme="minorEastAsia"/>
          <w:kern w:val="2"/>
          <w:sz w:val="21"/>
          <w:szCs w:val="21"/>
        </w:rPr>
        <w:t>由评标委员会推荐各包组评标排名前三的投标人作为候选中标供应商。</w:t>
      </w:r>
    </w:p>
    <w:p w14:paraId="0030C0EC">
      <w:pPr>
        <w:pStyle w:val="45"/>
        <w:spacing w:before="0" w:beforeAutospacing="0" w:after="0" w:afterAutospacing="0" w:line="360" w:lineRule="exact"/>
        <w:ind w:firstLine="426" w:firstLineChars="202"/>
        <w:rPr>
          <w:rFonts w:cs="仿宋" w:asciiTheme="minorEastAsia" w:hAnsiTheme="minorEastAsia" w:eastAsiaTheme="minorEastAsia"/>
          <w:sz w:val="21"/>
          <w:szCs w:val="21"/>
        </w:rPr>
      </w:pPr>
      <w:r>
        <w:rPr>
          <w:rFonts w:hint="eastAsia" w:cs="仿宋" w:asciiTheme="minorEastAsia" w:hAnsiTheme="minorEastAsia" w:eastAsiaTheme="minorEastAsia"/>
          <w:b/>
          <w:kern w:val="2"/>
          <w:sz w:val="21"/>
          <w:szCs w:val="21"/>
        </w:rPr>
        <w:t>6、确定中标供应商：</w:t>
      </w:r>
      <w:r>
        <w:rPr>
          <w:rFonts w:hint="eastAsia" w:cs="仿宋" w:asciiTheme="minorEastAsia" w:hAnsiTheme="minorEastAsia" w:eastAsiaTheme="minorEastAsia"/>
          <w:sz w:val="21"/>
          <w:szCs w:val="21"/>
        </w:rPr>
        <w:t>采购人在评标报告确定的候选中标供应商名单中按顺序各确定1名中标供应商。</w:t>
      </w:r>
    </w:p>
    <w:p w14:paraId="34AB4068">
      <w:pPr>
        <w:pStyle w:val="45"/>
        <w:spacing w:before="0" w:beforeAutospacing="0" w:after="0" w:afterAutospacing="0" w:line="360" w:lineRule="exact"/>
        <w:ind w:firstLine="426" w:firstLineChars="202"/>
        <w:rPr>
          <w:rFonts w:cs="仿宋" w:asciiTheme="minorEastAsia" w:hAnsiTheme="minorEastAsia" w:eastAsiaTheme="minorEastAsia"/>
          <w:b/>
          <w:szCs w:val="21"/>
        </w:rPr>
      </w:pPr>
      <w:r>
        <w:rPr>
          <w:rFonts w:hint="eastAsia" w:cs="仿宋" w:asciiTheme="minorEastAsia" w:hAnsiTheme="minorEastAsia" w:eastAsiaTheme="minorEastAsia"/>
          <w:b/>
          <w:sz w:val="21"/>
          <w:szCs w:val="21"/>
        </w:rPr>
        <w:t>7、每个包组通过资格性审查和符合性审查的有效投标人不得少于三家，否则该包组废标，应重新组织招标。</w:t>
      </w:r>
    </w:p>
    <w:p w14:paraId="373FC308">
      <w:pPr>
        <w:spacing w:line="360" w:lineRule="auto"/>
        <w:ind w:firstLine="424" w:firstLineChars="202"/>
        <w:rPr>
          <w:rFonts w:asciiTheme="minorEastAsia" w:hAnsiTheme="minorEastAsia" w:eastAsiaTheme="minorEastAsia"/>
        </w:rPr>
      </w:pPr>
    </w:p>
    <w:p w14:paraId="04EFB0B7">
      <w:pPr>
        <w:pStyle w:val="2"/>
        <w:spacing w:before="0" w:after="0"/>
      </w:pPr>
      <w:bookmarkStart w:id="9" w:name="_Toc115096776"/>
      <w:r>
        <w:rPr>
          <w:rFonts w:hint="eastAsia"/>
        </w:rPr>
        <w:t>二、评标标准（</w:t>
      </w:r>
      <w:r>
        <w:rPr>
          <w:rFonts w:hint="eastAsia"/>
          <w:lang w:eastAsia="zh-CN"/>
        </w:rPr>
        <w:t>适用于A、B、C包</w:t>
      </w:r>
      <w:r>
        <w:rPr>
          <w:rFonts w:hint="eastAsia"/>
        </w:rPr>
        <w:t>）</w:t>
      </w:r>
      <w:bookmarkEnd w:id="9"/>
    </w:p>
    <w:p w14:paraId="493DF536">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评标委员会按照以下量化的评审因素，对各投标文件进行综合评审：</w:t>
      </w:r>
    </w:p>
    <w:tbl>
      <w:tblPr>
        <w:tblStyle w:val="50"/>
        <w:tblW w:w="1026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6636"/>
        <w:gridCol w:w="1018"/>
      </w:tblGrid>
      <w:tr w14:paraId="0826CEE0">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9242" w:type="dxa"/>
            <w:gridSpan w:val="4"/>
            <w:vAlign w:val="center"/>
          </w:tcPr>
          <w:p w14:paraId="4D1108AC">
            <w:pPr>
              <w:keepNext w:val="0"/>
              <w:keepLines w:val="0"/>
              <w:pageBreakBefore w:val="0"/>
              <w:kinsoku/>
              <w:overflowPunct/>
              <w:autoSpaceDE w:val="0"/>
              <w:autoSpaceDN w:val="0"/>
              <w:bidi w:val="0"/>
              <w:adjustRightInd w:val="0"/>
              <w:spacing w:line="360" w:lineRule="auto"/>
              <w:ind w:left="0" w:leftChars="0"/>
              <w:jc w:val="center"/>
              <w:textAlignment w:val="auto"/>
              <w:rPr>
                <w:rFonts w:hint="eastAsia" w:ascii="宋体" w:hAnsi="宋体" w:eastAsia="宋体" w:cs="宋体"/>
                <w:b/>
                <w:sz w:val="21"/>
                <w:szCs w:val="21"/>
                <w:lang w:val="zh-CN"/>
              </w:rPr>
            </w:pPr>
            <w:r>
              <w:rPr>
                <w:rFonts w:hint="eastAsia" w:ascii="宋体" w:hAnsi="宋体" w:eastAsia="宋体" w:cs="宋体"/>
                <w:b/>
                <w:sz w:val="21"/>
                <w:szCs w:val="21"/>
                <w:lang w:val="zh-CN"/>
              </w:rPr>
              <w:t>评分项及评分规则</w:t>
            </w:r>
          </w:p>
        </w:tc>
        <w:tc>
          <w:tcPr>
            <w:tcW w:w="1018" w:type="dxa"/>
            <w:vAlign w:val="center"/>
          </w:tcPr>
          <w:p w14:paraId="6B0C604F">
            <w:pPr>
              <w:keepNext w:val="0"/>
              <w:keepLines w:val="0"/>
              <w:pageBreakBefore w:val="0"/>
              <w:kinsoku/>
              <w:overflowPunct/>
              <w:autoSpaceDE w:val="0"/>
              <w:autoSpaceDN w:val="0"/>
              <w:bidi w:val="0"/>
              <w:adjustRightInd w:val="0"/>
              <w:spacing w:line="360" w:lineRule="auto"/>
              <w:ind w:left="0" w:leftChars="0"/>
              <w:jc w:val="center"/>
              <w:textAlignment w:val="auto"/>
              <w:rPr>
                <w:rFonts w:hint="eastAsia" w:ascii="宋体" w:hAnsi="宋体" w:eastAsia="宋体" w:cs="宋体"/>
                <w:b/>
                <w:sz w:val="21"/>
                <w:szCs w:val="21"/>
                <w:lang w:val="zh-CN"/>
              </w:rPr>
            </w:pPr>
            <w:r>
              <w:rPr>
                <w:rFonts w:hint="eastAsia" w:ascii="宋体" w:hAnsi="宋体" w:eastAsia="宋体" w:cs="宋体"/>
                <w:b/>
                <w:sz w:val="21"/>
                <w:szCs w:val="21"/>
                <w:lang w:val="zh-CN"/>
              </w:rPr>
              <w:t>权重</w:t>
            </w:r>
          </w:p>
        </w:tc>
      </w:tr>
      <w:tr w14:paraId="36CA662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9242" w:type="dxa"/>
            <w:gridSpan w:val="4"/>
            <w:vAlign w:val="center"/>
          </w:tcPr>
          <w:p w14:paraId="419E226C">
            <w:pPr>
              <w:keepNext w:val="0"/>
              <w:keepLines w:val="0"/>
              <w:pageBreakBefore w:val="0"/>
              <w:kinsoku/>
              <w:overflowPunct/>
              <w:autoSpaceDE w:val="0"/>
              <w:autoSpaceDN w:val="0"/>
              <w:bidi w:val="0"/>
              <w:adjustRightInd w:val="0"/>
              <w:spacing w:line="360" w:lineRule="auto"/>
              <w:ind w:left="0" w:leftChars="0"/>
              <w:jc w:val="center"/>
              <w:textAlignment w:val="auto"/>
              <w:rPr>
                <w:rFonts w:hint="eastAsia" w:ascii="宋体" w:hAnsi="宋体" w:eastAsia="宋体" w:cs="宋体"/>
                <w:b/>
                <w:sz w:val="21"/>
                <w:szCs w:val="21"/>
                <w:lang w:val="zh-CN"/>
              </w:rPr>
            </w:pPr>
            <w:r>
              <w:rPr>
                <w:rFonts w:hint="eastAsia" w:ascii="宋体" w:hAnsi="宋体" w:eastAsia="宋体" w:cs="宋体"/>
                <w:b/>
                <w:sz w:val="21"/>
                <w:szCs w:val="21"/>
                <w:lang w:val="zh-CN"/>
              </w:rPr>
              <w:t>一、价格部分</w:t>
            </w:r>
          </w:p>
        </w:tc>
        <w:tc>
          <w:tcPr>
            <w:tcW w:w="1018" w:type="dxa"/>
            <w:vAlign w:val="center"/>
          </w:tcPr>
          <w:p w14:paraId="5CD4AF61">
            <w:pPr>
              <w:keepNext w:val="0"/>
              <w:keepLines w:val="0"/>
              <w:pageBreakBefore w:val="0"/>
              <w:kinsoku/>
              <w:overflowPunct/>
              <w:autoSpaceDE w:val="0"/>
              <w:autoSpaceDN w:val="0"/>
              <w:bidi w:val="0"/>
              <w:adjustRightInd w:val="0"/>
              <w:spacing w:line="360" w:lineRule="auto"/>
              <w:ind w:left="0" w:leftChars="0"/>
              <w:jc w:val="center"/>
              <w:textAlignment w:val="auto"/>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12</w:t>
            </w:r>
          </w:p>
        </w:tc>
      </w:tr>
      <w:tr w14:paraId="30BC8AAC">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15" w:hRule="atLeast"/>
          <w:jc w:val="center"/>
        </w:trPr>
        <w:tc>
          <w:tcPr>
            <w:tcW w:w="1897" w:type="dxa"/>
            <w:gridSpan w:val="2"/>
            <w:vAlign w:val="top"/>
          </w:tcPr>
          <w:p w14:paraId="45352FA9">
            <w:pPr>
              <w:keepNext w:val="0"/>
              <w:keepLines w:val="0"/>
              <w:pageBreakBefore w:val="0"/>
              <w:widowControl w:val="0"/>
              <w:kinsoku/>
              <w:wordWrap w:val="0"/>
              <w:overflowPunct/>
              <w:topLinePunct w:val="0"/>
              <w:bidi w:val="0"/>
              <w:spacing w:line="360" w:lineRule="auto"/>
              <w:ind w:left="0" w:leftChars="0"/>
              <w:jc w:val="left"/>
              <w:textAlignment w:val="auto"/>
              <w:rPr>
                <w:rFonts w:hint="eastAsia" w:ascii="宋体" w:hAnsi="宋体" w:eastAsia="宋体" w:cs="宋体"/>
                <w:b/>
                <w:bCs/>
                <w:snapToGrid w:val="0"/>
                <w:kern w:val="0"/>
                <w:sz w:val="21"/>
                <w:szCs w:val="21"/>
              </w:rPr>
            </w:pPr>
            <w:r>
              <w:rPr>
                <w:rFonts w:hint="eastAsia" w:ascii="宋体" w:hAnsi="宋体" w:eastAsia="宋体" w:cs="宋体"/>
                <w:sz w:val="21"/>
                <w:szCs w:val="21"/>
                <w:lang w:val="en-US" w:eastAsia="zh-CN"/>
              </w:rPr>
              <w:t>工时单价</w:t>
            </w:r>
          </w:p>
        </w:tc>
        <w:tc>
          <w:tcPr>
            <w:tcW w:w="7345" w:type="dxa"/>
            <w:gridSpan w:val="2"/>
            <w:vAlign w:val="top"/>
          </w:tcPr>
          <w:p w14:paraId="021B7041">
            <w:pPr>
              <w:keepNext w:val="0"/>
              <w:keepLines w:val="0"/>
              <w:pageBreakBefore w:val="0"/>
              <w:widowControl w:val="0"/>
              <w:kinsoku/>
              <w:wordWrap w:val="0"/>
              <w:overflowPunct/>
              <w:topLinePunct w:val="0"/>
              <w:bidi w:val="0"/>
              <w:spacing w:line="360" w:lineRule="auto"/>
              <w:ind w:left="0" w:left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价格分采用低价优先法计算，即满足招标文件要求且投标价格最低的投标报价为评标基准价，其价格分为4分。其他投标人的价格分统一按照下列公式计算：</w:t>
            </w:r>
          </w:p>
          <w:p w14:paraId="37BD8ACC">
            <w:pPr>
              <w:keepNext w:val="0"/>
              <w:keepLines w:val="0"/>
              <w:pageBreakBefore w:val="0"/>
              <w:widowControl w:val="0"/>
              <w:kinsoku/>
              <w:wordWrap w:val="0"/>
              <w:overflowPunct/>
              <w:topLinePunct w:val="0"/>
              <w:bidi w:val="0"/>
              <w:spacing w:line="360" w:lineRule="auto"/>
              <w:ind w:left="0" w:left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投标报价得分=(评标基准价／投标报价)×4</w:t>
            </w:r>
          </w:p>
          <w:p w14:paraId="60FD9AAD">
            <w:pPr>
              <w:keepNext w:val="0"/>
              <w:keepLines w:val="0"/>
              <w:pageBreakBefore w:val="0"/>
              <w:widowControl w:val="0"/>
              <w:kinsoku/>
              <w:wordWrap w:val="0"/>
              <w:overflowPunct/>
              <w:topLinePunct w:val="0"/>
              <w:bidi w:val="0"/>
              <w:spacing w:line="360" w:lineRule="auto"/>
              <w:ind w:left="0" w:left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备注：</w:t>
            </w:r>
          </w:p>
          <w:p w14:paraId="30C1F94B">
            <w:pPr>
              <w:keepNext w:val="0"/>
              <w:keepLines w:val="0"/>
              <w:pageBreakBefore w:val="0"/>
              <w:widowControl w:val="0"/>
              <w:kinsoku/>
              <w:wordWrap w:val="0"/>
              <w:overflowPunct/>
              <w:topLinePunct w:val="0"/>
              <w:bidi w:val="0"/>
              <w:spacing w:line="360" w:lineRule="auto"/>
              <w:ind w:left="0" w:left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1、因落实政府采购政策进行价格调整的，以调整后的价格计算评标基准价和投标报价；</w:t>
            </w:r>
          </w:p>
          <w:p w14:paraId="5D3F8E96">
            <w:pPr>
              <w:keepNext w:val="0"/>
              <w:keepLines w:val="0"/>
              <w:pageBreakBefore w:val="0"/>
              <w:widowControl w:val="0"/>
              <w:kinsoku/>
              <w:wordWrap w:val="0"/>
              <w:overflowPunct/>
              <w:topLinePunct w:val="0"/>
              <w:bidi w:val="0"/>
              <w:spacing w:line="360" w:lineRule="auto"/>
              <w:ind w:left="0" w:leftChars="0"/>
              <w:jc w:val="left"/>
              <w:textAlignment w:val="auto"/>
              <w:rPr>
                <w:rFonts w:hint="eastAsia" w:ascii="宋体" w:hAnsi="宋体" w:eastAsia="宋体" w:cs="宋体"/>
                <w:snapToGrid w:val="0"/>
                <w:kern w:val="0"/>
                <w:sz w:val="21"/>
                <w:szCs w:val="21"/>
              </w:rPr>
            </w:pPr>
            <w:r>
              <w:rPr>
                <w:rFonts w:hint="eastAsia" w:ascii="宋体" w:hAnsi="宋体" w:eastAsia="宋体" w:cs="宋体"/>
                <w:sz w:val="21"/>
                <w:szCs w:val="21"/>
                <w:lang w:val="en-US" w:eastAsia="zh-CN"/>
              </w:rPr>
              <w:t>2、投标报价得分四舍五入后，小数点后保留两位有效数。</w:t>
            </w:r>
          </w:p>
        </w:tc>
        <w:tc>
          <w:tcPr>
            <w:tcW w:w="1018" w:type="dxa"/>
            <w:vMerge w:val="restart"/>
            <w:vAlign w:val="center"/>
          </w:tcPr>
          <w:p w14:paraId="4B55E4A1">
            <w:pPr>
              <w:keepNext w:val="0"/>
              <w:keepLines w:val="0"/>
              <w:pageBreakBefore w:val="0"/>
              <w:kinsoku/>
              <w:overflowPunct/>
              <w:autoSpaceDE w:val="0"/>
              <w:autoSpaceDN w:val="0"/>
              <w:bidi w:val="0"/>
              <w:adjustRightInd w:val="0"/>
              <w:spacing w:line="360" w:lineRule="auto"/>
              <w:ind w:left="0" w:leftChars="0"/>
              <w:jc w:val="center"/>
              <w:textAlignment w:val="auto"/>
              <w:rPr>
                <w:rFonts w:hint="eastAsia" w:ascii="宋体" w:hAnsi="宋体" w:eastAsia="宋体" w:cs="宋体"/>
                <w:sz w:val="21"/>
                <w:szCs w:val="21"/>
              </w:rPr>
            </w:pPr>
            <w:r>
              <w:rPr>
                <w:rFonts w:hint="eastAsia" w:ascii="宋体" w:hAnsi="宋体" w:eastAsia="宋体" w:cs="宋体"/>
                <w:sz w:val="21"/>
                <w:szCs w:val="21"/>
                <w:lang w:val="zh-CN"/>
              </w:rPr>
              <w:t>按公式计算评分</w:t>
            </w:r>
          </w:p>
        </w:tc>
      </w:tr>
      <w:tr w14:paraId="7684AC03">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15" w:hRule="atLeast"/>
          <w:jc w:val="center"/>
        </w:trPr>
        <w:tc>
          <w:tcPr>
            <w:tcW w:w="1897" w:type="dxa"/>
            <w:gridSpan w:val="2"/>
            <w:vAlign w:val="top"/>
          </w:tcPr>
          <w:p w14:paraId="21A1A9E9">
            <w:pPr>
              <w:keepNext w:val="0"/>
              <w:keepLines w:val="0"/>
              <w:pageBreakBefore w:val="0"/>
              <w:widowControl w:val="0"/>
              <w:kinsoku/>
              <w:wordWrap w:val="0"/>
              <w:overflowPunct/>
              <w:topLinePunct w:val="0"/>
              <w:bidi w:val="0"/>
              <w:spacing w:line="360" w:lineRule="auto"/>
              <w:ind w:left="0" w:leftChars="0"/>
              <w:jc w:val="left"/>
              <w:textAlignment w:val="auto"/>
              <w:rPr>
                <w:rFonts w:hint="eastAsia" w:ascii="宋体" w:hAnsi="宋体" w:eastAsia="宋体" w:cs="宋体"/>
                <w:snapToGrid w:val="0"/>
                <w:kern w:val="0"/>
                <w:sz w:val="21"/>
                <w:szCs w:val="21"/>
              </w:rPr>
            </w:pPr>
            <w:r>
              <w:rPr>
                <w:rFonts w:hint="eastAsia" w:ascii="宋体" w:hAnsi="宋体" w:eastAsia="宋体" w:cs="宋体"/>
                <w:sz w:val="21"/>
                <w:szCs w:val="21"/>
                <w:lang w:val="en-US" w:eastAsia="zh-CN"/>
              </w:rPr>
              <w:t>正厂零配件综合折扣率</w:t>
            </w:r>
          </w:p>
        </w:tc>
        <w:tc>
          <w:tcPr>
            <w:tcW w:w="7345" w:type="dxa"/>
            <w:gridSpan w:val="2"/>
            <w:vAlign w:val="top"/>
          </w:tcPr>
          <w:p w14:paraId="5148498F">
            <w:pPr>
              <w:keepNext w:val="0"/>
              <w:keepLines w:val="0"/>
              <w:pageBreakBefore w:val="0"/>
              <w:widowControl w:val="0"/>
              <w:kinsoku/>
              <w:wordWrap w:val="0"/>
              <w:overflowPunct/>
              <w:topLinePunct w:val="0"/>
              <w:bidi w:val="0"/>
              <w:spacing w:line="360" w:lineRule="auto"/>
              <w:ind w:left="0" w:left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价格分采用低价优先法计算，即满足招标文件要求且投标价格最低的投标报价为评标基准价，其价格分为4分。其他投标人的价格分统一按照下列公式计算：</w:t>
            </w:r>
          </w:p>
          <w:p w14:paraId="2E471B84">
            <w:pPr>
              <w:keepNext w:val="0"/>
              <w:keepLines w:val="0"/>
              <w:pageBreakBefore w:val="0"/>
              <w:widowControl w:val="0"/>
              <w:kinsoku/>
              <w:wordWrap w:val="0"/>
              <w:overflowPunct/>
              <w:topLinePunct w:val="0"/>
              <w:bidi w:val="0"/>
              <w:spacing w:line="360" w:lineRule="auto"/>
              <w:ind w:left="0" w:left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投标报价得分=(评标基准价／投标报价)×4</w:t>
            </w:r>
          </w:p>
          <w:p w14:paraId="4233906C">
            <w:pPr>
              <w:keepNext w:val="0"/>
              <w:keepLines w:val="0"/>
              <w:pageBreakBefore w:val="0"/>
              <w:widowControl w:val="0"/>
              <w:kinsoku/>
              <w:wordWrap w:val="0"/>
              <w:overflowPunct/>
              <w:topLinePunct w:val="0"/>
              <w:bidi w:val="0"/>
              <w:spacing w:line="360" w:lineRule="auto"/>
              <w:ind w:left="0" w:left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备注：</w:t>
            </w:r>
          </w:p>
          <w:p w14:paraId="5935DA29">
            <w:pPr>
              <w:keepNext w:val="0"/>
              <w:keepLines w:val="0"/>
              <w:pageBreakBefore w:val="0"/>
              <w:widowControl w:val="0"/>
              <w:kinsoku/>
              <w:wordWrap w:val="0"/>
              <w:overflowPunct/>
              <w:topLinePunct w:val="0"/>
              <w:bidi w:val="0"/>
              <w:spacing w:line="360" w:lineRule="auto"/>
              <w:ind w:left="0" w:left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1、因落实政府采购政策进行价格调整的，以调整后的价格计算评标基准价和投标报价；</w:t>
            </w:r>
          </w:p>
          <w:p w14:paraId="487ADAED">
            <w:pPr>
              <w:keepNext w:val="0"/>
              <w:keepLines w:val="0"/>
              <w:pageBreakBefore w:val="0"/>
              <w:widowControl w:val="0"/>
              <w:kinsoku/>
              <w:wordWrap w:val="0"/>
              <w:overflowPunct/>
              <w:topLinePunct w:val="0"/>
              <w:bidi w:val="0"/>
              <w:spacing w:line="360" w:lineRule="auto"/>
              <w:ind w:left="0" w:leftChars="0"/>
              <w:jc w:val="left"/>
              <w:textAlignment w:val="auto"/>
              <w:rPr>
                <w:rFonts w:hint="eastAsia" w:ascii="宋体" w:hAnsi="宋体" w:eastAsia="宋体" w:cs="宋体"/>
                <w:snapToGrid w:val="0"/>
                <w:kern w:val="0"/>
                <w:sz w:val="21"/>
                <w:szCs w:val="21"/>
              </w:rPr>
            </w:pPr>
            <w:r>
              <w:rPr>
                <w:rFonts w:hint="eastAsia" w:ascii="宋体" w:hAnsi="宋体" w:eastAsia="宋体" w:cs="宋体"/>
                <w:sz w:val="21"/>
                <w:szCs w:val="21"/>
                <w:lang w:val="en-US" w:eastAsia="zh-CN"/>
              </w:rPr>
              <w:t>2、投标报价得分四舍五入后，小数点后保留两位有效数。</w:t>
            </w:r>
          </w:p>
        </w:tc>
        <w:tc>
          <w:tcPr>
            <w:tcW w:w="1018" w:type="dxa"/>
            <w:vMerge w:val="continue"/>
            <w:vAlign w:val="center"/>
          </w:tcPr>
          <w:p w14:paraId="7FEF671A">
            <w:pPr>
              <w:keepNext w:val="0"/>
              <w:keepLines w:val="0"/>
              <w:pageBreakBefore w:val="0"/>
              <w:kinsoku/>
              <w:overflowPunct/>
              <w:autoSpaceDE w:val="0"/>
              <w:autoSpaceDN w:val="0"/>
              <w:bidi w:val="0"/>
              <w:adjustRightInd w:val="0"/>
              <w:spacing w:line="360" w:lineRule="auto"/>
              <w:ind w:left="0" w:leftChars="0"/>
              <w:jc w:val="left"/>
              <w:textAlignment w:val="auto"/>
              <w:rPr>
                <w:rFonts w:hint="eastAsia" w:ascii="宋体" w:hAnsi="宋体" w:eastAsia="宋体" w:cs="宋体"/>
                <w:snapToGrid w:val="0"/>
                <w:kern w:val="0"/>
                <w:sz w:val="21"/>
                <w:szCs w:val="21"/>
              </w:rPr>
            </w:pPr>
          </w:p>
        </w:tc>
      </w:tr>
      <w:tr w14:paraId="6579CA76">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15" w:hRule="atLeast"/>
          <w:jc w:val="center"/>
        </w:trPr>
        <w:tc>
          <w:tcPr>
            <w:tcW w:w="1897" w:type="dxa"/>
            <w:gridSpan w:val="2"/>
            <w:vAlign w:val="top"/>
          </w:tcPr>
          <w:p w14:paraId="7EC5F433">
            <w:pPr>
              <w:keepNext w:val="0"/>
              <w:keepLines w:val="0"/>
              <w:pageBreakBefore w:val="0"/>
              <w:widowControl w:val="0"/>
              <w:kinsoku/>
              <w:wordWrap w:val="0"/>
              <w:overflowPunct/>
              <w:topLinePunct w:val="0"/>
              <w:bidi w:val="0"/>
              <w:spacing w:line="360" w:lineRule="auto"/>
              <w:ind w:left="0" w:leftChars="0"/>
              <w:jc w:val="left"/>
              <w:textAlignment w:val="auto"/>
              <w:rPr>
                <w:rFonts w:hint="eastAsia" w:ascii="宋体" w:hAnsi="宋体" w:eastAsia="宋体" w:cs="宋体"/>
                <w:snapToGrid w:val="0"/>
                <w:kern w:val="0"/>
                <w:sz w:val="21"/>
                <w:szCs w:val="21"/>
              </w:rPr>
            </w:pPr>
            <w:r>
              <w:rPr>
                <w:rFonts w:hint="eastAsia" w:ascii="宋体" w:hAnsi="宋体" w:eastAsia="宋体" w:cs="宋体"/>
                <w:sz w:val="21"/>
                <w:szCs w:val="21"/>
                <w:lang w:val="en-US" w:eastAsia="zh-CN"/>
              </w:rPr>
              <w:t>非正厂合格产品零配件综合折扣率</w:t>
            </w:r>
          </w:p>
        </w:tc>
        <w:tc>
          <w:tcPr>
            <w:tcW w:w="7345" w:type="dxa"/>
            <w:gridSpan w:val="2"/>
            <w:vAlign w:val="top"/>
          </w:tcPr>
          <w:p w14:paraId="38163B16">
            <w:pPr>
              <w:keepNext w:val="0"/>
              <w:keepLines w:val="0"/>
              <w:pageBreakBefore w:val="0"/>
              <w:widowControl w:val="0"/>
              <w:kinsoku/>
              <w:wordWrap w:val="0"/>
              <w:overflowPunct/>
              <w:topLinePunct w:val="0"/>
              <w:bidi w:val="0"/>
              <w:spacing w:line="360" w:lineRule="auto"/>
              <w:ind w:left="0" w:left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价格分采用低价优先法计算，即满足招标文件要求且投标价格最低的投标报价为评标基准价，其价格分为4分。其他投标人的价格分统一按照下列公式计算：</w:t>
            </w:r>
          </w:p>
          <w:p w14:paraId="0283243E">
            <w:pPr>
              <w:keepNext w:val="0"/>
              <w:keepLines w:val="0"/>
              <w:pageBreakBefore w:val="0"/>
              <w:widowControl w:val="0"/>
              <w:kinsoku/>
              <w:wordWrap w:val="0"/>
              <w:overflowPunct/>
              <w:topLinePunct w:val="0"/>
              <w:bidi w:val="0"/>
              <w:spacing w:line="360" w:lineRule="auto"/>
              <w:ind w:left="0" w:left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投标报价得分=(评标基准价／投标报价)×4</w:t>
            </w:r>
          </w:p>
          <w:p w14:paraId="6075B6B3">
            <w:pPr>
              <w:keepNext w:val="0"/>
              <w:keepLines w:val="0"/>
              <w:pageBreakBefore w:val="0"/>
              <w:widowControl w:val="0"/>
              <w:kinsoku/>
              <w:wordWrap w:val="0"/>
              <w:overflowPunct/>
              <w:topLinePunct w:val="0"/>
              <w:bidi w:val="0"/>
              <w:spacing w:line="360" w:lineRule="auto"/>
              <w:ind w:left="0" w:left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备注：</w:t>
            </w:r>
          </w:p>
          <w:p w14:paraId="28A23200">
            <w:pPr>
              <w:keepNext w:val="0"/>
              <w:keepLines w:val="0"/>
              <w:pageBreakBefore w:val="0"/>
              <w:widowControl w:val="0"/>
              <w:kinsoku/>
              <w:wordWrap w:val="0"/>
              <w:overflowPunct/>
              <w:topLinePunct w:val="0"/>
              <w:bidi w:val="0"/>
              <w:spacing w:line="360" w:lineRule="auto"/>
              <w:ind w:left="0" w:left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1、因落实政府采购政策进行价格调整的，以调整后的价格计算评标基准价和投标报价；</w:t>
            </w:r>
          </w:p>
          <w:p w14:paraId="00FFDD8E">
            <w:pPr>
              <w:keepNext w:val="0"/>
              <w:keepLines w:val="0"/>
              <w:pageBreakBefore w:val="0"/>
              <w:widowControl w:val="0"/>
              <w:kinsoku/>
              <w:wordWrap w:val="0"/>
              <w:overflowPunct/>
              <w:topLinePunct w:val="0"/>
              <w:bidi w:val="0"/>
              <w:spacing w:line="360" w:lineRule="auto"/>
              <w:ind w:left="0" w:leftChars="0"/>
              <w:jc w:val="left"/>
              <w:textAlignment w:val="auto"/>
              <w:rPr>
                <w:rFonts w:hint="eastAsia" w:ascii="宋体" w:hAnsi="宋体" w:eastAsia="宋体" w:cs="宋体"/>
                <w:snapToGrid w:val="0"/>
                <w:kern w:val="0"/>
                <w:sz w:val="21"/>
                <w:szCs w:val="21"/>
              </w:rPr>
            </w:pPr>
            <w:r>
              <w:rPr>
                <w:rFonts w:hint="eastAsia" w:ascii="宋体" w:hAnsi="宋体" w:eastAsia="宋体" w:cs="宋体"/>
                <w:sz w:val="21"/>
                <w:szCs w:val="21"/>
                <w:lang w:val="en-US" w:eastAsia="zh-CN"/>
              </w:rPr>
              <w:t>2、投标报价得分四舍五入后，小数点后保留两位有效数。</w:t>
            </w:r>
          </w:p>
        </w:tc>
        <w:tc>
          <w:tcPr>
            <w:tcW w:w="1018" w:type="dxa"/>
            <w:vMerge w:val="continue"/>
            <w:vAlign w:val="center"/>
          </w:tcPr>
          <w:p w14:paraId="48534F55">
            <w:pPr>
              <w:keepNext w:val="0"/>
              <w:keepLines w:val="0"/>
              <w:pageBreakBefore w:val="0"/>
              <w:kinsoku/>
              <w:overflowPunct/>
              <w:autoSpaceDE w:val="0"/>
              <w:autoSpaceDN w:val="0"/>
              <w:bidi w:val="0"/>
              <w:adjustRightInd w:val="0"/>
              <w:spacing w:line="360" w:lineRule="auto"/>
              <w:ind w:left="0" w:leftChars="0"/>
              <w:jc w:val="left"/>
              <w:textAlignment w:val="auto"/>
              <w:rPr>
                <w:rFonts w:hint="eastAsia" w:ascii="宋体" w:hAnsi="宋体" w:eastAsia="宋体" w:cs="宋体"/>
                <w:snapToGrid w:val="0"/>
                <w:kern w:val="0"/>
                <w:sz w:val="21"/>
                <w:szCs w:val="21"/>
              </w:rPr>
            </w:pPr>
          </w:p>
        </w:tc>
      </w:tr>
      <w:tr w14:paraId="6A0C36E9">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9242" w:type="dxa"/>
            <w:gridSpan w:val="4"/>
            <w:vAlign w:val="center"/>
          </w:tcPr>
          <w:p w14:paraId="694B4664">
            <w:pPr>
              <w:keepNext w:val="0"/>
              <w:keepLines w:val="0"/>
              <w:pageBreakBefore w:val="0"/>
              <w:kinsoku/>
              <w:overflowPunct/>
              <w:autoSpaceDE w:val="0"/>
              <w:autoSpaceDN w:val="0"/>
              <w:bidi w:val="0"/>
              <w:adjustRightInd w:val="0"/>
              <w:spacing w:line="360" w:lineRule="auto"/>
              <w:ind w:left="0" w:leftChars="0"/>
              <w:jc w:val="center"/>
              <w:textAlignment w:val="auto"/>
              <w:rPr>
                <w:rFonts w:hint="eastAsia" w:ascii="宋体" w:hAnsi="宋体" w:eastAsia="宋体" w:cs="宋体"/>
                <w:b/>
                <w:sz w:val="21"/>
                <w:szCs w:val="21"/>
              </w:rPr>
            </w:pPr>
            <w:r>
              <w:rPr>
                <w:rFonts w:hint="eastAsia" w:ascii="宋体" w:hAnsi="宋体" w:eastAsia="宋体" w:cs="宋体"/>
                <w:b/>
                <w:sz w:val="21"/>
                <w:szCs w:val="21"/>
              </w:rPr>
              <w:t>二、技术部分</w:t>
            </w:r>
          </w:p>
        </w:tc>
        <w:tc>
          <w:tcPr>
            <w:tcW w:w="1018" w:type="dxa"/>
            <w:vAlign w:val="center"/>
          </w:tcPr>
          <w:p w14:paraId="3FD47F09">
            <w:pPr>
              <w:keepNext w:val="0"/>
              <w:keepLines w:val="0"/>
              <w:pageBreakBefore w:val="0"/>
              <w:kinsoku/>
              <w:overflowPunct/>
              <w:autoSpaceDE w:val="0"/>
              <w:autoSpaceDN w:val="0"/>
              <w:bidi w:val="0"/>
              <w:adjustRightInd w:val="0"/>
              <w:spacing w:line="360" w:lineRule="auto"/>
              <w:ind w:left="0" w:leftChars="0"/>
              <w:jc w:val="center"/>
              <w:textAlignment w:val="auto"/>
              <w:rPr>
                <w:rFonts w:hint="default" w:ascii="宋体" w:hAnsi="宋体" w:eastAsia="宋体" w:cs="宋体"/>
                <w:b/>
                <w:sz w:val="21"/>
                <w:szCs w:val="21"/>
                <w:lang w:val="en-US" w:eastAsia="zh-CN"/>
              </w:rPr>
            </w:pPr>
            <w:r>
              <w:rPr>
                <w:rFonts w:hint="eastAsia" w:ascii="宋体" w:hAnsi="宋体" w:cs="宋体"/>
                <w:b/>
                <w:sz w:val="21"/>
                <w:szCs w:val="21"/>
                <w:lang w:val="en-US" w:eastAsia="zh-CN"/>
              </w:rPr>
              <w:t>47</w:t>
            </w:r>
          </w:p>
        </w:tc>
      </w:tr>
      <w:tr w14:paraId="6765885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14:paraId="4FAA075F">
            <w:pPr>
              <w:keepNext w:val="0"/>
              <w:keepLines w:val="0"/>
              <w:pageBreakBefore w:val="0"/>
              <w:kinsoku/>
              <w:overflowPunct/>
              <w:autoSpaceDE w:val="0"/>
              <w:autoSpaceDN w:val="0"/>
              <w:bidi w:val="0"/>
              <w:adjustRightInd w:val="0"/>
              <w:spacing w:line="360" w:lineRule="auto"/>
              <w:ind w:left="0" w:leftChars="0"/>
              <w:jc w:val="center"/>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1143" w:type="dxa"/>
            <w:vAlign w:val="center"/>
          </w:tcPr>
          <w:p w14:paraId="36017FC0">
            <w:pPr>
              <w:keepNext w:val="0"/>
              <w:keepLines w:val="0"/>
              <w:pageBreakBefore w:val="0"/>
              <w:kinsoku/>
              <w:overflowPunct/>
              <w:autoSpaceDE w:val="0"/>
              <w:autoSpaceDN w:val="0"/>
              <w:bidi w:val="0"/>
              <w:adjustRightInd w:val="0"/>
              <w:spacing w:line="360" w:lineRule="auto"/>
              <w:ind w:left="0" w:leftChars="0"/>
              <w:jc w:val="center"/>
              <w:textAlignment w:val="auto"/>
              <w:rPr>
                <w:rFonts w:hint="eastAsia" w:ascii="宋体" w:hAnsi="宋体" w:eastAsia="宋体" w:cs="宋体"/>
                <w:sz w:val="21"/>
                <w:szCs w:val="21"/>
              </w:rPr>
            </w:pPr>
            <w:r>
              <w:rPr>
                <w:rFonts w:hint="eastAsia" w:ascii="宋体" w:hAnsi="宋体" w:eastAsia="宋体" w:cs="宋体"/>
                <w:sz w:val="21"/>
                <w:szCs w:val="21"/>
              </w:rPr>
              <w:t>内容</w:t>
            </w:r>
          </w:p>
        </w:tc>
        <w:tc>
          <w:tcPr>
            <w:tcW w:w="709" w:type="dxa"/>
            <w:vAlign w:val="center"/>
          </w:tcPr>
          <w:p w14:paraId="639D1E56">
            <w:pPr>
              <w:keepNext w:val="0"/>
              <w:keepLines w:val="0"/>
              <w:pageBreakBefore w:val="0"/>
              <w:kinsoku/>
              <w:overflowPunct/>
              <w:autoSpaceDE w:val="0"/>
              <w:autoSpaceDN w:val="0"/>
              <w:bidi w:val="0"/>
              <w:adjustRightInd w:val="0"/>
              <w:spacing w:line="360" w:lineRule="auto"/>
              <w:ind w:left="0" w:leftChars="0"/>
              <w:jc w:val="center"/>
              <w:textAlignment w:val="auto"/>
              <w:rPr>
                <w:rFonts w:hint="eastAsia" w:ascii="宋体" w:hAnsi="宋体" w:eastAsia="宋体" w:cs="宋体"/>
                <w:sz w:val="21"/>
                <w:szCs w:val="21"/>
              </w:rPr>
            </w:pPr>
            <w:r>
              <w:rPr>
                <w:rFonts w:hint="eastAsia" w:ascii="宋体" w:hAnsi="宋体" w:eastAsia="宋体" w:cs="宋体"/>
                <w:sz w:val="21"/>
                <w:szCs w:val="21"/>
              </w:rPr>
              <w:t>权重</w:t>
            </w:r>
          </w:p>
        </w:tc>
        <w:tc>
          <w:tcPr>
            <w:tcW w:w="6636" w:type="dxa"/>
            <w:vAlign w:val="center"/>
          </w:tcPr>
          <w:p w14:paraId="53E73B12">
            <w:pPr>
              <w:keepNext w:val="0"/>
              <w:keepLines w:val="0"/>
              <w:pageBreakBefore w:val="0"/>
              <w:kinsoku/>
              <w:overflowPunct/>
              <w:autoSpaceDE w:val="0"/>
              <w:autoSpaceDN w:val="0"/>
              <w:bidi w:val="0"/>
              <w:adjustRightInd w:val="0"/>
              <w:spacing w:line="360" w:lineRule="auto"/>
              <w:ind w:left="0" w:leftChars="0"/>
              <w:jc w:val="center"/>
              <w:textAlignment w:val="auto"/>
              <w:rPr>
                <w:rFonts w:hint="eastAsia" w:ascii="宋体" w:hAnsi="宋体" w:eastAsia="宋体" w:cs="宋体"/>
                <w:sz w:val="21"/>
                <w:szCs w:val="21"/>
              </w:rPr>
            </w:pPr>
            <w:r>
              <w:rPr>
                <w:rFonts w:hint="eastAsia" w:ascii="宋体" w:hAnsi="宋体" w:eastAsia="宋体" w:cs="宋体"/>
                <w:sz w:val="21"/>
                <w:szCs w:val="21"/>
              </w:rPr>
              <w:t>评分规则</w:t>
            </w:r>
          </w:p>
        </w:tc>
        <w:tc>
          <w:tcPr>
            <w:tcW w:w="1018" w:type="dxa"/>
            <w:vAlign w:val="center"/>
          </w:tcPr>
          <w:p w14:paraId="79EAF740">
            <w:pPr>
              <w:keepNext w:val="0"/>
              <w:keepLines w:val="0"/>
              <w:pageBreakBefore w:val="0"/>
              <w:kinsoku/>
              <w:overflowPunct/>
              <w:autoSpaceDE w:val="0"/>
              <w:autoSpaceDN w:val="0"/>
              <w:bidi w:val="0"/>
              <w:adjustRightInd w:val="0"/>
              <w:spacing w:line="360" w:lineRule="auto"/>
              <w:ind w:left="0" w:leftChars="0"/>
              <w:jc w:val="center"/>
              <w:textAlignment w:val="auto"/>
              <w:rPr>
                <w:rFonts w:hint="eastAsia" w:ascii="宋体" w:hAnsi="宋体" w:eastAsia="宋体" w:cs="宋体"/>
                <w:sz w:val="21"/>
                <w:szCs w:val="21"/>
              </w:rPr>
            </w:pPr>
            <w:r>
              <w:rPr>
                <w:rFonts w:hint="eastAsia" w:ascii="宋体" w:hAnsi="宋体" w:eastAsia="宋体" w:cs="宋体"/>
                <w:sz w:val="21"/>
                <w:szCs w:val="21"/>
              </w:rPr>
              <w:t>评分方式</w:t>
            </w:r>
          </w:p>
        </w:tc>
      </w:tr>
      <w:tr w14:paraId="6EE95882">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53" w:hRule="atLeast"/>
          <w:jc w:val="center"/>
        </w:trPr>
        <w:tc>
          <w:tcPr>
            <w:tcW w:w="754" w:type="dxa"/>
            <w:vAlign w:val="center"/>
          </w:tcPr>
          <w:p w14:paraId="06FF27B9">
            <w:pPr>
              <w:keepNext w:val="0"/>
              <w:keepLines w:val="0"/>
              <w:pageBreakBefore w:val="0"/>
              <w:kinsoku/>
              <w:overflowPunct/>
              <w:autoSpaceDE w:val="0"/>
              <w:autoSpaceDN w:val="0"/>
              <w:bidi w:val="0"/>
              <w:adjustRightInd w:val="0"/>
              <w:spacing w:line="360" w:lineRule="auto"/>
              <w:ind w:left="0" w:left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143" w:type="dxa"/>
            <w:vAlign w:val="center"/>
          </w:tcPr>
          <w:p w14:paraId="2F77AAD4">
            <w:pPr>
              <w:keepNext w:val="0"/>
              <w:keepLines w:val="0"/>
              <w:pageBreakBefore w:val="0"/>
              <w:widowControl w:val="0"/>
              <w:kinsoku/>
              <w:wordWrap w:val="0"/>
              <w:overflowPunct/>
              <w:topLinePunct w:val="0"/>
              <w:bidi w:val="0"/>
              <w:spacing w:line="360" w:lineRule="auto"/>
              <w:ind w:left="0" w:leftChars="0"/>
              <w:jc w:val="center"/>
              <w:textAlignment w:val="auto"/>
              <w:rPr>
                <w:rFonts w:hint="eastAsia" w:ascii="宋体" w:hAnsi="宋体" w:eastAsia="宋体" w:cs="宋体"/>
                <w:kern w:val="0"/>
                <w:sz w:val="21"/>
                <w:szCs w:val="21"/>
              </w:rPr>
            </w:pPr>
            <w:r>
              <w:rPr>
                <w:rFonts w:hint="eastAsia" w:ascii="宋体" w:hAnsi="宋体" w:eastAsia="宋体" w:cs="宋体"/>
                <w:sz w:val="21"/>
                <w:szCs w:val="21"/>
              </w:rPr>
              <w:t>实施方案</w:t>
            </w:r>
          </w:p>
        </w:tc>
        <w:tc>
          <w:tcPr>
            <w:tcW w:w="709" w:type="dxa"/>
            <w:vAlign w:val="center"/>
          </w:tcPr>
          <w:p w14:paraId="5A0071A8">
            <w:pPr>
              <w:keepNext w:val="0"/>
              <w:keepLines w:val="0"/>
              <w:pageBreakBefore w:val="0"/>
              <w:widowControl w:val="0"/>
              <w:kinsoku/>
              <w:wordWrap w:val="0"/>
              <w:overflowPunct/>
              <w:topLinePunct w:val="0"/>
              <w:bidi w:val="0"/>
              <w:spacing w:line="360" w:lineRule="auto"/>
              <w:ind w:left="0" w:leftChars="0"/>
              <w:jc w:val="center"/>
              <w:textAlignment w:val="auto"/>
              <w:rPr>
                <w:rFonts w:hint="eastAsia" w:ascii="宋体" w:hAnsi="宋体" w:eastAsia="宋体" w:cs="宋体"/>
                <w:kern w:val="0"/>
                <w:sz w:val="21"/>
                <w:szCs w:val="21"/>
              </w:rPr>
            </w:pPr>
            <w:r>
              <w:rPr>
                <w:rFonts w:hint="eastAsia" w:ascii="宋体" w:hAnsi="宋体" w:eastAsia="宋体" w:cs="宋体"/>
                <w:sz w:val="21"/>
                <w:szCs w:val="21"/>
                <w:lang w:val="en-US" w:eastAsia="zh-CN"/>
              </w:rPr>
              <w:t>4</w:t>
            </w:r>
          </w:p>
        </w:tc>
        <w:tc>
          <w:tcPr>
            <w:tcW w:w="6636" w:type="dxa"/>
            <w:vAlign w:val="top"/>
          </w:tcPr>
          <w:p w14:paraId="38A9ADFB">
            <w:pPr>
              <w:keepNext w:val="0"/>
              <w:keepLines w:val="0"/>
              <w:pageBreakBefore w:val="0"/>
              <w:widowControl w:val="0"/>
              <w:kinsoku/>
              <w:wordWrap w:val="0"/>
              <w:overflowPunct/>
              <w:topLinePunct w:val="0"/>
              <w:bidi w:val="0"/>
              <w:spacing w:line="360" w:lineRule="auto"/>
              <w:ind w:left="0" w:leftChars="0"/>
              <w:textAlignment w:val="auto"/>
              <w:rPr>
                <w:rFonts w:hint="eastAsia" w:ascii="宋体" w:hAnsi="宋体" w:eastAsia="宋体" w:cs="宋体"/>
                <w:sz w:val="21"/>
                <w:szCs w:val="21"/>
              </w:rPr>
            </w:pPr>
            <w:r>
              <w:rPr>
                <w:rFonts w:hint="eastAsia" w:ascii="宋体" w:hAnsi="宋体" w:eastAsia="宋体" w:cs="宋体"/>
                <w:sz w:val="21"/>
                <w:szCs w:val="21"/>
              </w:rPr>
              <w:t>（一）评审内容：</w:t>
            </w:r>
          </w:p>
          <w:p w14:paraId="15B47D72">
            <w:pPr>
              <w:keepNext w:val="0"/>
              <w:keepLines w:val="0"/>
              <w:pageBreakBefore w:val="0"/>
              <w:widowControl w:val="0"/>
              <w:kinsoku/>
              <w:wordWrap w:val="0"/>
              <w:overflowPunct/>
              <w:topLinePunct w:val="0"/>
              <w:bidi w:val="0"/>
              <w:spacing w:line="360" w:lineRule="auto"/>
              <w:ind w:left="0" w:leftChars="0"/>
              <w:textAlignment w:val="auto"/>
              <w:rPr>
                <w:rFonts w:hint="eastAsia" w:ascii="宋体" w:hAnsi="宋体" w:eastAsia="宋体" w:cs="宋体"/>
                <w:sz w:val="21"/>
                <w:szCs w:val="21"/>
              </w:rPr>
            </w:pPr>
            <w:r>
              <w:rPr>
                <w:rFonts w:hint="eastAsia" w:ascii="宋体" w:hAnsi="宋体" w:eastAsia="宋体" w:cs="宋体"/>
                <w:sz w:val="21"/>
                <w:szCs w:val="21"/>
              </w:rPr>
              <w:t>投标人提供车辆维修方案，包括以下内容的：</w:t>
            </w:r>
          </w:p>
          <w:p w14:paraId="119956DA">
            <w:pPr>
              <w:keepNext w:val="0"/>
              <w:keepLines w:val="0"/>
              <w:pageBreakBefore w:val="0"/>
              <w:widowControl w:val="0"/>
              <w:kinsoku/>
              <w:wordWrap w:val="0"/>
              <w:overflowPunct/>
              <w:topLinePunct w:val="0"/>
              <w:bidi w:val="0"/>
              <w:spacing w:line="360" w:lineRule="auto"/>
              <w:ind w:left="0" w:leftChars="0"/>
              <w:textAlignment w:val="auto"/>
              <w:rPr>
                <w:rFonts w:hint="eastAsia" w:ascii="宋体" w:hAnsi="宋体" w:eastAsia="宋体" w:cs="宋体"/>
                <w:sz w:val="21"/>
                <w:szCs w:val="21"/>
              </w:rPr>
            </w:pPr>
            <w:r>
              <w:rPr>
                <w:rFonts w:hint="eastAsia" w:ascii="宋体" w:hAnsi="宋体" w:cs="宋体"/>
                <w:sz w:val="21"/>
                <w:szCs w:val="21"/>
                <w:lang w:val="en-US" w:eastAsia="zh-CN"/>
              </w:rPr>
              <w:t>1.</w:t>
            </w:r>
            <w:r>
              <w:rPr>
                <w:rFonts w:hint="eastAsia" w:ascii="宋体" w:hAnsi="宋体" w:eastAsia="宋体" w:cs="宋体"/>
                <w:sz w:val="21"/>
                <w:szCs w:val="21"/>
              </w:rPr>
              <w:t>安全生产管理；</w:t>
            </w:r>
          </w:p>
          <w:p w14:paraId="0C3DD7B4">
            <w:pPr>
              <w:keepNext w:val="0"/>
              <w:keepLines w:val="0"/>
              <w:pageBreakBefore w:val="0"/>
              <w:widowControl w:val="0"/>
              <w:kinsoku/>
              <w:wordWrap w:val="0"/>
              <w:overflowPunct/>
              <w:topLinePunct w:val="0"/>
              <w:bidi w:val="0"/>
              <w:spacing w:line="360" w:lineRule="auto"/>
              <w:ind w:left="0" w:leftChars="0"/>
              <w:textAlignment w:val="auto"/>
              <w:rPr>
                <w:rFonts w:hint="eastAsia" w:ascii="宋体" w:hAnsi="宋体" w:eastAsia="宋体" w:cs="宋体"/>
                <w:sz w:val="21"/>
                <w:szCs w:val="21"/>
              </w:rPr>
            </w:pPr>
            <w:r>
              <w:rPr>
                <w:rFonts w:hint="eastAsia" w:ascii="宋体" w:hAnsi="宋体" w:cs="宋体"/>
                <w:sz w:val="21"/>
                <w:szCs w:val="21"/>
                <w:lang w:val="en-US" w:eastAsia="zh-CN"/>
              </w:rPr>
              <w:t>2.</w:t>
            </w:r>
            <w:r>
              <w:rPr>
                <w:rFonts w:hint="eastAsia" w:ascii="宋体" w:hAnsi="宋体" w:eastAsia="宋体" w:cs="宋体"/>
                <w:sz w:val="21"/>
                <w:szCs w:val="21"/>
              </w:rPr>
              <w:t>服务流程规范；</w:t>
            </w:r>
          </w:p>
          <w:p w14:paraId="366EFA20">
            <w:pPr>
              <w:keepNext w:val="0"/>
              <w:keepLines w:val="0"/>
              <w:pageBreakBefore w:val="0"/>
              <w:widowControl w:val="0"/>
              <w:kinsoku/>
              <w:wordWrap w:val="0"/>
              <w:overflowPunct/>
              <w:topLinePunct w:val="0"/>
              <w:bidi w:val="0"/>
              <w:spacing w:line="360" w:lineRule="auto"/>
              <w:ind w:left="0" w:leftChars="0"/>
              <w:textAlignment w:val="auto"/>
              <w:rPr>
                <w:rFonts w:hint="eastAsia" w:ascii="宋体" w:hAnsi="宋体" w:eastAsia="宋体" w:cs="宋体"/>
                <w:sz w:val="21"/>
                <w:szCs w:val="21"/>
              </w:rPr>
            </w:pPr>
            <w:r>
              <w:rPr>
                <w:rFonts w:hint="eastAsia" w:ascii="宋体" w:hAnsi="宋体" w:cs="宋体"/>
                <w:sz w:val="21"/>
                <w:szCs w:val="21"/>
                <w:lang w:val="en-US" w:eastAsia="zh-CN"/>
              </w:rPr>
              <w:t>3.</w:t>
            </w:r>
            <w:r>
              <w:rPr>
                <w:rFonts w:hint="eastAsia" w:ascii="宋体" w:hAnsi="宋体" w:eastAsia="宋体" w:cs="宋体"/>
                <w:sz w:val="21"/>
                <w:szCs w:val="21"/>
              </w:rPr>
              <w:t>质量检验措施；</w:t>
            </w:r>
          </w:p>
          <w:p w14:paraId="62D9563F">
            <w:pPr>
              <w:keepNext w:val="0"/>
              <w:keepLines w:val="0"/>
              <w:pageBreakBefore w:val="0"/>
              <w:widowControl w:val="0"/>
              <w:kinsoku/>
              <w:wordWrap w:val="0"/>
              <w:overflowPunct/>
              <w:topLinePunct w:val="0"/>
              <w:bidi w:val="0"/>
              <w:spacing w:line="360" w:lineRule="auto"/>
              <w:ind w:left="0" w:leftChars="0"/>
              <w:textAlignment w:val="auto"/>
              <w:rPr>
                <w:rFonts w:hint="eastAsia" w:ascii="宋体" w:hAnsi="宋体" w:eastAsia="宋体" w:cs="宋体"/>
                <w:sz w:val="21"/>
                <w:szCs w:val="21"/>
              </w:rPr>
            </w:pPr>
            <w:r>
              <w:rPr>
                <w:rFonts w:hint="eastAsia" w:ascii="宋体" w:hAnsi="宋体" w:cs="宋体"/>
                <w:sz w:val="21"/>
                <w:szCs w:val="21"/>
                <w:lang w:val="en-US" w:eastAsia="zh-CN"/>
              </w:rPr>
              <w:t>4.</w:t>
            </w:r>
            <w:r>
              <w:rPr>
                <w:rFonts w:hint="eastAsia" w:ascii="宋体" w:hAnsi="宋体" w:eastAsia="宋体" w:cs="宋体"/>
                <w:sz w:val="21"/>
                <w:szCs w:val="21"/>
              </w:rPr>
              <w:t>车辆档案管理。</w:t>
            </w:r>
          </w:p>
          <w:p w14:paraId="3D5B6918">
            <w:pPr>
              <w:keepNext w:val="0"/>
              <w:keepLines w:val="0"/>
              <w:pageBreakBefore w:val="0"/>
              <w:widowControl w:val="0"/>
              <w:kinsoku/>
              <w:wordWrap w:val="0"/>
              <w:overflowPunct/>
              <w:topLinePunct w:val="0"/>
              <w:bidi w:val="0"/>
              <w:spacing w:line="360" w:lineRule="auto"/>
              <w:ind w:left="0" w:leftChars="0"/>
              <w:textAlignment w:val="auto"/>
              <w:rPr>
                <w:rFonts w:hint="eastAsia" w:ascii="宋体" w:hAnsi="宋体" w:eastAsia="宋体" w:cs="宋体"/>
                <w:sz w:val="21"/>
                <w:szCs w:val="21"/>
              </w:rPr>
            </w:pPr>
          </w:p>
          <w:p w14:paraId="7F51B7B7">
            <w:pPr>
              <w:keepNext w:val="0"/>
              <w:keepLines w:val="0"/>
              <w:pageBreakBefore w:val="0"/>
              <w:widowControl w:val="0"/>
              <w:kinsoku/>
              <w:wordWrap w:val="0"/>
              <w:overflowPunct/>
              <w:topLinePunct w:val="0"/>
              <w:bidi w:val="0"/>
              <w:spacing w:line="360" w:lineRule="auto"/>
              <w:ind w:left="0" w:leftChars="0"/>
              <w:textAlignment w:val="auto"/>
              <w:rPr>
                <w:rFonts w:hint="eastAsia" w:ascii="宋体" w:hAnsi="宋体" w:eastAsia="宋体" w:cs="宋体"/>
                <w:sz w:val="21"/>
                <w:szCs w:val="21"/>
              </w:rPr>
            </w:pPr>
            <w:r>
              <w:rPr>
                <w:rFonts w:hint="eastAsia" w:ascii="宋体" w:hAnsi="宋体" w:eastAsia="宋体" w:cs="宋体"/>
                <w:sz w:val="21"/>
                <w:szCs w:val="21"/>
              </w:rPr>
              <w:t>（二）评分依据：</w:t>
            </w:r>
          </w:p>
          <w:p w14:paraId="3C09F88C">
            <w:pPr>
              <w:keepNext w:val="0"/>
              <w:keepLines w:val="0"/>
              <w:pageBreakBefore w:val="0"/>
              <w:widowControl w:val="0"/>
              <w:kinsoku/>
              <w:wordWrap w:val="0"/>
              <w:overflowPunct/>
              <w:topLinePunct w:val="0"/>
              <w:bidi w:val="0"/>
              <w:spacing w:line="360" w:lineRule="auto"/>
              <w:ind w:left="0" w:leftChars="0"/>
              <w:textAlignment w:val="auto"/>
              <w:rPr>
                <w:rFonts w:hint="eastAsia" w:ascii="宋体" w:hAnsi="宋体" w:eastAsia="宋体" w:cs="宋体"/>
                <w:sz w:val="21"/>
                <w:szCs w:val="21"/>
              </w:rPr>
            </w:pPr>
            <w:r>
              <w:rPr>
                <w:rFonts w:hint="eastAsia" w:ascii="宋体" w:hAnsi="宋体" w:eastAsia="宋体" w:cs="宋体"/>
                <w:sz w:val="21"/>
                <w:szCs w:val="21"/>
              </w:rPr>
              <w:t>包含以上</w:t>
            </w:r>
            <w:r>
              <w:rPr>
                <w:rFonts w:hint="eastAsia" w:ascii="宋体" w:hAnsi="宋体" w:eastAsia="宋体" w:cs="宋体"/>
                <w:sz w:val="21"/>
                <w:szCs w:val="21"/>
                <w:lang w:val="en-US" w:eastAsia="zh-CN"/>
              </w:rPr>
              <w:t>四</w:t>
            </w:r>
            <w:r>
              <w:rPr>
                <w:rFonts w:hint="eastAsia" w:ascii="宋体" w:hAnsi="宋体" w:eastAsia="宋体" w:cs="宋体"/>
                <w:sz w:val="21"/>
                <w:szCs w:val="21"/>
              </w:rPr>
              <w:t>项内容得</w:t>
            </w:r>
            <w:r>
              <w:rPr>
                <w:rFonts w:hint="eastAsia" w:ascii="宋体" w:hAnsi="宋体" w:eastAsia="宋体" w:cs="宋体"/>
                <w:sz w:val="21"/>
                <w:szCs w:val="21"/>
                <w:lang w:val="en-US" w:eastAsia="zh-CN"/>
              </w:rPr>
              <w:t>4</w:t>
            </w:r>
            <w:r>
              <w:rPr>
                <w:rFonts w:hint="eastAsia" w:ascii="宋体" w:hAnsi="宋体" w:eastAsia="宋体" w:cs="宋体"/>
                <w:sz w:val="21"/>
                <w:szCs w:val="21"/>
              </w:rPr>
              <w:t>分，包含以上任意</w:t>
            </w:r>
            <w:r>
              <w:rPr>
                <w:rFonts w:hint="eastAsia" w:ascii="宋体" w:hAnsi="宋体" w:eastAsia="宋体" w:cs="宋体"/>
                <w:sz w:val="21"/>
                <w:szCs w:val="21"/>
                <w:lang w:val="en-US" w:eastAsia="zh-CN"/>
              </w:rPr>
              <w:t>三</w:t>
            </w:r>
            <w:r>
              <w:rPr>
                <w:rFonts w:hint="eastAsia" w:ascii="宋体" w:hAnsi="宋体" w:eastAsia="宋体" w:cs="宋体"/>
                <w:sz w:val="21"/>
                <w:szCs w:val="21"/>
              </w:rPr>
              <w:t>项内容得</w:t>
            </w:r>
            <w:r>
              <w:rPr>
                <w:rFonts w:hint="eastAsia" w:ascii="宋体" w:hAnsi="宋体" w:eastAsia="宋体" w:cs="宋体"/>
                <w:sz w:val="21"/>
                <w:szCs w:val="21"/>
                <w:lang w:val="en-US" w:eastAsia="zh-CN"/>
              </w:rPr>
              <w:t>3</w:t>
            </w:r>
            <w:r>
              <w:rPr>
                <w:rFonts w:hint="eastAsia" w:ascii="宋体" w:hAnsi="宋体" w:eastAsia="宋体" w:cs="宋体"/>
                <w:sz w:val="21"/>
                <w:szCs w:val="21"/>
              </w:rPr>
              <w:t>分，包含以上任意</w:t>
            </w:r>
            <w:r>
              <w:rPr>
                <w:rFonts w:hint="eastAsia" w:ascii="宋体" w:hAnsi="宋体" w:eastAsia="宋体" w:cs="宋体"/>
                <w:sz w:val="21"/>
                <w:szCs w:val="21"/>
                <w:lang w:val="en-US" w:eastAsia="zh-CN"/>
              </w:rPr>
              <w:t>二</w:t>
            </w:r>
            <w:r>
              <w:rPr>
                <w:rFonts w:hint="eastAsia" w:ascii="宋体" w:hAnsi="宋体" w:eastAsia="宋体" w:cs="宋体"/>
                <w:sz w:val="21"/>
                <w:szCs w:val="21"/>
              </w:rPr>
              <w:t>项内容得</w:t>
            </w:r>
            <w:r>
              <w:rPr>
                <w:rFonts w:hint="eastAsia" w:ascii="宋体" w:hAnsi="宋体" w:eastAsia="宋体" w:cs="宋体"/>
                <w:sz w:val="21"/>
                <w:szCs w:val="21"/>
                <w:lang w:val="en-US" w:eastAsia="zh-CN"/>
              </w:rPr>
              <w:t>2</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sz w:val="21"/>
                <w:szCs w:val="21"/>
              </w:rPr>
              <w:t>包含以上任意一项内容得</w:t>
            </w:r>
            <w:r>
              <w:rPr>
                <w:rFonts w:hint="eastAsia" w:ascii="宋体" w:hAnsi="宋体" w:eastAsia="宋体" w:cs="宋体"/>
                <w:sz w:val="21"/>
                <w:szCs w:val="21"/>
                <w:lang w:val="en-US" w:eastAsia="zh-CN"/>
              </w:rPr>
              <w:t>1</w:t>
            </w:r>
            <w:r>
              <w:rPr>
                <w:rFonts w:hint="eastAsia" w:ascii="宋体" w:hAnsi="宋体" w:eastAsia="宋体" w:cs="宋体"/>
                <w:sz w:val="21"/>
                <w:szCs w:val="21"/>
              </w:rPr>
              <w:t>分，其它情况不得分。在此基础上，根据方案响应情况进一步评审：</w:t>
            </w:r>
          </w:p>
          <w:p w14:paraId="58A08622">
            <w:pPr>
              <w:keepNext w:val="0"/>
              <w:keepLines w:val="0"/>
              <w:pageBreakBefore w:val="0"/>
              <w:widowControl w:val="0"/>
              <w:kinsoku/>
              <w:wordWrap w:val="0"/>
              <w:overflowPunct/>
              <w:topLinePunct w:val="0"/>
              <w:bidi w:val="0"/>
              <w:spacing w:line="360" w:lineRule="auto"/>
              <w:ind w:left="0" w:leftChars="0"/>
              <w:textAlignment w:val="auto"/>
              <w:rPr>
                <w:rFonts w:hint="eastAsia" w:ascii="宋体" w:hAnsi="宋体" w:eastAsia="宋体" w:cs="宋体"/>
                <w:sz w:val="21"/>
                <w:szCs w:val="21"/>
              </w:rPr>
            </w:pPr>
            <w:r>
              <w:rPr>
                <w:rFonts w:hint="eastAsia" w:ascii="宋体" w:hAnsi="宋体" w:eastAsia="宋体" w:cs="宋体"/>
                <w:sz w:val="21"/>
                <w:szCs w:val="21"/>
              </w:rPr>
              <w:t>①具备完善的安全生产管理制度和业务流程操作规范，具备完善的检修措施，确保维修质量，且能够为采购人车辆提供专门的车辆维修电子化档案的，评价为优，</w:t>
            </w:r>
            <w:r>
              <w:rPr>
                <w:rFonts w:hint="eastAsia" w:ascii="宋体" w:hAnsi="宋体" w:eastAsia="宋体" w:cs="宋体"/>
                <w:sz w:val="21"/>
                <w:szCs w:val="21"/>
                <w:lang w:val="en-US" w:eastAsia="zh-CN"/>
              </w:rPr>
              <w:t>加4</w:t>
            </w:r>
            <w:r>
              <w:rPr>
                <w:rFonts w:hint="eastAsia" w:ascii="宋体" w:hAnsi="宋体" w:eastAsia="宋体" w:cs="宋体"/>
                <w:sz w:val="21"/>
                <w:szCs w:val="21"/>
              </w:rPr>
              <w:t>分；</w:t>
            </w:r>
          </w:p>
          <w:p w14:paraId="7601D22E">
            <w:pPr>
              <w:keepNext w:val="0"/>
              <w:keepLines w:val="0"/>
              <w:pageBreakBefore w:val="0"/>
              <w:widowControl w:val="0"/>
              <w:kinsoku/>
              <w:wordWrap w:val="0"/>
              <w:overflowPunct/>
              <w:topLinePunct w:val="0"/>
              <w:bidi w:val="0"/>
              <w:spacing w:line="360" w:lineRule="auto"/>
              <w:ind w:left="0" w:leftChars="0"/>
              <w:textAlignment w:val="auto"/>
              <w:rPr>
                <w:rFonts w:hint="eastAsia" w:ascii="宋体" w:hAnsi="宋体" w:eastAsia="宋体" w:cs="宋体"/>
                <w:sz w:val="21"/>
                <w:szCs w:val="21"/>
              </w:rPr>
            </w:pPr>
            <w:r>
              <w:rPr>
                <w:rFonts w:hint="eastAsia" w:ascii="宋体" w:hAnsi="宋体" w:eastAsia="宋体" w:cs="宋体"/>
                <w:sz w:val="21"/>
                <w:szCs w:val="21"/>
              </w:rPr>
              <w:t>②具备比较完善的安全生产管理制度和业务流程操作规范，具备比较完善的检修措施以确保维修质量，且能够为采购人车辆提供专门的车辆维修档案的，评价为良，</w:t>
            </w:r>
            <w:r>
              <w:rPr>
                <w:rFonts w:hint="eastAsia" w:ascii="宋体" w:hAnsi="宋体" w:eastAsia="宋体" w:cs="宋体"/>
                <w:sz w:val="21"/>
                <w:szCs w:val="21"/>
                <w:lang w:val="en-US" w:eastAsia="zh-CN"/>
              </w:rPr>
              <w:t>加2</w:t>
            </w:r>
            <w:r>
              <w:rPr>
                <w:rFonts w:hint="eastAsia" w:ascii="宋体" w:hAnsi="宋体" w:eastAsia="宋体" w:cs="宋体"/>
                <w:sz w:val="21"/>
                <w:szCs w:val="21"/>
              </w:rPr>
              <w:t>分；</w:t>
            </w:r>
          </w:p>
          <w:p w14:paraId="37880C95">
            <w:pPr>
              <w:keepNext w:val="0"/>
              <w:keepLines w:val="0"/>
              <w:pageBreakBefore w:val="0"/>
              <w:widowControl w:val="0"/>
              <w:kinsoku/>
              <w:wordWrap w:val="0"/>
              <w:overflowPunct/>
              <w:topLinePunct w:val="0"/>
              <w:bidi w:val="0"/>
              <w:spacing w:line="360" w:lineRule="auto"/>
              <w:ind w:left="0" w:leftChars="0"/>
              <w:textAlignment w:val="auto"/>
              <w:rPr>
                <w:rFonts w:hint="eastAsia" w:ascii="宋体" w:hAnsi="宋体" w:eastAsia="宋体" w:cs="宋体"/>
                <w:sz w:val="21"/>
                <w:szCs w:val="21"/>
              </w:rPr>
            </w:pPr>
            <w:r>
              <w:rPr>
                <w:rFonts w:hint="eastAsia" w:ascii="宋体" w:hAnsi="宋体" w:eastAsia="宋体" w:cs="宋体"/>
                <w:sz w:val="21"/>
                <w:szCs w:val="21"/>
              </w:rPr>
              <w:t>③具备安全生产管理制度、业务流程操作规范和检修措施</w:t>
            </w:r>
            <w:r>
              <w:rPr>
                <w:rStyle w:val="58"/>
                <w:rFonts w:hint="eastAsia" w:ascii="宋体" w:hAnsi="宋体" w:eastAsia="宋体" w:cs="宋体"/>
                <w:sz w:val="21"/>
                <w:szCs w:val="21"/>
                <w:lang w:eastAsia="zh-CN"/>
              </w:rPr>
              <w:t>但不完善</w:t>
            </w:r>
            <w:r>
              <w:rPr>
                <w:rFonts w:hint="eastAsia" w:ascii="宋体" w:hAnsi="宋体" w:eastAsia="宋体" w:cs="宋体"/>
                <w:sz w:val="21"/>
                <w:szCs w:val="21"/>
              </w:rPr>
              <w:t>，且能够为采购人车辆提供车辆维修档案的，评价为中，</w:t>
            </w:r>
            <w:r>
              <w:rPr>
                <w:rFonts w:hint="eastAsia" w:ascii="宋体" w:hAnsi="宋体" w:eastAsia="宋体" w:cs="宋体"/>
                <w:sz w:val="21"/>
                <w:szCs w:val="21"/>
                <w:lang w:val="en-US" w:eastAsia="zh-CN"/>
              </w:rPr>
              <w:t>加1</w:t>
            </w:r>
            <w:r>
              <w:rPr>
                <w:rFonts w:hint="eastAsia" w:ascii="宋体" w:hAnsi="宋体" w:eastAsia="宋体" w:cs="宋体"/>
                <w:sz w:val="21"/>
                <w:szCs w:val="21"/>
              </w:rPr>
              <w:t>分；</w:t>
            </w:r>
          </w:p>
          <w:p w14:paraId="44401A2A">
            <w:pPr>
              <w:keepNext w:val="0"/>
              <w:keepLines w:val="0"/>
              <w:pageBreakBefore w:val="0"/>
              <w:widowControl w:val="0"/>
              <w:kinsoku/>
              <w:wordWrap w:val="0"/>
              <w:overflowPunct/>
              <w:topLinePunct w:val="0"/>
              <w:bidi w:val="0"/>
              <w:spacing w:line="360" w:lineRule="auto"/>
              <w:ind w:left="0" w:leftChars="0"/>
              <w:textAlignment w:val="auto"/>
              <w:rPr>
                <w:rFonts w:hint="eastAsia" w:ascii="宋体" w:hAnsi="宋体" w:eastAsia="宋体" w:cs="宋体"/>
                <w:kern w:val="0"/>
                <w:sz w:val="21"/>
                <w:szCs w:val="21"/>
                <w:lang w:eastAsia="zh-CN"/>
              </w:rPr>
            </w:pPr>
            <w:r>
              <w:rPr>
                <w:rFonts w:hint="eastAsia" w:ascii="宋体" w:hAnsi="宋体" w:eastAsia="宋体" w:cs="宋体"/>
                <w:sz w:val="21"/>
                <w:szCs w:val="21"/>
              </w:rPr>
              <w:t>2.</w:t>
            </w:r>
            <w:r>
              <w:rPr>
                <w:rFonts w:hint="eastAsia" w:ascii="宋体" w:hAnsi="宋体" w:eastAsia="宋体" w:cs="宋体"/>
                <w:sz w:val="21"/>
                <w:szCs w:val="21"/>
                <w:lang w:eastAsia="zh-CN"/>
              </w:rPr>
              <w:t>未明确</w:t>
            </w:r>
            <w:r>
              <w:rPr>
                <w:rFonts w:hint="eastAsia" w:ascii="宋体" w:hAnsi="宋体" w:eastAsia="宋体" w:cs="宋体"/>
                <w:sz w:val="21"/>
                <w:szCs w:val="21"/>
              </w:rPr>
              <w:t>安全生产管理制度、业务流程操作规范和检修措施，评价为差，不</w:t>
            </w:r>
            <w:r>
              <w:rPr>
                <w:rFonts w:hint="eastAsia" w:ascii="宋体" w:hAnsi="宋体" w:eastAsia="宋体" w:cs="宋体"/>
                <w:sz w:val="21"/>
                <w:szCs w:val="21"/>
                <w:lang w:val="en-US" w:eastAsia="zh-CN"/>
              </w:rPr>
              <w:t>加</w:t>
            </w:r>
            <w:r>
              <w:rPr>
                <w:rFonts w:hint="eastAsia" w:ascii="宋体" w:hAnsi="宋体" w:eastAsia="宋体" w:cs="宋体"/>
                <w:sz w:val="21"/>
                <w:szCs w:val="21"/>
              </w:rPr>
              <w:t>分</w:t>
            </w:r>
            <w:r>
              <w:rPr>
                <w:rFonts w:hint="eastAsia" w:ascii="宋体" w:hAnsi="宋体" w:eastAsia="宋体" w:cs="宋体"/>
                <w:sz w:val="21"/>
                <w:szCs w:val="21"/>
                <w:lang w:eastAsia="zh-CN"/>
              </w:rPr>
              <w:t>。</w:t>
            </w:r>
          </w:p>
        </w:tc>
        <w:tc>
          <w:tcPr>
            <w:tcW w:w="1018" w:type="dxa"/>
            <w:vAlign w:val="center"/>
          </w:tcPr>
          <w:p w14:paraId="02A9E37C">
            <w:pPr>
              <w:keepNext w:val="0"/>
              <w:keepLines w:val="0"/>
              <w:pageBreakBefore w:val="0"/>
              <w:kinsoku/>
              <w:overflowPunct/>
              <w:autoSpaceDE w:val="0"/>
              <w:autoSpaceDN w:val="0"/>
              <w:bidi w:val="0"/>
              <w:adjustRightInd w:val="0"/>
              <w:spacing w:line="360" w:lineRule="auto"/>
              <w:ind w:left="0" w:leftChars="0"/>
              <w:jc w:val="center"/>
              <w:textAlignment w:val="auto"/>
              <w:rPr>
                <w:rFonts w:hint="eastAsia" w:ascii="宋体" w:hAnsi="宋体" w:eastAsia="宋体" w:cs="宋体"/>
                <w:sz w:val="21"/>
                <w:szCs w:val="21"/>
              </w:rPr>
            </w:pPr>
            <w:r>
              <w:rPr>
                <w:rFonts w:hint="eastAsia" w:ascii="宋体" w:hAnsi="宋体" w:eastAsia="宋体" w:cs="宋体"/>
                <w:sz w:val="21"/>
                <w:szCs w:val="21"/>
              </w:rPr>
              <w:t>评委打分</w:t>
            </w:r>
          </w:p>
        </w:tc>
      </w:tr>
      <w:tr w14:paraId="4C5A7C4E">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465" w:hRule="atLeast"/>
          <w:jc w:val="center"/>
        </w:trPr>
        <w:tc>
          <w:tcPr>
            <w:tcW w:w="754" w:type="dxa"/>
            <w:vAlign w:val="center"/>
          </w:tcPr>
          <w:p w14:paraId="631FD59A">
            <w:pPr>
              <w:keepNext w:val="0"/>
              <w:keepLines w:val="0"/>
              <w:pageBreakBefore w:val="0"/>
              <w:kinsoku/>
              <w:overflowPunct/>
              <w:autoSpaceDE w:val="0"/>
              <w:autoSpaceDN w:val="0"/>
              <w:bidi w:val="0"/>
              <w:adjustRightInd w:val="0"/>
              <w:spacing w:line="360" w:lineRule="auto"/>
              <w:ind w:left="0" w:left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rPr>
              <w:t>2</w:t>
            </w:r>
          </w:p>
        </w:tc>
        <w:tc>
          <w:tcPr>
            <w:tcW w:w="1143" w:type="dxa"/>
            <w:vAlign w:val="center"/>
          </w:tcPr>
          <w:p w14:paraId="41C2F6C4">
            <w:pPr>
              <w:keepNext w:val="0"/>
              <w:keepLines w:val="0"/>
              <w:pageBreakBefore w:val="0"/>
              <w:widowControl w:val="0"/>
              <w:kinsoku/>
              <w:wordWrap w:val="0"/>
              <w:overflowPunct/>
              <w:topLinePunct w:val="0"/>
              <w:bidi w:val="0"/>
              <w:spacing w:line="360" w:lineRule="auto"/>
              <w:ind w:left="0" w:leftChars="0"/>
              <w:jc w:val="center"/>
              <w:textAlignment w:val="auto"/>
              <w:rPr>
                <w:rFonts w:hint="eastAsia" w:ascii="宋体" w:hAnsi="宋体" w:eastAsia="宋体" w:cs="宋体"/>
                <w:kern w:val="0"/>
                <w:sz w:val="21"/>
                <w:szCs w:val="21"/>
              </w:rPr>
            </w:pPr>
            <w:r>
              <w:rPr>
                <w:rFonts w:hint="eastAsia" w:ascii="宋体" w:hAnsi="宋体" w:eastAsia="宋体" w:cs="宋体"/>
                <w:sz w:val="21"/>
                <w:szCs w:val="21"/>
              </w:rPr>
              <w:t>项目重点难点分析、应对措施及相关的合理化建议</w:t>
            </w:r>
          </w:p>
        </w:tc>
        <w:tc>
          <w:tcPr>
            <w:tcW w:w="709" w:type="dxa"/>
            <w:vAlign w:val="center"/>
          </w:tcPr>
          <w:p w14:paraId="00EAC5AA">
            <w:pPr>
              <w:keepNext w:val="0"/>
              <w:keepLines w:val="0"/>
              <w:pageBreakBefore w:val="0"/>
              <w:widowControl w:val="0"/>
              <w:kinsoku/>
              <w:wordWrap w:val="0"/>
              <w:overflowPunct/>
              <w:topLinePunct w:val="0"/>
              <w:bidi w:val="0"/>
              <w:spacing w:line="360" w:lineRule="auto"/>
              <w:ind w:left="0" w:leftChars="0"/>
              <w:jc w:val="center"/>
              <w:textAlignment w:val="auto"/>
              <w:rPr>
                <w:rFonts w:hint="eastAsia" w:ascii="宋体" w:hAnsi="宋体" w:eastAsia="宋体" w:cs="宋体"/>
                <w:kern w:val="0"/>
                <w:sz w:val="21"/>
                <w:szCs w:val="21"/>
              </w:rPr>
            </w:pPr>
            <w:r>
              <w:rPr>
                <w:rFonts w:hint="eastAsia" w:ascii="宋体" w:hAnsi="宋体" w:eastAsia="宋体" w:cs="宋体"/>
                <w:sz w:val="21"/>
                <w:szCs w:val="21"/>
              </w:rPr>
              <w:t>3</w:t>
            </w:r>
          </w:p>
        </w:tc>
        <w:tc>
          <w:tcPr>
            <w:tcW w:w="6636" w:type="dxa"/>
            <w:vAlign w:val="center"/>
          </w:tcPr>
          <w:p w14:paraId="416398B8">
            <w:pPr>
              <w:keepNext w:val="0"/>
              <w:keepLines w:val="0"/>
              <w:pageBreakBefore w:val="0"/>
              <w:widowControl w:val="0"/>
              <w:kinsoku/>
              <w:overflowPunct/>
              <w:topLinePunct w:val="0"/>
              <w:bidi w:val="0"/>
              <w:spacing w:line="360" w:lineRule="auto"/>
              <w:ind w:left="0" w:leftChars="0"/>
              <w:textAlignment w:val="auto"/>
              <w:rPr>
                <w:rFonts w:hint="eastAsia" w:ascii="宋体" w:hAnsi="宋体" w:eastAsia="宋体" w:cs="宋体"/>
                <w:sz w:val="21"/>
                <w:szCs w:val="21"/>
              </w:rPr>
            </w:pPr>
            <w:r>
              <w:rPr>
                <w:rFonts w:hint="eastAsia" w:ascii="宋体" w:hAnsi="宋体" w:eastAsia="宋体" w:cs="宋体"/>
                <w:sz w:val="21"/>
                <w:szCs w:val="21"/>
              </w:rPr>
              <w:t>（一）评分内容：</w:t>
            </w:r>
          </w:p>
          <w:p w14:paraId="5E6021DF">
            <w:pPr>
              <w:keepNext w:val="0"/>
              <w:keepLines w:val="0"/>
              <w:pageBreakBefore w:val="0"/>
              <w:widowControl w:val="0"/>
              <w:kinsoku/>
              <w:overflowPunct/>
              <w:topLinePunct w:val="0"/>
              <w:bidi w:val="0"/>
              <w:spacing w:line="360" w:lineRule="auto"/>
              <w:ind w:left="0" w:leftChars="0"/>
              <w:textAlignment w:val="auto"/>
              <w:rPr>
                <w:rFonts w:hint="eastAsia" w:ascii="宋体" w:hAnsi="宋体" w:eastAsia="宋体" w:cs="宋体"/>
                <w:sz w:val="21"/>
                <w:szCs w:val="21"/>
              </w:rPr>
            </w:pPr>
            <w:r>
              <w:rPr>
                <w:rFonts w:hint="eastAsia" w:ascii="宋体" w:hAnsi="宋体" w:eastAsia="宋体" w:cs="宋体"/>
                <w:sz w:val="21"/>
                <w:szCs w:val="21"/>
              </w:rPr>
              <w:t>投标人须针对本项目需求提供对项目重点难点分析、应对措施及相关的合理化建议，包括下述内容：</w:t>
            </w:r>
          </w:p>
          <w:p w14:paraId="7A60BD30">
            <w:pPr>
              <w:keepNext w:val="0"/>
              <w:keepLines w:val="0"/>
              <w:pageBreakBefore w:val="0"/>
              <w:widowControl w:val="0"/>
              <w:kinsoku/>
              <w:overflowPunct/>
              <w:topLinePunct w:val="0"/>
              <w:bidi w:val="0"/>
              <w:spacing w:line="360" w:lineRule="auto"/>
              <w:ind w:left="0" w:leftChars="0"/>
              <w:textAlignment w:val="auto"/>
              <w:rPr>
                <w:rFonts w:hint="eastAsia" w:ascii="宋体" w:hAnsi="宋体" w:eastAsia="宋体" w:cs="宋体"/>
                <w:sz w:val="21"/>
                <w:szCs w:val="21"/>
              </w:rPr>
            </w:pPr>
            <w:r>
              <w:rPr>
                <w:rFonts w:hint="eastAsia" w:ascii="宋体" w:hAnsi="宋体" w:eastAsia="宋体" w:cs="宋体"/>
                <w:sz w:val="21"/>
                <w:szCs w:val="21"/>
              </w:rPr>
              <w:t>1.项目重点难点分析；</w:t>
            </w:r>
          </w:p>
          <w:p w14:paraId="4E6AE75A">
            <w:pPr>
              <w:keepNext w:val="0"/>
              <w:keepLines w:val="0"/>
              <w:pageBreakBefore w:val="0"/>
              <w:widowControl w:val="0"/>
              <w:kinsoku/>
              <w:overflowPunct/>
              <w:topLinePunct w:val="0"/>
              <w:bidi w:val="0"/>
              <w:spacing w:line="360" w:lineRule="auto"/>
              <w:ind w:left="0" w:leftChars="0"/>
              <w:textAlignment w:val="auto"/>
              <w:rPr>
                <w:rFonts w:hint="eastAsia" w:ascii="宋体" w:hAnsi="宋体" w:eastAsia="宋体" w:cs="宋体"/>
                <w:sz w:val="21"/>
                <w:szCs w:val="21"/>
              </w:rPr>
            </w:pPr>
            <w:r>
              <w:rPr>
                <w:rFonts w:hint="eastAsia" w:ascii="宋体" w:hAnsi="宋体" w:eastAsia="宋体" w:cs="宋体"/>
                <w:sz w:val="21"/>
                <w:szCs w:val="21"/>
              </w:rPr>
              <w:t>2.应对措施；</w:t>
            </w:r>
          </w:p>
          <w:p w14:paraId="4201CAFA">
            <w:pPr>
              <w:keepNext w:val="0"/>
              <w:keepLines w:val="0"/>
              <w:pageBreakBefore w:val="0"/>
              <w:widowControl w:val="0"/>
              <w:kinsoku/>
              <w:overflowPunct/>
              <w:topLinePunct w:val="0"/>
              <w:bidi w:val="0"/>
              <w:spacing w:line="360" w:lineRule="auto"/>
              <w:ind w:left="0" w:leftChars="0"/>
              <w:textAlignment w:val="auto"/>
              <w:rPr>
                <w:rFonts w:hint="eastAsia" w:ascii="宋体" w:hAnsi="宋体" w:eastAsia="宋体" w:cs="宋体"/>
                <w:sz w:val="21"/>
                <w:szCs w:val="21"/>
              </w:rPr>
            </w:pPr>
            <w:r>
              <w:rPr>
                <w:rFonts w:hint="eastAsia" w:ascii="宋体" w:hAnsi="宋体" w:eastAsia="宋体" w:cs="宋体"/>
                <w:sz w:val="21"/>
                <w:szCs w:val="21"/>
              </w:rPr>
              <w:t>3.相关的合理化建议。</w:t>
            </w:r>
          </w:p>
          <w:p w14:paraId="60D182FC">
            <w:pPr>
              <w:keepNext w:val="0"/>
              <w:keepLines w:val="0"/>
              <w:pageBreakBefore w:val="0"/>
              <w:widowControl w:val="0"/>
              <w:kinsoku/>
              <w:wordWrap w:val="0"/>
              <w:overflowPunct/>
              <w:topLinePunct w:val="0"/>
              <w:bidi w:val="0"/>
              <w:spacing w:line="360" w:lineRule="auto"/>
              <w:ind w:left="0" w:leftChars="0"/>
              <w:textAlignment w:val="auto"/>
              <w:rPr>
                <w:rFonts w:hint="eastAsia" w:ascii="宋体" w:hAnsi="宋体" w:eastAsia="宋体" w:cs="宋体"/>
                <w:sz w:val="21"/>
                <w:szCs w:val="21"/>
              </w:rPr>
            </w:pPr>
          </w:p>
          <w:p w14:paraId="7F6AC0D1">
            <w:pPr>
              <w:keepNext w:val="0"/>
              <w:keepLines w:val="0"/>
              <w:pageBreakBefore w:val="0"/>
              <w:widowControl w:val="0"/>
              <w:kinsoku/>
              <w:wordWrap w:val="0"/>
              <w:overflowPunct/>
              <w:topLinePunct w:val="0"/>
              <w:bidi w:val="0"/>
              <w:spacing w:line="360" w:lineRule="auto"/>
              <w:ind w:left="0" w:leftChars="0"/>
              <w:textAlignment w:val="auto"/>
              <w:rPr>
                <w:rFonts w:hint="eastAsia" w:ascii="宋体" w:hAnsi="宋体" w:eastAsia="宋体" w:cs="宋体"/>
                <w:sz w:val="21"/>
                <w:szCs w:val="21"/>
              </w:rPr>
            </w:pPr>
            <w:r>
              <w:rPr>
                <w:rFonts w:hint="eastAsia" w:ascii="宋体" w:hAnsi="宋体" w:eastAsia="宋体" w:cs="宋体"/>
                <w:sz w:val="21"/>
                <w:szCs w:val="21"/>
              </w:rPr>
              <w:t>（二）评分依据：</w:t>
            </w:r>
          </w:p>
          <w:p w14:paraId="2CACBD7E">
            <w:pPr>
              <w:keepNext w:val="0"/>
              <w:keepLines w:val="0"/>
              <w:pageBreakBefore w:val="0"/>
              <w:widowControl w:val="0"/>
              <w:kinsoku/>
              <w:overflowPunct/>
              <w:topLinePunct w:val="0"/>
              <w:bidi w:val="0"/>
              <w:spacing w:line="360" w:lineRule="auto"/>
              <w:ind w:left="0" w:leftChars="0"/>
              <w:textAlignment w:val="auto"/>
              <w:rPr>
                <w:rFonts w:hint="eastAsia" w:ascii="宋体" w:hAnsi="宋体" w:eastAsia="宋体" w:cs="宋体"/>
                <w:sz w:val="21"/>
                <w:szCs w:val="21"/>
              </w:rPr>
            </w:pPr>
            <w:r>
              <w:rPr>
                <w:rFonts w:hint="eastAsia" w:ascii="宋体" w:hAnsi="宋体" w:eastAsia="宋体" w:cs="宋体"/>
                <w:sz w:val="21"/>
                <w:szCs w:val="21"/>
              </w:rPr>
              <w:t>包含以上三项内容得</w:t>
            </w:r>
            <w:r>
              <w:rPr>
                <w:rFonts w:hint="eastAsia" w:ascii="宋体" w:hAnsi="宋体" w:eastAsia="宋体" w:cs="宋体"/>
                <w:sz w:val="21"/>
                <w:szCs w:val="21"/>
                <w:lang w:val="en-US" w:eastAsia="zh-CN"/>
              </w:rPr>
              <w:t>1.5</w:t>
            </w:r>
            <w:r>
              <w:rPr>
                <w:rFonts w:hint="eastAsia" w:ascii="宋体" w:hAnsi="宋体" w:eastAsia="宋体" w:cs="宋体"/>
                <w:sz w:val="21"/>
                <w:szCs w:val="21"/>
              </w:rPr>
              <w:t>分，包含以上任意二项内容得</w:t>
            </w:r>
            <w:r>
              <w:rPr>
                <w:rFonts w:hint="eastAsia" w:ascii="宋体" w:hAnsi="宋体" w:eastAsia="宋体" w:cs="宋体"/>
                <w:sz w:val="21"/>
                <w:szCs w:val="21"/>
                <w:lang w:val="en-US" w:eastAsia="zh-CN"/>
              </w:rPr>
              <w:t>1</w:t>
            </w:r>
            <w:r>
              <w:rPr>
                <w:rFonts w:hint="eastAsia" w:ascii="宋体" w:hAnsi="宋体" w:eastAsia="宋体" w:cs="宋体"/>
                <w:sz w:val="21"/>
                <w:szCs w:val="21"/>
              </w:rPr>
              <w:t>分，包含以上任意一项内容得</w:t>
            </w:r>
            <w:r>
              <w:rPr>
                <w:rFonts w:hint="eastAsia" w:ascii="宋体" w:hAnsi="宋体" w:eastAsia="宋体" w:cs="宋体"/>
                <w:sz w:val="21"/>
                <w:szCs w:val="21"/>
                <w:lang w:val="en-US" w:eastAsia="zh-CN"/>
              </w:rPr>
              <w:t>0.5</w:t>
            </w:r>
            <w:r>
              <w:rPr>
                <w:rFonts w:hint="eastAsia" w:ascii="宋体" w:hAnsi="宋体" w:eastAsia="宋体" w:cs="宋体"/>
                <w:sz w:val="21"/>
                <w:szCs w:val="21"/>
              </w:rPr>
              <w:t>分，其它情况不得分。在此基础上，根据响应情况进一步评审：</w:t>
            </w:r>
          </w:p>
          <w:p w14:paraId="3CC15118">
            <w:pPr>
              <w:keepNext w:val="0"/>
              <w:keepLines w:val="0"/>
              <w:pageBreakBefore w:val="0"/>
              <w:widowControl w:val="0"/>
              <w:kinsoku/>
              <w:overflowPunct/>
              <w:topLinePunct w:val="0"/>
              <w:bidi w:val="0"/>
              <w:spacing w:line="360" w:lineRule="auto"/>
              <w:ind w:left="0" w:leftChars="0"/>
              <w:textAlignment w:val="auto"/>
              <w:rPr>
                <w:rFonts w:hint="eastAsia" w:ascii="宋体" w:hAnsi="宋体" w:eastAsia="宋体" w:cs="宋体"/>
                <w:sz w:val="21"/>
                <w:szCs w:val="21"/>
              </w:rPr>
            </w:pPr>
            <w:r>
              <w:rPr>
                <w:rFonts w:hint="eastAsia" w:ascii="宋体" w:hAnsi="宋体" w:eastAsia="宋体" w:cs="宋体"/>
                <w:sz w:val="21"/>
                <w:szCs w:val="21"/>
              </w:rPr>
              <w:t>①项目重点难点分析、应对措施及相关的合理化建议内容全面、具体、科学合理，针对性强，加</w:t>
            </w:r>
            <w:r>
              <w:rPr>
                <w:rFonts w:hint="eastAsia" w:ascii="宋体" w:hAnsi="宋体" w:eastAsia="宋体" w:cs="宋体"/>
                <w:sz w:val="21"/>
                <w:szCs w:val="21"/>
                <w:lang w:val="en-US" w:eastAsia="zh-CN"/>
              </w:rPr>
              <w:t>1.5</w:t>
            </w:r>
            <w:r>
              <w:rPr>
                <w:rFonts w:hint="eastAsia" w:ascii="宋体" w:hAnsi="宋体" w:eastAsia="宋体" w:cs="宋体"/>
                <w:sz w:val="21"/>
                <w:szCs w:val="21"/>
              </w:rPr>
              <w:t>分；</w:t>
            </w:r>
          </w:p>
          <w:p w14:paraId="65F2C205">
            <w:pPr>
              <w:keepNext w:val="0"/>
              <w:keepLines w:val="0"/>
              <w:pageBreakBefore w:val="0"/>
              <w:widowControl w:val="0"/>
              <w:kinsoku/>
              <w:overflowPunct/>
              <w:topLinePunct w:val="0"/>
              <w:bidi w:val="0"/>
              <w:spacing w:line="360" w:lineRule="auto"/>
              <w:ind w:left="0" w:leftChars="0"/>
              <w:textAlignment w:val="auto"/>
              <w:rPr>
                <w:rFonts w:hint="eastAsia" w:ascii="宋体" w:hAnsi="宋体" w:eastAsia="宋体" w:cs="宋体"/>
                <w:sz w:val="21"/>
                <w:szCs w:val="21"/>
              </w:rPr>
            </w:pPr>
            <w:r>
              <w:rPr>
                <w:rFonts w:hint="eastAsia" w:ascii="宋体" w:hAnsi="宋体" w:eastAsia="宋体" w:cs="宋体"/>
                <w:sz w:val="21"/>
                <w:szCs w:val="21"/>
              </w:rPr>
              <w:t>②项目重点难点分析、应对措施及相关的合理化建议内容较全面、较具体、较科学合理，针对性较强，加</w:t>
            </w:r>
            <w:r>
              <w:rPr>
                <w:rFonts w:hint="eastAsia" w:ascii="宋体" w:hAnsi="宋体" w:eastAsia="宋体" w:cs="宋体"/>
                <w:sz w:val="21"/>
                <w:szCs w:val="21"/>
                <w:lang w:val="en-US" w:eastAsia="zh-CN"/>
              </w:rPr>
              <w:t>1</w:t>
            </w:r>
            <w:r>
              <w:rPr>
                <w:rFonts w:hint="eastAsia" w:ascii="宋体" w:hAnsi="宋体" w:eastAsia="宋体" w:cs="宋体"/>
                <w:sz w:val="21"/>
                <w:szCs w:val="21"/>
              </w:rPr>
              <w:t>分；</w:t>
            </w:r>
          </w:p>
          <w:p w14:paraId="1022749B">
            <w:pPr>
              <w:keepNext w:val="0"/>
              <w:keepLines w:val="0"/>
              <w:pageBreakBefore w:val="0"/>
              <w:widowControl w:val="0"/>
              <w:kinsoku/>
              <w:overflowPunct/>
              <w:topLinePunct w:val="0"/>
              <w:bidi w:val="0"/>
              <w:spacing w:line="360" w:lineRule="auto"/>
              <w:ind w:left="0" w:leftChars="0"/>
              <w:textAlignment w:val="auto"/>
              <w:rPr>
                <w:rFonts w:hint="eastAsia" w:ascii="宋体" w:hAnsi="宋体" w:eastAsia="宋体" w:cs="宋体"/>
                <w:sz w:val="21"/>
                <w:szCs w:val="21"/>
              </w:rPr>
            </w:pPr>
            <w:r>
              <w:rPr>
                <w:rFonts w:hint="eastAsia" w:ascii="宋体" w:hAnsi="宋体" w:eastAsia="宋体" w:cs="宋体"/>
                <w:sz w:val="21"/>
                <w:szCs w:val="21"/>
              </w:rPr>
              <w:t>③项目重点难点分析、应对措施及相关的合理化建议内容全面性一般、针对性一般，加</w:t>
            </w:r>
            <w:r>
              <w:rPr>
                <w:rFonts w:hint="eastAsia" w:ascii="宋体" w:hAnsi="宋体" w:eastAsia="宋体" w:cs="宋体"/>
                <w:sz w:val="21"/>
                <w:szCs w:val="21"/>
                <w:lang w:val="en-US" w:eastAsia="zh-CN"/>
              </w:rPr>
              <w:t>0.5</w:t>
            </w:r>
            <w:r>
              <w:rPr>
                <w:rFonts w:hint="eastAsia" w:ascii="宋体" w:hAnsi="宋体" w:eastAsia="宋体" w:cs="宋体"/>
                <w:sz w:val="21"/>
                <w:szCs w:val="21"/>
              </w:rPr>
              <w:t>分；</w:t>
            </w:r>
          </w:p>
          <w:p w14:paraId="1FF9B0EB">
            <w:pPr>
              <w:pStyle w:val="18"/>
              <w:keepNext w:val="0"/>
              <w:keepLines w:val="0"/>
              <w:pageBreakBefore w:val="0"/>
              <w:widowControl w:val="0"/>
              <w:kinsoku/>
              <w:overflowPunct/>
              <w:topLinePunct w:val="0"/>
              <w:bidi w:val="0"/>
              <w:spacing w:line="360" w:lineRule="auto"/>
              <w:ind w:left="0" w:leftChars="0"/>
              <w:textAlignment w:val="auto"/>
              <w:rPr>
                <w:rFonts w:hint="eastAsia" w:ascii="宋体" w:hAnsi="宋体" w:eastAsia="宋体" w:cs="宋体"/>
                <w:sz w:val="21"/>
                <w:szCs w:val="21"/>
              </w:rPr>
            </w:pPr>
            <w:r>
              <w:rPr>
                <w:rFonts w:hint="eastAsia" w:ascii="宋体" w:hAnsi="宋体" w:eastAsia="宋体" w:cs="宋体"/>
                <w:sz w:val="21"/>
                <w:szCs w:val="21"/>
              </w:rPr>
              <w:t>④</w:t>
            </w:r>
            <w:r>
              <w:rPr>
                <w:rFonts w:hint="eastAsia" w:ascii="宋体" w:hAnsi="宋体" w:eastAsia="宋体" w:cs="宋体"/>
                <w:sz w:val="21"/>
                <w:szCs w:val="21"/>
                <w:lang w:eastAsia="zh-CN"/>
              </w:rPr>
              <w:t>重点难点分析不全面</w:t>
            </w:r>
            <w:r>
              <w:rPr>
                <w:rFonts w:hint="eastAsia" w:ascii="宋体" w:hAnsi="宋体" w:eastAsia="宋体" w:cs="宋体"/>
                <w:sz w:val="21"/>
                <w:szCs w:val="21"/>
              </w:rPr>
              <w:t>、应对措施</w:t>
            </w:r>
            <w:r>
              <w:rPr>
                <w:rFonts w:hint="eastAsia" w:ascii="宋体" w:hAnsi="宋体" w:eastAsia="宋体" w:cs="宋体"/>
                <w:kern w:val="2"/>
                <w:sz w:val="21"/>
                <w:szCs w:val="21"/>
              </w:rPr>
              <w:t>可行性低，相关建议不合理的</w:t>
            </w:r>
            <w:r>
              <w:rPr>
                <w:rFonts w:hint="eastAsia" w:ascii="宋体" w:hAnsi="宋体" w:eastAsia="宋体" w:cs="宋体"/>
                <w:sz w:val="21"/>
                <w:szCs w:val="21"/>
              </w:rPr>
              <w:t>，不加分。</w:t>
            </w:r>
          </w:p>
        </w:tc>
        <w:tc>
          <w:tcPr>
            <w:tcW w:w="1018" w:type="dxa"/>
            <w:vAlign w:val="center"/>
          </w:tcPr>
          <w:p w14:paraId="6F50CC95">
            <w:pPr>
              <w:keepNext w:val="0"/>
              <w:keepLines w:val="0"/>
              <w:pageBreakBefore w:val="0"/>
              <w:kinsoku/>
              <w:overflowPunct/>
              <w:bidi w:val="0"/>
              <w:spacing w:line="360" w:lineRule="auto"/>
              <w:ind w:left="0" w:left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rPr>
              <w:t>评委打分</w:t>
            </w:r>
          </w:p>
        </w:tc>
      </w:tr>
      <w:tr w14:paraId="384057C4">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98" w:hRule="atLeast"/>
          <w:jc w:val="center"/>
        </w:trPr>
        <w:tc>
          <w:tcPr>
            <w:tcW w:w="754" w:type="dxa"/>
            <w:vAlign w:val="center"/>
          </w:tcPr>
          <w:p w14:paraId="5566CF47">
            <w:pPr>
              <w:keepNext w:val="0"/>
              <w:keepLines w:val="0"/>
              <w:pageBreakBefore w:val="0"/>
              <w:kinsoku/>
              <w:overflowPunct/>
              <w:autoSpaceDE w:val="0"/>
              <w:autoSpaceDN w:val="0"/>
              <w:bidi w:val="0"/>
              <w:adjustRightInd w:val="0"/>
              <w:spacing w:line="360" w:lineRule="auto"/>
              <w:ind w:left="0" w:leftChars="0"/>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1143" w:type="dxa"/>
            <w:vAlign w:val="center"/>
          </w:tcPr>
          <w:p w14:paraId="7F21E582">
            <w:pPr>
              <w:keepNext w:val="0"/>
              <w:keepLines w:val="0"/>
              <w:pageBreakBefore w:val="0"/>
              <w:widowControl/>
              <w:kinsoku/>
              <w:overflowPunct/>
              <w:bidi w:val="0"/>
              <w:spacing w:line="360" w:lineRule="auto"/>
              <w:ind w:left="0" w:left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拟投入本项目的设备情况</w:t>
            </w:r>
          </w:p>
        </w:tc>
        <w:tc>
          <w:tcPr>
            <w:tcW w:w="709" w:type="dxa"/>
            <w:vAlign w:val="center"/>
          </w:tcPr>
          <w:p w14:paraId="2DC770A7">
            <w:pPr>
              <w:keepNext w:val="0"/>
              <w:keepLines w:val="0"/>
              <w:pageBreakBefore w:val="0"/>
              <w:widowControl/>
              <w:kinsoku/>
              <w:overflowPunct/>
              <w:bidi w:val="0"/>
              <w:spacing w:line="360" w:lineRule="auto"/>
              <w:ind w:left="0" w:leftChars="0"/>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15</w:t>
            </w:r>
          </w:p>
        </w:tc>
        <w:tc>
          <w:tcPr>
            <w:tcW w:w="6636" w:type="dxa"/>
            <w:vAlign w:val="center"/>
          </w:tcPr>
          <w:p w14:paraId="0D325CA8">
            <w:pPr>
              <w:keepNext w:val="0"/>
              <w:keepLines w:val="0"/>
              <w:pageBreakBefore w:val="0"/>
              <w:kinsoku/>
              <w:overflowPunct/>
              <w:bidi w:val="0"/>
              <w:spacing w:line="360" w:lineRule="auto"/>
              <w:ind w:left="0" w:leftChars="0"/>
              <w:jc w:val="left"/>
              <w:textAlignment w:val="auto"/>
              <w:rPr>
                <w:rFonts w:hint="eastAsia" w:ascii="宋体" w:hAnsi="宋体" w:eastAsia="宋体" w:cs="宋体"/>
                <w:sz w:val="21"/>
                <w:szCs w:val="21"/>
                <w:lang w:eastAsia="zh-CN"/>
              </w:rPr>
            </w:pPr>
            <w:r>
              <w:rPr>
                <w:rFonts w:hint="eastAsia" w:ascii="宋体" w:hAnsi="宋体" w:eastAsia="宋体" w:cs="宋体"/>
                <w:sz w:val="21"/>
                <w:szCs w:val="21"/>
              </w:rPr>
              <w:t>（一）评分内容</w:t>
            </w:r>
            <w:r>
              <w:rPr>
                <w:rFonts w:hint="eastAsia" w:ascii="宋体" w:hAnsi="宋体" w:eastAsia="宋体" w:cs="宋体"/>
                <w:sz w:val="21"/>
                <w:szCs w:val="21"/>
                <w:lang w:eastAsia="zh-CN"/>
              </w:rPr>
              <w:t>：</w:t>
            </w:r>
          </w:p>
          <w:p w14:paraId="649D277D">
            <w:pPr>
              <w:keepNext w:val="0"/>
              <w:keepLines w:val="0"/>
              <w:pageBreakBefore w:val="0"/>
              <w:kinsoku/>
              <w:overflowPunct/>
              <w:bidi w:val="0"/>
              <w:spacing w:line="360" w:lineRule="auto"/>
              <w:ind w:left="0" w:leftChars="0"/>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根据</w:t>
            </w:r>
            <w:r>
              <w:rPr>
                <w:rFonts w:hint="eastAsia" w:ascii="宋体" w:hAnsi="宋体" w:eastAsia="宋体" w:cs="宋体"/>
                <w:sz w:val="21"/>
                <w:szCs w:val="21"/>
              </w:rPr>
              <w:t>投标人</w:t>
            </w:r>
            <w:r>
              <w:rPr>
                <w:rFonts w:hint="eastAsia" w:ascii="宋体" w:hAnsi="宋体" w:eastAsia="宋体" w:cs="宋体"/>
                <w:sz w:val="21"/>
                <w:szCs w:val="21"/>
                <w:lang w:eastAsia="zh-CN"/>
              </w:rPr>
              <w:t>的</w:t>
            </w:r>
            <w:r>
              <w:rPr>
                <w:rFonts w:hint="eastAsia" w:ascii="宋体" w:hAnsi="宋体" w:eastAsia="宋体" w:cs="宋体"/>
                <w:sz w:val="21"/>
                <w:szCs w:val="21"/>
              </w:rPr>
              <w:t>设备情况</w:t>
            </w:r>
            <w:r>
              <w:rPr>
                <w:rFonts w:hint="eastAsia" w:ascii="宋体" w:hAnsi="宋体" w:eastAsia="宋体" w:cs="宋体"/>
                <w:sz w:val="21"/>
                <w:szCs w:val="21"/>
                <w:lang w:val="en-US" w:eastAsia="zh-CN"/>
              </w:rPr>
              <w:t>进行评分</w:t>
            </w:r>
            <w:r>
              <w:rPr>
                <w:rFonts w:hint="eastAsia" w:ascii="宋体" w:hAnsi="宋体" w:eastAsia="宋体" w:cs="宋体"/>
                <w:sz w:val="21"/>
                <w:szCs w:val="21"/>
              </w:rPr>
              <w:t>：</w:t>
            </w:r>
          </w:p>
          <w:p w14:paraId="20F0B3FB">
            <w:pPr>
              <w:keepNext w:val="0"/>
              <w:keepLines w:val="0"/>
              <w:pageBreakBefore w:val="0"/>
              <w:kinsoku/>
              <w:overflowPunct/>
              <w:bidi w:val="0"/>
              <w:spacing w:line="360" w:lineRule="auto"/>
              <w:ind w:left="0" w:leftChars="0"/>
              <w:jc w:val="left"/>
              <w:textAlignment w:val="auto"/>
              <w:rPr>
                <w:rFonts w:hint="eastAsia" w:ascii="宋体" w:hAnsi="宋体" w:eastAsia="宋体" w:cs="宋体"/>
                <w:sz w:val="21"/>
                <w:szCs w:val="21"/>
              </w:rPr>
            </w:pPr>
            <w:r>
              <w:rPr>
                <w:rFonts w:hint="eastAsia" w:ascii="宋体" w:hAnsi="宋体" w:eastAsia="宋体" w:cs="宋体"/>
                <w:sz w:val="21"/>
                <w:szCs w:val="21"/>
              </w:rPr>
              <w:t>1.维修工位≥</w:t>
            </w:r>
            <w:r>
              <w:rPr>
                <w:rFonts w:hint="eastAsia" w:ascii="宋体" w:hAnsi="宋体" w:eastAsia="宋体" w:cs="宋体"/>
                <w:sz w:val="21"/>
                <w:szCs w:val="21"/>
                <w:lang w:val="en-US" w:eastAsia="zh-CN"/>
              </w:rPr>
              <w:t>5</w:t>
            </w:r>
            <w:r>
              <w:rPr>
                <w:rFonts w:hint="eastAsia" w:ascii="宋体" w:hAnsi="宋体" w:eastAsia="宋体" w:cs="宋体"/>
                <w:sz w:val="21"/>
                <w:szCs w:val="21"/>
              </w:rPr>
              <w:t>个（含举升机）；</w:t>
            </w:r>
          </w:p>
          <w:p w14:paraId="5E51F3CD">
            <w:pPr>
              <w:keepNext w:val="0"/>
              <w:keepLines w:val="0"/>
              <w:pageBreakBefore w:val="0"/>
              <w:kinsoku/>
              <w:overflowPunct/>
              <w:bidi w:val="0"/>
              <w:spacing w:line="360" w:lineRule="auto"/>
              <w:ind w:left="0" w:leftChars="0"/>
              <w:jc w:val="left"/>
              <w:textAlignment w:val="auto"/>
              <w:rPr>
                <w:rFonts w:hint="eastAsia" w:ascii="宋体" w:hAnsi="宋体" w:eastAsia="宋体" w:cs="宋体"/>
                <w:sz w:val="21"/>
                <w:szCs w:val="21"/>
              </w:rPr>
            </w:pPr>
            <w:r>
              <w:rPr>
                <w:rFonts w:hint="eastAsia" w:ascii="宋体" w:hAnsi="宋体" w:eastAsia="宋体" w:cs="宋体"/>
                <w:sz w:val="21"/>
                <w:szCs w:val="21"/>
              </w:rPr>
              <w:t>2.二氧化碳保护焊；</w:t>
            </w:r>
          </w:p>
          <w:p w14:paraId="71557DD0">
            <w:pPr>
              <w:keepNext w:val="0"/>
              <w:keepLines w:val="0"/>
              <w:pageBreakBefore w:val="0"/>
              <w:kinsoku/>
              <w:overflowPunct/>
              <w:bidi w:val="0"/>
              <w:spacing w:line="360" w:lineRule="auto"/>
              <w:ind w:left="0" w:leftChars="0"/>
              <w:jc w:val="left"/>
              <w:textAlignment w:val="auto"/>
              <w:rPr>
                <w:rFonts w:hint="eastAsia" w:ascii="宋体" w:hAnsi="宋体" w:eastAsia="宋体" w:cs="宋体"/>
                <w:sz w:val="21"/>
                <w:szCs w:val="21"/>
              </w:rPr>
            </w:pPr>
            <w:r>
              <w:rPr>
                <w:rFonts w:hint="eastAsia" w:ascii="宋体" w:hAnsi="宋体" w:eastAsia="宋体" w:cs="宋体"/>
                <w:sz w:val="21"/>
                <w:szCs w:val="21"/>
              </w:rPr>
              <w:t>3.轮胎动平衡机；</w:t>
            </w:r>
          </w:p>
          <w:p w14:paraId="0015CD18">
            <w:pPr>
              <w:keepNext w:val="0"/>
              <w:keepLines w:val="0"/>
              <w:pageBreakBefore w:val="0"/>
              <w:kinsoku/>
              <w:overflowPunct/>
              <w:bidi w:val="0"/>
              <w:spacing w:line="360" w:lineRule="auto"/>
              <w:ind w:left="0" w:leftChars="0"/>
              <w:jc w:val="left"/>
              <w:textAlignment w:val="auto"/>
              <w:rPr>
                <w:rFonts w:hint="eastAsia" w:ascii="宋体" w:hAnsi="宋体" w:eastAsia="宋体" w:cs="宋体"/>
                <w:sz w:val="21"/>
                <w:szCs w:val="21"/>
              </w:rPr>
            </w:pPr>
            <w:r>
              <w:rPr>
                <w:rFonts w:hint="eastAsia" w:ascii="宋体" w:hAnsi="宋体" w:eastAsia="宋体" w:cs="宋体"/>
                <w:sz w:val="21"/>
                <w:szCs w:val="21"/>
              </w:rPr>
              <w:t>4.轮胎剥胎机；</w:t>
            </w:r>
          </w:p>
          <w:p w14:paraId="3B7B7AAA">
            <w:pPr>
              <w:keepNext w:val="0"/>
              <w:keepLines w:val="0"/>
              <w:pageBreakBefore w:val="0"/>
              <w:kinsoku/>
              <w:overflowPunct/>
              <w:bidi w:val="0"/>
              <w:spacing w:line="360" w:lineRule="auto"/>
              <w:ind w:left="0" w:leftChars="0"/>
              <w:jc w:val="left"/>
              <w:textAlignment w:val="auto"/>
              <w:rPr>
                <w:rFonts w:hint="eastAsia" w:ascii="宋体" w:hAnsi="宋体" w:eastAsia="宋体" w:cs="宋体"/>
                <w:sz w:val="21"/>
                <w:szCs w:val="21"/>
              </w:rPr>
            </w:pPr>
            <w:r>
              <w:rPr>
                <w:rFonts w:hint="eastAsia" w:ascii="宋体" w:hAnsi="宋体" w:eastAsia="宋体" w:cs="宋体"/>
                <w:sz w:val="21"/>
                <w:szCs w:val="21"/>
              </w:rPr>
              <w:t>5.发动机电脑检测仪；</w:t>
            </w:r>
          </w:p>
          <w:p w14:paraId="76A3AF33">
            <w:pPr>
              <w:keepNext w:val="0"/>
              <w:keepLines w:val="0"/>
              <w:pageBreakBefore w:val="0"/>
              <w:kinsoku/>
              <w:overflowPunct/>
              <w:bidi w:val="0"/>
              <w:spacing w:line="360" w:lineRule="auto"/>
              <w:ind w:left="0" w:leftChars="0"/>
              <w:jc w:val="left"/>
              <w:textAlignment w:val="auto"/>
              <w:rPr>
                <w:rFonts w:hint="eastAsia" w:ascii="宋体" w:hAnsi="宋体" w:eastAsia="宋体" w:cs="宋体"/>
                <w:sz w:val="21"/>
                <w:szCs w:val="21"/>
              </w:rPr>
            </w:pPr>
            <w:r>
              <w:rPr>
                <w:rFonts w:hint="eastAsia" w:ascii="宋体" w:hAnsi="宋体" w:eastAsia="宋体" w:cs="宋体"/>
                <w:sz w:val="21"/>
                <w:szCs w:val="21"/>
              </w:rPr>
              <w:t>6.四轮定位；</w:t>
            </w:r>
          </w:p>
          <w:p w14:paraId="68EC148F">
            <w:pPr>
              <w:keepNext w:val="0"/>
              <w:keepLines w:val="0"/>
              <w:pageBreakBefore w:val="0"/>
              <w:kinsoku/>
              <w:overflowPunct/>
              <w:bidi w:val="0"/>
              <w:spacing w:line="360" w:lineRule="auto"/>
              <w:ind w:left="0" w:leftChars="0"/>
              <w:jc w:val="left"/>
              <w:textAlignment w:val="auto"/>
              <w:rPr>
                <w:rFonts w:hint="eastAsia" w:ascii="宋体" w:hAnsi="宋体" w:eastAsia="宋体" w:cs="宋体"/>
                <w:sz w:val="21"/>
                <w:szCs w:val="21"/>
              </w:rPr>
            </w:pPr>
            <w:r>
              <w:rPr>
                <w:rFonts w:hint="eastAsia" w:ascii="宋体" w:hAnsi="宋体" w:eastAsia="宋体" w:cs="宋体"/>
                <w:sz w:val="21"/>
                <w:szCs w:val="21"/>
              </w:rPr>
              <w:t>7.尾气检测仪；</w:t>
            </w:r>
          </w:p>
          <w:p w14:paraId="60038EB8">
            <w:pPr>
              <w:keepNext w:val="0"/>
              <w:keepLines w:val="0"/>
              <w:pageBreakBefore w:val="0"/>
              <w:kinsoku/>
              <w:overflowPunct/>
              <w:bidi w:val="0"/>
              <w:spacing w:line="360" w:lineRule="auto"/>
              <w:ind w:left="0" w:leftChars="0"/>
              <w:jc w:val="left"/>
              <w:textAlignment w:val="auto"/>
              <w:rPr>
                <w:rFonts w:hint="eastAsia" w:ascii="宋体" w:hAnsi="宋体" w:eastAsia="宋体" w:cs="宋体"/>
                <w:sz w:val="21"/>
                <w:szCs w:val="21"/>
              </w:rPr>
            </w:pPr>
            <w:r>
              <w:rPr>
                <w:rFonts w:hint="eastAsia" w:ascii="宋体" w:hAnsi="宋体" w:eastAsia="宋体" w:cs="宋体"/>
                <w:sz w:val="21"/>
                <w:szCs w:val="21"/>
              </w:rPr>
              <w:t>8.自动变速箱换油设备；</w:t>
            </w:r>
          </w:p>
          <w:p w14:paraId="5C0D142E">
            <w:pPr>
              <w:keepNext w:val="0"/>
              <w:keepLines w:val="0"/>
              <w:pageBreakBefore w:val="0"/>
              <w:kinsoku/>
              <w:overflowPunct/>
              <w:bidi w:val="0"/>
              <w:spacing w:line="360" w:lineRule="auto"/>
              <w:ind w:left="0" w:leftChars="0"/>
              <w:jc w:val="left"/>
              <w:textAlignment w:val="auto"/>
              <w:rPr>
                <w:rFonts w:hint="eastAsia" w:ascii="宋体" w:hAnsi="宋体" w:eastAsia="宋体" w:cs="宋体"/>
                <w:sz w:val="21"/>
                <w:szCs w:val="21"/>
              </w:rPr>
            </w:pPr>
            <w:r>
              <w:rPr>
                <w:rFonts w:hint="eastAsia" w:ascii="宋体" w:hAnsi="宋体" w:eastAsia="宋体" w:cs="宋体"/>
                <w:sz w:val="21"/>
                <w:szCs w:val="21"/>
              </w:rPr>
              <w:t>9.刹车换油设备；</w:t>
            </w:r>
          </w:p>
          <w:p w14:paraId="09EF452D">
            <w:pPr>
              <w:keepNext w:val="0"/>
              <w:keepLines w:val="0"/>
              <w:pageBreakBefore w:val="0"/>
              <w:kinsoku/>
              <w:overflowPunct/>
              <w:bidi w:val="0"/>
              <w:spacing w:line="360" w:lineRule="auto"/>
              <w:ind w:left="0" w:leftChars="0"/>
              <w:jc w:val="left"/>
              <w:textAlignment w:val="auto"/>
              <w:rPr>
                <w:rFonts w:hint="eastAsia" w:ascii="宋体" w:hAnsi="宋体" w:eastAsia="宋体" w:cs="宋体"/>
                <w:sz w:val="21"/>
                <w:szCs w:val="21"/>
              </w:rPr>
            </w:pPr>
            <w:r>
              <w:rPr>
                <w:rFonts w:hint="eastAsia" w:ascii="宋体" w:hAnsi="宋体" w:eastAsia="宋体" w:cs="宋体"/>
                <w:sz w:val="21"/>
                <w:szCs w:val="21"/>
              </w:rPr>
              <w:t>10.气缸压力表；</w:t>
            </w:r>
          </w:p>
          <w:p w14:paraId="5AB06F86">
            <w:pPr>
              <w:keepNext w:val="0"/>
              <w:keepLines w:val="0"/>
              <w:pageBreakBefore w:val="0"/>
              <w:kinsoku/>
              <w:overflowPunct/>
              <w:bidi w:val="0"/>
              <w:spacing w:line="360" w:lineRule="auto"/>
              <w:ind w:left="0" w:leftChars="0"/>
              <w:jc w:val="left"/>
              <w:textAlignment w:val="auto"/>
              <w:rPr>
                <w:rFonts w:hint="eastAsia" w:ascii="宋体" w:hAnsi="宋体" w:eastAsia="宋体" w:cs="宋体"/>
                <w:sz w:val="21"/>
                <w:szCs w:val="21"/>
              </w:rPr>
            </w:pPr>
            <w:r>
              <w:rPr>
                <w:rFonts w:hint="eastAsia" w:ascii="宋体" w:hAnsi="宋体" w:eastAsia="宋体" w:cs="宋体"/>
                <w:sz w:val="21"/>
                <w:szCs w:val="21"/>
              </w:rPr>
              <w:t>11.燃油压力表；</w:t>
            </w:r>
          </w:p>
          <w:p w14:paraId="67152F6D">
            <w:pPr>
              <w:keepNext w:val="0"/>
              <w:keepLines w:val="0"/>
              <w:pageBreakBefore w:val="0"/>
              <w:kinsoku/>
              <w:overflowPunct/>
              <w:bidi w:val="0"/>
              <w:spacing w:line="360" w:lineRule="auto"/>
              <w:ind w:left="0" w:leftChars="0"/>
              <w:jc w:val="left"/>
              <w:textAlignment w:val="auto"/>
              <w:rPr>
                <w:rFonts w:hint="eastAsia" w:ascii="宋体" w:hAnsi="宋体" w:eastAsia="宋体" w:cs="宋体"/>
                <w:sz w:val="21"/>
                <w:szCs w:val="21"/>
                <w:lang w:eastAsia="zh-CN"/>
              </w:rPr>
            </w:pPr>
            <w:r>
              <w:rPr>
                <w:rFonts w:hint="eastAsia" w:ascii="宋体" w:hAnsi="宋体" w:eastAsia="宋体" w:cs="宋体"/>
                <w:sz w:val="21"/>
                <w:szCs w:val="21"/>
              </w:rPr>
              <w:t>12.液压油压力表</w:t>
            </w:r>
            <w:r>
              <w:rPr>
                <w:rFonts w:hint="eastAsia" w:ascii="宋体" w:hAnsi="宋体" w:eastAsia="宋体" w:cs="宋体"/>
                <w:sz w:val="21"/>
                <w:szCs w:val="21"/>
                <w:lang w:eastAsia="zh-CN"/>
              </w:rPr>
              <w:t>。</w:t>
            </w:r>
          </w:p>
          <w:p w14:paraId="1F1D31AC">
            <w:pPr>
              <w:keepNext w:val="0"/>
              <w:keepLines w:val="0"/>
              <w:pageBreakBefore w:val="0"/>
              <w:kinsoku/>
              <w:overflowPunct/>
              <w:bidi w:val="0"/>
              <w:spacing w:line="360" w:lineRule="auto"/>
              <w:ind w:left="0" w:left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eastAsia="zh-CN"/>
              </w:rPr>
              <w:t>具有</w:t>
            </w:r>
            <w:r>
              <w:rPr>
                <w:rFonts w:hint="eastAsia" w:ascii="宋体" w:hAnsi="宋体" w:eastAsia="宋体" w:cs="宋体"/>
                <w:sz w:val="21"/>
                <w:szCs w:val="21"/>
              </w:rPr>
              <w:t>维修工位</w:t>
            </w:r>
            <w:r>
              <w:rPr>
                <w:rFonts w:hint="eastAsia" w:ascii="宋体" w:hAnsi="宋体" w:eastAsia="宋体" w:cs="宋体"/>
                <w:sz w:val="21"/>
                <w:szCs w:val="21"/>
                <w:lang w:eastAsia="zh-CN"/>
              </w:rPr>
              <w:t>（含举升机）</w:t>
            </w:r>
            <w:r>
              <w:rPr>
                <w:rFonts w:hint="eastAsia" w:ascii="宋体" w:hAnsi="宋体" w:eastAsia="宋体" w:cs="宋体"/>
                <w:sz w:val="21"/>
                <w:szCs w:val="21"/>
                <w:lang w:val="en-US" w:eastAsia="zh-CN"/>
              </w:rPr>
              <w:t>5个</w:t>
            </w:r>
            <w:r>
              <w:rPr>
                <w:rFonts w:hint="eastAsia" w:ascii="宋体" w:hAnsi="宋体" w:eastAsia="宋体" w:cs="宋体"/>
                <w:sz w:val="21"/>
                <w:szCs w:val="21"/>
                <w:lang w:eastAsia="zh-CN"/>
              </w:rPr>
              <w:t>及以上</w:t>
            </w:r>
            <w:r>
              <w:rPr>
                <w:rFonts w:hint="eastAsia" w:ascii="宋体" w:hAnsi="宋体" w:eastAsia="宋体" w:cs="宋体"/>
                <w:sz w:val="21"/>
                <w:szCs w:val="21"/>
                <w:lang w:val="en-US" w:eastAsia="zh-CN"/>
              </w:rPr>
              <w:t>的得4分</w:t>
            </w:r>
            <w:r>
              <w:rPr>
                <w:rFonts w:hint="eastAsia" w:ascii="宋体" w:hAnsi="宋体" w:eastAsia="宋体" w:cs="宋体"/>
                <w:sz w:val="21"/>
                <w:szCs w:val="21"/>
              </w:rPr>
              <w:t>，</w:t>
            </w:r>
            <w:r>
              <w:rPr>
                <w:rFonts w:hint="eastAsia" w:ascii="宋体" w:hAnsi="宋体" w:eastAsia="宋体" w:cs="宋体"/>
                <w:sz w:val="21"/>
                <w:szCs w:val="21"/>
                <w:lang w:val="en-US" w:eastAsia="zh-CN"/>
              </w:rPr>
              <w:t>在5个的基础上</w:t>
            </w:r>
            <w:r>
              <w:rPr>
                <w:rFonts w:hint="eastAsia" w:ascii="宋体" w:hAnsi="宋体" w:eastAsia="宋体" w:cs="宋体"/>
                <w:sz w:val="21"/>
                <w:szCs w:val="21"/>
              </w:rPr>
              <w:t>每减少1个扣</w:t>
            </w:r>
            <w:r>
              <w:rPr>
                <w:rFonts w:hint="eastAsia" w:ascii="宋体" w:hAnsi="宋体" w:eastAsia="宋体" w:cs="宋体"/>
                <w:sz w:val="21"/>
                <w:szCs w:val="21"/>
                <w:lang w:val="en-US" w:eastAsia="zh-CN"/>
              </w:rPr>
              <w:t>1</w:t>
            </w:r>
            <w:r>
              <w:rPr>
                <w:rFonts w:hint="eastAsia" w:ascii="宋体" w:hAnsi="宋体" w:eastAsia="宋体" w:cs="宋体"/>
                <w:sz w:val="21"/>
                <w:szCs w:val="21"/>
              </w:rPr>
              <w:t>分，</w:t>
            </w:r>
            <w:r>
              <w:rPr>
                <w:rFonts w:hint="eastAsia" w:ascii="宋体" w:hAnsi="宋体" w:eastAsia="宋体" w:cs="宋体"/>
                <w:sz w:val="21"/>
                <w:szCs w:val="21"/>
                <w:lang w:val="en-US" w:eastAsia="zh-CN"/>
              </w:rPr>
              <w:t>最低得0分。</w:t>
            </w:r>
          </w:p>
          <w:p w14:paraId="11F6CF44">
            <w:pPr>
              <w:keepNext w:val="0"/>
              <w:keepLines w:val="0"/>
              <w:pageBreakBefore w:val="0"/>
              <w:kinsoku/>
              <w:overflowPunct/>
              <w:bidi w:val="0"/>
              <w:spacing w:line="360" w:lineRule="auto"/>
              <w:ind w:left="0" w:leftChars="0"/>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eastAsia="宋体" w:cs="宋体"/>
                <w:sz w:val="21"/>
                <w:szCs w:val="21"/>
              </w:rPr>
              <w:t>除了上述第1项外</w:t>
            </w:r>
            <w:r>
              <w:rPr>
                <w:rFonts w:hint="eastAsia" w:ascii="宋体" w:hAnsi="宋体" w:eastAsia="宋体" w:cs="宋体"/>
                <w:sz w:val="21"/>
                <w:szCs w:val="21"/>
                <w:lang w:eastAsia="zh-CN"/>
              </w:rPr>
              <w:t>，其他</w:t>
            </w:r>
            <w:r>
              <w:rPr>
                <w:rFonts w:hint="eastAsia" w:ascii="宋体" w:hAnsi="宋体" w:eastAsia="宋体" w:cs="宋体"/>
                <w:sz w:val="21"/>
                <w:szCs w:val="21"/>
                <w:lang w:val="en-US" w:eastAsia="zh-CN"/>
              </w:rPr>
              <w:t>维修</w:t>
            </w:r>
            <w:r>
              <w:rPr>
                <w:rFonts w:hint="eastAsia" w:ascii="宋体" w:hAnsi="宋体" w:eastAsia="宋体" w:cs="宋体"/>
                <w:sz w:val="21"/>
                <w:szCs w:val="21"/>
                <w:lang w:eastAsia="zh-CN"/>
              </w:rPr>
              <w:t>设备</w:t>
            </w:r>
            <w:r>
              <w:rPr>
                <w:rFonts w:hint="eastAsia" w:ascii="宋体" w:hAnsi="宋体" w:eastAsia="宋体" w:cs="宋体"/>
                <w:sz w:val="21"/>
                <w:szCs w:val="21"/>
                <w:lang w:val="en-US" w:eastAsia="zh-CN"/>
              </w:rPr>
              <w:t>提供齐全得11分，提供</w:t>
            </w:r>
            <w:r>
              <w:rPr>
                <w:rFonts w:hint="eastAsia" w:ascii="宋体" w:hAnsi="宋体" w:eastAsia="宋体" w:cs="宋体"/>
                <w:sz w:val="21"/>
                <w:szCs w:val="21"/>
              </w:rPr>
              <w:t>不齐全的，每缺少</w:t>
            </w:r>
            <w:r>
              <w:rPr>
                <w:rFonts w:hint="eastAsia" w:ascii="宋体" w:hAnsi="宋体" w:eastAsia="宋体" w:cs="宋体"/>
                <w:sz w:val="21"/>
                <w:szCs w:val="21"/>
                <w:lang w:val="en-US" w:eastAsia="zh-CN"/>
              </w:rPr>
              <w:t>1</w:t>
            </w:r>
            <w:r>
              <w:rPr>
                <w:rFonts w:hint="eastAsia" w:ascii="宋体" w:hAnsi="宋体" w:eastAsia="宋体" w:cs="宋体"/>
                <w:sz w:val="21"/>
                <w:szCs w:val="21"/>
              </w:rPr>
              <w:t>项维修设备扣</w:t>
            </w:r>
            <w:r>
              <w:rPr>
                <w:rFonts w:hint="eastAsia" w:ascii="宋体" w:hAnsi="宋体" w:eastAsia="宋体" w:cs="宋体"/>
                <w:sz w:val="21"/>
                <w:szCs w:val="21"/>
                <w:lang w:val="en-US" w:eastAsia="zh-CN"/>
              </w:rPr>
              <w:t>1</w:t>
            </w:r>
            <w:r>
              <w:rPr>
                <w:rFonts w:hint="eastAsia" w:ascii="宋体" w:hAnsi="宋体" w:eastAsia="宋体" w:cs="宋体"/>
                <w:sz w:val="21"/>
                <w:szCs w:val="21"/>
              </w:rPr>
              <w:t>分，</w:t>
            </w:r>
            <w:r>
              <w:rPr>
                <w:rFonts w:hint="eastAsia" w:ascii="宋体" w:hAnsi="宋体" w:eastAsia="宋体" w:cs="宋体"/>
                <w:sz w:val="21"/>
                <w:szCs w:val="21"/>
                <w:lang w:val="en-US" w:eastAsia="zh-CN"/>
              </w:rPr>
              <w:t>最低得0分</w:t>
            </w:r>
            <w:r>
              <w:rPr>
                <w:rFonts w:hint="eastAsia" w:ascii="宋体" w:hAnsi="宋体" w:eastAsia="宋体" w:cs="宋体"/>
                <w:sz w:val="21"/>
                <w:szCs w:val="21"/>
              </w:rPr>
              <w:t>。</w:t>
            </w:r>
          </w:p>
          <w:p w14:paraId="5C934D54">
            <w:pPr>
              <w:keepNext w:val="0"/>
              <w:keepLines w:val="0"/>
              <w:pageBreakBefore w:val="0"/>
              <w:kinsoku/>
              <w:overflowPunct/>
              <w:bidi w:val="0"/>
              <w:spacing w:line="360" w:lineRule="auto"/>
              <w:ind w:left="0" w:leftChars="0"/>
              <w:jc w:val="left"/>
              <w:textAlignment w:val="auto"/>
              <w:rPr>
                <w:rFonts w:hint="eastAsia" w:ascii="宋体" w:hAnsi="宋体" w:eastAsia="宋体" w:cs="宋体"/>
                <w:sz w:val="21"/>
                <w:szCs w:val="21"/>
              </w:rPr>
            </w:pPr>
          </w:p>
          <w:p w14:paraId="14363F10">
            <w:pPr>
              <w:keepNext w:val="0"/>
              <w:keepLines w:val="0"/>
              <w:pageBreakBefore w:val="0"/>
              <w:kinsoku/>
              <w:overflowPunct/>
              <w:bidi w:val="0"/>
              <w:spacing w:line="360" w:lineRule="auto"/>
              <w:ind w:left="0" w:leftChars="0"/>
              <w:jc w:val="left"/>
              <w:textAlignment w:val="auto"/>
              <w:rPr>
                <w:rFonts w:hint="eastAsia" w:ascii="宋体" w:hAnsi="宋体" w:eastAsia="宋体" w:cs="宋体"/>
                <w:sz w:val="21"/>
                <w:szCs w:val="21"/>
              </w:rPr>
            </w:pPr>
            <w:r>
              <w:rPr>
                <w:rFonts w:hint="eastAsia" w:ascii="宋体" w:hAnsi="宋体" w:eastAsia="宋体" w:cs="宋体"/>
                <w:sz w:val="21"/>
                <w:szCs w:val="21"/>
              </w:rPr>
              <w:t>（二）评分依据：</w:t>
            </w:r>
          </w:p>
          <w:p w14:paraId="51F36E76">
            <w:pPr>
              <w:keepNext w:val="0"/>
              <w:keepLines w:val="0"/>
              <w:pageBreakBefore w:val="0"/>
              <w:kinsoku/>
              <w:overflowPunct/>
              <w:bidi w:val="0"/>
              <w:spacing w:line="360" w:lineRule="auto"/>
              <w:ind w:left="0" w:leftChars="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w:t>
            </w:r>
            <w:r>
              <w:rPr>
                <w:rFonts w:hint="eastAsia" w:ascii="宋体" w:hAnsi="宋体" w:eastAsia="宋体" w:cs="宋体"/>
                <w:sz w:val="21"/>
                <w:szCs w:val="21"/>
              </w:rPr>
              <w:t>提供维修工位</w:t>
            </w:r>
            <w:r>
              <w:rPr>
                <w:rFonts w:hint="eastAsia" w:ascii="宋体" w:hAnsi="宋体" w:eastAsia="宋体" w:cs="宋体"/>
                <w:sz w:val="21"/>
                <w:szCs w:val="21"/>
                <w:lang w:eastAsia="zh-CN"/>
              </w:rPr>
              <w:t>（含</w:t>
            </w:r>
            <w:r>
              <w:rPr>
                <w:rFonts w:hint="eastAsia" w:ascii="宋体" w:hAnsi="宋体" w:eastAsia="宋体" w:cs="宋体"/>
                <w:sz w:val="21"/>
                <w:szCs w:val="21"/>
              </w:rPr>
              <w:t>举升机设备</w:t>
            </w:r>
            <w:r>
              <w:rPr>
                <w:rFonts w:hint="eastAsia" w:ascii="宋体" w:hAnsi="宋体" w:eastAsia="宋体" w:cs="宋体"/>
                <w:sz w:val="21"/>
                <w:szCs w:val="21"/>
                <w:lang w:eastAsia="zh-CN"/>
              </w:rPr>
              <w:t>）</w:t>
            </w:r>
            <w:r>
              <w:rPr>
                <w:rFonts w:hint="eastAsia" w:ascii="宋体" w:hAnsi="宋体" w:eastAsia="宋体" w:cs="宋体"/>
                <w:sz w:val="21"/>
                <w:szCs w:val="21"/>
              </w:rPr>
              <w:t>现场图片</w:t>
            </w:r>
            <w:r>
              <w:rPr>
                <w:rFonts w:hint="eastAsia" w:ascii="宋体" w:hAnsi="宋体" w:eastAsia="宋体" w:cs="宋体"/>
                <w:sz w:val="21"/>
                <w:szCs w:val="21"/>
                <w:lang w:eastAsia="zh-CN"/>
              </w:rPr>
              <w:t>并进行标识</w:t>
            </w:r>
            <w:r>
              <w:rPr>
                <w:rFonts w:hint="eastAsia" w:ascii="宋体" w:hAnsi="宋体" w:eastAsia="宋体" w:cs="宋体"/>
                <w:sz w:val="21"/>
                <w:szCs w:val="21"/>
              </w:rPr>
              <w:t>，</w:t>
            </w:r>
            <w:r>
              <w:rPr>
                <w:rFonts w:hint="eastAsia" w:ascii="宋体" w:hAnsi="宋体" w:eastAsia="宋体" w:cs="宋体"/>
                <w:sz w:val="21"/>
                <w:szCs w:val="21"/>
                <w:lang w:eastAsia="zh-CN"/>
              </w:rPr>
              <w:t>无标识不得分</w:t>
            </w:r>
            <w:r>
              <w:rPr>
                <w:rFonts w:hint="eastAsia" w:ascii="宋体" w:hAnsi="宋体" w:eastAsia="宋体" w:cs="宋体"/>
                <w:sz w:val="21"/>
                <w:szCs w:val="21"/>
              </w:rPr>
              <w:t>；</w:t>
            </w:r>
          </w:p>
          <w:p w14:paraId="03623895">
            <w:pPr>
              <w:keepNext w:val="0"/>
              <w:keepLines w:val="0"/>
              <w:pageBreakBefore w:val="0"/>
              <w:kinsoku/>
              <w:overflowPunct/>
              <w:bidi w:val="0"/>
              <w:spacing w:line="360" w:lineRule="auto"/>
              <w:ind w:left="0" w:leftChars="0"/>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w:t>
            </w:r>
            <w:r>
              <w:rPr>
                <w:rFonts w:hint="eastAsia" w:ascii="宋体" w:hAnsi="宋体" w:eastAsia="宋体" w:cs="宋体"/>
                <w:sz w:val="21"/>
                <w:szCs w:val="21"/>
              </w:rPr>
              <w:t>提供其他维修设备现场实物图片</w:t>
            </w:r>
            <w:r>
              <w:rPr>
                <w:rFonts w:hint="eastAsia" w:ascii="宋体" w:hAnsi="宋体" w:eastAsia="宋体" w:cs="宋体"/>
                <w:sz w:val="21"/>
                <w:szCs w:val="21"/>
                <w:lang w:eastAsia="zh-CN"/>
              </w:rPr>
              <w:t>并进行标识</w:t>
            </w:r>
            <w:r>
              <w:rPr>
                <w:rFonts w:hint="eastAsia" w:ascii="宋体" w:hAnsi="宋体" w:eastAsia="宋体" w:cs="宋体"/>
                <w:sz w:val="21"/>
                <w:szCs w:val="21"/>
              </w:rPr>
              <w:t>，</w:t>
            </w:r>
            <w:r>
              <w:rPr>
                <w:rFonts w:hint="eastAsia" w:ascii="宋体" w:hAnsi="宋体" w:eastAsia="宋体" w:cs="宋体"/>
                <w:sz w:val="21"/>
                <w:szCs w:val="21"/>
                <w:lang w:eastAsia="zh-CN"/>
              </w:rPr>
              <w:t>无标识的不得分</w:t>
            </w:r>
            <w:r>
              <w:rPr>
                <w:rFonts w:hint="eastAsia" w:ascii="宋体" w:hAnsi="宋体" w:eastAsia="宋体" w:cs="宋体"/>
                <w:sz w:val="21"/>
                <w:szCs w:val="21"/>
              </w:rPr>
              <w:t>；</w:t>
            </w:r>
          </w:p>
          <w:p w14:paraId="6A811ADC">
            <w:pPr>
              <w:keepNext w:val="0"/>
              <w:keepLines w:val="0"/>
              <w:pageBreakBefore w:val="0"/>
              <w:kinsoku/>
              <w:overflowPunct/>
              <w:bidi w:val="0"/>
              <w:spacing w:line="360" w:lineRule="auto"/>
              <w:ind w:left="0" w:leftChars="0"/>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w:t>
            </w:r>
            <w:r>
              <w:rPr>
                <w:rFonts w:hint="eastAsia" w:ascii="宋体" w:hAnsi="宋体" w:eastAsia="宋体" w:cs="宋体"/>
                <w:sz w:val="21"/>
                <w:szCs w:val="21"/>
              </w:rPr>
              <w:t>提供以上证明文件复印件或扫描件，如涉及网站截图或照片等证明材料,需提供清晰图片,原件备查。未按要求提供有效证明材料或提供不清晰导致评委无法识别的不计得分。</w:t>
            </w:r>
          </w:p>
        </w:tc>
        <w:tc>
          <w:tcPr>
            <w:tcW w:w="1018" w:type="dxa"/>
            <w:vAlign w:val="center"/>
          </w:tcPr>
          <w:p w14:paraId="67B2CFBA">
            <w:pPr>
              <w:keepNext w:val="0"/>
              <w:keepLines w:val="0"/>
              <w:pageBreakBefore w:val="0"/>
              <w:kinsoku/>
              <w:overflowPunct/>
              <w:autoSpaceDE w:val="0"/>
              <w:autoSpaceDN w:val="0"/>
              <w:bidi w:val="0"/>
              <w:adjustRightInd w:val="0"/>
              <w:spacing w:line="360" w:lineRule="auto"/>
              <w:ind w:left="0" w:leftChars="0"/>
              <w:jc w:val="center"/>
              <w:textAlignment w:val="auto"/>
              <w:rPr>
                <w:rFonts w:hint="eastAsia" w:ascii="宋体" w:hAnsi="宋体" w:eastAsia="宋体" w:cs="宋体"/>
                <w:sz w:val="21"/>
                <w:szCs w:val="21"/>
              </w:rPr>
            </w:pPr>
            <w:r>
              <w:rPr>
                <w:rFonts w:hint="eastAsia" w:ascii="宋体" w:hAnsi="宋体" w:eastAsia="宋体" w:cs="宋体"/>
                <w:sz w:val="21"/>
                <w:szCs w:val="21"/>
              </w:rPr>
              <w:t>评委打分</w:t>
            </w:r>
          </w:p>
        </w:tc>
      </w:tr>
      <w:tr w14:paraId="56663886">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14:paraId="32796B6D">
            <w:pPr>
              <w:keepNext w:val="0"/>
              <w:keepLines w:val="0"/>
              <w:pageBreakBefore w:val="0"/>
              <w:widowControl/>
              <w:kinsoku/>
              <w:overflowPunct/>
              <w:bidi w:val="0"/>
              <w:snapToGrid w:val="0"/>
              <w:spacing w:line="360" w:lineRule="auto"/>
              <w:ind w:left="0" w:leftChars="0"/>
              <w:jc w:val="center"/>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4</w:t>
            </w:r>
          </w:p>
        </w:tc>
        <w:tc>
          <w:tcPr>
            <w:tcW w:w="1143" w:type="dxa"/>
            <w:vAlign w:val="center"/>
          </w:tcPr>
          <w:p w14:paraId="55623F17">
            <w:pPr>
              <w:keepNext w:val="0"/>
              <w:keepLines w:val="0"/>
              <w:pageBreakBefore w:val="0"/>
              <w:widowControl/>
              <w:kinsoku/>
              <w:overflowPunct/>
              <w:bidi w:val="0"/>
              <w:spacing w:line="360" w:lineRule="auto"/>
              <w:ind w:left="0" w:left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拟投入本项目的</w:t>
            </w:r>
            <w:r>
              <w:rPr>
                <w:rFonts w:hint="eastAsia" w:ascii="宋体" w:hAnsi="宋体" w:eastAsia="宋体" w:cs="宋体"/>
                <w:color w:val="000000"/>
                <w:sz w:val="21"/>
                <w:szCs w:val="21"/>
                <w:lang w:eastAsia="zh-CN"/>
              </w:rPr>
              <w:t>技术</w:t>
            </w:r>
            <w:r>
              <w:rPr>
                <w:rFonts w:hint="eastAsia" w:ascii="宋体" w:hAnsi="宋体" w:eastAsia="宋体" w:cs="宋体"/>
                <w:color w:val="000000"/>
                <w:sz w:val="21"/>
                <w:szCs w:val="21"/>
              </w:rPr>
              <w:t>负责人（仅限</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人）</w:t>
            </w:r>
          </w:p>
        </w:tc>
        <w:tc>
          <w:tcPr>
            <w:tcW w:w="709" w:type="dxa"/>
            <w:vAlign w:val="center"/>
          </w:tcPr>
          <w:p w14:paraId="72F5C70D">
            <w:pPr>
              <w:keepNext w:val="0"/>
              <w:keepLines w:val="0"/>
              <w:pageBreakBefore w:val="0"/>
              <w:widowControl/>
              <w:kinsoku/>
              <w:overflowPunct/>
              <w:bidi w:val="0"/>
              <w:spacing w:line="360" w:lineRule="auto"/>
              <w:ind w:left="0" w:leftChars="0"/>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6636" w:type="dxa"/>
            <w:vAlign w:val="center"/>
          </w:tcPr>
          <w:p w14:paraId="60A8E930">
            <w:pPr>
              <w:keepNext w:val="0"/>
              <w:keepLines w:val="0"/>
              <w:pageBreakBefore w:val="0"/>
              <w:kinsoku/>
              <w:overflowPunct/>
              <w:bidi w:val="0"/>
              <w:spacing w:line="360" w:lineRule="auto"/>
              <w:ind w:left="0" w:leftChars="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（一）评分内容：</w:t>
            </w:r>
          </w:p>
          <w:p w14:paraId="73A5989E">
            <w:pPr>
              <w:keepNext w:val="0"/>
              <w:keepLines w:val="0"/>
              <w:pageBreakBefore w:val="0"/>
              <w:kinsoku/>
              <w:overflowPunct/>
              <w:bidi w:val="0"/>
              <w:spacing w:line="360" w:lineRule="auto"/>
              <w:ind w:left="0" w:leftChars="0"/>
              <w:textAlignment w:val="auto"/>
              <w:rPr>
                <w:rFonts w:hint="eastAsia" w:ascii="宋体" w:hAnsi="宋体" w:eastAsia="宋体" w:cs="宋体"/>
                <w:color w:val="000000"/>
                <w:sz w:val="21"/>
                <w:szCs w:val="21"/>
              </w:rPr>
            </w:pPr>
            <w:r>
              <w:rPr>
                <w:rFonts w:hint="eastAsia" w:ascii="宋体" w:hAnsi="宋体" w:eastAsia="宋体" w:cs="宋体"/>
                <w:sz w:val="21"/>
                <w:szCs w:val="21"/>
              </w:rPr>
              <w:t>拟</w:t>
            </w:r>
            <w:r>
              <w:rPr>
                <w:rFonts w:hint="eastAsia" w:ascii="宋体" w:hAnsi="宋体" w:eastAsia="宋体" w:cs="宋体"/>
                <w:color w:val="000000"/>
                <w:sz w:val="21"/>
                <w:szCs w:val="21"/>
              </w:rPr>
              <w:t>投入本项目的</w:t>
            </w:r>
            <w:r>
              <w:rPr>
                <w:rFonts w:hint="eastAsia" w:ascii="宋体" w:hAnsi="宋体" w:eastAsia="宋体" w:cs="宋体"/>
                <w:color w:val="000000"/>
                <w:sz w:val="21"/>
                <w:szCs w:val="21"/>
                <w:lang w:eastAsia="zh-CN"/>
              </w:rPr>
              <w:t>技术</w:t>
            </w:r>
            <w:r>
              <w:rPr>
                <w:rFonts w:hint="eastAsia" w:ascii="宋体" w:hAnsi="宋体" w:eastAsia="宋体" w:cs="宋体"/>
                <w:color w:val="000000"/>
                <w:sz w:val="21"/>
                <w:szCs w:val="21"/>
              </w:rPr>
              <w:t>负责人</w:t>
            </w:r>
            <w:r>
              <w:rPr>
                <w:rFonts w:hint="eastAsia" w:ascii="宋体" w:hAnsi="宋体" w:eastAsia="宋体" w:cs="宋体"/>
                <w:color w:val="000000"/>
                <w:kern w:val="0"/>
                <w:sz w:val="21"/>
                <w:szCs w:val="21"/>
              </w:rPr>
              <w:t>(仅限1人）</w:t>
            </w:r>
            <w:r>
              <w:rPr>
                <w:rFonts w:hint="eastAsia" w:ascii="宋体" w:hAnsi="宋体" w:eastAsia="宋体" w:cs="宋体"/>
                <w:sz w:val="21"/>
                <w:szCs w:val="21"/>
              </w:rPr>
              <w:t>需为投标人</w:t>
            </w:r>
            <w:r>
              <w:rPr>
                <w:rFonts w:hint="eastAsia" w:ascii="宋体" w:hAnsi="宋体" w:eastAsia="宋体" w:cs="宋体"/>
                <w:color w:val="000000" w:themeColor="text1"/>
                <w:sz w:val="21"/>
                <w:szCs w:val="21"/>
                <w14:textFill>
                  <w14:solidFill>
                    <w14:schemeClr w14:val="tx1"/>
                  </w14:solidFill>
                </w14:textFill>
              </w:rPr>
              <w:t>正式聘任</w:t>
            </w:r>
            <w:r>
              <w:rPr>
                <w:rFonts w:hint="eastAsia" w:ascii="宋体" w:hAnsi="宋体" w:eastAsia="宋体" w:cs="宋体"/>
                <w:sz w:val="21"/>
                <w:szCs w:val="21"/>
              </w:rPr>
              <w:t>员工，否则本项不得分。在此基础上，按以下标准评分：</w:t>
            </w:r>
          </w:p>
          <w:p w14:paraId="69D3919C">
            <w:pPr>
              <w:keepNext w:val="0"/>
              <w:keepLines w:val="0"/>
              <w:pageBreakBefore w:val="0"/>
              <w:kinsoku/>
              <w:overflowPunct/>
              <w:bidi w:val="0"/>
              <w:spacing w:line="360" w:lineRule="auto"/>
              <w:ind w:left="0" w:leftChars="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1）具</w:t>
            </w:r>
            <w:r>
              <w:rPr>
                <w:rFonts w:hint="eastAsia" w:ascii="宋体" w:hAnsi="宋体" w:eastAsia="宋体" w:cs="宋体"/>
                <w:color w:val="000000"/>
                <w:sz w:val="21"/>
                <w:szCs w:val="21"/>
                <w:lang w:val="en-US" w:eastAsia="zh-CN"/>
              </w:rPr>
              <w:t>有</w:t>
            </w:r>
            <w:r>
              <w:rPr>
                <w:rFonts w:hint="eastAsia" w:ascii="宋体" w:hAnsi="宋体" w:eastAsia="宋体" w:cs="宋体"/>
                <w:color w:val="000000"/>
                <w:sz w:val="21"/>
                <w:szCs w:val="21"/>
              </w:rPr>
              <w:t>汽修类专业大专或以上学历</w:t>
            </w:r>
            <w:r>
              <w:rPr>
                <w:rFonts w:hint="eastAsia" w:ascii="宋体" w:hAnsi="宋体" w:eastAsia="宋体" w:cs="宋体"/>
                <w:color w:val="000000"/>
                <w:sz w:val="21"/>
                <w:szCs w:val="21"/>
                <w:lang w:eastAsia="zh-CN"/>
              </w:rPr>
              <w:t>的，</w:t>
            </w:r>
            <w:r>
              <w:rPr>
                <w:rFonts w:hint="eastAsia" w:ascii="宋体" w:hAnsi="宋体" w:eastAsia="宋体" w:cs="宋体"/>
                <w:color w:val="000000"/>
                <w:sz w:val="21"/>
                <w:szCs w:val="21"/>
              </w:rPr>
              <w:t>得</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分。</w:t>
            </w:r>
          </w:p>
          <w:p w14:paraId="7243A7A4">
            <w:pPr>
              <w:keepNext w:val="0"/>
              <w:keepLines w:val="0"/>
              <w:pageBreakBefore w:val="0"/>
              <w:kinsoku/>
              <w:overflowPunct/>
              <w:bidi w:val="0"/>
              <w:spacing w:line="360" w:lineRule="auto"/>
              <w:ind w:left="0" w:leftChars="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）具有汽车维修及相关专业中级(或)以上专业技术职称得</w:t>
            </w:r>
            <w:r>
              <w:rPr>
                <w:rFonts w:hint="eastAsia" w:ascii="宋体" w:hAnsi="宋体" w:eastAsia="宋体" w:cs="宋体"/>
                <w:color w:val="000000"/>
                <w:sz w:val="21"/>
                <w:szCs w:val="21"/>
                <w:lang w:val="en-US" w:eastAsia="zh-CN"/>
              </w:rPr>
              <w:t>8</w:t>
            </w:r>
            <w:r>
              <w:rPr>
                <w:rFonts w:hint="eastAsia" w:ascii="宋体" w:hAnsi="宋体" w:eastAsia="宋体" w:cs="宋体"/>
                <w:color w:val="000000"/>
                <w:sz w:val="21"/>
                <w:szCs w:val="21"/>
              </w:rPr>
              <w:t>分。</w:t>
            </w:r>
          </w:p>
          <w:p w14:paraId="612286EA">
            <w:pPr>
              <w:keepNext w:val="0"/>
              <w:keepLines w:val="0"/>
              <w:pageBreakBefore w:val="0"/>
              <w:kinsoku/>
              <w:overflowPunct/>
              <w:bidi w:val="0"/>
              <w:spacing w:line="360" w:lineRule="auto"/>
              <w:ind w:left="0" w:leftChars="0"/>
              <w:textAlignment w:val="auto"/>
              <w:rPr>
                <w:rFonts w:hint="eastAsia" w:ascii="宋体" w:hAnsi="宋体" w:eastAsia="宋体" w:cs="宋体"/>
                <w:color w:val="000000"/>
                <w:sz w:val="21"/>
                <w:szCs w:val="21"/>
              </w:rPr>
            </w:pPr>
          </w:p>
          <w:p w14:paraId="3602F00F">
            <w:pPr>
              <w:keepNext w:val="0"/>
              <w:keepLines w:val="0"/>
              <w:pageBreakBefore w:val="0"/>
              <w:kinsoku/>
              <w:overflowPunct/>
              <w:bidi w:val="0"/>
              <w:spacing w:line="360" w:lineRule="auto"/>
              <w:ind w:left="0" w:leftChars="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（二）评分依据：</w:t>
            </w:r>
          </w:p>
          <w:p w14:paraId="2F5D6309">
            <w:pPr>
              <w:keepNext w:val="0"/>
              <w:keepLines w:val="0"/>
              <w:pageBreakBefore w:val="0"/>
              <w:kinsoku/>
              <w:overflowPunct/>
              <w:bidi w:val="0"/>
              <w:snapToGrid w:val="0"/>
              <w:spacing w:line="360" w:lineRule="auto"/>
              <w:ind w:left="0" w:leftChars="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提供项目负责人通过投标单位缴纳的载有社保部门或税务部门公章的本项目投标截止日前一个月的个人社保证明（因社保部门或税务部门原因暂时无法取得的则可往前顺延一个月），如供应商为新成立单位且成立时间不足一个月的，可提供加盖公章的情况说明或者证明材料亦视为符合。如为退休返聘人员则提供劳动合同或返聘协议；</w:t>
            </w:r>
          </w:p>
          <w:p w14:paraId="39E96311">
            <w:pPr>
              <w:keepNext w:val="0"/>
              <w:keepLines w:val="0"/>
              <w:pageBreakBefore w:val="0"/>
              <w:kinsoku/>
              <w:overflowPunct/>
              <w:bidi w:val="0"/>
              <w:snapToGrid w:val="0"/>
              <w:spacing w:line="360" w:lineRule="auto"/>
              <w:ind w:left="0" w:leftChars="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提供毕业证书以及学信网查询记录，对于较早颁发的学历证书，学信网无法查询的，还需提供毕业院校或者人社部门或者教育部门出具的证明，否则无效；</w:t>
            </w:r>
          </w:p>
          <w:p w14:paraId="1DF20C60">
            <w:pPr>
              <w:keepNext w:val="0"/>
              <w:keepLines w:val="0"/>
              <w:pageBreakBefore w:val="0"/>
              <w:kinsoku/>
              <w:overflowPunct/>
              <w:bidi w:val="0"/>
              <w:snapToGrid w:val="0"/>
              <w:spacing w:line="360" w:lineRule="auto"/>
              <w:ind w:left="0" w:leftChars="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如涉及考察人员工作经验，要求提供项目合同关键信息作为评分依据，通过合同关键信息无法判断是否得分的，还需同时提供合同甲方出具的证明文件；</w:t>
            </w:r>
          </w:p>
          <w:p w14:paraId="55BF7EBF">
            <w:pPr>
              <w:keepNext w:val="0"/>
              <w:keepLines w:val="0"/>
              <w:pageBreakBefore w:val="0"/>
              <w:kinsoku/>
              <w:overflowPunct/>
              <w:bidi w:val="0"/>
              <w:snapToGrid w:val="0"/>
              <w:spacing w:line="360" w:lineRule="auto"/>
              <w:ind w:left="0" w:leftChars="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4</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提供以上证明文件复印件或扫描件，如涉及网站截图或照片等证明材料,需提供清晰图片,原件备查。未按要求提供有效证明材料或提供不清晰导致评委无法识别的不计得分。</w:t>
            </w:r>
          </w:p>
        </w:tc>
        <w:tc>
          <w:tcPr>
            <w:tcW w:w="1018" w:type="dxa"/>
            <w:vAlign w:val="center"/>
          </w:tcPr>
          <w:p w14:paraId="268C4636">
            <w:pPr>
              <w:keepNext w:val="0"/>
              <w:keepLines w:val="0"/>
              <w:pageBreakBefore w:val="0"/>
              <w:kinsoku/>
              <w:overflowPunct/>
              <w:autoSpaceDE w:val="0"/>
              <w:autoSpaceDN w:val="0"/>
              <w:bidi w:val="0"/>
              <w:adjustRightInd w:val="0"/>
              <w:spacing w:line="360" w:lineRule="auto"/>
              <w:ind w:left="0" w:leftChars="0"/>
              <w:jc w:val="center"/>
              <w:textAlignment w:val="auto"/>
              <w:rPr>
                <w:rFonts w:hint="eastAsia" w:ascii="宋体" w:hAnsi="宋体" w:eastAsia="宋体" w:cs="宋体"/>
                <w:sz w:val="21"/>
                <w:szCs w:val="21"/>
              </w:rPr>
            </w:pPr>
            <w:r>
              <w:rPr>
                <w:rFonts w:hint="eastAsia" w:ascii="宋体" w:hAnsi="宋体" w:eastAsia="宋体" w:cs="宋体"/>
                <w:sz w:val="21"/>
                <w:szCs w:val="21"/>
              </w:rPr>
              <w:t>评委打分</w:t>
            </w:r>
          </w:p>
        </w:tc>
      </w:tr>
      <w:tr w14:paraId="2C5005C0">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20" w:hRule="atLeast"/>
          <w:jc w:val="center"/>
        </w:trPr>
        <w:tc>
          <w:tcPr>
            <w:tcW w:w="754" w:type="dxa"/>
            <w:vAlign w:val="center"/>
          </w:tcPr>
          <w:p w14:paraId="66646019">
            <w:pPr>
              <w:keepNext w:val="0"/>
              <w:keepLines w:val="0"/>
              <w:pageBreakBefore w:val="0"/>
              <w:widowControl/>
              <w:kinsoku/>
              <w:overflowPunct/>
              <w:bidi w:val="0"/>
              <w:snapToGrid w:val="0"/>
              <w:spacing w:line="360" w:lineRule="auto"/>
              <w:ind w:left="0" w:leftChars="0"/>
              <w:jc w:val="center"/>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5</w:t>
            </w:r>
          </w:p>
        </w:tc>
        <w:tc>
          <w:tcPr>
            <w:tcW w:w="1143" w:type="dxa"/>
            <w:vAlign w:val="center"/>
          </w:tcPr>
          <w:p w14:paraId="68DBAEF5">
            <w:pPr>
              <w:keepNext w:val="0"/>
              <w:keepLines w:val="0"/>
              <w:pageBreakBefore w:val="0"/>
              <w:widowControl/>
              <w:kinsoku/>
              <w:overflowPunct/>
              <w:bidi w:val="0"/>
              <w:spacing w:line="360" w:lineRule="auto"/>
              <w:ind w:left="0" w:leftChars="0"/>
              <w:jc w:val="center"/>
              <w:textAlignment w:val="auto"/>
              <w:rPr>
                <w:rFonts w:hint="eastAsia" w:ascii="宋体" w:hAnsi="宋体" w:eastAsia="宋体" w:cs="宋体"/>
                <w:sz w:val="21"/>
                <w:szCs w:val="21"/>
              </w:rPr>
            </w:pPr>
            <w:r>
              <w:rPr>
                <w:rFonts w:hint="eastAsia" w:ascii="宋体" w:hAnsi="宋体" w:eastAsia="宋体" w:cs="宋体"/>
                <w:sz w:val="21"/>
                <w:szCs w:val="21"/>
              </w:rPr>
              <w:t>拟安排的</w:t>
            </w:r>
            <w:r>
              <w:rPr>
                <w:rFonts w:hint="eastAsia" w:ascii="宋体" w:hAnsi="宋体" w:eastAsia="宋体" w:cs="宋体"/>
                <w:color w:val="000000"/>
                <w:sz w:val="21"/>
                <w:szCs w:val="21"/>
              </w:rPr>
              <w:t>维修技术人员</w:t>
            </w:r>
            <w:r>
              <w:rPr>
                <w:rFonts w:hint="eastAsia" w:ascii="宋体" w:hAnsi="宋体" w:eastAsia="宋体" w:cs="宋体"/>
                <w:sz w:val="21"/>
                <w:szCs w:val="21"/>
              </w:rPr>
              <w:t>情况（</w:t>
            </w:r>
            <w:r>
              <w:rPr>
                <w:rFonts w:hint="eastAsia" w:ascii="宋体" w:hAnsi="宋体" w:eastAsia="宋体" w:cs="宋体"/>
                <w:color w:val="000000"/>
                <w:sz w:val="21"/>
                <w:szCs w:val="21"/>
                <w:lang w:eastAsia="zh-CN"/>
              </w:rPr>
              <w:t>技术</w:t>
            </w:r>
            <w:r>
              <w:rPr>
                <w:rFonts w:hint="eastAsia" w:ascii="宋体" w:hAnsi="宋体" w:eastAsia="宋体" w:cs="宋体"/>
                <w:color w:val="000000"/>
                <w:sz w:val="21"/>
                <w:szCs w:val="21"/>
              </w:rPr>
              <w:t>负责人</w:t>
            </w:r>
            <w:r>
              <w:rPr>
                <w:rFonts w:hint="eastAsia" w:ascii="宋体" w:hAnsi="宋体" w:eastAsia="宋体" w:cs="宋体"/>
                <w:sz w:val="21"/>
                <w:szCs w:val="21"/>
              </w:rPr>
              <w:t>除外）</w:t>
            </w:r>
          </w:p>
        </w:tc>
        <w:tc>
          <w:tcPr>
            <w:tcW w:w="709" w:type="dxa"/>
            <w:vAlign w:val="center"/>
          </w:tcPr>
          <w:p w14:paraId="7AA2B8CE">
            <w:pPr>
              <w:keepNext w:val="0"/>
              <w:keepLines w:val="0"/>
              <w:pageBreakBefore w:val="0"/>
              <w:widowControl/>
              <w:kinsoku/>
              <w:overflowPunct/>
              <w:bidi w:val="0"/>
              <w:spacing w:line="360" w:lineRule="auto"/>
              <w:ind w:left="0" w:leftChars="0"/>
              <w:jc w:val="center"/>
              <w:textAlignment w:val="auto"/>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10</w:t>
            </w:r>
          </w:p>
        </w:tc>
        <w:tc>
          <w:tcPr>
            <w:tcW w:w="6636" w:type="dxa"/>
          </w:tcPr>
          <w:p w14:paraId="546BDE38">
            <w:pPr>
              <w:keepNext w:val="0"/>
              <w:keepLines w:val="0"/>
              <w:pageBreakBefore w:val="0"/>
              <w:kinsoku/>
              <w:overflowPunct/>
              <w:bidi w:val="0"/>
              <w:spacing w:line="360" w:lineRule="auto"/>
              <w:ind w:left="0" w:lef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（一）评分内容：</w:t>
            </w:r>
          </w:p>
          <w:p w14:paraId="40C8D203">
            <w:pPr>
              <w:keepNext w:val="0"/>
              <w:keepLines w:val="0"/>
              <w:pageBreakBefore w:val="0"/>
              <w:kinsoku/>
              <w:overflowPunct/>
              <w:bidi w:val="0"/>
              <w:spacing w:line="360" w:lineRule="auto"/>
              <w:ind w:left="0" w:leftChars="0"/>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拟安排的维修技术人员（</w:t>
            </w:r>
            <w:r>
              <w:rPr>
                <w:rFonts w:hint="eastAsia" w:ascii="宋体" w:hAnsi="宋体" w:eastAsia="宋体" w:cs="宋体"/>
                <w:color w:val="000000"/>
                <w:sz w:val="21"/>
                <w:szCs w:val="21"/>
                <w:lang w:eastAsia="zh-CN"/>
              </w:rPr>
              <w:t>技术</w:t>
            </w:r>
            <w:r>
              <w:rPr>
                <w:rFonts w:hint="eastAsia" w:ascii="宋体" w:hAnsi="宋体" w:eastAsia="宋体" w:cs="宋体"/>
                <w:color w:val="000000"/>
                <w:sz w:val="21"/>
                <w:szCs w:val="21"/>
              </w:rPr>
              <w:t>负责人</w:t>
            </w:r>
            <w:r>
              <w:rPr>
                <w:rFonts w:hint="eastAsia" w:ascii="宋体" w:hAnsi="宋体" w:eastAsia="宋体" w:cs="宋体"/>
                <w:sz w:val="21"/>
                <w:szCs w:val="21"/>
              </w:rPr>
              <w:t>除外</w:t>
            </w:r>
            <w:r>
              <w:rPr>
                <w:rFonts w:hint="eastAsia" w:ascii="宋体" w:hAnsi="宋体" w:eastAsia="宋体" w:cs="宋体"/>
                <w:color w:val="000000"/>
                <w:sz w:val="21"/>
                <w:szCs w:val="21"/>
              </w:rPr>
              <w:t>）需为投标人正式聘任员工，否则本项不得分。在此基础上，每</w:t>
            </w:r>
            <w:r>
              <w:rPr>
                <w:rFonts w:hint="eastAsia" w:ascii="宋体" w:hAnsi="宋体" w:eastAsia="宋体" w:cs="宋体"/>
                <w:color w:val="000000"/>
                <w:sz w:val="21"/>
                <w:szCs w:val="21"/>
                <w:lang w:val="en-US" w:eastAsia="zh-CN"/>
              </w:rPr>
              <w:t>提供1人</w:t>
            </w:r>
            <w:r>
              <w:rPr>
                <w:rFonts w:hint="eastAsia" w:ascii="宋体" w:hAnsi="宋体" w:eastAsia="宋体" w:cs="宋体"/>
                <w:color w:val="000000"/>
                <w:sz w:val="21"/>
                <w:szCs w:val="21"/>
              </w:rPr>
              <w:t>具</w:t>
            </w:r>
            <w:r>
              <w:rPr>
                <w:rFonts w:hint="eastAsia" w:ascii="宋体" w:hAnsi="宋体" w:eastAsia="宋体" w:cs="宋体"/>
                <w:color w:val="000000"/>
                <w:sz w:val="21"/>
                <w:szCs w:val="21"/>
                <w:lang w:val="en-US" w:eastAsia="zh-CN"/>
              </w:rPr>
              <w:t>有</w:t>
            </w:r>
            <w:r>
              <w:rPr>
                <w:rFonts w:hint="eastAsia" w:ascii="宋体" w:hAnsi="宋体" w:eastAsia="宋体" w:cs="宋体"/>
                <w:color w:val="000000"/>
                <w:sz w:val="21"/>
                <w:szCs w:val="21"/>
              </w:rPr>
              <w:t>以下证书的之一的</w:t>
            </w:r>
            <w:r>
              <w:rPr>
                <w:rFonts w:hint="eastAsia" w:ascii="宋体" w:hAnsi="宋体" w:eastAsia="宋体" w:cs="宋体"/>
                <w:color w:val="000000"/>
                <w:sz w:val="21"/>
                <w:szCs w:val="21"/>
                <w:lang w:eastAsia="zh-CN"/>
              </w:rPr>
              <w:t>得</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分，最高得</w:t>
            </w:r>
            <w:r>
              <w:rPr>
                <w:rFonts w:hint="eastAsia" w:ascii="宋体" w:hAnsi="宋体" w:eastAsia="宋体" w:cs="宋体"/>
                <w:color w:val="000000"/>
                <w:sz w:val="21"/>
                <w:szCs w:val="21"/>
                <w:lang w:val="en-US" w:eastAsia="zh-CN"/>
              </w:rPr>
              <w:t>10</w:t>
            </w:r>
            <w:r>
              <w:rPr>
                <w:rFonts w:hint="eastAsia" w:ascii="宋体" w:hAnsi="宋体" w:eastAsia="宋体" w:cs="宋体"/>
                <w:color w:val="000000"/>
                <w:sz w:val="21"/>
                <w:szCs w:val="21"/>
              </w:rPr>
              <w:t>分</w:t>
            </w:r>
            <w:r>
              <w:rPr>
                <w:rFonts w:hint="eastAsia" w:ascii="宋体" w:hAnsi="宋体" w:eastAsia="宋体" w:cs="宋体"/>
                <w:color w:val="000000"/>
                <w:sz w:val="21"/>
                <w:szCs w:val="21"/>
                <w:lang w:eastAsia="zh-CN"/>
              </w:rPr>
              <w:t>：</w:t>
            </w:r>
          </w:p>
          <w:p w14:paraId="48C4115E">
            <w:pPr>
              <w:keepNext w:val="0"/>
              <w:keepLines w:val="0"/>
              <w:pageBreakBefore w:val="0"/>
              <w:kinsoku/>
              <w:overflowPunct/>
              <w:bidi w:val="0"/>
              <w:spacing w:line="360" w:lineRule="auto"/>
              <w:ind w:left="0" w:lef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1.通过全国机动车检测维修专业技术人员职业资格考试并取得了机动车检测维修</w:t>
            </w:r>
            <w:r>
              <w:rPr>
                <w:rFonts w:hint="eastAsia" w:ascii="宋体" w:hAnsi="宋体" w:eastAsia="宋体" w:cs="宋体"/>
                <w:color w:val="000000"/>
                <w:sz w:val="21"/>
                <w:szCs w:val="21"/>
                <w:lang w:eastAsia="zh-CN"/>
              </w:rPr>
              <w:t>师</w:t>
            </w:r>
            <w:r>
              <w:rPr>
                <w:rFonts w:hint="eastAsia" w:ascii="宋体" w:hAnsi="宋体" w:eastAsia="宋体" w:cs="宋体"/>
                <w:color w:val="000000"/>
                <w:sz w:val="21"/>
                <w:szCs w:val="21"/>
              </w:rPr>
              <w:t>或以上资格证书；</w:t>
            </w:r>
          </w:p>
          <w:p w14:paraId="5EB17C89">
            <w:pPr>
              <w:keepNext w:val="0"/>
              <w:keepLines w:val="0"/>
              <w:pageBreakBefore w:val="0"/>
              <w:kinsoku/>
              <w:overflowPunct/>
              <w:bidi w:val="0"/>
              <w:spacing w:line="360" w:lineRule="auto"/>
              <w:ind w:left="0" w:lef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2.具有汽车维修工或汽车修理工高级（国家职业资格三级）或以上等级证书，或第三方专业机构认定的汽车维修工高级（三级）或以上等级证书。</w:t>
            </w:r>
          </w:p>
          <w:p w14:paraId="4A4EE3B1">
            <w:pPr>
              <w:keepNext w:val="0"/>
              <w:keepLines w:val="0"/>
              <w:pageBreakBefore w:val="0"/>
              <w:kinsoku/>
              <w:overflowPunct/>
              <w:bidi w:val="0"/>
              <w:spacing w:line="360" w:lineRule="auto"/>
              <w:ind w:left="0" w:leftChars="0"/>
              <w:jc w:val="left"/>
              <w:textAlignment w:val="auto"/>
              <w:rPr>
                <w:rFonts w:hint="eastAsia" w:ascii="宋体" w:hAnsi="宋体" w:eastAsia="宋体" w:cs="宋体"/>
                <w:color w:val="000000"/>
                <w:sz w:val="21"/>
                <w:szCs w:val="21"/>
              </w:rPr>
            </w:pPr>
          </w:p>
          <w:p w14:paraId="7CCF4AE0">
            <w:pPr>
              <w:keepNext w:val="0"/>
              <w:keepLines w:val="0"/>
              <w:pageBreakBefore w:val="0"/>
              <w:kinsoku/>
              <w:overflowPunct/>
              <w:bidi w:val="0"/>
              <w:spacing w:line="360" w:lineRule="auto"/>
              <w:ind w:left="0" w:lef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（二）评分依据：</w:t>
            </w:r>
          </w:p>
          <w:p w14:paraId="5A20689A">
            <w:pPr>
              <w:keepNext w:val="0"/>
              <w:keepLines w:val="0"/>
              <w:pageBreakBefore w:val="0"/>
              <w:kinsoku/>
              <w:overflowPunct/>
              <w:bidi w:val="0"/>
              <w:snapToGrid w:val="0"/>
              <w:spacing w:line="360" w:lineRule="auto"/>
              <w:ind w:left="0" w:lef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拟安排的维修技术人员须为投标单位员工，提供项目负责人通过投标单位缴纳的载有社保部门或税务部门公章的本项目投标截止日前一个月的个人社保证明（因社保部门或税务部门原因暂时无法取得的则可往前顺延一个月），如供应商为新成立单位且成立时间不足一个月的，可提供加盖公章的情况说明或者证明材料亦视为符合。如为退休返聘人员则提供劳动合同或返聘协议；</w:t>
            </w:r>
          </w:p>
          <w:p w14:paraId="713E8EDC">
            <w:pPr>
              <w:keepNext w:val="0"/>
              <w:keepLines w:val="0"/>
              <w:pageBreakBefore w:val="0"/>
              <w:kinsoku/>
              <w:overflowPunct/>
              <w:bidi w:val="0"/>
              <w:snapToGrid w:val="0"/>
              <w:spacing w:line="360" w:lineRule="auto"/>
              <w:ind w:left="0" w:lef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2.提供人员有效的机动车检测维修专业技术人员职业资格证书</w:t>
            </w:r>
            <w:r>
              <w:rPr>
                <w:rFonts w:hint="eastAsia" w:ascii="宋体" w:hAnsi="宋体" w:eastAsia="宋体" w:cs="宋体"/>
                <w:color w:val="000000"/>
                <w:sz w:val="21"/>
                <w:szCs w:val="21"/>
                <w:lang w:val="en-US" w:eastAsia="zh-CN"/>
              </w:rPr>
              <w:t>和</w:t>
            </w:r>
            <w:r>
              <w:rPr>
                <w:rFonts w:hint="eastAsia" w:ascii="宋体" w:hAnsi="宋体" w:eastAsia="宋体" w:cs="宋体"/>
                <w:color w:val="000000"/>
                <w:sz w:val="21"/>
                <w:szCs w:val="21"/>
              </w:rPr>
              <w:t>汽车维修工或汽车修理工证书作为</w:t>
            </w:r>
            <w:r>
              <w:rPr>
                <w:rFonts w:hint="eastAsia" w:ascii="宋体" w:hAnsi="宋体" w:eastAsia="宋体" w:cs="宋体"/>
                <w:color w:val="000000"/>
                <w:sz w:val="21"/>
                <w:szCs w:val="21"/>
                <w:lang w:val="en-US" w:eastAsia="zh-CN"/>
              </w:rPr>
              <w:t>评分</w:t>
            </w:r>
            <w:r>
              <w:rPr>
                <w:rFonts w:hint="eastAsia" w:ascii="宋体" w:hAnsi="宋体" w:eastAsia="宋体" w:cs="宋体"/>
                <w:color w:val="000000"/>
                <w:sz w:val="21"/>
                <w:szCs w:val="21"/>
              </w:rPr>
              <w:t>依据。汽车维修工证书若由行业协会（学会）发证的，还需提供该协会在中国社会组织政务服务平台查询正常</w:t>
            </w:r>
            <w:r>
              <w:rPr>
                <w:rFonts w:hint="eastAsia" w:ascii="宋体" w:hAnsi="宋体" w:eastAsia="宋体" w:cs="宋体"/>
                <w:color w:val="000000"/>
                <w:sz w:val="21"/>
                <w:szCs w:val="21"/>
                <w:lang w:eastAsia="zh-CN"/>
              </w:rPr>
              <w:t>的</w:t>
            </w:r>
            <w:r>
              <w:rPr>
                <w:rFonts w:hint="eastAsia" w:ascii="宋体" w:hAnsi="宋体" w:eastAsia="宋体" w:cs="宋体"/>
                <w:color w:val="000000"/>
                <w:sz w:val="21"/>
                <w:szCs w:val="21"/>
              </w:rPr>
              <w:t>截图（https://chinanpo.mca.gov.cn）。相关证书在公开渠道无法查询的，需提供颁发部门或者监管机构的证明材料，证明证书真实有效且为合法机构颁发。</w:t>
            </w:r>
          </w:p>
          <w:p w14:paraId="3FB88917">
            <w:pPr>
              <w:keepNext w:val="0"/>
              <w:keepLines w:val="0"/>
              <w:pageBreakBefore w:val="0"/>
              <w:kinsoku/>
              <w:overflowPunct/>
              <w:bidi w:val="0"/>
              <w:snapToGrid w:val="0"/>
              <w:spacing w:line="360" w:lineRule="auto"/>
              <w:ind w:left="0" w:lef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3.提供以上证明文件复印件或扫描件，如涉及网站截图或照片等证明材料,需提供清晰图片,原件备查。未按要求提供有效证明材料或提供不清晰导致评委无法识别的不计得分。</w:t>
            </w:r>
          </w:p>
        </w:tc>
        <w:tc>
          <w:tcPr>
            <w:tcW w:w="1018" w:type="dxa"/>
            <w:vAlign w:val="center"/>
          </w:tcPr>
          <w:p w14:paraId="5ABECF4C">
            <w:pPr>
              <w:keepNext w:val="0"/>
              <w:keepLines w:val="0"/>
              <w:pageBreakBefore w:val="0"/>
              <w:kinsoku/>
              <w:overflowPunct/>
              <w:bidi w:val="0"/>
              <w:spacing w:line="360" w:lineRule="auto"/>
              <w:ind w:left="0" w:left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rPr>
              <w:t>评委打分</w:t>
            </w:r>
          </w:p>
        </w:tc>
      </w:tr>
      <w:tr w14:paraId="27F20BAC">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754" w:type="dxa"/>
            <w:vAlign w:val="center"/>
          </w:tcPr>
          <w:p w14:paraId="4B235E39">
            <w:pPr>
              <w:keepNext w:val="0"/>
              <w:keepLines w:val="0"/>
              <w:pageBreakBefore w:val="0"/>
              <w:widowControl/>
              <w:kinsoku/>
              <w:overflowPunct/>
              <w:bidi w:val="0"/>
              <w:snapToGrid w:val="0"/>
              <w:spacing w:line="360" w:lineRule="auto"/>
              <w:ind w:left="0" w:leftChars="0"/>
              <w:jc w:val="center"/>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6</w:t>
            </w:r>
          </w:p>
        </w:tc>
        <w:tc>
          <w:tcPr>
            <w:tcW w:w="1143" w:type="dxa"/>
            <w:vAlign w:val="center"/>
          </w:tcPr>
          <w:p w14:paraId="1382F9C0">
            <w:pPr>
              <w:keepNext w:val="0"/>
              <w:keepLines w:val="0"/>
              <w:pageBreakBefore w:val="0"/>
              <w:widowControl/>
              <w:kinsoku/>
              <w:overflowPunct/>
              <w:bidi w:val="0"/>
              <w:spacing w:line="360" w:lineRule="auto"/>
              <w:ind w:left="0" w:leftChars="0"/>
              <w:jc w:val="center"/>
              <w:textAlignment w:val="auto"/>
              <w:rPr>
                <w:rFonts w:hint="eastAsia" w:ascii="宋体" w:hAnsi="宋体" w:eastAsia="宋体" w:cs="宋体"/>
                <w:sz w:val="21"/>
                <w:szCs w:val="21"/>
              </w:rPr>
            </w:pPr>
            <w:r>
              <w:rPr>
                <w:rFonts w:hint="eastAsia" w:ascii="宋体" w:hAnsi="宋体" w:eastAsia="宋体" w:cs="宋体"/>
                <w:sz w:val="21"/>
                <w:szCs w:val="21"/>
              </w:rPr>
              <w:t>项目完成（服务期满）后的服务承诺</w:t>
            </w:r>
          </w:p>
        </w:tc>
        <w:tc>
          <w:tcPr>
            <w:tcW w:w="709" w:type="dxa"/>
            <w:vAlign w:val="center"/>
          </w:tcPr>
          <w:p w14:paraId="6788161A">
            <w:pPr>
              <w:keepNext w:val="0"/>
              <w:keepLines w:val="0"/>
              <w:pageBreakBefore w:val="0"/>
              <w:widowControl/>
              <w:kinsoku/>
              <w:overflowPunct/>
              <w:bidi w:val="0"/>
              <w:spacing w:line="360" w:lineRule="auto"/>
              <w:ind w:left="0" w:left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5</w:t>
            </w:r>
          </w:p>
        </w:tc>
        <w:tc>
          <w:tcPr>
            <w:tcW w:w="6636" w:type="dxa"/>
            <w:vAlign w:val="center"/>
          </w:tcPr>
          <w:p w14:paraId="4252C175">
            <w:pPr>
              <w:keepNext w:val="0"/>
              <w:keepLines w:val="0"/>
              <w:pageBreakBefore w:val="0"/>
              <w:kinsoku/>
              <w:overflowPunct/>
              <w:bidi w:val="0"/>
              <w:spacing w:line="360" w:lineRule="auto"/>
              <w:ind w:left="0" w:leftChars="0"/>
              <w:textAlignment w:val="auto"/>
              <w:rPr>
                <w:rFonts w:hint="eastAsia" w:ascii="宋体" w:hAnsi="宋体" w:eastAsia="宋体" w:cs="宋体"/>
                <w:sz w:val="21"/>
                <w:szCs w:val="21"/>
              </w:rPr>
            </w:pPr>
            <w:r>
              <w:rPr>
                <w:rFonts w:hint="eastAsia" w:ascii="宋体" w:hAnsi="宋体" w:eastAsia="宋体" w:cs="宋体"/>
                <w:sz w:val="21"/>
                <w:szCs w:val="21"/>
              </w:rPr>
              <w:t>（一）评分内容：</w:t>
            </w:r>
          </w:p>
          <w:p w14:paraId="1C50C598">
            <w:pPr>
              <w:keepNext w:val="0"/>
              <w:keepLines w:val="0"/>
              <w:pageBreakBefore w:val="0"/>
              <w:kinsoku/>
              <w:overflowPunct/>
              <w:bidi w:val="0"/>
              <w:spacing w:line="360" w:lineRule="auto"/>
              <w:ind w:left="0" w:leftChars="0"/>
              <w:textAlignment w:val="auto"/>
              <w:rPr>
                <w:rFonts w:hint="eastAsia" w:ascii="宋体" w:hAnsi="宋体" w:eastAsia="宋体" w:cs="宋体"/>
                <w:sz w:val="21"/>
                <w:szCs w:val="21"/>
              </w:rPr>
            </w:pPr>
            <w:r>
              <w:rPr>
                <w:rFonts w:hint="eastAsia" w:ascii="宋体" w:hAnsi="宋体" w:eastAsia="宋体" w:cs="宋体"/>
                <w:sz w:val="21"/>
                <w:szCs w:val="21"/>
              </w:rPr>
              <w:t>投标人提供服务期满后的服务承诺，承诺以下全部内容的得5分，否则不得分。</w:t>
            </w:r>
          </w:p>
          <w:p w14:paraId="685CD86D">
            <w:pPr>
              <w:keepNext w:val="0"/>
              <w:keepLines w:val="0"/>
              <w:pageBreakBefore w:val="0"/>
              <w:kinsoku/>
              <w:overflowPunct/>
              <w:bidi w:val="0"/>
              <w:spacing w:line="360" w:lineRule="auto"/>
              <w:ind w:left="0" w:leftChars="0"/>
              <w:textAlignment w:val="auto"/>
              <w:rPr>
                <w:rFonts w:hint="eastAsia" w:ascii="宋体" w:hAnsi="宋体" w:eastAsia="宋体" w:cs="宋体"/>
                <w:sz w:val="21"/>
                <w:szCs w:val="21"/>
              </w:rPr>
            </w:pPr>
            <w:r>
              <w:rPr>
                <w:rFonts w:hint="eastAsia" w:ascii="宋体" w:hAnsi="宋体" w:eastAsia="宋体" w:cs="宋体"/>
                <w:sz w:val="21"/>
                <w:szCs w:val="21"/>
              </w:rPr>
              <w:t>1.服务期满，经采购人确认后离岗。</w:t>
            </w:r>
          </w:p>
          <w:p w14:paraId="0E201C90">
            <w:pPr>
              <w:keepNext w:val="0"/>
              <w:keepLines w:val="0"/>
              <w:pageBreakBefore w:val="0"/>
              <w:kinsoku/>
              <w:overflowPunct/>
              <w:bidi w:val="0"/>
              <w:spacing w:line="360" w:lineRule="auto"/>
              <w:ind w:left="0" w:leftChars="0"/>
              <w:textAlignment w:val="auto"/>
              <w:rPr>
                <w:rFonts w:hint="eastAsia" w:ascii="宋体" w:hAnsi="宋体" w:eastAsia="宋体" w:cs="宋体"/>
                <w:sz w:val="21"/>
                <w:szCs w:val="21"/>
              </w:rPr>
            </w:pPr>
            <w:r>
              <w:rPr>
                <w:rFonts w:hint="eastAsia" w:ascii="宋体" w:hAnsi="宋体" w:eastAsia="宋体" w:cs="宋体"/>
                <w:sz w:val="21"/>
                <w:szCs w:val="21"/>
              </w:rPr>
              <w:t>2.与后续服务公司进行交接。</w:t>
            </w:r>
          </w:p>
          <w:p w14:paraId="7DE52504">
            <w:pPr>
              <w:keepNext w:val="0"/>
              <w:keepLines w:val="0"/>
              <w:pageBreakBefore w:val="0"/>
              <w:kinsoku/>
              <w:overflowPunct/>
              <w:bidi w:val="0"/>
              <w:spacing w:line="360" w:lineRule="auto"/>
              <w:ind w:left="0" w:leftChars="0"/>
              <w:textAlignment w:val="auto"/>
              <w:rPr>
                <w:rFonts w:hint="eastAsia" w:ascii="宋体" w:hAnsi="宋体" w:eastAsia="宋体" w:cs="宋体"/>
                <w:sz w:val="21"/>
                <w:szCs w:val="21"/>
              </w:rPr>
            </w:pPr>
            <w:r>
              <w:rPr>
                <w:rFonts w:hint="eastAsia" w:ascii="宋体" w:hAnsi="宋体" w:eastAsia="宋体" w:cs="宋体"/>
                <w:sz w:val="21"/>
                <w:szCs w:val="21"/>
              </w:rPr>
              <w:t>3.服务期满，后续服务公司未到位前仍按原合同服务承诺提供服务。</w:t>
            </w:r>
          </w:p>
          <w:p w14:paraId="1862DC23">
            <w:pPr>
              <w:keepNext w:val="0"/>
              <w:keepLines w:val="0"/>
              <w:pageBreakBefore w:val="0"/>
              <w:kinsoku/>
              <w:overflowPunct/>
              <w:bidi w:val="0"/>
              <w:spacing w:line="360" w:lineRule="auto"/>
              <w:ind w:left="0" w:leftChars="0"/>
              <w:textAlignment w:val="auto"/>
              <w:rPr>
                <w:rFonts w:hint="eastAsia" w:ascii="宋体" w:hAnsi="宋体" w:eastAsia="宋体" w:cs="宋体"/>
                <w:sz w:val="21"/>
                <w:szCs w:val="21"/>
              </w:rPr>
            </w:pPr>
            <w:r>
              <w:rPr>
                <w:rFonts w:hint="eastAsia" w:ascii="宋体" w:hAnsi="宋体" w:eastAsia="宋体" w:cs="宋体"/>
                <w:sz w:val="21"/>
                <w:szCs w:val="21"/>
              </w:rPr>
              <w:t>（二）评分依据:</w:t>
            </w:r>
          </w:p>
          <w:p w14:paraId="52751DBC">
            <w:pPr>
              <w:keepNext w:val="0"/>
              <w:keepLines w:val="0"/>
              <w:pageBreakBefore w:val="0"/>
              <w:kinsoku/>
              <w:overflowPunct/>
              <w:bidi w:val="0"/>
              <w:spacing w:line="360" w:lineRule="auto"/>
              <w:ind w:left="0" w:leftChars="0"/>
              <w:textAlignment w:val="auto"/>
              <w:rPr>
                <w:rFonts w:hint="eastAsia" w:ascii="宋体" w:hAnsi="宋体" w:eastAsia="宋体" w:cs="宋体"/>
                <w:sz w:val="21"/>
                <w:szCs w:val="21"/>
              </w:rPr>
            </w:pPr>
            <w:r>
              <w:rPr>
                <w:rFonts w:hint="eastAsia" w:ascii="宋体" w:hAnsi="宋体" w:eastAsia="宋体" w:cs="宋体"/>
                <w:sz w:val="21"/>
                <w:szCs w:val="21"/>
              </w:rPr>
              <w:t>提供《项目完成（服务期满）后的服务承诺函》（格式自定）作为得分依据，未提供承诺或承诺内容不满足要求的不得分。</w:t>
            </w:r>
          </w:p>
        </w:tc>
        <w:tc>
          <w:tcPr>
            <w:tcW w:w="1018" w:type="dxa"/>
            <w:vAlign w:val="center"/>
          </w:tcPr>
          <w:p w14:paraId="34121B18">
            <w:pPr>
              <w:keepNext w:val="0"/>
              <w:keepLines w:val="0"/>
              <w:pageBreakBefore w:val="0"/>
              <w:kinsoku/>
              <w:overflowPunct/>
              <w:bidi w:val="0"/>
              <w:spacing w:line="360" w:lineRule="auto"/>
              <w:ind w:left="0" w:left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rPr>
              <w:t>评委打分</w:t>
            </w:r>
          </w:p>
        </w:tc>
      </w:tr>
      <w:tr w14:paraId="519D32E2">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9242" w:type="dxa"/>
            <w:gridSpan w:val="4"/>
            <w:vAlign w:val="center"/>
          </w:tcPr>
          <w:p w14:paraId="0FFB4192">
            <w:pPr>
              <w:keepNext w:val="0"/>
              <w:keepLines w:val="0"/>
              <w:pageBreakBefore w:val="0"/>
              <w:kinsoku/>
              <w:overflowPunct/>
              <w:autoSpaceDE w:val="0"/>
              <w:autoSpaceDN w:val="0"/>
              <w:bidi w:val="0"/>
              <w:adjustRightInd w:val="0"/>
              <w:spacing w:line="360" w:lineRule="auto"/>
              <w:ind w:left="0" w:leftChars="0"/>
              <w:jc w:val="center"/>
              <w:textAlignment w:val="auto"/>
              <w:rPr>
                <w:rFonts w:hint="eastAsia" w:ascii="宋体" w:hAnsi="宋体" w:eastAsia="宋体" w:cs="宋体"/>
                <w:b/>
                <w:sz w:val="21"/>
                <w:szCs w:val="21"/>
              </w:rPr>
            </w:pPr>
            <w:r>
              <w:rPr>
                <w:rFonts w:hint="eastAsia" w:ascii="宋体" w:hAnsi="宋体" w:eastAsia="宋体" w:cs="宋体"/>
                <w:b/>
                <w:sz w:val="21"/>
                <w:szCs w:val="21"/>
                <w:lang w:val="zh-CN"/>
              </w:rPr>
              <w:t>三、商务部分</w:t>
            </w:r>
          </w:p>
        </w:tc>
        <w:tc>
          <w:tcPr>
            <w:tcW w:w="1018" w:type="dxa"/>
            <w:vAlign w:val="center"/>
          </w:tcPr>
          <w:p w14:paraId="2DAF161A">
            <w:pPr>
              <w:keepNext w:val="0"/>
              <w:keepLines w:val="0"/>
              <w:pageBreakBefore w:val="0"/>
              <w:kinsoku/>
              <w:overflowPunct/>
              <w:autoSpaceDE w:val="0"/>
              <w:autoSpaceDN w:val="0"/>
              <w:bidi w:val="0"/>
              <w:adjustRightInd w:val="0"/>
              <w:spacing w:line="360" w:lineRule="auto"/>
              <w:ind w:left="0" w:leftChars="0"/>
              <w:jc w:val="center"/>
              <w:textAlignment w:val="auto"/>
              <w:rPr>
                <w:rFonts w:hint="default" w:ascii="宋体" w:hAnsi="宋体" w:eastAsia="宋体" w:cs="宋体"/>
                <w:b/>
                <w:sz w:val="21"/>
                <w:szCs w:val="21"/>
                <w:lang w:val="en-US" w:eastAsia="zh-CN"/>
              </w:rPr>
            </w:pPr>
            <w:r>
              <w:rPr>
                <w:rFonts w:hint="eastAsia" w:ascii="宋体" w:hAnsi="宋体" w:cs="宋体"/>
                <w:b/>
                <w:sz w:val="21"/>
                <w:szCs w:val="21"/>
                <w:lang w:val="en-US" w:eastAsia="zh-CN"/>
              </w:rPr>
              <w:t>41</w:t>
            </w:r>
          </w:p>
        </w:tc>
      </w:tr>
      <w:tr w14:paraId="3E8D1568">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14:paraId="6397EF14">
            <w:pPr>
              <w:keepNext w:val="0"/>
              <w:keepLines w:val="0"/>
              <w:pageBreakBefore w:val="0"/>
              <w:kinsoku/>
              <w:overflowPunct/>
              <w:autoSpaceDE w:val="0"/>
              <w:autoSpaceDN w:val="0"/>
              <w:bidi w:val="0"/>
              <w:adjustRightInd w:val="0"/>
              <w:spacing w:line="360" w:lineRule="auto"/>
              <w:ind w:left="0" w:leftChars="0"/>
              <w:jc w:val="center"/>
              <w:textAlignment w:val="auto"/>
              <w:rPr>
                <w:rFonts w:hint="eastAsia" w:ascii="宋体" w:hAnsi="宋体" w:eastAsia="宋体" w:cs="宋体"/>
                <w:sz w:val="21"/>
                <w:szCs w:val="21"/>
              </w:rPr>
            </w:pPr>
            <w:r>
              <w:rPr>
                <w:rFonts w:hint="eastAsia" w:ascii="宋体" w:hAnsi="宋体" w:eastAsia="宋体" w:cs="宋体"/>
                <w:sz w:val="21"/>
                <w:szCs w:val="21"/>
                <w:lang w:val="zh-CN"/>
              </w:rPr>
              <w:t>序号</w:t>
            </w:r>
          </w:p>
        </w:tc>
        <w:tc>
          <w:tcPr>
            <w:tcW w:w="1143" w:type="dxa"/>
            <w:vAlign w:val="center"/>
          </w:tcPr>
          <w:p w14:paraId="57A05AA9">
            <w:pPr>
              <w:keepNext w:val="0"/>
              <w:keepLines w:val="0"/>
              <w:pageBreakBefore w:val="0"/>
              <w:kinsoku/>
              <w:overflowPunct/>
              <w:autoSpaceDE w:val="0"/>
              <w:autoSpaceDN w:val="0"/>
              <w:bidi w:val="0"/>
              <w:adjustRightInd w:val="0"/>
              <w:spacing w:line="360" w:lineRule="auto"/>
              <w:ind w:left="0" w:leftChars="0"/>
              <w:jc w:val="center"/>
              <w:textAlignment w:val="auto"/>
              <w:rPr>
                <w:rFonts w:hint="eastAsia" w:ascii="宋体" w:hAnsi="宋体" w:eastAsia="宋体" w:cs="宋体"/>
                <w:sz w:val="21"/>
                <w:szCs w:val="21"/>
              </w:rPr>
            </w:pPr>
            <w:r>
              <w:rPr>
                <w:rFonts w:hint="eastAsia" w:ascii="宋体" w:hAnsi="宋体" w:eastAsia="宋体" w:cs="宋体"/>
                <w:sz w:val="21"/>
                <w:szCs w:val="21"/>
                <w:lang w:val="zh-CN"/>
              </w:rPr>
              <w:t>内容</w:t>
            </w:r>
          </w:p>
        </w:tc>
        <w:tc>
          <w:tcPr>
            <w:tcW w:w="709" w:type="dxa"/>
            <w:vAlign w:val="center"/>
          </w:tcPr>
          <w:p w14:paraId="3D4C501A">
            <w:pPr>
              <w:keepNext w:val="0"/>
              <w:keepLines w:val="0"/>
              <w:pageBreakBefore w:val="0"/>
              <w:kinsoku/>
              <w:overflowPunct/>
              <w:autoSpaceDE w:val="0"/>
              <w:autoSpaceDN w:val="0"/>
              <w:bidi w:val="0"/>
              <w:adjustRightInd w:val="0"/>
              <w:spacing w:line="360" w:lineRule="auto"/>
              <w:ind w:left="0" w:leftChars="0"/>
              <w:jc w:val="center"/>
              <w:textAlignment w:val="auto"/>
              <w:rPr>
                <w:rFonts w:hint="eastAsia" w:ascii="宋体" w:hAnsi="宋体" w:eastAsia="宋体" w:cs="宋体"/>
                <w:sz w:val="21"/>
                <w:szCs w:val="21"/>
              </w:rPr>
            </w:pPr>
            <w:r>
              <w:rPr>
                <w:rFonts w:hint="eastAsia" w:ascii="宋体" w:hAnsi="宋体" w:eastAsia="宋体" w:cs="宋体"/>
                <w:sz w:val="21"/>
                <w:szCs w:val="21"/>
                <w:lang w:val="zh-CN"/>
              </w:rPr>
              <w:t>权重</w:t>
            </w:r>
          </w:p>
        </w:tc>
        <w:tc>
          <w:tcPr>
            <w:tcW w:w="6636" w:type="dxa"/>
            <w:vAlign w:val="center"/>
          </w:tcPr>
          <w:p w14:paraId="7C8DF4C3">
            <w:pPr>
              <w:keepNext w:val="0"/>
              <w:keepLines w:val="0"/>
              <w:pageBreakBefore w:val="0"/>
              <w:kinsoku/>
              <w:overflowPunct/>
              <w:autoSpaceDE w:val="0"/>
              <w:autoSpaceDN w:val="0"/>
              <w:bidi w:val="0"/>
              <w:adjustRightInd w:val="0"/>
              <w:spacing w:line="360" w:lineRule="auto"/>
              <w:ind w:left="0" w:leftChars="0"/>
              <w:jc w:val="center"/>
              <w:textAlignment w:val="auto"/>
              <w:rPr>
                <w:rFonts w:hint="eastAsia" w:ascii="宋体" w:hAnsi="宋体" w:eastAsia="宋体" w:cs="宋体"/>
                <w:sz w:val="21"/>
                <w:szCs w:val="21"/>
              </w:rPr>
            </w:pPr>
            <w:r>
              <w:rPr>
                <w:rFonts w:hint="eastAsia" w:ascii="宋体" w:hAnsi="宋体" w:eastAsia="宋体" w:cs="宋体"/>
                <w:sz w:val="21"/>
                <w:szCs w:val="21"/>
                <w:lang w:val="zh-CN"/>
              </w:rPr>
              <w:t>评分规则</w:t>
            </w:r>
          </w:p>
        </w:tc>
        <w:tc>
          <w:tcPr>
            <w:tcW w:w="1018" w:type="dxa"/>
            <w:vAlign w:val="center"/>
          </w:tcPr>
          <w:p w14:paraId="692D41A6">
            <w:pPr>
              <w:keepNext w:val="0"/>
              <w:keepLines w:val="0"/>
              <w:pageBreakBefore w:val="0"/>
              <w:kinsoku/>
              <w:overflowPunct/>
              <w:autoSpaceDE w:val="0"/>
              <w:autoSpaceDN w:val="0"/>
              <w:bidi w:val="0"/>
              <w:adjustRightInd w:val="0"/>
              <w:spacing w:line="360" w:lineRule="auto"/>
              <w:ind w:left="0" w:leftChars="0"/>
              <w:jc w:val="center"/>
              <w:textAlignment w:val="auto"/>
              <w:rPr>
                <w:rFonts w:hint="eastAsia" w:ascii="宋体" w:hAnsi="宋体" w:eastAsia="宋体" w:cs="宋体"/>
                <w:sz w:val="21"/>
                <w:szCs w:val="21"/>
              </w:rPr>
            </w:pPr>
            <w:r>
              <w:rPr>
                <w:rFonts w:hint="eastAsia" w:ascii="宋体" w:hAnsi="宋体" w:eastAsia="宋体" w:cs="宋体"/>
                <w:sz w:val="21"/>
                <w:szCs w:val="21"/>
                <w:lang w:val="zh-CN"/>
              </w:rPr>
              <w:t>评分方式</w:t>
            </w:r>
          </w:p>
        </w:tc>
      </w:tr>
      <w:tr w14:paraId="6333E6E2">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88" w:hRule="atLeast"/>
          <w:jc w:val="center"/>
        </w:trPr>
        <w:tc>
          <w:tcPr>
            <w:tcW w:w="754" w:type="dxa"/>
            <w:vAlign w:val="center"/>
          </w:tcPr>
          <w:p w14:paraId="6622D9DF">
            <w:pPr>
              <w:keepNext w:val="0"/>
              <w:keepLines w:val="0"/>
              <w:pageBreakBefore w:val="0"/>
              <w:kinsoku/>
              <w:overflowPunct/>
              <w:autoSpaceDE w:val="0"/>
              <w:autoSpaceDN w:val="0"/>
              <w:bidi w:val="0"/>
              <w:adjustRightInd w:val="0"/>
              <w:spacing w:line="360" w:lineRule="auto"/>
              <w:ind w:left="0" w:left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1</w:t>
            </w:r>
          </w:p>
        </w:tc>
        <w:tc>
          <w:tcPr>
            <w:tcW w:w="1143" w:type="dxa"/>
            <w:vAlign w:val="center"/>
          </w:tcPr>
          <w:p w14:paraId="719EC395">
            <w:pPr>
              <w:keepNext w:val="0"/>
              <w:keepLines w:val="0"/>
              <w:pageBreakBefore w:val="0"/>
              <w:kinsoku/>
              <w:overflowPunct/>
              <w:bidi w:val="0"/>
              <w:spacing w:line="360" w:lineRule="auto"/>
              <w:ind w:left="0" w:left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供应商认证情况</w:t>
            </w:r>
          </w:p>
        </w:tc>
        <w:tc>
          <w:tcPr>
            <w:tcW w:w="709" w:type="dxa"/>
            <w:vAlign w:val="center"/>
          </w:tcPr>
          <w:p w14:paraId="002B079E">
            <w:pPr>
              <w:keepNext w:val="0"/>
              <w:keepLines w:val="0"/>
              <w:pageBreakBefore w:val="0"/>
              <w:kinsoku/>
              <w:overflowPunct/>
              <w:bidi w:val="0"/>
              <w:spacing w:line="360" w:lineRule="auto"/>
              <w:ind w:left="0" w:leftChars="0"/>
              <w:jc w:val="center"/>
              <w:textAlignment w:val="auto"/>
              <w:rPr>
                <w:rFonts w:hint="default" w:ascii="宋体" w:hAnsi="宋体" w:eastAsia="宋体" w:cs="宋体"/>
                <w:kern w:val="0"/>
                <w:sz w:val="21"/>
                <w:szCs w:val="21"/>
                <w:lang w:val="en-US" w:eastAsia="zh-CN"/>
              </w:rPr>
            </w:pPr>
            <w:r>
              <w:rPr>
                <w:rFonts w:hint="eastAsia" w:ascii="宋体" w:hAnsi="宋体" w:cs="宋体"/>
                <w:sz w:val="21"/>
                <w:szCs w:val="21"/>
                <w:lang w:val="en-US" w:eastAsia="zh-CN"/>
              </w:rPr>
              <w:t>9</w:t>
            </w:r>
          </w:p>
        </w:tc>
        <w:tc>
          <w:tcPr>
            <w:tcW w:w="6636" w:type="dxa"/>
            <w:vAlign w:val="center"/>
          </w:tcPr>
          <w:p w14:paraId="567CE96D">
            <w:pPr>
              <w:keepNext w:val="0"/>
              <w:keepLines w:val="0"/>
              <w:pageBreakBefore w:val="0"/>
              <w:kinsoku/>
              <w:overflowPunct/>
              <w:topLinePunct/>
              <w:bidi w:val="0"/>
              <w:adjustRightInd w:val="0"/>
              <w:snapToGrid w:val="0"/>
              <w:spacing w:line="360" w:lineRule="auto"/>
              <w:ind w:left="0" w:leftChars="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（一）评分内容： </w:t>
            </w:r>
          </w:p>
          <w:p w14:paraId="19A644FF">
            <w:pPr>
              <w:keepNext w:val="0"/>
              <w:keepLines w:val="0"/>
              <w:pageBreakBefore w:val="0"/>
              <w:kinsoku/>
              <w:overflowPunct/>
              <w:bidi w:val="0"/>
              <w:adjustRightInd w:val="0"/>
              <w:snapToGrid w:val="0"/>
              <w:spacing w:line="360" w:lineRule="auto"/>
              <w:ind w:left="0" w:left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1.投标人具有质量管理体系认证证书的，得</w:t>
            </w:r>
            <w:r>
              <w:rPr>
                <w:rFonts w:hint="eastAsia" w:ascii="宋体" w:hAnsi="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分；</w:t>
            </w:r>
          </w:p>
          <w:p w14:paraId="399F0D8A">
            <w:pPr>
              <w:keepNext w:val="0"/>
              <w:keepLines w:val="0"/>
              <w:pageBreakBefore w:val="0"/>
              <w:kinsoku/>
              <w:overflowPunct/>
              <w:bidi w:val="0"/>
              <w:adjustRightInd w:val="0"/>
              <w:snapToGrid w:val="0"/>
              <w:spacing w:line="360" w:lineRule="auto"/>
              <w:ind w:left="0" w:left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2.投标人具有环境管理体系认证证书的，得</w:t>
            </w:r>
            <w:r>
              <w:rPr>
                <w:rFonts w:hint="eastAsia" w:ascii="宋体" w:hAnsi="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分；</w:t>
            </w:r>
          </w:p>
          <w:p w14:paraId="47679BE7">
            <w:pPr>
              <w:keepNext w:val="0"/>
              <w:keepLines w:val="0"/>
              <w:pageBreakBefore w:val="0"/>
              <w:kinsoku/>
              <w:overflowPunct/>
              <w:bidi w:val="0"/>
              <w:adjustRightInd w:val="0"/>
              <w:snapToGrid w:val="0"/>
              <w:spacing w:line="360" w:lineRule="auto"/>
              <w:ind w:left="0" w:left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3.投标人具有职业健康安全管理体系认证证书的，得</w:t>
            </w:r>
            <w:r>
              <w:rPr>
                <w:rFonts w:hint="eastAsia" w:ascii="宋体" w:hAnsi="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分。</w:t>
            </w:r>
          </w:p>
          <w:p w14:paraId="2216FBC6">
            <w:pPr>
              <w:keepNext w:val="0"/>
              <w:keepLines w:val="0"/>
              <w:pageBreakBefore w:val="0"/>
              <w:kinsoku/>
              <w:overflowPunct/>
              <w:bidi w:val="0"/>
              <w:adjustRightInd w:val="0"/>
              <w:snapToGrid w:val="0"/>
              <w:spacing w:line="360" w:lineRule="auto"/>
              <w:ind w:left="0" w:left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注：上述累计计分，最高得</w:t>
            </w:r>
            <w:r>
              <w:rPr>
                <w:rFonts w:hint="eastAsia" w:ascii="宋体" w:hAnsi="宋体" w:cs="宋体"/>
                <w:color w:val="000000" w:themeColor="text1"/>
                <w:sz w:val="21"/>
                <w:szCs w:val="21"/>
                <w:lang w:val="en-US" w:eastAsia="zh-CN"/>
                <w14:textFill>
                  <w14:solidFill>
                    <w14:schemeClr w14:val="tx1"/>
                  </w14:solidFill>
                </w14:textFill>
              </w:rPr>
              <w:t>9</w:t>
            </w:r>
            <w:r>
              <w:rPr>
                <w:rFonts w:hint="eastAsia" w:ascii="宋体" w:hAnsi="宋体" w:eastAsia="宋体" w:cs="宋体"/>
                <w:color w:val="000000" w:themeColor="text1"/>
                <w:sz w:val="21"/>
                <w:szCs w:val="21"/>
                <w14:textFill>
                  <w14:solidFill>
                    <w14:schemeClr w14:val="tx1"/>
                  </w14:solidFill>
                </w14:textFill>
              </w:rPr>
              <w:t>分。</w:t>
            </w:r>
          </w:p>
          <w:p w14:paraId="25307571">
            <w:pPr>
              <w:keepNext w:val="0"/>
              <w:keepLines w:val="0"/>
              <w:pageBreakBefore w:val="0"/>
              <w:kinsoku/>
              <w:overflowPunct/>
              <w:bidi w:val="0"/>
              <w:adjustRightInd w:val="0"/>
              <w:snapToGrid w:val="0"/>
              <w:spacing w:line="360" w:lineRule="auto"/>
              <w:ind w:left="0" w:leftChars="0"/>
              <w:textAlignment w:val="auto"/>
              <w:rPr>
                <w:rFonts w:hint="eastAsia" w:ascii="宋体" w:hAnsi="宋体" w:eastAsia="宋体" w:cs="宋体"/>
                <w:color w:val="000000" w:themeColor="text1"/>
                <w:sz w:val="21"/>
                <w:szCs w:val="21"/>
                <w14:textFill>
                  <w14:solidFill>
                    <w14:schemeClr w14:val="tx1"/>
                  </w14:solidFill>
                </w14:textFill>
              </w:rPr>
            </w:pPr>
          </w:p>
          <w:p w14:paraId="1DE7477E">
            <w:pPr>
              <w:keepNext w:val="0"/>
              <w:keepLines w:val="0"/>
              <w:pageBreakBefore w:val="0"/>
              <w:kinsoku/>
              <w:overflowPunct/>
              <w:bidi w:val="0"/>
              <w:adjustRightInd w:val="0"/>
              <w:snapToGrid w:val="0"/>
              <w:spacing w:line="360" w:lineRule="auto"/>
              <w:ind w:left="0" w:left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（二）评分依据：</w:t>
            </w:r>
          </w:p>
          <w:p w14:paraId="24C6B931">
            <w:pPr>
              <w:keepNext w:val="0"/>
              <w:keepLines w:val="0"/>
              <w:pageBreakBefore w:val="0"/>
              <w:kinsoku/>
              <w:overflowPunct/>
              <w:bidi w:val="0"/>
              <w:spacing w:line="360" w:lineRule="auto"/>
              <w:ind w:left="0" w:leftChars="0"/>
              <w:textAlignment w:val="auto"/>
              <w:rPr>
                <w:rFonts w:hint="eastAsia" w:ascii="宋体" w:hAnsi="宋体" w:eastAsia="宋体" w:cs="宋体"/>
                <w:sz w:val="21"/>
                <w:szCs w:val="21"/>
              </w:rPr>
            </w:pPr>
            <w:r>
              <w:rPr>
                <w:rFonts w:hint="eastAsia" w:ascii="宋体" w:hAnsi="宋体" w:eastAsia="宋体" w:cs="宋体"/>
                <w:sz w:val="21"/>
                <w:szCs w:val="21"/>
              </w:rPr>
              <w:t>1.提供有效认证证书（如认证证书注明年审要求的，必须按规定年审且证书在有效期内的方为有效；如未注明年审要求的，证书必须在有效期内的方为有效）；</w:t>
            </w:r>
          </w:p>
          <w:p w14:paraId="0DABB59D">
            <w:pPr>
              <w:keepNext w:val="0"/>
              <w:keepLines w:val="0"/>
              <w:pageBreakBefore w:val="0"/>
              <w:kinsoku/>
              <w:overflowPunct/>
              <w:bidi w:val="0"/>
              <w:spacing w:line="360" w:lineRule="auto"/>
              <w:ind w:left="0" w:leftChars="0"/>
              <w:textAlignment w:val="auto"/>
              <w:rPr>
                <w:rFonts w:hint="eastAsia" w:ascii="宋体" w:hAnsi="宋体" w:eastAsia="宋体" w:cs="宋体"/>
                <w:sz w:val="21"/>
                <w:szCs w:val="21"/>
                <w:lang w:val="zh-CN"/>
              </w:rPr>
            </w:pPr>
            <w:r>
              <w:rPr>
                <w:rFonts w:hint="eastAsia" w:ascii="宋体" w:hAnsi="宋体" w:eastAsia="宋体" w:cs="宋体"/>
                <w:sz w:val="21"/>
                <w:szCs w:val="21"/>
              </w:rPr>
              <w:t>2.提供证书官网或权威机构【如：全国认证认可信息公共服务平台（cx.cnca.cn）】认证信息查询截图（截图需显示证书状态为有效）。</w:t>
            </w:r>
            <w:r>
              <w:rPr>
                <w:rFonts w:hint="eastAsia" w:ascii="宋体" w:hAnsi="宋体" w:eastAsia="宋体" w:cs="宋体"/>
                <w:sz w:val="21"/>
                <w:szCs w:val="21"/>
                <w:lang w:val="zh-CN"/>
              </w:rPr>
              <w:t>相关证书在公开渠道无法查询的，投标人需提供颁发部门或者监管机构的证明材料，证明证书真实有效且为合法机构颁发；</w:t>
            </w:r>
          </w:p>
          <w:p w14:paraId="0AC7B6F6">
            <w:pPr>
              <w:keepNext w:val="0"/>
              <w:keepLines w:val="0"/>
              <w:pageBreakBefore w:val="0"/>
              <w:kinsoku/>
              <w:overflowPunct/>
              <w:bidi w:val="0"/>
              <w:spacing w:line="360" w:lineRule="auto"/>
              <w:ind w:left="0" w:leftChars="0"/>
              <w:textAlignment w:val="auto"/>
              <w:rPr>
                <w:rFonts w:hint="eastAsia" w:ascii="宋体" w:hAnsi="宋体" w:eastAsia="宋体" w:cs="宋体"/>
                <w:sz w:val="21"/>
                <w:szCs w:val="21"/>
              </w:rPr>
            </w:pPr>
            <w:r>
              <w:rPr>
                <w:rFonts w:hint="eastAsia" w:ascii="宋体" w:hAnsi="宋体" w:eastAsia="宋体" w:cs="宋体"/>
                <w:sz w:val="21"/>
                <w:szCs w:val="21"/>
              </w:rPr>
              <w:t>3.证书由行业协会颁发的，需提供该行业协会在“中国社会组织政务服务平台”（网址：https://chinanpo.mca.gov.cn/）查询的已合法登记且状态正常截图，否则不予认可，视为无效证书；</w:t>
            </w:r>
          </w:p>
          <w:p w14:paraId="39001764">
            <w:pPr>
              <w:keepNext w:val="0"/>
              <w:keepLines w:val="0"/>
              <w:pageBreakBefore w:val="0"/>
              <w:kinsoku/>
              <w:overflowPunct/>
              <w:bidi w:val="0"/>
              <w:spacing w:line="360" w:lineRule="auto"/>
              <w:ind w:left="0" w:leftChars="0"/>
              <w:textAlignment w:val="auto"/>
              <w:rPr>
                <w:rFonts w:hint="eastAsia" w:ascii="宋体" w:hAnsi="宋体" w:eastAsia="宋体" w:cs="宋体"/>
                <w:sz w:val="21"/>
                <w:szCs w:val="21"/>
              </w:rPr>
            </w:pPr>
            <w:r>
              <w:rPr>
                <w:rFonts w:hint="eastAsia" w:ascii="宋体" w:hAnsi="宋体" w:eastAsia="宋体" w:cs="宋体"/>
                <w:sz w:val="21"/>
                <w:szCs w:val="21"/>
              </w:rPr>
              <w:t>4.提供以上证明文件复印件或扫描件，如涉及网站截图或照片等证明材料,需提供清晰图片,均要求加盖投标人公章,原件备查。未按要求提供有效证明材料或提供不清晰导致评委无法识别的不计得分</w:t>
            </w:r>
            <w:r>
              <w:rPr>
                <w:rFonts w:hint="eastAsia" w:ascii="宋体" w:hAnsi="宋体" w:eastAsia="宋体" w:cs="宋体"/>
                <w:sz w:val="21"/>
                <w:szCs w:val="21"/>
                <w:lang w:val="zh-CN"/>
              </w:rPr>
              <w:t>。</w:t>
            </w:r>
          </w:p>
        </w:tc>
        <w:tc>
          <w:tcPr>
            <w:tcW w:w="1018" w:type="dxa"/>
            <w:vAlign w:val="center"/>
          </w:tcPr>
          <w:p w14:paraId="1E18CAFA">
            <w:pPr>
              <w:keepNext w:val="0"/>
              <w:keepLines w:val="0"/>
              <w:pageBreakBefore w:val="0"/>
              <w:kinsoku/>
              <w:overflowPunct/>
              <w:autoSpaceDE w:val="0"/>
              <w:autoSpaceDN w:val="0"/>
              <w:bidi w:val="0"/>
              <w:adjustRightInd w:val="0"/>
              <w:spacing w:line="360" w:lineRule="auto"/>
              <w:ind w:left="0" w:left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rPr>
              <w:t>评委打分</w:t>
            </w:r>
          </w:p>
        </w:tc>
      </w:tr>
      <w:tr w14:paraId="465EEE93">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22" w:hRule="atLeast"/>
          <w:jc w:val="center"/>
        </w:trPr>
        <w:tc>
          <w:tcPr>
            <w:tcW w:w="754" w:type="dxa"/>
            <w:vAlign w:val="center"/>
          </w:tcPr>
          <w:p w14:paraId="3F52043C">
            <w:pPr>
              <w:keepNext w:val="0"/>
              <w:keepLines w:val="0"/>
              <w:pageBreakBefore w:val="0"/>
              <w:widowControl/>
              <w:kinsoku/>
              <w:overflowPunct/>
              <w:bidi w:val="0"/>
              <w:snapToGrid w:val="0"/>
              <w:spacing w:line="360" w:lineRule="auto"/>
              <w:ind w:left="0" w:left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1143" w:type="dxa"/>
            <w:vAlign w:val="center"/>
          </w:tcPr>
          <w:p w14:paraId="198FF8EC">
            <w:pPr>
              <w:keepNext w:val="0"/>
              <w:keepLines w:val="0"/>
              <w:pageBreakBefore w:val="0"/>
              <w:kinsoku/>
              <w:overflowPunct/>
              <w:bidi w:val="0"/>
              <w:spacing w:line="360" w:lineRule="auto"/>
              <w:ind w:left="0" w:leftChars="0"/>
              <w:jc w:val="center"/>
              <w:textAlignment w:val="auto"/>
              <w:rPr>
                <w:rFonts w:hint="eastAsia" w:ascii="宋体" w:hAnsi="宋体" w:eastAsia="宋体" w:cs="宋体"/>
                <w:sz w:val="21"/>
                <w:szCs w:val="21"/>
              </w:rPr>
            </w:pPr>
            <w:r>
              <w:rPr>
                <w:rFonts w:hint="eastAsia" w:ascii="宋体" w:hAnsi="宋体" w:eastAsia="宋体" w:cs="宋体"/>
                <w:sz w:val="21"/>
                <w:szCs w:val="21"/>
              </w:rPr>
              <w:t>供应商同类项目业绩情况</w:t>
            </w:r>
          </w:p>
        </w:tc>
        <w:tc>
          <w:tcPr>
            <w:tcW w:w="709" w:type="dxa"/>
            <w:vAlign w:val="center"/>
          </w:tcPr>
          <w:p w14:paraId="37A6475E">
            <w:pPr>
              <w:keepNext w:val="0"/>
              <w:keepLines w:val="0"/>
              <w:pageBreakBefore w:val="0"/>
              <w:kinsoku/>
              <w:overflowPunct/>
              <w:bidi w:val="0"/>
              <w:spacing w:line="360" w:lineRule="auto"/>
              <w:ind w:left="0" w:left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12</w:t>
            </w:r>
          </w:p>
        </w:tc>
        <w:tc>
          <w:tcPr>
            <w:tcW w:w="6636" w:type="dxa"/>
            <w:vAlign w:val="center"/>
          </w:tcPr>
          <w:p w14:paraId="220B5DF8">
            <w:pPr>
              <w:pStyle w:val="94"/>
              <w:keepNext w:val="0"/>
              <w:keepLines w:val="0"/>
              <w:pageBreakBefore w:val="0"/>
              <w:kinsoku/>
              <w:overflowPunct/>
              <w:bidi w:val="0"/>
              <w:spacing w:line="36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（一）评分内容：</w:t>
            </w:r>
          </w:p>
          <w:p w14:paraId="7F1F04E8">
            <w:pPr>
              <w:keepNext w:val="0"/>
              <w:keepLines w:val="0"/>
              <w:pageBreakBefore w:val="0"/>
              <w:tabs>
                <w:tab w:val="left" w:pos="175"/>
              </w:tabs>
              <w:kinsoku/>
              <w:overflowPunct/>
              <w:bidi w:val="0"/>
              <w:spacing w:line="360" w:lineRule="auto"/>
              <w:ind w:left="0" w:leftChars="0"/>
              <w:jc w:val="left"/>
              <w:textAlignment w:val="auto"/>
              <w:rPr>
                <w:rFonts w:hint="eastAsia" w:ascii="宋体" w:hAnsi="宋体" w:eastAsia="宋体" w:cs="宋体"/>
                <w:sz w:val="21"/>
                <w:szCs w:val="21"/>
              </w:rPr>
            </w:pPr>
            <w:r>
              <w:rPr>
                <w:rFonts w:hint="eastAsia" w:ascii="宋体" w:hAnsi="宋体" w:eastAsia="宋体" w:cs="宋体"/>
                <w:sz w:val="21"/>
                <w:szCs w:val="21"/>
              </w:rPr>
              <w:t>2021年6月</w:t>
            </w:r>
            <w:r>
              <w:rPr>
                <w:rFonts w:hint="eastAsia" w:ascii="宋体" w:hAnsi="宋体" w:eastAsia="宋体" w:cs="宋体"/>
                <w:sz w:val="21"/>
                <w:szCs w:val="21"/>
                <w:lang w:val="en-US" w:eastAsia="zh-CN"/>
              </w:rPr>
              <w:t>1日</w:t>
            </w:r>
            <w:r>
              <w:rPr>
                <w:rFonts w:hint="eastAsia" w:ascii="宋体" w:hAnsi="宋体" w:eastAsia="宋体" w:cs="宋体"/>
                <w:sz w:val="21"/>
                <w:szCs w:val="21"/>
              </w:rPr>
              <w:t>至本项目</w:t>
            </w:r>
            <w:r>
              <w:rPr>
                <w:rFonts w:hint="eastAsia" w:ascii="宋体" w:hAnsi="宋体" w:eastAsia="宋体" w:cs="宋体"/>
                <w:sz w:val="21"/>
                <w:szCs w:val="21"/>
                <w:lang w:eastAsia="zh-CN"/>
              </w:rPr>
              <w:t>投标截止日</w:t>
            </w:r>
            <w:r>
              <w:rPr>
                <w:rFonts w:hint="eastAsia" w:ascii="宋体" w:hAnsi="宋体" w:eastAsia="宋体" w:cs="宋体"/>
                <w:sz w:val="21"/>
                <w:szCs w:val="21"/>
              </w:rPr>
              <w:t>（以合同签订日期为准），</w:t>
            </w:r>
            <w:r>
              <w:rPr>
                <w:rFonts w:hint="eastAsia" w:ascii="宋体" w:hAnsi="宋体" w:cs="宋体"/>
                <w:sz w:val="21"/>
                <w:szCs w:val="21"/>
                <w:lang w:val="en-US" w:eastAsia="zh-CN"/>
              </w:rPr>
              <w:t>投标人</w:t>
            </w:r>
            <w:r>
              <w:rPr>
                <w:rFonts w:hint="eastAsia" w:ascii="宋体" w:hAnsi="宋体" w:eastAsia="宋体" w:cs="宋体"/>
                <w:sz w:val="21"/>
                <w:szCs w:val="21"/>
              </w:rPr>
              <w:t>具有政府部门（或事业单位）委托的公务车车辆维修业绩的，每提供一个得</w:t>
            </w:r>
            <w:r>
              <w:rPr>
                <w:rFonts w:hint="eastAsia" w:ascii="宋体" w:hAnsi="宋体" w:eastAsia="宋体" w:cs="宋体"/>
                <w:sz w:val="21"/>
                <w:szCs w:val="21"/>
                <w:lang w:val="en-US" w:eastAsia="zh-CN"/>
              </w:rPr>
              <w:t>2</w:t>
            </w:r>
            <w:r>
              <w:rPr>
                <w:rFonts w:hint="eastAsia" w:ascii="宋体" w:hAnsi="宋体" w:eastAsia="宋体" w:cs="宋体"/>
                <w:sz w:val="21"/>
                <w:szCs w:val="21"/>
              </w:rPr>
              <w:t>分，续签合同按一个</w:t>
            </w:r>
            <w:r>
              <w:rPr>
                <w:rFonts w:hint="eastAsia" w:ascii="宋体" w:hAnsi="宋体" w:cs="宋体"/>
                <w:sz w:val="21"/>
                <w:szCs w:val="21"/>
                <w:lang w:val="en-US" w:eastAsia="zh-CN"/>
              </w:rPr>
              <w:t>业绩</w:t>
            </w:r>
            <w:r>
              <w:rPr>
                <w:rFonts w:hint="eastAsia" w:ascii="宋体" w:hAnsi="宋体" w:eastAsia="宋体" w:cs="宋体"/>
                <w:sz w:val="21"/>
                <w:szCs w:val="21"/>
              </w:rPr>
              <w:t>记分，同一单位的项目</w:t>
            </w:r>
            <w:r>
              <w:rPr>
                <w:rFonts w:hint="eastAsia" w:ascii="宋体" w:hAnsi="宋体" w:cs="宋体"/>
                <w:sz w:val="21"/>
                <w:szCs w:val="21"/>
                <w:lang w:val="en-US" w:eastAsia="zh-CN"/>
              </w:rPr>
              <w:t>数量</w:t>
            </w:r>
            <w:r>
              <w:rPr>
                <w:rFonts w:hint="eastAsia" w:ascii="宋体" w:hAnsi="宋体" w:eastAsia="宋体" w:cs="宋体"/>
                <w:sz w:val="21"/>
                <w:szCs w:val="21"/>
              </w:rPr>
              <w:t>不得累加，本项最高得</w:t>
            </w:r>
            <w:r>
              <w:rPr>
                <w:rFonts w:hint="eastAsia" w:ascii="宋体" w:hAnsi="宋体" w:eastAsia="宋体" w:cs="宋体"/>
                <w:sz w:val="21"/>
                <w:szCs w:val="21"/>
                <w:lang w:val="en-US" w:eastAsia="zh-CN"/>
              </w:rPr>
              <w:t>12</w:t>
            </w:r>
            <w:r>
              <w:rPr>
                <w:rFonts w:hint="eastAsia" w:ascii="宋体" w:hAnsi="宋体" w:eastAsia="宋体" w:cs="宋体"/>
                <w:sz w:val="21"/>
                <w:szCs w:val="21"/>
              </w:rPr>
              <w:t>分。</w:t>
            </w:r>
          </w:p>
          <w:p w14:paraId="15AF9C70">
            <w:pPr>
              <w:keepNext w:val="0"/>
              <w:keepLines w:val="0"/>
              <w:pageBreakBefore w:val="0"/>
              <w:tabs>
                <w:tab w:val="left" w:pos="175"/>
              </w:tabs>
              <w:kinsoku/>
              <w:overflowPunct/>
              <w:bidi w:val="0"/>
              <w:spacing w:line="360" w:lineRule="auto"/>
              <w:ind w:left="0" w:leftChars="0"/>
              <w:jc w:val="left"/>
              <w:textAlignment w:val="auto"/>
              <w:rPr>
                <w:rFonts w:hint="eastAsia" w:ascii="宋体" w:hAnsi="宋体" w:eastAsia="宋体" w:cs="宋体"/>
                <w:sz w:val="21"/>
                <w:szCs w:val="21"/>
              </w:rPr>
            </w:pPr>
          </w:p>
          <w:p w14:paraId="2BDA172B">
            <w:pPr>
              <w:keepNext w:val="0"/>
              <w:keepLines w:val="0"/>
              <w:pageBreakBefore w:val="0"/>
              <w:tabs>
                <w:tab w:val="left" w:pos="175"/>
              </w:tabs>
              <w:kinsoku/>
              <w:overflowPunct/>
              <w:bidi w:val="0"/>
              <w:spacing w:line="360" w:lineRule="auto"/>
              <w:ind w:left="0" w:leftChars="0"/>
              <w:jc w:val="left"/>
              <w:textAlignment w:val="auto"/>
              <w:rPr>
                <w:rFonts w:hint="eastAsia" w:ascii="宋体" w:hAnsi="宋体" w:eastAsia="宋体" w:cs="宋体"/>
                <w:sz w:val="21"/>
                <w:szCs w:val="21"/>
              </w:rPr>
            </w:pPr>
            <w:r>
              <w:rPr>
                <w:rFonts w:hint="eastAsia" w:ascii="宋体" w:hAnsi="宋体" w:eastAsia="宋体" w:cs="宋体"/>
                <w:sz w:val="21"/>
                <w:szCs w:val="21"/>
              </w:rPr>
              <w:t>（二）评分依据：</w:t>
            </w:r>
          </w:p>
          <w:p w14:paraId="5FC4DA44">
            <w:pPr>
              <w:keepNext w:val="0"/>
              <w:keepLines w:val="0"/>
              <w:pageBreakBefore w:val="0"/>
              <w:tabs>
                <w:tab w:val="left" w:pos="175"/>
              </w:tabs>
              <w:kinsoku/>
              <w:overflowPunct/>
              <w:bidi w:val="0"/>
              <w:spacing w:line="360" w:lineRule="auto"/>
              <w:ind w:left="0" w:leftChars="0"/>
              <w:jc w:val="left"/>
              <w:textAlignment w:val="auto"/>
              <w:rPr>
                <w:rFonts w:hint="eastAsia" w:ascii="宋体" w:hAnsi="宋体" w:eastAsia="宋体" w:cs="宋体"/>
                <w:sz w:val="21"/>
                <w:szCs w:val="21"/>
              </w:rPr>
            </w:pPr>
            <w:r>
              <w:rPr>
                <w:rFonts w:hint="eastAsia" w:ascii="宋体" w:hAnsi="宋体" w:eastAsia="宋体" w:cs="宋体"/>
                <w:sz w:val="21"/>
                <w:szCs w:val="21"/>
              </w:rPr>
              <w:t>1.要求同时提供业绩中标通知书、合同关键页（包括但不限于首页、体现关键信息的内容页、双方签字盖章页等）、服务期内某一天的车辆维修费用发票作为</w:t>
            </w:r>
            <w:r>
              <w:rPr>
                <w:rFonts w:hint="eastAsia" w:ascii="宋体" w:hAnsi="宋体" w:cs="宋体"/>
                <w:sz w:val="21"/>
                <w:szCs w:val="21"/>
                <w:lang w:val="en-US" w:eastAsia="zh-CN"/>
              </w:rPr>
              <w:t>评分</w:t>
            </w:r>
            <w:r>
              <w:rPr>
                <w:rFonts w:hint="eastAsia" w:ascii="宋体" w:hAnsi="宋体" w:eastAsia="宋体" w:cs="宋体"/>
                <w:sz w:val="21"/>
                <w:szCs w:val="21"/>
              </w:rPr>
              <w:t>依据。</w:t>
            </w:r>
          </w:p>
          <w:p w14:paraId="6877F626">
            <w:pPr>
              <w:keepNext w:val="0"/>
              <w:keepLines w:val="0"/>
              <w:pageBreakBefore w:val="0"/>
              <w:tabs>
                <w:tab w:val="left" w:pos="175"/>
              </w:tabs>
              <w:kinsoku/>
              <w:overflowPunct/>
              <w:bidi w:val="0"/>
              <w:spacing w:line="360" w:lineRule="auto"/>
              <w:ind w:left="0" w:leftChars="0"/>
              <w:jc w:val="left"/>
              <w:textAlignment w:val="auto"/>
              <w:rPr>
                <w:rFonts w:hint="eastAsia" w:ascii="宋体" w:hAnsi="宋体" w:eastAsia="宋体" w:cs="宋体"/>
                <w:sz w:val="21"/>
                <w:szCs w:val="21"/>
              </w:rPr>
            </w:pPr>
            <w:r>
              <w:rPr>
                <w:rFonts w:hint="eastAsia" w:ascii="宋体" w:hAnsi="宋体" w:eastAsia="宋体" w:cs="宋体"/>
                <w:sz w:val="21"/>
                <w:szCs w:val="21"/>
              </w:rPr>
              <w:t>2.通过合同关键信息无法判断是否得分的，还须同时提供能证明得分的其他证明资料，如项目验收证明或合同甲方出具的证明文件等。</w:t>
            </w:r>
          </w:p>
          <w:p w14:paraId="3E598D38">
            <w:pPr>
              <w:keepNext w:val="0"/>
              <w:keepLines w:val="0"/>
              <w:pageBreakBefore w:val="0"/>
              <w:tabs>
                <w:tab w:val="left" w:pos="175"/>
              </w:tabs>
              <w:kinsoku/>
              <w:overflowPunct/>
              <w:bidi w:val="0"/>
              <w:spacing w:line="360" w:lineRule="auto"/>
              <w:ind w:left="0" w:leftChars="0"/>
              <w:jc w:val="left"/>
              <w:textAlignment w:val="auto"/>
              <w:rPr>
                <w:rFonts w:hint="eastAsia" w:ascii="宋体" w:hAnsi="宋体" w:eastAsia="宋体" w:cs="宋体"/>
                <w:sz w:val="21"/>
                <w:szCs w:val="21"/>
              </w:rPr>
            </w:pPr>
            <w:r>
              <w:rPr>
                <w:rFonts w:hint="eastAsia" w:ascii="宋体" w:hAnsi="宋体" w:eastAsia="宋体" w:cs="宋体"/>
                <w:sz w:val="21"/>
                <w:szCs w:val="21"/>
              </w:rPr>
              <w:t>3.提供以上证明文件复印件或扫描件，如涉及网站截图或照片等证明材料,需提供清晰图片,原件备查。未按要求提供有效证明材料或提供不清晰导致评委无法识别的不计得分。</w:t>
            </w:r>
          </w:p>
        </w:tc>
        <w:tc>
          <w:tcPr>
            <w:tcW w:w="1018" w:type="dxa"/>
            <w:vAlign w:val="center"/>
          </w:tcPr>
          <w:p w14:paraId="2288F932">
            <w:pPr>
              <w:keepNext w:val="0"/>
              <w:keepLines w:val="0"/>
              <w:pageBreakBefore w:val="0"/>
              <w:kinsoku/>
              <w:overflowPunct/>
              <w:bidi w:val="0"/>
              <w:spacing w:line="360" w:lineRule="auto"/>
              <w:ind w:left="0" w:left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rPr>
              <w:t>评委打分</w:t>
            </w:r>
          </w:p>
        </w:tc>
      </w:tr>
      <w:tr w14:paraId="6802B77D">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14:paraId="4A83BA2F">
            <w:pPr>
              <w:keepNext w:val="0"/>
              <w:keepLines w:val="0"/>
              <w:pageBreakBefore w:val="0"/>
              <w:kinsoku/>
              <w:overflowPunct/>
              <w:autoSpaceDE w:val="0"/>
              <w:autoSpaceDN w:val="0"/>
              <w:bidi w:val="0"/>
              <w:adjustRightInd w:val="0"/>
              <w:spacing w:line="360" w:lineRule="auto"/>
              <w:ind w:left="0" w:left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rPr>
              <w:t>3</w:t>
            </w:r>
          </w:p>
        </w:tc>
        <w:tc>
          <w:tcPr>
            <w:tcW w:w="1143" w:type="dxa"/>
            <w:vAlign w:val="center"/>
          </w:tcPr>
          <w:p w14:paraId="1B5A6FE7">
            <w:pPr>
              <w:keepNext w:val="0"/>
              <w:keepLines w:val="0"/>
              <w:pageBreakBefore w:val="0"/>
              <w:kinsoku/>
              <w:overflowPunct/>
              <w:bidi w:val="0"/>
              <w:spacing w:line="360" w:lineRule="auto"/>
              <w:ind w:left="0" w:leftChars="0"/>
              <w:jc w:val="center"/>
              <w:textAlignment w:val="auto"/>
              <w:rPr>
                <w:rFonts w:hint="eastAsia" w:ascii="宋体" w:hAnsi="宋体" w:eastAsia="宋体" w:cs="宋体"/>
                <w:sz w:val="21"/>
                <w:szCs w:val="21"/>
              </w:rPr>
            </w:pPr>
            <w:r>
              <w:rPr>
                <w:rFonts w:hint="eastAsia" w:ascii="宋体" w:hAnsi="宋体" w:eastAsia="宋体" w:cs="宋体"/>
                <w:sz w:val="21"/>
                <w:szCs w:val="21"/>
              </w:rPr>
              <w:t>拟投入本项目的</w:t>
            </w:r>
            <w:r>
              <w:rPr>
                <w:rFonts w:hint="eastAsia" w:ascii="宋体" w:hAnsi="宋体" w:eastAsia="宋体" w:cs="宋体"/>
                <w:sz w:val="21"/>
                <w:szCs w:val="21"/>
                <w:lang w:eastAsia="zh-CN"/>
              </w:rPr>
              <w:t>维修</w:t>
            </w:r>
            <w:r>
              <w:rPr>
                <w:rFonts w:hint="eastAsia" w:ascii="宋体" w:hAnsi="宋体" w:eastAsia="宋体" w:cs="宋体"/>
                <w:sz w:val="21"/>
                <w:szCs w:val="21"/>
              </w:rPr>
              <w:t>场地</w:t>
            </w:r>
          </w:p>
        </w:tc>
        <w:tc>
          <w:tcPr>
            <w:tcW w:w="709" w:type="dxa"/>
            <w:vAlign w:val="center"/>
          </w:tcPr>
          <w:p w14:paraId="61FBBE00">
            <w:pPr>
              <w:keepNext w:val="0"/>
              <w:keepLines w:val="0"/>
              <w:pageBreakBefore w:val="0"/>
              <w:kinsoku/>
              <w:overflowPunct/>
              <w:bidi w:val="0"/>
              <w:spacing w:line="360" w:lineRule="auto"/>
              <w:ind w:left="0" w:left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10</w:t>
            </w:r>
          </w:p>
        </w:tc>
        <w:tc>
          <w:tcPr>
            <w:tcW w:w="6636" w:type="dxa"/>
            <w:vAlign w:val="center"/>
          </w:tcPr>
          <w:p w14:paraId="7E2BA003">
            <w:pPr>
              <w:pStyle w:val="94"/>
              <w:keepNext w:val="0"/>
              <w:keepLines w:val="0"/>
              <w:pageBreakBefore w:val="0"/>
              <w:kinsoku/>
              <w:overflowPunct/>
              <w:bidi w:val="0"/>
              <w:spacing w:line="36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（一）评分内容：</w:t>
            </w:r>
          </w:p>
          <w:p w14:paraId="58392B6C">
            <w:pPr>
              <w:pStyle w:val="94"/>
              <w:keepNext w:val="0"/>
              <w:keepLines w:val="0"/>
              <w:pageBreakBefore w:val="0"/>
              <w:kinsoku/>
              <w:overflowPunct/>
              <w:bidi w:val="0"/>
              <w:spacing w:line="36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投标人</w:t>
            </w:r>
            <w:r>
              <w:rPr>
                <w:rFonts w:hint="eastAsia" w:ascii="宋体" w:hAnsi="宋体" w:cs="宋体"/>
                <w:sz w:val="21"/>
                <w:szCs w:val="21"/>
                <w:lang w:val="en-US" w:eastAsia="zh-CN"/>
              </w:rPr>
              <w:t>具有</w:t>
            </w:r>
            <w:r>
              <w:rPr>
                <w:rFonts w:hint="eastAsia" w:ascii="宋体" w:hAnsi="宋体" w:eastAsia="宋体" w:cs="宋体"/>
                <w:sz w:val="21"/>
                <w:szCs w:val="21"/>
                <w:lang w:eastAsia="zh-CN"/>
              </w:rPr>
              <w:t>维修</w:t>
            </w:r>
            <w:r>
              <w:rPr>
                <w:rFonts w:hint="eastAsia" w:ascii="宋体" w:hAnsi="宋体" w:eastAsia="宋体" w:cs="宋体"/>
                <w:sz w:val="21"/>
                <w:szCs w:val="21"/>
              </w:rPr>
              <w:t>场地：</w:t>
            </w:r>
          </w:p>
          <w:p w14:paraId="070AFCD8">
            <w:pPr>
              <w:pStyle w:val="94"/>
              <w:keepNext w:val="0"/>
              <w:keepLines w:val="0"/>
              <w:pageBreakBefore w:val="0"/>
              <w:kinsoku/>
              <w:overflowPunct/>
              <w:bidi w:val="0"/>
              <w:spacing w:line="36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2000</w:t>
            </w:r>
            <w:r>
              <w:rPr>
                <w:rFonts w:hint="eastAsia" w:ascii="宋体" w:hAnsi="宋体" w:eastAsia="宋体" w:cs="宋体"/>
                <w:sz w:val="21"/>
                <w:szCs w:val="21"/>
              </w:rPr>
              <w:t>平方米（含）以上的，得</w:t>
            </w:r>
            <w:r>
              <w:rPr>
                <w:rFonts w:hint="eastAsia" w:ascii="宋体" w:hAnsi="宋体" w:cs="宋体"/>
                <w:sz w:val="21"/>
                <w:szCs w:val="21"/>
                <w:lang w:val="en-US" w:eastAsia="zh-CN"/>
              </w:rPr>
              <w:t>10</w:t>
            </w:r>
            <w:r>
              <w:rPr>
                <w:rFonts w:hint="eastAsia" w:ascii="宋体" w:hAnsi="宋体" w:eastAsia="宋体" w:cs="宋体"/>
                <w:sz w:val="21"/>
                <w:szCs w:val="21"/>
              </w:rPr>
              <w:t>分；</w:t>
            </w:r>
          </w:p>
          <w:p w14:paraId="205D6BAA">
            <w:pPr>
              <w:pStyle w:val="94"/>
              <w:keepNext w:val="0"/>
              <w:keepLines w:val="0"/>
              <w:pageBreakBefore w:val="0"/>
              <w:kinsoku/>
              <w:overflowPunct/>
              <w:bidi w:val="0"/>
              <w:spacing w:line="36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2.2000平方米（</w:t>
            </w:r>
            <w:r>
              <w:rPr>
                <w:rFonts w:hint="eastAsia" w:ascii="宋体" w:hAnsi="宋体" w:eastAsia="宋体" w:cs="宋体"/>
                <w:sz w:val="21"/>
                <w:szCs w:val="21"/>
                <w:lang w:eastAsia="zh-CN"/>
              </w:rPr>
              <w:t>不</w:t>
            </w:r>
            <w:r>
              <w:rPr>
                <w:rFonts w:hint="eastAsia" w:ascii="宋体" w:hAnsi="宋体" w:eastAsia="宋体" w:cs="宋体"/>
                <w:sz w:val="21"/>
                <w:szCs w:val="21"/>
              </w:rPr>
              <w:t>含）至1500平方米（含）的，得</w:t>
            </w:r>
            <w:r>
              <w:rPr>
                <w:rFonts w:hint="eastAsia" w:ascii="宋体" w:hAnsi="宋体" w:cs="宋体"/>
                <w:sz w:val="21"/>
                <w:szCs w:val="21"/>
                <w:lang w:val="en-US" w:eastAsia="zh-CN"/>
              </w:rPr>
              <w:t>7</w:t>
            </w:r>
            <w:r>
              <w:rPr>
                <w:rFonts w:hint="eastAsia" w:ascii="宋体" w:hAnsi="宋体" w:eastAsia="宋体" w:cs="宋体"/>
                <w:sz w:val="21"/>
                <w:szCs w:val="21"/>
              </w:rPr>
              <w:t>分；</w:t>
            </w:r>
          </w:p>
          <w:p w14:paraId="18BEFDA2">
            <w:pPr>
              <w:pStyle w:val="94"/>
              <w:keepNext w:val="0"/>
              <w:keepLines w:val="0"/>
              <w:pageBreakBefore w:val="0"/>
              <w:kinsoku/>
              <w:overflowPunct/>
              <w:bidi w:val="0"/>
              <w:spacing w:line="36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3.1500平方米（</w:t>
            </w:r>
            <w:r>
              <w:rPr>
                <w:rFonts w:hint="eastAsia" w:ascii="宋体" w:hAnsi="宋体" w:eastAsia="宋体" w:cs="宋体"/>
                <w:sz w:val="21"/>
                <w:szCs w:val="21"/>
                <w:lang w:eastAsia="zh-CN"/>
              </w:rPr>
              <w:t>不</w:t>
            </w:r>
            <w:r>
              <w:rPr>
                <w:rFonts w:hint="eastAsia" w:ascii="宋体" w:hAnsi="宋体" w:eastAsia="宋体" w:cs="宋体"/>
                <w:sz w:val="21"/>
                <w:szCs w:val="21"/>
              </w:rPr>
              <w:t>含）至1000平方米（含）的，得</w:t>
            </w:r>
            <w:r>
              <w:rPr>
                <w:rFonts w:hint="eastAsia" w:ascii="宋体" w:hAnsi="宋体" w:cs="宋体"/>
                <w:sz w:val="21"/>
                <w:szCs w:val="21"/>
                <w:lang w:val="en-US" w:eastAsia="zh-CN"/>
              </w:rPr>
              <w:t>4</w:t>
            </w:r>
            <w:r>
              <w:rPr>
                <w:rFonts w:hint="eastAsia" w:ascii="宋体" w:hAnsi="宋体" w:eastAsia="宋体" w:cs="宋体"/>
                <w:sz w:val="21"/>
                <w:szCs w:val="21"/>
              </w:rPr>
              <w:t>分；</w:t>
            </w:r>
          </w:p>
          <w:p w14:paraId="5D88523B">
            <w:pPr>
              <w:pStyle w:val="94"/>
              <w:keepNext w:val="0"/>
              <w:keepLines w:val="0"/>
              <w:pageBreakBefore w:val="0"/>
              <w:kinsoku/>
              <w:overflowPunct/>
              <w:bidi w:val="0"/>
              <w:spacing w:line="36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4.1000平方米以下的得</w:t>
            </w:r>
            <w:r>
              <w:rPr>
                <w:rFonts w:hint="eastAsia" w:ascii="宋体" w:hAnsi="宋体" w:eastAsia="宋体" w:cs="宋体"/>
                <w:sz w:val="21"/>
                <w:szCs w:val="21"/>
                <w:lang w:val="en-US" w:eastAsia="zh-CN"/>
              </w:rPr>
              <w:t>1</w:t>
            </w:r>
            <w:r>
              <w:rPr>
                <w:rFonts w:hint="eastAsia" w:ascii="宋体" w:hAnsi="宋体" w:eastAsia="宋体" w:cs="宋体"/>
                <w:sz w:val="21"/>
                <w:szCs w:val="21"/>
              </w:rPr>
              <w:t>分。</w:t>
            </w:r>
          </w:p>
          <w:p w14:paraId="2B98D6A9">
            <w:pPr>
              <w:pStyle w:val="94"/>
              <w:keepNext w:val="0"/>
              <w:keepLines w:val="0"/>
              <w:pageBreakBefore w:val="0"/>
              <w:kinsoku/>
              <w:overflowPunct/>
              <w:bidi w:val="0"/>
              <w:spacing w:line="36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5.没有维修场地不得分。</w:t>
            </w:r>
          </w:p>
          <w:p w14:paraId="4D404559">
            <w:pPr>
              <w:pStyle w:val="94"/>
              <w:keepNext w:val="0"/>
              <w:keepLines w:val="0"/>
              <w:pageBreakBefore w:val="0"/>
              <w:kinsoku/>
              <w:overflowPunct/>
              <w:bidi w:val="0"/>
              <w:spacing w:line="360" w:lineRule="auto"/>
              <w:ind w:left="0" w:leftChars="0" w:firstLine="0" w:firstLineChars="0"/>
              <w:textAlignment w:val="auto"/>
              <w:rPr>
                <w:rFonts w:hint="eastAsia" w:ascii="宋体" w:hAnsi="宋体" w:eastAsia="宋体" w:cs="宋体"/>
                <w:sz w:val="21"/>
                <w:szCs w:val="21"/>
              </w:rPr>
            </w:pPr>
          </w:p>
          <w:p w14:paraId="1520122E">
            <w:pPr>
              <w:pStyle w:val="94"/>
              <w:keepNext w:val="0"/>
              <w:keepLines w:val="0"/>
              <w:pageBreakBefore w:val="0"/>
              <w:kinsoku/>
              <w:overflowPunct/>
              <w:bidi w:val="0"/>
              <w:spacing w:line="36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（二）评分依据：</w:t>
            </w:r>
          </w:p>
          <w:p w14:paraId="01E3E20C">
            <w:pPr>
              <w:pStyle w:val="94"/>
              <w:keepNext w:val="0"/>
              <w:keepLines w:val="0"/>
              <w:pageBreakBefore w:val="0"/>
              <w:kinsoku/>
              <w:overflowPunct/>
              <w:bidi w:val="0"/>
              <w:spacing w:line="36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1.提供自有产权证明或场地租赁合同或其他能体现维修场地面积</w:t>
            </w:r>
            <w:r>
              <w:rPr>
                <w:rFonts w:hint="eastAsia" w:ascii="宋体" w:hAnsi="宋体" w:cs="宋体"/>
                <w:sz w:val="21"/>
                <w:szCs w:val="21"/>
                <w:lang w:eastAsia="zh-CN"/>
              </w:rPr>
              <w:t>的</w:t>
            </w:r>
            <w:r>
              <w:rPr>
                <w:rFonts w:hint="eastAsia" w:ascii="宋体" w:hAnsi="宋体" w:eastAsia="宋体" w:cs="宋体"/>
                <w:sz w:val="21"/>
                <w:szCs w:val="21"/>
              </w:rPr>
              <w:t>证明材料作为</w:t>
            </w:r>
            <w:r>
              <w:rPr>
                <w:rFonts w:hint="eastAsia" w:ascii="宋体" w:hAnsi="宋体" w:cs="宋体"/>
                <w:sz w:val="21"/>
                <w:szCs w:val="21"/>
                <w:lang w:val="en-US" w:eastAsia="zh-CN"/>
              </w:rPr>
              <w:t>评分</w:t>
            </w:r>
            <w:r>
              <w:rPr>
                <w:rFonts w:hint="eastAsia" w:ascii="宋体" w:hAnsi="宋体" w:eastAsia="宋体" w:cs="宋体"/>
                <w:sz w:val="21"/>
                <w:szCs w:val="21"/>
              </w:rPr>
              <w:t>依据。</w:t>
            </w:r>
          </w:p>
          <w:p w14:paraId="0513CDE4">
            <w:pPr>
              <w:pStyle w:val="94"/>
              <w:keepNext w:val="0"/>
              <w:keepLines w:val="0"/>
              <w:pageBreakBefore w:val="0"/>
              <w:kinsoku/>
              <w:overflowPunct/>
              <w:bidi w:val="0"/>
              <w:spacing w:line="36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2.提供以上证明文件复印件或扫描件，如涉及网站截图或照片等证明材料,需提供清晰图片,均要求加盖投标人公章,原件备查。未按要求提供有效证明材料或提供不清晰导致评委无法识别的不计得分。</w:t>
            </w:r>
          </w:p>
        </w:tc>
        <w:tc>
          <w:tcPr>
            <w:tcW w:w="1018" w:type="dxa"/>
            <w:vAlign w:val="center"/>
          </w:tcPr>
          <w:p w14:paraId="163345E8">
            <w:pPr>
              <w:keepNext w:val="0"/>
              <w:keepLines w:val="0"/>
              <w:pageBreakBefore w:val="0"/>
              <w:kinsoku/>
              <w:overflowPunct/>
              <w:bidi w:val="0"/>
              <w:spacing w:line="360" w:lineRule="auto"/>
              <w:ind w:left="0" w:left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rPr>
              <w:t>评委打分</w:t>
            </w:r>
          </w:p>
        </w:tc>
      </w:tr>
      <w:tr w14:paraId="2520744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49" w:hRule="atLeast"/>
          <w:jc w:val="center"/>
        </w:trPr>
        <w:tc>
          <w:tcPr>
            <w:tcW w:w="754" w:type="dxa"/>
            <w:vAlign w:val="center"/>
          </w:tcPr>
          <w:p w14:paraId="67F64360">
            <w:pPr>
              <w:keepNext w:val="0"/>
              <w:keepLines w:val="0"/>
              <w:pageBreakBefore w:val="0"/>
              <w:kinsoku/>
              <w:overflowPunct/>
              <w:autoSpaceDE w:val="0"/>
              <w:autoSpaceDN w:val="0"/>
              <w:bidi w:val="0"/>
              <w:adjustRightInd w:val="0"/>
              <w:spacing w:line="360" w:lineRule="auto"/>
              <w:ind w:left="0" w:left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rPr>
              <w:t>4</w:t>
            </w:r>
          </w:p>
        </w:tc>
        <w:tc>
          <w:tcPr>
            <w:tcW w:w="1143" w:type="dxa"/>
            <w:vAlign w:val="center"/>
          </w:tcPr>
          <w:p w14:paraId="3FC2E579">
            <w:pPr>
              <w:keepNext w:val="0"/>
              <w:keepLines w:val="0"/>
              <w:pageBreakBefore w:val="0"/>
              <w:kinsoku/>
              <w:overflowPunct/>
              <w:bidi w:val="0"/>
              <w:spacing w:line="360" w:lineRule="auto"/>
              <w:ind w:left="0" w:leftChars="0"/>
              <w:jc w:val="center"/>
              <w:textAlignment w:val="auto"/>
              <w:rPr>
                <w:rFonts w:hint="eastAsia" w:ascii="宋体" w:hAnsi="宋体" w:eastAsia="宋体" w:cs="宋体"/>
                <w:sz w:val="21"/>
                <w:szCs w:val="21"/>
              </w:rPr>
            </w:pPr>
            <w:r>
              <w:rPr>
                <w:rFonts w:hint="eastAsia" w:ascii="宋体" w:hAnsi="宋体" w:eastAsia="宋体" w:cs="宋体"/>
                <w:sz w:val="21"/>
                <w:szCs w:val="21"/>
              </w:rPr>
              <w:t>服务</w:t>
            </w:r>
            <w:r>
              <w:rPr>
                <w:rFonts w:hint="eastAsia" w:ascii="宋体" w:hAnsi="宋体" w:eastAsia="宋体" w:cs="宋体"/>
                <w:sz w:val="21"/>
                <w:szCs w:val="21"/>
                <w:lang w:eastAsia="zh-CN"/>
              </w:rPr>
              <w:t>响应</w:t>
            </w:r>
          </w:p>
        </w:tc>
        <w:tc>
          <w:tcPr>
            <w:tcW w:w="709" w:type="dxa"/>
            <w:vAlign w:val="center"/>
          </w:tcPr>
          <w:p w14:paraId="642CDD62">
            <w:pPr>
              <w:keepNext w:val="0"/>
              <w:keepLines w:val="0"/>
              <w:pageBreakBefore w:val="0"/>
              <w:kinsoku/>
              <w:overflowPunct/>
              <w:bidi w:val="0"/>
              <w:spacing w:line="360" w:lineRule="auto"/>
              <w:ind w:left="0" w:leftChars="0"/>
              <w:jc w:val="center"/>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5</w:t>
            </w:r>
          </w:p>
        </w:tc>
        <w:tc>
          <w:tcPr>
            <w:tcW w:w="6636" w:type="dxa"/>
            <w:vAlign w:val="center"/>
          </w:tcPr>
          <w:p w14:paraId="75220896">
            <w:pPr>
              <w:pStyle w:val="94"/>
              <w:keepNext w:val="0"/>
              <w:keepLines w:val="0"/>
              <w:pageBreakBefore w:val="0"/>
              <w:kinsoku/>
              <w:overflowPunct/>
              <w:bidi w:val="0"/>
              <w:spacing w:line="36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（一）评分内容：</w:t>
            </w:r>
          </w:p>
          <w:p w14:paraId="30F3BD88">
            <w:pPr>
              <w:pStyle w:val="94"/>
              <w:keepNext w:val="0"/>
              <w:keepLines w:val="0"/>
              <w:pageBreakBefore w:val="0"/>
              <w:kinsoku/>
              <w:overflowPunct/>
              <w:bidi w:val="0"/>
              <w:spacing w:line="360" w:lineRule="auto"/>
              <w:ind w:left="0" w:lef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投标人接到采购人服务要求时，</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承诺在：</w:t>
            </w:r>
          </w:p>
          <w:p w14:paraId="726E98CD">
            <w:pPr>
              <w:pStyle w:val="94"/>
              <w:keepNext w:val="0"/>
              <w:keepLines w:val="0"/>
              <w:pageBreakBefore w:val="0"/>
              <w:kinsoku/>
              <w:overflowPunct/>
              <w:bidi w:val="0"/>
              <w:spacing w:line="360" w:lineRule="auto"/>
              <w:ind w:left="0" w:lef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1.30分钟内响应并到达现场的，得5分；</w:t>
            </w:r>
          </w:p>
          <w:p w14:paraId="2EC2D5E3">
            <w:pPr>
              <w:pStyle w:val="94"/>
              <w:keepNext w:val="0"/>
              <w:keepLines w:val="0"/>
              <w:pageBreakBefore w:val="0"/>
              <w:kinsoku/>
              <w:overflowPunct/>
              <w:bidi w:val="0"/>
              <w:spacing w:line="360" w:lineRule="auto"/>
              <w:ind w:left="0" w:lef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2.30分钟（含）--60分钟内响应并到达现场的，得3分；</w:t>
            </w:r>
          </w:p>
          <w:p w14:paraId="6D90AA1D">
            <w:pPr>
              <w:pStyle w:val="94"/>
              <w:keepNext w:val="0"/>
              <w:keepLines w:val="0"/>
              <w:pageBreakBefore w:val="0"/>
              <w:kinsoku/>
              <w:overflowPunct/>
              <w:bidi w:val="0"/>
              <w:spacing w:line="360" w:lineRule="auto"/>
              <w:ind w:left="0" w:lef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3.60分钟（含）--120分钟内响应并到达现场的，得1分；</w:t>
            </w:r>
          </w:p>
          <w:p w14:paraId="776D3009">
            <w:pPr>
              <w:pStyle w:val="94"/>
              <w:keepNext w:val="0"/>
              <w:keepLines w:val="0"/>
              <w:pageBreakBefore w:val="0"/>
              <w:kinsoku/>
              <w:overflowPunct/>
              <w:bidi w:val="0"/>
              <w:spacing w:line="36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4.其他情况不得分。</w:t>
            </w:r>
          </w:p>
          <w:p w14:paraId="6D4E25CC">
            <w:pPr>
              <w:pStyle w:val="94"/>
              <w:keepNext w:val="0"/>
              <w:keepLines w:val="0"/>
              <w:pageBreakBefore w:val="0"/>
              <w:kinsoku/>
              <w:overflowPunct/>
              <w:bidi w:val="0"/>
              <w:spacing w:line="360" w:lineRule="auto"/>
              <w:ind w:left="0" w:leftChars="0" w:firstLine="0" w:firstLineChars="0"/>
              <w:textAlignment w:val="auto"/>
              <w:rPr>
                <w:rFonts w:hint="eastAsia" w:ascii="宋体" w:hAnsi="宋体" w:eastAsia="宋体" w:cs="宋体"/>
                <w:sz w:val="21"/>
                <w:szCs w:val="21"/>
              </w:rPr>
            </w:pPr>
          </w:p>
          <w:p w14:paraId="4D51FB1C">
            <w:pPr>
              <w:pStyle w:val="94"/>
              <w:keepNext w:val="0"/>
              <w:keepLines w:val="0"/>
              <w:pageBreakBefore w:val="0"/>
              <w:kinsoku/>
              <w:overflowPunct/>
              <w:bidi w:val="0"/>
              <w:spacing w:line="36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 xml:space="preserve">（二）评分依据: </w:t>
            </w:r>
          </w:p>
          <w:p w14:paraId="2CA1CFD7">
            <w:pPr>
              <w:pStyle w:val="94"/>
              <w:keepNext w:val="0"/>
              <w:keepLines w:val="0"/>
              <w:pageBreakBefore w:val="0"/>
              <w:kinsoku/>
              <w:overflowPunct/>
              <w:bidi w:val="0"/>
              <w:spacing w:line="360" w:lineRule="auto"/>
              <w:ind w:left="0" w:lef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提供《服务响应承诺函》（格式自定）作为得分依据，未提供承诺或承诺内容不满足要求不得分。</w:t>
            </w:r>
          </w:p>
          <w:p w14:paraId="5E977079">
            <w:pPr>
              <w:pStyle w:val="94"/>
              <w:keepNext w:val="0"/>
              <w:keepLines w:val="0"/>
              <w:pageBreakBefore w:val="0"/>
              <w:kinsoku/>
              <w:overflowPunct/>
              <w:bidi w:val="0"/>
              <w:spacing w:line="36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注：采购人地址为深圳市龙岗区中心城行政路8号</w:t>
            </w:r>
          </w:p>
        </w:tc>
        <w:tc>
          <w:tcPr>
            <w:tcW w:w="1018" w:type="dxa"/>
            <w:vAlign w:val="center"/>
          </w:tcPr>
          <w:p w14:paraId="36A4792C">
            <w:pPr>
              <w:keepNext w:val="0"/>
              <w:keepLines w:val="0"/>
              <w:pageBreakBefore w:val="0"/>
              <w:kinsoku/>
              <w:overflowPunct/>
              <w:bidi w:val="0"/>
              <w:spacing w:line="360" w:lineRule="auto"/>
              <w:ind w:left="0" w:left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rPr>
              <w:t>评委打分</w:t>
            </w:r>
          </w:p>
        </w:tc>
      </w:tr>
      <w:tr w14:paraId="7EA69E1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46" w:hRule="atLeast"/>
          <w:jc w:val="center"/>
        </w:trPr>
        <w:tc>
          <w:tcPr>
            <w:tcW w:w="754" w:type="dxa"/>
            <w:vAlign w:val="center"/>
          </w:tcPr>
          <w:p w14:paraId="68A522D8">
            <w:pPr>
              <w:keepNext w:val="0"/>
              <w:keepLines w:val="0"/>
              <w:pageBreakBefore w:val="0"/>
              <w:kinsoku/>
              <w:overflowPunct/>
              <w:autoSpaceDE w:val="0"/>
              <w:autoSpaceDN w:val="0"/>
              <w:bidi w:val="0"/>
              <w:adjustRightInd w:val="0"/>
              <w:spacing w:line="360" w:lineRule="auto"/>
              <w:ind w:left="0" w:left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rPr>
              <w:t>5</w:t>
            </w:r>
          </w:p>
        </w:tc>
        <w:tc>
          <w:tcPr>
            <w:tcW w:w="1143" w:type="dxa"/>
            <w:vAlign w:val="center"/>
          </w:tcPr>
          <w:p w14:paraId="181CDD97">
            <w:pPr>
              <w:keepNext w:val="0"/>
              <w:keepLines w:val="0"/>
              <w:pageBreakBefore w:val="0"/>
              <w:kinsoku/>
              <w:overflowPunct/>
              <w:bidi w:val="0"/>
              <w:spacing w:line="360" w:lineRule="auto"/>
              <w:ind w:left="0" w:leftChars="0"/>
              <w:jc w:val="center"/>
              <w:textAlignment w:val="auto"/>
              <w:rPr>
                <w:rFonts w:hint="eastAsia" w:ascii="宋体" w:hAnsi="宋体" w:eastAsia="宋体" w:cs="宋体"/>
                <w:sz w:val="21"/>
                <w:szCs w:val="21"/>
              </w:rPr>
            </w:pPr>
            <w:r>
              <w:rPr>
                <w:rFonts w:hint="eastAsia" w:ascii="宋体" w:hAnsi="宋体" w:eastAsia="宋体" w:cs="宋体"/>
                <w:sz w:val="21"/>
                <w:szCs w:val="21"/>
              </w:rPr>
              <w:t>诚信评审</w:t>
            </w:r>
          </w:p>
        </w:tc>
        <w:tc>
          <w:tcPr>
            <w:tcW w:w="709" w:type="dxa"/>
            <w:vAlign w:val="center"/>
          </w:tcPr>
          <w:p w14:paraId="4A5AF9AF">
            <w:pPr>
              <w:keepNext w:val="0"/>
              <w:keepLines w:val="0"/>
              <w:pageBreakBefore w:val="0"/>
              <w:kinsoku/>
              <w:overflowPunct/>
              <w:bidi w:val="0"/>
              <w:spacing w:line="360" w:lineRule="auto"/>
              <w:ind w:left="0" w:leftChars="0"/>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6636" w:type="dxa"/>
            <w:vAlign w:val="center"/>
          </w:tcPr>
          <w:p w14:paraId="2D1ED4B9">
            <w:pPr>
              <w:pStyle w:val="94"/>
              <w:keepNext w:val="0"/>
              <w:keepLines w:val="0"/>
              <w:pageBreakBefore w:val="0"/>
              <w:kinsoku/>
              <w:overflowPunct/>
              <w:bidi w:val="0"/>
              <w:spacing w:line="36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根据《深圳市财政局关于印发&lt;深圳市财政局政府采购供应商信用信息管理办法&gt;的通知》（深财规〔2023〕3号）相关规定，如供应商在全国范围内存在因政府采购违法、违规行为受到财政部门罚款等一般行政处罚信息，或者存在该办法第十一条所称在本市集中采购活动中的一般违法失信行为记录信息，且在公示期内的，本项不得分，否则得5分。</w:t>
            </w:r>
          </w:p>
          <w:p w14:paraId="0D43B82F">
            <w:pPr>
              <w:keepNext w:val="0"/>
              <w:keepLines w:val="0"/>
              <w:pageBreakBefore w:val="0"/>
              <w:tabs>
                <w:tab w:val="left" w:pos="175"/>
              </w:tabs>
              <w:kinsoku/>
              <w:overflowPunct/>
              <w:bidi w:val="0"/>
              <w:spacing w:line="360" w:lineRule="auto"/>
              <w:ind w:left="0" w:leftChars="0"/>
              <w:jc w:val="left"/>
              <w:textAlignment w:val="auto"/>
              <w:rPr>
                <w:rFonts w:hint="eastAsia" w:ascii="宋体" w:hAnsi="宋体" w:eastAsia="宋体" w:cs="宋体"/>
                <w:sz w:val="21"/>
                <w:szCs w:val="21"/>
              </w:rPr>
            </w:pPr>
            <w:r>
              <w:rPr>
                <w:rFonts w:hint="eastAsia" w:ascii="宋体" w:hAnsi="宋体" w:eastAsia="宋体" w:cs="宋体"/>
                <w:sz w:val="21"/>
                <w:szCs w:val="21"/>
              </w:rPr>
              <w:t>（采购代理机构通过“信用中国”、“中国政府采购网”、“深圳市政府采购监管网”以及市、区财政部门认定的其他渠道查询供应商信用信息，投标人无需提供证明材料。）</w:t>
            </w:r>
          </w:p>
        </w:tc>
        <w:tc>
          <w:tcPr>
            <w:tcW w:w="1018" w:type="dxa"/>
            <w:vAlign w:val="center"/>
          </w:tcPr>
          <w:p w14:paraId="70BD9EB2">
            <w:pPr>
              <w:keepNext w:val="0"/>
              <w:keepLines w:val="0"/>
              <w:pageBreakBefore w:val="0"/>
              <w:kinsoku/>
              <w:overflowPunct/>
              <w:bidi w:val="0"/>
              <w:spacing w:line="360" w:lineRule="auto"/>
              <w:ind w:left="0" w:left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rPr>
              <w:t>评委打分</w:t>
            </w:r>
          </w:p>
        </w:tc>
      </w:tr>
    </w:tbl>
    <w:p w14:paraId="1F9E6A4F">
      <w:pPr>
        <w:pStyle w:val="2"/>
        <w:spacing w:before="0" w:after="0"/>
        <w:jc w:val="left"/>
        <w:rPr>
          <w:rFonts w:asciiTheme="minorEastAsia" w:hAnsiTheme="minorEastAsia"/>
          <w:bCs w:val="0"/>
          <w:sz w:val="21"/>
          <w:szCs w:val="21"/>
        </w:rPr>
      </w:pPr>
      <w:bookmarkStart w:id="10" w:name="_Toc44690430"/>
      <w:bookmarkStart w:id="11" w:name="_Toc44691162"/>
      <w:bookmarkStart w:id="12" w:name="_Toc115096777"/>
      <w:bookmarkStart w:id="13" w:name="_Toc44691394"/>
      <w:bookmarkStart w:id="14" w:name="_Toc44690703"/>
      <w:r>
        <w:rPr>
          <w:rFonts w:hint="eastAsia" w:asciiTheme="minorEastAsia" w:hAnsiTheme="minorEastAsia"/>
          <w:bCs w:val="0"/>
          <w:sz w:val="21"/>
          <w:szCs w:val="21"/>
        </w:rPr>
        <w:t>备注：</w:t>
      </w:r>
      <w:bookmarkEnd w:id="10"/>
      <w:bookmarkEnd w:id="11"/>
      <w:bookmarkEnd w:id="12"/>
      <w:bookmarkEnd w:id="13"/>
      <w:bookmarkEnd w:id="14"/>
    </w:p>
    <w:p w14:paraId="23F0BC4A">
      <w:pPr>
        <w:pStyle w:val="4"/>
        <w:spacing w:before="0" w:after="0"/>
      </w:pPr>
      <w:bookmarkStart w:id="15" w:name="_Toc115096778"/>
      <w:r>
        <w:rPr>
          <w:rFonts w:hint="eastAsia"/>
        </w:rPr>
        <w:t>1、资质证书有效期</w:t>
      </w:r>
      <w:bookmarkEnd w:id="15"/>
    </w:p>
    <w:p w14:paraId="5734D130">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14:paraId="46F74E9F">
      <w:pPr>
        <w:adjustRightInd w:val="0"/>
        <w:spacing w:line="360" w:lineRule="exact"/>
        <w:rPr>
          <w:rFonts w:asciiTheme="minorEastAsia" w:hAnsiTheme="minorEastAsia" w:eastAsiaTheme="minorEastAsia"/>
          <w:b/>
        </w:rPr>
      </w:pPr>
    </w:p>
    <w:p w14:paraId="234BC27C">
      <w:pPr>
        <w:pStyle w:val="4"/>
        <w:spacing w:before="0" w:after="0"/>
        <w:rPr>
          <w:rFonts w:asciiTheme="minorEastAsia" w:hAnsiTheme="minorEastAsia" w:eastAsiaTheme="minorEastAsia"/>
        </w:rPr>
      </w:pPr>
      <w:bookmarkStart w:id="16" w:name="_Toc115096779"/>
      <w:r>
        <w:rPr>
          <w:rFonts w:hint="eastAsia" w:asciiTheme="minorEastAsia" w:hAnsiTheme="minorEastAsia" w:eastAsiaTheme="minorEastAsia"/>
        </w:rPr>
        <w:t>2、政府采购扶持政策</w:t>
      </w:r>
      <w:bookmarkEnd w:id="16"/>
    </w:p>
    <w:p w14:paraId="5B5E18CF">
      <w:pPr>
        <w:spacing w:after="60" w:line="360" w:lineRule="auto"/>
        <w:ind w:firstLine="426" w:firstLineChars="202"/>
        <w:rPr>
          <w:rFonts w:ascii="宋体" w:hAnsi="宋体"/>
          <w:b/>
          <w:snapToGrid w:val="0"/>
          <w:szCs w:val="21"/>
        </w:rPr>
      </w:pPr>
      <w:r>
        <w:rPr>
          <w:rFonts w:hint="eastAsia" w:ascii="宋体" w:hAnsi="宋体"/>
          <w:b/>
          <w:snapToGrid w:val="0"/>
          <w:szCs w:val="21"/>
          <w:highlight w:val="yellow"/>
        </w:rPr>
        <w:t>（一）本项目所属行业为</w:t>
      </w:r>
      <w:r>
        <w:rPr>
          <w:rFonts w:hint="eastAsia" w:ascii="宋体" w:hAnsi="宋体"/>
          <w:b/>
          <w:snapToGrid w:val="0"/>
          <w:szCs w:val="21"/>
          <w:highlight w:val="yellow"/>
          <w:u w:val="single"/>
        </w:rPr>
        <w:t xml:space="preserve"> 其他未列明行业 </w:t>
      </w:r>
      <w:r>
        <w:rPr>
          <w:rFonts w:hint="eastAsia" w:ascii="宋体" w:hAnsi="宋体"/>
          <w:b/>
          <w:snapToGrid w:val="0"/>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14:paraId="70608157">
      <w:pPr>
        <w:spacing w:line="360" w:lineRule="auto"/>
        <w:ind w:firstLine="422" w:firstLineChars="200"/>
        <w:rPr>
          <w:rFonts w:asciiTheme="minorEastAsia" w:hAnsiTheme="minorEastAsia" w:eastAsiaTheme="minorEastAsia"/>
          <w:b/>
          <w:bCs/>
          <w:szCs w:val="22"/>
        </w:rPr>
      </w:pPr>
      <w:r>
        <w:rPr>
          <w:rFonts w:hint="eastAsia" w:asciiTheme="minorEastAsia" w:hAnsiTheme="minorEastAsia" w:eastAsiaTheme="minorEastAsia"/>
          <w:b/>
          <w:bCs/>
          <w:szCs w:val="22"/>
        </w:rPr>
        <w:t>（二）价格评审优惠</w:t>
      </w:r>
    </w:p>
    <w:p w14:paraId="3CD7CE54">
      <w:pPr>
        <w:spacing w:line="360" w:lineRule="auto"/>
        <w:ind w:firstLine="371" w:firstLineChars="177"/>
        <w:rPr>
          <w:rFonts w:cs="仿宋" w:asciiTheme="minorEastAsia" w:hAnsiTheme="minorEastAsia" w:eastAsiaTheme="minorEastAsia"/>
          <w:szCs w:val="21"/>
        </w:rPr>
      </w:pPr>
      <w:r>
        <w:rPr>
          <w:rFonts w:hint="eastAsia" w:asciiTheme="minorEastAsia" w:hAnsiTheme="minorEastAsia" w:eastAsiaTheme="minorEastAsia"/>
          <w:szCs w:val="21"/>
          <w:lang w:eastAsia="zh-CN"/>
        </w:rPr>
        <w:t>☑</w:t>
      </w:r>
      <w:r>
        <w:rPr>
          <w:rFonts w:hint="eastAsia" w:ascii="Calibri" w:hAnsi="宋体"/>
        </w:rPr>
        <w:t>预留份额专门面向中小企业采购的采购项目或采购包</w:t>
      </w:r>
      <w:r>
        <w:rPr>
          <w:rFonts w:hint="eastAsia" w:cs="仿宋" w:asciiTheme="minorEastAsia" w:hAnsiTheme="minorEastAsia" w:eastAsiaTheme="minorEastAsia"/>
          <w:szCs w:val="21"/>
        </w:rPr>
        <w:t>：不执行价格评审优惠的扶持政策。</w:t>
      </w:r>
    </w:p>
    <w:p w14:paraId="02CED806">
      <w:pPr>
        <w:widowControl/>
        <w:spacing w:line="360" w:lineRule="auto"/>
        <w:ind w:firstLine="371" w:firstLineChars="177"/>
        <w:jc w:val="left"/>
        <w:rPr>
          <w:rFonts w:cs="仿宋" w:asciiTheme="minorEastAsia" w:hAnsiTheme="minorEastAsia" w:eastAsiaTheme="minorEastAsia"/>
          <w:szCs w:val="21"/>
        </w:rPr>
      </w:pPr>
      <w:r>
        <w:rPr>
          <w:rFonts w:hint="eastAsia" w:ascii="宋体" w:cs="MS Mincho" w:hAnsiTheme="minorEastAsia"/>
          <w:kern w:val="0"/>
          <w:szCs w:val="21"/>
          <w:lang w:eastAsia="zh-CN"/>
        </w:rPr>
        <w:t>□</w:t>
      </w:r>
      <w:r>
        <w:rPr>
          <w:rFonts w:hint="eastAsia" w:ascii="Segoe UI Symbol" w:hAnsi="Segoe UI Symbol"/>
        </w:rPr>
        <w:t>未</w:t>
      </w:r>
      <w:r>
        <w:rPr>
          <w:rFonts w:hint="eastAsia" w:ascii="Calibri" w:hAnsi="宋体"/>
        </w:rPr>
        <w:t>预留份额专门面向中小企业采购的采购项目或采购包</w:t>
      </w:r>
      <w:r>
        <w:rPr>
          <w:rFonts w:hint="eastAsia" w:asciiTheme="minorEastAsia" w:hAnsiTheme="minorEastAsia" w:eastAsiaTheme="minorEastAsia"/>
          <w:szCs w:val="21"/>
        </w:rPr>
        <w:t>：</w:t>
      </w:r>
    </w:p>
    <w:p w14:paraId="750EA928">
      <w:pPr>
        <w:spacing w:line="360" w:lineRule="auto"/>
        <w:ind w:firstLine="424" w:firstLineChars="202"/>
        <w:rPr>
          <w:rFonts w:asciiTheme="minorEastAsia" w:hAnsiTheme="minorEastAsia" w:eastAsiaTheme="minorEastAsia"/>
          <w:szCs w:val="22"/>
        </w:rPr>
      </w:pPr>
      <w:r>
        <w:rPr>
          <w:rFonts w:hint="eastAsia" w:asciiTheme="minorEastAsia" w:hAnsiTheme="minorEastAsia" w:eastAsiaTheme="minorEastAsia"/>
          <w:szCs w:val="22"/>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szCs w:val="22"/>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szCs w:val="22"/>
        </w:rPr>
        <w:t>其投标报价扣除</w:t>
      </w:r>
      <w:r>
        <w:rPr>
          <w:rFonts w:hint="eastAsia" w:asciiTheme="minorEastAsia" w:hAnsiTheme="minorEastAsia" w:eastAsiaTheme="minorEastAsia"/>
          <w:b/>
          <w:szCs w:val="22"/>
          <w:u w:val="single"/>
        </w:rPr>
        <w:t xml:space="preserve"> 10 </w:t>
      </w:r>
      <w:r>
        <w:rPr>
          <w:rFonts w:hint="eastAsia" w:asciiTheme="minorEastAsia" w:hAnsiTheme="minorEastAsia" w:eastAsiaTheme="minorEastAsia"/>
          <w:b/>
          <w:szCs w:val="22"/>
        </w:rPr>
        <w:t>%（请在10%-20%范围内选择）后参与评审</w:t>
      </w:r>
      <w:r>
        <w:rPr>
          <w:rFonts w:hint="eastAsia" w:asciiTheme="minorEastAsia" w:hAnsiTheme="minorEastAsia" w:eastAsiaTheme="minorEastAsia"/>
          <w:szCs w:val="22"/>
        </w:rPr>
        <w:t>。</w:t>
      </w:r>
    </w:p>
    <w:p w14:paraId="595A1094">
      <w:pPr>
        <w:spacing w:line="360" w:lineRule="auto"/>
        <w:ind w:firstLine="424" w:firstLineChars="202"/>
        <w:rPr>
          <w:rFonts w:asciiTheme="minorEastAsia" w:hAnsiTheme="minorEastAsia" w:eastAsiaTheme="minorEastAsia"/>
          <w:szCs w:val="22"/>
        </w:rPr>
      </w:pPr>
      <w:r>
        <w:rPr>
          <w:rFonts w:hint="eastAsia" w:asciiTheme="minorEastAsia" w:hAnsiTheme="minorEastAsia" w:eastAsiaTheme="minorEastAsia"/>
          <w:szCs w:val="22"/>
        </w:rPr>
        <w:t>（2）联合协议中约定，小型、微型企业的协议合同金额占到联合体协议合同总金额30%以上的，可给予</w:t>
      </w:r>
      <w:r>
        <w:rPr>
          <w:rFonts w:hint="eastAsia" w:asciiTheme="minorEastAsia" w:hAnsiTheme="minorEastAsia" w:eastAsiaTheme="minorEastAsia"/>
          <w:b/>
          <w:szCs w:val="22"/>
        </w:rPr>
        <w:t>联合体</w:t>
      </w:r>
      <w:r>
        <w:rPr>
          <w:rFonts w:hint="eastAsia" w:asciiTheme="minorEastAsia" w:hAnsiTheme="minorEastAsia" w:eastAsiaTheme="minorEastAsia"/>
          <w:b/>
          <w:szCs w:val="22"/>
          <w:u w:val="single"/>
        </w:rPr>
        <w:t xml:space="preserve"> / </w:t>
      </w:r>
      <w:r>
        <w:rPr>
          <w:rFonts w:hint="eastAsia" w:asciiTheme="minorEastAsia" w:hAnsiTheme="minorEastAsia" w:eastAsiaTheme="minorEastAsia"/>
          <w:b/>
          <w:szCs w:val="22"/>
        </w:rPr>
        <w:t>%</w:t>
      </w:r>
      <w:r>
        <w:rPr>
          <w:rFonts w:asciiTheme="minorEastAsia" w:hAnsiTheme="minorEastAsia" w:eastAsiaTheme="minorEastAsia"/>
          <w:b/>
          <w:szCs w:val="22"/>
        </w:rPr>
        <w:t xml:space="preserve"> </w:t>
      </w:r>
      <w:r>
        <w:rPr>
          <w:rFonts w:hint="eastAsia" w:asciiTheme="minorEastAsia" w:hAnsiTheme="minorEastAsia" w:eastAsiaTheme="minorEastAsia"/>
          <w:b/>
          <w:szCs w:val="22"/>
        </w:rPr>
        <w:t>（请在4</w:t>
      </w:r>
      <w:r>
        <w:rPr>
          <w:rFonts w:asciiTheme="minorEastAsia" w:hAnsiTheme="minorEastAsia" w:eastAsiaTheme="minorEastAsia"/>
          <w:b/>
          <w:szCs w:val="22"/>
        </w:rPr>
        <w:t>%-</w:t>
      </w:r>
      <w:r>
        <w:rPr>
          <w:rFonts w:hint="eastAsia" w:asciiTheme="minorEastAsia" w:hAnsiTheme="minorEastAsia" w:eastAsiaTheme="minorEastAsia"/>
          <w:b/>
          <w:szCs w:val="22"/>
        </w:rPr>
        <w:t>6</w:t>
      </w:r>
      <w:r>
        <w:rPr>
          <w:rFonts w:asciiTheme="minorEastAsia" w:hAnsiTheme="minorEastAsia" w:eastAsiaTheme="minorEastAsia"/>
          <w:b/>
          <w:szCs w:val="22"/>
        </w:rPr>
        <w:t>%</w:t>
      </w:r>
      <w:r>
        <w:rPr>
          <w:rFonts w:hint="eastAsia" w:asciiTheme="minorEastAsia" w:hAnsiTheme="minorEastAsia" w:eastAsiaTheme="minorEastAsia"/>
          <w:b/>
          <w:szCs w:val="22"/>
        </w:rPr>
        <w:t>范围内选择）</w:t>
      </w:r>
      <w:r>
        <w:rPr>
          <w:rFonts w:hint="eastAsia" w:asciiTheme="minorEastAsia" w:hAnsiTheme="minorEastAsia" w:eastAsiaTheme="minorEastAsia"/>
          <w:szCs w:val="22"/>
        </w:rPr>
        <w:t>的价格扣除</w:t>
      </w:r>
      <w:r>
        <w:rPr>
          <w:rFonts w:hint="eastAsia" w:ascii="宋体" w:hAnsi="宋体"/>
          <w:szCs w:val="22"/>
        </w:rPr>
        <w:t>，用扣除后的价格参与评审</w:t>
      </w:r>
      <w:r>
        <w:rPr>
          <w:rFonts w:hint="eastAsia" w:asciiTheme="minorEastAsia" w:hAnsiTheme="minorEastAsia" w:eastAsiaTheme="minorEastAsia"/>
          <w:szCs w:val="22"/>
        </w:rPr>
        <w:t>。如联合体各方均为小型、微型企业，联合体视同为小型、微型企业，享受</w:t>
      </w:r>
      <w:r>
        <w:rPr>
          <w:rFonts w:hint="eastAsia" w:asciiTheme="minorEastAsia" w:hAnsiTheme="minorEastAsia" w:eastAsiaTheme="minorEastAsia"/>
          <w:b/>
          <w:szCs w:val="22"/>
        </w:rPr>
        <w:t>第（1）项</w:t>
      </w:r>
      <w:r>
        <w:rPr>
          <w:rFonts w:hint="eastAsia" w:asciiTheme="minorEastAsia" w:hAnsiTheme="minorEastAsia" w:eastAsiaTheme="minorEastAsia"/>
          <w:szCs w:val="22"/>
        </w:rPr>
        <w:t>的评审优惠。</w:t>
      </w:r>
    </w:p>
    <w:p w14:paraId="679C1F26">
      <w:pPr>
        <w:spacing w:after="60" w:line="360" w:lineRule="auto"/>
        <w:ind w:firstLine="424" w:firstLineChars="202"/>
        <w:rPr>
          <w:rFonts w:ascii="宋体" w:hAnsi="宋体"/>
          <w:szCs w:val="22"/>
        </w:rPr>
      </w:pPr>
      <w:r>
        <w:rPr>
          <w:rFonts w:hint="eastAsia" w:ascii="宋体" w:hAnsi="宋体"/>
          <w:szCs w:val="22"/>
        </w:rPr>
        <w:t>（3）分包意向协议约定，小型、微型企业的协议合同金额占到合同总金额30%以上的，可给予投标人</w:t>
      </w:r>
      <w:r>
        <w:rPr>
          <w:rFonts w:hint="eastAsia" w:ascii="宋体" w:hAnsi="宋体"/>
          <w:b/>
          <w:szCs w:val="22"/>
          <w:u w:val="single"/>
        </w:rPr>
        <w:t xml:space="preserve">  </w:t>
      </w:r>
      <w:r>
        <w:rPr>
          <w:rFonts w:hint="eastAsia" w:asciiTheme="minorEastAsia" w:hAnsiTheme="minorEastAsia" w:eastAsiaTheme="minorEastAsia"/>
          <w:b/>
          <w:szCs w:val="22"/>
          <w:u w:val="single"/>
        </w:rPr>
        <w:t xml:space="preserve">/  </w:t>
      </w:r>
      <w:r>
        <w:rPr>
          <w:rFonts w:hint="eastAsia" w:asciiTheme="minorEastAsia" w:hAnsiTheme="minorEastAsia" w:eastAsiaTheme="minorEastAsia"/>
          <w:b/>
          <w:szCs w:val="22"/>
        </w:rPr>
        <w:t>%</w:t>
      </w:r>
      <w:r>
        <w:rPr>
          <w:rFonts w:asciiTheme="minorEastAsia" w:hAnsiTheme="minorEastAsia" w:eastAsiaTheme="minorEastAsia"/>
          <w:b/>
          <w:szCs w:val="22"/>
        </w:rPr>
        <w:t xml:space="preserve"> </w:t>
      </w:r>
      <w:r>
        <w:rPr>
          <w:rFonts w:hint="eastAsia" w:asciiTheme="minorEastAsia" w:hAnsiTheme="minorEastAsia" w:eastAsiaTheme="minorEastAsia"/>
          <w:b/>
          <w:szCs w:val="22"/>
        </w:rPr>
        <w:t>（请在4</w:t>
      </w:r>
      <w:r>
        <w:rPr>
          <w:rFonts w:asciiTheme="minorEastAsia" w:hAnsiTheme="minorEastAsia" w:eastAsiaTheme="minorEastAsia"/>
          <w:b/>
          <w:szCs w:val="22"/>
        </w:rPr>
        <w:t>%-</w:t>
      </w:r>
      <w:r>
        <w:rPr>
          <w:rFonts w:hint="eastAsia" w:asciiTheme="minorEastAsia" w:hAnsiTheme="minorEastAsia" w:eastAsiaTheme="minorEastAsia"/>
          <w:b/>
          <w:szCs w:val="22"/>
        </w:rPr>
        <w:t>6</w:t>
      </w:r>
      <w:r>
        <w:rPr>
          <w:rFonts w:asciiTheme="minorEastAsia" w:hAnsiTheme="minorEastAsia" w:eastAsiaTheme="minorEastAsia"/>
          <w:b/>
          <w:szCs w:val="22"/>
        </w:rPr>
        <w:t>%</w:t>
      </w:r>
      <w:r>
        <w:rPr>
          <w:rFonts w:hint="eastAsia" w:asciiTheme="minorEastAsia" w:hAnsiTheme="minorEastAsia" w:eastAsiaTheme="minorEastAsia"/>
          <w:b/>
          <w:szCs w:val="22"/>
        </w:rPr>
        <w:t>范围内选择）</w:t>
      </w:r>
      <w:r>
        <w:rPr>
          <w:rFonts w:hint="eastAsia" w:asciiTheme="minorEastAsia" w:hAnsiTheme="minorEastAsia" w:eastAsiaTheme="minorEastAsia"/>
          <w:szCs w:val="22"/>
        </w:rPr>
        <w:t>的价格扣除</w:t>
      </w:r>
      <w:r>
        <w:rPr>
          <w:rFonts w:hint="eastAsia" w:ascii="宋体" w:hAnsi="宋体"/>
          <w:szCs w:val="22"/>
        </w:rPr>
        <w:t>，用扣除后的价格参与评审。</w:t>
      </w:r>
    </w:p>
    <w:p w14:paraId="7E2E7E60">
      <w:pPr>
        <w:spacing w:after="60" w:line="360" w:lineRule="auto"/>
        <w:ind w:firstLine="424" w:firstLineChars="202"/>
        <w:rPr>
          <w:rFonts w:ascii="宋体" w:hAnsi="宋体"/>
          <w:szCs w:val="22"/>
        </w:rPr>
      </w:pPr>
      <w:r>
        <w:rPr>
          <w:rFonts w:hint="eastAsia" w:ascii="宋体" w:hAnsi="宋体"/>
          <w:szCs w:val="22"/>
        </w:rPr>
        <w:t>（4）</w:t>
      </w:r>
      <w:r>
        <w:rPr>
          <w:rFonts w:hint="eastAsia" w:asciiTheme="minorEastAsia" w:hAnsiTheme="minorEastAsia" w:eastAsiaTheme="minorEastAsia"/>
          <w:szCs w:val="22"/>
        </w:rPr>
        <w:t>如供应商为</w:t>
      </w:r>
      <w:r>
        <w:rPr>
          <w:rFonts w:hint="eastAsia" w:ascii="Calibri" w:hAnsi="宋体"/>
          <w:szCs w:val="22"/>
        </w:rPr>
        <w:t>监狱企业</w:t>
      </w:r>
      <w:r>
        <w:rPr>
          <w:rFonts w:hint="eastAsia" w:ascii="Calibri" w:hAnsi="宋体"/>
          <w:szCs w:val="21"/>
        </w:rPr>
        <w:t>或残疾人福利性单位，</w:t>
      </w:r>
      <w:r>
        <w:rPr>
          <w:rFonts w:hint="eastAsia" w:ascii="Calibri" w:hAnsi="宋体"/>
          <w:szCs w:val="22"/>
        </w:rPr>
        <w:t>视同</w:t>
      </w:r>
      <w:r>
        <w:rPr>
          <w:rFonts w:hint="eastAsia" w:asciiTheme="minorEastAsia" w:hAnsiTheme="minorEastAsia" w:eastAsiaTheme="minorEastAsia"/>
          <w:szCs w:val="22"/>
        </w:rPr>
        <w:t>小型、微型企业，</w:t>
      </w:r>
      <w:r>
        <w:rPr>
          <w:rFonts w:hint="eastAsia" w:ascii="Calibri" w:hAnsi="宋体"/>
          <w:szCs w:val="22"/>
        </w:rPr>
        <w:t>享受以上预留份额、评审中价格扣除等政府采购促进中小企业发展的政府采购政策；</w:t>
      </w:r>
      <w:r>
        <w:rPr>
          <w:rFonts w:hint="eastAsia" w:asciiTheme="minorEastAsia" w:hAnsiTheme="minorEastAsia" w:eastAsiaTheme="minorEastAsia"/>
          <w:szCs w:val="22"/>
        </w:rPr>
        <w:t>对于同时属于小型、微型企业、监狱企业或残疾人福利性单位的供应商，不重复享受政策。</w:t>
      </w:r>
    </w:p>
    <w:p w14:paraId="0922A073">
      <w:pPr>
        <w:spacing w:after="60" w:line="360" w:lineRule="auto"/>
        <w:ind w:firstLine="424" w:firstLineChars="202"/>
        <w:rPr>
          <w:rFonts w:ascii="宋体" w:hAnsi="宋体"/>
          <w:szCs w:val="22"/>
        </w:rPr>
      </w:pPr>
      <w:r>
        <w:rPr>
          <w:rFonts w:hint="eastAsia" w:ascii="宋体" w:hAnsi="宋体"/>
          <w:szCs w:val="22"/>
        </w:rPr>
        <w:t>（5）优惠主体资格的认定资料为《中小企业声明函》、《残疾人福利性单位声明函》以及《监狱企业声明函》等承诺性质的资料；监狱企业或者代理提供监狱企业货物的供应商如需享受优惠政策，除上述资料外，还须提供省级以上监狱管理局、戒毒管理局出具的监狱企业证明文件。</w:t>
      </w:r>
    </w:p>
    <w:p w14:paraId="695B6302">
      <w:pPr>
        <w:spacing w:line="360" w:lineRule="auto"/>
        <w:ind w:firstLine="422" w:firstLineChars="200"/>
        <w:rPr>
          <w:rFonts w:asciiTheme="minorEastAsia" w:hAnsiTheme="minorEastAsia" w:eastAsiaTheme="minorEastAsia"/>
          <w:b/>
          <w:bCs/>
          <w:szCs w:val="22"/>
        </w:rPr>
      </w:pPr>
      <w:r>
        <w:rPr>
          <w:rFonts w:hint="eastAsia" w:asciiTheme="minorEastAsia" w:hAnsiTheme="minorEastAsia" w:eastAsiaTheme="minorEastAsia"/>
          <w:b/>
          <w:bCs/>
          <w:szCs w:val="22"/>
        </w:rPr>
        <w:t>（三）绿色采购</w:t>
      </w:r>
    </w:p>
    <w:p w14:paraId="52F27DD8">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（1）投标产品属于《关于调整优化节能产品环境标志产品政府采购执行机制的通知》（财库〔2019〕9号）、《关于印发环境标志产品政府采购品目清单的通知》（财库〔2019〕18号）和《关于印发节能产品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14:paraId="70DACF02">
      <w:pPr>
        <w:autoSpaceDE w:val="0"/>
        <w:autoSpaceDN w:val="0"/>
        <w:adjustRightInd w:val="0"/>
        <w:spacing w:line="360" w:lineRule="auto"/>
        <w:ind w:firstLine="369" w:firstLineChars="176"/>
        <w:jc w:val="left"/>
        <w:rPr>
          <w:rFonts w:ascii="宋体" w:hAnsi="宋体" w:eastAsia="黑体"/>
          <w:b/>
          <w:bCs/>
          <w:kern w:val="44"/>
          <w:sz w:val="28"/>
          <w:szCs w:val="44"/>
        </w:rPr>
      </w:pPr>
      <w:r>
        <w:rPr>
          <w:rFonts w:hint="eastAsia" w:asciiTheme="minorEastAsia" w:hAnsiTheme="minorEastAsia" w:eastAsiaTheme="minorEastAsia"/>
          <w:szCs w:val="21"/>
        </w:rPr>
        <w:t>（2）按照《深圳市财政局关于大力推广政府绿色采购有关事项的通知（深财购〔2023〕49号）》相关要求，严格执行绿色采购需求标准。采购单位严格执行《商品包装政府采购需求标准（试行）》、《快递包装政府采购需求标准（试行）》（财办库〔2020〕123号）、《绿色建筑和绿色建材政府采购需求标准》（财办库〔2022〕35号）、《绿色数据中心政府采购需求标准（试行）》（财办库〔2023〕7号）等需求标准，依据相关需求标准确定采购需求，在采购文件和采购合同中载明具体需求、履约验收条款和违约责任，促进绿色包装、绿色运输、绿色建筑、绿色建材和绿色数据中心在政府采购领域的应用。加大新能源汽车采购力度。积极推广合同能源管理。鼓励公共机构推广应用合同能源管理，借助市场化手段，通过实施应用节能新技术、新产品，不断提高能源利用效率，为公共机构节能减排提供有力支持和保障。</w:t>
      </w:r>
    </w:p>
    <w:p w14:paraId="55271C31">
      <w:pPr>
        <w:spacing w:line="360" w:lineRule="auto"/>
        <w:ind w:firstLine="422" w:firstLineChars="200"/>
        <w:rPr>
          <w:rFonts w:ascii="宋体" w:hAnsi="宋体"/>
          <w:b/>
          <w:szCs w:val="21"/>
        </w:rPr>
      </w:pPr>
      <w:r>
        <w:rPr>
          <w:rFonts w:hint="eastAsia" w:asciiTheme="minorEastAsia" w:hAnsiTheme="minorEastAsia" w:eastAsiaTheme="minorEastAsia"/>
          <w:b/>
          <w:szCs w:val="21"/>
        </w:rPr>
        <w:t>（四）</w:t>
      </w:r>
      <w:r>
        <w:rPr>
          <w:rFonts w:hint="eastAsia"/>
          <w:b/>
        </w:rPr>
        <w:t>其他说明</w:t>
      </w:r>
    </w:p>
    <w:p w14:paraId="6CE01FCA">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rPr>
        <w:t>为缓解中小企业融资难题，深圳市推出政府采购订单融资改革举措。订单融资具体流程及试点金融机构订单融资服务承诺可参阅深圳市政府采购监管网（zfcg.sz.gov.cn）政府采购订单融资栏目。</w:t>
      </w:r>
    </w:p>
    <w:p w14:paraId="4B05A304">
      <w:pPr>
        <w:spacing w:line="360" w:lineRule="auto"/>
        <w:ind w:firstLine="424" w:firstLineChars="202"/>
      </w:pPr>
      <w:r>
        <w:br w:type="page"/>
      </w:r>
    </w:p>
    <w:p w14:paraId="3C849F6D"/>
    <w:p w14:paraId="70C8BAE5"/>
    <w:p w14:paraId="0C94C4D1">
      <w:pPr>
        <w:pStyle w:val="3"/>
        <w:spacing w:before="0"/>
      </w:pPr>
      <w:bookmarkStart w:id="17" w:name="_Toc115096780"/>
      <w:r>
        <w:rPr>
          <w:rFonts w:hint="eastAsia"/>
        </w:rPr>
        <w:t>第五章  投标人须知前附表</w:t>
      </w:r>
      <w:bookmarkEnd w:id="17"/>
    </w:p>
    <w:p w14:paraId="2C002F38">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14:paraId="0BA00DDF">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14:paraId="7684AE44">
            <w:pPr>
              <w:pStyle w:val="26"/>
              <w:spacing w:line="360" w:lineRule="auto"/>
              <w:jc w:val="center"/>
              <w:rPr>
                <w:rFonts w:hAnsi="宋体"/>
              </w:rPr>
            </w:pPr>
            <w:r>
              <w:rPr>
                <w:rFonts w:hint="eastAsia" w:hAnsi="宋体"/>
              </w:rPr>
              <w:t>项号</w:t>
            </w:r>
          </w:p>
        </w:tc>
        <w:tc>
          <w:tcPr>
            <w:tcW w:w="1038" w:type="dxa"/>
            <w:vAlign w:val="center"/>
          </w:tcPr>
          <w:p w14:paraId="0EE92B9B">
            <w:pPr>
              <w:pStyle w:val="26"/>
              <w:spacing w:line="360" w:lineRule="auto"/>
              <w:jc w:val="center"/>
              <w:rPr>
                <w:rFonts w:hAnsi="宋体"/>
              </w:rPr>
            </w:pPr>
            <w:r>
              <w:rPr>
                <w:rFonts w:hint="eastAsia" w:hAnsi="宋体"/>
              </w:rPr>
              <w:t>条款号</w:t>
            </w:r>
          </w:p>
        </w:tc>
        <w:tc>
          <w:tcPr>
            <w:tcW w:w="1843" w:type="dxa"/>
            <w:vAlign w:val="center"/>
          </w:tcPr>
          <w:p w14:paraId="23609BC9">
            <w:pPr>
              <w:pStyle w:val="26"/>
              <w:spacing w:line="360" w:lineRule="auto"/>
              <w:jc w:val="center"/>
              <w:rPr>
                <w:rFonts w:hAnsi="宋体"/>
              </w:rPr>
            </w:pPr>
            <w:r>
              <w:rPr>
                <w:rFonts w:hint="eastAsia" w:hAnsi="宋体"/>
              </w:rPr>
              <w:t>内容</w:t>
            </w:r>
          </w:p>
        </w:tc>
        <w:tc>
          <w:tcPr>
            <w:tcW w:w="6520" w:type="dxa"/>
          </w:tcPr>
          <w:p w14:paraId="21C8897F">
            <w:pPr>
              <w:pStyle w:val="26"/>
              <w:spacing w:line="360" w:lineRule="auto"/>
              <w:jc w:val="center"/>
              <w:rPr>
                <w:rFonts w:hAnsi="宋体"/>
              </w:rPr>
            </w:pPr>
            <w:r>
              <w:rPr>
                <w:rFonts w:hint="eastAsia" w:hAnsi="宋体"/>
              </w:rPr>
              <w:t>内容规定</w:t>
            </w:r>
          </w:p>
        </w:tc>
      </w:tr>
      <w:tr w14:paraId="4F661C47">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14:paraId="44648B6A">
            <w:pPr>
              <w:pStyle w:val="26"/>
              <w:spacing w:line="360" w:lineRule="auto"/>
              <w:jc w:val="center"/>
              <w:rPr>
                <w:rFonts w:hAnsi="宋体"/>
              </w:rPr>
            </w:pPr>
            <w:r>
              <w:rPr>
                <w:rFonts w:hAnsi="宋体"/>
              </w:rPr>
              <w:t>1</w:t>
            </w:r>
          </w:p>
        </w:tc>
        <w:tc>
          <w:tcPr>
            <w:tcW w:w="1038" w:type="dxa"/>
            <w:vAlign w:val="center"/>
          </w:tcPr>
          <w:p w14:paraId="35E2783C">
            <w:pPr>
              <w:pStyle w:val="26"/>
              <w:spacing w:line="360" w:lineRule="auto"/>
              <w:jc w:val="center"/>
              <w:rPr>
                <w:rFonts w:hAnsi="宋体"/>
              </w:rPr>
            </w:pPr>
            <w:r>
              <w:rPr>
                <w:rFonts w:hAnsi="宋体"/>
              </w:rPr>
              <w:t>1.1</w:t>
            </w:r>
          </w:p>
        </w:tc>
        <w:tc>
          <w:tcPr>
            <w:tcW w:w="1843" w:type="dxa"/>
            <w:vAlign w:val="center"/>
          </w:tcPr>
          <w:p w14:paraId="1D7857AC">
            <w:pPr>
              <w:pStyle w:val="26"/>
              <w:spacing w:line="360" w:lineRule="exact"/>
              <w:jc w:val="center"/>
              <w:rPr>
                <w:rFonts w:hAnsi="宋体"/>
              </w:rPr>
            </w:pPr>
            <w:r>
              <w:rPr>
                <w:rFonts w:hint="eastAsia" w:hAnsi="宋体"/>
              </w:rPr>
              <w:t>项目名称</w:t>
            </w:r>
          </w:p>
        </w:tc>
        <w:tc>
          <w:tcPr>
            <w:tcW w:w="6520" w:type="dxa"/>
            <w:vAlign w:val="center"/>
          </w:tcPr>
          <w:p w14:paraId="409BBFC9">
            <w:pPr>
              <w:pStyle w:val="26"/>
              <w:spacing w:line="360" w:lineRule="exact"/>
              <w:rPr>
                <w:rFonts w:hint="eastAsia" w:eastAsia="宋体"/>
                <w:lang w:eastAsia="zh-CN"/>
              </w:rPr>
            </w:pPr>
            <w:r>
              <w:rPr>
                <w:rFonts w:hint="eastAsia"/>
                <w:lang w:eastAsia="zh-CN"/>
              </w:rPr>
              <w:t>深圳市市场监督管理局龙岗监管局公务用车维修保养服务</w:t>
            </w:r>
          </w:p>
        </w:tc>
      </w:tr>
      <w:tr w14:paraId="0ADAC29A">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14:paraId="48691A2F">
            <w:pPr>
              <w:pStyle w:val="26"/>
              <w:spacing w:line="360" w:lineRule="auto"/>
              <w:jc w:val="center"/>
              <w:rPr>
                <w:rFonts w:hAnsi="宋体"/>
              </w:rPr>
            </w:pPr>
            <w:r>
              <w:rPr>
                <w:rFonts w:hint="eastAsia" w:hAnsi="宋体"/>
              </w:rPr>
              <w:t>2</w:t>
            </w:r>
          </w:p>
        </w:tc>
        <w:tc>
          <w:tcPr>
            <w:tcW w:w="1038" w:type="dxa"/>
            <w:vAlign w:val="center"/>
          </w:tcPr>
          <w:p w14:paraId="33799A27">
            <w:pPr>
              <w:pStyle w:val="26"/>
              <w:spacing w:line="360" w:lineRule="auto"/>
              <w:jc w:val="center"/>
              <w:rPr>
                <w:rFonts w:hAnsi="宋体"/>
              </w:rPr>
            </w:pPr>
            <w:r>
              <w:rPr>
                <w:rFonts w:hAnsi="宋体"/>
              </w:rPr>
              <w:t>2.1</w:t>
            </w:r>
          </w:p>
        </w:tc>
        <w:tc>
          <w:tcPr>
            <w:tcW w:w="1843" w:type="dxa"/>
            <w:vAlign w:val="center"/>
          </w:tcPr>
          <w:p w14:paraId="11246138">
            <w:pPr>
              <w:pStyle w:val="26"/>
              <w:spacing w:line="360" w:lineRule="exact"/>
              <w:jc w:val="center"/>
              <w:rPr>
                <w:rFonts w:hAnsi="宋体"/>
              </w:rPr>
            </w:pPr>
            <w:r>
              <w:rPr>
                <w:rFonts w:hint="eastAsia" w:hAnsi="宋体"/>
              </w:rPr>
              <w:t>采购人</w:t>
            </w:r>
          </w:p>
        </w:tc>
        <w:tc>
          <w:tcPr>
            <w:tcW w:w="6520" w:type="dxa"/>
            <w:vAlign w:val="center"/>
          </w:tcPr>
          <w:p w14:paraId="3A743B6B">
            <w:pPr>
              <w:pStyle w:val="26"/>
              <w:spacing w:line="360" w:lineRule="exact"/>
              <w:rPr>
                <w:rFonts w:hAnsi="宋体"/>
                <w:szCs w:val="24"/>
              </w:rPr>
            </w:pPr>
            <w:r>
              <w:rPr>
                <w:rFonts w:hint="eastAsia"/>
                <w:lang w:eastAsia="zh-CN"/>
              </w:rPr>
              <w:t>深圳市市场监督管理局龙岗监管局</w:t>
            </w:r>
          </w:p>
        </w:tc>
      </w:tr>
      <w:tr w14:paraId="6F92E9D2">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14:paraId="51B458EB">
            <w:pPr>
              <w:pStyle w:val="26"/>
              <w:spacing w:line="360" w:lineRule="auto"/>
              <w:jc w:val="center"/>
              <w:rPr>
                <w:rFonts w:hAnsi="宋体"/>
              </w:rPr>
            </w:pPr>
            <w:r>
              <w:rPr>
                <w:rFonts w:hint="eastAsia" w:hAnsi="宋体"/>
              </w:rPr>
              <w:t>3</w:t>
            </w:r>
          </w:p>
        </w:tc>
        <w:tc>
          <w:tcPr>
            <w:tcW w:w="1038" w:type="dxa"/>
            <w:vAlign w:val="center"/>
          </w:tcPr>
          <w:p w14:paraId="1D96ECFA">
            <w:pPr>
              <w:pStyle w:val="26"/>
              <w:spacing w:line="360" w:lineRule="auto"/>
              <w:jc w:val="center"/>
              <w:rPr>
                <w:rFonts w:hAnsi="宋体"/>
              </w:rPr>
            </w:pPr>
            <w:r>
              <w:rPr>
                <w:rFonts w:hAnsi="宋体"/>
              </w:rPr>
              <w:t>2.2</w:t>
            </w:r>
          </w:p>
        </w:tc>
        <w:tc>
          <w:tcPr>
            <w:tcW w:w="1843" w:type="dxa"/>
            <w:vAlign w:val="center"/>
          </w:tcPr>
          <w:p w14:paraId="7EC3A536">
            <w:pPr>
              <w:pStyle w:val="26"/>
              <w:spacing w:line="360" w:lineRule="exact"/>
              <w:jc w:val="center"/>
              <w:rPr>
                <w:rFonts w:hAnsi="宋体"/>
              </w:rPr>
            </w:pPr>
            <w:r>
              <w:rPr>
                <w:rFonts w:hint="eastAsia" w:hAnsi="宋体"/>
              </w:rPr>
              <w:t>采购代理机构</w:t>
            </w:r>
          </w:p>
        </w:tc>
        <w:tc>
          <w:tcPr>
            <w:tcW w:w="6520" w:type="dxa"/>
            <w:vAlign w:val="center"/>
          </w:tcPr>
          <w:p w14:paraId="19B43AB0">
            <w:pPr>
              <w:pStyle w:val="26"/>
              <w:spacing w:line="360" w:lineRule="exact"/>
              <w:rPr>
                <w:rFonts w:hAnsi="宋体"/>
              </w:rPr>
            </w:pPr>
            <w:r>
              <w:rPr>
                <w:rFonts w:hAnsi="宋体"/>
              </w:rPr>
              <w:t>深圳市中正招标有限公司</w:t>
            </w:r>
          </w:p>
        </w:tc>
      </w:tr>
      <w:tr w14:paraId="00FEFB93">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14:paraId="1D7C5448">
            <w:pPr>
              <w:pStyle w:val="26"/>
              <w:spacing w:line="360" w:lineRule="auto"/>
              <w:jc w:val="center"/>
              <w:rPr>
                <w:rFonts w:hAnsi="宋体"/>
              </w:rPr>
            </w:pPr>
            <w:r>
              <w:rPr>
                <w:rFonts w:hint="eastAsia" w:hAnsi="宋体"/>
              </w:rPr>
              <w:t>4</w:t>
            </w:r>
          </w:p>
        </w:tc>
        <w:tc>
          <w:tcPr>
            <w:tcW w:w="1038" w:type="dxa"/>
            <w:vAlign w:val="center"/>
          </w:tcPr>
          <w:p w14:paraId="5885F36E">
            <w:pPr>
              <w:pStyle w:val="26"/>
              <w:spacing w:line="360" w:lineRule="auto"/>
              <w:jc w:val="center"/>
              <w:rPr>
                <w:rFonts w:hAnsi="宋体"/>
              </w:rPr>
            </w:pPr>
            <w:r>
              <w:rPr>
                <w:rFonts w:hint="eastAsia" w:hAnsi="宋体"/>
              </w:rPr>
              <w:t>3.1</w:t>
            </w:r>
          </w:p>
        </w:tc>
        <w:tc>
          <w:tcPr>
            <w:tcW w:w="1843" w:type="dxa"/>
            <w:vAlign w:val="center"/>
          </w:tcPr>
          <w:p w14:paraId="526CF000">
            <w:pPr>
              <w:pStyle w:val="26"/>
              <w:spacing w:line="360" w:lineRule="exact"/>
              <w:jc w:val="center"/>
              <w:rPr>
                <w:rFonts w:hAnsi="宋体"/>
              </w:rPr>
            </w:pPr>
            <w:r>
              <w:rPr>
                <w:rFonts w:hint="eastAsia" w:hAnsi="宋体"/>
              </w:rPr>
              <w:t>资金来源</w:t>
            </w:r>
          </w:p>
        </w:tc>
        <w:tc>
          <w:tcPr>
            <w:tcW w:w="6520" w:type="dxa"/>
            <w:vAlign w:val="center"/>
          </w:tcPr>
          <w:p w14:paraId="210BD017">
            <w:pPr>
              <w:pStyle w:val="26"/>
              <w:spacing w:line="360" w:lineRule="exact"/>
              <w:rPr>
                <w:rFonts w:hAnsi="宋体"/>
              </w:rPr>
            </w:pPr>
            <w:r>
              <w:rPr>
                <w:rFonts w:hint="eastAsia" w:hAnsi="宋体" w:eastAsia="MS Mincho" w:cs="MS Mincho"/>
                <w:sz w:val="24"/>
                <w:szCs w:val="24"/>
              </w:rPr>
              <w:t>☑</w:t>
            </w:r>
            <w:r>
              <w:rPr>
                <w:rFonts w:hint="eastAsia" w:hAnsi="宋体"/>
              </w:rPr>
              <w:t>财政资金/□自筹资金/□其它资金</w:t>
            </w:r>
          </w:p>
        </w:tc>
      </w:tr>
      <w:tr w14:paraId="07C9912E">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14:paraId="1E22B983">
            <w:pPr>
              <w:pStyle w:val="26"/>
              <w:spacing w:line="360" w:lineRule="auto"/>
              <w:jc w:val="center"/>
              <w:rPr>
                <w:rFonts w:hAnsi="宋体"/>
              </w:rPr>
            </w:pPr>
            <w:r>
              <w:rPr>
                <w:rFonts w:hint="eastAsia" w:hAnsi="宋体"/>
              </w:rPr>
              <w:t>5</w:t>
            </w:r>
          </w:p>
        </w:tc>
        <w:tc>
          <w:tcPr>
            <w:tcW w:w="1038" w:type="dxa"/>
            <w:vAlign w:val="center"/>
          </w:tcPr>
          <w:p w14:paraId="62704673">
            <w:pPr>
              <w:pStyle w:val="26"/>
              <w:spacing w:line="360" w:lineRule="auto"/>
              <w:jc w:val="center"/>
              <w:rPr>
                <w:rFonts w:hAnsi="宋体"/>
              </w:rPr>
            </w:pPr>
            <w:r>
              <w:rPr>
                <w:rFonts w:hint="eastAsia" w:hAnsi="宋体"/>
              </w:rPr>
              <w:t>4.7</w:t>
            </w:r>
          </w:p>
        </w:tc>
        <w:tc>
          <w:tcPr>
            <w:tcW w:w="1843" w:type="dxa"/>
            <w:vAlign w:val="center"/>
          </w:tcPr>
          <w:p w14:paraId="5B4084DC">
            <w:pPr>
              <w:pStyle w:val="26"/>
              <w:spacing w:line="360" w:lineRule="auto"/>
              <w:jc w:val="center"/>
              <w:rPr>
                <w:rFonts w:hAnsi="宋体"/>
              </w:rPr>
            </w:pPr>
            <w:r>
              <w:rPr>
                <w:rFonts w:hint="eastAsia" w:hAnsi="宋体"/>
              </w:rPr>
              <w:t>投标人资格要求</w:t>
            </w:r>
          </w:p>
        </w:tc>
        <w:tc>
          <w:tcPr>
            <w:tcW w:w="6520" w:type="dxa"/>
            <w:vAlign w:val="center"/>
          </w:tcPr>
          <w:p w14:paraId="298CAEB4">
            <w:pPr>
              <w:pStyle w:val="26"/>
              <w:spacing w:line="300" w:lineRule="auto"/>
              <w:rPr>
                <w:rFonts w:hAnsi="宋体"/>
                <w:szCs w:val="21"/>
              </w:rPr>
            </w:pPr>
            <w:r>
              <w:rPr>
                <w:rFonts w:hint="eastAsia" w:hAnsi="宋体"/>
                <w:szCs w:val="21"/>
              </w:rPr>
              <w:t>详见《第一章 投标邀请》“申请人的资格要求”</w:t>
            </w:r>
            <w:r>
              <w:rPr>
                <w:rFonts w:hAnsi="宋体"/>
                <w:szCs w:val="21"/>
              </w:rPr>
              <w:t xml:space="preserve"> </w:t>
            </w:r>
          </w:p>
          <w:p w14:paraId="017780F6">
            <w:pPr>
              <w:pStyle w:val="26"/>
              <w:spacing w:line="360" w:lineRule="auto"/>
              <w:rPr>
                <w:rFonts w:hAnsi="宋体"/>
                <w:b/>
                <w:bCs/>
                <w:szCs w:val="21"/>
              </w:rPr>
            </w:pPr>
            <w:r>
              <w:rPr>
                <w:rFonts w:hint="eastAsia" w:hAnsi="宋体"/>
                <w:b/>
                <w:bCs/>
                <w:szCs w:val="21"/>
              </w:rPr>
              <w:t>（投标人资格证明文件详见第七章 投标文件格式）</w:t>
            </w:r>
          </w:p>
        </w:tc>
      </w:tr>
      <w:tr w14:paraId="3B760875">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14:paraId="4E6644C9">
            <w:pPr>
              <w:pStyle w:val="26"/>
              <w:spacing w:line="360" w:lineRule="auto"/>
              <w:jc w:val="center"/>
              <w:rPr>
                <w:rFonts w:hAnsi="宋体"/>
              </w:rPr>
            </w:pPr>
            <w:r>
              <w:rPr>
                <w:rFonts w:hint="eastAsia" w:hAnsi="宋体"/>
              </w:rPr>
              <w:t>6</w:t>
            </w:r>
          </w:p>
        </w:tc>
        <w:tc>
          <w:tcPr>
            <w:tcW w:w="1038" w:type="dxa"/>
            <w:vAlign w:val="center"/>
          </w:tcPr>
          <w:p w14:paraId="40512FD6">
            <w:pPr>
              <w:pStyle w:val="26"/>
              <w:spacing w:line="360" w:lineRule="auto"/>
              <w:jc w:val="center"/>
              <w:rPr>
                <w:rFonts w:hAnsi="宋体"/>
              </w:rPr>
            </w:pPr>
            <w:r>
              <w:rPr>
                <w:rFonts w:hint="eastAsia" w:hAnsi="宋体"/>
              </w:rPr>
              <w:t>4.8</w:t>
            </w:r>
          </w:p>
        </w:tc>
        <w:tc>
          <w:tcPr>
            <w:tcW w:w="1843" w:type="dxa"/>
            <w:vAlign w:val="center"/>
          </w:tcPr>
          <w:p w14:paraId="29B1E044">
            <w:pPr>
              <w:pStyle w:val="26"/>
              <w:spacing w:line="360" w:lineRule="auto"/>
              <w:jc w:val="center"/>
              <w:rPr>
                <w:rFonts w:hAnsi="宋体"/>
              </w:rPr>
            </w:pPr>
            <w:r>
              <w:rPr>
                <w:rFonts w:hint="eastAsia" w:hAnsi="宋体"/>
              </w:rPr>
              <w:t>联合体投标</w:t>
            </w:r>
          </w:p>
        </w:tc>
        <w:tc>
          <w:tcPr>
            <w:tcW w:w="6520" w:type="dxa"/>
          </w:tcPr>
          <w:p w14:paraId="30C9AE1E">
            <w:pPr>
              <w:pStyle w:val="26"/>
              <w:spacing w:line="360" w:lineRule="auto"/>
              <w:rPr>
                <w:rFonts w:hAnsi="宋体"/>
              </w:rPr>
            </w:pPr>
            <w:r>
              <w:rPr>
                <w:rFonts w:hint="eastAsia" w:hAnsi="宋体"/>
              </w:rPr>
              <w:t>不接受</w:t>
            </w:r>
          </w:p>
        </w:tc>
      </w:tr>
      <w:tr w14:paraId="46D56781">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14:paraId="4879253B">
            <w:pPr>
              <w:pStyle w:val="26"/>
              <w:spacing w:line="360" w:lineRule="auto"/>
              <w:jc w:val="center"/>
              <w:rPr>
                <w:rFonts w:hAnsi="宋体"/>
              </w:rPr>
            </w:pPr>
            <w:r>
              <w:rPr>
                <w:rFonts w:hint="eastAsia" w:hAnsi="宋体"/>
              </w:rPr>
              <w:t>7</w:t>
            </w:r>
          </w:p>
        </w:tc>
        <w:tc>
          <w:tcPr>
            <w:tcW w:w="1038" w:type="dxa"/>
            <w:vAlign w:val="center"/>
          </w:tcPr>
          <w:p w14:paraId="3AACB460">
            <w:pPr>
              <w:pStyle w:val="26"/>
              <w:spacing w:line="360" w:lineRule="auto"/>
              <w:jc w:val="center"/>
              <w:rPr>
                <w:rFonts w:hAnsi="宋体"/>
              </w:rPr>
            </w:pPr>
            <w:r>
              <w:rPr>
                <w:rFonts w:hint="eastAsia" w:hAnsi="宋体"/>
              </w:rPr>
              <w:t>6.1</w:t>
            </w:r>
          </w:p>
        </w:tc>
        <w:tc>
          <w:tcPr>
            <w:tcW w:w="1843" w:type="dxa"/>
            <w:vAlign w:val="center"/>
          </w:tcPr>
          <w:p w14:paraId="5AB16E4E">
            <w:pPr>
              <w:pStyle w:val="26"/>
              <w:spacing w:line="360" w:lineRule="auto"/>
              <w:jc w:val="center"/>
              <w:rPr>
                <w:rFonts w:hAnsi="宋体"/>
              </w:rPr>
            </w:pPr>
            <w:r>
              <w:rPr>
                <w:rFonts w:hint="eastAsia" w:hAnsi="宋体"/>
              </w:rPr>
              <w:t>踏勘现场</w:t>
            </w:r>
          </w:p>
        </w:tc>
        <w:tc>
          <w:tcPr>
            <w:tcW w:w="6520" w:type="dxa"/>
          </w:tcPr>
          <w:p w14:paraId="5B0F59BD">
            <w:pPr>
              <w:pStyle w:val="26"/>
              <w:spacing w:line="360" w:lineRule="auto"/>
              <w:rPr>
                <w:rFonts w:hAnsi="宋体"/>
              </w:rPr>
            </w:pPr>
            <w:r>
              <w:rPr>
                <w:rFonts w:hint="eastAsia" w:hAnsi="宋体"/>
              </w:rPr>
              <w:t>不统一组织</w:t>
            </w:r>
            <w:r>
              <w:rPr>
                <w:rFonts w:hint="eastAsia"/>
                <w:snapToGrid w:val="0"/>
              </w:rPr>
              <w:t>，由各投标人自行查看现场。</w:t>
            </w:r>
          </w:p>
        </w:tc>
      </w:tr>
      <w:tr w14:paraId="0D897BE4">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14:paraId="57286074">
            <w:pPr>
              <w:pStyle w:val="26"/>
              <w:spacing w:line="360" w:lineRule="auto"/>
              <w:jc w:val="center"/>
              <w:rPr>
                <w:rFonts w:hAnsi="宋体"/>
              </w:rPr>
            </w:pPr>
            <w:r>
              <w:rPr>
                <w:rFonts w:hint="eastAsia" w:hAnsi="宋体"/>
              </w:rPr>
              <w:t>8</w:t>
            </w:r>
          </w:p>
        </w:tc>
        <w:tc>
          <w:tcPr>
            <w:tcW w:w="1038" w:type="dxa"/>
            <w:vAlign w:val="center"/>
          </w:tcPr>
          <w:p w14:paraId="7FCD3148">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14:paraId="5D31EB1B">
            <w:pPr>
              <w:pStyle w:val="26"/>
              <w:spacing w:line="360" w:lineRule="auto"/>
              <w:jc w:val="center"/>
              <w:rPr>
                <w:rFonts w:hAnsi="宋体"/>
              </w:rPr>
            </w:pPr>
            <w:r>
              <w:rPr>
                <w:rFonts w:hint="eastAsia" w:hAnsi="宋体"/>
              </w:rPr>
              <w:t>投标有效期</w:t>
            </w:r>
          </w:p>
        </w:tc>
        <w:tc>
          <w:tcPr>
            <w:tcW w:w="6520" w:type="dxa"/>
          </w:tcPr>
          <w:p w14:paraId="1A8093E5">
            <w:pPr>
              <w:pStyle w:val="26"/>
              <w:spacing w:line="360" w:lineRule="auto"/>
              <w:rPr>
                <w:rFonts w:hAnsi="宋体"/>
              </w:rPr>
            </w:pPr>
            <w:r>
              <w:rPr>
                <w:rFonts w:hint="eastAsia" w:hAnsi="宋体"/>
              </w:rPr>
              <w:t>90</w:t>
            </w:r>
            <w:r>
              <w:rPr>
                <w:rFonts w:hAnsi="宋体"/>
              </w:rPr>
              <w:t>日历天（从投标截止之日算起）</w:t>
            </w:r>
          </w:p>
        </w:tc>
      </w:tr>
      <w:tr w14:paraId="0EB212DE">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14:paraId="13F9C4C8">
            <w:pPr>
              <w:pStyle w:val="26"/>
              <w:spacing w:line="360" w:lineRule="auto"/>
              <w:jc w:val="center"/>
              <w:rPr>
                <w:rFonts w:hAnsi="宋体"/>
              </w:rPr>
            </w:pPr>
            <w:r>
              <w:rPr>
                <w:rFonts w:hint="eastAsia" w:hAnsi="宋体"/>
              </w:rPr>
              <w:t>9</w:t>
            </w:r>
          </w:p>
        </w:tc>
        <w:tc>
          <w:tcPr>
            <w:tcW w:w="1038" w:type="dxa"/>
            <w:vAlign w:val="center"/>
          </w:tcPr>
          <w:p w14:paraId="50E78A95">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14:paraId="096A43A0">
            <w:pPr>
              <w:pStyle w:val="26"/>
              <w:spacing w:line="360" w:lineRule="auto"/>
              <w:jc w:val="center"/>
              <w:rPr>
                <w:rFonts w:hAnsi="宋体"/>
              </w:rPr>
            </w:pPr>
            <w:r>
              <w:rPr>
                <w:rFonts w:hint="eastAsia" w:hAnsi="宋体"/>
              </w:rPr>
              <w:t>投标保证金</w:t>
            </w:r>
          </w:p>
        </w:tc>
        <w:tc>
          <w:tcPr>
            <w:tcW w:w="6520" w:type="dxa"/>
            <w:vAlign w:val="center"/>
          </w:tcPr>
          <w:p w14:paraId="64DADFF0">
            <w:pPr>
              <w:tabs>
                <w:tab w:val="left" w:pos="915"/>
              </w:tabs>
              <w:spacing w:line="360" w:lineRule="exact"/>
              <w:rPr>
                <w:rFonts w:hAnsi="宋体"/>
              </w:rPr>
            </w:pPr>
            <w:r>
              <w:rPr>
                <w:rFonts w:hint="eastAsia" w:hAnsi="宋体"/>
              </w:rPr>
              <w:t>不要求向采购代理机构提交</w:t>
            </w:r>
          </w:p>
        </w:tc>
      </w:tr>
      <w:tr w14:paraId="60201703">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14:paraId="04E252AF">
            <w:pPr>
              <w:pStyle w:val="26"/>
              <w:spacing w:line="360" w:lineRule="auto"/>
              <w:jc w:val="center"/>
              <w:rPr>
                <w:rFonts w:hAnsi="宋体"/>
              </w:rPr>
            </w:pPr>
            <w:r>
              <w:rPr>
                <w:rFonts w:hint="eastAsia" w:hAnsi="宋体"/>
              </w:rPr>
              <w:t>10</w:t>
            </w:r>
          </w:p>
        </w:tc>
        <w:tc>
          <w:tcPr>
            <w:tcW w:w="1038" w:type="dxa"/>
            <w:vAlign w:val="center"/>
          </w:tcPr>
          <w:p w14:paraId="33F18215">
            <w:pPr>
              <w:pStyle w:val="26"/>
              <w:spacing w:line="360" w:lineRule="auto"/>
              <w:jc w:val="center"/>
              <w:rPr>
                <w:rFonts w:hAnsi="宋体"/>
              </w:rPr>
            </w:pPr>
            <w:r>
              <w:rPr>
                <w:rFonts w:hint="eastAsia" w:hAnsi="宋体"/>
              </w:rPr>
              <w:t>16.1</w:t>
            </w:r>
          </w:p>
        </w:tc>
        <w:tc>
          <w:tcPr>
            <w:tcW w:w="1843" w:type="dxa"/>
            <w:vAlign w:val="center"/>
          </w:tcPr>
          <w:p w14:paraId="7EDF4FD1">
            <w:pPr>
              <w:pStyle w:val="26"/>
              <w:spacing w:line="360" w:lineRule="auto"/>
              <w:jc w:val="center"/>
              <w:rPr>
                <w:rFonts w:hAnsi="宋体"/>
              </w:rPr>
            </w:pPr>
            <w:r>
              <w:rPr>
                <w:rFonts w:hint="eastAsia" w:hAnsi="宋体"/>
              </w:rPr>
              <w:t>投标预备会</w:t>
            </w:r>
          </w:p>
          <w:p w14:paraId="5F79DCFF">
            <w:pPr>
              <w:pStyle w:val="26"/>
              <w:spacing w:line="360" w:lineRule="auto"/>
              <w:jc w:val="center"/>
              <w:rPr>
                <w:rFonts w:hAnsi="宋体"/>
              </w:rPr>
            </w:pPr>
            <w:r>
              <w:rPr>
                <w:rFonts w:hint="eastAsia" w:hAnsi="宋体"/>
              </w:rPr>
              <w:t>（答疑会）</w:t>
            </w:r>
          </w:p>
        </w:tc>
        <w:tc>
          <w:tcPr>
            <w:tcW w:w="6520" w:type="dxa"/>
            <w:vAlign w:val="center"/>
          </w:tcPr>
          <w:p w14:paraId="0E811331">
            <w:pPr>
              <w:pStyle w:val="26"/>
              <w:spacing w:line="360" w:lineRule="auto"/>
              <w:rPr>
                <w:rFonts w:hAnsi="宋体"/>
              </w:rPr>
            </w:pPr>
            <w:r>
              <w:rPr>
                <w:rFonts w:hint="eastAsia" w:hAnsi="宋体"/>
              </w:rPr>
              <w:t>不召开</w:t>
            </w:r>
          </w:p>
        </w:tc>
      </w:tr>
      <w:tr w14:paraId="6F218958">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14:paraId="37D78EF2">
            <w:pPr>
              <w:pStyle w:val="26"/>
              <w:spacing w:line="360" w:lineRule="auto"/>
              <w:jc w:val="center"/>
              <w:rPr>
                <w:rFonts w:hAnsi="宋体"/>
              </w:rPr>
            </w:pPr>
            <w:r>
              <w:rPr>
                <w:rFonts w:hint="eastAsia" w:hAnsi="宋体"/>
              </w:rPr>
              <w:t>11</w:t>
            </w:r>
          </w:p>
        </w:tc>
        <w:tc>
          <w:tcPr>
            <w:tcW w:w="1038" w:type="dxa"/>
            <w:vAlign w:val="center"/>
          </w:tcPr>
          <w:p w14:paraId="390D6255">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14:paraId="711E476A">
            <w:pPr>
              <w:pStyle w:val="26"/>
              <w:spacing w:line="360" w:lineRule="auto"/>
              <w:jc w:val="center"/>
              <w:rPr>
                <w:rFonts w:hAnsi="宋体"/>
              </w:rPr>
            </w:pPr>
            <w:r>
              <w:rPr>
                <w:rFonts w:hint="eastAsia" w:hAnsi="宋体"/>
              </w:rPr>
              <w:t>各包组</w:t>
            </w:r>
          </w:p>
          <w:p w14:paraId="17C324C7">
            <w:pPr>
              <w:pStyle w:val="26"/>
              <w:spacing w:line="360" w:lineRule="auto"/>
              <w:jc w:val="center"/>
              <w:rPr>
                <w:rFonts w:hAnsi="宋体"/>
              </w:rPr>
            </w:pPr>
            <w:r>
              <w:rPr>
                <w:rFonts w:hint="eastAsia" w:hAnsi="宋体"/>
              </w:rPr>
              <w:t>投标文件份数</w:t>
            </w:r>
          </w:p>
        </w:tc>
        <w:tc>
          <w:tcPr>
            <w:tcW w:w="6520" w:type="dxa"/>
          </w:tcPr>
          <w:p w14:paraId="64FBB8D7">
            <w:pPr>
              <w:pStyle w:val="26"/>
              <w:spacing w:line="360" w:lineRule="auto"/>
              <w:rPr>
                <w:rFonts w:hAnsi="宋体"/>
              </w:rPr>
            </w:pPr>
            <w:r>
              <w:rPr>
                <w:rFonts w:asciiTheme="minorEastAsia" w:hAnsiTheme="minorEastAsia" w:eastAsiaTheme="minorEastAsia"/>
              </w:rPr>
              <w:t xml:space="preserve">正本1份，副本 </w:t>
            </w:r>
            <w:r>
              <w:rPr>
                <w:rFonts w:hint="eastAsia" w:asciiTheme="minorEastAsia" w:hAnsiTheme="minorEastAsia" w:eastAsiaTheme="minorEastAsia"/>
              </w:rPr>
              <w:t>5</w:t>
            </w:r>
            <w:r>
              <w:rPr>
                <w:rFonts w:asciiTheme="minorEastAsia" w:hAnsiTheme="minorEastAsia" w:eastAsiaTheme="minorEastAsia"/>
              </w:rPr>
              <w:t xml:space="preserve"> 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（含投标文件正本盖章扫描件及投标文件WORD文档），</w:t>
            </w:r>
            <w:r>
              <w:rPr>
                <w:rFonts w:hint="eastAsia" w:asciiTheme="minorEastAsia" w:hAnsiTheme="minorEastAsia" w:eastAsiaTheme="minorEastAsia"/>
                <w:snapToGrid w:val="0"/>
                <w:kern w:val="0"/>
              </w:rPr>
              <w:t>投标文件正本和副本必须标注页码并装订成册。</w:t>
            </w:r>
          </w:p>
        </w:tc>
      </w:tr>
      <w:tr w14:paraId="3BB6924B">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14:paraId="5A79D481">
            <w:pPr>
              <w:pStyle w:val="26"/>
              <w:spacing w:line="360" w:lineRule="auto"/>
              <w:jc w:val="center"/>
              <w:rPr>
                <w:rFonts w:hAnsi="宋体"/>
              </w:rPr>
            </w:pPr>
            <w:r>
              <w:rPr>
                <w:rFonts w:hint="eastAsia" w:hAnsi="宋体"/>
              </w:rPr>
              <w:t>12</w:t>
            </w:r>
          </w:p>
        </w:tc>
        <w:tc>
          <w:tcPr>
            <w:tcW w:w="1038" w:type="dxa"/>
            <w:vAlign w:val="center"/>
          </w:tcPr>
          <w:p w14:paraId="2F93A7AC">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14:paraId="1B588570">
            <w:pPr>
              <w:pStyle w:val="26"/>
              <w:spacing w:line="360" w:lineRule="auto"/>
              <w:jc w:val="center"/>
              <w:rPr>
                <w:rFonts w:hAnsi="宋体"/>
              </w:rPr>
            </w:pPr>
            <w:r>
              <w:rPr>
                <w:rFonts w:hint="eastAsia" w:hAnsi="宋体"/>
              </w:rPr>
              <w:t>开标</w:t>
            </w:r>
          </w:p>
        </w:tc>
        <w:tc>
          <w:tcPr>
            <w:tcW w:w="6520" w:type="dxa"/>
          </w:tcPr>
          <w:p w14:paraId="44DE8A72">
            <w:pPr>
              <w:pStyle w:val="26"/>
              <w:spacing w:line="360" w:lineRule="auto"/>
              <w:rPr>
                <w:rFonts w:hAnsi="宋体"/>
              </w:rPr>
            </w:pPr>
            <w:r>
              <w:rPr>
                <w:rFonts w:hint="eastAsia" w:hAnsi="宋体"/>
                <w:szCs w:val="21"/>
              </w:rPr>
              <w:t>详见《第一章 投标邀请》</w:t>
            </w:r>
          </w:p>
        </w:tc>
      </w:tr>
      <w:tr w14:paraId="37B3F847">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14:paraId="501F83D5">
            <w:pPr>
              <w:pStyle w:val="26"/>
              <w:spacing w:line="360" w:lineRule="auto"/>
              <w:jc w:val="center"/>
              <w:rPr>
                <w:rFonts w:hAnsi="宋体"/>
              </w:rPr>
            </w:pPr>
            <w:r>
              <w:rPr>
                <w:rFonts w:hint="eastAsia" w:hAnsi="宋体"/>
              </w:rPr>
              <w:t>13</w:t>
            </w:r>
          </w:p>
        </w:tc>
        <w:tc>
          <w:tcPr>
            <w:tcW w:w="1038" w:type="dxa"/>
            <w:vAlign w:val="center"/>
          </w:tcPr>
          <w:p w14:paraId="2F8A5DD0">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14:paraId="0FD79566">
            <w:pPr>
              <w:pStyle w:val="26"/>
              <w:spacing w:line="360" w:lineRule="auto"/>
              <w:jc w:val="center"/>
              <w:rPr>
                <w:rFonts w:hAnsi="宋体"/>
              </w:rPr>
            </w:pPr>
            <w:r>
              <w:rPr>
                <w:rFonts w:hint="eastAsia" w:hAnsi="宋体"/>
              </w:rPr>
              <w:t>投标截止时间</w:t>
            </w:r>
          </w:p>
        </w:tc>
        <w:tc>
          <w:tcPr>
            <w:tcW w:w="6520" w:type="dxa"/>
          </w:tcPr>
          <w:p w14:paraId="5C1EDF4E">
            <w:pPr>
              <w:pStyle w:val="26"/>
              <w:spacing w:line="360" w:lineRule="auto"/>
              <w:rPr>
                <w:rFonts w:hAnsi="宋体"/>
                <w:b/>
              </w:rPr>
            </w:pPr>
            <w:r>
              <w:rPr>
                <w:rFonts w:hint="eastAsia" w:hAnsi="宋体"/>
                <w:szCs w:val="21"/>
              </w:rPr>
              <w:t>详见《第一章 投标邀请》</w:t>
            </w:r>
          </w:p>
        </w:tc>
      </w:tr>
      <w:tr w14:paraId="1BCB169F">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14:paraId="526486C4">
            <w:pPr>
              <w:pStyle w:val="26"/>
              <w:spacing w:line="360" w:lineRule="auto"/>
              <w:jc w:val="center"/>
              <w:rPr>
                <w:rFonts w:hAnsi="宋体"/>
              </w:rPr>
            </w:pPr>
            <w:r>
              <w:rPr>
                <w:rFonts w:hint="eastAsia" w:hAnsi="宋体"/>
              </w:rPr>
              <w:t>14</w:t>
            </w:r>
          </w:p>
        </w:tc>
        <w:tc>
          <w:tcPr>
            <w:tcW w:w="1038" w:type="dxa"/>
            <w:vAlign w:val="center"/>
          </w:tcPr>
          <w:p w14:paraId="426C6AB2">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14:paraId="41DBDBEA">
            <w:pPr>
              <w:pStyle w:val="26"/>
              <w:spacing w:line="360" w:lineRule="auto"/>
              <w:jc w:val="center"/>
              <w:rPr>
                <w:rFonts w:hAnsi="宋体"/>
              </w:rPr>
            </w:pPr>
            <w:r>
              <w:rPr>
                <w:rFonts w:hint="eastAsia" w:hAnsi="宋体"/>
              </w:rPr>
              <w:t>评标办法</w:t>
            </w:r>
          </w:p>
        </w:tc>
        <w:tc>
          <w:tcPr>
            <w:tcW w:w="6520" w:type="dxa"/>
          </w:tcPr>
          <w:p w14:paraId="4146ED08">
            <w:pPr>
              <w:pStyle w:val="26"/>
              <w:spacing w:line="360" w:lineRule="auto"/>
              <w:rPr>
                <w:rFonts w:hAnsi="宋体"/>
              </w:rPr>
            </w:pPr>
            <w:r>
              <w:rPr>
                <w:rFonts w:hint="eastAsia" w:hAnsi="宋体"/>
              </w:rPr>
              <w:t>综合评分法</w:t>
            </w:r>
          </w:p>
        </w:tc>
      </w:tr>
      <w:tr w14:paraId="7B061272">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14:paraId="5CD9EDC2">
            <w:pPr>
              <w:pStyle w:val="26"/>
              <w:spacing w:line="360" w:lineRule="auto"/>
              <w:jc w:val="center"/>
              <w:rPr>
                <w:rFonts w:hAnsi="宋体"/>
              </w:rPr>
            </w:pPr>
            <w:r>
              <w:rPr>
                <w:rFonts w:hint="eastAsia" w:hAnsi="宋体"/>
              </w:rPr>
              <w:t>15</w:t>
            </w:r>
          </w:p>
        </w:tc>
        <w:tc>
          <w:tcPr>
            <w:tcW w:w="1038" w:type="dxa"/>
            <w:vAlign w:val="center"/>
          </w:tcPr>
          <w:p w14:paraId="5BE2C185">
            <w:pPr>
              <w:pStyle w:val="26"/>
              <w:spacing w:line="360" w:lineRule="auto"/>
              <w:jc w:val="center"/>
              <w:rPr>
                <w:rFonts w:hAnsi="宋体"/>
              </w:rPr>
            </w:pPr>
            <w:r>
              <w:rPr>
                <w:rFonts w:hint="eastAsia" w:hAnsi="宋体"/>
              </w:rPr>
              <w:t>33</w:t>
            </w:r>
            <w:r>
              <w:rPr>
                <w:rFonts w:hAnsi="宋体"/>
              </w:rPr>
              <w:t>.1</w:t>
            </w:r>
          </w:p>
        </w:tc>
        <w:tc>
          <w:tcPr>
            <w:tcW w:w="1843" w:type="dxa"/>
            <w:vAlign w:val="center"/>
          </w:tcPr>
          <w:p w14:paraId="0E020D24">
            <w:pPr>
              <w:pStyle w:val="26"/>
              <w:spacing w:line="360" w:lineRule="auto"/>
              <w:jc w:val="center"/>
              <w:rPr>
                <w:snapToGrid w:val="0"/>
                <w:kern w:val="0"/>
              </w:rPr>
            </w:pPr>
            <w:r>
              <w:rPr>
                <w:rFonts w:hint="eastAsia"/>
                <w:snapToGrid w:val="0"/>
                <w:kern w:val="0"/>
              </w:rPr>
              <w:t>履约保证金</w:t>
            </w:r>
          </w:p>
        </w:tc>
        <w:tc>
          <w:tcPr>
            <w:tcW w:w="6520" w:type="dxa"/>
          </w:tcPr>
          <w:p w14:paraId="48C04875">
            <w:pPr>
              <w:pStyle w:val="26"/>
              <w:spacing w:line="360" w:lineRule="auto"/>
              <w:rPr>
                <w:rFonts w:hAnsi="宋体"/>
              </w:rPr>
            </w:pPr>
            <w:r>
              <w:rPr>
                <w:rFonts w:hint="eastAsia"/>
                <w:snapToGrid w:val="0"/>
                <w:kern w:val="0"/>
              </w:rPr>
              <w:t>按签订的合同条款执行</w:t>
            </w:r>
          </w:p>
        </w:tc>
      </w:tr>
      <w:tr w14:paraId="3A931C93">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14:paraId="2796323C">
            <w:pPr>
              <w:pStyle w:val="26"/>
              <w:spacing w:line="360" w:lineRule="auto"/>
              <w:jc w:val="center"/>
              <w:rPr>
                <w:rFonts w:hAnsi="宋体"/>
              </w:rPr>
            </w:pPr>
            <w:r>
              <w:rPr>
                <w:rFonts w:hint="eastAsia" w:hAnsi="宋体"/>
              </w:rPr>
              <w:t>16</w:t>
            </w:r>
          </w:p>
        </w:tc>
        <w:tc>
          <w:tcPr>
            <w:tcW w:w="1038" w:type="dxa"/>
            <w:vAlign w:val="center"/>
          </w:tcPr>
          <w:p w14:paraId="648D359B">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14:paraId="57425E7C">
            <w:pPr>
              <w:pStyle w:val="26"/>
              <w:spacing w:line="360" w:lineRule="auto"/>
              <w:jc w:val="center"/>
              <w:rPr>
                <w:rFonts w:hAnsi="宋体"/>
              </w:rPr>
            </w:pPr>
            <w:r>
              <w:rPr>
                <w:rFonts w:hint="eastAsia" w:hAnsi="宋体"/>
              </w:rPr>
              <w:t>中标服务费</w:t>
            </w:r>
          </w:p>
        </w:tc>
        <w:tc>
          <w:tcPr>
            <w:tcW w:w="6520" w:type="dxa"/>
          </w:tcPr>
          <w:p w14:paraId="42A4FCA8">
            <w:pPr>
              <w:pStyle w:val="26"/>
              <w:spacing w:line="360" w:lineRule="auto"/>
              <w:rPr>
                <w:rFonts w:asciiTheme="minorEastAsia" w:hAnsiTheme="minorEastAsia" w:eastAsiaTheme="minorEastAsia"/>
                <w:szCs w:val="21"/>
              </w:rPr>
            </w:pPr>
            <w:r>
              <w:rPr>
                <w:rFonts w:hint="eastAsia" w:asciiTheme="minorEastAsia" w:hAnsiTheme="minorEastAsia" w:eastAsiaTheme="minorEastAsia"/>
                <w:szCs w:val="21"/>
              </w:rPr>
              <w:t>按深财购[2018]27号文件规定的代理费用参考标准，向中标供应商收取中标服务费，具体如下：</w:t>
            </w:r>
          </w:p>
          <w:p w14:paraId="4EC7E89C">
            <w:pPr>
              <w:pStyle w:val="26"/>
              <w:spacing w:line="360" w:lineRule="auto"/>
              <w:rPr>
                <w:rFonts w:asciiTheme="minorEastAsia" w:hAnsiTheme="minorEastAsia" w:eastAsiaTheme="minorEastAsia"/>
              </w:rPr>
            </w:pPr>
            <w:r>
              <w:rPr>
                <w:rFonts w:hint="eastAsia" w:hAnsi="宋体" w:cs="MS Mincho"/>
                <w:sz w:val="24"/>
                <w:szCs w:val="24"/>
                <w:lang w:eastAsia="zh-CN"/>
              </w:rPr>
              <w:t>□</w:t>
            </w:r>
            <w:r>
              <w:rPr>
                <w:rFonts w:hint="eastAsia" w:asciiTheme="minorEastAsia" w:hAnsiTheme="minorEastAsia" w:eastAsiaTheme="minorEastAsia"/>
              </w:rPr>
              <w:t>各包组</w:t>
            </w:r>
            <w:r>
              <w:rPr>
                <w:rFonts w:hint="eastAsia" w:asciiTheme="minorEastAsia" w:hAnsiTheme="minorEastAsia" w:eastAsiaTheme="minorEastAsia"/>
                <w:szCs w:val="21"/>
              </w:rPr>
              <w:t>以中标金额作为计算依据</w:t>
            </w:r>
            <w:r>
              <w:rPr>
                <w:rFonts w:hint="eastAsia" w:asciiTheme="minorEastAsia" w:hAnsiTheme="minorEastAsia" w:eastAsiaTheme="minorEastAsia"/>
              </w:rPr>
              <w:t>，费用下浮</w:t>
            </w:r>
            <w:r>
              <w:rPr>
                <w:rFonts w:hint="eastAsia" w:asciiTheme="minorEastAsia" w:hAnsiTheme="minorEastAsia" w:eastAsiaTheme="minorEastAsia"/>
                <w:u w:val="single"/>
              </w:rPr>
              <w:t xml:space="preserve">  0  </w:t>
            </w:r>
            <w:r>
              <w:rPr>
                <w:rFonts w:hint="eastAsia" w:asciiTheme="minorEastAsia" w:hAnsiTheme="minorEastAsia" w:eastAsiaTheme="minorEastAsia"/>
              </w:rPr>
              <w:t>%，最低收取人民币7000元。</w:t>
            </w:r>
          </w:p>
          <w:p w14:paraId="6D7DC9D6">
            <w:pPr>
              <w:pStyle w:val="26"/>
              <w:spacing w:line="360" w:lineRule="auto"/>
              <w:rPr>
                <w:rFonts w:hAnsi="宋体"/>
              </w:rPr>
            </w:pPr>
            <w:r>
              <w:rPr>
                <w:rFonts w:hint="eastAsia" w:hAnsi="宋体"/>
                <w:lang w:eastAsia="zh-CN"/>
              </w:rPr>
              <w:t>☑</w:t>
            </w:r>
            <w:r>
              <w:rPr>
                <w:rFonts w:hint="eastAsia" w:asciiTheme="minorEastAsia" w:hAnsiTheme="minorEastAsia" w:eastAsiaTheme="minorEastAsia"/>
              </w:rPr>
              <w:t>各包组</w:t>
            </w:r>
            <w:r>
              <w:rPr>
                <w:rFonts w:hint="eastAsia" w:asciiTheme="minorEastAsia" w:hAnsiTheme="minorEastAsia" w:eastAsiaTheme="minorEastAsia"/>
                <w:szCs w:val="21"/>
              </w:rPr>
              <w:t>以预算金额（支付上限）作为计算依据</w:t>
            </w:r>
            <w:r>
              <w:rPr>
                <w:rFonts w:hint="eastAsia" w:asciiTheme="minorEastAsia" w:hAnsiTheme="minorEastAsia" w:eastAsiaTheme="minorEastAsia"/>
              </w:rPr>
              <w:t>，费用下浮</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20</w:t>
            </w:r>
            <w:r>
              <w:rPr>
                <w:rFonts w:hint="eastAsia" w:asciiTheme="minorEastAsia" w:hAnsiTheme="minorEastAsia" w:eastAsiaTheme="minorEastAsia"/>
                <w:u w:val="single"/>
              </w:rPr>
              <w:t xml:space="preserve">  </w:t>
            </w:r>
            <w:r>
              <w:rPr>
                <w:rFonts w:hint="eastAsia" w:asciiTheme="minorEastAsia" w:hAnsiTheme="minorEastAsia" w:eastAsiaTheme="minorEastAsia"/>
              </w:rPr>
              <w:t>%，最低收取人民币</w:t>
            </w:r>
            <w:r>
              <w:rPr>
                <w:rFonts w:hint="eastAsia" w:asciiTheme="minorEastAsia" w:hAnsiTheme="minorEastAsia" w:eastAsiaTheme="minorEastAsia"/>
                <w:lang w:val="en-US" w:eastAsia="zh-CN"/>
              </w:rPr>
              <w:t>5</w:t>
            </w:r>
            <w:r>
              <w:rPr>
                <w:rFonts w:hint="eastAsia" w:asciiTheme="minorEastAsia" w:hAnsiTheme="minorEastAsia" w:eastAsiaTheme="minorEastAsia"/>
              </w:rPr>
              <w:t>000元。</w:t>
            </w:r>
          </w:p>
        </w:tc>
      </w:tr>
    </w:tbl>
    <w:p w14:paraId="1241654E">
      <w:pPr>
        <w:pStyle w:val="3"/>
        <w:spacing w:before="0" w:after="0"/>
        <w:rPr>
          <w:sz w:val="21"/>
          <w:szCs w:val="21"/>
        </w:rPr>
      </w:pPr>
    </w:p>
    <w:p w14:paraId="20216557">
      <w:pPr>
        <w:rPr>
          <w:rFonts w:eastAsiaTheme="minorEastAsia"/>
          <w:kern w:val="44"/>
        </w:rPr>
      </w:pPr>
      <w:r>
        <w:rPr>
          <w:szCs w:val="21"/>
        </w:rPr>
        <w:br w:type="page"/>
      </w:r>
    </w:p>
    <w:p w14:paraId="33238B23">
      <w:pPr>
        <w:pStyle w:val="3"/>
        <w:spacing w:before="0" w:after="0"/>
        <w:rPr>
          <w:sz w:val="21"/>
          <w:szCs w:val="21"/>
        </w:rPr>
      </w:pPr>
    </w:p>
    <w:p w14:paraId="38F9D39E">
      <w:pPr>
        <w:pStyle w:val="3"/>
      </w:pPr>
      <w:bookmarkStart w:id="18" w:name="_Toc115096781"/>
      <w:r>
        <w:rPr>
          <w:rFonts w:hint="eastAsia"/>
        </w:rPr>
        <w:t>第六章  投标人须知</w:t>
      </w:r>
      <w:bookmarkEnd w:id="18"/>
    </w:p>
    <w:p w14:paraId="6E52D4D4">
      <w:pPr>
        <w:pStyle w:val="2"/>
        <w:spacing w:before="0" w:after="0"/>
      </w:pPr>
      <w:bookmarkStart w:id="19" w:name="_Toc115096782"/>
      <w:r>
        <w:rPr>
          <w:rFonts w:hint="eastAsia"/>
        </w:rPr>
        <w:t>一、说</w:t>
      </w:r>
      <w:r>
        <w:t xml:space="preserve">  </w:t>
      </w:r>
      <w:r>
        <w:rPr>
          <w:rFonts w:hint="eastAsia"/>
        </w:rPr>
        <w:t>明</w:t>
      </w:r>
      <w:bookmarkEnd w:id="19"/>
    </w:p>
    <w:p w14:paraId="5F14AB98">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14:paraId="1A48AE50">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14:paraId="6D367558">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及有关招投标法规、规章、规定，通过招标来择优选定供应商。</w:t>
      </w:r>
    </w:p>
    <w:p w14:paraId="5135A1CD">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14:paraId="13611A77">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”系指前附表第2项所述。</w:t>
      </w:r>
    </w:p>
    <w:p w14:paraId="668E65E1">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”系前附表第3项所述。</w:t>
      </w:r>
    </w:p>
    <w:p w14:paraId="25710384">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“投标人”系指向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提交投标文件的供应商。</w:t>
      </w:r>
    </w:p>
    <w:p w14:paraId="1DC0E35B">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“货物”系指投标人按招标文件规定，向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w:t>
      </w:r>
    </w:p>
    <w:p w14:paraId="0060C7D3">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提供的设备及材料的安装。</w:t>
      </w:r>
    </w:p>
    <w:p w14:paraId="01558EE8">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提供符合方案的服务。</w:t>
      </w:r>
    </w:p>
    <w:p w14:paraId="5EA6AC55">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14:paraId="49D1527F">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14:paraId="0D23B353">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14:paraId="3C96269A">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14:paraId="439ABAB3">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14:paraId="5CF4C09B">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14:paraId="466EBFD4">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14:paraId="56146B3F">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14:paraId="1EBD0EB3">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14:paraId="03CC26CD">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14:paraId="54EF25F4">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14:paraId="110E1F25">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14:paraId="1F7A07A5">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14:paraId="5973E245">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14:paraId="253E3FA3">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14:paraId="6A217A7F">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14:paraId="7B6B21CF">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14:paraId="77D113B8">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14:paraId="4411E80C">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14:paraId="4853983C">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14:paraId="5CA2A101">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（2）联合体中有同类资质的供应商按照联合体分工承担相同工作的，应当按照资质等级较低的供应商确定资质等级。</w:t>
      </w:r>
    </w:p>
    <w:p w14:paraId="3318C410">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（3）是否允许联合体参加投标，应当由采购人和采购代理机构根据项目的实际情况和潜在供应商的数量自主决定，如果决定接受联合体投标则应当在采购公告中明示。</w:t>
      </w:r>
    </w:p>
    <w:p w14:paraId="125427CA">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14:paraId="034EF8A9">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（5）投标人的投标文件及中标后签署的合同协议对联合体各方均具法律约束力。</w:t>
      </w:r>
    </w:p>
    <w:p w14:paraId="15C8AC45">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（6）联合体各方应当签订共同投标协议，明确约定各方拟承担的工作和责任，该共同投标协议应作为投标文件不可缺的组成部分。</w:t>
      </w:r>
    </w:p>
    <w:p w14:paraId="079468EA">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（7）联合体中标后，联合体各方应当共同与采购人签订合同，就中标项目向采购人承担连带责任。</w:t>
      </w:r>
    </w:p>
    <w:p w14:paraId="7701AF5D">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以联合体形式参加政府采购活动的，联合体各方不得再单独参加或者与其他供应商另外组成联合体参加同一合同项下的政府采购活动，出现上述情况者，其投标和与此有关的联合体、总包单位的投标将被拒绝。</w:t>
      </w:r>
    </w:p>
    <w:p w14:paraId="4D521C81">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（9）本次招标中“投标人”一词亦指联合体各方，《投标人须知前附表》另有规定或说明的除外。</w:t>
      </w:r>
    </w:p>
    <w:p w14:paraId="63BD427D">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14:paraId="04E6E1FF">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14:paraId="46342580">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14:paraId="5D56FE84">
      <w:pPr>
        <w:spacing w:line="360" w:lineRule="auto"/>
        <w:rPr>
          <w:rFonts w:asciiTheme="minorEastAsia" w:hAnsiTheme="minorEastAsia" w:eastAsiaTheme="minorEastAsia"/>
        </w:rPr>
      </w:pPr>
      <w:r>
        <w:rPr>
          <w:rFonts w:hint="eastAsia" w:asciiTheme="minorEastAsia" w:hAnsiTheme="minorEastAsia" w:eastAsiaTheme="minorEastAsia"/>
        </w:rPr>
        <w:t>6.1  本项目按前附表第7项的规定安排现场踏勘，以便投标人获取须自己负责的有关编制投标文件和签署合同所需的所有资料。踏勘现场所发生的费用由投标人自己承担。</w:t>
      </w:r>
    </w:p>
    <w:p w14:paraId="63934594">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对投标人由此而做出的推论、理解和结论概不负责。</w:t>
      </w:r>
    </w:p>
    <w:p w14:paraId="3FD5D7DB">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14:paraId="5B8C11C3">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14:paraId="37E87065">
      <w:pPr>
        <w:adjustRightInd w:val="0"/>
        <w:spacing w:line="360" w:lineRule="auto"/>
        <w:jc w:val="center"/>
        <w:rPr>
          <w:rFonts w:asciiTheme="minorEastAsia" w:hAnsiTheme="minorEastAsia" w:eastAsiaTheme="minorEastAsia"/>
          <w:b/>
          <w:snapToGrid w:val="0"/>
          <w:kern w:val="0"/>
        </w:rPr>
      </w:pPr>
      <w:bookmarkStart w:id="20" w:name="q5"/>
      <w:bookmarkEnd w:id="20"/>
    </w:p>
    <w:p w14:paraId="10216F2D">
      <w:pPr>
        <w:pStyle w:val="2"/>
        <w:spacing w:before="0" w:after="0"/>
      </w:pPr>
      <w:bookmarkStart w:id="21" w:name="_Toc115096783"/>
      <w:r>
        <w:rPr>
          <w:rFonts w:hint="eastAsia"/>
        </w:rPr>
        <w:t>二、招标文件说明</w:t>
      </w:r>
      <w:bookmarkEnd w:id="21"/>
    </w:p>
    <w:p w14:paraId="79256471">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14:paraId="0A27299F">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招标文件是用以阐明所需设备及服务的情况，以及招标、投标程序和相应的合同条款。招标文件由下述部分组成：</w:t>
      </w:r>
    </w:p>
    <w:p w14:paraId="249BF666">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14:paraId="187567CE">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14:paraId="10CC4E26">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14:paraId="71CE6999">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14:paraId="3388BAE1">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14:paraId="16C2B468">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14:paraId="1B829540">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14:paraId="0884E512">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14:paraId="3952AA5F">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14:paraId="4D01D1A8">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14:paraId="403F7291">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14:paraId="240742BC">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在投标截止日3日前，采购代理机构可主动或依据投标人要求澄清的问题修改招标文件，并以书面形式通知所有购买招标文件的每一投标人，对方在收到该通知后应立即以书面的形式予以确认。</w:t>
      </w:r>
    </w:p>
    <w:p w14:paraId="5C87A82D">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14:paraId="0D99A1FA">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14:paraId="580767FC">
      <w:pPr>
        <w:adjustRightInd w:val="0"/>
        <w:spacing w:line="360" w:lineRule="auto"/>
        <w:ind w:firstLine="600"/>
        <w:jc w:val="center"/>
        <w:rPr>
          <w:rFonts w:asciiTheme="minorEastAsia" w:hAnsiTheme="minorEastAsia" w:eastAsiaTheme="minorEastAsia"/>
          <w:b/>
          <w:snapToGrid w:val="0"/>
          <w:kern w:val="0"/>
        </w:rPr>
      </w:pPr>
    </w:p>
    <w:p w14:paraId="54D5FD5A">
      <w:pPr>
        <w:pStyle w:val="2"/>
        <w:spacing w:before="0" w:after="0"/>
      </w:pPr>
      <w:bookmarkStart w:id="22" w:name="q6"/>
      <w:bookmarkEnd w:id="22"/>
      <w:bookmarkStart w:id="23" w:name="_Toc115096784"/>
      <w:r>
        <w:rPr>
          <w:rFonts w:hint="eastAsia"/>
        </w:rPr>
        <w:t>三、投标文件的编写</w:t>
      </w:r>
      <w:bookmarkEnd w:id="23"/>
    </w:p>
    <w:p w14:paraId="2D95F53B">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14:paraId="290E75C6">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就投标交换的文件和往来的信件，应以中文书写。</w:t>
      </w:r>
    </w:p>
    <w:p w14:paraId="3BB911A8">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14:paraId="44C96C11">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14:paraId="13A20A8A">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14:paraId="6C3AB7D9">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14:paraId="0BD48400">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（2）政府采购违法行为风险知悉确认书</w:t>
      </w:r>
    </w:p>
    <w:p w14:paraId="2263BC0E">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（3）评标指引表</w:t>
      </w:r>
    </w:p>
    <w:p w14:paraId="7D43C6A3">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14:paraId="1DA1B389">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（5）法定代表人（负责人）证明书及授权委托书（投标文件格式2）</w:t>
      </w:r>
    </w:p>
    <w:p w14:paraId="0E2D11F1">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（6）投标函（投标文件格式3）</w:t>
      </w:r>
    </w:p>
    <w:p w14:paraId="2ECEF2CF">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14:paraId="077C2FDD">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（8）报价表（投标文件格式6）</w:t>
      </w:r>
    </w:p>
    <w:p w14:paraId="118E9FAB">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hint="eastAsia"/>
          <w:snapToGrid w:val="0"/>
          <w:kern w:val="0"/>
        </w:rPr>
        <w:t>服务方案</w:t>
      </w:r>
      <w:r>
        <w:rPr>
          <w:rFonts w:hint="eastAsia" w:asciiTheme="minorEastAsia" w:hAnsiTheme="minorEastAsia" w:eastAsiaTheme="minorEastAsia"/>
          <w:snapToGrid w:val="0"/>
          <w:kern w:val="0"/>
        </w:rPr>
        <w:t>（投标文件格式7）</w:t>
      </w:r>
    </w:p>
    <w:p w14:paraId="572F588D">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 xml:space="preserve"> （投标文件格式8）</w:t>
      </w:r>
    </w:p>
    <w:p w14:paraId="2F7F59F0">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（11）偏离表（投标文件格式9）</w:t>
      </w:r>
    </w:p>
    <w:p w14:paraId="456ECA8A">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（12）招标文件要求的其他资料或投标人认为需要补充的资料（投标文件格式10）</w:t>
      </w:r>
    </w:p>
    <w:p w14:paraId="243BD8A6">
      <w:pPr>
        <w:adjustRightInd w:val="0"/>
        <w:spacing w:line="360" w:lineRule="auto"/>
        <w:ind w:left="848" w:leftChars="99" w:hanging="640" w:hangingChars="305"/>
        <w:rPr>
          <w:rFonts w:asciiTheme="minorEastAsia" w:hAnsiTheme="minorEastAsia" w:eastAsiaTheme="minorEastAsia"/>
          <w:snapToGrid w:val="0"/>
          <w:kern w:val="0"/>
        </w:rPr>
      </w:pPr>
      <w:r>
        <w:rPr>
          <w:rFonts w:hint="eastAsia" w:asciiTheme="minorEastAsia" w:hAnsiTheme="minorEastAsia" w:eastAsiaTheme="minorEastAsia"/>
          <w:snapToGrid w:val="0"/>
          <w:kern w:val="0"/>
        </w:rPr>
        <w:t>（13）装有“法定代表人（负责人）证明书、法定代表人（负责人）授权委托书”和“开标一览表”单独密封的信封</w:t>
      </w:r>
    </w:p>
    <w:p w14:paraId="5F703B0B">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（含投标文件正本盖章扫描件及投标文件WORD文档）</w:t>
      </w:r>
      <w:r>
        <w:rPr>
          <w:rFonts w:hint="eastAsia" w:asciiTheme="minorEastAsia" w:hAnsiTheme="minorEastAsia" w:eastAsiaTheme="minorEastAsia"/>
          <w:snapToGrid w:val="0"/>
          <w:kern w:val="0"/>
        </w:rPr>
        <w:t>单独密封的信封</w:t>
      </w:r>
    </w:p>
    <w:p w14:paraId="4EBC9715">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14:paraId="71690A90">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14:paraId="488F6DF3">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14:paraId="694C25BA">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投标报价应以人民币为结算单位。</w:t>
      </w:r>
    </w:p>
    <w:p w14:paraId="0D08ABBF">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投标人应分别在招标文件所附的“开标一览表”（投标文件格式4）和“报价表”（投标文件格式5）上写明</w:t>
      </w:r>
      <w:r>
        <w:rPr>
          <w:rFonts w:hint="eastAsia"/>
          <w:snapToGrid w:val="0"/>
          <w:kern w:val="0"/>
        </w:rPr>
        <w:t>投标单价和投标总价</w:t>
      </w:r>
      <w:r>
        <w:rPr>
          <w:rFonts w:hint="eastAsia" w:asciiTheme="minorEastAsia" w:hAnsiTheme="minorEastAsia" w:eastAsiaTheme="minorEastAsia"/>
          <w:snapToGrid w:val="0"/>
          <w:kern w:val="0"/>
        </w:rPr>
        <w:t>。投标人对每种项目只允许有一个报价，采购代理机构不接受有任何选择的报价。</w:t>
      </w:r>
    </w:p>
    <w:p w14:paraId="631D7DC3">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14:paraId="1307D797">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14:paraId="28F1CE4B">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投标人必须提交证明其有资格进行投标，和中标后有能力履行合同的证明文件（投标文件格式1与格式7），作为投标文件的一部分。</w:t>
      </w:r>
    </w:p>
    <w:p w14:paraId="27586292">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14:paraId="515A2CD7">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14:paraId="21A9DC71">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既不要求也不允许其修改投标文件。</w:t>
      </w:r>
    </w:p>
    <w:p w14:paraId="5F49026A">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w:t>
      </w:r>
    </w:p>
    <w:p w14:paraId="65F0EDA7">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snapToGrid w:val="0"/>
          <w:kern w:val="0"/>
        </w:rPr>
        <w:t>以下有关投标保证金的条款仅适用于需要缴纳投标保证金的项目。是否需要缴纳投标保证金以《投标人须知前附表》中的规定或说明为准。</w:t>
      </w:r>
    </w:p>
    <w:p w14:paraId="152FBABC">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提交一笔不少于前附表第9项所规定的投标保证金。投标保证金为投标文件的组成部分之一。</w:t>
      </w:r>
    </w:p>
    <w:p w14:paraId="2182D906">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14:paraId="42654565">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14:paraId="69196E80">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14:paraId="784B08B8">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未中标的投标人的投标保证金，采购代理机构将在中标通知书发出且收到投标人的《投标保证金退还申请表》后5个工作日内退还。</w:t>
      </w:r>
    </w:p>
    <w:p w14:paraId="1A2AB352">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中标方的投标保证金，采购代理机构将在中标方签订合同并支付中标服务费后5个工作日内退还。</w:t>
      </w:r>
    </w:p>
    <w:p w14:paraId="5639FC29">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14:paraId="575F2994">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已递交了投标保证金的投标人放弃投标，而没有在投标保证金递交截止时间前书面通知采购代理机构的；</w:t>
      </w:r>
    </w:p>
    <w:p w14:paraId="197E0C33">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14:paraId="5A214982">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14:paraId="2D3B1972">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如果中标方未能做到：</w:t>
      </w:r>
    </w:p>
    <w:p w14:paraId="0475DC63">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14:paraId="2334B133">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14:paraId="6576D165">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14:paraId="792C29DF">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14:paraId="6C4C2D1A">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14:paraId="408A6F42">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另行书面通知的时间和地点，派出代表出席</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主持的投标预备会。</w:t>
      </w:r>
    </w:p>
    <w:p w14:paraId="04CCF079">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14:paraId="0C222158">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将做出澄清和解答。</w:t>
      </w:r>
    </w:p>
    <w:p w14:paraId="63E53C8C">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14:paraId="5698C0FD">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14:paraId="508729E1">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14:paraId="5E9EFB9F">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 </w:t>
      </w:r>
    </w:p>
    <w:p w14:paraId="4D6C292D">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w:t>
      </w:r>
    </w:p>
    <w:p w14:paraId="20C29FCF">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14:paraId="57D98CF0">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14:paraId="2C550AA8">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14:paraId="189C9636">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17.6  投标文件必须标注页码并装订成册。 </w:t>
      </w:r>
    </w:p>
    <w:p w14:paraId="068DC979">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17.7  投标文件不符合上述规定的，为无效投标。</w:t>
      </w:r>
    </w:p>
    <w:p w14:paraId="03B14109">
      <w:pPr>
        <w:adjustRightInd w:val="0"/>
        <w:spacing w:line="360" w:lineRule="auto"/>
        <w:rPr>
          <w:rFonts w:asciiTheme="minorEastAsia" w:hAnsiTheme="minorEastAsia" w:eastAsiaTheme="minorEastAsia"/>
          <w:snapToGrid w:val="0"/>
          <w:kern w:val="0"/>
        </w:rPr>
      </w:pPr>
    </w:p>
    <w:p w14:paraId="576B157E">
      <w:pPr>
        <w:pStyle w:val="2"/>
        <w:spacing w:before="0" w:after="0"/>
      </w:pPr>
      <w:bookmarkStart w:id="24" w:name="q7"/>
      <w:bookmarkEnd w:id="24"/>
      <w:bookmarkStart w:id="25" w:name="_Toc115096785"/>
      <w:r>
        <w:rPr>
          <w:rFonts w:hint="eastAsia"/>
        </w:rPr>
        <w:t>四、投标文件的递交</w:t>
      </w:r>
      <w:bookmarkEnd w:id="25"/>
    </w:p>
    <w:p w14:paraId="20F361DB"/>
    <w:p w14:paraId="31D161C5">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highlight w:val="yellow"/>
        </w:rPr>
        <w:t>注：每个包组独立制作投标文件，并单独密封，不能将多个包组的投标文件打包制作或密封。未按要求制作投标文件的将导致投标无效。</w:t>
      </w:r>
    </w:p>
    <w:p w14:paraId="31245171">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14:paraId="38BEEDE0">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14:paraId="775401C2">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投标人应将投标文件备份文件光盘密封于一信封，在信封上注明“备份光盘（或U盘）”。</w:t>
      </w:r>
    </w:p>
    <w:p w14:paraId="62DBF7F4">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w:t>
      </w:r>
      <w:r>
        <w:rPr>
          <w:rFonts w:hint="eastAsia"/>
          <w:snapToGrid w:val="0"/>
          <w:kern w:val="0"/>
        </w:rPr>
        <w:t>“备份光盘（或U盘）”一起封装在同一个外层包封中，同时还应在封套上载明以下信息</w:t>
      </w:r>
      <w:r>
        <w:rPr>
          <w:rFonts w:hint="eastAsia" w:asciiTheme="minorEastAsia" w:hAnsiTheme="minorEastAsia" w:eastAsiaTheme="minorEastAsia"/>
          <w:snapToGrid w:val="0"/>
          <w:kern w:val="0"/>
        </w:rPr>
        <w:t>：</w:t>
      </w:r>
    </w:p>
    <w:p w14:paraId="6D02E254">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14:paraId="4A6471E2">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14:paraId="259458B1">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14:paraId="105CCFB5">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14:paraId="334DACB9">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包组号；</w:t>
      </w:r>
    </w:p>
    <w:p w14:paraId="5B9A21D9">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投标人名称；</w:t>
      </w:r>
    </w:p>
    <w:p w14:paraId="0E02887B">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e.  注明：“投标文件正本、副本和</w:t>
      </w:r>
      <w:r>
        <w:rPr>
          <w:rFonts w:hint="eastAsia"/>
          <w:snapToGrid w:val="0"/>
          <w:kern w:val="0"/>
        </w:rPr>
        <w:t>备份光盘（或U盘）</w:t>
      </w:r>
      <w:r>
        <w:rPr>
          <w:rFonts w:hint="eastAsia" w:asciiTheme="minorEastAsia" w:hAnsiTheme="minorEastAsia" w:eastAsiaTheme="minorEastAsia"/>
          <w:snapToGrid w:val="0"/>
          <w:kern w:val="0"/>
        </w:rPr>
        <w:t>”；</w:t>
      </w:r>
    </w:p>
    <w:p w14:paraId="7802B7F3">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f.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14:paraId="7D73B1A1">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投标人应将“法定代表人（负责人）证明书、法定代表人（负责人）授权委托书”和“开标一览表”单独密封于一信封，在递交投标文件时单独交与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，在信封上应：</w:t>
      </w:r>
    </w:p>
    <w:p w14:paraId="06014276">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14:paraId="3146A249">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14:paraId="59B30365">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14:paraId="201DAAA5">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14:paraId="138F4A78">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包组号；</w:t>
      </w:r>
    </w:p>
    <w:p w14:paraId="1EB97B5D">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投标人名称；</w:t>
      </w:r>
    </w:p>
    <w:p w14:paraId="42772210">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e.  注明：“开标一览表”和“法定代表人（负责人）证明书、法定代表人（负责人）授权委托书”；</w:t>
      </w:r>
    </w:p>
    <w:p w14:paraId="37B9C74A">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f.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14:paraId="0CB4408D">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14:paraId="2A8B4A66">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采购代理机构将拒收或者告知投标人，采购代理机构将不承担投标文件错放或提前开封的责任。对由此造成的提前开封的投标文件将予以拒绝，并退还给投标人。</w:t>
      </w:r>
    </w:p>
    <w:p w14:paraId="342F6052">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14:paraId="229E08DE">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投标人应按18.1～18.7中的规定进行密封和标记后，将投标文件按照前附表第12项中注明的地址送至采购代理机构。</w:t>
      </w:r>
    </w:p>
    <w:p w14:paraId="085AA9A9">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14:paraId="751298A3">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14:paraId="707D1361">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14:paraId="5A9E92BF">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w:t>
      </w:r>
    </w:p>
    <w:p w14:paraId="102BD146">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修改通知规定的时间递交。</w:t>
      </w:r>
    </w:p>
    <w:p w14:paraId="65C770D0">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在投标截止时间前30分钟开始接收投标文件。</w:t>
      </w:r>
    </w:p>
    <w:p w14:paraId="11ADED5A">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14:paraId="46E96B96">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将拒绝接收在投标截止时间后递交的投标文件。</w:t>
      </w:r>
    </w:p>
    <w:p w14:paraId="3BA7AE73">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14:paraId="39B99208">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14:paraId="2AECDD9C">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14:paraId="4FDD620A">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14:paraId="1DAE975A">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14:paraId="0D4C94D4">
      <w:pPr>
        <w:tabs>
          <w:tab w:val="left" w:pos="0"/>
        </w:tabs>
        <w:adjustRightInd w:val="0"/>
        <w:spacing w:line="360" w:lineRule="auto"/>
        <w:rPr>
          <w:rFonts w:asciiTheme="minorEastAsia" w:hAnsiTheme="minorEastAsia" w:eastAsiaTheme="minorEastAsia"/>
          <w:snapToGrid w:val="0"/>
          <w:kern w:val="0"/>
        </w:rPr>
      </w:pPr>
    </w:p>
    <w:p w14:paraId="36FDFD70">
      <w:pPr>
        <w:pStyle w:val="2"/>
        <w:spacing w:before="0" w:after="0"/>
      </w:pPr>
      <w:bookmarkStart w:id="27" w:name="q8"/>
      <w:bookmarkEnd w:id="27"/>
      <w:bookmarkStart w:id="28" w:name="_Toc115096786"/>
      <w:r>
        <w:rPr>
          <w:rFonts w:hint="eastAsia"/>
        </w:rPr>
        <w:t>五、开标和评标</w:t>
      </w:r>
      <w:bookmarkEnd w:id="28"/>
    </w:p>
    <w:p w14:paraId="3D01C88F">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14:paraId="187E68D7">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在前附表第12项规定的时间和地点公开开标。</w:t>
      </w:r>
    </w:p>
    <w:p w14:paraId="35B37BFF">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14:paraId="4F1B043A">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14:paraId="4769E5E1">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认为合适的其他内容。</w:t>
      </w:r>
    </w:p>
    <w:p w14:paraId="06264BFB">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22.2.3  投标人未参加开标的，视同认可开标结果。投标人不足3家的，不得开标。</w:t>
      </w:r>
    </w:p>
    <w:p w14:paraId="1FDF8EB8">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14:paraId="799AB8D3">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专家组成。评标委员会对投标文件进行审查、评估和比较。</w:t>
      </w:r>
    </w:p>
    <w:p w14:paraId="735101C7">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14:paraId="6EAA7EC8">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14:paraId="53AB8AB4">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招标机构就投标文件中的资格证明等内容对投标供应商进行资格性审查，审查不合格的，认定其投标无效。合格投标人不足3家的，不得评标。</w:t>
      </w:r>
    </w:p>
    <w:p w14:paraId="04D6FDFB">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14:paraId="601F395C">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14:paraId="64579583">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14:paraId="2367B218">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14:paraId="7D75A4D1">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14:paraId="3BA15BF2">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14:paraId="48CEB2CF">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zCs w:val="21"/>
        </w:rPr>
        <w:t>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14:paraId="0961A918">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14:paraId="4E4D1285">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评标委员会判断投标文件的响应性，仅基于招标文件和投标文件本身而不靠外部证据。</w:t>
      </w:r>
    </w:p>
    <w:p w14:paraId="7FC6DB34">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评标委员会将拒绝被确定为非实质性响应的投标人。投标人不能通过修正或撤销不符之处，而使其投标成为实质性响应的投标。</w:t>
      </w:r>
    </w:p>
    <w:p w14:paraId="59A458D2">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评标委员会允许修改投标中不构成重大偏离的、微小的、非正规、不一致或不规则的地方。</w:t>
      </w:r>
    </w:p>
    <w:p w14:paraId="47F0DDDE">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24.8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3A51F3E6">
      <w:pPr>
        <w:adjustRightInd w:val="0"/>
        <w:spacing w:line="360" w:lineRule="auto"/>
        <w:rPr>
          <w:snapToGrid w:val="0"/>
          <w:kern w:val="0"/>
        </w:rPr>
      </w:pPr>
      <w:r>
        <w:rPr>
          <w:rFonts w:hint="eastAsia" w:asciiTheme="minorEastAsia" w:hAnsiTheme="minorEastAsia" w:eastAsiaTheme="minorEastAsia"/>
          <w:snapToGrid w:val="0"/>
          <w:kern w:val="0"/>
        </w:rPr>
        <w:t xml:space="preserve">24.9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14:paraId="36B8FAFF">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24.10 经</w:t>
      </w:r>
      <w:r>
        <w:rPr>
          <w:rFonts w:hint="eastAsia"/>
          <w:snapToGrid w:val="0"/>
          <w:kern w:val="0"/>
        </w:rPr>
        <w:t>评标委员会审查，</w:t>
      </w:r>
      <w:r>
        <w:rPr>
          <w:rFonts w:hint="eastAsia" w:ascii="宋体" w:hAnsi="宋体" w:cs="仿宋_GB2312"/>
          <w:kern w:val="0"/>
          <w:szCs w:val="21"/>
        </w:rPr>
        <w:t>有效投标的供应商不足三家的，按公开招标失败处理。</w:t>
      </w:r>
    </w:p>
    <w:p w14:paraId="3EC32FCD">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14:paraId="3DB8BFF7">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14:paraId="117D343A">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14:paraId="1F9D646D">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14:paraId="62C324EB">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14:paraId="3D8514D1">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14:paraId="566B0889">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评标方法和标准”所述进行详细评审，并推荐候选中标供应商。</w:t>
      </w:r>
    </w:p>
    <w:p w14:paraId="565B4AA6">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14:paraId="5E7E01DE">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14:paraId="44FD579B">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14:paraId="2F300548">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14:paraId="55CE4687">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评标期间，评委会将对投标文件中有关问题分别向投标人进行询问。各投标人应予以认真答复。重要或复杂问题的答复需以书面形式，并经法定代表人或授权人签署。澄清文件将作为投标文件的组成部分。</w:t>
      </w:r>
    </w:p>
    <w:p w14:paraId="4F23235F">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14:paraId="7168C6D1">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14:paraId="111CABBB">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14:paraId="5DD6B3EE">
      <w:pPr>
        <w:adjustRightInd w:val="0"/>
        <w:spacing w:line="360" w:lineRule="auto"/>
        <w:ind w:left="357"/>
        <w:jc w:val="center"/>
        <w:rPr>
          <w:rFonts w:asciiTheme="minorEastAsia" w:hAnsiTheme="minorEastAsia" w:eastAsiaTheme="minorEastAsia"/>
          <w:b/>
          <w:snapToGrid w:val="0"/>
          <w:kern w:val="0"/>
        </w:rPr>
      </w:pPr>
      <w:bookmarkStart w:id="29" w:name="q9"/>
      <w:bookmarkEnd w:id="29"/>
    </w:p>
    <w:p w14:paraId="5341F24E">
      <w:pPr>
        <w:pStyle w:val="2"/>
        <w:spacing w:before="0" w:after="0"/>
      </w:pPr>
      <w:bookmarkStart w:id="30" w:name="_Toc115096787"/>
      <w:r>
        <w:rPr>
          <w:rFonts w:hint="eastAsia"/>
        </w:rPr>
        <w:t>六、授予合同</w:t>
      </w:r>
      <w:bookmarkEnd w:id="30"/>
    </w:p>
    <w:p w14:paraId="704B9035">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14:paraId="684F555F">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14:paraId="5D583ACC">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14:paraId="28859F1D">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14:paraId="4857D9EC">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14:paraId="5C9FBCDF">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中标方向采购代理机构支付中标服务费后，领取《中标通知书》。</w:t>
      </w:r>
    </w:p>
    <w:p w14:paraId="6681F0B2">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14:paraId="1FB918DD">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14:paraId="78BC5CCA">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14:paraId="68D3FAAB">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中标方应按《中标通知书》或按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14:paraId="6AFB7ECC">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招标文件、中标方的投标文件及其澄清文件等，均为签订合同的依据。</w:t>
      </w:r>
    </w:p>
    <w:p w14:paraId="1C4DDF44">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14:paraId="14D2BDED">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中标方须按招标文件的规定或根据合同条款的规定向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14:paraId="47077E03">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14:paraId="3FE914AA">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14:paraId="28A7528E">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6"/>
        <w:gridCol w:w="2056"/>
        <w:gridCol w:w="2056"/>
        <w:gridCol w:w="2057"/>
      </w:tblGrid>
      <w:tr w14:paraId="7DB340B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166" w:type="dxa"/>
          </w:tcPr>
          <w:p w14:paraId="0AB13516">
            <w:pPr>
              <w:ind w:firstLine="1219" w:firstLineChars="578"/>
              <w:rPr>
                <w:rFonts w:ascii="宋体" w:hAnsi="宋体"/>
                <w:b/>
                <w:szCs w:val="21"/>
              </w:rPr>
            </w:pPr>
            <w:r>
              <w:rPr>
                <w:rFonts w:ascii="宋体" w:hAnsi="宋体"/>
                <w:b/>
                <w:szCs w:val="21"/>
              </w:rPr>
              <mc:AlternateContent>
                <mc:Choice Requires="wps">
                  <w:drawing>
                    <wp:anchor distT="0" distB="0" distL="114300" distR="114300" simplePos="0" relativeHeight="251665408" behindDoc="0" locked="0" layoutInCell="0" allowOverlap="1">
                      <wp:simplePos x="0" y="0"/>
                      <wp:positionH relativeFrom="column">
                        <wp:posOffset>619760</wp:posOffset>
                      </wp:positionH>
                      <wp:positionV relativeFrom="paragraph">
                        <wp:posOffset>11430</wp:posOffset>
                      </wp:positionV>
                      <wp:extent cx="1451610" cy="732155"/>
                      <wp:effectExtent l="1905" t="4445" r="13335" b="6350"/>
                      <wp:wrapNone/>
                      <wp:docPr id="8" name="直线 6"/>
                      <wp:cNvGraphicFramePr/>
                      <a:graphic xmlns:a="http://schemas.openxmlformats.org/drawingml/2006/main">
                        <a:graphicData uri="http://schemas.microsoft.com/office/word/2010/wordprocessingShape">
                          <wps:wsp>
                            <wps:cNvCnPr/>
                            <wps:spPr>
                              <a:xfrm flipH="1" flipV="1">
                                <a:off x="0" y="0"/>
                                <a:ext cx="1215390" cy="98996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6" o:spid="_x0000_s1026" o:spt="20" style="position:absolute;left:0pt;flip:x y;margin-left:48.8pt;margin-top:0.9pt;height:57.65pt;width:114.3pt;z-index:251665408;mso-width-relative:page;mso-height-relative:page;" filled="f" stroked="t" coordsize="21600,21600" o:allowincell="f" o:gfxdata="UEsDBAoAAAAAAIdO4kAAAAAAAAAAAAAAAAAEAAAAZHJzL1BLAwQUAAAACACHTuJAo61hPdEAAAAI&#10;AQAADwAAAGRycy9kb3ducmV2LnhtbE1PS07DMBDdI3EHa5DYUdtBStIQp4tKPUALqli6sYmj2uM0&#10;dptye4YVLN9H79Nu7sGzm53TGFGBXAlgFvtoRhwUfLzvXmpgKWs02ke0Cr5tgk33+NDqxsQF9/Z2&#10;yAOjEEyNVuBynhrOU+9s0GkVJ4ukfcU56ExwHriZ9ULhwfNCiJIHPSI1OD3ZrbP9+XANCnwt6stx&#10;Wy2fe0Mtu6N3WEmlnp+keAOW7T3/meF3Pk2Hjjad4hVNYl7BuirJSTwdIPm1KAtgJ8KyksC7lv8/&#10;0P0AUEsDBBQAAAAIAIdO4kDQ1T8h8wEAAPYDAAAOAAAAZHJzL2Uyb0RvYy54bWytU0uOEzEQ3SNx&#10;B8t70klQokkrnVlMGFggiMTAvmK705b8k8uTTs7CNVix4ThzDcruJhqGTRb0olV2lV/Ve35e356s&#10;YUcVUXvX8NlkyplywkvtDg3/+nD/5oYzTOAkGO9Uw88K+e3m9at1H2o19503UkVGIA7rPjS8SynU&#10;VYWiUxZw4oNylGx9tJBoGQ+VjNATujXVfDpdVr2PMkQvFCLtbockHxHjNYC+bbVQWy8erXJpQI3K&#10;QCJK2OmAfFOmbVsl0ue2RZWYaTgxTeVPTSje53+1WUN9iBA6LcYR4JoRXnCyoB01vUBtIQF7jPof&#10;KKtF9OjbNBHeVgORogixmE1faPOlg6AKF5Iaw0V0/H+w4tNxF5mWDadrd2Dpwp++/3j6+YstszZ9&#10;wJpK7twujisMu5iJntpoWWt0+EAm4iX6lqOcI1rsVDQ+XzRWp8QEbc7ms8XbFckvKLe6Wa2Wi9yo&#10;GhDz6RAxvVfeshw03GiXNYAajh8xDaV/SvK2cawnpMV8QZhAhmzJCBTaQKTQHcpZ9EbLe21MPoHx&#10;sL8zkR0hm6J84wh/leUmW8BuqCupXAZ1p0C+c5KlcyC5HL0SnkewSnJmFD2qHJXKBNpcU0nsjcvQ&#10;qlh25JnFH+TO0d7Lc7mFKq/IDkW00brZb8/XFD9/rp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61hPdEAAAAIAQAADwAAAAAAAAABACAAAAAiAAAAZHJzL2Rvd25yZXYueG1sUEsBAhQAFAAAAAgA&#10;h07iQNDVPyHzAQAA9gMAAA4AAAAAAAAAAQAgAAAAIAEAAGRycy9lMm9Eb2MueG1sUEsFBgAAAAAG&#10;AAYAWQEAAIUFAAAAAA==&#10;">
                      <v:fill on="f" focussize="0,0"/>
                      <v:stroke color="#000000" joinstyle="round"/>
                      <v:imagedata o:title=""/>
                      <o:lock v:ext="edit" aspectratio="f"/>
                    </v:line>
                  </w:pict>
                </mc:Fallback>
              </mc:AlternateContent>
            </w:r>
            <w:r>
              <w:rPr>
                <w:rFonts w:ascii="宋体" w:hAnsi="宋体"/>
                <w:b/>
                <w:szCs w:val="21"/>
              </w:rPr>
              <mc:AlternateContent>
                <mc:Choice Requires="wps">
                  <w:drawing>
                    <wp:anchor distT="0" distB="0" distL="114300" distR="114300" simplePos="0" relativeHeight="251666432" behindDoc="0" locked="0" layoutInCell="0" allowOverlap="1">
                      <wp:simplePos x="0" y="0"/>
                      <wp:positionH relativeFrom="column">
                        <wp:posOffset>90170</wp:posOffset>
                      </wp:positionH>
                      <wp:positionV relativeFrom="paragraph">
                        <wp:posOffset>321945</wp:posOffset>
                      </wp:positionV>
                      <wp:extent cx="1981200" cy="421640"/>
                      <wp:effectExtent l="1270" t="4445" r="17780" b="12065"/>
                      <wp:wrapNone/>
                      <wp:docPr id="9" name="直线 7"/>
                      <wp:cNvGraphicFramePr/>
                      <a:graphic xmlns:a="http://schemas.openxmlformats.org/drawingml/2006/main">
                        <a:graphicData uri="http://schemas.microsoft.com/office/word/2010/wordprocessingShape">
                          <wps:wsp>
                            <wps:cNvCnPr/>
                            <wps:spPr>
                              <a:xfrm flipH="1" flipV="1">
                                <a:off x="0" y="0"/>
                                <a:ext cx="1771650" cy="67945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7" o:spid="_x0000_s1026" o:spt="20" style="position:absolute;left:0pt;flip:x y;margin-left:7.1pt;margin-top:25.35pt;height:33.2pt;width:156pt;z-index:251666432;mso-width-relative:page;mso-height-relative:page;" filled="f" stroked="t" coordsize="21600,21600" o:allowincell="f" o:gfxdata="UEsDBAoAAAAAAIdO4kAAAAAAAAAAAAAAAAAEAAAAZHJzL1BLAwQUAAAACACHTuJAFaP/stMAAAAJ&#10;AQAADwAAAGRycy9kb3ducmV2LnhtbE2PwU7DMBBE70j8g7VI3KjtAE0U4vRQqR/QgiqObrwkEfY6&#10;xG5T/p7lBMfZN5qZbTbX4MUF5zRGMqBXCgRSF91IvYG3191DBSJlS876SGjgGxNs2tubxtYuLrTH&#10;yyH3gkMo1dbAkPNUS5m6AYNNqzghMfuIc7CZ5dxLN9uFw4OXhVJrGexI3DDYCbcDdp+HczDgK1V9&#10;Hbfl8r533LI7+oFKbcz9nVYvIDJe858ZfufzdGh50ymeySXhWT8V7DTwrEoQzB+LNR9ODHSpQbaN&#10;/P9B+wNQSwMEFAAAAAgAh07iQH3Y4/fzAQAA9gMAAA4AAABkcnMvZTJvRG9jLnhtbK1TS44TMRDd&#10;I3EHy3vSSUQSppXOLCYMLBBE4rOv2O60Jf/k8qSTs3ANVmw4zlyDsruJhmGTBb2wXrnKz/Vel9e3&#10;J2vYUUXU3jV8NplyppzwUrtDw79+uX/1hjNM4CQY71TDzwr57ebli3UfajX3nTdSRUYkDus+NLxL&#10;KdRVhaJTFnDig3KUbH20kCiMh0pG6Indmmo+nS6r3kcZohcKkXa3Q5KPjPEaQt+2WqitFw9WuTSw&#10;RmUgkSTsdEC+Kd22rRLpU9uiSsw0nJSmstIlhPd5rTZrqA8RQqfF2AJc08IzTRa0o0svVFtIwB6i&#10;/ofKahE9+jZNhLfVIKQ4Qipm02fefO4gqKKFrMZwMR3/H634eNxFpmXDbzhzYOmHP37/8fjzF1tl&#10;b/qANZXcuV0cIwy7mIWe2mhZa3R4T0PEC/qWUc6RLHYqHp8vHqtTYoI2Z6vVbLkg+wXllqub14SJ&#10;uhoY8+kQMb1T3rIMGm60yx5ADccPmIbSPyV52zjWU/eL+YI4gQaypUEgaAOJQncoZ9EbLe+1MfkE&#10;xsP+zkR2hDwU5Rtb+KssX7IF7Ia6ksplUHcK5FsnWToHssvRK+G5BaskZ0bRo8qoVCbQ5ppKUm9c&#10;plZlZEed2fzB7oz2Xp7LX6hyRONQTBtHN8/b05jw0+e6+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Vo/+y0wAAAAkBAAAPAAAAAAAAAAEAIAAAACIAAABkcnMvZG93bnJldi54bWxQSwECFAAUAAAA&#10;CACHTuJAfdjj9/MBAAD2AwAADgAAAAAAAAABACAAAAAiAQAAZHJzL2Uyb0RvYy54bWxQSwUGAAAA&#10;AAYABgBZAQAAhwUAAAAA&#10;">
                      <v:fill on="f" focussize="0,0"/>
                      <v:stroke color="#000000" joinstyle="round"/>
                      <v:imagedata o:title=""/>
                      <o:lock v:ext="edit" aspectratio="f"/>
                    </v:line>
                  </w:pict>
                </mc:Fallback>
              </mc:AlternateContent>
            </w:r>
            <w:r>
              <w:rPr>
                <w:rFonts w:ascii="宋体" w:hAnsi="宋体"/>
                <w:b/>
                <w:szCs w:val="21"/>
              </w:rPr>
              <mc:AlternateContent>
                <mc:Choice Requires="wps">
                  <w:drawing>
                    <wp:anchor distT="0" distB="0" distL="114300" distR="114300" simplePos="0" relativeHeight="251664384" behindDoc="0" locked="0" layoutInCell="0" allowOverlap="1">
                      <wp:simplePos x="0" y="0"/>
                      <wp:positionH relativeFrom="column">
                        <wp:posOffset>-114300</wp:posOffset>
                      </wp:positionH>
                      <wp:positionV relativeFrom="paragraph">
                        <wp:posOffset>-6350</wp:posOffset>
                      </wp:positionV>
                      <wp:extent cx="635" cy="0"/>
                      <wp:effectExtent l="0" t="4445" r="0" b="5080"/>
                      <wp:wrapNone/>
                      <wp:docPr id="7" name="直线 5"/>
                      <wp:cNvGraphicFramePr/>
                      <a:graphic xmlns:a="http://schemas.openxmlformats.org/drawingml/2006/main">
                        <a:graphicData uri="http://schemas.microsoft.com/office/word/2010/wordprocessingShape">
                          <wps:wsp>
                            <wps:cNvCnPr/>
                            <wps:spPr>
                              <a:xfrm>
                                <a:off x="0" y="0"/>
                                <a:ext cx="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5" o:spid="_x0000_s1026" o:spt="20" style="position:absolute;left:0pt;margin-left:-9pt;margin-top:-0.5pt;height:0pt;width:0.05pt;z-index:251664384;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42aE1d0BAADXAwAADgAAAGRycy9lMm9Eb2MueG1srVNLbhsx&#10;DN0X6B0E7etxDLifgcdZxE03RWug7QFoieMRoB9ExWOfpdfoqpseJ9copXHSNN140VloKIp65Huk&#10;VtdHZ8UBE5ngO3k1m0uBXgVt/L6T377evnorBWXwGmzw2MkTkrxev3yxGmOLizAEqzEJBvHUjrGT&#10;Q86xbRpSAzqgWYjo+bAPyUHmbdo3OsHI6M42i/n8dTOGpGMKConYu5kO5RkxXQIY+t4o3AR159Dn&#10;CTWhhcyUaDCR5LpW2/eo8ue+J8zCdpKZ5rpyErZ3ZW3WK2j3CeJg1LkEuKSEZ5wcGM9JH6E2kEHc&#10;JfMPlDMqBQp9nqngmolIVYRZXM2fafNlgIiVC0tN8VF0+n+w6tNhm4TRnXwjhQfHDb///uP+5y+x&#10;LNqMkVoOufHbdN5R3KZC9NgnV/5MQRyrnqdHPfGYhZqc6sHb/LkSE+UPGJwoRiet8YUktHD4SJnT&#10;cOhDSHFbL8ZOvlsullIo4InrudNsushVk9/XuxSs0bfG2nKD0n53Y5M4QOl6/QoZxv0rrCTZAA1T&#10;XD2a5mFA0O+9FvkUWQ/Pz0CWEhxqKSzyqykWA0KbwdhLIjm19eUC1pk88yzqTnoWaxf0qcrclB33&#10;u1Z8ns0yUE/3bD99j+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5HTftUAAAAJAQAADwAAAAAA&#10;AAABACAAAAAiAAAAZHJzL2Rvd25yZXYueG1sUEsBAhQAFAAAAAgAh07iQONmhNXdAQAA1wMAAA4A&#10;AAAAAAAAAQAgAAAAJAEAAGRycy9lMm9Eb2MueG1sUEsFBgAAAAAGAAYAWQEAAHMFAAAAAA==&#10;">
                      <v:fill on="f" focussize="0,0"/>
                      <v:stroke color="#000000" joinstyle="round"/>
                      <v:imagedata o:title=""/>
                      <o:lock v:ext="edit" aspectratio="f"/>
                    </v:line>
                  </w:pict>
                </mc:Fallback>
              </mc:AlternateContent>
            </w:r>
            <w:r>
              <w:rPr>
                <w:rFonts w:hint="eastAsia" w:ascii="宋体" w:hAnsi="宋体"/>
                <w:b/>
                <w:szCs w:val="21"/>
              </w:rPr>
              <w:t xml:space="preserve">    服务类型</w:t>
            </w:r>
          </w:p>
          <w:p w14:paraId="257EE262">
            <w:pPr>
              <w:ind w:firstLine="392" w:firstLineChars="186"/>
              <w:rPr>
                <w:rFonts w:ascii="宋体" w:hAnsi="宋体"/>
                <w:b/>
                <w:szCs w:val="21"/>
              </w:rPr>
            </w:pPr>
            <w:r>
              <w:rPr>
                <w:rFonts w:hint="eastAsia" w:ascii="宋体" w:hAnsi="宋体"/>
                <w:b/>
                <w:szCs w:val="21"/>
              </w:rPr>
              <w:t>费率　　　　　</w:t>
            </w:r>
          </w:p>
          <w:p w14:paraId="6405C676">
            <w:pPr>
              <w:ind w:firstLine="1054"/>
              <w:rPr>
                <w:rFonts w:ascii="宋体" w:hAnsi="宋体"/>
                <w:b/>
                <w:szCs w:val="21"/>
              </w:rPr>
            </w:pPr>
            <w:r>
              <w:rPr>
                <w:rFonts w:hint="eastAsia" w:ascii="宋体" w:hAnsi="宋体"/>
                <w:b/>
                <w:szCs w:val="21"/>
              </w:rPr>
              <w:t>　　　</w:t>
            </w:r>
          </w:p>
          <w:p w14:paraId="2DA31D16">
            <w:pPr>
              <w:rPr>
                <w:rFonts w:ascii="宋体" w:hAnsi="宋体"/>
                <w:b/>
                <w:szCs w:val="21"/>
              </w:rPr>
            </w:pPr>
            <w:r>
              <w:rPr>
                <w:rFonts w:hint="eastAsia" w:ascii="宋体" w:hAnsi="宋体"/>
                <w:b/>
                <w:szCs w:val="21"/>
              </w:rPr>
              <w:t>中标金额</w:t>
            </w:r>
          </w:p>
        </w:tc>
        <w:tc>
          <w:tcPr>
            <w:tcW w:w="2056" w:type="dxa"/>
            <w:vAlign w:val="center"/>
          </w:tcPr>
          <w:p w14:paraId="1FD07D3E">
            <w:pPr>
              <w:jc w:val="center"/>
              <w:rPr>
                <w:rFonts w:ascii="宋体" w:hAnsi="宋体"/>
                <w:b/>
                <w:szCs w:val="21"/>
              </w:rPr>
            </w:pPr>
            <w:r>
              <w:rPr>
                <w:rFonts w:hint="eastAsia" w:ascii="宋体" w:hAnsi="宋体"/>
                <w:b/>
                <w:szCs w:val="21"/>
              </w:rPr>
              <w:t>货物采购</w:t>
            </w:r>
          </w:p>
        </w:tc>
        <w:tc>
          <w:tcPr>
            <w:tcW w:w="2056" w:type="dxa"/>
            <w:vAlign w:val="center"/>
          </w:tcPr>
          <w:p w14:paraId="3F5B5539">
            <w:pPr>
              <w:jc w:val="center"/>
              <w:rPr>
                <w:rFonts w:ascii="宋体" w:hAnsi="宋体"/>
                <w:b/>
                <w:szCs w:val="21"/>
              </w:rPr>
            </w:pPr>
            <w:r>
              <w:rPr>
                <w:rFonts w:hint="eastAsia" w:ascii="宋体" w:hAnsi="宋体"/>
                <w:b/>
                <w:szCs w:val="21"/>
              </w:rPr>
              <w:t>服务采购</w:t>
            </w:r>
          </w:p>
        </w:tc>
        <w:tc>
          <w:tcPr>
            <w:tcW w:w="2057" w:type="dxa"/>
            <w:vAlign w:val="center"/>
          </w:tcPr>
          <w:p w14:paraId="12C4D34A">
            <w:pPr>
              <w:jc w:val="center"/>
              <w:rPr>
                <w:rFonts w:ascii="宋体" w:hAnsi="宋体"/>
                <w:b/>
                <w:szCs w:val="21"/>
              </w:rPr>
            </w:pPr>
            <w:r>
              <w:rPr>
                <w:rFonts w:hint="eastAsia" w:ascii="宋体" w:hAnsi="宋体"/>
                <w:b/>
                <w:szCs w:val="21"/>
              </w:rPr>
              <w:t>工程采购</w:t>
            </w:r>
          </w:p>
        </w:tc>
      </w:tr>
      <w:tr w14:paraId="465E214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14:paraId="055A575E">
            <w:pPr>
              <w:widowControl/>
              <w:jc w:val="center"/>
              <w:rPr>
                <w:rFonts w:ascii="宋体" w:hAnsi="宋体"/>
                <w:kern w:val="0"/>
                <w:szCs w:val="21"/>
              </w:rPr>
            </w:pPr>
            <w:r>
              <w:rPr>
                <w:rFonts w:hint="eastAsia" w:ascii="宋体" w:hAnsi="宋体"/>
                <w:kern w:val="0"/>
                <w:szCs w:val="21"/>
              </w:rPr>
              <w:t>100万元以下</w:t>
            </w:r>
          </w:p>
        </w:tc>
        <w:tc>
          <w:tcPr>
            <w:tcW w:w="2056" w:type="dxa"/>
            <w:vAlign w:val="center"/>
          </w:tcPr>
          <w:p w14:paraId="6BF9A0BB">
            <w:pPr>
              <w:widowControl/>
              <w:jc w:val="center"/>
              <w:rPr>
                <w:rFonts w:ascii="宋体" w:hAnsi="宋体"/>
                <w:kern w:val="0"/>
                <w:szCs w:val="21"/>
              </w:rPr>
            </w:pPr>
            <w:r>
              <w:rPr>
                <w:rFonts w:hint="eastAsia" w:ascii="宋体" w:hAnsi="宋体"/>
                <w:kern w:val="0"/>
                <w:szCs w:val="21"/>
              </w:rPr>
              <w:t>1.500%</w:t>
            </w:r>
          </w:p>
        </w:tc>
        <w:tc>
          <w:tcPr>
            <w:tcW w:w="2056" w:type="dxa"/>
            <w:vAlign w:val="center"/>
          </w:tcPr>
          <w:p w14:paraId="18A09996">
            <w:pPr>
              <w:widowControl/>
              <w:jc w:val="center"/>
              <w:rPr>
                <w:rFonts w:ascii="宋体" w:hAnsi="宋体"/>
                <w:kern w:val="0"/>
                <w:szCs w:val="21"/>
              </w:rPr>
            </w:pPr>
            <w:r>
              <w:rPr>
                <w:rFonts w:hint="eastAsia" w:ascii="宋体" w:hAnsi="宋体"/>
                <w:kern w:val="0"/>
                <w:szCs w:val="21"/>
              </w:rPr>
              <w:t>1.500%</w:t>
            </w:r>
          </w:p>
        </w:tc>
        <w:tc>
          <w:tcPr>
            <w:tcW w:w="2057" w:type="dxa"/>
            <w:vAlign w:val="center"/>
          </w:tcPr>
          <w:p w14:paraId="3E479194">
            <w:pPr>
              <w:widowControl/>
              <w:snapToGrid w:val="0"/>
              <w:jc w:val="center"/>
              <w:rPr>
                <w:rFonts w:ascii="宋体" w:hAnsi="宋体"/>
                <w:kern w:val="0"/>
                <w:szCs w:val="21"/>
              </w:rPr>
            </w:pPr>
            <w:r>
              <w:rPr>
                <w:rFonts w:hint="eastAsia" w:ascii="宋体" w:hAnsi="宋体"/>
                <w:kern w:val="0"/>
                <w:szCs w:val="21"/>
              </w:rPr>
              <w:t>1.000%</w:t>
            </w:r>
          </w:p>
        </w:tc>
      </w:tr>
      <w:tr w14:paraId="16A261B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14:paraId="2F232AEF">
            <w:pPr>
              <w:widowControl/>
              <w:jc w:val="center"/>
              <w:rPr>
                <w:rFonts w:ascii="宋体" w:hAnsi="宋体"/>
                <w:kern w:val="0"/>
                <w:szCs w:val="21"/>
              </w:rPr>
            </w:pPr>
            <w:r>
              <w:rPr>
                <w:rFonts w:hint="eastAsia" w:ascii="宋体" w:hAnsi="宋体"/>
                <w:kern w:val="0"/>
                <w:szCs w:val="21"/>
              </w:rPr>
              <w:t>100万元（含）-500万元</w:t>
            </w:r>
          </w:p>
        </w:tc>
        <w:tc>
          <w:tcPr>
            <w:tcW w:w="2056" w:type="dxa"/>
            <w:vAlign w:val="center"/>
          </w:tcPr>
          <w:p w14:paraId="591B5831">
            <w:pPr>
              <w:widowControl/>
              <w:jc w:val="center"/>
              <w:rPr>
                <w:rFonts w:ascii="宋体" w:hAnsi="宋体"/>
                <w:kern w:val="0"/>
                <w:szCs w:val="21"/>
              </w:rPr>
            </w:pPr>
            <w:r>
              <w:rPr>
                <w:rFonts w:hint="eastAsia" w:ascii="宋体" w:hAnsi="宋体"/>
                <w:kern w:val="0"/>
                <w:szCs w:val="21"/>
              </w:rPr>
              <w:t>1.100%</w:t>
            </w:r>
          </w:p>
        </w:tc>
        <w:tc>
          <w:tcPr>
            <w:tcW w:w="2056" w:type="dxa"/>
            <w:vAlign w:val="center"/>
          </w:tcPr>
          <w:p w14:paraId="274FE0A1">
            <w:pPr>
              <w:widowControl/>
              <w:jc w:val="center"/>
              <w:rPr>
                <w:rFonts w:ascii="宋体" w:hAnsi="宋体"/>
                <w:kern w:val="0"/>
                <w:szCs w:val="21"/>
              </w:rPr>
            </w:pPr>
            <w:r>
              <w:rPr>
                <w:rFonts w:hint="eastAsia" w:ascii="宋体" w:hAnsi="宋体"/>
                <w:kern w:val="0"/>
                <w:szCs w:val="21"/>
              </w:rPr>
              <w:t>0.800%</w:t>
            </w:r>
          </w:p>
        </w:tc>
        <w:tc>
          <w:tcPr>
            <w:tcW w:w="2057" w:type="dxa"/>
            <w:vAlign w:val="center"/>
          </w:tcPr>
          <w:p w14:paraId="5D4E87E1">
            <w:pPr>
              <w:widowControl/>
              <w:snapToGrid w:val="0"/>
              <w:jc w:val="center"/>
              <w:rPr>
                <w:rFonts w:ascii="宋体" w:hAnsi="宋体"/>
                <w:kern w:val="0"/>
                <w:szCs w:val="21"/>
              </w:rPr>
            </w:pPr>
            <w:r>
              <w:rPr>
                <w:rFonts w:hint="eastAsia" w:ascii="宋体" w:hAnsi="宋体"/>
                <w:kern w:val="0"/>
                <w:szCs w:val="21"/>
              </w:rPr>
              <w:t>0.700%</w:t>
            </w:r>
          </w:p>
        </w:tc>
      </w:tr>
      <w:tr w14:paraId="4317CF0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14:paraId="61C4DACA">
            <w:pPr>
              <w:widowControl/>
              <w:jc w:val="center"/>
              <w:rPr>
                <w:rFonts w:ascii="宋体" w:hAnsi="宋体"/>
                <w:kern w:val="0"/>
                <w:szCs w:val="21"/>
              </w:rPr>
            </w:pPr>
            <w:r>
              <w:rPr>
                <w:rFonts w:hint="eastAsia" w:ascii="宋体" w:hAnsi="宋体"/>
                <w:kern w:val="0"/>
                <w:szCs w:val="21"/>
              </w:rPr>
              <w:t>500万元（含）-1000万元</w:t>
            </w:r>
          </w:p>
        </w:tc>
        <w:tc>
          <w:tcPr>
            <w:tcW w:w="2056" w:type="dxa"/>
            <w:vAlign w:val="center"/>
          </w:tcPr>
          <w:p w14:paraId="530249A6">
            <w:pPr>
              <w:widowControl/>
              <w:jc w:val="center"/>
              <w:rPr>
                <w:rFonts w:ascii="宋体" w:hAnsi="宋体"/>
                <w:kern w:val="0"/>
                <w:szCs w:val="21"/>
              </w:rPr>
            </w:pPr>
            <w:r>
              <w:rPr>
                <w:rFonts w:hint="eastAsia" w:ascii="宋体" w:hAnsi="宋体"/>
                <w:kern w:val="0"/>
                <w:szCs w:val="21"/>
              </w:rPr>
              <w:t>0.800%</w:t>
            </w:r>
          </w:p>
        </w:tc>
        <w:tc>
          <w:tcPr>
            <w:tcW w:w="2056" w:type="dxa"/>
            <w:vAlign w:val="center"/>
          </w:tcPr>
          <w:p w14:paraId="49AE0D7B">
            <w:pPr>
              <w:widowControl/>
              <w:jc w:val="center"/>
              <w:rPr>
                <w:rFonts w:ascii="宋体" w:hAnsi="宋体"/>
                <w:kern w:val="0"/>
                <w:szCs w:val="21"/>
              </w:rPr>
            </w:pPr>
            <w:r>
              <w:rPr>
                <w:rFonts w:hint="eastAsia" w:ascii="宋体" w:hAnsi="宋体"/>
                <w:kern w:val="0"/>
                <w:szCs w:val="21"/>
              </w:rPr>
              <w:t>0.450%</w:t>
            </w:r>
          </w:p>
        </w:tc>
        <w:tc>
          <w:tcPr>
            <w:tcW w:w="2057" w:type="dxa"/>
            <w:vAlign w:val="center"/>
          </w:tcPr>
          <w:p w14:paraId="6D69BE43">
            <w:pPr>
              <w:widowControl/>
              <w:snapToGrid w:val="0"/>
              <w:jc w:val="center"/>
              <w:rPr>
                <w:rFonts w:ascii="宋体" w:hAnsi="宋体"/>
                <w:kern w:val="0"/>
                <w:szCs w:val="21"/>
              </w:rPr>
            </w:pPr>
            <w:r>
              <w:rPr>
                <w:rFonts w:hint="eastAsia" w:ascii="宋体" w:hAnsi="宋体"/>
                <w:kern w:val="0"/>
                <w:szCs w:val="21"/>
              </w:rPr>
              <w:t>0.550%</w:t>
            </w:r>
          </w:p>
        </w:tc>
      </w:tr>
      <w:tr w14:paraId="038F2F3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14:paraId="51BDC31A">
            <w:pPr>
              <w:widowControl/>
              <w:jc w:val="center"/>
              <w:rPr>
                <w:rFonts w:ascii="宋体" w:hAnsi="宋体"/>
                <w:kern w:val="0"/>
                <w:szCs w:val="21"/>
              </w:rPr>
            </w:pPr>
            <w:r>
              <w:rPr>
                <w:rFonts w:hint="eastAsia" w:ascii="宋体" w:hAnsi="宋体"/>
                <w:kern w:val="0"/>
                <w:szCs w:val="21"/>
              </w:rPr>
              <w:t>1000万元（含）-5000万元</w:t>
            </w:r>
          </w:p>
        </w:tc>
        <w:tc>
          <w:tcPr>
            <w:tcW w:w="2056" w:type="dxa"/>
            <w:vAlign w:val="center"/>
          </w:tcPr>
          <w:p w14:paraId="2578EC81">
            <w:pPr>
              <w:widowControl/>
              <w:jc w:val="center"/>
              <w:rPr>
                <w:rFonts w:ascii="宋体" w:hAnsi="宋体"/>
                <w:kern w:val="0"/>
                <w:szCs w:val="21"/>
              </w:rPr>
            </w:pPr>
            <w:r>
              <w:rPr>
                <w:rFonts w:hint="eastAsia" w:ascii="宋体" w:hAnsi="宋体"/>
                <w:kern w:val="0"/>
                <w:szCs w:val="21"/>
              </w:rPr>
              <w:t>0.500%</w:t>
            </w:r>
          </w:p>
        </w:tc>
        <w:tc>
          <w:tcPr>
            <w:tcW w:w="2056" w:type="dxa"/>
            <w:vAlign w:val="center"/>
          </w:tcPr>
          <w:p w14:paraId="182C48ED">
            <w:pPr>
              <w:widowControl/>
              <w:jc w:val="center"/>
              <w:rPr>
                <w:rFonts w:ascii="宋体" w:hAnsi="宋体"/>
                <w:kern w:val="0"/>
                <w:szCs w:val="21"/>
              </w:rPr>
            </w:pPr>
            <w:r>
              <w:rPr>
                <w:rFonts w:hint="eastAsia" w:ascii="宋体" w:hAnsi="宋体"/>
                <w:kern w:val="0"/>
                <w:szCs w:val="21"/>
              </w:rPr>
              <w:t>0.250%</w:t>
            </w:r>
          </w:p>
        </w:tc>
        <w:tc>
          <w:tcPr>
            <w:tcW w:w="2057" w:type="dxa"/>
            <w:vAlign w:val="center"/>
          </w:tcPr>
          <w:p w14:paraId="4F11BEFB">
            <w:pPr>
              <w:widowControl/>
              <w:snapToGrid w:val="0"/>
              <w:jc w:val="center"/>
              <w:rPr>
                <w:rFonts w:ascii="宋体" w:hAnsi="宋体"/>
                <w:kern w:val="0"/>
                <w:szCs w:val="21"/>
              </w:rPr>
            </w:pPr>
            <w:r>
              <w:rPr>
                <w:rFonts w:hint="eastAsia" w:ascii="宋体" w:hAnsi="宋体"/>
                <w:kern w:val="0"/>
                <w:szCs w:val="21"/>
              </w:rPr>
              <w:t>0.350%</w:t>
            </w:r>
          </w:p>
        </w:tc>
      </w:tr>
      <w:tr w14:paraId="0920A7E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14:paraId="73F9A921">
            <w:pPr>
              <w:widowControl/>
              <w:jc w:val="center"/>
              <w:rPr>
                <w:rFonts w:ascii="宋体" w:hAnsi="宋体"/>
                <w:kern w:val="0"/>
                <w:szCs w:val="21"/>
              </w:rPr>
            </w:pPr>
            <w:r>
              <w:rPr>
                <w:rFonts w:hint="eastAsia" w:ascii="宋体" w:hAnsi="宋体"/>
                <w:kern w:val="0"/>
                <w:szCs w:val="21"/>
              </w:rPr>
              <w:t>5000万元（含）-1亿元</w:t>
            </w:r>
          </w:p>
        </w:tc>
        <w:tc>
          <w:tcPr>
            <w:tcW w:w="2056" w:type="dxa"/>
            <w:vAlign w:val="center"/>
          </w:tcPr>
          <w:p w14:paraId="2C298FDA">
            <w:pPr>
              <w:widowControl/>
              <w:jc w:val="center"/>
              <w:rPr>
                <w:rFonts w:ascii="宋体" w:hAnsi="宋体"/>
                <w:kern w:val="0"/>
                <w:szCs w:val="21"/>
              </w:rPr>
            </w:pPr>
            <w:r>
              <w:rPr>
                <w:rFonts w:hint="eastAsia" w:ascii="宋体" w:hAnsi="宋体"/>
                <w:kern w:val="0"/>
                <w:szCs w:val="21"/>
              </w:rPr>
              <w:t>0.250%</w:t>
            </w:r>
          </w:p>
        </w:tc>
        <w:tc>
          <w:tcPr>
            <w:tcW w:w="2056" w:type="dxa"/>
            <w:vAlign w:val="center"/>
          </w:tcPr>
          <w:p w14:paraId="24B0D055">
            <w:pPr>
              <w:widowControl/>
              <w:jc w:val="center"/>
              <w:rPr>
                <w:rFonts w:ascii="宋体" w:hAnsi="宋体"/>
                <w:kern w:val="0"/>
                <w:szCs w:val="21"/>
              </w:rPr>
            </w:pPr>
            <w:r>
              <w:rPr>
                <w:rFonts w:hint="eastAsia" w:ascii="宋体" w:hAnsi="宋体"/>
                <w:kern w:val="0"/>
                <w:szCs w:val="21"/>
              </w:rPr>
              <w:t>0.100%</w:t>
            </w:r>
          </w:p>
        </w:tc>
        <w:tc>
          <w:tcPr>
            <w:tcW w:w="2057" w:type="dxa"/>
            <w:vAlign w:val="center"/>
          </w:tcPr>
          <w:p w14:paraId="1A759862">
            <w:pPr>
              <w:widowControl/>
              <w:snapToGrid w:val="0"/>
              <w:jc w:val="center"/>
              <w:rPr>
                <w:rFonts w:ascii="宋体" w:hAnsi="宋体"/>
                <w:kern w:val="0"/>
                <w:szCs w:val="21"/>
              </w:rPr>
            </w:pPr>
            <w:r>
              <w:rPr>
                <w:rFonts w:hint="eastAsia" w:ascii="宋体" w:hAnsi="宋体"/>
                <w:kern w:val="0"/>
                <w:szCs w:val="21"/>
              </w:rPr>
              <w:t>0.200%</w:t>
            </w:r>
          </w:p>
        </w:tc>
      </w:tr>
      <w:tr w14:paraId="766D2BA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166" w:type="dxa"/>
            <w:vAlign w:val="center"/>
          </w:tcPr>
          <w:p w14:paraId="5F719343">
            <w:pPr>
              <w:widowControl/>
              <w:jc w:val="center"/>
              <w:rPr>
                <w:rFonts w:ascii="宋体" w:hAnsi="宋体"/>
                <w:kern w:val="0"/>
                <w:szCs w:val="21"/>
              </w:rPr>
            </w:pPr>
            <w:r>
              <w:rPr>
                <w:rFonts w:hint="eastAsia" w:ascii="宋体" w:hAnsi="宋体"/>
                <w:kern w:val="0"/>
                <w:szCs w:val="21"/>
              </w:rPr>
              <w:t>1亿元（含）-5亿元</w:t>
            </w:r>
          </w:p>
        </w:tc>
        <w:tc>
          <w:tcPr>
            <w:tcW w:w="2056" w:type="dxa"/>
            <w:vAlign w:val="center"/>
          </w:tcPr>
          <w:p w14:paraId="52189137">
            <w:pPr>
              <w:widowControl/>
              <w:jc w:val="center"/>
              <w:rPr>
                <w:rFonts w:ascii="宋体" w:hAnsi="宋体"/>
                <w:kern w:val="0"/>
                <w:szCs w:val="21"/>
              </w:rPr>
            </w:pPr>
            <w:r>
              <w:rPr>
                <w:rFonts w:hint="eastAsia" w:ascii="宋体" w:hAnsi="宋体"/>
                <w:kern w:val="0"/>
                <w:szCs w:val="21"/>
              </w:rPr>
              <w:t>0.050%</w:t>
            </w:r>
          </w:p>
        </w:tc>
        <w:tc>
          <w:tcPr>
            <w:tcW w:w="2056" w:type="dxa"/>
            <w:vAlign w:val="center"/>
          </w:tcPr>
          <w:p w14:paraId="3A851B77">
            <w:pPr>
              <w:widowControl/>
              <w:jc w:val="center"/>
              <w:rPr>
                <w:rFonts w:ascii="宋体" w:hAnsi="宋体"/>
                <w:kern w:val="0"/>
                <w:szCs w:val="21"/>
              </w:rPr>
            </w:pPr>
            <w:r>
              <w:rPr>
                <w:rFonts w:hint="eastAsia" w:ascii="宋体" w:hAnsi="宋体"/>
                <w:kern w:val="0"/>
                <w:szCs w:val="21"/>
              </w:rPr>
              <w:t>0.050%</w:t>
            </w:r>
          </w:p>
        </w:tc>
        <w:tc>
          <w:tcPr>
            <w:tcW w:w="2057" w:type="dxa"/>
            <w:vAlign w:val="center"/>
          </w:tcPr>
          <w:p w14:paraId="56E789D3">
            <w:pPr>
              <w:widowControl/>
              <w:snapToGrid w:val="0"/>
              <w:jc w:val="center"/>
              <w:rPr>
                <w:rFonts w:ascii="宋体" w:hAnsi="宋体"/>
                <w:kern w:val="0"/>
                <w:szCs w:val="21"/>
              </w:rPr>
            </w:pPr>
            <w:r>
              <w:rPr>
                <w:rFonts w:hint="eastAsia" w:ascii="宋体" w:hAnsi="宋体"/>
                <w:kern w:val="0"/>
                <w:szCs w:val="21"/>
              </w:rPr>
              <w:t>0.050%</w:t>
            </w:r>
          </w:p>
        </w:tc>
      </w:tr>
      <w:tr w14:paraId="3B7E624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14:paraId="73E1135B">
            <w:pPr>
              <w:widowControl/>
              <w:jc w:val="center"/>
              <w:rPr>
                <w:rFonts w:ascii="宋体" w:hAnsi="宋体"/>
                <w:kern w:val="0"/>
                <w:szCs w:val="21"/>
              </w:rPr>
            </w:pPr>
            <w:r>
              <w:rPr>
                <w:rFonts w:hint="eastAsia" w:ascii="宋体" w:hAnsi="宋体"/>
                <w:kern w:val="0"/>
                <w:szCs w:val="21"/>
              </w:rPr>
              <w:t>5亿元（含）-10亿元</w:t>
            </w:r>
          </w:p>
        </w:tc>
        <w:tc>
          <w:tcPr>
            <w:tcW w:w="2056" w:type="dxa"/>
            <w:vAlign w:val="center"/>
          </w:tcPr>
          <w:p w14:paraId="1F29C80F">
            <w:pPr>
              <w:widowControl/>
              <w:jc w:val="center"/>
              <w:rPr>
                <w:rFonts w:ascii="宋体" w:hAnsi="宋体"/>
                <w:kern w:val="0"/>
                <w:szCs w:val="21"/>
              </w:rPr>
            </w:pPr>
            <w:r>
              <w:rPr>
                <w:rFonts w:hint="eastAsia" w:ascii="宋体" w:hAnsi="宋体"/>
                <w:kern w:val="0"/>
                <w:szCs w:val="21"/>
              </w:rPr>
              <w:t>0.035%</w:t>
            </w:r>
          </w:p>
        </w:tc>
        <w:tc>
          <w:tcPr>
            <w:tcW w:w="2056" w:type="dxa"/>
            <w:vAlign w:val="center"/>
          </w:tcPr>
          <w:p w14:paraId="18B901B9">
            <w:pPr>
              <w:widowControl/>
              <w:jc w:val="center"/>
              <w:rPr>
                <w:rFonts w:ascii="宋体" w:hAnsi="宋体"/>
                <w:kern w:val="0"/>
                <w:szCs w:val="21"/>
              </w:rPr>
            </w:pPr>
            <w:r>
              <w:rPr>
                <w:rFonts w:hint="eastAsia" w:ascii="宋体" w:hAnsi="宋体"/>
                <w:kern w:val="0"/>
                <w:szCs w:val="21"/>
              </w:rPr>
              <w:t>0.035%</w:t>
            </w:r>
          </w:p>
        </w:tc>
        <w:tc>
          <w:tcPr>
            <w:tcW w:w="2057" w:type="dxa"/>
            <w:vAlign w:val="center"/>
          </w:tcPr>
          <w:p w14:paraId="59F5B864">
            <w:pPr>
              <w:widowControl/>
              <w:snapToGrid w:val="0"/>
              <w:jc w:val="center"/>
              <w:rPr>
                <w:rFonts w:ascii="宋体" w:hAnsi="宋体"/>
                <w:bCs/>
                <w:kern w:val="0"/>
                <w:szCs w:val="21"/>
              </w:rPr>
            </w:pPr>
            <w:r>
              <w:rPr>
                <w:rFonts w:hint="eastAsia" w:ascii="宋体" w:hAnsi="宋体"/>
                <w:bCs/>
                <w:kern w:val="0"/>
                <w:szCs w:val="21"/>
              </w:rPr>
              <w:t>0.035%</w:t>
            </w:r>
          </w:p>
        </w:tc>
      </w:tr>
      <w:tr w14:paraId="23D188A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14:paraId="1D188162">
            <w:pPr>
              <w:widowControl/>
              <w:jc w:val="center"/>
              <w:rPr>
                <w:rFonts w:ascii="宋体" w:hAnsi="宋体"/>
                <w:kern w:val="0"/>
                <w:szCs w:val="21"/>
              </w:rPr>
            </w:pPr>
            <w:r>
              <w:rPr>
                <w:rFonts w:hint="eastAsia" w:ascii="宋体" w:hAnsi="宋体"/>
                <w:kern w:val="0"/>
                <w:szCs w:val="21"/>
              </w:rPr>
              <w:t>10亿元（含）-50亿元</w:t>
            </w:r>
          </w:p>
        </w:tc>
        <w:tc>
          <w:tcPr>
            <w:tcW w:w="2056" w:type="dxa"/>
            <w:vAlign w:val="center"/>
          </w:tcPr>
          <w:p w14:paraId="14569713">
            <w:pPr>
              <w:widowControl/>
              <w:jc w:val="center"/>
              <w:rPr>
                <w:rFonts w:ascii="宋体" w:hAnsi="宋体"/>
                <w:kern w:val="0"/>
                <w:szCs w:val="21"/>
              </w:rPr>
            </w:pPr>
            <w:r>
              <w:rPr>
                <w:rFonts w:hint="eastAsia" w:ascii="宋体" w:hAnsi="宋体"/>
                <w:kern w:val="0"/>
                <w:szCs w:val="21"/>
              </w:rPr>
              <w:t>0.008%</w:t>
            </w:r>
          </w:p>
        </w:tc>
        <w:tc>
          <w:tcPr>
            <w:tcW w:w="2056" w:type="dxa"/>
            <w:vAlign w:val="center"/>
          </w:tcPr>
          <w:p w14:paraId="4EA79010">
            <w:pPr>
              <w:widowControl/>
              <w:jc w:val="center"/>
              <w:rPr>
                <w:rFonts w:ascii="宋体" w:hAnsi="宋体"/>
                <w:kern w:val="0"/>
                <w:szCs w:val="21"/>
              </w:rPr>
            </w:pPr>
            <w:r>
              <w:rPr>
                <w:rFonts w:hint="eastAsia" w:ascii="宋体" w:hAnsi="宋体"/>
                <w:kern w:val="0"/>
                <w:szCs w:val="21"/>
              </w:rPr>
              <w:t>0.008%</w:t>
            </w:r>
          </w:p>
        </w:tc>
        <w:tc>
          <w:tcPr>
            <w:tcW w:w="2057" w:type="dxa"/>
            <w:vAlign w:val="center"/>
          </w:tcPr>
          <w:p w14:paraId="7BCD77C8">
            <w:pPr>
              <w:widowControl/>
              <w:snapToGrid w:val="0"/>
              <w:jc w:val="center"/>
              <w:rPr>
                <w:rFonts w:ascii="宋体" w:hAnsi="宋体"/>
                <w:bCs/>
                <w:kern w:val="0"/>
                <w:szCs w:val="21"/>
              </w:rPr>
            </w:pPr>
            <w:r>
              <w:rPr>
                <w:rFonts w:hint="eastAsia" w:ascii="宋体" w:hAnsi="宋体"/>
                <w:bCs/>
                <w:kern w:val="0"/>
                <w:szCs w:val="21"/>
              </w:rPr>
              <w:t>0.008%</w:t>
            </w:r>
          </w:p>
        </w:tc>
      </w:tr>
      <w:tr w14:paraId="14CE1E5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14:paraId="04767A8E">
            <w:pPr>
              <w:widowControl/>
              <w:jc w:val="center"/>
              <w:rPr>
                <w:rFonts w:ascii="宋体" w:hAnsi="宋体"/>
                <w:kern w:val="0"/>
                <w:szCs w:val="21"/>
              </w:rPr>
            </w:pPr>
            <w:r>
              <w:rPr>
                <w:rFonts w:hint="eastAsia" w:ascii="宋体" w:hAnsi="宋体"/>
                <w:kern w:val="0"/>
                <w:szCs w:val="21"/>
              </w:rPr>
              <w:t>50亿元（含）-100亿元</w:t>
            </w:r>
          </w:p>
        </w:tc>
        <w:tc>
          <w:tcPr>
            <w:tcW w:w="2056" w:type="dxa"/>
            <w:vAlign w:val="center"/>
          </w:tcPr>
          <w:p w14:paraId="0A988258">
            <w:pPr>
              <w:widowControl/>
              <w:jc w:val="center"/>
              <w:rPr>
                <w:rFonts w:ascii="宋体" w:hAnsi="宋体"/>
                <w:kern w:val="0"/>
                <w:szCs w:val="21"/>
              </w:rPr>
            </w:pPr>
            <w:r>
              <w:rPr>
                <w:rFonts w:hint="eastAsia" w:ascii="宋体" w:hAnsi="宋体"/>
                <w:kern w:val="0"/>
                <w:szCs w:val="21"/>
              </w:rPr>
              <w:t>0.006%</w:t>
            </w:r>
          </w:p>
        </w:tc>
        <w:tc>
          <w:tcPr>
            <w:tcW w:w="2056" w:type="dxa"/>
            <w:vAlign w:val="center"/>
          </w:tcPr>
          <w:p w14:paraId="12476A8E">
            <w:pPr>
              <w:widowControl/>
              <w:jc w:val="center"/>
              <w:rPr>
                <w:rFonts w:ascii="宋体" w:hAnsi="宋体"/>
                <w:kern w:val="0"/>
                <w:szCs w:val="21"/>
              </w:rPr>
            </w:pPr>
            <w:r>
              <w:rPr>
                <w:rFonts w:hint="eastAsia" w:ascii="宋体" w:hAnsi="宋体"/>
                <w:kern w:val="0"/>
                <w:szCs w:val="21"/>
              </w:rPr>
              <w:t>0.006%</w:t>
            </w:r>
          </w:p>
        </w:tc>
        <w:tc>
          <w:tcPr>
            <w:tcW w:w="2057" w:type="dxa"/>
            <w:vAlign w:val="center"/>
          </w:tcPr>
          <w:p w14:paraId="45465E73">
            <w:pPr>
              <w:widowControl/>
              <w:snapToGrid w:val="0"/>
              <w:jc w:val="center"/>
              <w:rPr>
                <w:rFonts w:ascii="宋体" w:hAnsi="宋体"/>
                <w:bCs/>
                <w:kern w:val="0"/>
                <w:szCs w:val="21"/>
              </w:rPr>
            </w:pPr>
            <w:r>
              <w:rPr>
                <w:rFonts w:hint="eastAsia" w:ascii="宋体" w:hAnsi="宋体"/>
                <w:bCs/>
                <w:kern w:val="0"/>
                <w:szCs w:val="21"/>
              </w:rPr>
              <w:t>0.006%</w:t>
            </w:r>
          </w:p>
        </w:tc>
      </w:tr>
      <w:tr w14:paraId="381165B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166" w:type="dxa"/>
            <w:vAlign w:val="center"/>
          </w:tcPr>
          <w:p w14:paraId="671EC44C">
            <w:pPr>
              <w:widowControl/>
              <w:jc w:val="center"/>
              <w:rPr>
                <w:rFonts w:ascii="宋体" w:hAnsi="宋体"/>
                <w:kern w:val="0"/>
                <w:szCs w:val="21"/>
              </w:rPr>
            </w:pPr>
            <w:r>
              <w:rPr>
                <w:rFonts w:hint="eastAsia" w:ascii="宋体" w:hAnsi="宋体"/>
                <w:kern w:val="0"/>
                <w:szCs w:val="21"/>
              </w:rPr>
              <w:t>100亿元（含）以上</w:t>
            </w:r>
          </w:p>
        </w:tc>
        <w:tc>
          <w:tcPr>
            <w:tcW w:w="2056" w:type="dxa"/>
            <w:vAlign w:val="center"/>
          </w:tcPr>
          <w:p w14:paraId="2C3E6EC7">
            <w:pPr>
              <w:widowControl/>
              <w:jc w:val="center"/>
              <w:rPr>
                <w:rFonts w:ascii="宋体" w:hAnsi="宋体"/>
                <w:kern w:val="0"/>
                <w:szCs w:val="21"/>
              </w:rPr>
            </w:pPr>
            <w:r>
              <w:rPr>
                <w:rFonts w:hint="eastAsia" w:ascii="宋体" w:hAnsi="宋体"/>
                <w:kern w:val="0"/>
                <w:szCs w:val="21"/>
              </w:rPr>
              <w:t>0.004%</w:t>
            </w:r>
          </w:p>
        </w:tc>
        <w:tc>
          <w:tcPr>
            <w:tcW w:w="2056" w:type="dxa"/>
            <w:vAlign w:val="center"/>
          </w:tcPr>
          <w:p w14:paraId="2DF79ACE">
            <w:pPr>
              <w:widowControl/>
              <w:jc w:val="center"/>
              <w:rPr>
                <w:rFonts w:ascii="宋体" w:hAnsi="宋体"/>
                <w:kern w:val="0"/>
                <w:szCs w:val="21"/>
              </w:rPr>
            </w:pPr>
            <w:r>
              <w:rPr>
                <w:rFonts w:hint="eastAsia" w:ascii="宋体" w:hAnsi="宋体"/>
                <w:kern w:val="0"/>
                <w:szCs w:val="21"/>
              </w:rPr>
              <w:t>0.004%</w:t>
            </w:r>
          </w:p>
        </w:tc>
        <w:tc>
          <w:tcPr>
            <w:tcW w:w="2057" w:type="dxa"/>
            <w:vAlign w:val="center"/>
          </w:tcPr>
          <w:p w14:paraId="6421E8C1">
            <w:pPr>
              <w:widowControl/>
              <w:snapToGrid w:val="0"/>
              <w:jc w:val="center"/>
              <w:rPr>
                <w:rFonts w:ascii="宋体" w:hAnsi="宋体"/>
                <w:bCs/>
                <w:kern w:val="0"/>
                <w:szCs w:val="21"/>
              </w:rPr>
            </w:pPr>
            <w:r>
              <w:rPr>
                <w:rFonts w:hint="eastAsia" w:ascii="宋体" w:hAnsi="宋体"/>
                <w:bCs/>
                <w:kern w:val="0"/>
                <w:szCs w:val="21"/>
              </w:rPr>
              <w:t>0.004%</w:t>
            </w:r>
          </w:p>
        </w:tc>
      </w:tr>
    </w:tbl>
    <w:p w14:paraId="4BBC3D66">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注：1、中标服务费按差额定率累进法计算。例如：某服务类项目中标金额为1000万元，计算中标服务费如下：</w:t>
      </w:r>
    </w:p>
    <w:p w14:paraId="177EF7AC">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14:paraId="167A87D7">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（500-100）万元×0.8%=3.2万元</w:t>
      </w:r>
    </w:p>
    <w:p w14:paraId="4DDBFA59">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（1000-500）×0.45%=2.25万元</w:t>
      </w:r>
    </w:p>
    <w:p w14:paraId="3D2D68B1">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合计收费=1.5+3.2+2.25＝6.95（万元）</w:t>
      </w:r>
    </w:p>
    <w:p w14:paraId="79EC432B">
      <w:pPr>
        <w:spacing w:line="360" w:lineRule="auto"/>
        <w:ind w:firstLine="1044" w:firstLineChars="200"/>
        <w:rPr>
          <w:b/>
          <w:sz w:val="52"/>
          <w:szCs w:val="52"/>
        </w:rPr>
      </w:pPr>
    </w:p>
    <w:p w14:paraId="5923B540">
      <w:pPr>
        <w:pStyle w:val="2"/>
        <w:spacing w:before="0" w:after="0"/>
      </w:pPr>
      <w:bookmarkStart w:id="31" w:name="_Toc110410376"/>
      <w:bookmarkStart w:id="32" w:name="_Toc115096788"/>
      <w:r>
        <w:rPr>
          <w:rFonts w:hint="eastAsia"/>
        </w:rPr>
        <w:t>七、质疑处理</w:t>
      </w:r>
      <w:bookmarkEnd w:id="31"/>
      <w:bookmarkEnd w:id="32"/>
    </w:p>
    <w:p w14:paraId="2EEA23BE">
      <w:pPr>
        <w:spacing w:line="360" w:lineRule="auto"/>
        <w:rPr>
          <w:rFonts w:asciiTheme="majorEastAsia" w:hAnsiTheme="majorEastAsia" w:eastAsiaTheme="majorEastAsia"/>
          <w:b/>
          <w:bCs/>
          <w:szCs w:val="21"/>
        </w:rPr>
      </w:pPr>
      <w:bookmarkStart w:id="33" w:name="_Hlk72439706"/>
      <w:r>
        <w:rPr>
          <w:rFonts w:hint="eastAsia" w:asciiTheme="majorEastAsia" w:hAnsiTheme="majorEastAsia" w:eastAsiaTheme="majorEastAsia"/>
          <w:b/>
          <w:bCs/>
          <w:szCs w:val="21"/>
        </w:rPr>
        <w:t>35.质疑提出与答复</w:t>
      </w:r>
    </w:p>
    <w:p w14:paraId="75F78F47">
      <w:pPr>
        <w:spacing w:line="360" w:lineRule="auto"/>
        <w:rPr>
          <w:rFonts w:asciiTheme="majorEastAsia" w:hAnsiTheme="majorEastAsia" w:eastAsiaTheme="majorEastAsia"/>
          <w:b/>
          <w:bCs/>
          <w:szCs w:val="21"/>
        </w:rPr>
      </w:pPr>
      <w:r>
        <w:rPr>
          <w:rFonts w:hint="eastAsia" w:asciiTheme="majorEastAsia" w:hAnsiTheme="majorEastAsia" w:eastAsiaTheme="majorEastAsia"/>
          <w:szCs w:val="21"/>
        </w:rPr>
        <w:t>35.1提出质疑</w:t>
      </w:r>
    </w:p>
    <w:p w14:paraId="628D3BDB">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14:paraId="6D3B68DB">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35.2</w:t>
      </w:r>
      <w:r>
        <w:rPr>
          <w:rFonts w:asciiTheme="majorEastAsia" w:hAnsiTheme="majorEastAsia" w:eastAsiaTheme="majorEastAsia"/>
          <w:szCs w:val="21"/>
        </w:rPr>
        <w:t>法律依据</w:t>
      </w:r>
    </w:p>
    <w:p w14:paraId="447468FD">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14:paraId="33AA52A9">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35.3质疑条件</w:t>
      </w:r>
    </w:p>
    <w:p w14:paraId="65D166E1">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35.3.1提出质疑的供应商应当是参与所质疑项目采购活动的供应商；</w:t>
      </w:r>
      <w:bookmarkStart w:id="34" w:name="_Hlk75374941"/>
      <w:r>
        <w:rPr>
          <w:rFonts w:hint="eastAsia" w:asciiTheme="majorEastAsia" w:hAnsiTheme="majorEastAsia" w:eastAsiaTheme="majorEastAsia"/>
          <w:szCs w:val="21"/>
        </w:rPr>
        <w:t>以联合体形式参与的，质疑应当由组成联合体的所有成员共同提出</w:t>
      </w:r>
      <w:bookmarkEnd w:id="34"/>
      <w:r>
        <w:rPr>
          <w:rFonts w:hint="eastAsia" w:asciiTheme="majorEastAsia" w:hAnsiTheme="majorEastAsia" w:eastAsiaTheme="majorEastAsia"/>
          <w:szCs w:val="21"/>
        </w:rPr>
        <w:t>；</w:t>
      </w:r>
    </w:p>
    <w:p w14:paraId="71C42845">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14:paraId="2ABA9814">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35.3.3应提交书面质疑函，质疑函应当包括以下内容：</w:t>
      </w:r>
    </w:p>
    <w:p w14:paraId="0CAAB507">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（1）供应商的名称（或者姓名）、地址、邮编、联系人及联系电话；</w:t>
      </w:r>
    </w:p>
    <w:p w14:paraId="423CB2B8">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14:paraId="3522DEF5">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14:paraId="2D833DAD">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14:paraId="65E8513C">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14:paraId="078CF3D5">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14:paraId="2454E537">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14:paraId="1AB2255F">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14:paraId="12071A2B">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35.4提交</w:t>
      </w:r>
      <w:r>
        <w:rPr>
          <w:rFonts w:asciiTheme="majorEastAsia" w:hAnsiTheme="majorEastAsia" w:eastAsiaTheme="majorEastAsia"/>
          <w:szCs w:val="21"/>
        </w:rPr>
        <w:t>材料</w:t>
      </w:r>
    </w:p>
    <w:p w14:paraId="5F0B6EED">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14:paraId="4513B468">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14:paraId="3C43A464">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35.5提交方式</w:t>
      </w:r>
    </w:p>
    <w:p w14:paraId="3F5954F2">
      <w:pPr>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质疑供应商应根据本须知35.3.3、35.4款规定，至</w:t>
      </w:r>
      <w:r>
        <w:rPr>
          <w:rFonts w:hint="eastAsia" w:asciiTheme="majorEastAsia" w:hAnsiTheme="majorEastAsia" w:eastAsiaTheme="majorEastAsia"/>
          <w:bCs/>
          <w:szCs w:val="21"/>
        </w:rPr>
        <w:t>采购代理机构</w:t>
      </w:r>
      <w:r>
        <w:rPr>
          <w:rFonts w:hint="eastAsia" w:asciiTheme="majorEastAsia" w:hAnsiTheme="majorEastAsia" w:eastAsiaTheme="majorEastAsia"/>
          <w:szCs w:val="21"/>
        </w:rPr>
        <w:t>现场递交质疑材料</w:t>
      </w:r>
      <w:r>
        <w:rPr>
          <w:rFonts w:hint="eastAsia" w:asciiTheme="majorEastAsia" w:hAnsiTheme="majorEastAsia" w:eastAsiaTheme="majorEastAsia"/>
          <w:bCs/>
          <w:szCs w:val="21"/>
        </w:rPr>
        <w:t>，地址：深圳市福田区民田路171号新华保险大厦903深圳市中正招标有限公司，质疑咨询电话：0755-83026699。</w:t>
      </w:r>
    </w:p>
    <w:p w14:paraId="5ABA0A76">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35.6质疑受理</w:t>
      </w:r>
      <w:r>
        <w:rPr>
          <w:rFonts w:asciiTheme="majorEastAsia" w:hAnsiTheme="majorEastAsia" w:eastAsiaTheme="majorEastAsia"/>
          <w:szCs w:val="21"/>
        </w:rPr>
        <w:t>程序</w:t>
      </w:r>
    </w:p>
    <w:p w14:paraId="4AB2F3F5">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35.6.1供应商提交的质疑符合受理条件的，采购代理机构自收到质疑材料之日起即为受理，并向供应商出具质疑函受理回执并可以要求其递交质疑的法定代表人（负责人）或者授权代理人签署质疑文书送达地址确认书。</w:t>
      </w:r>
    </w:p>
    <w:p w14:paraId="2053B120">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35.6.2供应商提交的质疑材料不符合质疑条件的，视情况处理：</w:t>
      </w:r>
    </w:p>
    <w:p w14:paraId="21121320">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14:paraId="218B59E2">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14:paraId="30E4BAAD">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14:paraId="292D95E5">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14:paraId="759790EF">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14:paraId="576705FE">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14:paraId="59A78B8A">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14:paraId="3AD4D0D8">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14:paraId="1B54865F">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35.7质疑答复时限</w:t>
      </w:r>
    </w:p>
    <w:p w14:paraId="23B983A2">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自收文之日起七个工作日内。</w:t>
      </w:r>
    </w:p>
    <w:p w14:paraId="55C2566E">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35.8投诉</w:t>
      </w:r>
    </w:p>
    <w:p w14:paraId="0037B6BD">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对质疑答复不满意或者未在规定时间内答复的，提出质疑的供应商可以在答复期满后15个工作日内向同级财政部门投诉。</w:t>
      </w:r>
      <w:bookmarkEnd w:id="33"/>
    </w:p>
    <w:p w14:paraId="184184E6">
      <w:pPr>
        <w:jc w:val="center"/>
        <w:rPr>
          <w:b/>
          <w:sz w:val="52"/>
          <w:szCs w:val="52"/>
        </w:rPr>
      </w:pPr>
    </w:p>
    <w:p w14:paraId="268A734E"/>
    <w:p w14:paraId="50BA2370"/>
    <w:p w14:paraId="1507A5A7"/>
    <w:p w14:paraId="36BAF8CB"/>
    <w:p w14:paraId="4D422403"/>
    <w:p w14:paraId="2A15B177"/>
    <w:p w14:paraId="43BEA315"/>
    <w:p w14:paraId="1E3DF11D">
      <w:pPr>
        <w:pStyle w:val="3"/>
      </w:pPr>
      <w:bookmarkStart w:id="35" w:name="_Toc115096789"/>
      <w:r>
        <w:rPr>
          <w:rFonts w:hint="eastAsia"/>
        </w:rPr>
        <w:t>第七章  投标文件格式</w:t>
      </w:r>
      <w:bookmarkEnd w:id="35"/>
    </w:p>
    <w:p w14:paraId="2910F603">
      <w:pPr>
        <w:jc w:val="center"/>
        <w:rPr>
          <w:b/>
          <w:sz w:val="52"/>
          <w:szCs w:val="52"/>
        </w:rPr>
      </w:pPr>
    </w:p>
    <w:p w14:paraId="1A9C0862">
      <w:pPr>
        <w:pStyle w:val="2"/>
        <w:spacing w:line="400" w:lineRule="exact"/>
        <w:rPr>
          <w:rFonts w:ascii="仿宋" w:hAnsi="仿宋" w:eastAsia="仿宋"/>
        </w:rPr>
      </w:pPr>
      <w:bookmarkStart w:id="36" w:name="_Toc25194"/>
      <w:bookmarkStart w:id="37" w:name="_Toc44691395"/>
      <w:bookmarkStart w:id="38" w:name="_Toc44691163"/>
      <w:bookmarkStart w:id="39" w:name="_Toc11772"/>
      <w:bookmarkStart w:id="40" w:name="_Toc14934"/>
      <w:bookmarkStart w:id="41" w:name="_Toc115096790"/>
      <w:bookmarkStart w:id="42" w:name="_Toc44690431"/>
      <w:bookmarkStart w:id="43" w:name="_Toc31468"/>
      <w:bookmarkStart w:id="44" w:name="_Toc44690704"/>
      <w:r>
        <w:rPr>
          <w:rFonts w:hint="eastAsia" w:ascii="仿宋" w:hAnsi="仿宋" w:eastAsia="仿宋"/>
        </w:rPr>
        <w:t>投标文件编制说明</w:t>
      </w:r>
      <w:bookmarkEnd w:id="36"/>
      <w:bookmarkEnd w:id="37"/>
      <w:bookmarkEnd w:id="38"/>
      <w:bookmarkEnd w:id="39"/>
      <w:bookmarkEnd w:id="40"/>
      <w:bookmarkEnd w:id="41"/>
      <w:bookmarkEnd w:id="42"/>
      <w:bookmarkEnd w:id="43"/>
      <w:bookmarkEnd w:id="44"/>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14:paraId="25BC8BB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14:paraId="27689FFF">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1957" w:type="dxa"/>
            <w:vAlign w:val="center"/>
          </w:tcPr>
          <w:p w14:paraId="131FD45C">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名称</w:t>
            </w:r>
          </w:p>
        </w:tc>
        <w:tc>
          <w:tcPr>
            <w:tcW w:w="3004" w:type="dxa"/>
            <w:vAlign w:val="center"/>
          </w:tcPr>
          <w:p w14:paraId="6F4E44FA">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内容规定</w:t>
            </w:r>
          </w:p>
        </w:tc>
        <w:tc>
          <w:tcPr>
            <w:tcW w:w="4161" w:type="dxa"/>
            <w:vAlign w:val="center"/>
          </w:tcPr>
          <w:p w14:paraId="0062745F">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备注</w:t>
            </w:r>
          </w:p>
        </w:tc>
      </w:tr>
      <w:tr w14:paraId="7D0B8FA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14:paraId="04A4B342">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957" w:type="dxa"/>
            <w:vAlign w:val="center"/>
          </w:tcPr>
          <w:p w14:paraId="413D4D14">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投标文件的组成</w:t>
            </w:r>
          </w:p>
        </w:tc>
        <w:tc>
          <w:tcPr>
            <w:tcW w:w="3004" w:type="dxa"/>
            <w:vAlign w:val="center"/>
          </w:tcPr>
          <w:p w14:paraId="1D7811FB">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详见第六章“投标人须知”第10条</w:t>
            </w:r>
          </w:p>
        </w:tc>
        <w:tc>
          <w:tcPr>
            <w:tcW w:w="4161" w:type="dxa"/>
            <w:vAlign w:val="center"/>
          </w:tcPr>
          <w:p w14:paraId="1BAD3A57">
            <w:pPr>
              <w:spacing w:line="360" w:lineRule="auto"/>
              <w:ind w:firstLine="4" w:firstLineChars="2"/>
              <w:rPr>
                <w:rFonts w:asciiTheme="minorEastAsia" w:hAnsiTheme="minorEastAsia" w:eastAsiaTheme="minorEastAsia"/>
                <w:szCs w:val="21"/>
              </w:rPr>
            </w:pPr>
            <w:r>
              <w:rPr>
                <w:rFonts w:hint="eastAsia" w:asciiTheme="minorEastAsia" w:hAnsiTheme="minorEastAsia" w:eastAsiaTheme="minorEastAsia"/>
                <w:szCs w:val="21"/>
              </w:rPr>
              <w:t>1.1 投标人选取本章相应格式编制投标文件，如没有相应格式的，由投标人根据招标要求自行编制。</w:t>
            </w:r>
          </w:p>
        </w:tc>
      </w:tr>
      <w:tr w14:paraId="7D41F2C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14:paraId="46CF9C48">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957" w:type="dxa"/>
            <w:vAlign w:val="center"/>
          </w:tcPr>
          <w:p w14:paraId="732ECDC3">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投标文件的密封和标记</w:t>
            </w:r>
          </w:p>
        </w:tc>
        <w:tc>
          <w:tcPr>
            <w:tcW w:w="3004" w:type="dxa"/>
            <w:vAlign w:val="center"/>
          </w:tcPr>
          <w:p w14:paraId="22FDAEF0">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详见第六章“投标人须知”第17-18条</w:t>
            </w:r>
          </w:p>
        </w:tc>
        <w:tc>
          <w:tcPr>
            <w:tcW w:w="4161" w:type="dxa"/>
            <w:vAlign w:val="center"/>
          </w:tcPr>
          <w:p w14:paraId="4098F1AA">
            <w:pPr>
              <w:spacing w:line="360" w:lineRule="auto"/>
              <w:ind w:firstLine="4" w:firstLineChars="2"/>
              <w:rPr>
                <w:rFonts w:asciiTheme="minorEastAsia" w:hAnsiTheme="minorEastAsia" w:eastAsiaTheme="minorEastAsia"/>
                <w:szCs w:val="21"/>
              </w:rPr>
            </w:pPr>
            <w:r>
              <w:rPr>
                <w:rFonts w:hint="eastAsia" w:asciiTheme="minorEastAsia" w:hAnsiTheme="minorEastAsia" w:eastAsiaTheme="minorEastAsia"/>
                <w:szCs w:val="21"/>
              </w:rPr>
              <w:t>投标文件应按以下两部分，分别密封包装和标记：</w:t>
            </w:r>
          </w:p>
          <w:p w14:paraId="1DC203AA">
            <w:pPr>
              <w:spacing w:line="360" w:lineRule="auto"/>
              <w:ind w:firstLine="4" w:firstLineChars="2"/>
              <w:rPr>
                <w:rFonts w:asciiTheme="minorEastAsia" w:hAnsiTheme="minorEastAsia" w:eastAsiaTheme="minorEastAsia"/>
                <w:szCs w:val="21"/>
              </w:rPr>
            </w:pPr>
            <w:r>
              <w:rPr>
                <w:rFonts w:hint="eastAsia" w:asciiTheme="minorEastAsia" w:hAnsiTheme="minorEastAsia" w:eastAsiaTheme="minorEastAsia"/>
                <w:szCs w:val="21"/>
              </w:rPr>
              <w:t>2.1 投标文件正本、副本和密封好的备份光盘（或U盘）（封包1）。</w:t>
            </w:r>
          </w:p>
          <w:p w14:paraId="4D2C1098">
            <w:pPr>
              <w:spacing w:line="360" w:lineRule="auto"/>
              <w:ind w:firstLine="4" w:firstLineChars="2"/>
              <w:rPr>
                <w:rFonts w:asciiTheme="minorEastAsia" w:hAnsiTheme="minorEastAsia" w:eastAsiaTheme="minorEastAsia"/>
                <w:szCs w:val="21"/>
              </w:rPr>
            </w:pPr>
            <w:r>
              <w:rPr>
                <w:rFonts w:hint="eastAsia" w:asciiTheme="minorEastAsia" w:hAnsiTheme="minorEastAsia" w:eastAsiaTheme="minorEastAsia"/>
                <w:szCs w:val="21"/>
              </w:rPr>
              <w:t>2.2 法定代表人（负责人）证明书、法定代表人（负责人）授权委托书和开标一览表（封包2）。</w:t>
            </w:r>
          </w:p>
          <w:p w14:paraId="6E82C466">
            <w:pPr>
              <w:spacing w:line="360" w:lineRule="auto"/>
              <w:ind w:firstLine="4" w:firstLineChars="2"/>
              <w:rPr>
                <w:rFonts w:asciiTheme="minorEastAsia" w:hAnsiTheme="minorEastAsia" w:eastAsiaTheme="minorEastAsia"/>
                <w:szCs w:val="21"/>
              </w:rPr>
            </w:pPr>
            <w:r>
              <w:rPr>
                <w:rFonts w:hint="eastAsia" w:asciiTheme="minorEastAsia" w:hAnsiTheme="minorEastAsia" w:eastAsiaTheme="minorEastAsia"/>
                <w:szCs w:val="21"/>
              </w:rPr>
              <w:t>注：</w:t>
            </w:r>
            <w:r>
              <w:rPr>
                <w:rFonts w:hint="eastAsia" w:asciiTheme="minorEastAsia" w:hAnsiTheme="minorEastAsia" w:eastAsiaTheme="minorEastAsia"/>
                <w:snapToGrid w:val="0"/>
                <w:kern w:val="0"/>
                <w:szCs w:val="21"/>
              </w:rPr>
              <w:t>投标文件必须标注页码并装订成册。</w:t>
            </w:r>
          </w:p>
        </w:tc>
      </w:tr>
      <w:tr w14:paraId="682D907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14:paraId="1EE2D8ED">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1957" w:type="dxa"/>
            <w:vAlign w:val="center"/>
          </w:tcPr>
          <w:p w14:paraId="4DDD6D5F">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投标文件的签字和盖章</w:t>
            </w:r>
          </w:p>
        </w:tc>
        <w:tc>
          <w:tcPr>
            <w:tcW w:w="3004" w:type="dxa"/>
            <w:vAlign w:val="center"/>
          </w:tcPr>
          <w:p w14:paraId="3A66A339">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投标文件应按招标文件要求签字和盖章（包括投标文件格式要求、评标标准对证明文件的要求等）。</w:t>
            </w:r>
          </w:p>
        </w:tc>
        <w:tc>
          <w:tcPr>
            <w:tcW w:w="4161" w:type="dxa"/>
            <w:vAlign w:val="center"/>
          </w:tcPr>
          <w:p w14:paraId="3F6A99CF">
            <w:pPr>
              <w:spacing w:line="360" w:lineRule="auto"/>
              <w:ind w:firstLine="4" w:firstLineChars="2"/>
              <w:rPr>
                <w:rFonts w:asciiTheme="minorEastAsia" w:hAnsiTheme="minorEastAsia" w:eastAsiaTheme="minorEastAsia"/>
                <w:szCs w:val="21"/>
              </w:rPr>
            </w:pPr>
            <w:r>
              <w:rPr>
                <w:rFonts w:hint="eastAsia" w:asciiTheme="minorEastAsia" w:hAnsiTheme="minorEastAsia" w:eastAsiaTheme="minorEastAsia"/>
                <w:szCs w:val="21"/>
              </w:rPr>
              <w:t>3.1 公章指投标人经备案的行政公章，不包括“投标专用章”、“业务专用章”、“合同专用章”、“财务专用章”等。</w:t>
            </w:r>
          </w:p>
          <w:p w14:paraId="4DB0DED3">
            <w:pPr>
              <w:spacing w:line="360" w:lineRule="auto"/>
              <w:ind w:firstLine="4" w:firstLineChars="2"/>
              <w:rPr>
                <w:rFonts w:asciiTheme="minorEastAsia" w:hAnsiTheme="minorEastAsia" w:eastAsiaTheme="minorEastAsia"/>
                <w:szCs w:val="21"/>
              </w:rPr>
            </w:pPr>
            <w:r>
              <w:rPr>
                <w:rFonts w:hint="eastAsia" w:asciiTheme="minorEastAsia" w:hAnsiTheme="minorEastAsia" w:eastAsiaTheme="minorEastAsia"/>
                <w:szCs w:val="21"/>
              </w:rPr>
              <w:t>3.2 投标文件应加盖骑缝章。</w:t>
            </w:r>
          </w:p>
          <w:p w14:paraId="4077C2E0">
            <w:pPr>
              <w:spacing w:line="360" w:lineRule="auto"/>
              <w:ind w:firstLine="4" w:firstLineChars="2"/>
              <w:rPr>
                <w:rFonts w:asciiTheme="minorEastAsia" w:hAnsiTheme="minorEastAsia" w:eastAsiaTheme="minorEastAsia"/>
                <w:szCs w:val="21"/>
              </w:rPr>
            </w:pPr>
            <w:r>
              <w:rPr>
                <w:rFonts w:hint="eastAsia" w:asciiTheme="minorEastAsia" w:hAnsiTheme="minorEastAsia" w:eastAsiaTheme="minorEastAsia"/>
                <w:szCs w:val="21"/>
              </w:rPr>
              <w:t>3.3 签字方式可以是手写方式、盖人名章方式或盖手签章方式。</w:t>
            </w:r>
          </w:p>
        </w:tc>
      </w:tr>
    </w:tbl>
    <w:p w14:paraId="2DAD716E">
      <w:pPr>
        <w:spacing w:line="360" w:lineRule="auto"/>
        <w:ind w:firstLine="420" w:firstLineChars="200"/>
        <w:rPr>
          <w:rFonts w:asciiTheme="minorEastAsia" w:hAnsiTheme="minorEastAsia" w:eastAsiaTheme="minorEastAsia"/>
        </w:rPr>
      </w:pPr>
    </w:p>
    <w:p w14:paraId="03C714B1">
      <w:pPr>
        <w:adjustRightInd w:val="0"/>
        <w:spacing w:line="360" w:lineRule="auto"/>
        <w:rPr>
          <w:rFonts w:asciiTheme="minorEastAsia" w:hAnsiTheme="minorEastAsia" w:eastAsiaTheme="minorEastAsia"/>
          <w:b/>
          <w:snapToGrid w:val="0"/>
          <w:kern w:val="0"/>
          <w:sz w:val="28"/>
          <w:szCs w:val="28"/>
        </w:rPr>
      </w:pPr>
      <w:r>
        <w:rPr>
          <w:rFonts w:hint="eastAsia" w:asciiTheme="minorEastAsia" w:hAnsiTheme="minorEastAsia" w:eastAsiaTheme="minorEastAsia"/>
          <w:b/>
          <w:snapToGrid w:val="0"/>
          <w:kern w:val="0"/>
          <w:sz w:val="28"/>
          <w:szCs w:val="28"/>
          <w:highlight w:val="yellow"/>
        </w:rPr>
        <w:t>注：每个包组独立制作投标文件，并单独密封，不能将多个包组的投标文件打包制作或密封。未按要求制作投标文件的将导致投标无效。</w:t>
      </w:r>
    </w:p>
    <w:p w14:paraId="08296B37">
      <w:pPr>
        <w:jc w:val="center"/>
        <w:rPr>
          <w:b/>
          <w:sz w:val="52"/>
          <w:szCs w:val="52"/>
        </w:rPr>
      </w:pPr>
    </w:p>
    <w:p w14:paraId="300EB4D6"/>
    <w:p w14:paraId="72D53B55"/>
    <w:p w14:paraId="6B884D83">
      <w:pPr>
        <w:jc w:val="center"/>
        <w:rPr>
          <w:b/>
          <w:bCs/>
          <w:sz w:val="52"/>
        </w:rPr>
      </w:pPr>
    </w:p>
    <w:p w14:paraId="0AB44933">
      <w:pPr>
        <w:jc w:val="center"/>
        <w:rPr>
          <w:b/>
          <w:bCs/>
          <w:sz w:val="52"/>
        </w:rPr>
      </w:pPr>
      <w:r>
        <w:rPr>
          <w:rFonts w:hint="eastAsia"/>
          <w:b/>
          <w:bCs/>
          <w:sz w:val="52"/>
        </w:rPr>
        <w:t>投 标 文 件</w:t>
      </w:r>
    </w:p>
    <w:p w14:paraId="57051C0B">
      <w:pPr>
        <w:jc w:val="center"/>
        <w:rPr>
          <w:b/>
          <w:bCs/>
        </w:rPr>
      </w:pPr>
    </w:p>
    <w:p w14:paraId="1743DB80">
      <w:pPr>
        <w:jc w:val="center"/>
        <w:rPr>
          <w:b/>
          <w:bCs/>
        </w:rPr>
      </w:pPr>
    </w:p>
    <w:p w14:paraId="6E2FDA58">
      <w:pPr>
        <w:jc w:val="center"/>
        <w:rPr>
          <w:b/>
          <w:bCs/>
        </w:rPr>
      </w:pPr>
    </w:p>
    <w:p w14:paraId="230A4E12">
      <w:pPr>
        <w:jc w:val="center"/>
        <w:rPr>
          <w:b/>
          <w:bCs/>
        </w:rPr>
      </w:pPr>
    </w:p>
    <w:p w14:paraId="35B8559B">
      <w:pPr>
        <w:jc w:val="center"/>
        <w:rPr>
          <w:b/>
          <w:bCs/>
        </w:rPr>
      </w:pPr>
    </w:p>
    <w:p w14:paraId="48A37B6A">
      <w:pPr>
        <w:jc w:val="center"/>
        <w:rPr>
          <w:b/>
          <w:bCs/>
        </w:rPr>
      </w:pPr>
    </w:p>
    <w:p w14:paraId="7242F6CA">
      <w:pPr>
        <w:jc w:val="center"/>
        <w:rPr>
          <w:rFonts w:ascii="宋体" w:hAnsi="宋体"/>
          <w:b/>
          <w:bCs/>
          <w:sz w:val="30"/>
          <w:szCs w:val="30"/>
        </w:rPr>
      </w:pPr>
      <w:r>
        <w:rPr>
          <w:rFonts w:hint="eastAsia" w:ascii="宋体" w:hAnsi="宋体"/>
          <w:b/>
          <w:bCs/>
          <w:sz w:val="30"/>
          <w:szCs w:val="30"/>
        </w:rPr>
        <w:t>（正本/副本）</w:t>
      </w:r>
    </w:p>
    <w:p w14:paraId="1CD05516">
      <w:pPr>
        <w:jc w:val="center"/>
        <w:rPr>
          <w:b/>
          <w:bCs/>
        </w:rPr>
      </w:pPr>
    </w:p>
    <w:p w14:paraId="3D1F603C">
      <w:pPr>
        <w:jc w:val="center"/>
        <w:rPr>
          <w:b/>
          <w:bCs/>
        </w:rPr>
      </w:pPr>
    </w:p>
    <w:p w14:paraId="0F6F8F97">
      <w:pPr>
        <w:jc w:val="center"/>
        <w:rPr>
          <w:b/>
          <w:bCs/>
        </w:rPr>
      </w:pPr>
    </w:p>
    <w:p w14:paraId="292464BE">
      <w:pPr>
        <w:jc w:val="center"/>
        <w:rPr>
          <w:b/>
          <w:bCs/>
        </w:rPr>
      </w:pPr>
    </w:p>
    <w:p w14:paraId="4CA3CACD">
      <w:pPr>
        <w:jc w:val="center"/>
        <w:rPr>
          <w:b/>
          <w:bCs/>
        </w:rPr>
      </w:pPr>
    </w:p>
    <w:p w14:paraId="41CDF7D7">
      <w:pPr>
        <w:jc w:val="center"/>
        <w:rPr>
          <w:b/>
          <w:bCs/>
        </w:rPr>
      </w:pPr>
    </w:p>
    <w:p w14:paraId="6CF7EBA9">
      <w:pPr>
        <w:jc w:val="center"/>
        <w:rPr>
          <w:b/>
          <w:bCs/>
        </w:rPr>
      </w:pPr>
    </w:p>
    <w:p w14:paraId="327EA09C">
      <w:pPr>
        <w:jc w:val="center"/>
        <w:rPr>
          <w:b/>
          <w:bCs/>
        </w:rPr>
      </w:pPr>
    </w:p>
    <w:p w14:paraId="533D9DDF">
      <w:pPr>
        <w:jc w:val="center"/>
        <w:rPr>
          <w:b/>
          <w:bCs/>
        </w:rPr>
      </w:pPr>
    </w:p>
    <w:p w14:paraId="29046257">
      <w:pPr>
        <w:jc w:val="center"/>
        <w:rPr>
          <w:b/>
          <w:bCs/>
        </w:rPr>
      </w:pPr>
    </w:p>
    <w:p w14:paraId="5C017523">
      <w:pPr>
        <w:jc w:val="center"/>
        <w:rPr>
          <w:b/>
          <w:bCs/>
        </w:rPr>
      </w:pPr>
    </w:p>
    <w:p w14:paraId="2D10DCAB">
      <w:pPr>
        <w:jc w:val="center"/>
        <w:rPr>
          <w:b/>
          <w:bCs/>
        </w:rPr>
      </w:pPr>
    </w:p>
    <w:p w14:paraId="23A4831C">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14:paraId="43143A98">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14:paraId="54665E7F">
      <w:pPr>
        <w:spacing w:line="480" w:lineRule="auto"/>
        <w:ind w:firstLine="1275" w:firstLineChars="529"/>
        <w:rPr>
          <w:b/>
          <w:bCs/>
          <w:sz w:val="24"/>
          <w:u w:val="single"/>
        </w:rPr>
      </w:pPr>
      <w:r>
        <w:rPr>
          <w:rFonts w:hint="eastAsia"/>
          <w:b/>
          <w:bCs/>
          <w:sz w:val="24"/>
        </w:rPr>
        <w:t>包   组   号：</w:t>
      </w:r>
      <w:r>
        <w:rPr>
          <w:rFonts w:hint="eastAsia"/>
          <w:b/>
          <w:bCs/>
          <w:sz w:val="24"/>
          <w:u w:val="single"/>
        </w:rPr>
        <w:t xml:space="preserve">                                      </w:t>
      </w:r>
    </w:p>
    <w:p w14:paraId="0044032F">
      <w:pPr>
        <w:spacing w:line="480" w:lineRule="auto"/>
        <w:ind w:firstLine="1275" w:firstLineChars="529"/>
        <w:rPr>
          <w:b/>
          <w:bCs/>
          <w:sz w:val="24"/>
        </w:rPr>
      </w:pPr>
      <w:r>
        <w:rPr>
          <w:rFonts w:hint="eastAsia"/>
          <w:b/>
          <w:bCs/>
          <w:sz w:val="24"/>
        </w:rPr>
        <w:t>法定代表人或</w:t>
      </w:r>
    </w:p>
    <w:p w14:paraId="47FB3D23">
      <w:pPr>
        <w:spacing w:line="480" w:lineRule="auto"/>
        <w:ind w:firstLine="1275" w:firstLineChars="529"/>
        <w:rPr>
          <w:sz w:val="24"/>
          <w:u w:val="dotted"/>
        </w:rPr>
      </w:pPr>
      <w:r>
        <w:rPr>
          <w:rFonts w:hint="eastAsia"/>
          <w:b/>
          <w:bCs/>
          <w:sz w:val="24"/>
        </w:rPr>
        <w:t>委 托 代理人：</w:t>
      </w:r>
      <w:r>
        <w:rPr>
          <w:rFonts w:hint="eastAsia"/>
          <w:sz w:val="24"/>
          <w:u w:val="single"/>
        </w:rPr>
        <w:t xml:space="preserve">                                      </w:t>
      </w:r>
    </w:p>
    <w:p w14:paraId="482375DA">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14:paraId="5C4794DF">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14:paraId="7879D280">
      <w:pPr>
        <w:rPr>
          <w:b/>
          <w:bCs/>
        </w:rPr>
      </w:pPr>
    </w:p>
    <w:p w14:paraId="61710A64">
      <w:pPr>
        <w:rPr>
          <w:b/>
          <w:bCs/>
        </w:rPr>
      </w:pPr>
      <w:bookmarkStart w:id="45" w:name="_投标文件格式（第一册）"/>
      <w:bookmarkEnd w:id="45"/>
      <w:bookmarkStart w:id="46" w:name="q0"/>
      <w:r>
        <w:rPr>
          <w:rFonts w:ascii="仿宋" w:hAnsi="仿宋" w:eastAsia="仿宋"/>
        </w:rPr>
        <w:br w:type="page"/>
      </w:r>
    </w:p>
    <w:p w14:paraId="7A22862F">
      <w:pPr>
        <w:pStyle w:val="2"/>
        <w:spacing w:line="400" w:lineRule="exact"/>
        <w:rPr>
          <w:rFonts w:ascii="仿宋" w:hAnsi="仿宋" w:eastAsia="仿宋"/>
        </w:rPr>
      </w:pPr>
    </w:p>
    <w:p w14:paraId="23F1D774">
      <w:pPr>
        <w:pStyle w:val="2"/>
        <w:spacing w:line="400" w:lineRule="exact"/>
        <w:rPr>
          <w:rFonts w:ascii="仿宋" w:hAnsi="仿宋" w:eastAsia="仿宋"/>
        </w:rPr>
      </w:pPr>
      <w:bookmarkStart w:id="47" w:name="_Toc115096791"/>
      <w:r>
        <w:rPr>
          <w:rFonts w:hint="eastAsia" w:ascii="仿宋" w:hAnsi="仿宋" w:eastAsia="仿宋"/>
        </w:rPr>
        <w:t>投标文件格式</w:t>
      </w:r>
      <w:bookmarkEnd w:id="47"/>
    </w:p>
    <w:bookmarkEnd w:id="46"/>
    <w:p w14:paraId="78F32DD1">
      <w:pPr>
        <w:numPr>
          <w:ilvl w:val="0"/>
          <w:numId w:val="6"/>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目录（自拟）</w:t>
      </w:r>
    </w:p>
    <w:p w14:paraId="1A66AF0A">
      <w:pPr>
        <w:numPr>
          <w:ilvl w:val="0"/>
          <w:numId w:val="6"/>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政府采购违法行为风险知悉确认书</w:t>
      </w:r>
    </w:p>
    <w:p w14:paraId="05C64D6A">
      <w:pPr>
        <w:numPr>
          <w:ilvl w:val="0"/>
          <w:numId w:val="6"/>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评标指引表</w:t>
      </w:r>
    </w:p>
    <w:p w14:paraId="614F8B4D">
      <w:pPr>
        <w:numPr>
          <w:ilvl w:val="0"/>
          <w:numId w:val="6"/>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投标人资格证明文件（格式1）</w:t>
      </w:r>
    </w:p>
    <w:p w14:paraId="6F0CB627">
      <w:pPr>
        <w:numPr>
          <w:ilvl w:val="0"/>
          <w:numId w:val="6"/>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法定代表人（负责人）证明书及授权委托书（格式2）</w:t>
      </w:r>
    </w:p>
    <w:p w14:paraId="7EAED8A5">
      <w:pPr>
        <w:numPr>
          <w:ilvl w:val="0"/>
          <w:numId w:val="6"/>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投标函（格式3）</w:t>
      </w:r>
    </w:p>
    <w:p w14:paraId="7D73A8D9">
      <w:pPr>
        <w:numPr>
          <w:ilvl w:val="0"/>
          <w:numId w:val="6"/>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评分中涉及的承诺及声明函（格式4）</w:t>
      </w:r>
    </w:p>
    <w:p w14:paraId="074D8834">
      <w:pPr>
        <w:numPr>
          <w:ilvl w:val="0"/>
          <w:numId w:val="6"/>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开标一览表（格式5）</w:t>
      </w:r>
    </w:p>
    <w:p w14:paraId="5D8130FA">
      <w:pPr>
        <w:adjustRightInd w:val="0"/>
        <w:spacing w:line="360" w:lineRule="auto"/>
        <w:ind w:firstLine="422" w:firstLineChars="200"/>
        <w:rPr>
          <w:rFonts w:asciiTheme="minorEastAsia" w:hAnsiTheme="minorEastAsia" w:eastAsiaTheme="minorEastAsia"/>
          <w:b/>
          <w:bCs/>
          <w:snapToGrid w:val="0"/>
          <w:kern w:val="0"/>
          <w:szCs w:val="21"/>
        </w:rPr>
      </w:pPr>
      <w:r>
        <w:rPr>
          <w:rFonts w:hint="eastAsia" w:asciiTheme="minorEastAsia" w:hAnsiTheme="minorEastAsia" w:eastAsiaTheme="minorEastAsia"/>
          <w:b/>
          <w:snapToGrid w:val="0"/>
          <w:kern w:val="0"/>
          <w:szCs w:val="21"/>
        </w:rPr>
        <w:t>注：此表应与“法定代表人（负责人）证明书、法定代表人（负责人）授权委托书”一起密封于一信封，在递交投标文件时单独交与</w:t>
      </w:r>
      <w:r>
        <w:rPr>
          <w:rFonts w:hint="eastAsia" w:asciiTheme="minorEastAsia" w:hAnsiTheme="minorEastAsia" w:eastAsiaTheme="minorEastAsia"/>
          <w:b/>
          <w:bCs/>
          <w:snapToGrid w:val="0"/>
          <w:kern w:val="0"/>
          <w:szCs w:val="21"/>
        </w:rPr>
        <w:t>采购代理机构。</w:t>
      </w:r>
    </w:p>
    <w:p w14:paraId="045BFA71">
      <w:pPr>
        <w:numPr>
          <w:ilvl w:val="0"/>
          <w:numId w:val="6"/>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报价表（格式6）</w:t>
      </w:r>
    </w:p>
    <w:p w14:paraId="647191DA">
      <w:pPr>
        <w:pStyle w:val="455"/>
        <w:numPr>
          <w:ilvl w:val="0"/>
          <w:numId w:val="6"/>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服务方案</w:t>
      </w:r>
      <w:r>
        <w:rPr>
          <w:rFonts w:asciiTheme="minorEastAsia" w:hAnsiTheme="minorEastAsia" w:eastAsiaTheme="minorEastAsia"/>
          <w:snapToGrid w:val="0"/>
          <w:kern w:val="0"/>
          <w:szCs w:val="21"/>
        </w:rPr>
        <w:t>（格式</w:t>
      </w:r>
      <w:r>
        <w:rPr>
          <w:rFonts w:hint="eastAsia" w:asciiTheme="minorEastAsia" w:hAnsiTheme="minorEastAsia" w:eastAsiaTheme="minorEastAsia"/>
          <w:snapToGrid w:val="0"/>
          <w:kern w:val="0"/>
          <w:szCs w:val="21"/>
        </w:rPr>
        <w:t>7</w:t>
      </w:r>
      <w:r>
        <w:rPr>
          <w:rFonts w:asciiTheme="minorEastAsia" w:hAnsiTheme="minorEastAsia" w:eastAsiaTheme="minorEastAsia"/>
          <w:snapToGrid w:val="0"/>
          <w:kern w:val="0"/>
          <w:szCs w:val="21"/>
        </w:rPr>
        <w:t>）</w:t>
      </w:r>
    </w:p>
    <w:p w14:paraId="04DC0423">
      <w:pPr>
        <w:pStyle w:val="455"/>
        <w:numPr>
          <w:ilvl w:val="0"/>
          <w:numId w:val="6"/>
        </w:numPr>
        <w:adjustRightInd w:val="0"/>
        <w:spacing w:line="360" w:lineRule="auto"/>
        <w:ind w:firstLineChars="0"/>
        <w:rPr>
          <w:rFonts w:asciiTheme="minorEastAsia" w:hAnsiTheme="minorEastAsia" w:eastAsiaTheme="minorEastAsia"/>
          <w:snapToGrid w:val="0"/>
          <w:kern w:val="0"/>
        </w:rPr>
      </w:pP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w:t>
      </w:r>
      <w:r>
        <w:rPr>
          <w:rFonts w:asciiTheme="minorEastAsia" w:hAnsiTheme="minorEastAsia" w:eastAsiaTheme="minorEastAsia"/>
          <w:snapToGrid w:val="0"/>
          <w:kern w:val="0"/>
        </w:rPr>
        <w:t>格式</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p>
    <w:p w14:paraId="31406129">
      <w:pPr>
        <w:pStyle w:val="455"/>
        <w:numPr>
          <w:ilvl w:val="0"/>
          <w:numId w:val="6"/>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偏离</w:t>
      </w:r>
      <w:r>
        <w:rPr>
          <w:rFonts w:asciiTheme="minorEastAsia" w:hAnsiTheme="minorEastAsia" w:eastAsiaTheme="minorEastAsia"/>
          <w:snapToGrid w:val="0"/>
          <w:kern w:val="0"/>
          <w:szCs w:val="21"/>
        </w:rPr>
        <w:t>表（格式</w:t>
      </w:r>
      <w:r>
        <w:rPr>
          <w:rFonts w:hint="eastAsia" w:asciiTheme="minorEastAsia" w:hAnsiTheme="minorEastAsia" w:eastAsiaTheme="minorEastAsia"/>
          <w:snapToGrid w:val="0"/>
          <w:kern w:val="0"/>
          <w:szCs w:val="21"/>
        </w:rPr>
        <w:t>9</w:t>
      </w:r>
      <w:r>
        <w:rPr>
          <w:rFonts w:asciiTheme="minorEastAsia" w:hAnsiTheme="minorEastAsia" w:eastAsiaTheme="minorEastAsia"/>
          <w:snapToGrid w:val="0"/>
          <w:kern w:val="0"/>
          <w:szCs w:val="21"/>
        </w:rPr>
        <w:t>）</w:t>
      </w:r>
    </w:p>
    <w:p w14:paraId="407C1EB7">
      <w:pPr>
        <w:pStyle w:val="455"/>
        <w:numPr>
          <w:ilvl w:val="0"/>
          <w:numId w:val="6"/>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招标文件要求的其他资料或投标人认为需要补充的资料</w:t>
      </w:r>
      <w:r>
        <w:rPr>
          <w:rFonts w:hint="eastAsia" w:asciiTheme="minorEastAsia" w:hAnsiTheme="minorEastAsia" w:eastAsiaTheme="minorEastAsia"/>
          <w:snapToGrid w:val="0"/>
          <w:kern w:val="0"/>
          <w:szCs w:val="21"/>
        </w:rPr>
        <w:t>（格式10）</w:t>
      </w:r>
    </w:p>
    <w:p w14:paraId="5E31DECC">
      <w:pPr>
        <w:adjustRightInd w:val="0"/>
        <w:spacing w:line="300" w:lineRule="auto"/>
        <w:ind w:left="-2"/>
        <w:rPr>
          <w:rFonts w:ascii="宋体" w:hAnsi="宋体"/>
          <w:snapToGrid w:val="0"/>
          <w:kern w:val="0"/>
          <w:szCs w:val="21"/>
        </w:rPr>
      </w:pPr>
    </w:p>
    <w:p w14:paraId="49C1AE7E">
      <w:pPr>
        <w:adjustRightInd w:val="0"/>
        <w:spacing w:line="300" w:lineRule="auto"/>
        <w:ind w:left="-2"/>
        <w:rPr>
          <w:rFonts w:ascii="宋体" w:hAnsi="宋体"/>
          <w:snapToGrid w:val="0"/>
          <w:kern w:val="0"/>
          <w:szCs w:val="21"/>
        </w:rPr>
      </w:pPr>
    </w:p>
    <w:p w14:paraId="2979F29B">
      <w:pPr>
        <w:adjustRightInd w:val="0"/>
        <w:spacing w:line="300" w:lineRule="auto"/>
        <w:ind w:left="-2"/>
        <w:rPr>
          <w:rFonts w:ascii="宋体" w:hAnsi="宋体"/>
          <w:snapToGrid w:val="0"/>
          <w:kern w:val="0"/>
          <w:szCs w:val="21"/>
        </w:rPr>
      </w:pPr>
    </w:p>
    <w:p w14:paraId="735FE61A">
      <w:pPr>
        <w:ind w:hanging="2"/>
        <w:rPr>
          <w:b/>
          <w:bCs/>
          <w:sz w:val="28"/>
        </w:rPr>
      </w:pPr>
    </w:p>
    <w:p w14:paraId="0AFBEFF3">
      <w:pPr>
        <w:adjustRightInd w:val="0"/>
        <w:snapToGrid w:val="0"/>
        <w:spacing w:line="300" w:lineRule="auto"/>
        <w:jc w:val="center"/>
      </w:pPr>
      <w:bookmarkStart w:id="48" w:name="_格式1__投标人资格证明文件"/>
      <w:bookmarkEnd w:id="48"/>
      <w:r>
        <w:br w:type="page"/>
      </w:r>
    </w:p>
    <w:p w14:paraId="52D38E4C">
      <w:pPr>
        <w:adjustRightInd w:val="0"/>
        <w:snapToGrid w:val="0"/>
        <w:spacing w:line="300" w:lineRule="auto"/>
        <w:jc w:val="center"/>
      </w:pPr>
    </w:p>
    <w:p w14:paraId="117D3277">
      <w:pPr>
        <w:pStyle w:val="2"/>
        <w:spacing w:line="400" w:lineRule="exact"/>
        <w:rPr>
          <w:rFonts w:ascii="仿宋" w:hAnsi="仿宋" w:eastAsia="仿宋"/>
        </w:rPr>
      </w:pPr>
      <w:bookmarkStart w:id="49" w:name="_Toc110410380"/>
      <w:bookmarkStart w:id="50" w:name="_Toc115096792"/>
      <w:bookmarkStart w:id="51" w:name="_Toc73613640"/>
      <w:r>
        <w:rPr>
          <w:rFonts w:hint="eastAsia" w:ascii="仿宋" w:hAnsi="仿宋" w:eastAsia="仿宋"/>
        </w:rPr>
        <w:t>政府采购违法行为风险知悉确认书</w:t>
      </w:r>
      <w:bookmarkEnd w:id="49"/>
      <w:bookmarkEnd w:id="50"/>
    </w:p>
    <w:p w14:paraId="5170E4FF">
      <w:pPr>
        <w:spacing w:line="360" w:lineRule="auto"/>
        <w:ind w:firstLine="420" w:firstLineChars="200"/>
        <w:rPr>
          <w:rFonts w:ascii="宋体" w:hAnsi="宋体"/>
          <w:szCs w:val="21"/>
        </w:rPr>
      </w:pPr>
      <w:r>
        <w:rPr>
          <w:rFonts w:hint="eastAsia" w:ascii="宋体" w:hAnsi="宋体"/>
          <w:szCs w:val="21"/>
        </w:rPr>
        <w:t>本公司在投标前已充分知悉以下情形为参与政府采购活动时的重大风险事项，并承诺已对下述风险提示事项重点排查，做到严谨、诚信、依法依规参与政府采购活动。</w:t>
      </w:r>
    </w:p>
    <w:p w14:paraId="7B357510">
      <w:pPr>
        <w:spacing w:line="360" w:lineRule="auto"/>
        <w:ind w:firstLine="422" w:firstLineChars="200"/>
        <w:rPr>
          <w:rFonts w:ascii="宋体" w:hAnsi="宋体"/>
          <w:b/>
          <w:szCs w:val="21"/>
        </w:rPr>
      </w:pPr>
      <w:r>
        <w:rPr>
          <w:rFonts w:hint="eastAsia" w:ascii="宋体" w:hAnsi="宋体"/>
          <w:b/>
          <w:szCs w:val="21"/>
        </w:rPr>
        <w:t>一、本公司已充分知悉“隐瞒真实情况，提供虚假资料”的法定情形，相关情形包括但不限于：</w:t>
      </w:r>
    </w:p>
    <w:p w14:paraId="7E65AC9E">
      <w:pPr>
        <w:spacing w:line="360" w:lineRule="auto"/>
        <w:ind w:firstLine="420" w:firstLineChars="200"/>
        <w:rPr>
          <w:rFonts w:ascii="宋体" w:hAnsi="宋体"/>
          <w:szCs w:val="21"/>
        </w:rPr>
      </w:pPr>
      <w:r>
        <w:rPr>
          <w:rFonts w:hint="eastAsia" w:ascii="宋体" w:hAnsi="宋体"/>
          <w:szCs w:val="21"/>
        </w:rPr>
        <w:t>（一）通过转让或者租借等方式从其他单位获取资格或者资质证书投标的。</w:t>
      </w:r>
    </w:p>
    <w:p w14:paraId="08BD402E">
      <w:pPr>
        <w:spacing w:line="360" w:lineRule="auto"/>
        <w:ind w:firstLine="420" w:firstLineChars="200"/>
        <w:rPr>
          <w:rFonts w:ascii="宋体" w:hAnsi="宋体"/>
          <w:szCs w:val="21"/>
        </w:rPr>
      </w:pPr>
      <w:r>
        <w:rPr>
          <w:rFonts w:hint="eastAsia" w:ascii="宋体" w:hAnsi="宋体"/>
          <w:szCs w:val="21"/>
        </w:rPr>
        <w:t>（二）由其他单位或者其他单位负责人在投标供应商编制的投标文件上加盖印章或者签字的。</w:t>
      </w:r>
    </w:p>
    <w:p w14:paraId="3871C2EA">
      <w:pPr>
        <w:spacing w:line="360" w:lineRule="auto"/>
        <w:ind w:firstLine="420" w:firstLineChars="200"/>
        <w:rPr>
          <w:rFonts w:ascii="宋体" w:hAnsi="宋体"/>
          <w:szCs w:val="21"/>
        </w:rPr>
      </w:pPr>
      <w:r>
        <w:rPr>
          <w:rFonts w:hint="eastAsia" w:ascii="宋体" w:hAnsi="宋体"/>
          <w:szCs w:val="21"/>
        </w:rPr>
        <w:t>（三）项目负责人或者主要技术人员不是本单位人员的。</w:t>
      </w:r>
    </w:p>
    <w:p w14:paraId="52378DE9">
      <w:pPr>
        <w:spacing w:line="360" w:lineRule="auto"/>
        <w:ind w:firstLine="420" w:firstLineChars="200"/>
        <w:rPr>
          <w:rFonts w:ascii="宋体" w:hAnsi="宋体"/>
          <w:szCs w:val="21"/>
        </w:rPr>
      </w:pPr>
      <w:r>
        <w:rPr>
          <w:rFonts w:hint="eastAsia" w:ascii="宋体" w:hAnsi="宋体"/>
          <w:szCs w:val="21"/>
        </w:rPr>
        <w:t>（四）投标保证金不是从投标供应商基本账户转出的。</w:t>
      </w:r>
    </w:p>
    <w:p w14:paraId="45D4DF3C">
      <w:pPr>
        <w:spacing w:line="360" w:lineRule="auto"/>
        <w:ind w:firstLine="420" w:firstLineChars="200"/>
        <w:rPr>
          <w:rFonts w:ascii="宋体" w:hAnsi="宋体"/>
          <w:szCs w:val="21"/>
        </w:rPr>
      </w:pPr>
      <w:r>
        <w:rPr>
          <w:rFonts w:hint="eastAsia" w:ascii="宋体" w:hAnsi="宋体"/>
          <w:szCs w:val="21"/>
        </w:rPr>
        <w:t>（五）其他隐瞒真实情况、提供虚假资料的行为。</w:t>
      </w:r>
    </w:p>
    <w:p w14:paraId="2837755F">
      <w:pPr>
        <w:spacing w:line="360" w:lineRule="auto"/>
        <w:ind w:firstLine="422" w:firstLineChars="200"/>
        <w:rPr>
          <w:rFonts w:ascii="宋体" w:hAnsi="宋体"/>
          <w:b/>
          <w:szCs w:val="21"/>
        </w:rPr>
      </w:pPr>
      <w:r>
        <w:rPr>
          <w:rFonts w:hint="eastAsia" w:ascii="宋体" w:hAnsi="宋体"/>
          <w:b/>
          <w:szCs w:val="21"/>
        </w:rPr>
        <w:t>二、本公司已充分知悉“与其他采购参加人串通投标”的法定情形，相关情形包括但不限于：</w:t>
      </w:r>
    </w:p>
    <w:p w14:paraId="415F1297">
      <w:pPr>
        <w:spacing w:line="360" w:lineRule="auto"/>
        <w:ind w:firstLine="420" w:firstLineChars="200"/>
        <w:rPr>
          <w:rFonts w:ascii="宋体" w:hAnsi="宋体"/>
          <w:szCs w:val="21"/>
        </w:rPr>
      </w:pPr>
      <w:r>
        <w:rPr>
          <w:rFonts w:hint="eastAsia" w:ascii="宋体" w:hAnsi="宋体"/>
          <w:szCs w:val="21"/>
        </w:rPr>
        <w:t>（一）投标供应商之间相互约定给予未中标的供应商利益补偿。</w:t>
      </w:r>
    </w:p>
    <w:p w14:paraId="5666A8B4">
      <w:pPr>
        <w:spacing w:line="360" w:lineRule="auto"/>
        <w:ind w:firstLine="420" w:firstLineChars="200"/>
        <w:rPr>
          <w:rFonts w:ascii="宋体" w:hAnsi="宋体"/>
          <w:szCs w:val="21"/>
        </w:rPr>
      </w:pPr>
      <w:r>
        <w:rPr>
          <w:rFonts w:hint="eastAsia" w:ascii="宋体" w:hAnsi="宋体"/>
          <w:szCs w:val="21"/>
        </w:rPr>
        <w:t>（二）不同投标供应商的法定代表人、主要经营负责人、项目投标授权代表人、项目负责人、主要技术人员为同一人、属同一单位或者在同一单位缴纳社会保险。</w:t>
      </w:r>
    </w:p>
    <w:p w14:paraId="160A65B6">
      <w:pPr>
        <w:spacing w:line="360" w:lineRule="auto"/>
        <w:ind w:firstLine="420" w:firstLineChars="200"/>
        <w:rPr>
          <w:rFonts w:ascii="宋体" w:hAnsi="宋体"/>
          <w:szCs w:val="21"/>
        </w:rPr>
      </w:pPr>
      <w:r>
        <w:rPr>
          <w:rFonts w:hint="eastAsia" w:ascii="宋体" w:hAnsi="宋体"/>
          <w:szCs w:val="21"/>
        </w:rPr>
        <w:t>（三）不同投标供应商的投标文件由同一单位或者同一人编制，或者由同一人分阶段参与编制的。</w:t>
      </w:r>
    </w:p>
    <w:p w14:paraId="3C67734D">
      <w:pPr>
        <w:spacing w:line="360" w:lineRule="auto"/>
        <w:ind w:firstLine="420" w:firstLineChars="200"/>
        <w:rPr>
          <w:rFonts w:ascii="宋体" w:hAnsi="宋体"/>
          <w:szCs w:val="21"/>
        </w:rPr>
      </w:pPr>
      <w:r>
        <w:rPr>
          <w:rFonts w:hint="eastAsia" w:ascii="宋体" w:hAnsi="宋体"/>
          <w:szCs w:val="21"/>
        </w:rPr>
        <w:t>（四）不同投标供应商的投标文件或部分投标文件相互混装。</w:t>
      </w:r>
    </w:p>
    <w:p w14:paraId="4BBCEF4A">
      <w:pPr>
        <w:spacing w:line="360" w:lineRule="auto"/>
        <w:ind w:firstLine="420" w:firstLineChars="200"/>
        <w:rPr>
          <w:rFonts w:ascii="宋体" w:hAnsi="宋体"/>
          <w:szCs w:val="21"/>
        </w:rPr>
      </w:pPr>
      <w:r>
        <w:rPr>
          <w:rFonts w:hint="eastAsia" w:ascii="宋体" w:hAnsi="宋体"/>
          <w:szCs w:val="21"/>
        </w:rPr>
        <w:t>（五）不同投标供应商的投标文件内容存在非正常一致。</w:t>
      </w:r>
    </w:p>
    <w:p w14:paraId="3F689D9E">
      <w:pPr>
        <w:spacing w:line="360" w:lineRule="auto"/>
        <w:ind w:firstLine="420" w:firstLineChars="200"/>
        <w:rPr>
          <w:rFonts w:ascii="宋体" w:hAnsi="宋体"/>
          <w:szCs w:val="21"/>
        </w:rPr>
      </w:pPr>
      <w:r>
        <w:rPr>
          <w:rFonts w:hint="eastAsia" w:ascii="宋体" w:hAnsi="宋体"/>
          <w:szCs w:val="21"/>
        </w:rPr>
        <w:t>（六）由同一单位工作人员为两家以上（含两家）供应商进行同一项投标活动的。</w:t>
      </w:r>
    </w:p>
    <w:p w14:paraId="7EA6E6F8">
      <w:pPr>
        <w:spacing w:line="360" w:lineRule="auto"/>
        <w:ind w:firstLine="420" w:firstLineChars="200"/>
        <w:rPr>
          <w:rFonts w:ascii="宋体" w:hAnsi="宋体"/>
          <w:szCs w:val="21"/>
        </w:rPr>
      </w:pPr>
      <w:r>
        <w:rPr>
          <w:rFonts w:hint="eastAsia" w:ascii="宋体" w:hAnsi="宋体"/>
          <w:szCs w:val="21"/>
        </w:rPr>
        <w:t>（七）不同投标人的投标报价呈规律性差异。</w:t>
      </w:r>
    </w:p>
    <w:p w14:paraId="27553531">
      <w:pPr>
        <w:spacing w:line="360" w:lineRule="auto"/>
        <w:ind w:firstLine="420" w:firstLineChars="200"/>
        <w:rPr>
          <w:rFonts w:ascii="宋体" w:hAnsi="宋体"/>
          <w:szCs w:val="21"/>
        </w:rPr>
      </w:pPr>
      <w:r>
        <w:rPr>
          <w:rFonts w:hint="eastAsia" w:ascii="宋体" w:hAnsi="宋体"/>
          <w:szCs w:val="21"/>
        </w:rPr>
        <w:t>（八）不同投标人的投标保证金从同一单位或者个人的账户转出。</w:t>
      </w:r>
    </w:p>
    <w:p w14:paraId="7CBC1A38">
      <w:pPr>
        <w:spacing w:line="360" w:lineRule="auto"/>
        <w:ind w:firstLine="420" w:firstLineChars="200"/>
        <w:rPr>
          <w:rFonts w:ascii="宋体" w:hAnsi="宋体"/>
          <w:szCs w:val="21"/>
        </w:rPr>
      </w:pPr>
      <w:r>
        <w:rPr>
          <w:rFonts w:hint="eastAsia" w:ascii="宋体" w:hAnsi="宋体"/>
          <w:szCs w:val="21"/>
        </w:rPr>
        <w:t>（九）主管部门依照法律、法规认定的其他情形。</w:t>
      </w:r>
    </w:p>
    <w:p w14:paraId="2E891E8E">
      <w:pPr>
        <w:spacing w:line="360" w:lineRule="auto"/>
        <w:ind w:firstLine="422" w:firstLineChars="200"/>
        <w:rPr>
          <w:rFonts w:ascii="宋体" w:hAnsi="宋体"/>
          <w:b/>
          <w:szCs w:val="21"/>
        </w:rPr>
      </w:pPr>
      <w:r>
        <w:rPr>
          <w:rFonts w:hint="eastAsia" w:ascii="宋体" w:hAnsi="宋体"/>
          <w:b/>
          <w:szCs w:val="21"/>
        </w:rPr>
        <w:t>三、本公司已充分知悉下列情形所对应的法律风险，并在投标前已对相关风险事项进行排查。</w:t>
      </w:r>
    </w:p>
    <w:p w14:paraId="6B6E1489">
      <w:pPr>
        <w:spacing w:line="360" w:lineRule="auto"/>
        <w:ind w:firstLine="420" w:firstLineChars="200"/>
        <w:rPr>
          <w:rFonts w:ascii="宋体" w:hAnsi="宋体"/>
          <w:b/>
          <w:szCs w:val="21"/>
        </w:rPr>
      </w:pPr>
      <w:r>
        <w:rPr>
          <w:rFonts w:hint="eastAsia" w:ascii="宋体" w:hAnsi="宋体"/>
          <w:szCs w:val="21"/>
        </w:rPr>
        <w:t>（一）对于从其他主体获取的投标资料，供应商应审慎核查，确保投标资料的真实性。</w:t>
      </w:r>
      <w:r>
        <w:rPr>
          <w:rFonts w:hint="eastAsia" w:ascii="宋体" w:hAnsi="宋体"/>
          <w:b/>
          <w:szCs w:val="21"/>
        </w:rPr>
        <w:t>如主管部门查实投标文件中存在虚假资料的，无论相关资料是否由第三方或本公司员工提供，均不影响主管部门对供应商存在“隐瞒真实情况，提供虚假资料”违法行为的认定。</w:t>
      </w:r>
    </w:p>
    <w:p w14:paraId="432C9035">
      <w:pPr>
        <w:spacing w:line="360" w:lineRule="auto"/>
        <w:ind w:firstLine="420" w:firstLineChars="200"/>
        <w:rPr>
          <w:rFonts w:ascii="宋体" w:hAnsi="宋体"/>
          <w:szCs w:val="21"/>
        </w:rPr>
      </w:pPr>
      <w:r>
        <w:rPr>
          <w:rFonts w:hint="eastAsia" w:ascii="宋体" w:hAnsi="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14:paraId="162E6BA2">
      <w:pPr>
        <w:spacing w:line="360" w:lineRule="auto"/>
        <w:ind w:firstLine="420" w:firstLineChars="200"/>
        <w:rPr>
          <w:rFonts w:ascii="宋体" w:hAnsi="宋体"/>
          <w:szCs w:val="21"/>
        </w:rPr>
      </w:pPr>
      <w:r>
        <w:rPr>
          <w:rFonts w:hint="eastAsia" w:ascii="宋体" w:hAnsi="宋体"/>
          <w:szCs w:val="21"/>
        </w:rPr>
        <w:t>（三）对于涉及安全生产、特种作业、抢险救灾、防疫等政府采购项目，供应商实施提供虚假资料、串通投标等违法行为的，主管部门将依法从严处理。</w:t>
      </w:r>
    </w:p>
    <w:p w14:paraId="4D5AB921">
      <w:pPr>
        <w:spacing w:line="360" w:lineRule="auto"/>
        <w:ind w:firstLine="420" w:firstLineChars="200"/>
        <w:rPr>
          <w:rFonts w:ascii="宋体" w:hAnsi="宋体"/>
          <w:szCs w:val="21"/>
        </w:rPr>
      </w:pPr>
      <w:r>
        <w:rPr>
          <w:rFonts w:hint="eastAsia" w:ascii="宋体" w:hAnsi="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14:paraId="1360EE90">
      <w:pPr>
        <w:spacing w:line="360" w:lineRule="auto"/>
        <w:ind w:firstLine="420" w:firstLineChars="200"/>
        <w:rPr>
          <w:rFonts w:ascii="宋体" w:hAnsi="宋体"/>
          <w:szCs w:val="21"/>
        </w:rPr>
      </w:pPr>
      <w:r>
        <w:rPr>
          <w:rFonts w:hint="eastAsia" w:ascii="宋体" w:hAnsi="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14:paraId="32F6F3DD">
      <w:pPr>
        <w:spacing w:line="360" w:lineRule="auto"/>
        <w:ind w:firstLine="420" w:firstLineChars="200"/>
        <w:rPr>
          <w:rFonts w:ascii="宋体" w:hAnsi="宋体"/>
          <w:szCs w:val="21"/>
        </w:rPr>
      </w:pPr>
      <w:r>
        <w:rPr>
          <w:rFonts w:hint="eastAsia" w:ascii="宋体" w:hAnsi="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14:paraId="5F14D669">
      <w:pPr>
        <w:spacing w:line="360" w:lineRule="auto"/>
        <w:ind w:firstLine="422" w:firstLineChars="200"/>
        <w:rPr>
          <w:rFonts w:ascii="宋体" w:hAnsi="宋体"/>
          <w:szCs w:val="21"/>
        </w:rPr>
      </w:pPr>
      <w:r>
        <w:rPr>
          <w:rFonts w:hint="eastAsia" w:ascii="宋体" w:hAnsi="宋体"/>
          <w:b/>
          <w:szCs w:val="21"/>
        </w:rPr>
        <w:t>四、本公司已充分知悉政府采购违法、违规行为的法律后果。</w:t>
      </w:r>
      <w:r>
        <w:rPr>
          <w:rFonts w:hint="eastAsia" w:ascii="宋体" w:hAnsi="宋体"/>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14:paraId="4B86ED82">
      <w:pPr>
        <w:spacing w:line="360" w:lineRule="auto"/>
        <w:ind w:firstLine="422" w:firstLineChars="200"/>
        <w:rPr>
          <w:rFonts w:ascii="宋体" w:hAnsi="宋体"/>
          <w:b/>
          <w:szCs w:val="21"/>
        </w:rPr>
      </w:pPr>
      <w:r>
        <w:rPr>
          <w:rFonts w:hint="eastAsia" w:ascii="宋体" w:hAnsi="宋体"/>
          <w:b/>
          <w:szCs w:val="21"/>
        </w:rPr>
        <w:t>以下文字请投标供应商抄写并确认：“本公司已仔细阅读《政府采购违法行为风险知悉确认书》，充分知悉违法行为的法律后果，并承诺将严谨、诚信、依法依规参与政府采购活动”。</w:t>
      </w:r>
    </w:p>
    <w:p w14:paraId="0D1A87DF">
      <w:pPr>
        <w:spacing w:line="360" w:lineRule="auto"/>
        <w:ind w:firstLine="420" w:firstLineChars="200"/>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14:paraId="76CE7DD0">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14:paraId="492D91A8">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14:paraId="6B188145">
      <w:pPr>
        <w:spacing w:line="360" w:lineRule="auto"/>
        <w:ind w:firstLine="420" w:firstLineChars="200"/>
        <w:rPr>
          <w:rFonts w:ascii="宋体" w:hAnsi="宋体"/>
          <w:szCs w:val="21"/>
          <w:u w:val="single"/>
        </w:rPr>
      </w:pPr>
    </w:p>
    <w:p w14:paraId="2A3C9A46">
      <w:pPr>
        <w:spacing w:line="360" w:lineRule="auto"/>
        <w:ind w:firstLine="420" w:firstLineChars="200"/>
        <w:rPr>
          <w:rFonts w:ascii="宋体" w:hAnsi="宋体"/>
          <w:szCs w:val="21"/>
        </w:rPr>
      </w:pPr>
      <w:r>
        <w:rPr>
          <w:rFonts w:hint="eastAsia" w:ascii="宋体" w:hAnsi="宋体"/>
          <w:szCs w:val="21"/>
        </w:rPr>
        <w:t>负责人</w:t>
      </w:r>
      <w:r>
        <w:rPr>
          <w:rFonts w:ascii="宋体" w:hAnsi="宋体"/>
          <w:szCs w:val="21"/>
        </w:rPr>
        <w:t>/</w:t>
      </w:r>
      <w:r>
        <w:rPr>
          <w:rFonts w:hint="eastAsia" w:ascii="宋体" w:hAnsi="宋体"/>
          <w:szCs w:val="21"/>
        </w:rPr>
        <w:t>投标授权代表签名：</w:t>
      </w:r>
    </w:p>
    <w:p w14:paraId="43152C72">
      <w:pPr>
        <w:spacing w:line="360" w:lineRule="auto"/>
        <w:ind w:firstLine="420" w:firstLineChars="200"/>
        <w:rPr>
          <w:rFonts w:ascii="宋体" w:hAnsi="宋体"/>
          <w:szCs w:val="21"/>
        </w:rPr>
      </w:pPr>
      <w:r>
        <w:rPr>
          <w:rFonts w:hint="eastAsia" w:ascii="宋体" w:hAnsi="宋体"/>
          <w:szCs w:val="21"/>
        </w:rPr>
        <w:t>知悉人（公章）：</w:t>
      </w:r>
    </w:p>
    <w:p w14:paraId="2DDD9185">
      <w:pPr>
        <w:spacing w:line="360" w:lineRule="auto"/>
        <w:ind w:firstLine="420" w:firstLineChars="200"/>
        <w:rPr>
          <w:rFonts w:ascii="宋体" w:hAnsi="宋体"/>
          <w:szCs w:val="21"/>
        </w:rPr>
      </w:pPr>
      <w:r>
        <w:rPr>
          <w:rFonts w:hint="eastAsia" w:ascii="宋体" w:hAnsi="宋体"/>
          <w:szCs w:val="21"/>
        </w:rPr>
        <w:t>日期：</w:t>
      </w:r>
    </w:p>
    <w:p w14:paraId="144EAA71">
      <w:pPr>
        <w:widowControl/>
        <w:jc w:val="left"/>
        <w:rPr>
          <w:rFonts w:ascii="仿宋" w:hAnsi="仿宋" w:eastAsia="仿宋"/>
          <w:b/>
          <w:bCs/>
          <w:sz w:val="28"/>
          <w:szCs w:val="32"/>
        </w:rPr>
      </w:pPr>
      <w:r>
        <w:rPr>
          <w:rFonts w:ascii="仿宋" w:hAnsi="仿宋" w:eastAsia="仿宋"/>
        </w:rPr>
        <w:br w:type="page"/>
      </w:r>
    </w:p>
    <w:p w14:paraId="4E71D915">
      <w:pPr>
        <w:pStyle w:val="2"/>
        <w:spacing w:line="400" w:lineRule="exact"/>
        <w:rPr>
          <w:rFonts w:ascii="仿宋" w:hAnsi="仿宋" w:eastAsia="仿宋"/>
        </w:rPr>
      </w:pPr>
    </w:p>
    <w:p w14:paraId="0AAAFE3B">
      <w:pPr>
        <w:pStyle w:val="2"/>
        <w:spacing w:line="400" w:lineRule="exact"/>
        <w:rPr>
          <w:rFonts w:ascii="仿宋" w:hAnsi="仿宋" w:eastAsia="仿宋"/>
        </w:rPr>
      </w:pPr>
      <w:bookmarkStart w:id="52" w:name="_Toc115096793"/>
      <w:r>
        <w:rPr>
          <w:rFonts w:hint="eastAsia" w:ascii="仿宋" w:hAnsi="仿宋" w:eastAsia="仿宋"/>
        </w:rPr>
        <w:t>评标指引表</w:t>
      </w:r>
      <w:bookmarkEnd w:id="51"/>
      <w:bookmarkEnd w:id="52"/>
    </w:p>
    <w:p w14:paraId="4376FF91">
      <w:pPr>
        <w:jc w:val="center"/>
        <w:rPr>
          <w:b/>
          <w:szCs w:val="21"/>
        </w:rPr>
      </w:pPr>
    </w:p>
    <w:p w14:paraId="39BE44EE">
      <w:pPr>
        <w:spacing w:line="360" w:lineRule="auto"/>
        <w:ind w:firstLine="420" w:firstLineChars="200"/>
        <w:rPr>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14:paraId="5FAC20B1">
      <w:pPr>
        <w:spacing w:line="360" w:lineRule="exact"/>
        <w:rPr>
          <w:b/>
          <w:szCs w:val="21"/>
        </w:rPr>
      </w:pPr>
      <w:r>
        <w:rPr>
          <w:b/>
          <w:szCs w:val="21"/>
        </w:rPr>
        <w:t xml:space="preserve"> </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14:paraId="501BE13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14:paraId="1169212B">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一、综合评分指引（评分内容见第四章  评标方法和标准）</w:t>
            </w:r>
          </w:p>
        </w:tc>
      </w:tr>
      <w:tr w14:paraId="19F6A88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14:paraId="6167A064">
            <w:pPr>
              <w:spacing w:line="360" w:lineRule="exact"/>
              <w:jc w:val="center"/>
              <w:rPr>
                <w:rFonts w:ascii="宋体" w:hAnsi="宋体"/>
                <w:szCs w:val="21"/>
              </w:rPr>
            </w:pPr>
            <w:r>
              <w:rPr>
                <w:rFonts w:hint="eastAsia" w:ascii="宋体" w:hAnsi="宋体"/>
                <w:szCs w:val="21"/>
              </w:rPr>
              <w:t>评分类别</w:t>
            </w:r>
          </w:p>
        </w:tc>
        <w:tc>
          <w:tcPr>
            <w:tcW w:w="4854" w:type="dxa"/>
            <w:vAlign w:val="center"/>
          </w:tcPr>
          <w:p w14:paraId="10352596">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14:paraId="7C126759">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14:paraId="1C5DBD85">
            <w:pPr>
              <w:spacing w:line="360" w:lineRule="exact"/>
              <w:jc w:val="center"/>
              <w:rPr>
                <w:rFonts w:ascii="宋体" w:hAnsi="宋体"/>
                <w:szCs w:val="21"/>
              </w:rPr>
            </w:pPr>
            <w:r>
              <w:rPr>
                <w:rFonts w:hint="eastAsia" w:ascii="宋体" w:hAnsi="宋体"/>
                <w:szCs w:val="21"/>
              </w:rPr>
              <w:t>备注</w:t>
            </w:r>
          </w:p>
        </w:tc>
      </w:tr>
      <w:tr w14:paraId="155944C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1057" w:type="dxa"/>
            <w:vAlign w:val="center"/>
          </w:tcPr>
          <w:p w14:paraId="686848BB">
            <w:pPr>
              <w:spacing w:line="360" w:lineRule="exact"/>
              <w:jc w:val="center"/>
              <w:rPr>
                <w:rFonts w:ascii="宋体" w:hAnsi="宋体"/>
                <w:szCs w:val="21"/>
              </w:rPr>
            </w:pPr>
            <w:r>
              <w:rPr>
                <w:rFonts w:hint="eastAsia" w:ascii="宋体" w:hAnsi="宋体"/>
                <w:szCs w:val="21"/>
              </w:rPr>
              <w:t>价格部分</w:t>
            </w:r>
          </w:p>
        </w:tc>
        <w:tc>
          <w:tcPr>
            <w:tcW w:w="4854" w:type="dxa"/>
            <w:vAlign w:val="center"/>
          </w:tcPr>
          <w:p w14:paraId="7B55C2E1">
            <w:pPr>
              <w:jc w:val="center"/>
              <w:rPr>
                <w:rFonts w:asciiTheme="minorEastAsia" w:hAnsiTheme="minorEastAsia" w:eastAsiaTheme="minorEastAsia"/>
              </w:rPr>
            </w:pPr>
            <w:r>
              <w:rPr>
                <w:rFonts w:hint="eastAsia" w:asciiTheme="minorEastAsia" w:hAnsiTheme="minorEastAsia" w:eastAsiaTheme="minorEastAsia"/>
                <w:szCs w:val="21"/>
              </w:rPr>
              <w:t>详见“第四章  评标方法和标准”</w:t>
            </w:r>
          </w:p>
        </w:tc>
        <w:tc>
          <w:tcPr>
            <w:tcW w:w="2169" w:type="dxa"/>
            <w:vAlign w:val="center"/>
          </w:tcPr>
          <w:p w14:paraId="46F2573C">
            <w:pPr>
              <w:spacing w:line="360" w:lineRule="exact"/>
              <w:jc w:val="center"/>
              <w:rPr>
                <w:rFonts w:ascii="宋体" w:hAnsi="宋体"/>
                <w:b/>
                <w:szCs w:val="21"/>
              </w:rPr>
            </w:pPr>
          </w:p>
        </w:tc>
        <w:tc>
          <w:tcPr>
            <w:tcW w:w="1472" w:type="dxa"/>
            <w:vAlign w:val="center"/>
          </w:tcPr>
          <w:p w14:paraId="7A9656B4">
            <w:pPr>
              <w:spacing w:line="360" w:lineRule="exact"/>
              <w:jc w:val="center"/>
              <w:rPr>
                <w:rFonts w:ascii="宋体" w:hAnsi="宋体"/>
                <w:b/>
                <w:szCs w:val="21"/>
              </w:rPr>
            </w:pPr>
          </w:p>
        </w:tc>
      </w:tr>
      <w:tr w14:paraId="5BD741B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14:paraId="12FDF66B">
            <w:pPr>
              <w:spacing w:line="360" w:lineRule="exact"/>
              <w:jc w:val="center"/>
              <w:rPr>
                <w:rFonts w:ascii="宋体" w:hAnsi="宋体"/>
                <w:szCs w:val="21"/>
              </w:rPr>
            </w:pPr>
            <w:r>
              <w:rPr>
                <w:rFonts w:hint="eastAsia" w:ascii="宋体" w:hAnsi="宋体"/>
                <w:szCs w:val="21"/>
              </w:rPr>
              <w:t>技术部分</w:t>
            </w:r>
          </w:p>
        </w:tc>
        <w:tc>
          <w:tcPr>
            <w:tcW w:w="4854" w:type="dxa"/>
          </w:tcPr>
          <w:p w14:paraId="380FC697">
            <w:pPr>
              <w:spacing w:line="360" w:lineRule="exact"/>
              <w:jc w:val="center"/>
              <w:rPr>
                <w:rFonts w:ascii="宋体" w:hAnsi="宋体"/>
                <w:szCs w:val="21"/>
              </w:rPr>
            </w:pPr>
            <w:r>
              <w:rPr>
                <w:rFonts w:hint="eastAsia" w:ascii="宋体" w:hAnsi="宋体"/>
                <w:szCs w:val="21"/>
              </w:rPr>
              <w:t>1.……</w:t>
            </w:r>
          </w:p>
        </w:tc>
        <w:tc>
          <w:tcPr>
            <w:tcW w:w="2169" w:type="dxa"/>
            <w:vAlign w:val="center"/>
          </w:tcPr>
          <w:p w14:paraId="17DADFA9">
            <w:pPr>
              <w:spacing w:line="360" w:lineRule="exact"/>
              <w:jc w:val="center"/>
              <w:rPr>
                <w:rFonts w:ascii="宋体" w:hAnsi="宋体"/>
                <w:b/>
                <w:szCs w:val="21"/>
              </w:rPr>
            </w:pPr>
          </w:p>
        </w:tc>
        <w:tc>
          <w:tcPr>
            <w:tcW w:w="1472" w:type="dxa"/>
            <w:vAlign w:val="center"/>
          </w:tcPr>
          <w:p w14:paraId="29F06672">
            <w:pPr>
              <w:spacing w:line="360" w:lineRule="exact"/>
              <w:jc w:val="center"/>
              <w:rPr>
                <w:rFonts w:ascii="宋体" w:hAnsi="宋体"/>
                <w:b/>
                <w:szCs w:val="21"/>
              </w:rPr>
            </w:pPr>
          </w:p>
        </w:tc>
      </w:tr>
      <w:tr w14:paraId="0CF414B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14:paraId="607AF5DE">
            <w:pPr>
              <w:spacing w:line="360" w:lineRule="exact"/>
              <w:jc w:val="center"/>
              <w:rPr>
                <w:rFonts w:ascii="宋体" w:hAnsi="宋体"/>
                <w:szCs w:val="21"/>
              </w:rPr>
            </w:pPr>
          </w:p>
        </w:tc>
        <w:tc>
          <w:tcPr>
            <w:tcW w:w="4854" w:type="dxa"/>
          </w:tcPr>
          <w:p w14:paraId="129F7D87">
            <w:pPr>
              <w:spacing w:line="360" w:lineRule="exact"/>
              <w:jc w:val="center"/>
              <w:rPr>
                <w:rFonts w:ascii="宋体" w:hAnsi="宋体"/>
                <w:szCs w:val="21"/>
              </w:rPr>
            </w:pPr>
            <w:r>
              <w:rPr>
                <w:rFonts w:hint="eastAsia" w:ascii="宋体" w:hAnsi="宋体"/>
                <w:szCs w:val="21"/>
              </w:rPr>
              <w:t>2.……</w:t>
            </w:r>
          </w:p>
        </w:tc>
        <w:tc>
          <w:tcPr>
            <w:tcW w:w="2169" w:type="dxa"/>
            <w:vAlign w:val="center"/>
          </w:tcPr>
          <w:p w14:paraId="10A1B43A">
            <w:pPr>
              <w:spacing w:line="360" w:lineRule="exact"/>
              <w:jc w:val="center"/>
              <w:rPr>
                <w:rFonts w:ascii="宋体" w:hAnsi="宋体"/>
                <w:b/>
                <w:szCs w:val="21"/>
              </w:rPr>
            </w:pPr>
          </w:p>
        </w:tc>
        <w:tc>
          <w:tcPr>
            <w:tcW w:w="1472" w:type="dxa"/>
            <w:vAlign w:val="center"/>
          </w:tcPr>
          <w:p w14:paraId="330F91DA">
            <w:pPr>
              <w:spacing w:line="360" w:lineRule="exact"/>
              <w:jc w:val="center"/>
              <w:rPr>
                <w:rFonts w:ascii="宋体" w:hAnsi="宋体"/>
                <w:b/>
                <w:szCs w:val="21"/>
              </w:rPr>
            </w:pPr>
          </w:p>
        </w:tc>
      </w:tr>
      <w:tr w14:paraId="6F003C0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14:paraId="38CC0D27">
            <w:pPr>
              <w:spacing w:line="360" w:lineRule="exact"/>
              <w:jc w:val="center"/>
              <w:rPr>
                <w:rFonts w:ascii="宋体" w:hAnsi="宋体"/>
                <w:szCs w:val="21"/>
              </w:rPr>
            </w:pPr>
          </w:p>
        </w:tc>
        <w:tc>
          <w:tcPr>
            <w:tcW w:w="4854" w:type="dxa"/>
          </w:tcPr>
          <w:p w14:paraId="42198B69">
            <w:pPr>
              <w:spacing w:line="360" w:lineRule="exact"/>
              <w:jc w:val="center"/>
              <w:rPr>
                <w:rFonts w:ascii="宋体" w:hAnsi="宋体"/>
                <w:szCs w:val="21"/>
              </w:rPr>
            </w:pPr>
            <w:r>
              <w:rPr>
                <w:rFonts w:hint="eastAsia" w:ascii="宋体" w:hAnsi="宋体"/>
                <w:szCs w:val="21"/>
              </w:rPr>
              <w:t>……</w:t>
            </w:r>
          </w:p>
        </w:tc>
        <w:tc>
          <w:tcPr>
            <w:tcW w:w="2169" w:type="dxa"/>
            <w:vAlign w:val="center"/>
          </w:tcPr>
          <w:p w14:paraId="7B50E9A7">
            <w:pPr>
              <w:spacing w:line="360" w:lineRule="exact"/>
              <w:jc w:val="center"/>
              <w:rPr>
                <w:rFonts w:ascii="宋体" w:hAnsi="宋体"/>
                <w:b/>
                <w:szCs w:val="21"/>
              </w:rPr>
            </w:pPr>
          </w:p>
        </w:tc>
        <w:tc>
          <w:tcPr>
            <w:tcW w:w="1472" w:type="dxa"/>
            <w:vAlign w:val="center"/>
          </w:tcPr>
          <w:p w14:paraId="366D17EB">
            <w:pPr>
              <w:spacing w:line="360" w:lineRule="exact"/>
              <w:jc w:val="center"/>
              <w:rPr>
                <w:rFonts w:ascii="宋体" w:hAnsi="宋体"/>
                <w:b/>
                <w:szCs w:val="21"/>
              </w:rPr>
            </w:pPr>
          </w:p>
        </w:tc>
      </w:tr>
      <w:tr w14:paraId="297F9CB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14:paraId="51E00723">
            <w:pPr>
              <w:spacing w:line="360" w:lineRule="exact"/>
              <w:jc w:val="center"/>
              <w:rPr>
                <w:rFonts w:ascii="宋体" w:hAnsi="宋体"/>
                <w:szCs w:val="21"/>
              </w:rPr>
            </w:pPr>
            <w:r>
              <w:rPr>
                <w:rFonts w:hint="eastAsia" w:ascii="宋体" w:hAnsi="宋体"/>
                <w:szCs w:val="21"/>
              </w:rPr>
              <w:t>商务部分</w:t>
            </w:r>
          </w:p>
        </w:tc>
        <w:tc>
          <w:tcPr>
            <w:tcW w:w="4854" w:type="dxa"/>
          </w:tcPr>
          <w:p w14:paraId="74D54758">
            <w:pPr>
              <w:spacing w:line="360" w:lineRule="exact"/>
              <w:jc w:val="center"/>
              <w:rPr>
                <w:rFonts w:ascii="宋体" w:hAnsi="宋体"/>
                <w:szCs w:val="21"/>
              </w:rPr>
            </w:pPr>
            <w:r>
              <w:rPr>
                <w:rFonts w:hint="eastAsia" w:ascii="宋体" w:hAnsi="宋体"/>
                <w:szCs w:val="21"/>
              </w:rPr>
              <w:t>1.……</w:t>
            </w:r>
          </w:p>
        </w:tc>
        <w:tc>
          <w:tcPr>
            <w:tcW w:w="2169" w:type="dxa"/>
            <w:vAlign w:val="center"/>
          </w:tcPr>
          <w:p w14:paraId="1FB1A6FA">
            <w:pPr>
              <w:spacing w:line="360" w:lineRule="exact"/>
              <w:jc w:val="center"/>
              <w:rPr>
                <w:rFonts w:ascii="宋体" w:hAnsi="宋体"/>
                <w:b/>
                <w:szCs w:val="21"/>
              </w:rPr>
            </w:pPr>
          </w:p>
        </w:tc>
        <w:tc>
          <w:tcPr>
            <w:tcW w:w="1472" w:type="dxa"/>
            <w:vAlign w:val="center"/>
          </w:tcPr>
          <w:p w14:paraId="4E6A1055">
            <w:pPr>
              <w:spacing w:line="360" w:lineRule="exact"/>
              <w:jc w:val="center"/>
              <w:rPr>
                <w:rFonts w:ascii="宋体" w:hAnsi="宋体"/>
                <w:b/>
                <w:szCs w:val="21"/>
              </w:rPr>
            </w:pPr>
          </w:p>
        </w:tc>
      </w:tr>
      <w:tr w14:paraId="055864B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14:paraId="24742385">
            <w:pPr>
              <w:spacing w:line="360" w:lineRule="exact"/>
              <w:jc w:val="center"/>
              <w:rPr>
                <w:rFonts w:ascii="宋体" w:hAnsi="宋体"/>
                <w:szCs w:val="21"/>
              </w:rPr>
            </w:pPr>
          </w:p>
        </w:tc>
        <w:tc>
          <w:tcPr>
            <w:tcW w:w="4854" w:type="dxa"/>
          </w:tcPr>
          <w:p w14:paraId="64006104">
            <w:pPr>
              <w:spacing w:line="360" w:lineRule="exact"/>
              <w:jc w:val="center"/>
              <w:rPr>
                <w:rFonts w:ascii="宋体" w:hAnsi="宋体"/>
                <w:szCs w:val="21"/>
              </w:rPr>
            </w:pPr>
            <w:r>
              <w:rPr>
                <w:rFonts w:hint="eastAsia" w:ascii="宋体" w:hAnsi="宋体"/>
                <w:szCs w:val="21"/>
              </w:rPr>
              <w:t>2.……</w:t>
            </w:r>
          </w:p>
        </w:tc>
        <w:tc>
          <w:tcPr>
            <w:tcW w:w="2169" w:type="dxa"/>
            <w:vAlign w:val="center"/>
          </w:tcPr>
          <w:p w14:paraId="19C440B1">
            <w:pPr>
              <w:spacing w:line="360" w:lineRule="exact"/>
              <w:jc w:val="center"/>
              <w:rPr>
                <w:rFonts w:ascii="宋体" w:hAnsi="宋体"/>
                <w:b/>
                <w:szCs w:val="21"/>
              </w:rPr>
            </w:pPr>
          </w:p>
        </w:tc>
        <w:tc>
          <w:tcPr>
            <w:tcW w:w="1472" w:type="dxa"/>
            <w:vAlign w:val="center"/>
          </w:tcPr>
          <w:p w14:paraId="5C3D40D2">
            <w:pPr>
              <w:spacing w:line="360" w:lineRule="exact"/>
              <w:jc w:val="center"/>
              <w:rPr>
                <w:rFonts w:ascii="宋体" w:hAnsi="宋体"/>
                <w:b/>
                <w:szCs w:val="21"/>
              </w:rPr>
            </w:pPr>
          </w:p>
        </w:tc>
      </w:tr>
      <w:tr w14:paraId="5347E96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14:paraId="5B967DAE">
            <w:pPr>
              <w:spacing w:line="360" w:lineRule="exact"/>
              <w:jc w:val="center"/>
              <w:rPr>
                <w:rFonts w:ascii="宋体" w:hAnsi="宋体"/>
                <w:szCs w:val="21"/>
              </w:rPr>
            </w:pPr>
          </w:p>
        </w:tc>
        <w:tc>
          <w:tcPr>
            <w:tcW w:w="4854" w:type="dxa"/>
          </w:tcPr>
          <w:p w14:paraId="782149F8">
            <w:pPr>
              <w:spacing w:line="360" w:lineRule="exact"/>
              <w:jc w:val="center"/>
              <w:rPr>
                <w:rFonts w:ascii="宋体" w:hAnsi="宋体"/>
                <w:szCs w:val="21"/>
              </w:rPr>
            </w:pPr>
            <w:r>
              <w:rPr>
                <w:rFonts w:hint="eastAsia" w:ascii="宋体" w:hAnsi="宋体"/>
                <w:szCs w:val="21"/>
              </w:rPr>
              <w:t>……</w:t>
            </w:r>
          </w:p>
        </w:tc>
        <w:tc>
          <w:tcPr>
            <w:tcW w:w="2169" w:type="dxa"/>
            <w:vAlign w:val="center"/>
          </w:tcPr>
          <w:p w14:paraId="22DF3BF6">
            <w:pPr>
              <w:spacing w:line="360" w:lineRule="exact"/>
              <w:jc w:val="center"/>
              <w:rPr>
                <w:rFonts w:ascii="宋体" w:hAnsi="宋体"/>
                <w:b/>
                <w:szCs w:val="21"/>
              </w:rPr>
            </w:pPr>
          </w:p>
        </w:tc>
        <w:tc>
          <w:tcPr>
            <w:tcW w:w="1472" w:type="dxa"/>
            <w:vAlign w:val="center"/>
          </w:tcPr>
          <w:p w14:paraId="51040426">
            <w:pPr>
              <w:spacing w:line="360" w:lineRule="exact"/>
              <w:jc w:val="center"/>
              <w:rPr>
                <w:rFonts w:ascii="宋体" w:hAnsi="宋体"/>
                <w:b/>
                <w:szCs w:val="21"/>
              </w:rPr>
            </w:pPr>
          </w:p>
        </w:tc>
      </w:tr>
      <w:tr w14:paraId="02CC94D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14:paraId="299B4067">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二、其他评标指引</w:t>
            </w:r>
          </w:p>
        </w:tc>
      </w:tr>
      <w:tr w14:paraId="27416E6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14:paraId="60CCC5BF">
            <w:pPr>
              <w:spacing w:line="360" w:lineRule="exact"/>
              <w:jc w:val="center"/>
              <w:rPr>
                <w:rFonts w:ascii="宋体" w:hAnsi="宋体"/>
                <w:szCs w:val="21"/>
              </w:rPr>
            </w:pPr>
            <w:r>
              <w:rPr>
                <w:rFonts w:hint="eastAsia" w:ascii="宋体" w:hAnsi="宋体"/>
                <w:szCs w:val="21"/>
              </w:rPr>
              <w:t>其他资料</w:t>
            </w:r>
          </w:p>
        </w:tc>
        <w:tc>
          <w:tcPr>
            <w:tcW w:w="4854" w:type="dxa"/>
            <w:vAlign w:val="center"/>
          </w:tcPr>
          <w:p w14:paraId="3F8C53F6">
            <w:pPr>
              <w:rPr>
                <w:rFonts w:asciiTheme="minorEastAsia" w:hAnsiTheme="minorEastAsia" w:eastAsiaTheme="minorEastAsia"/>
              </w:rPr>
            </w:pPr>
            <w:r>
              <w:rPr>
                <w:rFonts w:hint="eastAsia" w:asciiTheme="minorEastAsia" w:hAnsiTheme="minorEastAsia" w:eastAsiaTheme="minorEastAsia"/>
                <w:color w:val="FF0000"/>
                <w:kern w:val="0"/>
                <w:szCs w:val="21"/>
              </w:rPr>
              <w:t>投标单位法定代表人、主要经营负责人、项目投标授权代表人、项目负责人及主要技术人员近一年社保缴纳查询记录（包含在投标单位及其他缴纳社保单位的记录）；社保缴纳不满一年的按实际缴纳情况提供。</w:t>
            </w:r>
          </w:p>
        </w:tc>
        <w:tc>
          <w:tcPr>
            <w:tcW w:w="2169" w:type="dxa"/>
            <w:vAlign w:val="center"/>
          </w:tcPr>
          <w:p w14:paraId="717EDB70">
            <w:pPr>
              <w:spacing w:line="360" w:lineRule="exact"/>
              <w:jc w:val="center"/>
              <w:rPr>
                <w:rFonts w:ascii="宋体" w:hAnsi="宋体"/>
                <w:b/>
                <w:szCs w:val="21"/>
              </w:rPr>
            </w:pPr>
          </w:p>
        </w:tc>
        <w:tc>
          <w:tcPr>
            <w:tcW w:w="1472" w:type="dxa"/>
            <w:vAlign w:val="center"/>
          </w:tcPr>
          <w:p w14:paraId="51111F27">
            <w:pPr>
              <w:spacing w:line="360" w:lineRule="exact"/>
              <w:jc w:val="center"/>
              <w:rPr>
                <w:rFonts w:ascii="宋体" w:hAnsi="宋体"/>
                <w:b/>
                <w:szCs w:val="21"/>
              </w:rPr>
            </w:pPr>
          </w:p>
        </w:tc>
      </w:tr>
    </w:tbl>
    <w:p w14:paraId="35392166">
      <w:pPr>
        <w:pStyle w:val="26"/>
        <w:spacing w:line="360" w:lineRule="auto"/>
        <w:rPr>
          <w:rFonts w:hAnsi="宋体"/>
          <w:b/>
          <w:szCs w:val="21"/>
        </w:rPr>
      </w:pPr>
    </w:p>
    <w:p w14:paraId="1E184211">
      <w:pPr>
        <w:pStyle w:val="26"/>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14:paraId="1AB80B81">
      <w:pPr>
        <w:pStyle w:val="4"/>
        <w:jc w:val="center"/>
      </w:pPr>
    </w:p>
    <w:p w14:paraId="72E664B0"/>
    <w:p w14:paraId="3B7E4589"/>
    <w:p w14:paraId="6CCB72E6"/>
    <w:p w14:paraId="77EFF60A"/>
    <w:p w14:paraId="6D66C5DE"/>
    <w:p w14:paraId="4F384AEA">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53" w:name="_Toc44690432"/>
      <w:bookmarkStart w:id="54" w:name="_Toc44690705"/>
      <w:bookmarkStart w:id="55" w:name="_Toc44691396"/>
      <w:bookmarkStart w:id="56" w:name="_Toc44691164"/>
      <w:r>
        <w:rPr>
          <w:rFonts w:hint="eastAsia" w:asciiTheme="minorEastAsia" w:hAnsiTheme="minorEastAsia" w:eastAsiaTheme="minorEastAsia"/>
          <w:sz w:val="24"/>
        </w:rPr>
        <w:t>格式1  投标人资格证明文件</w:t>
      </w:r>
      <w:bookmarkEnd w:id="53"/>
      <w:bookmarkEnd w:id="54"/>
      <w:bookmarkEnd w:id="55"/>
      <w:bookmarkEnd w:id="56"/>
    </w:p>
    <w:p w14:paraId="3BDA9379">
      <w:pPr>
        <w:adjustRightInd w:val="0"/>
        <w:snapToGrid w:val="0"/>
        <w:spacing w:line="360" w:lineRule="auto"/>
        <w:rPr>
          <w:rFonts w:ascii="宋体" w:hAnsi="宋体"/>
          <w:bCs/>
          <w:snapToGrid w:val="0"/>
          <w:kern w:val="0"/>
          <w:szCs w:val="21"/>
        </w:rPr>
      </w:pPr>
    </w:p>
    <w:p w14:paraId="12EC4412">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14:paraId="024DC014">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14:paraId="58D4164F">
      <w:pPr>
        <w:adjustRightInd w:val="0"/>
        <w:snapToGrid w:val="0"/>
        <w:spacing w:line="360" w:lineRule="auto"/>
        <w:ind w:firstLine="424" w:firstLineChars="202"/>
        <w:rPr>
          <w:rFonts w:hint="eastAsia" w:ascii="宋体" w:hAnsi="宋体" w:eastAsia="宋体"/>
          <w:lang w:val="en-US" w:eastAsia="zh-CN"/>
        </w:rPr>
      </w:pPr>
      <w:r>
        <w:rPr>
          <w:rFonts w:hint="eastAsia" w:ascii="宋体" w:hAnsi="宋体"/>
          <w:lang w:val="en-US" w:eastAsia="zh-CN"/>
        </w:rPr>
        <w:t>3、</w:t>
      </w:r>
      <w:r>
        <w:rPr>
          <w:rFonts w:hint="eastAsia" w:ascii="宋体" w:hAnsi="宋体"/>
        </w:rPr>
        <w:t>中小企业声明函或残疾人福利性单位声明函或监狱企业声明函</w:t>
      </w:r>
    </w:p>
    <w:p w14:paraId="7BF4A7C5">
      <w:pPr>
        <w:adjustRightInd w:val="0"/>
        <w:snapToGrid w:val="0"/>
        <w:spacing w:line="360" w:lineRule="auto"/>
        <w:ind w:firstLine="424" w:firstLineChars="202"/>
        <w:rPr>
          <w:rFonts w:hint="default" w:ascii="宋体" w:hAnsi="宋体"/>
          <w:lang w:val="en-US" w:eastAsia="zh-CN"/>
        </w:rPr>
      </w:pPr>
      <w:r>
        <w:rPr>
          <w:rFonts w:hint="eastAsia" w:ascii="宋体" w:hAnsi="宋体"/>
          <w:lang w:val="en-US" w:eastAsia="zh-CN"/>
        </w:rPr>
        <w:t>4、</w:t>
      </w:r>
      <w:r>
        <w:rPr>
          <w:rFonts w:hint="eastAsia" w:asciiTheme="minorEastAsia" w:hAnsiTheme="minorEastAsia" w:eastAsiaTheme="minorEastAsia"/>
          <w:snapToGrid w:val="0"/>
          <w:color w:val="auto"/>
          <w:sz w:val="21"/>
          <w:lang w:eastAsia="zh-CN"/>
        </w:rPr>
        <w:t>一类或二类汽车维修企业备案</w:t>
      </w:r>
    </w:p>
    <w:p w14:paraId="78406710">
      <w:pPr>
        <w:adjustRightInd w:val="0"/>
        <w:snapToGrid w:val="0"/>
        <w:spacing w:line="360" w:lineRule="auto"/>
        <w:ind w:firstLine="424" w:firstLineChars="202"/>
        <w:rPr>
          <w:rFonts w:ascii="宋体" w:hAnsi="宋体"/>
        </w:rPr>
      </w:pPr>
      <w:r>
        <w:rPr>
          <w:rFonts w:hint="eastAsia" w:ascii="宋体" w:hAnsi="宋体"/>
          <w:lang w:val="en-US" w:eastAsia="zh-CN"/>
        </w:rPr>
        <w:t>5</w:t>
      </w:r>
      <w:r>
        <w:rPr>
          <w:rFonts w:hint="eastAsia" w:ascii="宋体" w:hAnsi="宋体"/>
        </w:rPr>
        <w:t>、其它资格证明材料（如有，按第一章投标邀请“申请人的资格要求”提供）</w:t>
      </w:r>
    </w:p>
    <w:p w14:paraId="5A15A106">
      <w:pPr>
        <w:adjustRightInd w:val="0"/>
        <w:snapToGrid w:val="0"/>
        <w:spacing w:line="360" w:lineRule="auto"/>
        <w:ind w:firstLine="424" w:firstLineChars="202"/>
        <w:rPr>
          <w:rFonts w:ascii="宋体" w:hAnsi="宋体"/>
          <w:bCs/>
          <w:snapToGrid w:val="0"/>
          <w:kern w:val="0"/>
        </w:rPr>
      </w:pPr>
    </w:p>
    <w:p w14:paraId="7AC1202D">
      <w:pPr>
        <w:adjustRightInd w:val="0"/>
        <w:snapToGrid w:val="0"/>
        <w:spacing w:line="360" w:lineRule="auto"/>
        <w:ind w:firstLine="426" w:firstLineChars="202"/>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14:paraId="4F7DC952">
      <w:pPr>
        <w:adjustRightInd w:val="0"/>
        <w:snapToGrid w:val="0"/>
        <w:spacing w:line="300" w:lineRule="auto"/>
        <w:jc w:val="right"/>
        <w:rPr>
          <w:snapToGrid w:val="0"/>
          <w:kern w:val="0"/>
        </w:rPr>
      </w:pPr>
    </w:p>
    <w:p w14:paraId="6FE205BF">
      <w:pPr>
        <w:adjustRightInd w:val="0"/>
        <w:snapToGrid w:val="0"/>
        <w:spacing w:line="300" w:lineRule="auto"/>
        <w:jc w:val="center"/>
        <w:rPr>
          <w:b/>
          <w:snapToGrid w:val="0"/>
          <w:sz w:val="32"/>
          <w:szCs w:val="32"/>
        </w:rPr>
      </w:pPr>
    </w:p>
    <w:p w14:paraId="24A6B0E2">
      <w:pPr>
        <w:adjustRightInd w:val="0"/>
        <w:snapToGrid w:val="0"/>
        <w:spacing w:line="300" w:lineRule="auto"/>
        <w:jc w:val="center"/>
        <w:rPr>
          <w:b/>
          <w:snapToGrid w:val="0"/>
          <w:sz w:val="32"/>
          <w:szCs w:val="32"/>
        </w:rPr>
      </w:pPr>
    </w:p>
    <w:p w14:paraId="482DD1FD">
      <w:pPr>
        <w:adjustRightInd w:val="0"/>
        <w:snapToGrid w:val="0"/>
        <w:spacing w:line="300" w:lineRule="auto"/>
        <w:jc w:val="center"/>
        <w:rPr>
          <w:b/>
          <w:snapToGrid w:val="0"/>
          <w:sz w:val="32"/>
          <w:szCs w:val="32"/>
        </w:rPr>
      </w:pPr>
    </w:p>
    <w:p w14:paraId="4803DE95">
      <w:pPr>
        <w:adjustRightInd w:val="0"/>
        <w:snapToGrid w:val="0"/>
        <w:spacing w:line="300" w:lineRule="auto"/>
        <w:jc w:val="center"/>
        <w:rPr>
          <w:b/>
          <w:snapToGrid w:val="0"/>
          <w:sz w:val="32"/>
          <w:szCs w:val="32"/>
        </w:rPr>
      </w:pPr>
    </w:p>
    <w:p w14:paraId="664458EB">
      <w:pPr>
        <w:adjustRightInd w:val="0"/>
        <w:snapToGrid w:val="0"/>
        <w:spacing w:line="300" w:lineRule="auto"/>
        <w:jc w:val="center"/>
        <w:rPr>
          <w:b/>
          <w:snapToGrid w:val="0"/>
          <w:sz w:val="32"/>
          <w:szCs w:val="32"/>
        </w:rPr>
      </w:pPr>
    </w:p>
    <w:p w14:paraId="2A7AB4E1">
      <w:pPr>
        <w:adjustRightInd w:val="0"/>
        <w:snapToGrid w:val="0"/>
        <w:spacing w:line="300" w:lineRule="auto"/>
        <w:jc w:val="center"/>
        <w:rPr>
          <w:b/>
          <w:snapToGrid w:val="0"/>
          <w:sz w:val="32"/>
          <w:szCs w:val="32"/>
        </w:rPr>
      </w:pPr>
    </w:p>
    <w:p w14:paraId="43526CB4">
      <w:pPr>
        <w:adjustRightInd w:val="0"/>
        <w:snapToGrid w:val="0"/>
        <w:spacing w:line="300" w:lineRule="auto"/>
        <w:jc w:val="center"/>
        <w:rPr>
          <w:b/>
          <w:snapToGrid w:val="0"/>
          <w:sz w:val="32"/>
          <w:szCs w:val="32"/>
        </w:rPr>
      </w:pPr>
    </w:p>
    <w:p w14:paraId="7965141E">
      <w:pPr>
        <w:adjustRightInd w:val="0"/>
        <w:snapToGrid w:val="0"/>
        <w:spacing w:line="300" w:lineRule="auto"/>
        <w:jc w:val="center"/>
        <w:rPr>
          <w:b/>
          <w:snapToGrid w:val="0"/>
          <w:sz w:val="32"/>
          <w:szCs w:val="32"/>
        </w:rPr>
      </w:pPr>
    </w:p>
    <w:p w14:paraId="3893BE09">
      <w:pPr>
        <w:adjustRightInd w:val="0"/>
        <w:snapToGrid w:val="0"/>
        <w:spacing w:line="300" w:lineRule="auto"/>
        <w:jc w:val="center"/>
        <w:rPr>
          <w:b/>
          <w:snapToGrid w:val="0"/>
          <w:sz w:val="32"/>
          <w:szCs w:val="32"/>
        </w:rPr>
      </w:pPr>
    </w:p>
    <w:p w14:paraId="6A8ED836">
      <w:pPr>
        <w:adjustRightInd w:val="0"/>
        <w:snapToGrid w:val="0"/>
        <w:spacing w:line="300" w:lineRule="auto"/>
        <w:jc w:val="center"/>
        <w:rPr>
          <w:b/>
          <w:snapToGrid w:val="0"/>
          <w:sz w:val="32"/>
          <w:szCs w:val="32"/>
        </w:rPr>
      </w:pPr>
    </w:p>
    <w:p w14:paraId="5194E960">
      <w:pPr>
        <w:adjustRightInd w:val="0"/>
        <w:snapToGrid w:val="0"/>
        <w:spacing w:line="300" w:lineRule="auto"/>
        <w:jc w:val="center"/>
        <w:rPr>
          <w:b/>
          <w:snapToGrid w:val="0"/>
          <w:sz w:val="32"/>
          <w:szCs w:val="32"/>
        </w:rPr>
      </w:pPr>
    </w:p>
    <w:p w14:paraId="3A90B964">
      <w:pPr>
        <w:adjustRightInd w:val="0"/>
        <w:snapToGrid w:val="0"/>
        <w:spacing w:line="300" w:lineRule="auto"/>
        <w:jc w:val="center"/>
        <w:rPr>
          <w:b/>
          <w:snapToGrid w:val="0"/>
          <w:sz w:val="32"/>
          <w:szCs w:val="32"/>
        </w:rPr>
      </w:pPr>
    </w:p>
    <w:p w14:paraId="152655B5">
      <w:pPr>
        <w:adjustRightInd w:val="0"/>
        <w:snapToGrid w:val="0"/>
        <w:spacing w:line="300" w:lineRule="auto"/>
        <w:jc w:val="center"/>
        <w:rPr>
          <w:b/>
          <w:snapToGrid w:val="0"/>
          <w:sz w:val="32"/>
          <w:szCs w:val="32"/>
        </w:rPr>
      </w:pPr>
    </w:p>
    <w:p w14:paraId="468422D8">
      <w:pPr>
        <w:adjustRightInd w:val="0"/>
        <w:snapToGrid w:val="0"/>
        <w:spacing w:line="300" w:lineRule="auto"/>
        <w:jc w:val="center"/>
        <w:rPr>
          <w:b/>
          <w:snapToGrid w:val="0"/>
          <w:sz w:val="32"/>
          <w:szCs w:val="32"/>
        </w:rPr>
      </w:pPr>
    </w:p>
    <w:p w14:paraId="648A8BBA">
      <w:pPr>
        <w:adjustRightInd w:val="0"/>
        <w:snapToGrid w:val="0"/>
        <w:spacing w:line="300" w:lineRule="auto"/>
        <w:jc w:val="center"/>
        <w:rPr>
          <w:b/>
          <w:snapToGrid w:val="0"/>
          <w:sz w:val="32"/>
          <w:szCs w:val="32"/>
        </w:rPr>
      </w:pPr>
    </w:p>
    <w:p w14:paraId="69CCCA9D">
      <w:pPr>
        <w:adjustRightInd w:val="0"/>
        <w:snapToGrid w:val="0"/>
        <w:spacing w:line="300" w:lineRule="auto"/>
        <w:jc w:val="center"/>
        <w:rPr>
          <w:b/>
          <w:snapToGrid w:val="0"/>
          <w:sz w:val="32"/>
          <w:szCs w:val="32"/>
        </w:rPr>
      </w:pPr>
    </w:p>
    <w:p w14:paraId="57FF8DED">
      <w:pPr>
        <w:adjustRightInd w:val="0"/>
        <w:snapToGrid w:val="0"/>
        <w:spacing w:line="300" w:lineRule="auto"/>
        <w:jc w:val="center"/>
        <w:rPr>
          <w:b/>
          <w:snapToGrid w:val="0"/>
          <w:sz w:val="32"/>
          <w:szCs w:val="32"/>
        </w:rPr>
      </w:pPr>
    </w:p>
    <w:p w14:paraId="1867EB6E">
      <w:pPr>
        <w:adjustRightInd w:val="0"/>
        <w:snapToGrid w:val="0"/>
        <w:spacing w:line="300" w:lineRule="auto"/>
        <w:jc w:val="center"/>
        <w:rPr>
          <w:b/>
          <w:snapToGrid w:val="0"/>
          <w:sz w:val="32"/>
          <w:szCs w:val="32"/>
        </w:rPr>
      </w:pPr>
    </w:p>
    <w:p w14:paraId="2522368C">
      <w:pPr>
        <w:adjustRightInd w:val="0"/>
        <w:snapToGrid w:val="0"/>
        <w:spacing w:line="300" w:lineRule="auto"/>
        <w:jc w:val="center"/>
        <w:rPr>
          <w:b/>
          <w:snapToGrid w:val="0"/>
          <w:sz w:val="32"/>
          <w:szCs w:val="32"/>
        </w:rPr>
      </w:pPr>
    </w:p>
    <w:p w14:paraId="09A9D3C6">
      <w:pPr>
        <w:adjustRightInd w:val="0"/>
        <w:snapToGrid w:val="0"/>
        <w:spacing w:line="300" w:lineRule="auto"/>
        <w:jc w:val="center"/>
        <w:rPr>
          <w:b/>
          <w:snapToGrid w:val="0"/>
          <w:sz w:val="32"/>
          <w:szCs w:val="32"/>
        </w:rPr>
      </w:pPr>
    </w:p>
    <w:p w14:paraId="689F7C8F">
      <w:pPr>
        <w:widowControl/>
        <w:jc w:val="left"/>
        <w:rPr>
          <w:b/>
          <w:snapToGrid w:val="0"/>
          <w:sz w:val="32"/>
          <w:szCs w:val="32"/>
        </w:rPr>
      </w:pPr>
      <w:r>
        <w:rPr>
          <w:b/>
          <w:snapToGrid w:val="0"/>
          <w:sz w:val="32"/>
          <w:szCs w:val="32"/>
        </w:rPr>
        <w:br w:type="page"/>
      </w:r>
    </w:p>
    <w:p w14:paraId="470C08A7">
      <w:pPr>
        <w:tabs>
          <w:tab w:val="left" w:pos="555"/>
        </w:tabs>
        <w:adjustRightInd w:val="0"/>
        <w:snapToGrid w:val="0"/>
        <w:spacing w:line="300" w:lineRule="auto"/>
        <w:rPr>
          <w:b/>
          <w:snapToGrid w:val="0"/>
          <w:sz w:val="32"/>
          <w:szCs w:val="32"/>
        </w:rPr>
      </w:pPr>
      <w:r>
        <w:rPr>
          <w:b/>
          <w:snapToGrid w:val="0"/>
          <w:sz w:val="32"/>
          <w:szCs w:val="32"/>
        </w:rPr>
        <w:tab/>
      </w:r>
    </w:p>
    <w:p w14:paraId="7FDAF5EB">
      <w:pPr>
        <w:adjustRightInd w:val="0"/>
        <w:spacing w:line="300" w:lineRule="auto"/>
        <w:ind w:hanging="2"/>
        <w:jc w:val="center"/>
      </w:pPr>
      <w:r>
        <w:rPr>
          <w:rFonts w:hint="eastAsia"/>
          <w:b/>
          <w:snapToGrid w:val="0"/>
          <w:kern w:val="0"/>
          <w:sz w:val="28"/>
        </w:rPr>
        <w:t>政府采购投标及履约承诺函</w:t>
      </w:r>
    </w:p>
    <w:p w14:paraId="2B3B0E4A">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14:paraId="3D0695A8">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14:paraId="54F89C4E">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1.我单位满足《中华人民共和国政府采购法》第二十二条规定的下列条件：</w:t>
      </w:r>
    </w:p>
    <w:p w14:paraId="53764780">
      <w:pPr>
        <w:spacing w:line="400" w:lineRule="exact"/>
        <w:ind w:firstLine="420" w:firstLineChars="200"/>
        <w:rPr>
          <w:rFonts w:ascii="宋体" w:hAnsi="宋体"/>
          <w:szCs w:val="21"/>
        </w:rPr>
      </w:pPr>
      <w:r>
        <w:rPr>
          <w:rFonts w:hint="eastAsia" w:ascii="宋体" w:hAnsi="宋体"/>
          <w:szCs w:val="21"/>
        </w:rPr>
        <w:t>（一）具有独立承担民事责任的能力；</w:t>
      </w:r>
    </w:p>
    <w:p w14:paraId="6D445CE2">
      <w:pPr>
        <w:spacing w:line="400" w:lineRule="exact"/>
        <w:ind w:firstLine="420" w:firstLineChars="200"/>
        <w:rPr>
          <w:rFonts w:ascii="宋体" w:hAnsi="宋体"/>
          <w:szCs w:val="21"/>
        </w:rPr>
      </w:pPr>
      <w:r>
        <w:rPr>
          <w:rFonts w:hint="eastAsia" w:ascii="宋体" w:hAnsi="宋体"/>
          <w:szCs w:val="21"/>
        </w:rPr>
        <w:t>（二）具有良好的商业信誉和健全的财务会计制度；</w:t>
      </w:r>
    </w:p>
    <w:p w14:paraId="5C169739">
      <w:pPr>
        <w:spacing w:line="400" w:lineRule="exact"/>
        <w:ind w:firstLine="420" w:firstLineChars="200"/>
        <w:rPr>
          <w:rFonts w:ascii="宋体" w:hAnsi="宋体"/>
          <w:szCs w:val="21"/>
        </w:rPr>
      </w:pPr>
      <w:r>
        <w:rPr>
          <w:rFonts w:hint="eastAsia" w:ascii="宋体" w:hAnsi="宋体"/>
          <w:szCs w:val="21"/>
        </w:rPr>
        <w:t>（三）具有履行合同所必需的设备和专业技术能力；</w:t>
      </w:r>
    </w:p>
    <w:p w14:paraId="2D3BA10F">
      <w:pPr>
        <w:spacing w:line="400" w:lineRule="exact"/>
        <w:ind w:firstLine="420" w:firstLineChars="200"/>
        <w:rPr>
          <w:rFonts w:ascii="宋体" w:hAnsi="宋体"/>
          <w:szCs w:val="21"/>
        </w:rPr>
      </w:pPr>
      <w:r>
        <w:rPr>
          <w:rFonts w:hint="eastAsia" w:ascii="宋体" w:hAnsi="宋体"/>
          <w:szCs w:val="21"/>
        </w:rPr>
        <w:t>（四）有依法缴纳税收和社会保障资金的良好记录；</w:t>
      </w:r>
    </w:p>
    <w:p w14:paraId="048F761F">
      <w:pPr>
        <w:spacing w:line="400" w:lineRule="exact"/>
        <w:ind w:firstLine="420" w:firstLineChars="200"/>
        <w:rPr>
          <w:rFonts w:ascii="宋体" w:hAnsi="宋体"/>
          <w:szCs w:val="21"/>
        </w:rPr>
      </w:pPr>
      <w:r>
        <w:rPr>
          <w:rFonts w:hint="eastAsia" w:ascii="宋体" w:hAnsi="宋体"/>
          <w:szCs w:val="21"/>
        </w:rPr>
        <w:t>（五）参加政府采购活动前三年内，在经营活动中没有重大违法记录；</w:t>
      </w:r>
    </w:p>
    <w:p w14:paraId="54A00069">
      <w:pPr>
        <w:spacing w:line="400" w:lineRule="exact"/>
        <w:ind w:firstLine="420" w:firstLineChars="200"/>
        <w:rPr>
          <w:rFonts w:ascii="宋体" w:hAnsi="宋体"/>
          <w:szCs w:val="21"/>
        </w:rPr>
      </w:pPr>
      <w:r>
        <w:rPr>
          <w:rFonts w:hint="eastAsia" w:ascii="宋体" w:hAnsi="宋体"/>
          <w:szCs w:val="21"/>
        </w:rPr>
        <w:t>（六）法律、行政法规规定的其他条件。</w:t>
      </w:r>
    </w:p>
    <w:p w14:paraId="13C521C5">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2.我单位参与本项目投标前三年内，在经营活动中没有重大违法记录，包括</w:t>
      </w:r>
      <w:r>
        <w:rPr>
          <w:szCs w:val="21"/>
        </w:rPr>
        <w:t>因违法经营受到刑事处罚或者责令停产停业、吊销许可证或者执照、较大数额罚款等行政处罚</w:t>
      </w:r>
      <w:r>
        <w:rPr>
          <w:rFonts w:hint="eastAsia" w:ascii="宋体" w:hAnsi="宋体"/>
          <w:szCs w:val="21"/>
        </w:rPr>
        <w:t>。</w:t>
      </w:r>
    </w:p>
    <w:p w14:paraId="673E7352">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14:paraId="7DAED2E7">
      <w:pPr>
        <w:spacing w:line="400" w:lineRule="exact"/>
        <w:ind w:firstLine="420" w:firstLineChars="200"/>
        <w:rPr>
          <w:rFonts w:ascii="宋体" w:hAnsi="宋体"/>
          <w:szCs w:val="21"/>
        </w:rPr>
      </w:pPr>
      <w:r>
        <w:rPr>
          <w:rFonts w:hint="eastAsia" w:ascii="宋体" w:hAnsi="宋体"/>
          <w:szCs w:val="21"/>
        </w:rPr>
        <w:t>4.我单位承诺非联合体投标，不非法转包或分包，为本项目所提供的货物或服务未侵犯知识产权。</w:t>
      </w:r>
    </w:p>
    <w:p w14:paraId="6187C296">
      <w:pPr>
        <w:spacing w:line="400" w:lineRule="exact"/>
        <w:ind w:firstLine="420" w:firstLineChars="200"/>
        <w:rPr>
          <w:rFonts w:ascii="宋体" w:hAnsi="宋体"/>
          <w:szCs w:val="21"/>
        </w:rPr>
      </w:pPr>
      <w:r>
        <w:rPr>
          <w:rFonts w:hint="eastAsia" w:ascii="宋体" w:hAnsi="宋体"/>
          <w:szCs w:val="21"/>
        </w:rPr>
        <w:t>5.我单位承诺不存在《深圳市财政局政府采购供应商信用信息管理办法》（深财规〔2023〕3号）列明的严重违法失信行为。</w:t>
      </w:r>
    </w:p>
    <w:p w14:paraId="05C51375">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6.我单位参与该项目投标，严格遵循公平竞争的原则，不妨碍其他投标人的竞争行为，不损害采购人或者其他投标人的合法权益，与其他采购参加人不存在下列串通投标情形：</w:t>
      </w:r>
    </w:p>
    <w:p w14:paraId="117B4673">
      <w:pPr>
        <w:spacing w:line="400" w:lineRule="exact"/>
        <w:ind w:firstLine="420" w:firstLineChars="200"/>
        <w:rPr>
          <w:rFonts w:ascii="宋体" w:hAnsi="宋体"/>
          <w:szCs w:val="21"/>
        </w:rPr>
      </w:pPr>
      <w:r>
        <w:rPr>
          <w:rFonts w:hint="eastAsia" w:ascii="宋体" w:hAnsi="宋体"/>
          <w:szCs w:val="21"/>
        </w:rPr>
        <w:t>（1）投标供应商之间相互约定给予未中标的供应商利益补偿；</w:t>
      </w:r>
    </w:p>
    <w:p w14:paraId="292D3EB0">
      <w:pPr>
        <w:spacing w:line="400" w:lineRule="exact"/>
        <w:ind w:firstLine="420" w:firstLineChars="200"/>
        <w:rPr>
          <w:rFonts w:ascii="宋体" w:hAnsi="宋体"/>
          <w:szCs w:val="21"/>
        </w:rPr>
      </w:pPr>
      <w:r>
        <w:rPr>
          <w:rFonts w:hint="eastAsia" w:ascii="宋体" w:hAnsi="宋体"/>
          <w:szCs w:val="21"/>
        </w:rPr>
        <w:t>（2）不同投标供应商的法定代表人、主要经营负责人、项目投标授权代表人、项目负责人、主要技术人员为同一人、属同一单位或者在同一单位缴纳社会保险；</w:t>
      </w:r>
    </w:p>
    <w:p w14:paraId="2F934C2F">
      <w:pPr>
        <w:spacing w:line="400" w:lineRule="exact"/>
        <w:ind w:firstLine="420" w:firstLineChars="200"/>
        <w:rPr>
          <w:rFonts w:ascii="宋体" w:hAnsi="宋体"/>
          <w:szCs w:val="21"/>
        </w:rPr>
      </w:pPr>
      <w:r>
        <w:rPr>
          <w:rFonts w:hint="eastAsia" w:ascii="宋体" w:hAnsi="宋体"/>
          <w:szCs w:val="21"/>
        </w:rPr>
        <w:t>（3）不同投标供应商的投标文件由同一单位或者同一人编制，或者由同一人分阶段参与编制的；</w:t>
      </w:r>
    </w:p>
    <w:p w14:paraId="0231F36C">
      <w:pPr>
        <w:spacing w:line="400" w:lineRule="exact"/>
        <w:ind w:firstLine="420" w:firstLineChars="200"/>
        <w:rPr>
          <w:rFonts w:ascii="宋体" w:hAnsi="宋体"/>
          <w:szCs w:val="21"/>
        </w:rPr>
      </w:pPr>
      <w:r>
        <w:rPr>
          <w:rFonts w:hint="eastAsia" w:ascii="宋体" w:hAnsi="宋体"/>
          <w:szCs w:val="21"/>
        </w:rPr>
        <w:t>（4）不同投标供应商的投标文件或部分投标文件相互混装；</w:t>
      </w:r>
    </w:p>
    <w:p w14:paraId="354208CB">
      <w:pPr>
        <w:spacing w:line="400" w:lineRule="exact"/>
        <w:ind w:firstLine="420" w:firstLineChars="200"/>
        <w:rPr>
          <w:rFonts w:ascii="宋体" w:hAnsi="宋体"/>
          <w:szCs w:val="21"/>
        </w:rPr>
      </w:pPr>
      <w:r>
        <w:rPr>
          <w:rFonts w:hint="eastAsia" w:ascii="宋体" w:hAnsi="宋体"/>
          <w:szCs w:val="21"/>
        </w:rPr>
        <w:t>（5）不同投标供应商的投标文件内容存在非正常一致；</w:t>
      </w:r>
    </w:p>
    <w:p w14:paraId="14E2C85F">
      <w:pPr>
        <w:spacing w:line="400" w:lineRule="exact"/>
        <w:ind w:firstLine="420" w:firstLineChars="200"/>
        <w:rPr>
          <w:rFonts w:ascii="宋体" w:hAnsi="宋体"/>
          <w:szCs w:val="21"/>
        </w:rPr>
      </w:pPr>
      <w:r>
        <w:rPr>
          <w:rFonts w:hint="eastAsia" w:ascii="宋体" w:hAnsi="宋体"/>
          <w:szCs w:val="21"/>
        </w:rPr>
        <w:t>（6）由同一单位工作人员为两家以上（含两家）供应商进行同一项投标活动的；</w:t>
      </w:r>
    </w:p>
    <w:p w14:paraId="7A187DBB">
      <w:pPr>
        <w:spacing w:line="400" w:lineRule="exact"/>
        <w:ind w:firstLine="420" w:firstLineChars="200"/>
        <w:rPr>
          <w:rFonts w:ascii="宋体" w:hAnsi="宋体"/>
          <w:szCs w:val="21"/>
        </w:rPr>
      </w:pPr>
      <w:r>
        <w:rPr>
          <w:rFonts w:hint="eastAsia" w:ascii="宋体" w:hAnsi="宋体"/>
          <w:szCs w:val="21"/>
        </w:rPr>
        <w:t>（7）主管部门依照法律、法规认定的其他情形。</w:t>
      </w:r>
    </w:p>
    <w:p w14:paraId="4BFADA5B">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14:paraId="29782DF6">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14:paraId="57A28188">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14:paraId="5F851FA5">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14:paraId="579BDF24">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14:paraId="77F62418">
      <w:pPr>
        <w:spacing w:line="360" w:lineRule="auto"/>
        <w:ind w:firstLine="600"/>
        <w:rPr>
          <w:rFonts w:cs="Courier New"/>
          <w:snapToGrid w:val="0"/>
          <w:szCs w:val="18"/>
        </w:rPr>
      </w:pPr>
    </w:p>
    <w:p w14:paraId="45228D05">
      <w:pPr>
        <w:adjustRightInd w:val="0"/>
        <w:snapToGrid w:val="0"/>
        <w:spacing w:line="300" w:lineRule="auto"/>
        <w:rPr>
          <w:snapToGrid w:val="0"/>
          <w:kern w:val="0"/>
        </w:rPr>
      </w:pPr>
      <w:r>
        <w:rPr>
          <w:rFonts w:hint="eastAsia"/>
          <w:snapToGrid w:val="0"/>
          <w:kern w:val="0"/>
        </w:rPr>
        <w:t>投标单位：（盖章）</w:t>
      </w:r>
    </w:p>
    <w:p w14:paraId="469906F0">
      <w:pPr>
        <w:adjustRightInd w:val="0"/>
        <w:snapToGrid w:val="0"/>
        <w:spacing w:line="300" w:lineRule="auto"/>
        <w:rPr>
          <w:snapToGrid w:val="0"/>
          <w:kern w:val="0"/>
        </w:rPr>
      </w:pPr>
    </w:p>
    <w:p w14:paraId="2C44A8A8">
      <w:pPr>
        <w:adjustRightInd w:val="0"/>
        <w:snapToGrid w:val="0"/>
        <w:spacing w:line="300" w:lineRule="auto"/>
        <w:rPr>
          <w:snapToGrid w:val="0"/>
          <w:kern w:val="0"/>
        </w:rPr>
      </w:pPr>
    </w:p>
    <w:p w14:paraId="6D84676F">
      <w:pPr>
        <w:adjustRightInd w:val="0"/>
        <w:snapToGrid w:val="0"/>
        <w:spacing w:line="300" w:lineRule="auto"/>
        <w:rPr>
          <w:snapToGrid w:val="0"/>
          <w:kern w:val="0"/>
        </w:rPr>
      </w:pPr>
      <w:r>
        <w:rPr>
          <w:rFonts w:hint="eastAsia"/>
          <w:snapToGrid w:val="0"/>
          <w:kern w:val="0"/>
        </w:rPr>
        <w:t>法定代表人或其授权代表：（签字）</w:t>
      </w:r>
    </w:p>
    <w:p w14:paraId="6532EA4B">
      <w:pPr>
        <w:adjustRightInd w:val="0"/>
        <w:snapToGrid w:val="0"/>
        <w:spacing w:line="300" w:lineRule="auto"/>
        <w:ind w:right="420"/>
        <w:rPr>
          <w:snapToGrid w:val="0"/>
          <w:kern w:val="0"/>
        </w:rPr>
      </w:pPr>
    </w:p>
    <w:p w14:paraId="19FFFB30">
      <w:pPr>
        <w:wordWrap w:val="0"/>
        <w:adjustRightInd w:val="0"/>
        <w:snapToGrid w:val="0"/>
        <w:spacing w:line="360" w:lineRule="auto"/>
        <w:ind w:firstLine="600"/>
        <w:jc w:val="right"/>
        <w:rPr>
          <w:rFonts w:hint="eastAsia"/>
        </w:rPr>
      </w:pPr>
      <w:r>
        <w:rPr>
          <w:rFonts w:hint="eastAsia"/>
        </w:rPr>
        <w:t>年     月    日</w:t>
      </w:r>
    </w:p>
    <w:p w14:paraId="215558BE">
      <w:pPr>
        <w:rPr>
          <w:rFonts w:hint="eastAsia"/>
        </w:rPr>
      </w:pPr>
      <w:r>
        <w:rPr>
          <w:rFonts w:hint="eastAsia"/>
        </w:rPr>
        <w:br w:type="page"/>
      </w:r>
    </w:p>
    <w:p w14:paraId="75A604C5">
      <w:pPr>
        <w:widowControl/>
        <w:snapToGrid w:val="0"/>
        <w:spacing w:line="360" w:lineRule="auto"/>
        <w:jc w:val="left"/>
        <w:outlineLvl w:val="4"/>
        <w:rPr>
          <w:rFonts w:ascii="仿宋" w:hAnsi="仿宋" w:eastAsia="仿宋"/>
          <w:b/>
          <w:bCs/>
          <w:kern w:val="0"/>
          <w:sz w:val="25"/>
          <w:szCs w:val="25"/>
        </w:rPr>
      </w:pPr>
      <w:r>
        <w:rPr>
          <w:rFonts w:hint="eastAsia" w:ascii="仿宋" w:hAnsi="仿宋" w:eastAsia="仿宋"/>
          <w:b/>
          <w:bCs/>
          <w:kern w:val="0"/>
          <w:sz w:val="25"/>
          <w:szCs w:val="25"/>
        </w:rPr>
        <w:t>填写指引：</w:t>
      </w:r>
    </w:p>
    <w:p w14:paraId="15B15459">
      <w:pPr>
        <w:widowControl/>
        <w:snapToGrid w:val="0"/>
        <w:spacing w:line="360" w:lineRule="auto"/>
        <w:jc w:val="left"/>
        <w:rPr>
          <w:rFonts w:asciiTheme="minorEastAsia" w:hAnsiTheme="minorEastAsia" w:eastAsiaTheme="minorEastAsia"/>
          <w:kern w:val="0"/>
          <w:szCs w:val="21"/>
        </w:rPr>
      </w:pPr>
      <w:r>
        <w:rPr>
          <w:rFonts w:hint="eastAsia" w:ascii="仿宋" w:hAnsi="仿宋" w:eastAsia="仿宋"/>
          <w:kern w:val="0"/>
          <w:sz w:val="25"/>
          <w:szCs w:val="25"/>
        </w:rPr>
        <w:t xml:space="preserve">  </w:t>
      </w:r>
      <w:r>
        <w:rPr>
          <w:rFonts w:hint="eastAsia" w:asciiTheme="minorEastAsia" w:hAnsiTheme="minorEastAsia" w:eastAsiaTheme="minorEastAsia"/>
          <w:kern w:val="0"/>
          <w:szCs w:val="21"/>
        </w:rPr>
        <w:t xml:space="preserve">  1、该部分内容由投标人根据自身实际情况填写，投标人提供的声明函不属实的，属于提供虚假资料谋取中标，依照《中华人民共和国政府采购法》等国家有关规定追究相应责任。</w:t>
      </w:r>
    </w:p>
    <w:p w14:paraId="1EDDBD40">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2、该部分内容填写需要参考的相关文件包括但不限于（具体内容详见附件）：</w:t>
      </w:r>
    </w:p>
    <w:p w14:paraId="4C8B9E66">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1</w:t>
      </w:r>
      <w:r>
        <w:rPr>
          <w:rFonts w:hint="eastAsia" w:asciiTheme="minorEastAsia" w:hAnsiTheme="minorEastAsia" w:eastAsiaTheme="minorEastAsia"/>
          <w:kern w:val="0"/>
          <w:szCs w:val="21"/>
        </w:rPr>
        <w:t>)</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工业和信息化部关于印发《政府采购促进中小企业发展管理办法》的通知（财库〔2020〕46号）</w:t>
      </w:r>
    </w:p>
    <w:p w14:paraId="28244702">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2</w:t>
      </w:r>
      <w:r>
        <w:rPr>
          <w:rFonts w:hint="eastAsia" w:asciiTheme="minorEastAsia" w:hAnsiTheme="minorEastAsia" w:eastAsiaTheme="minorEastAsia"/>
          <w:kern w:val="0"/>
          <w:szCs w:val="21"/>
        </w:rPr>
        <w:t>)</w:t>
      </w:r>
      <w:bookmarkStart w:id="57" w:name="_Hlk71925120"/>
      <w:r>
        <w:rPr>
          <w:rFonts w:hint="eastAsia" w:asciiTheme="minorEastAsia" w:hAnsiTheme="minorEastAsia" w:eastAsiaTheme="minorEastAsia"/>
          <w:kern w:val="0"/>
          <w:szCs w:val="21"/>
        </w:rPr>
        <w:t>《关于印发中小企业划型标准规定的通知》（工信部联企业〔2011〕300 号</w:t>
      </w:r>
      <w:bookmarkEnd w:id="57"/>
      <w:r>
        <w:rPr>
          <w:rFonts w:hint="eastAsia" w:asciiTheme="minorEastAsia" w:hAnsiTheme="minorEastAsia" w:eastAsiaTheme="minorEastAsia"/>
          <w:kern w:val="0"/>
          <w:szCs w:val="21"/>
        </w:rPr>
        <w:t>）</w:t>
      </w:r>
    </w:p>
    <w:p w14:paraId="54AFCB25">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(3)</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国家统计局关于印发《统计上大中小微型企业划分办法 （2017）》的通知（国统字〔2017〕213 号）</w:t>
      </w:r>
    </w:p>
    <w:p w14:paraId="6F5F39E0">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(4)</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民政部 中国残疾人联合会关于促进残疾人就业 政府采购政策的通知（财库〔2017〕141号）</w:t>
      </w:r>
    </w:p>
    <w:p w14:paraId="405DD662">
      <w:pPr>
        <w:widowControl/>
        <w:snapToGrid w:val="0"/>
        <w:spacing w:line="360" w:lineRule="auto"/>
        <w:ind w:firstLine="555"/>
        <w:jc w:val="left"/>
        <w:rPr>
          <w:rFonts w:asciiTheme="minorEastAsia" w:hAnsiTheme="minorEastAsia" w:eastAsiaTheme="minorEastAsia"/>
          <w:szCs w:val="21"/>
        </w:rPr>
      </w:pPr>
      <w:r>
        <w:rPr>
          <w:rFonts w:hint="eastAsia" w:asciiTheme="minorEastAsia" w:hAnsiTheme="minorEastAsia" w:eastAsiaTheme="minorEastAsia"/>
          <w:kern w:val="0"/>
          <w:szCs w:val="21"/>
        </w:rPr>
        <w:t>(5)</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司法部关于政府采购支持监狱企业发展有关问题的通知（财库〔2014〕68号）</w:t>
      </w:r>
    </w:p>
    <w:p w14:paraId="18C384F6">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3、请依照招标文件提供的格式和内容填写声明函，不要随意变更格式；满足多项优惠政策的投标人，不重复享受多项价格扣除政策。不符合要求的供应商可以不填写。</w:t>
      </w:r>
    </w:p>
    <w:p w14:paraId="509CEA83">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4、《中小企业声明函》填写要求：</w:t>
      </w:r>
    </w:p>
    <w:p w14:paraId="696ACD44">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（1）在“单位名称”下划线处如实填写</w:t>
      </w:r>
      <w:r>
        <w:rPr>
          <w:rFonts w:hint="eastAsia" w:asciiTheme="minorEastAsia" w:hAnsiTheme="minorEastAsia" w:eastAsiaTheme="minorEastAsia"/>
          <w:b/>
          <w:color w:val="FF0000"/>
          <w:kern w:val="0"/>
          <w:szCs w:val="21"/>
        </w:rPr>
        <w:t>采购人名称（详见采购人信息，非采购代理机构）</w:t>
      </w:r>
      <w:r>
        <w:rPr>
          <w:rFonts w:hint="eastAsia" w:asciiTheme="minorEastAsia" w:hAnsiTheme="minorEastAsia" w:eastAsiaTheme="minorEastAsia"/>
          <w:kern w:val="0"/>
          <w:szCs w:val="21"/>
        </w:rPr>
        <w:t>；</w:t>
      </w:r>
    </w:p>
    <w:p w14:paraId="5DB49CC8">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（2）在“项目名称”下划线处如实填写</w:t>
      </w:r>
      <w:r>
        <w:rPr>
          <w:rFonts w:hint="eastAsia" w:asciiTheme="minorEastAsia" w:hAnsiTheme="minorEastAsia" w:eastAsiaTheme="minorEastAsia"/>
          <w:b/>
          <w:color w:val="FF0000"/>
          <w:kern w:val="0"/>
          <w:szCs w:val="21"/>
        </w:rPr>
        <w:t>采购项目名称</w:t>
      </w:r>
      <w:r>
        <w:rPr>
          <w:rFonts w:hint="eastAsia" w:asciiTheme="minorEastAsia" w:hAnsiTheme="minorEastAsia" w:eastAsiaTheme="minorEastAsia"/>
          <w:kern w:val="0"/>
          <w:szCs w:val="21"/>
        </w:rPr>
        <w:t>；</w:t>
      </w:r>
    </w:p>
    <w:p w14:paraId="67EEC444">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（3）在“标的名称”下划线处填写所采购标的（货物或服务或工程）的具体名称</w:t>
      </w:r>
      <w:r>
        <w:rPr>
          <w:rFonts w:hint="eastAsia" w:asciiTheme="minorEastAsia" w:hAnsiTheme="minorEastAsia" w:eastAsiaTheme="minorEastAsia"/>
          <w:b/>
          <w:bCs/>
          <w:color w:val="FF0000"/>
          <w:kern w:val="0"/>
          <w:szCs w:val="21"/>
        </w:rPr>
        <w:t>（具体详见第二章项目需求，如涉及多项标的，投标人需逐项进行响应）</w:t>
      </w:r>
      <w:r>
        <w:rPr>
          <w:rFonts w:hint="eastAsia" w:asciiTheme="minorEastAsia" w:hAnsiTheme="minorEastAsia" w:eastAsiaTheme="minorEastAsia"/>
          <w:kern w:val="0"/>
          <w:szCs w:val="21"/>
        </w:rPr>
        <w:t>；</w:t>
      </w:r>
    </w:p>
    <w:p w14:paraId="75C37FA8">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（4）在“</w:t>
      </w:r>
      <w:r>
        <w:rPr>
          <w:rFonts w:asciiTheme="minorEastAsia" w:hAnsiTheme="minorEastAsia" w:eastAsiaTheme="minorEastAsia"/>
          <w:szCs w:val="21"/>
        </w:rPr>
        <w:t>采购文件</w:t>
      </w:r>
      <w:r>
        <w:rPr>
          <w:rFonts w:hint="eastAsia" w:asciiTheme="minorEastAsia" w:hAnsiTheme="minorEastAsia" w:eastAsiaTheme="minorEastAsia"/>
          <w:kern w:val="0"/>
          <w:szCs w:val="21"/>
        </w:rPr>
        <w:t>中明确的所属行业”下划线处填写采购文件规定的本项目所属行业</w:t>
      </w:r>
      <w:r>
        <w:rPr>
          <w:rFonts w:hint="eastAsia" w:asciiTheme="minorEastAsia" w:hAnsiTheme="minorEastAsia" w:eastAsiaTheme="minorEastAsia"/>
          <w:b/>
          <w:bCs/>
          <w:color w:val="FF0000"/>
          <w:kern w:val="0"/>
          <w:szCs w:val="21"/>
        </w:rPr>
        <w:t>（详见第四章 评标方法和标准）</w:t>
      </w:r>
      <w:r>
        <w:rPr>
          <w:rFonts w:hint="eastAsia" w:asciiTheme="minorEastAsia" w:hAnsiTheme="minorEastAsia" w:eastAsiaTheme="minorEastAsia"/>
          <w:kern w:val="0"/>
          <w:szCs w:val="21"/>
        </w:rPr>
        <w:t>；</w:t>
      </w:r>
    </w:p>
    <w:p w14:paraId="5EA8DC56">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（5）在“从业人员”、“营业收入”、“资产总额”下划线处如实填写</w:t>
      </w:r>
      <w:r>
        <w:rPr>
          <w:rFonts w:hint="eastAsia" w:asciiTheme="minorEastAsia" w:hAnsiTheme="minorEastAsia" w:eastAsiaTheme="minorEastAsia"/>
          <w:b/>
          <w:color w:val="FF0000"/>
          <w:kern w:val="0"/>
          <w:szCs w:val="21"/>
        </w:rPr>
        <w:t>制造商（货物类）或承接企业（服务或工程类）</w:t>
      </w:r>
      <w:r>
        <w:rPr>
          <w:rFonts w:hint="eastAsia" w:asciiTheme="minorEastAsia" w:hAnsiTheme="minorEastAsia" w:eastAsiaTheme="minorEastAsia"/>
          <w:kern w:val="0"/>
          <w:szCs w:val="21"/>
        </w:rPr>
        <w:t>上一年度从业人员、营业收入、资产总额，无上一年度数据的新成立企业可以不填报；</w:t>
      </w:r>
    </w:p>
    <w:p w14:paraId="2FEA2C6E">
      <w:pPr>
        <w:widowControl/>
        <w:snapToGrid w:val="0"/>
        <w:spacing w:line="360" w:lineRule="auto"/>
        <w:ind w:firstLine="424" w:firstLineChars="202"/>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（6）在“中型企业、小型企业、微型企业”下划线处如实依照工信部联企业〔2011〕300号文填写相应的企业类型；</w:t>
      </w:r>
    </w:p>
    <w:p w14:paraId="6BD4046C">
      <w:pPr>
        <w:widowControl/>
        <w:snapToGrid w:val="0"/>
        <w:spacing w:line="360" w:lineRule="auto"/>
        <w:ind w:firstLine="426" w:firstLineChars="202"/>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（7）</w:t>
      </w:r>
      <w:r>
        <w:rPr>
          <w:rFonts w:hint="eastAsia" w:asciiTheme="minorHAnsi" w:hAnsiTheme="minorHAnsi" w:eastAsiaTheme="minorEastAsia" w:cstheme="minorBidi"/>
          <w:b/>
          <w:color w:val="FF0000"/>
          <w:szCs w:val="22"/>
        </w:rPr>
        <w:t>《中小企业声明函》中制造商、承接/承建企业所属行业应当与招标文件要求的行业相一致</w:t>
      </w:r>
      <w:r>
        <w:rPr>
          <w:rFonts w:hint="eastAsia" w:asciiTheme="minorHAnsi" w:hAnsiTheme="minorHAnsi" w:eastAsiaTheme="minorEastAsia" w:cstheme="minorBidi"/>
          <w:szCs w:val="22"/>
        </w:rPr>
        <w:t>，供应商如有疑问，可根据《国民经济行业分类》（GB/T 4754-2017），结合《关于印发中小企业划型标准规定的通知》（工信部联企业〔2011〕300 号）进行判断。事业单位、社会组织等非企业主体不享受中小企业扶持政策，但事业单位、社会组织等非企业主体提供全部由中小企业制造的货物参加货物采购项目的除外。</w:t>
      </w:r>
    </w:p>
    <w:p w14:paraId="37965954"/>
    <w:p w14:paraId="0ACA22BF">
      <w:pPr>
        <w:pStyle w:val="5"/>
        <w:tabs>
          <w:tab w:val="left" w:pos="0"/>
        </w:tabs>
        <w:jc w:val="center"/>
        <w:rPr>
          <w:rFonts w:ascii="宋体" w:hAnsi="宋体" w:eastAsia="宋体"/>
        </w:rPr>
      </w:pPr>
      <w:r>
        <w:rPr>
          <w:rFonts w:hint="eastAsia" w:ascii="宋体" w:hAnsi="宋体" w:eastAsia="宋体"/>
        </w:rPr>
        <w:t>中小企业声明函</w:t>
      </w:r>
    </w:p>
    <w:p w14:paraId="4F7579E2">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服务全部由符合政策要求的中小企业承接</w:t>
      </w:r>
      <w:r>
        <w:rPr>
          <w:rFonts w:asciiTheme="minorEastAsia" w:hAnsiTheme="minorEastAsia" w:eastAsiaTheme="minorEastAsia"/>
          <w:szCs w:val="21"/>
        </w:rPr>
        <w:t>。相关企业（含联合体中的中小企业、签订分包意向协议的中小企业）的具体情况如下：</w:t>
      </w:r>
    </w:p>
    <w:p w14:paraId="77126B0B">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14:paraId="46A61103">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14:paraId="6DB4C5F0">
      <w:pPr>
        <w:pStyle w:val="20"/>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14:paraId="6481B9E1">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14:paraId="66420A88">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14:paraId="2C69874D">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14:paraId="2B9AF628">
      <w:pPr>
        <w:spacing w:line="360" w:lineRule="auto"/>
        <w:ind w:firstLine="420" w:firstLineChars="200"/>
        <w:rPr>
          <w:rFonts w:asciiTheme="minorEastAsia" w:hAnsiTheme="minorEastAsia" w:eastAsiaTheme="minorEastAsia"/>
          <w:szCs w:val="21"/>
        </w:rPr>
      </w:pPr>
    </w:p>
    <w:p w14:paraId="7ED98E3C">
      <w:pPr>
        <w:spacing w:line="360" w:lineRule="auto"/>
        <w:ind w:firstLine="420" w:firstLineChars="200"/>
        <w:jc w:val="right"/>
        <w:rPr>
          <w:rFonts w:ascii="宋体" w:hAnsi="宋体"/>
          <w:szCs w:val="21"/>
        </w:rPr>
      </w:pPr>
      <w:r>
        <w:rPr>
          <w:rFonts w:hint="eastAsia" w:ascii="宋体" w:hAnsi="宋体"/>
          <w:szCs w:val="21"/>
        </w:rPr>
        <w:t>企业名称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14:paraId="067A7A0D">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14:paraId="726FD33E">
      <w:pPr>
        <w:spacing w:line="360" w:lineRule="auto"/>
        <w:ind w:firstLine="420" w:firstLineChars="200"/>
        <w:rPr>
          <w:rFonts w:ascii="宋体" w:hAnsi="宋体"/>
          <w:szCs w:val="21"/>
        </w:rPr>
      </w:pPr>
      <w:r>
        <w:rPr>
          <w:rFonts w:hint="eastAsia" w:ascii="宋体" w:hAnsi="宋体"/>
          <w:szCs w:val="21"/>
        </w:rPr>
        <w:t>备注：</w:t>
      </w:r>
    </w:p>
    <w:p w14:paraId="266DC8AA">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w:t>
      </w:r>
    </w:p>
    <w:p w14:paraId="23BAB9BF">
      <w:pPr>
        <w:spacing w:line="360" w:lineRule="auto"/>
        <w:ind w:firstLine="424" w:firstLineChars="202"/>
        <w:rPr>
          <w:rFonts w:ascii="宋体" w:hAnsi="宋体"/>
          <w:szCs w:val="21"/>
        </w:rPr>
      </w:pPr>
      <w:r>
        <w:rPr>
          <w:rFonts w:hint="eastAsia" w:ascii="宋体" w:hAnsi="宋体"/>
          <w:szCs w:val="21"/>
        </w:rPr>
        <w:t>2、从业人员、营业收入、资产总额填报上一年度数据，无上一年度数据的新成立企业可不填报。</w:t>
      </w:r>
    </w:p>
    <w:p w14:paraId="33151C9E">
      <w:pPr>
        <w:spacing w:line="360" w:lineRule="auto"/>
        <w:ind w:firstLine="424" w:firstLineChars="202"/>
        <w:rPr>
          <w:rFonts w:asciiTheme="minorEastAsia" w:hAnsiTheme="minorEastAsia" w:eastAsiaTheme="minorEastAsia" w:cstheme="minorBidi"/>
          <w:szCs w:val="22"/>
        </w:rPr>
      </w:pPr>
      <w:r>
        <w:rPr>
          <w:rFonts w:hint="eastAsia" w:asciiTheme="minorEastAsia" w:hAnsiTheme="minorEastAsia" w:eastAsiaTheme="minorEastAsia" w:cstheme="minorBidi"/>
          <w:szCs w:val="22"/>
        </w:rPr>
        <w:t>3、中小企业参加政府采购活动，应当按照国务院批准的《中小企业划型标准规定》（工信部联企业〔2011〕300 号）、《金融业企业划型标准规定》（银发〔2015〕309 号）和《财政部工业和信息化部关于印发〈政府采购促进中小企业发展管理办法〉的通知》（财库〔2020〕46 号）的规定，出具《中小企业声明函》，</w:t>
      </w:r>
      <w:r>
        <w:rPr>
          <w:rFonts w:hint="eastAsia" w:asciiTheme="minorEastAsia" w:hAnsiTheme="minorEastAsia" w:eastAsiaTheme="minorEastAsia" w:cstheme="minorBidi"/>
          <w:b/>
          <w:szCs w:val="22"/>
        </w:rPr>
        <w:t>《中小企业声明函》中相关企业所属行业应当与采购标的所属行业相一致</w:t>
      </w:r>
      <w:r>
        <w:rPr>
          <w:rFonts w:hint="eastAsia" w:asciiTheme="minorEastAsia" w:hAnsiTheme="minorEastAsia" w:eastAsiaTheme="minorEastAsia" w:cstheme="minorBidi"/>
          <w:szCs w:val="22"/>
        </w:rPr>
        <w:t>。</w:t>
      </w:r>
    </w:p>
    <w:p w14:paraId="3F61115D">
      <w:pPr>
        <w:spacing w:line="360" w:lineRule="auto"/>
        <w:ind w:firstLine="420" w:firstLineChars="200"/>
        <w:rPr>
          <w:rFonts w:ascii="宋体" w:hAnsi="宋体"/>
          <w:szCs w:val="21"/>
        </w:rPr>
      </w:pPr>
    </w:p>
    <w:p w14:paraId="31934FD2">
      <w:pPr>
        <w:spacing w:line="360" w:lineRule="auto"/>
        <w:ind w:firstLine="420" w:firstLineChars="200"/>
        <w:rPr>
          <w:rFonts w:ascii="宋体" w:hAnsi="宋体"/>
          <w:szCs w:val="21"/>
        </w:rPr>
      </w:pPr>
    </w:p>
    <w:p w14:paraId="4319D3F9">
      <w:pPr>
        <w:pStyle w:val="5"/>
        <w:tabs>
          <w:tab w:val="left" w:pos="0"/>
        </w:tabs>
        <w:jc w:val="center"/>
        <w:rPr>
          <w:rFonts w:ascii="宋体" w:hAnsi="宋体" w:eastAsia="宋体"/>
        </w:rPr>
      </w:pPr>
      <w:r>
        <w:rPr>
          <w:rFonts w:hint="eastAsia" w:ascii="宋体" w:hAnsi="宋体" w:eastAsia="宋体"/>
        </w:rPr>
        <w:t>监狱企业声明函</w:t>
      </w:r>
    </w:p>
    <w:p w14:paraId="34672957">
      <w:pPr>
        <w:spacing w:after="60"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14:paraId="1956F5F1">
      <w:pPr>
        <w:spacing w:after="60"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14:paraId="0C684C13">
      <w:pPr>
        <w:spacing w:line="360" w:lineRule="auto"/>
        <w:ind w:firstLine="420" w:firstLineChars="200"/>
        <w:jc w:val="right"/>
        <w:rPr>
          <w:rFonts w:ascii="宋体" w:hAnsi="宋体"/>
          <w:szCs w:val="21"/>
        </w:rPr>
      </w:pPr>
      <w:r>
        <w:rPr>
          <w:rFonts w:hint="eastAsia" w:ascii="宋体" w:hAnsi="宋体"/>
          <w:szCs w:val="21"/>
        </w:rPr>
        <w:t>单位名称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14:paraId="373C3C6F">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14:paraId="37262EB2">
      <w:pPr>
        <w:spacing w:line="360" w:lineRule="auto"/>
        <w:ind w:firstLine="645"/>
        <w:rPr>
          <w:rFonts w:ascii="宋体"/>
          <w:b/>
          <w:szCs w:val="21"/>
        </w:rPr>
      </w:pPr>
      <w:r>
        <w:rPr>
          <w:rFonts w:hint="eastAsia" w:ascii="宋体" w:hAnsi="宋体"/>
          <w:szCs w:val="21"/>
        </w:rPr>
        <w:t xml:space="preserve">                                    </w:t>
      </w:r>
    </w:p>
    <w:p w14:paraId="689BB6A3">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14:paraId="7C05F317">
      <w:pPr>
        <w:spacing w:line="360" w:lineRule="auto"/>
        <w:ind w:left="723" w:hanging="723" w:hangingChars="300"/>
        <w:rPr>
          <w:b/>
          <w:sz w:val="24"/>
        </w:rPr>
      </w:pPr>
    </w:p>
    <w:p w14:paraId="0DE823B2">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14:paraId="522AB11A">
      <w:pPr>
        <w:spacing w:line="360" w:lineRule="auto"/>
        <w:ind w:firstLine="420" w:firstLineChars="200"/>
        <w:rPr>
          <w:rFonts w:ascii="宋体" w:hAnsi="宋体"/>
          <w:szCs w:val="21"/>
        </w:rPr>
      </w:pPr>
    </w:p>
    <w:p w14:paraId="6B94F5B6">
      <w:pPr>
        <w:pStyle w:val="5"/>
        <w:tabs>
          <w:tab w:val="left" w:pos="0"/>
        </w:tabs>
        <w:jc w:val="center"/>
        <w:rPr>
          <w:rFonts w:ascii="宋体" w:hAnsi="宋体" w:eastAsia="宋体"/>
        </w:rPr>
      </w:pPr>
      <w:r>
        <w:rPr>
          <w:rFonts w:hint="eastAsia" w:ascii="宋体" w:hAnsi="宋体" w:eastAsia="宋体"/>
        </w:rPr>
        <w:t>残疾人福利性单位声明函</w:t>
      </w:r>
    </w:p>
    <w:p w14:paraId="7D4111B6">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项目采购活动，由本单位提供服务。</w:t>
      </w:r>
    </w:p>
    <w:p w14:paraId="7C9C97F4">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14:paraId="21244756">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14:paraId="08065E4E">
      <w:pPr>
        <w:spacing w:line="360" w:lineRule="auto"/>
        <w:ind w:firstLine="420" w:firstLineChars="200"/>
        <w:rPr>
          <w:rFonts w:ascii="宋体" w:hAnsi="宋体"/>
          <w:szCs w:val="21"/>
        </w:rPr>
      </w:pPr>
    </w:p>
    <w:p w14:paraId="2FF675E4">
      <w:pPr>
        <w:spacing w:line="360" w:lineRule="auto"/>
        <w:ind w:firstLine="420" w:firstLineChars="200"/>
        <w:jc w:val="right"/>
        <w:rPr>
          <w:rFonts w:ascii="宋体" w:hAnsi="宋体"/>
          <w:szCs w:val="21"/>
        </w:rPr>
      </w:pPr>
      <w:r>
        <w:rPr>
          <w:rFonts w:hint="eastAsia" w:ascii="宋体" w:hAnsi="宋体"/>
          <w:szCs w:val="21"/>
        </w:rPr>
        <w:t>单位名称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14:paraId="262F1504">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14:paraId="501EFA2B">
      <w:pPr>
        <w:spacing w:line="360" w:lineRule="auto"/>
        <w:ind w:firstLine="420" w:firstLineChars="200"/>
        <w:jc w:val="right"/>
        <w:rPr>
          <w:rFonts w:ascii="宋体" w:hAnsi="宋体"/>
          <w:szCs w:val="21"/>
        </w:rPr>
      </w:pPr>
    </w:p>
    <w:p w14:paraId="1432DB44">
      <w:pPr>
        <w:wordWrap/>
        <w:adjustRightInd w:val="0"/>
        <w:snapToGrid w:val="0"/>
        <w:spacing w:line="360" w:lineRule="auto"/>
        <w:ind w:firstLine="600"/>
        <w:jc w:val="left"/>
      </w:pPr>
      <w:r>
        <w:rPr>
          <w:rFonts w:hint="eastAsia" w:ascii="宋体" w:hAnsi="宋体"/>
          <w:szCs w:val="21"/>
        </w:rPr>
        <w:t>备注：填写前请认真阅读《财政部 民政部 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r>
        <w:br w:type="page"/>
      </w:r>
    </w:p>
    <w:p w14:paraId="2BAB73FD">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14:paraId="4CD97BC5">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r>
        <w:rPr>
          <w:rFonts w:hint="eastAsia" w:asciiTheme="minorEastAsia" w:hAnsiTheme="minorEastAsia" w:eastAsiaTheme="minorEastAsia"/>
          <w:sz w:val="24"/>
        </w:rPr>
        <w:t>格式2  法定代表人（负责人）证明书及授权委托书</w:t>
      </w:r>
    </w:p>
    <w:p w14:paraId="061E6C2A">
      <w:pPr>
        <w:tabs>
          <w:tab w:val="left" w:pos="450"/>
        </w:tabs>
        <w:jc w:val="center"/>
        <w:rPr>
          <w:rFonts w:ascii="宋体" w:hAnsi="宋体"/>
          <w:b/>
          <w:sz w:val="30"/>
          <w:szCs w:val="30"/>
        </w:rPr>
      </w:pPr>
    </w:p>
    <w:p w14:paraId="15C168BD">
      <w:pPr>
        <w:tabs>
          <w:tab w:val="left" w:pos="450"/>
        </w:tabs>
        <w:jc w:val="center"/>
        <w:rPr>
          <w:rFonts w:ascii="宋体" w:hAnsi="宋体"/>
          <w:b/>
          <w:sz w:val="28"/>
          <w:szCs w:val="28"/>
        </w:rPr>
      </w:pPr>
      <w:r>
        <w:rPr>
          <w:rFonts w:hint="eastAsia" w:ascii="宋体" w:hAnsi="宋体"/>
          <w:b/>
          <w:sz w:val="28"/>
          <w:szCs w:val="28"/>
        </w:rPr>
        <w:t>法定代表人（负责人）证明书（参考）</w:t>
      </w:r>
    </w:p>
    <w:p w14:paraId="6D41923B">
      <w:pPr>
        <w:spacing w:line="400" w:lineRule="exact"/>
        <w:rPr>
          <w:rFonts w:ascii="宋体" w:hAnsi="宋体"/>
          <w:bCs/>
          <w:sz w:val="28"/>
        </w:rPr>
      </w:pPr>
    </w:p>
    <w:p w14:paraId="7E282325">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职务，为法定代表人（负责人），特此证明。</w:t>
      </w:r>
    </w:p>
    <w:p w14:paraId="761ACA90">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14:paraId="5BD8DC7B">
      <w:pPr>
        <w:spacing w:line="480" w:lineRule="auto"/>
        <w:ind w:firstLine="420" w:firstLineChars="200"/>
        <w:rPr>
          <w:rFonts w:ascii="宋体" w:hAnsi="宋体"/>
        </w:rPr>
      </w:pPr>
      <w:r>
        <w:rPr>
          <w:rFonts w:hint="eastAsia" w:ascii="宋体" w:hAnsi="宋体"/>
        </w:rPr>
        <w:t>附：</w:t>
      </w:r>
    </w:p>
    <w:p w14:paraId="40442578">
      <w:pPr>
        <w:spacing w:line="480" w:lineRule="auto"/>
        <w:ind w:firstLine="840" w:firstLineChars="400"/>
        <w:rPr>
          <w:rFonts w:ascii="宋体" w:hAnsi="宋体"/>
        </w:rPr>
      </w:pPr>
      <w:r>
        <w:rPr>
          <w:rFonts w:hint="eastAsia" w:ascii="宋体" w:hAnsi="宋体"/>
        </w:rPr>
        <w:t xml:space="preserve">营业执照（注册号）：                       </w:t>
      </w:r>
    </w:p>
    <w:p w14:paraId="4EB168A5">
      <w:pPr>
        <w:spacing w:line="480" w:lineRule="auto"/>
        <w:ind w:firstLine="840" w:firstLineChars="400"/>
        <w:rPr>
          <w:rFonts w:ascii="宋体" w:hAnsi="宋体"/>
        </w:rPr>
      </w:pPr>
      <w:r>
        <w:rPr>
          <w:rFonts w:hint="eastAsia" w:ascii="宋体" w:hAnsi="宋体"/>
        </w:rPr>
        <w:t>经济性质：</w:t>
      </w:r>
    </w:p>
    <w:p w14:paraId="30F623DC">
      <w:pPr>
        <w:spacing w:line="480" w:lineRule="auto"/>
        <w:ind w:firstLine="840" w:firstLineChars="400"/>
        <w:rPr>
          <w:rFonts w:ascii="宋体" w:hAnsi="宋体"/>
        </w:rPr>
      </w:pPr>
      <w:r>
        <w:rPr>
          <w:rFonts w:hint="eastAsia" w:ascii="宋体" w:hAnsi="宋体"/>
        </w:rPr>
        <w:t>主营（产）：</w:t>
      </w:r>
    </w:p>
    <w:p w14:paraId="45BF6736">
      <w:pPr>
        <w:spacing w:line="480" w:lineRule="auto"/>
        <w:ind w:firstLine="840" w:firstLineChars="400"/>
        <w:rPr>
          <w:rFonts w:ascii="宋体" w:hAnsi="宋体"/>
        </w:rPr>
      </w:pPr>
      <w:r>
        <w:rPr>
          <w:rFonts w:hint="eastAsia" w:ascii="宋体" w:hAnsi="宋体"/>
        </w:rPr>
        <w:t>兼营（产）：</w:t>
      </w:r>
    </w:p>
    <w:p w14:paraId="59347CA9">
      <w:pPr>
        <w:spacing w:line="480" w:lineRule="auto"/>
        <w:ind w:firstLine="960" w:firstLineChars="400"/>
        <w:rPr>
          <w:rFonts w:ascii="宋体" w:hAnsi="宋体"/>
          <w:sz w:val="24"/>
        </w:rPr>
      </w:pPr>
    </w:p>
    <w:p w14:paraId="51B45ECB">
      <w:pPr>
        <w:spacing w:line="500" w:lineRule="exact"/>
        <w:rPr>
          <w:rFonts w:ascii="宋体"/>
          <w:b/>
          <w:bCs/>
        </w:rPr>
      </w:pPr>
      <w:r>
        <w:rPr>
          <w:rFonts w:ascii="宋体"/>
          <w:b/>
          <w:bCs/>
        </w:rPr>
        <mc:AlternateContent>
          <mc:Choice Requires="wps">
            <w:drawing>
              <wp:anchor distT="0" distB="0" distL="114300" distR="114300" simplePos="0" relativeHeight="251663360" behindDoc="0" locked="0" layoutInCell="1" allowOverlap="1">
                <wp:simplePos x="0" y="0"/>
                <wp:positionH relativeFrom="column">
                  <wp:posOffset>3183255</wp:posOffset>
                </wp:positionH>
                <wp:positionV relativeFrom="paragraph">
                  <wp:posOffset>136525</wp:posOffset>
                </wp:positionV>
                <wp:extent cx="3086100" cy="1981200"/>
                <wp:effectExtent l="4445" t="5080" r="14605" b="13970"/>
                <wp:wrapNone/>
                <wp:docPr id="6" name="Rectangle 5"/>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79CE878">
                            <w:pPr>
                              <w:ind w:firstLine="1260" w:firstLineChars="600"/>
                            </w:pPr>
                            <w:r>
                              <w:rPr>
                                <w:rFonts w:hint="eastAsia"/>
                              </w:rPr>
                              <w:t xml:space="preserve"> 法定代表人（负责人）</w:t>
                            </w:r>
                          </w:p>
                          <w:p w14:paraId="3256E221">
                            <w:pPr>
                              <w:ind w:firstLine="1050" w:firstLineChars="500"/>
                            </w:pPr>
                            <w:r>
                              <w:rPr>
                                <w:rFonts w:hint="eastAsia"/>
                              </w:rPr>
                              <w:t xml:space="preserve"> 居民身份证复印件粘贴处</w:t>
                            </w:r>
                          </w:p>
                          <w:p w14:paraId="2BE30422">
                            <w:pPr>
                              <w:ind w:firstLine="1050" w:firstLineChars="500"/>
                            </w:pPr>
                          </w:p>
                          <w:p w14:paraId="43E85D91">
                            <w:pPr>
                              <w:ind w:firstLine="1785" w:firstLineChars="850"/>
                            </w:pPr>
                            <w:r>
                              <w:rPr>
                                <w:rFonts w:hint="eastAsia"/>
                              </w:rPr>
                              <w:t>（反面）</w:t>
                            </w:r>
                          </w:p>
                          <w:p w14:paraId="1C8F9ECD">
                            <w:pPr>
                              <w:ind w:firstLine="1050" w:firstLineChars="500"/>
                            </w:pPr>
                          </w:p>
                          <w:p w14:paraId="75191A86"/>
                        </w:txbxContent>
                      </wps:txbx>
                      <wps:bodyPr upright="1"/>
                    </wps:wsp>
                  </a:graphicData>
                </a:graphic>
              </wp:anchor>
            </w:drawing>
          </mc:Choice>
          <mc:Fallback>
            <w:pict>
              <v:rect id="Rectangle 5" o:spid="_x0000_s1026" o:spt="1" style="position:absolute;left:0pt;margin-left:250.65pt;margin-top:10.75pt;height:156pt;width:243pt;z-index:251663360;mso-width-relative:page;mso-height-relative:page;" fillcolor="#FFFFFF" filled="t" stroked="t" coordsize="21600,21600" o:gfxdata="UEsDBAoAAAAAAIdO4kAAAAAAAAAAAAAAAAAEAAAAZHJzL1BLAwQUAAAACACHTuJA7Lbtl9gAAAAK&#10;AQAADwAAAGRycy9kb3ducmV2LnhtbE2PsU7DMBCGdyTewTokNmonVqBN43QAFYmxTRc2Jz6SlNiO&#10;YqcNPD3HBOPdffrv+4vdYgd2wSn03ilIVgIYusab3rUKTtX+YQ0sRO2MHrxDBV8YYFfe3hQ6N/7q&#10;Dng5xpZRiAu5VtDFOOach6ZDq8PKj+jo9uEnqyONU8vNpK8UbgeeCvHIre4dfej0iM8dNp/H2Sqo&#10;+/Skvw/Vq7CbvYxvS3We31+Uur9LxBZYxCX+wfCrT+pQklPtZ2cCGxRkIpGEKkiTDBgBm/UTLWoF&#10;UsoMeFnw/xXKH1BLAwQUAAAACACHTuJAeGy/tfYBAAAtBAAADgAAAGRycy9lMm9Eb2MueG1srVPL&#10;jtswDLwX6D8Iuje2UyTIGnH20DS9FO2i234AI8u2AL0gKrHz96XkNPtoD3uoDzIpUUPOkNreT0az&#10;swyonG14tSg5k1a4Vtm+4b9+Hj5sOMMItgXtrGz4RSK/371/tx19LZducLqVgRGIxXr0DR9i9HVR&#10;oBikAVw4Ly0ddi4YiOSGvmgDjIRudLEsy3UxutD64IREpN39fMiviOEtgK7rlJB7J05G2jijBqkh&#10;EiUclEe+y9V2nRTxe9ehjEw3nJjGvFISso9pLXZbqPsAflDiWgK8pYRXnAwoS0lvUHuIwE5B/QVl&#10;lAgOXRcXwpliJpIVIRZV+UqbxwG8zFxIavQ30fH/wYpv54fAVNvwNWcWDDX8B4kGtteSrZI8o8ea&#10;oh79Q7h6SGbiOnXBpD+xYFOW9HKTVE6RCdr8WG7WVUlqCzqr7jYVjUBCLZ6u+4Dxi3SGJaPhgdJn&#10;KeH8FeMc+ickZUOnVXtQWmcn9MdPOrAzUH8P+buivwjTlo0Nv1stV1QI0NB2NCxkGk/E0fY534sb&#10;+By4zN+/gFNhe8BhLiAjpDCojYoyZGuQ0H62LYsXT+JaelM8FWNky5mW9ASTlSMjKP2WSNJOW5Iw&#10;dWbuRbLidJwIJplH116oqycfVD+QpFUuPZ3QFGXtrxOfxvS5n0GfXvnu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y27ZfYAAAACgEAAA8AAAAAAAAAAQAgAAAAIgAAAGRycy9kb3ducmV2LnhtbFBL&#10;AQIUABQAAAAIAIdO4kB4bL+19gEAAC0EAAAOAAAAAAAAAAEAIAAAACcBAABkcnMvZTJvRG9jLnht&#10;bFBLBQYAAAAABgAGAFkBAACPBQAAAAA=&#10;">
                <v:fill on="t" focussize="0,0"/>
                <v:stroke color="#000000" joinstyle="miter"/>
                <v:imagedata o:title=""/>
                <o:lock v:ext="edit" aspectratio="f"/>
                <v:textbox>
                  <w:txbxContent>
                    <w:p w14:paraId="579CE878">
                      <w:pPr>
                        <w:ind w:firstLine="1260" w:firstLineChars="600"/>
                      </w:pPr>
                      <w:r>
                        <w:rPr>
                          <w:rFonts w:hint="eastAsia"/>
                        </w:rPr>
                        <w:t xml:space="preserve"> 法定代表人（负责人）</w:t>
                      </w:r>
                    </w:p>
                    <w:p w14:paraId="3256E221">
                      <w:pPr>
                        <w:ind w:firstLine="1050" w:firstLineChars="500"/>
                      </w:pPr>
                      <w:r>
                        <w:rPr>
                          <w:rFonts w:hint="eastAsia"/>
                        </w:rPr>
                        <w:t xml:space="preserve"> 居民身份证复印件粘贴处</w:t>
                      </w:r>
                    </w:p>
                    <w:p w14:paraId="2BE30422">
                      <w:pPr>
                        <w:ind w:firstLine="1050" w:firstLineChars="500"/>
                      </w:pPr>
                    </w:p>
                    <w:p w14:paraId="43E85D91">
                      <w:pPr>
                        <w:ind w:firstLine="1785" w:firstLineChars="850"/>
                      </w:pPr>
                      <w:r>
                        <w:rPr>
                          <w:rFonts w:hint="eastAsia"/>
                        </w:rPr>
                        <w:t>（反面）</w:t>
                      </w:r>
                    </w:p>
                    <w:p w14:paraId="1C8F9ECD">
                      <w:pPr>
                        <w:ind w:firstLine="1050" w:firstLineChars="500"/>
                      </w:pPr>
                    </w:p>
                    <w:p w14:paraId="75191A86"/>
                  </w:txbxContent>
                </v:textbox>
              </v:rect>
            </w:pict>
          </mc:Fallback>
        </mc:AlternateContent>
      </w:r>
      <w:r>
        <w:rPr>
          <w:rFonts w:ascii="宋体"/>
          <w:b/>
          <w:bCs/>
        </w:rPr>
        <mc:AlternateContent>
          <mc:Choice Requires="wps">
            <w:drawing>
              <wp:anchor distT="0" distB="0" distL="114300" distR="114300" simplePos="0" relativeHeight="251662336" behindDoc="0" locked="0" layoutInCell="1" allowOverlap="1">
                <wp:simplePos x="0" y="0"/>
                <wp:positionH relativeFrom="column">
                  <wp:posOffset>-150495</wp:posOffset>
                </wp:positionH>
                <wp:positionV relativeFrom="paragraph">
                  <wp:posOffset>136525</wp:posOffset>
                </wp:positionV>
                <wp:extent cx="3086100" cy="1981200"/>
                <wp:effectExtent l="4445" t="5080" r="14605" b="13970"/>
                <wp:wrapNone/>
                <wp:docPr id="5" name="Rectangle 4"/>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D974DD1">
                            <w:pPr>
                              <w:ind w:firstLine="1260" w:firstLineChars="600"/>
                              <w:jc w:val="left"/>
                            </w:pPr>
                            <w:r>
                              <w:rPr>
                                <w:rFonts w:hint="eastAsia"/>
                              </w:rPr>
                              <w:t xml:space="preserve"> 法定代表人（负责人）</w:t>
                            </w:r>
                          </w:p>
                          <w:p w14:paraId="126C48C6">
                            <w:pPr>
                              <w:ind w:firstLine="1050" w:firstLineChars="500"/>
                              <w:jc w:val="left"/>
                            </w:pPr>
                            <w:r>
                              <w:rPr>
                                <w:rFonts w:hint="eastAsia"/>
                              </w:rPr>
                              <w:t xml:space="preserve"> 居民身份证复印件粘贴处</w:t>
                            </w:r>
                          </w:p>
                          <w:p w14:paraId="219A0BBD">
                            <w:pPr>
                              <w:ind w:firstLine="1050" w:firstLineChars="500"/>
                              <w:jc w:val="left"/>
                            </w:pPr>
                          </w:p>
                          <w:p w14:paraId="156A26F8">
                            <w:pPr>
                              <w:ind w:firstLine="1785" w:firstLineChars="850"/>
                              <w:jc w:val="left"/>
                            </w:pPr>
                            <w:r>
                              <w:rPr>
                                <w:rFonts w:hint="eastAsia"/>
                              </w:rPr>
                              <w:t>（正面）</w:t>
                            </w:r>
                          </w:p>
                          <w:p w14:paraId="489DB17E">
                            <w:pPr>
                              <w:ind w:firstLine="1050" w:firstLineChars="500"/>
                              <w:jc w:val="left"/>
                            </w:pPr>
                          </w:p>
                          <w:p w14:paraId="43ABE6D8">
                            <w:pPr>
                              <w:jc w:val="left"/>
                            </w:pPr>
                          </w:p>
                        </w:txbxContent>
                      </wps:txbx>
                      <wps:bodyPr upright="1"/>
                    </wps:wsp>
                  </a:graphicData>
                </a:graphic>
              </wp:anchor>
            </w:drawing>
          </mc:Choice>
          <mc:Fallback>
            <w:pict>
              <v:rect id="Rectangle 4" o:spid="_x0000_s1026" o:spt="1" style="position:absolute;left:0pt;margin-left:-11.85pt;margin-top:10.75pt;height:156pt;width:243pt;z-index:251662336;mso-width-relative:page;mso-height-relative:page;" fillcolor="#FFFFFF" filled="t" stroked="t" coordsize="21600,21600" o:gfxdata="UEsDBAoAAAAAAIdO4kAAAAAAAAAAAAAAAAAEAAAAZHJzL1BLAwQUAAAACACHTuJAyX9fxdkAAAAK&#10;AQAADwAAAGRycy9kb3ducmV2LnhtbE2PMU/DMBCFdyT+g3VIbK2dmBYacukAKhJjmy5sTnxNArEd&#10;xU4b+PWYqYyn9+m97/LtbHp2ptF3ziIkSwGMbO10ZxuEY7lbPAHzQVmtemcJ4Zs8bIvbm1xl2l3s&#10;ns6H0LBYYn2mENoQhoxzX7dklF+6gWzMTm40KsRzbLge1SWWm56nQqy5UZ2NC60a6KWl+uswGYSq&#10;S4/qZ1++CbPZyfA+l5/Txyvi/V0inoEFmsMVhj/9qA5FdKrcZLVnPcIilY8RRUiTFbAIPKxTCaxC&#10;kFKugBc5//9C8QtQSwMEFAAAAAgAh07iQKoqsNb2AQAALQQAAA4AAABkcnMvZTJvRG9jLnhtbK1T&#10;y47bMAy8F+g/CLo3ttPuImvE2UPT9FK0i+72AxiZtgXoBUmJnb8vJafZR3vIoT7IpEQNOUNqfT9p&#10;xY7og7Sm4dWi5AyNsK00fcN/Pe0+rDgLEUwLyhps+AkDv9+8f7ceXY1LO1jVomcEYkI9uoYPMbq6&#10;KIIYUENYWIeGDjvrNURyfV+0HkZC16pYluVtMVrfOm8FhkC72/mQnxH9NYC266TArRUHjSbOqB4V&#10;RKIUBukC3+Rquw5F/NF1ASNTDSemMa+UhOx9WovNGuregxukOJcA15TwhpMGaSjpBWoLEdjBy7+g&#10;tBTeBtvFhbC6mIlkRYhFVb7R5nEAh5kLSR3cRfTw/2DF9+ODZ7Jt+A1nBjQ1/CeJBqZXyD4leUYX&#10;aop6dA/+7AUyE9ep8zr9iQWbsqSni6Q4RSZo82O5uq1KUlvQWXW3qmgEEmrxfN35EL+i1SwZDfeU&#10;PksJx28hzqF/QlK2YJVsd1Kp7Ph+/1l5dgTq7y5/Z/RXYcqwseF3N0siKYCGtqNhIVM7Ih5Mn/O9&#10;uhFeApf5+xdwKmwLYZgLyAgpDGotI/psDQjtF9OyeHIkrqE3xVMxGlvOFNITTFaOjCDVNZGknTIk&#10;YerM3ItkxWk/EUwy97Y9UVcPzst+IEmrXHo6oSnK2p8nPo3pSz+DPr/yz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Jf1/F2QAAAAoBAAAPAAAAAAAAAAEAIAAAACIAAABkcnMvZG93bnJldi54bWxQ&#10;SwECFAAUAAAACACHTuJAqiqw1vYBAAAtBAAADgAAAAAAAAABACAAAAAoAQAAZHJzL2Uyb0RvYy54&#10;bWxQSwUGAAAAAAYABgBZAQAAkAUAAAAA&#10;">
                <v:fill on="t" focussize="0,0"/>
                <v:stroke color="#000000" joinstyle="miter"/>
                <v:imagedata o:title=""/>
                <o:lock v:ext="edit" aspectratio="f"/>
                <v:textbox>
                  <w:txbxContent>
                    <w:p w14:paraId="5D974DD1">
                      <w:pPr>
                        <w:ind w:firstLine="1260" w:firstLineChars="600"/>
                        <w:jc w:val="left"/>
                      </w:pPr>
                      <w:r>
                        <w:rPr>
                          <w:rFonts w:hint="eastAsia"/>
                        </w:rPr>
                        <w:t xml:space="preserve"> 法定代表人（负责人）</w:t>
                      </w:r>
                    </w:p>
                    <w:p w14:paraId="126C48C6">
                      <w:pPr>
                        <w:ind w:firstLine="1050" w:firstLineChars="500"/>
                        <w:jc w:val="left"/>
                      </w:pPr>
                      <w:r>
                        <w:rPr>
                          <w:rFonts w:hint="eastAsia"/>
                        </w:rPr>
                        <w:t xml:space="preserve"> 居民身份证复印件粘贴处</w:t>
                      </w:r>
                    </w:p>
                    <w:p w14:paraId="219A0BBD">
                      <w:pPr>
                        <w:ind w:firstLine="1050" w:firstLineChars="500"/>
                        <w:jc w:val="left"/>
                      </w:pPr>
                    </w:p>
                    <w:p w14:paraId="156A26F8">
                      <w:pPr>
                        <w:ind w:firstLine="1785" w:firstLineChars="850"/>
                        <w:jc w:val="left"/>
                      </w:pPr>
                      <w:r>
                        <w:rPr>
                          <w:rFonts w:hint="eastAsia"/>
                        </w:rPr>
                        <w:t>（正面）</w:t>
                      </w:r>
                    </w:p>
                    <w:p w14:paraId="489DB17E">
                      <w:pPr>
                        <w:ind w:firstLine="1050" w:firstLineChars="500"/>
                        <w:jc w:val="left"/>
                      </w:pPr>
                    </w:p>
                    <w:p w14:paraId="43ABE6D8">
                      <w:pPr>
                        <w:jc w:val="left"/>
                      </w:pPr>
                    </w:p>
                  </w:txbxContent>
                </v:textbox>
              </v:rect>
            </w:pict>
          </mc:Fallback>
        </mc:AlternateContent>
      </w:r>
    </w:p>
    <w:p w14:paraId="1EB2D190">
      <w:pPr>
        <w:spacing w:line="500" w:lineRule="exact"/>
        <w:rPr>
          <w:rFonts w:ascii="宋体"/>
          <w:b/>
          <w:bCs/>
        </w:rPr>
      </w:pPr>
    </w:p>
    <w:p w14:paraId="5277CAE7">
      <w:pPr>
        <w:spacing w:line="500" w:lineRule="exact"/>
        <w:rPr>
          <w:rFonts w:ascii="宋体"/>
          <w:b/>
          <w:bCs/>
        </w:rPr>
      </w:pPr>
    </w:p>
    <w:p w14:paraId="2FA2F3CE">
      <w:pPr>
        <w:spacing w:line="500" w:lineRule="exact"/>
        <w:rPr>
          <w:rFonts w:ascii="宋体"/>
          <w:b/>
          <w:bCs/>
        </w:rPr>
      </w:pPr>
    </w:p>
    <w:p w14:paraId="06859DF6">
      <w:pPr>
        <w:spacing w:line="500" w:lineRule="exact"/>
        <w:rPr>
          <w:rFonts w:ascii="宋体"/>
          <w:b/>
          <w:bCs/>
        </w:rPr>
      </w:pPr>
    </w:p>
    <w:p w14:paraId="40D1C436">
      <w:pPr>
        <w:spacing w:line="500" w:lineRule="exact"/>
        <w:rPr>
          <w:rFonts w:ascii="宋体"/>
          <w:b/>
          <w:bCs/>
        </w:rPr>
      </w:pPr>
    </w:p>
    <w:p w14:paraId="41176390">
      <w:pPr>
        <w:spacing w:line="500" w:lineRule="exact"/>
        <w:rPr>
          <w:rFonts w:ascii="宋体"/>
          <w:b/>
          <w:bCs/>
        </w:rPr>
      </w:pPr>
      <w:r>
        <w:rPr>
          <w:rFonts w:hint="eastAsia" w:ascii="宋体"/>
          <w:b/>
          <w:bCs/>
        </w:rPr>
        <w:t xml:space="preserve">                         </w:t>
      </w:r>
    </w:p>
    <w:p w14:paraId="04A85499">
      <w:pPr>
        <w:spacing w:line="360" w:lineRule="auto"/>
        <w:ind w:firstLine="539" w:firstLineChars="257"/>
      </w:pPr>
    </w:p>
    <w:p w14:paraId="42B2D51E">
      <w:pPr>
        <w:spacing w:line="360" w:lineRule="auto"/>
        <w:ind w:firstLine="539" w:firstLineChars="257"/>
      </w:pPr>
      <w:r>
        <w:rPr>
          <w:rFonts w:hint="eastAsia"/>
        </w:rPr>
        <w:t>单位名称：（公章）：</w:t>
      </w:r>
      <w:r>
        <w:rPr>
          <w:rFonts w:hint="eastAsia"/>
          <w:u w:val="single"/>
        </w:rPr>
        <w:t xml:space="preserve">                                         </w:t>
      </w:r>
    </w:p>
    <w:p w14:paraId="4B6F5948">
      <w:pPr>
        <w:spacing w:line="360" w:lineRule="auto"/>
        <w:ind w:firstLine="539" w:firstLineChars="257"/>
      </w:pPr>
    </w:p>
    <w:p w14:paraId="21B01D4D">
      <w:pPr>
        <w:spacing w:line="360" w:lineRule="auto"/>
        <w:ind w:firstLine="539" w:firstLineChars="257"/>
        <w:rPr>
          <w:b/>
          <w:bCs/>
          <w:sz w:val="28"/>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14:paraId="67A23568">
      <w:pPr>
        <w:widowControl/>
        <w:jc w:val="left"/>
        <w:rPr>
          <w:b/>
          <w:bCs/>
          <w:sz w:val="28"/>
        </w:rPr>
      </w:pPr>
      <w:r>
        <w:rPr>
          <w:b/>
          <w:bCs/>
          <w:sz w:val="28"/>
        </w:rPr>
        <w:br w:type="page"/>
      </w:r>
    </w:p>
    <w:p w14:paraId="2259F933">
      <w:pPr>
        <w:ind w:firstLine="2249" w:firstLineChars="800"/>
        <w:rPr>
          <w:b/>
          <w:bCs/>
          <w:sz w:val="28"/>
        </w:rPr>
      </w:pPr>
    </w:p>
    <w:p w14:paraId="2DED2C10">
      <w:pPr>
        <w:jc w:val="center"/>
        <w:rPr>
          <w:b/>
          <w:bCs/>
          <w:sz w:val="28"/>
        </w:rPr>
      </w:pPr>
      <w:r>
        <w:rPr>
          <w:rFonts w:hint="eastAsia"/>
          <w:b/>
          <w:bCs/>
          <w:sz w:val="28"/>
        </w:rPr>
        <w:t>法定代表人（负责人）授权委托书</w:t>
      </w:r>
      <w:r>
        <w:rPr>
          <w:rFonts w:hint="eastAsia" w:ascii="宋体" w:hAnsi="宋体"/>
          <w:b/>
          <w:sz w:val="30"/>
          <w:szCs w:val="30"/>
        </w:rPr>
        <w:t>（参考）</w:t>
      </w:r>
    </w:p>
    <w:p w14:paraId="466A7F8D"/>
    <w:p w14:paraId="32E54268">
      <w:pPr>
        <w:rPr>
          <w:b/>
          <w:bCs/>
        </w:rPr>
      </w:pPr>
      <w:r>
        <w:rPr>
          <w:rFonts w:hint="eastAsia"/>
        </w:rPr>
        <w:t>深圳市中正招标有限公司</w:t>
      </w:r>
      <w:r>
        <w:rPr>
          <w:rFonts w:hint="eastAsia"/>
          <w:b/>
          <w:bCs/>
        </w:rPr>
        <w:t>：</w:t>
      </w:r>
    </w:p>
    <w:p w14:paraId="00E800A2">
      <w:pPr>
        <w:ind w:firstLine="630"/>
      </w:pPr>
    </w:p>
    <w:p w14:paraId="42D019F2">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14:paraId="7D3DE387">
      <w:pPr>
        <w:adjustRightInd w:val="0"/>
        <w:snapToGrid w:val="0"/>
        <w:spacing w:line="360" w:lineRule="auto"/>
        <w:ind w:firstLine="629"/>
      </w:pPr>
    </w:p>
    <w:p w14:paraId="7CFA781E">
      <w:pPr>
        <w:ind w:firstLine="630"/>
      </w:pPr>
    </w:p>
    <w:p w14:paraId="2404625E">
      <w:pPr>
        <w:adjustRightInd w:val="0"/>
        <w:snapToGrid w:val="0"/>
        <w:spacing w:line="360" w:lineRule="auto"/>
        <w:ind w:firstLine="629"/>
        <w:rPr>
          <w:b/>
          <w:bCs/>
        </w:rPr>
      </w:pPr>
      <w:r>
        <w:rPr>
          <w:rFonts w:hint="eastAsia"/>
          <w:b/>
          <w:bCs/>
        </w:rPr>
        <w:t>附授权代表情况：</w:t>
      </w:r>
    </w:p>
    <w:p w14:paraId="62BD630E">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14:paraId="3EC353D2">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14:paraId="39C3D556">
      <w:pPr>
        <w:adjustRightInd w:val="0"/>
        <w:snapToGrid w:val="0"/>
        <w:spacing w:line="360" w:lineRule="auto"/>
        <w:ind w:firstLine="629"/>
      </w:pPr>
      <w:r>
        <w:rPr>
          <w:rFonts w:hint="eastAsia"/>
        </w:rPr>
        <w:t>职务：</w:t>
      </w:r>
    </w:p>
    <w:p w14:paraId="28E161DA">
      <w:pPr>
        <w:adjustRightInd w:val="0"/>
        <w:snapToGrid w:val="0"/>
        <w:spacing w:line="360" w:lineRule="auto"/>
        <w:ind w:firstLine="629"/>
      </w:pPr>
      <w:r>
        <w:rPr>
          <w:rFonts w:hint="eastAsia"/>
        </w:rPr>
        <w:t>身份证号码：</w:t>
      </w:r>
    </w:p>
    <w:p w14:paraId="11A4C3C8">
      <w:pPr>
        <w:adjustRightInd w:val="0"/>
        <w:snapToGrid w:val="0"/>
        <w:spacing w:line="360" w:lineRule="auto"/>
        <w:ind w:firstLine="629"/>
        <w:rPr>
          <w:b/>
          <w:bCs/>
        </w:rPr>
      </w:pPr>
      <w:r>
        <w:rPr>
          <w:rFonts w:hint="eastAsia"/>
        </w:rPr>
        <w:t>邮编：</w:t>
      </w:r>
      <w:r>
        <w:rPr>
          <w:rFonts w:hint="eastAsia"/>
          <w:b/>
          <w:bCs/>
        </w:rPr>
        <w:t xml:space="preserve"> </w:t>
      </w:r>
    </w:p>
    <w:p w14:paraId="5365468D">
      <w:pPr>
        <w:adjustRightInd w:val="0"/>
        <w:snapToGrid w:val="0"/>
        <w:spacing w:line="360" w:lineRule="auto"/>
        <w:ind w:firstLine="629"/>
      </w:pPr>
      <w:r>
        <w:rPr>
          <w:rFonts w:hint="eastAsia"/>
        </w:rPr>
        <w:t>通讯地址：</w:t>
      </w:r>
      <w:r>
        <w:rPr>
          <w:rFonts w:hint="eastAsia"/>
          <w:b/>
          <w:bCs/>
        </w:rPr>
        <w:t xml:space="preserve"> </w:t>
      </w:r>
    </w:p>
    <w:p w14:paraId="0C2CC3D1">
      <w:pPr>
        <w:adjustRightInd w:val="0"/>
        <w:snapToGrid w:val="0"/>
        <w:spacing w:line="360" w:lineRule="auto"/>
        <w:ind w:firstLine="629"/>
      </w:pPr>
      <w:r>
        <w:rPr>
          <w:rFonts w:hint="eastAsia"/>
        </w:rPr>
        <w:t>电话：</w:t>
      </w:r>
    </w:p>
    <w:p w14:paraId="0C7ABAB6">
      <w:pPr>
        <w:adjustRightInd w:val="0"/>
        <w:snapToGrid w:val="0"/>
        <w:spacing w:line="360" w:lineRule="auto"/>
        <w:ind w:firstLine="629"/>
      </w:pPr>
      <w:r>
        <w:rPr>
          <w:rFonts w:hint="eastAsia"/>
        </w:rPr>
        <w:t xml:space="preserve"> </w:t>
      </w:r>
    </w:p>
    <w:p w14:paraId="2B6677A6">
      <w:pPr>
        <w:ind w:firstLine="630"/>
      </w:pPr>
      <w:r>
        <w:rPr>
          <w:rFonts w:hint="eastAsia"/>
        </w:rPr>
        <w:t>单位名称：（公章）</w:t>
      </w:r>
    </w:p>
    <w:p w14:paraId="4D663498">
      <w:pPr>
        <w:ind w:firstLine="630"/>
      </w:pPr>
    </w:p>
    <w:p w14:paraId="31638D26">
      <w:pPr>
        <w:ind w:firstLine="630"/>
      </w:pPr>
      <w:r>
        <w:rPr>
          <w:rFonts w:hint="eastAsia"/>
        </w:rPr>
        <w:t>法定代表人（负责人）：（</w:t>
      </w:r>
      <w:r>
        <w:rPr>
          <w:snapToGrid w:val="0"/>
          <w:kern w:val="0"/>
        </w:rPr>
        <w:t>签字</w:t>
      </w:r>
      <w:r>
        <w:rPr>
          <w:rFonts w:hint="eastAsia"/>
        </w:rPr>
        <w:t>）</w:t>
      </w:r>
    </w:p>
    <w:p w14:paraId="64411692">
      <w:pPr>
        <w:ind w:firstLine="630"/>
      </w:pPr>
    </w:p>
    <w:p w14:paraId="3EB7BBD9">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14:paraId="72A2C023">
      <w:pPr>
        <w:spacing w:line="440" w:lineRule="exact"/>
        <w:rPr>
          <w:rFonts w:ascii="黑体" w:eastAsia="黑体"/>
        </w:rPr>
      </w:pPr>
      <w:bookmarkStart w:id="58" w:name="_Toc226217114"/>
      <w:r>
        <w:rPr>
          <w:rFonts w:ascii="宋体"/>
        </w:rPr>
        <mc:AlternateContent>
          <mc:Choice Requires="wps">
            <w:drawing>
              <wp:anchor distT="0" distB="0" distL="114300" distR="114300" simplePos="0" relativeHeight="251660288" behindDoc="0" locked="0" layoutInCell="1" allowOverlap="1">
                <wp:simplePos x="0" y="0"/>
                <wp:positionH relativeFrom="column">
                  <wp:posOffset>-131445</wp:posOffset>
                </wp:positionH>
                <wp:positionV relativeFrom="paragraph">
                  <wp:posOffset>71120</wp:posOffset>
                </wp:positionV>
                <wp:extent cx="3086100" cy="1981200"/>
                <wp:effectExtent l="4445" t="5080" r="14605" b="13970"/>
                <wp:wrapNone/>
                <wp:docPr id="3" name="Rectangle 2"/>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1C44C7D">
                            <w:pPr>
                              <w:ind w:firstLine="1260" w:firstLineChars="600"/>
                            </w:pPr>
                            <w:r>
                              <w:rPr>
                                <w:rFonts w:hint="eastAsia"/>
                              </w:rPr>
                              <w:t>被授权人（授权代表）</w:t>
                            </w:r>
                          </w:p>
                          <w:p w14:paraId="06EA690F">
                            <w:pPr>
                              <w:ind w:firstLine="1050" w:firstLineChars="500"/>
                            </w:pPr>
                            <w:r>
                              <w:rPr>
                                <w:rFonts w:hint="eastAsia"/>
                              </w:rPr>
                              <w:t>居民身份证复印件粘贴处</w:t>
                            </w:r>
                          </w:p>
                          <w:p w14:paraId="1F71BF12">
                            <w:pPr>
                              <w:ind w:firstLine="1050" w:firstLineChars="500"/>
                            </w:pPr>
                          </w:p>
                          <w:p w14:paraId="4FF2541D">
                            <w:pPr>
                              <w:jc w:val="center"/>
                            </w:pPr>
                            <w:r>
                              <w:rPr>
                                <w:rFonts w:hint="eastAsia"/>
                              </w:rPr>
                              <w:t>（正面）</w:t>
                            </w:r>
                          </w:p>
                        </w:txbxContent>
                      </wps:txbx>
                      <wps:bodyPr upright="1"/>
                    </wps:wsp>
                  </a:graphicData>
                </a:graphic>
              </wp:anchor>
            </w:drawing>
          </mc:Choice>
          <mc:Fallback>
            <w:pict>
              <v:rect id="Rectangle 2" o:spid="_x0000_s1026" o:spt="1" style="position:absolute;left:0pt;margin-left:-10.35pt;margin-top:5.6pt;height:156pt;width:243pt;z-index:251660288;mso-width-relative:page;mso-height-relative:page;" fillcolor="#FFFFFF" filled="t" stroked="t" coordsize="21600,21600" o:gfxdata="UEsDBAoAAAAAAIdO4kAAAAAAAAAAAAAAAAAEAAAAZHJzL1BLAwQUAAAACACHTuJAMKcuhdgAAAAK&#10;AQAADwAAAGRycy9kb3ducmV2LnhtbE2PMU/DMBCFdyT+g3VIbK0dBwqEOB1ARWJs04XtkhxJILaj&#10;2GkDv55jgvH0Pr33Xb5d7CBONIXeOwPJWoEgV/umd62BY7lb3YMIEV2Dg3dk4IsCbIvLixyzxp/d&#10;nk6H2AoucSFDA12MYyZlqDuyGNZ+JMfZu58sRj6nVjYTnrncDlIrtZEWe8cLHY701FH9eZitgarX&#10;R/zely/KPuzS+LqUH/PbszHXV4l6BBFpiX8w/OqzOhTsVPnZNUEMBlZa3THKQaJBMHCzuU1BVAZS&#10;nWqQRS7/v1D8AFBLAwQUAAAACACHTuJAis85xvYBAAAtBAAADgAAAGRycy9lMm9Eb2MueG1srVNN&#10;b9swDL0P2H8QdF9sp2iRGnF6WJZdhq1Yux+gyLQtQF8Qldj596PkLP3YDjnMB5mUqEe+R2r9MBnN&#10;jhBQOdvwalFyBla6Vtm+4b+ed59WnGEUthXaWWj4CZA/bD5+WI++hqUbnG4hMAKxWI++4UOMvi4K&#10;lAMYgQvnwdJh54IRkdzQF20QI6EbXSzL8q4YXWh9cBIQaXc7H/IzYrgG0HWdkrB18mDAxhk1gBaR&#10;KOGgPPJNrrbrQMYfXYcQmW44MY15pSRk79NabNai7oPwg5LnEsQ1JbzjZISylPQCtRVRsENQf0EZ&#10;JYND18WFdKaYiWRFiEVVvtPmaRAeMheSGv1FdPx/sPL78TEw1Tb8hjMrDDX8J4kmbK+BLZM8o8ea&#10;op78Yzh7SGbiOnXBpD+xYFOW9HSRFKbIJG3elKu7qiS1JZ1V96uKRiChFi/XfcD4FZxhyWh4oPRZ&#10;SnH8hnEO/ROSsqHTqt0prbMT+v1nHdhRUH93+TujvwnTlo0Nv79d3lIhgoa2o2Eh03gijrbP+d7c&#10;wNfAZf7+BZwK2woc5gIyQgoTtVERQrYGEO0X27J48iSupTfFUzEGWs400BNMVo6MQulrIkk7bUnC&#10;1Jm5F8mK034imGTuXXuirh58UP1Akla59HRCU5S1P098GtPXfgZ9eeWb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CnLoXYAAAACgEAAA8AAAAAAAAAAQAgAAAAIgAAAGRycy9kb3ducmV2LnhtbFBL&#10;AQIUABQAAAAIAIdO4kCKzznG9gEAAC0EAAAOAAAAAAAAAAEAIAAAACcBAABkcnMvZTJvRG9jLnht&#10;bFBLBQYAAAAABgAGAFkBAACPBQAAAAA=&#10;">
                <v:fill on="t" focussize="0,0"/>
                <v:stroke color="#000000" joinstyle="miter"/>
                <v:imagedata o:title=""/>
                <o:lock v:ext="edit" aspectratio="f"/>
                <v:textbox>
                  <w:txbxContent>
                    <w:p w14:paraId="11C44C7D">
                      <w:pPr>
                        <w:ind w:firstLine="1260" w:firstLineChars="600"/>
                      </w:pPr>
                      <w:r>
                        <w:rPr>
                          <w:rFonts w:hint="eastAsia"/>
                        </w:rPr>
                        <w:t>被授权人（授权代表）</w:t>
                      </w:r>
                    </w:p>
                    <w:p w14:paraId="06EA690F">
                      <w:pPr>
                        <w:ind w:firstLine="1050" w:firstLineChars="500"/>
                      </w:pPr>
                      <w:r>
                        <w:rPr>
                          <w:rFonts w:hint="eastAsia"/>
                        </w:rPr>
                        <w:t>居民身份证复印件粘贴处</w:t>
                      </w:r>
                    </w:p>
                    <w:p w14:paraId="1F71BF12">
                      <w:pPr>
                        <w:ind w:firstLine="1050" w:firstLineChars="500"/>
                      </w:pPr>
                    </w:p>
                    <w:p w14:paraId="4FF2541D">
                      <w:pPr>
                        <w:jc w:val="center"/>
                      </w:pPr>
                      <w:r>
                        <w:rPr>
                          <w:rFonts w:hint="eastAsia"/>
                        </w:rPr>
                        <w:t>（正面）</w:t>
                      </w:r>
                    </w:p>
                  </w:txbxContent>
                </v:textbox>
              </v:rect>
            </w:pict>
          </mc:Fallback>
        </mc:AlternateContent>
      </w:r>
      <w:r>
        <w:rPr>
          <w:rFonts w:ascii="黑体" w:eastAsia="黑体"/>
        </w:rPr>
        <mc:AlternateContent>
          <mc:Choice Requires="wps">
            <w:drawing>
              <wp:anchor distT="0" distB="0" distL="114300" distR="114300" simplePos="0" relativeHeight="251661312" behindDoc="0" locked="0" layoutInCell="1" allowOverlap="1">
                <wp:simplePos x="0" y="0"/>
                <wp:positionH relativeFrom="column">
                  <wp:posOffset>3173730</wp:posOffset>
                </wp:positionH>
                <wp:positionV relativeFrom="paragraph">
                  <wp:posOffset>71120</wp:posOffset>
                </wp:positionV>
                <wp:extent cx="3086100" cy="1981200"/>
                <wp:effectExtent l="4445" t="5080" r="14605" b="13970"/>
                <wp:wrapNone/>
                <wp:docPr id="4" name="Rectangle 3"/>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DCF9F0C">
                            <w:pPr>
                              <w:ind w:firstLine="1260" w:firstLineChars="600"/>
                            </w:pPr>
                            <w:r>
                              <w:rPr>
                                <w:rFonts w:hint="eastAsia"/>
                              </w:rPr>
                              <w:t>被授权人（授权代表）</w:t>
                            </w:r>
                          </w:p>
                          <w:p w14:paraId="50F5B554">
                            <w:pPr>
                              <w:ind w:firstLine="1050" w:firstLineChars="500"/>
                            </w:pPr>
                            <w:r>
                              <w:rPr>
                                <w:rFonts w:hint="eastAsia"/>
                              </w:rPr>
                              <w:t>居民身份证复印件粘贴处</w:t>
                            </w:r>
                          </w:p>
                          <w:p w14:paraId="3CCFB25D">
                            <w:pPr>
                              <w:ind w:firstLine="1050" w:firstLineChars="500"/>
                            </w:pPr>
                          </w:p>
                          <w:p w14:paraId="045B692A">
                            <w:pPr>
                              <w:ind w:firstLine="1785" w:firstLineChars="850"/>
                            </w:pPr>
                            <w:r>
                              <w:rPr>
                                <w:rFonts w:hint="eastAsia"/>
                              </w:rPr>
                              <w:t>（反面）</w:t>
                            </w:r>
                          </w:p>
                          <w:p w14:paraId="79B2F09F"/>
                        </w:txbxContent>
                      </wps:txbx>
                      <wps:bodyPr upright="1"/>
                    </wps:wsp>
                  </a:graphicData>
                </a:graphic>
              </wp:anchor>
            </w:drawing>
          </mc:Choice>
          <mc:Fallback>
            <w:pict>
              <v:rect id="Rectangle 3" o:spid="_x0000_s1026" o:spt="1" style="position:absolute;left:0pt;margin-left:249.9pt;margin-top:5.6pt;height:156pt;width:243pt;z-index:251661312;mso-width-relative:page;mso-height-relative:page;" fillcolor="#FFFFFF" filled="t" stroked="t" coordsize="21600,21600" o:gfxdata="UEsDBAoAAAAAAIdO4kAAAAAAAAAAAAAAAAAEAAAAZHJzL1BLAwQUAAAACACHTuJAodm/rtgAAAAK&#10;AQAADwAAAGRycy9kb3ducmV2LnhtbE2PwU7DMBBE70j8g7VI3KgdB1AT4vQAKhLHNr1wc2KTBOJ1&#10;FDtt2q9nOdHj7Ixm3habxQ3saKfQe1SQrAQwi403PbYKDtX2YQ0sRI1GDx6tgrMNsClvbwqdG3/C&#10;nT3uY8uoBEOuFXQxjjnnoems02HlR4vkffnJ6UhyarmZ9InK3cClEM/c6R5podOjfe1s87OfnYK6&#10;lwd92VXvwmXbNH4s1ff8+abU/V0iXoBFu8T/MPzhEzqUxFT7GU1gg4LHLCP0SEYigVEgWz/RoVaQ&#10;ylQCLwt+/UL5C1BLAwQUAAAACACHTuJAHFivbPcBAAAtBAAADgAAAGRycy9lMm9Eb2MueG1srVPL&#10;jtswDLwX6D8Iuje2s91F1oizh6bppWgX3fYDGFm2BegFUYmdvy8lp9lHe8ihPsikRA05Q2r9MBnN&#10;jjKgcrbh1aLkTFrhWmX7hv/6ufuw4gwj2Ba0s7LhJ4n8YfP+3Xr0tVy6welWBkYgFuvRN3yI0ddF&#10;gWKQBnDhvLR02LlgIJIb+qINMBK60cWyLO+K0YXWByckIu1u50N+RgzXALquU0JunTgYaeOMGqSG&#10;SJRwUB75JlfbdVLE712HMjLdcGIa80pJyN6ntdisoe4D+EGJcwlwTQlvOBlQlpJeoLYQgR2C+gvK&#10;KBEcui4uhDPFTCQrQiyq8o02TwN4mbmQ1OgvouP/gxXfjo+BqbbhHzmzYKjhP0g0sL2W7CbJM3qs&#10;KerJP4azh2QmrlMXTPoTCzZlSU8XSeUUmaDNm3J1V5WktqCz6n5V0Qgk1OL5ug8Yv0hnWDIaHih9&#10;lhKOXzHOoX9CUjZ0WrU7pXV2Qr//pAM7AvV3l78z+qswbdnY8Pvb5S0VAjS0HQ0LmcYTcbR9zvfq&#10;Br4ELvP3L+BU2BZwmAvICCkMaqOiDNkaJLSfbcviyZO4lt4UT8UY2XKmJT3BZOXICEpfE0naaUsS&#10;ps7MvUhWnPYTwSRz79oTdfXgg+oHkrTKpacTmqKs/Xni05i+9DPo8yvf/A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h2b+u2AAAAAoBAAAPAAAAAAAAAAEAIAAAACIAAABkcnMvZG93bnJldi54bWxQ&#10;SwECFAAUAAAACACHTuJAHFivbPcBAAAtBAAADgAAAAAAAAABACAAAAAnAQAAZHJzL2Uyb0RvYy54&#10;bWxQSwUGAAAAAAYABgBZAQAAkAUAAAAA&#10;">
                <v:fill on="t" focussize="0,0"/>
                <v:stroke color="#000000" joinstyle="miter"/>
                <v:imagedata o:title=""/>
                <o:lock v:ext="edit" aspectratio="f"/>
                <v:textbox>
                  <w:txbxContent>
                    <w:p w14:paraId="4DCF9F0C">
                      <w:pPr>
                        <w:ind w:firstLine="1260" w:firstLineChars="600"/>
                      </w:pPr>
                      <w:r>
                        <w:rPr>
                          <w:rFonts w:hint="eastAsia"/>
                        </w:rPr>
                        <w:t>被授权人（授权代表）</w:t>
                      </w:r>
                    </w:p>
                    <w:p w14:paraId="50F5B554">
                      <w:pPr>
                        <w:ind w:firstLine="1050" w:firstLineChars="500"/>
                      </w:pPr>
                      <w:r>
                        <w:rPr>
                          <w:rFonts w:hint="eastAsia"/>
                        </w:rPr>
                        <w:t>居民身份证复印件粘贴处</w:t>
                      </w:r>
                    </w:p>
                    <w:p w14:paraId="3CCFB25D">
                      <w:pPr>
                        <w:ind w:firstLine="1050" w:firstLineChars="500"/>
                      </w:pPr>
                    </w:p>
                    <w:p w14:paraId="045B692A">
                      <w:pPr>
                        <w:ind w:firstLine="1785" w:firstLineChars="850"/>
                      </w:pPr>
                      <w:r>
                        <w:rPr>
                          <w:rFonts w:hint="eastAsia"/>
                        </w:rPr>
                        <w:t>（反面）</w:t>
                      </w:r>
                    </w:p>
                    <w:p w14:paraId="79B2F09F"/>
                  </w:txbxContent>
                </v:textbox>
              </v:rect>
            </w:pict>
          </mc:Fallback>
        </mc:AlternateContent>
      </w:r>
      <w:bookmarkEnd w:id="58"/>
    </w:p>
    <w:p w14:paraId="2222CD5A">
      <w:pPr>
        <w:spacing w:line="440" w:lineRule="exact"/>
        <w:rPr>
          <w:rFonts w:ascii="黑体" w:eastAsia="黑体"/>
        </w:rPr>
      </w:pPr>
    </w:p>
    <w:p w14:paraId="360EA311">
      <w:pPr>
        <w:spacing w:line="440" w:lineRule="exact"/>
        <w:rPr>
          <w:rFonts w:ascii="黑体" w:eastAsia="黑体"/>
        </w:rPr>
      </w:pPr>
    </w:p>
    <w:p w14:paraId="74B9A068">
      <w:pPr>
        <w:spacing w:line="440" w:lineRule="exact"/>
        <w:rPr>
          <w:rFonts w:ascii="黑体" w:eastAsia="黑体"/>
        </w:rPr>
      </w:pPr>
    </w:p>
    <w:p w14:paraId="352D4ADF">
      <w:pPr>
        <w:spacing w:line="440" w:lineRule="exact"/>
        <w:rPr>
          <w:rFonts w:ascii="黑体" w:eastAsia="黑体"/>
        </w:rPr>
      </w:pPr>
    </w:p>
    <w:p w14:paraId="2092A8E4">
      <w:pPr>
        <w:tabs>
          <w:tab w:val="left" w:pos="5115"/>
        </w:tabs>
        <w:spacing w:line="440" w:lineRule="exact"/>
        <w:rPr>
          <w:rFonts w:ascii="黑体" w:eastAsia="黑体"/>
        </w:rPr>
      </w:pPr>
      <w:r>
        <w:rPr>
          <w:rFonts w:ascii="黑体" w:eastAsia="黑体"/>
        </w:rPr>
        <w:tab/>
      </w:r>
    </w:p>
    <w:p w14:paraId="2A82FC33">
      <w:pPr>
        <w:spacing w:line="440" w:lineRule="exact"/>
        <w:rPr>
          <w:rFonts w:ascii="黑体" w:eastAsia="黑体"/>
        </w:rPr>
      </w:pPr>
    </w:p>
    <w:p w14:paraId="6D661362">
      <w:pPr>
        <w:adjustRightInd w:val="0"/>
        <w:snapToGrid w:val="0"/>
        <w:spacing w:line="300" w:lineRule="auto"/>
        <w:ind w:firstLine="5008" w:firstLineChars="2385"/>
      </w:pPr>
    </w:p>
    <w:p w14:paraId="3C94DDDB">
      <w:pPr>
        <w:adjustRightInd w:val="0"/>
        <w:snapToGrid w:val="0"/>
        <w:spacing w:line="300" w:lineRule="auto"/>
      </w:pPr>
    </w:p>
    <w:p w14:paraId="2BB5EF91">
      <w:pPr>
        <w:adjustRightInd w:val="0"/>
        <w:snapToGrid w:val="0"/>
        <w:spacing w:line="300" w:lineRule="auto"/>
      </w:pPr>
    </w:p>
    <w:p w14:paraId="53BBED7A">
      <w:pPr>
        <w:adjustRightInd w:val="0"/>
        <w:snapToGrid w:val="0"/>
        <w:spacing w:line="300" w:lineRule="auto"/>
        <w:rPr>
          <w:rFonts w:asciiTheme="majorEastAsia" w:hAnsiTheme="majorEastAsia" w:eastAsiaTheme="majorEastAsia"/>
          <w:b/>
          <w:snapToGrid w:val="0"/>
          <w:kern w:val="0"/>
          <w:sz w:val="24"/>
        </w:rPr>
      </w:pPr>
      <w:r>
        <w:rPr>
          <w:rFonts w:hint="eastAsia" w:asciiTheme="majorEastAsia" w:hAnsiTheme="majorEastAsia" w:eastAsiaTheme="majorEastAsia"/>
          <w:b/>
          <w:sz w:val="24"/>
        </w:rPr>
        <w:t>注：法定代表人（负责人）证明书和法定代表人（负责人）授权委托书除装订于投标文件中外，还须另置一份按“投标人须知”18.4项要求单独密封。</w:t>
      </w:r>
    </w:p>
    <w:p w14:paraId="714EBE39"/>
    <w:p w14:paraId="2A4B263F">
      <w:pPr>
        <w:widowControl/>
        <w:jc w:val="left"/>
      </w:pPr>
      <w:r>
        <w:br w:type="page"/>
      </w:r>
    </w:p>
    <w:p w14:paraId="31246C88">
      <w:pPr>
        <w:tabs>
          <w:tab w:val="left" w:pos="720"/>
        </w:tabs>
        <w:adjustRightInd w:val="0"/>
        <w:snapToGrid w:val="0"/>
        <w:spacing w:line="300" w:lineRule="auto"/>
        <w:rPr>
          <w:b/>
          <w:snapToGrid w:val="0"/>
          <w:kern w:val="0"/>
          <w:sz w:val="28"/>
        </w:rPr>
      </w:pPr>
    </w:p>
    <w:p w14:paraId="571509F2">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投</w:t>
      </w:r>
      <w:r>
        <w:rPr>
          <w:rFonts w:asciiTheme="minorEastAsia" w:hAnsiTheme="minorEastAsia" w:eastAsiaTheme="minorEastAsia"/>
          <w:sz w:val="24"/>
        </w:rPr>
        <w:t xml:space="preserve"> </w:t>
      </w:r>
      <w:r>
        <w:rPr>
          <w:rFonts w:hint="eastAsia" w:asciiTheme="minorEastAsia" w:hAnsiTheme="minorEastAsia" w:eastAsiaTheme="minorEastAsia"/>
          <w:sz w:val="24"/>
        </w:rPr>
        <w:t>标</w:t>
      </w:r>
      <w:r>
        <w:rPr>
          <w:rFonts w:asciiTheme="minorEastAsia" w:hAnsiTheme="minorEastAsia" w:eastAsiaTheme="minorEastAsia"/>
          <w:sz w:val="24"/>
        </w:rPr>
        <w:t xml:space="preserve"> </w:t>
      </w:r>
      <w:r>
        <w:rPr>
          <w:rFonts w:hint="eastAsia" w:asciiTheme="minorEastAsia" w:hAnsiTheme="minorEastAsia" w:eastAsiaTheme="minorEastAsia"/>
          <w:sz w:val="24"/>
        </w:rPr>
        <w:t>函</w:t>
      </w:r>
    </w:p>
    <w:p w14:paraId="26230FA0">
      <w:pPr>
        <w:adjustRightInd w:val="0"/>
        <w:snapToGrid w:val="0"/>
        <w:spacing w:line="312" w:lineRule="auto"/>
      </w:pPr>
    </w:p>
    <w:p w14:paraId="422EB6CC">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14:paraId="0C17F57B">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14:paraId="30255394">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14:paraId="2F31D650">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2．我单位提交的投标文件为：投标书正本一份，副本五份，电子备份光盘（或U盘）一份（含投标文件正本盖章扫描件及投标文件WORD文档）。</w:t>
      </w:r>
    </w:p>
    <w:p w14:paraId="50460E48">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14:paraId="443C41C1">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4．我单位愿意提供采购代理机构在招标文件中要求的所有资料，且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14:paraId="44EC7854">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14:paraId="3F30C265">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w:t>
      </w:r>
      <w:r>
        <w:rPr>
          <w:rFonts w:hint="eastAsia" w:ascii="宋体" w:hAnsi="宋体" w:cs="Courier New"/>
          <w:snapToGrid w:val="0"/>
          <w:szCs w:val="18"/>
        </w:rPr>
        <w:t>中华人民共和国民法典</w:t>
      </w:r>
      <w:r>
        <w:rPr>
          <w:rFonts w:hint="eastAsia" w:cs="Courier New" w:asciiTheme="minorEastAsia" w:hAnsiTheme="minorEastAsia" w:eastAsiaTheme="minorEastAsia"/>
          <w:snapToGrid w:val="0"/>
          <w:szCs w:val="18"/>
        </w:rPr>
        <w:t>》履行自己的全部责任。</w:t>
      </w:r>
    </w:p>
    <w:p w14:paraId="6E6CF06A">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14:paraId="31CBD06E">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我单位承诺在收到代理服务费缴费通知后7个工作日内领取中标（成交）通知书，逾期将视为我单位放弃中标（成交）资格。</w:t>
      </w:r>
    </w:p>
    <w:p w14:paraId="6132F56A">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14:paraId="6C0884B6">
      <w:pPr>
        <w:adjustRightInd w:val="0"/>
        <w:snapToGrid w:val="0"/>
        <w:spacing w:line="360" w:lineRule="auto"/>
        <w:ind w:firstLine="600"/>
      </w:pPr>
    </w:p>
    <w:p w14:paraId="7FC3E1CC">
      <w:pPr>
        <w:adjustRightInd w:val="0"/>
        <w:snapToGrid w:val="0"/>
        <w:spacing w:line="360" w:lineRule="auto"/>
        <w:ind w:firstLine="426"/>
      </w:pPr>
      <w:r>
        <w:t>单    位： （盖章）</w:t>
      </w:r>
    </w:p>
    <w:p w14:paraId="586762F5">
      <w:pPr>
        <w:adjustRightInd w:val="0"/>
        <w:snapToGrid w:val="0"/>
        <w:spacing w:line="360" w:lineRule="auto"/>
        <w:ind w:firstLine="426"/>
      </w:pPr>
      <w:r>
        <w:t xml:space="preserve">地    址： </w:t>
      </w:r>
    </w:p>
    <w:p w14:paraId="6F2D1426">
      <w:pPr>
        <w:adjustRightInd w:val="0"/>
        <w:snapToGrid w:val="0"/>
        <w:spacing w:line="360" w:lineRule="auto"/>
        <w:ind w:firstLine="426"/>
      </w:pPr>
      <w:r>
        <w:t xml:space="preserve">电    话：     </w:t>
      </w:r>
    </w:p>
    <w:p w14:paraId="068F8C07">
      <w:pPr>
        <w:adjustRightInd w:val="0"/>
        <w:snapToGrid w:val="0"/>
        <w:spacing w:line="360" w:lineRule="auto"/>
        <w:ind w:firstLine="426"/>
      </w:pPr>
      <w:r>
        <w:t>传    真：</w:t>
      </w:r>
    </w:p>
    <w:p w14:paraId="29DAA8C3">
      <w:pPr>
        <w:adjustRightInd w:val="0"/>
        <w:snapToGrid w:val="0"/>
        <w:spacing w:line="360" w:lineRule="auto"/>
        <w:ind w:firstLine="426"/>
      </w:pPr>
      <w:r>
        <w:t>邮    编：</w:t>
      </w:r>
    </w:p>
    <w:p w14:paraId="30258BBF">
      <w:pPr>
        <w:adjustRightInd w:val="0"/>
        <w:snapToGrid w:val="0"/>
        <w:spacing w:line="360" w:lineRule="auto"/>
        <w:ind w:firstLine="426"/>
      </w:pPr>
      <w:r>
        <w:t xml:space="preserve">联 系 人： </w:t>
      </w:r>
    </w:p>
    <w:p w14:paraId="2C4932F6">
      <w:pPr>
        <w:adjustRightInd w:val="0"/>
        <w:snapToGrid w:val="0"/>
        <w:spacing w:line="360" w:lineRule="auto"/>
        <w:ind w:firstLine="600"/>
      </w:pPr>
    </w:p>
    <w:p w14:paraId="1C6FA468">
      <w:pPr>
        <w:adjustRightInd w:val="0"/>
        <w:snapToGrid w:val="0"/>
        <w:spacing w:line="360" w:lineRule="auto"/>
        <w:ind w:firstLine="600"/>
        <w:jc w:val="right"/>
      </w:pPr>
      <w:r>
        <w:rPr>
          <w:rFonts w:hint="eastAsia"/>
        </w:rPr>
        <w:t>年     月    日</w:t>
      </w:r>
    </w:p>
    <w:p w14:paraId="6E2B03F9">
      <w:pPr>
        <w:adjustRightInd w:val="0"/>
        <w:snapToGrid w:val="0"/>
        <w:spacing w:line="360" w:lineRule="auto"/>
        <w:ind w:firstLine="600"/>
        <w:jc w:val="right"/>
      </w:pPr>
    </w:p>
    <w:p w14:paraId="78B13650">
      <w:pPr>
        <w:adjustRightInd w:val="0"/>
        <w:spacing w:line="300" w:lineRule="auto"/>
        <w:ind w:hanging="2"/>
        <w:jc w:val="center"/>
        <w:rPr>
          <w:b/>
          <w:snapToGrid w:val="0"/>
          <w:kern w:val="0"/>
          <w:sz w:val="28"/>
        </w:rPr>
      </w:pPr>
    </w:p>
    <w:p w14:paraId="000DD001">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14:paraId="6F047510">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14:paraId="44626BC7">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格式4  评分中涉及的承诺及声明函</w:t>
      </w:r>
    </w:p>
    <w:p w14:paraId="4351B285">
      <w:pPr>
        <w:keepNext/>
        <w:keepLines/>
        <w:tabs>
          <w:tab w:val="left" w:pos="0"/>
        </w:tabs>
        <w:spacing w:before="280" w:after="290" w:line="376" w:lineRule="auto"/>
        <w:jc w:val="center"/>
        <w:outlineLvl w:val="3"/>
        <w:rPr>
          <w:rFonts w:ascii="宋体" w:hAnsi="宋体"/>
          <w:b/>
          <w:bCs/>
          <w:sz w:val="28"/>
          <w:szCs w:val="28"/>
        </w:rPr>
      </w:pPr>
      <w:r>
        <w:rPr>
          <w:rFonts w:hint="eastAsia" w:ascii="宋体" w:hAnsi="宋体"/>
          <w:b/>
          <w:bCs/>
          <w:sz w:val="28"/>
          <w:szCs w:val="28"/>
        </w:rPr>
        <w:t>列入政府优先采购清单的投标产品一览表</w:t>
      </w:r>
    </w:p>
    <w:tbl>
      <w:tblPr>
        <w:tblStyle w:val="50"/>
        <w:tblW w:w="10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1241"/>
        <w:gridCol w:w="2292"/>
        <w:gridCol w:w="1503"/>
        <w:gridCol w:w="720"/>
      </w:tblGrid>
      <w:tr w14:paraId="7AF3184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540" w:type="dxa"/>
            <w:vMerge w:val="restart"/>
            <w:vAlign w:val="center"/>
          </w:tcPr>
          <w:p w14:paraId="5658FFAD">
            <w:pPr>
              <w:jc w:val="center"/>
              <w:rPr>
                <w:b/>
                <w:szCs w:val="21"/>
              </w:rPr>
            </w:pPr>
            <w:r>
              <w:rPr>
                <w:rFonts w:hint="eastAsia"/>
                <w:b/>
                <w:szCs w:val="21"/>
              </w:rPr>
              <w:t>序号</w:t>
            </w:r>
          </w:p>
        </w:tc>
        <w:tc>
          <w:tcPr>
            <w:tcW w:w="1213" w:type="dxa"/>
            <w:vMerge w:val="restart"/>
            <w:vAlign w:val="center"/>
          </w:tcPr>
          <w:p w14:paraId="65B11B14">
            <w:pPr>
              <w:jc w:val="center"/>
              <w:rPr>
                <w:b/>
                <w:szCs w:val="21"/>
              </w:rPr>
            </w:pPr>
            <w:r>
              <w:rPr>
                <w:rFonts w:hint="eastAsia"/>
                <w:b/>
                <w:szCs w:val="21"/>
              </w:rPr>
              <w:t>投标产品名称</w:t>
            </w:r>
          </w:p>
        </w:tc>
        <w:tc>
          <w:tcPr>
            <w:tcW w:w="1840" w:type="dxa"/>
            <w:vMerge w:val="restart"/>
            <w:vAlign w:val="center"/>
          </w:tcPr>
          <w:p w14:paraId="7D498761">
            <w:pPr>
              <w:jc w:val="center"/>
              <w:rPr>
                <w:b/>
                <w:szCs w:val="21"/>
              </w:rPr>
            </w:pPr>
            <w:r>
              <w:rPr>
                <w:rFonts w:hint="eastAsia"/>
                <w:b/>
                <w:szCs w:val="21"/>
              </w:rPr>
              <w:t>规格及型号</w:t>
            </w:r>
          </w:p>
        </w:tc>
        <w:tc>
          <w:tcPr>
            <w:tcW w:w="4351" w:type="dxa"/>
            <w:gridSpan w:val="3"/>
            <w:vAlign w:val="center"/>
          </w:tcPr>
          <w:p w14:paraId="473EA0C8">
            <w:pPr>
              <w:jc w:val="center"/>
              <w:rPr>
                <w:b/>
                <w:szCs w:val="21"/>
              </w:rPr>
            </w:pPr>
            <w:r>
              <w:rPr>
                <w:rFonts w:hint="eastAsia"/>
                <w:b/>
                <w:szCs w:val="21"/>
              </w:rPr>
              <w:t>投标产品报价</w:t>
            </w:r>
          </w:p>
        </w:tc>
        <w:tc>
          <w:tcPr>
            <w:tcW w:w="1503" w:type="dxa"/>
            <w:vMerge w:val="restart"/>
            <w:vAlign w:val="center"/>
          </w:tcPr>
          <w:p w14:paraId="305A676D">
            <w:pPr>
              <w:jc w:val="center"/>
              <w:rPr>
                <w:b/>
                <w:szCs w:val="21"/>
              </w:rPr>
            </w:pPr>
            <w:r>
              <w:rPr>
                <w:rFonts w:hint="eastAsia"/>
                <w:b/>
                <w:szCs w:val="21"/>
              </w:rPr>
              <w:t>属于优先采购清单的类别</w:t>
            </w:r>
          </w:p>
        </w:tc>
        <w:tc>
          <w:tcPr>
            <w:tcW w:w="720" w:type="dxa"/>
            <w:vMerge w:val="restart"/>
            <w:vAlign w:val="center"/>
          </w:tcPr>
          <w:p w14:paraId="6D0A6245">
            <w:pPr>
              <w:jc w:val="center"/>
              <w:rPr>
                <w:b/>
                <w:szCs w:val="21"/>
              </w:rPr>
            </w:pPr>
            <w:r>
              <w:rPr>
                <w:rFonts w:hint="eastAsia"/>
                <w:b/>
                <w:szCs w:val="21"/>
              </w:rPr>
              <w:t>备注</w:t>
            </w:r>
          </w:p>
        </w:tc>
      </w:tr>
      <w:tr w14:paraId="73198A5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14:paraId="7593628F">
            <w:pPr>
              <w:rPr>
                <w:szCs w:val="21"/>
              </w:rPr>
            </w:pPr>
          </w:p>
        </w:tc>
        <w:tc>
          <w:tcPr>
            <w:tcW w:w="1213" w:type="dxa"/>
            <w:vMerge w:val="continue"/>
            <w:vAlign w:val="center"/>
          </w:tcPr>
          <w:p w14:paraId="58952A51">
            <w:pPr>
              <w:rPr>
                <w:szCs w:val="21"/>
              </w:rPr>
            </w:pPr>
          </w:p>
        </w:tc>
        <w:tc>
          <w:tcPr>
            <w:tcW w:w="1840" w:type="dxa"/>
            <w:vMerge w:val="continue"/>
            <w:vAlign w:val="center"/>
          </w:tcPr>
          <w:p w14:paraId="5224D8B4">
            <w:pPr>
              <w:rPr>
                <w:szCs w:val="21"/>
              </w:rPr>
            </w:pPr>
          </w:p>
        </w:tc>
        <w:tc>
          <w:tcPr>
            <w:tcW w:w="818" w:type="dxa"/>
            <w:vAlign w:val="center"/>
          </w:tcPr>
          <w:p w14:paraId="7FC6690E">
            <w:pPr>
              <w:rPr>
                <w:szCs w:val="21"/>
              </w:rPr>
            </w:pPr>
            <w:r>
              <w:rPr>
                <w:rFonts w:hint="eastAsia"/>
                <w:szCs w:val="21"/>
              </w:rPr>
              <w:t>数量</w:t>
            </w:r>
          </w:p>
        </w:tc>
        <w:tc>
          <w:tcPr>
            <w:tcW w:w="1241" w:type="dxa"/>
            <w:vAlign w:val="center"/>
          </w:tcPr>
          <w:p w14:paraId="4BBF1E54">
            <w:pPr>
              <w:jc w:val="center"/>
              <w:rPr>
                <w:szCs w:val="21"/>
              </w:rPr>
            </w:pPr>
            <w:r>
              <w:rPr>
                <w:rFonts w:hint="eastAsia"/>
                <w:szCs w:val="21"/>
              </w:rPr>
              <w:t>投标单价（元）</w:t>
            </w:r>
          </w:p>
        </w:tc>
        <w:tc>
          <w:tcPr>
            <w:tcW w:w="2292" w:type="dxa"/>
            <w:vAlign w:val="center"/>
          </w:tcPr>
          <w:p w14:paraId="679ED105">
            <w:pPr>
              <w:jc w:val="center"/>
              <w:rPr>
                <w:szCs w:val="21"/>
              </w:rPr>
            </w:pPr>
            <w:r>
              <w:rPr>
                <w:rFonts w:hint="eastAsia"/>
                <w:szCs w:val="21"/>
              </w:rPr>
              <w:t>投标</w:t>
            </w:r>
            <w:r>
              <w:rPr>
                <w:rFonts w:hint="eastAsia" w:ascii="宋体" w:hAnsi="宋体"/>
                <w:szCs w:val="21"/>
              </w:rPr>
              <w:t>合计</w:t>
            </w:r>
            <w:r>
              <w:rPr>
                <w:rFonts w:hint="eastAsia"/>
                <w:szCs w:val="21"/>
              </w:rPr>
              <w:t>报价（元）</w:t>
            </w:r>
          </w:p>
        </w:tc>
        <w:tc>
          <w:tcPr>
            <w:tcW w:w="1503" w:type="dxa"/>
            <w:vMerge w:val="continue"/>
            <w:vAlign w:val="center"/>
          </w:tcPr>
          <w:p w14:paraId="5E3255C1">
            <w:pPr>
              <w:rPr>
                <w:szCs w:val="21"/>
              </w:rPr>
            </w:pPr>
          </w:p>
        </w:tc>
        <w:tc>
          <w:tcPr>
            <w:tcW w:w="720" w:type="dxa"/>
            <w:vMerge w:val="continue"/>
            <w:vAlign w:val="center"/>
          </w:tcPr>
          <w:p w14:paraId="436ED6C2">
            <w:pPr>
              <w:rPr>
                <w:szCs w:val="21"/>
              </w:rPr>
            </w:pPr>
          </w:p>
        </w:tc>
      </w:tr>
      <w:tr w14:paraId="01BD6D1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14:paraId="4816332B">
            <w:pPr>
              <w:jc w:val="center"/>
              <w:rPr>
                <w:rFonts w:ascii="宋体" w:hAnsi="宋体"/>
                <w:szCs w:val="21"/>
              </w:rPr>
            </w:pPr>
            <w:r>
              <w:rPr>
                <w:rFonts w:hint="eastAsia" w:ascii="宋体" w:hAnsi="宋体"/>
                <w:szCs w:val="21"/>
              </w:rPr>
              <w:t>1</w:t>
            </w:r>
          </w:p>
        </w:tc>
        <w:tc>
          <w:tcPr>
            <w:tcW w:w="1213" w:type="dxa"/>
            <w:vAlign w:val="center"/>
          </w:tcPr>
          <w:p w14:paraId="52121BFE">
            <w:pPr>
              <w:jc w:val="center"/>
              <w:rPr>
                <w:szCs w:val="21"/>
              </w:rPr>
            </w:pPr>
          </w:p>
        </w:tc>
        <w:tc>
          <w:tcPr>
            <w:tcW w:w="1840" w:type="dxa"/>
            <w:vAlign w:val="center"/>
          </w:tcPr>
          <w:p w14:paraId="1E2C1726">
            <w:pPr>
              <w:jc w:val="center"/>
              <w:rPr>
                <w:szCs w:val="21"/>
              </w:rPr>
            </w:pPr>
          </w:p>
        </w:tc>
        <w:tc>
          <w:tcPr>
            <w:tcW w:w="818" w:type="dxa"/>
            <w:vAlign w:val="center"/>
          </w:tcPr>
          <w:p w14:paraId="32212E95">
            <w:pPr>
              <w:jc w:val="center"/>
              <w:rPr>
                <w:szCs w:val="21"/>
              </w:rPr>
            </w:pPr>
          </w:p>
        </w:tc>
        <w:tc>
          <w:tcPr>
            <w:tcW w:w="1241" w:type="dxa"/>
            <w:vAlign w:val="center"/>
          </w:tcPr>
          <w:p w14:paraId="56A286F0">
            <w:pPr>
              <w:jc w:val="center"/>
              <w:rPr>
                <w:szCs w:val="21"/>
              </w:rPr>
            </w:pPr>
          </w:p>
        </w:tc>
        <w:tc>
          <w:tcPr>
            <w:tcW w:w="2292" w:type="dxa"/>
            <w:vAlign w:val="center"/>
          </w:tcPr>
          <w:p w14:paraId="264F608E">
            <w:pPr>
              <w:jc w:val="center"/>
              <w:rPr>
                <w:szCs w:val="21"/>
              </w:rPr>
            </w:pPr>
          </w:p>
        </w:tc>
        <w:tc>
          <w:tcPr>
            <w:tcW w:w="1503" w:type="dxa"/>
            <w:vAlign w:val="center"/>
          </w:tcPr>
          <w:p w14:paraId="1B03DC37">
            <w:pPr>
              <w:jc w:val="center"/>
              <w:rPr>
                <w:szCs w:val="21"/>
              </w:rPr>
            </w:pPr>
          </w:p>
        </w:tc>
        <w:tc>
          <w:tcPr>
            <w:tcW w:w="720" w:type="dxa"/>
            <w:vAlign w:val="center"/>
          </w:tcPr>
          <w:p w14:paraId="6968239C">
            <w:pPr>
              <w:jc w:val="center"/>
              <w:rPr>
                <w:szCs w:val="21"/>
              </w:rPr>
            </w:pPr>
          </w:p>
        </w:tc>
      </w:tr>
      <w:tr w14:paraId="36C8D48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14:paraId="1D900258">
            <w:pPr>
              <w:jc w:val="center"/>
              <w:rPr>
                <w:rFonts w:ascii="宋体" w:hAnsi="宋体"/>
                <w:szCs w:val="21"/>
              </w:rPr>
            </w:pPr>
            <w:r>
              <w:rPr>
                <w:rFonts w:hint="eastAsia" w:ascii="宋体" w:hAnsi="宋体"/>
                <w:szCs w:val="21"/>
              </w:rPr>
              <w:t>2</w:t>
            </w:r>
          </w:p>
        </w:tc>
        <w:tc>
          <w:tcPr>
            <w:tcW w:w="1213" w:type="dxa"/>
            <w:vAlign w:val="center"/>
          </w:tcPr>
          <w:p w14:paraId="07EE0555">
            <w:pPr>
              <w:jc w:val="center"/>
              <w:rPr>
                <w:szCs w:val="21"/>
              </w:rPr>
            </w:pPr>
          </w:p>
        </w:tc>
        <w:tc>
          <w:tcPr>
            <w:tcW w:w="1840" w:type="dxa"/>
            <w:vAlign w:val="center"/>
          </w:tcPr>
          <w:p w14:paraId="48EC81AC">
            <w:pPr>
              <w:jc w:val="center"/>
              <w:rPr>
                <w:szCs w:val="21"/>
              </w:rPr>
            </w:pPr>
          </w:p>
        </w:tc>
        <w:tc>
          <w:tcPr>
            <w:tcW w:w="818" w:type="dxa"/>
            <w:vAlign w:val="center"/>
          </w:tcPr>
          <w:p w14:paraId="5E7DBF7B">
            <w:pPr>
              <w:jc w:val="center"/>
              <w:rPr>
                <w:szCs w:val="21"/>
              </w:rPr>
            </w:pPr>
          </w:p>
        </w:tc>
        <w:tc>
          <w:tcPr>
            <w:tcW w:w="1241" w:type="dxa"/>
            <w:vAlign w:val="center"/>
          </w:tcPr>
          <w:p w14:paraId="7C168095">
            <w:pPr>
              <w:jc w:val="center"/>
              <w:rPr>
                <w:szCs w:val="21"/>
              </w:rPr>
            </w:pPr>
          </w:p>
        </w:tc>
        <w:tc>
          <w:tcPr>
            <w:tcW w:w="2292" w:type="dxa"/>
            <w:vAlign w:val="center"/>
          </w:tcPr>
          <w:p w14:paraId="17DF2428">
            <w:pPr>
              <w:jc w:val="center"/>
              <w:rPr>
                <w:szCs w:val="21"/>
              </w:rPr>
            </w:pPr>
          </w:p>
        </w:tc>
        <w:tc>
          <w:tcPr>
            <w:tcW w:w="1503" w:type="dxa"/>
            <w:vAlign w:val="center"/>
          </w:tcPr>
          <w:p w14:paraId="2CCFDD61">
            <w:pPr>
              <w:jc w:val="center"/>
              <w:rPr>
                <w:szCs w:val="21"/>
              </w:rPr>
            </w:pPr>
          </w:p>
        </w:tc>
        <w:tc>
          <w:tcPr>
            <w:tcW w:w="720" w:type="dxa"/>
            <w:vAlign w:val="center"/>
          </w:tcPr>
          <w:p w14:paraId="6D03DC5D">
            <w:pPr>
              <w:jc w:val="center"/>
              <w:rPr>
                <w:szCs w:val="21"/>
              </w:rPr>
            </w:pPr>
          </w:p>
        </w:tc>
      </w:tr>
    </w:tbl>
    <w:p w14:paraId="2C87B842">
      <w:pPr>
        <w:spacing w:line="360" w:lineRule="auto"/>
        <w:rPr>
          <w:szCs w:val="21"/>
        </w:rPr>
      </w:pPr>
      <w:r>
        <w:rPr>
          <w:rFonts w:hint="eastAsia"/>
          <w:szCs w:val="21"/>
        </w:rPr>
        <w:t>注</w:t>
      </w:r>
      <w:r>
        <w:rPr>
          <w:rFonts w:hint="eastAsia" w:ascii="宋体" w:hAnsi="宋体"/>
          <w:szCs w:val="21"/>
        </w:rPr>
        <w:t xml:space="preserve">：1. </w:t>
      </w:r>
      <w:r>
        <w:rPr>
          <w:rFonts w:hint="eastAsia" w:ascii="宋体" w:hAnsi="宋体"/>
          <w:b/>
          <w:szCs w:val="21"/>
        </w:rPr>
        <w:t>对</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投标产品，投标人须提供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以及相应的节能或环境标志产品政府采购品目清单，并显著标识投标产品所处位置。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r>
        <w:rPr>
          <w:rFonts w:hint="eastAsia"/>
          <w:szCs w:val="21"/>
        </w:rPr>
        <w:t>投标产品若不属于上述清单或目录范围内，则无需填写该表。</w:t>
      </w:r>
    </w:p>
    <w:p w14:paraId="1A68D29C">
      <w:pPr>
        <w:spacing w:line="360" w:lineRule="auto"/>
        <w:rPr>
          <w:rFonts w:ascii="宋体" w:hAnsi="宋体"/>
          <w:szCs w:val="21"/>
        </w:rPr>
      </w:pPr>
      <w:r>
        <w:rPr>
          <w:rFonts w:hint="eastAsia" w:ascii="宋体" w:hAnsi="宋体"/>
          <w:szCs w:val="21"/>
        </w:rPr>
        <w:t>2. “投标产品报价”栏中须准确填报该投标产品的投标单价、数量及投标合计报价；投标产品名称、规格型号、价格应与“分项报价表”一致，如不一致，以“分项报价表”为准。</w:t>
      </w:r>
    </w:p>
    <w:p w14:paraId="3061A462">
      <w:pPr>
        <w:spacing w:line="360" w:lineRule="auto"/>
        <w:rPr>
          <w:rFonts w:ascii="宋体" w:hAnsi="宋体"/>
          <w:szCs w:val="21"/>
        </w:rPr>
      </w:pPr>
      <w:r>
        <w:rPr>
          <w:rFonts w:hint="eastAsia" w:ascii="宋体" w:hAnsi="宋体"/>
          <w:szCs w:val="21"/>
        </w:rPr>
        <w:t>3. “属于优先采购清单的类别”栏中填写“节能产品政府采购品目清单”或“环境标志产品政府采购品目清单”。</w:t>
      </w:r>
    </w:p>
    <w:p w14:paraId="2DC4972E">
      <w:pPr>
        <w:rPr>
          <w:rFonts w:ascii="Calibri" w:hAnsi="Calibri"/>
          <w:szCs w:val="22"/>
        </w:rPr>
      </w:pPr>
    </w:p>
    <w:p w14:paraId="44BE4A05">
      <w:pPr>
        <w:widowControl/>
        <w:jc w:val="left"/>
      </w:pPr>
    </w:p>
    <w:p w14:paraId="7624B7D6">
      <w:pPr>
        <w:widowControl/>
        <w:jc w:val="left"/>
      </w:pPr>
      <w:r>
        <w:br w:type="page"/>
      </w:r>
    </w:p>
    <w:p w14:paraId="037EF01D">
      <w:pPr>
        <w:adjustRightInd w:val="0"/>
        <w:snapToGrid w:val="0"/>
        <w:spacing w:line="360" w:lineRule="auto"/>
        <w:ind w:firstLine="600"/>
        <w:jc w:val="left"/>
      </w:pPr>
    </w:p>
    <w:p w14:paraId="3BFBEB17">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9" w:name="_Toc44690706"/>
      <w:bookmarkStart w:id="60" w:name="_Toc44691397"/>
      <w:bookmarkStart w:id="61" w:name="_Toc44690433"/>
      <w:bookmarkStart w:id="62" w:name="_Toc44691165"/>
      <w:r>
        <w:rPr>
          <w:rFonts w:hint="eastAsia" w:asciiTheme="minorEastAsia" w:hAnsiTheme="minorEastAsia" w:eastAsiaTheme="minorEastAsia"/>
          <w:sz w:val="24"/>
        </w:rPr>
        <w:t>格式5  开标一览表</w:t>
      </w:r>
      <w:bookmarkEnd w:id="59"/>
      <w:bookmarkEnd w:id="60"/>
      <w:bookmarkEnd w:id="61"/>
      <w:bookmarkEnd w:id="62"/>
    </w:p>
    <w:p w14:paraId="168971EC">
      <w:pPr>
        <w:adjustRightInd w:val="0"/>
        <w:snapToGrid w:val="0"/>
        <w:spacing w:line="360" w:lineRule="auto"/>
        <w:rPr>
          <w:bCs/>
          <w:snapToGrid w:val="0"/>
          <w:kern w:val="0"/>
        </w:rPr>
      </w:pPr>
    </w:p>
    <w:p w14:paraId="2CD49D8D">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14:paraId="10B67990">
      <w:pPr>
        <w:adjustRightInd w:val="0"/>
        <w:snapToGrid w:val="0"/>
        <w:spacing w:line="360" w:lineRule="auto"/>
        <w:rPr>
          <w:bCs/>
          <w:snapToGrid w:val="0"/>
          <w:kern w:val="0"/>
          <w:u w:val="single"/>
        </w:rPr>
      </w:pPr>
      <w:r>
        <w:rPr>
          <w:rFonts w:hint="eastAsia"/>
          <w:bCs/>
          <w:snapToGrid w:val="0"/>
          <w:kern w:val="0"/>
        </w:rPr>
        <w:t>项目</w:t>
      </w:r>
      <w:r>
        <w:rPr>
          <w:bCs/>
          <w:snapToGrid w:val="0"/>
          <w:kern w:val="0"/>
        </w:rPr>
        <w:t>编号：</w:t>
      </w:r>
      <w:r>
        <w:rPr>
          <w:bCs/>
          <w:snapToGrid w:val="0"/>
          <w:kern w:val="0"/>
          <w:u w:val="single"/>
        </w:rPr>
        <w:t xml:space="preserve">                      </w:t>
      </w:r>
    </w:p>
    <w:p w14:paraId="544A6635">
      <w:pPr>
        <w:adjustRightInd w:val="0"/>
        <w:snapToGrid w:val="0"/>
        <w:spacing w:line="360" w:lineRule="auto"/>
        <w:rPr>
          <w:bCs/>
          <w:snapToGrid w:val="0"/>
          <w:kern w:val="0"/>
        </w:rPr>
      </w:pPr>
      <w:r>
        <w:rPr>
          <w:rFonts w:hint="eastAsia"/>
          <w:bCs/>
          <w:snapToGrid w:val="0"/>
          <w:kern w:val="0"/>
        </w:rPr>
        <w:t>包 组 号：</w:t>
      </w:r>
      <w:r>
        <w:rPr>
          <w:bCs/>
          <w:snapToGrid w:val="0"/>
          <w:kern w:val="0"/>
          <w:u w:val="single"/>
        </w:rPr>
        <w:t xml:space="preserve">                      </w:t>
      </w:r>
      <w:r>
        <w:rPr>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5"/>
        <w:gridCol w:w="2349"/>
        <w:gridCol w:w="1981"/>
        <w:gridCol w:w="1843"/>
      </w:tblGrid>
      <w:tr w14:paraId="3EA06FA0">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3315" w:type="dxa"/>
            <w:tcBorders>
              <w:top w:val="double" w:color="auto" w:sz="4" w:space="0"/>
              <w:bottom w:val="single" w:color="auto" w:sz="4" w:space="0"/>
            </w:tcBorders>
            <w:vAlign w:val="center"/>
          </w:tcPr>
          <w:p w14:paraId="01FF861C">
            <w:pPr>
              <w:adjustRightInd w:val="0"/>
              <w:snapToGrid w:val="0"/>
              <w:spacing w:line="360" w:lineRule="auto"/>
              <w:jc w:val="center"/>
              <w:rPr>
                <w:snapToGrid w:val="0"/>
                <w:kern w:val="0"/>
              </w:rPr>
            </w:pPr>
            <w:r>
              <w:rPr>
                <w:snapToGrid w:val="0"/>
                <w:kern w:val="0"/>
              </w:rPr>
              <w:t>项目名称</w:t>
            </w:r>
          </w:p>
        </w:tc>
        <w:tc>
          <w:tcPr>
            <w:tcW w:w="4330" w:type="dxa"/>
            <w:gridSpan w:val="2"/>
            <w:tcBorders>
              <w:top w:val="double" w:color="auto" w:sz="4" w:space="0"/>
              <w:bottom w:val="single" w:color="auto" w:sz="4" w:space="0"/>
            </w:tcBorders>
            <w:vAlign w:val="center"/>
          </w:tcPr>
          <w:p w14:paraId="79FE78AE">
            <w:pPr>
              <w:adjustRightInd w:val="0"/>
              <w:snapToGrid w:val="0"/>
              <w:spacing w:line="360" w:lineRule="auto"/>
              <w:jc w:val="center"/>
              <w:rPr>
                <w:snapToGrid w:val="0"/>
                <w:kern w:val="0"/>
              </w:rPr>
            </w:pPr>
            <w:r>
              <w:rPr>
                <w:snapToGrid w:val="0"/>
                <w:kern w:val="0"/>
              </w:rPr>
              <w:t>投标</w:t>
            </w:r>
            <w:r>
              <w:rPr>
                <w:rFonts w:hint="eastAsia"/>
                <w:snapToGrid w:val="0"/>
                <w:kern w:val="0"/>
              </w:rPr>
              <w:t>报</w:t>
            </w:r>
            <w:r>
              <w:rPr>
                <w:snapToGrid w:val="0"/>
                <w:kern w:val="0"/>
              </w:rPr>
              <w:t>价</w:t>
            </w:r>
          </w:p>
        </w:tc>
        <w:tc>
          <w:tcPr>
            <w:tcW w:w="1843" w:type="dxa"/>
            <w:tcBorders>
              <w:top w:val="double" w:color="auto" w:sz="4" w:space="0"/>
              <w:bottom w:val="single" w:color="auto" w:sz="4" w:space="0"/>
            </w:tcBorders>
            <w:vAlign w:val="center"/>
          </w:tcPr>
          <w:p w14:paraId="0846D722">
            <w:pPr>
              <w:adjustRightInd w:val="0"/>
              <w:snapToGrid w:val="0"/>
              <w:spacing w:line="360" w:lineRule="auto"/>
              <w:jc w:val="center"/>
              <w:rPr>
                <w:snapToGrid w:val="0"/>
                <w:kern w:val="0"/>
              </w:rPr>
            </w:pPr>
            <w:r>
              <w:rPr>
                <w:rFonts w:hint="eastAsia"/>
                <w:snapToGrid w:val="0"/>
                <w:kern w:val="0"/>
              </w:rPr>
              <w:t>备注</w:t>
            </w:r>
          </w:p>
        </w:tc>
      </w:tr>
      <w:tr w14:paraId="25311592">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3315" w:type="dxa"/>
            <w:vMerge w:val="restart"/>
            <w:tcBorders>
              <w:top w:val="single" w:color="auto" w:sz="4" w:space="0"/>
            </w:tcBorders>
            <w:vAlign w:val="center"/>
          </w:tcPr>
          <w:p w14:paraId="5CF9D9E6">
            <w:pPr>
              <w:adjustRightInd w:val="0"/>
              <w:snapToGrid w:val="0"/>
              <w:spacing w:line="360" w:lineRule="auto"/>
              <w:jc w:val="center"/>
              <w:rPr>
                <w:rFonts w:hint="eastAsia" w:eastAsia="宋体"/>
                <w:lang w:eastAsia="zh-CN"/>
              </w:rPr>
            </w:pPr>
            <w:r>
              <w:rPr>
                <w:rFonts w:hint="eastAsia" w:asciiTheme="minorEastAsia" w:hAnsiTheme="minorEastAsia" w:eastAsiaTheme="minorEastAsia"/>
                <w:lang w:eastAsia="zh-CN"/>
              </w:rPr>
              <w:t>深圳市市场监督管理局龙岗监管局公务用车维修保养服务</w:t>
            </w:r>
          </w:p>
        </w:tc>
        <w:tc>
          <w:tcPr>
            <w:tcW w:w="2349" w:type="dxa"/>
            <w:tcBorders>
              <w:top w:val="single" w:color="auto" w:sz="4" w:space="0"/>
            </w:tcBorders>
            <w:vAlign w:val="center"/>
          </w:tcPr>
          <w:p w14:paraId="7F708679">
            <w:pPr>
              <w:keepNext w:val="0"/>
              <w:keepLines w:val="0"/>
              <w:pageBreakBefore w:val="0"/>
              <w:widowControl w:val="0"/>
              <w:kinsoku/>
              <w:overflowPunct/>
              <w:topLinePunct w:val="0"/>
              <w:bidi w:val="0"/>
              <w:spacing w:line="360" w:lineRule="auto"/>
              <w:jc w:val="center"/>
              <w:rPr>
                <w:rFonts w:hint="eastAsia" w:ascii="宋体" w:hAnsi="宋体" w:eastAsia="宋体" w:cs="宋体"/>
                <w:snapToGrid w:val="0"/>
                <w:kern w:val="0"/>
                <w:sz w:val="21"/>
                <w:szCs w:val="21"/>
                <w:u w:val="single"/>
              </w:rPr>
            </w:pPr>
            <w:r>
              <w:rPr>
                <w:rFonts w:hint="eastAsia" w:ascii="宋体" w:hAnsi="宋体" w:eastAsia="宋体" w:cs="宋体"/>
                <w:sz w:val="21"/>
                <w:szCs w:val="21"/>
              </w:rPr>
              <w:t>工时单价</w:t>
            </w:r>
          </w:p>
        </w:tc>
        <w:tc>
          <w:tcPr>
            <w:tcW w:w="1981" w:type="dxa"/>
            <w:tcBorders>
              <w:top w:val="single" w:color="auto" w:sz="4" w:space="0"/>
            </w:tcBorders>
            <w:vAlign w:val="center"/>
          </w:tcPr>
          <w:p w14:paraId="1893F0A0">
            <w:pPr>
              <w:keepNext w:val="0"/>
              <w:keepLines w:val="0"/>
              <w:pageBreakBefore w:val="0"/>
              <w:widowControl w:val="0"/>
              <w:kinsoku/>
              <w:overflowPunct/>
              <w:topLinePunct w:val="0"/>
              <w:bidi w:val="0"/>
              <w:spacing w:line="360" w:lineRule="auto"/>
              <w:jc w:val="center"/>
              <w:rPr>
                <w:rFonts w:hint="eastAsia" w:ascii="宋体" w:hAnsi="宋体" w:eastAsia="宋体" w:cs="宋体"/>
                <w:snapToGrid w:val="0"/>
                <w:kern w:val="0"/>
                <w:sz w:val="21"/>
                <w:szCs w:val="21"/>
                <w:u w:val="single"/>
              </w:rPr>
            </w:pPr>
            <w:r>
              <w:rPr>
                <w:rFonts w:hint="eastAsia" w:ascii="宋体" w:hAnsi="宋体" w:eastAsia="宋体" w:cs="宋体"/>
                <w:sz w:val="21"/>
                <w:szCs w:val="21"/>
              </w:rPr>
              <w:t>元/工时</w:t>
            </w:r>
          </w:p>
        </w:tc>
        <w:tc>
          <w:tcPr>
            <w:tcW w:w="1843" w:type="dxa"/>
            <w:vMerge w:val="restart"/>
            <w:tcBorders>
              <w:top w:val="single" w:color="auto" w:sz="4" w:space="0"/>
            </w:tcBorders>
            <w:vAlign w:val="center"/>
          </w:tcPr>
          <w:p w14:paraId="6B4AD854">
            <w:pPr>
              <w:adjustRightInd w:val="0"/>
              <w:snapToGrid w:val="0"/>
              <w:spacing w:line="360" w:lineRule="auto"/>
              <w:jc w:val="center"/>
              <w:rPr>
                <w:snapToGrid w:val="0"/>
                <w:kern w:val="0"/>
              </w:rPr>
            </w:pPr>
          </w:p>
        </w:tc>
      </w:tr>
      <w:tr w14:paraId="74C6DFAC">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3315" w:type="dxa"/>
            <w:vMerge w:val="continue"/>
            <w:vAlign w:val="center"/>
          </w:tcPr>
          <w:p w14:paraId="29CEC260">
            <w:pPr>
              <w:adjustRightInd w:val="0"/>
              <w:snapToGrid w:val="0"/>
              <w:spacing w:line="360" w:lineRule="auto"/>
              <w:jc w:val="center"/>
            </w:pPr>
          </w:p>
        </w:tc>
        <w:tc>
          <w:tcPr>
            <w:tcW w:w="2349" w:type="dxa"/>
            <w:tcBorders>
              <w:top w:val="single" w:color="auto" w:sz="4" w:space="0"/>
            </w:tcBorders>
            <w:vAlign w:val="center"/>
          </w:tcPr>
          <w:p w14:paraId="46BBFC4C">
            <w:pPr>
              <w:keepNext w:val="0"/>
              <w:keepLines w:val="0"/>
              <w:pageBreakBefore w:val="0"/>
              <w:widowControl w:val="0"/>
              <w:kinsoku/>
              <w:overflowPunct/>
              <w:topLinePunct w:val="0"/>
              <w:bidi w:val="0"/>
              <w:spacing w:line="360" w:lineRule="auto"/>
              <w:jc w:val="center"/>
              <w:rPr>
                <w:rFonts w:hint="eastAsia" w:ascii="宋体" w:hAnsi="宋体" w:eastAsia="宋体" w:cs="宋体"/>
                <w:sz w:val="21"/>
                <w:szCs w:val="21"/>
              </w:rPr>
            </w:pPr>
            <w:r>
              <w:rPr>
                <w:rFonts w:hint="eastAsia" w:ascii="宋体" w:hAnsi="宋体" w:eastAsia="宋体" w:cs="宋体"/>
                <w:bCs/>
                <w:sz w:val="21"/>
                <w:szCs w:val="21"/>
              </w:rPr>
              <w:t>正厂零配件综合折扣率</w:t>
            </w:r>
          </w:p>
        </w:tc>
        <w:tc>
          <w:tcPr>
            <w:tcW w:w="1981" w:type="dxa"/>
            <w:tcBorders>
              <w:top w:val="single" w:color="auto" w:sz="4" w:space="0"/>
            </w:tcBorders>
            <w:vAlign w:val="center"/>
          </w:tcPr>
          <w:p w14:paraId="6DE2E168">
            <w:pPr>
              <w:keepNext w:val="0"/>
              <w:keepLines w:val="0"/>
              <w:pageBreakBefore w:val="0"/>
              <w:widowControl w:val="0"/>
              <w:kinsoku/>
              <w:overflowPunct/>
              <w:topLinePunct w:val="0"/>
              <w:bidi w:val="0"/>
              <w:spacing w:line="360" w:lineRule="auto"/>
              <w:jc w:val="center"/>
              <w:rPr>
                <w:rFonts w:hint="eastAsia" w:ascii="宋体" w:hAnsi="宋体" w:eastAsia="宋体" w:cs="宋体"/>
                <w:snapToGrid w:val="0"/>
                <w:kern w:val="0"/>
                <w:sz w:val="21"/>
                <w:szCs w:val="21"/>
                <w:u w:val="single"/>
              </w:rPr>
            </w:pPr>
          </w:p>
        </w:tc>
        <w:tc>
          <w:tcPr>
            <w:tcW w:w="1843" w:type="dxa"/>
            <w:vMerge w:val="continue"/>
            <w:vAlign w:val="center"/>
          </w:tcPr>
          <w:p w14:paraId="6355839C">
            <w:pPr>
              <w:adjustRightInd w:val="0"/>
              <w:snapToGrid w:val="0"/>
              <w:spacing w:line="360" w:lineRule="auto"/>
              <w:jc w:val="center"/>
              <w:rPr>
                <w:snapToGrid w:val="0"/>
                <w:kern w:val="0"/>
                <w:u w:val="single"/>
              </w:rPr>
            </w:pPr>
          </w:p>
        </w:tc>
      </w:tr>
      <w:tr w14:paraId="0D498F1D">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3315" w:type="dxa"/>
            <w:vMerge w:val="continue"/>
            <w:vAlign w:val="center"/>
          </w:tcPr>
          <w:p w14:paraId="1467AF0E">
            <w:pPr>
              <w:adjustRightInd w:val="0"/>
              <w:snapToGrid w:val="0"/>
              <w:spacing w:line="360" w:lineRule="auto"/>
              <w:jc w:val="center"/>
              <w:rPr>
                <w:snapToGrid w:val="0"/>
                <w:kern w:val="0"/>
                <w:u w:val="single"/>
              </w:rPr>
            </w:pPr>
          </w:p>
        </w:tc>
        <w:tc>
          <w:tcPr>
            <w:tcW w:w="2349" w:type="dxa"/>
            <w:tcBorders>
              <w:top w:val="single" w:color="auto" w:sz="4" w:space="0"/>
            </w:tcBorders>
            <w:vAlign w:val="center"/>
          </w:tcPr>
          <w:p w14:paraId="767183AE">
            <w:pPr>
              <w:keepNext w:val="0"/>
              <w:keepLines w:val="0"/>
              <w:pageBreakBefore w:val="0"/>
              <w:widowControl w:val="0"/>
              <w:kinsoku/>
              <w:overflowPunct/>
              <w:topLinePunct w:val="0"/>
              <w:bidi w:val="0"/>
              <w:spacing w:line="360" w:lineRule="auto"/>
              <w:jc w:val="center"/>
              <w:rPr>
                <w:rFonts w:hint="eastAsia" w:ascii="宋体" w:hAnsi="宋体" w:eastAsia="宋体" w:cs="宋体"/>
                <w:snapToGrid w:val="0"/>
                <w:kern w:val="0"/>
                <w:sz w:val="21"/>
                <w:szCs w:val="21"/>
                <w:u w:val="single"/>
              </w:rPr>
            </w:pPr>
            <w:r>
              <w:rPr>
                <w:rFonts w:hint="eastAsia" w:ascii="宋体" w:hAnsi="宋体" w:eastAsia="宋体" w:cs="宋体"/>
                <w:bCs/>
                <w:sz w:val="21"/>
                <w:szCs w:val="21"/>
              </w:rPr>
              <w:t>非正厂合格产品零配件综合折扣率</w:t>
            </w:r>
          </w:p>
        </w:tc>
        <w:tc>
          <w:tcPr>
            <w:tcW w:w="1981" w:type="dxa"/>
            <w:tcBorders>
              <w:top w:val="single" w:color="auto" w:sz="4" w:space="0"/>
            </w:tcBorders>
            <w:vAlign w:val="center"/>
          </w:tcPr>
          <w:p w14:paraId="18C1D75F">
            <w:pPr>
              <w:keepNext w:val="0"/>
              <w:keepLines w:val="0"/>
              <w:pageBreakBefore w:val="0"/>
              <w:widowControl w:val="0"/>
              <w:kinsoku/>
              <w:overflowPunct/>
              <w:topLinePunct w:val="0"/>
              <w:bidi w:val="0"/>
              <w:spacing w:line="360" w:lineRule="auto"/>
              <w:jc w:val="center"/>
              <w:rPr>
                <w:rFonts w:hint="eastAsia" w:ascii="宋体" w:hAnsi="宋体" w:eastAsia="宋体" w:cs="宋体"/>
                <w:snapToGrid w:val="0"/>
                <w:kern w:val="0"/>
                <w:sz w:val="21"/>
                <w:szCs w:val="21"/>
                <w:u w:val="single"/>
              </w:rPr>
            </w:pPr>
          </w:p>
        </w:tc>
        <w:tc>
          <w:tcPr>
            <w:tcW w:w="1843" w:type="dxa"/>
            <w:vMerge w:val="continue"/>
            <w:vAlign w:val="center"/>
          </w:tcPr>
          <w:p w14:paraId="6DEA4A40">
            <w:pPr>
              <w:adjustRightInd w:val="0"/>
              <w:snapToGrid w:val="0"/>
              <w:spacing w:line="360" w:lineRule="auto"/>
              <w:jc w:val="center"/>
              <w:rPr>
                <w:snapToGrid w:val="0"/>
                <w:kern w:val="0"/>
                <w:u w:val="single"/>
              </w:rPr>
            </w:pPr>
          </w:p>
        </w:tc>
      </w:tr>
    </w:tbl>
    <w:p w14:paraId="68A8E415">
      <w:pPr>
        <w:adjustRightInd w:val="0"/>
        <w:snapToGrid w:val="0"/>
        <w:spacing w:line="360" w:lineRule="auto"/>
        <w:rPr>
          <w:snapToGrid w:val="0"/>
          <w:kern w:val="0"/>
        </w:rPr>
      </w:pPr>
    </w:p>
    <w:p w14:paraId="249479AB">
      <w:pPr>
        <w:adjustRightInd w:val="0"/>
        <w:snapToGrid w:val="0"/>
        <w:spacing w:line="360" w:lineRule="auto"/>
        <w:rPr>
          <w:snapToGrid w:val="0"/>
          <w:kern w:val="0"/>
        </w:rPr>
      </w:pPr>
    </w:p>
    <w:p w14:paraId="1FF4C472">
      <w:pPr>
        <w:adjustRightInd w:val="0"/>
        <w:snapToGrid w:val="0"/>
        <w:spacing w:line="360" w:lineRule="auto"/>
        <w:rPr>
          <w:snapToGrid w:val="0"/>
          <w:kern w:val="0"/>
        </w:rPr>
      </w:pPr>
      <w:r>
        <w:rPr>
          <w:snapToGrid w:val="0"/>
          <w:kern w:val="0"/>
        </w:rPr>
        <w:t>投标单位：（盖章）</w:t>
      </w:r>
    </w:p>
    <w:p w14:paraId="18AD292C">
      <w:pPr>
        <w:adjustRightInd w:val="0"/>
        <w:snapToGrid w:val="0"/>
        <w:spacing w:line="360" w:lineRule="auto"/>
        <w:rPr>
          <w:snapToGrid w:val="0"/>
          <w:kern w:val="0"/>
        </w:rPr>
      </w:pPr>
    </w:p>
    <w:p w14:paraId="0F3F24D4">
      <w:pPr>
        <w:adjustRightInd w:val="0"/>
        <w:snapToGrid w:val="0"/>
        <w:spacing w:line="360" w:lineRule="auto"/>
        <w:rPr>
          <w:snapToGrid w:val="0"/>
          <w:kern w:val="0"/>
        </w:rPr>
      </w:pPr>
    </w:p>
    <w:p w14:paraId="5920099C">
      <w:pPr>
        <w:adjustRightInd w:val="0"/>
        <w:snapToGrid w:val="0"/>
        <w:spacing w:line="360" w:lineRule="auto"/>
        <w:rPr>
          <w:snapToGrid w:val="0"/>
          <w:kern w:val="0"/>
        </w:rPr>
      </w:pPr>
      <w:r>
        <w:rPr>
          <w:snapToGrid w:val="0"/>
          <w:kern w:val="0"/>
        </w:rPr>
        <w:t>法定代表人或其授权代表：（签字）</w:t>
      </w:r>
    </w:p>
    <w:p w14:paraId="77759C3F">
      <w:pPr>
        <w:adjustRightInd w:val="0"/>
        <w:snapToGrid w:val="0"/>
        <w:spacing w:line="360" w:lineRule="auto"/>
        <w:ind w:firstLine="6825" w:firstLineChars="3250"/>
        <w:rPr>
          <w:snapToGrid w:val="0"/>
          <w:kern w:val="0"/>
        </w:rPr>
      </w:pPr>
      <w:r>
        <w:rPr>
          <w:snapToGrid w:val="0"/>
          <w:kern w:val="0"/>
        </w:rPr>
        <w:t>年    月    日</w:t>
      </w:r>
    </w:p>
    <w:p w14:paraId="5FB0485F">
      <w:pPr>
        <w:adjustRightInd w:val="0"/>
        <w:snapToGrid w:val="0"/>
        <w:spacing w:line="360" w:lineRule="auto"/>
        <w:ind w:firstLine="1050" w:firstLineChars="500"/>
        <w:rPr>
          <w:snapToGrid w:val="0"/>
          <w:kern w:val="0"/>
        </w:rPr>
      </w:pPr>
    </w:p>
    <w:p w14:paraId="5BB77DFD">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w:t>
      </w:r>
      <w:r>
        <w:rPr>
          <w:rFonts w:hint="eastAsia" w:ascii="宋体" w:hAnsi="宋体"/>
          <w:bCs/>
          <w:lang w:val="en-US" w:eastAsia="zh-CN"/>
        </w:rPr>
        <w:t>要求填写</w:t>
      </w:r>
      <w:r>
        <w:rPr>
          <w:rFonts w:ascii="宋体" w:hAnsi="宋体"/>
          <w:bCs/>
        </w:rPr>
        <w:t>。</w:t>
      </w:r>
    </w:p>
    <w:p w14:paraId="36EFD26E">
      <w:pPr>
        <w:adjustRightInd w:val="0"/>
        <w:spacing w:line="312" w:lineRule="auto"/>
        <w:ind w:left="2" w:firstLine="424" w:firstLineChars="202"/>
        <w:rPr>
          <w:rFonts w:hint="eastAsia" w:ascii="宋体" w:hAnsi="宋体"/>
          <w:bCs/>
          <w:lang w:val="en-US" w:eastAsia="zh-CN"/>
        </w:rPr>
      </w:pPr>
      <w:r>
        <w:rPr>
          <w:rFonts w:ascii="宋体" w:hAnsi="宋体"/>
          <w:bCs/>
        </w:rPr>
        <w:t>2、</w:t>
      </w:r>
      <w:r>
        <w:rPr>
          <w:rFonts w:hint="eastAsia" w:ascii="宋体" w:hAnsi="宋体"/>
          <w:bCs/>
        </w:rPr>
        <w:t>“工时单价”填写要求：须参照深圳市交通局编制的《深圳市汽车维修工时定额》相关规定（少数国外高档车经物价部门核准另有规定的除外）执行。“工时单价”</w:t>
      </w:r>
      <w:r>
        <w:rPr>
          <w:rFonts w:hint="eastAsia" w:ascii="宋体" w:hAnsi="宋体"/>
          <w:bCs/>
          <w:lang w:eastAsia="zh-CN"/>
        </w:rPr>
        <w:t>最高限价为</w:t>
      </w:r>
      <w:r>
        <w:rPr>
          <w:rFonts w:hint="eastAsia" w:ascii="宋体" w:hAnsi="宋体"/>
          <w:bCs/>
          <w:lang w:val="en-US" w:eastAsia="zh-CN"/>
        </w:rPr>
        <w:t>80元/工时，投标人报价不得超过最高限价。</w:t>
      </w:r>
    </w:p>
    <w:p w14:paraId="7D7F8833">
      <w:pPr>
        <w:adjustRightInd w:val="0"/>
        <w:spacing w:line="312" w:lineRule="auto"/>
        <w:ind w:left="2" w:firstLine="424" w:firstLineChars="202"/>
        <w:rPr>
          <w:rFonts w:ascii="宋体" w:hAnsi="宋体"/>
          <w:bCs/>
        </w:rPr>
      </w:pPr>
      <w:r>
        <w:rPr>
          <w:rFonts w:hint="eastAsia" w:ascii="宋体" w:hAnsi="宋体"/>
          <w:bCs/>
          <w:lang w:val="en-US" w:eastAsia="zh-CN"/>
        </w:rPr>
        <w:t>3、“</w:t>
      </w:r>
      <w:r>
        <w:rPr>
          <w:rFonts w:hint="eastAsia" w:ascii="宋体" w:hAnsi="宋体"/>
          <w:bCs/>
        </w:rPr>
        <w:t>正厂零配件综合折扣率</w:t>
      </w:r>
      <w:r>
        <w:rPr>
          <w:rFonts w:hint="eastAsia" w:ascii="宋体" w:hAnsi="宋体"/>
          <w:bCs/>
          <w:lang w:val="en-US" w:eastAsia="zh-CN"/>
        </w:rPr>
        <w:t>”和“</w:t>
      </w:r>
      <w:r>
        <w:rPr>
          <w:rFonts w:hint="eastAsia" w:ascii="宋体" w:hAnsi="宋体"/>
          <w:bCs/>
        </w:rPr>
        <w:t>非正厂合格产品零配件综合折扣率</w:t>
      </w:r>
      <w:r>
        <w:rPr>
          <w:rFonts w:hint="eastAsia" w:ascii="宋体" w:hAnsi="宋体"/>
          <w:bCs/>
          <w:lang w:val="en-US" w:eastAsia="zh-CN"/>
        </w:rPr>
        <w:t>”需按照折扣率填写报价，</w:t>
      </w:r>
      <w:r>
        <w:rPr>
          <w:rFonts w:hint="eastAsia" w:ascii="宋体" w:hAnsi="宋体"/>
          <w:bCs/>
        </w:rPr>
        <w:t>投标折扣率报价范围：0&lt;投标折扣率&lt;1，最多保留小数点后两位。</w:t>
      </w:r>
    </w:p>
    <w:p w14:paraId="0FA5B3E9">
      <w:pPr>
        <w:adjustRightInd w:val="0"/>
        <w:spacing w:line="312" w:lineRule="auto"/>
        <w:ind w:left="2" w:firstLine="424" w:firstLineChars="202"/>
        <w:rPr>
          <w:rFonts w:ascii="宋体" w:hAnsi="宋体"/>
          <w:bCs/>
        </w:rPr>
      </w:pPr>
      <w:r>
        <w:rPr>
          <w:rFonts w:hint="eastAsia" w:ascii="宋体" w:hAnsi="宋体"/>
          <w:szCs w:val="21"/>
          <w:lang w:val="en-US" w:eastAsia="zh-CN"/>
        </w:rPr>
        <w:t>4</w:t>
      </w:r>
      <w:r>
        <w:rPr>
          <w:rFonts w:hint="eastAsia" w:ascii="宋体" w:hAnsi="宋体"/>
          <w:szCs w:val="21"/>
        </w:rPr>
        <w:t>、根据《中华人民共和国财政部令第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389957FA">
      <w:pPr>
        <w:adjustRightInd w:val="0"/>
        <w:spacing w:line="312" w:lineRule="auto"/>
        <w:ind w:left="2" w:firstLine="420" w:firstLineChars="200"/>
        <w:rPr>
          <w:rFonts w:ascii="宋体" w:hAnsi="宋体"/>
          <w:szCs w:val="21"/>
        </w:rPr>
      </w:pPr>
      <w:r>
        <w:rPr>
          <w:rFonts w:hint="eastAsia" w:ascii="宋体" w:hAnsi="宋体"/>
          <w:szCs w:val="21"/>
          <w:lang w:val="en-US" w:eastAsia="zh-CN"/>
        </w:rPr>
        <w:t>5</w:t>
      </w:r>
      <w:r>
        <w:rPr>
          <w:rFonts w:hint="eastAsia" w:ascii="宋体" w:hAnsi="宋体"/>
          <w:szCs w:val="21"/>
        </w:rPr>
        <w:t>、</w:t>
      </w:r>
      <w:r>
        <w:rPr>
          <w:rFonts w:ascii="宋体" w:hAnsi="宋体"/>
          <w:snapToGrid w:val="0"/>
          <w:kern w:val="0"/>
        </w:rPr>
        <w:t>此表应经法定代表人或其授权委托人签名，并加盖公章。</w:t>
      </w:r>
    </w:p>
    <w:p w14:paraId="21153AFF">
      <w:pPr>
        <w:adjustRightInd w:val="0"/>
        <w:spacing w:line="312" w:lineRule="auto"/>
        <w:ind w:firstLine="437"/>
        <w:rPr>
          <w:b/>
          <w:sz w:val="28"/>
        </w:rPr>
      </w:pPr>
      <w:r>
        <w:rPr>
          <w:rFonts w:hint="eastAsia" w:ascii="宋体" w:hAnsi="宋体"/>
          <w:b/>
          <w:snapToGrid w:val="0"/>
          <w:kern w:val="0"/>
          <w:sz w:val="24"/>
          <w:lang w:val="en-US" w:eastAsia="zh-CN"/>
        </w:rPr>
        <w:t>6</w:t>
      </w:r>
      <w:bookmarkStart w:id="97" w:name="_GoBack"/>
      <w:bookmarkEnd w:id="97"/>
      <w:r>
        <w:rPr>
          <w:rFonts w:hint="eastAsia" w:ascii="宋体" w:hAnsi="宋体"/>
          <w:b/>
          <w:snapToGrid w:val="0"/>
          <w:kern w:val="0"/>
          <w:sz w:val="24"/>
        </w:rPr>
        <w:t>、</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14:paraId="59AFA525"/>
    <w:p w14:paraId="61FF52F6">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3" w:name="_Toc44690707"/>
      <w:bookmarkStart w:id="64" w:name="_Toc44690434"/>
      <w:bookmarkStart w:id="65" w:name="_Toc44691398"/>
      <w:bookmarkStart w:id="66" w:name="_Toc44691166"/>
      <w:r>
        <w:rPr>
          <w:rFonts w:hint="eastAsia" w:asciiTheme="minorEastAsia" w:hAnsiTheme="minorEastAsia" w:eastAsiaTheme="minorEastAsia"/>
          <w:sz w:val="24"/>
        </w:rPr>
        <w:t>格式6  报价表</w:t>
      </w:r>
      <w:bookmarkEnd w:id="63"/>
      <w:bookmarkEnd w:id="64"/>
      <w:bookmarkEnd w:id="65"/>
      <w:bookmarkEnd w:id="66"/>
    </w:p>
    <w:p w14:paraId="606DFC38">
      <w:pPr>
        <w:spacing w:line="300" w:lineRule="auto"/>
        <w:rPr>
          <w:rFonts w:ascii="楷体_GB2312" w:eastAsia="楷体_GB2312"/>
          <w:b/>
          <w:sz w:val="24"/>
        </w:rPr>
      </w:pPr>
      <w:r>
        <w:rPr>
          <w:rFonts w:hint="eastAsia" w:ascii="楷体_GB2312" w:eastAsia="楷体_GB2312"/>
          <w:b/>
          <w:sz w:val="24"/>
        </w:rPr>
        <w:t>1   报价要求</w:t>
      </w:r>
    </w:p>
    <w:p w14:paraId="4B899A87">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14:paraId="6D270389">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1.2  </w:t>
      </w:r>
      <w:r>
        <w:rPr>
          <w:rFonts w:hint="eastAsia" w:ascii="宋体" w:hAnsi="宋体"/>
          <w:szCs w:val="21"/>
        </w:rPr>
        <w:t>投标</w:t>
      </w:r>
      <w:r>
        <w:rPr>
          <w:rFonts w:hint="eastAsia"/>
          <w:snapToGrid w:val="0"/>
          <w:kern w:val="0"/>
        </w:rPr>
        <w:t>报</w:t>
      </w:r>
      <w:r>
        <w:rPr>
          <w:rFonts w:hint="eastAsia" w:ascii="宋体" w:hAnsi="宋体"/>
          <w:szCs w:val="21"/>
        </w:rPr>
        <w:t>价为综合报价，包含完成本项目所投包组的全部费用</w:t>
      </w:r>
      <w:r>
        <w:rPr>
          <w:rFonts w:hint="eastAsia" w:asciiTheme="minorEastAsia" w:hAnsiTheme="minorEastAsia" w:eastAsiaTheme="minorEastAsia"/>
          <w:snapToGrid w:val="0"/>
          <w:kern w:val="0"/>
        </w:rPr>
        <w:t>。</w:t>
      </w:r>
    </w:p>
    <w:p w14:paraId="5E66C044">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此表应经法定代表人或授权委托人签名，并加盖公章。</w:t>
      </w:r>
    </w:p>
    <w:p w14:paraId="161970EE">
      <w:pPr>
        <w:adjustRightInd w:val="0"/>
        <w:snapToGrid w:val="0"/>
        <w:spacing w:line="300" w:lineRule="auto"/>
        <w:rPr>
          <w:snapToGrid w:val="0"/>
          <w:kern w:val="0"/>
        </w:rPr>
      </w:pPr>
    </w:p>
    <w:p w14:paraId="6A9F27E7">
      <w:pPr>
        <w:spacing w:line="300" w:lineRule="auto"/>
        <w:rPr>
          <w:bCs/>
          <w:snapToGrid w:val="0"/>
          <w:kern w:val="0"/>
        </w:rPr>
      </w:pPr>
      <w:r>
        <w:rPr>
          <w:rFonts w:hint="eastAsia" w:eastAsia="楷体_GB2312"/>
          <w:b/>
          <w:sz w:val="24"/>
        </w:rPr>
        <w:t>2   报价表</w:t>
      </w:r>
      <w:r>
        <w:rPr>
          <w:bCs/>
          <w:snapToGrid w:val="0"/>
          <w:kern w:val="0"/>
        </w:rPr>
        <w:t xml:space="preserve"> </w:t>
      </w:r>
    </w:p>
    <w:p w14:paraId="11FE57A8">
      <w:pPr>
        <w:adjustRightInd w:val="0"/>
        <w:snapToGrid w:val="0"/>
        <w:spacing w:beforeLines="50"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14:paraId="77D80E24">
      <w:pPr>
        <w:adjustRightInd w:val="0"/>
        <w:snapToGrid w:val="0"/>
        <w:spacing w:line="360" w:lineRule="auto"/>
        <w:rPr>
          <w:bCs/>
          <w:snapToGrid w:val="0"/>
          <w:kern w:val="0"/>
          <w:u w:val="single"/>
        </w:rPr>
      </w:pPr>
      <w:r>
        <w:rPr>
          <w:rFonts w:hint="eastAsia"/>
          <w:bCs/>
          <w:snapToGrid w:val="0"/>
          <w:kern w:val="0"/>
        </w:rPr>
        <w:t>项目</w:t>
      </w:r>
      <w:r>
        <w:rPr>
          <w:bCs/>
          <w:snapToGrid w:val="0"/>
          <w:kern w:val="0"/>
        </w:rPr>
        <w:t>编号：</w:t>
      </w:r>
      <w:r>
        <w:rPr>
          <w:bCs/>
          <w:snapToGrid w:val="0"/>
          <w:kern w:val="0"/>
          <w:u w:val="single"/>
        </w:rPr>
        <w:t xml:space="preserve">                      </w:t>
      </w:r>
    </w:p>
    <w:p w14:paraId="0C7429AF">
      <w:pPr>
        <w:adjustRightInd w:val="0"/>
        <w:snapToGrid w:val="0"/>
        <w:spacing w:line="360" w:lineRule="auto"/>
        <w:rPr>
          <w:bCs/>
          <w:snapToGrid w:val="0"/>
          <w:kern w:val="0"/>
        </w:rPr>
      </w:pPr>
      <w:r>
        <w:rPr>
          <w:rFonts w:hint="eastAsia"/>
          <w:bCs/>
          <w:snapToGrid w:val="0"/>
          <w:kern w:val="0"/>
        </w:rPr>
        <w:t>包 组 号：</w:t>
      </w:r>
      <w:r>
        <w:rPr>
          <w:bCs/>
          <w:snapToGrid w:val="0"/>
          <w:kern w:val="0"/>
          <w:u w:val="single"/>
        </w:rPr>
        <w:t xml:space="preserve">                      </w:t>
      </w:r>
      <w:r>
        <w:rPr>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3588"/>
        <w:gridCol w:w="2664"/>
        <w:gridCol w:w="2376"/>
      </w:tblGrid>
      <w:tr w14:paraId="50719DD7">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77" w:type="dxa"/>
            <w:vAlign w:val="center"/>
          </w:tcPr>
          <w:p w14:paraId="306FCCE6">
            <w:pPr>
              <w:adjustRightInd w:val="0"/>
              <w:snapToGrid w:val="0"/>
              <w:spacing w:line="300" w:lineRule="auto"/>
              <w:jc w:val="center"/>
              <w:rPr>
                <w:b/>
                <w:snapToGrid w:val="0"/>
                <w:kern w:val="0"/>
              </w:rPr>
            </w:pPr>
            <w:r>
              <w:rPr>
                <w:b/>
                <w:snapToGrid w:val="0"/>
                <w:kern w:val="0"/>
              </w:rPr>
              <w:t>序号</w:t>
            </w:r>
          </w:p>
        </w:tc>
        <w:tc>
          <w:tcPr>
            <w:tcW w:w="3588" w:type="dxa"/>
            <w:vAlign w:val="center"/>
          </w:tcPr>
          <w:p w14:paraId="4AC31574">
            <w:pPr>
              <w:adjustRightInd w:val="0"/>
              <w:snapToGrid w:val="0"/>
              <w:spacing w:line="300" w:lineRule="auto"/>
              <w:jc w:val="center"/>
              <w:rPr>
                <w:b/>
                <w:snapToGrid w:val="0"/>
                <w:kern w:val="0"/>
              </w:rPr>
            </w:pPr>
            <w:r>
              <w:rPr>
                <w:rFonts w:hint="eastAsia"/>
                <w:b/>
                <w:snapToGrid w:val="0"/>
                <w:kern w:val="0"/>
              </w:rPr>
              <w:t>项目内容</w:t>
            </w:r>
          </w:p>
        </w:tc>
        <w:tc>
          <w:tcPr>
            <w:tcW w:w="2664" w:type="dxa"/>
            <w:vAlign w:val="center"/>
          </w:tcPr>
          <w:p w14:paraId="7C6FE2B2">
            <w:pPr>
              <w:adjustRightInd w:val="0"/>
              <w:snapToGrid w:val="0"/>
              <w:spacing w:line="300" w:lineRule="auto"/>
              <w:jc w:val="center"/>
              <w:rPr>
                <w:b/>
                <w:snapToGrid w:val="0"/>
                <w:kern w:val="0"/>
              </w:rPr>
            </w:pPr>
            <w:r>
              <w:rPr>
                <w:rFonts w:hint="eastAsia"/>
                <w:b/>
                <w:snapToGrid w:val="0"/>
                <w:kern w:val="0"/>
              </w:rPr>
              <w:t>费用</w:t>
            </w:r>
            <w:r>
              <w:rPr>
                <w:b/>
                <w:snapToGrid w:val="0"/>
                <w:kern w:val="0"/>
              </w:rPr>
              <w:t>（单位：</w:t>
            </w:r>
            <w:r>
              <w:rPr>
                <w:rFonts w:hint="eastAsia"/>
                <w:b/>
                <w:snapToGrid w:val="0"/>
                <w:kern w:val="0"/>
              </w:rPr>
              <w:t>人民币</w:t>
            </w:r>
            <w:r>
              <w:rPr>
                <w:b/>
                <w:snapToGrid w:val="0"/>
                <w:kern w:val="0"/>
              </w:rPr>
              <w:t>元）</w:t>
            </w:r>
          </w:p>
        </w:tc>
        <w:tc>
          <w:tcPr>
            <w:tcW w:w="2376" w:type="dxa"/>
            <w:vAlign w:val="center"/>
          </w:tcPr>
          <w:p w14:paraId="6D0CA095">
            <w:pPr>
              <w:adjustRightInd w:val="0"/>
              <w:snapToGrid w:val="0"/>
              <w:spacing w:line="300" w:lineRule="auto"/>
              <w:jc w:val="center"/>
              <w:rPr>
                <w:b/>
                <w:snapToGrid w:val="0"/>
                <w:kern w:val="0"/>
              </w:rPr>
            </w:pPr>
            <w:r>
              <w:rPr>
                <w:rFonts w:hint="eastAsia"/>
                <w:b/>
                <w:snapToGrid w:val="0"/>
                <w:kern w:val="0"/>
              </w:rPr>
              <w:t>备注</w:t>
            </w:r>
          </w:p>
        </w:tc>
      </w:tr>
      <w:tr w14:paraId="178C4BBF">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977" w:type="dxa"/>
            <w:vAlign w:val="center"/>
          </w:tcPr>
          <w:p w14:paraId="5A1B9853">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3588" w:type="dxa"/>
            <w:vAlign w:val="center"/>
          </w:tcPr>
          <w:p w14:paraId="6BB76411">
            <w:pPr>
              <w:keepNext w:val="0"/>
              <w:keepLines w:val="0"/>
              <w:pageBreakBefore w:val="0"/>
              <w:widowControl w:val="0"/>
              <w:kinsoku/>
              <w:overflowPunct/>
              <w:topLinePunct w:val="0"/>
              <w:bidi w:val="0"/>
              <w:spacing w:line="360" w:lineRule="auto"/>
              <w:jc w:val="center"/>
              <w:rPr>
                <w:rFonts w:ascii="宋体" w:hAnsi="宋体"/>
                <w:snapToGrid w:val="0"/>
                <w:kern w:val="0"/>
              </w:rPr>
            </w:pPr>
            <w:r>
              <w:rPr>
                <w:rFonts w:hint="eastAsia" w:ascii="宋体" w:hAnsi="宋体" w:eastAsia="宋体" w:cs="宋体"/>
                <w:sz w:val="21"/>
                <w:szCs w:val="21"/>
              </w:rPr>
              <w:t>工时单价</w:t>
            </w:r>
          </w:p>
        </w:tc>
        <w:tc>
          <w:tcPr>
            <w:tcW w:w="2664" w:type="dxa"/>
            <w:vAlign w:val="center"/>
          </w:tcPr>
          <w:p w14:paraId="453DA2A3">
            <w:pPr>
              <w:adjustRightInd w:val="0"/>
              <w:snapToGrid w:val="0"/>
              <w:spacing w:line="300" w:lineRule="auto"/>
              <w:jc w:val="center"/>
              <w:rPr>
                <w:snapToGrid w:val="0"/>
                <w:kern w:val="0"/>
              </w:rPr>
            </w:pPr>
            <w:r>
              <w:rPr>
                <w:rFonts w:hint="eastAsia" w:ascii="宋体" w:hAnsi="宋体" w:eastAsia="宋体" w:cs="宋体"/>
                <w:sz w:val="21"/>
                <w:szCs w:val="21"/>
              </w:rPr>
              <w:t>元/工时</w:t>
            </w:r>
          </w:p>
        </w:tc>
        <w:tc>
          <w:tcPr>
            <w:tcW w:w="2376" w:type="dxa"/>
            <w:vAlign w:val="center"/>
          </w:tcPr>
          <w:p w14:paraId="4E6F5617">
            <w:pPr>
              <w:adjustRightInd w:val="0"/>
              <w:snapToGrid w:val="0"/>
              <w:spacing w:line="300" w:lineRule="auto"/>
              <w:jc w:val="center"/>
              <w:rPr>
                <w:snapToGrid w:val="0"/>
                <w:kern w:val="0"/>
              </w:rPr>
            </w:pPr>
          </w:p>
        </w:tc>
      </w:tr>
      <w:tr w14:paraId="2CF5340F">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14:paraId="76347D73">
            <w:pPr>
              <w:adjustRightInd w:val="0"/>
              <w:snapToGrid w:val="0"/>
              <w:spacing w:line="300" w:lineRule="auto"/>
              <w:jc w:val="center"/>
              <w:rPr>
                <w:rFonts w:ascii="宋体" w:hAnsi="宋体"/>
                <w:snapToGrid w:val="0"/>
                <w:kern w:val="0"/>
              </w:rPr>
            </w:pPr>
            <w:r>
              <w:rPr>
                <w:rFonts w:hint="eastAsia" w:ascii="宋体" w:hAnsi="宋体"/>
                <w:snapToGrid w:val="0"/>
                <w:kern w:val="0"/>
              </w:rPr>
              <w:t>2</w:t>
            </w:r>
          </w:p>
        </w:tc>
        <w:tc>
          <w:tcPr>
            <w:tcW w:w="3588" w:type="dxa"/>
            <w:vAlign w:val="center"/>
          </w:tcPr>
          <w:p w14:paraId="40A65303">
            <w:pPr>
              <w:keepNext w:val="0"/>
              <w:keepLines w:val="0"/>
              <w:pageBreakBefore w:val="0"/>
              <w:widowControl w:val="0"/>
              <w:kinsoku/>
              <w:overflowPunct/>
              <w:topLinePunct w:val="0"/>
              <w:bidi w:val="0"/>
              <w:spacing w:line="360" w:lineRule="auto"/>
              <w:jc w:val="center"/>
              <w:rPr>
                <w:rFonts w:ascii="宋体" w:hAnsi="宋体"/>
                <w:szCs w:val="21"/>
                <w:lang w:val="zh-CN"/>
              </w:rPr>
            </w:pPr>
            <w:r>
              <w:rPr>
                <w:rFonts w:hint="eastAsia" w:ascii="宋体" w:hAnsi="宋体" w:eastAsia="宋体" w:cs="宋体"/>
                <w:bCs/>
                <w:sz w:val="21"/>
                <w:szCs w:val="21"/>
              </w:rPr>
              <w:t>正厂零配件综合折扣率</w:t>
            </w:r>
          </w:p>
        </w:tc>
        <w:tc>
          <w:tcPr>
            <w:tcW w:w="2664" w:type="dxa"/>
            <w:vAlign w:val="center"/>
          </w:tcPr>
          <w:p w14:paraId="7FDF1684">
            <w:pPr>
              <w:adjustRightInd w:val="0"/>
              <w:snapToGrid w:val="0"/>
              <w:spacing w:line="300" w:lineRule="auto"/>
              <w:jc w:val="center"/>
              <w:rPr>
                <w:snapToGrid w:val="0"/>
                <w:kern w:val="0"/>
              </w:rPr>
            </w:pPr>
          </w:p>
        </w:tc>
        <w:tc>
          <w:tcPr>
            <w:tcW w:w="2376" w:type="dxa"/>
            <w:vAlign w:val="center"/>
          </w:tcPr>
          <w:p w14:paraId="10D53A4D">
            <w:pPr>
              <w:adjustRightInd w:val="0"/>
              <w:snapToGrid w:val="0"/>
              <w:spacing w:line="300" w:lineRule="auto"/>
              <w:jc w:val="center"/>
              <w:rPr>
                <w:snapToGrid w:val="0"/>
                <w:kern w:val="0"/>
              </w:rPr>
            </w:pPr>
          </w:p>
        </w:tc>
      </w:tr>
      <w:tr w14:paraId="64F3F53A">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14:paraId="4410EBA4">
            <w:pPr>
              <w:adjustRightInd w:val="0"/>
              <w:snapToGrid w:val="0"/>
              <w:spacing w:line="300" w:lineRule="auto"/>
              <w:jc w:val="center"/>
              <w:rPr>
                <w:rFonts w:ascii="宋体" w:hAnsi="宋体"/>
                <w:snapToGrid w:val="0"/>
                <w:kern w:val="0"/>
              </w:rPr>
            </w:pPr>
            <w:r>
              <w:rPr>
                <w:rFonts w:hint="eastAsia" w:ascii="宋体" w:hAnsi="宋体"/>
                <w:snapToGrid w:val="0"/>
                <w:kern w:val="0"/>
              </w:rPr>
              <w:t>3</w:t>
            </w:r>
          </w:p>
        </w:tc>
        <w:tc>
          <w:tcPr>
            <w:tcW w:w="3588" w:type="dxa"/>
            <w:vAlign w:val="center"/>
          </w:tcPr>
          <w:p w14:paraId="5E8FC368">
            <w:pPr>
              <w:keepNext w:val="0"/>
              <w:keepLines w:val="0"/>
              <w:pageBreakBefore w:val="0"/>
              <w:widowControl w:val="0"/>
              <w:kinsoku/>
              <w:overflowPunct/>
              <w:topLinePunct w:val="0"/>
              <w:bidi w:val="0"/>
              <w:spacing w:line="360" w:lineRule="auto"/>
              <w:jc w:val="center"/>
              <w:rPr>
                <w:rFonts w:ascii="宋体" w:hAnsi="宋体"/>
                <w:szCs w:val="21"/>
                <w:lang w:val="zh-CN"/>
              </w:rPr>
            </w:pPr>
            <w:r>
              <w:rPr>
                <w:rFonts w:hint="eastAsia" w:ascii="宋体" w:hAnsi="宋体" w:eastAsia="宋体" w:cs="宋体"/>
                <w:bCs/>
                <w:sz w:val="21"/>
                <w:szCs w:val="21"/>
              </w:rPr>
              <w:t>非正厂合格产品零配件综合折扣率</w:t>
            </w:r>
          </w:p>
        </w:tc>
        <w:tc>
          <w:tcPr>
            <w:tcW w:w="2664" w:type="dxa"/>
            <w:vAlign w:val="center"/>
          </w:tcPr>
          <w:p w14:paraId="5221E2C9">
            <w:pPr>
              <w:adjustRightInd w:val="0"/>
              <w:snapToGrid w:val="0"/>
              <w:spacing w:line="300" w:lineRule="auto"/>
              <w:jc w:val="center"/>
              <w:rPr>
                <w:snapToGrid w:val="0"/>
                <w:kern w:val="0"/>
              </w:rPr>
            </w:pPr>
          </w:p>
        </w:tc>
        <w:tc>
          <w:tcPr>
            <w:tcW w:w="2376" w:type="dxa"/>
            <w:vAlign w:val="center"/>
          </w:tcPr>
          <w:p w14:paraId="4170487E">
            <w:pPr>
              <w:adjustRightInd w:val="0"/>
              <w:snapToGrid w:val="0"/>
              <w:spacing w:line="300" w:lineRule="auto"/>
              <w:jc w:val="center"/>
              <w:rPr>
                <w:snapToGrid w:val="0"/>
                <w:kern w:val="0"/>
              </w:rPr>
            </w:pPr>
          </w:p>
        </w:tc>
      </w:tr>
      <w:tr w14:paraId="65C5AEEC">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565" w:type="dxa"/>
            <w:gridSpan w:val="2"/>
            <w:vAlign w:val="center"/>
          </w:tcPr>
          <w:p w14:paraId="0C01A239">
            <w:pPr>
              <w:adjustRightInd w:val="0"/>
              <w:snapToGrid w:val="0"/>
              <w:spacing w:line="300" w:lineRule="auto"/>
              <w:jc w:val="center"/>
              <w:rPr>
                <w:snapToGrid w:val="0"/>
                <w:kern w:val="0"/>
              </w:rPr>
            </w:pPr>
            <w:r>
              <w:rPr>
                <w:snapToGrid w:val="0"/>
                <w:kern w:val="0"/>
              </w:rPr>
              <w:t>合   计</w:t>
            </w:r>
          </w:p>
        </w:tc>
        <w:tc>
          <w:tcPr>
            <w:tcW w:w="2664" w:type="dxa"/>
            <w:vAlign w:val="center"/>
          </w:tcPr>
          <w:p w14:paraId="41BFDC90">
            <w:pPr>
              <w:adjustRightInd w:val="0"/>
              <w:snapToGrid w:val="0"/>
              <w:spacing w:line="300" w:lineRule="auto"/>
              <w:jc w:val="center"/>
              <w:rPr>
                <w:snapToGrid w:val="0"/>
                <w:kern w:val="0"/>
              </w:rPr>
            </w:pPr>
          </w:p>
        </w:tc>
        <w:tc>
          <w:tcPr>
            <w:tcW w:w="2376" w:type="dxa"/>
            <w:vAlign w:val="center"/>
          </w:tcPr>
          <w:p w14:paraId="4BCAFE66">
            <w:pPr>
              <w:adjustRightInd w:val="0"/>
              <w:snapToGrid w:val="0"/>
              <w:spacing w:line="300" w:lineRule="auto"/>
              <w:jc w:val="center"/>
              <w:rPr>
                <w:snapToGrid w:val="0"/>
                <w:kern w:val="0"/>
              </w:rPr>
            </w:pPr>
          </w:p>
        </w:tc>
      </w:tr>
    </w:tbl>
    <w:p w14:paraId="75E4BD8D">
      <w:pPr>
        <w:spacing w:beforeLines="50" w:afterLines="50"/>
        <w:rPr>
          <w:rFonts w:ascii="宋体" w:hAnsi="宋体"/>
          <w:szCs w:val="21"/>
        </w:rPr>
      </w:pPr>
      <w:r>
        <w:rPr>
          <w:rFonts w:hint="eastAsia" w:ascii="宋体" w:hAnsi="宋体"/>
          <w:szCs w:val="21"/>
        </w:rPr>
        <w:t>备注：1、</w:t>
      </w:r>
      <w:r>
        <w:rPr>
          <w:rFonts w:hint="eastAsia" w:ascii="宋体" w:hAnsi="宋体"/>
          <w:bCs/>
          <w:szCs w:val="21"/>
        </w:rPr>
        <w:t>本表格</w:t>
      </w:r>
      <w:r>
        <w:rPr>
          <w:rFonts w:hint="eastAsia" w:ascii="宋体" w:hAnsi="宋体"/>
          <w:bCs/>
          <w:szCs w:val="21"/>
          <w:lang w:val="en-US" w:eastAsia="zh-CN"/>
        </w:rPr>
        <w:t>格式内容不得修改调整</w:t>
      </w:r>
      <w:r>
        <w:rPr>
          <w:rFonts w:hint="eastAsia" w:ascii="宋体" w:hAnsi="宋体"/>
          <w:bCs/>
          <w:szCs w:val="21"/>
        </w:rPr>
        <w:t>。</w:t>
      </w:r>
    </w:p>
    <w:p w14:paraId="7F6A4DF0">
      <w:pPr>
        <w:adjustRightInd w:val="0"/>
        <w:spacing w:beforeLines="50" w:afterLines="50"/>
        <w:jc w:val="left"/>
        <w:rPr>
          <w:snapToGrid w:val="0"/>
          <w:kern w:val="0"/>
          <w:szCs w:val="21"/>
        </w:rPr>
      </w:pPr>
      <w:r>
        <w:rPr>
          <w:rFonts w:hint="eastAsia" w:ascii="宋体" w:hAnsi="宋体"/>
          <w:szCs w:val="21"/>
        </w:rPr>
        <w:t xml:space="preserve">      2、</w:t>
      </w:r>
      <w:r>
        <w:rPr>
          <w:rFonts w:hint="eastAsia" w:asciiTheme="minorEastAsia" w:hAnsiTheme="minorEastAsia" w:eastAsiaTheme="minorEastAsia"/>
        </w:rPr>
        <w:t>开标一览表中的投标</w:t>
      </w:r>
      <w:r>
        <w:rPr>
          <w:rFonts w:hint="eastAsia"/>
          <w:snapToGrid w:val="0"/>
          <w:kern w:val="0"/>
        </w:rPr>
        <w:t>报</w:t>
      </w:r>
      <w:r>
        <w:rPr>
          <w:rFonts w:hint="eastAsia" w:asciiTheme="minorEastAsia" w:hAnsiTheme="minorEastAsia" w:eastAsiaTheme="minorEastAsia"/>
        </w:rPr>
        <w:t>价应与本表中的报价一致</w:t>
      </w:r>
      <w:r>
        <w:rPr>
          <w:rFonts w:hint="eastAsia" w:ascii="宋体" w:hAnsi="宋体"/>
          <w:szCs w:val="21"/>
        </w:rPr>
        <w:t>。</w:t>
      </w:r>
    </w:p>
    <w:p w14:paraId="6513EC16">
      <w:pPr>
        <w:adjustRightInd w:val="0"/>
        <w:snapToGrid w:val="0"/>
        <w:spacing w:line="300" w:lineRule="auto"/>
        <w:rPr>
          <w:snapToGrid w:val="0"/>
          <w:kern w:val="0"/>
        </w:rPr>
      </w:pPr>
    </w:p>
    <w:p w14:paraId="32BB2D2E">
      <w:pPr>
        <w:adjustRightInd w:val="0"/>
        <w:snapToGrid w:val="0"/>
        <w:spacing w:line="300" w:lineRule="auto"/>
        <w:rPr>
          <w:snapToGrid w:val="0"/>
          <w:kern w:val="0"/>
        </w:rPr>
      </w:pPr>
    </w:p>
    <w:p w14:paraId="0276AF29">
      <w:pPr>
        <w:adjustRightInd w:val="0"/>
        <w:snapToGrid w:val="0"/>
        <w:spacing w:line="300" w:lineRule="auto"/>
        <w:rPr>
          <w:snapToGrid w:val="0"/>
          <w:kern w:val="0"/>
        </w:rPr>
      </w:pPr>
      <w:r>
        <w:rPr>
          <w:rFonts w:hint="eastAsia"/>
          <w:snapToGrid w:val="0"/>
          <w:kern w:val="0"/>
        </w:rPr>
        <w:t>投标单位：（盖章）</w:t>
      </w:r>
    </w:p>
    <w:p w14:paraId="307A170A">
      <w:pPr>
        <w:adjustRightInd w:val="0"/>
        <w:snapToGrid w:val="0"/>
        <w:spacing w:line="300" w:lineRule="auto"/>
        <w:rPr>
          <w:snapToGrid w:val="0"/>
          <w:kern w:val="0"/>
        </w:rPr>
      </w:pPr>
    </w:p>
    <w:p w14:paraId="021FCB44">
      <w:pPr>
        <w:adjustRightInd w:val="0"/>
        <w:snapToGrid w:val="0"/>
        <w:spacing w:line="300" w:lineRule="auto"/>
        <w:rPr>
          <w:snapToGrid w:val="0"/>
          <w:kern w:val="0"/>
        </w:rPr>
      </w:pPr>
    </w:p>
    <w:p w14:paraId="551408A3">
      <w:pPr>
        <w:adjustRightInd w:val="0"/>
        <w:snapToGrid w:val="0"/>
        <w:spacing w:line="300" w:lineRule="auto"/>
        <w:rPr>
          <w:snapToGrid w:val="0"/>
          <w:kern w:val="0"/>
        </w:rPr>
      </w:pPr>
    </w:p>
    <w:p w14:paraId="06963648">
      <w:pPr>
        <w:adjustRightInd w:val="0"/>
        <w:snapToGrid w:val="0"/>
        <w:spacing w:line="300" w:lineRule="auto"/>
        <w:rPr>
          <w:snapToGrid w:val="0"/>
          <w:kern w:val="0"/>
        </w:rPr>
      </w:pPr>
      <w:r>
        <w:rPr>
          <w:rFonts w:hint="eastAsia"/>
          <w:snapToGrid w:val="0"/>
          <w:kern w:val="0"/>
        </w:rPr>
        <w:t>法定代表人或其授权代表：（签字）</w:t>
      </w:r>
    </w:p>
    <w:p w14:paraId="006100DD">
      <w:pPr>
        <w:adjustRightInd w:val="0"/>
        <w:snapToGrid w:val="0"/>
        <w:spacing w:line="300" w:lineRule="auto"/>
        <w:rPr>
          <w:snapToGrid w:val="0"/>
          <w:kern w:val="0"/>
        </w:rPr>
      </w:pPr>
    </w:p>
    <w:p w14:paraId="5D6C884A">
      <w:pPr>
        <w:wordWrap w:val="0"/>
        <w:adjustRightInd w:val="0"/>
        <w:snapToGrid w:val="0"/>
        <w:spacing w:line="300" w:lineRule="auto"/>
        <w:jc w:val="right"/>
        <w:rPr>
          <w:snapToGrid w:val="0"/>
          <w:kern w:val="0"/>
        </w:rPr>
      </w:pPr>
      <w:r>
        <w:rPr>
          <w:rFonts w:hint="eastAsia"/>
          <w:snapToGrid w:val="0"/>
          <w:kern w:val="0"/>
        </w:rPr>
        <w:t>年    月   日</w:t>
      </w:r>
    </w:p>
    <w:p w14:paraId="1727F5DD"/>
    <w:p w14:paraId="7781B36B">
      <w:pPr>
        <w:pStyle w:val="28"/>
        <w:adjustRightInd w:val="0"/>
        <w:snapToGrid w:val="0"/>
        <w:spacing w:line="312" w:lineRule="auto"/>
        <w:jc w:val="center"/>
        <w:rPr>
          <w:rFonts w:ascii="Times New Roman" w:hAnsi="Times New Roman"/>
          <w:b/>
          <w:sz w:val="28"/>
        </w:rPr>
      </w:pPr>
    </w:p>
    <w:p w14:paraId="13C929E0"/>
    <w:p w14:paraId="19A85F76"/>
    <w:p w14:paraId="635F9BC0"/>
    <w:p w14:paraId="24FB1451"/>
    <w:p w14:paraId="1A1FA6F4">
      <w:pPr>
        <w:widowControl/>
        <w:jc w:val="left"/>
      </w:pPr>
      <w:r>
        <w:br w:type="page"/>
      </w:r>
    </w:p>
    <w:p w14:paraId="3B3D3553"/>
    <w:p w14:paraId="296E579B">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7" w:name="_Toc44691399"/>
      <w:bookmarkStart w:id="68" w:name="_Toc44690435"/>
      <w:bookmarkStart w:id="69" w:name="_Toc44691167"/>
      <w:bookmarkStart w:id="70" w:name="_Toc44690708"/>
      <w:r>
        <w:rPr>
          <w:rFonts w:hint="eastAsia" w:asciiTheme="minorEastAsia" w:hAnsiTheme="minorEastAsia" w:eastAsiaTheme="minorEastAsia"/>
          <w:sz w:val="24"/>
        </w:rPr>
        <w:t>格式7  服务方案</w:t>
      </w:r>
      <w:bookmarkEnd w:id="67"/>
      <w:bookmarkEnd w:id="68"/>
      <w:bookmarkEnd w:id="69"/>
      <w:bookmarkEnd w:id="70"/>
    </w:p>
    <w:p w14:paraId="09A99E3E">
      <w:pPr>
        <w:pStyle w:val="7"/>
      </w:pPr>
    </w:p>
    <w:p w14:paraId="3EF96983">
      <w:pPr>
        <w:spacing w:line="400" w:lineRule="exact"/>
        <w:ind w:firstLine="422" w:firstLineChars="200"/>
        <w:rPr>
          <w:rFonts w:ascii="宋体" w:hAnsi="宋体"/>
          <w:b/>
          <w:szCs w:val="21"/>
        </w:rPr>
      </w:pPr>
      <w:r>
        <w:rPr>
          <w:rFonts w:hint="eastAsia" w:ascii="宋体" w:hAnsi="宋体"/>
          <w:b/>
          <w:szCs w:val="21"/>
        </w:rPr>
        <w:t>本部分内容是投标人根据项目需求对其投标服务方案的详细描述，主要包括服务方案及拟投入本项目的人员配置等，投标单位自主编写，但应包含下列内容：</w:t>
      </w:r>
    </w:p>
    <w:p w14:paraId="08120341">
      <w:pPr>
        <w:spacing w:line="400" w:lineRule="exact"/>
        <w:ind w:firstLine="420" w:firstLineChars="200"/>
        <w:rPr>
          <w:rFonts w:ascii="宋体" w:hAnsi="宋体"/>
          <w:szCs w:val="21"/>
        </w:rPr>
      </w:pPr>
    </w:p>
    <w:p w14:paraId="3810D73E">
      <w:pPr>
        <w:spacing w:line="360" w:lineRule="auto"/>
        <w:ind w:firstLine="420" w:firstLineChars="200"/>
        <w:rPr>
          <w:rFonts w:hint="eastAsia" w:cs="宋体" w:asciiTheme="minorEastAsia" w:hAnsiTheme="minorEastAsia"/>
          <w:szCs w:val="21"/>
        </w:rPr>
      </w:pPr>
      <w:r>
        <w:rPr>
          <w:rFonts w:hint="eastAsia" w:ascii="宋体" w:hAnsi="宋体"/>
          <w:szCs w:val="21"/>
        </w:rPr>
        <w:t>1、</w:t>
      </w:r>
      <w:r>
        <w:rPr>
          <w:rFonts w:hint="eastAsia" w:cs="宋体" w:asciiTheme="minorEastAsia" w:hAnsiTheme="minorEastAsia"/>
          <w:szCs w:val="21"/>
        </w:rPr>
        <w:t>实施方案</w:t>
      </w:r>
    </w:p>
    <w:p w14:paraId="3D688D50">
      <w:pPr>
        <w:spacing w:line="360" w:lineRule="auto"/>
        <w:ind w:firstLine="420" w:firstLineChars="200"/>
        <w:rPr>
          <w:rFonts w:hint="eastAsia" w:cs="宋体" w:asciiTheme="minorEastAsia" w:hAnsiTheme="minorEastAsia"/>
          <w:szCs w:val="21"/>
        </w:rPr>
      </w:pPr>
      <w:r>
        <w:rPr>
          <w:rFonts w:hint="eastAsia" w:cs="宋体" w:asciiTheme="minorEastAsia" w:hAnsiTheme="minorEastAsia"/>
          <w:szCs w:val="21"/>
          <w:lang w:val="en-US" w:eastAsia="zh-CN"/>
        </w:rPr>
        <w:t>2、</w:t>
      </w:r>
      <w:r>
        <w:rPr>
          <w:rFonts w:hint="eastAsia" w:cs="宋体" w:asciiTheme="minorEastAsia" w:hAnsiTheme="minorEastAsia"/>
          <w:szCs w:val="21"/>
        </w:rPr>
        <w:t>项目重点难点分析、应对措施及相关的合理化建议</w:t>
      </w:r>
    </w:p>
    <w:p w14:paraId="2C535497">
      <w:pPr>
        <w:spacing w:line="360" w:lineRule="auto"/>
        <w:ind w:firstLine="420" w:firstLineChars="200"/>
        <w:rPr>
          <w:rFonts w:hint="eastAsia" w:cs="宋体" w:asciiTheme="minorEastAsia" w:hAnsiTheme="minorEastAsia"/>
          <w:szCs w:val="21"/>
        </w:rPr>
      </w:pPr>
      <w:r>
        <w:rPr>
          <w:rFonts w:hint="eastAsia" w:cs="宋体" w:asciiTheme="minorEastAsia" w:hAnsiTheme="minorEastAsia"/>
          <w:szCs w:val="21"/>
          <w:lang w:val="en-US" w:eastAsia="zh-CN"/>
        </w:rPr>
        <w:t>3、</w:t>
      </w:r>
      <w:r>
        <w:rPr>
          <w:rFonts w:hint="eastAsia" w:cs="宋体" w:asciiTheme="minorEastAsia" w:hAnsiTheme="minorEastAsia"/>
          <w:szCs w:val="21"/>
        </w:rPr>
        <w:t>拟投入本项目的设备情况</w:t>
      </w:r>
    </w:p>
    <w:p w14:paraId="471F5D51">
      <w:pPr>
        <w:spacing w:line="360" w:lineRule="auto"/>
        <w:ind w:firstLine="420" w:firstLineChars="200"/>
        <w:rPr>
          <w:rFonts w:hint="eastAsia" w:cs="宋体" w:asciiTheme="minorEastAsia" w:hAnsiTheme="minorEastAsia"/>
          <w:szCs w:val="21"/>
        </w:rPr>
      </w:pPr>
      <w:r>
        <w:rPr>
          <w:rFonts w:hint="eastAsia" w:cs="宋体" w:asciiTheme="minorEastAsia" w:hAnsiTheme="minorEastAsia"/>
          <w:szCs w:val="21"/>
          <w:lang w:val="en-US" w:eastAsia="zh-CN"/>
        </w:rPr>
        <w:t>4、</w:t>
      </w:r>
      <w:r>
        <w:rPr>
          <w:rFonts w:hint="eastAsia" w:cs="宋体" w:asciiTheme="minorEastAsia" w:hAnsiTheme="minorEastAsia"/>
          <w:szCs w:val="21"/>
        </w:rPr>
        <w:t>拟投入本项目的技术负责人（仅限1人）</w:t>
      </w:r>
    </w:p>
    <w:p w14:paraId="024740E4">
      <w:pPr>
        <w:spacing w:line="360" w:lineRule="auto"/>
        <w:ind w:firstLine="420" w:firstLineChars="200"/>
        <w:rPr>
          <w:rFonts w:hint="eastAsia" w:cs="宋体" w:asciiTheme="minorEastAsia" w:hAnsiTheme="minorEastAsia"/>
          <w:szCs w:val="21"/>
        </w:rPr>
      </w:pPr>
      <w:r>
        <w:rPr>
          <w:rFonts w:hint="eastAsia" w:cs="宋体" w:asciiTheme="minorEastAsia" w:hAnsiTheme="minorEastAsia"/>
          <w:szCs w:val="21"/>
          <w:lang w:val="en-US" w:eastAsia="zh-CN"/>
        </w:rPr>
        <w:t>5、</w:t>
      </w:r>
      <w:r>
        <w:rPr>
          <w:rFonts w:hint="eastAsia" w:cs="宋体" w:asciiTheme="minorEastAsia" w:hAnsiTheme="minorEastAsia"/>
          <w:szCs w:val="21"/>
        </w:rPr>
        <w:t>拟安排的维修技术人员情况（技术负责人除外）</w:t>
      </w:r>
    </w:p>
    <w:p w14:paraId="3727730D">
      <w:pPr>
        <w:spacing w:line="360" w:lineRule="auto"/>
        <w:ind w:firstLine="420" w:firstLineChars="200"/>
        <w:rPr>
          <w:rFonts w:hint="eastAsia" w:cs="宋体" w:asciiTheme="minorEastAsia" w:hAnsiTheme="minorEastAsia"/>
          <w:szCs w:val="21"/>
        </w:rPr>
      </w:pPr>
      <w:r>
        <w:rPr>
          <w:rFonts w:hint="eastAsia" w:cs="宋体" w:asciiTheme="minorEastAsia" w:hAnsiTheme="minorEastAsia"/>
          <w:szCs w:val="21"/>
          <w:lang w:val="en-US" w:eastAsia="zh-CN"/>
        </w:rPr>
        <w:t>6、</w:t>
      </w:r>
      <w:r>
        <w:rPr>
          <w:rFonts w:hint="eastAsia" w:cs="宋体" w:asciiTheme="minorEastAsia" w:hAnsiTheme="minorEastAsia"/>
          <w:szCs w:val="21"/>
        </w:rPr>
        <w:t>项目完成（服务期满）后的服务承诺</w:t>
      </w:r>
    </w:p>
    <w:p w14:paraId="33268BE6">
      <w:pPr>
        <w:spacing w:line="360" w:lineRule="auto"/>
        <w:ind w:firstLine="420" w:firstLineChars="200"/>
        <w:rPr>
          <w:rFonts w:hint="eastAsia" w:cs="宋体" w:asciiTheme="minorEastAsia" w:hAnsiTheme="minorEastAsia"/>
          <w:szCs w:val="21"/>
        </w:rPr>
      </w:pPr>
      <w:r>
        <w:rPr>
          <w:rFonts w:hint="eastAsia" w:cs="宋体" w:asciiTheme="minorEastAsia" w:hAnsiTheme="minorEastAsia"/>
          <w:szCs w:val="21"/>
          <w:lang w:val="en-US" w:eastAsia="zh-CN"/>
        </w:rPr>
        <w:t>7、</w:t>
      </w:r>
      <w:r>
        <w:rPr>
          <w:rFonts w:hint="eastAsia" w:cs="宋体" w:asciiTheme="minorEastAsia" w:hAnsiTheme="minorEastAsia"/>
          <w:szCs w:val="21"/>
        </w:rPr>
        <w:t>供应商认证情况</w:t>
      </w:r>
    </w:p>
    <w:p w14:paraId="1915FD82">
      <w:pPr>
        <w:spacing w:line="360" w:lineRule="auto"/>
        <w:ind w:firstLine="420" w:firstLineChars="200"/>
        <w:rPr>
          <w:rFonts w:hint="eastAsia" w:cs="宋体" w:asciiTheme="minorEastAsia" w:hAnsiTheme="minorEastAsia"/>
          <w:szCs w:val="21"/>
        </w:rPr>
      </w:pPr>
      <w:r>
        <w:rPr>
          <w:rFonts w:hint="eastAsia" w:cs="宋体" w:asciiTheme="minorEastAsia" w:hAnsiTheme="minorEastAsia"/>
          <w:szCs w:val="21"/>
          <w:lang w:val="en-US" w:eastAsia="zh-CN"/>
        </w:rPr>
        <w:t>8、</w:t>
      </w:r>
      <w:r>
        <w:rPr>
          <w:rFonts w:hint="eastAsia" w:cs="宋体" w:asciiTheme="minorEastAsia" w:hAnsiTheme="minorEastAsia"/>
          <w:szCs w:val="21"/>
        </w:rPr>
        <w:t>供应商同类项目业绩情况</w:t>
      </w:r>
    </w:p>
    <w:p w14:paraId="13320167">
      <w:pPr>
        <w:spacing w:line="360" w:lineRule="auto"/>
        <w:ind w:firstLine="420" w:firstLineChars="200"/>
        <w:rPr>
          <w:rFonts w:hint="eastAsia" w:cs="宋体" w:asciiTheme="minorEastAsia" w:hAnsiTheme="minorEastAsia"/>
          <w:szCs w:val="21"/>
        </w:rPr>
      </w:pPr>
      <w:r>
        <w:rPr>
          <w:rFonts w:hint="eastAsia" w:cs="宋体" w:asciiTheme="minorEastAsia" w:hAnsiTheme="minorEastAsia"/>
          <w:szCs w:val="21"/>
          <w:lang w:val="en-US" w:eastAsia="zh-CN"/>
        </w:rPr>
        <w:t>9、</w:t>
      </w:r>
      <w:r>
        <w:rPr>
          <w:rFonts w:hint="eastAsia" w:cs="宋体" w:asciiTheme="minorEastAsia" w:hAnsiTheme="minorEastAsia"/>
          <w:szCs w:val="21"/>
        </w:rPr>
        <w:t>拟投入本项目的维修场地</w:t>
      </w:r>
    </w:p>
    <w:p w14:paraId="3DF5F7E9">
      <w:pPr>
        <w:spacing w:line="360" w:lineRule="auto"/>
        <w:ind w:firstLine="420" w:firstLineChars="200"/>
        <w:rPr>
          <w:rFonts w:hint="eastAsia" w:cs="宋体" w:asciiTheme="minorEastAsia" w:hAnsiTheme="minorEastAsia"/>
          <w:szCs w:val="21"/>
        </w:rPr>
      </w:pPr>
      <w:r>
        <w:rPr>
          <w:rFonts w:hint="eastAsia" w:cs="宋体" w:asciiTheme="minorEastAsia" w:hAnsiTheme="minorEastAsia"/>
          <w:szCs w:val="21"/>
          <w:lang w:val="en-US" w:eastAsia="zh-CN"/>
        </w:rPr>
        <w:t>10、</w:t>
      </w:r>
      <w:r>
        <w:rPr>
          <w:rFonts w:hint="eastAsia" w:cs="宋体" w:asciiTheme="minorEastAsia" w:hAnsiTheme="minorEastAsia"/>
          <w:szCs w:val="21"/>
        </w:rPr>
        <w:t>服务响应</w:t>
      </w:r>
    </w:p>
    <w:p w14:paraId="1338D031">
      <w:pPr>
        <w:spacing w:line="360" w:lineRule="auto"/>
        <w:ind w:firstLine="420" w:firstLineChars="200"/>
        <w:rPr>
          <w:rFonts w:ascii="宋体" w:hAnsi="宋体"/>
          <w:szCs w:val="21"/>
        </w:rPr>
      </w:pPr>
      <w:r>
        <w:rPr>
          <w:rFonts w:hint="eastAsia" w:cs="宋体" w:asciiTheme="minorEastAsia" w:hAnsiTheme="minorEastAsia"/>
          <w:szCs w:val="21"/>
          <w:lang w:val="en-US" w:eastAsia="zh-CN"/>
        </w:rPr>
        <w:t>11、</w:t>
      </w:r>
      <w:r>
        <w:rPr>
          <w:rFonts w:hint="eastAsia" w:cs="宋体" w:asciiTheme="minorEastAsia" w:hAnsiTheme="minorEastAsia"/>
          <w:szCs w:val="21"/>
        </w:rPr>
        <w:t>诚信评审</w:t>
      </w:r>
    </w:p>
    <w:p w14:paraId="235C1B38">
      <w:pPr>
        <w:spacing w:line="360" w:lineRule="auto"/>
        <w:ind w:left="420"/>
        <w:rPr>
          <w:rFonts w:ascii="宋体" w:hAnsi="宋体"/>
          <w:bCs/>
        </w:rPr>
      </w:pPr>
      <w:r>
        <w:rPr>
          <w:rFonts w:hint="eastAsia" w:ascii="宋体" w:hAnsi="宋体"/>
          <w:bCs/>
          <w:lang w:val="en-US" w:eastAsia="zh-CN"/>
        </w:rPr>
        <w:t>12</w:t>
      </w:r>
      <w:r>
        <w:rPr>
          <w:rFonts w:hint="eastAsia" w:ascii="宋体" w:hAnsi="宋体"/>
          <w:bCs/>
        </w:rPr>
        <w:t>、投标人认为必要的其他方案</w:t>
      </w:r>
    </w:p>
    <w:p w14:paraId="62A90B59">
      <w:pPr>
        <w:adjustRightInd w:val="0"/>
        <w:snapToGrid w:val="0"/>
        <w:spacing w:line="300" w:lineRule="auto"/>
        <w:rPr>
          <w:snapToGrid w:val="0"/>
          <w:kern w:val="0"/>
        </w:rPr>
      </w:pPr>
    </w:p>
    <w:p w14:paraId="6308B067">
      <w:pPr>
        <w:adjustRightInd w:val="0"/>
        <w:snapToGrid w:val="0"/>
        <w:spacing w:line="300" w:lineRule="auto"/>
        <w:rPr>
          <w:snapToGrid w:val="0"/>
          <w:kern w:val="0"/>
        </w:rPr>
      </w:pPr>
    </w:p>
    <w:p w14:paraId="20D4BA27">
      <w:pPr>
        <w:adjustRightInd w:val="0"/>
        <w:snapToGrid w:val="0"/>
        <w:spacing w:line="300" w:lineRule="auto"/>
        <w:rPr>
          <w:snapToGrid w:val="0"/>
          <w:kern w:val="0"/>
        </w:rPr>
      </w:pPr>
    </w:p>
    <w:p w14:paraId="64CAAA6D">
      <w:pPr>
        <w:adjustRightInd w:val="0"/>
        <w:snapToGrid w:val="0"/>
        <w:spacing w:line="300" w:lineRule="auto"/>
        <w:rPr>
          <w:snapToGrid w:val="0"/>
          <w:kern w:val="0"/>
        </w:rPr>
      </w:pPr>
      <w:r>
        <w:rPr>
          <w:rFonts w:hint="eastAsia"/>
          <w:snapToGrid w:val="0"/>
          <w:kern w:val="0"/>
        </w:rPr>
        <w:t>投标单位：（盖章）</w:t>
      </w:r>
    </w:p>
    <w:p w14:paraId="7D81818D">
      <w:pPr>
        <w:adjustRightInd w:val="0"/>
        <w:snapToGrid w:val="0"/>
        <w:spacing w:line="300" w:lineRule="auto"/>
        <w:rPr>
          <w:snapToGrid w:val="0"/>
          <w:kern w:val="0"/>
        </w:rPr>
      </w:pPr>
    </w:p>
    <w:p w14:paraId="3A15818C">
      <w:pPr>
        <w:adjustRightInd w:val="0"/>
        <w:snapToGrid w:val="0"/>
        <w:spacing w:line="300" w:lineRule="auto"/>
        <w:rPr>
          <w:snapToGrid w:val="0"/>
          <w:kern w:val="0"/>
        </w:rPr>
      </w:pPr>
    </w:p>
    <w:p w14:paraId="762EEDCB">
      <w:pPr>
        <w:adjustRightInd w:val="0"/>
        <w:snapToGrid w:val="0"/>
        <w:spacing w:line="300" w:lineRule="auto"/>
        <w:rPr>
          <w:snapToGrid w:val="0"/>
          <w:kern w:val="0"/>
        </w:rPr>
      </w:pPr>
      <w:r>
        <w:rPr>
          <w:rFonts w:hint="eastAsia"/>
          <w:snapToGrid w:val="0"/>
          <w:kern w:val="0"/>
        </w:rPr>
        <w:t>法定代表人或其授权代表：（签字）</w:t>
      </w:r>
    </w:p>
    <w:p w14:paraId="76FCF8FE">
      <w:pPr>
        <w:adjustRightInd w:val="0"/>
        <w:snapToGrid w:val="0"/>
        <w:spacing w:line="300" w:lineRule="auto"/>
        <w:rPr>
          <w:snapToGrid w:val="0"/>
          <w:kern w:val="0"/>
        </w:rPr>
      </w:pPr>
    </w:p>
    <w:p w14:paraId="2385E6FF">
      <w:pPr>
        <w:adjustRightInd w:val="0"/>
        <w:snapToGrid w:val="0"/>
        <w:spacing w:line="300" w:lineRule="auto"/>
        <w:rPr>
          <w:snapToGrid w:val="0"/>
          <w:kern w:val="0"/>
        </w:rPr>
      </w:pPr>
    </w:p>
    <w:p w14:paraId="19519C7D">
      <w:pPr>
        <w:wordWrap w:val="0"/>
        <w:adjustRightInd w:val="0"/>
        <w:snapToGrid w:val="0"/>
        <w:spacing w:line="300" w:lineRule="auto"/>
        <w:jc w:val="right"/>
        <w:rPr>
          <w:snapToGrid w:val="0"/>
          <w:kern w:val="0"/>
        </w:rPr>
      </w:pPr>
      <w:r>
        <w:rPr>
          <w:rFonts w:hint="eastAsia"/>
          <w:snapToGrid w:val="0"/>
          <w:kern w:val="0"/>
        </w:rPr>
        <w:t>年    月   日</w:t>
      </w:r>
    </w:p>
    <w:p w14:paraId="4CDA5A5C">
      <w:pPr>
        <w:adjustRightInd w:val="0"/>
        <w:snapToGrid w:val="0"/>
        <w:spacing w:line="300" w:lineRule="auto"/>
        <w:jc w:val="right"/>
        <w:rPr>
          <w:snapToGrid w:val="0"/>
          <w:kern w:val="0"/>
        </w:rPr>
      </w:pPr>
    </w:p>
    <w:p w14:paraId="07675030">
      <w:pPr>
        <w:adjustRightInd w:val="0"/>
        <w:snapToGrid w:val="0"/>
        <w:spacing w:line="300" w:lineRule="auto"/>
        <w:jc w:val="right"/>
        <w:rPr>
          <w:snapToGrid w:val="0"/>
          <w:kern w:val="0"/>
        </w:rPr>
      </w:pPr>
    </w:p>
    <w:p w14:paraId="5B484A16">
      <w:pPr>
        <w:adjustRightInd w:val="0"/>
        <w:snapToGrid w:val="0"/>
        <w:spacing w:line="300" w:lineRule="auto"/>
        <w:jc w:val="right"/>
        <w:rPr>
          <w:snapToGrid w:val="0"/>
          <w:kern w:val="0"/>
        </w:rPr>
      </w:pPr>
    </w:p>
    <w:p w14:paraId="10FDAC76">
      <w:pPr>
        <w:adjustRightInd w:val="0"/>
        <w:snapToGrid w:val="0"/>
        <w:spacing w:line="300" w:lineRule="auto"/>
        <w:jc w:val="right"/>
        <w:rPr>
          <w:snapToGrid w:val="0"/>
          <w:kern w:val="0"/>
        </w:rPr>
      </w:pPr>
    </w:p>
    <w:p w14:paraId="2A0D6123">
      <w:pPr>
        <w:adjustRightInd w:val="0"/>
        <w:snapToGrid w:val="0"/>
        <w:spacing w:line="300" w:lineRule="auto"/>
        <w:jc w:val="right"/>
        <w:rPr>
          <w:snapToGrid w:val="0"/>
          <w:kern w:val="0"/>
        </w:rPr>
      </w:pPr>
    </w:p>
    <w:p w14:paraId="02674B45">
      <w:pPr>
        <w:adjustRightInd w:val="0"/>
        <w:snapToGrid w:val="0"/>
        <w:spacing w:line="300" w:lineRule="auto"/>
        <w:jc w:val="right"/>
        <w:rPr>
          <w:snapToGrid w:val="0"/>
          <w:kern w:val="0"/>
        </w:rPr>
      </w:pPr>
    </w:p>
    <w:p w14:paraId="039DB889">
      <w:pPr>
        <w:adjustRightInd w:val="0"/>
        <w:snapToGrid w:val="0"/>
        <w:spacing w:line="300" w:lineRule="auto"/>
        <w:jc w:val="right"/>
        <w:rPr>
          <w:snapToGrid w:val="0"/>
          <w:kern w:val="0"/>
        </w:rPr>
      </w:pPr>
    </w:p>
    <w:p w14:paraId="2FE93E47">
      <w:pPr>
        <w:adjustRightInd w:val="0"/>
        <w:snapToGrid w:val="0"/>
        <w:spacing w:line="300" w:lineRule="auto"/>
        <w:jc w:val="right"/>
        <w:rPr>
          <w:snapToGrid w:val="0"/>
          <w:kern w:val="0"/>
        </w:rPr>
      </w:pPr>
    </w:p>
    <w:p w14:paraId="121D33F7">
      <w:pPr>
        <w:adjustRightInd w:val="0"/>
        <w:snapToGrid w:val="0"/>
        <w:spacing w:line="300" w:lineRule="auto"/>
        <w:jc w:val="right"/>
        <w:rPr>
          <w:snapToGrid w:val="0"/>
          <w:kern w:val="0"/>
        </w:rPr>
      </w:pPr>
    </w:p>
    <w:p w14:paraId="566AD5FE">
      <w:pPr>
        <w:adjustRightInd w:val="0"/>
        <w:snapToGrid w:val="0"/>
        <w:spacing w:line="300" w:lineRule="auto"/>
        <w:jc w:val="right"/>
        <w:rPr>
          <w:snapToGrid w:val="0"/>
          <w:kern w:val="0"/>
        </w:rPr>
      </w:pPr>
    </w:p>
    <w:p w14:paraId="4CCCA025">
      <w:pPr>
        <w:tabs>
          <w:tab w:val="left" w:pos="8248"/>
          <w:tab w:val="left" w:pos="9368"/>
        </w:tabs>
        <w:spacing w:line="360" w:lineRule="auto"/>
      </w:pPr>
      <w:r>
        <w:rPr>
          <w:rFonts w:hint="eastAsia"/>
        </w:rPr>
        <w:t>附表：</w:t>
      </w:r>
    </w:p>
    <w:p w14:paraId="6FB40D5C">
      <w:pPr>
        <w:pStyle w:val="359"/>
        <w:jc w:val="center"/>
        <w:rPr>
          <w:rFonts w:ascii="仿宋" w:hAnsi="仿宋" w:eastAsia="仿宋"/>
          <w:b/>
          <w:snapToGrid w:val="0"/>
          <w:sz w:val="28"/>
          <w:szCs w:val="28"/>
        </w:rPr>
      </w:pPr>
      <w:r>
        <w:rPr>
          <w:rFonts w:hint="eastAsia" w:ascii="仿宋" w:hAnsi="仿宋" w:eastAsia="仿宋"/>
          <w:b/>
          <w:snapToGrid w:val="0"/>
          <w:sz w:val="28"/>
          <w:szCs w:val="28"/>
        </w:rPr>
        <w:t>项目人员情况一览表</w:t>
      </w:r>
    </w:p>
    <w:p w14:paraId="08F8EECD"/>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4" w:type="dxa"/>
          <w:bottom w:w="0" w:type="dxa"/>
          <w:right w:w="54" w:type="dxa"/>
        </w:tblCellMar>
      </w:tblPr>
      <w:tblGrid>
        <w:gridCol w:w="705"/>
        <w:gridCol w:w="1491"/>
        <w:gridCol w:w="851"/>
        <w:gridCol w:w="567"/>
        <w:gridCol w:w="1308"/>
        <w:gridCol w:w="1544"/>
        <w:gridCol w:w="1260"/>
        <w:gridCol w:w="1620"/>
      </w:tblGrid>
      <w:tr w14:paraId="673592F0">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02" w:hRule="atLeast"/>
          <w:jc w:val="center"/>
        </w:trPr>
        <w:tc>
          <w:tcPr>
            <w:tcW w:w="705" w:type="dxa"/>
            <w:vAlign w:val="center"/>
          </w:tcPr>
          <w:p w14:paraId="1A75F048">
            <w:pPr>
              <w:jc w:val="center"/>
              <w:rPr>
                <w:rFonts w:ascii="宋体" w:hAnsi="宋体" w:cs="Courier New"/>
                <w:snapToGrid w:val="0"/>
                <w:szCs w:val="21"/>
              </w:rPr>
            </w:pPr>
            <w:r>
              <w:rPr>
                <w:rFonts w:hint="eastAsia" w:ascii="宋体" w:hAnsi="宋体" w:cs="Courier New"/>
                <w:snapToGrid w:val="0"/>
                <w:szCs w:val="21"/>
              </w:rPr>
              <w:t>序号</w:t>
            </w:r>
          </w:p>
        </w:tc>
        <w:tc>
          <w:tcPr>
            <w:tcW w:w="1491" w:type="dxa"/>
            <w:vAlign w:val="center"/>
          </w:tcPr>
          <w:p w14:paraId="673C2FDC">
            <w:pPr>
              <w:jc w:val="center"/>
              <w:rPr>
                <w:rFonts w:ascii="宋体" w:hAnsi="宋体" w:cs="Courier New"/>
                <w:snapToGrid w:val="0"/>
                <w:szCs w:val="21"/>
              </w:rPr>
            </w:pPr>
            <w:r>
              <w:rPr>
                <w:rFonts w:hint="eastAsia" w:ascii="宋体" w:hAnsi="宋体" w:cs="Courier New"/>
                <w:snapToGrid w:val="0"/>
                <w:szCs w:val="21"/>
              </w:rPr>
              <w:t>项目</w:t>
            </w:r>
          </w:p>
        </w:tc>
        <w:tc>
          <w:tcPr>
            <w:tcW w:w="851" w:type="dxa"/>
            <w:vAlign w:val="center"/>
          </w:tcPr>
          <w:p w14:paraId="6DCCD087">
            <w:pPr>
              <w:jc w:val="center"/>
              <w:rPr>
                <w:rFonts w:ascii="宋体" w:hAnsi="宋体" w:cs="Courier New"/>
                <w:snapToGrid w:val="0"/>
                <w:szCs w:val="21"/>
              </w:rPr>
            </w:pPr>
            <w:r>
              <w:rPr>
                <w:rFonts w:hint="eastAsia" w:ascii="宋体" w:hAnsi="宋体" w:cs="Courier New"/>
                <w:snapToGrid w:val="0"/>
                <w:szCs w:val="21"/>
              </w:rPr>
              <w:t>姓名</w:t>
            </w:r>
          </w:p>
        </w:tc>
        <w:tc>
          <w:tcPr>
            <w:tcW w:w="567" w:type="dxa"/>
            <w:vAlign w:val="center"/>
          </w:tcPr>
          <w:p w14:paraId="1A0F9C23">
            <w:pPr>
              <w:jc w:val="center"/>
              <w:rPr>
                <w:rFonts w:ascii="宋体" w:hAnsi="宋体" w:cs="Courier New"/>
                <w:snapToGrid w:val="0"/>
                <w:szCs w:val="21"/>
              </w:rPr>
            </w:pPr>
            <w:r>
              <w:rPr>
                <w:rFonts w:hint="eastAsia" w:ascii="宋体" w:hAnsi="宋体" w:cs="Courier New"/>
                <w:snapToGrid w:val="0"/>
                <w:szCs w:val="21"/>
              </w:rPr>
              <w:t>学历</w:t>
            </w:r>
          </w:p>
        </w:tc>
        <w:tc>
          <w:tcPr>
            <w:tcW w:w="1308" w:type="dxa"/>
            <w:vAlign w:val="center"/>
          </w:tcPr>
          <w:p w14:paraId="321A0029">
            <w:pPr>
              <w:jc w:val="center"/>
              <w:rPr>
                <w:rFonts w:ascii="宋体" w:hAnsi="宋体" w:cs="Courier New"/>
                <w:snapToGrid w:val="0"/>
                <w:szCs w:val="21"/>
              </w:rPr>
            </w:pPr>
            <w:r>
              <w:rPr>
                <w:rFonts w:hint="eastAsia" w:ascii="宋体" w:hAnsi="宋体" w:cs="Courier New"/>
                <w:snapToGrid w:val="0"/>
                <w:szCs w:val="21"/>
              </w:rPr>
              <w:t>岗位及职务</w:t>
            </w:r>
          </w:p>
        </w:tc>
        <w:tc>
          <w:tcPr>
            <w:tcW w:w="1544" w:type="dxa"/>
            <w:vAlign w:val="center"/>
          </w:tcPr>
          <w:p w14:paraId="2AB55019">
            <w:pPr>
              <w:ind w:right="-53" w:rightChars="-25"/>
              <w:jc w:val="center"/>
              <w:rPr>
                <w:rFonts w:ascii="宋体" w:hAnsi="宋体" w:cs="Courier New"/>
                <w:snapToGrid w:val="0"/>
                <w:szCs w:val="21"/>
              </w:rPr>
            </w:pPr>
            <w:r>
              <w:rPr>
                <w:rFonts w:hint="eastAsia" w:ascii="宋体" w:hAnsi="宋体" w:cs="Courier New"/>
                <w:snapToGrid w:val="0"/>
                <w:szCs w:val="21"/>
              </w:rPr>
              <w:t>持何种资格证件</w:t>
            </w:r>
          </w:p>
        </w:tc>
        <w:tc>
          <w:tcPr>
            <w:tcW w:w="1260" w:type="dxa"/>
            <w:vAlign w:val="center"/>
          </w:tcPr>
          <w:p w14:paraId="44144910">
            <w:pPr>
              <w:jc w:val="center"/>
              <w:rPr>
                <w:rFonts w:ascii="宋体" w:hAnsi="宋体" w:cs="Courier New"/>
                <w:snapToGrid w:val="0"/>
                <w:szCs w:val="21"/>
              </w:rPr>
            </w:pPr>
            <w:r>
              <w:rPr>
                <w:rFonts w:hint="eastAsia" w:ascii="宋体" w:hAnsi="宋体" w:cs="Courier New"/>
                <w:snapToGrid w:val="0"/>
                <w:szCs w:val="21"/>
              </w:rPr>
              <w:t>发证时间</w:t>
            </w:r>
          </w:p>
        </w:tc>
        <w:tc>
          <w:tcPr>
            <w:tcW w:w="1620" w:type="dxa"/>
            <w:vAlign w:val="center"/>
          </w:tcPr>
          <w:p w14:paraId="0D231A7F">
            <w:pPr>
              <w:jc w:val="center"/>
              <w:rPr>
                <w:rFonts w:ascii="宋体" w:hAnsi="宋体" w:cs="Courier New"/>
                <w:snapToGrid w:val="0"/>
                <w:szCs w:val="21"/>
              </w:rPr>
            </w:pPr>
            <w:r>
              <w:rPr>
                <w:rFonts w:hint="eastAsia" w:ascii="宋体" w:hAnsi="宋体" w:cs="Courier New"/>
                <w:snapToGrid w:val="0"/>
                <w:szCs w:val="21"/>
              </w:rPr>
              <w:t>工作经验</w:t>
            </w:r>
          </w:p>
        </w:tc>
      </w:tr>
      <w:tr w14:paraId="0B03672F">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680" w:hRule="exact"/>
          <w:jc w:val="center"/>
        </w:trPr>
        <w:tc>
          <w:tcPr>
            <w:tcW w:w="705" w:type="dxa"/>
            <w:vAlign w:val="center"/>
          </w:tcPr>
          <w:p w14:paraId="3A85C84C">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14:paraId="12698F80">
            <w:pPr>
              <w:jc w:val="center"/>
              <w:rPr>
                <w:rFonts w:ascii="宋体" w:hAnsi="宋体" w:cs="Courier New"/>
                <w:snapToGrid w:val="0"/>
                <w:szCs w:val="21"/>
              </w:rPr>
            </w:pPr>
            <w:r>
              <w:rPr>
                <w:rFonts w:hint="eastAsia" w:ascii="宋体" w:hAnsi="宋体" w:cs="Courier New"/>
                <w:snapToGrid w:val="0"/>
                <w:szCs w:val="21"/>
              </w:rPr>
              <w:t>项目负责人</w:t>
            </w:r>
          </w:p>
        </w:tc>
        <w:tc>
          <w:tcPr>
            <w:tcW w:w="851" w:type="dxa"/>
            <w:vAlign w:val="center"/>
          </w:tcPr>
          <w:p w14:paraId="20CE5D49">
            <w:pPr>
              <w:rPr>
                <w:rFonts w:ascii="宋体" w:hAnsi="宋体" w:cs="Courier New"/>
                <w:snapToGrid w:val="0"/>
                <w:szCs w:val="21"/>
              </w:rPr>
            </w:pPr>
          </w:p>
        </w:tc>
        <w:tc>
          <w:tcPr>
            <w:tcW w:w="567" w:type="dxa"/>
            <w:vAlign w:val="center"/>
          </w:tcPr>
          <w:p w14:paraId="73DBC402">
            <w:pPr>
              <w:rPr>
                <w:rFonts w:ascii="宋体" w:hAnsi="宋体" w:cs="Courier New"/>
                <w:snapToGrid w:val="0"/>
                <w:szCs w:val="21"/>
              </w:rPr>
            </w:pPr>
          </w:p>
        </w:tc>
        <w:tc>
          <w:tcPr>
            <w:tcW w:w="1308" w:type="dxa"/>
            <w:vAlign w:val="center"/>
          </w:tcPr>
          <w:p w14:paraId="4DAEE26B">
            <w:pPr>
              <w:rPr>
                <w:rFonts w:ascii="宋体" w:hAnsi="宋体" w:cs="Courier New"/>
                <w:snapToGrid w:val="0"/>
                <w:szCs w:val="21"/>
              </w:rPr>
            </w:pPr>
          </w:p>
        </w:tc>
        <w:tc>
          <w:tcPr>
            <w:tcW w:w="1544" w:type="dxa"/>
            <w:vAlign w:val="center"/>
          </w:tcPr>
          <w:p w14:paraId="117B4DD8">
            <w:pPr>
              <w:rPr>
                <w:rFonts w:ascii="宋体" w:hAnsi="宋体" w:cs="Courier New"/>
                <w:snapToGrid w:val="0"/>
                <w:szCs w:val="21"/>
              </w:rPr>
            </w:pPr>
          </w:p>
        </w:tc>
        <w:tc>
          <w:tcPr>
            <w:tcW w:w="1260" w:type="dxa"/>
            <w:vAlign w:val="center"/>
          </w:tcPr>
          <w:p w14:paraId="59F0104A">
            <w:pPr>
              <w:rPr>
                <w:rFonts w:ascii="宋体" w:hAnsi="宋体" w:cs="Courier New"/>
                <w:snapToGrid w:val="0"/>
                <w:szCs w:val="21"/>
              </w:rPr>
            </w:pPr>
          </w:p>
        </w:tc>
        <w:tc>
          <w:tcPr>
            <w:tcW w:w="1620" w:type="dxa"/>
            <w:vAlign w:val="center"/>
          </w:tcPr>
          <w:p w14:paraId="418B9179">
            <w:pPr>
              <w:rPr>
                <w:rFonts w:ascii="宋体" w:hAnsi="宋体" w:cs="Courier New"/>
                <w:snapToGrid w:val="0"/>
                <w:szCs w:val="21"/>
              </w:rPr>
            </w:pPr>
          </w:p>
        </w:tc>
      </w:tr>
      <w:tr w14:paraId="584626E6">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14:paraId="679A2463">
            <w:pPr>
              <w:jc w:val="center"/>
              <w:rPr>
                <w:rFonts w:ascii="宋体" w:hAnsi="宋体" w:cs="Courier New"/>
                <w:snapToGrid w:val="0"/>
                <w:szCs w:val="21"/>
              </w:rPr>
            </w:pPr>
            <w:r>
              <w:rPr>
                <w:rFonts w:hint="eastAsia" w:ascii="宋体" w:hAnsi="宋体" w:cs="Courier New"/>
                <w:snapToGrid w:val="0"/>
                <w:szCs w:val="21"/>
              </w:rPr>
              <w:t>2</w:t>
            </w:r>
          </w:p>
        </w:tc>
        <w:tc>
          <w:tcPr>
            <w:tcW w:w="1491" w:type="dxa"/>
            <w:vMerge w:val="restart"/>
            <w:vAlign w:val="center"/>
          </w:tcPr>
          <w:p w14:paraId="1F57E7F2">
            <w:pPr>
              <w:jc w:val="center"/>
              <w:rPr>
                <w:rFonts w:ascii="宋体" w:hAnsi="宋体" w:cs="Courier New"/>
                <w:snapToGrid w:val="0"/>
                <w:szCs w:val="21"/>
              </w:rPr>
            </w:pPr>
            <w:r>
              <w:rPr>
                <w:rFonts w:hint="eastAsia" w:ascii="宋体" w:hAnsi="宋体" w:cs="Courier New"/>
                <w:snapToGrid w:val="0"/>
                <w:szCs w:val="21"/>
              </w:rPr>
              <w:t>项目团队成员</w:t>
            </w:r>
          </w:p>
        </w:tc>
        <w:tc>
          <w:tcPr>
            <w:tcW w:w="851" w:type="dxa"/>
          </w:tcPr>
          <w:p w14:paraId="18F235A2">
            <w:pPr>
              <w:rPr>
                <w:rFonts w:ascii="宋体" w:hAnsi="宋体" w:cs="Courier New"/>
                <w:snapToGrid w:val="0"/>
                <w:szCs w:val="21"/>
              </w:rPr>
            </w:pPr>
          </w:p>
        </w:tc>
        <w:tc>
          <w:tcPr>
            <w:tcW w:w="567" w:type="dxa"/>
          </w:tcPr>
          <w:p w14:paraId="4F0DBAF2">
            <w:pPr>
              <w:rPr>
                <w:rFonts w:ascii="宋体" w:hAnsi="宋体" w:cs="Courier New"/>
                <w:snapToGrid w:val="0"/>
                <w:szCs w:val="21"/>
              </w:rPr>
            </w:pPr>
          </w:p>
        </w:tc>
        <w:tc>
          <w:tcPr>
            <w:tcW w:w="1308" w:type="dxa"/>
          </w:tcPr>
          <w:p w14:paraId="361AF8F3">
            <w:pPr>
              <w:rPr>
                <w:rFonts w:ascii="宋体" w:hAnsi="宋体" w:cs="Courier New"/>
                <w:snapToGrid w:val="0"/>
                <w:szCs w:val="21"/>
              </w:rPr>
            </w:pPr>
          </w:p>
        </w:tc>
        <w:tc>
          <w:tcPr>
            <w:tcW w:w="1544" w:type="dxa"/>
          </w:tcPr>
          <w:p w14:paraId="59079F81">
            <w:pPr>
              <w:rPr>
                <w:rFonts w:ascii="宋体" w:hAnsi="宋体" w:cs="Courier New"/>
                <w:snapToGrid w:val="0"/>
                <w:szCs w:val="21"/>
              </w:rPr>
            </w:pPr>
          </w:p>
        </w:tc>
        <w:tc>
          <w:tcPr>
            <w:tcW w:w="1260" w:type="dxa"/>
          </w:tcPr>
          <w:p w14:paraId="386B7316">
            <w:pPr>
              <w:rPr>
                <w:rFonts w:ascii="宋体" w:hAnsi="宋体" w:cs="Courier New"/>
                <w:snapToGrid w:val="0"/>
                <w:szCs w:val="21"/>
              </w:rPr>
            </w:pPr>
          </w:p>
        </w:tc>
        <w:tc>
          <w:tcPr>
            <w:tcW w:w="1620" w:type="dxa"/>
          </w:tcPr>
          <w:p w14:paraId="639A165E">
            <w:pPr>
              <w:rPr>
                <w:rFonts w:ascii="宋体" w:hAnsi="宋体" w:cs="Courier New"/>
                <w:snapToGrid w:val="0"/>
                <w:szCs w:val="21"/>
              </w:rPr>
            </w:pPr>
          </w:p>
        </w:tc>
      </w:tr>
      <w:tr w14:paraId="4C6E6395">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14:paraId="534F7A47">
            <w:pPr>
              <w:jc w:val="center"/>
              <w:rPr>
                <w:rFonts w:ascii="宋体" w:hAnsi="宋体" w:cs="Courier New"/>
                <w:snapToGrid w:val="0"/>
                <w:szCs w:val="21"/>
              </w:rPr>
            </w:pPr>
            <w:r>
              <w:rPr>
                <w:rFonts w:hint="eastAsia" w:ascii="宋体" w:hAnsi="宋体" w:cs="Courier New"/>
                <w:snapToGrid w:val="0"/>
                <w:szCs w:val="21"/>
              </w:rPr>
              <w:t>3</w:t>
            </w:r>
          </w:p>
        </w:tc>
        <w:tc>
          <w:tcPr>
            <w:tcW w:w="1491" w:type="dxa"/>
            <w:vMerge w:val="continue"/>
          </w:tcPr>
          <w:p w14:paraId="6467F8DB">
            <w:pPr>
              <w:jc w:val="center"/>
              <w:rPr>
                <w:rFonts w:ascii="宋体" w:hAnsi="宋体" w:cs="Courier New"/>
                <w:snapToGrid w:val="0"/>
                <w:szCs w:val="21"/>
              </w:rPr>
            </w:pPr>
          </w:p>
        </w:tc>
        <w:tc>
          <w:tcPr>
            <w:tcW w:w="851" w:type="dxa"/>
          </w:tcPr>
          <w:p w14:paraId="35A26ABC">
            <w:pPr>
              <w:rPr>
                <w:rFonts w:ascii="宋体" w:hAnsi="宋体" w:cs="Courier New"/>
                <w:snapToGrid w:val="0"/>
                <w:szCs w:val="21"/>
              </w:rPr>
            </w:pPr>
          </w:p>
        </w:tc>
        <w:tc>
          <w:tcPr>
            <w:tcW w:w="567" w:type="dxa"/>
          </w:tcPr>
          <w:p w14:paraId="39A6A33F">
            <w:pPr>
              <w:rPr>
                <w:rFonts w:ascii="宋体" w:hAnsi="宋体" w:cs="Courier New"/>
                <w:snapToGrid w:val="0"/>
                <w:szCs w:val="21"/>
              </w:rPr>
            </w:pPr>
          </w:p>
        </w:tc>
        <w:tc>
          <w:tcPr>
            <w:tcW w:w="1308" w:type="dxa"/>
          </w:tcPr>
          <w:p w14:paraId="7C47727B">
            <w:pPr>
              <w:rPr>
                <w:rFonts w:ascii="宋体" w:hAnsi="宋体" w:cs="Courier New"/>
                <w:snapToGrid w:val="0"/>
                <w:szCs w:val="21"/>
              </w:rPr>
            </w:pPr>
          </w:p>
        </w:tc>
        <w:tc>
          <w:tcPr>
            <w:tcW w:w="1544" w:type="dxa"/>
          </w:tcPr>
          <w:p w14:paraId="49533225">
            <w:pPr>
              <w:rPr>
                <w:rFonts w:ascii="宋体" w:hAnsi="宋体" w:cs="Courier New"/>
                <w:snapToGrid w:val="0"/>
                <w:szCs w:val="21"/>
              </w:rPr>
            </w:pPr>
          </w:p>
        </w:tc>
        <w:tc>
          <w:tcPr>
            <w:tcW w:w="1260" w:type="dxa"/>
          </w:tcPr>
          <w:p w14:paraId="4F1FC70E">
            <w:pPr>
              <w:rPr>
                <w:rFonts w:ascii="宋体" w:hAnsi="宋体" w:cs="Courier New"/>
                <w:snapToGrid w:val="0"/>
                <w:szCs w:val="21"/>
              </w:rPr>
            </w:pPr>
          </w:p>
        </w:tc>
        <w:tc>
          <w:tcPr>
            <w:tcW w:w="1620" w:type="dxa"/>
          </w:tcPr>
          <w:p w14:paraId="00FB2228">
            <w:pPr>
              <w:rPr>
                <w:rFonts w:ascii="宋体" w:hAnsi="宋体" w:cs="Courier New"/>
                <w:snapToGrid w:val="0"/>
                <w:szCs w:val="21"/>
              </w:rPr>
            </w:pPr>
          </w:p>
        </w:tc>
      </w:tr>
      <w:tr w14:paraId="7C0AFFBC">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14:paraId="2B90A52D">
            <w:pPr>
              <w:jc w:val="center"/>
              <w:rPr>
                <w:rFonts w:ascii="宋体" w:hAnsi="宋体" w:cs="Courier New"/>
                <w:snapToGrid w:val="0"/>
                <w:szCs w:val="21"/>
              </w:rPr>
            </w:pPr>
            <w:r>
              <w:rPr>
                <w:rFonts w:hint="eastAsia" w:ascii="宋体" w:hAnsi="宋体" w:cs="Courier New"/>
                <w:snapToGrid w:val="0"/>
                <w:szCs w:val="21"/>
              </w:rPr>
              <w:t>4</w:t>
            </w:r>
          </w:p>
        </w:tc>
        <w:tc>
          <w:tcPr>
            <w:tcW w:w="1491" w:type="dxa"/>
            <w:vMerge w:val="continue"/>
          </w:tcPr>
          <w:p w14:paraId="71B562A7">
            <w:pPr>
              <w:jc w:val="center"/>
              <w:rPr>
                <w:rFonts w:ascii="宋体" w:hAnsi="宋体" w:cs="Courier New"/>
                <w:snapToGrid w:val="0"/>
                <w:szCs w:val="21"/>
              </w:rPr>
            </w:pPr>
          </w:p>
        </w:tc>
        <w:tc>
          <w:tcPr>
            <w:tcW w:w="851" w:type="dxa"/>
          </w:tcPr>
          <w:p w14:paraId="00A382CF">
            <w:pPr>
              <w:rPr>
                <w:rFonts w:ascii="宋体" w:hAnsi="宋体" w:cs="Courier New"/>
                <w:snapToGrid w:val="0"/>
                <w:szCs w:val="21"/>
              </w:rPr>
            </w:pPr>
          </w:p>
        </w:tc>
        <w:tc>
          <w:tcPr>
            <w:tcW w:w="567" w:type="dxa"/>
          </w:tcPr>
          <w:p w14:paraId="4B80F57E">
            <w:pPr>
              <w:rPr>
                <w:rFonts w:ascii="宋体" w:hAnsi="宋体" w:cs="Courier New"/>
                <w:snapToGrid w:val="0"/>
                <w:szCs w:val="21"/>
              </w:rPr>
            </w:pPr>
          </w:p>
        </w:tc>
        <w:tc>
          <w:tcPr>
            <w:tcW w:w="1308" w:type="dxa"/>
          </w:tcPr>
          <w:p w14:paraId="1B8E6E02">
            <w:pPr>
              <w:rPr>
                <w:rFonts w:ascii="宋体" w:hAnsi="宋体" w:cs="Courier New"/>
                <w:snapToGrid w:val="0"/>
                <w:szCs w:val="21"/>
              </w:rPr>
            </w:pPr>
          </w:p>
        </w:tc>
        <w:tc>
          <w:tcPr>
            <w:tcW w:w="1544" w:type="dxa"/>
          </w:tcPr>
          <w:p w14:paraId="173BADF3">
            <w:pPr>
              <w:rPr>
                <w:rFonts w:ascii="宋体" w:hAnsi="宋体" w:cs="Courier New"/>
                <w:snapToGrid w:val="0"/>
                <w:szCs w:val="21"/>
              </w:rPr>
            </w:pPr>
          </w:p>
        </w:tc>
        <w:tc>
          <w:tcPr>
            <w:tcW w:w="1260" w:type="dxa"/>
          </w:tcPr>
          <w:p w14:paraId="748F9BB7">
            <w:pPr>
              <w:rPr>
                <w:rFonts w:ascii="宋体" w:hAnsi="宋体" w:cs="Courier New"/>
                <w:snapToGrid w:val="0"/>
                <w:szCs w:val="21"/>
              </w:rPr>
            </w:pPr>
          </w:p>
        </w:tc>
        <w:tc>
          <w:tcPr>
            <w:tcW w:w="1620" w:type="dxa"/>
          </w:tcPr>
          <w:p w14:paraId="1F29342F">
            <w:pPr>
              <w:rPr>
                <w:rFonts w:ascii="宋体" w:hAnsi="宋体" w:cs="Courier New"/>
                <w:snapToGrid w:val="0"/>
                <w:szCs w:val="21"/>
              </w:rPr>
            </w:pPr>
          </w:p>
        </w:tc>
      </w:tr>
      <w:tr w14:paraId="19D6891E">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14:paraId="5A0D33DB">
            <w:pPr>
              <w:jc w:val="center"/>
              <w:rPr>
                <w:rFonts w:ascii="宋体" w:hAnsi="宋体" w:cs="Courier New"/>
                <w:snapToGrid w:val="0"/>
                <w:szCs w:val="21"/>
              </w:rPr>
            </w:pPr>
            <w:r>
              <w:rPr>
                <w:rFonts w:hint="eastAsia" w:ascii="宋体" w:hAnsi="宋体" w:cs="Courier New"/>
                <w:snapToGrid w:val="0"/>
                <w:szCs w:val="21"/>
              </w:rPr>
              <w:t>5</w:t>
            </w:r>
          </w:p>
        </w:tc>
        <w:tc>
          <w:tcPr>
            <w:tcW w:w="1491" w:type="dxa"/>
            <w:vMerge w:val="continue"/>
          </w:tcPr>
          <w:p w14:paraId="10BDBD2B">
            <w:pPr>
              <w:jc w:val="center"/>
              <w:rPr>
                <w:rFonts w:ascii="宋体" w:hAnsi="宋体" w:cs="Courier New"/>
                <w:snapToGrid w:val="0"/>
                <w:szCs w:val="21"/>
              </w:rPr>
            </w:pPr>
          </w:p>
        </w:tc>
        <w:tc>
          <w:tcPr>
            <w:tcW w:w="851" w:type="dxa"/>
          </w:tcPr>
          <w:p w14:paraId="446725E7">
            <w:pPr>
              <w:rPr>
                <w:rFonts w:ascii="宋体" w:hAnsi="宋体" w:cs="Courier New"/>
                <w:snapToGrid w:val="0"/>
                <w:szCs w:val="21"/>
              </w:rPr>
            </w:pPr>
          </w:p>
        </w:tc>
        <w:tc>
          <w:tcPr>
            <w:tcW w:w="567" w:type="dxa"/>
          </w:tcPr>
          <w:p w14:paraId="64974851">
            <w:pPr>
              <w:rPr>
                <w:rFonts w:ascii="宋体" w:hAnsi="宋体" w:cs="Courier New"/>
                <w:snapToGrid w:val="0"/>
                <w:szCs w:val="21"/>
              </w:rPr>
            </w:pPr>
          </w:p>
        </w:tc>
        <w:tc>
          <w:tcPr>
            <w:tcW w:w="1308" w:type="dxa"/>
          </w:tcPr>
          <w:p w14:paraId="2354139F">
            <w:pPr>
              <w:rPr>
                <w:rFonts w:ascii="宋体" w:hAnsi="宋体" w:cs="Courier New"/>
                <w:snapToGrid w:val="0"/>
                <w:szCs w:val="21"/>
              </w:rPr>
            </w:pPr>
          </w:p>
        </w:tc>
        <w:tc>
          <w:tcPr>
            <w:tcW w:w="1544" w:type="dxa"/>
          </w:tcPr>
          <w:p w14:paraId="64633667">
            <w:pPr>
              <w:rPr>
                <w:rFonts w:ascii="宋体" w:hAnsi="宋体" w:cs="Courier New"/>
                <w:snapToGrid w:val="0"/>
                <w:szCs w:val="21"/>
              </w:rPr>
            </w:pPr>
          </w:p>
        </w:tc>
        <w:tc>
          <w:tcPr>
            <w:tcW w:w="1260" w:type="dxa"/>
          </w:tcPr>
          <w:p w14:paraId="2C8FBC90">
            <w:pPr>
              <w:rPr>
                <w:rFonts w:ascii="宋体" w:hAnsi="宋体" w:cs="Courier New"/>
                <w:snapToGrid w:val="0"/>
                <w:szCs w:val="21"/>
              </w:rPr>
            </w:pPr>
          </w:p>
        </w:tc>
        <w:tc>
          <w:tcPr>
            <w:tcW w:w="1620" w:type="dxa"/>
          </w:tcPr>
          <w:p w14:paraId="15764BBF">
            <w:pPr>
              <w:rPr>
                <w:rFonts w:ascii="宋体" w:hAnsi="宋体" w:cs="Courier New"/>
                <w:snapToGrid w:val="0"/>
                <w:szCs w:val="21"/>
              </w:rPr>
            </w:pPr>
          </w:p>
        </w:tc>
      </w:tr>
      <w:tr w14:paraId="479B8CE4">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14:paraId="57A86F70">
            <w:pPr>
              <w:jc w:val="center"/>
              <w:rPr>
                <w:rFonts w:ascii="宋体" w:hAnsi="宋体" w:cs="Courier New"/>
                <w:snapToGrid w:val="0"/>
                <w:szCs w:val="21"/>
              </w:rPr>
            </w:pPr>
            <w:r>
              <w:rPr>
                <w:rFonts w:hint="eastAsia" w:ascii="宋体" w:hAnsi="宋体" w:cs="Courier New"/>
                <w:snapToGrid w:val="0"/>
                <w:szCs w:val="21"/>
              </w:rPr>
              <w:t>6</w:t>
            </w:r>
          </w:p>
        </w:tc>
        <w:tc>
          <w:tcPr>
            <w:tcW w:w="1491" w:type="dxa"/>
            <w:vMerge w:val="continue"/>
          </w:tcPr>
          <w:p w14:paraId="64978456">
            <w:pPr>
              <w:jc w:val="center"/>
              <w:rPr>
                <w:rFonts w:ascii="宋体" w:hAnsi="宋体" w:cs="Courier New"/>
                <w:snapToGrid w:val="0"/>
                <w:szCs w:val="21"/>
              </w:rPr>
            </w:pPr>
          </w:p>
        </w:tc>
        <w:tc>
          <w:tcPr>
            <w:tcW w:w="851" w:type="dxa"/>
          </w:tcPr>
          <w:p w14:paraId="3CF97FBA">
            <w:pPr>
              <w:rPr>
                <w:rFonts w:ascii="宋体" w:hAnsi="宋体" w:cs="Courier New"/>
                <w:snapToGrid w:val="0"/>
                <w:szCs w:val="21"/>
              </w:rPr>
            </w:pPr>
          </w:p>
        </w:tc>
        <w:tc>
          <w:tcPr>
            <w:tcW w:w="567" w:type="dxa"/>
          </w:tcPr>
          <w:p w14:paraId="11E88D77">
            <w:pPr>
              <w:rPr>
                <w:rFonts w:ascii="宋体" w:hAnsi="宋体" w:cs="Courier New"/>
                <w:snapToGrid w:val="0"/>
                <w:szCs w:val="21"/>
              </w:rPr>
            </w:pPr>
          </w:p>
        </w:tc>
        <w:tc>
          <w:tcPr>
            <w:tcW w:w="1308" w:type="dxa"/>
          </w:tcPr>
          <w:p w14:paraId="6D565E78">
            <w:pPr>
              <w:rPr>
                <w:rFonts w:ascii="宋体" w:hAnsi="宋体" w:cs="Courier New"/>
                <w:snapToGrid w:val="0"/>
                <w:szCs w:val="21"/>
              </w:rPr>
            </w:pPr>
          </w:p>
        </w:tc>
        <w:tc>
          <w:tcPr>
            <w:tcW w:w="1544" w:type="dxa"/>
          </w:tcPr>
          <w:p w14:paraId="7D9E21E6">
            <w:pPr>
              <w:rPr>
                <w:rFonts w:ascii="宋体" w:hAnsi="宋体" w:cs="Courier New"/>
                <w:snapToGrid w:val="0"/>
                <w:szCs w:val="21"/>
              </w:rPr>
            </w:pPr>
          </w:p>
        </w:tc>
        <w:tc>
          <w:tcPr>
            <w:tcW w:w="1260" w:type="dxa"/>
          </w:tcPr>
          <w:p w14:paraId="4C8066C4">
            <w:pPr>
              <w:rPr>
                <w:rFonts w:ascii="宋体" w:hAnsi="宋体" w:cs="Courier New"/>
                <w:snapToGrid w:val="0"/>
                <w:szCs w:val="21"/>
              </w:rPr>
            </w:pPr>
          </w:p>
        </w:tc>
        <w:tc>
          <w:tcPr>
            <w:tcW w:w="1620" w:type="dxa"/>
          </w:tcPr>
          <w:p w14:paraId="47060353">
            <w:pPr>
              <w:rPr>
                <w:rFonts w:ascii="宋体" w:hAnsi="宋体" w:cs="Courier New"/>
                <w:snapToGrid w:val="0"/>
                <w:szCs w:val="21"/>
              </w:rPr>
            </w:pPr>
          </w:p>
        </w:tc>
      </w:tr>
      <w:tr w14:paraId="5B9BFE01">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14:paraId="05F4F021">
            <w:pPr>
              <w:jc w:val="center"/>
              <w:rPr>
                <w:rFonts w:ascii="宋体" w:hAnsi="宋体" w:cs="Courier New"/>
                <w:snapToGrid w:val="0"/>
                <w:szCs w:val="21"/>
              </w:rPr>
            </w:pPr>
            <w:r>
              <w:rPr>
                <w:rFonts w:hint="eastAsia" w:ascii="宋体" w:hAnsi="宋体" w:cs="Courier New"/>
                <w:snapToGrid w:val="0"/>
                <w:szCs w:val="21"/>
              </w:rPr>
              <w:t>7</w:t>
            </w:r>
          </w:p>
        </w:tc>
        <w:tc>
          <w:tcPr>
            <w:tcW w:w="1491" w:type="dxa"/>
            <w:vMerge w:val="continue"/>
          </w:tcPr>
          <w:p w14:paraId="169920AB">
            <w:pPr>
              <w:jc w:val="center"/>
              <w:rPr>
                <w:rFonts w:ascii="宋体" w:hAnsi="宋体" w:cs="Courier New"/>
                <w:snapToGrid w:val="0"/>
                <w:szCs w:val="21"/>
              </w:rPr>
            </w:pPr>
          </w:p>
        </w:tc>
        <w:tc>
          <w:tcPr>
            <w:tcW w:w="851" w:type="dxa"/>
          </w:tcPr>
          <w:p w14:paraId="0BFF0267">
            <w:pPr>
              <w:rPr>
                <w:rFonts w:ascii="宋体" w:hAnsi="宋体" w:cs="Courier New"/>
                <w:snapToGrid w:val="0"/>
                <w:szCs w:val="21"/>
              </w:rPr>
            </w:pPr>
          </w:p>
        </w:tc>
        <w:tc>
          <w:tcPr>
            <w:tcW w:w="567" w:type="dxa"/>
          </w:tcPr>
          <w:p w14:paraId="23A5AF68">
            <w:pPr>
              <w:rPr>
                <w:rFonts w:ascii="宋体" w:hAnsi="宋体" w:cs="Courier New"/>
                <w:snapToGrid w:val="0"/>
                <w:szCs w:val="21"/>
              </w:rPr>
            </w:pPr>
          </w:p>
        </w:tc>
        <w:tc>
          <w:tcPr>
            <w:tcW w:w="1308" w:type="dxa"/>
          </w:tcPr>
          <w:p w14:paraId="53702336">
            <w:pPr>
              <w:rPr>
                <w:rFonts w:ascii="宋体" w:hAnsi="宋体" w:cs="Courier New"/>
                <w:snapToGrid w:val="0"/>
                <w:szCs w:val="21"/>
              </w:rPr>
            </w:pPr>
          </w:p>
        </w:tc>
        <w:tc>
          <w:tcPr>
            <w:tcW w:w="1544" w:type="dxa"/>
          </w:tcPr>
          <w:p w14:paraId="4F6EF744">
            <w:pPr>
              <w:rPr>
                <w:rFonts w:ascii="宋体" w:hAnsi="宋体" w:cs="Courier New"/>
                <w:snapToGrid w:val="0"/>
                <w:szCs w:val="21"/>
              </w:rPr>
            </w:pPr>
          </w:p>
        </w:tc>
        <w:tc>
          <w:tcPr>
            <w:tcW w:w="1260" w:type="dxa"/>
          </w:tcPr>
          <w:p w14:paraId="6317C65D">
            <w:pPr>
              <w:rPr>
                <w:rFonts w:ascii="宋体" w:hAnsi="宋体" w:cs="Courier New"/>
                <w:snapToGrid w:val="0"/>
                <w:szCs w:val="21"/>
              </w:rPr>
            </w:pPr>
          </w:p>
        </w:tc>
        <w:tc>
          <w:tcPr>
            <w:tcW w:w="1620" w:type="dxa"/>
          </w:tcPr>
          <w:p w14:paraId="7FCDD420">
            <w:pPr>
              <w:rPr>
                <w:rFonts w:ascii="宋体" w:hAnsi="宋体" w:cs="Courier New"/>
                <w:snapToGrid w:val="0"/>
                <w:szCs w:val="21"/>
              </w:rPr>
            </w:pPr>
          </w:p>
        </w:tc>
      </w:tr>
      <w:tr w14:paraId="493CDA8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14:paraId="00586CC5">
            <w:pPr>
              <w:jc w:val="center"/>
              <w:rPr>
                <w:rFonts w:ascii="宋体" w:hAnsi="宋体" w:cs="Courier New"/>
                <w:snapToGrid w:val="0"/>
                <w:szCs w:val="21"/>
              </w:rPr>
            </w:pPr>
            <w:r>
              <w:rPr>
                <w:rFonts w:hint="eastAsia" w:ascii="宋体" w:hAnsi="宋体" w:cs="Courier New"/>
                <w:snapToGrid w:val="0"/>
                <w:szCs w:val="21"/>
              </w:rPr>
              <w:t>8</w:t>
            </w:r>
          </w:p>
        </w:tc>
        <w:tc>
          <w:tcPr>
            <w:tcW w:w="1491" w:type="dxa"/>
            <w:vMerge w:val="continue"/>
          </w:tcPr>
          <w:p w14:paraId="4A565B67">
            <w:pPr>
              <w:jc w:val="center"/>
              <w:rPr>
                <w:rFonts w:ascii="宋体" w:hAnsi="宋体" w:cs="Courier New"/>
                <w:snapToGrid w:val="0"/>
                <w:szCs w:val="21"/>
              </w:rPr>
            </w:pPr>
          </w:p>
        </w:tc>
        <w:tc>
          <w:tcPr>
            <w:tcW w:w="851" w:type="dxa"/>
          </w:tcPr>
          <w:p w14:paraId="6DFC6266">
            <w:pPr>
              <w:rPr>
                <w:rFonts w:ascii="宋体" w:hAnsi="宋体" w:cs="Courier New"/>
                <w:snapToGrid w:val="0"/>
                <w:szCs w:val="21"/>
              </w:rPr>
            </w:pPr>
          </w:p>
        </w:tc>
        <w:tc>
          <w:tcPr>
            <w:tcW w:w="567" w:type="dxa"/>
          </w:tcPr>
          <w:p w14:paraId="711EB5D1">
            <w:pPr>
              <w:rPr>
                <w:rFonts w:ascii="宋体" w:hAnsi="宋体" w:cs="Courier New"/>
                <w:snapToGrid w:val="0"/>
                <w:szCs w:val="21"/>
              </w:rPr>
            </w:pPr>
          </w:p>
        </w:tc>
        <w:tc>
          <w:tcPr>
            <w:tcW w:w="1308" w:type="dxa"/>
          </w:tcPr>
          <w:p w14:paraId="762874F9">
            <w:pPr>
              <w:rPr>
                <w:rFonts w:ascii="宋体" w:hAnsi="宋体" w:cs="Courier New"/>
                <w:snapToGrid w:val="0"/>
                <w:szCs w:val="21"/>
              </w:rPr>
            </w:pPr>
          </w:p>
        </w:tc>
        <w:tc>
          <w:tcPr>
            <w:tcW w:w="1544" w:type="dxa"/>
          </w:tcPr>
          <w:p w14:paraId="7B0CA922">
            <w:pPr>
              <w:rPr>
                <w:rFonts w:ascii="宋体" w:hAnsi="宋体" w:cs="Courier New"/>
                <w:snapToGrid w:val="0"/>
                <w:szCs w:val="21"/>
              </w:rPr>
            </w:pPr>
          </w:p>
        </w:tc>
        <w:tc>
          <w:tcPr>
            <w:tcW w:w="1260" w:type="dxa"/>
          </w:tcPr>
          <w:p w14:paraId="517DE84D">
            <w:pPr>
              <w:rPr>
                <w:rFonts w:ascii="宋体" w:hAnsi="宋体" w:cs="Courier New"/>
                <w:snapToGrid w:val="0"/>
                <w:szCs w:val="21"/>
              </w:rPr>
            </w:pPr>
          </w:p>
        </w:tc>
        <w:tc>
          <w:tcPr>
            <w:tcW w:w="1620" w:type="dxa"/>
          </w:tcPr>
          <w:p w14:paraId="47BDD720">
            <w:pPr>
              <w:rPr>
                <w:rFonts w:ascii="宋体" w:hAnsi="宋体" w:cs="Courier New"/>
                <w:snapToGrid w:val="0"/>
                <w:szCs w:val="21"/>
              </w:rPr>
            </w:pPr>
          </w:p>
        </w:tc>
      </w:tr>
      <w:tr w14:paraId="6FD6AFF8">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14:paraId="3151432D">
            <w:pPr>
              <w:jc w:val="center"/>
              <w:rPr>
                <w:rFonts w:ascii="宋体" w:hAnsi="宋体" w:cs="Courier New"/>
                <w:snapToGrid w:val="0"/>
                <w:szCs w:val="21"/>
              </w:rPr>
            </w:pPr>
            <w:r>
              <w:rPr>
                <w:rFonts w:hint="eastAsia" w:ascii="宋体" w:hAnsi="宋体" w:cs="Courier New"/>
                <w:snapToGrid w:val="0"/>
                <w:szCs w:val="21"/>
              </w:rPr>
              <w:t>9</w:t>
            </w:r>
          </w:p>
        </w:tc>
        <w:tc>
          <w:tcPr>
            <w:tcW w:w="1491" w:type="dxa"/>
            <w:vMerge w:val="continue"/>
          </w:tcPr>
          <w:p w14:paraId="4C918737">
            <w:pPr>
              <w:jc w:val="center"/>
              <w:rPr>
                <w:rFonts w:ascii="宋体" w:hAnsi="宋体" w:cs="Courier New"/>
                <w:snapToGrid w:val="0"/>
                <w:szCs w:val="21"/>
              </w:rPr>
            </w:pPr>
          </w:p>
        </w:tc>
        <w:tc>
          <w:tcPr>
            <w:tcW w:w="851" w:type="dxa"/>
          </w:tcPr>
          <w:p w14:paraId="19794890">
            <w:pPr>
              <w:rPr>
                <w:rFonts w:ascii="宋体" w:hAnsi="宋体" w:cs="Courier New"/>
                <w:snapToGrid w:val="0"/>
                <w:szCs w:val="21"/>
              </w:rPr>
            </w:pPr>
          </w:p>
        </w:tc>
        <w:tc>
          <w:tcPr>
            <w:tcW w:w="567" w:type="dxa"/>
          </w:tcPr>
          <w:p w14:paraId="2F2BDCBC">
            <w:pPr>
              <w:rPr>
                <w:rFonts w:ascii="宋体" w:hAnsi="宋体" w:cs="Courier New"/>
                <w:snapToGrid w:val="0"/>
                <w:szCs w:val="21"/>
              </w:rPr>
            </w:pPr>
          </w:p>
        </w:tc>
        <w:tc>
          <w:tcPr>
            <w:tcW w:w="1308" w:type="dxa"/>
          </w:tcPr>
          <w:p w14:paraId="21797C1C">
            <w:pPr>
              <w:rPr>
                <w:rFonts w:ascii="宋体" w:hAnsi="宋体" w:cs="Courier New"/>
                <w:snapToGrid w:val="0"/>
                <w:szCs w:val="21"/>
              </w:rPr>
            </w:pPr>
          </w:p>
        </w:tc>
        <w:tc>
          <w:tcPr>
            <w:tcW w:w="1544" w:type="dxa"/>
          </w:tcPr>
          <w:p w14:paraId="30532F74">
            <w:pPr>
              <w:rPr>
                <w:rFonts w:ascii="宋体" w:hAnsi="宋体" w:cs="Courier New"/>
                <w:snapToGrid w:val="0"/>
                <w:szCs w:val="21"/>
              </w:rPr>
            </w:pPr>
          </w:p>
        </w:tc>
        <w:tc>
          <w:tcPr>
            <w:tcW w:w="1260" w:type="dxa"/>
          </w:tcPr>
          <w:p w14:paraId="30D8153B">
            <w:pPr>
              <w:rPr>
                <w:rFonts w:ascii="宋体" w:hAnsi="宋体" w:cs="Courier New"/>
                <w:snapToGrid w:val="0"/>
                <w:szCs w:val="21"/>
              </w:rPr>
            </w:pPr>
          </w:p>
        </w:tc>
        <w:tc>
          <w:tcPr>
            <w:tcW w:w="1620" w:type="dxa"/>
          </w:tcPr>
          <w:p w14:paraId="255CFBA7">
            <w:pPr>
              <w:rPr>
                <w:rFonts w:ascii="宋体" w:hAnsi="宋体" w:cs="Courier New"/>
                <w:snapToGrid w:val="0"/>
                <w:szCs w:val="21"/>
              </w:rPr>
            </w:pPr>
          </w:p>
        </w:tc>
      </w:tr>
    </w:tbl>
    <w:p w14:paraId="5F6484B1">
      <w:pPr>
        <w:autoSpaceDE w:val="0"/>
        <w:autoSpaceDN w:val="0"/>
        <w:adjustRightInd w:val="0"/>
        <w:spacing w:line="360" w:lineRule="auto"/>
        <w:rPr>
          <w:rFonts w:ascii="宋体" w:hAnsi="宋体"/>
          <w:szCs w:val="21"/>
          <w:lang w:val="zh-CN"/>
        </w:rPr>
      </w:pPr>
      <w:r>
        <w:rPr>
          <w:rFonts w:hint="eastAsia" w:ascii="宋体" w:hAnsi="宋体"/>
          <w:szCs w:val="21"/>
          <w:lang w:val="zh-CN"/>
        </w:rPr>
        <w:t xml:space="preserve">注： </w:t>
      </w:r>
    </w:p>
    <w:p w14:paraId="60E3BB0F">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1、填写时，如本表格不适合投标单位的实际情况，可根据本表格格式自行划表填写。</w:t>
      </w:r>
    </w:p>
    <w:p w14:paraId="7CDA8E43">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2、有关人员简历及资格证书及其它证明材料（复印件或扫描件加盖公章）需附在本表之后。</w:t>
      </w:r>
    </w:p>
    <w:p w14:paraId="71672F25">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3、本表格所要求填写的人员是指投标单位将安排在此项目的具体人员。</w:t>
      </w:r>
    </w:p>
    <w:p w14:paraId="4800A08B">
      <w:pPr>
        <w:spacing w:line="360" w:lineRule="auto"/>
        <w:rPr>
          <w:rFonts w:cs="Courier New"/>
          <w:snapToGrid w:val="0"/>
          <w:szCs w:val="18"/>
        </w:rPr>
      </w:pPr>
    </w:p>
    <w:p w14:paraId="4F8DF1E0">
      <w:pPr>
        <w:spacing w:line="360" w:lineRule="auto"/>
        <w:rPr>
          <w:rFonts w:cs="Courier New"/>
          <w:snapToGrid w:val="0"/>
          <w:szCs w:val="18"/>
        </w:rPr>
      </w:pPr>
    </w:p>
    <w:p w14:paraId="638D860B">
      <w:pPr>
        <w:adjustRightInd w:val="0"/>
        <w:snapToGrid w:val="0"/>
        <w:spacing w:line="300" w:lineRule="auto"/>
        <w:rPr>
          <w:snapToGrid w:val="0"/>
          <w:kern w:val="0"/>
        </w:rPr>
      </w:pPr>
      <w:r>
        <w:rPr>
          <w:rFonts w:hint="eastAsia"/>
          <w:snapToGrid w:val="0"/>
          <w:kern w:val="0"/>
        </w:rPr>
        <w:t>投标单位：（盖章）</w:t>
      </w:r>
    </w:p>
    <w:p w14:paraId="40F2EEB9">
      <w:pPr>
        <w:adjustRightInd w:val="0"/>
        <w:snapToGrid w:val="0"/>
        <w:spacing w:line="300" w:lineRule="auto"/>
        <w:rPr>
          <w:snapToGrid w:val="0"/>
          <w:kern w:val="0"/>
        </w:rPr>
      </w:pPr>
    </w:p>
    <w:p w14:paraId="6F600955">
      <w:pPr>
        <w:adjustRightInd w:val="0"/>
        <w:snapToGrid w:val="0"/>
        <w:spacing w:line="300" w:lineRule="auto"/>
        <w:rPr>
          <w:snapToGrid w:val="0"/>
          <w:kern w:val="0"/>
        </w:rPr>
      </w:pPr>
    </w:p>
    <w:p w14:paraId="405787F2">
      <w:pPr>
        <w:adjustRightInd w:val="0"/>
        <w:snapToGrid w:val="0"/>
        <w:spacing w:line="300" w:lineRule="auto"/>
        <w:rPr>
          <w:snapToGrid w:val="0"/>
          <w:kern w:val="0"/>
        </w:rPr>
      </w:pPr>
    </w:p>
    <w:p w14:paraId="39E40955">
      <w:pPr>
        <w:adjustRightInd w:val="0"/>
        <w:snapToGrid w:val="0"/>
        <w:spacing w:line="300" w:lineRule="auto"/>
        <w:rPr>
          <w:snapToGrid w:val="0"/>
          <w:kern w:val="0"/>
        </w:rPr>
      </w:pPr>
      <w:r>
        <w:rPr>
          <w:rFonts w:hint="eastAsia"/>
          <w:snapToGrid w:val="0"/>
          <w:kern w:val="0"/>
        </w:rPr>
        <w:t>法定代表人或其授权代表：（签字）</w:t>
      </w:r>
    </w:p>
    <w:p w14:paraId="290EC2A5">
      <w:pPr>
        <w:adjustRightInd w:val="0"/>
        <w:snapToGrid w:val="0"/>
        <w:spacing w:line="300" w:lineRule="auto"/>
        <w:rPr>
          <w:snapToGrid w:val="0"/>
          <w:kern w:val="0"/>
        </w:rPr>
      </w:pPr>
    </w:p>
    <w:p w14:paraId="43E60FB0">
      <w:pPr>
        <w:adjustRightInd w:val="0"/>
        <w:snapToGrid w:val="0"/>
        <w:spacing w:line="300" w:lineRule="auto"/>
        <w:rPr>
          <w:snapToGrid w:val="0"/>
          <w:kern w:val="0"/>
        </w:rPr>
      </w:pPr>
    </w:p>
    <w:p w14:paraId="6FEDB0CD">
      <w:pPr>
        <w:wordWrap w:val="0"/>
        <w:adjustRightInd w:val="0"/>
        <w:snapToGrid w:val="0"/>
        <w:spacing w:line="300" w:lineRule="auto"/>
        <w:jc w:val="right"/>
        <w:rPr>
          <w:snapToGrid w:val="0"/>
          <w:kern w:val="0"/>
        </w:rPr>
      </w:pPr>
      <w:r>
        <w:rPr>
          <w:rFonts w:hint="eastAsia"/>
          <w:snapToGrid w:val="0"/>
          <w:kern w:val="0"/>
        </w:rPr>
        <w:t>年    月   日</w:t>
      </w:r>
    </w:p>
    <w:p w14:paraId="3AE99465">
      <w:pPr>
        <w:adjustRightInd w:val="0"/>
        <w:snapToGrid w:val="0"/>
        <w:spacing w:line="300" w:lineRule="auto"/>
        <w:jc w:val="right"/>
        <w:rPr>
          <w:snapToGrid w:val="0"/>
          <w:kern w:val="0"/>
        </w:rPr>
      </w:pPr>
    </w:p>
    <w:p w14:paraId="25639101">
      <w:pPr>
        <w:adjustRightInd w:val="0"/>
        <w:snapToGrid w:val="0"/>
        <w:spacing w:line="300" w:lineRule="auto"/>
        <w:jc w:val="right"/>
        <w:rPr>
          <w:snapToGrid w:val="0"/>
          <w:kern w:val="0"/>
        </w:rPr>
      </w:pPr>
    </w:p>
    <w:p w14:paraId="4B06BB66">
      <w:pPr>
        <w:adjustRightInd w:val="0"/>
        <w:snapToGrid w:val="0"/>
        <w:spacing w:line="300" w:lineRule="auto"/>
        <w:jc w:val="right"/>
        <w:rPr>
          <w:snapToGrid w:val="0"/>
          <w:kern w:val="0"/>
        </w:rPr>
      </w:pPr>
    </w:p>
    <w:p w14:paraId="084D3551">
      <w:pPr>
        <w:adjustRightInd w:val="0"/>
        <w:snapToGrid w:val="0"/>
        <w:spacing w:line="300" w:lineRule="auto"/>
        <w:jc w:val="right"/>
        <w:rPr>
          <w:snapToGrid w:val="0"/>
          <w:kern w:val="0"/>
        </w:rPr>
      </w:pPr>
    </w:p>
    <w:p w14:paraId="4A7B26F0">
      <w:pPr>
        <w:adjustRightInd w:val="0"/>
        <w:snapToGrid w:val="0"/>
        <w:spacing w:line="300" w:lineRule="auto"/>
        <w:jc w:val="right"/>
        <w:rPr>
          <w:snapToGrid w:val="0"/>
          <w:kern w:val="0"/>
        </w:rPr>
      </w:pPr>
    </w:p>
    <w:p w14:paraId="71A67ADF">
      <w:pPr>
        <w:pStyle w:val="28"/>
        <w:adjustRightInd w:val="0"/>
        <w:snapToGrid w:val="0"/>
        <w:spacing w:line="312" w:lineRule="auto"/>
        <w:jc w:val="center"/>
        <w:rPr>
          <w:rFonts w:ascii="Times New Roman" w:hAnsi="Times New Roman"/>
          <w:b/>
          <w:sz w:val="28"/>
        </w:rPr>
      </w:pPr>
    </w:p>
    <w:p w14:paraId="7AAB4690"/>
    <w:p w14:paraId="734CF2F3"/>
    <w:p w14:paraId="39CE99DD">
      <w:pPr>
        <w:widowControl/>
        <w:jc w:val="left"/>
      </w:pPr>
      <w:r>
        <w:br w:type="page"/>
      </w:r>
    </w:p>
    <w:p w14:paraId="5A3254F5"/>
    <w:p w14:paraId="042BC27D">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8</w:t>
      </w:r>
      <w:r>
        <w:rPr>
          <w:rFonts w:asciiTheme="minorEastAsia" w:hAnsiTheme="minorEastAsia" w:eastAsiaTheme="minorEastAsia"/>
          <w:sz w:val="24"/>
        </w:rPr>
        <w:t xml:space="preserve">  </w:t>
      </w:r>
      <w:r>
        <w:rPr>
          <w:rFonts w:hint="eastAsia" w:asciiTheme="minorEastAsia" w:hAnsiTheme="minorEastAsia" w:eastAsiaTheme="minorEastAsia"/>
          <w:sz w:val="24"/>
        </w:rPr>
        <w:t>投标人情况介绍</w:t>
      </w:r>
    </w:p>
    <w:p w14:paraId="228F3A63"/>
    <w:p w14:paraId="66A4464C">
      <w:pPr>
        <w:adjustRightInd w:val="0"/>
        <w:snapToGrid w:val="0"/>
        <w:spacing w:line="360" w:lineRule="auto"/>
        <w:rPr>
          <w:rFonts w:ascii="宋体" w:hAnsi="宋体"/>
          <w:bCs/>
          <w:snapToGrid w:val="0"/>
          <w:kern w:val="0"/>
        </w:rPr>
      </w:pPr>
      <w:r>
        <w:rPr>
          <w:rFonts w:ascii="宋体" w:hAnsi="宋体"/>
          <w:bCs/>
          <w:snapToGrid w:val="0"/>
          <w:kern w:val="0"/>
        </w:rPr>
        <w:t>1、</w:t>
      </w:r>
      <w:r>
        <w:rPr>
          <w:rFonts w:hint="eastAsia" w:ascii="宋体" w:hAnsi="宋体"/>
          <w:bCs/>
          <w:snapToGrid w:val="0"/>
          <w:kern w:val="0"/>
        </w:rPr>
        <w:t>投标人基本情况简介，格式自拟，包括但不限于经营范围、依法纳税记录等；</w:t>
      </w:r>
    </w:p>
    <w:p w14:paraId="143D1D34">
      <w:pPr>
        <w:adjustRightInd w:val="0"/>
        <w:snapToGrid w:val="0"/>
        <w:spacing w:line="360" w:lineRule="auto"/>
        <w:rPr>
          <w:rFonts w:ascii="宋体" w:hAnsi="宋体"/>
          <w:bCs/>
          <w:snapToGrid w:val="0"/>
          <w:kern w:val="0"/>
          <w:szCs w:val="21"/>
        </w:rPr>
      </w:pPr>
    </w:p>
    <w:p w14:paraId="02A2078F">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2、</w:t>
      </w:r>
      <w:r>
        <w:rPr>
          <w:rFonts w:hint="eastAsia" w:ascii="宋体" w:hAnsi="宋体"/>
          <w:bCs/>
          <w:snapToGrid w:val="0"/>
          <w:kern w:val="0"/>
        </w:rPr>
        <w:t>投标人认为有必要提供的其他文件。</w:t>
      </w:r>
    </w:p>
    <w:p w14:paraId="2B240556">
      <w:pPr>
        <w:adjustRightInd w:val="0"/>
        <w:snapToGrid w:val="0"/>
        <w:spacing w:line="360" w:lineRule="auto"/>
        <w:rPr>
          <w:bCs/>
          <w:snapToGrid w:val="0"/>
          <w:kern w:val="0"/>
        </w:rPr>
      </w:pPr>
    </w:p>
    <w:p w14:paraId="08B3BFB2">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14:paraId="40271BA6">
      <w:pPr>
        <w:pStyle w:val="4"/>
        <w:spacing w:before="0"/>
        <w:rPr>
          <w:rFonts w:ascii="宋体" w:hAnsi="宋体"/>
          <w:sz w:val="28"/>
        </w:rPr>
      </w:pPr>
    </w:p>
    <w:p w14:paraId="605BC4F6"/>
    <w:p w14:paraId="168A6BFD"/>
    <w:p w14:paraId="4B7AC0AC"/>
    <w:p w14:paraId="77826817"/>
    <w:p w14:paraId="4D35DA84"/>
    <w:p w14:paraId="35051840"/>
    <w:p w14:paraId="4491E114"/>
    <w:p w14:paraId="00687AA6"/>
    <w:p w14:paraId="16296EE6"/>
    <w:p w14:paraId="719584C4"/>
    <w:p w14:paraId="25B2A007"/>
    <w:p w14:paraId="2FEFCF41"/>
    <w:p w14:paraId="0660CCAA"/>
    <w:p w14:paraId="53BDDD59"/>
    <w:p w14:paraId="686A5165"/>
    <w:p w14:paraId="6A53981F"/>
    <w:p w14:paraId="36C2AAB8"/>
    <w:p w14:paraId="27AE0649"/>
    <w:p w14:paraId="00B2F65C"/>
    <w:p w14:paraId="71C52C31"/>
    <w:p w14:paraId="206FF626"/>
    <w:p w14:paraId="4FCA1A99"/>
    <w:p w14:paraId="6B4D61FA"/>
    <w:p w14:paraId="086592D9"/>
    <w:p w14:paraId="0A9760D4"/>
    <w:p w14:paraId="6B5E88DA"/>
    <w:p w14:paraId="07815835"/>
    <w:p w14:paraId="6ACCB080"/>
    <w:p w14:paraId="4E633F93"/>
    <w:p w14:paraId="2137E0D2"/>
    <w:p w14:paraId="09677650"/>
    <w:p w14:paraId="55FF6224">
      <w:pPr>
        <w:widowControl/>
        <w:jc w:val="left"/>
      </w:pPr>
      <w:r>
        <w:br w:type="page"/>
      </w:r>
    </w:p>
    <w:p w14:paraId="31902E4B"/>
    <w:p w14:paraId="34DB68B1">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71" w:name="_Toc44690436"/>
      <w:bookmarkStart w:id="72" w:name="_Toc44690709"/>
      <w:bookmarkStart w:id="73" w:name="_Toc44691400"/>
      <w:bookmarkStart w:id="74" w:name="_Toc44691168"/>
      <w:r>
        <w:rPr>
          <w:rFonts w:hint="eastAsia" w:asciiTheme="minorEastAsia" w:hAnsiTheme="minorEastAsia" w:eastAsiaTheme="minorEastAsia"/>
          <w:sz w:val="24"/>
        </w:rPr>
        <w:t>格式9  偏离表</w:t>
      </w:r>
      <w:bookmarkEnd w:id="71"/>
      <w:bookmarkEnd w:id="72"/>
      <w:bookmarkEnd w:id="73"/>
      <w:bookmarkEnd w:id="74"/>
    </w:p>
    <w:p w14:paraId="7891DBA0">
      <w:pPr>
        <w:adjustRightInd w:val="0"/>
        <w:snapToGrid w:val="0"/>
        <w:spacing w:line="360" w:lineRule="auto"/>
        <w:rPr>
          <w:rFonts w:ascii="宋体" w:hAnsi="宋体"/>
        </w:rPr>
      </w:pPr>
    </w:p>
    <w:p w14:paraId="7A05BBB8">
      <w:pPr>
        <w:snapToGrid w:val="0"/>
        <w:spacing w:line="360" w:lineRule="auto"/>
        <w:jc w:val="center"/>
        <w:rPr>
          <w:b/>
          <w:sz w:val="24"/>
        </w:rPr>
      </w:pPr>
      <w:r>
        <w:rPr>
          <w:rFonts w:hint="eastAsia"/>
          <w:b/>
          <w:sz w:val="24"/>
        </w:rPr>
        <w:t>招标项目需求偏离表</w:t>
      </w:r>
    </w:p>
    <w:tbl>
      <w:tblPr>
        <w:tblStyle w:val="50"/>
        <w:tblW w:w="10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010"/>
        <w:gridCol w:w="3544"/>
        <w:gridCol w:w="1984"/>
        <w:gridCol w:w="1974"/>
      </w:tblGrid>
      <w:tr w14:paraId="43E93F0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75" w:type="dxa"/>
            <w:vAlign w:val="center"/>
          </w:tcPr>
          <w:p w14:paraId="3D1BC0C4">
            <w:pPr>
              <w:rPr>
                <w:rFonts w:ascii="宋体" w:hAnsi="宋体"/>
                <w:szCs w:val="21"/>
              </w:rPr>
            </w:pPr>
            <w:r>
              <w:rPr>
                <w:rFonts w:hint="eastAsia" w:ascii="宋体" w:hAnsi="宋体"/>
                <w:szCs w:val="21"/>
              </w:rPr>
              <w:t>序号</w:t>
            </w:r>
          </w:p>
        </w:tc>
        <w:tc>
          <w:tcPr>
            <w:tcW w:w="2010" w:type="dxa"/>
            <w:vAlign w:val="center"/>
          </w:tcPr>
          <w:p w14:paraId="10CAD367">
            <w:pPr>
              <w:ind w:left="136" w:leftChars="65"/>
              <w:jc w:val="center"/>
              <w:rPr>
                <w:rFonts w:ascii="宋体" w:hAnsi="宋体"/>
                <w:szCs w:val="21"/>
              </w:rPr>
            </w:pPr>
            <w:r>
              <w:rPr>
                <w:rFonts w:hint="eastAsia" w:ascii="宋体" w:hAnsi="宋体"/>
                <w:szCs w:val="21"/>
              </w:rPr>
              <w:t>招标项目需求</w:t>
            </w:r>
          </w:p>
        </w:tc>
        <w:tc>
          <w:tcPr>
            <w:tcW w:w="3544" w:type="dxa"/>
            <w:vAlign w:val="center"/>
          </w:tcPr>
          <w:p w14:paraId="255A06CD">
            <w:pPr>
              <w:ind w:left="136" w:leftChars="65"/>
              <w:jc w:val="center"/>
              <w:rPr>
                <w:rFonts w:ascii="宋体" w:hAnsi="宋体"/>
                <w:szCs w:val="21"/>
              </w:rPr>
            </w:pPr>
            <w:r>
              <w:rPr>
                <w:rFonts w:hint="eastAsia" w:ascii="宋体" w:hAnsi="宋体"/>
                <w:szCs w:val="21"/>
              </w:rPr>
              <w:t>投标文件响应</w:t>
            </w:r>
          </w:p>
        </w:tc>
        <w:tc>
          <w:tcPr>
            <w:tcW w:w="1984" w:type="dxa"/>
            <w:vAlign w:val="center"/>
          </w:tcPr>
          <w:p w14:paraId="1C604C9A">
            <w:pPr>
              <w:ind w:left="136" w:leftChars="65"/>
              <w:jc w:val="center"/>
              <w:rPr>
                <w:rFonts w:ascii="宋体" w:hAnsi="宋体"/>
                <w:szCs w:val="21"/>
              </w:rPr>
            </w:pPr>
            <w:r>
              <w:rPr>
                <w:rFonts w:hint="eastAsia" w:ascii="宋体" w:hAnsi="宋体"/>
                <w:szCs w:val="21"/>
              </w:rPr>
              <w:t>偏离情况</w:t>
            </w:r>
          </w:p>
        </w:tc>
        <w:tc>
          <w:tcPr>
            <w:tcW w:w="1974" w:type="dxa"/>
            <w:vAlign w:val="center"/>
          </w:tcPr>
          <w:p w14:paraId="16BAC883">
            <w:pPr>
              <w:ind w:left="136" w:leftChars="65"/>
              <w:jc w:val="center"/>
              <w:rPr>
                <w:rFonts w:ascii="宋体" w:hAnsi="宋体"/>
                <w:szCs w:val="21"/>
              </w:rPr>
            </w:pPr>
            <w:r>
              <w:rPr>
                <w:rFonts w:hint="eastAsia" w:ascii="宋体" w:hAnsi="宋体"/>
                <w:szCs w:val="21"/>
              </w:rPr>
              <w:t>说明</w:t>
            </w:r>
          </w:p>
        </w:tc>
      </w:tr>
      <w:tr w14:paraId="6D414AE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187" w:type="dxa"/>
            <w:gridSpan w:val="5"/>
          </w:tcPr>
          <w:p w14:paraId="36E21194">
            <w:pPr>
              <w:ind w:left="137" w:leftChars="1" w:hanging="135" w:hangingChars="64"/>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带★</w:t>
            </w:r>
            <w:r>
              <w:rPr>
                <w:rFonts w:hint="eastAsia" w:ascii="宋体" w:hAnsi="宋体" w:cs="Arial"/>
                <w:b/>
                <w:color w:val="FF0000"/>
              </w:rPr>
              <w:t>号</w:t>
            </w:r>
            <w:r>
              <w:rPr>
                <w:rFonts w:hint="eastAsia" w:ascii="宋体" w:hAnsi="宋体" w:cs="Arial"/>
                <w:b/>
              </w:rPr>
              <w:t>条款（如有）</w:t>
            </w:r>
          </w:p>
        </w:tc>
      </w:tr>
      <w:tr w14:paraId="3471793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675" w:type="dxa"/>
            <w:vAlign w:val="center"/>
          </w:tcPr>
          <w:p w14:paraId="14E0747E">
            <w:pPr>
              <w:ind w:left="136" w:leftChars="65"/>
              <w:jc w:val="center"/>
              <w:rPr>
                <w:rFonts w:ascii="宋体" w:hAnsi="宋体"/>
                <w:szCs w:val="21"/>
              </w:rPr>
            </w:pPr>
            <w:r>
              <w:rPr>
                <w:rFonts w:hint="eastAsia" w:ascii="宋体" w:hAnsi="宋体"/>
                <w:szCs w:val="21"/>
              </w:rPr>
              <w:t>1</w:t>
            </w:r>
          </w:p>
        </w:tc>
        <w:tc>
          <w:tcPr>
            <w:tcW w:w="2010" w:type="dxa"/>
            <w:vAlign w:val="center"/>
          </w:tcPr>
          <w:p w14:paraId="76EC2B6C">
            <w:pPr>
              <w:rPr>
                <w:rFonts w:ascii="宋体" w:hAnsi="宋体"/>
                <w:b/>
                <w:color w:val="FF0000"/>
              </w:rPr>
            </w:pPr>
            <w:r>
              <w:rPr>
                <w:rFonts w:hint="eastAsia" w:ascii="宋体" w:hAnsi="宋体"/>
                <w:b/>
                <w:color w:val="FF0000"/>
              </w:rPr>
              <w:t>招标文件第二章《项目需求》中所有带</w:t>
            </w:r>
            <w:r>
              <w:rPr>
                <w:rFonts w:hint="eastAsia" w:ascii="宋体" w:hAnsi="宋体"/>
                <w:b/>
                <w:color w:val="FF0000"/>
                <w:kern w:val="0"/>
                <w:szCs w:val="21"/>
              </w:rPr>
              <w:t>★号条款</w:t>
            </w:r>
            <w:r>
              <w:rPr>
                <w:rFonts w:hint="eastAsia" w:ascii="宋体" w:hAnsi="宋体"/>
                <w:b/>
                <w:color w:val="FF0000"/>
              </w:rPr>
              <w:t>的要求</w:t>
            </w:r>
          </w:p>
        </w:tc>
        <w:tc>
          <w:tcPr>
            <w:tcW w:w="3544" w:type="dxa"/>
            <w:vAlign w:val="center"/>
          </w:tcPr>
          <w:p w14:paraId="71F2C158">
            <w:pPr>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此项投标人必须完全响应满足，请投标人于“投标文件响应”栏中填写</w:t>
            </w:r>
            <w:r>
              <w:rPr>
                <w:rFonts w:hint="eastAsia" w:ascii="宋体" w:hAnsi="宋体" w:cs="Arial"/>
                <w:b/>
                <w:color w:val="0000FF"/>
                <w:sz w:val="20"/>
                <w:szCs w:val="18"/>
              </w:rPr>
              <w:t>“完全响应满足招标文件第二章《项目需求》中所有带★号条款的要求”</w:t>
            </w:r>
            <w:r>
              <w:rPr>
                <w:rFonts w:hint="eastAsia" w:ascii="宋体" w:hAnsi="宋体" w:cs="Arial"/>
                <w:color w:val="0000FF"/>
                <w:sz w:val="20"/>
                <w:szCs w:val="18"/>
              </w:rPr>
              <w:t>。无需另行编制填写内容。】</w:t>
            </w:r>
          </w:p>
        </w:tc>
        <w:tc>
          <w:tcPr>
            <w:tcW w:w="1984" w:type="dxa"/>
            <w:vAlign w:val="center"/>
          </w:tcPr>
          <w:p w14:paraId="61004E23">
            <w:pPr>
              <w:ind w:left="136" w:leftChars="65"/>
              <w:jc w:val="center"/>
              <w:rPr>
                <w:rFonts w:ascii="宋体" w:hAnsi="宋体"/>
                <w:szCs w:val="21"/>
              </w:rPr>
            </w:pPr>
          </w:p>
        </w:tc>
        <w:tc>
          <w:tcPr>
            <w:tcW w:w="1974" w:type="dxa"/>
            <w:vAlign w:val="center"/>
          </w:tcPr>
          <w:p w14:paraId="2DABD4C5">
            <w:pPr>
              <w:ind w:left="2"/>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14:paraId="68B6721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187" w:type="dxa"/>
            <w:gridSpan w:val="5"/>
            <w:vAlign w:val="center"/>
          </w:tcPr>
          <w:p w14:paraId="1EE62A8A">
            <w:pPr>
              <w:ind w:left="136" w:leftChars="65"/>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未带★</w:t>
            </w:r>
            <w:r>
              <w:rPr>
                <w:rFonts w:hint="eastAsia" w:ascii="宋体" w:hAnsi="宋体" w:cs="Arial"/>
                <w:b/>
                <w:color w:val="FF0000"/>
              </w:rPr>
              <w:t>号</w:t>
            </w:r>
            <w:r>
              <w:rPr>
                <w:rFonts w:hint="eastAsia" w:ascii="宋体" w:hAnsi="宋体" w:cs="Arial"/>
                <w:b/>
              </w:rPr>
              <w:t>条款</w:t>
            </w:r>
          </w:p>
        </w:tc>
      </w:tr>
      <w:tr w14:paraId="142447D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675" w:type="dxa"/>
            <w:vAlign w:val="center"/>
          </w:tcPr>
          <w:p w14:paraId="1B054021">
            <w:pPr>
              <w:jc w:val="center"/>
              <w:rPr>
                <w:rFonts w:ascii="宋体" w:hAnsi="宋体"/>
                <w:szCs w:val="21"/>
              </w:rPr>
            </w:pPr>
            <w:r>
              <w:rPr>
                <w:rFonts w:hint="eastAsia" w:ascii="宋体" w:hAnsi="宋体"/>
              </w:rPr>
              <w:t>1</w:t>
            </w:r>
          </w:p>
        </w:tc>
        <w:tc>
          <w:tcPr>
            <w:tcW w:w="2010" w:type="dxa"/>
            <w:vAlign w:val="center"/>
          </w:tcPr>
          <w:p w14:paraId="6CC45B26">
            <w:pPr>
              <w:rPr>
                <w:rFonts w:ascii="宋体" w:hAnsi="宋体"/>
                <w:color w:val="FF0000"/>
                <w:szCs w:val="21"/>
              </w:rPr>
            </w:pPr>
            <w:r>
              <w:rPr>
                <w:rFonts w:hint="eastAsia" w:ascii="宋体" w:hAnsi="宋体"/>
                <w:b/>
                <w:color w:val="FF0000"/>
                <w:szCs w:val="21"/>
              </w:rPr>
              <w:t>招标文件第二章《项目需求》中未带★号的所有条款要求</w:t>
            </w:r>
          </w:p>
        </w:tc>
        <w:tc>
          <w:tcPr>
            <w:tcW w:w="3544" w:type="dxa"/>
            <w:vAlign w:val="center"/>
          </w:tcPr>
          <w:p w14:paraId="2039871E">
            <w:pPr>
              <w:jc w:val="left"/>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1、如投标人能完全按照此部分条款要求承诺（响应）并实施，可填写“</w:t>
            </w:r>
            <w:r>
              <w:rPr>
                <w:rFonts w:hint="eastAsia" w:ascii="宋体" w:hAnsi="宋体" w:cs="Arial"/>
                <w:b/>
                <w:color w:val="0000FF"/>
                <w:sz w:val="20"/>
                <w:szCs w:val="18"/>
              </w:rPr>
              <w:t>完全按招标文件要求响应</w:t>
            </w:r>
            <w:r>
              <w:rPr>
                <w:rFonts w:hint="eastAsia" w:ascii="宋体" w:hAnsi="宋体" w:cs="Arial"/>
                <w:color w:val="0000FF"/>
                <w:sz w:val="20"/>
                <w:szCs w:val="18"/>
              </w:rPr>
              <w:t>”；</w:t>
            </w:r>
          </w:p>
          <w:p w14:paraId="6E63DB2F">
            <w:pPr>
              <w:jc w:val="left"/>
              <w:rPr>
                <w:rFonts w:ascii="宋体" w:hAnsi="宋体" w:cs="Arial"/>
                <w:color w:val="0000FF"/>
                <w:sz w:val="20"/>
                <w:szCs w:val="18"/>
              </w:rPr>
            </w:pPr>
            <w:r>
              <w:rPr>
                <w:rFonts w:hint="eastAsia" w:ascii="宋体" w:hAnsi="宋体" w:cs="Arial"/>
                <w:color w:val="0000FF"/>
                <w:sz w:val="20"/>
                <w:szCs w:val="18"/>
              </w:rPr>
              <w:t>2、如投标人承诺（响应）内容出现正偏离或负偏离，请逐条做出说明。】</w:t>
            </w:r>
          </w:p>
        </w:tc>
        <w:tc>
          <w:tcPr>
            <w:tcW w:w="1984" w:type="dxa"/>
            <w:vAlign w:val="center"/>
          </w:tcPr>
          <w:p w14:paraId="3F6333CB">
            <w:pPr>
              <w:ind w:left="136" w:leftChars="65"/>
              <w:jc w:val="center"/>
              <w:rPr>
                <w:rFonts w:ascii="宋体" w:hAnsi="宋体"/>
                <w:szCs w:val="21"/>
              </w:rPr>
            </w:pPr>
          </w:p>
        </w:tc>
        <w:tc>
          <w:tcPr>
            <w:tcW w:w="1974" w:type="dxa"/>
            <w:vAlign w:val="center"/>
          </w:tcPr>
          <w:p w14:paraId="40CCA6E8">
            <w:pPr>
              <w:ind w:left="57" w:leftChars="27"/>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bl>
    <w:p w14:paraId="5145A8A3">
      <w:pPr>
        <w:spacing w:line="360" w:lineRule="auto"/>
        <w:ind w:firstLine="422" w:firstLineChars="201"/>
      </w:pPr>
      <w:r>
        <w:rPr>
          <w:rFonts w:hint="eastAsia"/>
        </w:rPr>
        <w:t>备注：</w:t>
      </w:r>
    </w:p>
    <w:p w14:paraId="2473D5B2">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rPr>
        <w:t>（1）投标人无需逐项填写“</w:t>
      </w:r>
      <w:r>
        <w:rPr>
          <w:rFonts w:hint="eastAsia" w:asciiTheme="minorEastAsia" w:hAnsiTheme="minorEastAsia" w:eastAsiaTheme="minorEastAsia"/>
          <w:szCs w:val="21"/>
        </w:rPr>
        <w:t>招标项目需求”栏，按格式提供即可。</w:t>
      </w:r>
    </w:p>
    <w:p w14:paraId="5BCA6587">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（2）投标人必须完全响应满足所有带★号条款的要求，否则将导致投标无效。中标后被发现不能满足《项目需求》中所有带★号条款要求的，采购单位有权拒绝签订合同，一切后果由投标人自行承担。</w:t>
      </w:r>
    </w:p>
    <w:p w14:paraId="439A90A2">
      <w:pPr>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szCs w:val="21"/>
        </w:rPr>
        <w:t>（3）如招标文件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14:paraId="5CA11D3D">
      <w:pPr>
        <w:spacing w:line="360" w:lineRule="auto"/>
        <w:ind w:firstLine="422" w:firstLineChars="201"/>
        <w:rPr>
          <w:rFonts w:cs="Arial" w:asciiTheme="minorEastAsia" w:hAnsiTheme="minorEastAsia" w:eastAsiaTheme="minorEastAsia"/>
          <w:b/>
          <w:bCs/>
          <w:szCs w:val="21"/>
        </w:rPr>
      </w:pPr>
      <w:r>
        <w:rPr>
          <w:rFonts w:hint="eastAsia" w:asciiTheme="minorEastAsia" w:hAnsiTheme="minorEastAsia" w:eastAsiaTheme="minorEastAsia"/>
        </w:rPr>
        <w:t>（4）请投标人于“</w:t>
      </w:r>
      <w:r>
        <w:rPr>
          <w:rFonts w:hint="eastAsia" w:asciiTheme="minorEastAsia" w:hAnsiTheme="minorEastAsia" w:eastAsiaTheme="minorEastAsia"/>
          <w:szCs w:val="21"/>
        </w:rPr>
        <w:t>投标文件响应</w:t>
      </w:r>
      <w:r>
        <w:rPr>
          <w:rFonts w:hint="eastAsia" w:asciiTheme="minorEastAsia" w:hAnsiTheme="minorEastAsia" w:eastAsiaTheme="minorEastAsia"/>
        </w:rPr>
        <w:t>”栏中对偏离表中相关条款作出响应情况描述，“偏离情况”栏根据响应情况填写，没有达到要求的填“负偏离”，达到要求的填“无偏离”，优于要求的填“正偏离”</w:t>
      </w:r>
      <w:r>
        <w:rPr>
          <w:rFonts w:hint="eastAsia" w:cs="Arial" w:asciiTheme="minorEastAsia" w:hAnsiTheme="minorEastAsia" w:eastAsiaTheme="minorEastAsia"/>
          <w:bCs/>
          <w:szCs w:val="21"/>
        </w:rPr>
        <w:t>。</w:t>
      </w:r>
    </w:p>
    <w:p w14:paraId="2B4D6C03">
      <w:pPr>
        <w:adjustRightInd w:val="0"/>
        <w:snapToGrid w:val="0"/>
        <w:spacing w:line="300" w:lineRule="auto"/>
        <w:rPr>
          <w:rFonts w:eastAsia="楷体_GB2312"/>
          <w:snapToGrid w:val="0"/>
          <w:kern w:val="0"/>
        </w:rPr>
      </w:pPr>
    </w:p>
    <w:p w14:paraId="0CA98F32">
      <w:pPr>
        <w:adjustRightInd w:val="0"/>
        <w:snapToGrid w:val="0"/>
        <w:spacing w:line="300" w:lineRule="auto"/>
        <w:rPr>
          <w:snapToGrid w:val="0"/>
          <w:kern w:val="0"/>
        </w:rPr>
      </w:pPr>
      <w:r>
        <w:rPr>
          <w:rFonts w:hint="eastAsia"/>
          <w:snapToGrid w:val="0"/>
          <w:kern w:val="0"/>
        </w:rPr>
        <w:t>投标单位：（盖章）</w:t>
      </w:r>
    </w:p>
    <w:p w14:paraId="4DFF3BA1">
      <w:pPr>
        <w:adjustRightInd w:val="0"/>
        <w:snapToGrid w:val="0"/>
        <w:spacing w:line="300" w:lineRule="auto"/>
        <w:rPr>
          <w:snapToGrid w:val="0"/>
          <w:kern w:val="0"/>
        </w:rPr>
      </w:pPr>
    </w:p>
    <w:p w14:paraId="0E970204">
      <w:pPr>
        <w:adjustRightInd w:val="0"/>
        <w:snapToGrid w:val="0"/>
        <w:spacing w:line="300" w:lineRule="auto"/>
        <w:rPr>
          <w:snapToGrid w:val="0"/>
          <w:kern w:val="0"/>
        </w:rPr>
      </w:pPr>
    </w:p>
    <w:p w14:paraId="6144AE59">
      <w:pPr>
        <w:adjustRightInd w:val="0"/>
        <w:snapToGrid w:val="0"/>
        <w:spacing w:line="300" w:lineRule="auto"/>
        <w:rPr>
          <w:snapToGrid w:val="0"/>
          <w:kern w:val="0"/>
        </w:rPr>
      </w:pPr>
      <w:r>
        <w:rPr>
          <w:rFonts w:hint="eastAsia"/>
          <w:snapToGrid w:val="0"/>
          <w:kern w:val="0"/>
        </w:rPr>
        <w:t>法定代表人或其授权代表：（签字）</w:t>
      </w:r>
    </w:p>
    <w:p w14:paraId="735F1EE6">
      <w:pPr>
        <w:wordWrap w:val="0"/>
        <w:adjustRightInd w:val="0"/>
        <w:snapToGrid w:val="0"/>
        <w:spacing w:line="300" w:lineRule="auto"/>
        <w:jc w:val="right"/>
        <w:rPr>
          <w:snapToGrid w:val="0"/>
          <w:kern w:val="0"/>
        </w:rPr>
      </w:pPr>
      <w:r>
        <w:rPr>
          <w:rFonts w:hint="eastAsia"/>
          <w:snapToGrid w:val="0"/>
          <w:kern w:val="0"/>
        </w:rPr>
        <w:t>年    月   日</w:t>
      </w:r>
    </w:p>
    <w:p w14:paraId="1C3C6523">
      <w:pPr>
        <w:adjustRightInd w:val="0"/>
        <w:snapToGrid w:val="0"/>
        <w:spacing w:line="300" w:lineRule="auto"/>
        <w:jc w:val="left"/>
        <w:rPr>
          <w:snapToGrid w:val="0"/>
          <w:kern w:val="0"/>
        </w:rPr>
      </w:pPr>
    </w:p>
    <w:p w14:paraId="26499CB8">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75" w:name="_格式5__"/>
      <w:bookmarkEnd w:id="75"/>
      <w:bookmarkStart w:id="76" w:name="_格式2__投标保证金凭证"/>
      <w:bookmarkEnd w:id="76"/>
      <w:bookmarkStart w:id="77" w:name="q15"/>
      <w:bookmarkEnd w:id="77"/>
      <w:bookmarkStart w:id="78" w:name="_格式4__"/>
      <w:bookmarkEnd w:id="78"/>
      <w:bookmarkStart w:id="79" w:name="q16"/>
      <w:bookmarkEnd w:id="79"/>
      <w:bookmarkStart w:id="80" w:name="_格式3__"/>
      <w:bookmarkEnd w:id="80"/>
      <w:bookmarkStart w:id="81" w:name="q17"/>
      <w:bookmarkEnd w:id="81"/>
      <w:r>
        <w:rPr>
          <w:rFonts w:asciiTheme="minorEastAsia" w:hAnsiTheme="minorEastAsia" w:eastAsiaTheme="minorEastAsia"/>
          <w:sz w:val="24"/>
        </w:rPr>
        <w:tab/>
      </w:r>
      <w:bookmarkStart w:id="82" w:name="_Toc44690710"/>
      <w:bookmarkStart w:id="83" w:name="_Toc44690437"/>
      <w:bookmarkStart w:id="84" w:name="_Toc44691169"/>
      <w:bookmarkStart w:id="85" w:name="_Toc44691401"/>
      <w:r>
        <w:rPr>
          <w:rFonts w:hint="eastAsia" w:asciiTheme="minorEastAsia" w:hAnsiTheme="minorEastAsia" w:eastAsiaTheme="minorEastAsia"/>
          <w:sz w:val="24"/>
        </w:rPr>
        <w:t xml:space="preserve">格式10  </w:t>
      </w:r>
      <w:bookmarkEnd w:id="82"/>
      <w:bookmarkEnd w:id="83"/>
      <w:bookmarkEnd w:id="84"/>
      <w:bookmarkEnd w:id="85"/>
      <w:r>
        <w:rPr>
          <w:rFonts w:hint="eastAsia" w:asciiTheme="minorEastAsia" w:hAnsiTheme="minorEastAsia" w:eastAsiaTheme="minorEastAsia"/>
          <w:sz w:val="24"/>
        </w:rPr>
        <w:t>招标文件要求的其他资料或投标人认为需要补充的资料</w:t>
      </w:r>
    </w:p>
    <w:p w14:paraId="68072B55">
      <w:pPr>
        <w:spacing w:line="360" w:lineRule="auto"/>
        <w:jc w:val="center"/>
      </w:pPr>
    </w:p>
    <w:p w14:paraId="7E667066">
      <w:pPr>
        <w:widowControl/>
        <w:snapToGrid w:val="0"/>
        <w:spacing w:line="360" w:lineRule="auto"/>
        <w:jc w:val="left"/>
        <w:outlineLvl w:val="4"/>
        <w:rPr>
          <w:rFonts w:ascii="仿宋" w:hAnsi="仿宋" w:eastAsia="仿宋"/>
          <w:b/>
          <w:bCs/>
          <w:color w:val="FF0000"/>
          <w:kern w:val="0"/>
          <w:sz w:val="25"/>
          <w:szCs w:val="25"/>
        </w:rPr>
      </w:pPr>
      <w:r>
        <w:rPr>
          <w:rFonts w:hint="eastAsia" w:ascii="仿宋" w:hAnsi="仿宋" w:eastAsia="仿宋"/>
          <w:b/>
          <w:bCs/>
          <w:color w:val="FF0000"/>
          <w:kern w:val="0"/>
          <w:sz w:val="25"/>
          <w:szCs w:val="25"/>
        </w:rPr>
        <w:t>特别提醒：</w:t>
      </w:r>
    </w:p>
    <w:p w14:paraId="51F8253F">
      <w:pPr>
        <w:widowControl/>
        <w:snapToGrid w:val="0"/>
        <w:spacing w:line="360" w:lineRule="auto"/>
        <w:jc w:val="left"/>
        <w:rPr>
          <w:rFonts w:ascii="宋体" w:hAnsi="宋体"/>
          <w:color w:val="FF0000"/>
          <w:szCs w:val="21"/>
        </w:rPr>
      </w:pPr>
      <w:r>
        <w:rPr>
          <w:rFonts w:hint="eastAsia" w:ascii="仿宋" w:hAnsi="仿宋" w:eastAsia="仿宋"/>
          <w:color w:val="FF0000"/>
          <w:kern w:val="0"/>
          <w:sz w:val="25"/>
          <w:szCs w:val="25"/>
        </w:rPr>
        <w:t xml:space="preserve">  </w:t>
      </w:r>
      <w:r>
        <w:rPr>
          <w:rFonts w:hint="eastAsia" w:asciiTheme="minorEastAsia" w:hAnsiTheme="minorEastAsia" w:eastAsiaTheme="minorEastAsia"/>
          <w:color w:val="FF0000"/>
          <w:kern w:val="0"/>
          <w:szCs w:val="21"/>
        </w:rPr>
        <w:t xml:space="preserve">  《深圳经济特区政府采购条例实施细则》</w:t>
      </w:r>
      <w:r>
        <w:rPr>
          <w:rFonts w:hint="eastAsia" w:ascii="宋体" w:hAnsi="宋体"/>
          <w:color w:val="FF0000"/>
          <w:szCs w:val="21"/>
        </w:rPr>
        <w:t>第七十五条规定：供应商有下列情形的，属于采购条例所称的串通投标行为。</w:t>
      </w:r>
    </w:p>
    <w:p w14:paraId="254CEB5E">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（一）投标供应商之间相互约定给予未中标的供应商利益补偿；</w:t>
      </w:r>
    </w:p>
    <w:p w14:paraId="62E69609">
      <w:pPr>
        <w:widowControl/>
        <w:snapToGrid w:val="0"/>
        <w:spacing w:line="360" w:lineRule="auto"/>
        <w:ind w:firstLine="426" w:firstLineChars="202"/>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（二）不同投标供应商的法定代表人、主要经营负责人、项目投标授权代表人、项目负责人、主要技术人员为同一人、属同一单位或者在同一单位缴纳社会保险；</w:t>
      </w:r>
    </w:p>
    <w:p w14:paraId="31B2BF98">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（三）不同投标供应商的投标文件由同一单位或者同一人编制，或者由同一人分阶段参与编制的；</w:t>
      </w:r>
    </w:p>
    <w:p w14:paraId="301612B1">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（四）不同投标供应商的投标文件或部分投标文件相互混装；</w:t>
      </w:r>
    </w:p>
    <w:p w14:paraId="47521781">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（五）不同投标供应商的投标文件内容存在非正常一致；</w:t>
      </w:r>
    </w:p>
    <w:p w14:paraId="76BC467C">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（六）由同一单位工作人员为两家以上（含两家）供应商进行同一项投标活动的；</w:t>
      </w:r>
    </w:p>
    <w:p w14:paraId="07AF28CC">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（七）主管部门依照法律、法规认定的其他情形。</w:t>
      </w:r>
    </w:p>
    <w:p w14:paraId="253F6115">
      <w:pPr>
        <w:widowControl/>
        <w:snapToGrid w:val="0"/>
        <w:spacing w:line="360" w:lineRule="auto"/>
        <w:jc w:val="left"/>
        <w:rPr>
          <w:rFonts w:asciiTheme="minorEastAsia" w:hAnsiTheme="minorEastAsia" w:eastAsiaTheme="minorEastAsia"/>
          <w:color w:val="FF0000"/>
          <w:kern w:val="0"/>
          <w:szCs w:val="21"/>
        </w:rPr>
      </w:pPr>
    </w:p>
    <w:p w14:paraId="38B2A925">
      <w:pPr>
        <w:widowControl/>
        <w:snapToGrid w:val="0"/>
        <w:spacing w:line="360" w:lineRule="auto"/>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投标人提供以下资料（格式自拟）：</w:t>
      </w:r>
    </w:p>
    <w:p w14:paraId="506F0278">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1、投标单位法定代表人、主要经营负责人、项目投标授权代表人、项目负责人及主要技术人员近一年社保缴纳查询记录（包含在投标单位及其他缴纳社保单位的记录）；社保缴纳不满一年的按实际缴纳情况提供（因社保部门或税务部门原因暂时无法提供社保证明的，需提供加盖公章的情况说明或者证明材料。）</w:t>
      </w:r>
    </w:p>
    <w:p w14:paraId="0182DF85">
      <w:pPr>
        <w:widowControl/>
        <w:snapToGrid w:val="0"/>
        <w:spacing w:line="360" w:lineRule="auto"/>
        <w:ind w:firstLine="424" w:firstLineChars="202"/>
        <w:jc w:val="left"/>
      </w:pPr>
      <w:r>
        <w:rPr>
          <w:rFonts w:hint="eastAsia" w:asciiTheme="minorEastAsia" w:hAnsiTheme="minorEastAsia" w:eastAsiaTheme="minorEastAsia"/>
          <w:color w:val="FF0000"/>
          <w:kern w:val="0"/>
          <w:szCs w:val="21"/>
        </w:rPr>
        <w:t>2、其他招标文件要求提供的资料或投标人认为需要补充的资料。</w:t>
      </w:r>
    </w:p>
    <w:p w14:paraId="1FB5A2FB"/>
    <w:p w14:paraId="0D5458E2"/>
    <w:p w14:paraId="39481EB6"/>
    <w:p w14:paraId="23256669"/>
    <w:p w14:paraId="3B0017B6"/>
    <w:p w14:paraId="42F8BA09"/>
    <w:p w14:paraId="5C88E3AF"/>
    <w:p w14:paraId="586507C7"/>
    <w:p w14:paraId="40450402"/>
    <w:p w14:paraId="7A965468"/>
    <w:p w14:paraId="13A9963A">
      <w:pPr>
        <w:widowControl/>
        <w:jc w:val="left"/>
      </w:pPr>
      <w:r>
        <w:br w:type="page"/>
      </w:r>
    </w:p>
    <w:p w14:paraId="04F2D949">
      <w:pPr>
        <w:tabs>
          <w:tab w:val="left" w:pos="1875"/>
        </w:tabs>
      </w:pPr>
    </w:p>
    <w:p w14:paraId="35D331C9">
      <w:pPr>
        <w:pStyle w:val="3"/>
      </w:pPr>
      <w:bookmarkStart w:id="86" w:name="_Toc115096795"/>
      <w:r>
        <w:rPr>
          <w:rFonts w:hint="eastAsia"/>
        </w:rPr>
        <w:t>第八章  合同条款</w:t>
      </w:r>
      <w:bookmarkEnd w:id="86"/>
    </w:p>
    <w:p w14:paraId="05FD978E">
      <w:pPr>
        <w:jc w:val="center"/>
        <w:rPr>
          <w:b/>
          <w:szCs w:val="21"/>
        </w:rPr>
      </w:pPr>
    </w:p>
    <w:p w14:paraId="4B5D41EF">
      <w:pPr>
        <w:adjustRightInd w:val="0"/>
        <w:snapToGrid w:val="0"/>
        <w:spacing w:after="60" w:line="360" w:lineRule="auto"/>
        <w:jc w:val="center"/>
        <w:rPr>
          <w:b/>
          <w:snapToGrid w:val="0"/>
          <w:kern w:val="0"/>
          <w:sz w:val="24"/>
        </w:rPr>
      </w:pPr>
      <w:r>
        <w:rPr>
          <w:rFonts w:hint="eastAsia"/>
          <w:b/>
          <w:snapToGrid w:val="0"/>
          <w:kern w:val="0"/>
          <w:sz w:val="24"/>
        </w:rPr>
        <w:t>（拟签订的合同文本）</w:t>
      </w:r>
    </w:p>
    <w:p w14:paraId="3EC0ADA8">
      <w:pPr>
        <w:pStyle w:val="26"/>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14:paraId="1B5E002C">
      <w:pPr>
        <w:pStyle w:val="26"/>
        <w:spacing w:line="360" w:lineRule="auto"/>
        <w:ind w:firstLine="482" w:firstLineChars="200"/>
        <w:rPr>
          <w:rFonts w:ascii="Times New Roman" w:hAnsi="Times New Roman"/>
          <w:b/>
          <w:sz w:val="24"/>
        </w:rPr>
      </w:pPr>
    </w:p>
    <w:p w14:paraId="3D35D164">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采购人（甲方）：   </w:t>
      </w:r>
    </w:p>
    <w:p w14:paraId="3C899287">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中标人（乙方）：                                       </w:t>
      </w:r>
    </w:p>
    <w:p w14:paraId="796FBA85">
      <w:pPr>
        <w:adjustRightInd w:val="0"/>
        <w:snapToGrid w:val="0"/>
        <w:spacing w:line="360" w:lineRule="auto"/>
        <w:rPr>
          <w:rFonts w:ascii="宋体" w:hAnsi="宋体"/>
          <w:szCs w:val="21"/>
        </w:rPr>
      </w:pPr>
    </w:p>
    <w:p w14:paraId="3B6529A8">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招标项目（项目编号：__________________包号：______）的中标结果，由_______________________单位为中标人。</w:t>
      </w:r>
      <w:r>
        <w:rPr>
          <w:rFonts w:hint="eastAsia" w:asciiTheme="minorEastAsia" w:hAnsiTheme="minorEastAsia"/>
          <w:szCs w:val="21"/>
        </w:rPr>
        <w:t>根据《中华人民共和国政府采购法》、《深圳经济特区政府采购条例》、《</w:t>
      </w:r>
      <w:r>
        <w:rPr>
          <w:rFonts w:hint="eastAsia" w:ascii="宋体" w:hAnsi="宋体" w:cs="Courier New"/>
          <w:snapToGrid w:val="0"/>
          <w:szCs w:val="18"/>
        </w:rPr>
        <w:t>中华人民共和国民法典</w:t>
      </w:r>
      <w:r>
        <w:rPr>
          <w:rFonts w:hint="eastAsia" w:asciiTheme="minorEastAsia" w:hAnsiTheme="minorEastAsia"/>
          <w:szCs w:val="21"/>
        </w:rPr>
        <w:t>》之规定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14:paraId="5F5CE3B1">
      <w:pPr>
        <w:pStyle w:val="26"/>
        <w:snapToGrid w:val="0"/>
        <w:spacing w:line="360" w:lineRule="auto"/>
        <w:ind w:firstLine="422" w:firstLineChars="200"/>
        <w:rPr>
          <w:rFonts w:hAnsi="宋体"/>
          <w:b/>
          <w:szCs w:val="21"/>
        </w:rPr>
      </w:pPr>
      <w:r>
        <w:rPr>
          <w:rFonts w:hint="eastAsia" w:hAnsi="宋体"/>
          <w:b/>
          <w:szCs w:val="21"/>
        </w:rPr>
        <w:t>一、服务内容</w:t>
      </w:r>
    </w:p>
    <w:p w14:paraId="265C82E9">
      <w:pPr>
        <w:spacing w:line="360" w:lineRule="auto"/>
        <w:ind w:firstLine="422" w:firstLineChars="201"/>
        <w:rPr>
          <w:rFonts w:ascii="宋体" w:hAnsi="宋体"/>
          <w:szCs w:val="21"/>
        </w:rPr>
      </w:pPr>
      <w:r>
        <w:rPr>
          <w:rFonts w:hint="eastAsia" w:ascii="宋体" w:hAnsi="宋体"/>
          <w:szCs w:val="21"/>
        </w:rPr>
        <w:t>______________________</w:t>
      </w:r>
    </w:p>
    <w:p w14:paraId="45A784DD">
      <w:pPr>
        <w:pStyle w:val="26"/>
        <w:snapToGrid w:val="0"/>
        <w:spacing w:line="360" w:lineRule="auto"/>
        <w:ind w:firstLine="422" w:firstLineChars="200"/>
        <w:rPr>
          <w:rFonts w:hAnsi="宋体"/>
          <w:b/>
          <w:szCs w:val="21"/>
        </w:rPr>
      </w:pPr>
      <w:r>
        <w:rPr>
          <w:rFonts w:hint="eastAsia" w:hAnsi="宋体"/>
          <w:b/>
          <w:szCs w:val="21"/>
        </w:rPr>
        <w:t>二、合同金额</w:t>
      </w:r>
    </w:p>
    <w:p w14:paraId="636F5B95">
      <w:pPr>
        <w:pStyle w:val="26"/>
        <w:snapToGrid w:val="0"/>
        <w:spacing w:line="360" w:lineRule="auto"/>
        <w:ind w:firstLine="420" w:firstLineChars="200"/>
        <w:rPr>
          <w:rFonts w:hAnsi="宋体"/>
          <w:szCs w:val="21"/>
        </w:rPr>
      </w:pPr>
      <w:r>
        <w:rPr>
          <w:rFonts w:hint="eastAsia" w:hAnsi="宋体"/>
          <w:szCs w:val="21"/>
        </w:rPr>
        <w:t>本合同金额为（大写）：____________________________________元（￥_______________元）人民币。</w:t>
      </w:r>
    </w:p>
    <w:p w14:paraId="585E6149">
      <w:pPr>
        <w:pStyle w:val="26"/>
        <w:snapToGrid w:val="0"/>
        <w:spacing w:line="360" w:lineRule="auto"/>
        <w:ind w:firstLine="422" w:firstLineChars="200"/>
        <w:rPr>
          <w:rFonts w:hAnsi="宋体"/>
          <w:b/>
          <w:szCs w:val="21"/>
        </w:rPr>
      </w:pPr>
      <w:r>
        <w:rPr>
          <w:rFonts w:hint="eastAsia" w:hAnsi="宋体"/>
          <w:b/>
          <w:szCs w:val="21"/>
        </w:rPr>
        <w:t>三、技术资料</w:t>
      </w:r>
    </w:p>
    <w:p w14:paraId="7BD5F034">
      <w:pPr>
        <w:pStyle w:val="26"/>
        <w:snapToGrid w:val="0"/>
        <w:spacing w:line="360" w:lineRule="auto"/>
        <w:ind w:firstLine="420" w:firstLineChars="200"/>
        <w:rPr>
          <w:rFonts w:hAnsi="宋体"/>
          <w:szCs w:val="21"/>
        </w:rPr>
      </w:pPr>
      <w:r>
        <w:rPr>
          <w:rFonts w:hint="eastAsia" w:hAnsi="宋体"/>
          <w:szCs w:val="21"/>
        </w:rPr>
        <w:t>1、中标人应按招标文件规定的时间向采购人提供有关技术资料。</w:t>
      </w:r>
    </w:p>
    <w:p w14:paraId="021CB31A">
      <w:pPr>
        <w:pStyle w:val="26"/>
        <w:snapToGrid w:val="0"/>
        <w:spacing w:line="360" w:lineRule="auto"/>
        <w:ind w:firstLine="420" w:firstLineChars="200"/>
        <w:rPr>
          <w:rFonts w:hAnsi="宋体"/>
          <w:szCs w:val="21"/>
        </w:rPr>
      </w:pPr>
      <w:r>
        <w:rPr>
          <w:rFonts w:hint="eastAsia" w:hAnsi="宋体"/>
          <w:szCs w:val="21"/>
        </w:rPr>
        <w:t>2、没有采购人事先书面同意，中标人不得将由采购人提供的有关合同或任何合同条文、项目资料提供给与履行本合同无关的任何其他人。即使向履行本合同有关的人员提供，也应注意保密并限于履行合同的必需范围。</w:t>
      </w:r>
    </w:p>
    <w:p w14:paraId="098FA73E">
      <w:pPr>
        <w:pStyle w:val="26"/>
        <w:snapToGrid w:val="0"/>
        <w:spacing w:line="360" w:lineRule="auto"/>
        <w:ind w:firstLine="420" w:firstLineChars="200"/>
        <w:rPr>
          <w:rFonts w:hAnsi="宋体"/>
          <w:szCs w:val="21"/>
        </w:rPr>
      </w:pPr>
      <w:r>
        <w:rPr>
          <w:rFonts w:hint="eastAsia" w:hAnsi="宋体"/>
          <w:szCs w:val="21"/>
        </w:rPr>
        <w:t>3、合同履行完毕，未经采购人的书面同意，中标人不得保存在履行合同过程中所获得或接触到的任何内部数据资料。</w:t>
      </w:r>
    </w:p>
    <w:p w14:paraId="078F7214">
      <w:pPr>
        <w:pStyle w:val="26"/>
        <w:snapToGrid w:val="0"/>
        <w:spacing w:line="360" w:lineRule="auto"/>
        <w:ind w:firstLine="422" w:firstLineChars="200"/>
        <w:rPr>
          <w:rFonts w:hAnsi="宋体"/>
          <w:b/>
          <w:szCs w:val="21"/>
        </w:rPr>
      </w:pPr>
      <w:r>
        <w:rPr>
          <w:rFonts w:hint="eastAsia" w:hAnsi="宋体"/>
          <w:b/>
          <w:szCs w:val="21"/>
        </w:rPr>
        <w:t>四、知识产权</w:t>
      </w:r>
    </w:p>
    <w:p w14:paraId="1697C79E">
      <w:pPr>
        <w:pStyle w:val="26"/>
        <w:snapToGrid w:val="0"/>
        <w:spacing w:line="360" w:lineRule="auto"/>
        <w:ind w:firstLine="420" w:firstLineChars="200"/>
        <w:rPr>
          <w:rFonts w:hAnsi="宋体"/>
          <w:bCs/>
          <w:szCs w:val="21"/>
        </w:rPr>
      </w:pPr>
      <w:r>
        <w:rPr>
          <w:rFonts w:hint="eastAsia" w:hAnsi="宋体"/>
          <w:szCs w:val="21"/>
        </w:rPr>
        <w:t>中标人应保证提供服务过程中不会侵犯任何第三方的知识产权</w:t>
      </w:r>
      <w:r>
        <w:rPr>
          <w:rFonts w:hint="eastAsia" w:hAnsi="宋体"/>
          <w:bCs/>
          <w:szCs w:val="21"/>
        </w:rPr>
        <w:t>。</w:t>
      </w:r>
    </w:p>
    <w:p w14:paraId="0D1D76B9">
      <w:pPr>
        <w:pStyle w:val="26"/>
        <w:snapToGrid w:val="0"/>
        <w:spacing w:line="360" w:lineRule="auto"/>
        <w:ind w:firstLine="422" w:firstLineChars="200"/>
        <w:rPr>
          <w:rFonts w:hAnsi="宋体"/>
          <w:b/>
          <w:szCs w:val="21"/>
        </w:rPr>
      </w:pPr>
      <w:r>
        <w:rPr>
          <w:rFonts w:hint="eastAsia" w:hAnsi="宋体"/>
          <w:b/>
          <w:szCs w:val="21"/>
        </w:rPr>
        <w:t>五、履约保证金</w:t>
      </w:r>
    </w:p>
    <w:p w14:paraId="310CD38C">
      <w:pPr>
        <w:snapToGrid w:val="0"/>
        <w:spacing w:line="360" w:lineRule="auto"/>
        <w:ind w:firstLine="422" w:firstLineChars="200"/>
        <w:rPr>
          <w:rFonts w:ascii="宋体" w:hAnsi="宋体"/>
          <w:b/>
          <w:szCs w:val="21"/>
        </w:rPr>
      </w:pPr>
      <w:r>
        <w:rPr>
          <w:rFonts w:hint="eastAsia" w:ascii="宋体" w:hAnsi="宋体"/>
          <w:b/>
          <w:szCs w:val="21"/>
        </w:rPr>
        <w:t>六、采购人的权利与义务</w:t>
      </w:r>
    </w:p>
    <w:p w14:paraId="45076A39">
      <w:pPr>
        <w:snapToGrid w:val="0"/>
        <w:spacing w:line="360" w:lineRule="auto"/>
        <w:ind w:firstLine="420" w:firstLineChars="200"/>
        <w:rPr>
          <w:rFonts w:ascii="宋体" w:hAnsi="宋体"/>
          <w:szCs w:val="21"/>
        </w:rPr>
      </w:pPr>
      <w:r>
        <w:rPr>
          <w:rFonts w:hint="eastAsia" w:ascii="宋体" w:hAnsi="宋体"/>
          <w:szCs w:val="21"/>
        </w:rPr>
        <w:t>1、_______________________</w:t>
      </w:r>
    </w:p>
    <w:p w14:paraId="268B20CD">
      <w:pPr>
        <w:snapToGrid w:val="0"/>
        <w:spacing w:line="360" w:lineRule="auto"/>
        <w:ind w:firstLine="420" w:firstLineChars="200"/>
        <w:rPr>
          <w:rFonts w:ascii="宋体" w:hAnsi="宋体"/>
          <w:szCs w:val="21"/>
        </w:rPr>
      </w:pPr>
      <w:r>
        <w:rPr>
          <w:rFonts w:hint="eastAsia" w:ascii="宋体" w:hAnsi="宋体"/>
          <w:szCs w:val="21"/>
        </w:rPr>
        <w:t>2、_______________________</w:t>
      </w:r>
    </w:p>
    <w:p w14:paraId="00EABA82">
      <w:pPr>
        <w:snapToGrid w:val="0"/>
        <w:spacing w:line="360" w:lineRule="auto"/>
        <w:ind w:firstLine="420" w:firstLineChars="200"/>
        <w:rPr>
          <w:rFonts w:ascii="宋体" w:hAnsi="宋体"/>
          <w:szCs w:val="21"/>
        </w:rPr>
      </w:pPr>
      <w:r>
        <w:rPr>
          <w:rFonts w:hint="eastAsia" w:ascii="宋体" w:hAnsi="宋体"/>
          <w:szCs w:val="21"/>
        </w:rPr>
        <w:t>3、_______________________</w:t>
      </w:r>
    </w:p>
    <w:p w14:paraId="5E5B9731">
      <w:pPr>
        <w:snapToGrid w:val="0"/>
        <w:spacing w:line="360" w:lineRule="auto"/>
        <w:ind w:firstLine="420" w:firstLineChars="200"/>
        <w:rPr>
          <w:rFonts w:ascii="宋体" w:hAnsi="宋体"/>
          <w:szCs w:val="21"/>
        </w:rPr>
      </w:pPr>
      <w:r>
        <w:rPr>
          <w:rFonts w:hint="eastAsia" w:ascii="宋体" w:hAnsi="宋体"/>
          <w:szCs w:val="21"/>
        </w:rPr>
        <w:t>4、_______________________</w:t>
      </w:r>
    </w:p>
    <w:p w14:paraId="27930C86">
      <w:pPr>
        <w:snapToGrid w:val="0"/>
        <w:spacing w:line="360" w:lineRule="auto"/>
        <w:ind w:firstLine="420" w:firstLineChars="200"/>
        <w:rPr>
          <w:rFonts w:ascii="宋体" w:hAnsi="宋体"/>
          <w:szCs w:val="21"/>
        </w:rPr>
      </w:pPr>
      <w:r>
        <w:rPr>
          <w:rFonts w:hint="eastAsia" w:ascii="宋体" w:hAnsi="宋体"/>
          <w:szCs w:val="21"/>
        </w:rPr>
        <w:t>5、采购人的其它权利与义务_______________________</w:t>
      </w:r>
    </w:p>
    <w:p w14:paraId="2792D6DF">
      <w:pPr>
        <w:snapToGrid w:val="0"/>
        <w:spacing w:line="360" w:lineRule="auto"/>
        <w:ind w:firstLine="422" w:firstLineChars="200"/>
        <w:rPr>
          <w:rFonts w:ascii="宋体" w:hAnsi="宋体"/>
          <w:b/>
          <w:szCs w:val="21"/>
        </w:rPr>
      </w:pPr>
      <w:r>
        <w:rPr>
          <w:rFonts w:hint="eastAsia" w:ascii="宋体" w:hAnsi="宋体"/>
          <w:b/>
          <w:szCs w:val="21"/>
        </w:rPr>
        <w:t>七、中标人的权利与义务</w:t>
      </w:r>
    </w:p>
    <w:p w14:paraId="06478B24">
      <w:pPr>
        <w:snapToGrid w:val="0"/>
        <w:spacing w:line="360" w:lineRule="auto"/>
        <w:ind w:firstLine="420" w:firstLineChars="200"/>
        <w:rPr>
          <w:rFonts w:ascii="宋体" w:hAnsi="宋体"/>
          <w:szCs w:val="21"/>
        </w:rPr>
      </w:pPr>
      <w:r>
        <w:rPr>
          <w:rFonts w:hint="eastAsia" w:ascii="宋体" w:hAnsi="宋体"/>
          <w:szCs w:val="21"/>
        </w:rPr>
        <w:t>1、_______________________</w:t>
      </w:r>
    </w:p>
    <w:p w14:paraId="73EE50E5">
      <w:pPr>
        <w:snapToGrid w:val="0"/>
        <w:spacing w:line="360" w:lineRule="auto"/>
        <w:ind w:firstLine="420" w:firstLineChars="200"/>
        <w:rPr>
          <w:rFonts w:ascii="宋体" w:hAnsi="宋体"/>
          <w:szCs w:val="21"/>
        </w:rPr>
      </w:pPr>
      <w:r>
        <w:rPr>
          <w:rFonts w:hint="eastAsia" w:ascii="宋体" w:hAnsi="宋体"/>
          <w:szCs w:val="21"/>
        </w:rPr>
        <w:t>2、_______________________</w:t>
      </w:r>
    </w:p>
    <w:p w14:paraId="15C30003">
      <w:pPr>
        <w:snapToGrid w:val="0"/>
        <w:spacing w:line="360" w:lineRule="auto"/>
        <w:ind w:firstLine="420" w:firstLineChars="200"/>
        <w:rPr>
          <w:rFonts w:ascii="宋体" w:hAnsi="宋体"/>
          <w:szCs w:val="21"/>
        </w:rPr>
      </w:pPr>
      <w:r>
        <w:rPr>
          <w:rFonts w:hint="eastAsia" w:ascii="宋体" w:hAnsi="宋体"/>
          <w:szCs w:val="21"/>
        </w:rPr>
        <w:t>3、_______________________</w:t>
      </w:r>
    </w:p>
    <w:p w14:paraId="424A1F10">
      <w:pPr>
        <w:snapToGrid w:val="0"/>
        <w:spacing w:line="360" w:lineRule="auto"/>
        <w:ind w:firstLine="420" w:firstLineChars="200"/>
        <w:rPr>
          <w:rFonts w:ascii="宋体" w:hAnsi="宋体"/>
          <w:szCs w:val="21"/>
        </w:rPr>
      </w:pPr>
      <w:r>
        <w:rPr>
          <w:rFonts w:hint="eastAsia" w:ascii="宋体" w:hAnsi="宋体"/>
          <w:szCs w:val="21"/>
        </w:rPr>
        <w:t>4、_______________________</w:t>
      </w:r>
    </w:p>
    <w:p w14:paraId="3724BC71">
      <w:pPr>
        <w:snapToGrid w:val="0"/>
        <w:spacing w:line="360" w:lineRule="auto"/>
        <w:ind w:firstLine="420" w:firstLineChars="200"/>
        <w:rPr>
          <w:rFonts w:ascii="宋体" w:hAnsi="宋体"/>
          <w:szCs w:val="21"/>
        </w:rPr>
      </w:pPr>
      <w:r>
        <w:rPr>
          <w:rFonts w:hint="eastAsia" w:ascii="宋体" w:hAnsi="宋体"/>
          <w:szCs w:val="21"/>
        </w:rPr>
        <w:t>5、中标人的其它权利与义务_______________________</w:t>
      </w:r>
    </w:p>
    <w:p w14:paraId="303980DF">
      <w:pPr>
        <w:pStyle w:val="26"/>
        <w:snapToGrid w:val="0"/>
        <w:spacing w:line="360" w:lineRule="auto"/>
        <w:ind w:firstLine="422" w:firstLineChars="200"/>
        <w:rPr>
          <w:rFonts w:hAnsi="宋体"/>
          <w:b/>
          <w:szCs w:val="21"/>
        </w:rPr>
      </w:pPr>
      <w:r>
        <w:rPr>
          <w:rFonts w:hint="eastAsia" w:hAnsi="宋体"/>
          <w:b/>
          <w:szCs w:val="21"/>
        </w:rPr>
        <w:t>八、合同履行时间、履行方式及履行地点</w:t>
      </w:r>
    </w:p>
    <w:p w14:paraId="61038E51">
      <w:pPr>
        <w:pStyle w:val="26"/>
        <w:snapToGrid w:val="0"/>
        <w:spacing w:line="360" w:lineRule="auto"/>
        <w:ind w:firstLine="420" w:firstLineChars="200"/>
        <w:rPr>
          <w:rFonts w:hAnsi="宋体"/>
          <w:bCs/>
          <w:szCs w:val="21"/>
        </w:rPr>
      </w:pPr>
      <w:r>
        <w:rPr>
          <w:rFonts w:hint="eastAsia" w:hAnsi="宋体"/>
          <w:bCs/>
          <w:szCs w:val="21"/>
        </w:rPr>
        <w:t>1、</w:t>
      </w:r>
      <w:r>
        <w:rPr>
          <w:rFonts w:hint="eastAsia" w:hAnsi="宋体"/>
          <w:szCs w:val="21"/>
        </w:rPr>
        <w:t>履行时间</w:t>
      </w:r>
      <w:r>
        <w:rPr>
          <w:rFonts w:hint="eastAsia" w:hAnsi="宋体"/>
          <w:bCs/>
          <w:szCs w:val="21"/>
        </w:rPr>
        <w:t>：</w:t>
      </w:r>
      <w:r>
        <w:rPr>
          <w:rFonts w:hint="eastAsia" w:hAnsi="宋体"/>
          <w:szCs w:val="21"/>
        </w:rPr>
        <w:t>______________________</w:t>
      </w:r>
    </w:p>
    <w:p w14:paraId="3039F169">
      <w:pPr>
        <w:pStyle w:val="26"/>
        <w:snapToGrid w:val="0"/>
        <w:spacing w:line="360" w:lineRule="auto"/>
        <w:ind w:firstLine="420" w:firstLineChars="200"/>
        <w:rPr>
          <w:rFonts w:hAnsi="宋体"/>
          <w:bCs/>
          <w:szCs w:val="21"/>
        </w:rPr>
      </w:pPr>
      <w:r>
        <w:rPr>
          <w:rFonts w:hint="eastAsia" w:hAnsi="宋体"/>
          <w:bCs/>
          <w:szCs w:val="21"/>
        </w:rPr>
        <w:t>2、</w:t>
      </w:r>
      <w:r>
        <w:rPr>
          <w:rFonts w:hint="eastAsia" w:hAnsi="宋体"/>
          <w:szCs w:val="21"/>
        </w:rPr>
        <w:t>履行方式</w:t>
      </w:r>
      <w:r>
        <w:rPr>
          <w:rFonts w:hint="eastAsia" w:hAnsi="宋体"/>
          <w:bCs/>
          <w:szCs w:val="21"/>
        </w:rPr>
        <w:t>：</w:t>
      </w:r>
      <w:r>
        <w:rPr>
          <w:rFonts w:hint="eastAsia" w:hAnsi="宋体"/>
          <w:szCs w:val="21"/>
        </w:rPr>
        <w:t>______________________</w:t>
      </w:r>
    </w:p>
    <w:p w14:paraId="45A0CEA0">
      <w:pPr>
        <w:pStyle w:val="26"/>
        <w:snapToGrid w:val="0"/>
        <w:spacing w:line="360" w:lineRule="auto"/>
        <w:ind w:firstLine="420" w:firstLineChars="200"/>
        <w:rPr>
          <w:rFonts w:hAnsi="宋体"/>
          <w:szCs w:val="21"/>
        </w:rPr>
      </w:pPr>
      <w:r>
        <w:rPr>
          <w:rFonts w:hint="eastAsia" w:hAnsi="宋体"/>
          <w:bCs/>
          <w:szCs w:val="21"/>
        </w:rPr>
        <w:t>3、</w:t>
      </w:r>
      <w:r>
        <w:rPr>
          <w:rFonts w:hint="eastAsia" w:hAnsi="宋体"/>
          <w:szCs w:val="21"/>
        </w:rPr>
        <w:t>履行地点</w:t>
      </w:r>
      <w:r>
        <w:rPr>
          <w:rFonts w:hint="eastAsia" w:hAnsi="宋体"/>
          <w:bCs/>
          <w:szCs w:val="21"/>
        </w:rPr>
        <w:t>：</w:t>
      </w:r>
      <w:r>
        <w:rPr>
          <w:rFonts w:hint="eastAsia" w:hAnsi="宋体"/>
          <w:szCs w:val="21"/>
          <w:u w:val="single"/>
        </w:rPr>
        <w:t>深圳市</w:t>
      </w:r>
    </w:p>
    <w:p w14:paraId="77EC6D2B">
      <w:pPr>
        <w:snapToGrid w:val="0"/>
        <w:spacing w:line="360" w:lineRule="auto"/>
        <w:ind w:firstLine="422" w:firstLineChars="200"/>
        <w:rPr>
          <w:rFonts w:ascii="宋体" w:hAnsi="宋体"/>
          <w:b/>
          <w:szCs w:val="21"/>
        </w:rPr>
      </w:pPr>
      <w:r>
        <w:rPr>
          <w:rFonts w:hint="eastAsia" w:ascii="宋体" w:hAnsi="宋体"/>
          <w:b/>
          <w:szCs w:val="21"/>
        </w:rPr>
        <w:t>九、验收</w:t>
      </w:r>
    </w:p>
    <w:p w14:paraId="3D2905DF">
      <w:pPr>
        <w:snapToGrid w:val="0"/>
        <w:spacing w:line="360" w:lineRule="auto"/>
        <w:ind w:firstLine="420" w:firstLineChars="200"/>
        <w:rPr>
          <w:rFonts w:ascii="宋体" w:hAnsi="宋体"/>
          <w:szCs w:val="21"/>
        </w:rPr>
      </w:pPr>
      <w:r>
        <w:rPr>
          <w:rFonts w:hint="eastAsia" w:ascii="宋体" w:hAnsi="宋体"/>
          <w:szCs w:val="21"/>
        </w:rPr>
        <w:t>1、下列文件的验收分为______个阶段:</w:t>
      </w:r>
    </w:p>
    <w:p w14:paraId="02A3EDAC">
      <w:pPr>
        <w:snapToGrid w:val="0"/>
        <w:spacing w:line="360" w:lineRule="auto"/>
        <w:ind w:firstLine="420" w:firstLineChars="200"/>
        <w:rPr>
          <w:rFonts w:ascii="宋体" w:hAnsi="宋体"/>
          <w:szCs w:val="21"/>
        </w:rPr>
      </w:pPr>
      <w:r>
        <w:rPr>
          <w:rFonts w:hint="eastAsia" w:ascii="宋体" w:hAnsi="宋体"/>
          <w:szCs w:val="21"/>
        </w:rPr>
        <w:t>2、其余文件和工作由用户组织有关技术人员根据国家和行业有关规范、规程、标准和用户需求直接验收。</w:t>
      </w:r>
    </w:p>
    <w:p w14:paraId="1015AAC7">
      <w:pPr>
        <w:snapToGrid w:val="0"/>
        <w:spacing w:line="360" w:lineRule="auto"/>
        <w:ind w:firstLine="420" w:firstLineChars="200"/>
        <w:rPr>
          <w:rFonts w:ascii="宋体" w:hAnsi="宋体"/>
          <w:szCs w:val="21"/>
        </w:rPr>
      </w:pPr>
      <w:r>
        <w:rPr>
          <w:rFonts w:hint="eastAsia" w:ascii="宋体" w:hAnsi="宋体"/>
          <w:szCs w:val="21"/>
        </w:rPr>
        <w:t>3、验收依据为招标文件、中标人投标文件，国家和行业有关规范、规程和标准。</w:t>
      </w:r>
    </w:p>
    <w:p w14:paraId="526B457F">
      <w:pPr>
        <w:pStyle w:val="26"/>
        <w:snapToGrid w:val="0"/>
        <w:spacing w:line="360" w:lineRule="auto"/>
        <w:ind w:firstLine="422" w:firstLineChars="200"/>
        <w:rPr>
          <w:rFonts w:hAnsi="宋体"/>
          <w:b/>
          <w:szCs w:val="21"/>
        </w:rPr>
      </w:pPr>
      <w:r>
        <w:rPr>
          <w:rFonts w:hint="eastAsia" w:hAnsi="宋体"/>
          <w:b/>
          <w:szCs w:val="21"/>
        </w:rPr>
        <w:t>十、付款方式和税费</w:t>
      </w:r>
    </w:p>
    <w:p w14:paraId="47640082">
      <w:pPr>
        <w:pStyle w:val="26"/>
        <w:snapToGrid w:val="0"/>
        <w:spacing w:line="360" w:lineRule="auto"/>
        <w:ind w:firstLine="420" w:firstLineChars="200"/>
        <w:rPr>
          <w:rFonts w:hAnsi="宋体"/>
          <w:bCs/>
          <w:szCs w:val="21"/>
        </w:rPr>
      </w:pPr>
      <w:r>
        <w:rPr>
          <w:rFonts w:hAnsi="宋体" w:cs="宋体"/>
          <w:szCs w:val="21"/>
        </w:rPr>
        <w:t>本合同付款方式为</w:t>
      </w:r>
      <w:r>
        <w:rPr>
          <w:rFonts w:hint="eastAsia" w:hAnsi="宋体" w:cs="宋体"/>
          <w:szCs w:val="21"/>
        </w:rPr>
        <w:t>：</w:t>
      </w:r>
      <w:r>
        <w:rPr>
          <w:rFonts w:hint="eastAsia" w:hAnsi="宋体" w:cs="宋体"/>
          <w:szCs w:val="21"/>
          <w:u w:val="single"/>
        </w:rPr>
        <w:t xml:space="preserve">                </w:t>
      </w:r>
      <w:r>
        <w:rPr>
          <w:rFonts w:hint="eastAsia" w:hAnsi="宋体"/>
          <w:bCs/>
          <w:szCs w:val="21"/>
        </w:rPr>
        <w:t>。</w:t>
      </w:r>
    </w:p>
    <w:p w14:paraId="7AD44FA3">
      <w:pPr>
        <w:snapToGrid w:val="0"/>
        <w:spacing w:line="360" w:lineRule="auto"/>
        <w:ind w:firstLine="420" w:firstLineChars="200"/>
        <w:rPr>
          <w:rFonts w:ascii="宋体" w:hAnsi="宋体"/>
          <w:szCs w:val="21"/>
        </w:rPr>
      </w:pPr>
      <w:r>
        <w:rPr>
          <w:rFonts w:hint="eastAsia" w:ascii="宋体" w:hAnsi="宋体"/>
          <w:szCs w:val="21"/>
        </w:rPr>
        <w:t>本合同执行中相关的一切税费均由中标人负担。</w:t>
      </w:r>
    </w:p>
    <w:p w14:paraId="56EB3B2B">
      <w:pPr>
        <w:snapToGrid w:val="0"/>
        <w:spacing w:line="360" w:lineRule="auto"/>
        <w:ind w:firstLine="422" w:firstLineChars="200"/>
        <w:rPr>
          <w:rFonts w:ascii="宋体" w:hAnsi="宋体"/>
          <w:b/>
          <w:bCs/>
          <w:szCs w:val="21"/>
        </w:rPr>
      </w:pPr>
      <w:r>
        <w:rPr>
          <w:rFonts w:hint="eastAsia" w:ascii="宋体" w:hAnsi="宋体"/>
          <w:b/>
          <w:szCs w:val="21"/>
        </w:rPr>
        <w:t>十一、</w:t>
      </w:r>
      <w:r>
        <w:rPr>
          <w:rFonts w:hint="eastAsia" w:ascii="宋体" w:hAnsi="宋体"/>
          <w:b/>
          <w:bCs/>
          <w:szCs w:val="21"/>
        </w:rPr>
        <w:t>争议解决办法</w:t>
      </w:r>
    </w:p>
    <w:p w14:paraId="7E63C917">
      <w:pPr>
        <w:snapToGrid w:val="0"/>
        <w:spacing w:line="360" w:lineRule="auto"/>
        <w:ind w:firstLine="420" w:firstLineChars="20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hint="eastAsia" w:ascii="宋体" w:hAnsi="宋体"/>
          <w:szCs w:val="21"/>
        </w:rPr>
        <w:t>。</w:t>
      </w:r>
    </w:p>
    <w:p w14:paraId="51B591C0">
      <w:pPr>
        <w:pStyle w:val="26"/>
        <w:snapToGrid w:val="0"/>
        <w:spacing w:line="360" w:lineRule="auto"/>
        <w:ind w:firstLine="422" w:firstLineChars="200"/>
        <w:rPr>
          <w:rFonts w:hAnsi="宋体"/>
          <w:b/>
          <w:szCs w:val="21"/>
        </w:rPr>
      </w:pPr>
      <w:r>
        <w:rPr>
          <w:rFonts w:hint="eastAsia" w:hAnsi="宋体"/>
          <w:b/>
          <w:szCs w:val="21"/>
        </w:rPr>
        <w:t>十二、违约责任</w:t>
      </w:r>
    </w:p>
    <w:p w14:paraId="3E50A604">
      <w:pPr>
        <w:pStyle w:val="26"/>
        <w:snapToGrid w:val="0"/>
        <w:spacing w:line="360" w:lineRule="auto"/>
        <w:ind w:firstLine="420" w:firstLineChars="200"/>
        <w:rPr>
          <w:rFonts w:hAnsi="宋体"/>
          <w:szCs w:val="21"/>
        </w:rPr>
      </w:pPr>
      <w:r>
        <w:rPr>
          <w:rFonts w:hint="eastAsia" w:hAnsi="宋体"/>
          <w:szCs w:val="21"/>
        </w:rPr>
        <w:t>1、因中标人原因，未能按规定完成本项目有关工作的，采购人可在支付合同余款中扣除合同价款</w:t>
      </w:r>
      <w:r>
        <w:rPr>
          <w:rFonts w:hint="eastAsia" w:hAnsi="宋体"/>
          <w:szCs w:val="21"/>
          <w:u w:val="single"/>
        </w:rPr>
        <w:t xml:space="preserve">        </w:t>
      </w:r>
      <w:r>
        <w:rPr>
          <w:rFonts w:hint="eastAsia" w:hAnsi="宋体"/>
          <w:szCs w:val="21"/>
        </w:rPr>
        <w:t>。</w:t>
      </w:r>
    </w:p>
    <w:p w14:paraId="30D6034D">
      <w:pPr>
        <w:snapToGrid w:val="0"/>
        <w:spacing w:line="360" w:lineRule="auto"/>
        <w:ind w:firstLine="420" w:firstLineChars="200"/>
        <w:rPr>
          <w:rFonts w:ascii="宋体" w:hAnsi="宋体"/>
          <w:szCs w:val="21"/>
        </w:rPr>
      </w:pPr>
      <w:r>
        <w:rPr>
          <w:rFonts w:hint="eastAsia" w:ascii="宋体" w:hAnsi="宋体"/>
          <w:szCs w:val="21"/>
        </w:rPr>
        <w:t>2、__________方违反本合同__________约定，应当__________。</w:t>
      </w:r>
    </w:p>
    <w:p w14:paraId="637A4D5C">
      <w:pPr>
        <w:snapToGrid w:val="0"/>
        <w:spacing w:line="360" w:lineRule="auto"/>
        <w:ind w:firstLine="422" w:firstLineChars="200"/>
        <w:rPr>
          <w:rFonts w:ascii="宋体" w:hAnsi="宋体"/>
          <w:b/>
          <w:bCs/>
          <w:szCs w:val="21"/>
        </w:rPr>
      </w:pPr>
      <w:r>
        <w:rPr>
          <w:rFonts w:hint="eastAsia" w:ascii="宋体" w:hAnsi="宋体"/>
          <w:b/>
          <w:szCs w:val="21"/>
        </w:rPr>
        <w:t>十三、</w:t>
      </w:r>
      <w:r>
        <w:rPr>
          <w:rFonts w:hint="eastAsia" w:asciiTheme="minorEastAsia" w:hAnsiTheme="minorEastAsia"/>
          <w:b/>
          <w:szCs w:val="21"/>
        </w:rPr>
        <w:t>合同的变更、解除或终止</w:t>
      </w:r>
    </w:p>
    <w:p w14:paraId="24D409BE">
      <w:pPr>
        <w:snapToGrid w:val="0"/>
        <w:spacing w:line="360" w:lineRule="auto"/>
        <w:ind w:firstLine="420" w:firstLineChars="200"/>
        <w:rPr>
          <w:rFonts w:ascii="宋体" w:hAnsi="宋体"/>
          <w:b/>
          <w:bCs/>
          <w:szCs w:val="21"/>
        </w:rPr>
      </w:pPr>
      <w:r>
        <w:rPr>
          <w:rFonts w:hint="eastAsia" w:ascii="宋体" w:hAnsi="宋体"/>
          <w:szCs w:val="21"/>
        </w:rPr>
        <w:t>除政府采购合同继续履行将损害国家利益和社会公共利益外，双方当事人不得擅自变更、中止或者终止合同。</w:t>
      </w:r>
    </w:p>
    <w:p w14:paraId="79A92835">
      <w:pPr>
        <w:snapToGrid w:val="0"/>
        <w:spacing w:line="360" w:lineRule="auto"/>
        <w:ind w:firstLine="422" w:firstLineChars="200"/>
        <w:rPr>
          <w:rFonts w:ascii="宋体" w:hAnsi="宋体"/>
          <w:b/>
          <w:bCs/>
          <w:szCs w:val="21"/>
        </w:rPr>
      </w:pPr>
      <w:r>
        <w:rPr>
          <w:rFonts w:hint="eastAsia" w:ascii="宋体" w:hAnsi="宋体"/>
          <w:b/>
          <w:szCs w:val="21"/>
        </w:rPr>
        <w:t>十四、</w:t>
      </w:r>
      <w:r>
        <w:rPr>
          <w:rFonts w:hint="eastAsia" w:asciiTheme="minorEastAsia" w:hAnsiTheme="minorEastAsia"/>
          <w:b/>
          <w:szCs w:val="21"/>
        </w:rPr>
        <w:t>合同生效及其他</w:t>
      </w:r>
    </w:p>
    <w:p w14:paraId="0D298C35">
      <w:pPr>
        <w:snapToGrid w:val="0"/>
        <w:spacing w:line="360" w:lineRule="auto"/>
        <w:ind w:firstLine="420" w:firstLineChars="200"/>
        <w:rPr>
          <w:rFonts w:ascii="宋体" w:hAnsi="宋体"/>
          <w:szCs w:val="21"/>
        </w:rPr>
      </w:pPr>
      <w:r>
        <w:rPr>
          <w:rFonts w:hint="eastAsia" w:ascii="宋体" w:hAnsi="宋体"/>
          <w:szCs w:val="21"/>
        </w:rPr>
        <w:t>1、本合同与招标文件、中标人投标文件如有抵触之处，以本合同条款为准。</w:t>
      </w:r>
    </w:p>
    <w:p w14:paraId="311399CA">
      <w:pPr>
        <w:snapToGrid w:val="0"/>
        <w:spacing w:line="360" w:lineRule="auto"/>
        <w:ind w:firstLine="420" w:firstLineChars="200"/>
        <w:rPr>
          <w:rFonts w:ascii="宋体" w:hAnsi="宋体"/>
          <w:szCs w:val="21"/>
        </w:rPr>
      </w:pPr>
      <w:r>
        <w:rPr>
          <w:rFonts w:hint="eastAsia" w:ascii="宋体" w:hAnsi="宋体"/>
          <w:szCs w:val="21"/>
        </w:rPr>
        <w:t>2、下列文件均为本合同的组成部分：</w:t>
      </w:r>
    </w:p>
    <w:p w14:paraId="03BC8084">
      <w:pPr>
        <w:snapToGrid w:val="0"/>
        <w:spacing w:line="360" w:lineRule="auto"/>
        <w:ind w:firstLine="420" w:firstLineChars="200"/>
        <w:rPr>
          <w:rFonts w:ascii="宋体" w:hAnsi="宋体"/>
          <w:szCs w:val="21"/>
        </w:rPr>
      </w:pPr>
      <w:r>
        <w:rPr>
          <w:rFonts w:hint="eastAsia" w:ascii="宋体" w:hAnsi="宋体"/>
          <w:szCs w:val="21"/>
        </w:rPr>
        <w:t>（1）招标文件、答疑及补充通知；</w:t>
      </w:r>
    </w:p>
    <w:p w14:paraId="24FA8657">
      <w:pPr>
        <w:snapToGrid w:val="0"/>
        <w:spacing w:line="360" w:lineRule="auto"/>
        <w:ind w:firstLine="420" w:firstLineChars="200"/>
        <w:rPr>
          <w:rFonts w:ascii="宋体" w:hAnsi="宋体"/>
          <w:szCs w:val="21"/>
        </w:rPr>
      </w:pPr>
      <w:r>
        <w:rPr>
          <w:rFonts w:hint="eastAsia" w:ascii="宋体" w:hAnsi="宋体"/>
          <w:szCs w:val="21"/>
        </w:rPr>
        <w:t>（2）</w:t>
      </w:r>
      <w:r>
        <w:rPr>
          <w:rFonts w:asciiTheme="minorEastAsia" w:hAnsiTheme="minorEastAsia"/>
          <w:szCs w:val="21"/>
        </w:rPr>
        <w:t>乙方的</w:t>
      </w:r>
      <w:r>
        <w:rPr>
          <w:rFonts w:hint="eastAsia" w:ascii="宋体" w:hAnsi="宋体"/>
          <w:szCs w:val="21"/>
        </w:rPr>
        <w:t>投标文件；</w:t>
      </w:r>
    </w:p>
    <w:p w14:paraId="6E70BF90">
      <w:pPr>
        <w:snapToGrid w:val="0"/>
        <w:spacing w:line="360" w:lineRule="auto"/>
        <w:ind w:firstLine="420" w:firstLineChars="200"/>
        <w:rPr>
          <w:rFonts w:ascii="宋体" w:hAnsi="宋体"/>
          <w:szCs w:val="21"/>
        </w:rPr>
      </w:pPr>
      <w:r>
        <w:rPr>
          <w:rFonts w:hint="eastAsia" w:ascii="宋体" w:hAnsi="宋体"/>
          <w:szCs w:val="21"/>
        </w:rPr>
        <w:t>（3）本合同执行中共同签署的补充与修正文件。</w:t>
      </w:r>
    </w:p>
    <w:p w14:paraId="15123DAE">
      <w:pPr>
        <w:snapToGrid w:val="0"/>
        <w:spacing w:line="360" w:lineRule="auto"/>
        <w:ind w:firstLine="420" w:firstLineChars="200"/>
        <w:rPr>
          <w:rFonts w:ascii="宋体" w:hAnsi="宋体"/>
          <w:szCs w:val="21"/>
        </w:rPr>
      </w:pPr>
      <w:r>
        <w:rPr>
          <w:rFonts w:hint="eastAsia" w:ascii="宋体" w:hAnsi="宋体"/>
          <w:szCs w:val="21"/>
        </w:rPr>
        <w:t>3、本合同一式_____份，甲、中标人双方各执_____份，具有同等法律效力。本合同自双方法定代表人签字（盖章）认可之日起生效。</w:t>
      </w:r>
    </w:p>
    <w:p w14:paraId="7CAC8277">
      <w:pPr>
        <w:snapToGrid w:val="0"/>
        <w:spacing w:line="360" w:lineRule="auto"/>
        <w:ind w:firstLine="420" w:firstLineChars="200"/>
        <w:rPr>
          <w:rFonts w:ascii="宋体" w:hAnsi="宋体"/>
          <w:szCs w:val="21"/>
        </w:rPr>
      </w:pPr>
      <w:r>
        <w:rPr>
          <w:rFonts w:hint="eastAsia" w:ascii="宋体" w:hAnsi="宋体"/>
          <w:szCs w:val="21"/>
        </w:rPr>
        <w:t>4、本合同未尽事宜，双方友好协商，达成解决方案，经双方签字后，可作为本合同的有效附件。</w:t>
      </w:r>
    </w:p>
    <w:p w14:paraId="7C74E8F8">
      <w:pPr>
        <w:pStyle w:val="26"/>
        <w:snapToGrid w:val="0"/>
        <w:spacing w:line="360" w:lineRule="auto"/>
        <w:ind w:firstLine="420" w:firstLineChars="200"/>
        <w:rPr>
          <w:rFonts w:hAnsi="宋体"/>
          <w:szCs w:val="21"/>
        </w:rPr>
      </w:pPr>
      <w:r>
        <w:rPr>
          <w:rFonts w:hint="eastAsia" w:hAnsi="宋体"/>
          <w:szCs w:val="21"/>
        </w:rPr>
        <w:t>附件：</w:t>
      </w:r>
    </w:p>
    <w:p w14:paraId="58E32E87">
      <w:pPr>
        <w:snapToGrid w:val="0"/>
        <w:spacing w:line="360" w:lineRule="auto"/>
        <w:ind w:firstLine="420" w:firstLineChars="200"/>
        <w:rPr>
          <w:rFonts w:ascii="宋体" w:hAnsi="宋体"/>
          <w:szCs w:val="21"/>
        </w:rPr>
      </w:pPr>
      <w:r>
        <w:rPr>
          <w:rFonts w:hint="eastAsia" w:ascii="宋体" w:hAnsi="宋体"/>
          <w:szCs w:val="21"/>
        </w:rPr>
        <w:t>1、《中标通知书》</w:t>
      </w:r>
    </w:p>
    <w:p w14:paraId="2904EE9D">
      <w:pPr>
        <w:snapToGrid w:val="0"/>
        <w:spacing w:line="360" w:lineRule="auto"/>
        <w:ind w:firstLine="420" w:firstLineChars="200"/>
        <w:rPr>
          <w:rFonts w:ascii="宋体" w:hAnsi="宋体"/>
          <w:szCs w:val="21"/>
        </w:rPr>
      </w:pPr>
      <w:r>
        <w:rPr>
          <w:rFonts w:hint="eastAsia" w:ascii="宋体" w:hAnsi="宋体"/>
          <w:szCs w:val="21"/>
        </w:rPr>
        <w:t>2、《投标文件》</w:t>
      </w:r>
    </w:p>
    <w:p w14:paraId="689C26B3">
      <w:pPr>
        <w:snapToGrid w:val="0"/>
        <w:spacing w:line="360" w:lineRule="auto"/>
        <w:ind w:firstLine="420" w:firstLineChars="200"/>
        <w:rPr>
          <w:rFonts w:ascii="宋体" w:hAnsi="宋体"/>
          <w:szCs w:val="21"/>
        </w:rPr>
      </w:pPr>
      <w:r>
        <w:rPr>
          <w:rFonts w:hint="eastAsia" w:ascii="宋体" w:hAnsi="宋体"/>
          <w:szCs w:val="21"/>
        </w:rPr>
        <w:t>3、《招标文件》</w:t>
      </w:r>
    </w:p>
    <w:p w14:paraId="061BFFEC">
      <w:pPr>
        <w:snapToGrid w:val="0"/>
        <w:spacing w:line="360" w:lineRule="auto"/>
        <w:rPr>
          <w:rFonts w:ascii="宋体" w:hAnsi="宋体"/>
          <w:szCs w:val="21"/>
        </w:rPr>
      </w:pPr>
    </w:p>
    <w:p w14:paraId="7451C4DC">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14:paraId="044B6FAB">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14:paraId="0BA8C7D2">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14:paraId="2FB4B666">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14:paraId="75D5CC8A">
      <w:pPr>
        <w:jc w:val="center"/>
        <w:rPr>
          <w:b/>
          <w:sz w:val="52"/>
          <w:szCs w:val="52"/>
        </w:rPr>
      </w:pPr>
    </w:p>
    <w:p w14:paraId="67A383E8">
      <w:pPr>
        <w:tabs>
          <w:tab w:val="left" w:pos="1875"/>
        </w:tabs>
      </w:pPr>
    </w:p>
    <w:p w14:paraId="15CB2262">
      <w:pPr>
        <w:tabs>
          <w:tab w:val="left" w:pos="1875"/>
        </w:tabs>
      </w:pPr>
    </w:p>
    <w:p w14:paraId="242ACA96">
      <w:pPr>
        <w:tabs>
          <w:tab w:val="left" w:pos="1875"/>
        </w:tabs>
      </w:pPr>
    </w:p>
    <w:p w14:paraId="4F76316B">
      <w:pPr>
        <w:tabs>
          <w:tab w:val="left" w:pos="1875"/>
        </w:tabs>
      </w:pPr>
    </w:p>
    <w:p w14:paraId="5C9C55E2">
      <w:pPr>
        <w:tabs>
          <w:tab w:val="left" w:pos="1875"/>
        </w:tabs>
      </w:pPr>
    </w:p>
    <w:p w14:paraId="7154EF4E">
      <w:pPr>
        <w:tabs>
          <w:tab w:val="left" w:pos="1875"/>
        </w:tabs>
      </w:pPr>
    </w:p>
    <w:p w14:paraId="6BFECDCB">
      <w:pPr>
        <w:tabs>
          <w:tab w:val="left" w:pos="1875"/>
        </w:tabs>
      </w:pPr>
    </w:p>
    <w:p w14:paraId="20218C52">
      <w:pPr>
        <w:tabs>
          <w:tab w:val="left" w:pos="1875"/>
        </w:tabs>
      </w:pPr>
    </w:p>
    <w:p w14:paraId="1B551AB8">
      <w:pPr>
        <w:tabs>
          <w:tab w:val="left" w:pos="1875"/>
        </w:tabs>
      </w:pPr>
    </w:p>
    <w:p w14:paraId="38C9C19D">
      <w:pPr>
        <w:tabs>
          <w:tab w:val="left" w:pos="1875"/>
        </w:tabs>
      </w:pPr>
    </w:p>
    <w:p w14:paraId="4F011201">
      <w:pPr>
        <w:tabs>
          <w:tab w:val="left" w:pos="1875"/>
        </w:tabs>
      </w:pPr>
    </w:p>
    <w:p w14:paraId="70380939">
      <w:pPr>
        <w:tabs>
          <w:tab w:val="left" w:pos="1875"/>
        </w:tabs>
      </w:pPr>
    </w:p>
    <w:p w14:paraId="0373689D">
      <w:pPr>
        <w:tabs>
          <w:tab w:val="left" w:pos="1875"/>
        </w:tabs>
      </w:pPr>
    </w:p>
    <w:p w14:paraId="1E907C2A">
      <w:pPr>
        <w:tabs>
          <w:tab w:val="left" w:pos="1875"/>
        </w:tabs>
      </w:pPr>
    </w:p>
    <w:p w14:paraId="40CEDD49">
      <w:pPr>
        <w:tabs>
          <w:tab w:val="left" w:pos="1875"/>
        </w:tabs>
      </w:pPr>
    </w:p>
    <w:p w14:paraId="2F324607">
      <w:pPr>
        <w:tabs>
          <w:tab w:val="left" w:pos="1875"/>
        </w:tabs>
      </w:pPr>
    </w:p>
    <w:p w14:paraId="7A040CC0">
      <w:pPr>
        <w:tabs>
          <w:tab w:val="left" w:pos="1875"/>
        </w:tabs>
      </w:pPr>
    </w:p>
    <w:p w14:paraId="5E262128">
      <w:pPr>
        <w:tabs>
          <w:tab w:val="left" w:pos="1875"/>
        </w:tabs>
      </w:pPr>
    </w:p>
    <w:p w14:paraId="134DBD87">
      <w:pPr>
        <w:tabs>
          <w:tab w:val="left" w:pos="1875"/>
        </w:tabs>
      </w:pPr>
    </w:p>
    <w:p w14:paraId="30970A0B">
      <w:pPr>
        <w:tabs>
          <w:tab w:val="left" w:pos="1875"/>
        </w:tabs>
      </w:pPr>
    </w:p>
    <w:p w14:paraId="03CA8CBA">
      <w:pPr>
        <w:tabs>
          <w:tab w:val="left" w:pos="1875"/>
        </w:tabs>
      </w:pPr>
    </w:p>
    <w:p w14:paraId="711791E4">
      <w:pPr>
        <w:tabs>
          <w:tab w:val="left" w:pos="1875"/>
        </w:tabs>
      </w:pPr>
    </w:p>
    <w:p w14:paraId="3E3A1574">
      <w:pPr>
        <w:tabs>
          <w:tab w:val="left" w:pos="1875"/>
        </w:tabs>
      </w:pPr>
    </w:p>
    <w:p w14:paraId="540AAD5C">
      <w:pPr>
        <w:tabs>
          <w:tab w:val="left" w:pos="1875"/>
        </w:tabs>
      </w:pPr>
    </w:p>
    <w:p w14:paraId="2DD29271">
      <w:pPr>
        <w:tabs>
          <w:tab w:val="left" w:pos="1875"/>
        </w:tabs>
      </w:pPr>
    </w:p>
    <w:p w14:paraId="69F1A0B7">
      <w:pPr>
        <w:tabs>
          <w:tab w:val="left" w:pos="1875"/>
        </w:tabs>
      </w:pPr>
    </w:p>
    <w:p w14:paraId="50A10056">
      <w:pPr>
        <w:pStyle w:val="3"/>
      </w:pPr>
      <w:bookmarkStart w:id="87" w:name="_Toc115096796"/>
      <w:bookmarkStart w:id="88" w:name="_Toc73610161"/>
      <w:r>
        <w:rPr>
          <w:rFonts w:hint="eastAsia"/>
        </w:rPr>
        <w:t>第九章  附件</w:t>
      </w:r>
      <w:bookmarkEnd w:id="87"/>
      <w:bookmarkEnd w:id="88"/>
    </w:p>
    <w:p w14:paraId="032BA5A4">
      <w:pPr>
        <w:keepNext/>
        <w:keepLines/>
        <w:jc w:val="center"/>
        <w:outlineLvl w:val="2"/>
        <w:rPr>
          <w:rFonts w:ascii="宋体" w:hAnsi="宋体"/>
          <w:b/>
          <w:bCs/>
          <w:kern w:val="0"/>
          <w:sz w:val="28"/>
          <w:szCs w:val="32"/>
        </w:rPr>
      </w:pPr>
      <w:bookmarkStart w:id="89" w:name="_Toc73610162"/>
      <w:bookmarkStart w:id="90" w:name="_Toc73613644"/>
      <w:r>
        <w:rPr>
          <w:rFonts w:hint="eastAsia" w:ascii="宋体" w:hAnsi="宋体"/>
          <w:b/>
          <w:bCs/>
          <w:kern w:val="0"/>
          <w:sz w:val="28"/>
          <w:szCs w:val="32"/>
        </w:rPr>
        <w:t>一、财政部 工业和信息化部关于印发《政府采购促进中小企业发展管理办法》的通知</w:t>
      </w:r>
      <w:bookmarkEnd w:id="89"/>
      <w:bookmarkEnd w:id="90"/>
    </w:p>
    <w:p w14:paraId="4FA67E56">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财库〔2020〕46号</w:t>
      </w:r>
    </w:p>
    <w:p w14:paraId="28331BE5">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各中央预算单位办公厅（室），各省、自治区、直辖市、计划单列市财政厅（局）、工业和信息化主管部门，新疆生产建设兵团财政局、工业和信息化主管部门：</w:t>
      </w:r>
    </w:p>
    <w:p w14:paraId="7D8E64E0">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14:paraId="00D56B57">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附件：政府采购促进中小企业发展管理办法</w:t>
      </w:r>
    </w:p>
    <w:p w14:paraId="371DE238">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财　　政　　部</w:t>
      </w:r>
    </w:p>
    <w:p w14:paraId="6A1FFF99">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工业和信息化部</w:t>
      </w:r>
    </w:p>
    <w:p w14:paraId="4D372705">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2020年12月18日</w:t>
      </w:r>
    </w:p>
    <w:p w14:paraId="17921965">
      <w:pPr>
        <w:widowControl/>
        <w:shd w:val="clear" w:color="auto" w:fill="FFFFFF"/>
        <w:spacing w:line="360" w:lineRule="auto"/>
        <w:ind w:firstLine="480"/>
        <w:rPr>
          <w:rFonts w:cs="宋体" w:asciiTheme="minorEastAsia" w:hAnsiTheme="minorEastAsia" w:eastAsiaTheme="minorEastAsia"/>
          <w:color w:val="333333"/>
          <w:kern w:val="0"/>
          <w:szCs w:val="21"/>
        </w:rPr>
      </w:pPr>
    </w:p>
    <w:p w14:paraId="384730E1">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附件</w:t>
      </w:r>
    </w:p>
    <w:p w14:paraId="2437E0A7">
      <w:pPr>
        <w:widowControl/>
        <w:shd w:val="clear" w:color="auto" w:fill="FFFFFF"/>
        <w:spacing w:line="360" w:lineRule="auto"/>
        <w:ind w:firstLine="480"/>
        <w:rPr>
          <w:rFonts w:cs="宋体" w:asciiTheme="minorEastAsia" w:hAnsiTheme="minorEastAsia" w:eastAsiaTheme="minorEastAsia"/>
          <w:color w:val="333333"/>
          <w:kern w:val="0"/>
          <w:szCs w:val="21"/>
        </w:rPr>
      </w:pPr>
    </w:p>
    <w:p w14:paraId="200B2350">
      <w:pPr>
        <w:widowControl/>
        <w:shd w:val="clear" w:color="auto" w:fill="FFFFFF"/>
        <w:spacing w:line="360" w:lineRule="auto"/>
        <w:jc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政府采购促进中小企业发展管理办法</w:t>
      </w:r>
    </w:p>
    <w:p w14:paraId="20E3FCEF">
      <w:pPr>
        <w:widowControl/>
        <w:shd w:val="clear" w:color="auto" w:fill="FFFFFF"/>
        <w:spacing w:line="360" w:lineRule="auto"/>
        <w:ind w:firstLine="480"/>
        <w:rPr>
          <w:rFonts w:cs="宋体" w:asciiTheme="minorEastAsia" w:hAnsiTheme="minorEastAsia" w:eastAsiaTheme="minorEastAsia"/>
          <w:color w:val="333333"/>
          <w:kern w:val="0"/>
          <w:szCs w:val="21"/>
        </w:rPr>
      </w:pPr>
    </w:p>
    <w:p w14:paraId="1E4363BF">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第一条</w:t>
      </w:r>
      <w:r>
        <w:rPr>
          <w:rFonts w:hint="eastAsia" w:cs="宋体" w:asciiTheme="minorEastAsia" w:hAnsiTheme="minorEastAsia" w:eastAsiaTheme="minorEastAsia"/>
          <w:color w:val="333333"/>
          <w:kern w:val="0"/>
          <w:szCs w:val="21"/>
        </w:rPr>
        <w:t>　为了发挥政府采购的政策功能，促进中小企业健康发展，根据《中华人民共和国政府采购法》、《中华人民共和国中小企业促进法》等有关法律法规，制定本办法。</w:t>
      </w:r>
    </w:p>
    <w:p w14:paraId="49203BDC">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第二条</w:t>
      </w:r>
      <w:r>
        <w:rPr>
          <w:rFonts w:hint="eastAsia" w:cs="宋体" w:asciiTheme="minorEastAsia" w:hAnsiTheme="minorEastAsia" w:eastAsiaTheme="minorEastAsia"/>
          <w:color w:val="333333"/>
          <w:kern w:val="0"/>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14:paraId="1883CEFD">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符合中小企业划分标准的个体工商户，在政府采购活动中视同中小企业。</w:t>
      </w:r>
    </w:p>
    <w:p w14:paraId="42FA33CF">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第三条</w:t>
      </w:r>
      <w:r>
        <w:rPr>
          <w:rFonts w:hint="eastAsia" w:cs="宋体" w:asciiTheme="minorEastAsia" w:hAnsiTheme="minorEastAsia" w:eastAsiaTheme="minorEastAsia"/>
          <w:color w:val="333333"/>
          <w:kern w:val="0"/>
          <w:szCs w:val="21"/>
        </w:rPr>
        <w:t>　采购人在政府采购活动中应当通过加强采购需求管理，落实预留采购份额、价格评审优惠、优先采购等措施，提高中小企业在政府采购中的份额，支持中小企业发展。</w:t>
      </w:r>
    </w:p>
    <w:p w14:paraId="2E6E96BA">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第四条</w:t>
      </w:r>
      <w:r>
        <w:rPr>
          <w:rFonts w:hint="eastAsia" w:cs="宋体" w:asciiTheme="minorEastAsia" w:hAnsiTheme="minorEastAsia" w:eastAsiaTheme="minorEastAsia"/>
          <w:color w:val="333333"/>
          <w:kern w:val="0"/>
          <w:szCs w:val="21"/>
        </w:rPr>
        <w:t>　在政府采购活动中，供应商提供的货物、工程或者服务符合下列情形的，享受本办法规定的中小企业扶持政策：</w:t>
      </w:r>
    </w:p>
    <w:p w14:paraId="626E2327">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（一）在货物采购项目中，货物由中小企业制造，即货物由中小企业生产且使用该中小企业商号或者注册商标；</w:t>
      </w:r>
    </w:p>
    <w:p w14:paraId="6E3A8580">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（二）在工程采购项目中，工程由中小企业承建，即工程施工单位为中小企业；</w:t>
      </w:r>
    </w:p>
    <w:p w14:paraId="15303630">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（三）在服务采购项目中，服务由中小企业承接，即提供服务的人员为中小企业依照《中华人民共和国劳动合同法》订立劳动合同的从业人员。</w:t>
      </w:r>
    </w:p>
    <w:p w14:paraId="69023B40">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在货物采购项目中，供应商提供的货物既有中小企业制造货物，也有大型企业制造货物的，不享受本办法规定的中小企业扶持政策。</w:t>
      </w:r>
    </w:p>
    <w:p w14:paraId="165F951D">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以联合体形式参加政府采购活动，联合体各方均为中小企业的，联合体视同中小企业。其中，联合体各方均为小微企业的，联合体视同小微企业。</w:t>
      </w:r>
    </w:p>
    <w:p w14:paraId="1D7DF590">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第五条</w:t>
      </w:r>
      <w:r>
        <w:rPr>
          <w:rFonts w:hint="eastAsia" w:cs="宋体" w:asciiTheme="minorEastAsia" w:hAnsiTheme="minorEastAsia" w:eastAsiaTheme="minorEastAsia"/>
          <w:color w:val="333333"/>
          <w:kern w:val="0"/>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14:paraId="2F4E5185">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第六条</w:t>
      </w:r>
      <w:r>
        <w:rPr>
          <w:rFonts w:hint="eastAsia" w:cs="宋体" w:asciiTheme="minorEastAsia" w:hAnsiTheme="minorEastAsia" w:eastAsiaTheme="minorEastAsia"/>
          <w:color w:val="333333"/>
          <w:kern w:val="0"/>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14:paraId="29B0095F">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符合下列情形之一的，可不专门面向中小企业预留采购份额：</w:t>
      </w:r>
    </w:p>
    <w:p w14:paraId="5AE519FF">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（一）法律法规和国家有关政策明确规定优先或者应当面向事业单位、社会组织等非企业主体采购的；</w:t>
      </w:r>
    </w:p>
    <w:p w14:paraId="62FFFA3A">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（二）因确需使用不可替代的专利、专有技术，基础设施限制，或者提供特定公共服务等原因，只能从中小企业之外的供应商处采购的；</w:t>
      </w:r>
    </w:p>
    <w:p w14:paraId="6331971A">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（三）按照本办法规定预留采购份额无法确保充分供应、充分竞争，或者存在可能影响政府采购目标实现的情形；</w:t>
      </w:r>
    </w:p>
    <w:p w14:paraId="5DD25613">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（四）框架协议采购项目；</w:t>
      </w:r>
    </w:p>
    <w:p w14:paraId="3B4B7E44">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（五）省级以上人民政府财政部门规定的其他情形。</w:t>
      </w:r>
    </w:p>
    <w:p w14:paraId="613C3672">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除上述情形外，其他均为适宜由中小企业提供的情形。</w:t>
      </w:r>
    </w:p>
    <w:p w14:paraId="581AC259">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第七条</w:t>
      </w:r>
      <w:r>
        <w:rPr>
          <w:rFonts w:hint="eastAsia" w:cs="宋体" w:asciiTheme="minorEastAsia" w:hAnsiTheme="minorEastAsia" w:eastAsiaTheme="minorEastAsia"/>
          <w:color w:val="333333"/>
          <w:kern w:val="0"/>
          <w:szCs w:val="21"/>
        </w:rPr>
        <w:t>　采购限额标准以上，200万元以下的货物和服务采购项目、400万元以下的工程采购项目，适宜由中小企业提供的，采购人应当专门面向中小企业采购。</w:t>
      </w:r>
    </w:p>
    <w:p w14:paraId="1A85388B">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第八条</w:t>
      </w:r>
      <w:r>
        <w:rPr>
          <w:rFonts w:hint="eastAsia" w:cs="宋体" w:asciiTheme="minorEastAsia" w:hAnsiTheme="minorEastAsia" w:eastAsiaTheme="minorEastAsia"/>
          <w:color w:val="333333"/>
          <w:kern w:val="0"/>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14:paraId="73249D61">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（一）将采购项目整体或者设置采购包专门面向中小企业采购；</w:t>
      </w:r>
    </w:p>
    <w:p w14:paraId="5CA5C2C7">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（二）要求供应商以联合体形式参加采购活动，且联合体中中小企业承担的部分达到一定比例；</w:t>
      </w:r>
    </w:p>
    <w:p w14:paraId="5521CBE7">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（三）要求获得采购合同的供应商将采购项目中的一定比例分包给一家或者多家中小企业。</w:t>
      </w:r>
    </w:p>
    <w:p w14:paraId="1D8A3505">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组成联合体或者接受分包合同的中小企业与联合体内其他企业、分包企业之间不得存在直接控股、管理关系。</w:t>
      </w:r>
    </w:p>
    <w:p w14:paraId="4E08C32A">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第九条</w:t>
      </w:r>
      <w:r>
        <w:rPr>
          <w:rFonts w:hint="eastAsia" w:cs="宋体" w:asciiTheme="minorEastAsia" w:hAnsiTheme="minorEastAsia" w:eastAsiaTheme="minorEastAsia"/>
          <w:color w:val="333333"/>
          <w:kern w:val="0"/>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14:paraId="0C232CB1">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14:paraId="549D3244">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14:paraId="4ACE521C">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第十条</w:t>
      </w:r>
      <w:r>
        <w:rPr>
          <w:rFonts w:hint="eastAsia" w:cs="宋体" w:asciiTheme="minorEastAsia" w:hAnsiTheme="minorEastAsia" w:eastAsiaTheme="minorEastAsia"/>
          <w:color w:val="333333"/>
          <w:kern w:val="0"/>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14:paraId="61EBB4A3">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第十一条</w:t>
      </w:r>
      <w:r>
        <w:rPr>
          <w:rFonts w:hint="eastAsia" w:cs="宋体" w:asciiTheme="minorEastAsia" w:hAnsiTheme="minorEastAsia" w:eastAsiaTheme="minorEastAsia"/>
          <w:color w:val="333333"/>
          <w:kern w:val="0"/>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14:paraId="024BDC5D">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第十二条</w:t>
      </w:r>
      <w:r>
        <w:rPr>
          <w:rFonts w:hint="eastAsia" w:cs="宋体" w:asciiTheme="minorEastAsia" w:hAnsiTheme="minorEastAsia" w:eastAsiaTheme="minorEastAsia"/>
          <w:color w:val="333333"/>
          <w:kern w:val="0"/>
          <w:szCs w:val="21"/>
        </w:rPr>
        <w:t>　采购项目涉及中小企业采购的，采购文件应当明确以下内容：</w:t>
      </w:r>
    </w:p>
    <w:p w14:paraId="33B9BDF8">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（一）预留份额的采购项目或者采购包，明确该项目或相关采购包专门面向中小企业采购，以及相关标的及预算金额；</w:t>
      </w:r>
    </w:p>
    <w:p w14:paraId="491E78CA">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（二）要求以联合体形式参加或者合同分包的，明确联合协议或者分包意向协议中中小企业合同金额应当达到的比例，并作为供应商资格条件；</w:t>
      </w:r>
    </w:p>
    <w:p w14:paraId="69FBA0EE">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（三）非预留份额的采购项目或者采购包，明确有关价格扣除比例或者价格分加分比例；</w:t>
      </w:r>
    </w:p>
    <w:p w14:paraId="320A94F8">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（四）规定依据本办法规定享受扶持政策获得政府采购合同的，小微企业不得将合同分包给大中型企业，中型企业不得将合同分包给大型企业；</w:t>
      </w:r>
    </w:p>
    <w:p w14:paraId="52B9024C">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（五）采购人认为具备相关条件的，明确对中小企业在资金支付期限、预付款比例等方面的优惠措施；</w:t>
      </w:r>
    </w:p>
    <w:p w14:paraId="2CE4F72A">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（六）明确采购标的对应的中小企业划分标准所属行业；</w:t>
      </w:r>
    </w:p>
    <w:p w14:paraId="3D8951BB">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（七）法律法规和省级以上人民政府财政部门规定的其他事项。</w:t>
      </w:r>
    </w:p>
    <w:p w14:paraId="4A7F5902">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第十三条</w:t>
      </w:r>
      <w:r>
        <w:rPr>
          <w:rFonts w:hint="eastAsia" w:cs="宋体" w:asciiTheme="minorEastAsia" w:hAnsiTheme="minorEastAsia" w:eastAsiaTheme="minorEastAsia"/>
          <w:color w:val="333333"/>
          <w:kern w:val="0"/>
          <w:szCs w:val="21"/>
        </w:rPr>
        <w:t>　中标、成交供应商享受本办法规定的中小企业扶持政策的，采购人、采购代理机构应当随中标、成交结果公开中标、成交供应商的《中小企业声明函》。</w:t>
      </w:r>
    </w:p>
    <w:p w14:paraId="692C0F91">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适用招标投标法的政府采购工程建设项目，应当在公示中标候选人时公开中标候选人的《中小企业声明函》。</w:t>
      </w:r>
    </w:p>
    <w:p w14:paraId="2AFE2743">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第十四条</w:t>
      </w:r>
      <w:r>
        <w:rPr>
          <w:rFonts w:hint="eastAsia" w:cs="宋体" w:asciiTheme="minorEastAsia" w:hAnsiTheme="minorEastAsia" w:eastAsiaTheme="minorEastAsia"/>
          <w:color w:val="333333"/>
          <w:kern w:val="0"/>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14:paraId="28D8561E">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第十五条</w:t>
      </w:r>
      <w:r>
        <w:rPr>
          <w:rFonts w:hint="eastAsia" w:cs="宋体" w:asciiTheme="minorEastAsia" w:hAnsiTheme="minorEastAsia" w:eastAsiaTheme="minorEastAsia"/>
          <w:color w:val="333333"/>
          <w:kern w:val="0"/>
          <w:szCs w:val="21"/>
        </w:rPr>
        <w:t>　鼓励各地区、各部门在采购活动中允许中小企业引入信用担保手段，为中小企业在投标（响应）保证、履约保证等方面提供专业化服务。鼓励中小企业依法合规通过政府采购合同融资。</w:t>
      </w:r>
    </w:p>
    <w:p w14:paraId="258F6E87">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第十六条</w:t>
      </w:r>
      <w:r>
        <w:rPr>
          <w:rFonts w:hint="eastAsia" w:cs="宋体" w:asciiTheme="minorEastAsia" w:hAnsiTheme="minorEastAsia" w:eastAsiaTheme="minorEastAsia"/>
          <w:color w:val="333333"/>
          <w:kern w:val="0"/>
          <w:szCs w:val="21"/>
        </w:rPr>
        <w:t>　政府采购监督检查、投诉处理及政府采购行政处罚中对中小企业的认定，由货物制造商或者工程、服务供应商注册登记所在地的县级以上人民政府中小企业主管部门负责。</w:t>
      </w:r>
    </w:p>
    <w:p w14:paraId="34D57DA4">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中小企业主管部门应当在收到财政部门或者有关招标投标行政监督部门关于协助开展中小企业认定函后10个工作日内做出书面答复。</w:t>
      </w:r>
    </w:p>
    <w:p w14:paraId="12CAA73E">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第十七条</w:t>
      </w:r>
      <w:r>
        <w:rPr>
          <w:rFonts w:hint="eastAsia" w:cs="宋体" w:asciiTheme="minorEastAsia" w:hAnsiTheme="minorEastAsia" w:eastAsiaTheme="minorEastAsia"/>
          <w:color w:val="333333"/>
          <w:kern w:val="0"/>
          <w:szCs w:val="21"/>
        </w:rPr>
        <w:t>　各地区、各部门应当对涉及中小企业采购的预算项目实施全过程绩效管理，合理设置绩效目标和指标，落实扶持中小企业有关政策要求，定期开展绩效监控和评价，强化绩效评价结果应用。</w:t>
      </w:r>
    </w:p>
    <w:p w14:paraId="17DB1D7A">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第十八条</w:t>
      </w:r>
      <w:r>
        <w:rPr>
          <w:rFonts w:hint="eastAsia" w:cs="宋体" w:asciiTheme="minorEastAsia" w:hAnsiTheme="minorEastAsia" w:eastAsiaTheme="minorEastAsia"/>
          <w:color w:val="333333"/>
          <w:kern w:val="0"/>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14:paraId="61365DEE">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第十九条</w:t>
      </w:r>
      <w:r>
        <w:rPr>
          <w:rFonts w:hint="eastAsia" w:cs="宋体" w:asciiTheme="minorEastAsia" w:hAnsiTheme="minorEastAsia" w:eastAsiaTheme="minorEastAsia"/>
          <w:color w:val="333333"/>
          <w:kern w:val="0"/>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14:paraId="11FDC8DC">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第二十条</w:t>
      </w:r>
      <w:r>
        <w:rPr>
          <w:rFonts w:hint="eastAsia" w:cs="宋体" w:asciiTheme="minorEastAsia" w:hAnsiTheme="minorEastAsia" w:eastAsiaTheme="minorEastAsia"/>
          <w:color w:val="333333"/>
          <w:kern w:val="0"/>
          <w:szCs w:val="21"/>
        </w:rPr>
        <w:t>　供应商按照本办法规定提供声明函内容不实的，属于提供虚假材料谋取中标、成交，依照《中华人民共和国政府采购法》等国家有关规定追究相应责任。</w:t>
      </w:r>
    </w:p>
    <w:p w14:paraId="628DFDA8">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适用招标投标法的政府采购工程建设项目，投标人按照本办法规定提供声明函内容不实的，属于弄虚作假骗取中标，依照《中华人民共和国招标投标法》等国家有关规定追究相应责任。</w:t>
      </w:r>
    </w:p>
    <w:p w14:paraId="553D597E">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第二十一条</w:t>
      </w:r>
      <w:r>
        <w:rPr>
          <w:rFonts w:hint="eastAsia" w:cs="宋体" w:asciiTheme="minorEastAsia" w:hAnsiTheme="minorEastAsia" w:eastAsiaTheme="minorEastAsia"/>
          <w:color w:val="333333"/>
          <w:kern w:val="0"/>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14:paraId="575A68CE">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第二十二条</w:t>
      </w:r>
      <w:r>
        <w:rPr>
          <w:rFonts w:hint="eastAsia" w:cs="宋体" w:asciiTheme="minorEastAsia" w:hAnsiTheme="minorEastAsia" w:eastAsiaTheme="minorEastAsia"/>
          <w:color w:val="333333"/>
          <w:kern w:val="0"/>
          <w:szCs w:val="21"/>
        </w:rPr>
        <w:t>　对外援助项目、国家相关资格或者资质管理制度另有规定的项目，不适用本办法。</w:t>
      </w:r>
    </w:p>
    <w:p w14:paraId="4DEDA498">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第二十三条</w:t>
      </w:r>
      <w:r>
        <w:rPr>
          <w:rFonts w:hint="eastAsia" w:cs="宋体" w:asciiTheme="minorEastAsia" w:hAnsiTheme="minorEastAsia" w:eastAsiaTheme="minorEastAsia"/>
          <w:color w:val="333333"/>
          <w:kern w:val="0"/>
          <w:szCs w:val="21"/>
        </w:rPr>
        <w:t>　关于视同中小企业的其他主体的政府采购扶持政策，由财政部会同有关部门另行规定。</w:t>
      </w:r>
    </w:p>
    <w:p w14:paraId="2DC0A4F9">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第二十四条</w:t>
      </w:r>
      <w:r>
        <w:rPr>
          <w:rFonts w:hint="eastAsia" w:cs="宋体" w:asciiTheme="minorEastAsia" w:hAnsiTheme="minorEastAsia" w:eastAsiaTheme="minorEastAsia"/>
          <w:color w:val="333333"/>
          <w:kern w:val="0"/>
          <w:szCs w:val="21"/>
        </w:rPr>
        <w:t>　省级财政部门可以会同中小企业主管部门根据本办法的规定制定具体实施办法。</w:t>
      </w:r>
    </w:p>
    <w:p w14:paraId="1F730BDF">
      <w:pPr>
        <w:widowControl/>
        <w:shd w:val="clear" w:color="auto" w:fill="FFFFFF"/>
        <w:spacing w:line="360" w:lineRule="auto"/>
        <w:ind w:firstLine="480"/>
        <w:jc w:val="left"/>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第二十五条</w:t>
      </w:r>
      <w:r>
        <w:rPr>
          <w:rFonts w:hint="eastAsia" w:cs="宋体" w:asciiTheme="minorEastAsia" w:hAnsiTheme="minorEastAsia" w:eastAsiaTheme="minorEastAsia"/>
          <w:color w:val="333333"/>
          <w:kern w:val="0"/>
          <w:szCs w:val="21"/>
        </w:rPr>
        <w:t>　本办法自2021年1月1日起施行。《财政部 工业和信息化部关于印发〈政府采购促进中小企业发展暂行办法〉的通知》（财库〔2011〕181号）同时废止。</w:t>
      </w:r>
    </w:p>
    <w:p w14:paraId="75B870C1">
      <w:pPr>
        <w:widowControl/>
        <w:shd w:val="clear" w:color="auto" w:fill="FFFFFF"/>
        <w:spacing w:line="360" w:lineRule="auto"/>
        <w:ind w:firstLine="480"/>
        <w:jc w:val="left"/>
        <w:rPr>
          <w:rFonts w:cs="宋体" w:asciiTheme="minorEastAsia" w:hAnsiTheme="minorEastAsia" w:eastAsiaTheme="minorEastAsia"/>
          <w:color w:val="333333"/>
          <w:kern w:val="0"/>
          <w:szCs w:val="21"/>
        </w:rPr>
      </w:pPr>
    </w:p>
    <w:p w14:paraId="0F70AA58">
      <w:pPr>
        <w:spacing w:line="360" w:lineRule="auto"/>
        <w:rPr>
          <w:rFonts w:asciiTheme="minorEastAsia" w:hAnsiTheme="minorEastAsia" w:eastAsiaTheme="minorEastAsia"/>
          <w:szCs w:val="21"/>
        </w:rPr>
      </w:pPr>
    </w:p>
    <w:p w14:paraId="0E2969C3">
      <w:pPr>
        <w:keepNext/>
        <w:keepLines/>
        <w:jc w:val="center"/>
        <w:outlineLvl w:val="2"/>
        <w:rPr>
          <w:rFonts w:ascii="宋体" w:hAnsi="宋体"/>
          <w:b/>
          <w:bCs/>
          <w:kern w:val="0"/>
          <w:sz w:val="28"/>
          <w:szCs w:val="32"/>
        </w:rPr>
      </w:pPr>
      <w:bookmarkStart w:id="91" w:name="_Toc73610163"/>
      <w:bookmarkStart w:id="92" w:name="_Toc73613645"/>
      <w:r>
        <w:rPr>
          <w:rFonts w:hint="eastAsia" w:ascii="宋体" w:hAnsi="宋体"/>
          <w:b/>
          <w:bCs/>
          <w:kern w:val="0"/>
          <w:sz w:val="28"/>
          <w:szCs w:val="32"/>
        </w:rPr>
        <w:t>二、关于印发中小企业划型标准规定的通知</w:t>
      </w:r>
      <w:bookmarkEnd w:id="91"/>
      <w:bookmarkEnd w:id="92"/>
    </w:p>
    <w:p w14:paraId="0C8F6C44">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工信部联企业〔2011〕300号</w:t>
      </w:r>
    </w:p>
    <w:p w14:paraId="2CBFCCA8">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各省、自治区、直辖市人民政府，国务院各部委、各直属机构及有关单位：</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14:paraId="12128C89">
      <w:pPr>
        <w:widowControl/>
        <w:shd w:val="clear" w:color="auto" w:fill="FFFFFF"/>
        <w:spacing w:before="100" w:beforeAutospacing="1" w:after="100" w:afterAutospacing="1" w:line="360" w:lineRule="auto"/>
        <w:jc w:val="righ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工业和信息化部　国家统计局</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国家发展和改革委员会　财政部</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二○一一年六月十八日</w:t>
      </w:r>
    </w:p>
    <w:p w14:paraId="16A6505B">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b/>
          <w:bCs/>
          <w:color w:val="000000"/>
          <w:kern w:val="0"/>
        </w:rPr>
        <w:t>中小企业划型标准规定</w:t>
      </w:r>
    </w:p>
    <w:p w14:paraId="73D12E26">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一、根据《中华人民共和国中小企业促进法》和《国务院关于进一步促进中小企业发展的若干意见》(国发〔2009〕36号)，制定本规定。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二、中小企业划分为中型、小型、微型三种类型，具体标准根据企业从业人员、营业收入、资产总额等指标，结合行业特点制定。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四、各行业划型标准为：</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（一）农、林、牧、渔业。营业收入20000万元以下的为中小微型企业。其中，营业收入500万元及以上的为中型企业，营业收入50万元及以上的为小型企业，营业收入50万元以下的为微型企业。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（十六）其他未列明行业。从业人员300人以下的为中小微型企业。其中，从业人员100人及以上的为中型企业；从业人员10人及以上的为小型企业；从业人员10人以下的为微型企业。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五、企业类型的划分以统计部门的统计数据为依据。</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六、本规定适用于在中华人民共和国境内依法设立的各类所有制和各种组织形式的企业。个体工商户和本规定以外的行业，参照本规定进行划型。</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八、本规定由工业和信息化部、国家统计局会同有关部门根据《国民经济行业分类》修订情况和企业发展变化情况适时修订。</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九、本规定由工业和信息化部、国家统计局会同有关部门负责解释。</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十、本规定自发布之日起执行，原国家经贸委、原国家计委、财政部和国家统计局2003年颁布的《中小企业标准暂行规定》同时废止。</w:t>
      </w:r>
    </w:p>
    <w:p w14:paraId="577A78EE">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p>
    <w:p w14:paraId="3017FC01">
      <w:pPr>
        <w:keepNext/>
        <w:keepLines/>
        <w:jc w:val="center"/>
        <w:outlineLvl w:val="2"/>
        <w:rPr>
          <w:rFonts w:asciiTheme="minorEastAsia" w:hAnsiTheme="minorEastAsia" w:eastAsiaTheme="minorEastAsia"/>
          <w:b/>
          <w:bCs/>
          <w:kern w:val="0"/>
          <w:sz w:val="28"/>
          <w:szCs w:val="32"/>
        </w:rPr>
      </w:pPr>
      <w:bookmarkStart w:id="93" w:name="_Toc73610164"/>
      <w:bookmarkStart w:id="94" w:name="_Toc73613646"/>
      <w:r>
        <w:rPr>
          <w:rFonts w:hint="eastAsia" w:asciiTheme="minorEastAsia" w:hAnsiTheme="minorEastAsia" w:eastAsiaTheme="minorEastAsia"/>
          <w:b/>
          <w:kern w:val="0"/>
          <w:sz w:val="28"/>
          <w:szCs w:val="32"/>
        </w:rPr>
        <w:t>三、</w:t>
      </w:r>
      <w:r>
        <w:rPr>
          <w:rFonts w:asciiTheme="minorEastAsia" w:hAnsiTheme="minorEastAsia" w:eastAsiaTheme="minorEastAsia"/>
          <w:b/>
          <w:kern w:val="0"/>
          <w:sz w:val="28"/>
          <w:szCs w:val="32"/>
        </w:rPr>
        <w:t>国家统计局关于印发《统计上大中小微型企业划分办法 （2017）》的通知</w:t>
      </w:r>
      <w:bookmarkEnd w:id="93"/>
      <w:bookmarkEnd w:id="94"/>
      <w:r>
        <w:rPr>
          <w:rFonts w:asciiTheme="minorEastAsia" w:hAnsiTheme="minorEastAsia" w:eastAsiaTheme="minorEastAsia"/>
          <w:b/>
          <w:kern w:val="0"/>
          <w:sz w:val="28"/>
          <w:szCs w:val="32"/>
        </w:rPr>
        <w:t> </w:t>
      </w:r>
    </w:p>
    <w:p w14:paraId="5562E91F">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国统字〔2017〕213号</w:t>
      </w:r>
    </w:p>
    <w:p w14:paraId="2205BB24">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14:paraId="624003F9">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14:paraId="080D1170">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14:paraId="6E2CF03C">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14:paraId="19DBC0DE">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14:paraId="07EC6F6D">
      <w:pPr>
        <w:widowControl/>
        <w:spacing w:line="360" w:lineRule="auto"/>
        <w:jc w:val="center"/>
        <w:rPr>
          <w:rFonts w:cs="宋体" w:asciiTheme="minorEastAsia" w:hAnsiTheme="minorEastAsia" w:eastAsiaTheme="minorEastAsia"/>
          <w:b/>
          <w:bCs/>
          <w:kern w:val="0"/>
          <w:szCs w:val="21"/>
        </w:rPr>
      </w:pPr>
    </w:p>
    <w:p w14:paraId="14B2ED18">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14:paraId="3ECAA938">
      <w:pPr>
        <w:widowControl/>
        <w:spacing w:line="360" w:lineRule="auto"/>
        <w:jc w:val="left"/>
        <w:rPr>
          <w:rFonts w:cs="宋体" w:asciiTheme="minorEastAsia" w:hAnsiTheme="minorEastAsia" w:eastAsiaTheme="minorEastAsia"/>
          <w:kern w:val="0"/>
          <w:szCs w:val="21"/>
        </w:rPr>
      </w:pPr>
    </w:p>
    <w:p w14:paraId="2EBE2C21">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14:paraId="3BE29762">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14:paraId="706DB8AD">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14:paraId="1D0CED48">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14:paraId="0E587FE1">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14:paraId="610C757B">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14:paraId="30BF7876">
      <w:pPr>
        <w:widowControl/>
        <w:spacing w:line="360" w:lineRule="auto"/>
        <w:jc w:val="left"/>
        <w:rPr>
          <w:rFonts w:cs="宋体" w:asciiTheme="minorEastAsia" w:hAnsiTheme="minorEastAsia" w:eastAsiaTheme="minorEastAsia"/>
          <w:kern w:val="0"/>
          <w:szCs w:val="21"/>
        </w:rPr>
      </w:pPr>
    </w:p>
    <w:p w14:paraId="47CA5143">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14:paraId="611199E7">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14:paraId="5DB652D5">
      <w:pPr>
        <w:widowControl/>
        <w:spacing w:line="360" w:lineRule="auto"/>
        <w:jc w:val="left"/>
        <w:rPr>
          <w:rFonts w:cs="宋体" w:asciiTheme="minorEastAsia" w:hAnsiTheme="minorEastAsia" w:eastAsiaTheme="minorEastAsia"/>
          <w:kern w:val="0"/>
          <w:szCs w:val="21"/>
        </w:rPr>
      </w:pPr>
    </w:p>
    <w:p w14:paraId="652DE817">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14:paraId="2D52A32D">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14:paraId="0D2D6725">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14:paraId="1DBAE578">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14:paraId="2C15B434">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14:paraId="377F8F9E">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14:paraId="43E84C34">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14:paraId="09B55E8E">
      <w:pPr>
        <w:widowControl/>
        <w:spacing w:line="360" w:lineRule="auto"/>
        <w:jc w:val="left"/>
        <w:rPr>
          <w:rFonts w:cs="宋体" w:asciiTheme="minorEastAsia" w:hAnsiTheme="minorEastAsia" w:eastAsiaTheme="minorEastAsia"/>
          <w:kern w:val="0"/>
          <w:szCs w:val="21"/>
        </w:rPr>
      </w:pPr>
    </w:p>
    <w:p w14:paraId="6FC34DE7">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14:paraId="118F3297">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14:paraId="02988D8A">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14:paraId="5FE30F1C">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14:paraId="59DC24B3">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14:paraId="4E0CFCFB">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14:paraId="67A16BD5">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14:paraId="44F4CEAD">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14:paraId="3A6CA2E2">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14:paraId="1051FF96">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14:paraId="26C68D0E">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14:paraId="14954734">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14:paraId="1A70F399">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14:paraId="2841FFA4">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14:paraId="154261F6">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14:paraId="733037E7">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14:paraId="2010A5B4">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14:paraId="695A00E3">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14:paraId="465F0446">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14:paraId="53EADF19">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14:paraId="0E456475">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14:paraId="28E91433">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14:paraId="0935E5FB">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14:paraId="371CF13B">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14:paraId="3BEB4792">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14:paraId="27809EC0">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14:paraId="380D18B4">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14:paraId="62C559F7">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14:paraId="26922DEB">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14:paraId="5E4A7A78">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14:paraId="478A2863">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14:paraId="690B3BD8">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14:paraId="739E3F6E">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14:paraId="2EC91503">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14:paraId="638608D3">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14:paraId="75B033F2">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14:paraId="7845ED6F">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14:paraId="5B7CBC9A">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14:paraId="499A03E4">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14:paraId="3CB57972">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14:paraId="583B39C4">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14:paraId="6399BB2B">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14:paraId="639C14BA">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14:paraId="420045CF">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14:paraId="340C4B5C">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14:paraId="7C5B6C4D">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14:paraId="4E0EA6C8">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14:paraId="34974B4E">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14:paraId="712A129A">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14:paraId="00AA43FD">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14:paraId="5F9CCA0B">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14:paraId="67E1883B">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14:paraId="30AF82D4">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14:paraId="2D861AEB">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14:paraId="00E568A6">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14:paraId="42E6220B">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14:paraId="21641A1E">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14:paraId="37A9D431">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14:paraId="3F894F48">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14:paraId="6EEA9CF7">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14:paraId="64F984AA">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14:paraId="52AFE2F3">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14:paraId="6321CDB1">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14:paraId="6B330E80">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14:paraId="77426E5D">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14:paraId="5C061260">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14:paraId="7FD19A32">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14:paraId="391C300E">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14:paraId="64D0D99A">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14:paraId="7504E51E">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14:paraId="3CD2BE56">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14:paraId="3A964931">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14:paraId="075463E0">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14:paraId="1837559A">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14:paraId="1B31DC69">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14:paraId="2699192B">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14:paraId="59A9D283">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14:paraId="391FC54D">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14:paraId="6B3442C9">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14:paraId="746FAF2E">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14:paraId="0FC0026F">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14:paraId="2CCF827F">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14:paraId="46A8D313">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14:paraId="43E637E3">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14:paraId="23AE8A88">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14:paraId="51827216">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14:paraId="384A6EDA">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14:paraId="76F43464">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14:paraId="350A04AD">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14:paraId="7C572DAA">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14:paraId="4E512B46">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14:paraId="0F9A967C">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14:paraId="10B618A8">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14:paraId="0FC84094">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14:paraId="056F23E7">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14:paraId="01ECBACB">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14:paraId="5A4A5CDF">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14:paraId="19E8BD3C">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14:paraId="45BE5948">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14:paraId="21922E2C">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14:paraId="3E2922FA">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14:paraId="767BA96E">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14:paraId="74AFC891">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14:paraId="2403B1C6">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14:paraId="11ADF1DD">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14:paraId="0391B1A7">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14:paraId="37F65EA0">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14:paraId="3E1E3A51">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14:paraId="1CF690EC">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14:paraId="7245E329">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14:paraId="7CEB1C46">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14:paraId="5A39C0E2">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14:paraId="7E94ECE5">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14:paraId="726B11AF">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14:paraId="61E597EB">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14:paraId="19FF6638">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14:paraId="7871A7B8">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14:paraId="1763E839">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14:paraId="72AEE3A7">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14:paraId="557D8E49">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14:paraId="569CD271">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14:paraId="5462D598">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14:paraId="7C93339F">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14:paraId="18342BCD">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14:paraId="332DAEB7">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14:paraId="01F7807A">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14:paraId="73EEE3D8">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14:paraId="364F935D">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14:paraId="5ECAAC6E">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14:paraId="4E24FECA">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14:paraId="6998B589">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14:paraId="1B6B10FE">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14:paraId="69D1F646">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14:paraId="70032DC0">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14:paraId="2F48840A">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14:paraId="7773D94A">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14:paraId="0A02B0EC">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14:paraId="78B9C077">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14:paraId="7C52C6F9">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14:paraId="325A982D">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14:paraId="2524F1EB">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14:paraId="4CB61E28">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14:paraId="6900FFFC">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14:paraId="327F79F2">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14:paraId="0E0F53DC">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14:paraId="37906CBA">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14:paraId="44E7ABA4">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14:paraId="7081CCA4">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14:paraId="2EBD3735">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14:paraId="3D363438">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14:paraId="2B693700">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14:paraId="437B85EE">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14:paraId="136B461A">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14:paraId="348E078D">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14:paraId="17A7AF12">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14:paraId="31063F28">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14:paraId="76DC71BF">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14:paraId="406B289C">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14:paraId="00461B78">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14:paraId="6A58C4B9">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14:paraId="4656B300">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14:paraId="60C0499F">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14:paraId="564B91DE">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14:paraId="128EE93D">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14:paraId="5A895236">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14:paraId="1D025E2E">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14:paraId="23F4F461">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14:paraId="2DE54E35">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14:paraId="7F6F9E37">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14:paraId="0EE1653F">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14:paraId="6E3D6CDD">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14:paraId="0FEAF17E">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14:paraId="5A25FBD8">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14:paraId="040F5116">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14:paraId="1FF5DD0C">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14:paraId="52C9501A">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14:paraId="01AFD497">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14:paraId="7111A150">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14:paraId="16491637">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14:paraId="43E85628">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14:paraId="7F45EF42">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14:paraId="16FD078B">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14:paraId="37EB7930">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14:paraId="3A328023">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14:paraId="73774FE4">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14:paraId="7DA9A1CF">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14:paraId="084E6798">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14:paraId="2E327E48">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14:paraId="588F2819">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14:paraId="710D21B3">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14:paraId="2CDEC2F4">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14:paraId="0859A46F">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14:paraId="4A78D863">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14:paraId="530EEF72">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14:paraId="174EB6C3">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14:paraId="012D0A12">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14:paraId="40AF4BF8">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14:paraId="12269B6C">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14:paraId="3C915493">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14:paraId="475C8727">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14:paraId="02E995D7">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14:paraId="37150173">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14:paraId="514FAAAE">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14:paraId="78131314">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14:paraId="21B7E243">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14:paraId="6B2E7B57">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14:paraId="69E4196D">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14:paraId="747B9494">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14:paraId="6A0AA76B">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14:paraId="2D1F249A">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14:paraId="55384B4A">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14:paraId="2EF27620">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14:paraId="67D883EE">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14:paraId="1CA1667F">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14:paraId="5F8E0E7E">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14:paraId="1A38F34F">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14:paraId="6F8363D6">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14:paraId="0129E7C8">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14:paraId="07D56752">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14:paraId="2D01887A">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14:paraId="795A0046">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14:paraId="08FDF462">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14:paraId="68D8F3A8">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14:paraId="6652396A">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14:paraId="5E31A9B1">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14:paraId="40CD3753">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14:paraId="316DCA9F">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14:paraId="7CB09EC9">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14:paraId="55B7C15B">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14:paraId="2D40AB64">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14:paraId="2652DB85">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14:paraId="6F19021A">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14:paraId="6B8B1DAA">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14:paraId="470EB5D2">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14:paraId="26EFC6D3">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14:paraId="6DAA8204">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14:paraId="155A319F">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14:paraId="19E3894A">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14:paraId="4DC7EB60">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14:paraId="6A1E0470">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14:paraId="2B833151">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14:paraId="28D5CCBF">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14:paraId="170965FD">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14:paraId="12F2413D">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14:paraId="2A90B9E1">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14:paraId="1B660A1E">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14:paraId="7A2B0F0D">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14:paraId="66F591EF">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14:paraId="580EE357">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14:paraId="46A160B5">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14:paraId="681D43F4">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14:paraId="528CA0CC">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14:paraId="4F94FDC9">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14:paraId="7266E739">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14:paraId="6E52592E">
      <w:pPr>
        <w:spacing w:line="360" w:lineRule="auto"/>
        <w:rPr>
          <w:rFonts w:asciiTheme="minorEastAsia" w:hAnsiTheme="minorEastAsia" w:eastAsiaTheme="minorEastAsia"/>
          <w:szCs w:val="21"/>
        </w:rPr>
      </w:pPr>
    </w:p>
    <w:p w14:paraId="15E6574C">
      <w:pPr>
        <w:keepNext/>
        <w:keepLines/>
        <w:jc w:val="center"/>
        <w:outlineLvl w:val="2"/>
        <w:rPr>
          <w:rFonts w:ascii="宋体" w:hAnsi="宋体"/>
          <w:b/>
          <w:bCs/>
          <w:kern w:val="0"/>
          <w:sz w:val="28"/>
          <w:szCs w:val="32"/>
        </w:rPr>
      </w:pPr>
      <w:bookmarkStart w:id="95" w:name="_Toc73613647"/>
      <w:bookmarkStart w:id="96" w:name="_Toc73610165"/>
      <w:r>
        <w:rPr>
          <w:rFonts w:hint="eastAsia" w:ascii="宋体" w:hAnsi="宋体"/>
          <w:b/>
          <w:bCs/>
          <w:kern w:val="0"/>
          <w:sz w:val="28"/>
          <w:szCs w:val="32"/>
        </w:rPr>
        <w:t>四、</w:t>
      </w:r>
      <w:r>
        <w:rPr>
          <w:rFonts w:ascii="宋体" w:hAnsi="宋体"/>
          <w:b/>
          <w:bCs/>
          <w:kern w:val="0"/>
          <w:sz w:val="28"/>
          <w:szCs w:val="32"/>
        </w:rPr>
        <w:t>财政部 民政部 中国残疾人联合会关于促进残疾人就业 政府采购政策的通知</w:t>
      </w:r>
      <w:bookmarkEnd w:id="95"/>
      <w:bookmarkEnd w:id="96"/>
      <w:r>
        <w:rPr>
          <w:rFonts w:ascii="宋体" w:hAnsi="宋体"/>
          <w:b/>
          <w:bCs/>
          <w:kern w:val="0"/>
          <w:sz w:val="28"/>
          <w:szCs w:val="32"/>
        </w:rPr>
        <w:t xml:space="preserve"> </w:t>
      </w:r>
    </w:p>
    <w:p w14:paraId="2B772918">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财库〔2017〕141号</w:t>
      </w:r>
    </w:p>
    <w:p w14:paraId="6903033A">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14:paraId="42FF311B">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14:paraId="1CE3FB97">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14:paraId="26D5115F">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14:paraId="6BDEEDEB">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14:paraId="1D581698">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14:paraId="16A24A47">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14:paraId="06455E19">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14:paraId="705D19D5">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32330024">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14:paraId="4CBADADD">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14:paraId="02F18F6C">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14:paraId="33BB3ED4">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14:paraId="55FBCDD3">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14:paraId="3949C049">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14:paraId="5AEDD151">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14:paraId="63E45EDE">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14:paraId="2F384E87">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14:paraId="6A3BA975">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14:paraId="3EFC8FFB">
      <w:pPr>
        <w:widowControl/>
        <w:spacing w:line="360" w:lineRule="auto"/>
        <w:jc w:val="right"/>
        <w:rPr>
          <w:rFonts w:cs="宋体" w:asciiTheme="minorEastAsia" w:hAnsiTheme="minorEastAsia" w:eastAsiaTheme="minorEastAsia"/>
          <w:kern w:val="0"/>
          <w:szCs w:val="21"/>
        </w:rPr>
      </w:pPr>
    </w:p>
    <w:p w14:paraId="58BD9001">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2017年8月22日</w:t>
      </w:r>
    </w:p>
    <w:p w14:paraId="4965D1F4">
      <w:pPr>
        <w:tabs>
          <w:tab w:val="left" w:pos="1875"/>
        </w:tabs>
        <w:rPr>
          <w:rFonts w:ascii="Calibri" w:hAnsi="Calibri"/>
          <w:szCs w:val="22"/>
        </w:rPr>
      </w:pPr>
    </w:p>
    <w:p w14:paraId="109BC0E5">
      <w:pPr>
        <w:rPr>
          <w:rFonts w:ascii="Calibri" w:hAnsi="Calibri"/>
          <w:szCs w:val="22"/>
        </w:rPr>
      </w:pPr>
    </w:p>
    <w:p w14:paraId="696AF1E6">
      <w:pPr>
        <w:keepNext/>
        <w:keepLines/>
        <w:jc w:val="center"/>
        <w:outlineLvl w:val="2"/>
        <w:rPr>
          <w:rFonts w:ascii="宋体" w:hAnsi="宋体"/>
          <w:b/>
          <w:bCs/>
          <w:kern w:val="0"/>
          <w:sz w:val="28"/>
          <w:szCs w:val="32"/>
        </w:rPr>
      </w:pPr>
      <w:r>
        <w:rPr>
          <w:rFonts w:hint="eastAsia" w:ascii="宋体" w:hAnsi="宋体"/>
          <w:b/>
          <w:bCs/>
          <w:kern w:val="0"/>
          <w:sz w:val="28"/>
          <w:szCs w:val="32"/>
        </w:rPr>
        <w:t>五、财政部 司法部关于政府采购支持监狱企业发展有关问题的通知</w:t>
      </w:r>
      <w:r>
        <w:rPr>
          <w:rFonts w:ascii="宋体" w:hAnsi="宋体"/>
          <w:b/>
          <w:bCs/>
          <w:kern w:val="0"/>
          <w:sz w:val="28"/>
          <w:szCs w:val="32"/>
        </w:rPr>
        <w:t xml:space="preserve"> </w:t>
      </w:r>
    </w:p>
    <w:p w14:paraId="243D2E17">
      <w:pPr>
        <w:widowControl/>
        <w:spacing w:line="360" w:lineRule="auto"/>
        <w:jc w:val="center"/>
        <w:rPr>
          <w:rFonts w:cs="宋体" w:asciiTheme="minorEastAsia" w:hAnsiTheme="minorEastAsia" w:eastAsiaTheme="minorEastAsia"/>
          <w:kern w:val="0"/>
          <w:szCs w:val="21"/>
        </w:rPr>
      </w:pPr>
    </w:p>
    <w:p w14:paraId="0B5D6D67">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财库〔2014〕68号</w:t>
      </w:r>
    </w:p>
    <w:p w14:paraId="6A8892CB">
      <w:pPr>
        <w:widowControl/>
        <w:spacing w:line="360" w:lineRule="auto"/>
        <w:jc w:val="left"/>
        <w:rPr>
          <w:rFonts w:cs="宋体" w:asciiTheme="minorEastAsia" w:hAnsiTheme="minorEastAsia" w:eastAsiaTheme="minorEastAsia"/>
          <w:kern w:val="0"/>
          <w:szCs w:val="21"/>
        </w:rPr>
      </w:pPr>
    </w:p>
    <w:p w14:paraId="48302693">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有关人民团体，中央国家机关政府采购中心，中共中央直属机关采购中心，全国人大机关采购中心，各省、自治区、直辖市、计划单列市财政厅（局）、司法厅（局），新疆生产建设兵团财务局、司法局、监狱管理局：</w:t>
      </w:r>
    </w:p>
    <w:p w14:paraId="6CD87A0B">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实施方案的通知》（国发</w:t>
      </w:r>
      <w:r>
        <w:rPr>
          <w:rFonts w:cs="宋体" w:asciiTheme="minorEastAsia" w:hAnsiTheme="minorEastAsia" w:eastAsiaTheme="minorEastAsia"/>
          <w:kern w:val="0"/>
          <w:szCs w:val="21"/>
        </w:rPr>
        <w:t>[2003]7</w:t>
      </w:r>
      <w:r>
        <w:rPr>
          <w:rFonts w:hint="eastAsia" w:cs="宋体" w:asciiTheme="minorEastAsia" w:hAnsiTheme="minorEastAsia" w:eastAsiaTheme="minorEastAsia"/>
          <w:kern w:val="0"/>
          <w:szCs w:val="21"/>
        </w:rPr>
        <w:t>号）文件精神，发挥政府采购支持监狱企业发展的作用，现就有关事项通知如下：</w:t>
      </w:r>
    </w:p>
    <w:p w14:paraId="4E452425">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14:paraId="5E83965B">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二、在政府采购活动中，监狱企业视同小型、微型企业，享受预留份额、评审中价格扣除等政府采购促进中小企业发展的政府采购政策。向监狱企业采购的金额，计入面向中小企业采购的统计数据。</w:t>
      </w:r>
    </w:p>
    <w:p w14:paraId="615EF0AA">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三、各地区、各部门要积极通过预留采购份额支持监狱企业。有制服采购项目的部门，应加强对政府采购预算和计划编制工作的统筹，预留本部门制服采购项目预算总额的</w:t>
      </w:r>
      <w:r>
        <w:rPr>
          <w:rFonts w:cs="宋体" w:asciiTheme="minorEastAsia" w:hAnsiTheme="minorEastAsia" w:eastAsiaTheme="minorEastAsia"/>
          <w:kern w:val="0"/>
          <w:szCs w:val="21"/>
        </w:rPr>
        <w:t>30%</w:t>
      </w:r>
      <w:r>
        <w:rPr>
          <w:rFonts w:hint="eastAsia" w:cs="宋体" w:asciiTheme="minorEastAsia" w:hAnsiTheme="minorEastAsia" w:eastAsiaTheme="minorEastAsia"/>
          <w:kern w:val="0"/>
          <w:szCs w:val="21"/>
        </w:rPr>
        <w:t>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w:t>
      </w:r>
    </w:p>
    <w:p w14:paraId="0D9214B3">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四、各地区可以结合本地区实际，对监狱企业生产的办公用品、家具用具、车辆维修和提供的保养服务、消防设备等，提出预留份额等政府采购支持措施，加大对监狱企业产品的采购力度。</w:t>
      </w:r>
    </w:p>
    <w:p w14:paraId="4E73D12B">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五、各地区、各部门要高度重视，加强组织管理和监督，做好政府采购支持监狱企业发展的相关工作。有关部门要加强监管，确保面向监狱企业采购的工作依法依规进行。各监狱企业要不断提高监狱企业产品的质量和服务水平，为做好监狱企业产品政府采购工作提供有力保障。</w:t>
      </w:r>
    </w:p>
    <w:p w14:paraId="7FEA1403">
      <w:pPr>
        <w:widowControl/>
        <w:spacing w:line="360" w:lineRule="auto"/>
        <w:jc w:val="left"/>
        <w:rPr>
          <w:rFonts w:cs="宋体" w:asciiTheme="minorEastAsia" w:hAnsiTheme="minorEastAsia" w:eastAsiaTheme="minorEastAsia"/>
          <w:kern w:val="0"/>
          <w:szCs w:val="21"/>
        </w:rPr>
      </w:pPr>
    </w:p>
    <w:p w14:paraId="48668A32">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中华人民共和国财政部</w:t>
      </w:r>
    </w:p>
    <w:p w14:paraId="67B7D5BD">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中华人民共和国司法部</w:t>
      </w:r>
    </w:p>
    <w:p w14:paraId="546DEBE5">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2014年6月10日</w:t>
      </w:r>
    </w:p>
    <w:p w14:paraId="4CB84931">
      <w:pPr>
        <w:pStyle w:val="2"/>
        <w:spacing w:before="0" w:after="0"/>
      </w:pPr>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ˎ̥">
    <w:altName w:val="微软雅黑"/>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auto"/>
    <w:pitch w:val="default"/>
    <w:sig w:usb0="00000000" w:usb1="00000000" w:usb2="0000001E" w:usb3="00000000" w:csb0="00040000" w:csb1="00000000"/>
  </w:font>
  <w:font w:name="MS Mincho">
    <w:altName w:val="Yu Gothic UI"/>
    <w:panose1 w:val="02020609040205080304"/>
    <w:charset w:val="80"/>
    <w:family w:val="modern"/>
    <w:pitch w:val="default"/>
    <w:sig w:usb0="00000000" w:usb1="00000000" w:usb2="00000012" w:usb3="00000000" w:csb0="4002009F" w:csb1="DFD70000"/>
  </w:font>
  <w:font w:name="Segoe UI Symbol">
    <w:panose1 w:val="020B0502040204020203"/>
    <w:charset w:val="00"/>
    <w:family w:val="swiss"/>
    <w:pitch w:val="default"/>
    <w:sig w:usb0="800001E3" w:usb1="1200FFEF" w:usb2="00040000" w:usb3="04000000" w:csb0="00000001" w:csb1="40000000"/>
  </w:font>
  <w:font w:name="Yu Gothic UI">
    <w:panose1 w:val="020B0500000000000000"/>
    <w:charset w:val="80"/>
    <w:family w:val="auto"/>
    <w:pitch w:val="default"/>
    <w:sig w:usb0="E00002FF" w:usb1="2AC7FDFF" w:usb2="00000016" w:usb3="00000000" w:csb0="2002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ED774DD">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6</w:t>
    </w:r>
    <w:r>
      <w:rPr>
        <w:rStyle w:val="54"/>
      </w:rPr>
      <w:fldChar w:fldCharType="end"/>
    </w:r>
  </w:p>
  <w:p w14:paraId="0728841A">
    <w:pPr>
      <w:pStyle w:val="3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360A1D6">
    <w:pPr>
      <w:pStyle w:val="32"/>
      <w:tabs>
        <w:tab w:val="center" w:pos="4819"/>
        <w:tab w:val="right" w:pos="9638"/>
      </w:tabs>
      <w:jc w:val="left"/>
    </w:pPr>
    <w:r>
      <w:rPr>
        <w:rFonts w:hint="eastAsia"/>
      </w:rPr>
      <w:t>项目名称：</w:t>
    </w:r>
    <w:r>
      <w:rPr>
        <w:rFonts w:hint="eastAsia" w:asciiTheme="minorEastAsia" w:hAnsiTheme="minorEastAsia" w:eastAsiaTheme="minorEastAsia"/>
        <w:lang w:eastAsia="zh-CN"/>
      </w:rPr>
      <w:t>深圳市市场监督管理局龙岗监管局公务用车维修保养服务</w:t>
    </w:r>
    <w:r>
      <w:rPr>
        <w:rFonts w:hint="eastAsia" w:asciiTheme="minorEastAsia" w:hAnsiTheme="minorEastAsia" w:eastAsiaTheme="minorEastAsia"/>
      </w:rPr>
      <w:t xml:space="preserve"> </w:t>
    </w:r>
    <w:r>
      <w:rPr>
        <w:rFonts w:hint="eastAsia"/>
      </w:rPr>
      <w:t xml:space="preserve">                     项目编号：</w:t>
    </w:r>
    <w:r>
      <w:rPr>
        <w:rFonts w:hint="eastAsia" w:asciiTheme="minorEastAsia" w:hAnsiTheme="minorEastAsia" w:eastAsiaTheme="minorEastAsia"/>
        <w:lang w:eastAsia="zh-CN"/>
      </w:rPr>
      <w:t>SZZZ2024-QC0293</w:t>
    </w:r>
    <w:r>
      <w:tab/>
    </w:r>
  </w:p>
  <w:p w14:paraId="24BF4BC2">
    <w:pPr>
      <w:pStyle w:val="32"/>
      <w:tabs>
        <w:tab w:val="center" w:pos="4819"/>
        <w:tab w:val="right" w:pos="9638"/>
      </w:tabs>
      <w:jc w:val="left"/>
      <w:rPr>
        <w:u w:val="single"/>
      </w:rPr>
    </w:pPr>
    <w:r>
      <w:rPr>
        <w:rFonts w:hint="eastAsia"/>
        <w:u w:val="single"/>
      </w:rPr>
      <w:t xml:space="preserve">                                                                                                           </w:t>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73EA98"/>
    <w:multiLevelType w:val="singleLevel"/>
    <w:tmpl w:val="9573EA98"/>
    <w:lvl w:ilvl="0" w:tentative="0">
      <w:start w:val="1"/>
      <w:numFmt w:val="bullet"/>
      <w:lvlText w:val=""/>
      <w:lvlJc w:val="left"/>
      <w:pPr>
        <w:ind w:left="420" w:hanging="420"/>
      </w:pPr>
      <w:rPr>
        <w:rFonts w:hint="default" w:ascii="Wingdings" w:hAnsi="Wingdings"/>
      </w:rPr>
    </w:lvl>
  </w:abstractNum>
  <w:abstractNum w:abstractNumId="1">
    <w:nsid w:val="00000002"/>
    <w:multiLevelType w:val="multilevel"/>
    <w:tmpl w:val="00000002"/>
    <w:lvl w:ilvl="0" w:tentative="0">
      <w:start w:val="1"/>
      <w:numFmt w:val="decimal"/>
      <w:pStyle w:val="16"/>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6"/>
      <w:lvlText w:val="%5)"/>
      <w:lvlJc w:val="left"/>
      <w:pPr>
        <w:tabs>
          <w:tab w:val="left" w:pos="2111"/>
        </w:tabs>
        <w:ind w:left="2111" w:hanging="420"/>
      </w:pPr>
    </w:lvl>
    <w:lvl w:ilvl="5" w:tentative="0">
      <w:start w:val="1"/>
      <w:numFmt w:val="lowerRoman"/>
      <w:pStyle w:val="8"/>
      <w:lvlText w:val="%6."/>
      <w:lvlJc w:val="right"/>
      <w:pPr>
        <w:tabs>
          <w:tab w:val="left" w:pos="2531"/>
        </w:tabs>
        <w:ind w:left="2531" w:hanging="420"/>
      </w:pPr>
    </w:lvl>
    <w:lvl w:ilvl="6" w:tentative="0">
      <w:start w:val="1"/>
      <w:numFmt w:val="decimal"/>
      <w:pStyle w:val="9"/>
      <w:lvlText w:val="%7."/>
      <w:lvlJc w:val="left"/>
      <w:pPr>
        <w:tabs>
          <w:tab w:val="left" w:pos="2951"/>
        </w:tabs>
        <w:ind w:left="2951" w:hanging="420"/>
      </w:pPr>
    </w:lvl>
    <w:lvl w:ilvl="7" w:tentative="0">
      <w:start w:val="1"/>
      <w:numFmt w:val="lowerLetter"/>
      <w:pStyle w:val="10"/>
      <w:lvlText w:val="%8)"/>
      <w:lvlJc w:val="left"/>
      <w:pPr>
        <w:tabs>
          <w:tab w:val="left" w:pos="3371"/>
        </w:tabs>
        <w:ind w:left="3371" w:hanging="420"/>
      </w:pPr>
    </w:lvl>
    <w:lvl w:ilvl="8" w:tentative="0">
      <w:start w:val="1"/>
      <w:numFmt w:val="lowerRoman"/>
      <w:pStyle w:val="11"/>
      <w:lvlText w:val="%9."/>
      <w:lvlJc w:val="right"/>
      <w:pPr>
        <w:tabs>
          <w:tab w:val="left" w:pos="3791"/>
        </w:tabs>
        <w:ind w:left="3791" w:hanging="420"/>
      </w:pPr>
    </w:lvl>
  </w:abstractNum>
  <w:abstractNum w:abstractNumId="2">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3CCD4E69"/>
    <w:multiLevelType w:val="multilevel"/>
    <w:tmpl w:val="3CCD4E69"/>
    <w:lvl w:ilvl="0" w:tentative="0">
      <w:start w:val="1"/>
      <w:numFmt w:val="decimal"/>
      <w:lvlText w:val="%1)"/>
      <w:lvlJc w:val="left"/>
      <w:pPr>
        <w:ind w:left="1060" w:hanging="420"/>
      </w:pPr>
      <w:rPr>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iN2JjZGQwODQzNTVmMDg4ZGNmNzRhYmJlZDY2YTUifQ=="/>
  </w:docVars>
  <w:rsids>
    <w:rsidRoot w:val="00172A27"/>
    <w:rsid w:val="0000134D"/>
    <w:rsid w:val="00001F1C"/>
    <w:rsid w:val="00002AB8"/>
    <w:rsid w:val="000036D6"/>
    <w:rsid w:val="00003A46"/>
    <w:rsid w:val="000042A3"/>
    <w:rsid w:val="000045B3"/>
    <w:rsid w:val="00004906"/>
    <w:rsid w:val="00004AF7"/>
    <w:rsid w:val="00004FC4"/>
    <w:rsid w:val="00005751"/>
    <w:rsid w:val="00005C27"/>
    <w:rsid w:val="00005F5C"/>
    <w:rsid w:val="000060E5"/>
    <w:rsid w:val="0000670A"/>
    <w:rsid w:val="00006922"/>
    <w:rsid w:val="00006E2A"/>
    <w:rsid w:val="000074B0"/>
    <w:rsid w:val="00007603"/>
    <w:rsid w:val="000079C5"/>
    <w:rsid w:val="00007EA1"/>
    <w:rsid w:val="000103E3"/>
    <w:rsid w:val="00010B8D"/>
    <w:rsid w:val="00010DC3"/>
    <w:rsid w:val="00011A45"/>
    <w:rsid w:val="00011A56"/>
    <w:rsid w:val="00011AAF"/>
    <w:rsid w:val="00012297"/>
    <w:rsid w:val="00012A6E"/>
    <w:rsid w:val="00012BC4"/>
    <w:rsid w:val="00012F7F"/>
    <w:rsid w:val="00012F81"/>
    <w:rsid w:val="00014515"/>
    <w:rsid w:val="000145C2"/>
    <w:rsid w:val="00014625"/>
    <w:rsid w:val="00014DBB"/>
    <w:rsid w:val="00015940"/>
    <w:rsid w:val="00015AF5"/>
    <w:rsid w:val="00016458"/>
    <w:rsid w:val="000165EF"/>
    <w:rsid w:val="00016FC3"/>
    <w:rsid w:val="0001728F"/>
    <w:rsid w:val="000208F8"/>
    <w:rsid w:val="000211A0"/>
    <w:rsid w:val="00021304"/>
    <w:rsid w:val="0002197F"/>
    <w:rsid w:val="00022C27"/>
    <w:rsid w:val="00022F4F"/>
    <w:rsid w:val="00022FA9"/>
    <w:rsid w:val="000237EE"/>
    <w:rsid w:val="00025B21"/>
    <w:rsid w:val="00025D5B"/>
    <w:rsid w:val="00026249"/>
    <w:rsid w:val="00027415"/>
    <w:rsid w:val="000274F7"/>
    <w:rsid w:val="00027757"/>
    <w:rsid w:val="000307C5"/>
    <w:rsid w:val="00030D77"/>
    <w:rsid w:val="00031887"/>
    <w:rsid w:val="000319D1"/>
    <w:rsid w:val="00032292"/>
    <w:rsid w:val="00033ACF"/>
    <w:rsid w:val="00034043"/>
    <w:rsid w:val="0003479B"/>
    <w:rsid w:val="00034900"/>
    <w:rsid w:val="0003493D"/>
    <w:rsid w:val="0003524E"/>
    <w:rsid w:val="000356F7"/>
    <w:rsid w:val="00035FE0"/>
    <w:rsid w:val="000367ED"/>
    <w:rsid w:val="0003688B"/>
    <w:rsid w:val="000372E9"/>
    <w:rsid w:val="00037359"/>
    <w:rsid w:val="0003762A"/>
    <w:rsid w:val="0003795A"/>
    <w:rsid w:val="00040DA4"/>
    <w:rsid w:val="00042758"/>
    <w:rsid w:val="00042BAD"/>
    <w:rsid w:val="00043D2B"/>
    <w:rsid w:val="000443DA"/>
    <w:rsid w:val="000447F6"/>
    <w:rsid w:val="00045923"/>
    <w:rsid w:val="00045EB5"/>
    <w:rsid w:val="00046595"/>
    <w:rsid w:val="00046F3A"/>
    <w:rsid w:val="0004741F"/>
    <w:rsid w:val="00047612"/>
    <w:rsid w:val="00047852"/>
    <w:rsid w:val="00050F73"/>
    <w:rsid w:val="00051378"/>
    <w:rsid w:val="000529DE"/>
    <w:rsid w:val="00053074"/>
    <w:rsid w:val="00053F8F"/>
    <w:rsid w:val="000545F7"/>
    <w:rsid w:val="00054837"/>
    <w:rsid w:val="000550A3"/>
    <w:rsid w:val="0005526E"/>
    <w:rsid w:val="000558BB"/>
    <w:rsid w:val="000559C9"/>
    <w:rsid w:val="00055C5F"/>
    <w:rsid w:val="00056061"/>
    <w:rsid w:val="00056374"/>
    <w:rsid w:val="0005650D"/>
    <w:rsid w:val="00056617"/>
    <w:rsid w:val="000566F6"/>
    <w:rsid w:val="00057655"/>
    <w:rsid w:val="0005771C"/>
    <w:rsid w:val="00057EEA"/>
    <w:rsid w:val="00060526"/>
    <w:rsid w:val="00061C10"/>
    <w:rsid w:val="000621B0"/>
    <w:rsid w:val="00062570"/>
    <w:rsid w:val="0006264D"/>
    <w:rsid w:val="0006301D"/>
    <w:rsid w:val="00064787"/>
    <w:rsid w:val="00064A61"/>
    <w:rsid w:val="00064FA4"/>
    <w:rsid w:val="00065240"/>
    <w:rsid w:val="00066813"/>
    <w:rsid w:val="000668F4"/>
    <w:rsid w:val="0006745C"/>
    <w:rsid w:val="00067D3F"/>
    <w:rsid w:val="00067DC4"/>
    <w:rsid w:val="000700C5"/>
    <w:rsid w:val="00070384"/>
    <w:rsid w:val="00071507"/>
    <w:rsid w:val="0007211D"/>
    <w:rsid w:val="000730F3"/>
    <w:rsid w:val="00073A35"/>
    <w:rsid w:val="00073B23"/>
    <w:rsid w:val="00073EE2"/>
    <w:rsid w:val="00074554"/>
    <w:rsid w:val="00074BEF"/>
    <w:rsid w:val="00075AD5"/>
    <w:rsid w:val="00077E93"/>
    <w:rsid w:val="00080168"/>
    <w:rsid w:val="00080188"/>
    <w:rsid w:val="00080A90"/>
    <w:rsid w:val="00081B06"/>
    <w:rsid w:val="000820E6"/>
    <w:rsid w:val="000825F6"/>
    <w:rsid w:val="00082956"/>
    <w:rsid w:val="000829FF"/>
    <w:rsid w:val="00082ABE"/>
    <w:rsid w:val="00083D3F"/>
    <w:rsid w:val="00083E84"/>
    <w:rsid w:val="00083EC1"/>
    <w:rsid w:val="00085134"/>
    <w:rsid w:val="000851F8"/>
    <w:rsid w:val="00085317"/>
    <w:rsid w:val="00085419"/>
    <w:rsid w:val="000855C1"/>
    <w:rsid w:val="00085908"/>
    <w:rsid w:val="0008596C"/>
    <w:rsid w:val="00085DE9"/>
    <w:rsid w:val="00085FFE"/>
    <w:rsid w:val="000861E5"/>
    <w:rsid w:val="000866A3"/>
    <w:rsid w:val="000867FB"/>
    <w:rsid w:val="00086F62"/>
    <w:rsid w:val="000878FF"/>
    <w:rsid w:val="0008796E"/>
    <w:rsid w:val="00090302"/>
    <w:rsid w:val="0009127F"/>
    <w:rsid w:val="0009133A"/>
    <w:rsid w:val="0009145A"/>
    <w:rsid w:val="00091526"/>
    <w:rsid w:val="0009187B"/>
    <w:rsid w:val="00091CAC"/>
    <w:rsid w:val="00092BD5"/>
    <w:rsid w:val="00095198"/>
    <w:rsid w:val="00095806"/>
    <w:rsid w:val="00095F61"/>
    <w:rsid w:val="00096331"/>
    <w:rsid w:val="000965CC"/>
    <w:rsid w:val="00096CE6"/>
    <w:rsid w:val="00097B04"/>
    <w:rsid w:val="000A0ABE"/>
    <w:rsid w:val="000A0DC0"/>
    <w:rsid w:val="000A1075"/>
    <w:rsid w:val="000A24AF"/>
    <w:rsid w:val="000A274D"/>
    <w:rsid w:val="000A2C52"/>
    <w:rsid w:val="000A2D79"/>
    <w:rsid w:val="000A3358"/>
    <w:rsid w:val="000A4B0E"/>
    <w:rsid w:val="000A530C"/>
    <w:rsid w:val="000A584E"/>
    <w:rsid w:val="000A58B9"/>
    <w:rsid w:val="000A5A8E"/>
    <w:rsid w:val="000A5CD4"/>
    <w:rsid w:val="000A6263"/>
    <w:rsid w:val="000A6F16"/>
    <w:rsid w:val="000A7A6C"/>
    <w:rsid w:val="000A7C5A"/>
    <w:rsid w:val="000B0205"/>
    <w:rsid w:val="000B0817"/>
    <w:rsid w:val="000B10D9"/>
    <w:rsid w:val="000B1ED2"/>
    <w:rsid w:val="000B20FC"/>
    <w:rsid w:val="000B30BD"/>
    <w:rsid w:val="000B3202"/>
    <w:rsid w:val="000B493E"/>
    <w:rsid w:val="000B4F60"/>
    <w:rsid w:val="000B5B6D"/>
    <w:rsid w:val="000B5CC8"/>
    <w:rsid w:val="000B5DFC"/>
    <w:rsid w:val="000B61BF"/>
    <w:rsid w:val="000B620E"/>
    <w:rsid w:val="000B67E1"/>
    <w:rsid w:val="000B68DC"/>
    <w:rsid w:val="000C0590"/>
    <w:rsid w:val="000C119A"/>
    <w:rsid w:val="000C1B95"/>
    <w:rsid w:val="000C299D"/>
    <w:rsid w:val="000C344F"/>
    <w:rsid w:val="000C3573"/>
    <w:rsid w:val="000C3B21"/>
    <w:rsid w:val="000C3E67"/>
    <w:rsid w:val="000C428C"/>
    <w:rsid w:val="000C4328"/>
    <w:rsid w:val="000C43F5"/>
    <w:rsid w:val="000C48DA"/>
    <w:rsid w:val="000C605A"/>
    <w:rsid w:val="000C63AE"/>
    <w:rsid w:val="000C6CBF"/>
    <w:rsid w:val="000C712D"/>
    <w:rsid w:val="000C7685"/>
    <w:rsid w:val="000D0769"/>
    <w:rsid w:val="000D0C86"/>
    <w:rsid w:val="000D0C91"/>
    <w:rsid w:val="000D1CEE"/>
    <w:rsid w:val="000D1EAF"/>
    <w:rsid w:val="000D2C8E"/>
    <w:rsid w:val="000D2CA8"/>
    <w:rsid w:val="000D3909"/>
    <w:rsid w:val="000D39D7"/>
    <w:rsid w:val="000D3DAF"/>
    <w:rsid w:val="000D48D5"/>
    <w:rsid w:val="000D5C60"/>
    <w:rsid w:val="000D6088"/>
    <w:rsid w:val="000D6CFF"/>
    <w:rsid w:val="000D6D74"/>
    <w:rsid w:val="000D6F21"/>
    <w:rsid w:val="000D75EC"/>
    <w:rsid w:val="000D7803"/>
    <w:rsid w:val="000D7D8E"/>
    <w:rsid w:val="000D7DC6"/>
    <w:rsid w:val="000D7F14"/>
    <w:rsid w:val="000E024C"/>
    <w:rsid w:val="000E07DC"/>
    <w:rsid w:val="000E18B0"/>
    <w:rsid w:val="000E1BD5"/>
    <w:rsid w:val="000E214A"/>
    <w:rsid w:val="000E21D9"/>
    <w:rsid w:val="000E2803"/>
    <w:rsid w:val="000E2823"/>
    <w:rsid w:val="000E3219"/>
    <w:rsid w:val="000E321B"/>
    <w:rsid w:val="000E3D0B"/>
    <w:rsid w:val="000E3D76"/>
    <w:rsid w:val="000E4186"/>
    <w:rsid w:val="000E52FA"/>
    <w:rsid w:val="000E6437"/>
    <w:rsid w:val="000E64F6"/>
    <w:rsid w:val="000E6981"/>
    <w:rsid w:val="000F06E7"/>
    <w:rsid w:val="000F0B03"/>
    <w:rsid w:val="000F0BDA"/>
    <w:rsid w:val="000F0D6F"/>
    <w:rsid w:val="000F150F"/>
    <w:rsid w:val="000F1EDD"/>
    <w:rsid w:val="000F243B"/>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69D0"/>
    <w:rsid w:val="001072EB"/>
    <w:rsid w:val="001075C1"/>
    <w:rsid w:val="00107924"/>
    <w:rsid w:val="001079CD"/>
    <w:rsid w:val="0011014B"/>
    <w:rsid w:val="00110426"/>
    <w:rsid w:val="001111BB"/>
    <w:rsid w:val="00111274"/>
    <w:rsid w:val="001117B9"/>
    <w:rsid w:val="00112F5B"/>
    <w:rsid w:val="0011317D"/>
    <w:rsid w:val="001134EF"/>
    <w:rsid w:val="00113ABC"/>
    <w:rsid w:val="00114386"/>
    <w:rsid w:val="001148BD"/>
    <w:rsid w:val="00114ECC"/>
    <w:rsid w:val="001151A9"/>
    <w:rsid w:val="00115CCC"/>
    <w:rsid w:val="00115E6A"/>
    <w:rsid w:val="00117D0B"/>
    <w:rsid w:val="0012030F"/>
    <w:rsid w:val="00120AB4"/>
    <w:rsid w:val="00120BE1"/>
    <w:rsid w:val="0012174B"/>
    <w:rsid w:val="00121A55"/>
    <w:rsid w:val="00121C20"/>
    <w:rsid w:val="00121DE5"/>
    <w:rsid w:val="00122A1F"/>
    <w:rsid w:val="00123367"/>
    <w:rsid w:val="00123AC2"/>
    <w:rsid w:val="00123EA6"/>
    <w:rsid w:val="00123F89"/>
    <w:rsid w:val="00124206"/>
    <w:rsid w:val="0012537B"/>
    <w:rsid w:val="0012558C"/>
    <w:rsid w:val="00126093"/>
    <w:rsid w:val="0012714F"/>
    <w:rsid w:val="00127915"/>
    <w:rsid w:val="00130693"/>
    <w:rsid w:val="00130801"/>
    <w:rsid w:val="00130A8C"/>
    <w:rsid w:val="001310AA"/>
    <w:rsid w:val="00132670"/>
    <w:rsid w:val="001328E9"/>
    <w:rsid w:val="00132C2F"/>
    <w:rsid w:val="00133E88"/>
    <w:rsid w:val="0013411A"/>
    <w:rsid w:val="001349F3"/>
    <w:rsid w:val="00136615"/>
    <w:rsid w:val="00136BA5"/>
    <w:rsid w:val="00137077"/>
    <w:rsid w:val="00137241"/>
    <w:rsid w:val="00137B1E"/>
    <w:rsid w:val="00137BBA"/>
    <w:rsid w:val="001403D0"/>
    <w:rsid w:val="00140ABE"/>
    <w:rsid w:val="00141229"/>
    <w:rsid w:val="00141E96"/>
    <w:rsid w:val="00142681"/>
    <w:rsid w:val="00142BD9"/>
    <w:rsid w:val="00143392"/>
    <w:rsid w:val="001438E5"/>
    <w:rsid w:val="00143AB1"/>
    <w:rsid w:val="00143D73"/>
    <w:rsid w:val="00143EA2"/>
    <w:rsid w:val="001448C4"/>
    <w:rsid w:val="0014619B"/>
    <w:rsid w:val="001464B2"/>
    <w:rsid w:val="001467AB"/>
    <w:rsid w:val="001468DA"/>
    <w:rsid w:val="00146AE2"/>
    <w:rsid w:val="00146D8F"/>
    <w:rsid w:val="00146E88"/>
    <w:rsid w:val="00147B19"/>
    <w:rsid w:val="00150442"/>
    <w:rsid w:val="00150618"/>
    <w:rsid w:val="00150E64"/>
    <w:rsid w:val="00151766"/>
    <w:rsid w:val="0015247A"/>
    <w:rsid w:val="00152F39"/>
    <w:rsid w:val="00153226"/>
    <w:rsid w:val="00153918"/>
    <w:rsid w:val="00154100"/>
    <w:rsid w:val="001547E1"/>
    <w:rsid w:val="00154DF4"/>
    <w:rsid w:val="00154F74"/>
    <w:rsid w:val="00155460"/>
    <w:rsid w:val="0015562E"/>
    <w:rsid w:val="00156E27"/>
    <w:rsid w:val="001570A5"/>
    <w:rsid w:val="001571E8"/>
    <w:rsid w:val="0015749F"/>
    <w:rsid w:val="001579EF"/>
    <w:rsid w:val="00160375"/>
    <w:rsid w:val="00160D4E"/>
    <w:rsid w:val="00160F50"/>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789"/>
    <w:rsid w:val="00167927"/>
    <w:rsid w:val="0017073E"/>
    <w:rsid w:val="00170C17"/>
    <w:rsid w:val="00170DFA"/>
    <w:rsid w:val="0017173E"/>
    <w:rsid w:val="00171CA3"/>
    <w:rsid w:val="00171E66"/>
    <w:rsid w:val="001722D8"/>
    <w:rsid w:val="0017233E"/>
    <w:rsid w:val="00172A27"/>
    <w:rsid w:val="00172AE3"/>
    <w:rsid w:val="00172B6A"/>
    <w:rsid w:val="00172C34"/>
    <w:rsid w:val="00173149"/>
    <w:rsid w:val="00173759"/>
    <w:rsid w:val="001739A3"/>
    <w:rsid w:val="00173D26"/>
    <w:rsid w:val="00174B1E"/>
    <w:rsid w:val="001755E9"/>
    <w:rsid w:val="00175A5E"/>
    <w:rsid w:val="00176553"/>
    <w:rsid w:val="00177212"/>
    <w:rsid w:val="001774D4"/>
    <w:rsid w:val="00177549"/>
    <w:rsid w:val="00177744"/>
    <w:rsid w:val="001778BE"/>
    <w:rsid w:val="00177F89"/>
    <w:rsid w:val="00180B0D"/>
    <w:rsid w:val="00181FEA"/>
    <w:rsid w:val="0018239C"/>
    <w:rsid w:val="00182706"/>
    <w:rsid w:val="0018284B"/>
    <w:rsid w:val="00183836"/>
    <w:rsid w:val="001845E9"/>
    <w:rsid w:val="00184630"/>
    <w:rsid w:val="001846D7"/>
    <w:rsid w:val="00184815"/>
    <w:rsid w:val="001848F5"/>
    <w:rsid w:val="001850A4"/>
    <w:rsid w:val="001864FF"/>
    <w:rsid w:val="00187AC8"/>
    <w:rsid w:val="00187B3E"/>
    <w:rsid w:val="0019153B"/>
    <w:rsid w:val="001915A3"/>
    <w:rsid w:val="001919EB"/>
    <w:rsid w:val="00191B94"/>
    <w:rsid w:val="0019227B"/>
    <w:rsid w:val="00192CDD"/>
    <w:rsid w:val="00192D08"/>
    <w:rsid w:val="0019368B"/>
    <w:rsid w:val="001938D2"/>
    <w:rsid w:val="00193917"/>
    <w:rsid w:val="001941C8"/>
    <w:rsid w:val="00195B8B"/>
    <w:rsid w:val="00195DCB"/>
    <w:rsid w:val="00195F14"/>
    <w:rsid w:val="001961A2"/>
    <w:rsid w:val="00196787"/>
    <w:rsid w:val="00196B4C"/>
    <w:rsid w:val="001970AD"/>
    <w:rsid w:val="00197204"/>
    <w:rsid w:val="001974F2"/>
    <w:rsid w:val="001A173C"/>
    <w:rsid w:val="001A1844"/>
    <w:rsid w:val="001A1998"/>
    <w:rsid w:val="001A1BE9"/>
    <w:rsid w:val="001A20CA"/>
    <w:rsid w:val="001A25B1"/>
    <w:rsid w:val="001A2B9F"/>
    <w:rsid w:val="001A3B13"/>
    <w:rsid w:val="001A3CF6"/>
    <w:rsid w:val="001A3EE7"/>
    <w:rsid w:val="001A4420"/>
    <w:rsid w:val="001A46B5"/>
    <w:rsid w:val="001A46F2"/>
    <w:rsid w:val="001A556A"/>
    <w:rsid w:val="001A68EC"/>
    <w:rsid w:val="001A6C07"/>
    <w:rsid w:val="001A6C49"/>
    <w:rsid w:val="001A7C91"/>
    <w:rsid w:val="001B0220"/>
    <w:rsid w:val="001B0850"/>
    <w:rsid w:val="001B1281"/>
    <w:rsid w:val="001B1D39"/>
    <w:rsid w:val="001B2126"/>
    <w:rsid w:val="001B223C"/>
    <w:rsid w:val="001B23F5"/>
    <w:rsid w:val="001B2666"/>
    <w:rsid w:val="001B2909"/>
    <w:rsid w:val="001B2A31"/>
    <w:rsid w:val="001B2D49"/>
    <w:rsid w:val="001B4469"/>
    <w:rsid w:val="001B4BF2"/>
    <w:rsid w:val="001B4E86"/>
    <w:rsid w:val="001B5B42"/>
    <w:rsid w:val="001B606A"/>
    <w:rsid w:val="001B6DDB"/>
    <w:rsid w:val="001B7078"/>
    <w:rsid w:val="001B7491"/>
    <w:rsid w:val="001B75CF"/>
    <w:rsid w:val="001B7A8D"/>
    <w:rsid w:val="001B7EBE"/>
    <w:rsid w:val="001C06C0"/>
    <w:rsid w:val="001C10E5"/>
    <w:rsid w:val="001C1A12"/>
    <w:rsid w:val="001C1D46"/>
    <w:rsid w:val="001C1F6C"/>
    <w:rsid w:val="001C21BB"/>
    <w:rsid w:val="001C3000"/>
    <w:rsid w:val="001C30D1"/>
    <w:rsid w:val="001C33D6"/>
    <w:rsid w:val="001C35B7"/>
    <w:rsid w:val="001C36F7"/>
    <w:rsid w:val="001C3AE0"/>
    <w:rsid w:val="001C3BAD"/>
    <w:rsid w:val="001C491F"/>
    <w:rsid w:val="001C5F9A"/>
    <w:rsid w:val="001C7E49"/>
    <w:rsid w:val="001D012D"/>
    <w:rsid w:val="001D0702"/>
    <w:rsid w:val="001D0A25"/>
    <w:rsid w:val="001D0E31"/>
    <w:rsid w:val="001D1078"/>
    <w:rsid w:val="001D1659"/>
    <w:rsid w:val="001D239B"/>
    <w:rsid w:val="001D296C"/>
    <w:rsid w:val="001D2F3D"/>
    <w:rsid w:val="001D33C3"/>
    <w:rsid w:val="001D3DED"/>
    <w:rsid w:val="001D3DF8"/>
    <w:rsid w:val="001D3F8A"/>
    <w:rsid w:val="001D4E6F"/>
    <w:rsid w:val="001D5573"/>
    <w:rsid w:val="001D56C8"/>
    <w:rsid w:val="001D5C3A"/>
    <w:rsid w:val="001D5E80"/>
    <w:rsid w:val="001D6356"/>
    <w:rsid w:val="001D6EC3"/>
    <w:rsid w:val="001D6F92"/>
    <w:rsid w:val="001D710C"/>
    <w:rsid w:val="001E0886"/>
    <w:rsid w:val="001E11B1"/>
    <w:rsid w:val="001E208F"/>
    <w:rsid w:val="001E233C"/>
    <w:rsid w:val="001E4950"/>
    <w:rsid w:val="001E5014"/>
    <w:rsid w:val="001E630A"/>
    <w:rsid w:val="001E7838"/>
    <w:rsid w:val="001E7A22"/>
    <w:rsid w:val="001E7D19"/>
    <w:rsid w:val="001F0C50"/>
    <w:rsid w:val="001F0CFA"/>
    <w:rsid w:val="001F1464"/>
    <w:rsid w:val="001F1905"/>
    <w:rsid w:val="001F1EAE"/>
    <w:rsid w:val="001F1F7F"/>
    <w:rsid w:val="001F2592"/>
    <w:rsid w:val="001F2C63"/>
    <w:rsid w:val="001F2E14"/>
    <w:rsid w:val="001F37E0"/>
    <w:rsid w:val="001F3A0C"/>
    <w:rsid w:val="001F3E7F"/>
    <w:rsid w:val="001F401A"/>
    <w:rsid w:val="001F4A76"/>
    <w:rsid w:val="001F4C4D"/>
    <w:rsid w:val="001F4F4A"/>
    <w:rsid w:val="001F534F"/>
    <w:rsid w:val="001F543D"/>
    <w:rsid w:val="001F56BD"/>
    <w:rsid w:val="001F5813"/>
    <w:rsid w:val="001F5989"/>
    <w:rsid w:val="001F5BCF"/>
    <w:rsid w:val="001F64C1"/>
    <w:rsid w:val="002001F1"/>
    <w:rsid w:val="00201348"/>
    <w:rsid w:val="00201A4E"/>
    <w:rsid w:val="00201C8A"/>
    <w:rsid w:val="00202525"/>
    <w:rsid w:val="00202B43"/>
    <w:rsid w:val="002035A2"/>
    <w:rsid w:val="00203787"/>
    <w:rsid w:val="00203887"/>
    <w:rsid w:val="002045E5"/>
    <w:rsid w:val="002046D6"/>
    <w:rsid w:val="00204D09"/>
    <w:rsid w:val="00204F5C"/>
    <w:rsid w:val="00205C71"/>
    <w:rsid w:val="002070C1"/>
    <w:rsid w:val="0020717B"/>
    <w:rsid w:val="00207262"/>
    <w:rsid w:val="00207468"/>
    <w:rsid w:val="00207844"/>
    <w:rsid w:val="0021030E"/>
    <w:rsid w:val="00210436"/>
    <w:rsid w:val="0021043B"/>
    <w:rsid w:val="00210440"/>
    <w:rsid w:val="0021054E"/>
    <w:rsid w:val="0021095C"/>
    <w:rsid w:val="002109AA"/>
    <w:rsid w:val="00210AC5"/>
    <w:rsid w:val="00210E7E"/>
    <w:rsid w:val="00211084"/>
    <w:rsid w:val="00211254"/>
    <w:rsid w:val="002122AD"/>
    <w:rsid w:val="0021299B"/>
    <w:rsid w:val="002139CD"/>
    <w:rsid w:val="00213E88"/>
    <w:rsid w:val="00214801"/>
    <w:rsid w:val="00214C22"/>
    <w:rsid w:val="00214C4A"/>
    <w:rsid w:val="00214FDD"/>
    <w:rsid w:val="0021647A"/>
    <w:rsid w:val="00216DB2"/>
    <w:rsid w:val="00217057"/>
    <w:rsid w:val="002170FD"/>
    <w:rsid w:val="0021781A"/>
    <w:rsid w:val="00217A9E"/>
    <w:rsid w:val="002201AC"/>
    <w:rsid w:val="0022067E"/>
    <w:rsid w:val="00221029"/>
    <w:rsid w:val="0022131F"/>
    <w:rsid w:val="002213C6"/>
    <w:rsid w:val="002216BD"/>
    <w:rsid w:val="00221E32"/>
    <w:rsid w:val="00221E89"/>
    <w:rsid w:val="00221FE8"/>
    <w:rsid w:val="00222F08"/>
    <w:rsid w:val="00223045"/>
    <w:rsid w:val="002237FD"/>
    <w:rsid w:val="0022383D"/>
    <w:rsid w:val="00223DBF"/>
    <w:rsid w:val="0022435D"/>
    <w:rsid w:val="0022442C"/>
    <w:rsid w:val="002245B1"/>
    <w:rsid w:val="00224A1D"/>
    <w:rsid w:val="00224BA5"/>
    <w:rsid w:val="00225340"/>
    <w:rsid w:val="002259D7"/>
    <w:rsid w:val="002269FF"/>
    <w:rsid w:val="002274F2"/>
    <w:rsid w:val="00227BE4"/>
    <w:rsid w:val="002303B3"/>
    <w:rsid w:val="00230D0C"/>
    <w:rsid w:val="00230EA4"/>
    <w:rsid w:val="0023207C"/>
    <w:rsid w:val="00232114"/>
    <w:rsid w:val="0023316C"/>
    <w:rsid w:val="00233EA8"/>
    <w:rsid w:val="00233EE9"/>
    <w:rsid w:val="002344D9"/>
    <w:rsid w:val="002349D2"/>
    <w:rsid w:val="00235237"/>
    <w:rsid w:val="0023573C"/>
    <w:rsid w:val="00235CCD"/>
    <w:rsid w:val="0023602F"/>
    <w:rsid w:val="00236048"/>
    <w:rsid w:val="002362ED"/>
    <w:rsid w:val="0023691C"/>
    <w:rsid w:val="00237036"/>
    <w:rsid w:val="002372AC"/>
    <w:rsid w:val="00237A33"/>
    <w:rsid w:val="00237F7F"/>
    <w:rsid w:val="002400F3"/>
    <w:rsid w:val="002402E8"/>
    <w:rsid w:val="00240B0F"/>
    <w:rsid w:val="00240CF2"/>
    <w:rsid w:val="00240E54"/>
    <w:rsid w:val="00241314"/>
    <w:rsid w:val="00241BD9"/>
    <w:rsid w:val="00242B67"/>
    <w:rsid w:val="00243111"/>
    <w:rsid w:val="00243381"/>
    <w:rsid w:val="00243756"/>
    <w:rsid w:val="00243EFD"/>
    <w:rsid w:val="002442A5"/>
    <w:rsid w:val="00244AF3"/>
    <w:rsid w:val="00244B2D"/>
    <w:rsid w:val="00244EF8"/>
    <w:rsid w:val="00244EFB"/>
    <w:rsid w:val="00245008"/>
    <w:rsid w:val="002451ED"/>
    <w:rsid w:val="002458E4"/>
    <w:rsid w:val="00245900"/>
    <w:rsid w:val="00245A47"/>
    <w:rsid w:val="00245DD8"/>
    <w:rsid w:val="002506EE"/>
    <w:rsid w:val="00250E42"/>
    <w:rsid w:val="00250E89"/>
    <w:rsid w:val="002522DA"/>
    <w:rsid w:val="00252688"/>
    <w:rsid w:val="00252912"/>
    <w:rsid w:val="00252D49"/>
    <w:rsid w:val="00253956"/>
    <w:rsid w:val="00253C51"/>
    <w:rsid w:val="002548D3"/>
    <w:rsid w:val="00254E85"/>
    <w:rsid w:val="0025568B"/>
    <w:rsid w:val="002561B7"/>
    <w:rsid w:val="002562F6"/>
    <w:rsid w:val="00256EDB"/>
    <w:rsid w:val="00256FEA"/>
    <w:rsid w:val="00257131"/>
    <w:rsid w:val="0025733E"/>
    <w:rsid w:val="00257F6B"/>
    <w:rsid w:val="00261B4C"/>
    <w:rsid w:val="00261C50"/>
    <w:rsid w:val="00261C71"/>
    <w:rsid w:val="00261E06"/>
    <w:rsid w:val="0026249A"/>
    <w:rsid w:val="0026257B"/>
    <w:rsid w:val="002625B4"/>
    <w:rsid w:val="00263090"/>
    <w:rsid w:val="00263146"/>
    <w:rsid w:val="00264D98"/>
    <w:rsid w:val="00265054"/>
    <w:rsid w:val="0026523F"/>
    <w:rsid w:val="0026696D"/>
    <w:rsid w:val="00266BE6"/>
    <w:rsid w:val="00267127"/>
    <w:rsid w:val="00267325"/>
    <w:rsid w:val="002674F1"/>
    <w:rsid w:val="00267935"/>
    <w:rsid w:val="00270B8F"/>
    <w:rsid w:val="00271B39"/>
    <w:rsid w:val="00271C92"/>
    <w:rsid w:val="0027280E"/>
    <w:rsid w:val="0027313B"/>
    <w:rsid w:val="00273CF6"/>
    <w:rsid w:val="00273F3E"/>
    <w:rsid w:val="002749B8"/>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1ECB"/>
    <w:rsid w:val="0028242D"/>
    <w:rsid w:val="00282D45"/>
    <w:rsid w:val="00283253"/>
    <w:rsid w:val="002836C6"/>
    <w:rsid w:val="00284146"/>
    <w:rsid w:val="0028429E"/>
    <w:rsid w:val="0028615B"/>
    <w:rsid w:val="00286DFC"/>
    <w:rsid w:val="00287102"/>
    <w:rsid w:val="00290002"/>
    <w:rsid w:val="0029069C"/>
    <w:rsid w:val="0029244F"/>
    <w:rsid w:val="00293B82"/>
    <w:rsid w:val="00293DA4"/>
    <w:rsid w:val="002965D8"/>
    <w:rsid w:val="00296A77"/>
    <w:rsid w:val="002A0381"/>
    <w:rsid w:val="002A0425"/>
    <w:rsid w:val="002A0651"/>
    <w:rsid w:val="002A06BD"/>
    <w:rsid w:val="002A11FB"/>
    <w:rsid w:val="002A120C"/>
    <w:rsid w:val="002A1715"/>
    <w:rsid w:val="002A1996"/>
    <w:rsid w:val="002A1F00"/>
    <w:rsid w:val="002A1F34"/>
    <w:rsid w:val="002A2185"/>
    <w:rsid w:val="002A21D9"/>
    <w:rsid w:val="002A2FE3"/>
    <w:rsid w:val="002A334F"/>
    <w:rsid w:val="002A3C88"/>
    <w:rsid w:val="002A41C2"/>
    <w:rsid w:val="002A4C00"/>
    <w:rsid w:val="002A50DC"/>
    <w:rsid w:val="002A52CC"/>
    <w:rsid w:val="002A555E"/>
    <w:rsid w:val="002A55AD"/>
    <w:rsid w:val="002A588A"/>
    <w:rsid w:val="002A58FF"/>
    <w:rsid w:val="002A5C6C"/>
    <w:rsid w:val="002A5FBD"/>
    <w:rsid w:val="002A6046"/>
    <w:rsid w:val="002A632B"/>
    <w:rsid w:val="002A6C04"/>
    <w:rsid w:val="002A6E4D"/>
    <w:rsid w:val="002A7153"/>
    <w:rsid w:val="002A724F"/>
    <w:rsid w:val="002A728A"/>
    <w:rsid w:val="002A7310"/>
    <w:rsid w:val="002A73C5"/>
    <w:rsid w:val="002A7D4F"/>
    <w:rsid w:val="002A7F8A"/>
    <w:rsid w:val="002B011D"/>
    <w:rsid w:val="002B021E"/>
    <w:rsid w:val="002B08F6"/>
    <w:rsid w:val="002B2E09"/>
    <w:rsid w:val="002B3271"/>
    <w:rsid w:val="002B366D"/>
    <w:rsid w:val="002B3938"/>
    <w:rsid w:val="002B3C7C"/>
    <w:rsid w:val="002B41B9"/>
    <w:rsid w:val="002B4B5E"/>
    <w:rsid w:val="002B4F70"/>
    <w:rsid w:val="002B51D5"/>
    <w:rsid w:val="002B6528"/>
    <w:rsid w:val="002B6DB3"/>
    <w:rsid w:val="002B743F"/>
    <w:rsid w:val="002C05A2"/>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EEF"/>
    <w:rsid w:val="002C6527"/>
    <w:rsid w:val="002D0724"/>
    <w:rsid w:val="002D13DF"/>
    <w:rsid w:val="002D21BC"/>
    <w:rsid w:val="002D3B6B"/>
    <w:rsid w:val="002D41A4"/>
    <w:rsid w:val="002D574E"/>
    <w:rsid w:val="002D603D"/>
    <w:rsid w:val="002E00AD"/>
    <w:rsid w:val="002E032F"/>
    <w:rsid w:val="002E075F"/>
    <w:rsid w:val="002E08C1"/>
    <w:rsid w:val="002E0B56"/>
    <w:rsid w:val="002E0B5D"/>
    <w:rsid w:val="002E1192"/>
    <w:rsid w:val="002E1650"/>
    <w:rsid w:val="002E1DA6"/>
    <w:rsid w:val="002E214F"/>
    <w:rsid w:val="002E24BD"/>
    <w:rsid w:val="002E24FD"/>
    <w:rsid w:val="002E3C98"/>
    <w:rsid w:val="002E4681"/>
    <w:rsid w:val="002E4D51"/>
    <w:rsid w:val="002E50BF"/>
    <w:rsid w:val="002E5619"/>
    <w:rsid w:val="002E57C9"/>
    <w:rsid w:val="002E6371"/>
    <w:rsid w:val="002E6A58"/>
    <w:rsid w:val="002E6D98"/>
    <w:rsid w:val="002E7881"/>
    <w:rsid w:val="002E7975"/>
    <w:rsid w:val="002E7A31"/>
    <w:rsid w:val="002F01F2"/>
    <w:rsid w:val="002F11D5"/>
    <w:rsid w:val="002F21EF"/>
    <w:rsid w:val="002F2741"/>
    <w:rsid w:val="002F2B63"/>
    <w:rsid w:val="002F3765"/>
    <w:rsid w:val="002F3F28"/>
    <w:rsid w:val="002F44A0"/>
    <w:rsid w:val="002F471C"/>
    <w:rsid w:val="002F4F44"/>
    <w:rsid w:val="002F50DA"/>
    <w:rsid w:val="002F56B1"/>
    <w:rsid w:val="002F584B"/>
    <w:rsid w:val="002F5902"/>
    <w:rsid w:val="002F5EEE"/>
    <w:rsid w:val="002F5FC3"/>
    <w:rsid w:val="002F6EF2"/>
    <w:rsid w:val="002F79E2"/>
    <w:rsid w:val="002F7D39"/>
    <w:rsid w:val="002F7E8D"/>
    <w:rsid w:val="00301272"/>
    <w:rsid w:val="003012A0"/>
    <w:rsid w:val="003022E5"/>
    <w:rsid w:val="00302461"/>
    <w:rsid w:val="00302899"/>
    <w:rsid w:val="00302A04"/>
    <w:rsid w:val="003033D9"/>
    <w:rsid w:val="00303C85"/>
    <w:rsid w:val="00303F98"/>
    <w:rsid w:val="00304338"/>
    <w:rsid w:val="003044F5"/>
    <w:rsid w:val="00304A75"/>
    <w:rsid w:val="003051C9"/>
    <w:rsid w:val="00305C1F"/>
    <w:rsid w:val="00305D1D"/>
    <w:rsid w:val="00306B5E"/>
    <w:rsid w:val="0030700E"/>
    <w:rsid w:val="00307766"/>
    <w:rsid w:val="00307A2D"/>
    <w:rsid w:val="00310D4B"/>
    <w:rsid w:val="00310EC0"/>
    <w:rsid w:val="00311161"/>
    <w:rsid w:val="003122A3"/>
    <w:rsid w:val="003132C3"/>
    <w:rsid w:val="00313A3B"/>
    <w:rsid w:val="00313BCE"/>
    <w:rsid w:val="00313E20"/>
    <w:rsid w:val="00314EA8"/>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CC1"/>
    <w:rsid w:val="0032244E"/>
    <w:rsid w:val="003227A7"/>
    <w:rsid w:val="00323373"/>
    <w:rsid w:val="003242E5"/>
    <w:rsid w:val="00324DD8"/>
    <w:rsid w:val="003256E0"/>
    <w:rsid w:val="00325E6C"/>
    <w:rsid w:val="003261AE"/>
    <w:rsid w:val="00326A13"/>
    <w:rsid w:val="00327114"/>
    <w:rsid w:val="00327B3E"/>
    <w:rsid w:val="00327EA3"/>
    <w:rsid w:val="00332227"/>
    <w:rsid w:val="00332486"/>
    <w:rsid w:val="0033321A"/>
    <w:rsid w:val="00333612"/>
    <w:rsid w:val="00333676"/>
    <w:rsid w:val="003336FD"/>
    <w:rsid w:val="00333A02"/>
    <w:rsid w:val="00333D3B"/>
    <w:rsid w:val="00333E4C"/>
    <w:rsid w:val="00334137"/>
    <w:rsid w:val="00334224"/>
    <w:rsid w:val="0033425B"/>
    <w:rsid w:val="003342F6"/>
    <w:rsid w:val="00334680"/>
    <w:rsid w:val="003350A3"/>
    <w:rsid w:val="0033586C"/>
    <w:rsid w:val="00335EFB"/>
    <w:rsid w:val="003363C5"/>
    <w:rsid w:val="003364B8"/>
    <w:rsid w:val="003364EB"/>
    <w:rsid w:val="003370F4"/>
    <w:rsid w:val="003374CB"/>
    <w:rsid w:val="00337D7C"/>
    <w:rsid w:val="00340445"/>
    <w:rsid w:val="00342A4E"/>
    <w:rsid w:val="00342BAE"/>
    <w:rsid w:val="003431F0"/>
    <w:rsid w:val="00343ACE"/>
    <w:rsid w:val="0034413F"/>
    <w:rsid w:val="00344388"/>
    <w:rsid w:val="00345AD6"/>
    <w:rsid w:val="00345E2A"/>
    <w:rsid w:val="00345F25"/>
    <w:rsid w:val="00346772"/>
    <w:rsid w:val="00346E05"/>
    <w:rsid w:val="003514C0"/>
    <w:rsid w:val="00351F42"/>
    <w:rsid w:val="00352BC1"/>
    <w:rsid w:val="00352F19"/>
    <w:rsid w:val="003532A4"/>
    <w:rsid w:val="003536EE"/>
    <w:rsid w:val="00353939"/>
    <w:rsid w:val="00354FA4"/>
    <w:rsid w:val="00355855"/>
    <w:rsid w:val="00356902"/>
    <w:rsid w:val="003571E8"/>
    <w:rsid w:val="00357C7F"/>
    <w:rsid w:val="00357CBA"/>
    <w:rsid w:val="003602AF"/>
    <w:rsid w:val="00361864"/>
    <w:rsid w:val="003619E8"/>
    <w:rsid w:val="00361FC9"/>
    <w:rsid w:val="00363CCB"/>
    <w:rsid w:val="003640EA"/>
    <w:rsid w:val="003642A2"/>
    <w:rsid w:val="003646C5"/>
    <w:rsid w:val="00365006"/>
    <w:rsid w:val="00365258"/>
    <w:rsid w:val="003653AC"/>
    <w:rsid w:val="00365ABF"/>
    <w:rsid w:val="00365E9E"/>
    <w:rsid w:val="00366FA8"/>
    <w:rsid w:val="003675A2"/>
    <w:rsid w:val="0037017C"/>
    <w:rsid w:val="003703D0"/>
    <w:rsid w:val="003706B3"/>
    <w:rsid w:val="003709F9"/>
    <w:rsid w:val="003723F4"/>
    <w:rsid w:val="00372522"/>
    <w:rsid w:val="003728C9"/>
    <w:rsid w:val="00373353"/>
    <w:rsid w:val="00373923"/>
    <w:rsid w:val="003744B5"/>
    <w:rsid w:val="003745F2"/>
    <w:rsid w:val="00374BA5"/>
    <w:rsid w:val="003756AA"/>
    <w:rsid w:val="00375CC2"/>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436C"/>
    <w:rsid w:val="003843EC"/>
    <w:rsid w:val="003847A5"/>
    <w:rsid w:val="00385229"/>
    <w:rsid w:val="003853E7"/>
    <w:rsid w:val="00385433"/>
    <w:rsid w:val="00386B76"/>
    <w:rsid w:val="00387884"/>
    <w:rsid w:val="00387F66"/>
    <w:rsid w:val="0039022F"/>
    <w:rsid w:val="0039048F"/>
    <w:rsid w:val="003909DB"/>
    <w:rsid w:val="00391069"/>
    <w:rsid w:val="00391591"/>
    <w:rsid w:val="00391BFD"/>
    <w:rsid w:val="003927CE"/>
    <w:rsid w:val="00392999"/>
    <w:rsid w:val="00392B88"/>
    <w:rsid w:val="00392CF1"/>
    <w:rsid w:val="00393028"/>
    <w:rsid w:val="0039313E"/>
    <w:rsid w:val="003934F9"/>
    <w:rsid w:val="00393AB1"/>
    <w:rsid w:val="0039475B"/>
    <w:rsid w:val="00394848"/>
    <w:rsid w:val="00394A73"/>
    <w:rsid w:val="00394CBF"/>
    <w:rsid w:val="00394D1B"/>
    <w:rsid w:val="00394EA1"/>
    <w:rsid w:val="00395AE1"/>
    <w:rsid w:val="003960EC"/>
    <w:rsid w:val="00396982"/>
    <w:rsid w:val="00396A2D"/>
    <w:rsid w:val="0039729C"/>
    <w:rsid w:val="00397BFA"/>
    <w:rsid w:val="003A03CE"/>
    <w:rsid w:val="003A0BE4"/>
    <w:rsid w:val="003A1771"/>
    <w:rsid w:val="003A1D06"/>
    <w:rsid w:val="003A1F30"/>
    <w:rsid w:val="003A236B"/>
    <w:rsid w:val="003A268D"/>
    <w:rsid w:val="003A2908"/>
    <w:rsid w:val="003A2BC2"/>
    <w:rsid w:val="003A347A"/>
    <w:rsid w:val="003A3C39"/>
    <w:rsid w:val="003A3CAC"/>
    <w:rsid w:val="003A4065"/>
    <w:rsid w:val="003A407A"/>
    <w:rsid w:val="003A44F3"/>
    <w:rsid w:val="003A505C"/>
    <w:rsid w:val="003A574F"/>
    <w:rsid w:val="003A58D0"/>
    <w:rsid w:val="003A61BB"/>
    <w:rsid w:val="003A6FDB"/>
    <w:rsid w:val="003B016F"/>
    <w:rsid w:val="003B01FA"/>
    <w:rsid w:val="003B0A1B"/>
    <w:rsid w:val="003B0DE7"/>
    <w:rsid w:val="003B1B85"/>
    <w:rsid w:val="003B2926"/>
    <w:rsid w:val="003B294E"/>
    <w:rsid w:val="003B3713"/>
    <w:rsid w:val="003B3AA5"/>
    <w:rsid w:val="003B445F"/>
    <w:rsid w:val="003B4982"/>
    <w:rsid w:val="003B4B46"/>
    <w:rsid w:val="003B4DF0"/>
    <w:rsid w:val="003B5C4E"/>
    <w:rsid w:val="003B65AB"/>
    <w:rsid w:val="003B6CFD"/>
    <w:rsid w:val="003B7115"/>
    <w:rsid w:val="003B7B4E"/>
    <w:rsid w:val="003B7D23"/>
    <w:rsid w:val="003C0C16"/>
    <w:rsid w:val="003C121F"/>
    <w:rsid w:val="003C19BF"/>
    <w:rsid w:val="003C1F0B"/>
    <w:rsid w:val="003C2E11"/>
    <w:rsid w:val="003C3323"/>
    <w:rsid w:val="003C3359"/>
    <w:rsid w:val="003C3B63"/>
    <w:rsid w:val="003C3E94"/>
    <w:rsid w:val="003C44A5"/>
    <w:rsid w:val="003C4544"/>
    <w:rsid w:val="003C488F"/>
    <w:rsid w:val="003C4DA4"/>
    <w:rsid w:val="003C4E2E"/>
    <w:rsid w:val="003C5286"/>
    <w:rsid w:val="003C542A"/>
    <w:rsid w:val="003C5B59"/>
    <w:rsid w:val="003C63D8"/>
    <w:rsid w:val="003D06D4"/>
    <w:rsid w:val="003D16D0"/>
    <w:rsid w:val="003D27FB"/>
    <w:rsid w:val="003D3FDB"/>
    <w:rsid w:val="003D3FF4"/>
    <w:rsid w:val="003D482D"/>
    <w:rsid w:val="003D53DC"/>
    <w:rsid w:val="003D589A"/>
    <w:rsid w:val="003D5A2F"/>
    <w:rsid w:val="003D6826"/>
    <w:rsid w:val="003D6E2F"/>
    <w:rsid w:val="003D7363"/>
    <w:rsid w:val="003D7964"/>
    <w:rsid w:val="003D7BA8"/>
    <w:rsid w:val="003D7E59"/>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3BC"/>
    <w:rsid w:val="003E6495"/>
    <w:rsid w:val="003E69D8"/>
    <w:rsid w:val="003E6B1E"/>
    <w:rsid w:val="003E6EAB"/>
    <w:rsid w:val="003E7E77"/>
    <w:rsid w:val="003F0D0D"/>
    <w:rsid w:val="003F179E"/>
    <w:rsid w:val="003F1823"/>
    <w:rsid w:val="003F1DDF"/>
    <w:rsid w:val="003F1F28"/>
    <w:rsid w:val="003F2ED7"/>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1FE2"/>
    <w:rsid w:val="00402593"/>
    <w:rsid w:val="004025F3"/>
    <w:rsid w:val="00402AB6"/>
    <w:rsid w:val="00402FEE"/>
    <w:rsid w:val="004030E9"/>
    <w:rsid w:val="004035B9"/>
    <w:rsid w:val="00403DA9"/>
    <w:rsid w:val="00404F25"/>
    <w:rsid w:val="00405A2A"/>
    <w:rsid w:val="00405AF2"/>
    <w:rsid w:val="00405C91"/>
    <w:rsid w:val="00405E73"/>
    <w:rsid w:val="00405FD0"/>
    <w:rsid w:val="004061A4"/>
    <w:rsid w:val="004061E0"/>
    <w:rsid w:val="0040632D"/>
    <w:rsid w:val="004070EE"/>
    <w:rsid w:val="00407B04"/>
    <w:rsid w:val="00407BC7"/>
    <w:rsid w:val="00410BE7"/>
    <w:rsid w:val="00410D26"/>
    <w:rsid w:val="0041105B"/>
    <w:rsid w:val="004124E8"/>
    <w:rsid w:val="00412773"/>
    <w:rsid w:val="00413625"/>
    <w:rsid w:val="00413998"/>
    <w:rsid w:val="00413BFD"/>
    <w:rsid w:val="00413D89"/>
    <w:rsid w:val="00413DFF"/>
    <w:rsid w:val="00414A4F"/>
    <w:rsid w:val="00415756"/>
    <w:rsid w:val="00415B9C"/>
    <w:rsid w:val="004166CA"/>
    <w:rsid w:val="0041688D"/>
    <w:rsid w:val="004168DB"/>
    <w:rsid w:val="00416A9F"/>
    <w:rsid w:val="004170BB"/>
    <w:rsid w:val="00417D63"/>
    <w:rsid w:val="004201B7"/>
    <w:rsid w:val="00421FC0"/>
    <w:rsid w:val="00422292"/>
    <w:rsid w:val="00422338"/>
    <w:rsid w:val="00422A18"/>
    <w:rsid w:val="00422B01"/>
    <w:rsid w:val="00423668"/>
    <w:rsid w:val="00423C36"/>
    <w:rsid w:val="004242E7"/>
    <w:rsid w:val="00424697"/>
    <w:rsid w:val="00424B8A"/>
    <w:rsid w:val="00425A62"/>
    <w:rsid w:val="00425BEB"/>
    <w:rsid w:val="00425DDC"/>
    <w:rsid w:val="00426433"/>
    <w:rsid w:val="00427383"/>
    <w:rsid w:val="00427BF1"/>
    <w:rsid w:val="004304D3"/>
    <w:rsid w:val="00430640"/>
    <w:rsid w:val="00430E30"/>
    <w:rsid w:val="00431315"/>
    <w:rsid w:val="0043178E"/>
    <w:rsid w:val="00432351"/>
    <w:rsid w:val="00432FAF"/>
    <w:rsid w:val="00433A29"/>
    <w:rsid w:val="004342A5"/>
    <w:rsid w:val="004347A6"/>
    <w:rsid w:val="00435338"/>
    <w:rsid w:val="00435CCE"/>
    <w:rsid w:val="00435DA3"/>
    <w:rsid w:val="0043621F"/>
    <w:rsid w:val="00436852"/>
    <w:rsid w:val="00436AF4"/>
    <w:rsid w:val="00436D58"/>
    <w:rsid w:val="00437088"/>
    <w:rsid w:val="00437998"/>
    <w:rsid w:val="004379D3"/>
    <w:rsid w:val="004406D0"/>
    <w:rsid w:val="004407FB"/>
    <w:rsid w:val="00441233"/>
    <w:rsid w:val="0044149E"/>
    <w:rsid w:val="00441512"/>
    <w:rsid w:val="00441873"/>
    <w:rsid w:val="00441F5D"/>
    <w:rsid w:val="00442241"/>
    <w:rsid w:val="004423C3"/>
    <w:rsid w:val="004424D0"/>
    <w:rsid w:val="00442D09"/>
    <w:rsid w:val="004434AB"/>
    <w:rsid w:val="00443DFB"/>
    <w:rsid w:val="0044493B"/>
    <w:rsid w:val="00444C0A"/>
    <w:rsid w:val="00444CD2"/>
    <w:rsid w:val="0044510F"/>
    <w:rsid w:val="00445FD0"/>
    <w:rsid w:val="00446573"/>
    <w:rsid w:val="0044696A"/>
    <w:rsid w:val="004470D3"/>
    <w:rsid w:val="004503FD"/>
    <w:rsid w:val="00450BA1"/>
    <w:rsid w:val="00450DAD"/>
    <w:rsid w:val="00450E38"/>
    <w:rsid w:val="004515EC"/>
    <w:rsid w:val="0045181C"/>
    <w:rsid w:val="00451AE9"/>
    <w:rsid w:val="00451B7A"/>
    <w:rsid w:val="00451DFC"/>
    <w:rsid w:val="00452B13"/>
    <w:rsid w:val="00452E02"/>
    <w:rsid w:val="00453895"/>
    <w:rsid w:val="004538F6"/>
    <w:rsid w:val="004548A5"/>
    <w:rsid w:val="00454B0F"/>
    <w:rsid w:val="004553EB"/>
    <w:rsid w:val="00455D28"/>
    <w:rsid w:val="00455D9A"/>
    <w:rsid w:val="004562BC"/>
    <w:rsid w:val="004562F1"/>
    <w:rsid w:val="00456A9B"/>
    <w:rsid w:val="0045708B"/>
    <w:rsid w:val="00457269"/>
    <w:rsid w:val="00460233"/>
    <w:rsid w:val="0046123F"/>
    <w:rsid w:val="004619CC"/>
    <w:rsid w:val="00461E36"/>
    <w:rsid w:val="0046392A"/>
    <w:rsid w:val="0046451D"/>
    <w:rsid w:val="00464A3F"/>
    <w:rsid w:val="00464A7E"/>
    <w:rsid w:val="004652F8"/>
    <w:rsid w:val="00465B3E"/>
    <w:rsid w:val="00465C0D"/>
    <w:rsid w:val="00465DED"/>
    <w:rsid w:val="00466945"/>
    <w:rsid w:val="00466ED5"/>
    <w:rsid w:val="00467388"/>
    <w:rsid w:val="00470261"/>
    <w:rsid w:val="00470367"/>
    <w:rsid w:val="004705C5"/>
    <w:rsid w:val="0047062C"/>
    <w:rsid w:val="00470934"/>
    <w:rsid w:val="00470AE5"/>
    <w:rsid w:val="0047124D"/>
    <w:rsid w:val="00471CC8"/>
    <w:rsid w:val="00471EE7"/>
    <w:rsid w:val="00472E56"/>
    <w:rsid w:val="0047365F"/>
    <w:rsid w:val="00474CD6"/>
    <w:rsid w:val="00474D62"/>
    <w:rsid w:val="004751E7"/>
    <w:rsid w:val="0047562B"/>
    <w:rsid w:val="00475D1D"/>
    <w:rsid w:val="00477276"/>
    <w:rsid w:val="004776B9"/>
    <w:rsid w:val="00477C17"/>
    <w:rsid w:val="00480837"/>
    <w:rsid w:val="004813C6"/>
    <w:rsid w:val="00481B7C"/>
    <w:rsid w:val="00481FC8"/>
    <w:rsid w:val="00482480"/>
    <w:rsid w:val="00482C64"/>
    <w:rsid w:val="00482DF6"/>
    <w:rsid w:val="00485168"/>
    <w:rsid w:val="0048578C"/>
    <w:rsid w:val="00485849"/>
    <w:rsid w:val="00485872"/>
    <w:rsid w:val="00485915"/>
    <w:rsid w:val="00485AE4"/>
    <w:rsid w:val="00485EA4"/>
    <w:rsid w:val="00485F61"/>
    <w:rsid w:val="00486C08"/>
    <w:rsid w:val="0048757E"/>
    <w:rsid w:val="00487C54"/>
    <w:rsid w:val="00487F2E"/>
    <w:rsid w:val="00490561"/>
    <w:rsid w:val="0049059F"/>
    <w:rsid w:val="00490F6B"/>
    <w:rsid w:val="00491099"/>
    <w:rsid w:val="00492CA8"/>
    <w:rsid w:val="004932D3"/>
    <w:rsid w:val="00493783"/>
    <w:rsid w:val="00493D86"/>
    <w:rsid w:val="00493EFE"/>
    <w:rsid w:val="004940C3"/>
    <w:rsid w:val="004945B1"/>
    <w:rsid w:val="00494C12"/>
    <w:rsid w:val="0049523D"/>
    <w:rsid w:val="00495625"/>
    <w:rsid w:val="00496420"/>
    <w:rsid w:val="00496B30"/>
    <w:rsid w:val="00496C58"/>
    <w:rsid w:val="004975A9"/>
    <w:rsid w:val="004977A8"/>
    <w:rsid w:val="00497E2B"/>
    <w:rsid w:val="004A002C"/>
    <w:rsid w:val="004A0AD0"/>
    <w:rsid w:val="004A0F14"/>
    <w:rsid w:val="004A1012"/>
    <w:rsid w:val="004A1539"/>
    <w:rsid w:val="004A1D55"/>
    <w:rsid w:val="004A262B"/>
    <w:rsid w:val="004A2B58"/>
    <w:rsid w:val="004A2E82"/>
    <w:rsid w:val="004A3080"/>
    <w:rsid w:val="004A4429"/>
    <w:rsid w:val="004A4862"/>
    <w:rsid w:val="004A4E10"/>
    <w:rsid w:val="004A5067"/>
    <w:rsid w:val="004A51B0"/>
    <w:rsid w:val="004A565E"/>
    <w:rsid w:val="004A59A4"/>
    <w:rsid w:val="004A6727"/>
    <w:rsid w:val="004A6981"/>
    <w:rsid w:val="004A6E06"/>
    <w:rsid w:val="004A73C9"/>
    <w:rsid w:val="004A7475"/>
    <w:rsid w:val="004A7F95"/>
    <w:rsid w:val="004B261D"/>
    <w:rsid w:val="004B35DD"/>
    <w:rsid w:val="004B4608"/>
    <w:rsid w:val="004B55CA"/>
    <w:rsid w:val="004B5BE9"/>
    <w:rsid w:val="004B63B7"/>
    <w:rsid w:val="004B7DCF"/>
    <w:rsid w:val="004C06B7"/>
    <w:rsid w:val="004C1447"/>
    <w:rsid w:val="004C15CD"/>
    <w:rsid w:val="004C166F"/>
    <w:rsid w:val="004C25E0"/>
    <w:rsid w:val="004C262D"/>
    <w:rsid w:val="004C2758"/>
    <w:rsid w:val="004C3CB6"/>
    <w:rsid w:val="004C57D7"/>
    <w:rsid w:val="004C586A"/>
    <w:rsid w:val="004C6802"/>
    <w:rsid w:val="004C6F5B"/>
    <w:rsid w:val="004C7132"/>
    <w:rsid w:val="004C725E"/>
    <w:rsid w:val="004C73AB"/>
    <w:rsid w:val="004C77BC"/>
    <w:rsid w:val="004D032D"/>
    <w:rsid w:val="004D03B3"/>
    <w:rsid w:val="004D05E3"/>
    <w:rsid w:val="004D0729"/>
    <w:rsid w:val="004D10AE"/>
    <w:rsid w:val="004D13DA"/>
    <w:rsid w:val="004D176E"/>
    <w:rsid w:val="004D241E"/>
    <w:rsid w:val="004D411E"/>
    <w:rsid w:val="004D427F"/>
    <w:rsid w:val="004D48AB"/>
    <w:rsid w:val="004D4B0C"/>
    <w:rsid w:val="004D591C"/>
    <w:rsid w:val="004D5B92"/>
    <w:rsid w:val="004D5ED0"/>
    <w:rsid w:val="004D6A22"/>
    <w:rsid w:val="004D6CA1"/>
    <w:rsid w:val="004D6F8E"/>
    <w:rsid w:val="004D7070"/>
    <w:rsid w:val="004D7151"/>
    <w:rsid w:val="004D7D6F"/>
    <w:rsid w:val="004E019A"/>
    <w:rsid w:val="004E02BB"/>
    <w:rsid w:val="004E05BE"/>
    <w:rsid w:val="004E08F2"/>
    <w:rsid w:val="004E0BF6"/>
    <w:rsid w:val="004E0D9C"/>
    <w:rsid w:val="004E10C4"/>
    <w:rsid w:val="004E1BC0"/>
    <w:rsid w:val="004E206A"/>
    <w:rsid w:val="004E2F50"/>
    <w:rsid w:val="004E345A"/>
    <w:rsid w:val="004E3C73"/>
    <w:rsid w:val="004E3F06"/>
    <w:rsid w:val="004E433E"/>
    <w:rsid w:val="004E4394"/>
    <w:rsid w:val="004E44AF"/>
    <w:rsid w:val="004E52D5"/>
    <w:rsid w:val="004E59C7"/>
    <w:rsid w:val="004E67BD"/>
    <w:rsid w:val="004E67CC"/>
    <w:rsid w:val="004E6BED"/>
    <w:rsid w:val="004E7CFB"/>
    <w:rsid w:val="004F0094"/>
    <w:rsid w:val="004F091C"/>
    <w:rsid w:val="004F1279"/>
    <w:rsid w:val="004F1517"/>
    <w:rsid w:val="004F1DD7"/>
    <w:rsid w:val="004F244F"/>
    <w:rsid w:val="004F266B"/>
    <w:rsid w:val="004F2CF9"/>
    <w:rsid w:val="004F3163"/>
    <w:rsid w:val="004F3E76"/>
    <w:rsid w:val="004F4097"/>
    <w:rsid w:val="004F4B8F"/>
    <w:rsid w:val="004F5901"/>
    <w:rsid w:val="004F59D0"/>
    <w:rsid w:val="004F5B1F"/>
    <w:rsid w:val="004F5E09"/>
    <w:rsid w:val="004F6312"/>
    <w:rsid w:val="004F644E"/>
    <w:rsid w:val="004F797F"/>
    <w:rsid w:val="004F7E38"/>
    <w:rsid w:val="004F7F3C"/>
    <w:rsid w:val="0050043A"/>
    <w:rsid w:val="00500875"/>
    <w:rsid w:val="005011A8"/>
    <w:rsid w:val="0050193A"/>
    <w:rsid w:val="00501E03"/>
    <w:rsid w:val="00501E5A"/>
    <w:rsid w:val="00501EB7"/>
    <w:rsid w:val="00502668"/>
    <w:rsid w:val="0050276C"/>
    <w:rsid w:val="005027F7"/>
    <w:rsid w:val="0050367F"/>
    <w:rsid w:val="00503FE5"/>
    <w:rsid w:val="00504068"/>
    <w:rsid w:val="00504889"/>
    <w:rsid w:val="00504F17"/>
    <w:rsid w:val="005051A5"/>
    <w:rsid w:val="00505297"/>
    <w:rsid w:val="0050563F"/>
    <w:rsid w:val="0050650A"/>
    <w:rsid w:val="00507045"/>
    <w:rsid w:val="00507643"/>
    <w:rsid w:val="00507FA4"/>
    <w:rsid w:val="005100BF"/>
    <w:rsid w:val="00510424"/>
    <w:rsid w:val="00510505"/>
    <w:rsid w:val="00510D49"/>
    <w:rsid w:val="0051105A"/>
    <w:rsid w:val="00511D21"/>
    <w:rsid w:val="00512690"/>
    <w:rsid w:val="00512B7A"/>
    <w:rsid w:val="00512CCA"/>
    <w:rsid w:val="00512EFD"/>
    <w:rsid w:val="005134DC"/>
    <w:rsid w:val="0051352C"/>
    <w:rsid w:val="00513896"/>
    <w:rsid w:val="00513998"/>
    <w:rsid w:val="00514214"/>
    <w:rsid w:val="0051453F"/>
    <w:rsid w:val="00514823"/>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7307"/>
    <w:rsid w:val="00527637"/>
    <w:rsid w:val="00527E4A"/>
    <w:rsid w:val="00530122"/>
    <w:rsid w:val="00530202"/>
    <w:rsid w:val="00530617"/>
    <w:rsid w:val="00530B1B"/>
    <w:rsid w:val="00531C5E"/>
    <w:rsid w:val="0053266F"/>
    <w:rsid w:val="00532A52"/>
    <w:rsid w:val="00532BE2"/>
    <w:rsid w:val="00532FBE"/>
    <w:rsid w:val="00534717"/>
    <w:rsid w:val="00535772"/>
    <w:rsid w:val="005358EF"/>
    <w:rsid w:val="005360B6"/>
    <w:rsid w:val="0053616B"/>
    <w:rsid w:val="00536AB7"/>
    <w:rsid w:val="00540796"/>
    <w:rsid w:val="005408EA"/>
    <w:rsid w:val="00540B90"/>
    <w:rsid w:val="00541566"/>
    <w:rsid w:val="00541618"/>
    <w:rsid w:val="00541625"/>
    <w:rsid w:val="005418F9"/>
    <w:rsid w:val="00541F2C"/>
    <w:rsid w:val="005422F4"/>
    <w:rsid w:val="00542595"/>
    <w:rsid w:val="005426BA"/>
    <w:rsid w:val="00542754"/>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47F57"/>
    <w:rsid w:val="00550163"/>
    <w:rsid w:val="00550BD7"/>
    <w:rsid w:val="00550FF4"/>
    <w:rsid w:val="00551A35"/>
    <w:rsid w:val="005531EF"/>
    <w:rsid w:val="00553F48"/>
    <w:rsid w:val="0055408C"/>
    <w:rsid w:val="00555256"/>
    <w:rsid w:val="00555289"/>
    <w:rsid w:val="00557BE8"/>
    <w:rsid w:val="00560452"/>
    <w:rsid w:val="0056097F"/>
    <w:rsid w:val="00560E39"/>
    <w:rsid w:val="00562076"/>
    <w:rsid w:val="005622D6"/>
    <w:rsid w:val="00562AD4"/>
    <w:rsid w:val="00563583"/>
    <w:rsid w:val="005635DB"/>
    <w:rsid w:val="00563722"/>
    <w:rsid w:val="005644D2"/>
    <w:rsid w:val="00565126"/>
    <w:rsid w:val="00565C32"/>
    <w:rsid w:val="0056605B"/>
    <w:rsid w:val="005664D0"/>
    <w:rsid w:val="00566509"/>
    <w:rsid w:val="00566C96"/>
    <w:rsid w:val="0056736F"/>
    <w:rsid w:val="005705DB"/>
    <w:rsid w:val="005709EF"/>
    <w:rsid w:val="0057109F"/>
    <w:rsid w:val="00571971"/>
    <w:rsid w:val="005721D9"/>
    <w:rsid w:val="00572770"/>
    <w:rsid w:val="0057299C"/>
    <w:rsid w:val="00572A16"/>
    <w:rsid w:val="00572D02"/>
    <w:rsid w:val="00572F10"/>
    <w:rsid w:val="005731E7"/>
    <w:rsid w:val="00573836"/>
    <w:rsid w:val="00573C96"/>
    <w:rsid w:val="00574200"/>
    <w:rsid w:val="00574776"/>
    <w:rsid w:val="00574ADD"/>
    <w:rsid w:val="00574BF4"/>
    <w:rsid w:val="00575FD0"/>
    <w:rsid w:val="00576547"/>
    <w:rsid w:val="005766D7"/>
    <w:rsid w:val="00576ED0"/>
    <w:rsid w:val="00576F87"/>
    <w:rsid w:val="00577B69"/>
    <w:rsid w:val="005800A3"/>
    <w:rsid w:val="00581587"/>
    <w:rsid w:val="00581F5A"/>
    <w:rsid w:val="00582B82"/>
    <w:rsid w:val="00582EF6"/>
    <w:rsid w:val="00583464"/>
    <w:rsid w:val="00583A9B"/>
    <w:rsid w:val="00585A48"/>
    <w:rsid w:val="00585D80"/>
    <w:rsid w:val="00586A60"/>
    <w:rsid w:val="00587847"/>
    <w:rsid w:val="00587868"/>
    <w:rsid w:val="00587E0C"/>
    <w:rsid w:val="0059058C"/>
    <w:rsid w:val="00591025"/>
    <w:rsid w:val="00591555"/>
    <w:rsid w:val="00592CDD"/>
    <w:rsid w:val="00592E85"/>
    <w:rsid w:val="00592F69"/>
    <w:rsid w:val="00593557"/>
    <w:rsid w:val="005935DB"/>
    <w:rsid w:val="0059385F"/>
    <w:rsid w:val="005946F1"/>
    <w:rsid w:val="005950AF"/>
    <w:rsid w:val="00597E2F"/>
    <w:rsid w:val="005A02B7"/>
    <w:rsid w:val="005A07C9"/>
    <w:rsid w:val="005A10EF"/>
    <w:rsid w:val="005A12C1"/>
    <w:rsid w:val="005A12E3"/>
    <w:rsid w:val="005A1307"/>
    <w:rsid w:val="005A1548"/>
    <w:rsid w:val="005A222C"/>
    <w:rsid w:val="005A371D"/>
    <w:rsid w:val="005A385F"/>
    <w:rsid w:val="005A4642"/>
    <w:rsid w:val="005A4851"/>
    <w:rsid w:val="005A4B6B"/>
    <w:rsid w:val="005A4FD0"/>
    <w:rsid w:val="005A5C02"/>
    <w:rsid w:val="005A61DF"/>
    <w:rsid w:val="005A6614"/>
    <w:rsid w:val="005A66D1"/>
    <w:rsid w:val="005A6E10"/>
    <w:rsid w:val="005A6EC1"/>
    <w:rsid w:val="005A708D"/>
    <w:rsid w:val="005A7559"/>
    <w:rsid w:val="005A7587"/>
    <w:rsid w:val="005A788F"/>
    <w:rsid w:val="005A7FA1"/>
    <w:rsid w:val="005B0942"/>
    <w:rsid w:val="005B15EF"/>
    <w:rsid w:val="005B1ADB"/>
    <w:rsid w:val="005B1BDC"/>
    <w:rsid w:val="005B1C58"/>
    <w:rsid w:val="005B1E1B"/>
    <w:rsid w:val="005B342A"/>
    <w:rsid w:val="005B37AA"/>
    <w:rsid w:val="005B37B4"/>
    <w:rsid w:val="005B4418"/>
    <w:rsid w:val="005B49FC"/>
    <w:rsid w:val="005B4B65"/>
    <w:rsid w:val="005B5529"/>
    <w:rsid w:val="005B645D"/>
    <w:rsid w:val="005B663F"/>
    <w:rsid w:val="005B68B6"/>
    <w:rsid w:val="005B6B95"/>
    <w:rsid w:val="005B707A"/>
    <w:rsid w:val="005B7120"/>
    <w:rsid w:val="005B7160"/>
    <w:rsid w:val="005B73A6"/>
    <w:rsid w:val="005B768C"/>
    <w:rsid w:val="005B7E8E"/>
    <w:rsid w:val="005C072E"/>
    <w:rsid w:val="005C0EE2"/>
    <w:rsid w:val="005C1691"/>
    <w:rsid w:val="005C33DE"/>
    <w:rsid w:val="005C3571"/>
    <w:rsid w:val="005C3DAD"/>
    <w:rsid w:val="005C4C1F"/>
    <w:rsid w:val="005C4D87"/>
    <w:rsid w:val="005C5F97"/>
    <w:rsid w:val="005C6799"/>
    <w:rsid w:val="005C7036"/>
    <w:rsid w:val="005C7053"/>
    <w:rsid w:val="005D0181"/>
    <w:rsid w:val="005D1B22"/>
    <w:rsid w:val="005D1F87"/>
    <w:rsid w:val="005D247E"/>
    <w:rsid w:val="005D2797"/>
    <w:rsid w:val="005D2821"/>
    <w:rsid w:val="005D29AB"/>
    <w:rsid w:val="005D2AD9"/>
    <w:rsid w:val="005D487B"/>
    <w:rsid w:val="005D569E"/>
    <w:rsid w:val="005D6A20"/>
    <w:rsid w:val="005D6BC4"/>
    <w:rsid w:val="005D75A8"/>
    <w:rsid w:val="005D7F63"/>
    <w:rsid w:val="005D7FD7"/>
    <w:rsid w:val="005E01D6"/>
    <w:rsid w:val="005E0D2C"/>
    <w:rsid w:val="005E0FBF"/>
    <w:rsid w:val="005E1A94"/>
    <w:rsid w:val="005E1E5E"/>
    <w:rsid w:val="005E1EC8"/>
    <w:rsid w:val="005E210E"/>
    <w:rsid w:val="005E2578"/>
    <w:rsid w:val="005E320C"/>
    <w:rsid w:val="005E3644"/>
    <w:rsid w:val="005E43D7"/>
    <w:rsid w:val="005E43D9"/>
    <w:rsid w:val="005E4D2B"/>
    <w:rsid w:val="005E4DFD"/>
    <w:rsid w:val="005E4E92"/>
    <w:rsid w:val="005E5326"/>
    <w:rsid w:val="005E549E"/>
    <w:rsid w:val="005E5E26"/>
    <w:rsid w:val="005E5F05"/>
    <w:rsid w:val="005E60DE"/>
    <w:rsid w:val="005E621A"/>
    <w:rsid w:val="005E6788"/>
    <w:rsid w:val="005E78D5"/>
    <w:rsid w:val="005F048A"/>
    <w:rsid w:val="005F0DF2"/>
    <w:rsid w:val="005F1192"/>
    <w:rsid w:val="005F1569"/>
    <w:rsid w:val="005F1684"/>
    <w:rsid w:val="005F186F"/>
    <w:rsid w:val="005F2A09"/>
    <w:rsid w:val="005F3287"/>
    <w:rsid w:val="005F354D"/>
    <w:rsid w:val="005F36B8"/>
    <w:rsid w:val="005F41E6"/>
    <w:rsid w:val="005F4F63"/>
    <w:rsid w:val="005F50F8"/>
    <w:rsid w:val="005F57CD"/>
    <w:rsid w:val="005F5C60"/>
    <w:rsid w:val="005F65D7"/>
    <w:rsid w:val="005F7277"/>
    <w:rsid w:val="0060015E"/>
    <w:rsid w:val="00600FF2"/>
    <w:rsid w:val="00601048"/>
    <w:rsid w:val="0060107B"/>
    <w:rsid w:val="00601744"/>
    <w:rsid w:val="00601EEB"/>
    <w:rsid w:val="0060324A"/>
    <w:rsid w:val="00603B00"/>
    <w:rsid w:val="00604586"/>
    <w:rsid w:val="00604745"/>
    <w:rsid w:val="006048CC"/>
    <w:rsid w:val="00604A3E"/>
    <w:rsid w:val="00604E98"/>
    <w:rsid w:val="00605593"/>
    <w:rsid w:val="00607D49"/>
    <w:rsid w:val="00607E9C"/>
    <w:rsid w:val="00610586"/>
    <w:rsid w:val="00610A0E"/>
    <w:rsid w:val="00610D9A"/>
    <w:rsid w:val="00611ED2"/>
    <w:rsid w:val="00613239"/>
    <w:rsid w:val="006133AF"/>
    <w:rsid w:val="00614049"/>
    <w:rsid w:val="00614D9F"/>
    <w:rsid w:val="00614F91"/>
    <w:rsid w:val="00615CF7"/>
    <w:rsid w:val="0061600A"/>
    <w:rsid w:val="00616417"/>
    <w:rsid w:val="0061657A"/>
    <w:rsid w:val="00616CA8"/>
    <w:rsid w:val="00616EC0"/>
    <w:rsid w:val="0061700B"/>
    <w:rsid w:val="00617620"/>
    <w:rsid w:val="006177C3"/>
    <w:rsid w:val="00620141"/>
    <w:rsid w:val="006203C2"/>
    <w:rsid w:val="0062090B"/>
    <w:rsid w:val="00620CCA"/>
    <w:rsid w:val="0062150B"/>
    <w:rsid w:val="0062159C"/>
    <w:rsid w:val="00622077"/>
    <w:rsid w:val="00622185"/>
    <w:rsid w:val="00622880"/>
    <w:rsid w:val="00622A7B"/>
    <w:rsid w:val="00623647"/>
    <w:rsid w:val="00623D4B"/>
    <w:rsid w:val="006246EF"/>
    <w:rsid w:val="00624C5D"/>
    <w:rsid w:val="00625599"/>
    <w:rsid w:val="00625C14"/>
    <w:rsid w:val="00627AF1"/>
    <w:rsid w:val="00627B99"/>
    <w:rsid w:val="00627E79"/>
    <w:rsid w:val="00631EC7"/>
    <w:rsid w:val="006335B0"/>
    <w:rsid w:val="00633D19"/>
    <w:rsid w:val="00633D42"/>
    <w:rsid w:val="00634056"/>
    <w:rsid w:val="0063472A"/>
    <w:rsid w:val="006347F8"/>
    <w:rsid w:val="00634CAD"/>
    <w:rsid w:val="00634E82"/>
    <w:rsid w:val="00636368"/>
    <w:rsid w:val="006363FA"/>
    <w:rsid w:val="00636900"/>
    <w:rsid w:val="00636979"/>
    <w:rsid w:val="006372D5"/>
    <w:rsid w:val="00637828"/>
    <w:rsid w:val="006379A7"/>
    <w:rsid w:val="00637EA1"/>
    <w:rsid w:val="00640237"/>
    <w:rsid w:val="0064118E"/>
    <w:rsid w:val="0064124F"/>
    <w:rsid w:val="00641AB6"/>
    <w:rsid w:val="00642173"/>
    <w:rsid w:val="00642997"/>
    <w:rsid w:val="006436D0"/>
    <w:rsid w:val="00643F7D"/>
    <w:rsid w:val="0064437A"/>
    <w:rsid w:val="00645CB9"/>
    <w:rsid w:val="00645DD3"/>
    <w:rsid w:val="0064650B"/>
    <w:rsid w:val="00646641"/>
    <w:rsid w:val="00646B2F"/>
    <w:rsid w:val="00646FF5"/>
    <w:rsid w:val="00647CD3"/>
    <w:rsid w:val="0065022E"/>
    <w:rsid w:val="00650398"/>
    <w:rsid w:val="0065047A"/>
    <w:rsid w:val="006510E7"/>
    <w:rsid w:val="00651D1E"/>
    <w:rsid w:val="006524CF"/>
    <w:rsid w:val="00652AB2"/>
    <w:rsid w:val="00654F65"/>
    <w:rsid w:val="006556B0"/>
    <w:rsid w:val="006557F4"/>
    <w:rsid w:val="0065588A"/>
    <w:rsid w:val="00655983"/>
    <w:rsid w:val="00656065"/>
    <w:rsid w:val="006571CF"/>
    <w:rsid w:val="0065748E"/>
    <w:rsid w:val="00657934"/>
    <w:rsid w:val="00657A63"/>
    <w:rsid w:val="006604AF"/>
    <w:rsid w:val="006612B7"/>
    <w:rsid w:val="00661497"/>
    <w:rsid w:val="00661503"/>
    <w:rsid w:val="006617A5"/>
    <w:rsid w:val="00661EB0"/>
    <w:rsid w:val="0066235E"/>
    <w:rsid w:val="00662523"/>
    <w:rsid w:val="00662B0D"/>
    <w:rsid w:val="006631F5"/>
    <w:rsid w:val="00663E53"/>
    <w:rsid w:val="006644CF"/>
    <w:rsid w:val="006645B8"/>
    <w:rsid w:val="00665270"/>
    <w:rsid w:val="00665461"/>
    <w:rsid w:val="00666308"/>
    <w:rsid w:val="00666BB7"/>
    <w:rsid w:val="00666C4C"/>
    <w:rsid w:val="00667518"/>
    <w:rsid w:val="00667CB6"/>
    <w:rsid w:val="00670342"/>
    <w:rsid w:val="00670D33"/>
    <w:rsid w:val="0067157C"/>
    <w:rsid w:val="00671AFA"/>
    <w:rsid w:val="006722F6"/>
    <w:rsid w:val="006725F0"/>
    <w:rsid w:val="00672A00"/>
    <w:rsid w:val="00672A27"/>
    <w:rsid w:val="00674DCE"/>
    <w:rsid w:val="00675104"/>
    <w:rsid w:val="00675A8E"/>
    <w:rsid w:val="00675D1F"/>
    <w:rsid w:val="00675F27"/>
    <w:rsid w:val="00676955"/>
    <w:rsid w:val="00676D3E"/>
    <w:rsid w:val="00677048"/>
    <w:rsid w:val="0068046C"/>
    <w:rsid w:val="006812C0"/>
    <w:rsid w:val="00681732"/>
    <w:rsid w:val="00681B7E"/>
    <w:rsid w:val="006828B7"/>
    <w:rsid w:val="00682B23"/>
    <w:rsid w:val="00683085"/>
    <w:rsid w:val="0068311C"/>
    <w:rsid w:val="00683140"/>
    <w:rsid w:val="0068387C"/>
    <w:rsid w:val="00683942"/>
    <w:rsid w:val="00683ACE"/>
    <w:rsid w:val="00683E1A"/>
    <w:rsid w:val="00684516"/>
    <w:rsid w:val="0068574F"/>
    <w:rsid w:val="00686222"/>
    <w:rsid w:val="00686C68"/>
    <w:rsid w:val="00686D9B"/>
    <w:rsid w:val="00686F04"/>
    <w:rsid w:val="00686F62"/>
    <w:rsid w:val="00687043"/>
    <w:rsid w:val="006872FC"/>
    <w:rsid w:val="0069053C"/>
    <w:rsid w:val="0069086B"/>
    <w:rsid w:val="00690B64"/>
    <w:rsid w:val="00691F51"/>
    <w:rsid w:val="00692328"/>
    <w:rsid w:val="0069241A"/>
    <w:rsid w:val="006935B9"/>
    <w:rsid w:val="00694848"/>
    <w:rsid w:val="00695041"/>
    <w:rsid w:val="00695224"/>
    <w:rsid w:val="00695AF5"/>
    <w:rsid w:val="00696667"/>
    <w:rsid w:val="00696EA4"/>
    <w:rsid w:val="00697A24"/>
    <w:rsid w:val="00697C1D"/>
    <w:rsid w:val="006A0902"/>
    <w:rsid w:val="006A0BAC"/>
    <w:rsid w:val="006A0DC0"/>
    <w:rsid w:val="006A104A"/>
    <w:rsid w:val="006A158C"/>
    <w:rsid w:val="006A189A"/>
    <w:rsid w:val="006A1918"/>
    <w:rsid w:val="006A1938"/>
    <w:rsid w:val="006A1BD9"/>
    <w:rsid w:val="006A1D13"/>
    <w:rsid w:val="006A20E5"/>
    <w:rsid w:val="006A231D"/>
    <w:rsid w:val="006A256B"/>
    <w:rsid w:val="006A2F27"/>
    <w:rsid w:val="006A333F"/>
    <w:rsid w:val="006A33B2"/>
    <w:rsid w:val="006A33D9"/>
    <w:rsid w:val="006A38CC"/>
    <w:rsid w:val="006A3E23"/>
    <w:rsid w:val="006A48DE"/>
    <w:rsid w:val="006A4A68"/>
    <w:rsid w:val="006A4DFD"/>
    <w:rsid w:val="006A5013"/>
    <w:rsid w:val="006A5734"/>
    <w:rsid w:val="006A610B"/>
    <w:rsid w:val="006A6598"/>
    <w:rsid w:val="006A6C76"/>
    <w:rsid w:val="006A75E1"/>
    <w:rsid w:val="006A7DA2"/>
    <w:rsid w:val="006B09B1"/>
    <w:rsid w:val="006B1298"/>
    <w:rsid w:val="006B1923"/>
    <w:rsid w:val="006B1CFA"/>
    <w:rsid w:val="006B260C"/>
    <w:rsid w:val="006B2B78"/>
    <w:rsid w:val="006B2E18"/>
    <w:rsid w:val="006B38D4"/>
    <w:rsid w:val="006B3D4C"/>
    <w:rsid w:val="006B445B"/>
    <w:rsid w:val="006B541F"/>
    <w:rsid w:val="006B5DC9"/>
    <w:rsid w:val="006B65F2"/>
    <w:rsid w:val="006B66F8"/>
    <w:rsid w:val="006B6C8C"/>
    <w:rsid w:val="006B6CDF"/>
    <w:rsid w:val="006B7604"/>
    <w:rsid w:val="006B77FE"/>
    <w:rsid w:val="006B7A32"/>
    <w:rsid w:val="006B7D26"/>
    <w:rsid w:val="006C0088"/>
    <w:rsid w:val="006C0CC8"/>
    <w:rsid w:val="006C1D0E"/>
    <w:rsid w:val="006C1FFC"/>
    <w:rsid w:val="006C2192"/>
    <w:rsid w:val="006C2227"/>
    <w:rsid w:val="006C2237"/>
    <w:rsid w:val="006C2A33"/>
    <w:rsid w:val="006C316C"/>
    <w:rsid w:val="006C3391"/>
    <w:rsid w:val="006C3957"/>
    <w:rsid w:val="006C3C1D"/>
    <w:rsid w:val="006C3C53"/>
    <w:rsid w:val="006C3CBA"/>
    <w:rsid w:val="006C3E30"/>
    <w:rsid w:val="006C3E96"/>
    <w:rsid w:val="006C4AC7"/>
    <w:rsid w:val="006C511D"/>
    <w:rsid w:val="006C57C4"/>
    <w:rsid w:val="006C5A55"/>
    <w:rsid w:val="006C5F50"/>
    <w:rsid w:val="006C7CD6"/>
    <w:rsid w:val="006D0435"/>
    <w:rsid w:val="006D05EF"/>
    <w:rsid w:val="006D0878"/>
    <w:rsid w:val="006D0BDD"/>
    <w:rsid w:val="006D0BE5"/>
    <w:rsid w:val="006D0CB8"/>
    <w:rsid w:val="006D0CDA"/>
    <w:rsid w:val="006D150F"/>
    <w:rsid w:val="006D23E7"/>
    <w:rsid w:val="006D2762"/>
    <w:rsid w:val="006D2A1D"/>
    <w:rsid w:val="006D32D2"/>
    <w:rsid w:val="006D41C9"/>
    <w:rsid w:val="006D48F6"/>
    <w:rsid w:val="006D5920"/>
    <w:rsid w:val="006D59CA"/>
    <w:rsid w:val="006D6A01"/>
    <w:rsid w:val="006D7DAF"/>
    <w:rsid w:val="006E0104"/>
    <w:rsid w:val="006E0126"/>
    <w:rsid w:val="006E0848"/>
    <w:rsid w:val="006E1450"/>
    <w:rsid w:val="006E28B4"/>
    <w:rsid w:val="006E33A2"/>
    <w:rsid w:val="006E33F9"/>
    <w:rsid w:val="006E42A9"/>
    <w:rsid w:val="006E4C76"/>
    <w:rsid w:val="006E5C0D"/>
    <w:rsid w:val="006E6799"/>
    <w:rsid w:val="006E67A9"/>
    <w:rsid w:val="006E6FF8"/>
    <w:rsid w:val="006E7584"/>
    <w:rsid w:val="006F0B48"/>
    <w:rsid w:val="006F1D0E"/>
    <w:rsid w:val="006F1F52"/>
    <w:rsid w:val="006F2368"/>
    <w:rsid w:val="006F2601"/>
    <w:rsid w:val="006F2B93"/>
    <w:rsid w:val="006F2C93"/>
    <w:rsid w:val="006F4258"/>
    <w:rsid w:val="006F4A3B"/>
    <w:rsid w:val="006F6278"/>
    <w:rsid w:val="006F7BB8"/>
    <w:rsid w:val="006F7F58"/>
    <w:rsid w:val="00700FC6"/>
    <w:rsid w:val="00701022"/>
    <w:rsid w:val="00701092"/>
    <w:rsid w:val="007016CB"/>
    <w:rsid w:val="0070184D"/>
    <w:rsid w:val="00701DDF"/>
    <w:rsid w:val="00702247"/>
    <w:rsid w:val="007028C1"/>
    <w:rsid w:val="007033F1"/>
    <w:rsid w:val="00704B50"/>
    <w:rsid w:val="00704CBD"/>
    <w:rsid w:val="0070597A"/>
    <w:rsid w:val="007059E9"/>
    <w:rsid w:val="00705DC2"/>
    <w:rsid w:val="0070655B"/>
    <w:rsid w:val="00707536"/>
    <w:rsid w:val="00707DE3"/>
    <w:rsid w:val="00710292"/>
    <w:rsid w:val="00713861"/>
    <w:rsid w:val="00714054"/>
    <w:rsid w:val="00714083"/>
    <w:rsid w:val="00714146"/>
    <w:rsid w:val="00716559"/>
    <w:rsid w:val="00716C9E"/>
    <w:rsid w:val="007205F0"/>
    <w:rsid w:val="0072127E"/>
    <w:rsid w:val="007215B3"/>
    <w:rsid w:val="0072271B"/>
    <w:rsid w:val="00722DF7"/>
    <w:rsid w:val="00722F78"/>
    <w:rsid w:val="00723C90"/>
    <w:rsid w:val="007240BD"/>
    <w:rsid w:val="0072460F"/>
    <w:rsid w:val="00724702"/>
    <w:rsid w:val="007247CF"/>
    <w:rsid w:val="00724AD9"/>
    <w:rsid w:val="007258FF"/>
    <w:rsid w:val="00725EFC"/>
    <w:rsid w:val="00725FAB"/>
    <w:rsid w:val="007264FB"/>
    <w:rsid w:val="00727237"/>
    <w:rsid w:val="007274F7"/>
    <w:rsid w:val="00730966"/>
    <w:rsid w:val="00730B23"/>
    <w:rsid w:val="00731614"/>
    <w:rsid w:val="007325D2"/>
    <w:rsid w:val="00733153"/>
    <w:rsid w:val="00733B22"/>
    <w:rsid w:val="00734D7F"/>
    <w:rsid w:val="0073556D"/>
    <w:rsid w:val="007356DE"/>
    <w:rsid w:val="00735C72"/>
    <w:rsid w:val="007367CA"/>
    <w:rsid w:val="00736C6D"/>
    <w:rsid w:val="007375D6"/>
    <w:rsid w:val="007377B5"/>
    <w:rsid w:val="00737B8C"/>
    <w:rsid w:val="00737C0A"/>
    <w:rsid w:val="00737CAB"/>
    <w:rsid w:val="00740187"/>
    <w:rsid w:val="0074160D"/>
    <w:rsid w:val="00741C58"/>
    <w:rsid w:val="00741C5E"/>
    <w:rsid w:val="00743262"/>
    <w:rsid w:val="007443E8"/>
    <w:rsid w:val="007444BF"/>
    <w:rsid w:val="007444FA"/>
    <w:rsid w:val="0074533B"/>
    <w:rsid w:val="00745BD2"/>
    <w:rsid w:val="007460BF"/>
    <w:rsid w:val="00746164"/>
    <w:rsid w:val="007463BC"/>
    <w:rsid w:val="007465E1"/>
    <w:rsid w:val="00746A22"/>
    <w:rsid w:val="00746F94"/>
    <w:rsid w:val="00746FB8"/>
    <w:rsid w:val="00747C97"/>
    <w:rsid w:val="00747CEF"/>
    <w:rsid w:val="0075028B"/>
    <w:rsid w:val="00750D85"/>
    <w:rsid w:val="00750D90"/>
    <w:rsid w:val="00751041"/>
    <w:rsid w:val="00751196"/>
    <w:rsid w:val="00752B74"/>
    <w:rsid w:val="00752DC9"/>
    <w:rsid w:val="00752E07"/>
    <w:rsid w:val="00752FEA"/>
    <w:rsid w:val="00753103"/>
    <w:rsid w:val="00753B52"/>
    <w:rsid w:val="00753BD5"/>
    <w:rsid w:val="0075457C"/>
    <w:rsid w:val="00755213"/>
    <w:rsid w:val="0075523F"/>
    <w:rsid w:val="00755E79"/>
    <w:rsid w:val="00755FDA"/>
    <w:rsid w:val="00756916"/>
    <w:rsid w:val="00756A61"/>
    <w:rsid w:val="00756F86"/>
    <w:rsid w:val="0075735D"/>
    <w:rsid w:val="0075777A"/>
    <w:rsid w:val="0076013E"/>
    <w:rsid w:val="0076128E"/>
    <w:rsid w:val="0076266C"/>
    <w:rsid w:val="007645ED"/>
    <w:rsid w:val="00765002"/>
    <w:rsid w:val="007669E7"/>
    <w:rsid w:val="007675F7"/>
    <w:rsid w:val="00767956"/>
    <w:rsid w:val="0077091F"/>
    <w:rsid w:val="00771266"/>
    <w:rsid w:val="00771B21"/>
    <w:rsid w:val="00772036"/>
    <w:rsid w:val="0077203D"/>
    <w:rsid w:val="00772114"/>
    <w:rsid w:val="00772150"/>
    <w:rsid w:val="007721E3"/>
    <w:rsid w:val="00772B31"/>
    <w:rsid w:val="00773B71"/>
    <w:rsid w:val="00774BE0"/>
    <w:rsid w:val="00775496"/>
    <w:rsid w:val="00775850"/>
    <w:rsid w:val="00775910"/>
    <w:rsid w:val="00776534"/>
    <w:rsid w:val="007768AE"/>
    <w:rsid w:val="00776F7B"/>
    <w:rsid w:val="00777322"/>
    <w:rsid w:val="00777C1D"/>
    <w:rsid w:val="00780CFA"/>
    <w:rsid w:val="00780D57"/>
    <w:rsid w:val="00780F67"/>
    <w:rsid w:val="007811DE"/>
    <w:rsid w:val="007818C5"/>
    <w:rsid w:val="00781EF6"/>
    <w:rsid w:val="00781F40"/>
    <w:rsid w:val="00782CE7"/>
    <w:rsid w:val="00782F5F"/>
    <w:rsid w:val="00783824"/>
    <w:rsid w:val="00784306"/>
    <w:rsid w:val="00784450"/>
    <w:rsid w:val="0078485E"/>
    <w:rsid w:val="00784A3B"/>
    <w:rsid w:val="00784DDD"/>
    <w:rsid w:val="00785434"/>
    <w:rsid w:val="007854AB"/>
    <w:rsid w:val="00785789"/>
    <w:rsid w:val="007857B5"/>
    <w:rsid w:val="00785923"/>
    <w:rsid w:val="00785F9C"/>
    <w:rsid w:val="00786052"/>
    <w:rsid w:val="007860FC"/>
    <w:rsid w:val="0078647D"/>
    <w:rsid w:val="00786D03"/>
    <w:rsid w:val="00786EFE"/>
    <w:rsid w:val="007874E8"/>
    <w:rsid w:val="00787CBC"/>
    <w:rsid w:val="00787E46"/>
    <w:rsid w:val="00787EFF"/>
    <w:rsid w:val="00790248"/>
    <w:rsid w:val="00790C65"/>
    <w:rsid w:val="007914C4"/>
    <w:rsid w:val="007929D3"/>
    <w:rsid w:val="00792DF5"/>
    <w:rsid w:val="0079538B"/>
    <w:rsid w:val="0079543C"/>
    <w:rsid w:val="00795707"/>
    <w:rsid w:val="007958A2"/>
    <w:rsid w:val="00795A32"/>
    <w:rsid w:val="00795C4E"/>
    <w:rsid w:val="00796150"/>
    <w:rsid w:val="007970DC"/>
    <w:rsid w:val="00797438"/>
    <w:rsid w:val="00797A25"/>
    <w:rsid w:val="007A03B1"/>
    <w:rsid w:val="007A0520"/>
    <w:rsid w:val="007A0605"/>
    <w:rsid w:val="007A09DF"/>
    <w:rsid w:val="007A0E2F"/>
    <w:rsid w:val="007A10E6"/>
    <w:rsid w:val="007A1136"/>
    <w:rsid w:val="007A20EA"/>
    <w:rsid w:val="007A241F"/>
    <w:rsid w:val="007A26FB"/>
    <w:rsid w:val="007A3506"/>
    <w:rsid w:val="007A372A"/>
    <w:rsid w:val="007A3BD1"/>
    <w:rsid w:val="007A4153"/>
    <w:rsid w:val="007A46C9"/>
    <w:rsid w:val="007A530D"/>
    <w:rsid w:val="007A5CE6"/>
    <w:rsid w:val="007A6113"/>
    <w:rsid w:val="007A6DFA"/>
    <w:rsid w:val="007A7B86"/>
    <w:rsid w:val="007B081D"/>
    <w:rsid w:val="007B0E69"/>
    <w:rsid w:val="007B1DED"/>
    <w:rsid w:val="007B3EEC"/>
    <w:rsid w:val="007B3F83"/>
    <w:rsid w:val="007B3FFF"/>
    <w:rsid w:val="007B47BA"/>
    <w:rsid w:val="007B4B17"/>
    <w:rsid w:val="007B62F5"/>
    <w:rsid w:val="007B7652"/>
    <w:rsid w:val="007B7ACF"/>
    <w:rsid w:val="007C07D2"/>
    <w:rsid w:val="007C0C41"/>
    <w:rsid w:val="007C0E51"/>
    <w:rsid w:val="007C0F7B"/>
    <w:rsid w:val="007C12FC"/>
    <w:rsid w:val="007C1A56"/>
    <w:rsid w:val="007C22A2"/>
    <w:rsid w:val="007C2322"/>
    <w:rsid w:val="007C2370"/>
    <w:rsid w:val="007C26B9"/>
    <w:rsid w:val="007C37D2"/>
    <w:rsid w:val="007C3E18"/>
    <w:rsid w:val="007C4B16"/>
    <w:rsid w:val="007C573D"/>
    <w:rsid w:val="007C5BAA"/>
    <w:rsid w:val="007C5EB7"/>
    <w:rsid w:val="007C6AE3"/>
    <w:rsid w:val="007C79CF"/>
    <w:rsid w:val="007C7BAE"/>
    <w:rsid w:val="007D02AD"/>
    <w:rsid w:val="007D04E6"/>
    <w:rsid w:val="007D06EE"/>
    <w:rsid w:val="007D0D57"/>
    <w:rsid w:val="007D14B1"/>
    <w:rsid w:val="007D1D33"/>
    <w:rsid w:val="007D2640"/>
    <w:rsid w:val="007D2656"/>
    <w:rsid w:val="007D27C9"/>
    <w:rsid w:val="007D28AE"/>
    <w:rsid w:val="007D2D2D"/>
    <w:rsid w:val="007D2FDA"/>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8F"/>
    <w:rsid w:val="007E21CA"/>
    <w:rsid w:val="007E24F9"/>
    <w:rsid w:val="007E2D10"/>
    <w:rsid w:val="007E2F1A"/>
    <w:rsid w:val="007E31D2"/>
    <w:rsid w:val="007E3300"/>
    <w:rsid w:val="007E3899"/>
    <w:rsid w:val="007E4431"/>
    <w:rsid w:val="007E479E"/>
    <w:rsid w:val="007E5533"/>
    <w:rsid w:val="007E5555"/>
    <w:rsid w:val="007E5691"/>
    <w:rsid w:val="007E56DD"/>
    <w:rsid w:val="007E614B"/>
    <w:rsid w:val="007E6353"/>
    <w:rsid w:val="007E637E"/>
    <w:rsid w:val="007E6C96"/>
    <w:rsid w:val="007E746A"/>
    <w:rsid w:val="007E7BB8"/>
    <w:rsid w:val="007E7BEA"/>
    <w:rsid w:val="007F0400"/>
    <w:rsid w:val="007F040C"/>
    <w:rsid w:val="007F068D"/>
    <w:rsid w:val="007F0A9F"/>
    <w:rsid w:val="007F12BA"/>
    <w:rsid w:val="007F1B06"/>
    <w:rsid w:val="007F215B"/>
    <w:rsid w:val="007F268D"/>
    <w:rsid w:val="007F2907"/>
    <w:rsid w:val="007F2930"/>
    <w:rsid w:val="007F2AD8"/>
    <w:rsid w:val="007F2BEA"/>
    <w:rsid w:val="007F345B"/>
    <w:rsid w:val="007F36BA"/>
    <w:rsid w:val="007F3919"/>
    <w:rsid w:val="007F497F"/>
    <w:rsid w:val="007F5124"/>
    <w:rsid w:val="007F53C0"/>
    <w:rsid w:val="007F577C"/>
    <w:rsid w:val="007F6A3A"/>
    <w:rsid w:val="007F6AC2"/>
    <w:rsid w:val="0080039E"/>
    <w:rsid w:val="008009C3"/>
    <w:rsid w:val="00800E47"/>
    <w:rsid w:val="00801AB1"/>
    <w:rsid w:val="00802383"/>
    <w:rsid w:val="00802C82"/>
    <w:rsid w:val="008033B8"/>
    <w:rsid w:val="008033C1"/>
    <w:rsid w:val="00803689"/>
    <w:rsid w:val="00803D71"/>
    <w:rsid w:val="00803DDC"/>
    <w:rsid w:val="00803EBA"/>
    <w:rsid w:val="0080498C"/>
    <w:rsid w:val="008049DB"/>
    <w:rsid w:val="00804DA1"/>
    <w:rsid w:val="0080557B"/>
    <w:rsid w:val="00805B7B"/>
    <w:rsid w:val="00805D34"/>
    <w:rsid w:val="00806393"/>
    <w:rsid w:val="008067F2"/>
    <w:rsid w:val="00806FF0"/>
    <w:rsid w:val="00810A80"/>
    <w:rsid w:val="00811009"/>
    <w:rsid w:val="00811082"/>
    <w:rsid w:val="00812131"/>
    <w:rsid w:val="0081291F"/>
    <w:rsid w:val="00812CAB"/>
    <w:rsid w:val="00813405"/>
    <w:rsid w:val="0081357E"/>
    <w:rsid w:val="00813C9D"/>
    <w:rsid w:val="00814F99"/>
    <w:rsid w:val="008155EC"/>
    <w:rsid w:val="00815C51"/>
    <w:rsid w:val="008169BD"/>
    <w:rsid w:val="00816BEF"/>
    <w:rsid w:val="00816D29"/>
    <w:rsid w:val="008179EA"/>
    <w:rsid w:val="00817F99"/>
    <w:rsid w:val="0082025A"/>
    <w:rsid w:val="008207E2"/>
    <w:rsid w:val="0082096A"/>
    <w:rsid w:val="00820DEF"/>
    <w:rsid w:val="008210EA"/>
    <w:rsid w:val="00821B46"/>
    <w:rsid w:val="008222AD"/>
    <w:rsid w:val="00822512"/>
    <w:rsid w:val="00822561"/>
    <w:rsid w:val="008225F9"/>
    <w:rsid w:val="00822D3C"/>
    <w:rsid w:val="00822FFE"/>
    <w:rsid w:val="00823691"/>
    <w:rsid w:val="008239AF"/>
    <w:rsid w:val="00824448"/>
    <w:rsid w:val="0082530D"/>
    <w:rsid w:val="00825530"/>
    <w:rsid w:val="00827280"/>
    <w:rsid w:val="008275A6"/>
    <w:rsid w:val="00827773"/>
    <w:rsid w:val="00827B06"/>
    <w:rsid w:val="00827E2A"/>
    <w:rsid w:val="00830148"/>
    <w:rsid w:val="00830AF2"/>
    <w:rsid w:val="00830BFC"/>
    <w:rsid w:val="00830EAB"/>
    <w:rsid w:val="008310D2"/>
    <w:rsid w:val="00831B8A"/>
    <w:rsid w:val="00831F24"/>
    <w:rsid w:val="00832458"/>
    <w:rsid w:val="00832601"/>
    <w:rsid w:val="00832DD9"/>
    <w:rsid w:val="00833045"/>
    <w:rsid w:val="0083478D"/>
    <w:rsid w:val="00834FCA"/>
    <w:rsid w:val="0083687A"/>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367"/>
    <w:rsid w:val="008469B2"/>
    <w:rsid w:val="00847032"/>
    <w:rsid w:val="008472DB"/>
    <w:rsid w:val="008476CA"/>
    <w:rsid w:val="00850E12"/>
    <w:rsid w:val="00850E57"/>
    <w:rsid w:val="0085101E"/>
    <w:rsid w:val="00852470"/>
    <w:rsid w:val="008524EA"/>
    <w:rsid w:val="0085254F"/>
    <w:rsid w:val="00852846"/>
    <w:rsid w:val="008538E8"/>
    <w:rsid w:val="00854CBF"/>
    <w:rsid w:val="00855C0E"/>
    <w:rsid w:val="00855CB8"/>
    <w:rsid w:val="00856618"/>
    <w:rsid w:val="008566CA"/>
    <w:rsid w:val="008568C5"/>
    <w:rsid w:val="00856B2E"/>
    <w:rsid w:val="008576E8"/>
    <w:rsid w:val="00857C1C"/>
    <w:rsid w:val="008610C6"/>
    <w:rsid w:val="0086136D"/>
    <w:rsid w:val="00861804"/>
    <w:rsid w:val="00861821"/>
    <w:rsid w:val="00862584"/>
    <w:rsid w:val="00862D18"/>
    <w:rsid w:val="008632E4"/>
    <w:rsid w:val="008637BB"/>
    <w:rsid w:val="008638FB"/>
    <w:rsid w:val="008641A3"/>
    <w:rsid w:val="00864BA7"/>
    <w:rsid w:val="00864FA0"/>
    <w:rsid w:val="00864FD5"/>
    <w:rsid w:val="00866E9A"/>
    <w:rsid w:val="00867216"/>
    <w:rsid w:val="00867312"/>
    <w:rsid w:val="0086743B"/>
    <w:rsid w:val="00867EF6"/>
    <w:rsid w:val="00870CEF"/>
    <w:rsid w:val="0087154B"/>
    <w:rsid w:val="00871579"/>
    <w:rsid w:val="00871793"/>
    <w:rsid w:val="00871B86"/>
    <w:rsid w:val="00871FC6"/>
    <w:rsid w:val="00872962"/>
    <w:rsid w:val="008729E8"/>
    <w:rsid w:val="008731BF"/>
    <w:rsid w:val="00873A05"/>
    <w:rsid w:val="00873C79"/>
    <w:rsid w:val="008742B8"/>
    <w:rsid w:val="0087457C"/>
    <w:rsid w:val="00874AFA"/>
    <w:rsid w:val="00874BE6"/>
    <w:rsid w:val="00874BEF"/>
    <w:rsid w:val="00874C43"/>
    <w:rsid w:val="00875044"/>
    <w:rsid w:val="008752CF"/>
    <w:rsid w:val="008752D5"/>
    <w:rsid w:val="00875D1B"/>
    <w:rsid w:val="00876093"/>
    <w:rsid w:val="008774B2"/>
    <w:rsid w:val="00877570"/>
    <w:rsid w:val="008815C0"/>
    <w:rsid w:val="00881780"/>
    <w:rsid w:val="0088250C"/>
    <w:rsid w:val="008832BB"/>
    <w:rsid w:val="00884182"/>
    <w:rsid w:val="008844CC"/>
    <w:rsid w:val="00884DE8"/>
    <w:rsid w:val="0088512A"/>
    <w:rsid w:val="008864C3"/>
    <w:rsid w:val="00886B83"/>
    <w:rsid w:val="00886EC0"/>
    <w:rsid w:val="00887272"/>
    <w:rsid w:val="00887AA2"/>
    <w:rsid w:val="008900AB"/>
    <w:rsid w:val="0089018B"/>
    <w:rsid w:val="00890AC9"/>
    <w:rsid w:val="00891332"/>
    <w:rsid w:val="008916E6"/>
    <w:rsid w:val="00891B0F"/>
    <w:rsid w:val="00892147"/>
    <w:rsid w:val="0089263D"/>
    <w:rsid w:val="008926B9"/>
    <w:rsid w:val="00892B0D"/>
    <w:rsid w:val="00892BD6"/>
    <w:rsid w:val="008935B1"/>
    <w:rsid w:val="008940AA"/>
    <w:rsid w:val="00894579"/>
    <w:rsid w:val="00894649"/>
    <w:rsid w:val="00895364"/>
    <w:rsid w:val="008959FD"/>
    <w:rsid w:val="00895C6B"/>
    <w:rsid w:val="00896D0A"/>
    <w:rsid w:val="0089751D"/>
    <w:rsid w:val="00897A46"/>
    <w:rsid w:val="008A0126"/>
    <w:rsid w:val="008A07C5"/>
    <w:rsid w:val="008A0954"/>
    <w:rsid w:val="008A0D61"/>
    <w:rsid w:val="008A1808"/>
    <w:rsid w:val="008A2039"/>
    <w:rsid w:val="008A241B"/>
    <w:rsid w:val="008A2A96"/>
    <w:rsid w:val="008A31AF"/>
    <w:rsid w:val="008A3F58"/>
    <w:rsid w:val="008A4429"/>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1FF"/>
    <w:rsid w:val="008B2637"/>
    <w:rsid w:val="008B2706"/>
    <w:rsid w:val="008B2D1E"/>
    <w:rsid w:val="008B3114"/>
    <w:rsid w:val="008B319C"/>
    <w:rsid w:val="008B31E9"/>
    <w:rsid w:val="008B3E6B"/>
    <w:rsid w:val="008B4390"/>
    <w:rsid w:val="008B455E"/>
    <w:rsid w:val="008B4F99"/>
    <w:rsid w:val="008B5768"/>
    <w:rsid w:val="008B591C"/>
    <w:rsid w:val="008B5B1F"/>
    <w:rsid w:val="008B5F93"/>
    <w:rsid w:val="008B5FD5"/>
    <w:rsid w:val="008B63BB"/>
    <w:rsid w:val="008B6948"/>
    <w:rsid w:val="008B6DA0"/>
    <w:rsid w:val="008B6E0E"/>
    <w:rsid w:val="008B6E85"/>
    <w:rsid w:val="008B7597"/>
    <w:rsid w:val="008B761D"/>
    <w:rsid w:val="008B7872"/>
    <w:rsid w:val="008B7C4A"/>
    <w:rsid w:val="008C0190"/>
    <w:rsid w:val="008C01FF"/>
    <w:rsid w:val="008C0A9D"/>
    <w:rsid w:val="008C0AFD"/>
    <w:rsid w:val="008C17E1"/>
    <w:rsid w:val="008C1961"/>
    <w:rsid w:val="008C32C7"/>
    <w:rsid w:val="008C455A"/>
    <w:rsid w:val="008C4CA8"/>
    <w:rsid w:val="008C4EDA"/>
    <w:rsid w:val="008C5305"/>
    <w:rsid w:val="008C5566"/>
    <w:rsid w:val="008C562A"/>
    <w:rsid w:val="008C5863"/>
    <w:rsid w:val="008C69A9"/>
    <w:rsid w:val="008C6D7A"/>
    <w:rsid w:val="008C7124"/>
    <w:rsid w:val="008C713E"/>
    <w:rsid w:val="008C7B9B"/>
    <w:rsid w:val="008D0D6B"/>
    <w:rsid w:val="008D0E73"/>
    <w:rsid w:val="008D14B9"/>
    <w:rsid w:val="008D1648"/>
    <w:rsid w:val="008D16DD"/>
    <w:rsid w:val="008D2745"/>
    <w:rsid w:val="008D2A84"/>
    <w:rsid w:val="008D2DB1"/>
    <w:rsid w:val="008D4D1D"/>
    <w:rsid w:val="008D50BF"/>
    <w:rsid w:val="008D5744"/>
    <w:rsid w:val="008D5D67"/>
    <w:rsid w:val="008D5E89"/>
    <w:rsid w:val="008D5F2F"/>
    <w:rsid w:val="008D6448"/>
    <w:rsid w:val="008D66D8"/>
    <w:rsid w:val="008D682A"/>
    <w:rsid w:val="008D751E"/>
    <w:rsid w:val="008D7E7E"/>
    <w:rsid w:val="008E02A6"/>
    <w:rsid w:val="008E02FA"/>
    <w:rsid w:val="008E1922"/>
    <w:rsid w:val="008E1CD3"/>
    <w:rsid w:val="008E1F25"/>
    <w:rsid w:val="008E27CB"/>
    <w:rsid w:val="008E2AE3"/>
    <w:rsid w:val="008E449D"/>
    <w:rsid w:val="008E5072"/>
    <w:rsid w:val="008E57B4"/>
    <w:rsid w:val="008E58A8"/>
    <w:rsid w:val="008E6374"/>
    <w:rsid w:val="008E6791"/>
    <w:rsid w:val="008E72A7"/>
    <w:rsid w:val="008E7C43"/>
    <w:rsid w:val="008F0232"/>
    <w:rsid w:val="008F04AE"/>
    <w:rsid w:val="008F0682"/>
    <w:rsid w:val="008F06E3"/>
    <w:rsid w:val="008F2108"/>
    <w:rsid w:val="008F23FE"/>
    <w:rsid w:val="008F289C"/>
    <w:rsid w:val="008F2C96"/>
    <w:rsid w:val="008F3767"/>
    <w:rsid w:val="008F3AB4"/>
    <w:rsid w:val="008F432B"/>
    <w:rsid w:val="008F43F9"/>
    <w:rsid w:val="008F4452"/>
    <w:rsid w:val="008F4F69"/>
    <w:rsid w:val="008F4FFD"/>
    <w:rsid w:val="008F50A0"/>
    <w:rsid w:val="008F53DF"/>
    <w:rsid w:val="008F54DD"/>
    <w:rsid w:val="008F6E39"/>
    <w:rsid w:val="008F77E6"/>
    <w:rsid w:val="00900473"/>
    <w:rsid w:val="00900ED9"/>
    <w:rsid w:val="009013F6"/>
    <w:rsid w:val="00901880"/>
    <w:rsid w:val="009018CE"/>
    <w:rsid w:val="00901D16"/>
    <w:rsid w:val="00901EB2"/>
    <w:rsid w:val="00902AA5"/>
    <w:rsid w:val="00904000"/>
    <w:rsid w:val="00904F14"/>
    <w:rsid w:val="0090562E"/>
    <w:rsid w:val="00905A66"/>
    <w:rsid w:val="00905DB4"/>
    <w:rsid w:val="00906446"/>
    <w:rsid w:val="00906459"/>
    <w:rsid w:val="009068B9"/>
    <w:rsid w:val="00906C94"/>
    <w:rsid w:val="009071BB"/>
    <w:rsid w:val="00910402"/>
    <w:rsid w:val="00911100"/>
    <w:rsid w:val="00911F3B"/>
    <w:rsid w:val="009130F8"/>
    <w:rsid w:val="00913249"/>
    <w:rsid w:val="00913494"/>
    <w:rsid w:val="00913699"/>
    <w:rsid w:val="00913C46"/>
    <w:rsid w:val="00913F80"/>
    <w:rsid w:val="009144AB"/>
    <w:rsid w:val="009144D5"/>
    <w:rsid w:val="00914654"/>
    <w:rsid w:val="00914EC1"/>
    <w:rsid w:val="00914F50"/>
    <w:rsid w:val="009152A9"/>
    <w:rsid w:val="00915CC4"/>
    <w:rsid w:val="00916161"/>
    <w:rsid w:val="00916292"/>
    <w:rsid w:val="009175C2"/>
    <w:rsid w:val="0091789A"/>
    <w:rsid w:val="00917D64"/>
    <w:rsid w:val="009216A1"/>
    <w:rsid w:val="0092251C"/>
    <w:rsid w:val="009226C5"/>
    <w:rsid w:val="009229C9"/>
    <w:rsid w:val="0092357A"/>
    <w:rsid w:val="00923D27"/>
    <w:rsid w:val="0092402B"/>
    <w:rsid w:val="00924A9F"/>
    <w:rsid w:val="00925042"/>
    <w:rsid w:val="009251E0"/>
    <w:rsid w:val="009269BD"/>
    <w:rsid w:val="00926AA3"/>
    <w:rsid w:val="00926E00"/>
    <w:rsid w:val="00927881"/>
    <w:rsid w:val="00930B44"/>
    <w:rsid w:val="00931225"/>
    <w:rsid w:val="0093126B"/>
    <w:rsid w:val="0093128F"/>
    <w:rsid w:val="00931D72"/>
    <w:rsid w:val="00932288"/>
    <w:rsid w:val="00932774"/>
    <w:rsid w:val="00933603"/>
    <w:rsid w:val="00934680"/>
    <w:rsid w:val="009350DA"/>
    <w:rsid w:val="0093570B"/>
    <w:rsid w:val="009357E4"/>
    <w:rsid w:val="0093646B"/>
    <w:rsid w:val="0093734D"/>
    <w:rsid w:val="009378B8"/>
    <w:rsid w:val="0093791B"/>
    <w:rsid w:val="00940D6C"/>
    <w:rsid w:val="00941303"/>
    <w:rsid w:val="0094165E"/>
    <w:rsid w:val="00941E7A"/>
    <w:rsid w:val="00941E8B"/>
    <w:rsid w:val="00941FD2"/>
    <w:rsid w:val="009429B6"/>
    <w:rsid w:val="009443AE"/>
    <w:rsid w:val="00944B51"/>
    <w:rsid w:val="00944BA6"/>
    <w:rsid w:val="00944CFB"/>
    <w:rsid w:val="00944F50"/>
    <w:rsid w:val="00945199"/>
    <w:rsid w:val="009457AA"/>
    <w:rsid w:val="00945A29"/>
    <w:rsid w:val="009463D5"/>
    <w:rsid w:val="00946797"/>
    <w:rsid w:val="00946800"/>
    <w:rsid w:val="00946822"/>
    <w:rsid w:val="0094706D"/>
    <w:rsid w:val="00947C03"/>
    <w:rsid w:val="009511EB"/>
    <w:rsid w:val="00951870"/>
    <w:rsid w:val="00951EE6"/>
    <w:rsid w:val="00952051"/>
    <w:rsid w:val="00953ABF"/>
    <w:rsid w:val="00953D69"/>
    <w:rsid w:val="00954226"/>
    <w:rsid w:val="00954658"/>
    <w:rsid w:val="00954BEE"/>
    <w:rsid w:val="00956153"/>
    <w:rsid w:val="009561B4"/>
    <w:rsid w:val="009565AE"/>
    <w:rsid w:val="00956AA3"/>
    <w:rsid w:val="00957050"/>
    <w:rsid w:val="009574B7"/>
    <w:rsid w:val="009605F6"/>
    <w:rsid w:val="00960662"/>
    <w:rsid w:val="009611D3"/>
    <w:rsid w:val="00962193"/>
    <w:rsid w:val="009627CF"/>
    <w:rsid w:val="00962E7D"/>
    <w:rsid w:val="0096406A"/>
    <w:rsid w:val="00964D10"/>
    <w:rsid w:val="00965153"/>
    <w:rsid w:val="0096531D"/>
    <w:rsid w:val="00965371"/>
    <w:rsid w:val="00965468"/>
    <w:rsid w:val="00965874"/>
    <w:rsid w:val="00965E71"/>
    <w:rsid w:val="009667F1"/>
    <w:rsid w:val="009668D3"/>
    <w:rsid w:val="009670C2"/>
    <w:rsid w:val="00967CDE"/>
    <w:rsid w:val="00970100"/>
    <w:rsid w:val="0097040B"/>
    <w:rsid w:val="00971361"/>
    <w:rsid w:val="00972177"/>
    <w:rsid w:val="00973DF4"/>
    <w:rsid w:val="00973FAE"/>
    <w:rsid w:val="00974624"/>
    <w:rsid w:val="00975087"/>
    <w:rsid w:val="00975116"/>
    <w:rsid w:val="00975C59"/>
    <w:rsid w:val="009760F9"/>
    <w:rsid w:val="00976215"/>
    <w:rsid w:val="00976309"/>
    <w:rsid w:val="009773D6"/>
    <w:rsid w:val="00977491"/>
    <w:rsid w:val="00977C0C"/>
    <w:rsid w:val="00980C2C"/>
    <w:rsid w:val="00982626"/>
    <w:rsid w:val="00982702"/>
    <w:rsid w:val="00982F86"/>
    <w:rsid w:val="00983210"/>
    <w:rsid w:val="009833D1"/>
    <w:rsid w:val="0098376A"/>
    <w:rsid w:val="00983B9B"/>
    <w:rsid w:val="00983D24"/>
    <w:rsid w:val="00983F50"/>
    <w:rsid w:val="0098413C"/>
    <w:rsid w:val="0098560B"/>
    <w:rsid w:val="0098605C"/>
    <w:rsid w:val="00987290"/>
    <w:rsid w:val="009872EB"/>
    <w:rsid w:val="009876EE"/>
    <w:rsid w:val="00987AA2"/>
    <w:rsid w:val="00987B8C"/>
    <w:rsid w:val="00987CEE"/>
    <w:rsid w:val="00987FC8"/>
    <w:rsid w:val="009905DE"/>
    <w:rsid w:val="00990C19"/>
    <w:rsid w:val="00990EB2"/>
    <w:rsid w:val="00991D80"/>
    <w:rsid w:val="00991EA5"/>
    <w:rsid w:val="009920AC"/>
    <w:rsid w:val="00992863"/>
    <w:rsid w:val="00992AD4"/>
    <w:rsid w:val="00992B33"/>
    <w:rsid w:val="00992B8E"/>
    <w:rsid w:val="009945E8"/>
    <w:rsid w:val="00994FC7"/>
    <w:rsid w:val="009955CF"/>
    <w:rsid w:val="009959BD"/>
    <w:rsid w:val="00996363"/>
    <w:rsid w:val="00997309"/>
    <w:rsid w:val="00997DE4"/>
    <w:rsid w:val="009A0338"/>
    <w:rsid w:val="009A034D"/>
    <w:rsid w:val="009A055F"/>
    <w:rsid w:val="009A0F7D"/>
    <w:rsid w:val="009A1248"/>
    <w:rsid w:val="009A1344"/>
    <w:rsid w:val="009A1365"/>
    <w:rsid w:val="009A14FA"/>
    <w:rsid w:val="009A197F"/>
    <w:rsid w:val="009A20BC"/>
    <w:rsid w:val="009A24FB"/>
    <w:rsid w:val="009A26E1"/>
    <w:rsid w:val="009A28DA"/>
    <w:rsid w:val="009A2CF1"/>
    <w:rsid w:val="009A3451"/>
    <w:rsid w:val="009A3ADC"/>
    <w:rsid w:val="009A3C08"/>
    <w:rsid w:val="009A4AA5"/>
    <w:rsid w:val="009A55FF"/>
    <w:rsid w:val="009A57CD"/>
    <w:rsid w:val="009A5D5A"/>
    <w:rsid w:val="009A5DEE"/>
    <w:rsid w:val="009A6277"/>
    <w:rsid w:val="009A6783"/>
    <w:rsid w:val="009A712A"/>
    <w:rsid w:val="009A73C8"/>
    <w:rsid w:val="009A76E5"/>
    <w:rsid w:val="009A7846"/>
    <w:rsid w:val="009A7AFF"/>
    <w:rsid w:val="009A7D13"/>
    <w:rsid w:val="009B0088"/>
    <w:rsid w:val="009B043E"/>
    <w:rsid w:val="009B0472"/>
    <w:rsid w:val="009B0DA6"/>
    <w:rsid w:val="009B11B5"/>
    <w:rsid w:val="009B1362"/>
    <w:rsid w:val="009B15B7"/>
    <w:rsid w:val="009B1A87"/>
    <w:rsid w:val="009B21EE"/>
    <w:rsid w:val="009B2247"/>
    <w:rsid w:val="009B2576"/>
    <w:rsid w:val="009B297F"/>
    <w:rsid w:val="009B31C1"/>
    <w:rsid w:val="009B3D52"/>
    <w:rsid w:val="009B4548"/>
    <w:rsid w:val="009B4588"/>
    <w:rsid w:val="009B4699"/>
    <w:rsid w:val="009B4E55"/>
    <w:rsid w:val="009B506D"/>
    <w:rsid w:val="009B55EE"/>
    <w:rsid w:val="009B5882"/>
    <w:rsid w:val="009B6452"/>
    <w:rsid w:val="009B68D5"/>
    <w:rsid w:val="009C0631"/>
    <w:rsid w:val="009C1008"/>
    <w:rsid w:val="009C1809"/>
    <w:rsid w:val="009C1AFF"/>
    <w:rsid w:val="009C218C"/>
    <w:rsid w:val="009C21E3"/>
    <w:rsid w:val="009C222F"/>
    <w:rsid w:val="009C25F1"/>
    <w:rsid w:val="009C2C60"/>
    <w:rsid w:val="009C372E"/>
    <w:rsid w:val="009C3B12"/>
    <w:rsid w:val="009C3EC8"/>
    <w:rsid w:val="009C4186"/>
    <w:rsid w:val="009C47F5"/>
    <w:rsid w:val="009C4C4F"/>
    <w:rsid w:val="009C59C1"/>
    <w:rsid w:val="009C5AD0"/>
    <w:rsid w:val="009C6134"/>
    <w:rsid w:val="009C69CD"/>
    <w:rsid w:val="009C6D2B"/>
    <w:rsid w:val="009C71F3"/>
    <w:rsid w:val="009C7301"/>
    <w:rsid w:val="009C788F"/>
    <w:rsid w:val="009C79AB"/>
    <w:rsid w:val="009C7ACB"/>
    <w:rsid w:val="009C7EF2"/>
    <w:rsid w:val="009D02E9"/>
    <w:rsid w:val="009D135A"/>
    <w:rsid w:val="009D1A50"/>
    <w:rsid w:val="009D2F15"/>
    <w:rsid w:val="009D321C"/>
    <w:rsid w:val="009D37C6"/>
    <w:rsid w:val="009D3879"/>
    <w:rsid w:val="009D3F25"/>
    <w:rsid w:val="009D4134"/>
    <w:rsid w:val="009D4210"/>
    <w:rsid w:val="009D4A53"/>
    <w:rsid w:val="009D4B3F"/>
    <w:rsid w:val="009D500B"/>
    <w:rsid w:val="009D57AF"/>
    <w:rsid w:val="009D5899"/>
    <w:rsid w:val="009D5E48"/>
    <w:rsid w:val="009D5EFF"/>
    <w:rsid w:val="009D648F"/>
    <w:rsid w:val="009D737C"/>
    <w:rsid w:val="009D7811"/>
    <w:rsid w:val="009D7EC6"/>
    <w:rsid w:val="009E0313"/>
    <w:rsid w:val="009E0CEA"/>
    <w:rsid w:val="009E1E04"/>
    <w:rsid w:val="009E1FF9"/>
    <w:rsid w:val="009E31F4"/>
    <w:rsid w:val="009E4179"/>
    <w:rsid w:val="009E4242"/>
    <w:rsid w:val="009E4732"/>
    <w:rsid w:val="009E57E8"/>
    <w:rsid w:val="009E59F4"/>
    <w:rsid w:val="009E5D79"/>
    <w:rsid w:val="009E69F8"/>
    <w:rsid w:val="009E6B30"/>
    <w:rsid w:val="009E7266"/>
    <w:rsid w:val="009E7B1E"/>
    <w:rsid w:val="009E7D74"/>
    <w:rsid w:val="009F0190"/>
    <w:rsid w:val="009F01B8"/>
    <w:rsid w:val="009F047C"/>
    <w:rsid w:val="009F0B0F"/>
    <w:rsid w:val="009F0F0E"/>
    <w:rsid w:val="009F1217"/>
    <w:rsid w:val="009F1D5A"/>
    <w:rsid w:val="009F1DEF"/>
    <w:rsid w:val="009F2418"/>
    <w:rsid w:val="009F2588"/>
    <w:rsid w:val="009F2F13"/>
    <w:rsid w:val="009F36C5"/>
    <w:rsid w:val="009F3CE4"/>
    <w:rsid w:val="009F3D5F"/>
    <w:rsid w:val="009F4196"/>
    <w:rsid w:val="009F51A2"/>
    <w:rsid w:val="009F5F4C"/>
    <w:rsid w:val="009F6D94"/>
    <w:rsid w:val="009F7480"/>
    <w:rsid w:val="009F7689"/>
    <w:rsid w:val="00A00170"/>
    <w:rsid w:val="00A00BB2"/>
    <w:rsid w:val="00A013B0"/>
    <w:rsid w:val="00A01E51"/>
    <w:rsid w:val="00A04494"/>
    <w:rsid w:val="00A0546E"/>
    <w:rsid w:val="00A0551C"/>
    <w:rsid w:val="00A05BB8"/>
    <w:rsid w:val="00A06295"/>
    <w:rsid w:val="00A06427"/>
    <w:rsid w:val="00A076BA"/>
    <w:rsid w:val="00A11DF8"/>
    <w:rsid w:val="00A121A7"/>
    <w:rsid w:val="00A12416"/>
    <w:rsid w:val="00A136C6"/>
    <w:rsid w:val="00A136CE"/>
    <w:rsid w:val="00A13755"/>
    <w:rsid w:val="00A13A89"/>
    <w:rsid w:val="00A13AA8"/>
    <w:rsid w:val="00A13FE3"/>
    <w:rsid w:val="00A14158"/>
    <w:rsid w:val="00A14256"/>
    <w:rsid w:val="00A145F0"/>
    <w:rsid w:val="00A146AA"/>
    <w:rsid w:val="00A14BAC"/>
    <w:rsid w:val="00A14D5C"/>
    <w:rsid w:val="00A154F9"/>
    <w:rsid w:val="00A15D6B"/>
    <w:rsid w:val="00A1666B"/>
    <w:rsid w:val="00A16954"/>
    <w:rsid w:val="00A17BA4"/>
    <w:rsid w:val="00A207DC"/>
    <w:rsid w:val="00A20CEB"/>
    <w:rsid w:val="00A21118"/>
    <w:rsid w:val="00A21F8C"/>
    <w:rsid w:val="00A22977"/>
    <w:rsid w:val="00A236D6"/>
    <w:rsid w:val="00A23A82"/>
    <w:rsid w:val="00A23B89"/>
    <w:rsid w:val="00A241F9"/>
    <w:rsid w:val="00A24437"/>
    <w:rsid w:val="00A252B6"/>
    <w:rsid w:val="00A2544C"/>
    <w:rsid w:val="00A25FFF"/>
    <w:rsid w:val="00A2607B"/>
    <w:rsid w:val="00A26CCB"/>
    <w:rsid w:val="00A278D4"/>
    <w:rsid w:val="00A27980"/>
    <w:rsid w:val="00A27A38"/>
    <w:rsid w:val="00A27C3C"/>
    <w:rsid w:val="00A27D03"/>
    <w:rsid w:val="00A27DB4"/>
    <w:rsid w:val="00A30E89"/>
    <w:rsid w:val="00A314A0"/>
    <w:rsid w:val="00A31ADE"/>
    <w:rsid w:val="00A31C7D"/>
    <w:rsid w:val="00A320DB"/>
    <w:rsid w:val="00A3249C"/>
    <w:rsid w:val="00A32A75"/>
    <w:rsid w:val="00A33C93"/>
    <w:rsid w:val="00A3410E"/>
    <w:rsid w:val="00A35ACD"/>
    <w:rsid w:val="00A35AFF"/>
    <w:rsid w:val="00A35C81"/>
    <w:rsid w:val="00A36A84"/>
    <w:rsid w:val="00A370B4"/>
    <w:rsid w:val="00A37836"/>
    <w:rsid w:val="00A40288"/>
    <w:rsid w:val="00A406E6"/>
    <w:rsid w:val="00A409A3"/>
    <w:rsid w:val="00A41B17"/>
    <w:rsid w:val="00A421B2"/>
    <w:rsid w:val="00A4292D"/>
    <w:rsid w:val="00A42E17"/>
    <w:rsid w:val="00A4329A"/>
    <w:rsid w:val="00A4334A"/>
    <w:rsid w:val="00A43DB0"/>
    <w:rsid w:val="00A43F59"/>
    <w:rsid w:val="00A443E2"/>
    <w:rsid w:val="00A450A0"/>
    <w:rsid w:val="00A45B2B"/>
    <w:rsid w:val="00A45CC2"/>
    <w:rsid w:val="00A50E22"/>
    <w:rsid w:val="00A5145B"/>
    <w:rsid w:val="00A51586"/>
    <w:rsid w:val="00A52936"/>
    <w:rsid w:val="00A52EE9"/>
    <w:rsid w:val="00A53746"/>
    <w:rsid w:val="00A53936"/>
    <w:rsid w:val="00A54141"/>
    <w:rsid w:val="00A541FD"/>
    <w:rsid w:val="00A54811"/>
    <w:rsid w:val="00A54BD8"/>
    <w:rsid w:val="00A54CB9"/>
    <w:rsid w:val="00A551E5"/>
    <w:rsid w:val="00A55308"/>
    <w:rsid w:val="00A55987"/>
    <w:rsid w:val="00A560B3"/>
    <w:rsid w:val="00A562A4"/>
    <w:rsid w:val="00A56340"/>
    <w:rsid w:val="00A57A69"/>
    <w:rsid w:val="00A57F82"/>
    <w:rsid w:val="00A608B7"/>
    <w:rsid w:val="00A60FE1"/>
    <w:rsid w:val="00A6122A"/>
    <w:rsid w:val="00A61836"/>
    <w:rsid w:val="00A61853"/>
    <w:rsid w:val="00A618C6"/>
    <w:rsid w:val="00A62A4D"/>
    <w:rsid w:val="00A62CC5"/>
    <w:rsid w:val="00A6317B"/>
    <w:rsid w:val="00A63184"/>
    <w:rsid w:val="00A63DF1"/>
    <w:rsid w:val="00A64096"/>
    <w:rsid w:val="00A6410C"/>
    <w:rsid w:val="00A6435A"/>
    <w:rsid w:val="00A647CD"/>
    <w:rsid w:val="00A6560B"/>
    <w:rsid w:val="00A65C42"/>
    <w:rsid w:val="00A65EF7"/>
    <w:rsid w:val="00A66236"/>
    <w:rsid w:val="00A66396"/>
    <w:rsid w:val="00A671D1"/>
    <w:rsid w:val="00A67879"/>
    <w:rsid w:val="00A67EF5"/>
    <w:rsid w:val="00A704EA"/>
    <w:rsid w:val="00A716D5"/>
    <w:rsid w:val="00A7234D"/>
    <w:rsid w:val="00A72E28"/>
    <w:rsid w:val="00A73516"/>
    <w:rsid w:val="00A738B1"/>
    <w:rsid w:val="00A74535"/>
    <w:rsid w:val="00A754DD"/>
    <w:rsid w:val="00A75510"/>
    <w:rsid w:val="00A75723"/>
    <w:rsid w:val="00A75E47"/>
    <w:rsid w:val="00A766AD"/>
    <w:rsid w:val="00A76961"/>
    <w:rsid w:val="00A76BFB"/>
    <w:rsid w:val="00A77663"/>
    <w:rsid w:val="00A804D9"/>
    <w:rsid w:val="00A8122B"/>
    <w:rsid w:val="00A81726"/>
    <w:rsid w:val="00A81A20"/>
    <w:rsid w:val="00A81B8D"/>
    <w:rsid w:val="00A81EC8"/>
    <w:rsid w:val="00A82EDC"/>
    <w:rsid w:val="00A83230"/>
    <w:rsid w:val="00A83DDC"/>
    <w:rsid w:val="00A83F37"/>
    <w:rsid w:val="00A84018"/>
    <w:rsid w:val="00A8418F"/>
    <w:rsid w:val="00A84B94"/>
    <w:rsid w:val="00A84BED"/>
    <w:rsid w:val="00A8536F"/>
    <w:rsid w:val="00A857C4"/>
    <w:rsid w:val="00A85AF6"/>
    <w:rsid w:val="00A85CD9"/>
    <w:rsid w:val="00A85E27"/>
    <w:rsid w:val="00A860A8"/>
    <w:rsid w:val="00A86D6F"/>
    <w:rsid w:val="00A86E3E"/>
    <w:rsid w:val="00A874D2"/>
    <w:rsid w:val="00A87BAE"/>
    <w:rsid w:val="00A90976"/>
    <w:rsid w:val="00A913A1"/>
    <w:rsid w:val="00A91ACB"/>
    <w:rsid w:val="00A91AF5"/>
    <w:rsid w:val="00A92584"/>
    <w:rsid w:val="00A925A7"/>
    <w:rsid w:val="00A925DB"/>
    <w:rsid w:val="00A930BB"/>
    <w:rsid w:val="00A933F4"/>
    <w:rsid w:val="00A93DC6"/>
    <w:rsid w:val="00A94354"/>
    <w:rsid w:val="00A94796"/>
    <w:rsid w:val="00A94CEF"/>
    <w:rsid w:val="00A9501F"/>
    <w:rsid w:val="00A951AC"/>
    <w:rsid w:val="00A951C2"/>
    <w:rsid w:val="00A95452"/>
    <w:rsid w:val="00A959D1"/>
    <w:rsid w:val="00A95EE0"/>
    <w:rsid w:val="00A96EF6"/>
    <w:rsid w:val="00AA096E"/>
    <w:rsid w:val="00AA1293"/>
    <w:rsid w:val="00AA14C3"/>
    <w:rsid w:val="00AA188D"/>
    <w:rsid w:val="00AA3EDF"/>
    <w:rsid w:val="00AA3F2D"/>
    <w:rsid w:val="00AA411A"/>
    <w:rsid w:val="00AA4220"/>
    <w:rsid w:val="00AA4239"/>
    <w:rsid w:val="00AA4D46"/>
    <w:rsid w:val="00AA54AE"/>
    <w:rsid w:val="00AA5F04"/>
    <w:rsid w:val="00AA6816"/>
    <w:rsid w:val="00AA69E5"/>
    <w:rsid w:val="00AA6D4E"/>
    <w:rsid w:val="00AA75CE"/>
    <w:rsid w:val="00AB023A"/>
    <w:rsid w:val="00AB0C43"/>
    <w:rsid w:val="00AB1082"/>
    <w:rsid w:val="00AB1098"/>
    <w:rsid w:val="00AB173C"/>
    <w:rsid w:val="00AB19FA"/>
    <w:rsid w:val="00AB1B38"/>
    <w:rsid w:val="00AB1B6F"/>
    <w:rsid w:val="00AB217D"/>
    <w:rsid w:val="00AB2581"/>
    <w:rsid w:val="00AB2643"/>
    <w:rsid w:val="00AB27C6"/>
    <w:rsid w:val="00AB3031"/>
    <w:rsid w:val="00AB3379"/>
    <w:rsid w:val="00AB3B87"/>
    <w:rsid w:val="00AB3F05"/>
    <w:rsid w:val="00AB4013"/>
    <w:rsid w:val="00AB41E4"/>
    <w:rsid w:val="00AB462F"/>
    <w:rsid w:val="00AB4C0D"/>
    <w:rsid w:val="00AB4DB7"/>
    <w:rsid w:val="00AB50E5"/>
    <w:rsid w:val="00AB557D"/>
    <w:rsid w:val="00AB6477"/>
    <w:rsid w:val="00AB6533"/>
    <w:rsid w:val="00AB689D"/>
    <w:rsid w:val="00AB6EB6"/>
    <w:rsid w:val="00AB7675"/>
    <w:rsid w:val="00AB7E48"/>
    <w:rsid w:val="00AC070D"/>
    <w:rsid w:val="00AC0DE8"/>
    <w:rsid w:val="00AC1A14"/>
    <w:rsid w:val="00AC2A94"/>
    <w:rsid w:val="00AC322C"/>
    <w:rsid w:val="00AC33E2"/>
    <w:rsid w:val="00AC3400"/>
    <w:rsid w:val="00AC3674"/>
    <w:rsid w:val="00AC3F97"/>
    <w:rsid w:val="00AC4A20"/>
    <w:rsid w:val="00AC4FEA"/>
    <w:rsid w:val="00AC5198"/>
    <w:rsid w:val="00AC5213"/>
    <w:rsid w:val="00AC53F3"/>
    <w:rsid w:val="00AC584E"/>
    <w:rsid w:val="00AC5B6E"/>
    <w:rsid w:val="00AC5E1A"/>
    <w:rsid w:val="00AC7B80"/>
    <w:rsid w:val="00AC7EEB"/>
    <w:rsid w:val="00AD073E"/>
    <w:rsid w:val="00AD0A32"/>
    <w:rsid w:val="00AD1442"/>
    <w:rsid w:val="00AD14AB"/>
    <w:rsid w:val="00AD1B73"/>
    <w:rsid w:val="00AD20ED"/>
    <w:rsid w:val="00AD20FA"/>
    <w:rsid w:val="00AD2F04"/>
    <w:rsid w:val="00AD2FE7"/>
    <w:rsid w:val="00AD30DD"/>
    <w:rsid w:val="00AD3BC2"/>
    <w:rsid w:val="00AD3C4C"/>
    <w:rsid w:val="00AD4264"/>
    <w:rsid w:val="00AD4434"/>
    <w:rsid w:val="00AD4D17"/>
    <w:rsid w:val="00AD5004"/>
    <w:rsid w:val="00AD5334"/>
    <w:rsid w:val="00AD53AA"/>
    <w:rsid w:val="00AD6826"/>
    <w:rsid w:val="00AD72BC"/>
    <w:rsid w:val="00AD79BF"/>
    <w:rsid w:val="00AD7C84"/>
    <w:rsid w:val="00AE07E1"/>
    <w:rsid w:val="00AE1449"/>
    <w:rsid w:val="00AE1D52"/>
    <w:rsid w:val="00AE2133"/>
    <w:rsid w:val="00AE2AD5"/>
    <w:rsid w:val="00AE3344"/>
    <w:rsid w:val="00AE43F4"/>
    <w:rsid w:val="00AE5099"/>
    <w:rsid w:val="00AE50D3"/>
    <w:rsid w:val="00AE606A"/>
    <w:rsid w:val="00AF013B"/>
    <w:rsid w:val="00AF0A66"/>
    <w:rsid w:val="00AF0CF8"/>
    <w:rsid w:val="00AF13B2"/>
    <w:rsid w:val="00AF1658"/>
    <w:rsid w:val="00AF262C"/>
    <w:rsid w:val="00AF2A5A"/>
    <w:rsid w:val="00AF415A"/>
    <w:rsid w:val="00AF44F2"/>
    <w:rsid w:val="00AF4950"/>
    <w:rsid w:val="00AF53AB"/>
    <w:rsid w:val="00AF53BA"/>
    <w:rsid w:val="00AF5B17"/>
    <w:rsid w:val="00AF64D9"/>
    <w:rsid w:val="00AF69B4"/>
    <w:rsid w:val="00AF717B"/>
    <w:rsid w:val="00B00CD0"/>
    <w:rsid w:val="00B00D77"/>
    <w:rsid w:val="00B01138"/>
    <w:rsid w:val="00B0117B"/>
    <w:rsid w:val="00B011BD"/>
    <w:rsid w:val="00B01283"/>
    <w:rsid w:val="00B0153C"/>
    <w:rsid w:val="00B02A46"/>
    <w:rsid w:val="00B02AAD"/>
    <w:rsid w:val="00B035B9"/>
    <w:rsid w:val="00B03EBB"/>
    <w:rsid w:val="00B04DD4"/>
    <w:rsid w:val="00B05993"/>
    <w:rsid w:val="00B060CD"/>
    <w:rsid w:val="00B0686C"/>
    <w:rsid w:val="00B06935"/>
    <w:rsid w:val="00B06E97"/>
    <w:rsid w:val="00B102AD"/>
    <w:rsid w:val="00B10558"/>
    <w:rsid w:val="00B10681"/>
    <w:rsid w:val="00B10B50"/>
    <w:rsid w:val="00B1149B"/>
    <w:rsid w:val="00B116D4"/>
    <w:rsid w:val="00B134E7"/>
    <w:rsid w:val="00B13A79"/>
    <w:rsid w:val="00B13FF1"/>
    <w:rsid w:val="00B14FC0"/>
    <w:rsid w:val="00B159F7"/>
    <w:rsid w:val="00B15D92"/>
    <w:rsid w:val="00B16524"/>
    <w:rsid w:val="00B165E7"/>
    <w:rsid w:val="00B16E86"/>
    <w:rsid w:val="00B170A8"/>
    <w:rsid w:val="00B20364"/>
    <w:rsid w:val="00B20E6F"/>
    <w:rsid w:val="00B211F2"/>
    <w:rsid w:val="00B2130C"/>
    <w:rsid w:val="00B215D0"/>
    <w:rsid w:val="00B21EDE"/>
    <w:rsid w:val="00B2244B"/>
    <w:rsid w:val="00B226A9"/>
    <w:rsid w:val="00B22F36"/>
    <w:rsid w:val="00B2300D"/>
    <w:rsid w:val="00B230F6"/>
    <w:rsid w:val="00B23139"/>
    <w:rsid w:val="00B232D6"/>
    <w:rsid w:val="00B23539"/>
    <w:rsid w:val="00B23551"/>
    <w:rsid w:val="00B24DC8"/>
    <w:rsid w:val="00B25335"/>
    <w:rsid w:val="00B25CBD"/>
    <w:rsid w:val="00B26391"/>
    <w:rsid w:val="00B26A06"/>
    <w:rsid w:val="00B27AD5"/>
    <w:rsid w:val="00B27F3D"/>
    <w:rsid w:val="00B30B04"/>
    <w:rsid w:val="00B30E74"/>
    <w:rsid w:val="00B3108F"/>
    <w:rsid w:val="00B3114E"/>
    <w:rsid w:val="00B3148D"/>
    <w:rsid w:val="00B31CC5"/>
    <w:rsid w:val="00B33D79"/>
    <w:rsid w:val="00B33F59"/>
    <w:rsid w:val="00B34483"/>
    <w:rsid w:val="00B34A00"/>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554"/>
    <w:rsid w:val="00B466F0"/>
    <w:rsid w:val="00B467BB"/>
    <w:rsid w:val="00B46AD1"/>
    <w:rsid w:val="00B47E3B"/>
    <w:rsid w:val="00B50892"/>
    <w:rsid w:val="00B50D91"/>
    <w:rsid w:val="00B51057"/>
    <w:rsid w:val="00B511ED"/>
    <w:rsid w:val="00B51602"/>
    <w:rsid w:val="00B51F21"/>
    <w:rsid w:val="00B52273"/>
    <w:rsid w:val="00B52540"/>
    <w:rsid w:val="00B53C34"/>
    <w:rsid w:val="00B53F0D"/>
    <w:rsid w:val="00B542A4"/>
    <w:rsid w:val="00B54811"/>
    <w:rsid w:val="00B5657A"/>
    <w:rsid w:val="00B56B84"/>
    <w:rsid w:val="00B56F84"/>
    <w:rsid w:val="00B57961"/>
    <w:rsid w:val="00B57C56"/>
    <w:rsid w:val="00B61614"/>
    <w:rsid w:val="00B61672"/>
    <w:rsid w:val="00B61B8F"/>
    <w:rsid w:val="00B62488"/>
    <w:rsid w:val="00B628A4"/>
    <w:rsid w:val="00B62D2F"/>
    <w:rsid w:val="00B64774"/>
    <w:rsid w:val="00B64E06"/>
    <w:rsid w:val="00B65A6A"/>
    <w:rsid w:val="00B65CB5"/>
    <w:rsid w:val="00B65D4A"/>
    <w:rsid w:val="00B668FC"/>
    <w:rsid w:val="00B66B65"/>
    <w:rsid w:val="00B67E57"/>
    <w:rsid w:val="00B7024C"/>
    <w:rsid w:val="00B70EBF"/>
    <w:rsid w:val="00B70EF2"/>
    <w:rsid w:val="00B70F06"/>
    <w:rsid w:val="00B7145B"/>
    <w:rsid w:val="00B71881"/>
    <w:rsid w:val="00B72FA4"/>
    <w:rsid w:val="00B7374F"/>
    <w:rsid w:val="00B74500"/>
    <w:rsid w:val="00B74AFB"/>
    <w:rsid w:val="00B7547E"/>
    <w:rsid w:val="00B754EA"/>
    <w:rsid w:val="00B75A04"/>
    <w:rsid w:val="00B7605A"/>
    <w:rsid w:val="00B76236"/>
    <w:rsid w:val="00B768AD"/>
    <w:rsid w:val="00B76D77"/>
    <w:rsid w:val="00B7702D"/>
    <w:rsid w:val="00B774E3"/>
    <w:rsid w:val="00B7761D"/>
    <w:rsid w:val="00B778C6"/>
    <w:rsid w:val="00B77BCD"/>
    <w:rsid w:val="00B77E2A"/>
    <w:rsid w:val="00B808B5"/>
    <w:rsid w:val="00B80BF0"/>
    <w:rsid w:val="00B80E48"/>
    <w:rsid w:val="00B810CD"/>
    <w:rsid w:val="00B81149"/>
    <w:rsid w:val="00B81196"/>
    <w:rsid w:val="00B81393"/>
    <w:rsid w:val="00B81607"/>
    <w:rsid w:val="00B81787"/>
    <w:rsid w:val="00B81E23"/>
    <w:rsid w:val="00B8280A"/>
    <w:rsid w:val="00B83280"/>
    <w:rsid w:val="00B83638"/>
    <w:rsid w:val="00B839BC"/>
    <w:rsid w:val="00B84738"/>
    <w:rsid w:val="00B84B83"/>
    <w:rsid w:val="00B85057"/>
    <w:rsid w:val="00B85087"/>
    <w:rsid w:val="00B853F9"/>
    <w:rsid w:val="00B860D7"/>
    <w:rsid w:val="00B868DC"/>
    <w:rsid w:val="00B9190B"/>
    <w:rsid w:val="00B91B1A"/>
    <w:rsid w:val="00B92342"/>
    <w:rsid w:val="00B92412"/>
    <w:rsid w:val="00B92971"/>
    <w:rsid w:val="00B92D1A"/>
    <w:rsid w:val="00B93445"/>
    <w:rsid w:val="00B939A1"/>
    <w:rsid w:val="00B93B87"/>
    <w:rsid w:val="00B93D17"/>
    <w:rsid w:val="00B9431E"/>
    <w:rsid w:val="00B9465D"/>
    <w:rsid w:val="00B9473D"/>
    <w:rsid w:val="00B94881"/>
    <w:rsid w:val="00B9517B"/>
    <w:rsid w:val="00B95517"/>
    <w:rsid w:val="00B95C12"/>
    <w:rsid w:val="00B95EE6"/>
    <w:rsid w:val="00B961F1"/>
    <w:rsid w:val="00B96885"/>
    <w:rsid w:val="00B96B97"/>
    <w:rsid w:val="00B96C4E"/>
    <w:rsid w:val="00B97256"/>
    <w:rsid w:val="00B973E7"/>
    <w:rsid w:val="00B979CC"/>
    <w:rsid w:val="00B97B62"/>
    <w:rsid w:val="00B97C50"/>
    <w:rsid w:val="00BA0024"/>
    <w:rsid w:val="00BA0AC7"/>
    <w:rsid w:val="00BA11F8"/>
    <w:rsid w:val="00BA1434"/>
    <w:rsid w:val="00BA1865"/>
    <w:rsid w:val="00BA3212"/>
    <w:rsid w:val="00BA3B4B"/>
    <w:rsid w:val="00BA40BE"/>
    <w:rsid w:val="00BA4564"/>
    <w:rsid w:val="00BA467B"/>
    <w:rsid w:val="00BA4D41"/>
    <w:rsid w:val="00BA58BB"/>
    <w:rsid w:val="00BA67FC"/>
    <w:rsid w:val="00BA6B8E"/>
    <w:rsid w:val="00BA7285"/>
    <w:rsid w:val="00BA7BE8"/>
    <w:rsid w:val="00BB08F7"/>
    <w:rsid w:val="00BB0B28"/>
    <w:rsid w:val="00BB0BA7"/>
    <w:rsid w:val="00BB0CA1"/>
    <w:rsid w:val="00BB133D"/>
    <w:rsid w:val="00BB1924"/>
    <w:rsid w:val="00BB1C78"/>
    <w:rsid w:val="00BB26EB"/>
    <w:rsid w:val="00BB2C15"/>
    <w:rsid w:val="00BB3C8A"/>
    <w:rsid w:val="00BB4049"/>
    <w:rsid w:val="00BB5E0A"/>
    <w:rsid w:val="00BB7AF7"/>
    <w:rsid w:val="00BC00C1"/>
    <w:rsid w:val="00BC0230"/>
    <w:rsid w:val="00BC02CD"/>
    <w:rsid w:val="00BC047C"/>
    <w:rsid w:val="00BC0688"/>
    <w:rsid w:val="00BC1478"/>
    <w:rsid w:val="00BC1BFE"/>
    <w:rsid w:val="00BC2264"/>
    <w:rsid w:val="00BC2C3A"/>
    <w:rsid w:val="00BC3CE2"/>
    <w:rsid w:val="00BC3E3B"/>
    <w:rsid w:val="00BC523B"/>
    <w:rsid w:val="00BC52DE"/>
    <w:rsid w:val="00BC5902"/>
    <w:rsid w:val="00BC69C6"/>
    <w:rsid w:val="00BC7775"/>
    <w:rsid w:val="00BC7956"/>
    <w:rsid w:val="00BD02E6"/>
    <w:rsid w:val="00BD065D"/>
    <w:rsid w:val="00BD0CF8"/>
    <w:rsid w:val="00BD0DDA"/>
    <w:rsid w:val="00BD1469"/>
    <w:rsid w:val="00BD154F"/>
    <w:rsid w:val="00BD1FF6"/>
    <w:rsid w:val="00BD2256"/>
    <w:rsid w:val="00BD24B6"/>
    <w:rsid w:val="00BD2AA9"/>
    <w:rsid w:val="00BD3080"/>
    <w:rsid w:val="00BD3124"/>
    <w:rsid w:val="00BD316A"/>
    <w:rsid w:val="00BD3226"/>
    <w:rsid w:val="00BD33EC"/>
    <w:rsid w:val="00BD3A94"/>
    <w:rsid w:val="00BD43BD"/>
    <w:rsid w:val="00BD43E9"/>
    <w:rsid w:val="00BD4A80"/>
    <w:rsid w:val="00BD4CF5"/>
    <w:rsid w:val="00BD4E2B"/>
    <w:rsid w:val="00BD5C38"/>
    <w:rsid w:val="00BD6C08"/>
    <w:rsid w:val="00BD6DDF"/>
    <w:rsid w:val="00BD72A6"/>
    <w:rsid w:val="00BD762F"/>
    <w:rsid w:val="00BD7D70"/>
    <w:rsid w:val="00BE09C7"/>
    <w:rsid w:val="00BE12EF"/>
    <w:rsid w:val="00BE1BBB"/>
    <w:rsid w:val="00BE1EEC"/>
    <w:rsid w:val="00BE22E8"/>
    <w:rsid w:val="00BE2ACB"/>
    <w:rsid w:val="00BE3013"/>
    <w:rsid w:val="00BE32AC"/>
    <w:rsid w:val="00BE367D"/>
    <w:rsid w:val="00BE3CB6"/>
    <w:rsid w:val="00BE4035"/>
    <w:rsid w:val="00BE4239"/>
    <w:rsid w:val="00BE4A58"/>
    <w:rsid w:val="00BE4B70"/>
    <w:rsid w:val="00BE4C67"/>
    <w:rsid w:val="00BE5120"/>
    <w:rsid w:val="00BE5514"/>
    <w:rsid w:val="00BE5756"/>
    <w:rsid w:val="00BE576D"/>
    <w:rsid w:val="00BE59DD"/>
    <w:rsid w:val="00BE5BE1"/>
    <w:rsid w:val="00BE64BF"/>
    <w:rsid w:val="00BE654A"/>
    <w:rsid w:val="00BE6653"/>
    <w:rsid w:val="00BE7B46"/>
    <w:rsid w:val="00BE7D9A"/>
    <w:rsid w:val="00BF02D4"/>
    <w:rsid w:val="00BF0724"/>
    <w:rsid w:val="00BF0882"/>
    <w:rsid w:val="00BF15B9"/>
    <w:rsid w:val="00BF1896"/>
    <w:rsid w:val="00BF324E"/>
    <w:rsid w:val="00BF329F"/>
    <w:rsid w:val="00BF3693"/>
    <w:rsid w:val="00BF4674"/>
    <w:rsid w:val="00BF4768"/>
    <w:rsid w:val="00BF47B7"/>
    <w:rsid w:val="00BF5020"/>
    <w:rsid w:val="00BF55BA"/>
    <w:rsid w:val="00BF58F2"/>
    <w:rsid w:val="00BF590D"/>
    <w:rsid w:val="00BF5981"/>
    <w:rsid w:val="00BF608D"/>
    <w:rsid w:val="00BF6637"/>
    <w:rsid w:val="00BF756C"/>
    <w:rsid w:val="00C024DF"/>
    <w:rsid w:val="00C025C6"/>
    <w:rsid w:val="00C028F9"/>
    <w:rsid w:val="00C02BB0"/>
    <w:rsid w:val="00C0308D"/>
    <w:rsid w:val="00C035A7"/>
    <w:rsid w:val="00C0387C"/>
    <w:rsid w:val="00C04012"/>
    <w:rsid w:val="00C04A2A"/>
    <w:rsid w:val="00C04FA3"/>
    <w:rsid w:val="00C051F1"/>
    <w:rsid w:val="00C05216"/>
    <w:rsid w:val="00C05754"/>
    <w:rsid w:val="00C0586E"/>
    <w:rsid w:val="00C05C1A"/>
    <w:rsid w:val="00C05F6F"/>
    <w:rsid w:val="00C06021"/>
    <w:rsid w:val="00C06091"/>
    <w:rsid w:val="00C068B6"/>
    <w:rsid w:val="00C07269"/>
    <w:rsid w:val="00C076AB"/>
    <w:rsid w:val="00C077A9"/>
    <w:rsid w:val="00C10C63"/>
    <w:rsid w:val="00C10D34"/>
    <w:rsid w:val="00C11612"/>
    <w:rsid w:val="00C11B8C"/>
    <w:rsid w:val="00C12101"/>
    <w:rsid w:val="00C1230F"/>
    <w:rsid w:val="00C12EC3"/>
    <w:rsid w:val="00C137E0"/>
    <w:rsid w:val="00C13810"/>
    <w:rsid w:val="00C13934"/>
    <w:rsid w:val="00C13B21"/>
    <w:rsid w:val="00C13B94"/>
    <w:rsid w:val="00C13BCE"/>
    <w:rsid w:val="00C14234"/>
    <w:rsid w:val="00C14C9F"/>
    <w:rsid w:val="00C155CC"/>
    <w:rsid w:val="00C15941"/>
    <w:rsid w:val="00C160D1"/>
    <w:rsid w:val="00C168BD"/>
    <w:rsid w:val="00C16B20"/>
    <w:rsid w:val="00C16E20"/>
    <w:rsid w:val="00C16E2C"/>
    <w:rsid w:val="00C170CD"/>
    <w:rsid w:val="00C175D6"/>
    <w:rsid w:val="00C2047B"/>
    <w:rsid w:val="00C20A4F"/>
    <w:rsid w:val="00C212A5"/>
    <w:rsid w:val="00C21801"/>
    <w:rsid w:val="00C21EE3"/>
    <w:rsid w:val="00C2304D"/>
    <w:rsid w:val="00C236EB"/>
    <w:rsid w:val="00C23BE9"/>
    <w:rsid w:val="00C24016"/>
    <w:rsid w:val="00C24904"/>
    <w:rsid w:val="00C2541E"/>
    <w:rsid w:val="00C25F86"/>
    <w:rsid w:val="00C2649C"/>
    <w:rsid w:val="00C26623"/>
    <w:rsid w:val="00C26685"/>
    <w:rsid w:val="00C26D74"/>
    <w:rsid w:val="00C30824"/>
    <w:rsid w:val="00C30F87"/>
    <w:rsid w:val="00C31BF8"/>
    <w:rsid w:val="00C3273C"/>
    <w:rsid w:val="00C32EC2"/>
    <w:rsid w:val="00C3307F"/>
    <w:rsid w:val="00C3319F"/>
    <w:rsid w:val="00C33F77"/>
    <w:rsid w:val="00C348FF"/>
    <w:rsid w:val="00C34CC3"/>
    <w:rsid w:val="00C34F30"/>
    <w:rsid w:val="00C363E7"/>
    <w:rsid w:val="00C3640A"/>
    <w:rsid w:val="00C36F96"/>
    <w:rsid w:val="00C3796D"/>
    <w:rsid w:val="00C37CFD"/>
    <w:rsid w:val="00C4057F"/>
    <w:rsid w:val="00C40753"/>
    <w:rsid w:val="00C40815"/>
    <w:rsid w:val="00C40B89"/>
    <w:rsid w:val="00C40B90"/>
    <w:rsid w:val="00C41BEB"/>
    <w:rsid w:val="00C427A2"/>
    <w:rsid w:val="00C42E64"/>
    <w:rsid w:val="00C42FEB"/>
    <w:rsid w:val="00C42FF6"/>
    <w:rsid w:val="00C43C61"/>
    <w:rsid w:val="00C43F21"/>
    <w:rsid w:val="00C441C2"/>
    <w:rsid w:val="00C4421D"/>
    <w:rsid w:val="00C46695"/>
    <w:rsid w:val="00C47652"/>
    <w:rsid w:val="00C47B24"/>
    <w:rsid w:val="00C50040"/>
    <w:rsid w:val="00C507A3"/>
    <w:rsid w:val="00C5183A"/>
    <w:rsid w:val="00C51B9C"/>
    <w:rsid w:val="00C51BEC"/>
    <w:rsid w:val="00C521AE"/>
    <w:rsid w:val="00C524AF"/>
    <w:rsid w:val="00C52B13"/>
    <w:rsid w:val="00C53A97"/>
    <w:rsid w:val="00C54A87"/>
    <w:rsid w:val="00C55428"/>
    <w:rsid w:val="00C55D3D"/>
    <w:rsid w:val="00C55DE1"/>
    <w:rsid w:val="00C56679"/>
    <w:rsid w:val="00C568CE"/>
    <w:rsid w:val="00C56A7A"/>
    <w:rsid w:val="00C56BC5"/>
    <w:rsid w:val="00C56DB7"/>
    <w:rsid w:val="00C572FF"/>
    <w:rsid w:val="00C57991"/>
    <w:rsid w:val="00C60B64"/>
    <w:rsid w:val="00C60D23"/>
    <w:rsid w:val="00C613E0"/>
    <w:rsid w:val="00C615B8"/>
    <w:rsid w:val="00C61AFD"/>
    <w:rsid w:val="00C62D67"/>
    <w:rsid w:val="00C6356B"/>
    <w:rsid w:val="00C63848"/>
    <w:rsid w:val="00C65227"/>
    <w:rsid w:val="00C652E2"/>
    <w:rsid w:val="00C653FB"/>
    <w:rsid w:val="00C656E5"/>
    <w:rsid w:val="00C65CBF"/>
    <w:rsid w:val="00C66344"/>
    <w:rsid w:val="00C66375"/>
    <w:rsid w:val="00C667D0"/>
    <w:rsid w:val="00C66AD7"/>
    <w:rsid w:val="00C66CDE"/>
    <w:rsid w:val="00C66D7C"/>
    <w:rsid w:val="00C66E3C"/>
    <w:rsid w:val="00C67EA5"/>
    <w:rsid w:val="00C70107"/>
    <w:rsid w:val="00C70449"/>
    <w:rsid w:val="00C70759"/>
    <w:rsid w:val="00C70E36"/>
    <w:rsid w:val="00C71279"/>
    <w:rsid w:val="00C71351"/>
    <w:rsid w:val="00C71A08"/>
    <w:rsid w:val="00C723C0"/>
    <w:rsid w:val="00C72625"/>
    <w:rsid w:val="00C7271D"/>
    <w:rsid w:val="00C72B6C"/>
    <w:rsid w:val="00C7375A"/>
    <w:rsid w:val="00C73FAB"/>
    <w:rsid w:val="00C74CF6"/>
    <w:rsid w:val="00C75A01"/>
    <w:rsid w:val="00C75BCA"/>
    <w:rsid w:val="00C75C66"/>
    <w:rsid w:val="00C75DB6"/>
    <w:rsid w:val="00C76E04"/>
    <w:rsid w:val="00C76FB0"/>
    <w:rsid w:val="00C77D93"/>
    <w:rsid w:val="00C80152"/>
    <w:rsid w:val="00C80E58"/>
    <w:rsid w:val="00C81278"/>
    <w:rsid w:val="00C81A2C"/>
    <w:rsid w:val="00C8285E"/>
    <w:rsid w:val="00C82B17"/>
    <w:rsid w:val="00C82F2D"/>
    <w:rsid w:val="00C83260"/>
    <w:rsid w:val="00C836F0"/>
    <w:rsid w:val="00C8383B"/>
    <w:rsid w:val="00C8398B"/>
    <w:rsid w:val="00C84318"/>
    <w:rsid w:val="00C856BE"/>
    <w:rsid w:val="00C85F2C"/>
    <w:rsid w:val="00C8734C"/>
    <w:rsid w:val="00C87A9E"/>
    <w:rsid w:val="00C904E4"/>
    <w:rsid w:val="00C90BC4"/>
    <w:rsid w:val="00C91633"/>
    <w:rsid w:val="00C923F2"/>
    <w:rsid w:val="00C935B7"/>
    <w:rsid w:val="00C9382C"/>
    <w:rsid w:val="00C94BAE"/>
    <w:rsid w:val="00C94C71"/>
    <w:rsid w:val="00C94F15"/>
    <w:rsid w:val="00C954BD"/>
    <w:rsid w:val="00C95615"/>
    <w:rsid w:val="00C97517"/>
    <w:rsid w:val="00C97CC0"/>
    <w:rsid w:val="00C97D75"/>
    <w:rsid w:val="00CA0261"/>
    <w:rsid w:val="00CA04BA"/>
    <w:rsid w:val="00CA136D"/>
    <w:rsid w:val="00CA147B"/>
    <w:rsid w:val="00CA2400"/>
    <w:rsid w:val="00CA24A1"/>
    <w:rsid w:val="00CA2AC9"/>
    <w:rsid w:val="00CA2D7A"/>
    <w:rsid w:val="00CA3CDB"/>
    <w:rsid w:val="00CA47F5"/>
    <w:rsid w:val="00CA4CA2"/>
    <w:rsid w:val="00CA5368"/>
    <w:rsid w:val="00CA6310"/>
    <w:rsid w:val="00CB0113"/>
    <w:rsid w:val="00CB058C"/>
    <w:rsid w:val="00CB0939"/>
    <w:rsid w:val="00CB0BE4"/>
    <w:rsid w:val="00CB121D"/>
    <w:rsid w:val="00CB146E"/>
    <w:rsid w:val="00CB14A4"/>
    <w:rsid w:val="00CB2CCA"/>
    <w:rsid w:val="00CB30D0"/>
    <w:rsid w:val="00CB37A5"/>
    <w:rsid w:val="00CB3C01"/>
    <w:rsid w:val="00CB3EBC"/>
    <w:rsid w:val="00CB44B7"/>
    <w:rsid w:val="00CB493B"/>
    <w:rsid w:val="00CB4EC9"/>
    <w:rsid w:val="00CB5187"/>
    <w:rsid w:val="00CB570A"/>
    <w:rsid w:val="00CB679C"/>
    <w:rsid w:val="00CB6A84"/>
    <w:rsid w:val="00CB6A85"/>
    <w:rsid w:val="00CB7121"/>
    <w:rsid w:val="00CB7364"/>
    <w:rsid w:val="00CB7C4A"/>
    <w:rsid w:val="00CB7ECC"/>
    <w:rsid w:val="00CC00DA"/>
    <w:rsid w:val="00CC0B1E"/>
    <w:rsid w:val="00CC0C76"/>
    <w:rsid w:val="00CC1475"/>
    <w:rsid w:val="00CC1DED"/>
    <w:rsid w:val="00CC24FF"/>
    <w:rsid w:val="00CC319E"/>
    <w:rsid w:val="00CC336D"/>
    <w:rsid w:val="00CC340A"/>
    <w:rsid w:val="00CC36E9"/>
    <w:rsid w:val="00CC5AA0"/>
    <w:rsid w:val="00CC669A"/>
    <w:rsid w:val="00CC69B1"/>
    <w:rsid w:val="00CC75B6"/>
    <w:rsid w:val="00CC779B"/>
    <w:rsid w:val="00CD28B2"/>
    <w:rsid w:val="00CD2DD0"/>
    <w:rsid w:val="00CD33EE"/>
    <w:rsid w:val="00CD3776"/>
    <w:rsid w:val="00CD4D65"/>
    <w:rsid w:val="00CD55B1"/>
    <w:rsid w:val="00CD55F8"/>
    <w:rsid w:val="00CD5680"/>
    <w:rsid w:val="00CD57E1"/>
    <w:rsid w:val="00CD648D"/>
    <w:rsid w:val="00CD6B80"/>
    <w:rsid w:val="00CD7206"/>
    <w:rsid w:val="00CD7616"/>
    <w:rsid w:val="00CD775A"/>
    <w:rsid w:val="00CE01B5"/>
    <w:rsid w:val="00CE021F"/>
    <w:rsid w:val="00CE0B98"/>
    <w:rsid w:val="00CE110D"/>
    <w:rsid w:val="00CE2312"/>
    <w:rsid w:val="00CE2620"/>
    <w:rsid w:val="00CE336E"/>
    <w:rsid w:val="00CE374F"/>
    <w:rsid w:val="00CE384F"/>
    <w:rsid w:val="00CE3CD6"/>
    <w:rsid w:val="00CE3CDF"/>
    <w:rsid w:val="00CE3D08"/>
    <w:rsid w:val="00CE3E07"/>
    <w:rsid w:val="00CE3FEE"/>
    <w:rsid w:val="00CE455E"/>
    <w:rsid w:val="00CE6176"/>
    <w:rsid w:val="00CE62B6"/>
    <w:rsid w:val="00CE6768"/>
    <w:rsid w:val="00CE68A3"/>
    <w:rsid w:val="00CE782D"/>
    <w:rsid w:val="00CE79A8"/>
    <w:rsid w:val="00CE7E34"/>
    <w:rsid w:val="00CF0639"/>
    <w:rsid w:val="00CF0AE5"/>
    <w:rsid w:val="00CF141A"/>
    <w:rsid w:val="00CF14A0"/>
    <w:rsid w:val="00CF19DF"/>
    <w:rsid w:val="00CF1F8D"/>
    <w:rsid w:val="00CF2172"/>
    <w:rsid w:val="00CF25F6"/>
    <w:rsid w:val="00CF26DE"/>
    <w:rsid w:val="00CF2BBB"/>
    <w:rsid w:val="00CF366B"/>
    <w:rsid w:val="00CF3B6C"/>
    <w:rsid w:val="00CF4810"/>
    <w:rsid w:val="00CF4D38"/>
    <w:rsid w:val="00CF4F1F"/>
    <w:rsid w:val="00CF4F47"/>
    <w:rsid w:val="00CF5030"/>
    <w:rsid w:val="00CF6A40"/>
    <w:rsid w:val="00CF6ED0"/>
    <w:rsid w:val="00CF7193"/>
    <w:rsid w:val="00D0026D"/>
    <w:rsid w:val="00D005B4"/>
    <w:rsid w:val="00D00784"/>
    <w:rsid w:val="00D00BC5"/>
    <w:rsid w:val="00D019EA"/>
    <w:rsid w:val="00D01AD1"/>
    <w:rsid w:val="00D02277"/>
    <w:rsid w:val="00D022F4"/>
    <w:rsid w:val="00D0242A"/>
    <w:rsid w:val="00D02BB4"/>
    <w:rsid w:val="00D03128"/>
    <w:rsid w:val="00D03153"/>
    <w:rsid w:val="00D033C8"/>
    <w:rsid w:val="00D036A5"/>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01C"/>
    <w:rsid w:val="00D131D1"/>
    <w:rsid w:val="00D13294"/>
    <w:rsid w:val="00D13666"/>
    <w:rsid w:val="00D13CB3"/>
    <w:rsid w:val="00D14D12"/>
    <w:rsid w:val="00D14EF2"/>
    <w:rsid w:val="00D15411"/>
    <w:rsid w:val="00D16AD9"/>
    <w:rsid w:val="00D171C8"/>
    <w:rsid w:val="00D174B4"/>
    <w:rsid w:val="00D17C55"/>
    <w:rsid w:val="00D20137"/>
    <w:rsid w:val="00D208E6"/>
    <w:rsid w:val="00D211FF"/>
    <w:rsid w:val="00D21A55"/>
    <w:rsid w:val="00D22651"/>
    <w:rsid w:val="00D23AD0"/>
    <w:rsid w:val="00D23B0A"/>
    <w:rsid w:val="00D24239"/>
    <w:rsid w:val="00D246CA"/>
    <w:rsid w:val="00D24BAF"/>
    <w:rsid w:val="00D24C26"/>
    <w:rsid w:val="00D255C6"/>
    <w:rsid w:val="00D2620A"/>
    <w:rsid w:val="00D27091"/>
    <w:rsid w:val="00D277EE"/>
    <w:rsid w:val="00D309DD"/>
    <w:rsid w:val="00D30C66"/>
    <w:rsid w:val="00D31163"/>
    <w:rsid w:val="00D314BC"/>
    <w:rsid w:val="00D31D60"/>
    <w:rsid w:val="00D3238A"/>
    <w:rsid w:val="00D3330C"/>
    <w:rsid w:val="00D3330E"/>
    <w:rsid w:val="00D3349D"/>
    <w:rsid w:val="00D33682"/>
    <w:rsid w:val="00D3454B"/>
    <w:rsid w:val="00D34598"/>
    <w:rsid w:val="00D3511A"/>
    <w:rsid w:val="00D35329"/>
    <w:rsid w:val="00D35F28"/>
    <w:rsid w:val="00D3672A"/>
    <w:rsid w:val="00D368A2"/>
    <w:rsid w:val="00D368FF"/>
    <w:rsid w:val="00D36D8E"/>
    <w:rsid w:val="00D374D1"/>
    <w:rsid w:val="00D37596"/>
    <w:rsid w:val="00D37628"/>
    <w:rsid w:val="00D37899"/>
    <w:rsid w:val="00D37FCE"/>
    <w:rsid w:val="00D40238"/>
    <w:rsid w:val="00D40D79"/>
    <w:rsid w:val="00D4117C"/>
    <w:rsid w:val="00D41258"/>
    <w:rsid w:val="00D43430"/>
    <w:rsid w:val="00D43441"/>
    <w:rsid w:val="00D439C3"/>
    <w:rsid w:val="00D43F3D"/>
    <w:rsid w:val="00D449C6"/>
    <w:rsid w:val="00D44A3B"/>
    <w:rsid w:val="00D451A0"/>
    <w:rsid w:val="00D451C2"/>
    <w:rsid w:val="00D45385"/>
    <w:rsid w:val="00D45C34"/>
    <w:rsid w:val="00D46141"/>
    <w:rsid w:val="00D4777F"/>
    <w:rsid w:val="00D478D3"/>
    <w:rsid w:val="00D5062B"/>
    <w:rsid w:val="00D50B46"/>
    <w:rsid w:val="00D50B72"/>
    <w:rsid w:val="00D51867"/>
    <w:rsid w:val="00D51AC9"/>
    <w:rsid w:val="00D51AD4"/>
    <w:rsid w:val="00D52DBB"/>
    <w:rsid w:val="00D531B6"/>
    <w:rsid w:val="00D54B76"/>
    <w:rsid w:val="00D54E08"/>
    <w:rsid w:val="00D5508A"/>
    <w:rsid w:val="00D55828"/>
    <w:rsid w:val="00D55C1D"/>
    <w:rsid w:val="00D55FD4"/>
    <w:rsid w:val="00D56305"/>
    <w:rsid w:val="00D566F1"/>
    <w:rsid w:val="00D57388"/>
    <w:rsid w:val="00D5765B"/>
    <w:rsid w:val="00D60DA7"/>
    <w:rsid w:val="00D61A0D"/>
    <w:rsid w:val="00D63F0E"/>
    <w:rsid w:val="00D63F45"/>
    <w:rsid w:val="00D64048"/>
    <w:rsid w:val="00D645A6"/>
    <w:rsid w:val="00D64E9D"/>
    <w:rsid w:val="00D65A11"/>
    <w:rsid w:val="00D65B91"/>
    <w:rsid w:val="00D664E2"/>
    <w:rsid w:val="00D66659"/>
    <w:rsid w:val="00D66CD5"/>
    <w:rsid w:val="00D6707F"/>
    <w:rsid w:val="00D67145"/>
    <w:rsid w:val="00D70FF2"/>
    <w:rsid w:val="00D7160F"/>
    <w:rsid w:val="00D7197E"/>
    <w:rsid w:val="00D71EB9"/>
    <w:rsid w:val="00D726FD"/>
    <w:rsid w:val="00D72C26"/>
    <w:rsid w:val="00D73288"/>
    <w:rsid w:val="00D73686"/>
    <w:rsid w:val="00D7371E"/>
    <w:rsid w:val="00D741DB"/>
    <w:rsid w:val="00D742A0"/>
    <w:rsid w:val="00D7440F"/>
    <w:rsid w:val="00D74E88"/>
    <w:rsid w:val="00D75216"/>
    <w:rsid w:val="00D756A7"/>
    <w:rsid w:val="00D75D33"/>
    <w:rsid w:val="00D75E56"/>
    <w:rsid w:val="00D7602C"/>
    <w:rsid w:val="00D763AE"/>
    <w:rsid w:val="00D76CD8"/>
    <w:rsid w:val="00D77533"/>
    <w:rsid w:val="00D77919"/>
    <w:rsid w:val="00D779D4"/>
    <w:rsid w:val="00D8135D"/>
    <w:rsid w:val="00D8158C"/>
    <w:rsid w:val="00D81ED6"/>
    <w:rsid w:val="00D82533"/>
    <w:rsid w:val="00D834FC"/>
    <w:rsid w:val="00D8359E"/>
    <w:rsid w:val="00D8512B"/>
    <w:rsid w:val="00D852FD"/>
    <w:rsid w:val="00D857FE"/>
    <w:rsid w:val="00D859D8"/>
    <w:rsid w:val="00D862CC"/>
    <w:rsid w:val="00D86F69"/>
    <w:rsid w:val="00D86F82"/>
    <w:rsid w:val="00D87458"/>
    <w:rsid w:val="00D87A74"/>
    <w:rsid w:val="00D901F7"/>
    <w:rsid w:val="00D90311"/>
    <w:rsid w:val="00D907F2"/>
    <w:rsid w:val="00D910E2"/>
    <w:rsid w:val="00D913F3"/>
    <w:rsid w:val="00D915FF"/>
    <w:rsid w:val="00D91CC6"/>
    <w:rsid w:val="00D92BBF"/>
    <w:rsid w:val="00D933F6"/>
    <w:rsid w:val="00D93F68"/>
    <w:rsid w:val="00D94010"/>
    <w:rsid w:val="00D948C4"/>
    <w:rsid w:val="00D94E85"/>
    <w:rsid w:val="00D95178"/>
    <w:rsid w:val="00D95495"/>
    <w:rsid w:val="00D962CF"/>
    <w:rsid w:val="00D9652E"/>
    <w:rsid w:val="00D96531"/>
    <w:rsid w:val="00DA0090"/>
    <w:rsid w:val="00DA0A11"/>
    <w:rsid w:val="00DA0C68"/>
    <w:rsid w:val="00DA130C"/>
    <w:rsid w:val="00DA26B3"/>
    <w:rsid w:val="00DA2FCF"/>
    <w:rsid w:val="00DA3113"/>
    <w:rsid w:val="00DA3199"/>
    <w:rsid w:val="00DA38EC"/>
    <w:rsid w:val="00DA3AAC"/>
    <w:rsid w:val="00DA43EB"/>
    <w:rsid w:val="00DA445E"/>
    <w:rsid w:val="00DA465F"/>
    <w:rsid w:val="00DA4823"/>
    <w:rsid w:val="00DA4E2E"/>
    <w:rsid w:val="00DA4E74"/>
    <w:rsid w:val="00DA518C"/>
    <w:rsid w:val="00DA542C"/>
    <w:rsid w:val="00DA5A21"/>
    <w:rsid w:val="00DA5B16"/>
    <w:rsid w:val="00DA6B9A"/>
    <w:rsid w:val="00DA6CF1"/>
    <w:rsid w:val="00DA77DE"/>
    <w:rsid w:val="00DB099F"/>
    <w:rsid w:val="00DB0B50"/>
    <w:rsid w:val="00DB2AEF"/>
    <w:rsid w:val="00DB2B51"/>
    <w:rsid w:val="00DB341C"/>
    <w:rsid w:val="00DB382B"/>
    <w:rsid w:val="00DB4525"/>
    <w:rsid w:val="00DB47A5"/>
    <w:rsid w:val="00DB4D17"/>
    <w:rsid w:val="00DB6DD3"/>
    <w:rsid w:val="00DB79CB"/>
    <w:rsid w:val="00DB7CED"/>
    <w:rsid w:val="00DC0248"/>
    <w:rsid w:val="00DC09FC"/>
    <w:rsid w:val="00DC102C"/>
    <w:rsid w:val="00DC1E1B"/>
    <w:rsid w:val="00DC1EC8"/>
    <w:rsid w:val="00DC2E18"/>
    <w:rsid w:val="00DC30FE"/>
    <w:rsid w:val="00DC3512"/>
    <w:rsid w:val="00DC385E"/>
    <w:rsid w:val="00DC3EC8"/>
    <w:rsid w:val="00DC4068"/>
    <w:rsid w:val="00DC4145"/>
    <w:rsid w:val="00DC493B"/>
    <w:rsid w:val="00DC759F"/>
    <w:rsid w:val="00DD0B51"/>
    <w:rsid w:val="00DD0BE6"/>
    <w:rsid w:val="00DD1707"/>
    <w:rsid w:val="00DD1963"/>
    <w:rsid w:val="00DD1C59"/>
    <w:rsid w:val="00DD263C"/>
    <w:rsid w:val="00DD2DEA"/>
    <w:rsid w:val="00DD3272"/>
    <w:rsid w:val="00DD3467"/>
    <w:rsid w:val="00DD45B5"/>
    <w:rsid w:val="00DD474F"/>
    <w:rsid w:val="00DD4834"/>
    <w:rsid w:val="00DD4A1A"/>
    <w:rsid w:val="00DD52FC"/>
    <w:rsid w:val="00DD5C3A"/>
    <w:rsid w:val="00DD5C56"/>
    <w:rsid w:val="00DD64C8"/>
    <w:rsid w:val="00DD674D"/>
    <w:rsid w:val="00DD695D"/>
    <w:rsid w:val="00DD6D50"/>
    <w:rsid w:val="00DD701C"/>
    <w:rsid w:val="00DD7DA4"/>
    <w:rsid w:val="00DE0CC3"/>
    <w:rsid w:val="00DE0F83"/>
    <w:rsid w:val="00DE2C73"/>
    <w:rsid w:val="00DE3136"/>
    <w:rsid w:val="00DE39F4"/>
    <w:rsid w:val="00DE3A27"/>
    <w:rsid w:val="00DE3E54"/>
    <w:rsid w:val="00DE4EA8"/>
    <w:rsid w:val="00DE50FD"/>
    <w:rsid w:val="00DE587D"/>
    <w:rsid w:val="00DE6805"/>
    <w:rsid w:val="00DE7807"/>
    <w:rsid w:val="00DF0D0A"/>
    <w:rsid w:val="00DF1211"/>
    <w:rsid w:val="00DF1385"/>
    <w:rsid w:val="00DF1FB9"/>
    <w:rsid w:val="00DF2469"/>
    <w:rsid w:val="00DF2EB3"/>
    <w:rsid w:val="00DF316E"/>
    <w:rsid w:val="00DF38F4"/>
    <w:rsid w:val="00DF41FB"/>
    <w:rsid w:val="00DF58E5"/>
    <w:rsid w:val="00DF5BC6"/>
    <w:rsid w:val="00DF6527"/>
    <w:rsid w:val="00DF6764"/>
    <w:rsid w:val="00DF79E1"/>
    <w:rsid w:val="00DF7E57"/>
    <w:rsid w:val="00E000D0"/>
    <w:rsid w:val="00E00BFD"/>
    <w:rsid w:val="00E00F2E"/>
    <w:rsid w:val="00E01525"/>
    <w:rsid w:val="00E0160E"/>
    <w:rsid w:val="00E0186E"/>
    <w:rsid w:val="00E01FE1"/>
    <w:rsid w:val="00E0247E"/>
    <w:rsid w:val="00E024B2"/>
    <w:rsid w:val="00E025CC"/>
    <w:rsid w:val="00E02FCC"/>
    <w:rsid w:val="00E03063"/>
    <w:rsid w:val="00E036B3"/>
    <w:rsid w:val="00E044C5"/>
    <w:rsid w:val="00E051B1"/>
    <w:rsid w:val="00E057EA"/>
    <w:rsid w:val="00E05E00"/>
    <w:rsid w:val="00E06F09"/>
    <w:rsid w:val="00E06FAA"/>
    <w:rsid w:val="00E07916"/>
    <w:rsid w:val="00E07AA2"/>
    <w:rsid w:val="00E1015B"/>
    <w:rsid w:val="00E106AE"/>
    <w:rsid w:val="00E10723"/>
    <w:rsid w:val="00E11236"/>
    <w:rsid w:val="00E1164D"/>
    <w:rsid w:val="00E11A5C"/>
    <w:rsid w:val="00E1223A"/>
    <w:rsid w:val="00E122A9"/>
    <w:rsid w:val="00E12447"/>
    <w:rsid w:val="00E12ABE"/>
    <w:rsid w:val="00E1415F"/>
    <w:rsid w:val="00E15141"/>
    <w:rsid w:val="00E15683"/>
    <w:rsid w:val="00E1603D"/>
    <w:rsid w:val="00E163D8"/>
    <w:rsid w:val="00E17778"/>
    <w:rsid w:val="00E1784D"/>
    <w:rsid w:val="00E20A95"/>
    <w:rsid w:val="00E20E02"/>
    <w:rsid w:val="00E20FC9"/>
    <w:rsid w:val="00E219AE"/>
    <w:rsid w:val="00E21BD1"/>
    <w:rsid w:val="00E22146"/>
    <w:rsid w:val="00E222DF"/>
    <w:rsid w:val="00E2282E"/>
    <w:rsid w:val="00E2294D"/>
    <w:rsid w:val="00E2297A"/>
    <w:rsid w:val="00E229C1"/>
    <w:rsid w:val="00E22C09"/>
    <w:rsid w:val="00E2339C"/>
    <w:rsid w:val="00E238C8"/>
    <w:rsid w:val="00E239E9"/>
    <w:rsid w:val="00E23E0C"/>
    <w:rsid w:val="00E23FAE"/>
    <w:rsid w:val="00E248F0"/>
    <w:rsid w:val="00E25FA0"/>
    <w:rsid w:val="00E2796A"/>
    <w:rsid w:val="00E30003"/>
    <w:rsid w:val="00E313CE"/>
    <w:rsid w:val="00E31F09"/>
    <w:rsid w:val="00E320DB"/>
    <w:rsid w:val="00E32733"/>
    <w:rsid w:val="00E32EF7"/>
    <w:rsid w:val="00E331D5"/>
    <w:rsid w:val="00E338E2"/>
    <w:rsid w:val="00E33AB2"/>
    <w:rsid w:val="00E33B65"/>
    <w:rsid w:val="00E33E69"/>
    <w:rsid w:val="00E3497F"/>
    <w:rsid w:val="00E34E6A"/>
    <w:rsid w:val="00E34F1E"/>
    <w:rsid w:val="00E35931"/>
    <w:rsid w:val="00E35D96"/>
    <w:rsid w:val="00E35F0A"/>
    <w:rsid w:val="00E363CF"/>
    <w:rsid w:val="00E36C49"/>
    <w:rsid w:val="00E36D49"/>
    <w:rsid w:val="00E36E14"/>
    <w:rsid w:val="00E37673"/>
    <w:rsid w:val="00E37D26"/>
    <w:rsid w:val="00E408E9"/>
    <w:rsid w:val="00E413F2"/>
    <w:rsid w:val="00E418F1"/>
    <w:rsid w:val="00E419DB"/>
    <w:rsid w:val="00E41C1E"/>
    <w:rsid w:val="00E41C29"/>
    <w:rsid w:val="00E41D45"/>
    <w:rsid w:val="00E41DDC"/>
    <w:rsid w:val="00E4238A"/>
    <w:rsid w:val="00E4324D"/>
    <w:rsid w:val="00E43D4B"/>
    <w:rsid w:val="00E4443F"/>
    <w:rsid w:val="00E44935"/>
    <w:rsid w:val="00E4496D"/>
    <w:rsid w:val="00E450D7"/>
    <w:rsid w:val="00E4579A"/>
    <w:rsid w:val="00E46771"/>
    <w:rsid w:val="00E46C4C"/>
    <w:rsid w:val="00E46E0B"/>
    <w:rsid w:val="00E471ED"/>
    <w:rsid w:val="00E478DA"/>
    <w:rsid w:val="00E478F6"/>
    <w:rsid w:val="00E479FF"/>
    <w:rsid w:val="00E5076A"/>
    <w:rsid w:val="00E50E1F"/>
    <w:rsid w:val="00E5109D"/>
    <w:rsid w:val="00E528AD"/>
    <w:rsid w:val="00E52A22"/>
    <w:rsid w:val="00E52EC5"/>
    <w:rsid w:val="00E53041"/>
    <w:rsid w:val="00E535C2"/>
    <w:rsid w:val="00E53728"/>
    <w:rsid w:val="00E53914"/>
    <w:rsid w:val="00E55F8A"/>
    <w:rsid w:val="00E5696B"/>
    <w:rsid w:val="00E60221"/>
    <w:rsid w:val="00E6098E"/>
    <w:rsid w:val="00E60A5A"/>
    <w:rsid w:val="00E61389"/>
    <w:rsid w:val="00E61780"/>
    <w:rsid w:val="00E62796"/>
    <w:rsid w:val="00E6301A"/>
    <w:rsid w:val="00E63772"/>
    <w:rsid w:val="00E6460B"/>
    <w:rsid w:val="00E65663"/>
    <w:rsid w:val="00E661DB"/>
    <w:rsid w:val="00E66781"/>
    <w:rsid w:val="00E66C88"/>
    <w:rsid w:val="00E67D73"/>
    <w:rsid w:val="00E67D7A"/>
    <w:rsid w:val="00E7056F"/>
    <w:rsid w:val="00E70710"/>
    <w:rsid w:val="00E71086"/>
    <w:rsid w:val="00E71B32"/>
    <w:rsid w:val="00E729DD"/>
    <w:rsid w:val="00E7391F"/>
    <w:rsid w:val="00E745BB"/>
    <w:rsid w:val="00E77E32"/>
    <w:rsid w:val="00E809C8"/>
    <w:rsid w:val="00E8173D"/>
    <w:rsid w:val="00E81B11"/>
    <w:rsid w:val="00E82FC8"/>
    <w:rsid w:val="00E834BF"/>
    <w:rsid w:val="00E83987"/>
    <w:rsid w:val="00E84CC4"/>
    <w:rsid w:val="00E84DE1"/>
    <w:rsid w:val="00E855B1"/>
    <w:rsid w:val="00E86621"/>
    <w:rsid w:val="00E87BD5"/>
    <w:rsid w:val="00E87C5D"/>
    <w:rsid w:val="00E90B12"/>
    <w:rsid w:val="00E90D43"/>
    <w:rsid w:val="00E910AA"/>
    <w:rsid w:val="00E912B1"/>
    <w:rsid w:val="00E91B0D"/>
    <w:rsid w:val="00E921EF"/>
    <w:rsid w:val="00E927FD"/>
    <w:rsid w:val="00E92BF5"/>
    <w:rsid w:val="00E93161"/>
    <w:rsid w:val="00E95897"/>
    <w:rsid w:val="00E95DDA"/>
    <w:rsid w:val="00E972A2"/>
    <w:rsid w:val="00E97A7D"/>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4BEF"/>
    <w:rsid w:val="00EA5A78"/>
    <w:rsid w:val="00EA5DE5"/>
    <w:rsid w:val="00EA71D3"/>
    <w:rsid w:val="00EB051D"/>
    <w:rsid w:val="00EB0FD4"/>
    <w:rsid w:val="00EB1072"/>
    <w:rsid w:val="00EB1A14"/>
    <w:rsid w:val="00EB2610"/>
    <w:rsid w:val="00EB2D92"/>
    <w:rsid w:val="00EB2DB8"/>
    <w:rsid w:val="00EB3229"/>
    <w:rsid w:val="00EB341F"/>
    <w:rsid w:val="00EB36B5"/>
    <w:rsid w:val="00EB43C4"/>
    <w:rsid w:val="00EB5C2A"/>
    <w:rsid w:val="00EB686E"/>
    <w:rsid w:val="00EB6974"/>
    <w:rsid w:val="00EB6D6E"/>
    <w:rsid w:val="00EB7570"/>
    <w:rsid w:val="00EB76BD"/>
    <w:rsid w:val="00EC01C4"/>
    <w:rsid w:val="00EC05A9"/>
    <w:rsid w:val="00EC05F2"/>
    <w:rsid w:val="00EC12D9"/>
    <w:rsid w:val="00EC2103"/>
    <w:rsid w:val="00EC27C8"/>
    <w:rsid w:val="00EC284D"/>
    <w:rsid w:val="00EC2BE5"/>
    <w:rsid w:val="00EC2CCA"/>
    <w:rsid w:val="00EC2E57"/>
    <w:rsid w:val="00EC2E71"/>
    <w:rsid w:val="00EC3A46"/>
    <w:rsid w:val="00EC4D53"/>
    <w:rsid w:val="00EC5347"/>
    <w:rsid w:val="00EC7215"/>
    <w:rsid w:val="00EC7371"/>
    <w:rsid w:val="00EC7652"/>
    <w:rsid w:val="00EC766D"/>
    <w:rsid w:val="00EC77DC"/>
    <w:rsid w:val="00EC7835"/>
    <w:rsid w:val="00ED0437"/>
    <w:rsid w:val="00ED05EB"/>
    <w:rsid w:val="00ED0D53"/>
    <w:rsid w:val="00ED0ED2"/>
    <w:rsid w:val="00ED25BD"/>
    <w:rsid w:val="00ED3133"/>
    <w:rsid w:val="00ED35F0"/>
    <w:rsid w:val="00ED3605"/>
    <w:rsid w:val="00ED3C86"/>
    <w:rsid w:val="00ED3CE8"/>
    <w:rsid w:val="00ED47E4"/>
    <w:rsid w:val="00ED4B01"/>
    <w:rsid w:val="00ED5511"/>
    <w:rsid w:val="00ED58AD"/>
    <w:rsid w:val="00ED5E13"/>
    <w:rsid w:val="00ED6A91"/>
    <w:rsid w:val="00ED6C71"/>
    <w:rsid w:val="00ED71AE"/>
    <w:rsid w:val="00ED73A4"/>
    <w:rsid w:val="00ED7D8F"/>
    <w:rsid w:val="00EE07D2"/>
    <w:rsid w:val="00EE0D35"/>
    <w:rsid w:val="00EE1A53"/>
    <w:rsid w:val="00EE1A98"/>
    <w:rsid w:val="00EE1BEE"/>
    <w:rsid w:val="00EE22A7"/>
    <w:rsid w:val="00EE3627"/>
    <w:rsid w:val="00EE39EA"/>
    <w:rsid w:val="00EE4D2B"/>
    <w:rsid w:val="00EE4DF4"/>
    <w:rsid w:val="00EE5D97"/>
    <w:rsid w:val="00EE5DE3"/>
    <w:rsid w:val="00EE6288"/>
    <w:rsid w:val="00EE66D4"/>
    <w:rsid w:val="00EE6911"/>
    <w:rsid w:val="00EE6B64"/>
    <w:rsid w:val="00EE6C36"/>
    <w:rsid w:val="00EE6F5D"/>
    <w:rsid w:val="00EF00D3"/>
    <w:rsid w:val="00EF0280"/>
    <w:rsid w:val="00EF0F38"/>
    <w:rsid w:val="00EF0F88"/>
    <w:rsid w:val="00EF12CC"/>
    <w:rsid w:val="00EF1613"/>
    <w:rsid w:val="00EF21B8"/>
    <w:rsid w:val="00EF21F3"/>
    <w:rsid w:val="00EF2355"/>
    <w:rsid w:val="00EF2401"/>
    <w:rsid w:val="00EF3011"/>
    <w:rsid w:val="00EF3786"/>
    <w:rsid w:val="00EF3BE1"/>
    <w:rsid w:val="00EF4351"/>
    <w:rsid w:val="00EF4927"/>
    <w:rsid w:val="00EF4B23"/>
    <w:rsid w:val="00EF5363"/>
    <w:rsid w:val="00EF59B1"/>
    <w:rsid w:val="00EF59F2"/>
    <w:rsid w:val="00EF6176"/>
    <w:rsid w:val="00EF6CBB"/>
    <w:rsid w:val="00EF6E4E"/>
    <w:rsid w:val="00EF713B"/>
    <w:rsid w:val="00EF71AB"/>
    <w:rsid w:val="00EF74E7"/>
    <w:rsid w:val="00EF780A"/>
    <w:rsid w:val="00EF7B3E"/>
    <w:rsid w:val="00F0069B"/>
    <w:rsid w:val="00F01C37"/>
    <w:rsid w:val="00F01D44"/>
    <w:rsid w:val="00F01F24"/>
    <w:rsid w:val="00F02BF0"/>
    <w:rsid w:val="00F03C49"/>
    <w:rsid w:val="00F03F33"/>
    <w:rsid w:val="00F0432C"/>
    <w:rsid w:val="00F04516"/>
    <w:rsid w:val="00F06034"/>
    <w:rsid w:val="00F0780D"/>
    <w:rsid w:val="00F07A6D"/>
    <w:rsid w:val="00F1097C"/>
    <w:rsid w:val="00F121F0"/>
    <w:rsid w:val="00F123F4"/>
    <w:rsid w:val="00F12DCF"/>
    <w:rsid w:val="00F12F63"/>
    <w:rsid w:val="00F1310D"/>
    <w:rsid w:val="00F133D6"/>
    <w:rsid w:val="00F13971"/>
    <w:rsid w:val="00F14133"/>
    <w:rsid w:val="00F144D6"/>
    <w:rsid w:val="00F14C5F"/>
    <w:rsid w:val="00F14FC4"/>
    <w:rsid w:val="00F1511E"/>
    <w:rsid w:val="00F15860"/>
    <w:rsid w:val="00F15A42"/>
    <w:rsid w:val="00F15DA5"/>
    <w:rsid w:val="00F16108"/>
    <w:rsid w:val="00F16136"/>
    <w:rsid w:val="00F162A0"/>
    <w:rsid w:val="00F16526"/>
    <w:rsid w:val="00F16D91"/>
    <w:rsid w:val="00F1705F"/>
    <w:rsid w:val="00F1756F"/>
    <w:rsid w:val="00F201FD"/>
    <w:rsid w:val="00F204E4"/>
    <w:rsid w:val="00F2085A"/>
    <w:rsid w:val="00F2227C"/>
    <w:rsid w:val="00F233C7"/>
    <w:rsid w:val="00F23548"/>
    <w:rsid w:val="00F2359A"/>
    <w:rsid w:val="00F23A5E"/>
    <w:rsid w:val="00F2404C"/>
    <w:rsid w:val="00F2429E"/>
    <w:rsid w:val="00F24742"/>
    <w:rsid w:val="00F25371"/>
    <w:rsid w:val="00F25545"/>
    <w:rsid w:val="00F265B9"/>
    <w:rsid w:val="00F266AA"/>
    <w:rsid w:val="00F2685A"/>
    <w:rsid w:val="00F2701E"/>
    <w:rsid w:val="00F27661"/>
    <w:rsid w:val="00F2796B"/>
    <w:rsid w:val="00F279BD"/>
    <w:rsid w:val="00F27F89"/>
    <w:rsid w:val="00F27FFD"/>
    <w:rsid w:val="00F3079C"/>
    <w:rsid w:val="00F311CD"/>
    <w:rsid w:val="00F3223F"/>
    <w:rsid w:val="00F3267F"/>
    <w:rsid w:val="00F33779"/>
    <w:rsid w:val="00F33B9C"/>
    <w:rsid w:val="00F34050"/>
    <w:rsid w:val="00F340F6"/>
    <w:rsid w:val="00F34129"/>
    <w:rsid w:val="00F3424C"/>
    <w:rsid w:val="00F34397"/>
    <w:rsid w:val="00F349C4"/>
    <w:rsid w:val="00F354AA"/>
    <w:rsid w:val="00F3575C"/>
    <w:rsid w:val="00F35F09"/>
    <w:rsid w:val="00F37037"/>
    <w:rsid w:val="00F3771F"/>
    <w:rsid w:val="00F37869"/>
    <w:rsid w:val="00F37A08"/>
    <w:rsid w:val="00F37BB9"/>
    <w:rsid w:val="00F40B80"/>
    <w:rsid w:val="00F415EE"/>
    <w:rsid w:val="00F41721"/>
    <w:rsid w:val="00F41B49"/>
    <w:rsid w:val="00F423F0"/>
    <w:rsid w:val="00F42726"/>
    <w:rsid w:val="00F42C78"/>
    <w:rsid w:val="00F43C32"/>
    <w:rsid w:val="00F44601"/>
    <w:rsid w:val="00F453B6"/>
    <w:rsid w:val="00F45854"/>
    <w:rsid w:val="00F45D0C"/>
    <w:rsid w:val="00F460F1"/>
    <w:rsid w:val="00F468F2"/>
    <w:rsid w:val="00F4697F"/>
    <w:rsid w:val="00F46B56"/>
    <w:rsid w:val="00F46C8A"/>
    <w:rsid w:val="00F46D54"/>
    <w:rsid w:val="00F502C8"/>
    <w:rsid w:val="00F50DC4"/>
    <w:rsid w:val="00F51015"/>
    <w:rsid w:val="00F524C0"/>
    <w:rsid w:val="00F52A72"/>
    <w:rsid w:val="00F52EF4"/>
    <w:rsid w:val="00F53483"/>
    <w:rsid w:val="00F53548"/>
    <w:rsid w:val="00F5423E"/>
    <w:rsid w:val="00F548BE"/>
    <w:rsid w:val="00F5528F"/>
    <w:rsid w:val="00F568B3"/>
    <w:rsid w:val="00F568CD"/>
    <w:rsid w:val="00F569C2"/>
    <w:rsid w:val="00F56A10"/>
    <w:rsid w:val="00F56AE4"/>
    <w:rsid w:val="00F57C62"/>
    <w:rsid w:val="00F57FC5"/>
    <w:rsid w:val="00F6000C"/>
    <w:rsid w:val="00F61269"/>
    <w:rsid w:val="00F61976"/>
    <w:rsid w:val="00F626CD"/>
    <w:rsid w:val="00F62B84"/>
    <w:rsid w:val="00F62DFC"/>
    <w:rsid w:val="00F62F58"/>
    <w:rsid w:val="00F6340C"/>
    <w:rsid w:val="00F6362F"/>
    <w:rsid w:val="00F6381A"/>
    <w:rsid w:val="00F64095"/>
    <w:rsid w:val="00F6497A"/>
    <w:rsid w:val="00F65403"/>
    <w:rsid w:val="00F658BB"/>
    <w:rsid w:val="00F6598F"/>
    <w:rsid w:val="00F65E41"/>
    <w:rsid w:val="00F65FF3"/>
    <w:rsid w:val="00F66292"/>
    <w:rsid w:val="00F6694F"/>
    <w:rsid w:val="00F67026"/>
    <w:rsid w:val="00F70012"/>
    <w:rsid w:val="00F702ED"/>
    <w:rsid w:val="00F7048F"/>
    <w:rsid w:val="00F70A5D"/>
    <w:rsid w:val="00F70D04"/>
    <w:rsid w:val="00F71756"/>
    <w:rsid w:val="00F717ED"/>
    <w:rsid w:val="00F71F64"/>
    <w:rsid w:val="00F722AD"/>
    <w:rsid w:val="00F72370"/>
    <w:rsid w:val="00F724A0"/>
    <w:rsid w:val="00F72ED6"/>
    <w:rsid w:val="00F72EDE"/>
    <w:rsid w:val="00F748DB"/>
    <w:rsid w:val="00F7494B"/>
    <w:rsid w:val="00F74B62"/>
    <w:rsid w:val="00F74E67"/>
    <w:rsid w:val="00F75BD6"/>
    <w:rsid w:val="00F75EED"/>
    <w:rsid w:val="00F76257"/>
    <w:rsid w:val="00F7685E"/>
    <w:rsid w:val="00F76B38"/>
    <w:rsid w:val="00F76DA5"/>
    <w:rsid w:val="00F76F1C"/>
    <w:rsid w:val="00F76FC2"/>
    <w:rsid w:val="00F770EF"/>
    <w:rsid w:val="00F775E1"/>
    <w:rsid w:val="00F7791F"/>
    <w:rsid w:val="00F77BDA"/>
    <w:rsid w:val="00F77EC2"/>
    <w:rsid w:val="00F808A8"/>
    <w:rsid w:val="00F80E09"/>
    <w:rsid w:val="00F8148A"/>
    <w:rsid w:val="00F81687"/>
    <w:rsid w:val="00F81CE3"/>
    <w:rsid w:val="00F81D23"/>
    <w:rsid w:val="00F82060"/>
    <w:rsid w:val="00F820BF"/>
    <w:rsid w:val="00F83B27"/>
    <w:rsid w:val="00F83E60"/>
    <w:rsid w:val="00F83FD9"/>
    <w:rsid w:val="00F84289"/>
    <w:rsid w:val="00F84293"/>
    <w:rsid w:val="00F857D6"/>
    <w:rsid w:val="00F87193"/>
    <w:rsid w:val="00F8722D"/>
    <w:rsid w:val="00F8785E"/>
    <w:rsid w:val="00F87F75"/>
    <w:rsid w:val="00F87F99"/>
    <w:rsid w:val="00F87FCA"/>
    <w:rsid w:val="00F902E6"/>
    <w:rsid w:val="00F9196A"/>
    <w:rsid w:val="00F921E9"/>
    <w:rsid w:val="00F92790"/>
    <w:rsid w:val="00F92920"/>
    <w:rsid w:val="00F92A63"/>
    <w:rsid w:val="00F92ACA"/>
    <w:rsid w:val="00F92C55"/>
    <w:rsid w:val="00F92E7C"/>
    <w:rsid w:val="00F92EAB"/>
    <w:rsid w:val="00F93083"/>
    <w:rsid w:val="00F930D9"/>
    <w:rsid w:val="00F9322C"/>
    <w:rsid w:val="00F93EEE"/>
    <w:rsid w:val="00F94A68"/>
    <w:rsid w:val="00F954CA"/>
    <w:rsid w:val="00F95676"/>
    <w:rsid w:val="00F96280"/>
    <w:rsid w:val="00F96E84"/>
    <w:rsid w:val="00F97914"/>
    <w:rsid w:val="00FA01D4"/>
    <w:rsid w:val="00FA0C7B"/>
    <w:rsid w:val="00FA1FC8"/>
    <w:rsid w:val="00FA2BD7"/>
    <w:rsid w:val="00FA3BAD"/>
    <w:rsid w:val="00FA3F06"/>
    <w:rsid w:val="00FA4607"/>
    <w:rsid w:val="00FA4744"/>
    <w:rsid w:val="00FA5F23"/>
    <w:rsid w:val="00FA6DE6"/>
    <w:rsid w:val="00FA6F37"/>
    <w:rsid w:val="00FA6FA7"/>
    <w:rsid w:val="00FA707A"/>
    <w:rsid w:val="00FA77CA"/>
    <w:rsid w:val="00FB0862"/>
    <w:rsid w:val="00FB119A"/>
    <w:rsid w:val="00FB1431"/>
    <w:rsid w:val="00FB162D"/>
    <w:rsid w:val="00FB181F"/>
    <w:rsid w:val="00FB1918"/>
    <w:rsid w:val="00FB1AE8"/>
    <w:rsid w:val="00FB1D7A"/>
    <w:rsid w:val="00FB24C0"/>
    <w:rsid w:val="00FB286E"/>
    <w:rsid w:val="00FB29B4"/>
    <w:rsid w:val="00FB2A18"/>
    <w:rsid w:val="00FB2B3C"/>
    <w:rsid w:val="00FB2F82"/>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201C"/>
    <w:rsid w:val="00FC2F98"/>
    <w:rsid w:val="00FC314B"/>
    <w:rsid w:val="00FC345D"/>
    <w:rsid w:val="00FC39CA"/>
    <w:rsid w:val="00FC3AE8"/>
    <w:rsid w:val="00FC4A41"/>
    <w:rsid w:val="00FC5E6F"/>
    <w:rsid w:val="00FC6408"/>
    <w:rsid w:val="00FC7615"/>
    <w:rsid w:val="00FC7F4D"/>
    <w:rsid w:val="00FD058E"/>
    <w:rsid w:val="00FD05BC"/>
    <w:rsid w:val="00FD0E60"/>
    <w:rsid w:val="00FD1D96"/>
    <w:rsid w:val="00FD2102"/>
    <w:rsid w:val="00FD2718"/>
    <w:rsid w:val="00FD3889"/>
    <w:rsid w:val="00FD45D6"/>
    <w:rsid w:val="00FD465C"/>
    <w:rsid w:val="00FD562A"/>
    <w:rsid w:val="00FD59CF"/>
    <w:rsid w:val="00FD64EF"/>
    <w:rsid w:val="00FD65B0"/>
    <w:rsid w:val="00FD7771"/>
    <w:rsid w:val="00FE0294"/>
    <w:rsid w:val="00FE09F6"/>
    <w:rsid w:val="00FE18B4"/>
    <w:rsid w:val="00FE2880"/>
    <w:rsid w:val="00FE2C5C"/>
    <w:rsid w:val="00FE2F0E"/>
    <w:rsid w:val="00FE2F48"/>
    <w:rsid w:val="00FE37C2"/>
    <w:rsid w:val="00FE3B41"/>
    <w:rsid w:val="00FE4F46"/>
    <w:rsid w:val="00FE5276"/>
    <w:rsid w:val="00FE606C"/>
    <w:rsid w:val="00FE66FB"/>
    <w:rsid w:val="00FE6FAA"/>
    <w:rsid w:val="00FE7053"/>
    <w:rsid w:val="00FE7495"/>
    <w:rsid w:val="00FE76F5"/>
    <w:rsid w:val="00FE7884"/>
    <w:rsid w:val="00FE7D12"/>
    <w:rsid w:val="00FF07DB"/>
    <w:rsid w:val="00FF3DBD"/>
    <w:rsid w:val="00FF4204"/>
    <w:rsid w:val="00FF4314"/>
    <w:rsid w:val="00FF456E"/>
    <w:rsid w:val="00FF4A19"/>
    <w:rsid w:val="00FF4CE2"/>
    <w:rsid w:val="00FF7533"/>
    <w:rsid w:val="01F0299B"/>
    <w:rsid w:val="026E4F91"/>
    <w:rsid w:val="041D095D"/>
    <w:rsid w:val="042518DB"/>
    <w:rsid w:val="05C87DB9"/>
    <w:rsid w:val="06946041"/>
    <w:rsid w:val="0961739E"/>
    <w:rsid w:val="098E6083"/>
    <w:rsid w:val="0B205B2B"/>
    <w:rsid w:val="0B782559"/>
    <w:rsid w:val="0D566BC9"/>
    <w:rsid w:val="0E180322"/>
    <w:rsid w:val="0E8C4995"/>
    <w:rsid w:val="0EF27BFB"/>
    <w:rsid w:val="0FBC50EF"/>
    <w:rsid w:val="115F3FD7"/>
    <w:rsid w:val="11A259DD"/>
    <w:rsid w:val="120474A0"/>
    <w:rsid w:val="13102ABE"/>
    <w:rsid w:val="167D280D"/>
    <w:rsid w:val="17047766"/>
    <w:rsid w:val="17935895"/>
    <w:rsid w:val="17F52C18"/>
    <w:rsid w:val="184530EF"/>
    <w:rsid w:val="19227A4B"/>
    <w:rsid w:val="1B3E182A"/>
    <w:rsid w:val="1B4B5195"/>
    <w:rsid w:val="1C174C6F"/>
    <w:rsid w:val="1C7C020D"/>
    <w:rsid w:val="1C8F78BA"/>
    <w:rsid w:val="1C9B0D84"/>
    <w:rsid w:val="1CDD3F3B"/>
    <w:rsid w:val="1D4D6869"/>
    <w:rsid w:val="1F176598"/>
    <w:rsid w:val="1FCA77F9"/>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2C2A45"/>
    <w:rsid w:val="2BD0253B"/>
    <w:rsid w:val="2C444480"/>
    <w:rsid w:val="2C564DC3"/>
    <w:rsid w:val="2D6C141D"/>
    <w:rsid w:val="2EB64B4B"/>
    <w:rsid w:val="2EDB590A"/>
    <w:rsid w:val="2F0A29E3"/>
    <w:rsid w:val="30817D6A"/>
    <w:rsid w:val="3157114E"/>
    <w:rsid w:val="31F2037F"/>
    <w:rsid w:val="329B11F6"/>
    <w:rsid w:val="336E087E"/>
    <w:rsid w:val="33C3087D"/>
    <w:rsid w:val="35961B12"/>
    <w:rsid w:val="364523AD"/>
    <w:rsid w:val="36700D38"/>
    <w:rsid w:val="36C4673D"/>
    <w:rsid w:val="36D43CF8"/>
    <w:rsid w:val="37B10B63"/>
    <w:rsid w:val="37D17C49"/>
    <w:rsid w:val="38950836"/>
    <w:rsid w:val="390721D7"/>
    <w:rsid w:val="393B510C"/>
    <w:rsid w:val="393F4767"/>
    <w:rsid w:val="39A97E97"/>
    <w:rsid w:val="3A260C29"/>
    <w:rsid w:val="3B57268D"/>
    <w:rsid w:val="3B6176CE"/>
    <w:rsid w:val="3BF9504C"/>
    <w:rsid w:val="3CF11603"/>
    <w:rsid w:val="3D7507FB"/>
    <w:rsid w:val="3EB5127A"/>
    <w:rsid w:val="3F503E5E"/>
    <w:rsid w:val="3FBF894D"/>
    <w:rsid w:val="3FC16214"/>
    <w:rsid w:val="41576FF8"/>
    <w:rsid w:val="41D9164E"/>
    <w:rsid w:val="41DD521D"/>
    <w:rsid w:val="423B7022"/>
    <w:rsid w:val="4389060E"/>
    <w:rsid w:val="43C8028A"/>
    <w:rsid w:val="43D51667"/>
    <w:rsid w:val="443B2C25"/>
    <w:rsid w:val="448421F1"/>
    <w:rsid w:val="45D37D9B"/>
    <w:rsid w:val="48194FD5"/>
    <w:rsid w:val="484514CB"/>
    <w:rsid w:val="48C86EE1"/>
    <w:rsid w:val="49FA6EF8"/>
    <w:rsid w:val="4A784961"/>
    <w:rsid w:val="4ACF3A3C"/>
    <w:rsid w:val="4B1700DF"/>
    <w:rsid w:val="4D2E4E4D"/>
    <w:rsid w:val="4F0F6A19"/>
    <w:rsid w:val="51D10A66"/>
    <w:rsid w:val="528A390F"/>
    <w:rsid w:val="528C6991"/>
    <w:rsid w:val="52C3297B"/>
    <w:rsid w:val="537C15C3"/>
    <w:rsid w:val="54054633"/>
    <w:rsid w:val="540605E4"/>
    <w:rsid w:val="547F0032"/>
    <w:rsid w:val="54A02A20"/>
    <w:rsid w:val="55C87B3E"/>
    <w:rsid w:val="58D67D8C"/>
    <w:rsid w:val="58E10577"/>
    <w:rsid w:val="59165EF7"/>
    <w:rsid w:val="59702A12"/>
    <w:rsid w:val="5AED2A9C"/>
    <w:rsid w:val="5B195363"/>
    <w:rsid w:val="5BC746C9"/>
    <w:rsid w:val="5C2D575F"/>
    <w:rsid w:val="5CC61F72"/>
    <w:rsid w:val="5CF206F7"/>
    <w:rsid w:val="5EA0340D"/>
    <w:rsid w:val="5ED66C3C"/>
    <w:rsid w:val="5FDD643B"/>
    <w:rsid w:val="60BA3E42"/>
    <w:rsid w:val="6194383B"/>
    <w:rsid w:val="61CB5375"/>
    <w:rsid w:val="623348CA"/>
    <w:rsid w:val="625E13B5"/>
    <w:rsid w:val="65CA685B"/>
    <w:rsid w:val="65CF34A7"/>
    <w:rsid w:val="65F660EF"/>
    <w:rsid w:val="6673798C"/>
    <w:rsid w:val="673905B6"/>
    <w:rsid w:val="681C3942"/>
    <w:rsid w:val="68460AAC"/>
    <w:rsid w:val="68AC1CFE"/>
    <w:rsid w:val="6BCD1DE6"/>
    <w:rsid w:val="6C505023"/>
    <w:rsid w:val="6D14299F"/>
    <w:rsid w:val="6D672A1E"/>
    <w:rsid w:val="6DC237D1"/>
    <w:rsid w:val="6F40725E"/>
    <w:rsid w:val="70470DB3"/>
    <w:rsid w:val="711172CF"/>
    <w:rsid w:val="71FD54DD"/>
    <w:rsid w:val="7410294D"/>
    <w:rsid w:val="76D71644"/>
    <w:rsid w:val="776C2FB6"/>
    <w:rsid w:val="78F75F50"/>
    <w:rsid w:val="79982284"/>
    <w:rsid w:val="7998662D"/>
    <w:rsid w:val="7A8C5878"/>
    <w:rsid w:val="7B471854"/>
    <w:rsid w:val="7C552333"/>
    <w:rsid w:val="7CA86C55"/>
    <w:rsid w:val="7CF019C1"/>
    <w:rsid w:val="7D461CAD"/>
    <w:rsid w:val="7E28286A"/>
    <w:rsid w:val="7E282BF0"/>
    <w:rsid w:val="7E4515FE"/>
    <w:rsid w:val="7EAD59B2"/>
    <w:rsid w:val="7F91273C"/>
    <w:rsid w:val="FBADED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60"/>
    <w:qFormat/>
    <w:uiPriority w:val="0"/>
    <w:pPr>
      <w:spacing w:before="340" w:after="330" w:line="360" w:lineRule="auto"/>
      <w:jc w:val="center"/>
      <w:outlineLvl w:val="0"/>
    </w:pPr>
    <w:rPr>
      <w:rFonts w:eastAsiaTheme="minorEastAsia"/>
      <w:bCs w:val="0"/>
      <w:kern w:val="44"/>
      <w:sz w:val="44"/>
      <w:szCs w:val="28"/>
    </w:rPr>
  </w:style>
  <w:style w:type="paragraph" w:styleId="2">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4">
    <w:name w:val="heading 3"/>
    <w:basedOn w:val="1"/>
    <w:next w:val="1"/>
    <w:link w:val="59"/>
    <w:qFormat/>
    <w:uiPriority w:val="0"/>
    <w:pPr>
      <w:keepNext/>
      <w:keepLines/>
      <w:spacing w:before="260" w:after="260" w:line="416" w:lineRule="auto"/>
      <w:jc w:val="left"/>
      <w:outlineLvl w:val="2"/>
    </w:pPr>
    <w:rPr>
      <w:b/>
      <w:bCs/>
      <w:sz w:val="24"/>
      <w:szCs w:val="32"/>
    </w:rPr>
  </w:style>
  <w:style w:type="paragraph" w:styleId="5">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4"/>
    <w:qFormat/>
    <w:uiPriority w:val="0"/>
    <w:pPr>
      <w:keepNext/>
      <w:keepLines/>
      <w:numPr>
        <w:ilvl w:val="4"/>
        <w:numId w:val="1"/>
      </w:numPr>
      <w:tabs>
        <w:tab w:val="left" w:pos="371"/>
      </w:tabs>
      <w:spacing w:before="280" w:after="290" w:line="374" w:lineRule="auto"/>
      <w:outlineLvl w:val="4"/>
    </w:pPr>
    <w:rPr>
      <w:b/>
      <w:sz w:val="28"/>
    </w:rPr>
  </w:style>
  <w:style w:type="paragraph" w:styleId="8">
    <w:name w:val="heading 6"/>
    <w:basedOn w:val="1"/>
    <w:next w:val="7"/>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9">
    <w:name w:val="heading 7"/>
    <w:basedOn w:val="1"/>
    <w:next w:val="7"/>
    <w:link w:val="66"/>
    <w:qFormat/>
    <w:uiPriority w:val="9"/>
    <w:pPr>
      <w:keepNext/>
      <w:keepLines/>
      <w:numPr>
        <w:ilvl w:val="6"/>
        <w:numId w:val="1"/>
      </w:numPr>
      <w:spacing w:before="240" w:after="64" w:line="319" w:lineRule="auto"/>
      <w:outlineLvl w:val="6"/>
    </w:pPr>
    <w:rPr>
      <w:b/>
      <w:sz w:val="24"/>
    </w:rPr>
  </w:style>
  <w:style w:type="paragraph" w:styleId="10">
    <w:name w:val="heading 8"/>
    <w:basedOn w:val="1"/>
    <w:next w:val="7"/>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1">
    <w:name w:val="heading 9"/>
    <w:basedOn w:val="1"/>
    <w:next w:val="7"/>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63"/>
    <w:qFormat/>
    <w:uiPriority w:val="0"/>
    <w:pPr>
      <w:ind w:firstLine="420" w:firstLineChars="200"/>
    </w:pPr>
  </w:style>
  <w:style w:type="paragraph" w:styleId="12">
    <w:name w:val="toc 7"/>
    <w:basedOn w:val="1"/>
    <w:next w:val="1"/>
    <w:qFormat/>
    <w:uiPriority w:val="0"/>
    <w:pPr>
      <w:ind w:left="1260"/>
      <w:jc w:val="left"/>
    </w:pPr>
    <w:rPr>
      <w:szCs w:val="21"/>
    </w:rPr>
  </w:style>
  <w:style w:type="paragraph" w:styleId="13">
    <w:name w:val="List Number 2"/>
    <w:basedOn w:val="1"/>
    <w:qFormat/>
    <w:uiPriority w:val="0"/>
    <w:pPr>
      <w:tabs>
        <w:tab w:val="left" w:pos="780"/>
      </w:tabs>
      <w:ind w:left="780" w:hanging="360"/>
    </w:pPr>
    <w:rPr>
      <w:szCs w:val="20"/>
    </w:rPr>
  </w:style>
  <w:style w:type="paragraph" w:styleId="14">
    <w:name w:val="List Bullet 4"/>
    <w:basedOn w:val="1"/>
    <w:qFormat/>
    <w:uiPriority w:val="0"/>
    <w:pPr>
      <w:tabs>
        <w:tab w:val="left" w:pos="425"/>
        <w:tab w:val="left" w:pos="1620"/>
      </w:tabs>
      <w:ind w:left="425" w:hanging="425"/>
    </w:pPr>
    <w:rPr>
      <w:szCs w:val="20"/>
    </w:rPr>
  </w:style>
  <w:style w:type="paragraph" w:styleId="15">
    <w:name w:val="caption"/>
    <w:basedOn w:val="1"/>
    <w:next w:val="1"/>
    <w:link w:val="297"/>
    <w:qFormat/>
    <w:uiPriority w:val="0"/>
    <w:rPr>
      <w:rFonts w:ascii="Cambria" w:hAnsi="Cambria" w:eastAsia="黑体"/>
    </w:rPr>
  </w:style>
  <w:style w:type="paragraph" w:styleId="16">
    <w:name w:val="List Bullet"/>
    <w:basedOn w:val="1"/>
    <w:qFormat/>
    <w:uiPriority w:val="0"/>
    <w:pPr>
      <w:numPr>
        <w:ilvl w:val="0"/>
        <w:numId w:val="1"/>
      </w:numPr>
      <w:tabs>
        <w:tab w:val="left" w:pos="360"/>
        <w:tab w:val="clear" w:pos="371"/>
      </w:tabs>
    </w:pPr>
    <w:rPr>
      <w:szCs w:val="20"/>
    </w:rPr>
  </w:style>
  <w:style w:type="paragraph" w:styleId="17">
    <w:name w:val="Document Map"/>
    <w:basedOn w:val="1"/>
    <w:link w:val="73"/>
    <w:qFormat/>
    <w:uiPriority w:val="0"/>
    <w:pPr>
      <w:shd w:val="clear" w:color="auto" w:fill="000080"/>
    </w:pPr>
  </w:style>
  <w:style w:type="paragraph" w:styleId="18">
    <w:name w:val="annotation text"/>
    <w:basedOn w:val="1"/>
    <w:link w:val="69"/>
    <w:qFormat/>
    <w:uiPriority w:val="99"/>
    <w:pPr>
      <w:jc w:val="left"/>
    </w:pPr>
  </w:style>
  <w:style w:type="paragraph" w:styleId="19">
    <w:name w:val="Body Text 3"/>
    <w:basedOn w:val="1"/>
    <w:link w:val="458"/>
    <w:unhideWhenUsed/>
    <w:qFormat/>
    <w:uiPriority w:val="0"/>
    <w:pPr>
      <w:spacing w:after="120"/>
    </w:pPr>
    <w:rPr>
      <w:sz w:val="16"/>
      <w:szCs w:val="16"/>
    </w:rPr>
  </w:style>
  <w:style w:type="paragraph" w:styleId="20">
    <w:name w:val="Body Text"/>
    <w:basedOn w:val="1"/>
    <w:link w:val="71"/>
    <w:qFormat/>
    <w:uiPriority w:val="0"/>
    <w:pPr>
      <w:spacing w:after="120"/>
    </w:pPr>
  </w:style>
  <w:style w:type="paragraph" w:styleId="21">
    <w:name w:val="Body Text Indent"/>
    <w:basedOn w:val="1"/>
    <w:link w:val="74"/>
    <w:qFormat/>
    <w:uiPriority w:val="0"/>
    <w:pPr>
      <w:spacing w:after="120"/>
      <w:ind w:left="420" w:leftChars="200"/>
    </w:pPr>
  </w:style>
  <w:style w:type="paragraph" w:styleId="22">
    <w:name w:val="Block Text"/>
    <w:basedOn w:val="1"/>
    <w:qFormat/>
    <w:uiPriority w:val="0"/>
    <w:pPr>
      <w:spacing w:after="120"/>
      <w:ind w:left="1440" w:leftChars="700" w:right="1440" w:rightChars="700"/>
    </w:pPr>
  </w:style>
  <w:style w:type="paragraph" w:styleId="23">
    <w:name w:val="List Bullet 2"/>
    <w:basedOn w:val="1"/>
    <w:qFormat/>
    <w:uiPriority w:val="0"/>
    <w:pPr>
      <w:numPr>
        <w:ilvl w:val="0"/>
        <w:numId w:val="2"/>
      </w:numPr>
      <w:tabs>
        <w:tab w:val="left" w:pos="780"/>
      </w:tabs>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ind w:left="420"/>
      <w:jc w:val="left"/>
    </w:pPr>
    <w:rPr>
      <w:iCs/>
    </w:rPr>
  </w:style>
  <w:style w:type="paragraph" w:styleId="26">
    <w:name w:val="Plain Text"/>
    <w:basedOn w:val="1"/>
    <w:link w:val="75"/>
    <w:qFormat/>
    <w:uiPriority w:val="0"/>
    <w:rPr>
      <w:rFonts w:ascii="宋体" w:hAnsi="Courier New"/>
      <w:szCs w:val="20"/>
    </w:rPr>
  </w:style>
  <w:style w:type="paragraph" w:styleId="27">
    <w:name w:val="toc 8"/>
    <w:basedOn w:val="1"/>
    <w:next w:val="1"/>
    <w:qFormat/>
    <w:uiPriority w:val="0"/>
    <w:pPr>
      <w:ind w:left="1470"/>
      <w:jc w:val="left"/>
    </w:pPr>
    <w:rPr>
      <w:szCs w:val="21"/>
    </w:rPr>
  </w:style>
  <w:style w:type="paragraph" w:styleId="28">
    <w:name w:val="Date"/>
    <w:basedOn w:val="1"/>
    <w:next w:val="1"/>
    <w:link w:val="316"/>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qFormat/>
    <w:uiPriority w:val="0"/>
    <w:pPr>
      <w:spacing w:after="120" w:line="480" w:lineRule="auto"/>
      <w:ind w:left="420" w:leftChars="200"/>
    </w:p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qFormat/>
    <w:uiPriority w:val="0"/>
    <w:pPr>
      <w:ind w:left="4320"/>
    </w:pPr>
    <w:rPr>
      <w:rFonts w:eastAsia="楷体_GB2312"/>
      <w:szCs w:val="20"/>
    </w:rPr>
  </w:style>
  <w:style w:type="paragraph" w:styleId="34">
    <w:name w:val="toc 1"/>
    <w:basedOn w:val="1"/>
    <w:next w:val="1"/>
    <w:qFormat/>
    <w:uiPriority w:val="39"/>
    <w:pPr>
      <w:spacing w:before="120" w:after="120"/>
      <w:jc w:val="left"/>
    </w:pPr>
    <w:rPr>
      <w:b/>
      <w:bCs/>
      <w:caps/>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footnote text"/>
    <w:basedOn w:val="1"/>
    <w:link w:val="481"/>
    <w:qFormat/>
    <w:uiPriority w:val="0"/>
    <w:pPr>
      <w:snapToGrid w:val="0"/>
      <w:jc w:val="left"/>
    </w:pPr>
    <w:rPr>
      <w:sz w:val="18"/>
      <w:szCs w:val="18"/>
    </w:rPr>
  </w:style>
  <w:style w:type="paragraph" w:styleId="39">
    <w:name w:val="toc 6"/>
    <w:basedOn w:val="1"/>
    <w:next w:val="1"/>
    <w:qFormat/>
    <w:uiPriority w:val="0"/>
    <w:pPr>
      <w:ind w:left="1050"/>
      <w:jc w:val="left"/>
    </w:pPr>
    <w:rPr>
      <w:szCs w:val="21"/>
    </w:rPr>
  </w:style>
  <w:style w:type="paragraph" w:styleId="40">
    <w:name w:val="Body Text Indent 3"/>
    <w:basedOn w:val="1"/>
    <w:link w:val="313"/>
    <w:qFormat/>
    <w:uiPriority w:val="0"/>
    <w:pPr>
      <w:ind w:firstLine="426"/>
    </w:pPr>
    <w:rPr>
      <w:szCs w:val="20"/>
    </w:rPr>
  </w:style>
  <w:style w:type="paragraph" w:styleId="41">
    <w:name w:val="toc 2"/>
    <w:basedOn w:val="1"/>
    <w:next w:val="1"/>
    <w:qFormat/>
    <w:uiPriority w:val="39"/>
    <w:pPr>
      <w:ind w:left="210"/>
      <w:jc w:val="left"/>
    </w:pPr>
    <w:rPr>
      <w:smallCaps/>
    </w:rPr>
  </w:style>
  <w:style w:type="paragraph" w:styleId="42">
    <w:name w:val="toc 9"/>
    <w:basedOn w:val="1"/>
    <w:next w:val="1"/>
    <w:qFormat/>
    <w:uiPriority w:val="0"/>
    <w:pPr>
      <w:ind w:left="1680"/>
      <w:jc w:val="left"/>
    </w:pPr>
    <w:rPr>
      <w:szCs w:val="21"/>
    </w:rPr>
  </w:style>
  <w:style w:type="paragraph" w:styleId="43">
    <w:name w:val="Body Text 2"/>
    <w:basedOn w:val="1"/>
    <w:link w:val="306"/>
    <w:qFormat/>
    <w:uiPriority w:val="0"/>
    <w:rPr>
      <w:sz w:val="28"/>
      <w:szCs w:val="20"/>
    </w:rPr>
  </w:style>
  <w:style w:type="paragraph" w:styleId="44">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99"/>
    <w:pPr>
      <w:widowControl/>
      <w:spacing w:before="100" w:beforeAutospacing="1" w:after="100" w:afterAutospacing="1"/>
      <w:jc w:val="left"/>
    </w:pPr>
    <w:rPr>
      <w:kern w:val="0"/>
      <w:sz w:val="24"/>
    </w:rPr>
  </w:style>
  <w:style w:type="paragraph" w:styleId="46">
    <w:name w:val="Title"/>
    <w:basedOn w:val="1"/>
    <w:link w:val="81"/>
    <w:qFormat/>
    <w:uiPriority w:val="0"/>
    <w:pPr>
      <w:spacing w:before="240" w:after="60"/>
      <w:jc w:val="center"/>
      <w:outlineLvl w:val="0"/>
    </w:pPr>
    <w:rPr>
      <w:rFonts w:ascii="Arial" w:hAnsi="Arial" w:eastAsia="隶书"/>
      <w:b/>
      <w:bCs/>
      <w:sz w:val="32"/>
      <w:szCs w:val="32"/>
    </w:rPr>
  </w:style>
  <w:style w:type="paragraph" w:styleId="47">
    <w:name w:val="annotation subject"/>
    <w:basedOn w:val="18"/>
    <w:next w:val="18"/>
    <w:link w:val="70"/>
    <w:qFormat/>
    <w:uiPriority w:val="0"/>
    <w:rPr>
      <w:b/>
      <w:bCs/>
    </w:rPr>
  </w:style>
  <w:style w:type="paragraph" w:styleId="48">
    <w:name w:val="Body Text First Indent"/>
    <w:basedOn w:val="20"/>
    <w:link w:val="72"/>
    <w:qFormat/>
    <w:uiPriority w:val="0"/>
    <w:pPr>
      <w:ind w:firstLine="420" w:firstLineChars="100"/>
    </w:pPr>
  </w:style>
  <w:style w:type="paragraph" w:styleId="49">
    <w:name w:val="Body Text First Indent 2"/>
    <w:basedOn w:val="21"/>
    <w:link w:val="292"/>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basedOn w:val="52"/>
    <w:qFormat/>
    <w:uiPriority w:val="99"/>
    <w:rPr>
      <w:sz w:val="21"/>
      <w:szCs w:val="21"/>
    </w:rPr>
  </w:style>
  <w:style w:type="character" w:customStyle="1" w:styleId="59">
    <w:name w:val="标题 3 Char"/>
    <w:basedOn w:val="52"/>
    <w:link w:val="4"/>
    <w:qFormat/>
    <w:uiPriority w:val="0"/>
    <w:rPr>
      <w:b/>
      <w:bCs/>
      <w:kern w:val="2"/>
      <w:sz w:val="24"/>
      <w:szCs w:val="32"/>
    </w:rPr>
  </w:style>
  <w:style w:type="character" w:customStyle="1" w:styleId="60">
    <w:name w:val="标题 1 Char"/>
    <w:basedOn w:val="52"/>
    <w:link w:val="3"/>
    <w:qFormat/>
    <w:uiPriority w:val="0"/>
    <w:rPr>
      <w:rFonts w:eastAsiaTheme="minorEastAsia"/>
      <w:b/>
      <w:kern w:val="44"/>
      <w:sz w:val="44"/>
      <w:szCs w:val="28"/>
    </w:rPr>
  </w:style>
  <w:style w:type="character" w:customStyle="1" w:styleId="61">
    <w:name w:val="标题 2 Char"/>
    <w:basedOn w:val="52"/>
    <w:link w:val="2"/>
    <w:qFormat/>
    <w:uiPriority w:val="0"/>
    <w:rPr>
      <w:rFonts w:ascii="Arial" w:hAnsi="Arial" w:eastAsiaTheme="minorEastAsia"/>
      <w:b/>
      <w:bCs/>
      <w:kern w:val="2"/>
      <w:sz w:val="28"/>
      <w:szCs w:val="32"/>
    </w:rPr>
  </w:style>
  <w:style w:type="character" w:customStyle="1" w:styleId="62">
    <w:name w:val="标题 4 Char1"/>
    <w:basedOn w:val="52"/>
    <w:link w:val="5"/>
    <w:qFormat/>
    <w:uiPriority w:val="99"/>
    <w:rPr>
      <w:rFonts w:ascii="Arial" w:hAnsi="Arial" w:eastAsia="黑体"/>
      <w:b/>
      <w:bCs/>
      <w:kern w:val="2"/>
      <w:sz w:val="28"/>
      <w:szCs w:val="28"/>
    </w:rPr>
  </w:style>
  <w:style w:type="character" w:customStyle="1" w:styleId="63">
    <w:name w:val="正文缩进 Char"/>
    <w:link w:val="7"/>
    <w:qFormat/>
    <w:uiPriority w:val="0"/>
    <w:rPr>
      <w:rFonts w:eastAsia="宋体"/>
      <w:kern w:val="2"/>
      <w:sz w:val="21"/>
      <w:szCs w:val="24"/>
      <w:lang w:val="en-US" w:eastAsia="zh-CN" w:bidi="ar-SA"/>
    </w:rPr>
  </w:style>
  <w:style w:type="character" w:customStyle="1" w:styleId="64">
    <w:name w:val="标题 5 Char1"/>
    <w:basedOn w:val="52"/>
    <w:link w:val="6"/>
    <w:qFormat/>
    <w:uiPriority w:val="0"/>
    <w:rPr>
      <w:b/>
      <w:kern w:val="2"/>
      <w:sz w:val="28"/>
      <w:szCs w:val="24"/>
    </w:rPr>
  </w:style>
  <w:style w:type="character" w:customStyle="1" w:styleId="65">
    <w:name w:val="标题 6 Char1"/>
    <w:basedOn w:val="52"/>
    <w:link w:val="8"/>
    <w:qFormat/>
    <w:uiPriority w:val="9"/>
    <w:rPr>
      <w:rFonts w:ascii="Arial" w:hAnsi="Arial" w:eastAsia="黑体"/>
      <w:b/>
      <w:kern w:val="2"/>
      <w:sz w:val="24"/>
      <w:szCs w:val="24"/>
    </w:rPr>
  </w:style>
  <w:style w:type="character" w:customStyle="1" w:styleId="66">
    <w:name w:val="标题 7 Char1"/>
    <w:basedOn w:val="52"/>
    <w:link w:val="9"/>
    <w:qFormat/>
    <w:uiPriority w:val="9"/>
    <w:rPr>
      <w:b/>
      <w:kern w:val="2"/>
      <w:sz w:val="24"/>
      <w:szCs w:val="24"/>
    </w:rPr>
  </w:style>
  <w:style w:type="character" w:customStyle="1" w:styleId="67">
    <w:name w:val="标题 8 Char1"/>
    <w:basedOn w:val="52"/>
    <w:link w:val="10"/>
    <w:qFormat/>
    <w:uiPriority w:val="9"/>
    <w:rPr>
      <w:rFonts w:ascii="Arial" w:hAnsi="Arial" w:eastAsia="黑体"/>
      <w:kern w:val="2"/>
      <w:sz w:val="24"/>
      <w:szCs w:val="24"/>
    </w:rPr>
  </w:style>
  <w:style w:type="character" w:customStyle="1" w:styleId="68">
    <w:name w:val="标题 9 Char1"/>
    <w:basedOn w:val="52"/>
    <w:link w:val="11"/>
    <w:qFormat/>
    <w:uiPriority w:val="0"/>
    <w:rPr>
      <w:rFonts w:ascii="Arial" w:hAnsi="Arial" w:eastAsia="黑体"/>
      <w:kern w:val="2"/>
      <w:sz w:val="21"/>
      <w:szCs w:val="24"/>
    </w:rPr>
  </w:style>
  <w:style w:type="character" w:customStyle="1" w:styleId="69">
    <w:name w:val="批注文字 Char"/>
    <w:link w:val="18"/>
    <w:qFormat/>
    <w:uiPriority w:val="99"/>
    <w:rPr>
      <w:kern w:val="2"/>
      <w:sz w:val="21"/>
      <w:szCs w:val="24"/>
    </w:rPr>
  </w:style>
  <w:style w:type="character" w:customStyle="1" w:styleId="70">
    <w:name w:val="批注主题 Char"/>
    <w:basedOn w:val="69"/>
    <w:link w:val="47"/>
    <w:qFormat/>
    <w:uiPriority w:val="0"/>
    <w:rPr>
      <w:b/>
      <w:bCs/>
      <w:kern w:val="2"/>
      <w:sz w:val="21"/>
      <w:szCs w:val="24"/>
    </w:rPr>
  </w:style>
  <w:style w:type="character" w:customStyle="1" w:styleId="71">
    <w:name w:val="正文文本 Char"/>
    <w:basedOn w:val="52"/>
    <w:link w:val="20"/>
    <w:qFormat/>
    <w:uiPriority w:val="0"/>
    <w:rPr>
      <w:kern w:val="2"/>
      <w:sz w:val="21"/>
      <w:szCs w:val="24"/>
    </w:rPr>
  </w:style>
  <w:style w:type="character" w:customStyle="1" w:styleId="72">
    <w:name w:val="正文首行缩进 Char"/>
    <w:link w:val="48"/>
    <w:qFormat/>
    <w:uiPriority w:val="0"/>
    <w:rPr>
      <w:rFonts w:eastAsia="宋体"/>
      <w:kern w:val="2"/>
      <w:sz w:val="21"/>
      <w:szCs w:val="24"/>
      <w:lang w:val="en-US" w:eastAsia="zh-CN" w:bidi="ar-SA"/>
    </w:rPr>
  </w:style>
  <w:style w:type="character" w:customStyle="1" w:styleId="73">
    <w:name w:val="文档结构图 Char"/>
    <w:basedOn w:val="52"/>
    <w:link w:val="17"/>
    <w:qFormat/>
    <w:uiPriority w:val="0"/>
    <w:rPr>
      <w:kern w:val="2"/>
      <w:sz w:val="21"/>
      <w:szCs w:val="24"/>
      <w:shd w:val="clear" w:color="auto" w:fill="000080"/>
    </w:rPr>
  </w:style>
  <w:style w:type="character" w:customStyle="1" w:styleId="74">
    <w:name w:val="正文文本缩进 Char1"/>
    <w:basedOn w:val="52"/>
    <w:link w:val="21"/>
    <w:qFormat/>
    <w:uiPriority w:val="0"/>
    <w:rPr>
      <w:kern w:val="2"/>
      <w:sz w:val="21"/>
      <w:szCs w:val="24"/>
    </w:rPr>
  </w:style>
  <w:style w:type="character" w:customStyle="1" w:styleId="75">
    <w:name w:val="纯文本 Char"/>
    <w:link w:val="26"/>
    <w:qFormat/>
    <w:uiPriority w:val="0"/>
    <w:rPr>
      <w:rFonts w:ascii="宋体" w:hAnsi="Courier New" w:eastAsia="宋体"/>
      <w:kern w:val="2"/>
      <w:sz w:val="21"/>
      <w:lang w:val="en-US" w:eastAsia="zh-CN" w:bidi="ar-SA"/>
    </w:rPr>
  </w:style>
  <w:style w:type="character" w:customStyle="1" w:styleId="76">
    <w:name w:val="正文文本缩进 2 Char1"/>
    <w:link w:val="29"/>
    <w:qFormat/>
    <w:uiPriority w:val="0"/>
    <w:rPr>
      <w:kern w:val="2"/>
      <w:sz w:val="21"/>
      <w:szCs w:val="24"/>
    </w:rPr>
  </w:style>
  <w:style w:type="character" w:customStyle="1" w:styleId="77">
    <w:name w:val="批注框文本 Char"/>
    <w:basedOn w:val="52"/>
    <w:link w:val="30"/>
    <w:qFormat/>
    <w:uiPriority w:val="99"/>
    <w:rPr>
      <w:kern w:val="2"/>
      <w:sz w:val="18"/>
      <w:szCs w:val="18"/>
    </w:rPr>
  </w:style>
  <w:style w:type="character" w:customStyle="1" w:styleId="78">
    <w:name w:val="页脚 Char"/>
    <w:basedOn w:val="52"/>
    <w:link w:val="31"/>
    <w:qFormat/>
    <w:uiPriority w:val="99"/>
    <w:rPr>
      <w:kern w:val="2"/>
      <w:sz w:val="18"/>
      <w:szCs w:val="18"/>
    </w:rPr>
  </w:style>
  <w:style w:type="character" w:customStyle="1" w:styleId="79">
    <w:name w:val="页眉 Char"/>
    <w:link w:val="32"/>
    <w:qFormat/>
    <w:uiPriority w:val="99"/>
    <w:rPr>
      <w:kern w:val="2"/>
      <w:sz w:val="18"/>
      <w:szCs w:val="18"/>
    </w:rPr>
  </w:style>
  <w:style w:type="character" w:customStyle="1" w:styleId="80">
    <w:name w:val="HTML 预设格式 Char1"/>
    <w:link w:val="44"/>
    <w:qFormat/>
    <w:uiPriority w:val="0"/>
    <w:rPr>
      <w:rFonts w:ascii="宋体" w:hAnsi="宋体" w:cs="宋体"/>
      <w:sz w:val="24"/>
      <w:szCs w:val="24"/>
    </w:rPr>
  </w:style>
  <w:style w:type="character" w:customStyle="1" w:styleId="81">
    <w:name w:val="标题 Char"/>
    <w:link w:val="46"/>
    <w:qFormat/>
    <w:uiPriority w:val="0"/>
    <w:rPr>
      <w:rFonts w:ascii="Arial" w:hAnsi="Arial" w:eastAsia="隶书" w:cs="Arial"/>
      <w:b/>
      <w:bCs/>
      <w:kern w:val="2"/>
      <w:sz w:val="32"/>
      <w:szCs w:val="32"/>
    </w:rPr>
  </w:style>
  <w:style w:type="paragraph" w:customStyle="1" w:styleId="8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qFormat/>
    <w:uiPriority w:val="0"/>
    <w:pPr>
      <w:spacing w:line="360" w:lineRule="auto"/>
      <w:ind w:firstLine="516" w:firstLineChars="215"/>
    </w:pPr>
    <w:rPr>
      <w:sz w:val="24"/>
      <w:szCs w:val="20"/>
    </w:rPr>
  </w:style>
  <w:style w:type="character" w:customStyle="1" w:styleId="84">
    <w:name w:val="样式1 Char Char Char"/>
    <w:link w:val="83"/>
    <w:qFormat/>
    <w:uiPriority w:val="0"/>
    <w:rPr>
      <w:rFonts w:eastAsia="宋体"/>
      <w:kern w:val="2"/>
      <w:sz w:val="24"/>
      <w:lang w:val="en-US" w:eastAsia="zh-CN" w:bidi="ar-SA"/>
    </w:rPr>
  </w:style>
  <w:style w:type="paragraph" w:customStyle="1" w:styleId="85">
    <w:name w:val="样式1"/>
    <w:basedOn w:val="46"/>
    <w:link w:val="86"/>
    <w:qFormat/>
    <w:uiPriority w:val="0"/>
    <w:pPr>
      <w:spacing w:before="120" w:after="120"/>
    </w:pPr>
    <w:rPr>
      <w:rFonts w:eastAsia="黑体" w:cs="Arial"/>
      <w:b w:val="0"/>
      <w:sz w:val="30"/>
      <w:szCs w:val="21"/>
    </w:rPr>
  </w:style>
  <w:style w:type="character" w:customStyle="1" w:styleId="86">
    <w:name w:val="样式1 Char"/>
    <w:link w:val="85"/>
    <w:qFormat/>
    <w:uiPriority w:val="0"/>
    <w:rPr>
      <w:rFonts w:ascii="Arial" w:hAnsi="Arial" w:eastAsia="黑体" w:cs="Arial"/>
      <w:bCs/>
      <w:kern w:val="2"/>
      <w:sz w:val="30"/>
      <w:szCs w:val="21"/>
      <w:lang w:val="en-US" w:eastAsia="zh-CN" w:bidi="ar-SA"/>
    </w:rPr>
  </w:style>
  <w:style w:type="paragraph" w:customStyle="1" w:styleId="8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qFormat/>
    <w:uiPriority w:val="0"/>
    <w:rPr>
      <w:rFonts w:ascii="仿宋_GB2312" w:eastAsia="仿宋_GB2312"/>
      <w:b/>
      <w:sz w:val="32"/>
      <w:szCs w:val="32"/>
    </w:rPr>
  </w:style>
  <w:style w:type="character" w:customStyle="1" w:styleId="91">
    <w:name w:val="tpc_title1"/>
    <w:qFormat/>
    <w:uiPriority w:val="0"/>
    <w:rPr>
      <w:b/>
      <w:bCs/>
      <w:sz w:val="18"/>
      <w:szCs w:val="18"/>
    </w:rPr>
  </w:style>
  <w:style w:type="character" w:customStyle="1" w:styleId="92">
    <w:name w:val="tpc_content1"/>
    <w:qFormat/>
    <w:uiPriority w:val="0"/>
    <w:rPr>
      <w:sz w:val="20"/>
      <w:szCs w:val="20"/>
    </w:r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qFormat/>
    <w:uiPriority w:val="0"/>
    <w:pPr>
      <w:ind w:firstLine="420" w:firstLineChars="200"/>
    </w:pPr>
  </w:style>
  <w:style w:type="character" w:customStyle="1" w:styleId="95">
    <w:name w:val="列表段落 字符"/>
    <w:link w:val="94"/>
    <w:qFormat/>
    <w:uiPriority w:val="34"/>
    <w:rPr>
      <w:kern w:val="2"/>
      <w:sz w:val="21"/>
      <w:szCs w:val="24"/>
    </w:rPr>
  </w:style>
  <w:style w:type="paragraph" w:customStyle="1" w:styleId="96">
    <w:name w:val="正文1"/>
    <w:basedOn w:val="1"/>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8">
    <w:name w:val="缩进正文"/>
    <w:basedOn w:val="1"/>
    <w:link w:val="99"/>
    <w:qFormat/>
    <w:uiPriority w:val="0"/>
    <w:pPr>
      <w:ind w:firstLine="560" w:firstLineChars="200"/>
    </w:pPr>
    <w:rPr>
      <w:rFonts w:eastAsia="仿宋_GB2312" w:cs="宋体"/>
      <w:sz w:val="28"/>
      <w:szCs w:val="20"/>
    </w:rPr>
  </w:style>
  <w:style w:type="character" w:customStyle="1" w:styleId="99">
    <w:name w:val="缩进正文 Char"/>
    <w:link w:val="98"/>
    <w:qFormat/>
    <w:uiPriority w:val="0"/>
    <w:rPr>
      <w:rFonts w:eastAsia="仿宋_GB2312" w:cs="宋体"/>
      <w:kern w:val="2"/>
      <w:sz w:val="28"/>
      <w:lang w:val="en-US" w:eastAsia="zh-CN" w:bidi="ar-SA"/>
    </w:rPr>
  </w:style>
  <w:style w:type="character" w:customStyle="1" w:styleId="100">
    <w:name w:val="访问过的超链接1"/>
    <w:qFormat/>
    <w:uiPriority w:val="0"/>
    <w:rPr>
      <w:color w:val="800080"/>
      <w:u w:val="single"/>
    </w:rPr>
  </w:style>
  <w:style w:type="paragraph" w:customStyle="1" w:styleId="101">
    <w:name w:val="Char Char Char Char Char Char Char"/>
    <w:basedOn w:val="1"/>
    <w:qFormat/>
    <w:uiPriority w:val="0"/>
    <w:pPr>
      <w:widowControl/>
      <w:adjustRightInd w:val="0"/>
      <w:spacing w:after="160" w:line="240" w:lineRule="exact"/>
      <w:jc w:val="left"/>
      <w:textAlignment w:val="baseline"/>
    </w:pPr>
  </w:style>
  <w:style w:type="character" w:customStyle="1" w:styleId="102">
    <w:name w:val="正文缩进 Char1"/>
    <w:qFormat/>
    <w:uiPriority w:val="0"/>
    <w:rPr>
      <w:rFonts w:eastAsia="宋体"/>
      <w:kern w:val="2"/>
      <w:sz w:val="21"/>
      <w:lang w:val="en-US" w:eastAsia="zh-CN" w:bidi="ar-SA"/>
    </w:rPr>
  </w:style>
  <w:style w:type="paragraph" w:customStyle="1" w:styleId="10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unhideWhenUsed/>
    <w:qFormat/>
    <w:uiPriority w:val="34"/>
    <w:pPr>
      <w:ind w:firstLine="420" w:firstLineChars="200"/>
    </w:pPr>
  </w:style>
  <w:style w:type="paragraph" w:customStyle="1" w:styleId="105">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6">
    <w:name w:val="font11"/>
    <w:basedOn w:val="52"/>
    <w:qFormat/>
    <w:uiPriority w:val="0"/>
    <w:rPr>
      <w:rFonts w:hint="eastAsia" w:ascii="宋体" w:hAnsi="宋体" w:eastAsia="宋体" w:cs="宋体"/>
      <w:b/>
      <w:color w:val="000000"/>
      <w:sz w:val="21"/>
      <w:szCs w:val="21"/>
      <w:u w:val="none"/>
    </w:rPr>
  </w:style>
  <w:style w:type="character" w:customStyle="1" w:styleId="107">
    <w:name w:val="批注文字 Char1"/>
    <w:qFormat/>
    <w:locked/>
    <w:uiPriority w:val="0"/>
    <w:rPr>
      <w:rFonts w:ascii="Calibri" w:hAnsi="Calibri" w:eastAsia="宋体" w:cs="Calibri"/>
      <w:szCs w:val="21"/>
    </w:rPr>
  </w:style>
  <w:style w:type="character" w:customStyle="1" w:styleId="108">
    <w:name w:val="title1"/>
    <w:qFormat/>
    <w:uiPriority w:val="0"/>
    <w:rPr>
      <w:rFonts w:hint="eastAsia" w:ascii="微软雅黑" w:hAnsi="微软雅黑" w:eastAsia="微软雅黑"/>
      <w:sz w:val="21"/>
      <w:szCs w:val="21"/>
    </w:rPr>
  </w:style>
  <w:style w:type="character" w:customStyle="1" w:styleId="109">
    <w:name w:val="sect2title1"/>
    <w:qFormat/>
    <w:uiPriority w:val="0"/>
    <w:rPr>
      <w:rFonts w:hint="eastAsia" w:ascii="微软雅黑" w:hAnsi="微软雅黑" w:eastAsia="微软雅黑"/>
      <w:b/>
      <w:bCs/>
      <w:sz w:val="21"/>
      <w:szCs w:val="21"/>
    </w:rPr>
  </w:style>
  <w:style w:type="paragraph" w:customStyle="1" w:styleId="110">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qFormat/>
    <w:uiPriority w:val="0"/>
    <w:rPr>
      <w:rFonts w:ascii="Tahoma" w:hAnsi="Tahoma" w:eastAsia="Tahoma" w:cs="Tahoma"/>
      <w:color w:val="000000"/>
      <w:sz w:val="20"/>
      <w:szCs w:val="20"/>
      <w:u w:val="none"/>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qFormat/>
    <w:uiPriority w:val="0"/>
    <w:rPr>
      <w:rFonts w:hint="eastAsia" w:ascii="仿宋_GB2312" w:eastAsia="仿宋_GB2312" w:cs="仿宋_GB2312"/>
      <w:color w:val="000000"/>
      <w:sz w:val="20"/>
      <w:szCs w:val="20"/>
      <w:u w:val="none"/>
    </w:rPr>
  </w:style>
  <w:style w:type="character" w:customStyle="1" w:styleId="167">
    <w:name w:val="font31"/>
    <w:basedOn w:val="52"/>
    <w:qFormat/>
    <w:uiPriority w:val="0"/>
    <w:rPr>
      <w:rFonts w:hint="default" w:ascii="Symbol" w:hAnsi="Symbol" w:cs="Symbol"/>
      <w:color w:val="000000"/>
      <w:sz w:val="20"/>
      <w:szCs w:val="20"/>
      <w:u w:val="none"/>
    </w:rPr>
  </w:style>
  <w:style w:type="character" w:customStyle="1" w:styleId="168">
    <w:name w:val="font71"/>
    <w:basedOn w:val="52"/>
    <w:qFormat/>
    <w:uiPriority w:val="0"/>
    <w:rPr>
      <w:rFonts w:ascii="Arial" w:hAnsi="Arial" w:cs="Arial"/>
      <w:color w:val="000000"/>
      <w:sz w:val="20"/>
      <w:szCs w:val="20"/>
      <w:u w:val="none"/>
    </w:rPr>
  </w:style>
  <w:style w:type="character" w:customStyle="1" w:styleId="169">
    <w:name w:val="font21"/>
    <w:basedOn w:val="52"/>
    <w:qFormat/>
    <w:uiPriority w:val="0"/>
    <w:rPr>
      <w:rFonts w:hint="default" w:ascii="Symbol" w:hAnsi="Symbol" w:cs="Symbol"/>
      <w:color w:val="000000"/>
      <w:sz w:val="20"/>
      <w:szCs w:val="20"/>
      <w:u w:val="none"/>
    </w:rPr>
  </w:style>
  <w:style w:type="character" w:customStyle="1" w:styleId="170">
    <w:name w:val="font91"/>
    <w:basedOn w:val="52"/>
    <w:qFormat/>
    <w:uiPriority w:val="0"/>
    <w:rPr>
      <w:rFonts w:ascii="Arial" w:hAnsi="Arial" w:cs="Arial"/>
      <w:color w:val="000000"/>
      <w:sz w:val="20"/>
      <w:szCs w:val="20"/>
      <w:u w:val="none"/>
    </w:rPr>
  </w:style>
  <w:style w:type="character" w:customStyle="1" w:styleId="171">
    <w:name w:val="font51"/>
    <w:basedOn w:val="52"/>
    <w:qFormat/>
    <w:uiPriority w:val="0"/>
    <w:rPr>
      <w:rFonts w:ascii="仿宋" w:hAnsi="仿宋" w:eastAsia="仿宋" w:cs="仿宋"/>
      <w:color w:val="000000"/>
      <w:sz w:val="21"/>
      <w:szCs w:val="21"/>
      <w:u w:val="none"/>
    </w:rPr>
  </w:style>
  <w:style w:type="character" w:customStyle="1" w:styleId="172">
    <w:name w:val="font101"/>
    <w:basedOn w:val="52"/>
    <w:qFormat/>
    <w:uiPriority w:val="0"/>
    <w:rPr>
      <w:rFonts w:hint="eastAsia" w:ascii="仿宋_GB2312" w:eastAsia="仿宋_GB2312" w:cs="仿宋_GB2312"/>
      <w:color w:val="000000"/>
      <w:sz w:val="20"/>
      <w:szCs w:val="20"/>
      <w:u w:val="none"/>
    </w:rPr>
  </w:style>
  <w:style w:type="character" w:customStyle="1" w:styleId="173">
    <w:name w:val="font61"/>
    <w:basedOn w:val="52"/>
    <w:qFormat/>
    <w:uiPriority w:val="0"/>
    <w:rPr>
      <w:rFonts w:hint="eastAsia" w:ascii="宋体" w:hAnsi="宋体" w:eastAsia="宋体" w:cs="宋体"/>
      <w:color w:val="000000"/>
      <w:sz w:val="20"/>
      <w:szCs w:val="20"/>
      <w:u w:val="none"/>
    </w:rPr>
  </w:style>
  <w:style w:type="character" w:customStyle="1" w:styleId="174">
    <w:name w:val="font81"/>
    <w:basedOn w:val="52"/>
    <w:qFormat/>
    <w:uiPriority w:val="0"/>
    <w:rPr>
      <w:rFonts w:hint="eastAsia" w:ascii="仿宋" w:hAnsi="仿宋" w:eastAsia="仿宋" w:cs="仿宋"/>
      <w:color w:val="000000"/>
      <w:sz w:val="21"/>
      <w:szCs w:val="21"/>
      <w:u w:val="none"/>
    </w:rPr>
  </w:style>
  <w:style w:type="character" w:customStyle="1" w:styleId="175">
    <w:name w:val="font111"/>
    <w:basedOn w:val="52"/>
    <w:qFormat/>
    <w:uiPriority w:val="0"/>
    <w:rPr>
      <w:rFonts w:hint="eastAsia" w:ascii="仿宋_GB2312" w:eastAsia="仿宋_GB2312" w:cs="仿宋_GB2312"/>
      <w:color w:val="000000"/>
      <w:sz w:val="21"/>
      <w:szCs w:val="21"/>
      <w:u w:val="none"/>
    </w:rPr>
  </w:style>
  <w:style w:type="character" w:customStyle="1" w:styleId="176">
    <w:name w:val="font121"/>
    <w:basedOn w:val="52"/>
    <w:qFormat/>
    <w:uiPriority w:val="0"/>
    <w:rPr>
      <w:rFonts w:ascii="Arial" w:hAnsi="Arial" w:cs="Arial"/>
      <w:color w:val="000000"/>
      <w:sz w:val="20"/>
      <w:szCs w:val="20"/>
      <w:u w:val="none"/>
    </w:rPr>
  </w:style>
  <w:style w:type="character" w:customStyle="1" w:styleId="177">
    <w:name w:val="font112"/>
    <w:basedOn w:val="52"/>
    <w:qFormat/>
    <w:uiPriority w:val="0"/>
    <w:rPr>
      <w:rFonts w:hint="eastAsia" w:ascii="仿宋_GB2312" w:eastAsia="仿宋_GB2312" w:cs="仿宋_GB2312"/>
      <w:color w:val="000000"/>
      <w:sz w:val="21"/>
      <w:szCs w:val="21"/>
      <w:u w:val="none"/>
    </w:rPr>
  </w:style>
  <w:style w:type="paragraph" w:customStyle="1" w:styleId="178">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qFormat/>
    <w:uiPriority w:val="0"/>
    <w:pPr>
      <w:spacing w:beforeLines="50"/>
      <w:ind w:firstLine="200" w:firstLineChars="200"/>
    </w:pPr>
    <w:rPr>
      <w:rFonts w:ascii="Calibri" w:hAnsi="Calibri" w:eastAsia="华文仿宋"/>
      <w:szCs w:val="22"/>
    </w:rPr>
  </w:style>
  <w:style w:type="paragraph" w:customStyle="1" w:styleId="256">
    <w:name w:val="正文A缩进"/>
    <w:basedOn w:val="1"/>
    <w:qFormat/>
    <w:uiPriority w:val="0"/>
    <w:pPr>
      <w:spacing w:line="360" w:lineRule="auto"/>
      <w:ind w:firstLine="200" w:firstLineChars="200"/>
    </w:pPr>
    <w:rPr>
      <w:kern w:val="0"/>
      <w:sz w:val="28"/>
      <w:szCs w:val="20"/>
    </w:rPr>
  </w:style>
  <w:style w:type="paragraph" w:customStyle="1" w:styleId="257">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qFormat/>
    <w:uiPriority w:val="0"/>
    <w:rPr>
      <w:b/>
      <w:bCs/>
      <w:kern w:val="2"/>
      <w:sz w:val="28"/>
      <w:szCs w:val="28"/>
    </w:rPr>
  </w:style>
  <w:style w:type="character" w:customStyle="1" w:styleId="259">
    <w:name w:val="标题 6 Char"/>
    <w:basedOn w:val="52"/>
    <w:qFormat/>
    <w:uiPriority w:val="9"/>
    <w:rPr>
      <w:rFonts w:asciiTheme="majorHAnsi" w:hAnsiTheme="majorHAnsi" w:eastAsiaTheme="majorEastAsia" w:cstheme="majorBidi"/>
      <w:b/>
      <w:bCs/>
      <w:kern w:val="2"/>
      <w:sz w:val="24"/>
      <w:szCs w:val="24"/>
    </w:rPr>
  </w:style>
  <w:style w:type="character" w:customStyle="1" w:styleId="260">
    <w:name w:val="标题 7 Char"/>
    <w:basedOn w:val="52"/>
    <w:qFormat/>
    <w:uiPriority w:val="9"/>
    <w:rPr>
      <w:b/>
      <w:bCs/>
      <w:kern w:val="2"/>
      <w:sz w:val="24"/>
      <w:szCs w:val="24"/>
    </w:rPr>
  </w:style>
  <w:style w:type="character" w:customStyle="1" w:styleId="261">
    <w:name w:val="标题 8 Char"/>
    <w:basedOn w:val="52"/>
    <w:qFormat/>
    <w:uiPriority w:val="9"/>
    <w:rPr>
      <w:rFonts w:asciiTheme="majorHAnsi" w:hAnsiTheme="majorHAnsi" w:eastAsiaTheme="majorEastAsia" w:cstheme="majorBidi"/>
      <w:kern w:val="2"/>
      <w:sz w:val="24"/>
      <w:szCs w:val="24"/>
    </w:rPr>
  </w:style>
  <w:style w:type="character" w:customStyle="1" w:styleId="262">
    <w:name w:val="标题 9 Char"/>
    <w:basedOn w:val="52"/>
    <w:qFormat/>
    <w:uiPriority w:val="0"/>
    <w:rPr>
      <w:rFonts w:asciiTheme="majorHAnsi" w:hAnsiTheme="majorHAnsi" w:eastAsiaTheme="majorEastAsia" w:cstheme="majorBidi"/>
      <w:kern w:val="2"/>
      <w:sz w:val="21"/>
      <w:szCs w:val="21"/>
    </w:rPr>
  </w:style>
  <w:style w:type="paragraph" w:customStyle="1" w:styleId="263">
    <w:name w:val="！表格内容"/>
    <w:basedOn w:val="1"/>
    <w:qFormat/>
    <w:uiPriority w:val="0"/>
    <w:pPr>
      <w:spacing w:line="320" w:lineRule="atLeast"/>
    </w:pPr>
  </w:style>
  <w:style w:type="character" w:customStyle="1" w:styleId="264">
    <w:name w:val="页眉 Char2"/>
    <w:basedOn w:val="52"/>
    <w:qFormat/>
    <w:uiPriority w:val="99"/>
    <w:rPr>
      <w:rFonts w:ascii="Times New Roman" w:hAnsi="Times New Roman" w:eastAsia="宋体" w:cs="Times New Roman"/>
      <w:sz w:val="18"/>
      <w:szCs w:val="18"/>
    </w:rPr>
  </w:style>
  <w:style w:type="character" w:customStyle="1" w:styleId="265">
    <w:name w:val="页脚 Char1"/>
    <w:basedOn w:val="52"/>
    <w:qFormat/>
    <w:uiPriority w:val="99"/>
    <w:rPr>
      <w:rFonts w:ascii="Times New Roman" w:hAnsi="Times New Roman" w:eastAsia="宋体" w:cs="Times New Roman"/>
      <w:sz w:val="18"/>
      <w:szCs w:val="18"/>
    </w:rPr>
  </w:style>
  <w:style w:type="paragraph" w:customStyle="1" w:styleId="266">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qFormat/>
    <w:uiPriority w:val="99"/>
    <w:rPr>
      <w:rFonts w:ascii="Times New Roman" w:hAnsi="Times New Roman" w:eastAsia="宋体" w:cs="Times New Roman"/>
      <w:szCs w:val="24"/>
    </w:rPr>
  </w:style>
  <w:style w:type="character" w:customStyle="1" w:styleId="268">
    <w:name w:val="文档结构图 Char1"/>
    <w:basedOn w:val="52"/>
    <w:qFormat/>
    <w:uiPriority w:val="0"/>
    <w:rPr>
      <w:rFonts w:ascii="宋体" w:hAnsi="Times New Roman" w:eastAsia="宋体" w:cs="Times New Roman"/>
      <w:sz w:val="18"/>
      <w:szCs w:val="18"/>
    </w:rPr>
  </w:style>
  <w:style w:type="character" w:customStyle="1" w:styleId="269">
    <w:name w:val="批注主题 Char1"/>
    <w:basedOn w:val="107"/>
    <w:qFormat/>
    <w:uiPriority w:val="0"/>
    <w:rPr>
      <w:rFonts w:ascii="Times New Roman" w:hAnsi="Times New Roman" w:eastAsia="宋体" w:cs="Times New Roman"/>
      <w:b/>
      <w:bCs/>
      <w:szCs w:val="24"/>
    </w:rPr>
  </w:style>
  <w:style w:type="character" w:customStyle="1" w:styleId="270">
    <w:name w:val="批注框文本 Char1"/>
    <w:basedOn w:val="52"/>
    <w:qFormat/>
    <w:uiPriority w:val="0"/>
    <w:rPr>
      <w:rFonts w:ascii="Times New Roman" w:hAnsi="Times New Roman" w:eastAsia="宋体" w:cs="Times New Roman"/>
      <w:sz w:val="18"/>
      <w:szCs w:val="18"/>
    </w:rPr>
  </w:style>
  <w:style w:type="character" w:customStyle="1" w:styleId="271">
    <w:name w:val="标题 1 Char1"/>
    <w:basedOn w:val="52"/>
    <w:qFormat/>
    <w:uiPriority w:val="0"/>
    <w:rPr>
      <w:b/>
      <w:bCs/>
      <w:kern w:val="44"/>
      <w:sz w:val="44"/>
      <w:szCs w:val="44"/>
    </w:rPr>
  </w:style>
  <w:style w:type="character" w:customStyle="1" w:styleId="272">
    <w:name w:val="标题 2 Char1"/>
    <w:basedOn w:val="52"/>
    <w:qFormat/>
    <w:uiPriority w:val="0"/>
    <w:rPr>
      <w:rFonts w:asciiTheme="majorHAnsi" w:hAnsiTheme="majorHAnsi" w:eastAsiaTheme="majorEastAsia" w:cstheme="majorBidi"/>
      <w:b/>
      <w:bCs/>
      <w:kern w:val="2"/>
      <w:sz w:val="32"/>
      <w:szCs w:val="32"/>
    </w:rPr>
  </w:style>
  <w:style w:type="character" w:customStyle="1" w:styleId="273">
    <w:name w:val="标题 3 Char1"/>
    <w:basedOn w:val="52"/>
    <w:qFormat/>
    <w:uiPriority w:val="99"/>
    <w:rPr>
      <w:rFonts w:ascii="宋体" w:hAnsi="Arial"/>
      <w:b/>
      <w:kern w:val="2"/>
      <w:sz w:val="28"/>
    </w:rPr>
  </w:style>
  <w:style w:type="character" w:customStyle="1" w:styleId="274">
    <w:name w:val="Char Char3"/>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qFormat/>
    <w:uiPriority w:val="0"/>
    <w:rPr>
      <w:rFonts w:eastAsia="Times New Roman"/>
      <w:sz w:val="24"/>
      <w:szCs w:val="24"/>
    </w:rPr>
  </w:style>
  <w:style w:type="paragraph" w:customStyle="1" w:styleId="276">
    <w:name w:val="正文－段落"/>
    <w:link w:val="275"/>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qFormat/>
    <w:uiPriority w:val="0"/>
    <w:rPr>
      <w:rFonts w:ascii="宋体" w:hAnsi="Courier New"/>
      <w:spacing w:val="-8"/>
      <w:kern w:val="2"/>
      <w:sz w:val="24"/>
    </w:rPr>
  </w:style>
  <w:style w:type="character" w:customStyle="1" w:styleId="278">
    <w:name w:val="日期 Char"/>
    <w:qFormat/>
    <w:uiPriority w:val="0"/>
    <w:rPr>
      <w:rFonts w:ascii="宋体" w:hAnsi="宋体"/>
      <w:sz w:val="24"/>
    </w:rPr>
  </w:style>
  <w:style w:type="character" w:customStyle="1" w:styleId="279">
    <w:name w:val="Char Char9"/>
    <w:qFormat/>
    <w:uiPriority w:val="0"/>
    <w:rPr>
      <w:rFonts w:hint="default" w:ascii="Calibri" w:hAnsi="Calibri" w:eastAsia="宋体"/>
      <w:sz w:val="18"/>
      <w:szCs w:val="18"/>
      <w:lang w:bidi="ar-SA"/>
    </w:rPr>
  </w:style>
  <w:style w:type="character" w:customStyle="1" w:styleId="280">
    <w:name w:val="Char Char17"/>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qFormat/>
    <w:uiPriority w:val="0"/>
    <w:rPr>
      <w:rFonts w:ascii="黑体" w:hAnsi="Courier New" w:eastAsia="黑体" w:cs="Courier New"/>
    </w:rPr>
  </w:style>
  <w:style w:type="character" w:customStyle="1" w:styleId="282">
    <w:name w:val="1.5倍行距 Char Char"/>
    <w:link w:val="283"/>
    <w:qFormat/>
    <w:uiPriority w:val="0"/>
    <w:rPr>
      <w:kern w:val="2"/>
      <w:sz w:val="21"/>
      <w:szCs w:val="24"/>
    </w:rPr>
  </w:style>
  <w:style w:type="paragraph" w:customStyle="1" w:styleId="283">
    <w:name w:val="1.5倍行距"/>
    <w:basedOn w:val="1"/>
    <w:link w:val="282"/>
    <w:qFormat/>
    <w:uiPriority w:val="0"/>
    <w:pPr>
      <w:spacing w:line="360" w:lineRule="auto"/>
      <w:ind w:firstLine="420"/>
    </w:pPr>
  </w:style>
  <w:style w:type="character" w:customStyle="1" w:styleId="284">
    <w:name w:val="H2 Char1"/>
    <w:qFormat/>
    <w:uiPriority w:val="0"/>
    <w:rPr>
      <w:rFonts w:ascii="Cambria" w:hAnsi="Cambria"/>
      <w:b/>
      <w:bCs/>
      <w:sz w:val="32"/>
      <w:szCs w:val="32"/>
    </w:rPr>
  </w:style>
  <w:style w:type="character" w:customStyle="1" w:styleId="285">
    <w:name w:val="Char Char4"/>
    <w:qFormat/>
    <w:uiPriority w:val="0"/>
    <w:rPr>
      <w:rFonts w:hint="default" w:ascii="Calibri" w:hAnsi="Calibri" w:eastAsia="宋体"/>
      <w:kern w:val="2"/>
      <w:sz w:val="21"/>
      <w:szCs w:val="22"/>
      <w:lang w:val="en-US" w:eastAsia="zh-CN" w:bidi="ar-SA"/>
    </w:rPr>
  </w:style>
  <w:style w:type="character" w:customStyle="1" w:styleId="286">
    <w:name w:val="正文文本缩进 2 Char"/>
    <w:qFormat/>
    <w:uiPriority w:val="0"/>
    <w:rPr>
      <w:kern w:val="2"/>
      <w:sz w:val="21"/>
    </w:rPr>
  </w:style>
  <w:style w:type="character" w:customStyle="1" w:styleId="287">
    <w:name w:val="签名 Char1"/>
    <w:link w:val="33"/>
    <w:qFormat/>
    <w:uiPriority w:val="0"/>
    <w:rPr>
      <w:rFonts w:eastAsia="楷体_GB2312"/>
      <w:kern w:val="2"/>
      <w:sz w:val="21"/>
    </w:rPr>
  </w:style>
  <w:style w:type="character" w:customStyle="1" w:styleId="288">
    <w:name w:val="标题2 Char"/>
    <w:link w:val="289"/>
    <w:qFormat/>
    <w:uiPriority w:val="0"/>
    <w:rPr>
      <w:rFonts w:ascii="仿宋" w:hAnsi="仿宋" w:eastAsia="仿宋"/>
      <w:b/>
      <w:bCs/>
      <w:color w:val="000000"/>
      <w:kern w:val="2"/>
      <w:sz w:val="24"/>
      <w:szCs w:val="24"/>
    </w:rPr>
  </w:style>
  <w:style w:type="paragraph" w:customStyle="1" w:styleId="289">
    <w:name w:val="标题2"/>
    <w:basedOn w:val="290"/>
    <w:link w:val="288"/>
    <w:qFormat/>
    <w:uiPriority w:val="0"/>
    <w:pPr>
      <w:tabs>
        <w:tab w:val="left" w:pos="425"/>
        <w:tab w:val="left" w:pos="709"/>
        <w:tab w:val="left" w:pos="851"/>
        <w:tab w:val="left" w:pos="1419"/>
      </w:tabs>
    </w:pPr>
    <w:rPr>
      <w:szCs w:val="24"/>
    </w:rPr>
  </w:style>
  <w:style w:type="paragraph" w:customStyle="1" w:styleId="290">
    <w:name w:val="三级"/>
    <w:basedOn w:val="4"/>
    <w:link w:val="291"/>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qFormat/>
    <w:uiPriority w:val="0"/>
    <w:rPr>
      <w:rFonts w:ascii="仿宋" w:hAnsi="仿宋" w:eastAsia="仿宋"/>
      <w:b/>
      <w:bCs/>
      <w:color w:val="000000"/>
      <w:kern w:val="2"/>
      <w:sz w:val="32"/>
      <w:szCs w:val="32"/>
    </w:rPr>
  </w:style>
  <w:style w:type="character" w:customStyle="1" w:styleId="292">
    <w:name w:val="正文首行缩进 2 Char"/>
    <w:link w:val="49"/>
    <w:qFormat/>
    <w:uiPriority w:val="0"/>
    <w:rPr>
      <w:sz w:val="24"/>
      <w:szCs w:val="24"/>
    </w:rPr>
  </w:style>
  <w:style w:type="character" w:customStyle="1" w:styleId="293">
    <w:name w:val="正文首行缩进 Char Char Char1"/>
    <w:qFormat/>
    <w:uiPriority w:val="0"/>
    <w:rPr>
      <w:rFonts w:ascii="Times New Roman" w:hAnsi="Times New Roman"/>
      <w:kern w:val="2"/>
      <w:sz w:val="24"/>
      <w:szCs w:val="24"/>
    </w:rPr>
  </w:style>
  <w:style w:type="character" w:customStyle="1" w:styleId="294">
    <w:name w:val="标题 Char1"/>
    <w:qFormat/>
    <w:uiPriority w:val="0"/>
    <w:rPr>
      <w:rFonts w:ascii="Arial" w:hAnsi="Arial"/>
      <w:b/>
      <w:kern w:val="2"/>
      <w:sz w:val="36"/>
      <w:szCs w:val="24"/>
    </w:rPr>
  </w:style>
  <w:style w:type="character" w:customStyle="1" w:styleId="295">
    <w:name w:val="正文文本 字符"/>
    <w:qFormat/>
    <w:uiPriority w:val="0"/>
    <w:rPr>
      <w:rFonts w:eastAsia="宋体"/>
      <w:kern w:val="2"/>
      <w:sz w:val="21"/>
      <w:szCs w:val="24"/>
      <w:lang w:bidi="ar-SA"/>
    </w:rPr>
  </w:style>
  <w:style w:type="character" w:customStyle="1" w:styleId="296">
    <w:name w:val="正文文本缩进 Char"/>
    <w:qFormat/>
    <w:uiPriority w:val="0"/>
    <w:rPr>
      <w:kern w:val="2"/>
      <w:sz w:val="24"/>
    </w:rPr>
  </w:style>
  <w:style w:type="character" w:customStyle="1" w:styleId="297">
    <w:name w:val="题注 Char1"/>
    <w:link w:val="15"/>
    <w:qFormat/>
    <w:uiPriority w:val="0"/>
    <w:rPr>
      <w:rFonts w:ascii="Cambria" w:hAnsi="Cambria" w:eastAsia="黑体"/>
      <w:kern w:val="2"/>
      <w:sz w:val="21"/>
      <w:szCs w:val="24"/>
    </w:rPr>
  </w:style>
  <w:style w:type="character" w:customStyle="1" w:styleId="298">
    <w:name w:val="bt Char1"/>
    <w:qFormat/>
    <w:uiPriority w:val="0"/>
    <w:rPr>
      <w:rFonts w:ascii="Times New Roman" w:hAnsi="Times New Roman"/>
      <w:kern w:val="2"/>
      <w:sz w:val="24"/>
      <w:szCs w:val="24"/>
    </w:rPr>
  </w:style>
  <w:style w:type="character" w:customStyle="1" w:styleId="299">
    <w:name w:val="Char Char18"/>
    <w:qFormat/>
    <w:uiPriority w:val="0"/>
    <w:rPr>
      <w:rFonts w:hint="default" w:ascii="Cambria" w:hAnsi="Cambria" w:eastAsia="宋体"/>
      <w:b/>
      <w:bCs/>
      <w:sz w:val="32"/>
      <w:szCs w:val="32"/>
      <w:lang w:bidi="ar-SA"/>
    </w:rPr>
  </w:style>
  <w:style w:type="character" w:customStyle="1" w:styleId="300">
    <w:name w:val="四级 Char"/>
    <w:link w:val="301"/>
    <w:qFormat/>
    <w:uiPriority w:val="0"/>
    <w:rPr>
      <w:rFonts w:ascii="仿宋" w:hAnsi="仿宋" w:eastAsia="仿宋"/>
      <w:bCs/>
      <w:kern w:val="2"/>
      <w:sz w:val="32"/>
      <w:szCs w:val="32"/>
    </w:rPr>
  </w:style>
  <w:style w:type="paragraph" w:customStyle="1" w:styleId="301">
    <w:name w:val="四级"/>
    <w:basedOn w:val="5"/>
    <w:link w:val="300"/>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qFormat/>
    <w:uiPriority w:val="0"/>
    <w:rPr>
      <w:sz w:val="21"/>
      <w:szCs w:val="21"/>
    </w:rPr>
  </w:style>
  <w:style w:type="character" w:customStyle="1" w:styleId="304">
    <w:name w:val="正文文本缩进 3 Char"/>
    <w:qFormat/>
    <w:uiPriority w:val="0"/>
    <w:rPr>
      <w:kern w:val="2"/>
      <w:sz w:val="21"/>
    </w:rPr>
  </w:style>
  <w:style w:type="character" w:customStyle="1" w:styleId="305">
    <w:name w:val="Char Char13"/>
    <w:qFormat/>
    <w:uiPriority w:val="0"/>
    <w:rPr>
      <w:rFonts w:ascii="Cambria" w:hAnsi="Cambria" w:eastAsia="宋体"/>
      <w:sz w:val="24"/>
      <w:szCs w:val="24"/>
      <w:lang w:bidi="ar-SA"/>
    </w:rPr>
  </w:style>
  <w:style w:type="character" w:customStyle="1" w:styleId="306">
    <w:name w:val="正文文本 2 Char1"/>
    <w:link w:val="43"/>
    <w:qFormat/>
    <w:uiPriority w:val="0"/>
    <w:rPr>
      <w:kern w:val="2"/>
      <w:sz w:val="28"/>
    </w:rPr>
  </w:style>
  <w:style w:type="character" w:customStyle="1" w:styleId="307">
    <w:name w:val="Char Char5"/>
    <w:qFormat/>
    <w:uiPriority w:val="0"/>
    <w:rPr>
      <w:rFonts w:ascii="宋体" w:hAnsi="宋体" w:eastAsia="宋体"/>
      <w:b/>
      <w:bCs/>
      <w:szCs w:val="24"/>
      <w:lang w:bidi="ar-SA"/>
    </w:rPr>
  </w:style>
  <w:style w:type="character" w:customStyle="1" w:styleId="308">
    <w:name w:val="正文文本 2 Char"/>
    <w:qFormat/>
    <w:uiPriority w:val="0"/>
    <w:rPr>
      <w:kern w:val="2"/>
      <w:sz w:val="28"/>
    </w:rPr>
  </w:style>
  <w:style w:type="character" w:customStyle="1" w:styleId="309">
    <w:name w:val="Char Char6"/>
    <w:qFormat/>
    <w:uiPriority w:val="0"/>
    <w:rPr>
      <w:rFonts w:ascii="宋体" w:hAnsi="宋体" w:eastAsia="宋体"/>
      <w:szCs w:val="24"/>
      <w:lang w:bidi="ar-SA"/>
    </w:rPr>
  </w:style>
  <w:style w:type="character" w:customStyle="1" w:styleId="310">
    <w:name w:val="Char Char15"/>
    <w:qFormat/>
    <w:uiPriority w:val="0"/>
    <w:rPr>
      <w:rFonts w:hint="default" w:ascii="Cambria" w:hAnsi="Cambria" w:eastAsia="宋体"/>
      <w:b/>
      <w:bCs/>
      <w:sz w:val="24"/>
      <w:szCs w:val="24"/>
      <w:lang w:bidi="ar-SA"/>
    </w:rPr>
  </w:style>
  <w:style w:type="character" w:customStyle="1" w:styleId="311">
    <w:name w:val="H4 Char"/>
    <w:qFormat/>
    <w:uiPriority w:val="0"/>
    <w:rPr>
      <w:rFonts w:ascii="Cambria" w:hAnsi="Cambria" w:eastAsia="仿宋_GB2312"/>
      <w:b/>
      <w:bCs/>
      <w:sz w:val="32"/>
      <w:szCs w:val="28"/>
    </w:rPr>
  </w:style>
  <w:style w:type="character" w:customStyle="1" w:styleId="312">
    <w:name w:val="Char Char20"/>
    <w:qFormat/>
    <w:uiPriority w:val="0"/>
    <w:rPr>
      <w:rFonts w:eastAsia="宋体"/>
      <w:b/>
      <w:kern w:val="2"/>
      <w:sz w:val="28"/>
      <w:lang w:bidi="ar-SA"/>
    </w:rPr>
  </w:style>
  <w:style w:type="character" w:customStyle="1" w:styleId="313">
    <w:name w:val="正文文本缩进 3 Char1"/>
    <w:link w:val="40"/>
    <w:qFormat/>
    <w:uiPriority w:val="0"/>
    <w:rPr>
      <w:kern w:val="2"/>
      <w:sz w:val="21"/>
    </w:rPr>
  </w:style>
  <w:style w:type="character" w:customStyle="1" w:styleId="314">
    <w:name w:val="Char Char16"/>
    <w:qFormat/>
    <w:uiPriority w:val="0"/>
    <w:rPr>
      <w:rFonts w:hint="eastAsia" w:ascii="仿宋_GB2313" w:hAnsi="仿宋_GB2313" w:eastAsia="仿宋_GB2312"/>
      <w:b/>
      <w:bCs/>
      <w:sz w:val="32"/>
      <w:szCs w:val="28"/>
      <w:lang w:bidi="ar-SA"/>
    </w:rPr>
  </w:style>
  <w:style w:type="character" w:customStyle="1" w:styleId="315">
    <w:name w:val="Char Char7"/>
    <w:qFormat/>
    <w:uiPriority w:val="0"/>
    <w:rPr>
      <w:rFonts w:ascii="宋体" w:hAnsi="宋体" w:eastAsia="宋体"/>
      <w:sz w:val="24"/>
      <w:szCs w:val="24"/>
      <w:lang w:bidi="ar-SA"/>
    </w:rPr>
  </w:style>
  <w:style w:type="character" w:customStyle="1" w:styleId="316">
    <w:name w:val="日期 Char1"/>
    <w:link w:val="28"/>
    <w:qFormat/>
    <w:uiPriority w:val="0"/>
    <w:rPr>
      <w:rFonts w:ascii="宋体" w:hAnsi="宋体"/>
      <w:kern w:val="2"/>
      <w:sz w:val="24"/>
      <w:szCs w:val="24"/>
    </w:rPr>
  </w:style>
  <w:style w:type="character" w:customStyle="1" w:styleId="317">
    <w:name w:val="Char Char12"/>
    <w:qFormat/>
    <w:uiPriority w:val="0"/>
    <w:rPr>
      <w:rFonts w:hint="default" w:ascii="Cambria" w:hAnsi="Cambria" w:eastAsia="宋体"/>
      <w:szCs w:val="21"/>
      <w:lang w:bidi="ar-SA"/>
    </w:rPr>
  </w:style>
  <w:style w:type="character" w:customStyle="1" w:styleId="318">
    <w:name w:val="标题 4 Char"/>
    <w:qFormat/>
    <w:uiPriority w:val="0"/>
    <w:rPr>
      <w:rFonts w:ascii="Arial" w:hAnsi="Arial" w:eastAsia="黑体"/>
      <w:b/>
      <w:kern w:val="2"/>
      <w:sz w:val="24"/>
    </w:rPr>
  </w:style>
  <w:style w:type="character" w:customStyle="1" w:styleId="319">
    <w:name w:val="Char Char2"/>
    <w:qFormat/>
    <w:uiPriority w:val="0"/>
    <w:rPr>
      <w:rFonts w:ascii="宋体" w:hAnsi="宋体" w:eastAsia="宋体"/>
      <w:kern w:val="2"/>
      <w:sz w:val="24"/>
      <w:szCs w:val="24"/>
      <w:lang w:val="en-US" w:eastAsia="zh-CN" w:bidi="ar-SA"/>
    </w:rPr>
  </w:style>
  <w:style w:type="character" w:customStyle="1" w:styleId="320">
    <w:name w:val="*正文 Char"/>
    <w:link w:val="321"/>
    <w:qFormat/>
    <w:uiPriority w:val="0"/>
    <w:rPr>
      <w:rFonts w:ascii="宋体" w:hAnsi="宋体"/>
      <w:sz w:val="24"/>
      <w:szCs w:val="24"/>
    </w:rPr>
  </w:style>
  <w:style w:type="paragraph" w:customStyle="1" w:styleId="321">
    <w:name w:val="*正文"/>
    <w:basedOn w:val="1"/>
    <w:link w:val="320"/>
    <w:qFormat/>
    <w:uiPriority w:val="0"/>
    <w:pPr>
      <w:spacing w:line="360" w:lineRule="auto"/>
      <w:ind w:firstLine="200" w:firstLineChars="200"/>
    </w:pPr>
    <w:rPr>
      <w:rFonts w:ascii="宋体" w:hAnsi="宋体"/>
      <w:kern w:val="0"/>
      <w:sz w:val="24"/>
    </w:rPr>
  </w:style>
  <w:style w:type="character" w:customStyle="1" w:styleId="322">
    <w:name w:val="页脚 字符1"/>
    <w:qFormat/>
    <w:uiPriority w:val="0"/>
    <w:rPr>
      <w:rFonts w:eastAsia="宋体"/>
      <w:kern w:val="2"/>
      <w:sz w:val="18"/>
      <w:lang w:bidi="ar-SA"/>
    </w:rPr>
  </w:style>
  <w:style w:type="character" w:customStyle="1" w:styleId="323">
    <w:name w:val="GP正文[858D7CFB-ED40-4347-BF05-701D383B685F]"/>
    <w:link w:val="324"/>
    <w:qFormat/>
    <w:uiPriority w:val="0"/>
    <w:rPr>
      <w:rFonts w:ascii="宋体" w:hAnsi="宋体"/>
      <w:kern w:val="2"/>
      <w:sz w:val="24"/>
      <w:szCs w:val="24"/>
    </w:rPr>
  </w:style>
  <w:style w:type="paragraph" w:customStyle="1" w:styleId="324">
    <w:name w:val="GP正文"/>
    <w:basedOn w:val="1"/>
    <w:link w:val="323"/>
    <w:qFormat/>
    <w:uiPriority w:val="0"/>
    <w:pPr>
      <w:spacing w:line="360" w:lineRule="auto"/>
      <w:ind w:firstLine="200" w:firstLineChars="200"/>
      <w:jc w:val="left"/>
    </w:pPr>
    <w:rPr>
      <w:rFonts w:ascii="宋体" w:hAnsi="宋体"/>
      <w:sz w:val="24"/>
    </w:rPr>
  </w:style>
  <w:style w:type="character" w:customStyle="1" w:styleId="325">
    <w:name w:val="Char Char14"/>
    <w:qFormat/>
    <w:uiPriority w:val="0"/>
    <w:rPr>
      <w:rFonts w:ascii="Calibri" w:hAnsi="Calibri" w:eastAsia="宋体"/>
      <w:b/>
      <w:bCs/>
      <w:sz w:val="24"/>
      <w:szCs w:val="24"/>
      <w:lang w:bidi="ar-SA"/>
    </w:rPr>
  </w:style>
  <w:style w:type="character" w:customStyle="1" w:styleId="326">
    <w:name w:val="Char Char19"/>
    <w:qFormat/>
    <w:uiPriority w:val="0"/>
    <w:rPr>
      <w:rFonts w:ascii="Arial" w:hAnsi="Arial" w:eastAsia="黑体"/>
      <w:b/>
      <w:kern w:val="2"/>
      <w:sz w:val="24"/>
      <w:lang w:bidi="ar-SA"/>
    </w:rPr>
  </w:style>
  <w:style w:type="character" w:customStyle="1" w:styleId="327">
    <w:name w:val="正文文本 Char1"/>
    <w:qFormat/>
    <w:uiPriority w:val="0"/>
    <w:rPr>
      <w:kern w:val="2"/>
      <w:sz w:val="21"/>
      <w:szCs w:val="24"/>
    </w:rPr>
  </w:style>
  <w:style w:type="character" w:customStyle="1" w:styleId="328">
    <w:name w:val="二级 Char"/>
    <w:link w:val="329"/>
    <w:qFormat/>
    <w:uiPriority w:val="0"/>
    <w:rPr>
      <w:rFonts w:ascii="仿宋" w:hAnsi="仿宋" w:eastAsia="仿宋"/>
      <w:b/>
      <w:bCs/>
      <w:spacing w:val="24"/>
      <w:kern w:val="2"/>
      <w:sz w:val="32"/>
      <w:szCs w:val="32"/>
    </w:rPr>
  </w:style>
  <w:style w:type="paragraph" w:customStyle="1" w:styleId="329">
    <w:name w:val="二级"/>
    <w:basedOn w:val="2"/>
    <w:link w:val="328"/>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qFormat/>
    <w:uiPriority w:val="0"/>
    <w:rPr>
      <w:rFonts w:eastAsia="楷体_GB2312"/>
      <w:kern w:val="2"/>
      <w:sz w:val="21"/>
    </w:rPr>
  </w:style>
  <w:style w:type="character" w:customStyle="1" w:styleId="331">
    <w:name w:val="Char Char"/>
    <w:qFormat/>
    <w:uiPriority w:val="0"/>
    <w:rPr>
      <w:rFonts w:hint="eastAsia" w:ascii="宋体" w:hAnsi="Courier New" w:eastAsia="宋体"/>
      <w:spacing w:val="-8"/>
      <w:kern w:val="2"/>
      <w:sz w:val="24"/>
      <w:lang w:val="en-US" w:eastAsia="zh-CN" w:bidi="ar-SA"/>
    </w:rPr>
  </w:style>
  <w:style w:type="character" w:customStyle="1" w:styleId="332">
    <w:name w:val="Char Char11"/>
    <w:qFormat/>
    <w:uiPriority w:val="0"/>
    <w:rPr>
      <w:rFonts w:hint="default" w:ascii="Calibri" w:hAnsi="Calibri" w:eastAsia="宋体"/>
      <w:sz w:val="18"/>
      <w:szCs w:val="18"/>
      <w:lang w:bidi="ar-SA"/>
    </w:rPr>
  </w:style>
  <w:style w:type="character" w:customStyle="1" w:styleId="333">
    <w:name w:val="页眉 字符1"/>
    <w:qFormat/>
    <w:uiPriority w:val="0"/>
    <w:rPr>
      <w:rFonts w:eastAsia="宋体"/>
      <w:kern w:val="2"/>
      <w:sz w:val="18"/>
      <w:szCs w:val="18"/>
      <w:lang w:bidi="ar-SA"/>
    </w:rPr>
  </w:style>
  <w:style w:type="character" w:customStyle="1" w:styleId="334">
    <w:name w:val="正文首行缩进 Char1"/>
    <w:qFormat/>
    <w:uiPriority w:val="0"/>
    <w:rPr>
      <w:kern w:val="2"/>
      <w:sz w:val="21"/>
    </w:rPr>
  </w:style>
  <w:style w:type="character" w:customStyle="1" w:styleId="335">
    <w:name w:val="页眉 Char1"/>
    <w:qFormat/>
    <w:uiPriority w:val="0"/>
    <w:rPr>
      <w:rFonts w:eastAsia="宋体"/>
      <w:kern w:val="2"/>
      <w:sz w:val="18"/>
      <w:szCs w:val="18"/>
      <w:lang w:val="en-US" w:eastAsia="zh-CN" w:bidi="ar-SA"/>
    </w:rPr>
  </w:style>
  <w:style w:type="character" w:customStyle="1" w:styleId="336">
    <w:name w:val="题注 Char"/>
    <w:qFormat/>
    <w:uiPriority w:val="0"/>
    <w:rPr>
      <w:rFonts w:ascii="Cambria" w:hAnsi="Cambria" w:eastAsia="黑体"/>
      <w:kern w:val="2"/>
      <w:lang w:bidi="ar-SA"/>
    </w:rPr>
  </w:style>
  <w:style w:type="character" w:customStyle="1" w:styleId="337">
    <w:name w:val="样式 标题 3 + 小四 Char"/>
    <w:qFormat/>
    <w:uiPriority w:val="0"/>
    <w:rPr>
      <w:rFonts w:ascii="宋体" w:hAnsi="宋体" w:cs="Arial"/>
      <w:b/>
      <w:bCs/>
      <w:smallCaps/>
      <w:sz w:val="24"/>
      <w:lang w:val="en-US" w:eastAsia="zh-CN"/>
    </w:rPr>
  </w:style>
  <w:style w:type="character" w:customStyle="1" w:styleId="338">
    <w:name w:val="unnamed21"/>
    <w:qFormat/>
    <w:uiPriority w:val="0"/>
    <w:rPr>
      <w:color w:val="CC6633"/>
      <w:u w:val="none"/>
    </w:rPr>
  </w:style>
  <w:style w:type="character" w:customStyle="1" w:styleId="339">
    <w:name w:val="16"/>
    <w:qFormat/>
    <w:uiPriority w:val="0"/>
    <w:rPr>
      <w:rFonts w:hint="eastAsia" w:ascii="宋体" w:hAnsi="宋体" w:eastAsia="宋体" w:cs="Arial"/>
      <w:b/>
      <w:bCs/>
      <w:smallCaps/>
      <w:kern w:val="2"/>
      <w:sz w:val="24"/>
      <w:szCs w:val="24"/>
    </w:rPr>
  </w:style>
  <w:style w:type="character" w:customStyle="1" w:styleId="340">
    <w:name w:val="正文文本缩进 字符"/>
    <w:qFormat/>
    <w:uiPriority w:val="0"/>
    <w:rPr>
      <w:rFonts w:eastAsia="宋体"/>
      <w:kern w:val="2"/>
      <w:sz w:val="24"/>
      <w:lang w:bidi="ar-SA"/>
    </w:rPr>
  </w:style>
  <w:style w:type="character" w:customStyle="1" w:styleId="341">
    <w:name w:val="Char Char8"/>
    <w:qFormat/>
    <w:uiPriority w:val="0"/>
    <w:rPr>
      <w:rFonts w:hint="default" w:ascii="Calibri" w:hAnsi="Calibri" w:eastAsia="宋体"/>
      <w:kern w:val="2"/>
      <w:sz w:val="21"/>
      <w:szCs w:val="22"/>
      <w:lang w:val="en-US" w:eastAsia="zh-CN" w:bidi="ar-SA"/>
    </w:rPr>
  </w:style>
  <w:style w:type="character" w:customStyle="1" w:styleId="342">
    <w:name w:val="H3 Char1"/>
    <w:qFormat/>
    <w:uiPriority w:val="0"/>
    <w:rPr>
      <w:rFonts w:ascii="仿宋_GB2312" w:eastAsia="仿宋_GB2312"/>
      <w:b/>
      <w:bCs/>
      <w:color w:val="000000"/>
      <w:kern w:val="2"/>
      <w:sz w:val="32"/>
      <w:szCs w:val="32"/>
    </w:rPr>
  </w:style>
  <w:style w:type="character" w:customStyle="1" w:styleId="343">
    <w:name w:val="Char Char1"/>
    <w:qFormat/>
    <w:uiPriority w:val="0"/>
    <w:rPr>
      <w:rFonts w:hint="eastAsia" w:ascii="宋体" w:hAnsi="宋体" w:eastAsia="宋体"/>
      <w:kern w:val="2"/>
      <w:sz w:val="21"/>
      <w:szCs w:val="24"/>
      <w:lang w:val="en-US" w:eastAsia="zh-CN" w:bidi="ar-SA"/>
    </w:rPr>
  </w:style>
  <w:style w:type="character" w:customStyle="1" w:styleId="344">
    <w:name w:val="Char Char10"/>
    <w:qFormat/>
    <w:uiPriority w:val="0"/>
    <w:rPr>
      <w:rFonts w:eastAsia="宋体"/>
      <w:kern w:val="2"/>
      <w:sz w:val="18"/>
      <w:szCs w:val="18"/>
      <w:lang w:val="en-US" w:eastAsia="zh-CN" w:bidi="ar-SA"/>
    </w:rPr>
  </w:style>
  <w:style w:type="character" w:customStyle="1" w:styleId="345">
    <w:name w:val="文档正文 Char"/>
    <w:link w:val="346"/>
    <w:qFormat/>
    <w:uiPriority w:val="0"/>
    <w:rPr>
      <w:rFonts w:ascii="Arial" w:hAnsi="Arial" w:cs="Arial"/>
      <w:bCs/>
      <w:kern w:val="2"/>
      <w:sz w:val="24"/>
      <w:szCs w:val="24"/>
    </w:rPr>
  </w:style>
  <w:style w:type="paragraph" w:customStyle="1" w:styleId="346">
    <w:name w:val="文档正文"/>
    <w:basedOn w:val="1"/>
    <w:link w:val="345"/>
    <w:qFormat/>
    <w:uiPriority w:val="0"/>
    <w:rPr>
      <w:rFonts w:ascii="Arial" w:hAnsi="Arial" w:cs="Arial"/>
      <w:bCs/>
      <w:sz w:val="24"/>
    </w:rPr>
  </w:style>
  <w:style w:type="character" w:customStyle="1" w:styleId="347">
    <w:name w:val="正文文本 2 Char2"/>
    <w:basedOn w:val="52"/>
    <w:semiHidden/>
    <w:qFormat/>
    <w:uiPriority w:val="0"/>
    <w:rPr>
      <w:kern w:val="2"/>
      <w:sz w:val="21"/>
      <w:szCs w:val="24"/>
    </w:rPr>
  </w:style>
  <w:style w:type="character" w:customStyle="1" w:styleId="348">
    <w:name w:val="标题 字符1"/>
    <w:basedOn w:val="52"/>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qFormat/>
    <w:uiPriority w:val="0"/>
    <w:rPr>
      <w:kern w:val="2"/>
      <w:sz w:val="21"/>
      <w:szCs w:val="24"/>
    </w:rPr>
  </w:style>
  <w:style w:type="character" w:customStyle="1" w:styleId="350">
    <w:name w:val="签名 Char2"/>
    <w:basedOn w:val="52"/>
    <w:semiHidden/>
    <w:qFormat/>
    <w:uiPriority w:val="0"/>
    <w:rPr>
      <w:kern w:val="2"/>
      <w:sz w:val="21"/>
      <w:szCs w:val="24"/>
    </w:rPr>
  </w:style>
  <w:style w:type="character" w:customStyle="1" w:styleId="351">
    <w:name w:val="正文文本缩进 3 Char2"/>
    <w:basedOn w:val="52"/>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qFormat/>
    <w:uiPriority w:val="0"/>
    <w:pPr>
      <w:widowControl/>
      <w:jc w:val="center"/>
    </w:pPr>
    <w:rPr>
      <w:rFonts w:ascii="Arial" w:hAnsi="Arial"/>
      <w:b/>
      <w:kern w:val="0"/>
      <w:sz w:val="18"/>
      <w:szCs w:val="20"/>
    </w:rPr>
  </w:style>
  <w:style w:type="paragraph" w:customStyle="1" w:styleId="359">
    <w:name w:val="4"/>
    <w:basedOn w:val="1"/>
    <w:next w:val="1"/>
    <w:qFormat/>
    <w:uiPriority w:val="0"/>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qFormat/>
    <w:uiPriority w:val="0"/>
    <w:pPr>
      <w:spacing w:line="360" w:lineRule="auto"/>
      <w:ind w:firstLine="200" w:firstLineChars="200"/>
    </w:pPr>
    <w:rPr>
      <w:szCs w:val="20"/>
    </w:rPr>
  </w:style>
  <w:style w:type="paragraph" w:customStyle="1" w:styleId="362">
    <w:name w:val="样式 标题 5H5dashdsddh5PIM 5口一heading 5Titre5Table label...3"/>
    <w:basedOn w:val="6"/>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qFormat/>
    <w:uiPriority w:val="0"/>
    <w:pPr>
      <w:tabs>
        <w:tab w:val="right" w:leader="dot" w:pos="9458"/>
      </w:tabs>
    </w:pPr>
    <w:rPr>
      <w:rFonts w:ascii="Arial" w:cs="Arial"/>
      <w:i/>
    </w:rPr>
  </w:style>
  <w:style w:type="paragraph" w:customStyle="1" w:styleId="36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qFormat/>
    <w:uiPriority w:val="0"/>
    <w:pPr>
      <w:keepLines/>
      <w:widowControl/>
      <w:spacing w:beforeLines="50" w:afterLines="50" w:line="300" w:lineRule="auto"/>
    </w:pPr>
    <w:rPr>
      <w:rFonts w:ascii="Arial" w:hAnsi="Arial"/>
      <w:bCs/>
    </w:rPr>
  </w:style>
  <w:style w:type="paragraph" w:customStyle="1" w:styleId="367">
    <w:name w:val="样式5"/>
    <w:basedOn w:val="368"/>
    <w:next w:val="368"/>
    <w:qFormat/>
    <w:uiPriority w:val="0"/>
    <w:pPr>
      <w:tabs>
        <w:tab w:val="right" w:leader="dot" w:pos="9458"/>
      </w:tabs>
    </w:pPr>
  </w:style>
  <w:style w:type="paragraph" w:customStyle="1" w:styleId="368">
    <w:name w:val="样式4"/>
    <w:basedOn w:val="34"/>
    <w:qFormat/>
    <w:uiPriority w:val="0"/>
    <w:pPr>
      <w:tabs>
        <w:tab w:val="right" w:leader="dot" w:pos="9458"/>
      </w:tabs>
    </w:pPr>
    <w:rPr>
      <w:b w:val="0"/>
    </w:rPr>
  </w:style>
  <w:style w:type="paragraph" w:customStyle="1" w:styleId="369">
    <w:name w:val="TOC 标题1"/>
    <w:basedOn w:val="3"/>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qFormat/>
    <w:uiPriority w:val="0"/>
    <w:pPr>
      <w:widowControl/>
      <w:jc w:val="center"/>
    </w:pPr>
    <w:rPr>
      <w:rFonts w:ascii="Arial" w:hAnsi="Arial"/>
      <w:snapToGrid w:val="0"/>
      <w:kern w:val="0"/>
      <w:sz w:val="18"/>
      <w:szCs w:val="20"/>
    </w:rPr>
  </w:style>
  <w:style w:type="paragraph" w:customStyle="1" w:styleId="3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qFormat/>
    <w:uiPriority w:val="0"/>
    <w:pPr>
      <w:ind w:firstLine="567"/>
    </w:pPr>
    <w:rPr>
      <w:spacing w:val="20"/>
      <w:sz w:val="24"/>
      <w:szCs w:val="20"/>
    </w:rPr>
  </w:style>
  <w:style w:type="paragraph" w:customStyle="1" w:styleId="385">
    <w:name w:val="_正文"/>
    <w:basedOn w:val="1"/>
    <w:qFormat/>
    <w:uiPriority w:val="99"/>
    <w:pPr>
      <w:spacing w:line="360" w:lineRule="auto"/>
      <w:ind w:firstLine="200" w:firstLineChars="200"/>
    </w:pPr>
    <w:rPr>
      <w:rFonts w:ascii="宋体" w:hAnsi="宋体"/>
      <w:sz w:val="24"/>
    </w:rPr>
  </w:style>
  <w:style w:type="paragraph" w:customStyle="1" w:styleId="386">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qFormat/>
    <w:uiPriority w:val="0"/>
    <w:pPr>
      <w:ind w:firstLine="420" w:firstLineChars="200"/>
    </w:pPr>
    <w:rPr>
      <w:rFonts w:ascii="仿宋_GB2312" w:eastAsia="仿宋_GB2312" w:cs="宋体"/>
      <w:spacing w:val="6"/>
      <w:sz w:val="30"/>
      <w:szCs w:val="30"/>
    </w:rPr>
  </w:style>
  <w:style w:type="paragraph" w:customStyle="1" w:styleId="388">
    <w:name w:val="_Style 15"/>
    <w:basedOn w:val="1"/>
    <w:qFormat/>
    <w:uiPriority w:val="0"/>
  </w:style>
  <w:style w:type="paragraph" w:customStyle="1" w:styleId="38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5"/>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qFormat/>
    <w:uiPriority w:val="0"/>
    <w:pPr>
      <w:ind w:left="572" w:right="32" w:firstLine="478"/>
    </w:pPr>
    <w:rPr>
      <w:szCs w:val="21"/>
    </w:rPr>
  </w:style>
  <w:style w:type="paragraph" w:customStyle="1" w:styleId="397">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qFormat/>
    <w:uiPriority w:val="0"/>
    <w:pPr>
      <w:spacing w:line="360" w:lineRule="auto"/>
      <w:ind w:hanging="420"/>
      <w:jc w:val="center"/>
    </w:pPr>
    <w:rPr>
      <w:sz w:val="24"/>
      <w:szCs w:val="20"/>
    </w:rPr>
  </w:style>
  <w:style w:type="paragraph" w:customStyle="1" w:styleId="40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qFormat/>
    <w:uiPriority w:val="0"/>
  </w:style>
  <w:style w:type="paragraph" w:customStyle="1" w:styleId="4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qFormat/>
    <w:uiPriority w:val="0"/>
  </w:style>
  <w:style w:type="paragraph" w:customStyle="1" w:styleId="4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qFormat/>
    <w:uiPriority w:val="0"/>
    <w:pPr>
      <w:tabs>
        <w:tab w:val="right" w:leader="dot" w:pos="9458"/>
      </w:tabs>
    </w:pPr>
    <w:rPr>
      <w:i/>
    </w:rPr>
  </w:style>
  <w:style w:type="paragraph" w:customStyle="1" w:styleId="407">
    <w:name w:val="msolistparagraph"/>
    <w:basedOn w:val="1"/>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qFormat/>
    <w:uiPriority w:val="0"/>
    <w:rPr>
      <w:rFonts w:ascii="Arial" w:hAnsi="Arial"/>
      <w:spacing w:val="-12"/>
      <w:szCs w:val="20"/>
    </w:rPr>
  </w:style>
  <w:style w:type="paragraph" w:customStyle="1" w:styleId="4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qFormat/>
    <w:uiPriority w:val="0"/>
    <w:rPr>
      <w:rFonts w:ascii="Times New Roman" w:hAnsi="Times New Roman" w:eastAsia="宋体" w:cs="Times New Roman"/>
      <w:lang w:val="en-US" w:eastAsia="zh-CN" w:bidi="ar-SA"/>
    </w:rPr>
  </w:style>
  <w:style w:type="paragraph" w:customStyle="1" w:styleId="41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qFormat/>
    <w:uiPriority w:val="0"/>
  </w:style>
  <w:style w:type="paragraph" w:customStyle="1" w:styleId="41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qFormat/>
    <w:uiPriority w:val="0"/>
    <w:pPr>
      <w:spacing w:before="120" w:after="120"/>
    </w:pPr>
    <w:rPr>
      <w:rFonts w:ascii="宋体"/>
      <w:b/>
      <w:sz w:val="28"/>
    </w:rPr>
  </w:style>
  <w:style w:type="paragraph" w:customStyle="1" w:styleId="42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qFormat/>
    <w:uiPriority w:val="34"/>
    <w:rPr>
      <w:kern w:val="2"/>
      <w:sz w:val="21"/>
      <w:szCs w:val="24"/>
    </w:rPr>
  </w:style>
  <w:style w:type="paragraph" w:styleId="455">
    <w:name w:val="List Paragraph"/>
    <w:basedOn w:val="1"/>
    <w:link w:val="454"/>
    <w:qFormat/>
    <w:uiPriority w:val="34"/>
    <w:pPr>
      <w:ind w:firstLine="420" w:firstLineChars="200"/>
    </w:pPr>
  </w:style>
  <w:style w:type="paragraph" w:customStyle="1" w:styleId="456">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Char"/>
    <w:basedOn w:val="52"/>
    <w:link w:val="19"/>
    <w:qFormat/>
    <w:uiPriority w:val="0"/>
    <w:rPr>
      <w:kern w:val="2"/>
      <w:sz w:val="16"/>
      <w:szCs w:val="16"/>
    </w:rPr>
  </w:style>
  <w:style w:type="character" w:customStyle="1" w:styleId="459">
    <w:name w:val="content"/>
    <w:basedOn w:val="52"/>
    <w:qFormat/>
    <w:uiPriority w:val="0"/>
  </w:style>
  <w:style w:type="character" w:customStyle="1" w:styleId="460">
    <w:name w:val="ca-3"/>
    <w:basedOn w:val="52"/>
    <w:qFormat/>
    <w:uiPriority w:val="0"/>
  </w:style>
  <w:style w:type="character" w:customStyle="1" w:styleId="461">
    <w:name w:val="textcontents1"/>
    <w:qFormat/>
    <w:uiPriority w:val="0"/>
    <w:rPr>
      <w:rFonts w:hint="default" w:ascii="ˎ̥" w:hAnsi="ˎ̥"/>
      <w:sz w:val="21"/>
      <w:szCs w:val="21"/>
    </w:rPr>
  </w:style>
  <w:style w:type="character" w:customStyle="1" w:styleId="462">
    <w:name w:val="脚注文本 Char1"/>
    <w:qFormat/>
    <w:uiPriority w:val="0"/>
    <w:rPr>
      <w:kern w:val="2"/>
      <w:sz w:val="18"/>
      <w:szCs w:val="18"/>
    </w:rPr>
  </w:style>
  <w:style w:type="character" w:customStyle="1" w:styleId="463">
    <w:name w:val="脚注文本 Char"/>
    <w:link w:val="38"/>
    <w:qFormat/>
    <w:uiPriority w:val="0"/>
    <w:rPr>
      <w:kern w:val="2"/>
      <w:sz w:val="18"/>
      <w:szCs w:val="18"/>
    </w:rPr>
  </w:style>
  <w:style w:type="character" w:customStyle="1" w:styleId="464">
    <w:name w:val="正文首行缩进（绿盟科技） Char"/>
    <w:link w:val="465"/>
    <w:qFormat/>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qFormat/>
    <w:uiPriority w:val="0"/>
  </w:style>
  <w:style w:type="character" w:customStyle="1" w:styleId="470">
    <w:name w:val="apple-style-span"/>
    <w:basedOn w:val="52"/>
    <w:qFormat/>
    <w:uiPriority w:val="0"/>
  </w:style>
  <w:style w:type="paragraph" w:customStyle="1" w:styleId="471">
    <w:name w:val="缺省文本"/>
    <w:basedOn w:val="1"/>
    <w:qFormat/>
    <w:uiPriority w:val="0"/>
    <w:pPr>
      <w:autoSpaceDE w:val="0"/>
      <w:autoSpaceDN w:val="0"/>
      <w:adjustRightInd w:val="0"/>
      <w:jc w:val="left"/>
    </w:pPr>
    <w:rPr>
      <w:kern w:val="0"/>
      <w:sz w:val="24"/>
    </w:rPr>
  </w:style>
  <w:style w:type="paragraph" w:customStyle="1" w:styleId="472">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qFormat/>
    <w:uiPriority w:val="0"/>
    <w:rPr>
      <w:rFonts w:ascii="宋体" w:hAnsi="Courier New"/>
      <w:szCs w:val="20"/>
    </w:rPr>
  </w:style>
  <w:style w:type="paragraph" w:customStyle="1" w:styleId="474">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qFormat/>
    <w:uiPriority w:val="0"/>
    <w:pPr>
      <w:widowControl/>
      <w:spacing w:after="160" w:line="240" w:lineRule="exact"/>
      <w:jc w:val="left"/>
    </w:pPr>
  </w:style>
  <w:style w:type="paragraph" w:customStyle="1" w:styleId="476">
    <w:name w:val="USE 1"/>
    <w:basedOn w:val="1"/>
    <w:qFormat/>
    <w:uiPriority w:val="0"/>
    <w:pPr>
      <w:spacing w:line="200" w:lineRule="atLeast"/>
      <w:jc w:val="left"/>
    </w:pPr>
    <w:rPr>
      <w:rFonts w:ascii="宋体" w:hAnsi="宋体"/>
      <w:b/>
      <w:sz w:val="24"/>
      <w:szCs w:val="28"/>
    </w:rPr>
  </w:style>
  <w:style w:type="paragraph" w:customStyle="1" w:styleId="47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qFormat/>
    <w:uiPriority w:val="0"/>
    <w:rPr>
      <w:rFonts w:ascii="宋体" w:hAnsi="Courier New"/>
      <w:szCs w:val="20"/>
    </w:rPr>
  </w:style>
  <w:style w:type="character" w:customStyle="1" w:styleId="481">
    <w:name w:val="脚注文本 Char2"/>
    <w:basedOn w:val="52"/>
    <w:link w:val="38"/>
    <w:semiHidden/>
    <w:qFormat/>
    <w:uiPriority w:val="0"/>
    <w:rPr>
      <w:kern w:val="2"/>
      <w:sz w:val="18"/>
      <w:szCs w:val="18"/>
    </w:rPr>
  </w:style>
  <w:style w:type="paragraph" w:customStyle="1" w:styleId="482">
    <w:name w:val="_Style 56"/>
    <w:basedOn w:val="1"/>
    <w:next w:val="26"/>
    <w:qFormat/>
    <w:uiPriority w:val="0"/>
    <w:rPr>
      <w:rFonts w:ascii="宋体" w:hAnsi="Courier New"/>
      <w:szCs w:val="20"/>
    </w:rPr>
  </w:style>
  <w:style w:type="paragraph" w:customStyle="1" w:styleId="483">
    <w:name w:val="Char Char Char Char2"/>
    <w:basedOn w:val="1"/>
    <w:qFormat/>
    <w:uiPriority w:val="0"/>
    <w:pPr>
      <w:widowControl/>
      <w:spacing w:after="160" w:line="240" w:lineRule="exact"/>
      <w:jc w:val="center"/>
    </w:pPr>
  </w:style>
  <w:style w:type="paragraph" w:customStyle="1" w:styleId="484">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qFormat/>
    <w:uiPriority w:val="0"/>
    <w:pPr>
      <w:widowControl/>
      <w:spacing w:after="160" w:line="240" w:lineRule="exact"/>
      <w:jc w:val="left"/>
    </w:pPr>
  </w:style>
  <w:style w:type="paragraph" w:customStyle="1" w:styleId="490">
    <w:name w:val="_Style 50"/>
    <w:basedOn w:val="1"/>
    <w:next w:val="29"/>
    <w:qFormat/>
    <w:uiPriority w:val="0"/>
    <w:pPr>
      <w:adjustRightInd w:val="0"/>
      <w:snapToGrid w:val="0"/>
      <w:spacing w:line="300" w:lineRule="auto"/>
      <w:ind w:firstLine="630" w:firstLineChars="300"/>
    </w:pPr>
    <w:rPr>
      <w:snapToGrid w:val="0"/>
      <w:kern w:val="0"/>
    </w:rPr>
  </w:style>
  <w:style w:type="paragraph" w:customStyle="1" w:styleId="49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qFormat/>
    <w:uiPriority w:val="0"/>
    <w:rPr>
      <w:rFonts w:ascii="宋体" w:hAnsi="Courier New"/>
      <w:szCs w:val="20"/>
    </w:rPr>
  </w:style>
  <w:style w:type="paragraph" w:customStyle="1" w:styleId="495">
    <w:name w:val="Char Char Char"/>
    <w:basedOn w:val="1"/>
    <w:qFormat/>
    <w:uiPriority w:val="0"/>
    <w:rPr>
      <w:szCs w:val="20"/>
    </w:rPr>
  </w:style>
  <w:style w:type="paragraph" w:customStyle="1" w:styleId="496">
    <w:name w:val="Char2"/>
    <w:basedOn w:val="1"/>
    <w:qFormat/>
    <w:uiPriority w:val="0"/>
    <w:rPr>
      <w:rFonts w:ascii="Tahoma" w:hAnsi="Tahoma"/>
      <w:sz w:val="24"/>
      <w:szCs w:val="20"/>
    </w:rPr>
  </w:style>
  <w:style w:type="paragraph" w:customStyle="1" w:styleId="4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qFormat/>
    <w:uiPriority w:val="0"/>
    <w:rPr>
      <w:rFonts w:ascii="宋体" w:hAnsi="Courier New"/>
      <w:szCs w:val="20"/>
    </w:rPr>
  </w:style>
  <w:style w:type="paragraph" w:customStyle="1" w:styleId="501">
    <w:name w:val="2"/>
    <w:basedOn w:val="1"/>
    <w:next w:val="45"/>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qFormat/>
    <w:uiPriority w:val="0"/>
    <w:pPr>
      <w:adjustRightInd w:val="0"/>
      <w:snapToGrid w:val="0"/>
      <w:spacing w:line="300" w:lineRule="auto"/>
      <w:ind w:firstLine="630" w:firstLineChars="300"/>
    </w:pPr>
    <w:rPr>
      <w:snapToGrid w:val="0"/>
      <w:kern w:val="0"/>
    </w:rPr>
  </w:style>
  <w:style w:type="paragraph" w:customStyle="1" w:styleId="503">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rPr>
  </w:style>
  <w:style w:type="character" w:customStyle="1" w:styleId="505">
    <w:name w:val="Ｒ07-正!!文 Char Char"/>
    <w:link w:val="506"/>
    <w:qFormat/>
    <w:uiPriority w:val="0"/>
    <w:rPr>
      <w:rFonts w:ascii="宋体" w:hAnsi="宋体" w:cs="宋体"/>
      <w:snapToGrid w:val="0"/>
      <w:spacing w:val="4"/>
      <w:kern w:val="2"/>
      <w:sz w:val="24"/>
      <w:szCs w:val="24"/>
    </w:rPr>
  </w:style>
  <w:style w:type="paragraph" w:customStyle="1" w:styleId="506">
    <w:name w:val="Ｒ07-正!!文"/>
    <w:link w:val="505"/>
    <w:qFormat/>
    <w:uiPriority w:val="0"/>
    <w:pPr>
      <w:wordWrap w:val="0"/>
      <w:spacing w:afterLines="20" w:line="312" w:lineRule="auto"/>
      <w:ind w:firstLine="496" w:firstLineChars="200"/>
    </w:pPr>
    <w:rPr>
      <w:rFonts w:ascii="宋体" w:hAnsi="宋体" w:eastAsia="宋体" w:cs="宋体"/>
      <w:snapToGrid w:val="0"/>
      <w:spacing w:val="4"/>
      <w:kern w:val="2"/>
      <w:sz w:val="24"/>
      <w:szCs w:val="24"/>
      <w:lang w:val="en-US" w:eastAsia="zh-CN" w:bidi="ar-SA"/>
    </w:rPr>
  </w:style>
  <w:style w:type="character" w:customStyle="1" w:styleId="507">
    <w:name w:val="Ｒ07-!正! Char Char"/>
    <w:link w:val="508"/>
    <w:qFormat/>
    <w:uiPriority w:val="0"/>
    <w:rPr>
      <w:rFonts w:ascii="宋体" w:hAnsi="宋体" w:cs="宋体"/>
      <w:snapToGrid w:val="0"/>
      <w:spacing w:val="8"/>
      <w:kern w:val="2"/>
      <w:sz w:val="24"/>
      <w:szCs w:val="24"/>
    </w:rPr>
  </w:style>
  <w:style w:type="paragraph" w:customStyle="1" w:styleId="508">
    <w:name w:val="Ｒ07-!正!"/>
    <w:link w:val="507"/>
    <w:qFormat/>
    <w:uiPriority w:val="0"/>
    <w:pPr>
      <w:wordWrap w:val="0"/>
      <w:spacing w:afterLines="20" w:line="360" w:lineRule="auto"/>
      <w:ind w:firstLine="512" w:firstLineChars="200"/>
    </w:pPr>
    <w:rPr>
      <w:rFonts w:ascii="宋体" w:hAnsi="宋体" w:eastAsia="宋体" w:cs="宋体"/>
      <w:snapToGrid w:val="0"/>
      <w:spacing w:val="8"/>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83</Pages>
  <Words>51036</Words>
  <Characters>54377</Characters>
  <Lines>408</Lines>
  <Paragraphs>114</Paragraphs>
  <TotalTime>3</TotalTime>
  <ScaleCrop>false</ScaleCrop>
  <LinksUpToDate>false</LinksUpToDate>
  <CharactersWithSpaces>56640</CharactersWithSpaces>
  <Application>WPS Office_12.1.0.17147_F1E327BC-269C-435d-A152-05C5408002CA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2024-01-03T06:55:00Z</dcterms:created>
  <dc:creator>微软用户</dc:creator>
  <cp:lastModifiedBy>中正招标-李工</cp:lastModifiedBy>
  <cp:lastPrinted>2022-06-06T04:43:00Z</cp:lastPrinted>
  <dcterms:modified xsi:type="dcterms:W3CDTF">2024-07-17T01:59:50Z</dcterms:modified>
  <dc:title>招标编号：UHO2010-G0029</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ICV">
    <vt:lpwstr>D09624B060D84D9AAD6C5DA4165ED96F_13</vt:lpwstr>
  </property>
</Properties>
</file>