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59264;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深圳市食品生产企业分析和HACCP体系提升项目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项目编号：SZZZ2024-QC0063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Pr>
        <w:pStyle w:val="5"/>
      </w:pPr>
    </w:p>
    <w:p/>
    <w:p>
      <w:pPr>
        <w:pStyle w:val="29"/>
        <w:adjustRightInd w:val="0"/>
        <w:snapToGrid w:val="0"/>
        <w:spacing w:line="300" w:lineRule="auto"/>
        <w:ind w:hanging="835"/>
        <w:jc w:val="center"/>
        <w:rPr>
          <w:b/>
          <w:kern w:val="0"/>
          <w:sz w:val="28"/>
          <w:szCs w:val="28"/>
        </w:rPr>
      </w:pPr>
      <w:r>
        <w:rPr>
          <w:rFonts w:hint="eastAsia"/>
          <w:b/>
          <w:snapToGrid w:val="0"/>
          <w:sz w:val="30"/>
        </w:rPr>
        <w:t>二〇二四年二月</w:t>
      </w:r>
    </w:p>
    <w:p/>
    <w:p>
      <w:pP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5"/>
            <w:tabs>
              <w:tab w:val="right" w:leader="dot" w:pos="9628"/>
            </w:tabs>
            <w:rPr>
              <w:rFonts w:ascii="仿宋_GB2312" w:eastAsia="仿宋_GB2312"/>
              <w:sz w:val="24"/>
            </w:rPr>
          </w:pPr>
        </w:p>
        <w:p>
          <w:pPr>
            <w:pStyle w:val="35"/>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8"/>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8"/>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8"/>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8"/>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8"/>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8"/>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8"/>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8"/>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8"/>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8"/>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8"/>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8"/>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8"/>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8"/>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8"/>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8"/>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8"/>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8"/>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8"/>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8"/>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8"/>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8"/>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8"/>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8"/>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8"/>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8"/>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深圳市食品生产企业分析和HACCP体系提升项目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SZZZ2024-QC0063</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2、项目名称：深圳市食品生产企业分析和HACCP体系提升项目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34.8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34.8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6"/>
              <w:spacing w:line="360" w:lineRule="auto"/>
              <w:jc w:val="center"/>
              <w:rPr>
                <w:sz w:val="21"/>
              </w:rPr>
            </w:pPr>
            <w:r>
              <w:rPr>
                <w:sz w:val="21"/>
              </w:rPr>
              <w:t>标的名称</w:t>
            </w:r>
          </w:p>
        </w:tc>
        <w:tc>
          <w:tcPr>
            <w:tcW w:w="921"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6"/>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深圳市食品生产企业分析和HACCP体系提升项目</w:t>
            </w:r>
          </w:p>
        </w:tc>
        <w:tc>
          <w:tcPr>
            <w:tcW w:w="921"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（1）现场获取：投标人按以上时间和地点现场报名和获取招标文件，需携带以下资料:</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3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③</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4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④</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名称：深圳市市场监督管理局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地址：深圳市福田区深南大道7010号工商物价大厦</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联系方式：王工，0755-83070127</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2</w:t>
      </w:r>
      <w:r>
        <w:rPr>
          <w:rFonts w:ascii="宋体" w:hAnsi="宋体"/>
          <w:snapToGrid w:val="0"/>
          <w:kern w:val="0"/>
          <w:sz w:val="24"/>
        </w:rPr>
        <w:t>月</w:t>
      </w:r>
      <w:r>
        <w:rPr>
          <w:rFonts w:hint="eastAsia" w:ascii="宋体" w:hAnsi="宋体"/>
          <w:snapToGrid w:val="0"/>
          <w:kern w:val="0"/>
          <w:sz w:val="24"/>
          <w:lang w:val="en-US" w:eastAsia="zh-CN"/>
        </w:rPr>
        <w:t>28</w:t>
      </w:r>
      <w:r>
        <w:rPr>
          <w:rFonts w:hint="eastAsia" w:ascii="宋体" w:hAnsi="宋体"/>
          <w:snapToGrid w:val="0"/>
          <w:kern w:val="0"/>
          <w:sz w:val="24"/>
        </w:rPr>
        <w:t>日</w:t>
      </w:r>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1"/>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深圳市食品生产企业分析和HACCP体系提升项目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348,000.00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6"/>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 xml:space="preserve">依据《中共中央国务院关于深化改革加强食品安全工作的意见》、《国家食品安全示范城市评价细则（2021版）》中食品安全示范城市创建评价细则要求，明确规模以上食品生产企业实施危害分析与关键控制点体系，建立诚信守法企业文化。同时深圳市正在打造基于高标准的食品城市品牌，对食品安全相关管理体系建设、企业信用建设和信用监管有一致的要求。 </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通过开展规模以上食品生产企业调研分析及HACCP体系推广工作，对全市尚未建立先进管理体系的规模以上的食品生产企业，开展先进管理体系实地指导；根据企业意愿，帮助企业获得体系认证。结合HACCP标准体系要求，为企业开展体系合规性提升和辅导，提升更多的食品生产企业做好危害分析及关键点控制，降低危害，提升产品市场竞争力。</w:t>
      </w:r>
    </w:p>
    <w:p>
      <w:pPr>
        <w:pStyle w:val="506"/>
        <w:wordWrap/>
        <w:spacing w:afterLines="0" w:line="360" w:lineRule="auto"/>
        <w:ind w:firstLine="420"/>
        <w:rPr>
          <w:rFonts w:cs="Times New Roman"/>
          <w:snapToGrid/>
          <w:spacing w:val="0"/>
          <w:sz w:val="21"/>
          <w:szCs w:val="21"/>
        </w:rPr>
      </w:pPr>
    </w:p>
    <w:p>
      <w:pPr>
        <w:pStyle w:val="322"/>
        <w:ind w:firstLine="0" w:firstLineChars="0"/>
        <w:rPr>
          <w:b/>
        </w:rPr>
      </w:pPr>
      <w:r>
        <w:rPr>
          <w:rFonts w:hint="eastAsia"/>
          <w:b/>
        </w:rPr>
        <w:t>二、项目服务要求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通过开展该项目，根据前期对深圳市规模以上食品生产企业普查的基础上，筛选出18家尚未建立先进管理体系的规模以上的食品生产企业，开展先进管理体系实地指导；根据18家企业体系建立情况及企业意愿，帮助其中12家企业获得HACCP体系，使规模以上食品生产企业进一步得到提升；开展2场全市范围的体系内审员培训。</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1.对18家未建立先进管理体系规模以上食品生产企业开展先进管理体系实地指导，帮助建立先进管理体系；</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2.从18家未建立先进管理体系规模以上食品生产企业选出12家企业，帮助其获得HACCP体系认证；</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3.开展2场体系内部审核员培训会；</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4.发布市级或以上新闻稿2篇；制定科普资料2份，根据采购人需求印刷材料；</w:t>
      </w:r>
    </w:p>
    <w:p>
      <w:pPr>
        <w:pStyle w:val="506"/>
        <w:wordWrap/>
        <w:spacing w:afterLines="0" w:line="360" w:lineRule="auto"/>
        <w:ind w:firstLine="420"/>
        <w:rPr>
          <w:rFonts w:cs="Times New Roman"/>
          <w:snapToGrid/>
          <w:spacing w:val="0"/>
          <w:sz w:val="21"/>
          <w:szCs w:val="21"/>
          <w:highlight w:val="none"/>
        </w:rPr>
      </w:pPr>
      <w:r>
        <w:rPr>
          <w:rFonts w:hint="eastAsia" w:cs="Times New Roman"/>
          <w:snapToGrid/>
          <w:spacing w:val="0"/>
          <w:sz w:val="21"/>
          <w:szCs w:val="21"/>
        </w:rPr>
        <w:t>5.项目组应成立技术支持团队</w:t>
      </w:r>
      <w:r>
        <w:rPr>
          <w:rFonts w:hint="eastAsia" w:cs="Times New Roman"/>
          <w:snapToGrid/>
          <w:spacing w:val="0"/>
          <w:sz w:val="21"/>
          <w:szCs w:val="21"/>
          <w:lang w:eastAsia="zh-CN"/>
        </w:rPr>
        <w:t>，</w:t>
      </w:r>
      <w:r>
        <w:rPr>
          <w:rFonts w:hint="eastAsia" w:cs="Times New Roman"/>
          <w:snapToGrid/>
          <w:spacing w:val="0"/>
          <w:sz w:val="21"/>
          <w:szCs w:val="21"/>
          <w:highlight w:val="none"/>
          <w:lang w:val="en-US" w:eastAsia="zh-CN"/>
        </w:rPr>
        <w:t>项目负责人应参与（过）</w:t>
      </w:r>
      <w:r>
        <w:rPr>
          <w:rFonts w:hint="eastAsia" w:cs="Times New Roman"/>
          <w:snapToGrid/>
          <w:spacing w:val="0"/>
          <w:sz w:val="21"/>
          <w:szCs w:val="21"/>
          <w:highlight w:val="none"/>
          <w:lang w:eastAsia="zh-CN"/>
        </w:rPr>
        <w:t>食品相关国家级</w:t>
      </w:r>
      <w:r>
        <w:rPr>
          <w:rFonts w:hint="eastAsia" w:cs="Times New Roman"/>
          <w:snapToGrid/>
          <w:spacing w:val="0"/>
          <w:sz w:val="21"/>
          <w:szCs w:val="21"/>
          <w:highlight w:val="none"/>
          <w:lang w:val="en-US" w:eastAsia="zh-CN"/>
        </w:rPr>
        <w:t>专家</w:t>
      </w:r>
      <w:r>
        <w:rPr>
          <w:rFonts w:hint="eastAsia" w:cs="Times New Roman"/>
          <w:snapToGrid/>
          <w:spacing w:val="0"/>
          <w:sz w:val="21"/>
          <w:szCs w:val="21"/>
          <w:highlight w:val="none"/>
          <w:lang w:eastAsia="zh-CN"/>
        </w:rPr>
        <w:t>委员会、</w:t>
      </w:r>
      <w:r>
        <w:rPr>
          <w:rFonts w:hint="eastAsia" w:cs="Times New Roman"/>
          <w:snapToGrid/>
          <w:spacing w:val="0"/>
          <w:sz w:val="21"/>
          <w:szCs w:val="21"/>
          <w:highlight w:val="none"/>
          <w:lang w:val="en-US" w:eastAsia="zh-CN"/>
        </w:rPr>
        <w:t>标准编制及项目实施工作，团队成员中应有具备食品或食品相关产品生产行业安全状况分析能力的人员</w:t>
      </w:r>
      <w:r>
        <w:rPr>
          <w:rFonts w:hint="eastAsia" w:cs="Times New Roman"/>
          <w:snapToGrid/>
          <w:spacing w:val="0"/>
          <w:sz w:val="21"/>
          <w:szCs w:val="21"/>
          <w:highlight w:val="none"/>
        </w:rPr>
        <w:t>；</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6.中标人应提供1名专员在采购人指定地点为本项目跟踪服务，协助开展与本项目相关的新闻宣传、数据收集、项目总结等工作。项目开展期间，应严格按照制定的项目实施方案组织实施，并接受委托单位监督，每月最后一个工作日汇报工作进展情况。</w:t>
      </w:r>
    </w:p>
    <w:p>
      <w:pPr>
        <w:pStyle w:val="322"/>
        <w:ind w:firstLine="0" w:firstLineChars="0"/>
        <w:rPr>
          <w:b/>
        </w:rPr>
      </w:pPr>
    </w:p>
    <w:p>
      <w:pPr>
        <w:pStyle w:val="322"/>
        <w:ind w:firstLine="0" w:firstLineChars="0"/>
        <w:rPr>
          <w:b/>
        </w:rPr>
      </w:pPr>
      <w:r>
        <w:rPr>
          <w:rFonts w:hint="eastAsia"/>
          <w:b/>
        </w:rPr>
        <w:t>三、项目商务要求</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（一）服务期限：自合同签订之日起至2024年11月15日前完成。</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（二）付款方式：</w:t>
      </w:r>
    </w:p>
    <w:p>
      <w:pPr>
        <w:pStyle w:val="256"/>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采购方在合同签订后，且收到中标方提供符合规定发票后15日内支付合同总额的50 %作为首期款，余款按进度支付。</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（三）知识产权：</w:t>
      </w:r>
    </w:p>
    <w:p>
      <w:pPr>
        <w:spacing w:line="360" w:lineRule="auto"/>
        <w:ind w:firstLine="420" w:firstLineChars="200"/>
        <w:jc w:val="left"/>
        <w:rPr>
          <w:rFonts w:ascii="宋体" w:hAnsi="宋体"/>
          <w:szCs w:val="21"/>
        </w:rPr>
      </w:pPr>
      <w:r>
        <w:rPr>
          <w:rFonts w:hint="eastAsia" w:ascii="宋体" w:hAnsi="宋体"/>
          <w:szCs w:val="21"/>
        </w:rPr>
        <w:t>（1）中标供应商在项目实施过程中不得侵犯第三人知识产权以及其他权益。需要使用第三人知识产权的，中标供应商应取得权利人许可或者授权并由中标供应商承担费用。</w:t>
      </w:r>
    </w:p>
    <w:p>
      <w:pPr>
        <w:spacing w:line="360" w:lineRule="auto"/>
        <w:ind w:firstLine="420" w:firstLineChars="200"/>
        <w:jc w:val="left"/>
        <w:rPr>
          <w:rFonts w:ascii="宋体" w:hAnsi="宋体"/>
          <w:szCs w:val="21"/>
        </w:rPr>
      </w:pPr>
      <w:r>
        <w:rPr>
          <w:rFonts w:hint="eastAsia" w:ascii="宋体" w:hAnsi="宋体"/>
          <w:szCs w:val="21"/>
        </w:rPr>
        <w:t>（2）除第三人依法享有知识产权的除外，中标供应商实施本项目所形成成果的知识产权归采购人所有，未经采购人许可，中标供应商不得随意使用。</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（四）报价要求：</w:t>
      </w:r>
    </w:p>
    <w:p>
      <w:pPr>
        <w:spacing w:line="360" w:lineRule="auto"/>
        <w:ind w:firstLine="420" w:firstLineChars="200"/>
        <w:jc w:val="left"/>
        <w:rPr>
          <w:rFonts w:ascii="宋体" w:hAnsi="宋体"/>
          <w:szCs w:val="21"/>
        </w:rPr>
      </w:pPr>
      <w:r>
        <w:rPr>
          <w:rFonts w:hint="eastAsia" w:ascii="宋体" w:hAnsi="宋体"/>
          <w:szCs w:val="21"/>
        </w:rPr>
        <w:t>（1）本项目服务费采用包干制，应包括服务成本、法定税费和企业的利润。由投标供应商根据采购文件所提供的资料自行测算投标报价；一经中标，报价总价作为中标供应商与采购人签订的合同金额，合同期限内不做调整。</w:t>
      </w:r>
    </w:p>
    <w:p>
      <w:pPr>
        <w:spacing w:line="360" w:lineRule="auto"/>
        <w:ind w:firstLine="420" w:firstLineChars="200"/>
        <w:jc w:val="left"/>
        <w:rPr>
          <w:rFonts w:ascii="宋体" w:hAnsi="宋体"/>
          <w:szCs w:val="21"/>
        </w:rPr>
      </w:pPr>
      <w:r>
        <w:rPr>
          <w:rFonts w:hint="eastAsia" w:ascii="宋体" w:hAnsi="宋体"/>
          <w:szCs w:val="21"/>
        </w:rPr>
        <w:t>（2）投标供应商应当根据本企业的成本自行决定报价，但不得以低于其企业成本的报价投标。</w:t>
      </w:r>
    </w:p>
    <w:p>
      <w:pPr>
        <w:spacing w:line="360" w:lineRule="auto"/>
        <w:ind w:firstLine="420" w:firstLineChars="200"/>
        <w:jc w:val="left"/>
        <w:rPr>
          <w:rFonts w:ascii="宋体" w:hAnsi="宋体"/>
          <w:szCs w:val="21"/>
        </w:rPr>
      </w:pPr>
      <w:r>
        <w:rPr>
          <w:rFonts w:hint="eastAsia" w:ascii="宋体" w:hAnsi="宋体"/>
          <w:szCs w:val="21"/>
        </w:rPr>
        <w:t>（3）投标供应商的报价不得超过项目预算金额。</w:t>
      </w:r>
    </w:p>
    <w:p>
      <w:pPr>
        <w:spacing w:line="360" w:lineRule="auto"/>
        <w:ind w:firstLine="420" w:firstLineChars="200"/>
        <w:jc w:val="left"/>
        <w:rPr>
          <w:rFonts w:ascii="宋体" w:hAnsi="宋体"/>
          <w:szCs w:val="21"/>
        </w:rPr>
      </w:pPr>
      <w:r>
        <w:rPr>
          <w:rFonts w:hint="eastAsia" w:ascii="宋体" w:hAnsi="宋体"/>
          <w:szCs w:val="21"/>
        </w:rPr>
        <w:t>（4）投标供应商的报价，应当是本项目采购范围和采购文件及合同条款上所列的各项内容中所述的全部，不得以任何理由予以重复。</w:t>
      </w:r>
    </w:p>
    <w:p>
      <w:pPr>
        <w:spacing w:line="360" w:lineRule="auto"/>
        <w:ind w:firstLine="420" w:firstLineChars="200"/>
        <w:jc w:val="left"/>
        <w:rPr>
          <w:rFonts w:ascii="宋体" w:hAnsi="宋体"/>
          <w:szCs w:val="21"/>
        </w:rPr>
      </w:pPr>
      <w:r>
        <w:rPr>
          <w:rFonts w:hint="eastAsia" w:ascii="宋体" w:hAnsi="宋体"/>
          <w:szCs w:val="21"/>
        </w:rPr>
        <w:t>（5）除非采购代理机构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360" w:lineRule="auto"/>
        <w:ind w:firstLine="420" w:firstLineChars="200"/>
        <w:jc w:val="left"/>
        <w:rPr>
          <w:rFonts w:ascii="宋体" w:hAnsi="宋体"/>
          <w:szCs w:val="21"/>
        </w:rPr>
      </w:pPr>
      <w:r>
        <w:rPr>
          <w:rFonts w:hint="eastAsia" w:ascii="宋体" w:hAnsi="宋体"/>
          <w:szCs w:val="21"/>
        </w:rPr>
        <w:t>（6）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（五）验收标准及违约责任：</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（1）验收标准：</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 xml:space="preserve">项目完成后需提交的验收成果： </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1）18家企业建立先进管理体系档案；</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2）12家企业获得认证通过的证明；</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 xml:space="preserve">3）规模以上食品生产企业建立认证先进管理体系报告1份； </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 xml:space="preserve">4）2场 HACCP 体系内部审核员培训会相关记录资料1套； </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 xml:space="preserve">5）市级或以上新闻稿 2 篇；制定科普资料 2 份； </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6）汇报工作会议纪要；</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7）项目成果提交方式为纸质2套和电子文档1套。</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（2）违约责任：</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因中标方原因，未能按规定时间完成有关工作的，每延误一天</w:t>
      </w:r>
      <w:r>
        <w:rPr>
          <w:rFonts w:hint="eastAsia"/>
        </w:rPr>
        <w:t>（</w:t>
      </w:r>
      <w:r>
        <w:rPr>
          <w:rFonts w:hint="eastAsia" w:asciiTheme="minorEastAsia" w:hAnsiTheme="minorEastAsia" w:eastAsiaTheme="minorEastAsia"/>
          <w:bCs/>
        </w:rPr>
        <w:t>日历天），采购方可在支付合同余款中扣除合同总价款的千分之一，若余款不足以扣款或者款项已经支付完毕，则中标方应向采购方支付上述同等数额的违约金。</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由于中标方原因造成成果质量低劣，不能满足采购方要求时，应继续完善工作，其费用由中标方承担。</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如中标方提供的服务文件不符合质量要求，必须在采购方提出要求后7天</w:t>
      </w:r>
      <w:r>
        <w:rPr>
          <w:rFonts w:hint="eastAsia"/>
        </w:rPr>
        <w:t>（</w:t>
      </w:r>
      <w:r>
        <w:rPr>
          <w:rFonts w:hint="eastAsia" w:asciiTheme="minorEastAsia" w:hAnsiTheme="minorEastAsia" w:eastAsiaTheme="minorEastAsia"/>
          <w:bCs/>
        </w:rPr>
        <w:t>日历天）内无条件修改，其费用由中标方承担。否则，采购方有权终止合同，并要求中标方向采购方支付合同总价的百分之十作为违约金。</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若采购方发现中标方派出的服务人员或提供的实施方案不符合合同要求，中标方应在3个工作日之内按要求派出人员或提供满足投标文件承诺的实施方案，否则采购方有权终止合同，并保留追究中标方责任及要求赔偿损失的权利。</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如果在项目规定的时间内不能全部完成项目的全部要求，则按照相应未完成比例扣除金额；如果项目虽然数量上完成要求的培训家次，但是经过市市场监督管理局食品生产处考核评议，认为其中的部分培训过程存在走过场、敷衍了事等情况，则按照相应数量比例扣除金额。</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（六）售后服务：</w:t>
      </w:r>
    </w:p>
    <w:p>
      <w:pPr>
        <w:pStyle w:val="256"/>
        <w:spacing w:beforeLines="0" w:line="360" w:lineRule="auto"/>
        <w:ind w:firstLine="420"/>
        <w:rPr>
          <w:rFonts w:asciiTheme="minorEastAsia" w:hAnsiTheme="minorEastAsia" w:eastAsiaTheme="minorEastAsia"/>
          <w:bCs/>
        </w:rPr>
      </w:pPr>
      <w:r>
        <w:rPr>
          <w:rFonts w:hint="eastAsia" w:asciiTheme="minorEastAsia" w:hAnsiTheme="minorEastAsia" w:eastAsiaTheme="minorEastAsia"/>
          <w:bCs/>
        </w:rPr>
        <w:t>中标供应商在项目验收合格之日起提供售后服务一年，在售后服务期内，出现工作实施过程与方案要求不符、被帮扶企业出现投诉、印制的材料设计与采购人要求不符等情况，中标供应商应在接到采购人通知之日后2个自然日内派人处理。</w:t>
      </w:r>
    </w:p>
    <w:p>
      <w:pPr>
        <w:pStyle w:val="256"/>
        <w:spacing w:beforeLines="0" w:line="360" w:lineRule="auto"/>
        <w:ind w:firstLine="0" w:firstLineChars="0"/>
        <w:rPr>
          <w:rFonts w:asciiTheme="minorEastAsia" w:hAnsiTheme="minorEastAsia" w:eastAsiaTheme="minorEastAsia"/>
          <w:b/>
        </w:rPr>
      </w:pPr>
    </w:p>
    <w:p>
      <w:pPr>
        <w:pStyle w:val="256"/>
        <w:spacing w:beforeLines="0" w:line="360" w:lineRule="auto"/>
        <w:ind w:firstLine="0" w:firstLineChars="0"/>
        <w:rPr>
          <w:rFonts w:asciiTheme="minorEastAsia" w:hAnsiTheme="minorEastAsia" w:eastAsiaTheme="minorEastAsia"/>
          <w:b/>
        </w:rPr>
      </w:pPr>
    </w:p>
    <w:p>
      <w:pPr>
        <w:spacing w:line="360" w:lineRule="auto"/>
        <w:ind w:firstLine="420" w:firstLineChars="200"/>
        <w:jc w:val="left"/>
        <w:rPr>
          <w:rFonts w:ascii="宋体" w:hAnsi="宋体"/>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3"/>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3"/>
        <w:spacing w:after="0"/>
      </w:pPr>
      <w:bookmarkStart w:id="3" w:name="_Toc135293162"/>
      <w:r>
        <w:rPr>
          <w:rFonts w:hint="eastAsia"/>
        </w:rPr>
        <w:t>第四章  评标方法和标准</w:t>
      </w:r>
      <w:bookmarkEnd w:id="3"/>
    </w:p>
    <w:p/>
    <w:p>
      <w:pPr>
        <w:pStyle w:val="5"/>
        <w:spacing w:before="0" w:after="0"/>
      </w:pPr>
      <w:bookmarkStart w:id="4" w:name="_Toc44691161"/>
      <w:bookmarkStart w:id="5" w:name="_Toc44690429"/>
      <w:bookmarkStart w:id="6" w:name="_Toc44691393"/>
      <w:bookmarkStart w:id="7" w:name="_Toc135293163"/>
      <w:bookmarkStart w:id="8" w:name="_Toc44690702"/>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1"/>
        <w:tblW w:w="97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highlight w:val="none"/>
                <w:lang w:val="en-US" w:eastAsia="zh-CN"/>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实施方案</w:t>
            </w:r>
          </w:p>
        </w:tc>
        <w:tc>
          <w:tcPr>
            <w:tcW w:w="709" w:type="dxa"/>
            <w:vAlign w:val="center"/>
          </w:tcPr>
          <w:p>
            <w:pPr>
              <w:widowControl/>
              <w:spacing w:line="360" w:lineRule="exact"/>
              <w:jc w:val="center"/>
              <w:rPr>
                <w:rFonts w:hint="eastAsia" w:ascii="宋体" w:hAnsi="宋体" w:eastAsia="宋体"/>
                <w:kern w:val="0"/>
                <w:szCs w:val="21"/>
                <w:highlight w:val="none"/>
                <w:lang w:eastAsia="zh-CN"/>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3</w:t>
            </w:r>
          </w:p>
        </w:tc>
        <w:tc>
          <w:tcPr>
            <w:tcW w:w="5953" w:type="dxa"/>
            <w:vAlign w:val="center"/>
          </w:tcPr>
          <w:p>
            <w:pPr>
              <w:pStyle w:val="95"/>
              <w:spacing w:line="360" w:lineRule="exact"/>
              <w:ind w:firstLine="0" w:firstLineChars="0"/>
              <w:rPr>
                <w:rFonts w:ascii="宋体" w:hAnsi="宋体"/>
                <w:szCs w:val="21"/>
                <w:highlight w:val="none"/>
              </w:rPr>
            </w:pPr>
            <w:r>
              <w:rPr>
                <w:rFonts w:hint="eastAsia" w:ascii="宋体" w:hAnsi="宋体"/>
                <w:szCs w:val="21"/>
                <w:highlight w:val="none"/>
              </w:rPr>
              <w:t>（一）评审内容：</w:t>
            </w:r>
          </w:p>
          <w:p>
            <w:pPr>
              <w:pStyle w:val="95"/>
              <w:spacing w:line="360" w:lineRule="exact"/>
              <w:ind w:firstLine="0" w:firstLineChars="0"/>
              <w:rPr>
                <w:rFonts w:ascii="宋体" w:hAnsi="宋体"/>
                <w:szCs w:val="21"/>
                <w:highlight w:val="none"/>
              </w:rPr>
            </w:pPr>
            <w:r>
              <w:rPr>
                <w:rFonts w:hint="eastAsia" w:ascii="宋体" w:hAnsi="宋体"/>
                <w:szCs w:val="21"/>
                <w:highlight w:val="none"/>
              </w:rPr>
              <w:t>投标人提供的</w:t>
            </w:r>
            <w:r>
              <w:rPr>
                <w:rFonts w:hint="eastAsia" w:ascii="宋体" w:hAnsi="宋体"/>
                <w:szCs w:val="21"/>
                <w:highlight w:val="none"/>
                <w:lang w:val="en-US" w:eastAsia="zh-CN"/>
              </w:rPr>
              <w:t>实施</w:t>
            </w:r>
            <w:r>
              <w:rPr>
                <w:rFonts w:hint="eastAsia" w:ascii="宋体" w:hAnsi="宋体"/>
                <w:szCs w:val="21"/>
                <w:highlight w:val="none"/>
              </w:rPr>
              <w:t>方案应结合其工作经历，具体内容包括但不限于：</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1.工作措施；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2.工作方法；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3.工作手段；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4.工作流程。 </w:t>
            </w:r>
          </w:p>
          <w:p>
            <w:pPr>
              <w:pStyle w:val="95"/>
              <w:spacing w:line="360" w:lineRule="exact"/>
              <w:ind w:firstLine="0" w:firstLineChars="0"/>
              <w:rPr>
                <w:rFonts w:ascii="宋体" w:hAnsi="宋体"/>
                <w:szCs w:val="21"/>
                <w:highlight w:val="none"/>
              </w:rPr>
            </w:pPr>
            <w:r>
              <w:rPr>
                <w:rFonts w:hint="eastAsia" w:ascii="宋体" w:hAnsi="宋体"/>
                <w:szCs w:val="21"/>
                <w:highlight w:val="none"/>
              </w:rPr>
              <w:t>（二）评审标准：</w:t>
            </w:r>
          </w:p>
          <w:p>
            <w:pPr>
              <w:pStyle w:val="95"/>
              <w:spacing w:line="360" w:lineRule="exact"/>
              <w:ind w:firstLine="0" w:firstLineChars="0"/>
              <w:rPr>
                <w:rFonts w:ascii="宋体" w:hAnsi="宋体"/>
                <w:szCs w:val="21"/>
                <w:highlight w:val="none"/>
              </w:rPr>
            </w:pPr>
            <w:r>
              <w:rPr>
                <w:rFonts w:hint="eastAsia" w:ascii="宋体" w:hAnsi="宋体"/>
                <w:szCs w:val="21"/>
                <w:highlight w:val="none"/>
              </w:rPr>
              <w:t>实施方案中具有以上4项内容得8分，实施方案中具有以上3项内容得6分；实施方案中具有以上2项内容得4分；实施方案中具有以上1项内容得2分，其他不得分。</w:t>
            </w:r>
          </w:p>
          <w:p>
            <w:pPr>
              <w:pStyle w:val="95"/>
              <w:spacing w:line="360" w:lineRule="exact"/>
              <w:ind w:firstLine="0" w:firstLineChars="0"/>
              <w:rPr>
                <w:rFonts w:ascii="宋体" w:hAnsi="宋体"/>
                <w:szCs w:val="21"/>
                <w:highlight w:val="none"/>
              </w:rPr>
            </w:pPr>
            <w:r>
              <w:rPr>
                <w:rFonts w:hint="eastAsia" w:ascii="宋体" w:hAnsi="宋体"/>
                <w:szCs w:val="21"/>
                <w:highlight w:val="none"/>
              </w:rPr>
              <w:t>在此基础上，专家根据各供应商的具体响应内容按照量化的评审因素指标进一步评审。</w:t>
            </w:r>
          </w:p>
          <w:p>
            <w:pPr>
              <w:pStyle w:val="19"/>
              <w:rPr>
                <w:rFonts w:ascii="宋体" w:hAnsi="宋体"/>
                <w:szCs w:val="21"/>
                <w:highlight w:val="none"/>
              </w:rPr>
            </w:pPr>
            <w:r>
              <w:rPr>
                <w:rFonts w:hint="eastAsia"/>
                <w:highlight w:val="none"/>
              </w:rPr>
              <w:t>1.</w:t>
            </w:r>
            <w:r>
              <w:rPr>
                <w:rFonts w:hint="eastAsia" w:ascii="宋体" w:hAnsi="宋体"/>
                <w:szCs w:val="21"/>
                <w:highlight w:val="none"/>
              </w:rPr>
              <w:t>评审为优（</w:t>
            </w:r>
            <w:r>
              <w:rPr>
                <w:rFonts w:hint="eastAsia"/>
                <w:highlight w:val="none"/>
              </w:rPr>
              <w:t>方案中体现</w:t>
            </w:r>
            <w:r>
              <w:rPr>
                <w:rFonts w:hint="eastAsia" w:ascii="宋体" w:hAnsi="宋体"/>
                <w:szCs w:val="21"/>
                <w:highlight w:val="none"/>
              </w:rPr>
              <w:t>具体的时间节点和步骤、具体的人员安排及明确的分工、对突发情况有具体的应对措施三项内容的），加</w:t>
            </w:r>
            <w:r>
              <w:rPr>
                <w:rFonts w:hint="eastAsia" w:ascii="宋体" w:hAnsi="宋体"/>
                <w:szCs w:val="21"/>
                <w:highlight w:val="none"/>
                <w:lang w:val="en-US" w:eastAsia="zh-CN"/>
              </w:rPr>
              <w:t>5</w:t>
            </w:r>
            <w:r>
              <w:rPr>
                <w:rFonts w:hint="eastAsia" w:ascii="宋体" w:hAnsi="宋体"/>
                <w:szCs w:val="21"/>
                <w:highlight w:val="none"/>
              </w:rPr>
              <w:t>分；</w:t>
            </w:r>
          </w:p>
          <w:p>
            <w:pPr>
              <w:pStyle w:val="19"/>
              <w:rPr>
                <w:rFonts w:ascii="宋体" w:hAnsi="宋体"/>
                <w:szCs w:val="21"/>
                <w:highlight w:val="none"/>
              </w:rPr>
            </w:pPr>
            <w:r>
              <w:rPr>
                <w:rFonts w:hint="eastAsia" w:ascii="宋体" w:hAnsi="宋体"/>
                <w:szCs w:val="21"/>
                <w:highlight w:val="none"/>
              </w:rPr>
              <w:t>2.评审为良（</w:t>
            </w:r>
            <w:r>
              <w:rPr>
                <w:rFonts w:hint="eastAsia"/>
                <w:highlight w:val="none"/>
              </w:rPr>
              <w:t>方案中体现</w:t>
            </w:r>
            <w:r>
              <w:rPr>
                <w:rFonts w:hint="eastAsia" w:ascii="宋体" w:hAnsi="宋体"/>
                <w:szCs w:val="21"/>
                <w:highlight w:val="none"/>
              </w:rPr>
              <w:t>具体的时间节点和步骤、具体的人员安排及明确的分工、对突发情况有具体的应对措施三项内容中的任意两项），加</w:t>
            </w:r>
            <w:r>
              <w:rPr>
                <w:rFonts w:hint="eastAsia" w:ascii="宋体" w:hAnsi="宋体"/>
                <w:szCs w:val="21"/>
                <w:highlight w:val="none"/>
                <w:lang w:val="en-US" w:eastAsia="zh-CN"/>
              </w:rPr>
              <w:t>3</w:t>
            </w:r>
            <w:r>
              <w:rPr>
                <w:rFonts w:hint="eastAsia" w:ascii="宋体" w:hAnsi="宋体"/>
                <w:szCs w:val="21"/>
                <w:highlight w:val="none"/>
              </w:rPr>
              <w:t>分；</w:t>
            </w:r>
          </w:p>
          <w:p>
            <w:pPr>
              <w:pStyle w:val="19"/>
              <w:rPr>
                <w:rFonts w:ascii="宋体" w:hAnsi="宋体"/>
                <w:szCs w:val="21"/>
                <w:highlight w:val="none"/>
              </w:rPr>
            </w:pPr>
            <w:r>
              <w:rPr>
                <w:rFonts w:hint="eastAsia" w:ascii="宋体" w:hAnsi="宋体"/>
                <w:szCs w:val="21"/>
                <w:highlight w:val="none"/>
              </w:rPr>
              <w:t>3.评审为中（</w:t>
            </w:r>
            <w:r>
              <w:rPr>
                <w:rFonts w:hint="eastAsia"/>
                <w:highlight w:val="none"/>
              </w:rPr>
              <w:t>方案中体现</w:t>
            </w:r>
            <w:r>
              <w:rPr>
                <w:rFonts w:hint="eastAsia" w:ascii="宋体" w:hAnsi="宋体"/>
                <w:szCs w:val="21"/>
                <w:highlight w:val="none"/>
              </w:rPr>
              <w:t>具体的时间节点和步骤、具体的人员安排及明确的分工、对突发情况有具体的应对措施三项内容中的任意一项），加</w:t>
            </w:r>
            <w:r>
              <w:rPr>
                <w:rFonts w:hint="eastAsia" w:ascii="宋体" w:hAnsi="宋体"/>
                <w:szCs w:val="21"/>
                <w:highlight w:val="none"/>
                <w:lang w:val="en-US" w:eastAsia="zh-CN"/>
              </w:rPr>
              <w:t>1</w:t>
            </w:r>
            <w:r>
              <w:rPr>
                <w:rFonts w:hint="eastAsia" w:ascii="宋体" w:hAnsi="宋体"/>
                <w:szCs w:val="21"/>
                <w:highlight w:val="none"/>
              </w:rPr>
              <w:t>分；</w:t>
            </w:r>
          </w:p>
          <w:p>
            <w:pPr>
              <w:pStyle w:val="19"/>
              <w:rPr>
                <w:rFonts w:ascii="宋体" w:hAnsi="宋体"/>
                <w:szCs w:val="21"/>
                <w:highlight w:val="none"/>
              </w:rPr>
            </w:pPr>
            <w:r>
              <w:rPr>
                <w:rFonts w:hint="eastAsia" w:ascii="宋体" w:hAnsi="宋体"/>
                <w:szCs w:val="21"/>
                <w:highlight w:val="none"/>
              </w:rPr>
              <w:t>4.评审为差（</w:t>
            </w:r>
            <w:r>
              <w:rPr>
                <w:rFonts w:hint="eastAsia"/>
                <w:highlight w:val="none"/>
              </w:rPr>
              <w:t>方案中未体现</w:t>
            </w:r>
            <w:r>
              <w:rPr>
                <w:rFonts w:hint="eastAsia" w:ascii="宋体" w:hAnsi="宋体"/>
                <w:szCs w:val="21"/>
                <w:highlight w:val="none"/>
              </w:rPr>
              <w:t>具体的时间节点和步骤、具体的人员安排及明确的分工、对突发情况有具体的应对措施任意一项内容的），不加分；</w:t>
            </w:r>
          </w:p>
          <w:p>
            <w:pPr>
              <w:pStyle w:val="19"/>
              <w:rPr>
                <w:rFonts w:ascii="宋体" w:hAnsi="宋体"/>
                <w:kern w:val="0"/>
                <w:szCs w:val="21"/>
                <w:highlight w:val="none"/>
              </w:rPr>
            </w:pPr>
            <w:r>
              <w:rPr>
                <w:rFonts w:hint="eastAsia" w:ascii="宋体" w:hAnsi="宋体"/>
                <w:szCs w:val="21"/>
                <w:highlight w:val="none"/>
              </w:rPr>
              <w:t>如果评审为差，要求专家书面说明理由，并记录在档。</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项目重点难点分析、应对措施及相关的合理化建议</w:t>
            </w:r>
          </w:p>
        </w:tc>
        <w:tc>
          <w:tcPr>
            <w:tcW w:w="709" w:type="dxa"/>
            <w:vAlign w:val="center"/>
          </w:tcPr>
          <w:p>
            <w:pPr>
              <w:widowControl/>
              <w:spacing w:line="360" w:lineRule="exact"/>
              <w:jc w:val="center"/>
              <w:rPr>
                <w:rFonts w:hint="default" w:ascii="宋体" w:hAnsi="宋体" w:eastAsia="宋体"/>
                <w:kern w:val="0"/>
                <w:szCs w:val="21"/>
                <w:highlight w:val="none"/>
                <w:lang w:val="en-US" w:eastAsia="zh-CN"/>
              </w:rPr>
            </w:pPr>
            <w:r>
              <w:rPr>
                <w:rFonts w:hint="eastAsia" w:ascii="宋体" w:hAnsi="宋体"/>
                <w:szCs w:val="21"/>
                <w:highlight w:val="none"/>
                <w:lang w:val="en-US" w:eastAsia="zh-CN"/>
              </w:rPr>
              <w:t>12</w:t>
            </w:r>
          </w:p>
        </w:tc>
        <w:tc>
          <w:tcPr>
            <w:tcW w:w="5953" w:type="dxa"/>
            <w:vAlign w:val="center"/>
          </w:tcPr>
          <w:p>
            <w:pPr>
              <w:pStyle w:val="95"/>
              <w:spacing w:line="360" w:lineRule="exact"/>
              <w:ind w:firstLine="0" w:firstLineChars="0"/>
              <w:rPr>
                <w:rFonts w:ascii="宋体" w:hAnsi="宋体"/>
                <w:szCs w:val="21"/>
                <w:highlight w:val="none"/>
              </w:rPr>
            </w:pPr>
            <w:r>
              <w:rPr>
                <w:rFonts w:hint="eastAsia" w:ascii="宋体" w:hAnsi="宋体"/>
                <w:szCs w:val="21"/>
                <w:highlight w:val="none"/>
              </w:rPr>
              <w:t>（一）评审内容：</w:t>
            </w:r>
            <w:r>
              <w:rPr>
                <w:rFonts w:hint="eastAsia" w:ascii="宋体" w:hAnsi="宋体"/>
                <w:szCs w:val="21"/>
                <w:highlight w:val="none"/>
              </w:rPr>
              <w:br w:type="textWrapping"/>
            </w:r>
            <w:r>
              <w:rPr>
                <w:rFonts w:hint="eastAsia" w:ascii="宋体" w:hAnsi="宋体"/>
                <w:szCs w:val="21"/>
                <w:highlight w:val="none"/>
              </w:rPr>
              <w:t xml:space="preserve">投标人针对本项目需求提供项目重点难点分析、应对措施及相关的合理化建议，包括下述内容：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1.项目重点难点分析；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2.应对措施；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3.相关的合理化建议。  </w:t>
            </w:r>
          </w:p>
          <w:p>
            <w:pPr>
              <w:widowControl/>
              <w:snapToGrid w:val="0"/>
              <w:spacing w:line="360" w:lineRule="exact"/>
              <w:jc w:val="left"/>
              <w:rPr>
                <w:rFonts w:ascii="宋体" w:hAnsi="宋体"/>
                <w:kern w:val="0"/>
                <w:szCs w:val="21"/>
                <w:highlight w:val="none"/>
              </w:rPr>
            </w:pPr>
            <w:r>
              <w:rPr>
                <w:rFonts w:hint="eastAsia" w:ascii="宋体" w:hAnsi="宋体"/>
                <w:szCs w:val="21"/>
                <w:highlight w:val="none"/>
              </w:rPr>
              <w:t>（二）</w:t>
            </w:r>
            <w:r>
              <w:rPr>
                <w:rFonts w:hint="eastAsia" w:ascii="宋体" w:hAnsi="宋体"/>
                <w:kern w:val="0"/>
                <w:szCs w:val="21"/>
                <w:highlight w:val="none"/>
              </w:rPr>
              <w:t>评分标准：</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方案具有以上 3 项内容得 </w:t>
            </w:r>
            <w:r>
              <w:rPr>
                <w:rFonts w:hint="eastAsia" w:ascii="宋体" w:hAnsi="宋体"/>
                <w:szCs w:val="21"/>
                <w:highlight w:val="none"/>
                <w:lang w:val="en-US" w:eastAsia="zh-CN"/>
              </w:rPr>
              <w:t>6</w:t>
            </w:r>
            <w:r>
              <w:rPr>
                <w:rFonts w:hint="eastAsia" w:ascii="宋体" w:hAnsi="宋体"/>
                <w:szCs w:val="21"/>
                <w:highlight w:val="none"/>
              </w:rPr>
              <w:t>分，具有以上 2项内容得</w:t>
            </w:r>
            <w:r>
              <w:rPr>
                <w:rFonts w:hint="eastAsia" w:ascii="宋体" w:hAnsi="宋体"/>
                <w:szCs w:val="21"/>
                <w:highlight w:val="none"/>
                <w:lang w:val="en-US" w:eastAsia="zh-CN"/>
              </w:rPr>
              <w:t>4</w:t>
            </w:r>
            <w:r>
              <w:rPr>
                <w:rFonts w:hint="eastAsia" w:ascii="宋体" w:hAnsi="宋体"/>
                <w:szCs w:val="21"/>
                <w:highlight w:val="none"/>
              </w:rPr>
              <w:t xml:space="preserve">分，具有以上 1 项内容得 </w:t>
            </w:r>
            <w:r>
              <w:rPr>
                <w:rFonts w:hint="eastAsia" w:ascii="宋体" w:hAnsi="宋体"/>
                <w:szCs w:val="21"/>
                <w:highlight w:val="none"/>
                <w:lang w:val="en-US" w:eastAsia="zh-CN"/>
              </w:rPr>
              <w:t>2</w:t>
            </w:r>
            <w:r>
              <w:rPr>
                <w:rFonts w:hint="eastAsia" w:ascii="宋体" w:hAnsi="宋体"/>
                <w:szCs w:val="21"/>
                <w:highlight w:val="none"/>
              </w:rPr>
              <w:t xml:space="preserve">分，其他不得分。 </w:t>
            </w:r>
          </w:p>
          <w:p>
            <w:pPr>
              <w:pStyle w:val="95"/>
              <w:spacing w:line="360" w:lineRule="exact"/>
              <w:ind w:firstLine="0" w:firstLineChars="0"/>
              <w:rPr>
                <w:rFonts w:ascii="宋体" w:hAnsi="宋体"/>
                <w:szCs w:val="21"/>
                <w:highlight w:val="none"/>
              </w:rPr>
            </w:pPr>
            <w:r>
              <w:rPr>
                <w:rFonts w:hint="eastAsia" w:ascii="宋体" w:hAnsi="宋体"/>
                <w:szCs w:val="21"/>
                <w:highlight w:val="none"/>
              </w:rPr>
              <w:t>在此基础上，专家根据各供应商的具体响应内容按照量化的评审因素指标进一步评审。</w:t>
            </w:r>
          </w:p>
          <w:p>
            <w:pPr>
              <w:pStyle w:val="95"/>
              <w:spacing w:line="360" w:lineRule="exact"/>
              <w:ind w:firstLine="0" w:firstLineChars="0"/>
              <w:rPr>
                <w:rFonts w:ascii="宋体" w:hAnsi="宋体"/>
                <w:szCs w:val="21"/>
                <w:highlight w:val="none"/>
              </w:rPr>
            </w:pPr>
            <w:r>
              <w:rPr>
                <w:rFonts w:hint="eastAsia" w:ascii="宋体" w:hAnsi="宋体"/>
                <w:szCs w:val="21"/>
                <w:highlight w:val="none"/>
              </w:rPr>
              <w:t>1.评审为优（对重难点理解准确全面，有针对性详细分析，且能提出符合实际且可行性强的应对措施）的加</w:t>
            </w:r>
            <w:r>
              <w:rPr>
                <w:rFonts w:hint="eastAsia" w:ascii="宋体" w:hAnsi="宋体"/>
                <w:szCs w:val="21"/>
                <w:highlight w:val="none"/>
                <w:lang w:val="en-US" w:eastAsia="zh-CN"/>
              </w:rPr>
              <w:t>6</w:t>
            </w:r>
            <w:r>
              <w:rPr>
                <w:rFonts w:hint="eastAsia" w:ascii="宋体" w:hAnsi="宋体"/>
                <w:szCs w:val="21"/>
                <w:highlight w:val="none"/>
              </w:rPr>
              <w:t>分；</w:t>
            </w:r>
          </w:p>
          <w:p>
            <w:pPr>
              <w:pStyle w:val="95"/>
              <w:spacing w:line="360" w:lineRule="exact"/>
              <w:ind w:firstLine="0" w:firstLineChars="0"/>
              <w:rPr>
                <w:rFonts w:ascii="宋体" w:hAnsi="宋体"/>
                <w:szCs w:val="21"/>
                <w:highlight w:val="none"/>
              </w:rPr>
            </w:pPr>
            <w:r>
              <w:rPr>
                <w:rFonts w:hint="eastAsia" w:ascii="宋体" w:hAnsi="宋体"/>
                <w:szCs w:val="21"/>
                <w:highlight w:val="none"/>
              </w:rPr>
              <w:t>2.评审为良（对重难点理解不准确但进行了针对性详细分析或对重难点理解准确但对重难点分析不全面，应对措施详细但不能完全贴合实际或可行性不强）的加</w:t>
            </w:r>
            <w:r>
              <w:rPr>
                <w:rFonts w:hint="eastAsia" w:ascii="宋体" w:hAnsi="宋体"/>
                <w:szCs w:val="21"/>
                <w:highlight w:val="none"/>
                <w:lang w:val="en-US" w:eastAsia="zh-CN"/>
              </w:rPr>
              <w:t>4</w:t>
            </w:r>
            <w:r>
              <w:rPr>
                <w:rFonts w:hint="eastAsia" w:ascii="宋体" w:hAnsi="宋体"/>
                <w:szCs w:val="21"/>
                <w:highlight w:val="none"/>
              </w:rPr>
              <w:t>分；</w:t>
            </w:r>
          </w:p>
          <w:p>
            <w:pPr>
              <w:pStyle w:val="95"/>
              <w:spacing w:line="360" w:lineRule="exact"/>
              <w:ind w:firstLine="0" w:firstLineChars="0"/>
              <w:rPr>
                <w:rFonts w:ascii="宋体" w:hAnsi="宋体"/>
                <w:szCs w:val="21"/>
                <w:highlight w:val="none"/>
              </w:rPr>
            </w:pPr>
            <w:r>
              <w:rPr>
                <w:rFonts w:hint="eastAsia" w:ascii="宋体" w:hAnsi="宋体"/>
                <w:szCs w:val="21"/>
                <w:highlight w:val="none"/>
              </w:rPr>
              <w:t>3.评审为中（对重难点理解不准确且重难点分析不全面，应对措施简要且不能贴合实际的）的加</w:t>
            </w:r>
            <w:r>
              <w:rPr>
                <w:rFonts w:hint="eastAsia" w:ascii="宋体" w:hAnsi="宋体"/>
                <w:szCs w:val="21"/>
                <w:highlight w:val="none"/>
                <w:lang w:val="en-US" w:eastAsia="zh-CN"/>
              </w:rPr>
              <w:t>2</w:t>
            </w:r>
            <w:r>
              <w:rPr>
                <w:rFonts w:hint="eastAsia" w:ascii="宋体" w:hAnsi="宋体"/>
                <w:szCs w:val="21"/>
                <w:highlight w:val="none"/>
              </w:rPr>
              <w:t>分；</w:t>
            </w:r>
          </w:p>
          <w:p>
            <w:pPr>
              <w:pStyle w:val="95"/>
              <w:spacing w:line="360" w:lineRule="exact"/>
              <w:ind w:firstLine="0" w:firstLineChars="0"/>
              <w:rPr>
                <w:rFonts w:ascii="宋体" w:hAnsi="宋体" w:cs="宋体"/>
                <w:szCs w:val="21"/>
                <w:highlight w:val="none"/>
              </w:rPr>
            </w:pPr>
            <w:r>
              <w:rPr>
                <w:rFonts w:hint="eastAsia" w:ascii="宋体" w:hAnsi="宋体"/>
                <w:szCs w:val="21"/>
                <w:highlight w:val="none"/>
              </w:rPr>
              <w:t>4.评审为差（未提供项目重点难点分析、应对措施及相关的合理化建议或没有正确理解重难点且没有详细分析，应对措施不符合实际）的不加分；</w:t>
            </w:r>
            <w:r>
              <w:rPr>
                <w:rFonts w:hint="eastAsia" w:ascii="宋体" w:hAnsi="宋体"/>
                <w:szCs w:val="21"/>
                <w:highlight w:val="none"/>
              </w:rPr>
              <w:br w:type="textWrapping"/>
            </w:r>
            <w:r>
              <w:rPr>
                <w:rFonts w:hint="eastAsia" w:ascii="宋体" w:hAnsi="宋体"/>
                <w:szCs w:val="21"/>
                <w:highlight w:val="none"/>
              </w:rPr>
              <w:t>如果评审为差，要求专家书面说明理由，并记录在档。</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6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质量（完成时间、安全、环保）保障措施及方案</w:t>
            </w:r>
          </w:p>
        </w:tc>
        <w:tc>
          <w:tcPr>
            <w:tcW w:w="709" w:type="dxa"/>
            <w:vAlign w:val="center"/>
          </w:tcPr>
          <w:p>
            <w:pPr>
              <w:widowControl/>
              <w:spacing w:line="360" w:lineRule="exact"/>
              <w:jc w:val="center"/>
              <w:rPr>
                <w:rFonts w:hint="default" w:ascii="宋体" w:hAnsi="宋体" w:eastAsia="宋体"/>
                <w:kern w:val="0"/>
                <w:szCs w:val="21"/>
                <w:highlight w:val="none"/>
                <w:lang w:val="en-US" w:eastAsia="zh-CN"/>
              </w:rPr>
            </w:pPr>
            <w:r>
              <w:rPr>
                <w:rFonts w:hint="eastAsia" w:ascii="宋体" w:hAnsi="宋体"/>
                <w:kern w:val="0"/>
                <w:szCs w:val="21"/>
                <w:highlight w:val="none"/>
                <w:lang w:val="en-US" w:eastAsia="zh-CN"/>
              </w:rPr>
              <w:t>11</w:t>
            </w:r>
          </w:p>
        </w:tc>
        <w:tc>
          <w:tcPr>
            <w:tcW w:w="5953" w:type="dxa"/>
            <w:vAlign w:val="center"/>
          </w:tcPr>
          <w:p>
            <w:pPr>
              <w:pStyle w:val="95"/>
              <w:spacing w:line="360" w:lineRule="exact"/>
              <w:ind w:firstLine="0" w:firstLineChars="0"/>
              <w:rPr>
                <w:rFonts w:ascii="宋体" w:hAnsi="宋体"/>
                <w:szCs w:val="21"/>
                <w:highlight w:val="none"/>
              </w:rPr>
            </w:pPr>
            <w:r>
              <w:rPr>
                <w:rFonts w:hint="eastAsia" w:ascii="宋体" w:hAnsi="宋体"/>
                <w:szCs w:val="21"/>
                <w:highlight w:val="none"/>
              </w:rPr>
              <w:t>（一）评审内容：</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考察投标人针对本项目需求提供的质量保障措施及方案，具体要求包括：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1.项目完成时间；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2.项目时间管理制度与措施；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3.项目质量管理制度与措施； </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4.项目资料、成果安全性保障制度与措施。 </w:t>
            </w:r>
          </w:p>
          <w:p>
            <w:pPr>
              <w:widowControl/>
              <w:snapToGrid w:val="0"/>
              <w:spacing w:line="360" w:lineRule="exact"/>
              <w:jc w:val="left"/>
              <w:rPr>
                <w:rFonts w:ascii="宋体" w:hAnsi="宋体"/>
                <w:kern w:val="0"/>
                <w:szCs w:val="21"/>
                <w:highlight w:val="none"/>
              </w:rPr>
            </w:pPr>
            <w:r>
              <w:rPr>
                <w:rFonts w:hint="eastAsia" w:ascii="宋体" w:hAnsi="宋体"/>
                <w:szCs w:val="21"/>
                <w:highlight w:val="none"/>
              </w:rPr>
              <w:t>（二）</w:t>
            </w:r>
            <w:r>
              <w:rPr>
                <w:rFonts w:hint="eastAsia" w:ascii="宋体" w:hAnsi="宋体"/>
                <w:kern w:val="0"/>
                <w:szCs w:val="21"/>
                <w:highlight w:val="none"/>
              </w:rPr>
              <w:t>评分标准：</w:t>
            </w:r>
          </w:p>
          <w:p>
            <w:pPr>
              <w:pStyle w:val="95"/>
              <w:spacing w:line="360" w:lineRule="exact"/>
              <w:ind w:firstLine="0" w:firstLineChars="0"/>
              <w:rPr>
                <w:rFonts w:ascii="宋体" w:hAnsi="宋体"/>
                <w:szCs w:val="21"/>
                <w:highlight w:val="none"/>
              </w:rPr>
            </w:pPr>
            <w:r>
              <w:rPr>
                <w:rFonts w:hint="eastAsia" w:ascii="宋体" w:hAnsi="宋体"/>
                <w:szCs w:val="21"/>
                <w:highlight w:val="none"/>
              </w:rPr>
              <w:t xml:space="preserve">方案具有以上 4 项内容得 </w:t>
            </w:r>
            <w:r>
              <w:rPr>
                <w:rFonts w:hint="eastAsia" w:ascii="宋体" w:hAnsi="宋体"/>
                <w:szCs w:val="21"/>
                <w:highlight w:val="none"/>
                <w:lang w:val="en-US" w:eastAsia="zh-CN"/>
              </w:rPr>
              <w:t>6</w:t>
            </w:r>
            <w:r>
              <w:rPr>
                <w:rFonts w:hint="eastAsia" w:ascii="宋体" w:hAnsi="宋体"/>
                <w:szCs w:val="21"/>
                <w:highlight w:val="none"/>
              </w:rPr>
              <w:t>分；具有以上 3 项内容得</w:t>
            </w:r>
            <w:r>
              <w:rPr>
                <w:rFonts w:hint="eastAsia" w:ascii="宋体" w:hAnsi="宋体"/>
                <w:szCs w:val="21"/>
                <w:highlight w:val="none"/>
                <w:lang w:val="en-US" w:eastAsia="zh-CN"/>
              </w:rPr>
              <w:t>4</w:t>
            </w:r>
            <w:r>
              <w:rPr>
                <w:rFonts w:hint="eastAsia" w:ascii="宋体" w:hAnsi="宋体"/>
                <w:szCs w:val="21"/>
                <w:highlight w:val="none"/>
              </w:rPr>
              <w:t xml:space="preserve">分；具有以上 2 项内容得 </w:t>
            </w:r>
            <w:r>
              <w:rPr>
                <w:rFonts w:hint="eastAsia" w:ascii="宋体" w:hAnsi="宋体"/>
                <w:szCs w:val="21"/>
                <w:highlight w:val="none"/>
                <w:lang w:val="en-US" w:eastAsia="zh-CN"/>
              </w:rPr>
              <w:t>2</w:t>
            </w:r>
            <w:r>
              <w:rPr>
                <w:rFonts w:hint="eastAsia" w:ascii="宋体" w:hAnsi="宋体"/>
                <w:szCs w:val="21"/>
                <w:highlight w:val="none"/>
              </w:rPr>
              <w:t xml:space="preserve"> 分；其他不得分。 </w:t>
            </w:r>
          </w:p>
          <w:p>
            <w:pPr>
              <w:pStyle w:val="95"/>
              <w:spacing w:line="360" w:lineRule="exact"/>
              <w:ind w:firstLine="0" w:firstLineChars="0"/>
              <w:rPr>
                <w:rFonts w:ascii="宋体" w:hAnsi="宋体"/>
                <w:szCs w:val="21"/>
                <w:highlight w:val="none"/>
              </w:rPr>
            </w:pPr>
            <w:r>
              <w:rPr>
                <w:rFonts w:hint="eastAsia" w:ascii="宋体" w:hAnsi="宋体"/>
                <w:szCs w:val="21"/>
                <w:highlight w:val="none"/>
              </w:rPr>
              <w:t>在此基础上，专家根据各供应商的具体响应内容按照量化的评审因素指标进一步评审。</w:t>
            </w:r>
          </w:p>
          <w:p>
            <w:pPr>
              <w:pStyle w:val="95"/>
              <w:spacing w:line="360" w:lineRule="exact"/>
              <w:ind w:firstLine="0" w:firstLineChars="0"/>
              <w:rPr>
                <w:rFonts w:ascii="宋体" w:hAnsi="宋体"/>
                <w:szCs w:val="21"/>
                <w:highlight w:val="none"/>
              </w:rPr>
            </w:pPr>
            <w:r>
              <w:rPr>
                <w:rFonts w:hint="eastAsia" w:ascii="宋体" w:hAnsi="宋体"/>
                <w:szCs w:val="21"/>
                <w:highlight w:val="none"/>
              </w:rPr>
              <w:t>1.评审为优（质量保障措施及方案内容全面、针对性强、可操作性强）的加</w:t>
            </w:r>
            <w:r>
              <w:rPr>
                <w:rFonts w:hint="eastAsia" w:ascii="宋体" w:hAnsi="宋体"/>
                <w:szCs w:val="21"/>
                <w:highlight w:val="none"/>
                <w:lang w:val="en-US" w:eastAsia="zh-CN"/>
              </w:rPr>
              <w:t>5</w:t>
            </w:r>
            <w:r>
              <w:rPr>
                <w:rFonts w:hint="eastAsia" w:ascii="宋体" w:hAnsi="宋体"/>
                <w:szCs w:val="21"/>
                <w:highlight w:val="none"/>
              </w:rPr>
              <w:t>分；</w:t>
            </w:r>
          </w:p>
          <w:p>
            <w:pPr>
              <w:pStyle w:val="95"/>
              <w:spacing w:line="360" w:lineRule="exact"/>
              <w:ind w:firstLine="0" w:firstLineChars="0"/>
              <w:rPr>
                <w:rFonts w:ascii="宋体" w:hAnsi="宋体"/>
                <w:szCs w:val="21"/>
                <w:highlight w:val="none"/>
              </w:rPr>
            </w:pPr>
            <w:r>
              <w:rPr>
                <w:rFonts w:hint="eastAsia" w:ascii="宋体" w:hAnsi="宋体"/>
                <w:szCs w:val="21"/>
                <w:highlight w:val="none"/>
              </w:rPr>
              <w:t>2.评审为良（质量保障措施及方案较全面、针对性较强、可操作性较强）的加</w:t>
            </w:r>
            <w:r>
              <w:rPr>
                <w:rFonts w:hint="eastAsia" w:ascii="宋体" w:hAnsi="宋体"/>
                <w:szCs w:val="21"/>
                <w:highlight w:val="none"/>
                <w:lang w:val="en-US" w:eastAsia="zh-CN"/>
              </w:rPr>
              <w:t>3</w:t>
            </w:r>
            <w:r>
              <w:rPr>
                <w:rFonts w:hint="eastAsia" w:ascii="宋体" w:hAnsi="宋体"/>
                <w:szCs w:val="21"/>
                <w:highlight w:val="none"/>
              </w:rPr>
              <w:t>分；</w:t>
            </w:r>
          </w:p>
          <w:p>
            <w:pPr>
              <w:pStyle w:val="95"/>
              <w:spacing w:line="360" w:lineRule="exact"/>
              <w:ind w:firstLine="0" w:firstLineChars="0"/>
              <w:rPr>
                <w:rFonts w:ascii="宋体" w:hAnsi="宋体"/>
                <w:szCs w:val="21"/>
                <w:highlight w:val="none"/>
              </w:rPr>
            </w:pPr>
            <w:r>
              <w:rPr>
                <w:rFonts w:hint="eastAsia" w:ascii="宋体" w:hAnsi="宋体"/>
                <w:szCs w:val="21"/>
                <w:highlight w:val="none"/>
              </w:rPr>
              <w:t>3.评审为中（质量保障措施及方案内容完整性、针对性、可操作性均一般）的加</w:t>
            </w:r>
            <w:r>
              <w:rPr>
                <w:rFonts w:hint="eastAsia" w:ascii="宋体" w:hAnsi="宋体"/>
                <w:szCs w:val="21"/>
                <w:highlight w:val="none"/>
                <w:lang w:val="en-US" w:eastAsia="zh-CN"/>
              </w:rPr>
              <w:t>1</w:t>
            </w:r>
            <w:r>
              <w:rPr>
                <w:rFonts w:hint="eastAsia" w:ascii="宋体" w:hAnsi="宋体"/>
                <w:szCs w:val="21"/>
                <w:highlight w:val="none"/>
              </w:rPr>
              <w:t>分；</w:t>
            </w:r>
          </w:p>
          <w:p>
            <w:pPr>
              <w:pStyle w:val="95"/>
              <w:spacing w:line="360" w:lineRule="exact"/>
              <w:ind w:firstLine="0" w:firstLineChars="0"/>
              <w:rPr>
                <w:rFonts w:ascii="宋体" w:hAnsi="宋体"/>
                <w:kern w:val="0"/>
                <w:szCs w:val="21"/>
                <w:highlight w:val="none"/>
              </w:rPr>
            </w:pPr>
            <w:r>
              <w:rPr>
                <w:rFonts w:hint="eastAsia" w:ascii="宋体" w:hAnsi="宋体"/>
                <w:szCs w:val="21"/>
                <w:highlight w:val="none"/>
              </w:rPr>
              <w:t>4.评审为差（未提供质量保障措施及方案或质量保障措施及方案内容不完善、针对性较弱、可操作性不强）的不加分；</w:t>
            </w:r>
            <w:r>
              <w:rPr>
                <w:rFonts w:hint="eastAsia" w:ascii="宋体" w:hAnsi="宋体"/>
                <w:szCs w:val="21"/>
                <w:highlight w:val="none"/>
              </w:rPr>
              <w:br w:type="textWrapping"/>
            </w:r>
            <w:r>
              <w:rPr>
                <w:rFonts w:hint="eastAsia" w:ascii="宋体" w:hAnsi="宋体"/>
                <w:szCs w:val="21"/>
                <w:highlight w:val="none"/>
              </w:rPr>
              <w:t>如果评审为差，要求专家书面说明理由，并记录在档。</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23"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（一）评审内容：</w:t>
            </w:r>
          </w:p>
          <w:p>
            <w:pPr>
              <w:pStyle w:val="95"/>
              <w:spacing w:line="360" w:lineRule="exact"/>
              <w:ind w:firstLine="0" w:firstLineChars="0"/>
              <w:rPr>
                <w:rFonts w:ascii="宋体" w:hAnsi="宋体"/>
                <w:szCs w:val="21"/>
              </w:rPr>
            </w:pPr>
            <w:r>
              <w:rPr>
                <w:rFonts w:hint="eastAsia" w:ascii="宋体" w:hAnsi="宋体"/>
                <w:szCs w:val="21"/>
              </w:rPr>
              <w:t>投标人</w:t>
            </w:r>
            <w:r>
              <w:rPr>
                <w:rFonts w:hint="eastAsia" w:ascii="宋体" w:hAnsi="宋体" w:cs="宋体"/>
                <w:szCs w:val="21"/>
              </w:rPr>
              <w:t>提供服务期满后的服务承诺，</w:t>
            </w:r>
            <w:r>
              <w:rPr>
                <w:rFonts w:hint="eastAsia" w:ascii="宋体" w:hAnsi="宋体"/>
                <w:szCs w:val="21"/>
              </w:rPr>
              <w:t>承诺以下全部二项的得2分，否则不得分。</w:t>
            </w:r>
          </w:p>
          <w:p>
            <w:pPr>
              <w:pStyle w:val="95"/>
              <w:spacing w:line="360" w:lineRule="exact"/>
              <w:ind w:firstLine="0" w:firstLineChars="0"/>
              <w:rPr>
                <w:rFonts w:ascii="宋体" w:hAnsi="宋体"/>
                <w:szCs w:val="21"/>
              </w:rPr>
            </w:pPr>
            <w:r>
              <w:rPr>
                <w:rFonts w:hint="eastAsia" w:ascii="宋体" w:hAnsi="宋体"/>
                <w:szCs w:val="21"/>
              </w:rPr>
              <w:t>1.提供一年咨询或技术服务，并安排项目实施团队中至少两名技术人员</w:t>
            </w:r>
            <w:r>
              <w:rPr>
                <w:rFonts w:hint="eastAsia"/>
              </w:rPr>
              <w:t>对接项目过程中出现问题的后续跟进，及完成总结等工作</w:t>
            </w:r>
            <w:r>
              <w:rPr>
                <w:rFonts w:hint="eastAsia" w:ascii="宋体" w:hAnsi="宋体"/>
                <w:szCs w:val="21"/>
              </w:rPr>
              <w:t>；</w:t>
            </w:r>
          </w:p>
          <w:p>
            <w:pPr>
              <w:pStyle w:val="95"/>
              <w:spacing w:line="360" w:lineRule="exact"/>
              <w:ind w:firstLine="0" w:firstLineChars="0"/>
              <w:rPr>
                <w:rFonts w:ascii="宋体" w:hAnsi="宋体"/>
                <w:szCs w:val="21"/>
              </w:rPr>
            </w:pPr>
            <w:r>
              <w:rPr>
                <w:rFonts w:hint="eastAsia" w:ascii="宋体" w:hAnsi="宋体"/>
                <w:szCs w:val="21"/>
              </w:rPr>
              <w:t>2.配合与后续服务公司进行交接。</w:t>
            </w:r>
          </w:p>
          <w:p>
            <w:pPr>
              <w:pStyle w:val="95"/>
              <w:spacing w:line="360" w:lineRule="exact"/>
              <w:ind w:firstLine="0" w:firstLineChars="0"/>
              <w:rPr>
                <w:rFonts w:ascii="宋体" w:hAnsi="宋体"/>
                <w:szCs w:val="21"/>
              </w:rPr>
            </w:pPr>
            <w:r>
              <w:rPr>
                <w:rFonts w:hint="eastAsia" w:ascii="宋体" w:hAnsi="宋体"/>
                <w:szCs w:val="21"/>
              </w:rPr>
              <w:t>（二）评分依据：</w:t>
            </w:r>
          </w:p>
          <w:p>
            <w:pPr>
              <w:pStyle w:val="95"/>
              <w:spacing w:line="360" w:lineRule="exact"/>
              <w:ind w:firstLine="0" w:firstLineChars="0"/>
              <w:rPr>
                <w:rFonts w:ascii="宋体" w:hAnsi="宋体" w:cs="宋体"/>
                <w:szCs w:val="21"/>
              </w:rPr>
            </w:pPr>
            <w:r>
              <w:rPr>
                <w:rFonts w:hint="eastAsia" w:ascii="宋体" w:hAnsi="宋体"/>
                <w:szCs w:val="21"/>
              </w:rPr>
              <w:t>要求提供</w:t>
            </w:r>
            <w:r>
              <w:rPr>
                <w:rFonts w:hint="eastAsia" w:ascii="宋体" w:hAnsi="宋体" w:cs="宋体"/>
                <w:szCs w:val="21"/>
              </w:rPr>
              <w:t>《</w:t>
            </w:r>
            <w:r>
              <w:rPr>
                <w:rFonts w:hint="eastAsia" w:ascii="宋体" w:hAnsi="宋体"/>
                <w:szCs w:val="21"/>
              </w:rPr>
              <w:t>项目完成（服务期满）后的服务承诺函》（格式自定）作为得分依据，未提供承诺或承诺内容不满足要求不得分。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（一）评审内容：</w:t>
            </w:r>
          </w:p>
          <w:p>
            <w:pPr>
              <w:pStyle w:val="95"/>
              <w:spacing w:line="360" w:lineRule="exact"/>
              <w:ind w:firstLine="0" w:firstLineChars="0"/>
              <w:rPr>
                <w:rFonts w:ascii="宋体" w:hAnsi="宋体"/>
                <w:szCs w:val="21"/>
              </w:rPr>
            </w:pPr>
            <w:r>
              <w:rPr>
                <w:rFonts w:hint="eastAsia" w:ascii="宋体" w:hAnsi="宋体"/>
                <w:szCs w:val="21"/>
              </w:rPr>
              <w:t>投标人提供项目违约承诺，承诺以下全部三项的得2分，否则不得分。</w:t>
            </w:r>
          </w:p>
          <w:p>
            <w:pPr>
              <w:pStyle w:val="95"/>
              <w:spacing w:line="360" w:lineRule="exact"/>
              <w:ind w:firstLine="0" w:firstLineChars="0"/>
              <w:rPr>
                <w:rFonts w:ascii="宋体" w:hAnsi="宋体"/>
                <w:szCs w:val="21"/>
              </w:rPr>
            </w:pPr>
            <w:r>
              <w:rPr>
                <w:rFonts w:hint="eastAsia" w:ascii="宋体" w:hAnsi="宋体"/>
                <w:szCs w:val="21"/>
              </w:rPr>
              <w:t>1.人员严格按照招标文件及投标承诺配置；</w:t>
            </w:r>
          </w:p>
          <w:p>
            <w:pPr>
              <w:pStyle w:val="95"/>
              <w:spacing w:line="360" w:lineRule="exact"/>
              <w:ind w:firstLine="0" w:firstLineChars="0"/>
              <w:rPr>
                <w:rFonts w:ascii="宋体" w:hAnsi="宋体"/>
                <w:szCs w:val="21"/>
              </w:rPr>
            </w:pPr>
            <w:r>
              <w:rPr>
                <w:rFonts w:hint="eastAsia" w:ascii="宋体" w:hAnsi="宋体"/>
                <w:szCs w:val="21"/>
              </w:rPr>
              <w:t>2.服务质量达到招标文件要求；</w:t>
            </w:r>
          </w:p>
          <w:p>
            <w:pPr>
              <w:pStyle w:val="95"/>
              <w:spacing w:line="360" w:lineRule="exact"/>
              <w:ind w:firstLine="0" w:firstLineChars="0"/>
              <w:rPr>
                <w:rFonts w:ascii="宋体" w:hAnsi="宋体"/>
                <w:szCs w:val="21"/>
              </w:rPr>
            </w:pPr>
            <w:r>
              <w:rPr>
                <w:rFonts w:hint="eastAsia" w:ascii="宋体" w:hAnsi="宋体"/>
                <w:szCs w:val="21"/>
              </w:rPr>
              <w:t>3.对未能达到的管理要求承担管理责任。</w:t>
            </w:r>
          </w:p>
          <w:p>
            <w:pPr>
              <w:pStyle w:val="95"/>
              <w:spacing w:line="360" w:lineRule="exact"/>
              <w:ind w:firstLine="0" w:firstLineChars="0"/>
              <w:rPr>
                <w:rFonts w:ascii="宋体" w:hAnsi="宋体"/>
                <w:szCs w:val="21"/>
              </w:rPr>
            </w:pPr>
            <w:r>
              <w:rPr>
                <w:rFonts w:hint="eastAsia" w:ascii="宋体" w:hAnsi="宋体"/>
                <w:szCs w:val="21"/>
              </w:rPr>
              <w:t>（二）评分依据：</w:t>
            </w:r>
          </w:p>
          <w:p>
            <w:pPr>
              <w:pStyle w:val="95"/>
              <w:spacing w:line="360" w:lineRule="exact"/>
              <w:ind w:firstLine="0" w:firstLineChars="0"/>
              <w:rPr>
                <w:rFonts w:ascii="宋体" w:hAnsi="宋体" w:cs="宋体"/>
                <w:szCs w:val="21"/>
              </w:rPr>
            </w:pPr>
            <w:r>
              <w:rPr>
                <w:rFonts w:hint="eastAsia" w:ascii="宋体" w:hAnsi="宋体"/>
                <w:szCs w:val="21"/>
              </w:rPr>
              <w:t>要求提供《违约承诺函》（格式自定）作为得分依据，未提供承诺或承诺内容不满足要求不得分。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6</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拟安排的项目负责人情况（仅限一人）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（一）评分内容：</w:t>
            </w:r>
            <w:r>
              <w:rPr>
                <w:rFonts w:hint="eastAsia" w:ascii="宋体" w:hAnsi="宋体"/>
                <w:color w:val="000000" w:themeColor="text1"/>
                <w:szCs w:val="21"/>
              </w:rPr>
              <w:br w:type="textWrapping"/>
            </w:r>
            <w:r>
              <w:rPr>
                <w:rFonts w:hint="eastAsia" w:ascii="宋体" w:hAnsi="宋体"/>
                <w:color w:val="000000" w:themeColor="text1"/>
                <w:szCs w:val="21"/>
              </w:rPr>
              <w:t>拟安排项目负责人为投标单位员工（以社保为准），否则本项不得分。</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1.具备食品相关专业</w:t>
            </w:r>
            <w:r>
              <w:rPr>
                <w:rFonts w:hint="eastAsia"/>
              </w:rPr>
              <w:t>硕士及以上学位</w:t>
            </w:r>
            <w:r>
              <w:rPr>
                <w:rFonts w:hint="eastAsia" w:ascii="宋体" w:hAnsi="宋体"/>
                <w:color w:val="000000" w:themeColor="text1"/>
                <w:szCs w:val="21"/>
              </w:rPr>
              <w:t xml:space="preserve">，并取得副高级或以上职称，得2 分，否则不得分； </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 xml:space="preserve">2.具有国家级食品相关专家委员会委员资格的，得1分； </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 xml:space="preserve">3.已发布的食品安全国家标准作为主要参与编制的人员，得1分； </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4.作为国家级食品相关项目的主要参加人员的，得1分。</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 xml:space="preserve">（二）评分依据： </w:t>
            </w:r>
          </w:p>
          <w:p>
            <w:pPr>
              <w:pStyle w:val="95"/>
              <w:spacing w:line="360" w:lineRule="exact"/>
              <w:ind w:firstLine="0" w:firstLineChars="0"/>
              <w:rPr>
                <w:rFonts w:ascii="宋体" w:hAnsi="宋体"/>
                <w:color w:val="auto"/>
                <w:szCs w:val="21"/>
              </w:rPr>
            </w:pPr>
            <w:r>
              <w:rPr>
                <w:rFonts w:hint="eastAsia" w:ascii="宋体" w:hAnsi="宋体"/>
                <w:color w:val="000000" w:themeColor="text1"/>
                <w:szCs w:val="21"/>
              </w:rPr>
              <w:t>1.要求提供通过投标人缴纳的近一个月（由于社保部门</w:t>
            </w:r>
            <w:r>
              <w:rPr>
                <w:rFonts w:hint="eastAsia" w:cs="宋体" w:asciiTheme="minorEastAsia" w:hAnsiTheme="minorEastAsia" w:eastAsiaTheme="minorEastAsia"/>
                <w:color w:val="000000" w:themeColor="text1"/>
                <w:szCs w:val="21"/>
              </w:rPr>
              <w:t>或税务</w:t>
            </w:r>
            <w:r>
              <w:rPr>
                <w:rFonts w:hint="eastAsia" w:cs="宋体" w:asciiTheme="minorEastAsia" w:hAnsiTheme="minorEastAsia" w:eastAsiaTheme="minorEastAsia"/>
                <w:color w:val="auto"/>
                <w:szCs w:val="21"/>
              </w:rPr>
              <w:t>部门</w:t>
            </w:r>
            <w:r>
              <w:rPr>
                <w:rFonts w:hint="eastAsia" w:ascii="宋体" w:hAnsi="宋体"/>
                <w:color w:val="auto"/>
                <w:szCs w:val="21"/>
              </w:rPr>
              <w:t>原因最近一个月的社保证明无法提供的可往前顺延一个月）的社保证明作为本单位员工的证明依据。如供应商为新成立单位且成立时间不足一个月的，可提供加盖公章的情况说明或者证明材料，无需提供相关人员社保，亦可得分；</w:t>
            </w:r>
          </w:p>
          <w:p>
            <w:pPr>
              <w:pStyle w:val="95"/>
              <w:spacing w:line="360" w:lineRule="exact"/>
              <w:ind w:firstLine="0" w:firstLineChars="0"/>
              <w:rPr>
                <w:rFonts w:hint="default" w:ascii="宋体" w:hAnsi="宋体" w:eastAsia="宋体"/>
                <w:color w:val="auto"/>
                <w:szCs w:val="21"/>
                <w:lang w:val="en-US" w:eastAsia="zh-CN"/>
              </w:rPr>
            </w:pPr>
            <w:r>
              <w:rPr>
                <w:rFonts w:hint="eastAsia" w:ascii="宋体" w:hAnsi="宋体"/>
                <w:color w:val="auto"/>
                <w:szCs w:val="21"/>
              </w:rPr>
              <w:t>2.要求提供项目负责人学位证书、职称证书及国家级食品相关专家委员会委员资格的证明材料作为得分依据。评分中出现无证明资料或专家无法凭所提供资料判断是否得分的情况，一律作不得分处理。</w:t>
            </w:r>
          </w:p>
          <w:p>
            <w:pPr>
              <w:pStyle w:val="95"/>
              <w:spacing w:line="360" w:lineRule="exact"/>
              <w:ind w:firstLine="0" w:firstLineChars="0"/>
              <w:rPr>
                <w:rFonts w:ascii="宋体" w:hAnsi="宋体"/>
                <w:szCs w:val="21"/>
              </w:rPr>
            </w:pPr>
            <w:r>
              <w:rPr>
                <w:rFonts w:hint="eastAsia" w:ascii="宋体" w:hAnsi="宋体"/>
                <w:color w:val="auto"/>
                <w:szCs w:val="21"/>
              </w:rPr>
              <w:t>3</w:t>
            </w:r>
            <w:r>
              <w:rPr>
                <w:rFonts w:hint="eastAsia" w:ascii="宋体" w:hAnsi="宋体"/>
                <w:color w:val="auto"/>
                <w:szCs w:val="21"/>
                <w:highlight w:val="none"/>
              </w:rPr>
              <w:t>.</w:t>
            </w:r>
            <w:r>
              <w:rPr>
                <w:rFonts w:hint="eastAsia" w:ascii="宋体" w:hAnsi="宋体"/>
                <w:color w:val="auto"/>
                <w:szCs w:val="21"/>
                <w:highlight w:val="none"/>
                <w:lang w:val="en-US" w:eastAsia="zh-CN"/>
              </w:rPr>
              <w:t>如涉及考察标准编制人员证明材料要求提供</w:t>
            </w:r>
            <w:r>
              <w:rPr>
                <w:rFonts w:hint="eastAsia" w:ascii="宋体" w:hAnsi="宋体" w:cs="宋体"/>
                <w:i w:val="0"/>
                <w:iCs w:val="0"/>
                <w:color w:val="auto"/>
                <w:szCs w:val="21"/>
                <w:highlight w:val="none"/>
                <w:lang w:val="en-US" w:eastAsia="zh-CN"/>
              </w:rPr>
              <w:t>已发布标准封面及前言页或</w:t>
            </w:r>
            <w:r>
              <w:rPr>
                <w:rFonts w:hint="eastAsia" w:ascii="宋体" w:hAnsi="宋体" w:eastAsia="宋体" w:cs="宋体"/>
                <w:i w:val="0"/>
                <w:iCs w:val="0"/>
                <w:color w:val="auto"/>
                <w:szCs w:val="21"/>
                <w:highlight w:val="none"/>
              </w:rPr>
              <w:t>提供项目合同关键信息</w:t>
            </w:r>
            <w:r>
              <w:rPr>
                <w:rFonts w:hint="eastAsia" w:ascii="宋体" w:hAnsi="宋体" w:cs="宋体"/>
                <w:i w:val="0"/>
                <w:iCs w:val="0"/>
                <w:color w:val="auto"/>
                <w:szCs w:val="21"/>
                <w:highlight w:val="none"/>
                <w:lang w:eastAsia="zh-CN"/>
              </w:rPr>
              <w:t>（包含</w:t>
            </w:r>
            <w:r>
              <w:rPr>
                <w:rFonts w:hint="eastAsia" w:ascii="宋体" w:hAnsi="宋体" w:eastAsia="宋体" w:cs="宋体"/>
                <w:i w:val="0"/>
                <w:iCs w:val="0"/>
                <w:color w:val="auto"/>
                <w:szCs w:val="21"/>
                <w:highlight w:val="none"/>
                <w:lang w:val="en-US" w:eastAsia="zh-CN"/>
              </w:rPr>
              <w:t>人员名单信息</w:t>
            </w:r>
            <w:r>
              <w:rPr>
                <w:rFonts w:hint="eastAsia" w:ascii="宋体" w:hAnsi="宋体" w:cs="宋体"/>
                <w:i w:val="0"/>
                <w:iCs w:val="0"/>
                <w:color w:val="auto"/>
                <w:szCs w:val="21"/>
                <w:highlight w:val="none"/>
                <w:lang w:eastAsia="zh-CN"/>
              </w:rPr>
              <w:t>）或</w:t>
            </w:r>
            <w:r>
              <w:rPr>
                <w:rFonts w:hint="eastAsia" w:ascii="宋体" w:hAnsi="宋体" w:eastAsia="宋体" w:cs="宋体"/>
                <w:i w:val="0"/>
                <w:iCs w:val="0"/>
                <w:color w:val="auto"/>
                <w:szCs w:val="21"/>
                <w:highlight w:val="none"/>
              </w:rPr>
              <w:t>相关证明资料作为得分依据</w:t>
            </w:r>
            <w:r>
              <w:rPr>
                <w:rFonts w:hint="eastAsia" w:ascii="宋体" w:hAnsi="宋体" w:eastAsia="宋体" w:cs="宋体"/>
                <w:i w:val="0"/>
                <w:iCs w:val="0"/>
                <w:color w:val="auto"/>
                <w:szCs w:val="21"/>
                <w:highlight w:val="none"/>
                <w:lang w:eastAsia="zh-CN"/>
              </w:rPr>
              <w:t>；</w:t>
            </w:r>
            <w:r>
              <w:rPr>
                <w:rFonts w:hint="eastAsia" w:ascii="宋体" w:hAnsi="宋体" w:eastAsia="宋体" w:cs="宋体"/>
                <w:i w:val="0"/>
                <w:iCs w:val="0"/>
                <w:color w:val="auto"/>
                <w:szCs w:val="21"/>
                <w:highlight w:val="none"/>
                <w:lang w:val="en-US" w:eastAsia="zh-CN"/>
              </w:rPr>
              <w:t>如</w:t>
            </w:r>
            <w:r>
              <w:rPr>
                <w:rFonts w:hint="eastAsia" w:ascii="宋体" w:hAnsi="宋体"/>
                <w:color w:val="auto"/>
                <w:szCs w:val="21"/>
              </w:rPr>
              <w:t>涉及考察人员工作经验，要求提供项目合同关键信息</w:t>
            </w:r>
            <w:r>
              <w:rPr>
                <w:rFonts w:hint="eastAsia" w:ascii="宋体" w:hAnsi="宋体" w:cs="宋体"/>
                <w:i w:val="0"/>
                <w:iCs w:val="0"/>
                <w:color w:val="auto"/>
                <w:szCs w:val="21"/>
                <w:highlight w:val="none"/>
                <w:lang w:eastAsia="zh-CN"/>
              </w:rPr>
              <w:t>（包含</w:t>
            </w:r>
            <w:r>
              <w:rPr>
                <w:rFonts w:hint="eastAsia" w:ascii="宋体" w:hAnsi="宋体" w:eastAsia="宋体" w:cs="宋体"/>
                <w:i w:val="0"/>
                <w:iCs w:val="0"/>
                <w:color w:val="auto"/>
                <w:szCs w:val="21"/>
                <w:highlight w:val="none"/>
                <w:lang w:val="en-US" w:eastAsia="zh-CN"/>
              </w:rPr>
              <w:t>人员名单信息</w:t>
            </w:r>
            <w:r>
              <w:rPr>
                <w:rFonts w:hint="eastAsia" w:ascii="宋体" w:hAnsi="宋体" w:cs="宋体"/>
                <w:i w:val="0"/>
                <w:iCs w:val="0"/>
                <w:color w:val="auto"/>
                <w:szCs w:val="21"/>
                <w:highlight w:val="none"/>
                <w:lang w:eastAsia="zh-CN"/>
              </w:rPr>
              <w:t>）</w:t>
            </w:r>
            <w:r>
              <w:rPr>
                <w:rFonts w:hint="eastAsia" w:ascii="宋体" w:hAnsi="宋体"/>
                <w:color w:val="auto"/>
                <w:szCs w:val="21"/>
              </w:rPr>
              <w:t>作为得分依据，通过合同关键信息无法判断是否得分的，还须同时提供合同甲方出具的证明文件。</w:t>
            </w:r>
            <w:r>
              <w:rPr>
                <w:rFonts w:hint="eastAsia" w:ascii="宋体" w:hAnsi="宋体"/>
                <w:color w:val="auto"/>
                <w:szCs w:val="21"/>
              </w:rPr>
              <w:br w:type="textWrapping"/>
            </w:r>
            <w:r>
              <w:rPr>
                <w:rFonts w:hint="eastAsia" w:ascii="宋体" w:hAnsi="宋体"/>
                <w:color w:val="auto"/>
                <w:szCs w:val="21"/>
              </w:rPr>
              <w:t>4.</w:t>
            </w:r>
            <w:r>
              <w:rPr>
                <w:rFonts w:hint="eastAsia" w:ascii="宋体" w:hAnsi="宋体"/>
                <w:color w:val="000000" w:themeColor="text1"/>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15"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7</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拟安排的项目主要团队成员（主要技术人员）情况（项目负责人除外）</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highlight w:val="none"/>
              </w:rPr>
              <w:t>15</w:t>
            </w:r>
          </w:p>
        </w:tc>
        <w:tc>
          <w:tcPr>
            <w:tcW w:w="5953" w:type="dxa"/>
            <w:vAlign w:val="center"/>
          </w:tcPr>
          <w:p>
            <w:pPr>
              <w:pStyle w:val="95"/>
              <w:spacing w:line="360" w:lineRule="exact"/>
              <w:ind w:firstLine="0" w:firstLineChars="0"/>
              <w:rPr>
                <w:rFonts w:hint="eastAsia" w:ascii="宋体" w:hAnsi="宋体" w:eastAsia="宋体"/>
                <w:color w:val="000000" w:themeColor="text1"/>
                <w:szCs w:val="21"/>
                <w:lang w:eastAsia="zh-CN"/>
              </w:rPr>
            </w:pPr>
            <w:r>
              <w:rPr>
                <w:rFonts w:hint="eastAsia" w:ascii="宋体" w:hAnsi="宋体"/>
                <w:color w:val="000000" w:themeColor="text1"/>
                <w:szCs w:val="21"/>
              </w:rPr>
              <w:t>（一）评分内容：</w:t>
            </w:r>
            <w:r>
              <w:rPr>
                <w:rFonts w:hint="eastAsia" w:ascii="宋体" w:hAnsi="宋体"/>
                <w:color w:val="000000" w:themeColor="text1"/>
                <w:szCs w:val="21"/>
              </w:rPr>
              <w:br w:type="textWrapping"/>
            </w:r>
            <w:r>
              <w:rPr>
                <w:rFonts w:hint="eastAsia" w:ascii="宋体" w:hAnsi="宋体"/>
                <w:color w:val="000000" w:themeColor="text1"/>
                <w:szCs w:val="21"/>
              </w:rPr>
              <w:t>拟安排项目主要团队成员为投标单位员工（以社保为准），主要团队成员人数不少于 12 人，且不少于8人具有食品相关专业的本科及以上学位，负责项目组织、数据分析、培训、宣传等，</w:t>
            </w:r>
            <w:r>
              <w:rPr>
                <w:rFonts w:hint="eastAsia" w:ascii="宋体" w:hAnsi="宋体"/>
                <w:color w:val="auto"/>
                <w:szCs w:val="21"/>
              </w:rPr>
              <w:t>否则本项不得分</w:t>
            </w:r>
            <w:r>
              <w:rPr>
                <w:rFonts w:hint="eastAsia" w:ascii="宋体" w:hAnsi="宋体"/>
                <w:color w:val="auto"/>
                <w:szCs w:val="21"/>
                <w:lang w:eastAsia="zh-CN"/>
              </w:rPr>
              <w:t>。</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 xml:space="preserve">1.具有标准化相关专业副高级（或以上）技术职称，每提供一人得 1 分；具有标准化相关专业中级职称的，每提供一人得 0.5 分。本项最多得 5 分； </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2.具有</w:t>
            </w:r>
            <w:r>
              <w:rPr>
                <w:rFonts w:hint="eastAsia"/>
                <w:highlight w:val="none"/>
              </w:rPr>
              <w:t>食品安全（FSMS）审核员资质（包括实习）或质量管理体系（QMS）审核员资质（包括实习）</w:t>
            </w:r>
            <w:r>
              <w:rPr>
                <w:rFonts w:hint="eastAsia" w:ascii="宋体" w:hAnsi="宋体"/>
                <w:color w:val="000000" w:themeColor="text1"/>
                <w:szCs w:val="21"/>
                <w:highlight w:val="none"/>
              </w:rPr>
              <w:t>，</w:t>
            </w:r>
            <w:r>
              <w:rPr>
                <w:rFonts w:hint="eastAsia" w:ascii="宋体" w:hAnsi="宋体"/>
                <w:color w:val="000000" w:themeColor="text1"/>
                <w:szCs w:val="21"/>
              </w:rPr>
              <w:t xml:space="preserve">每提供一人得 1 分。本项最多得 3 分； </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highlight w:val="none"/>
              </w:rPr>
              <w:t>3.</w:t>
            </w:r>
            <w:r>
              <w:rPr>
                <w:rFonts w:hint="eastAsia" w:ascii="宋体" w:hAnsi="宋体"/>
                <w:color w:val="000000" w:themeColor="text1"/>
                <w:szCs w:val="21"/>
              </w:rPr>
              <w:t>具有市级或以</w:t>
            </w:r>
            <w:r>
              <w:rPr>
                <w:rFonts w:hint="eastAsia" w:ascii="宋体" w:hAnsi="宋体"/>
                <w:color w:val="000000" w:themeColor="text1"/>
                <w:szCs w:val="21"/>
                <w:highlight w:val="none"/>
              </w:rPr>
              <w:t>上</w:t>
            </w:r>
            <w:r>
              <w:rPr>
                <w:rFonts w:hint="eastAsia" w:ascii="宋体" w:hAnsi="宋体"/>
                <w:color w:val="000000" w:themeColor="text1"/>
                <w:szCs w:val="21"/>
                <w:highlight w:val="none"/>
                <w:lang w:val="en-US" w:eastAsia="zh-CN"/>
              </w:rPr>
              <w:t>与</w:t>
            </w:r>
            <w:r>
              <w:rPr>
                <w:rFonts w:hint="eastAsia" w:ascii="宋体" w:hAnsi="宋体"/>
                <w:color w:val="000000" w:themeColor="text1"/>
                <w:szCs w:val="21"/>
                <w:highlight w:val="none"/>
              </w:rPr>
              <w:t>食品或食品相关产品</w:t>
            </w:r>
            <w:r>
              <w:rPr>
                <w:rFonts w:hint="eastAsia" w:ascii="宋体" w:hAnsi="宋体"/>
                <w:color w:val="000000" w:themeColor="text1"/>
                <w:szCs w:val="21"/>
                <w:highlight w:val="none"/>
                <w:lang w:val="en-US" w:eastAsia="zh-CN"/>
              </w:rPr>
              <w:t>的</w:t>
            </w:r>
            <w:r>
              <w:rPr>
                <w:rFonts w:hint="eastAsia" w:ascii="宋体" w:hAnsi="宋体"/>
                <w:color w:val="000000" w:themeColor="text1"/>
                <w:szCs w:val="21"/>
                <w:highlight w:val="none"/>
              </w:rPr>
              <w:t>生产</w:t>
            </w:r>
            <w:r>
              <w:rPr>
                <w:rFonts w:hint="eastAsia" w:ascii="宋体" w:hAnsi="宋体"/>
                <w:color w:val="000000" w:themeColor="text1"/>
                <w:szCs w:val="21"/>
                <w:highlight w:val="none"/>
                <w:lang w:val="en-US" w:eastAsia="zh-CN"/>
              </w:rPr>
              <w:t>相关的</w:t>
            </w:r>
            <w:r>
              <w:rPr>
                <w:rFonts w:hint="eastAsia" w:ascii="宋体" w:hAnsi="宋体"/>
                <w:color w:val="000000" w:themeColor="text1"/>
                <w:szCs w:val="21"/>
                <w:highlight w:val="none"/>
              </w:rPr>
              <w:t>安</w:t>
            </w:r>
            <w:r>
              <w:rPr>
                <w:rFonts w:hint="eastAsia" w:ascii="宋体" w:hAnsi="宋体"/>
                <w:color w:val="000000" w:themeColor="text1"/>
                <w:szCs w:val="21"/>
              </w:rPr>
              <w:t xml:space="preserve">全状况分析专家，每提供一人得 1 分。本项最得 3 分； </w:t>
            </w:r>
          </w:p>
          <w:p>
            <w:pPr>
              <w:pStyle w:val="95"/>
              <w:spacing w:line="360" w:lineRule="exact"/>
              <w:ind w:firstLine="0" w:firstLineChars="0"/>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rPr>
              <w:t>4.具有</w:t>
            </w:r>
            <w:r>
              <w:rPr>
                <w:rFonts w:hint="eastAsia" w:ascii="宋体" w:hAnsi="宋体"/>
                <w:color w:val="000000" w:themeColor="text1"/>
                <w:szCs w:val="21"/>
                <w:highlight w:val="none"/>
              </w:rPr>
              <w:t>市级或以上</w:t>
            </w:r>
            <w:r>
              <w:rPr>
                <w:rFonts w:hint="eastAsia" w:ascii="宋体" w:hAnsi="宋体"/>
                <w:color w:val="000000" w:themeColor="text1"/>
                <w:szCs w:val="21"/>
              </w:rPr>
              <w:t>食品安全检查或评价类项目经验，每提供一人得 0.5 分。本项最多</w:t>
            </w:r>
            <w:r>
              <w:rPr>
                <w:rFonts w:hint="eastAsia" w:ascii="宋体" w:hAnsi="宋体"/>
                <w:color w:val="000000" w:themeColor="text1"/>
                <w:szCs w:val="21"/>
                <w:highlight w:val="none"/>
              </w:rPr>
              <w:t>得</w:t>
            </w:r>
            <w:r>
              <w:rPr>
                <w:rFonts w:hint="eastAsia" w:ascii="宋体" w:hAnsi="宋体"/>
                <w:color w:val="000000" w:themeColor="text1"/>
                <w:szCs w:val="21"/>
                <w:highlight w:val="none"/>
                <w:lang w:val="en-US" w:eastAsia="zh-CN"/>
              </w:rPr>
              <w:t>2</w:t>
            </w:r>
            <w:r>
              <w:rPr>
                <w:rFonts w:hint="eastAsia" w:ascii="宋体" w:hAnsi="宋体"/>
                <w:color w:val="000000" w:themeColor="text1"/>
                <w:szCs w:val="21"/>
                <w:highlight w:val="none"/>
              </w:rPr>
              <w:t xml:space="preserve"> 分； </w:t>
            </w:r>
          </w:p>
          <w:p>
            <w:pPr>
              <w:pStyle w:val="95"/>
              <w:spacing w:line="360" w:lineRule="exact"/>
              <w:ind w:firstLine="0" w:firstLineChars="0"/>
              <w:rPr>
                <w:rFonts w:ascii="宋体" w:hAnsi="宋体"/>
                <w:strike w:val="0"/>
                <w:dstrike w:val="0"/>
                <w:color w:val="000000" w:themeColor="text1"/>
                <w:szCs w:val="21"/>
                <w:highlight w:val="none"/>
              </w:rPr>
            </w:pPr>
            <w:r>
              <w:rPr>
                <w:rFonts w:hint="eastAsia" w:ascii="宋体" w:hAnsi="宋体"/>
                <w:strike w:val="0"/>
                <w:dstrike w:val="0"/>
                <w:color w:val="000000" w:themeColor="text1"/>
                <w:szCs w:val="21"/>
                <w:highlight w:val="none"/>
                <w:lang w:val="en-US" w:eastAsia="zh-CN"/>
              </w:rPr>
              <w:t>5</w:t>
            </w:r>
            <w:r>
              <w:rPr>
                <w:rFonts w:hint="eastAsia" w:ascii="宋体" w:hAnsi="宋体"/>
                <w:strike w:val="0"/>
                <w:dstrike w:val="0"/>
                <w:color w:val="000000" w:themeColor="text1"/>
                <w:szCs w:val="21"/>
                <w:highlight w:val="none"/>
              </w:rPr>
              <w:t>.具有三年以上（含三年）市级</w:t>
            </w:r>
            <w:r>
              <w:rPr>
                <w:rFonts w:hint="eastAsia" w:ascii="宋体" w:hAnsi="宋体"/>
                <w:strike w:val="0"/>
                <w:dstrike w:val="0"/>
                <w:color w:val="000000" w:themeColor="text1"/>
                <w:szCs w:val="21"/>
                <w:highlight w:val="none"/>
                <w:lang w:val="en-US" w:eastAsia="zh-CN"/>
              </w:rPr>
              <w:t>或</w:t>
            </w:r>
            <w:r>
              <w:rPr>
                <w:rFonts w:hint="eastAsia" w:ascii="宋体" w:hAnsi="宋体"/>
                <w:strike w:val="0"/>
                <w:dstrike w:val="0"/>
                <w:color w:val="000000" w:themeColor="text1"/>
                <w:szCs w:val="21"/>
                <w:highlight w:val="none"/>
              </w:rPr>
              <w:t>以上</w:t>
            </w:r>
            <w:r>
              <w:rPr>
                <w:rFonts w:hint="eastAsia" w:ascii="宋体" w:hAnsi="宋体"/>
                <w:strike w:val="0"/>
                <w:dstrike w:val="0"/>
                <w:color w:val="000000" w:themeColor="text1"/>
                <w:szCs w:val="21"/>
                <w:highlight w:val="none"/>
                <w:lang w:val="en-US" w:eastAsia="zh-CN"/>
              </w:rPr>
              <w:t>先进管理体系内部审核员培训</w:t>
            </w:r>
            <w:r>
              <w:rPr>
                <w:rFonts w:hint="eastAsia" w:ascii="宋体" w:hAnsi="宋体"/>
                <w:strike w:val="0"/>
                <w:dstrike w:val="0"/>
                <w:color w:val="000000" w:themeColor="text1"/>
                <w:szCs w:val="21"/>
                <w:highlight w:val="none"/>
              </w:rPr>
              <w:t>工作经验，每提供一人得 0.5 分。本项最多得 2 分。</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 xml:space="preserve">以上 5 项累加计分，同一人可累计得分，累计得分不超过 15 分。 </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（二）评分依据：</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1. 要求提供通过投标人缴纳的近一个月（由于社保部门</w:t>
            </w:r>
            <w:r>
              <w:rPr>
                <w:rFonts w:hint="eastAsia" w:cs="宋体" w:asciiTheme="minorEastAsia" w:hAnsiTheme="minorEastAsia" w:eastAsiaTheme="minorEastAsia"/>
                <w:color w:val="000000" w:themeColor="text1"/>
                <w:szCs w:val="21"/>
              </w:rPr>
              <w:t>或税务部门</w:t>
            </w:r>
            <w:r>
              <w:rPr>
                <w:rFonts w:hint="eastAsia" w:ascii="宋体" w:hAnsi="宋体"/>
                <w:color w:val="000000" w:themeColor="text1"/>
                <w:szCs w:val="21"/>
              </w:rPr>
              <w:t>原因最近一个月的社保证明无法提供的可往前顺延一个月）的社保证明作为本单位员工的证明依据。如供应商为新成立单位且成立时间不足一个月的，可提供加盖公章的情况说明或者证明材料，无需提供相关人员社保，亦可得分；</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2. 要求提供团队成员相关学位证书、职称证书、资质证书及市级或以上</w:t>
            </w:r>
            <w:r>
              <w:rPr>
                <w:rFonts w:hint="eastAsia" w:ascii="宋体" w:hAnsi="宋体"/>
                <w:color w:val="000000" w:themeColor="text1"/>
                <w:szCs w:val="21"/>
                <w:highlight w:val="none"/>
                <w:lang w:val="en-US" w:eastAsia="zh-CN"/>
              </w:rPr>
              <w:t>与</w:t>
            </w:r>
            <w:r>
              <w:rPr>
                <w:rFonts w:hint="eastAsia" w:ascii="宋体" w:hAnsi="宋体"/>
                <w:color w:val="000000" w:themeColor="text1"/>
                <w:szCs w:val="21"/>
                <w:highlight w:val="none"/>
              </w:rPr>
              <w:t>食品或食品相关产品</w:t>
            </w:r>
            <w:r>
              <w:rPr>
                <w:rFonts w:hint="eastAsia" w:ascii="宋体" w:hAnsi="宋体"/>
                <w:color w:val="000000" w:themeColor="text1"/>
                <w:szCs w:val="21"/>
                <w:highlight w:val="none"/>
                <w:lang w:val="en-US" w:eastAsia="zh-CN"/>
              </w:rPr>
              <w:t>的</w:t>
            </w:r>
            <w:r>
              <w:rPr>
                <w:rFonts w:hint="eastAsia" w:ascii="宋体" w:hAnsi="宋体"/>
                <w:color w:val="000000" w:themeColor="text1"/>
                <w:szCs w:val="21"/>
                <w:highlight w:val="none"/>
              </w:rPr>
              <w:t>生产</w:t>
            </w:r>
            <w:r>
              <w:rPr>
                <w:rFonts w:hint="eastAsia" w:ascii="宋体" w:hAnsi="宋体"/>
                <w:color w:val="000000" w:themeColor="text1"/>
                <w:szCs w:val="21"/>
                <w:highlight w:val="none"/>
                <w:lang w:val="en-US" w:eastAsia="zh-CN"/>
              </w:rPr>
              <w:t>相关的</w:t>
            </w:r>
            <w:r>
              <w:rPr>
                <w:rFonts w:hint="eastAsia" w:ascii="宋体" w:hAnsi="宋体"/>
                <w:color w:val="000000" w:themeColor="text1"/>
                <w:szCs w:val="21"/>
              </w:rPr>
              <w:t>安全状况分析专家的证明材料作为得分依据。评分中出现无证明资料或专家无法凭所提供资料判断是否得分的情况，一律作不得分处理。</w:t>
            </w:r>
          </w:p>
          <w:p>
            <w:pPr>
              <w:pStyle w:val="95"/>
              <w:spacing w:line="360" w:lineRule="exact"/>
              <w:ind w:firstLine="0" w:firstLineChars="0"/>
              <w:rPr>
                <w:rFonts w:ascii="宋体" w:hAnsi="宋体"/>
                <w:szCs w:val="21"/>
              </w:rPr>
            </w:pPr>
            <w:r>
              <w:rPr>
                <w:rFonts w:hint="eastAsia" w:ascii="宋体" w:hAnsi="宋体"/>
                <w:color w:val="000000" w:themeColor="text1"/>
                <w:szCs w:val="21"/>
              </w:rPr>
              <w:t>3. 如涉及考察人员工作经验，要求提供项目合同关键信息作为得分依据，通过合同关键信息无法判断是否得分的，还须同时提供合同甲方出具的证明文件。</w:t>
            </w:r>
            <w:r>
              <w:rPr>
                <w:rFonts w:hint="eastAsia" w:ascii="宋体" w:hAnsi="宋体"/>
                <w:color w:val="000000" w:themeColor="text1"/>
                <w:szCs w:val="21"/>
              </w:rPr>
              <w:br w:type="textWrapping"/>
            </w:r>
            <w:r>
              <w:rPr>
                <w:rFonts w:hint="eastAsia" w:ascii="宋体" w:hAnsi="宋体"/>
                <w:color w:val="000000" w:themeColor="text1"/>
                <w:szCs w:val="21"/>
              </w:rPr>
              <w:t>4.提供以上证明文件复印件或扫描件，如涉及网站截图或照片等证明材料，需提供清晰图片，均要求加盖投标人公章，原件备查。未按要求提供有效证明材料或提供不清晰导致评委无法识别的不计得分。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highlight w:val="none"/>
                <w:lang w:val="en-US" w:eastAsia="zh-CN"/>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kern w:val="0"/>
                <w:szCs w:val="21"/>
                <w:highlight w:val="none"/>
              </w:rPr>
              <w:t>供应商资格（资质、认证）情况</w:t>
            </w:r>
          </w:p>
        </w:tc>
        <w:tc>
          <w:tcPr>
            <w:tcW w:w="709" w:type="dxa"/>
            <w:vAlign w:val="center"/>
          </w:tcPr>
          <w:p>
            <w:pPr>
              <w:spacing w:line="360" w:lineRule="exact"/>
              <w:jc w:val="center"/>
              <w:rPr>
                <w:rFonts w:hint="eastAsia" w:ascii="宋体" w:hAnsi="宋体" w:eastAsia="宋体"/>
                <w:kern w:val="0"/>
                <w:szCs w:val="21"/>
                <w:highlight w:val="none"/>
                <w:lang w:eastAsia="zh-CN"/>
              </w:rPr>
            </w:pPr>
            <w:r>
              <w:rPr>
                <w:rFonts w:hint="eastAsia" w:ascii="宋体" w:hAnsi="宋体" w:cs="宋体"/>
                <w:szCs w:val="21"/>
                <w:highlight w:val="none"/>
                <w:lang w:val="en-US" w:eastAsia="zh-CN"/>
              </w:rPr>
              <w:t>6</w:t>
            </w:r>
          </w:p>
        </w:tc>
        <w:tc>
          <w:tcPr>
            <w:tcW w:w="5953" w:type="dxa"/>
            <w:vAlign w:val="center"/>
          </w:tcPr>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（一）评分内容：</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具备认证认可监督管理委员会批准的认证资质（食品安全管理体系、</w:t>
            </w:r>
            <w:bookmarkStart w:id="110" w:name="_GoBack"/>
            <w:r>
              <w:rPr>
                <w:rFonts w:hint="eastAsia" w:ascii="宋体" w:hAnsi="宋体"/>
                <w:color w:val="auto"/>
                <w:kern w:val="0"/>
                <w:szCs w:val="21"/>
                <w:highlight w:val="none"/>
              </w:rPr>
              <w:t>危害</w:t>
            </w:r>
            <w:r>
              <w:rPr>
                <w:rFonts w:hint="eastAsia" w:ascii="宋体" w:hAnsi="宋体"/>
                <w:color w:val="auto"/>
                <w:kern w:val="0"/>
                <w:szCs w:val="21"/>
                <w:highlight w:val="none"/>
                <w:lang w:val="en-US" w:eastAsia="zh-CN"/>
              </w:rPr>
              <w:t>分析</w:t>
            </w:r>
            <w:r>
              <w:rPr>
                <w:rFonts w:hint="eastAsia" w:ascii="宋体" w:hAnsi="宋体"/>
                <w:color w:val="auto"/>
                <w:kern w:val="0"/>
                <w:szCs w:val="21"/>
                <w:highlight w:val="none"/>
              </w:rPr>
              <w:t>与关键控制点HACCP</w:t>
            </w:r>
            <w:bookmarkEnd w:id="110"/>
            <w:r>
              <w:rPr>
                <w:rFonts w:hint="eastAsia" w:ascii="宋体" w:hAnsi="宋体"/>
                <w:kern w:val="0"/>
                <w:szCs w:val="21"/>
                <w:highlight w:val="none"/>
              </w:rPr>
              <w:t>）的，每提供一类得</w:t>
            </w:r>
            <w:r>
              <w:rPr>
                <w:rFonts w:hint="eastAsia" w:ascii="宋体" w:hAnsi="宋体"/>
                <w:kern w:val="0"/>
                <w:szCs w:val="21"/>
                <w:highlight w:val="none"/>
                <w:lang w:val="en-US" w:eastAsia="zh-CN"/>
              </w:rPr>
              <w:t>3</w:t>
            </w:r>
            <w:r>
              <w:rPr>
                <w:rFonts w:hint="eastAsia" w:ascii="宋体" w:hAnsi="宋体"/>
                <w:kern w:val="0"/>
                <w:szCs w:val="21"/>
                <w:highlight w:val="none"/>
              </w:rPr>
              <w:t>分，2类都提供得</w:t>
            </w:r>
            <w:r>
              <w:rPr>
                <w:rFonts w:hint="eastAsia" w:ascii="宋体" w:hAnsi="宋体"/>
                <w:kern w:val="0"/>
                <w:szCs w:val="21"/>
                <w:highlight w:val="none"/>
                <w:lang w:val="en-US" w:eastAsia="zh-CN"/>
              </w:rPr>
              <w:t>6</w:t>
            </w:r>
            <w:r>
              <w:rPr>
                <w:rFonts w:hint="eastAsia" w:ascii="宋体" w:hAnsi="宋体"/>
                <w:kern w:val="0"/>
                <w:szCs w:val="21"/>
                <w:highlight w:val="none"/>
              </w:rPr>
              <w:t xml:space="preserve">分，否则不得分。 </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1.认证机构资质要求同时提供有效的相关证书及该证书在国家认证认可监督管理委员会官网（http://cx.cnca.cn/）查询证书编号一致的且为有效状态的截图。</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lang w:val="en-US" w:eastAsia="zh-CN"/>
              </w:rPr>
              <w:t>2</w:t>
            </w:r>
            <w:r>
              <w:rPr>
                <w:rFonts w:hint="eastAsia" w:ascii="宋体" w:hAnsi="宋体"/>
                <w:kern w:val="0"/>
                <w:szCs w:val="21"/>
                <w:highlight w:val="none"/>
              </w:rPr>
              <w:t>.</w:t>
            </w:r>
            <w:r>
              <w:rPr>
                <w:rFonts w:hint="eastAsia" w:ascii="宋体" w:hAnsi="宋体"/>
                <w:color w:val="000000" w:themeColor="text1"/>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供应商同类项目业绩情况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10</w:t>
            </w:r>
          </w:p>
        </w:tc>
        <w:tc>
          <w:tcPr>
            <w:tcW w:w="5953" w:type="dxa"/>
            <w:vAlign w:val="center"/>
          </w:tcPr>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（一）评分内容：</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 xml:space="preserve">1.2020年1月1日至本项目投标截止日（以合同签订时间为准）具有食品企业风险分析能力项目经验，每提供1个得1分，最高得2分。 </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2.2020年1月1日至本项目投标截止日（以合同签订时间为准）具有食品相关调研类项目经验，每提供1个得1分，最高得2分。</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3.2020年1月1日至本项目投标截止日（以合同签订时间为准）具有市级或以上食品相关科普资料编制能力项目经验，每提供一个得1分，最高得2分。</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4.2020年1月1日至本项目投标截止日（以合同签订时间为准）具有市级或以上食品相关检查或评价项目经验，每提供一个得 1 分，最高得2分。</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5.2020年1月1日至本项目投标截止日（以合同签订时间为准）具有市级或以上HACCP、ISO22000食品安全管理体系项目经验，每提供一个得1分，最高得2分。</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（二）评分依据：</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1.</w:t>
            </w:r>
            <w:r>
              <w:rPr>
                <w:rFonts w:hint="eastAsia" w:eastAsiaTheme="minorEastAsia" w:cstheme="minorEastAsia"/>
                <w:color w:val="000000" w:themeColor="text1"/>
              </w:rPr>
              <w:t>提供合同关键页（含签订合同双方的单位名称、合同项目名称与含签订合同双方的落款盖章、签订日期的关键页）并加盖投标人公章作为评分依据</w:t>
            </w:r>
            <w:r>
              <w:rPr>
                <w:rFonts w:hint="eastAsia" w:cstheme="minorEastAsia"/>
                <w:color w:val="000000" w:themeColor="text1"/>
              </w:rPr>
              <w:t>。</w:t>
            </w:r>
          </w:p>
          <w:p>
            <w:pPr>
              <w:adjustRightInd w:val="0"/>
              <w:snapToGrid w:val="0"/>
              <w:spacing w:line="360" w:lineRule="exact"/>
              <w:rPr>
                <w:rFonts w:ascii="宋体" w:hAnsi="宋体" w:cs="宋体"/>
                <w:color w:val="000000" w:themeColor="text1"/>
                <w:szCs w:val="21"/>
              </w:rPr>
            </w:pPr>
            <w:r>
              <w:rPr>
                <w:rFonts w:hint="eastAsia" w:ascii="宋体" w:hAnsi="宋体" w:cs="宋体"/>
                <w:color w:val="000000" w:themeColor="text1"/>
                <w:szCs w:val="21"/>
              </w:rPr>
              <w:t>2.通过合同关键信息无法判断是否得分的，还须同时提供能证明得分的其它证明资料，如项目报告或合同甲方出具的证明文件等。</w:t>
            </w:r>
          </w:p>
          <w:p>
            <w:pPr>
              <w:adjustRightInd w:val="0"/>
              <w:snapToGrid w:val="0"/>
              <w:spacing w:line="360" w:lineRule="exact"/>
              <w:rPr>
                <w:rFonts w:ascii="宋体" w:hAnsi="宋体"/>
                <w:b/>
                <w:bCs/>
                <w:kern w:val="0"/>
                <w:szCs w:val="21"/>
              </w:rPr>
            </w:pPr>
            <w:r>
              <w:rPr>
                <w:rFonts w:hint="eastAsia" w:ascii="宋体" w:hAnsi="宋体" w:cs="宋体"/>
                <w:color w:val="000000" w:themeColor="text1"/>
                <w:szCs w:val="21"/>
              </w:rPr>
              <w:t>3.以上资料均要求提供复印件或扫描件加盖投标人公章，原件备查。评分中出现无证明资料或专家无法凭所提供资料判断是否得分的情况，一律作不得分处理。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38"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供应商获奖情况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（一）评分内容：</w:t>
            </w:r>
          </w:p>
          <w:p>
            <w:pPr>
              <w:pStyle w:val="27"/>
              <w:rPr>
                <w:rFonts w:ascii="Times New Roman" w:hAnsi="Times New Roman"/>
                <w:highlight w:val="none"/>
              </w:rPr>
            </w:pPr>
            <w:r>
              <w:rPr>
                <w:rFonts w:hint="eastAsia" w:ascii="Times New Roman" w:hAnsi="Times New Roman"/>
                <w:highlight w:val="none"/>
              </w:rPr>
              <w:t>投标人具有食品</w:t>
            </w:r>
            <w:r>
              <w:rPr>
                <w:rFonts w:hint="eastAsia"/>
                <w:highlight w:val="none"/>
                <w:lang w:val="en-US" w:eastAsia="zh-CN"/>
              </w:rPr>
              <w:t>或质量管理</w:t>
            </w:r>
            <w:r>
              <w:rPr>
                <w:rFonts w:hint="eastAsia" w:ascii="Times New Roman" w:hAnsi="Times New Roman"/>
                <w:highlight w:val="none"/>
                <w:lang w:val="en-US" w:eastAsia="zh-CN"/>
              </w:rPr>
              <w:t>相关</w:t>
            </w:r>
            <w:r>
              <w:rPr>
                <w:rFonts w:hint="eastAsia" w:ascii="Times New Roman" w:hAnsi="Times New Roman"/>
                <w:highlight w:val="none"/>
              </w:rPr>
              <w:t>奖项的，</w:t>
            </w:r>
            <w:r>
              <w:rPr>
                <w:rFonts w:hint="eastAsia" w:ascii="Times New Roman" w:hAnsi="Times New Roman"/>
                <w:highlight w:val="none"/>
                <w:lang w:val="en-US" w:eastAsia="zh-CN"/>
              </w:rPr>
              <w:t>省级及以上（不含副省级）奖项每个得3分，市级奖项每个</w:t>
            </w:r>
            <w:r>
              <w:rPr>
                <w:rFonts w:hint="eastAsia" w:ascii="Times New Roman" w:hAnsi="Times New Roman"/>
                <w:highlight w:val="none"/>
              </w:rPr>
              <w:t>得</w:t>
            </w:r>
            <w:r>
              <w:rPr>
                <w:rFonts w:hint="eastAsia" w:ascii="Times New Roman" w:hAnsi="Times New Roman"/>
                <w:highlight w:val="none"/>
                <w:lang w:val="en-US" w:eastAsia="zh-CN"/>
              </w:rPr>
              <w:t>1</w:t>
            </w:r>
            <w:r>
              <w:rPr>
                <w:rFonts w:hint="eastAsia" w:ascii="Times New Roman" w:hAnsi="Times New Roman"/>
                <w:highlight w:val="none"/>
              </w:rPr>
              <w:t>分，最高得5分。</w:t>
            </w:r>
          </w:p>
          <w:p>
            <w:pPr>
              <w:pStyle w:val="95"/>
              <w:spacing w:line="360" w:lineRule="exact"/>
              <w:ind w:firstLine="0" w:firstLineChars="0"/>
              <w:rPr>
                <w:rFonts w:ascii="宋体" w:hAnsi="宋体"/>
                <w:color w:val="000000" w:themeColor="text1"/>
                <w:szCs w:val="21"/>
                <w:highlight w:val="none"/>
              </w:rPr>
            </w:pPr>
            <w:r>
              <w:rPr>
                <w:rFonts w:hint="eastAsia" w:ascii="宋体" w:hAnsi="宋体"/>
                <w:color w:val="000000" w:themeColor="text1"/>
                <w:szCs w:val="21"/>
                <w:highlight w:val="none"/>
              </w:rPr>
              <w:t xml:space="preserve">同一项目同时获得多个奖项，以最高得分计取，不累计得分。 </w:t>
            </w:r>
          </w:p>
          <w:p>
            <w:pPr>
              <w:autoSpaceDE w:val="0"/>
              <w:autoSpaceDN w:val="0"/>
              <w:adjustRightInd w:val="0"/>
              <w:spacing w:line="360" w:lineRule="exact"/>
              <w:jc w:val="left"/>
              <w:rPr>
                <w:rFonts w:ascii="宋体" w:hAnsi="宋体" w:cs="宋体"/>
                <w:bCs/>
                <w:strike/>
                <w:dstrike w:val="0"/>
                <w:color w:val="000000" w:themeColor="text1"/>
                <w:kern w:val="0"/>
                <w:szCs w:val="21"/>
                <w:highlight w:val="none"/>
              </w:rPr>
            </w:pPr>
            <w:r>
              <w:rPr>
                <w:rFonts w:hint="eastAsia" w:ascii="宋体" w:hAnsi="宋体" w:cs="宋体"/>
                <w:bCs/>
                <w:strike w:val="0"/>
                <w:dstrike w:val="0"/>
                <w:color w:val="000000" w:themeColor="text1"/>
                <w:kern w:val="0"/>
                <w:szCs w:val="21"/>
                <w:highlight w:val="none"/>
              </w:rPr>
              <w:t>国家级奖项要求颁发单位为国务院；省级奖项要求颁发单位为省级（含自治区、直辖市）人民政府（或行业主管行政机关）或国家部委，不含副省级；市级奖项要求颁发单位为市级人民政府（或行业主管行政机关）。</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（二）评分依据：</w:t>
            </w:r>
          </w:p>
          <w:p>
            <w:pPr>
              <w:pStyle w:val="95"/>
              <w:spacing w:line="360" w:lineRule="exact"/>
              <w:ind w:firstLine="0" w:firstLineChars="0"/>
              <w:rPr>
                <w:rFonts w:ascii="宋体" w:hAnsi="宋体"/>
                <w:color w:val="000000" w:themeColor="text1"/>
                <w:szCs w:val="21"/>
              </w:rPr>
            </w:pPr>
            <w:r>
              <w:rPr>
                <w:rFonts w:hint="eastAsia" w:ascii="宋体" w:hAnsi="宋体"/>
                <w:color w:val="000000" w:themeColor="text1"/>
                <w:szCs w:val="21"/>
              </w:rPr>
              <w:t>1.要求提供奖项照片或获奖（荣誉）证书等证明材料作为得分依据。</w:t>
            </w:r>
          </w:p>
          <w:p>
            <w:pPr>
              <w:pStyle w:val="95"/>
              <w:spacing w:line="360" w:lineRule="exact"/>
              <w:ind w:firstLine="0" w:firstLineChars="0"/>
              <w:rPr>
                <w:rFonts w:ascii="宋体" w:hAnsi="宋体"/>
                <w:szCs w:val="21"/>
              </w:rPr>
            </w:pPr>
            <w:r>
              <w:rPr>
                <w:rFonts w:hint="eastAsia" w:ascii="宋体" w:hAnsi="宋体"/>
                <w:color w:val="000000" w:themeColor="text1"/>
                <w:szCs w:val="21"/>
              </w:rPr>
              <w:t>2.以上资料均要求提供复印件或扫描件（或官方网站截图）加盖投标人公章，原件备查。评分中出现无证明资料或专家无法凭所提供资料判断是否得分的情况，一律作不得分处理。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供应商自主知识产权产品（创新、设计）情况</w:t>
            </w:r>
          </w:p>
        </w:tc>
        <w:tc>
          <w:tcPr>
            <w:tcW w:w="709" w:type="dxa"/>
            <w:vAlign w:val="center"/>
          </w:tcPr>
          <w:p>
            <w:pPr>
              <w:spacing w:line="360" w:lineRule="exact"/>
              <w:jc w:val="center"/>
              <w:rPr>
                <w:rFonts w:hint="eastAsia" w:ascii="宋体" w:hAnsi="宋体" w:eastAsia="宋体" w:cs="仿宋"/>
                <w:szCs w:val="21"/>
                <w:highlight w:val="none"/>
                <w:lang w:eastAsia="zh-CN"/>
              </w:rPr>
            </w:pPr>
            <w:r>
              <w:rPr>
                <w:rFonts w:hint="eastAsia" w:ascii="宋体" w:hAnsi="宋体" w:cs="仿宋"/>
                <w:szCs w:val="21"/>
                <w:highlight w:val="none"/>
                <w:lang w:val="en-US" w:eastAsia="zh-CN"/>
              </w:rPr>
              <w:t>4</w:t>
            </w:r>
          </w:p>
        </w:tc>
        <w:tc>
          <w:tcPr>
            <w:tcW w:w="5953" w:type="dxa"/>
            <w:vAlign w:val="center"/>
          </w:tcPr>
          <w:p>
            <w:pPr>
              <w:tabs>
                <w:tab w:val="left" w:pos="175"/>
              </w:tabs>
              <w:spacing w:line="360" w:lineRule="exact"/>
              <w:ind w:left="33"/>
              <w:jc w:val="left"/>
              <w:rPr>
                <w:rFonts w:ascii="宋体" w:hAnsi="宋体"/>
                <w:szCs w:val="21"/>
                <w:highlight w:val="none"/>
              </w:rPr>
            </w:pPr>
            <w:r>
              <w:rPr>
                <w:rFonts w:hint="eastAsia" w:ascii="宋体" w:hAnsi="宋体"/>
                <w:szCs w:val="21"/>
                <w:highlight w:val="none"/>
              </w:rPr>
              <w:t>（一）评分内容：</w:t>
            </w:r>
          </w:p>
          <w:p>
            <w:pPr>
              <w:tabs>
                <w:tab w:val="left" w:pos="175"/>
              </w:tabs>
              <w:spacing w:line="360" w:lineRule="exact"/>
              <w:ind w:left="33"/>
              <w:jc w:val="left"/>
              <w:rPr>
                <w:rFonts w:ascii="宋体" w:hAnsi="宋体"/>
                <w:szCs w:val="21"/>
                <w:highlight w:val="none"/>
              </w:rPr>
            </w:pPr>
            <w:r>
              <w:rPr>
                <w:rFonts w:hint="eastAsia" w:ascii="宋体" w:hAnsi="宋体"/>
                <w:szCs w:val="21"/>
                <w:highlight w:val="none"/>
              </w:rPr>
              <w:t>投标人具有食品</w:t>
            </w:r>
            <w:r>
              <w:rPr>
                <w:rFonts w:hint="eastAsia" w:ascii="宋体" w:hAnsi="宋体"/>
                <w:szCs w:val="21"/>
                <w:highlight w:val="none"/>
                <w:lang w:val="en-US" w:eastAsia="zh-CN"/>
              </w:rPr>
              <w:t>相关</w:t>
            </w:r>
            <w:r>
              <w:rPr>
                <w:rFonts w:hint="eastAsia" w:ascii="宋体" w:hAnsi="宋体"/>
                <w:szCs w:val="21"/>
                <w:highlight w:val="none"/>
              </w:rPr>
              <w:t>的专利证书或软件著作权证书。每有1个得</w:t>
            </w:r>
            <w:r>
              <w:rPr>
                <w:rFonts w:hint="eastAsia" w:ascii="宋体" w:hAnsi="宋体"/>
                <w:szCs w:val="21"/>
                <w:highlight w:val="none"/>
                <w:lang w:val="en-US" w:eastAsia="zh-CN"/>
              </w:rPr>
              <w:t>2</w:t>
            </w:r>
            <w:r>
              <w:rPr>
                <w:rFonts w:hint="eastAsia" w:ascii="宋体" w:hAnsi="宋体"/>
                <w:szCs w:val="21"/>
                <w:highlight w:val="none"/>
              </w:rPr>
              <w:t>分，满分为</w:t>
            </w:r>
            <w:r>
              <w:rPr>
                <w:rFonts w:hint="eastAsia" w:ascii="宋体" w:hAnsi="宋体"/>
                <w:szCs w:val="21"/>
                <w:highlight w:val="none"/>
                <w:lang w:val="en-US" w:eastAsia="zh-CN"/>
              </w:rPr>
              <w:t>4</w:t>
            </w:r>
            <w:r>
              <w:rPr>
                <w:rFonts w:hint="eastAsia" w:ascii="宋体" w:hAnsi="宋体"/>
                <w:szCs w:val="21"/>
                <w:highlight w:val="none"/>
              </w:rPr>
              <w:t>分，没有则不得分。</w:t>
            </w:r>
          </w:p>
          <w:p>
            <w:pPr>
              <w:tabs>
                <w:tab w:val="left" w:pos="175"/>
              </w:tabs>
              <w:spacing w:line="360" w:lineRule="exact"/>
              <w:ind w:left="33"/>
              <w:jc w:val="left"/>
              <w:rPr>
                <w:rFonts w:ascii="宋体" w:hAnsi="宋体"/>
                <w:szCs w:val="21"/>
                <w:highlight w:val="none"/>
              </w:rPr>
            </w:pPr>
            <w:r>
              <w:rPr>
                <w:rFonts w:hint="eastAsia" w:ascii="宋体" w:hAnsi="宋体"/>
                <w:szCs w:val="21"/>
                <w:highlight w:val="none"/>
              </w:rPr>
              <w:t>（二）评分依据:</w:t>
            </w:r>
          </w:p>
          <w:p>
            <w:pPr>
              <w:tabs>
                <w:tab w:val="left" w:pos="175"/>
              </w:tabs>
              <w:spacing w:line="360" w:lineRule="exact"/>
              <w:ind w:left="33"/>
              <w:jc w:val="left"/>
              <w:rPr>
                <w:rFonts w:ascii="宋体" w:hAnsi="宋体"/>
                <w:szCs w:val="21"/>
                <w:highlight w:val="none"/>
              </w:rPr>
            </w:pPr>
            <w:r>
              <w:rPr>
                <w:rFonts w:hint="eastAsia" w:ascii="宋体" w:hAnsi="宋体"/>
                <w:szCs w:val="21"/>
                <w:highlight w:val="none"/>
              </w:rPr>
              <w:t>1.要求提供有效的产权（专利）证书等证明材料作为得分依据。</w:t>
            </w:r>
          </w:p>
          <w:p>
            <w:pPr>
              <w:tabs>
                <w:tab w:val="left" w:pos="175"/>
              </w:tabs>
              <w:spacing w:line="360" w:lineRule="exact"/>
              <w:ind w:left="33"/>
              <w:jc w:val="left"/>
              <w:rPr>
                <w:rFonts w:ascii="宋体" w:hAnsi="宋体"/>
                <w:szCs w:val="21"/>
                <w:highlight w:val="none"/>
              </w:rPr>
            </w:pPr>
            <w:r>
              <w:rPr>
                <w:rFonts w:hint="eastAsia" w:ascii="宋体" w:hAnsi="宋体"/>
                <w:szCs w:val="21"/>
                <w:highlight w:val="none"/>
              </w:rPr>
              <w:t>2.以上资料均要求提供复印件或扫描件（或官方网站截图）加盖投标人公章，原件备查。评分中出现无证明资料或专家无法凭所提供资料判断是否得分的情况，一律作不得分处理。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pStyle w:val="19"/>
              <w:rPr>
                <w:rFonts w:ascii="宋体" w:hAnsi="宋体" w:cs="仿宋"/>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bl>
    <w:p>
      <w:pPr>
        <w:pStyle w:val="5"/>
        <w:spacing w:before="0" w:after="0"/>
        <w:jc w:val="left"/>
        <w:rPr>
          <w:rFonts w:asciiTheme="minorEastAsia" w:hAnsiTheme="minorEastAsia"/>
          <w:bCs w:val="0"/>
          <w:sz w:val="21"/>
          <w:szCs w:val="21"/>
        </w:rPr>
      </w:pPr>
      <w:bookmarkStart w:id="10" w:name="_Toc135293165"/>
      <w:bookmarkStart w:id="11" w:name="_Toc44691394"/>
      <w:bookmarkStart w:id="12" w:name="_Toc44690703"/>
      <w:bookmarkStart w:id="13" w:name="_Toc44690430"/>
      <w:bookmarkStart w:id="14" w:name="_Toc44691162"/>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rPr>
              <w:t>深圳市食品生产企业分析和HACCP体系提升项目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zCs w:val="24"/>
              </w:rPr>
              <w:t>深圳市市场监督管理局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7"/>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w:t>
            </w:r>
            <w:r>
              <w:rPr>
                <w:rFonts w:hint="eastAsia" w:asciiTheme="minorEastAsia" w:hAnsiTheme="minorEastAsia" w:eastAsiaTheme="minorEastAsia"/>
                <w:lang w:val="en-US" w:eastAsia="zh-CN"/>
              </w:rPr>
              <w:t>6</w:t>
            </w:r>
            <w:r>
              <w:rPr>
                <w:rFonts w:hint="eastAsia" w:asciiTheme="minorEastAsia" w:hAnsiTheme="minorEastAsia" w:eastAsiaTheme="minorEastAsia"/>
              </w:rPr>
              <w:t>000元。</w:t>
            </w:r>
          </w:p>
          <w:p>
            <w:pPr>
              <w:pStyle w:val="27"/>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3"/>
      </w:pPr>
      <w:bookmarkStart w:id="18" w:name="_Toc135293169"/>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080" o:spt="20" style="position:absolute;left:0pt;flip:x y;margin-left:48.8pt;margin-top:0.9pt;height:57.65pt;width:114.3pt;z-index:251665408;mso-width-relative:page;mso-height-relative:page;"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path arrowok="t"/>
                  <v:fill focussize="0,0"/>
                  <v:stroke/>
                  <v:imagedata o:title=""/>
                  <o:lock v:ext="edit"/>
                </v:line>
              </w:pict>
            </w:r>
            <w:r>
              <w:rPr>
                <w:rFonts w:ascii="宋体" w:hAnsi="宋体"/>
                <w:b/>
                <w:szCs w:val="21"/>
              </w:rPr>
              <w:pict>
                <v:line id="直线 7" o:spid="_x0000_s3079" o:spt="20" style="position:absolute;left:0pt;flip:x y;margin-left:7.1pt;margin-top:25.35pt;height:33.2pt;width:156pt;z-index:251666432;mso-width-relative:page;mso-height-relative:page;"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path arrowok="t"/>
                  <v:fill focussize="0,0"/>
                  <v:stroke/>
                  <v:imagedata o:title=""/>
                  <o:lock v:ext="edit"/>
                </v:line>
              </w:pict>
            </w:r>
            <w:r>
              <w:rPr>
                <w:rFonts w:ascii="宋体" w:hAnsi="宋体"/>
                <w:b/>
                <w:szCs w:val="21"/>
              </w:rPr>
              <w:pict>
                <v:line id="直线 5" o:spid="_x0000_s3078" o:spt="20" style="position:absolute;left:0pt;margin-left:-9pt;margin-top:-0.5pt;height:0pt;width:0.05pt;z-index:251664384;mso-width-relative:page;mso-height-relative:page;"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3"/>
      </w:pPr>
      <w:bookmarkStart w:id="34" w:name="_Toc135293177"/>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11772"/>
      <w:bookmarkStart w:id="36" w:name="_Toc25194"/>
      <w:bookmarkStart w:id="37" w:name="_Toc135293178"/>
      <w:bookmarkStart w:id="38" w:name="_Toc14934"/>
      <w:bookmarkStart w:id="39" w:name="_Toc31468"/>
      <w:bookmarkStart w:id="40" w:name="_Toc44691395"/>
      <w:bookmarkStart w:id="41" w:name="_Toc44691163"/>
      <w:bookmarkStart w:id="42" w:name="_Toc44690431"/>
      <w:bookmarkStart w:id="43" w:name="_Toc4469070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1"/>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44690705"/>
      <w:bookmarkStart w:id="52" w:name="_Toc44691396"/>
      <w:bookmarkStart w:id="53" w:name="_Toc44690432"/>
      <w:bookmarkStart w:id="54" w:name="_Toc44691164"/>
      <w:bookmarkStart w:id="55" w:name="_Toc135293182"/>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77" o:spt="1" style="position:absolute;left:0pt;margin-left:250.65pt;margin-top:10.75pt;height:156pt;width:243pt;z-index:25166336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76" o:spt="1" style="position:absolute;left:0pt;margin-left:-11.85pt;margin-top:10.75pt;height:156pt;width:243pt;z-index:25166233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75" o:spt="1" style="position:absolute;left:0pt;margin-left:-10.35pt;margin-top:5.6pt;height:156pt;width:243pt;z-index:25166028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74" o:spt="1" style="position:absolute;left:0pt;margin-left:249.9pt;margin-top:5.6pt;height:156pt;width:243pt;z-index:25166131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1165"/>
      <w:bookmarkStart w:id="62" w:name="_Toc135293186"/>
      <w:bookmarkStart w:id="63" w:name="_Toc44690433"/>
      <w:bookmarkStart w:id="64" w:name="_Toc44691397"/>
      <w:bookmarkStart w:id="65" w:name="_Toc4469070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1"/>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1"/>
        <w:tblW w:w="94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深圳市食品生产企业分析和HACCP体系提升项目</w:t>
            </w:r>
          </w:p>
        </w:tc>
        <w:tc>
          <w:tcPr>
            <w:tcW w:w="4330"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44691166"/>
      <w:bookmarkStart w:id="67" w:name="_Toc44691398"/>
      <w:bookmarkStart w:id="68" w:name="_Toc44690707"/>
      <w:bookmarkStart w:id="69" w:name="_Toc44690434"/>
      <w:bookmarkStart w:id="70" w:name="_Toc135293187"/>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1"/>
        <w:tblW w:w="960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9"/>
        <w:adjustRightInd w:val="0"/>
        <w:snapToGrid w:val="0"/>
        <w:spacing w:line="312" w:lineRule="auto"/>
        <w:jc w:val="center"/>
        <w:rPr>
          <w:rFonts w:ascii="Times New Roman" w:hAnsi="Times New Roman"/>
          <w:b/>
          <w:sz w:val="28"/>
        </w:rPr>
      </w:pPr>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1" w:name="_Toc44690435"/>
      <w:bookmarkStart w:id="72" w:name="_Toc44690708"/>
      <w:bookmarkStart w:id="73" w:name="_Toc135293188"/>
      <w:bookmarkStart w:id="74" w:name="_Toc44691167"/>
      <w:bookmarkStart w:id="75" w:name="_Toc44691399"/>
      <w:r>
        <w:rPr>
          <w:rFonts w:hint="eastAsia" w:asciiTheme="minorEastAsia" w:hAnsiTheme="minorEastAsia" w:eastAsiaTheme="minorEastAsia"/>
        </w:rPr>
        <w:t>格式7  服务方案</w:t>
      </w:r>
      <w:bookmarkEnd w:id="71"/>
      <w:bookmarkEnd w:id="72"/>
      <w:bookmarkEnd w:id="73"/>
      <w:bookmarkEnd w:id="74"/>
      <w:bookmarkEnd w:id="75"/>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left="420"/>
        <w:rPr>
          <w:rFonts w:ascii="宋体" w:hAnsi="宋体"/>
          <w:bCs/>
          <w:color w:val="auto"/>
        </w:rPr>
      </w:pPr>
      <w:r>
        <w:rPr>
          <w:rFonts w:hint="eastAsia" w:ascii="宋体" w:hAnsi="宋体"/>
          <w:color w:val="auto"/>
          <w:szCs w:val="21"/>
        </w:rPr>
        <w:t>1</w:t>
      </w:r>
      <w:r>
        <w:rPr>
          <w:rFonts w:hint="eastAsia" w:ascii="宋体" w:hAnsi="宋体"/>
          <w:bCs/>
          <w:color w:val="auto"/>
        </w:rPr>
        <w:t>、实施方案</w:t>
      </w:r>
    </w:p>
    <w:p>
      <w:pPr>
        <w:spacing w:line="360" w:lineRule="auto"/>
        <w:ind w:left="420"/>
        <w:rPr>
          <w:rFonts w:ascii="宋体" w:hAnsi="宋体"/>
          <w:bCs/>
          <w:color w:val="auto"/>
        </w:rPr>
      </w:pPr>
      <w:r>
        <w:rPr>
          <w:rFonts w:hint="eastAsia" w:ascii="宋体" w:hAnsi="宋体"/>
          <w:bCs/>
          <w:color w:val="auto"/>
        </w:rPr>
        <w:t>2、项目重点难点分析、应对措施及相关的合理化建议</w:t>
      </w:r>
    </w:p>
    <w:p>
      <w:pPr>
        <w:spacing w:line="360" w:lineRule="auto"/>
        <w:ind w:left="420"/>
        <w:rPr>
          <w:rFonts w:ascii="宋体" w:hAnsi="宋体"/>
          <w:bCs/>
          <w:color w:val="auto"/>
        </w:rPr>
      </w:pPr>
      <w:r>
        <w:rPr>
          <w:rFonts w:hint="eastAsia" w:ascii="宋体" w:hAnsi="宋体"/>
          <w:bCs/>
          <w:color w:val="auto"/>
        </w:rPr>
        <w:t>3、质量（完成时间、安全、环保）保障措施及方案</w:t>
      </w:r>
    </w:p>
    <w:p>
      <w:pPr>
        <w:spacing w:line="360" w:lineRule="auto"/>
        <w:ind w:left="420"/>
        <w:rPr>
          <w:rFonts w:ascii="宋体" w:hAnsi="宋体"/>
          <w:bCs/>
          <w:color w:val="auto"/>
        </w:rPr>
      </w:pPr>
      <w:r>
        <w:rPr>
          <w:rFonts w:hint="eastAsia" w:ascii="宋体" w:hAnsi="宋体"/>
          <w:bCs/>
          <w:color w:val="auto"/>
        </w:rPr>
        <w:t>4、项目完成（服务期满）后的服务承诺</w:t>
      </w:r>
    </w:p>
    <w:p>
      <w:pPr>
        <w:spacing w:line="360" w:lineRule="auto"/>
        <w:ind w:left="420"/>
        <w:rPr>
          <w:rFonts w:ascii="宋体" w:hAnsi="宋体"/>
          <w:bCs/>
          <w:color w:val="auto"/>
        </w:rPr>
      </w:pPr>
      <w:r>
        <w:rPr>
          <w:rFonts w:hint="eastAsia" w:ascii="宋体" w:hAnsi="宋体"/>
          <w:bCs/>
          <w:color w:val="auto"/>
        </w:rPr>
        <w:t>5、违约承诺</w:t>
      </w:r>
    </w:p>
    <w:p>
      <w:pPr>
        <w:spacing w:line="360" w:lineRule="auto"/>
        <w:ind w:left="420"/>
        <w:rPr>
          <w:rFonts w:ascii="宋体" w:hAnsi="宋体"/>
          <w:bCs/>
          <w:color w:val="auto"/>
        </w:rPr>
      </w:pPr>
      <w:r>
        <w:rPr>
          <w:rFonts w:hint="eastAsia" w:ascii="宋体" w:hAnsi="宋体"/>
          <w:bCs/>
          <w:color w:val="auto"/>
        </w:rPr>
        <w:t>6、供应商资格（资质、认证）情况</w:t>
      </w:r>
    </w:p>
    <w:p>
      <w:pPr>
        <w:spacing w:line="360" w:lineRule="auto"/>
        <w:ind w:left="420"/>
        <w:rPr>
          <w:rFonts w:ascii="宋体" w:hAnsi="宋体"/>
          <w:bCs/>
          <w:color w:val="auto"/>
        </w:rPr>
      </w:pPr>
      <w:r>
        <w:rPr>
          <w:rFonts w:hint="eastAsia" w:ascii="宋体" w:hAnsi="宋体"/>
          <w:bCs/>
          <w:color w:val="auto"/>
        </w:rPr>
        <w:t>7、供应商同类项目业绩情况</w:t>
      </w:r>
    </w:p>
    <w:p>
      <w:pPr>
        <w:spacing w:line="360" w:lineRule="auto"/>
        <w:ind w:left="420"/>
        <w:rPr>
          <w:rFonts w:ascii="宋体" w:hAnsi="宋体"/>
          <w:bCs/>
          <w:color w:val="auto"/>
        </w:rPr>
      </w:pPr>
      <w:r>
        <w:rPr>
          <w:rFonts w:hint="eastAsia" w:ascii="宋体" w:hAnsi="宋体"/>
          <w:bCs/>
          <w:color w:val="auto"/>
        </w:rPr>
        <w:t>8、供应商获奖情况</w:t>
      </w:r>
    </w:p>
    <w:p>
      <w:pPr>
        <w:spacing w:line="360" w:lineRule="auto"/>
        <w:ind w:left="420"/>
        <w:rPr>
          <w:rFonts w:ascii="宋体" w:hAnsi="宋体"/>
          <w:bCs/>
          <w:color w:val="auto"/>
        </w:rPr>
      </w:pPr>
      <w:r>
        <w:rPr>
          <w:rFonts w:hint="eastAsia" w:ascii="宋体" w:hAnsi="宋体"/>
          <w:bCs/>
          <w:color w:val="auto"/>
        </w:rPr>
        <w:t>9、供应商自主知识产权产品（创新、设计）情</w:t>
      </w:r>
    </w:p>
    <w:p>
      <w:pPr>
        <w:spacing w:line="360" w:lineRule="auto"/>
        <w:ind w:firstLine="420" w:firstLineChars="200"/>
        <w:rPr>
          <w:rFonts w:ascii="宋体" w:hAnsi="宋体"/>
          <w:color w:val="auto"/>
          <w:szCs w:val="21"/>
        </w:rPr>
      </w:pPr>
      <w:r>
        <w:rPr>
          <w:rFonts w:hint="eastAsia" w:ascii="宋体" w:hAnsi="宋体"/>
          <w:color w:val="auto"/>
          <w:szCs w:val="21"/>
        </w:rPr>
        <w:t>10、拟投入人员情况：包括</w:t>
      </w:r>
      <w:r>
        <w:rPr>
          <w:rFonts w:hint="eastAsia" w:ascii="宋体" w:hAnsi="宋体"/>
          <w:color w:val="auto"/>
          <w:kern w:val="0"/>
          <w:szCs w:val="21"/>
        </w:rPr>
        <w:t>项目负责人、</w:t>
      </w:r>
      <w:r>
        <w:rPr>
          <w:rFonts w:hint="eastAsia" w:ascii="宋体" w:hAnsi="宋体" w:cs="宋体"/>
          <w:color w:val="auto"/>
          <w:szCs w:val="21"/>
        </w:rPr>
        <w:t>项目团队成员</w:t>
      </w:r>
      <w:r>
        <w:rPr>
          <w:rFonts w:hint="eastAsia" w:ascii="宋体" w:hAnsi="宋体"/>
          <w:color w:val="auto"/>
          <w:szCs w:val="21"/>
        </w:rPr>
        <w:t>的数量、资质等（附《项目人员情况一览表》）</w:t>
      </w:r>
    </w:p>
    <w:p>
      <w:pPr>
        <w:spacing w:line="360" w:lineRule="auto"/>
        <w:ind w:left="420"/>
        <w:rPr>
          <w:rFonts w:ascii="宋体" w:hAnsi="宋体"/>
          <w:bCs/>
          <w:color w:val="auto"/>
        </w:rPr>
      </w:pPr>
      <w:r>
        <w:rPr>
          <w:rFonts w:hint="eastAsia" w:ascii="宋体" w:hAnsi="宋体"/>
          <w:bCs/>
          <w:color w:val="auto"/>
        </w:rPr>
        <w:t>11、投标人认为必要的其他方案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1"/>
        <w:tblW w:w="93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center"/>
        <w:rPr>
          <w:rFonts w:ascii="Times New Roman" w:hAnsi="Times New Roman"/>
          <w:b/>
          <w:sz w:val="28"/>
        </w:rPr>
      </w:pPr>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44691168"/>
      <w:bookmarkStart w:id="78" w:name="_Toc44690436"/>
      <w:bookmarkStart w:id="79" w:name="_Toc44691400"/>
      <w:bookmarkStart w:id="80" w:name="_Toc135293190"/>
      <w:bookmarkStart w:id="81" w:name="_Toc44690709"/>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1"/>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q17"/>
      <w:bookmarkEnd w:id="82"/>
      <w:bookmarkStart w:id="83" w:name="_格式2__投标保证金凭证"/>
      <w:bookmarkEnd w:id="83"/>
      <w:bookmarkStart w:id="84" w:name="_格式4__"/>
      <w:bookmarkEnd w:id="84"/>
      <w:bookmarkStart w:id="85" w:name="_格式3__"/>
      <w:bookmarkEnd w:id="85"/>
      <w:bookmarkStart w:id="86" w:name="q16"/>
      <w:bookmarkEnd w:id="86"/>
      <w:bookmarkStart w:id="87" w:name="_格式5__"/>
      <w:bookmarkEnd w:id="87"/>
      <w:bookmarkStart w:id="88" w:name="q15"/>
      <w:bookmarkEnd w:id="88"/>
      <w:r>
        <w:rPr>
          <w:rFonts w:asciiTheme="minorEastAsia" w:hAnsiTheme="minorEastAsia" w:eastAsiaTheme="minorEastAsia"/>
        </w:rPr>
        <w:tab/>
      </w:r>
      <w:bookmarkStart w:id="89" w:name="_Toc44691401"/>
      <w:bookmarkStart w:id="90" w:name="_Toc44690710"/>
      <w:bookmarkStart w:id="91" w:name="_Toc44690437"/>
      <w:bookmarkStart w:id="92" w:name="_Toc44691169"/>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7"/>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7"/>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7"/>
        <w:snapToGrid w:val="0"/>
        <w:spacing w:line="360" w:lineRule="auto"/>
        <w:ind w:firstLine="422" w:firstLineChars="200"/>
        <w:rPr>
          <w:rFonts w:hAnsi="宋体"/>
          <w:b/>
          <w:szCs w:val="21"/>
        </w:rPr>
      </w:pPr>
      <w:r>
        <w:rPr>
          <w:rFonts w:hint="eastAsia" w:hAnsi="宋体"/>
          <w:b/>
          <w:szCs w:val="21"/>
        </w:rPr>
        <w:t>二、合同金额</w:t>
      </w:r>
    </w:p>
    <w:p>
      <w:pPr>
        <w:pStyle w:val="27"/>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7"/>
        <w:snapToGrid w:val="0"/>
        <w:spacing w:line="360" w:lineRule="auto"/>
        <w:ind w:firstLine="422" w:firstLineChars="200"/>
        <w:rPr>
          <w:rFonts w:hAnsi="宋体"/>
          <w:b/>
          <w:szCs w:val="21"/>
        </w:rPr>
      </w:pPr>
      <w:r>
        <w:rPr>
          <w:rFonts w:hint="eastAsia" w:hAnsi="宋体"/>
          <w:b/>
          <w:szCs w:val="21"/>
        </w:rPr>
        <w:t>三、技术资料</w:t>
      </w:r>
    </w:p>
    <w:p>
      <w:pPr>
        <w:pStyle w:val="27"/>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7"/>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7"/>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7"/>
        <w:snapToGrid w:val="0"/>
        <w:spacing w:line="360" w:lineRule="auto"/>
        <w:ind w:firstLine="422" w:firstLineChars="200"/>
        <w:rPr>
          <w:rFonts w:hAnsi="宋体"/>
          <w:b/>
          <w:szCs w:val="21"/>
        </w:rPr>
      </w:pPr>
      <w:r>
        <w:rPr>
          <w:rFonts w:hint="eastAsia" w:hAnsi="宋体"/>
          <w:b/>
          <w:szCs w:val="21"/>
        </w:rPr>
        <w:t>四、知识产权</w:t>
      </w:r>
    </w:p>
    <w:p>
      <w:pPr>
        <w:pStyle w:val="27"/>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7"/>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7"/>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7"/>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7"/>
        <w:snapToGrid w:val="0"/>
        <w:spacing w:line="360" w:lineRule="auto"/>
        <w:ind w:firstLine="422" w:firstLineChars="200"/>
        <w:rPr>
          <w:rFonts w:hAnsi="宋体"/>
          <w:b/>
          <w:szCs w:val="21"/>
        </w:rPr>
      </w:pPr>
      <w:r>
        <w:rPr>
          <w:rFonts w:hint="eastAsia" w:hAnsi="宋体"/>
          <w:b/>
          <w:szCs w:val="21"/>
        </w:rPr>
        <w:t>十、付款方式和税费</w:t>
      </w:r>
    </w:p>
    <w:p>
      <w:pPr>
        <w:pStyle w:val="27"/>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7"/>
        <w:snapToGrid w:val="0"/>
        <w:spacing w:line="360" w:lineRule="auto"/>
        <w:ind w:firstLine="422" w:firstLineChars="200"/>
        <w:rPr>
          <w:rFonts w:hAnsi="宋体"/>
          <w:b/>
          <w:szCs w:val="21"/>
        </w:rPr>
      </w:pPr>
      <w:r>
        <w:rPr>
          <w:rFonts w:hint="eastAsia" w:hAnsi="宋体"/>
          <w:b/>
          <w:szCs w:val="21"/>
        </w:rPr>
        <w:t>十二、违约责任</w:t>
      </w:r>
    </w:p>
    <w:p>
      <w:pPr>
        <w:pStyle w:val="27"/>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135293193"/>
      <w:bookmarkStart w:id="96" w:name="_Toc73610161"/>
      <w:r>
        <w:rPr>
          <w:rFonts w:hint="eastAsia"/>
        </w:rPr>
        <w:t>第九章  附件</w:t>
      </w:r>
      <w:bookmarkEnd w:id="95"/>
      <w:bookmarkEnd w:id="96"/>
    </w:p>
    <w:p>
      <w:pPr>
        <w:pStyle w:val="5"/>
        <w:spacing w:before="0" w:after="0"/>
      </w:pPr>
      <w:bookmarkStart w:id="97" w:name="_Toc73613644"/>
      <w:bookmarkStart w:id="98" w:name="_Toc73610162"/>
      <w:bookmarkStart w:id="99" w:name="_Toc13529319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135293195"/>
      <w:bookmarkStart w:id="101" w:name="_Toc73613645"/>
      <w:bookmarkStart w:id="102" w:name="_Toc73610163"/>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135293196"/>
      <w:bookmarkStart w:id="104" w:name="_Toc73610164"/>
      <w:bookmarkStart w:id="105" w:name="_Toc7361364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73610165"/>
      <w:bookmarkStart w:id="107" w:name="_Toc73613647"/>
      <w:bookmarkStart w:id="108" w:name="_Toc13529319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19</w:t>
    </w:r>
    <w:r>
      <w:rPr>
        <w:rStyle w:val="55"/>
      </w:rPr>
      <w:fldChar w:fldCharType="end"/>
    </w:r>
  </w:p>
  <w:p>
    <w:pPr>
      <w:pStyle w:val="3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pPr>
    <w:r>
      <w:rPr>
        <w:rFonts w:hint="eastAsia"/>
      </w:rPr>
      <w:t>项目名称：</w:t>
    </w:r>
    <w:r>
      <w:rPr>
        <w:rFonts w:hint="eastAsia" w:asciiTheme="minorEastAsia" w:hAnsiTheme="minorEastAsia" w:eastAsiaTheme="minorEastAsia"/>
      </w:rPr>
      <w:t xml:space="preserve">深圳市食品生产企业分析和HACCP体系提升项目       </w:t>
    </w:r>
    <w:r>
      <w:rPr>
        <w:rFonts w:hint="eastAsia"/>
      </w:rPr>
      <w:t xml:space="preserve">                      项目编号：</w:t>
    </w:r>
    <w:r>
      <w:rPr>
        <w:rFonts w:hint="eastAsia" w:asciiTheme="minorEastAsia" w:hAnsiTheme="minorEastAsia" w:eastAsiaTheme="minorEastAsia"/>
      </w:rPr>
      <w:t>SZZZ2024-QC0063</w:t>
    </w:r>
    <w:r>
      <w:tab/>
    </w:r>
  </w:p>
  <w:p>
    <w:pPr>
      <w:pStyle w:val="33"/>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3B8"/>
    <w:rsid w:val="000F7836"/>
    <w:rsid w:val="000F7F62"/>
    <w:rsid w:val="001001FD"/>
    <w:rsid w:val="001018E6"/>
    <w:rsid w:val="0010192C"/>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6AA"/>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AAE"/>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D98"/>
    <w:rsid w:val="00265054"/>
    <w:rsid w:val="0026523F"/>
    <w:rsid w:val="002657D5"/>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B7880"/>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646"/>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6A67"/>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0E9"/>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8B0"/>
    <w:rsid w:val="003F1DDF"/>
    <w:rsid w:val="003F1F2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3F20"/>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E85"/>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2297"/>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0C76"/>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285"/>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02D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409"/>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18A"/>
    <w:rsid w:val="00C7375A"/>
    <w:rsid w:val="00C73FAB"/>
    <w:rsid w:val="00C74CF6"/>
    <w:rsid w:val="00C75A01"/>
    <w:rsid w:val="00C75BCA"/>
    <w:rsid w:val="00C75C66"/>
    <w:rsid w:val="00C75DB6"/>
    <w:rsid w:val="00C76E04"/>
    <w:rsid w:val="00C76FB0"/>
    <w:rsid w:val="00C77D93"/>
    <w:rsid w:val="00C80E58"/>
    <w:rsid w:val="00C81278"/>
    <w:rsid w:val="00C81A2C"/>
    <w:rsid w:val="00C823C4"/>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41D"/>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2D86"/>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782"/>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7533"/>
    <w:rsid w:val="01202DEE"/>
    <w:rsid w:val="014C639E"/>
    <w:rsid w:val="01F0299B"/>
    <w:rsid w:val="025C7268"/>
    <w:rsid w:val="026E4F91"/>
    <w:rsid w:val="02AB3D4B"/>
    <w:rsid w:val="03295DAE"/>
    <w:rsid w:val="03F434D0"/>
    <w:rsid w:val="041D095D"/>
    <w:rsid w:val="042711AF"/>
    <w:rsid w:val="042C0F45"/>
    <w:rsid w:val="05C87DB9"/>
    <w:rsid w:val="05FC4982"/>
    <w:rsid w:val="068E39BB"/>
    <w:rsid w:val="069F7723"/>
    <w:rsid w:val="076C0DB9"/>
    <w:rsid w:val="07D41E77"/>
    <w:rsid w:val="07ED01F7"/>
    <w:rsid w:val="08F13A1B"/>
    <w:rsid w:val="08F17FDE"/>
    <w:rsid w:val="09520EBB"/>
    <w:rsid w:val="0961739E"/>
    <w:rsid w:val="098E6083"/>
    <w:rsid w:val="0A3E36F7"/>
    <w:rsid w:val="0A8C54EC"/>
    <w:rsid w:val="0AD007F3"/>
    <w:rsid w:val="0B024724"/>
    <w:rsid w:val="0B205B2B"/>
    <w:rsid w:val="0B782559"/>
    <w:rsid w:val="0BC710AF"/>
    <w:rsid w:val="0BD27E52"/>
    <w:rsid w:val="0C8F1FE8"/>
    <w:rsid w:val="0C970E9C"/>
    <w:rsid w:val="0C992E66"/>
    <w:rsid w:val="0CBB2DDD"/>
    <w:rsid w:val="0CC51EAD"/>
    <w:rsid w:val="0D116EA1"/>
    <w:rsid w:val="0D4252AC"/>
    <w:rsid w:val="0D566BC9"/>
    <w:rsid w:val="0DA815B3"/>
    <w:rsid w:val="0E180322"/>
    <w:rsid w:val="0E8C4995"/>
    <w:rsid w:val="0EEA5BFB"/>
    <w:rsid w:val="0EF27BFB"/>
    <w:rsid w:val="0F052A35"/>
    <w:rsid w:val="0F64775C"/>
    <w:rsid w:val="0F957915"/>
    <w:rsid w:val="0FA33195"/>
    <w:rsid w:val="0FBC50EF"/>
    <w:rsid w:val="10D70117"/>
    <w:rsid w:val="11170296"/>
    <w:rsid w:val="115F3FD7"/>
    <w:rsid w:val="11A259DD"/>
    <w:rsid w:val="11F9269A"/>
    <w:rsid w:val="120474A0"/>
    <w:rsid w:val="12105979"/>
    <w:rsid w:val="121A1274"/>
    <w:rsid w:val="129D3B6E"/>
    <w:rsid w:val="13102ABE"/>
    <w:rsid w:val="13A02D2C"/>
    <w:rsid w:val="142314B2"/>
    <w:rsid w:val="150707B2"/>
    <w:rsid w:val="15D867AD"/>
    <w:rsid w:val="167D280D"/>
    <w:rsid w:val="16824929"/>
    <w:rsid w:val="17047766"/>
    <w:rsid w:val="17935895"/>
    <w:rsid w:val="17B26A73"/>
    <w:rsid w:val="17F52C18"/>
    <w:rsid w:val="182A2642"/>
    <w:rsid w:val="184530EF"/>
    <w:rsid w:val="18E86D07"/>
    <w:rsid w:val="19227A4B"/>
    <w:rsid w:val="19921369"/>
    <w:rsid w:val="1A4E7B88"/>
    <w:rsid w:val="1A9A6727"/>
    <w:rsid w:val="1ADC0AEE"/>
    <w:rsid w:val="1B3E182A"/>
    <w:rsid w:val="1B4B5195"/>
    <w:rsid w:val="1B634D6B"/>
    <w:rsid w:val="1C0E117B"/>
    <w:rsid w:val="1C174C6F"/>
    <w:rsid w:val="1C215462"/>
    <w:rsid w:val="1C5A43C0"/>
    <w:rsid w:val="1C7C020D"/>
    <w:rsid w:val="1C8F78BA"/>
    <w:rsid w:val="1C9B0D84"/>
    <w:rsid w:val="1CDD3F3B"/>
    <w:rsid w:val="1D2624F4"/>
    <w:rsid w:val="1D3764AF"/>
    <w:rsid w:val="1D4D6869"/>
    <w:rsid w:val="1E026ABD"/>
    <w:rsid w:val="1E8219AC"/>
    <w:rsid w:val="1E9F255E"/>
    <w:rsid w:val="1EF328AA"/>
    <w:rsid w:val="1F240CB5"/>
    <w:rsid w:val="1FB75686"/>
    <w:rsid w:val="202E629B"/>
    <w:rsid w:val="20437ABE"/>
    <w:rsid w:val="20707345"/>
    <w:rsid w:val="20A96AAD"/>
    <w:rsid w:val="21537630"/>
    <w:rsid w:val="21760101"/>
    <w:rsid w:val="2254540E"/>
    <w:rsid w:val="22B25284"/>
    <w:rsid w:val="22C07D9F"/>
    <w:rsid w:val="22FF35CB"/>
    <w:rsid w:val="23056CBA"/>
    <w:rsid w:val="234C1E42"/>
    <w:rsid w:val="237F64BA"/>
    <w:rsid w:val="238166D6"/>
    <w:rsid w:val="23B1063E"/>
    <w:rsid w:val="23C6059E"/>
    <w:rsid w:val="23C95079"/>
    <w:rsid w:val="24031A53"/>
    <w:rsid w:val="24307C26"/>
    <w:rsid w:val="244F0582"/>
    <w:rsid w:val="248E5D4C"/>
    <w:rsid w:val="24C47897"/>
    <w:rsid w:val="24E337F8"/>
    <w:rsid w:val="258D3B57"/>
    <w:rsid w:val="25A44427"/>
    <w:rsid w:val="25E46AA9"/>
    <w:rsid w:val="262336EE"/>
    <w:rsid w:val="269E4C0C"/>
    <w:rsid w:val="27024D1A"/>
    <w:rsid w:val="27C03ED7"/>
    <w:rsid w:val="280D0539"/>
    <w:rsid w:val="28DE1ED5"/>
    <w:rsid w:val="28E079FB"/>
    <w:rsid w:val="28F3747A"/>
    <w:rsid w:val="2973086F"/>
    <w:rsid w:val="29D47004"/>
    <w:rsid w:val="29E54440"/>
    <w:rsid w:val="29FD0466"/>
    <w:rsid w:val="2AD85037"/>
    <w:rsid w:val="2B2D0D9B"/>
    <w:rsid w:val="2BD0253B"/>
    <w:rsid w:val="2BF57C61"/>
    <w:rsid w:val="2C444480"/>
    <w:rsid w:val="2C564DC3"/>
    <w:rsid w:val="2C5836C8"/>
    <w:rsid w:val="2C772424"/>
    <w:rsid w:val="2CB73169"/>
    <w:rsid w:val="2CEA52EC"/>
    <w:rsid w:val="2D6C141D"/>
    <w:rsid w:val="2D791576"/>
    <w:rsid w:val="2D933D2C"/>
    <w:rsid w:val="2E980D64"/>
    <w:rsid w:val="2EB55486"/>
    <w:rsid w:val="2EB64B4B"/>
    <w:rsid w:val="2EDB590A"/>
    <w:rsid w:val="2F0A29E3"/>
    <w:rsid w:val="2F3740ED"/>
    <w:rsid w:val="2F5F350B"/>
    <w:rsid w:val="2FA21EAE"/>
    <w:rsid w:val="304637EF"/>
    <w:rsid w:val="30562C99"/>
    <w:rsid w:val="306B04F2"/>
    <w:rsid w:val="30817D6A"/>
    <w:rsid w:val="308B46F0"/>
    <w:rsid w:val="30FD51C0"/>
    <w:rsid w:val="31496359"/>
    <w:rsid w:val="3157114E"/>
    <w:rsid w:val="31F2037F"/>
    <w:rsid w:val="32672F3B"/>
    <w:rsid w:val="329B11F6"/>
    <w:rsid w:val="32A7158A"/>
    <w:rsid w:val="33353039"/>
    <w:rsid w:val="336E087E"/>
    <w:rsid w:val="338B3CFE"/>
    <w:rsid w:val="33A85DA6"/>
    <w:rsid w:val="33C3087D"/>
    <w:rsid w:val="34122520"/>
    <w:rsid w:val="35961B12"/>
    <w:rsid w:val="364523AD"/>
    <w:rsid w:val="36700D38"/>
    <w:rsid w:val="36C4673D"/>
    <w:rsid w:val="37160B10"/>
    <w:rsid w:val="37537F32"/>
    <w:rsid w:val="37797999"/>
    <w:rsid w:val="37B10B63"/>
    <w:rsid w:val="37D17C49"/>
    <w:rsid w:val="385C2E16"/>
    <w:rsid w:val="38664DB1"/>
    <w:rsid w:val="38950836"/>
    <w:rsid w:val="390721D7"/>
    <w:rsid w:val="393B510C"/>
    <w:rsid w:val="393F4767"/>
    <w:rsid w:val="399D5494"/>
    <w:rsid w:val="39A97E97"/>
    <w:rsid w:val="3A260C29"/>
    <w:rsid w:val="3B0F23C2"/>
    <w:rsid w:val="3B133C60"/>
    <w:rsid w:val="3B216D2B"/>
    <w:rsid w:val="3B283F12"/>
    <w:rsid w:val="3B57268D"/>
    <w:rsid w:val="3B6176CE"/>
    <w:rsid w:val="3BF9504C"/>
    <w:rsid w:val="3BFC0772"/>
    <w:rsid w:val="3CF11603"/>
    <w:rsid w:val="3D7507FB"/>
    <w:rsid w:val="3D9E46E1"/>
    <w:rsid w:val="3E611186"/>
    <w:rsid w:val="3E864749"/>
    <w:rsid w:val="3EB5127A"/>
    <w:rsid w:val="3EDD4565"/>
    <w:rsid w:val="3EF5367D"/>
    <w:rsid w:val="3F0358BA"/>
    <w:rsid w:val="3F503E5E"/>
    <w:rsid w:val="3FC16214"/>
    <w:rsid w:val="40FE77A8"/>
    <w:rsid w:val="410F7392"/>
    <w:rsid w:val="41293832"/>
    <w:rsid w:val="41576FF8"/>
    <w:rsid w:val="41D9164E"/>
    <w:rsid w:val="41DD521D"/>
    <w:rsid w:val="423B7022"/>
    <w:rsid w:val="42A87124"/>
    <w:rsid w:val="42C8485D"/>
    <w:rsid w:val="42C93A9F"/>
    <w:rsid w:val="4389060E"/>
    <w:rsid w:val="43A05335"/>
    <w:rsid w:val="43C8028A"/>
    <w:rsid w:val="43D51667"/>
    <w:rsid w:val="443B2C25"/>
    <w:rsid w:val="44804307"/>
    <w:rsid w:val="448421F1"/>
    <w:rsid w:val="449A49C1"/>
    <w:rsid w:val="44BA339E"/>
    <w:rsid w:val="44CB1E58"/>
    <w:rsid w:val="44D34C9C"/>
    <w:rsid w:val="455C26A8"/>
    <w:rsid w:val="45C1250B"/>
    <w:rsid w:val="45D37D9B"/>
    <w:rsid w:val="464F18A2"/>
    <w:rsid w:val="46BD79F8"/>
    <w:rsid w:val="47DD7AD0"/>
    <w:rsid w:val="480728D4"/>
    <w:rsid w:val="48194FD5"/>
    <w:rsid w:val="484514CB"/>
    <w:rsid w:val="489479CE"/>
    <w:rsid w:val="48C86EE1"/>
    <w:rsid w:val="490177EE"/>
    <w:rsid w:val="49DE18DD"/>
    <w:rsid w:val="49FA6EF8"/>
    <w:rsid w:val="4A037596"/>
    <w:rsid w:val="4A784961"/>
    <w:rsid w:val="4ACF3A3C"/>
    <w:rsid w:val="4AD827D0"/>
    <w:rsid w:val="4AEA79BB"/>
    <w:rsid w:val="4B1700DF"/>
    <w:rsid w:val="4B785C80"/>
    <w:rsid w:val="4B9D30D2"/>
    <w:rsid w:val="4C6F383B"/>
    <w:rsid w:val="4D5679DC"/>
    <w:rsid w:val="4D683BF0"/>
    <w:rsid w:val="4D6B1C5C"/>
    <w:rsid w:val="4DEB6377"/>
    <w:rsid w:val="4E4E4DA6"/>
    <w:rsid w:val="4EAA72A2"/>
    <w:rsid w:val="4F0F6A19"/>
    <w:rsid w:val="4FA62E9D"/>
    <w:rsid w:val="4FBB7FCB"/>
    <w:rsid w:val="4FE439C5"/>
    <w:rsid w:val="502B3C81"/>
    <w:rsid w:val="50AD11B4"/>
    <w:rsid w:val="51B412C3"/>
    <w:rsid w:val="51D10A66"/>
    <w:rsid w:val="51DF4444"/>
    <w:rsid w:val="528A390F"/>
    <w:rsid w:val="528C6991"/>
    <w:rsid w:val="52C3297B"/>
    <w:rsid w:val="52DC6BD6"/>
    <w:rsid w:val="53166490"/>
    <w:rsid w:val="54054633"/>
    <w:rsid w:val="540605E4"/>
    <w:rsid w:val="540E1011"/>
    <w:rsid w:val="547F0032"/>
    <w:rsid w:val="54A02A20"/>
    <w:rsid w:val="54B653B2"/>
    <w:rsid w:val="556C53AF"/>
    <w:rsid w:val="55937A20"/>
    <w:rsid w:val="55C87B3E"/>
    <w:rsid w:val="565847C5"/>
    <w:rsid w:val="57AA72A2"/>
    <w:rsid w:val="580D2E15"/>
    <w:rsid w:val="58450A30"/>
    <w:rsid w:val="58D67D8C"/>
    <w:rsid w:val="58E10577"/>
    <w:rsid w:val="58E93DFA"/>
    <w:rsid w:val="59165EF7"/>
    <w:rsid w:val="591C5F7E"/>
    <w:rsid w:val="595C637A"/>
    <w:rsid w:val="59702A12"/>
    <w:rsid w:val="5980650D"/>
    <w:rsid w:val="5A172684"/>
    <w:rsid w:val="5A6A791D"/>
    <w:rsid w:val="5AD61FA7"/>
    <w:rsid w:val="5AED2A9C"/>
    <w:rsid w:val="5BC746C9"/>
    <w:rsid w:val="5BCD7B48"/>
    <w:rsid w:val="5BF60D08"/>
    <w:rsid w:val="5BFF4980"/>
    <w:rsid w:val="5C152D18"/>
    <w:rsid w:val="5C6501B9"/>
    <w:rsid w:val="5CC61F72"/>
    <w:rsid w:val="5CF206F7"/>
    <w:rsid w:val="5D2B2C34"/>
    <w:rsid w:val="5D6B74D4"/>
    <w:rsid w:val="5D857AA6"/>
    <w:rsid w:val="5E1A6CE7"/>
    <w:rsid w:val="5EA0340D"/>
    <w:rsid w:val="5ED66C3C"/>
    <w:rsid w:val="5EF07C91"/>
    <w:rsid w:val="5F204E9D"/>
    <w:rsid w:val="5F335B53"/>
    <w:rsid w:val="5F5F51BC"/>
    <w:rsid w:val="5FDD643B"/>
    <w:rsid w:val="60974649"/>
    <w:rsid w:val="60A9459B"/>
    <w:rsid w:val="60BA3E42"/>
    <w:rsid w:val="6194383B"/>
    <w:rsid w:val="61CB5375"/>
    <w:rsid w:val="621E7315"/>
    <w:rsid w:val="623348CA"/>
    <w:rsid w:val="62F85366"/>
    <w:rsid w:val="631F28F3"/>
    <w:rsid w:val="641A130C"/>
    <w:rsid w:val="65732581"/>
    <w:rsid w:val="65817895"/>
    <w:rsid w:val="65B247EA"/>
    <w:rsid w:val="65CA685B"/>
    <w:rsid w:val="65CF34A7"/>
    <w:rsid w:val="65F660EF"/>
    <w:rsid w:val="6612610A"/>
    <w:rsid w:val="663761A5"/>
    <w:rsid w:val="663C7C5F"/>
    <w:rsid w:val="6673798C"/>
    <w:rsid w:val="66C51B9C"/>
    <w:rsid w:val="66D6776C"/>
    <w:rsid w:val="67050051"/>
    <w:rsid w:val="670F0ED0"/>
    <w:rsid w:val="673905B6"/>
    <w:rsid w:val="681C3942"/>
    <w:rsid w:val="68460AAC"/>
    <w:rsid w:val="68AC1CFE"/>
    <w:rsid w:val="68C301C4"/>
    <w:rsid w:val="68EC626C"/>
    <w:rsid w:val="692C5D69"/>
    <w:rsid w:val="69DA2275"/>
    <w:rsid w:val="6A3F265D"/>
    <w:rsid w:val="6AC975E8"/>
    <w:rsid w:val="6AE12475"/>
    <w:rsid w:val="6B713F07"/>
    <w:rsid w:val="6BCD1DE6"/>
    <w:rsid w:val="6BEA3CBA"/>
    <w:rsid w:val="6C505023"/>
    <w:rsid w:val="6CFD7AAA"/>
    <w:rsid w:val="6D14299F"/>
    <w:rsid w:val="6D433682"/>
    <w:rsid w:val="6D604255"/>
    <w:rsid w:val="6D633D24"/>
    <w:rsid w:val="6D672A1E"/>
    <w:rsid w:val="6DC237D1"/>
    <w:rsid w:val="6F132635"/>
    <w:rsid w:val="6F370FC4"/>
    <w:rsid w:val="6F40725E"/>
    <w:rsid w:val="6F4C2770"/>
    <w:rsid w:val="6F745D74"/>
    <w:rsid w:val="711172CF"/>
    <w:rsid w:val="7146142E"/>
    <w:rsid w:val="717B6DD7"/>
    <w:rsid w:val="71810C1C"/>
    <w:rsid w:val="71FD54DD"/>
    <w:rsid w:val="72187834"/>
    <w:rsid w:val="723E08BB"/>
    <w:rsid w:val="725105EF"/>
    <w:rsid w:val="728E1843"/>
    <w:rsid w:val="728F7928"/>
    <w:rsid w:val="730D6C0C"/>
    <w:rsid w:val="731C3944"/>
    <w:rsid w:val="73397A01"/>
    <w:rsid w:val="738435E9"/>
    <w:rsid w:val="739A7F5B"/>
    <w:rsid w:val="7410294D"/>
    <w:rsid w:val="741C3268"/>
    <w:rsid w:val="742D4A14"/>
    <w:rsid w:val="74597C2E"/>
    <w:rsid w:val="749910ED"/>
    <w:rsid w:val="7499627D"/>
    <w:rsid w:val="75181898"/>
    <w:rsid w:val="751C1388"/>
    <w:rsid w:val="75C53718"/>
    <w:rsid w:val="761000C3"/>
    <w:rsid w:val="76D71644"/>
    <w:rsid w:val="772C33D8"/>
    <w:rsid w:val="77304C77"/>
    <w:rsid w:val="776C2FB6"/>
    <w:rsid w:val="77821DB2"/>
    <w:rsid w:val="7789082B"/>
    <w:rsid w:val="77BC009F"/>
    <w:rsid w:val="78CA2EA9"/>
    <w:rsid w:val="78EC1071"/>
    <w:rsid w:val="79144124"/>
    <w:rsid w:val="79307310"/>
    <w:rsid w:val="79982284"/>
    <w:rsid w:val="7998662D"/>
    <w:rsid w:val="79D56B9C"/>
    <w:rsid w:val="7A0F3269"/>
    <w:rsid w:val="7A304F8E"/>
    <w:rsid w:val="7A8C5878"/>
    <w:rsid w:val="7ABD7318"/>
    <w:rsid w:val="7AF64429"/>
    <w:rsid w:val="7B471854"/>
    <w:rsid w:val="7BB85C0D"/>
    <w:rsid w:val="7C52743D"/>
    <w:rsid w:val="7C552333"/>
    <w:rsid w:val="7C9E600A"/>
    <w:rsid w:val="7CA86C55"/>
    <w:rsid w:val="7CCA791B"/>
    <w:rsid w:val="7CF019C1"/>
    <w:rsid w:val="7D025C1B"/>
    <w:rsid w:val="7D2749BA"/>
    <w:rsid w:val="7D384885"/>
    <w:rsid w:val="7D461CAD"/>
    <w:rsid w:val="7DFA4230"/>
    <w:rsid w:val="7DFA5FDE"/>
    <w:rsid w:val="7E28286A"/>
    <w:rsid w:val="7E4515FE"/>
    <w:rsid w:val="7E6873EC"/>
    <w:rsid w:val="7EAD59B2"/>
    <w:rsid w:val="7ED544B7"/>
    <w:rsid w:val="7F435763"/>
    <w:rsid w:val="7F91273C"/>
    <w:rsid w:val="7FA47CBE"/>
    <w:rsid w:val="7FFB5613"/>
    <w:rsid w:val="7FFF4D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autoRedefine/>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2"/>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autoRedefine/>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3"/>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5"/>
    <w:autoRedefine/>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6"/>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7"/>
    <w:autoRedefine/>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8"/>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9"/>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autoRedefine/>
    <w:semiHidden/>
    <w:unhideWhenUsed/>
    <w:qFormat/>
    <w:uiPriority w:val="1"/>
  </w:style>
  <w:style w:type="table" w:default="1" w:styleId="51">
    <w:name w:val="Normal Table"/>
    <w:autoRedefine/>
    <w:semiHidden/>
    <w:unhideWhenUsed/>
    <w:qFormat/>
    <w:uiPriority w:val="99"/>
    <w:tblPr>
      <w:tblCellMar>
        <w:top w:w="0" w:type="dxa"/>
        <w:left w:w="108" w:type="dxa"/>
        <w:bottom w:w="0" w:type="dxa"/>
        <w:right w:w="108" w:type="dxa"/>
      </w:tblCellMar>
    </w:tblPr>
  </w:style>
  <w:style w:type="paragraph" w:customStyle="1" w:styleId="2">
    <w:name w:val="文档正文"/>
    <w:basedOn w:val="1"/>
    <w:link w:val="346"/>
    <w:autoRedefine/>
    <w:qFormat/>
    <w:uiPriority w:val="0"/>
    <w:rPr>
      <w:rFonts w:ascii="Arial" w:hAnsi="Arial" w:cs="Arial"/>
      <w:bCs/>
      <w:sz w:val="24"/>
    </w:rPr>
  </w:style>
  <w:style w:type="paragraph" w:styleId="8">
    <w:name w:val="Normal Indent"/>
    <w:basedOn w:val="1"/>
    <w:link w:val="64"/>
    <w:autoRedefine/>
    <w:qFormat/>
    <w:uiPriority w:val="0"/>
    <w:pPr>
      <w:ind w:firstLine="420" w:firstLineChars="200"/>
    </w:pPr>
  </w:style>
  <w:style w:type="paragraph" w:styleId="13">
    <w:name w:val="toc 7"/>
    <w:basedOn w:val="1"/>
    <w:next w:val="1"/>
    <w:autoRedefine/>
    <w:qFormat/>
    <w:uiPriority w:val="0"/>
    <w:pPr>
      <w:ind w:left="1260"/>
      <w:jc w:val="left"/>
    </w:pPr>
    <w:rPr>
      <w:szCs w:val="21"/>
    </w:rPr>
  </w:style>
  <w:style w:type="paragraph" w:styleId="14">
    <w:name w:val="List Number 2"/>
    <w:basedOn w:val="1"/>
    <w:autoRedefine/>
    <w:qFormat/>
    <w:uiPriority w:val="0"/>
    <w:pPr>
      <w:tabs>
        <w:tab w:val="left" w:pos="780"/>
      </w:tabs>
      <w:ind w:left="780" w:hanging="360"/>
    </w:pPr>
    <w:rPr>
      <w:szCs w:val="20"/>
    </w:rPr>
  </w:style>
  <w:style w:type="paragraph" w:styleId="15">
    <w:name w:val="List Bullet 4"/>
    <w:basedOn w:val="1"/>
    <w:autoRedefine/>
    <w:qFormat/>
    <w:uiPriority w:val="0"/>
    <w:pPr>
      <w:tabs>
        <w:tab w:val="left" w:pos="425"/>
        <w:tab w:val="left" w:pos="1620"/>
      </w:tabs>
      <w:ind w:left="425" w:hanging="425"/>
    </w:pPr>
    <w:rPr>
      <w:szCs w:val="20"/>
    </w:rPr>
  </w:style>
  <w:style w:type="paragraph" w:styleId="16">
    <w:name w:val="caption"/>
    <w:basedOn w:val="1"/>
    <w:next w:val="1"/>
    <w:link w:val="298"/>
    <w:autoRedefine/>
    <w:qFormat/>
    <w:uiPriority w:val="0"/>
    <w:rPr>
      <w:rFonts w:ascii="Cambria" w:hAnsi="Cambria" w:eastAsia="黑体"/>
    </w:rPr>
  </w:style>
  <w:style w:type="paragraph" w:styleId="17">
    <w:name w:val="List Bullet"/>
    <w:basedOn w:val="1"/>
    <w:autoRedefine/>
    <w:qFormat/>
    <w:uiPriority w:val="0"/>
    <w:pPr>
      <w:numPr>
        <w:ilvl w:val="0"/>
        <w:numId w:val="1"/>
      </w:numPr>
      <w:tabs>
        <w:tab w:val="left" w:pos="360"/>
        <w:tab w:val="clear" w:pos="371"/>
      </w:tabs>
    </w:pPr>
    <w:rPr>
      <w:szCs w:val="20"/>
    </w:rPr>
  </w:style>
  <w:style w:type="paragraph" w:styleId="18">
    <w:name w:val="Document Map"/>
    <w:basedOn w:val="1"/>
    <w:link w:val="74"/>
    <w:autoRedefine/>
    <w:qFormat/>
    <w:uiPriority w:val="0"/>
    <w:pPr>
      <w:shd w:val="clear" w:color="auto" w:fill="000080"/>
    </w:pPr>
  </w:style>
  <w:style w:type="paragraph" w:styleId="19">
    <w:name w:val="annotation text"/>
    <w:basedOn w:val="1"/>
    <w:link w:val="70"/>
    <w:autoRedefine/>
    <w:qFormat/>
    <w:uiPriority w:val="99"/>
    <w:pPr>
      <w:jc w:val="left"/>
    </w:pPr>
  </w:style>
  <w:style w:type="paragraph" w:styleId="20">
    <w:name w:val="Body Text 3"/>
    <w:basedOn w:val="1"/>
    <w:link w:val="458"/>
    <w:autoRedefine/>
    <w:unhideWhenUsed/>
    <w:qFormat/>
    <w:uiPriority w:val="0"/>
    <w:pPr>
      <w:spacing w:after="120"/>
    </w:pPr>
    <w:rPr>
      <w:sz w:val="16"/>
      <w:szCs w:val="16"/>
    </w:rPr>
  </w:style>
  <w:style w:type="paragraph" w:styleId="21">
    <w:name w:val="Body Text"/>
    <w:basedOn w:val="1"/>
    <w:link w:val="72"/>
    <w:autoRedefine/>
    <w:qFormat/>
    <w:uiPriority w:val="0"/>
    <w:pPr>
      <w:spacing w:after="120"/>
    </w:pPr>
  </w:style>
  <w:style w:type="paragraph" w:styleId="22">
    <w:name w:val="Body Text Indent"/>
    <w:basedOn w:val="1"/>
    <w:link w:val="75"/>
    <w:autoRedefine/>
    <w:qFormat/>
    <w:uiPriority w:val="0"/>
    <w:pPr>
      <w:spacing w:after="120"/>
      <w:ind w:left="420" w:leftChars="200"/>
    </w:pPr>
  </w:style>
  <w:style w:type="paragraph" w:styleId="23">
    <w:name w:val="Block Text"/>
    <w:basedOn w:val="1"/>
    <w:autoRedefine/>
    <w:qFormat/>
    <w:uiPriority w:val="0"/>
    <w:pPr>
      <w:spacing w:after="120"/>
      <w:ind w:left="1440" w:leftChars="700" w:right="1440" w:rightChars="700"/>
    </w:pPr>
  </w:style>
  <w:style w:type="paragraph" w:styleId="24">
    <w:name w:val="List Bullet 2"/>
    <w:basedOn w:val="1"/>
    <w:autoRedefine/>
    <w:qFormat/>
    <w:uiPriority w:val="0"/>
    <w:pPr>
      <w:numPr>
        <w:ilvl w:val="0"/>
        <w:numId w:val="2"/>
      </w:numPr>
      <w:tabs>
        <w:tab w:val="left" w:pos="780"/>
      </w:tabs>
    </w:pPr>
    <w:rPr>
      <w:szCs w:val="20"/>
    </w:rPr>
  </w:style>
  <w:style w:type="paragraph" w:styleId="25">
    <w:name w:val="toc 5"/>
    <w:basedOn w:val="1"/>
    <w:next w:val="1"/>
    <w:autoRedefine/>
    <w:qFormat/>
    <w:uiPriority w:val="0"/>
    <w:pPr>
      <w:ind w:left="840"/>
      <w:jc w:val="left"/>
    </w:pPr>
    <w:rPr>
      <w:szCs w:val="21"/>
    </w:rPr>
  </w:style>
  <w:style w:type="paragraph" w:styleId="26">
    <w:name w:val="toc 3"/>
    <w:basedOn w:val="1"/>
    <w:next w:val="1"/>
    <w:autoRedefine/>
    <w:qFormat/>
    <w:uiPriority w:val="39"/>
    <w:pPr>
      <w:ind w:left="420"/>
      <w:jc w:val="left"/>
    </w:pPr>
    <w:rPr>
      <w:iCs/>
    </w:rPr>
  </w:style>
  <w:style w:type="paragraph" w:styleId="27">
    <w:name w:val="Plain Text"/>
    <w:basedOn w:val="1"/>
    <w:link w:val="76"/>
    <w:autoRedefine/>
    <w:qFormat/>
    <w:uiPriority w:val="0"/>
    <w:rPr>
      <w:rFonts w:ascii="宋体" w:hAnsi="Courier New"/>
      <w:szCs w:val="20"/>
    </w:rPr>
  </w:style>
  <w:style w:type="paragraph" w:styleId="28">
    <w:name w:val="toc 8"/>
    <w:basedOn w:val="1"/>
    <w:next w:val="1"/>
    <w:autoRedefine/>
    <w:qFormat/>
    <w:uiPriority w:val="0"/>
    <w:pPr>
      <w:ind w:left="1470"/>
      <w:jc w:val="left"/>
    </w:pPr>
    <w:rPr>
      <w:szCs w:val="21"/>
    </w:rPr>
  </w:style>
  <w:style w:type="paragraph" w:styleId="29">
    <w:name w:val="Date"/>
    <w:basedOn w:val="1"/>
    <w:next w:val="1"/>
    <w:link w:val="317"/>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7"/>
    <w:autoRedefine/>
    <w:qFormat/>
    <w:uiPriority w:val="0"/>
    <w:pPr>
      <w:spacing w:after="120" w:line="480" w:lineRule="auto"/>
      <w:ind w:left="420" w:leftChars="200"/>
    </w:pPr>
  </w:style>
  <w:style w:type="paragraph" w:styleId="31">
    <w:name w:val="Balloon Text"/>
    <w:basedOn w:val="1"/>
    <w:link w:val="78"/>
    <w:autoRedefine/>
    <w:qFormat/>
    <w:uiPriority w:val="0"/>
    <w:rPr>
      <w:sz w:val="18"/>
      <w:szCs w:val="18"/>
    </w:rPr>
  </w:style>
  <w:style w:type="paragraph" w:styleId="32">
    <w:name w:val="footer"/>
    <w:basedOn w:val="1"/>
    <w:link w:val="79"/>
    <w:autoRedefine/>
    <w:qFormat/>
    <w:uiPriority w:val="99"/>
    <w:pPr>
      <w:tabs>
        <w:tab w:val="center" w:pos="4153"/>
        <w:tab w:val="right" w:pos="8306"/>
      </w:tabs>
      <w:snapToGrid w:val="0"/>
      <w:jc w:val="left"/>
    </w:pPr>
    <w:rPr>
      <w:sz w:val="18"/>
      <w:szCs w:val="18"/>
    </w:rPr>
  </w:style>
  <w:style w:type="paragraph" w:styleId="33">
    <w:name w:val="header"/>
    <w:basedOn w:val="1"/>
    <w:link w:val="80"/>
    <w:autoRedefine/>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autoRedefine/>
    <w:qFormat/>
    <w:uiPriority w:val="0"/>
    <w:pPr>
      <w:ind w:left="4320"/>
    </w:pPr>
    <w:rPr>
      <w:rFonts w:eastAsia="楷体_GB2312"/>
      <w:szCs w:val="20"/>
    </w:rPr>
  </w:style>
  <w:style w:type="paragraph" w:styleId="35">
    <w:name w:val="toc 1"/>
    <w:basedOn w:val="1"/>
    <w:next w:val="1"/>
    <w:autoRedefine/>
    <w:qFormat/>
    <w:uiPriority w:val="39"/>
    <w:pPr>
      <w:spacing w:before="120" w:after="120"/>
      <w:jc w:val="left"/>
    </w:pPr>
    <w:rPr>
      <w:b/>
      <w:bCs/>
      <w:caps/>
    </w:rPr>
  </w:style>
  <w:style w:type="paragraph" w:styleId="36">
    <w:name w:val="toc 4"/>
    <w:basedOn w:val="1"/>
    <w:next w:val="1"/>
    <w:autoRedefine/>
    <w:qFormat/>
    <w:uiPriority w:val="0"/>
    <w:pPr>
      <w:ind w:left="630"/>
      <w:jc w:val="left"/>
    </w:pPr>
    <w:rPr>
      <w:szCs w:val="21"/>
    </w:rPr>
  </w:style>
  <w:style w:type="paragraph" w:styleId="37">
    <w:name w:val="index heading"/>
    <w:basedOn w:val="1"/>
    <w:next w:val="38"/>
    <w:autoRedefine/>
    <w:qFormat/>
    <w:uiPriority w:val="0"/>
    <w:rPr>
      <w:szCs w:val="20"/>
    </w:rPr>
  </w:style>
  <w:style w:type="paragraph" w:styleId="38">
    <w:name w:val="index 1"/>
    <w:basedOn w:val="1"/>
    <w:next w:val="1"/>
    <w:autoRedefine/>
    <w:qFormat/>
    <w:uiPriority w:val="0"/>
  </w:style>
  <w:style w:type="paragraph" w:styleId="39">
    <w:name w:val="footnote text"/>
    <w:basedOn w:val="1"/>
    <w:link w:val="481"/>
    <w:autoRedefine/>
    <w:qFormat/>
    <w:uiPriority w:val="0"/>
    <w:pPr>
      <w:snapToGrid w:val="0"/>
      <w:jc w:val="left"/>
    </w:pPr>
    <w:rPr>
      <w:sz w:val="18"/>
      <w:szCs w:val="18"/>
    </w:rPr>
  </w:style>
  <w:style w:type="paragraph" w:styleId="40">
    <w:name w:val="toc 6"/>
    <w:basedOn w:val="1"/>
    <w:next w:val="1"/>
    <w:autoRedefine/>
    <w:qFormat/>
    <w:uiPriority w:val="0"/>
    <w:pPr>
      <w:ind w:left="1050"/>
      <w:jc w:val="left"/>
    </w:pPr>
    <w:rPr>
      <w:szCs w:val="21"/>
    </w:rPr>
  </w:style>
  <w:style w:type="paragraph" w:styleId="41">
    <w:name w:val="Body Text Indent 3"/>
    <w:basedOn w:val="1"/>
    <w:link w:val="314"/>
    <w:autoRedefine/>
    <w:qFormat/>
    <w:uiPriority w:val="0"/>
    <w:pPr>
      <w:ind w:firstLine="426"/>
    </w:pPr>
    <w:rPr>
      <w:szCs w:val="20"/>
    </w:rPr>
  </w:style>
  <w:style w:type="paragraph" w:styleId="42">
    <w:name w:val="toc 2"/>
    <w:basedOn w:val="1"/>
    <w:next w:val="1"/>
    <w:autoRedefine/>
    <w:qFormat/>
    <w:uiPriority w:val="39"/>
    <w:pPr>
      <w:ind w:left="210"/>
      <w:jc w:val="left"/>
    </w:pPr>
    <w:rPr>
      <w:smallCaps/>
    </w:rPr>
  </w:style>
  <w:style w:type="paragraph" w:styleId="43">
    <w:name w:val="toc 9"/>
    <w:basedOn w:val="1"/>
    <w:next w:val="1"/>
    <w:autoRedefine/>
    <w:qFormat/>
    <w:uiPriority w:val="0"/>
    <w:pPr>
      <w:ind w:left="1680"/>
      <w:jc w:val="left"/>
    </w:pPr>
    <w:rPr>
      <w:szCs w:val="21"/>
    </w:rPr>
  </w:style>
  <w:style w:type="paragraph" w:styleId="44">
    <w:name w:val="Body Text 2"/>
    <w:basedOn w:val="1"/>
    <w:link w:val="307"/>
    <w:autoRedefine/>
    <w:qFormat/>
    <w:uiPriority w:val="0"/>
    <w:rPr>
      <w:sz w:val="28"/>
      <w:szCs w:val="20"/>
    </w:rPr>
  </w:style>
  <w:style w:type="paragraph" w:styleId="45">
    <w:name w:val="HTML Preformatted"/>
    <w:basedOn w:val="1"/>
    <w:link w:val="8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autoRedefine/>
    <w:qFormat/>
    <w:uiPriority w:val="99"/>
    <w:pPr>
      <w:widowControl/>
      <w:spacing w:before="100" w:beforeAutospacing="1" w:after="100" w:afterAutospacing="1"/>
      <w:jc w:val="left"/>
    </w:pPr>
    <w:rPr>
      <w:kern w:val="0"/>
      <w:sz w:val="24"/>
    </w:rPr>
  </w:style>
  <w:style w:type="paragraph" w:styleId="47">
    <w:name w:val="Title"/>
    <w:basedOn w:val="1"/>
    <w:link w:val="82"/>
    <w:autoRedefine/>
    <w:qFormat/>
    <w:uiPriority w:val="0"/>
    <w:pPr>
      <w:spacing w:before="240" w:after="60"/>
      <w:jc w:val="center"/>
      <w:outlineLvl w:val="0"/>
    </w:pPr>
    <w:rPr>
      <w:rFonts w:ascii="Arial" w:hAnsi="Arial" w:eastAsia="隶书"/>
      <w:b/>
      <w:bCs/>
      <w:sz w:val="32"/>
      <w:szCs w:val="32"/>
    </w:rPr>
  </w:style>
  <w:style w:type="paragraph" w:styleId="48">
    <w:name w:val="annotation subject"/>
    <w:basedOn w:val="19"/>
    <w:next w:val="19"/>
    <w:link w:val="71"/>
    <w:autoRedefine/>
    <w:qFormat/>
    <w:uiPriority w:val="0"/>
    <w:rPr>
      <w:b/>
      <w:bCs/>
    </w:rPr>
  </w:style>
  <w:style w:type="paragraph" w:styleId="49">
    <w:name w:val="Body Text First Indent"/>
    <w:basedOn w:val="21"/>
    <w:link w:val="73"/>
    <w:autoRedefine/>
    <w:qFormat/>
    <w:uiPriority w:val="0"/>
    <w:pPr>
      <w:ind w:firstLine="420" w:firstLineChars="100"/>
    </w:pPr>
  </w:style>
  <w:style w:type="paragraph" w:styleId="50">
    <w:name w:val="Body Text First Indent 2"/>
    <w:basedOn w:val="22"/>
    <w:link w:val="293"/>
    <w:autoRedefine/>
    <w:qFormat/>
    <w:uiPriority w:val="0"/>
    <w:pPr>
      <w:spacing w:after="160" w:line="360" w:lineRule="auto"/>
      <w:ind w:firstLine="480" w:firstLineChars="200"/>
    </w:pPr>
    <w:rPr>
      <w:kern w:val="0"/>
      <w:sz w:val="24"/>
    </w:rPr>
  </w:style>
  <w:style w:type="table" w:styleId="52">
    <w:name w:val="Table Grid"/>
    <w:basedOn w:val="5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autoRedefine/>
    <w:qFormat/>
    <w:uiPriority w:val="22"/>
    <w:rPr>
      <w:b/>
      <w:bCs/>
    </w:rPr>
  </w:style>
  <w:style w:type="character" w:styleId="55">
    <w:name w:val="page number"/>
    <w:basedOn w:val="53"/>
    <w:autoRedefine/>
    <w:qFormat/>
    <w:uiPriority w:val="0"/>
  </w:style>
  <w:style w:type="character" w:styleId="56">
    <w:name w:val="FollowedHyperlink"/>
    <w:basedOn w:val="53"/>
    <w:autoRedefine/>
    <w:unhideWhenUsed/>
    <w:qFormat/>
    <w:uiPriority w:val="0"/>
    <w:rPr>
      <w:color w:val="800080"/>
      <w:u w:val="single"/>
    </w:rPr>
  </w:style>
  <w:style w:type="character" w:styleId="57">
    <w:name w:val="Emphasis"/>
    <w:autoRedefine/>
    <w:qFormat/>
    <w:uiPriority w:val="20"/>
    <w:rPr>
      <w:i/>
      <w:iCs/>
    </w:rPr>
  </w:style>
  <w:style w:type="character" w:styleId="58">
    <w:name w:val="Hyperlink"/>
    <w:autoRedefine/>
    <w:qFormat/>
    <w:uiPriority w:val="99"/>
    <w:rPr>
      <w:color w:val="0000FF"/>
      <w:u w:val="single"/>
    </w:rPr>
  </w:style>
  <w:style w:type="character" w:styleId="59">
    <w:name w:val="annotation reference"/>
    <w:autoRedefine/>
    <w:qFormat/>
    <w:uiPriority w:val="99"/>
    <w:rPr>
      <w:sz w:val="21"/>
      <w:szCs w:val="21"/>
    </w:rPr>
  </w:style>
  <w:style w:type="character" w:customStyle="1" w:styleId="60">
    <w:name w:val="标题 3 Char"/>
    <w:basedOn w:val="53"/>
    <w:link w:val="4"/>
    <w:autoRedefine/>
    <w:qFormat/>
    <w:uiPriority w:val="0"/>
    <w:rPr>
      <w:b/>
      <w:bCs/>
      <w:kern w:val="2"/>
      <w:sz w:val="24"/>
      <w:szCs w:val="32"/>
    </w:rPr>
  </w:style>
  <w:style w:type="character" w:customStyle="1" w:styleId="61">
    <w:name w:val="标题 1 Char"/>
    <w:basedOn w:val="53"/>
    <w:link w:val="3"/>
    <w:autoRedefine/>
    <w:qFormat/>
    <w:uiPriority w:val="0"/>
    <w:rPr>
      <w:rFonts w:eastAsiaTheme="minorEastAsia"/>
      <w:b/>
      <w:kern w:val="44"/>
      <w:sz w:val="44"/>
      <w:szCs w:val="28"/>
    </w:rPr>
  </w:style>
  <w:style w:type="character" w:customStyle="1" w:styleId="62">
    <w:name w:val="标题 2 Char"/>
    <w:basedOn w:val="53"/>
    <w:link w:val="5"/>
    <w:autoRedefine/>
    <w:qFormat/>
    <w:uiPriority w:val="0"/>
    <w:rPr>
      <w:rFonts w:ascii="Arial" w:hAnsi="Arial" w:eastAsiaTheme="minorEastAsia"/>
      <w:b/>
      <w:bCs/>
      <w:kern w:val="2"/>
      <w:sz w:val="28"/>
      <w:szCs w:val="32"/>
    </w:rPr>
  </w:style>
  <w:style w:type="character" w:customStyle="1" w:styleId="63">
    <w:name w:val="标题 4 Char1"/>
    <w:basedOn w:val="53"/>
    <w:link w:val="6"/>
    <w:autoRedefine/>
    <w:qFormat/>
    <w:uiPriority w:val="99"/>
    <w:rPr>
      <w:rFonts w:ascii="Arial" w:hAnsi="Arial" w:eastAsia="黑体"/>
      <w:b/>
      <w:bCs/>
      <w:kern w:val="2"/>
      <w:sz w:val="28"/>
      <w:szCs w:val="28"/>
    </w:rPr>
  </w:style>
  <w:style w:type="character" w:customStyle="1" w:styleId="64">
    <w:name w:val="正文缩进 Char"/>
    <w:link w:val="8"/>
    <w:autoRedefine/>
    <w:qFormat/>
    <w:uiPriority w:val="0"/>
    <w:rPr>
      <w:rFonts w:eastAsia="宋体"/>
      <w:kern w:val="2"/>
      <w:sz w:val="21"/>
      <w:szCs w:val="24"/>
      <w:lang w:val="en-US" w:eastAsia="zh-CN" w:bidi="ar-SA"/>
    </w:rPr>
  </w:style>
  <w:style w:type="character" w:customStyle="1" w:styleId="65">
    <w:name w:val="标题 5 Char1"/>
    <w:basedOn w:val="53"/>
    <w:link w:val="7"/>
    <w:autoRedefine/>
    <w:qFormat/>
    <w:uiPriority w:val="0"/>
    <w:rPr>
      <w:b/>
      <w:kern w:val="2"/>
      <w:sz w:val="28"/>
      <w:szCs w:val="24"/>
    </w:rPr>
  </w:style>
  <w:style w:type="character" w:customStyle="1" w:styleId="66">
    <w:name w:val="标题 6 Char1"/>
    <w:basedOn w:val="53"/>
    <w:link w:val="9"/>
    <w:autoRedefine/>
    <w:qFormat/>
    <w:uiPriority w:val="9"/>
    <w:rPr>
      <w:rFonts w:ascii="Arial" w:hAnsi="Arial" w:eastAsia="黑体"/>
      <w:b/>
      <w:kern w:val="2"/>
      <w:sz w:val="24"/>
      <w:szCs w:val="24"/>
    </w:rPr>
  </w:style>
  <w:style w:type="character" w:customStyle="1" w:styleId="67">
    <w:name w:val="标题 7 Char1"/>
    <w:basedOn w:val="53"/>
    <w:link w:val="10"/>
    <w:autoRedefine/>
    <w:qFormat/>
    <w:uiPriority w:val="9"/>
    <w:rPr>
      <w:b/>
      <w:kern w:val="2"/>
      <w:sz w:val="24"/>
      <w:szCs w:val="24"/>
    </w:rPr>
  </w:style>
  <w:style w:type="character" w:customStyle="1" w:styleId="68">
    <w:name w:val="标题 8 Char1"/>
    <w:basedOn w:val="53"/>
    <w:link w:val="11"/>
    <w:autoRedefine/>
    <w:qFormat/>
    <w:uiPriority w:val="9"/>
    <w:rPr>
      <w:rFonts w:ascii="Arial" w:hAnsi="Arial" w:eastAsia="黑体"/>
      <w:kern w:val="2"/>
      <w:sz w:val="24"/>
      <w:szCs w:val="24"/>
    </w:rPr>
  </w:style>
  <w:style w:type="character" w:customStyle="1" w:styleId="69">
    <w:name w:val="标题 9 Char1"/>
    <w:basedOn w:val="53"/>
    <w:link w:val="12"/>
    <w:autoRedefine/>
    <w:qFormat/>
    <w:uiPriority w:val="0"/>
    <w:rPr>
      <w:rFonts w:ascii="Arial" w:hAnsi="Arial" w:eastAsia="黑体"/>
      <w:kern w:val="2"/>
      <w:sz w:val="21"/>
      <w:szCs w:val="24"/>
    </w:rPr>
  </w:style>
  <w:style w:type="character" w:customStyle="1" w:styleId="70">
    <w:name w:val="批注文字 Char"/>
    <w:link w:val="19"/>
    <w:autoRedefine/>
    <w:qFormat/>
    <w:uiPriority w:val="99"/>
    <w:rPr>
      <w:kern w:val="2"/>
      <w:sz w:val="21"/>
      <w:szCs w:val="24"/>
    </w:rPr>
  </w:style>
  <w:style w:type="character" w:customStyle="1" w:styleId="71">
    <w:name w:val="批注主题 Char"/>
    <w:basedOn w:val="70"/>
    <w:link w:val="48"/>
    <w:autoRedefine/>
    <w:qFormat/>
    <w:uiPriority w:val="0"/>
    <w:rPr>
      <w:b/>
      <w:bCs/>
      <w:kern w:val="2"/>
      <w:sz w:val="21"/>
      <w:szCs w:val="24"/>
    </w:rPr>
  </w:style>
  <w:style w:type="character" w:customStyle="1" w:styleId="72">
    <w:name w:val="正文文本 Char"/>
    <w:basedOn w:val="53"/>
    <w:link w:val="21"/>
    <w:autoRedefine/>
    <w:qFormat/>
    <w:uiPriority w:val="0"/>
    <w:rPr>
      <w:kern w:val="2"/>
      <w:sz w:val="21"/>
      <w:szCs w:val="24"/>
    </w:rPr>
  </w:style>
  <w:style w:type="character" w:customStyle="1" w:styleId="73">
    <w:name w:val="正文首行缩进 Char"/>
    <w:link w:val="49"/>
    <w:autoRedefine/>
    <w:qFormat/>
    <w:uiPriority w:val="0"/>
    <w:rPr>
      <w:rFonts w:eastAsia="宋体"/>
      <w:kern w:val="2"/>
      <w:sz w:val="21"/>
      <w:szCs w:val="24"/>
      <w:lang w:val="en-US" w:eastAsia="zh-CN" w:bidi="ar-SA"/>
    </w:rPr>
  </w:style>
  <w:style w:type="character" w:customStyle="1" w:styleId="74">
    <w:name w:val="文档结构图 Char"/>
    <w:basedOn w:val="53"/>
    <w:link w:val="18"/>
    <w:autoRedefine/>
    <w:qFormat/>
    <w:uiPriority w:val="0"/>
    <w:rPr>
      <w:kern w:val="2"/>
      <w:sz w:val="21"/>
      <w:szCs w:val="24"/>
      <w:shd w:val="clear" w:color="auto" w:fill="000080"/>
    </w:rPr>
  </w:style>
  <w:style w:type="character" w:customStyle="1" w:styleId="75">
    <w:name w:val="正文文本缩进 Char1"/>
    <w:basedOn w:val="53"/>
    <w:link w:val="22"/>
    <w:autoRedefine/>
    <w:qFormat/>
    <w:uiPriority w:val="0"/>
    <w:rPr>
      <w:kern w:val="2"/>
      <w:sz w:val="21"/>
      <w:szCs w:val="24"/>
    </w:rPr>
  </w:style>
  <w:style w:type="character" w:customStyle="1" w:styleId="76">
    <w:name w:val="纯文本 Char"/>
    <w:link w:val="27"/>
    <w:autoRedefine/>
    <w:qFormat/>
    <w:uiPriority w:val="0"/>
    <w:rPr>
      <w:rFonts w:ascii="宋体" w:hAnsi="Courier New" w:eastAsia="宋体"/>
      <w:kern w:val="2"/>
      <w:sz w:val="21"/>
      <w:lang w:val="en-US" w:eastAsia="zh-CN" w:bidi="ar-SA"/>
    </w:rPr>
  </w:style>
  <w:style w:type="character" w:customStyle="1" w:styleId="77">
    <w:name w:val="正文文本缩进 2 Char1"/>
    <w:link w:val="30"/>
    <w:autoRedefine/>
    <w:qFormat/>
    <w:uiPriority w:val="0"/>
    <w:rPr>
      <w:kern w:val="2"/>
      <w:sz w:val="21"/>
      <w:szCs w:val="24"/>
    </w:rPr>
  </w:style>
  <w:style w:type="character" w:customStyle="1" w:styleId="78">
    <w:name w:val="批注框文本 Char"/>
    <w:basedOn w:val="53"/>
    <w:link w:val="31"/>
    <w:autoRedefine/>
    <w:qFormat/>
    <w:uiPriority w:val="99"/>
    <w:rPr>
      <w:kern w:val="2"/>
      <w:sz w:val="18"/>
      <w:szCs w:val="18"/>
    </w:rPr>
  </w:style>
  <w:style w:type="character" w:customStyle="1" w:styleId="79">
    <w:name w:val="页脚 Char"/>
    <w:basedOn w:val="53"/>
    <w:link w:val="32"/>
    <w:autoRedefine/>
    <w:qFormat/>
    <w:uiPriority w:val="99"/>
    <w:rPr>
      <w:kern w:val="2"/>
      <w:sz w:val="18"/>
      <w:szCs w:val="18"/>
    </w:rPr>
  </w:style>
  <w:style w:type="character" w:customStyle="1" w:styleId="80">
    <w:name w:val="页眉 Char"/>
    <w:link w:val="33"/>
    <w:autoRedefine/>
    <w:qFormat/>
    <w:uiPriority w:val="99"/>
    <w:rPr>
      <w:kern w:val="2"/>
      <w:sz w:val="18"/>
      <w:szCs w:val="18"/>
    </w:rPr>
  </w:style>
  <w:style w:type="character" w:customStyle="1" w:styleId="81">
    <w:name w:val="HTML 预设格式 Char1"/>
    <w:link w:val="45"/>
    <w:autoRedefine/>
    <w:qFormat/>
    <w:uiPriority w:val="0"/>
    <w:rPr>
      <w:rFonts w:ascii="宋体" w:hAnsi="宋体" w:cs="宋体"/>
      <w:sz w:val="24"/>
      <w:szCs w:val="24"/>
    </w:rPr>
  </w:style>
  <w:style w:type="character" w:customStyle="1" w:styleId="82">
    <w:name w:val="标题 Char"/>
    <w:link w:val="47"/>
    <w:autoRedefine/>
    <w:qFormat/>
    <w:uiPriority w:val="0"/>
    <w:rPr>
      <w:rFonts w:ascii="Arial" w:hAnsi="Arial" w:eastAsia="隶书" w:cs="Arial"/>
      <w:b/>
      <w:bCs/>
      <w:kern w:val="2"/>
      <w:sz w:val="32"/>
      <w:szCs w:val="32"/>
    </w:rPr>
  </w:style>
  <w:style w:type="paragraph" w:customStyle="1" w:styleId="83">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autoRedefine/>
    <w:qFormat/>
    <w:uiPriority w:val="0"/>
    <w:pPr>
      <w:spacing w:line="360" w:lineRule="auto"/>
      <w:ind w:firstLine="516" w:firstLineChars="215"/>
    </w:pPr>
    <w:rPr>
      <w:sz w:val="24"/>
      <w:szCs w:val="20"/>
    </w:rPr>
  </w:style>
  <w:style w:type="character" w:customStyle="1" w:styleId="85">
    <w:name w:val="样式1 Char Char Char"/>
    <w:link w:val="84"/>
    <w:autoRedefine/>
    <w:qFormat/>
    <w:uiPriority w:val="0"/>
    <w:rPr>
      <w:rFonts w:eastAsia="宋体"/>
      <w:kern w:val="2"/>
      <w:sz w:val="24"/>
      <w:lang w:val="en-US" w:eastAsia="zh-CN" w:bidi="ar-SA"/>
    </w:rPr>
  </w:style>
  <w:style w:type="paragraph" w:customStyle="1" w:styleId="86">
    <w:name w:val="样式1"/>
    <w:basedOn w:val="47"/>
    <w:link w:val="87"/>
    <w:autoRedefine/>
    <w:qFormat/>
    <w:uiPriority w:val="0"/>
    <w:pPr>
      <w:spacing w:before="120" w:after="120"/>
    </w:pPr>
    <w:rPr>
      <w:rFonts w:eastAsia="黑体" w:cs="Arial"/>
      <w:b w:val="0"/>
      <w:sz w:val="30"/>
      <w:szCs w:val="21"/>
    </w:rPr>
  </w:style>
  <w:style w:type="character" w:customStyle="1" w:styleId="87">
    <w:name w:val="样式1 Char"/>
    <w:link w:val="86"/>
    <w:autoRedefine/>
    <w:qFormat/>
    <w:uiPriority w:val="0"/>
    <w:rPr>
      <w:rFonts w:ascii="Arial" w:hAnsi="Arial" w:eastAsia="黑体" w:cs="Arial"/>
      <w:bCs/>
      <w:kern w:val="2"/>
      <w:sz w:val="30"/>
      <w:szCs w:val="21"/>
      <w:lang w:val="en-US" w:eastAsia="zh-CN" w:bidi="ar-SA"/>
    </w:rPr>
  </w:style>
  <w:style w:type="paragraph" w:customStyle="1" w:styleId="88">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autoRedefine/>
    <w:qFormat/>
    <w:uiPriority w:val="0"/>
    <w:rPr>
      <w:rFonts w:ascii="仿宋_GB2312" w:eastAsia="仿宋_GB2312"/>
      <w:b/>
      <w:sz w:val="32"/>
      <w:szCs w:val="32"/>
    </w:rPr>
  </w:style>
  <w:style w:type="character" w:customStyle="1" w:styleId="92">
    <w:name w:val="tpc_title1"/>
    <w:autoRedefine/>
    <w:qFormat/>
    <w:uiPriority w:val="0"/>
    <w:rPr>
      <w:b/>
      <w:bCs/>
      <w:sz w:val="18"/>
      <w:szCs w:val="18"/>
    </w:rPr>
  </w:style>
  <w:style w:type="character" w:customStyle="1" w:styleId="93">
    <w:name w:val="tpc_content1"/>
    <w:autoRedefine/>
    <w:qFormat/>
    <w:uiPriority w:val="0"/>
    <w:rPr>
      <w:sz w:val="20"/>
      <w:szCs w:val="20"/>
    </w:rPr>
  </w:style>
  <w:style w:type="paragraph" w:customStyle="1" w:styleId="94">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autoRedefine/>
    <w:qFormat/>
    <w:uiPriority w:val="0"/>
    <w:pPr>
      <w:ind w:firstLine="420" w:firstLineChars="200"/>
    </w:pPr>
  </w:style>
  <w:style w:type="character" w:customStyle="1" w:styleId="96">
    <w:name w:val="列表段落 字符"/>
    <w:link w:val="95"/>
    <w:autoRedefine/>
    <w:qFormat/>
    <w:uiPriority w:val="34"/>
    <w:rPr>
      <w:kern w:val="2"/>
      <w:sz w:val="21"/>
      <w:szCs w:val="24"/>
    </w:rPr>
  </w:style>
  <w:style w:type="paragraph" w:customStyle="1" w:styleId="97">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9">
    <w:name w:val="缩进正文"/>
    <w:basedOn w:val="1"/>
    <w:link w:val="100"/>
    <w:autoRedefine/>
    <w:qFormat/>
    <w:uiPriority w:val="0"/>
    <w:pPr>
      <w:ind w:firstLine="560" w:firstLineChars="200"/>
    </w:pPr>
    <w:rPr>
      <w:rFonts w:eastAsia="仿宋_GB2312" w:cs="宋体"/>
      <w:sz w:val="28"/>
      <w:szCs w:val="20"/>
    </w:rPr>
  </w:style>
  <w:style w:type="character" w:customStyle="1" w:styleId="100">
    <w:name w:val="缩进正文 Char"/>
    <w:link w:val="99"/>
    <w:autoRedefine/>
    <w:qFormat/>
    <w:uiPriority w:val="0"/>
    <w:rPr>
      <w:rFonts w:eastAsia="仿宋_GB2312" w:cs="宋体"/>
      <w:kern w:val="2"/>
      <w:sz w:val="28"/>
      <w:lang w:val="en-US" w:eastAsia="zh-CN" w:bidi="ar-SA"/>
    </w:rPr>
  </w:style>
  <w:style w:type="character" w:customStyle="1" w:styleId="101">
    <w:name w:val="访问过的超链接1"/>
    <w:autoRedefine/>
    <w:qFormat/>
    <w:uiPriority w:val="0"/>
    <w:rPr>
      <w:color w:val="800080"/>
      <w:u w:val="single"/>
    </w:rPr>
  </w:style>
  <w:style w:type="paragraph" w:customStyle="1" w:styleId="102">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3">
    <w:name w:val="正文缩进 Char1"/>
    <w:autoRedefine/>
    <w:qFormat/>
    <w:uiPriority w:val="0"/>
    <w:rPr>
      <w:rFonts w:eastAsia="宋体"/>
      <w:kern w:val="2"/>
      <w:sz w:val="21"/>
      <w:lang w:val="en-US" w:eastAsia="zh-CN" w:bidi="ar-SA"/>
    </w:rPr>
  </w:style>
  <w:style w:type="paragraph" w:customStyle="1" w:styleId="104">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autoRedefine/>
    <w:unhideWhenUsed/>
    <w:qFormat/>
    <w:uiPriority w:val="34"/>
    <w:pPr>
      <w:ind w:firstLine="420" w:firstLineChars="200"/>
    </w:pPr>
  </w:style>
  <w:style w:type="paragraph" w:customStyle="1" w:styleId="106">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7">
    <w:name w:val="font11"/>
    <w:basedOn w:val="53"/>
    <w:autoRedefine/>
    <w:qFormat/>
    <w:uiPriority w:val="0"/>
    <w:rPr>
      <w:rFonts w:hint="eastAsia" w:ascii="宋体" w:hAnsi="宋体" w:eastAsia="宋体" w:cs="宋体"/>
      <w:b/>
      <w:color w:val="000000"/>
      <w:sz w:val="21"/>
      <w:szCs w:val="21"/>
      <w:u w:val="none"/>
    </w:rPr>
  </w:style>
  <w:style w:type="character" w:customStyle="1" w:styleId="108">
    <w:name w:val="批注文字 Char1"/>
    <w:autoRedefine/>
    <w:qFormat/>
    <w:locked/>
    <w:uiPriority w:val="0"/>
    <w:rPr>
      <w:rFonts w:ascii="Calibri" w:hAnsi="Calibri" w:eastAsia="宋体" w:cs="Calibri"/>
      <w:szCs w:val="21"/>
    </w:rPr>
  </w:style>
  <w:style w:type="character" w:customStyle="1" w:styleId="109">
    <w:name w:val="title1"/>
    <w:autoRedefine/>
    <w:qFormat/>
    <w:uiPriority w:val="0"/>
    <w:rPr>
      <w:rFonts w:hint="eastAsia" w:ascii="微软雅黑" w:hAnsi="微软雅黑" w:eastAsia="微软雅黑"/>
      <w:sz w:val="21"/>
      <w:szCs w:val="21"/>
    </w:rPr>
  </w:style>
  <w:style w:type="character" w:customStyle="1" w:styleId="110">
    <w:name w:val="sect2title1"/>
    <w:autoRedefine/>
    <w:qFormat/>
    <w:uiPriority w:val="0"/>
    <w:rPr>
      <w:rFonts w:hint="eastAsia" w:ascii="微软雅黑" w:hAnsi="微软雅黑" w:eastAsia="微软雅黑"/>
      <w:b/>
      <w:bCs/>
      <w:sz w:val="21"/>
      <w:szCs w:val="21"/>
    </w:rPr>
  </w:style>
  <w:style w:type="paragraph" w:customStyle="1" w:styleId="111">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autoRedefine/>
    <w:qFormat/>
    <w:uiPriority w:val="0"/>
    <w:rPr>
      <w:rFonts w:ascii="Tahoma" w:hAnsi="Tahoma" w:eastAsia="Tahoma" w:cs="Tahoma"/>
      <w:color w:val="000000"/>
      <w:sz w:val="20"/>
      <w:szCs w:val="20"/>
      <w:u w:val="none"/>
    </w:rPr>
  </w:style>
  <w:style w:type="paragraph" w:customStyle="1" w:styleId="113">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autoRedefine/>
    <w:qFormat/>
    <w:uiPriority w:val="0"/>
    <w:rPr>
      <w:rFonts w:hint="eastAsia" w:ascii="仿宋_GB2312" w:eastAsia="仿宋_GB2312" w:cs="仿宋_GB2312"/>
      <w:color w:val="000000"/>
      <w:sz w:val="20"/>
      <w:szCs w:val="20"/>
      <w:u w:val="none"/>
    </w:rPr>
  </w:style>
  <w:style w:type="character" w:customStyle="1" w:styleId="168">
    <w:name w:val="font31"/>
    <w:basedOn w:val="53"/>
    <w:autoRedefine/>
    <w:qFormat/>
    <w:uiPriority w:val="0"/>
    <w:rPr>
      <w:rFonts w:hint="default" w:ascii="Symbol" w:hAnsi="Symbol" w:cs="Symbol"/>
      <w:color w:val="000000"/>
      <w:sz w:val="20"/>
      <w:szCs w:val="20"/>
      <w:u w:val="none"/>
    </w:rPr>
  </w:style>
  <w:style w:type="character" w:customStyle="1" w:styleId="169">
    <w:name w:val="font71"/>
    <w:basedOn w:val="53"/>
    <w:autoRedefine/>
    <w:qFormat/>
    <w:uiPriority w:val="0"/>
    <w:rPr>
      <w:rFonts w:ascii="Arial" w:hAnsi="Arial" w:cs="Arial"/>
      <w:color w:val="000000"/>
      <w:sz w:val="20"/>
      <w:szCs w:val="20"/>
      <w:u w:val="none"/>
    </w:rPr>
  </w:style>
  <w:style w:type="character" w:customStyle="1" w:styleId="170">
    <w:name w:val="font21"/>
    <w:basedOn w:val="53"/>
    <w:autoRedefine/>
    <w:qFormat/>
    <w:uiPriority w:val="0"/>
    <w:rPr>
      <w:rFonts w:hint="default" w:ascii="Symbol" w:hAnsi="Symbol" w:cs="Symbol"/>
      <w:color w:val="000000"/>
      <w:sz w:val="20"/>
      <w:szCs w:val="20"/>
      <w:u w:val="none"/>
    </w:rPr>
  </w:style>
  <w:style w:type="character" w:customStyle="1" w:styleId="171">
    <w:name w:val="font91"/>
    <w:basedOn w:val="53"/>
    <w:autoRedefine/>
    <w:qFormat/>
    <w:uiPriority w:val="0"/>
    <w:rPr>
      <w:rFonts w:ascii="Arial" w:hAnsi="Arial" w:cs="Arial"/>
      <w:color w:val="000000"/>
      <w:sz w:val="20"/>
      <w:szCs w:val="20"/>
      <w:u w:val="none"/>
    </w:rPr>
  </w:style>
  <w:style w:type="character" w:customStyle="1" w:styleId="172">
    <w:name w:val="font51"/>
    <w:basedOn w:val="53"/>
    <w:autoRedefine/>
    <w:qFormat/>
    <w:uiPriority w:val="0"/>
    <w:rPr>
      <w:rFonts w:ascii="仿宋" w:hAnsi="仿宋" w:eastAsia="仿宋" w:cs="仿宋"/>
      <w:color w:val="000000"/>
      <w:sz w:val="21"/>
      <w:szCs w:val="21"/>
      <w:u w:val="none"/>
    </w:rPr>
  </w:style>
  <w:style w:type="character" w:customStyle="1" w:styleId="173">
    <w:name w:val="font101"/>
    <w:basedOn w:val="53"/>
    <w:autoRedefine/>
    <w:qFormat/>
    <w:uiPriority w:val="0"/>
    <w:rPr>
      <w:rFonts w:hint="eastAsia" w:ascii="仿宋_GB2312" w:eastAsia="仿宋_GB2312" w:cs="仿宋_GB2312"/>
      <w:color w:val="000000"/>
      <w:sz w:val="20"/>
      <w:szCs w:val="20"/>
      <w:u w:val="none"/>
    </w:rPr>
  </w:style>
  <w:style w:type="character" w:customStyle="1" w:styleId="174">
    <w:name w:val="font61"/>
    <w:basedOn w:val="53"/>
    <w:autoRedefine/>
    <w:qFormat/>
    <w:uiPriority w:val="0"/>
    <w:rPr>
      <w:rFonts w:hint="eastAsia" w:ascii="宋体" w:hAnsi="宋体" w:eastAsia="宋体" w:cs="宋体"/>
      <w:color w:val="000000"/>
      <w:sz w:val="20"/>
      <w:szCs w:val="20"/>
      <w:u w:val="none"/>
    </w:rPr>
  </w:style>
  <w:style w:type="character" w:customStyle="1" w:styleId="175">
    <w:name w:val="font81"/>
    <w:basedOn w:val="53"/>
    <w:autoRedefine/>
    <w:qFormat/>
    <w:uiPriority w:val="0"/>
    <w:rPr>
      <w:rFonts w:hint="eastAsia" w:ascii="仿宋" w:hAnsi="仿宋" w:eastAsia="仿宋" w:cs="仿宋"/>
      <w:color w:val="000000"/>
      <w:sz w:val="21"/>
      <w:szCs w:val="21"/>
      <w:u w:val="none"/>
    </w:rPr>
  </w:style>
  <w:style w:type="character" w:customStyle="1" w:styleId="176">
    <w:name w:val="font111"/>
    <w:basedOn w:val="53"/>
    <w:autoRedefine/>
    <w:qFormat/>
    <w:uiPriority w:val="0"/>
    <w:rPr>
      <w:rFonts w:hint="eastAsia" w:ascii="仿宋_GB2312" w:eastAsia="仿宋_GB2312" w:cs="仿宋_GB2312"/>
      <w:color w:val="000000"/>
      <w:sz w:val="21"/>
      <w:szCs w:val="21"/>
      <w:u w:val="none"/>
    </w:rPr>
  </w:style>
  <w:style w:type="character" w:customStyle="1" w:styleId="177">
    <w:name w:val="font121"/>
    <w:basedOn w:val="53"/>
    <w:autoRedefine/>
    <w:qFormat/>
    <w:uiPriority w:val="0"/>
    <w:rPr>
      <w:rFonts w:ascii="Arial" w:hAnsi="Arial" w:cs="Arial"/>
      <w:color w:val="000000"/>
      <w:sz w:val="20"/>
      <w:szCs w:val="20"/>
      <w:u w:val="none"/>
    </w:rPr>
  </w:style>
  <w:style w:type="character" w:customStyle="1" w:styleId="178">
    <w:name w:val="font112"/>
    <w:basedOn w:val="53"/>
    <w:autoRedefine/>
    <w:qFormat/>
    <w:uiPriority w:val="0"/>
    <w:rPr>
      <w:rFonts w:hint="eastAsia" w:ascii="仿宋_GB2312" w:eastAsia="仿宋_GB2312" w:cs="仿宋_GB2312"/>
      <w:color w:val="000000"/>
      <w:sz w:val="21"/>
      <w:szCs w:val="21"/>
      <w:u w:val="none"/>
    </w:rPr>
  </w:style>
  <w:style w:type="paragraph" w:customStyle="1" w:styleId="179">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7">
    <w:name w:val="正文A缩进"/>
    <w:basedOn w:val="1"/>
    <w:autoRedefine/>
    <w:qFormat/>
    <w:uiPriority w:val="0"/>
    <w:pPr>
      <w:spacing w:line="360" w:lineRule="auto"/>
      <w:ind w:firstLine="200" w:firstLineChars="200"/>
    </w:pPr>
    <w:rPr>
      <w:kern w:val="0"/>
      <w:sz w:val="28"/>
      <w:szCs w:val="20"/>
    </w:rPr>
  </w:style>
  <w:style w:type="paragraph" w:customStyle="1" w:styleId="258">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autoRedefine/>
    <w:qFormat/>
    <w:uiPriority w:val="0"/>
    <w:rPr>
      <w:b/>
      <w:bCs/>
      <w:kern w:val="2"/>
      <w:sz w:val="28"/>
      <w:szCs w:val="28"/>
    </w:rPr>
  </w:style>
  <w:style w:type="character" w:customStyle="1" w:styleId="260">
    <w:name w:val="标题 6 Char"/>
    <w:basedOn w:val="53"/>
    <w:autoRedefine/>
    <w:qFormat/>
    <w:uiPriority w:val="9"/>
    <w:rPr>
      <w:rFonts w:asciiTheme="majorHAnsi" w:hAnsiTheme="majorHAnsi" w:eastAsiaTheme="majorEastAsia" w:cstheme="majorBidi"/>
      <w:b/>
      <w:bCs/>
      <w:kern w:val="2"/>
      <w:sz w:val="24"/>
      <w:szCs w:val="24"/>
    </w:rPr>
  </w:style>
  <w:style w:type="character" w:customStyle="1" w:styleId="261">
    <w:name w:val="标题 7 Char"/>
    <w:basedOn w:val="53"/>
    <w:autoRedefine/>
    <w:qFormat/>
    <w:uiPriority w:val="9"/>
    <w:rPr>
      <w:b/>
      <w:bCs/>
      <w:kern w:val="2"/>
      <w:sz w:val="24"/>
      <w:szCs w:val="24"/>
    </w:rPr>
  </w:style>
  <w:style w:type="character" w:customStyle="1" w:styleId="262">
    <w:name w:val="标题 8 Char"/>
    <w:basedOn w:val="53"/>
    <w:autoRedefine/>
    <w:qFormat/>
    <w:uiPriority w:val="9"/>
    <w:rPr>
      <w:rFonts w:asciiTheme="majorHAnsi" w:hAnsiTheme="majorHAnsi" w:eastAsiaTheme="majorEastAsia" w:cstheme="majorBidi"/>
      <w:kern w:val="2"/>
      <w:sz w:val="24"/>
      <w:szCs w:val="24"/>
    </w:rPr>
  </w:style>
  <w:style w:type="character" w:customStyle="1" w:styleId="263">
    <w:name w:val="标题 9 Char"/>
    <w:basedOn w:val="53"/>
    <w:autoRedefine/>
    <w:qFormat/>
    <w:uiPriority w:val="0"/>
    <w:rPr>
      <w:rFonts w:asciiTheme="majorHAnsi" w:hAnsiTheme="majorHAnsi" w:eastAsiaTheme="majorEastAsia" w:cstheme="majorBidi"/>
      <w:kern w:val="2"/>
      <w:sz w:val="21"/>
      <w:szCs w:val="21"/>
    </w:rPr>
  </w:style>
  <w:style w:type="paragraph" w:customStyle="1" w:styleId="264">
    <w:name w:val="！表格内容"/>
    <w:basedOn w:val="1"/>
    <w:autoRedefine/>
    <w:qFormat/>
    <w:uiPriority w:val="0"/>
    <w:pPr>
      <w:spacing w:line="320" w:lineRule="atLeast"/>
    </w:pPr>
  </w:style>
  <w:style w:type="character" w:customStyle="1" w:styleId="265">
    <w:name w:val="页眉 Char2"/>
    <w:basedOn w:val="53"/>
    <w:autoRedefine/>
    <w:qFormat/>
    <w:uiPriority w:val="99"/>
    <w:rPr>
      <w:rFonts w:ascii="Times New Roman" w:hAnsi="Times New Roman" w:eastAsia="宋体" w:cs="Times New Roman"/>
      <w:sz w:val="18"/>
      <w:szCs w:val="18"/>
    </w:rPr>
  </w:style>
  <w:style w:type="character" w:customStyle="1" w:styleId="266">
    <w:name w:val="页脚 Char1"/>
    <w:basedOn w:val="53"/>
    <w:autoRedefine/>
    <w:qFormat/>
    <w:uiPriority w:val="99"/>
    <w:rPr>
      <w:rFonts w:ascii="Times New Roman" w:hAnsi="Times New Roman" w:eastAsia="宋体" w:cs="Times New Roman"/>
      <w:sz w:val="18"/>
      <w:szCs w:val="18"/>
    </w:rPr>
  </w:style>
  <w:style w:type="paragraph" w:customStyle="1" w:styleId="267">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autoRedefine/>
    <w:qFormat/>
    <w:uiPriority w:val="99"/>
    <w:rPr>
      <w:rFonts w:ascii="Times New Roman" w:hAnsi="Times New Roman" w:eastAsia="宋体" w:cs="Times New Roman"/>
      <w:szCs w:val="24"/>
    </w:rPr>
  </w:style>
  <w:style w:type="character" w:customStyle="1" w:styleId="269">
    <w:name w:val="文档结构图 Char1"/>
    <w:basedOn w:val="53"/>
    <w:autoRedefine/>
    <w:qFormat/>
    <w:uiPriority w:val="0"/>
    <w:rPr>
      <w:rFonts w:ascii="宋体" w:hAnsi="Times New Roman" w:eastAsia="宋体" w:cs="Times New Roman"/>
      <w:sz w:val="18"/>
      <w:szCs w:val="18"/>
    </w:rPr>
  </w:style>
  <w:style w:type="character" w:customStyle="1" w:styleId="270">
    <w:name w:val="批注主题 Char1"/>
    <w:basedOn w:val="108"/>
    <w:autoRedefine/>
    <w:qFormat/>
    <w:uiPriority w:val="0"/>
    <w:rPr>
      <w:rFonts w:ascii="Times New Roman" w:hAnsi="Times New Roman" w:eastAsia="宋体" w:cs="Times New Roman"/>
      <w:b/>
      <w:bCs/>
      <w:szCs w:val="24"/>
    </w:rPr>
  </w:style>
  <w:style w:type="character" w:customStyle="1" w:styleId="271">
    <w:name w:val="批注框文本 Char1"/>
    <w:basedOn w:val="53"/>
    <w:autoRedefine/>
    <w:qFormat/>
    <w:uiPriority w:val="0"/>
    <w:rPr>
      <w:rFonts w:ascii="Times New Roman" w:hAnsi="Times New Roman" w:eastAsia="宋体" w:cs="Times New Roman"/>
      <w:sz w:val="18"/>
      <w:szCs w:val="18"/>
    </w:rPr>
  </w:style>
  <w:style w:type="character" w:customStyle="1" w:styleId="272">
    <w:name w:val="标题 1 Char1"/>
    <w:basedOn w:val="53"/>
    <w:autoRedefine/>
    <w:qFormat/>
    <w:uiPriority w:val="0"/>
    <w:rPr>
      <w:b/>
      <w:bCs/>
      <w:kern w:val="44"/>
      <w:sz w:val="44"/>
      <w:szCs w:val="44"/>
    </w:rPr>
  </w:style>
  <w:style w:type="character" w:customStyle="1" w:styleId="273">
    <w:name w:val="标题 2 Char1"/>
    <w:basedOn w:val="53"/>
    <w:autoRedefine/>
    <w:qFormat/>
    <w:uiPriority w:val="0"/>
    <w:rPr>
      <w:rFonts w:asciiTheme="majorHAnsi" w:hAnsiTheme="majorHAnsi" w:eastAsiaTheme="majorEastAsia" w:cstheme="majorBidi"/>
      <w:b/>
      <w:bCs/>
      <w:kern w:val="2"/>
      <w:sz w:val="32"/>
      <w:szCs w:val="32"/>
    </w:rPr>
  </w:style>
  <w:style w:type="character" w:customStyle="1" w:styleId="274">
    <w:name w:val="标题 3 Char1"/>
    <w:basedOn w:val="53"/>
    <w:autoRedefine/>
    <w:qFormat/>
    <w:uiPriority w:val="99"/>
    <w:rPr>
      <w:rFonts w:ascii="宋体" w:hAnsi="Arial"/>
      <w:b/>
      <w:kern w:val="2"/>
      <w:sz w:val="28"/>
    </w:rPr>
  </w:style>
  <w:style w:type="character" w:customStyle="1" w:styleId="275">
    <w:name w:val="Char Char3"/>
    <w:autoRedefine/>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autoRedefine/>
    <w:qFormat/>
    <w:uiPriority w:val="0"/>
    <w:rPr>
      <w:rFonts w:eastAsia="Times New Roman"/>
      <w:sz w:val="24"/>
      <w:szCs w:val="24"/>
    </w:rPr>
  </w:style>
  <w:style w:type="paragraph" w:customStyle="1" w:styleId="277">
    <w:name w:val="正文－段落"/>
    <w:link w:val="276"/>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autoRedefine/>
    <w:qFormat/>
    <w:uiPriority w:val="0"/>
    <w:rPr>
      <w:rFonts w:ascii="宋体" w:hAnsi="Courier New"/>
      <w:spacing w:val="-8"/>
      <w:kern w:val="2"/>
      <w:sz w:val="24"/>
    </w:rPr>
  </w:style>
  <w:style w:type="character" w:customStyle="1" w:styleId="279">
    <w:name w:val="日期 Char"/>
    <w:autoRedefine/>
    <w:qFormat/>
    <w:uiPriority w:val="0"/>
    <w:rPr>
      <w:rFonts w:ascii="宋体" w:hAnsi="宋体"/>
      <w:sz w:val="24"/>
    </w:rPr>
  </w:style>
  <w:style w:type="character" w:customStyle="1" w:styleId="280">
    <w:name w:val="Char Char9"/>
    <w:autoRedefine/>
    <w:qFormat/>
    <w:uiPriority w:val="0"/>
    <w:rPr>
      <w:rFonts w:hint="default" w:ascii="Calibri" w:hAnsi="Calibri" w:eastAsia="宋体"/>
      <w:sz w:val="18"/>
      <w:szCs w:val="18"/>
      <w:lang w:bidi="ar-SA"/>
    </w:rPr>
  </w:style>
  <w:style w:type="character" w:customStyle="1" w:styleId="281">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autoRedefine/>
    <w:qFormat/>
    <w:uiPriority w:val="0"/>
    <w:rPr>
      <w:rFonts w:ascii="黑体" w:hAnsi="Courier New" w:eastAsia="黑体" w:cs="Courier New"/>
    </w:rPr>
  </w:style>
  <w:style w:type="character" w:customStyle="1" w:styleId="283">
    <w:name w:val="1.5倍行距 Char Char"/>
    <w:link w:val="284"/>
    <w:autoRedefine/>
    <w:qFormat/>
    <w:uiPriority w:val="0"/>
    <w:rPr>
      <w:kern w:val="2"/>
      <w:sz w:val="21"/>
      <w:szCs w:val="24"/>
    </w:rPr>
  </w:style>
  <w:style w:type="paragraph" w:customStyle="1" w:styleId="284">
    <w:name w:val="1.5倍行距"/>
    <w:basedOn w:val="1"/>
    <w:link w:val="283"/>
    <w:autoRedefine/>
    <w:qFormat/>
    <w:uiPriority w:val="0"/>
    <w:pPr>
      <w:spacing w:line="360" w:lineRule="auto"/>
      <w:ind w:firstLine="420"/>
    </w:pPr>
  </w:style>
  <w:style w:type="character" w:customStyle="1" w:styleId="285">
    <w:name w:val="H2 Char1"/>
    <w:autoRedefine/>
    <w:qFormat/>
    <w:uiPriority w:val="0"/>
    <w:rPr>
      <w:rFonts w:ascii="Cambria" w:hAnsi="Cambria"/>
      <w:b/>
      <w:bCs/>
      <w:sz w:val="32"/>
      <w:szCs w:val="32"/>
    </w:rPr>
  </w:style>
  <w:style w:type="character" w:customStyle="1" w:styleId="286">
    <w:name w:val="Char Char4"/>
    <w:autoRedefine/>
    <w:qFormat/>
    <w:uiPriority w:val="0"/>
    <w:rPr>
      <w:rFonts w:hint="default" w:ascii="Calibri" w:hAnsi="Calibri" w:eastAsia="宋体"/>
      <w:kern w:val="2"/>
      <w:sz w:val="21"/>
      <w:szCs w:val="22"/>
      <w:lang w:val="en-US" w:eastAsia="zh-CN" w:bidi="ar-SA"/>
    </w:rPr>
  </w:style>
  <w:style w:type="character" w:customStyle="1" w:styleId="287">
    <w:name w:val="正文文本缩进 2 Char"/>
    <w:autoRedefine/>
    <w:qFormat/>
    <w:uiPriority w:val="0"/>
    <w:rPr>
      <w:kern w:val="2"/>
      <w:sz w:val="21"/>
    </w:rPr>
  </w:style>
  <w:style w:type="character" w:customStyle="1" w:styleId="288">
    <w:name w:val="签名 Char1"/>
    <w:link w:val="34"/>
    <w:autoRedefine/>
    <w:qFormat/>
    <w:uiPriority w:val="0"/>
    <w:rPr>
      <w:rFonts w:eastAsia="楷体_GB2312"/>
      <w:kern w:val="2"/>
      <w:sz w:val="21"/>
    </w:rPr>
  </w:style>
  <w:style w:type="character" w:customStyle="1" w:styleId="289">
    <w:name w:val="标题2 Char"/>
    <w:link w:val="290"/>
    <w:autoRedefine/>
    <w:qFormat/>
    <w:uiPriority w:val="0"/>
    <w:rPr>
      <w:rFonts w:ascii="仿宋" w:hAnsi="仿宋" w:eastAsia="仿宋"/>
      <w:b/>
      <w:bCs/>
      <w:color w:val="000000"/>
      <w:kern w:val="2"/>
      <w:sz w:val="24"/>
      <w:szCs w:val="24"/>
    </w:rPr>
  </w:style>
  <w:style w:type="paragraph" w:customStyle="1" w:styleId="290">
    <w:name w:val="标题2"/>
    <w:basedOn w:val="291"/>
    <w:link w:val="289"/>
    <w:autoRedefine/>
    <w:qFormat/>
    <w:uiPriority w:val="0"/>
    <w:pPr>
      <w:tabs>
        <w:tab w:val="left" w:pos="425"/>
        <w:tab w:val="left" w:pos="709"/>
        <w:tab w:val="left" w:pos="851"/>
        <w:tab w:val="left" w:pos="1419"/>
      </w:tabs>
    </w:pPr>
    <w:rPr>
      <w:szCs w:val="24"/>
    </w:rPr>
  </w:style>
  <w:style w:type="paragraph" w:customStyle="1" w:styleId="291">
    <w:name w:val="三级"/>
    <w:basedOn w:val="4"/>
    <w:link w:val="292"/>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autoRedefine/>
    <w:qFormat/>
    <w:uiPriority w:val="0"/>
    <w:rPr>
      <w:rFonts w:ascii="仿宋" w:hAnsi="仿宋" w:eastAsia="仿宋"/>
      <w:b/>
      <w:bCs/>
      <w:color w:val="000000"/>
      <w:kern w:val="2"/>
      <w:sz w:val="32"/>
      <w:szCs w:val="32"/>
    </w:rPr>
  </w:style>
  <w:style w:type="character" w:customStyle="1" w:styleId="293">
    <w:name w:val="正文首行缩进 2 Char"/>
    <w:link w:val="50"/>
    <w:autoRedefine/>
    <w:qFormat/>
    <w:uiPriority w:val="0"/>
    <w:rPr>
      <w:sz w:val="24"/>
      <w:szCs w:val="24"/>
    </w:rPr>
  </w:style>
  <w:style w:type="character" w:customStyle="1" w:styleId="294">
    <w:name w:val="正文首行缩进 Char Char Char1"/>
    <w:autoRedefine/>
    <w:qFormat/>
    <w:uiPriority w:val="0"/>
    <w:rPr>
      <w:rFonts w:ascii="Times New Roman" w:hAnsi="Times New Roman"/>
      <w:kern w:val="2"/>
      <w:sz w:val="24"/>
      <w:szCs w:val="24"/>
    </w:rPr>
  </w:style>
  <w:style w:type="character" w:customStyle="1" w:styleId="295">
    <w:name w:val="标题 Char1"/>
    <w:autoRedefine/>
    <w:qFormat/>
    <w:uiPriority w:val="0"/>
    <w:rPr>
      <w:rFonts w:ascii="Arial" w:hAnsi="Arial"/>
      <w:b/>
      <w:kern w:val="2"/>
      <w:sz w:val="36"/>
      <w:szCs w:val="24"/>
    </w:rPr>
  </w:style>
  <w:style w:type="character" w:customStyle="1" w:styleId="296">
    <w:name w:val="正文文本 字符"/>
    <w:autoRedefine/>
    <w:qFormat/>
    <w:uiPriority w:val="0"/>
    <w:rPr>
      <w:rFonts w:eastAsia="宋体"/>
      <w:kern w:val="2"/>
      <w:sz w:val="21"/>
      <w:szCs w:val="24"/>
      <w:lang w:bidi="ar-SA"/>
    </w:rPr>
  </w:style>
  <w:style w:type="character" w:customStyle="1" w:styleId="297">
    <w:name w:val="正文文本缩进 Char"/>
    <w:autoRedefine/>
    <w:qFormat/>
    <w:uiPriority w:val="0"/>
    <w:rPr>
      <w:kern w:val="2"/>
      <w:sz w:val="24"/>
    </w:rPr>
  </w:style>
  <w:style w:type="character" w:customStyle="1" w:styleId="298">
    <w:name w:val="题注 Char1"/>
    <w:link w:val="16"/>
    <w:autoRedefine/>
    <w:qFormat/>
    <w:uiPriority w:val="0"/>
    <w:rPr>
      <w:rFonts w:ascii="Cambria" w:hAnsi="Cambria" w:eastAsia="黑体"/>
      <w:kern w:val="2"/>
      <w:sz w:val="21"/>
      <w:szCs w:val="24"/>
    </w:rPr>
  </w:style>
  <w:style w:type="character" w:customStyle="1" w:styleId="299">
    <w:name w:val="bt Char1"/>
    <w:autoRedefine/>
    <w:qFormat/>
    <w:uiPriority w:val="0"/>
    <w:rPr>
      <w:rFonts w:ascii="Times New Roman" w:hAnsi="Times New Roman"/>
      <w:kern w:val="2"/>
      <w:sz w:val="24"/>
      <w:szCs w:val="24"/>
    </w:rPr>
  </w:style>
  <w:style w:type="character" w:customStyle="1" w:styleId="300">
    <w:name w:val="Char Char18"/>
    <w:autoRedefine/>
    <w:qFormat/>
    <w:uiPriority w:val="0"/>
    <w:rPr>
      <w:rFonts w:hint="default" w:ascii="Cambria" w:hAnsi="Cambria" w:eastAsia="宋体"/>
      <w:b/>
      <w:bCs/>
      <w:sz w:val="32"/>
      <w:szCs w:val="32"/>
      <w:lang w:bidi="ar-SA"/>
    </w:rPr>
  </w:style>
  <w:style w:type="character" w:customStyle="1" w:styleId="301">
    <w:name w:val="四级 Char"/>
    <w:link w:val="302"/>
    <w:autoRedefine/>
    <w:qFormat/>
    <w:uiPriority w:val="0"/>
    <w:rPr>
      <w:rFonts w:ascii="仿宋" w:hAnsi="仿宋" w:eastAsia="仿宋"/>
      <w:bCs/>
      <w:kern w:val="2"/>
      <w:sz w:val="32"/>
      <w:szCs w:val="32"/>
    </w:rPr>
  </w:style>
  <w:style w:type="paragraph" w:customStyle="1" w:styleId="302">
    <w:name w:val="四级"/>
    <w:basedOn w:val="6"/>
    <w:link w:val="301"/>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autoRedefine/>
    <w:qFormat/>
    <w:uiPriority w:val="0"/>
  </w:style>
  <w:style w:type="character" w:customStyle="1" w:styleId="304">
    <w:name w:val="p141"/>
    <w:autoRedefine/>
    <w:qFormat/>
    <w:uiPriority w:val="0"/>
    <w:rPr>
      <w:sz w:val="21"/>
      <w:szCs w:val="21"/>
    </w:rPr>
  </w:style>
  <w:style w:type="character" w:customStyle="1" w:styleId="305">
    <w:name w:val="正文文本缩进 3 Char"/>
    <w:autoRedefine/>
    <w:qFormat/>
    <w:uiPriority w:val="0"/>
    <w:rPr>
      <w:kern w:val="2"/>
      <w:sz w:val="21"/>
    </w:rPr>
  </w:style>
  <w:style w:type="character" w:customStyle="1" w:styleId="306">
    <w:name w:val="Char Char13"/>
    <w:autoRedefine/>
    <w:qFormat/>
    <w:uiPriority w:val="0"/>
    <w:rPr>
      <w:rFonts w:ascii="Cambria" w:hAnsi="Cambria" w:eastAsia="宋体"/>
      <w:sz w:val="24"/>
      <w:szCs w:val="24"/>
      <w:lang w:bidi="ar-SA"/>
    </w:rPr>
  </w:style>
  <w:style w:type="character" w:customStyle="1" w:styleId="307">
    <w:name w:val="正文文本 2 Char1"/>
    <w:link w:val="44"/>
    <w:autoRedefine/>
    <w:qFormat/>
    <w:uiPriority w:val="0"/>
    <w:rPr>
      <w:kern w:val="2"/>
      <w:sz w:val="28"/>
    </w:rPr>
  </w:style>
  <w:style w:type="character" w:customStyle="1" w:styleId="308">
    <w:name w:val="Char Char5"/>
    <w:autoRedefine/>
    <w:qFormat/>
    <w:uiPriority w:val="0"/>
    <w:rPr>
      <w:rFonts w:ascii="宋体" w:hAnsi="宋体" w:eastAsia="宋体"/>
      <w:b/>
      <w:bCs/>
      <w:szCs w:val="24"/>
      <w:lang w:bidi="ar-SA"/>
    </w:rPr>
  </w:style>
  <w:style w:type="character" w:customStyle="1" w:styleId="309">
    <w:name w:val="正文文本 2 Char"/>
    <w:autoRedefine/>
    <w:qFormat/>
    <w:uiPriority w:val="0"/>
    <w:rPr>
      <w:kern w:val="2"/>
      <w:sz w:val="28"/>
    </w:rPr>
  </w:style>
  <w:style w:type="character" w:customStyle="1" w:styleId="310">
    <w:name w:val="Char Char6"/>
    <w:autoRedefine/>
    <w:qFormat/>
    <w:uiPriority w:val="0"/>
    <w:rPr>
      <w:rFonts w:ascii="宋体" w:hAnsi="宋体" w:eastAsia="宋体"/>
      <w:szCs w:val="24"/>
      <w:lang w:bidi="ar-SA"/>
    </w:rPr>
  </w:style>
  <w:style w:type="character" w:customStyle="1" w:styleId="311">
    <w:name w:val="Char Char15"/>
    <w:autoRedefine/>
    <w:qFormat/>
    <w:uiPriority w:val="0"/>
    <w:rPr>
      <w:rFonts w:hint="default" w:ascii="Cambria" w:hAnsi="Cambria" w:eastAsia="宋体"/>
      <w:b/>
      <w:bCs/>
      <w:sz w:val="24"/>
      <w:szCs w:val="24"/>
      <w:lang w:bidi="ar-SA"/>
    </w:rPr>
  </w:style>
  <w:style w:type="character" w:customStyle="1" w:styleId="312">
    <w:name w:val="H4 Char"/>
    <w:autoRedefine/>
    <w:qFormat/>
    <w:uiPriority w:val="0"/>
    <w:rPr>
      <w:rFonts w:ascii="Cambria" w:hAnsi="Cambria" w:eastAsia="仿宋_GB2312"/>
      <w:b/>
      <w:bCs/>
      <w:sz w:val="32"/>
      <w:szCs w:val="28"/>
    </w:rPr>
  </w:style>
  <w:style w:type="character" w:customStyle="1" w:styleId="313">
    <w:name w:val="Char Char20"/>
    <w:autoRedefine/>
    <w:qFormat/>
    <w:uiPriority w:val="0"/>
    <w:rPr>
      <w:rFonts w:eastAsia="宋体"/>
      <w:b/>
      <w:kern w:val="2"/>
      <w:sz w:val="28"/>
      <w:lang w:bidi="ar-SA"/>
    </w:rPr>
  </w:style>
  <w:style w:type="character" w:customStyle="1" w:styleId="314">
    <w:name w:val="正文文本缩进 3 Char1"/>
    <w:link w:val="41"/>
    <w:autoRedefine/>
    <w:qFormat/>
    <w:uiPriority w:val="0"/>
    <w:rPr>
      <w:kern w:val="2"/>
      <w:sz w:val="21"/>
    </w:rPr>
  </w:style>
  <w:style w:type="character" w:customStyle="1" w:styleId="315">
    <w:name w:val="Char Char16"/>
    <w:autoRedefine/>
    <w:qFormat/>
    <w:uiPriority w:val="0"/>
    <w:rPr>
      <w:rFonts w:hint="eastAsia" w:ascii="仿宋_GB2313" w:hAnsi="仿宋_GB2313" w:eastAsia="仿宋_GB2312"/>
      <w:b/>
      <w:bCs/>
      <w:sz w:val="32"/>
      <w:szCs w:val="28"/>
      <w:lang w:bidi="ar-SA"/>
    </w:rPr>
  </w:style>
  <w:style w:type="character" w:customStyle="1" w:styleId="316">
    <w:name w:val="Char Char7"/>
    <w:autoRedefine/>
    <w:qFormat/>
    <w:uiPriority w:val="0"/>
    <w:rPr>
      <w:rFonts w:ascii="宋体" w:hAnsi="宋体" w:eastAsia="宋体"/>
      <w:sz w:val="24"/>
      <w:szCs w:val="24"/>
      <w:lang w:bidi="ar-SA"/>
    </w:rPr>
  </w:style>
  <w:style w:type="character" w:customStyle="1" w:styleId="317">
    <w:name w:val="日期 Char1"/>
    <w:link w:val="29"/>
    <w:autoRedefine/>
    <w:qFormat/>
    <w:uiPriority w:val="0"/>
    <w:rPr>
      <w:rFonts w:ascii="宋体" w:hAnsi="宋体"/>
      <w:kern w:val="2"/>
      <w:sz w:val="24"/>
      <w:szCs w:val="24"/>
    </w:rPr>
  </w:style>
  <w:style w:type="character" w:customStyle="1" w:styleId="318">
    <w:name w:val="Char Char12"/>
    <w:autoRedefine/>
    <w:qFormat/>
    <w:uiPriority w:val="0"/>
    <w:rPr>
      <w:rFonts w:hint="default" w:ascii="Cambria" w:hAnsi="Cambria" w:eastAsia="宋体"/>
      <w:szCs w:val="21"/>
      <w:lang w:bidi="ar-SA"/>
    </w:rPr>
  </w:style>
  <w:style w:type="character" w:customStyle="1" w:styleId="319">
    <w:name w:val="标题 4 Char"/>
    <w:autoRedefine/>
    <w:qFormat/>
    <w:uiPriority w:val="0"/>
    <w:rPr>
      <w:rFonts w:ascii="Arial" w:hAnsi="Arial" w:eastAsia="黑体"/>
      <w:b/>
      <w:kern w:val="2"/>
      <w:sz w:val="24"/>
    </w:rPr>
  </w:style>
  <w:style w:type="character" w:customStyle="1" w:styleId="320">
    <w:name w:val="Char Char2"/>
    <w:autoRedefine/>
    <w:qFormat/>
    <w:uiPriority w:val="0"/>
    <w:rPr>
      <w:rFonts w:ascii="宋体" w:hAnsi="宋体" w:eastAsia="宋体"/>
      <w:kern w:val="2"/>
      <w:sz w:val="24"/>
      <w:szCs w:val="24"/>
      <w:lang w:val="en-US" w:eastAsia="zh-CN" w:bidi="ar-SA"/>
    </w:rPr>
  </w:style>
  <w:style w:type="character" w:customStyle="1" w:styleId="321">
    <w:name w:val="*正文 Char"/>
    <w:link w:val="322"/>
    <w:autoRedefine/>
    <w:qFormat/>
    <w:uiPriority w:val="0"/>
    <w:rPr>
      <w:rFonts w:ascii="宋体" w:hAnsi="宋体"/>
      <w:sz w:val="24"/>
      <w:szCs w:val="24"/>
    </w:rPr>
  </w:style>
  <w:style w:type="paragraph" w:customStyle="1" w:styleId="322">
    <w:name w:val="*正文"/>
    <w:basedOn w:val="1"/>
    <w:link w:val="321"/>
    <w:autoRedefine/>
    <w:qFormat/>
    <w:uiPriority w:val="0"/>
    <w:pPr>
      <w:spacing w:line="360" w:lineRule="auto"/>
      <w:ind w:firstLine="200" w:firstLineChars="200"/>
    </w:pPr>
    <w:rPr>
      <w:rFonts w:ascii="宋体" w:hAnsi="宋体"/>
      <w:kern w:val="0"/>
      <w:sz w:val="24"/>
    </w:rPr>
  </w:style>
  <w:style w:type="character" w:customStyle="1" w:styleId="323">
    <w:name w:val="页脚 字符1"/>
    <w:autoRedefine/>
    <w:qFormat/>
    <w:uiPriority w:val="0"/>
    <w:rPr>
      <w:rFonts w:eastAsia="宋体"/>
      <w:kern w:val="2"/>
      <w:sz w:val="18"/>
      <w:lang w:bidi="ar-SA"/>
    </w:rPr>
  </w:style>
  <w:style w:type="character" w:customStyle="1" w:styleId="324">
    <w:name w:val="GP正文[858D7CFB-ED40-4347-BF05-701D383B685F]"/>
    <w:link w:val="325"/>
    <w:autoRedefine/>
    <w:qFormat/>
    <w:uiPriority w:val="0"/>
    <w:rPr>
      <w:rFonts w:ascii="宋体" w:hAnsi="宋体"/>
      <w:kern w:val="2"/>
      <w:sz w:val="24"/>
      <w:szCs w:val="24"/>
    </w:rPr>
  </w:style>
  <w:style w:type="paragraph" w:customStyle="1" w:styleId="325">
    <w:name w:val="GP正文"/>
    <w:basedOn w:val="1"/>
    <w:link w:val="324"/>
    <w:autoRedefine/>
    <w:qFormat/>
    <w:uiPriority w:val="0"/>
    <w:pPr>
      <w:spacing w:line="360" w:lineRule="auto"/>
      <w:ind w:firstLine="200" w:firstLineChars="200"/>
      <w:jc w:val="left"/>
    </w:pPr>
    <w:rPr>
      <w:rFonts w:ascii="宋体" w:hAnsi="宋体"/>
      <w:sz w:val="24"/>
    </w:rPr>
  </w:style>
  <w:style w:type="character" w:customStyle="1" w:styleId="326">
    <w:name w:val="Char Char14"/>
    <w:autoRedefine/>
    <w:qFormat/>
    <w:uiPriority w:val="0"/>
    <w:rPr>
      <w:rFonts w:ascii="Calibri" w:hAnsi="Calibri" w:eastAsia="宋体"/>
      <w:b/>
      <w:bCs/>
      <w:sz w:val="24"/>
      <w:szCs w:val="24"/>
      <w:lang w:bidi="ar-SA"/>
    </w:rPr>
  </w:style>
  <w:style w:type="character" w:customStyle="1" w:styleId="327">
    <w:name w:val="Char Char19"/>
    <w:autoRedefine/>
    <w:qFormat/>
    <w:uiPriority w:val="0"/>
    <w:rPr>
      <w:rFonts w:ascii="Arial" w:hAnsi="Arial" w:eastAsia="黑体"/>
      <w:b/>
      <w:kern w:val="2"/>
      <w:sz w:val="24"/>
      <w:lang w:bidi="ar-SA"/>
    </w:rPr>
  </w:style>
  <w:style w:type="character" w:customStyle="1" w:styleId="328">
    <w:name w:val="正文文本 Char1"/>
    <w:autoRedefine/>
    <w:qFormat/>
    <w:uiPriority w:val="0"/>
    <w:rPr>
      <w:kern w:val="2"/>
      <w:sz w:val="21"/>
      <w:szCs w:val="24"/>
    </w:rPr>
  </w:style>
  <w:style w:type="character" w:customStyle="1" w:styleId="329">
    <w:name w:val="二级 Char"/>
    <w:link w:val="330"/>
    <w:autoRedefine/>
    <w:qFormat/>
    <w:uiPriority w:val="0"/>
    <w:rPr>
      <w:rFonts w:ascii="仿宋" w:hAnsi="仿宋" w:eastAsia="仿宋"/>
      <w:b/>
      <w:bCs/>
      <w:spacing w:val="24"/>
      <w:kern w:val="2"/>
      <w:sz w:val="32"/>
      <w:szCs w:val="32"/>
    </w:rPr>
  </w:style>
  <w:style w:type="paragraph" w:customStyle="1" w:styleId="330">
    <w:name w:val="二级"/>
    <w:basedOn w:val="5"/>
    <w:link w:val="329"/>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autoRedefine/>
    <w:qFormat/>
    <w:uiPriority w:val="0"/>
    <w:rPr>
      <w:rFonts w:eastAsia="楷体_GB2312"/>
      <w:kern w:val="2"/>
      <w:sz w:val="21"/>
    </w:rPr>
  </w:style>
  <w:style w:type="character" w:customStyle="1" w:styleId="332">
    <w:name w:val="Char Char"/>
    <w:autoRedefine/>
    <w:qFormat/>
    <w:uiPriority w:val="0"/>
    <w:rPr>
      <w:rFonts w:hint="eastAsia" w:ascii="宋体" w:hAnsi="Courier New" w:eastAsia="宋体"/>
      <w:spacing w:val="-8"/>
      <w:kern w:val="2"/>
      <w:sz w:val="24"/>
      <w:lang w:val="en-US" w:eastAsia="zh-CN" w:bidi="ar-SA"/>
    </w:rPr>
  </w:style>
  <w:style w:type="character" w:customStyle="1" w:styleId="333">
    <w:name w:val="Char Char11"/>
    <w:autoRedefine/>
    <w:qFormat/>
    <w:uiPriority w:val="0"/>
    <w:rPr>
      <w:rFonts w:hint="default" w:ascii="Calibri" w:hAnsi="Calibri" w:eastAsia="宋体"/>
      <w:sz w:val="18"/>
      <w:szCs w:val="18"/>
      <w:lang w:bidi="ar-SA"/>
    </w:rPr>
  </w:style>
  <w:style w:type="character" w:customStyle="1" w:styleId="334">
    <w:name w:val="页眉 字符1"/>
    <w:autoRedefine/>
    <w:qFormat/>
    <w:uiPriority w:val="0"/>
    <w:rPr>
      <w:rFonts w:eastAsia="宋体"/>
      <w:kern w:val="2"/>
      <w:sz w:val="18"/>
      <w:szCs w:val="18"/>
      <w:lang w:bidi="ar-SA"/>
    </w:rPr>
  </w:style>
  <w:style w:type="character" w:customStyle="1" w:styleId="335">
    <w:name w:val="正文首行缩进 Char1"/>
    <w:autoRedefine/>
    <w:qFormat/>
    <w:uiPriority w:val="0"/>
    <w:rPr>
      <w:kern w:val="2"/>
      <w:sz w:val="21"/>
    </w:rPr>
  </w:style>
  <w:style w:type="character" w:customStyle="1" w:styleId="336">
    <w:name w:val="页眉 Char1"/>
    <w:autoRedefine/>
    <w:qFormat/>
    <w:uiPriority w:val="0"/>
    <w:rPr>
      <w:rFonts w:eastAsia="宋体"/>
      <w:kern w:val="2"/>
      <w:sz w:val="18"/>
      <w:szCs w:val="18"/>
      <w:lang w:val="en-US" w:eastAsia="zh-CN" w:bidi="ar-SA"/>
    </w:rPr>
  </w:style>
  <w:style w:type="character" w:customStyle="1" w:styleId="337">
    <w:name w:val="题注 Char"/>
    <w:autoRedefine/>
    <w:qFormat/>
    <w:uiPriority w:val="0"/>
    <w:rPr>
      <w:rFonts w:ascii="Cambria" w:hAnsi="Cambria" w:eastAsia="黑体"/>
      <w:kern w:val="2"/>
      <w:lang w:bidi="ar-SA"/>
    </w:rPr>
  </w:style>
  <w:style w:type="character" w:customStyle="1" w:styleId="338">
    <w:name w:val="样式 标题 3 + 小四 Char"/>
    <w:autoRedefine/>
    <w:qFormat/>
    <w:uiPriority w:val="0"/>
    <w:rPr>
      <w:rFonts w:ascii="宋体" w:hAnsi="宋体" w:cs="Arial"/>
      <w:b/>
      <w:bCs/>
      <w:smallCaps/>
      <w:sz w:val="24"/>
      <w:lang w:val="en-US" w:eastAsia="zh-CN"/>
    </w:rPr>
  </w:style>
  <w:style w:type="character" w:customStyle="1" w:styleId="339">
    <w:name w:val="unnamed21"/>
    <w:autoRedefine/>
    <w:qFormat/>
    <w:uiPriority w:val="0"/>
    <w:rPr>
      <w:color w:val="CC6633"/>
      <w:u w:val="none"/>
    </w:rPr>
  </w:style>
  <w:style w:type="character" w:customStyle="1" w:styleId="340">
    <w:name w:val="16"/>
    <w:autoRedefine/>
    <w:qFormat/>
    <w:uiPriority w:val="0"/>
    <w:rPr>
      <w:rFonts w:hint="eastAsia" w:ascii="宋体" w:hAnsi="宋体" w:eastAsia="宋体" w:cs="Arial"/>
      <w:b/>
      <w:bCs/>
      <w:smallCaps/>
      <w:kern w:val="2"/>
      <w:sz w:val="24"/>
      <w:szCs w:val="24"/>
    </w:rPr>
  </w:style>
  <w:style w:type="character" w:customStyle="1" w:styleId="341">
    <w:name w:val="正文文本缩进 字符"/>
    <w:autoRedefine/>
    <w:qFormat/>
    <w:uiPriority w:val="0"/>
    <w:rPr>
      <w:rFonts w:eastAsia="宋体"/>
      <w:kern w:val="2"/>
      <w:sz w:val="24"/>
      <w:lang w:bidi="ar-SA"/>
    </w:rPr>
  </w:style>
  <w:style w:type="character" w:customStyle="1" w:styleId="342">
    <w:name w:val="Char Char8"/>
    <w:autoRedefine/>
    <w:qFormat/>
    <w:uiPriority w:val="0"/>
    <w:rPr>
      <w:rFonts w:hint="default" w:ascii="Calibri" w:hAnsi="Calibri" w:eastAsia="宋体"/>
      <w:kern w:val="2"/>
      <w:sz w:val="21"/>
      <w:szCs w:val="22"/>
      <w:lang w:val="en-US" w:eastAsia="zh-CN" w:bidi="ar-SA"/>
    </w:rPr>
  </w:style>
  <w:style w:type="character" w:customStyle="1" w:styleId="343">
    <w:name w:val="H3 Char1"/>
    <w:autoRedefine/>
    <w:qFormat/>
    <w:uiPriority w:val="0"/>
    <w:rPr>
      <w:rFonts w:ascii="仿宋_GB2312" w:eastAsia="仿宋_GB2312"/>
      <w:b/>
      <w:bCs/>
      <w:color w:val="000000"/>
      <w:kern w:val="2"/>
      <w:sz w:val="32"/>
      <w:szCs w:val="32"/>
    </w:rPr>
  </w:style>
  <w:style w:type="character" w:customStyle="1" w:styleId="344">
    <w:name w:val="Char Char1"/>
    <w:autoRedefine/>
    <w:qFormat/>
    <w:uiPriority w:val="0"/>
    <w:rPr>
      <w:rFonts w:hint="eastAsia" w:ascii="宋体" w:hAnsi="宋体" w:eastAsia="宋体"/>
      <w:kern w:val="2"/>
      <w:sz w:val="21"/>
      <w:szCs w:val="24"/>
      <w:lang w:val="en-US" w:eastAsia="zh-CN" w:bidi="ar-SA"/>
    </w:rPr>
  </w:style>
  <w:style w:type="character" w:customStyle="1" w:styleId="345">
    <w:name w:val="Char Char10"/>
    <w:autoRedefine/>
    <w:qFormat/>
    <w:uiPriority w:val="0"/>
    <w:rPr>
      <w:rFonts w:eastAsia="宋体"/>
      <w:kern w:val="2"/>
      <w:sz w:val="18"/>
      <w:szCs w:val="18"/>
      <w:lang w:val="en-US" w:eastAsia="zh-CN" w:bidi="ar-SA"/>
    </w:rPr>
  </w:style>
  <w:style w:type="character" w:customStyle="1" w:styleId="346">
    <w:name w:val="文档正文 Char"/>
    <w:link w:val="2"/>
    <w:autoRedefine/>
    <w:qFormat/>
    <w:uiPriority w:val="0"/>
    <w:rPr>
      <w:rFonts w:ascii="Arial" w:hAnsi="Arial" w:cs="Arial"/>
      <w:bCs/>
      <w:kern w:val="2"/>
      <w:sz w:val="24"/>
      <w:szCs w:val="24"/>
    </w:rPr>
  </w:style>
  <w:style w:type="character" w:customStyle="1" w:styleId="347">
    <w:name w:val="正文文本 2 Char2"/>
    <w:basedOn w:val="53"/>
    <w:autoRedefine/>
    <w:semiHidden/>
    <w:qFormat/>
    <w:uiPriority w:val="0"/>
    <w:rPr>
      <w:kern w:val="2"/>
      <w:sz w:val="21"/>
      <w:szCs w:val="24"/>
    </w:rPr>
  </w:style>
  <w:style w:type="character" w:customStyle="1" w:styleId="348">
    <w:name w:val="标题 字符1"/>
    <w:basedOn w:val="53"/>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5"/>
    <w:autoRedefine/>
    <w:qFormat/>
    <w:uiPriority w:val="0"/>
    <w:rPr>
      <w:kern w:val="2"/>
      <w:sz w:val="21"/>
      <w:szCs w:val="24"/>
    </w:rPr>
  </w:style>
  <w:style w:type="character" w:customStyle="1" w:styleId="350">
    <w:name w:val="签名 Char2"/>
    <w:basedOn w:val="53"/>
    <w:autoRedefine/>
    <w:semiHidden/>
    <w:qFormat/>
    <w:uiPriority w:val="0"/>
    <w:rPr>
      <w:kern w:val="2"/>
      <w:sz w:val="21"/>
      <w:szCs w:val="24"/>
    </w:rPr>
  </w:style>
  <w:style w:type="character" w:customStyle="1" w:styleId="351">
    <w:name w:val="正文文本缩进 3 Char2"/>
    <w:basedOn w:val="53"/>
    <w:autoRedefine/>
    <w:semiHidden/>
    <w:qFormat/>
    <w:uiPriority w:val="0"/>
    <w:rPr>
      <w:kern w:val="2"/>
      <w:sz w:val="16"/>
      <w:szCs w:val="16"/>
    </w:rPr>
  </w:style>
  <w:style w:type="character" w:customStyle="1" w:styleId="352">
    <w:name w:val="日期 Char2"/>
    <w:basedOn w:val="53"/>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7"/>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5"/>
    <w:autoRedefine/>
    <w:qFormat/>
    <w:uiPriority w:val="0"/>
    <w:pPr>
      <w:tabs>
        <w:tab w:val="right" w:leader="dot" w:pos="9458"/>
      </w:tabs>
    </w:pPr>
    <w:rPr>
      <w:b w:val="0"/>
    </w:rPr>
  </w:style>
  <w:style w:type="paragraph" w:customStyle="1" w:styleId="369">
    <w:name w:val="TOC 标题1"/>
    <w:basedOn w:val="3"/>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4"/>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3"/>
    <w:link w:val="20"/>
    <w:autoRedefine/>
    <w:qFormat/>
    <w:uiPriority w:val="0"/>
    <w:rPr>
      <w:kern w:val="2"/>
      <w:sz w:val="16"/>
      <w:szCs w:val="16"/>
    </w:rPr>
  </w:style>
  <w:style w:type="character" w:customStyle="1" w:styleId="459">
    <w:name w:val="content"/>
    <w:basedOn w:val="53"/>
    <w:autoRedefine/>
    <w:qFormat/>
    <w:uiPriority w:val="0"/>
  </w:style>
  <w:style w:type="character" w:customStyle="1" w:styleId="460">
    <w:name w:val="ca-3"/>
    <w:basedOn w:val="53"/>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9"/>
    <w:autoRedefine/>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3"/>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3"/>
    <w:autoRedefine/>
    <w:qFormat/>
    <w:uiPriority w:val="0"/>
  </w:style>
  <w:style w:type="character" w:customStyle="1" w:styleId="470">
    <w:name w:val="apple-style-span"/>
    <w:basedOn w:val="53"/>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7"/>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7"/>
    <w:autoRedefine/>
    <w:qFormat/>
    <w:uiPriority w:val="0"/>
    <w:rPr>
      <w:rFonts w:ascii="宋体" w:hAnsi="Courier New"/>
      <w:szCs w:val="20"/>
    </w:rPr>
  </w:style>
  <w:style w:type="character" w:customStyle="1" w:styleId="481">
    <w:name w:val="脚注文本 Char2"/>
    <w:basedOn w:val="53"/>
    <w:link w:val="39"/>
    <w:autoRedefine/>
    <w:semiHidden/>
    <w:qFormat/>
    <w:uiPriority w:val="0"/>
    <w:rPr>
      <w:kern w:val="2"/>
      <w:sz w:val="18"/>
      <w:szCs w:val="18"/>
    </w:rPr>
  </w:style>
  <w:style w:type="paragraph" w:customStyle="1" w:styleId="482">
    <w:name w:val="_Style 56"/>
    <w:basedOn w:val="1"/>
    <w:next w:val="27"/>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30"/>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7"/>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7"/>
    <w:autoRedefine/>
    <w:qFormat/>
    <w:uiPriority w:val="0"/>
    <w:rPr>
      <w:rFonts w:ascii="宋体" w:hAnsi="Courier New"/>
      <w:szCs w:val="20"/>
    </w:rPr>
  </w:style>
  <w:style w:type="paragraph" w:customStyle="1" w:styleId="501">
    <w:name w:val="2"/>
    <w:basedOn w:val="1"/>
    <w:next w:val="46"/>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30"/>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80"/>
    <customShpInfo spid="_x0000_s3079"/>
    <customShpInfo spid="_x0000_s3078"/>
    <customShpInfo spid="_x0000_s3077"/>
    <customShpInfo spid="_x0000_s3076"/>
    <customShpInfo spid="_x0000_s3075"/>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8615</Words>
  <Characters>49110</Characters>
  <Lines>409</Lines>
  <Paragraphs>115</Paragraphs>
  <TotalTime>39</TotalTime>
  <ScaleCrop>false</ScaleCrop>
  <LinksUpToDate>false</LinksUpToDate>
  <CharactersWithSpaces>57610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xiefang</dc:creator>
  <cp:lastModifiedBy>中正招标罗敏仪</cp:lastModifiedBy>
  <cp:lastPrinted>2024-02-23T07:30:00Z</cp:lastPrinted>
  <dcterms:modified xsi:type="dcterms:W3CDTF">2024-02-28T08:51:39Z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B428AB667D634DE5893CB24DD0CC30E1_13</vt:lpwstr>
  </property>
</Properties>
</file>