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margin;mso-height-relative:margin;"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asciiTheme="minorEastAsia" w:hAnsiTheme="minorEastAsia" w:eastAsiaTheme="minorEastAsia"/>
          <w:b/>
          <w:snapToGrid w:val="0"/>
          <w:kern w:val="0"/>
          <w:sz w:val="72"/>
          <w:szCs w:val="72"/>
        </w:rPr>
      </w:pPr>
      <w:r>
        <w:rPr>
          <w:rFonts w:hint="eastAsia" w:asciiTheme="minorEastAsia" w:hAnsiTheme="minorEastAsia" w:eastAsiaTheme="minorEastAsia"/>
          <w:b/>
          <w:bCs/>
          <w:snapToGrid w:val="0"/>
          <w:kern w:val="0"/>
          <w:sz w:val="72"/>
          <w:szCs w:val="72"/>
        </w:rPr>
        <w:t>作风纪律社会监督</w:t>
      </w: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项目编号：SZZZ2024-QC0062</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pPr>
      <w:r>
        <w:rPr>
          <w:rFonts w:eastAsia="经典标宋简"/>
          <w:b/>
          <w:snapToGrid w:val="0"/>
          <w:kern w:val="0"/>
          <w:sz w:val="44"/>
        </w:rPr>
        <w:t xml:space="preserve"> </w:t>
      </w:r>
    </w:p>
    <w:p/>
    <w:p/>
    <w:p/>
    <w:p/>
    <w:p/>
    <w:p/>
    <w:p>
      <w:pPr>
        <w:pStyle w:val="28"/>
        <w:adjustRightInd w:val="0"/>
        <w:snapToGrid w:val="0"/>
        <w:spacing w:line="300" w:lineRule="auto"/>
        <w:ind w:hanging="835"/>
        <w:jc w:val="center"/>
        <w:rPr>
          <w:b/>
          <w:kern w:val="0"/>
          <w:sz w:val="28"/>
          <w:szCs w:val="28"/>
        </w:rPr>
      </w:pPr>
      <w:r>
        <w:rPr>
          <w:rFonts w:hint="eastAsia"/>
          <w:b/>
          <w:snapToGrid w:val="0"/>
          <w:sz w:val="30"/>
        </w:rPr>
        <w:t>二〇二四年二月</w:t>
      </w:r>
    </w:p>
    <w:p/>
    <w:p/>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第七十九条 供应商有下列情形的，属于采购条例所称的串通投标行为，按照采购条例第五十七条有关规定处理：</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pPr>
            <w:pStyle w:val="34"/>
            <w:tabs>
              <w:tab w:val="right" w:leader="dot" w:pos="9628"/>
            </w:tabs>
            <w:rPr>
              <w:rFonts w:ascii="仿宋_GB2312" w:eastAsia="仿宋_GB2312"/>
              <w:sz w:val="24"/>
            </w:rPr>
          </w:pPr>
        </w:p>
        <w:p>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60</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70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pPr>
          <w:r>
            <w:rPr>
              <w:rFonts w:hint="eastAsia" w:ascii="仿宋_GB2312" w:eastAsia="仿宋_GB2312"/>
              <w:sz w:val="24"/>
            </w:rPr>
            <w:fldChar w:fldCharType="end"/>
          </w:r>
        </w:p>
      </w:sdtContent>
    </w:sdt>
    <w:p/>
    <w:p/>
    <w:p/>
    <w:p/>
    <w:p>
      <w:pPr>
        <w:pStyle w:val="3"/>
      </w:pPr>
      <w:bookmarkStart w:id="0" w:name="_Toc135293159"/>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rPr>
        <w:t>作风纪律社会监督</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2024年</w:t>
      </w:r>
      <w:r>
        <w:rPr>
          <w:rFonts w:hint="eastAsia" w:ascii="宋体" w:hAnsi="宋体" w:cs="Arial Unicode MS"/>
          <w:snapToGrid w:val="0"/>
          <w:kern w:val="0"/>
          <w:szCs w:val="21"/>
          <w:u w:val="single"/>
          <w:lang w:val="en-US" w:eastAsia="zh-CN"/>
        </w:rPr>
        <w:t>03</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18</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SZZZ2024-QC0062</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2、项目名称：作风纪律社会监督</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 xml:space="preserve"> 79.615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 xml:space="preserve"> 79.615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pPr>
              <w:pStyle w:val="45"/>
              <w:spacing w:line="360" w:lineRule="auto"/>
              <w:jc w:val="center"/>
              <w:rPr>
                <w:sz w:val="21"/>
              </w:rPr>
            </w:pPr>
            <w:r>
              <w:rPr>
                <w:sz w:val="21"/>
              </w:rPr>
              <w:t>标的名称</w:t>
            </w:r>
          </w:p>
        </w:tc>
        <w:tc>
          <w:tcPr>
            <w:tcW w:w="921" w:type="dxa"/>
            <w:shd w:val="clear" w:color="auto" w:fill="ABCDEF"/>
            <w:vAlign w:val="center"/>
          </w:tcPr>
          <w:p>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pPr>
              <w:pStyle w:val="45"/>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pPr>
              <w:pStyle w:val="45"/>
              <w:spacing w:line="360" w:lineRule="auto"/>
              <w:jc w:val="center"/>
              <w:rPr>
                <w:rFonts w:asciiTheme="minorEastAsia" w:hAnsiTheme="minorEastAsia" w:eastAsiaTheme="minorEastAsia"/>
                <w:sz w:val="21"/>
              </w:rPr>
            </w:pPr>
            <w:r>
              <w:rPr>
                <w:rFonts w:hint="eastAsia" w:ascii="宋体" w:hAnsi="宋体" w:eastAsiaTheme="minorEastAsia"/>
                <w:snapToGrid w:val="0"/>
                <w:sz w:val="21"/>
                <w:szCs w:val="21"/>
              </w:rPr>
              <w:t>作风纪律社会监督</w:t>
            </w:r>
          </w:p>
        </w:tc>
        <w:tc>
          <w:tcPr>
            <w:tcW w:w="921"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05</w:t>
      </w:r>
      <w:r>
        <w:rPr>
          <w:rFonts w:hint="eastAsia" w:ascii="宋体" w:hAnsi="宋体" w:eastAsia="宋体"/>
          <w:snapToGrid w:val="0"/>
          <w:color w:val="auto"/>
          <w:sz w:val="21"/>
          <w:szCs w:val="21"/>
          <w:u w:val="single"/>
        </w:rPr>
        <w:t>日至2024年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12</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（1）现场获取：投标人按以上时间和地点现场报名和获取招标文件，需携带以下资料:</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加盖公章的营业执照或法人证书等复印件或扫描件；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加盖公章的法定代表人授权委托书复印件或扫描件。</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加盖公章的营业执照或法人证书等复印件或扫描件；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3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③</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加盖公章的法定代表人授权委托书复印件或扫描件；</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4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④</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日14点30分（北京时间）</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3"/>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名称：深圳市市场监督管理局</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地址：深圳市福田区深南大道7010号工商物价大厦</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联系方式：温工，</w:t>
      </w:r>
      <w:r>
        <w:rPr>
          <w:rFonts w:hint="eastAsia" w:ascii="宋体" w:hAnsi="宋体" w:eastAsia="宋体"/>
          <w:snapToGrid w:val="0"/>
          <w:color w:val="auto"/>
          <w:sz w:val="21"/>
          <w:szCs w:val="21"/>
          <w:lang w:val="en-US" w:eastAsia="zh-CN"/>
        </w:rPr>
        <w:t>0755-</w:t>
      </w:r>
      <w:r>
        <w:rPr>
          <w:rFonts w:hint="eastAsia" w:ascii="宋体" w:hAnsi="宋体" w:eastAsia="宋体"/>
          <w:snapToGrid w:val="0"/>
          <w:color w:val="auto"/>
          <w:sz w:val="21"/>
          <w:szCs w:val="21"/>
        </w:rPr>
        <w:t>83070122</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2024年</w:t>
      </w:r>
      <w:r>
        <w:rPr>
          <w:rFonts w:hint="eastAsia" w:ascii="宋体" w:hAnsi="宋体"/>
          <w:snapToGrid w:val="0"/>
          <w:kern w:val="0"/>
          <w:sz w:val="24"/>
          <w:lang w:val="en-US" w:eastAsia="zh-CN"/>
        </w:rPr>
        <w:t>03</w:t>
      </w:r>
      <w:r>
        <w:rPr>
          <w:rFonts w:ascii="宋体" w:hAnsi="宋体"/>
          <w:snapToGrid w:val="0"/>
          <w:kern w:val="0"/>
          <w:sz w:val="24"/>
        </w:rPr>
        <w:t>月</w:t>
      </w:r>
      <w:r>
        <w:rPr>
          <w:rFonts w:hint="eastAsia" w:ascii="宋体" w:hAnsi="宋体"/>
          <w:snapToGrid w:val="0"/>
          <w:kern w:val="0"/>
          <w:sz w:val="24"/>
          <w:lang w:val="en-US" w:eastAsia="zh-CN"/>
        </w:rPr>
        <w:t>05</w:t>
      </w:r>
      <w:r>
        <w:rPr>
          <w:rFonts w:hint="eastAsia" w:ascii="宋体" w:hAnsi="宋体"/>
          <w:snapToGrid w:val="0"/>
          <w:kern w:val="0"/>
          <w:sz w:val="24"/>
        </w:rPr>
        <w:t>日</w:t>
      </w:r>
    </w:p>
    <w:p/>
    <w:p/>
    <w:p>
      <w:pPr>
        <w:pStyle w:val="3"/>
      </w:pPr>
      <w:bookmarkStart w:id="1" w:name="_Toc135293160"/>
      <w:r>
        <w:rPr>
          <w:rFonts w:hint="eastAsia"/>
        </w:rPr>
        <w:t>第二章  项目需求</w:t>
      </w:r>
      <w:bookmarkEnd w:id="1"/>
    </w:p>
    <w:p>
      <w:pPr>
        <w:spacing w:afterLines="50" w:line="360" w:lineRule="auto"/>
        <w:ind w:left="2"/>
        <w:jc w:val="center"/>
        <w:rPr>
          <w:rFonts w:ascii="宋体" w:hAnsi="宋体"/>
          <w:b/>
          <w:sz w:val="24"/>
        </w:rPr>
      </w:pPr>
      <w:r>
        <w:rPr>
          <w:rFonts w:hint="eastAsia" w:ascii="宋体" w:hAnsi="宋体"/>
          <w:b/>
          <w:sz w:val="24"/>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5、加注★的条款为不可负偏离条款，任一项未响应或不满足要求的，将导致投标无效。</w:t>
      </w:r>
    </w:p>
    <w:p>
      <w:pPr>
        <w:pStyle w:val="321"/>
        <w:ind w:firstLine="0" w:firstLineChars="0"/>
        <w:rPr>
          <w:b/>
        </w:rPr>
      </w:pPr>
    </w:p>
    <w:p>
      <w:pPr>
        <w:pStyle w:val="321"/>
        <w:ind w:firstLine="0" w:firstLineChars="0"/>
        <w:rPr>
          <w:b/>
        </w:rPr>
      </w:pPr>
      <w:r>
        <w:rPr>
          <w:rFonts w:hint="eastAsia"/>
          <w:b/>
        </w:rPr>
        <w:t>一、项目概况</w:t>
      </w:r>
    </w:p>
    <w:p>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snapToGrid w:val="0"/>
                <w:szCs w:val="21"/>
              </w:rPr>
              <w:t>作风纪律社会监督</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796,150.00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（二）项目基本情况</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习近平在二十届中央纪委三次全会上发表重要讲话强调，深入推进党的自我革命，坚决打赢反腐败斗争攻坚战持久战。深圳市市场监督管理局系统队伍大、职能广、廉政风险点多，同时作为政府部门，受经费及编制的限制，监督力量薄弱、监督力度不足。在深圳市纪委监委派驻三组的提议和指导下，深圳市市场监督管理局组建了涵盖人大代表、政协委员、退休干部、律师、新闻媒体工作者、食药安全志愿者等不同领域共150人的作风纪律社会监督员队伍，拟引入专业的第三方机构，负责在既定的行动方案框架内，组织社会监督员高质、高效完成廉政回访、明察暗访等各类监督行动，及时发现和制止违反廉洁从政以及市场监督管理法律法规的行为，并反馈充分的监督证据材料及情况分析报告作为作风纪律整改提升的依据。同时，在行动过程中积极发掘</w:t>
      </w:r>
      <w:r>
        <w:rPr>
          <w:rFonts w:hint="eastAsia" w:cs="Times New Roman"/>
          <w:snapToGrid/>
          <w:spacing w:val="0"/>
          <w:sz w:val="21"/>
          <w:szCs w:val="21"/>
          <w:lang w:val="en-US" w:eastAsia="zh-CN"/>
        </w:rPr>
        <w:t>深圳市</w:t>
      </w:r>
      <w:r>
        <w:rPr>
          <w:rFonts w:hint="eastAsia" w:cs="Times New Roman"/>
          <w:snapToGrid/>
          <w:spacing w:val="0"/>
          <w:sz w:val="21"/>
          <w:szCs w:val="21"/>
        </w:rPr>
        <w:t>市场监督管理局优秀的做法和好的事迹，运用自身平台和影响力进行宣传。在协助市场监管部门切实改进工作作风、提高服务质量的同时，不断树立市场监管部门良好的社会形象，实现纪律作风和群众满意度双提升。</w:t>
      </w:r>
    </w:p>
    <w:p>
      <w:pPr>
        <w:pStyle w:val="506"/>
        <w:wordWrap/>
        <w:spacing w:afterLines="0" w:line="360" w:lineRule="auto"/>
        <w:ind w:firstLine="420"/>
        <w:rPr>
          <w:rFonts w:cs="Times New Roman"/>
          <w:snapToGrid/>
          <w:spacing w:val="0"/>
          <w:sz w:val="21"/>
          <w:szCs w:val="21"/>
        </w:rPr>
      </w:pPr>
    </w:p>
    <w:p>
      <w:pPr>
        <w:pStyle w:val="321"/>
        <w:ind w:firstLine="0" w:firstLineChars="0"/>
        <w:rPr>
          <w:b/>
        </w:rPr>
      </w:pPr>
      <w:r>
        <w:rPr>
          <w:rFonts w:hint="eastAsia"/>
          <w:b/>
        </w:rPr>
        <w:t>二、项目服务要求</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（一）服务范围</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深圳地区</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（二）总体目标</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组织社会监督员开展各类监督活动，协助市场监管部门切实改进工作作风、提高服务质量，树立市场监管部门良好的社会形象。其中包括：一是管理涵盖人大代表、政协委员、退休干部、律师、新闻媒体工作者、食药安全志愿者等不同领域的监督员队伍，并分成十个区属分队，结合业务需求和民生热点提供优质、专业的作风纪律社会监督志愿服务；二是建立作风纪律社会监督工作长效机制，逐步形成科学规范的社会监督员管理模式，确立基本实现社会监督志愿服务专业化、规范化、常态化、长效化的目标；三是通过组织开展丰富多样的作风纪律社会监督行动，使作风纪律社会监督员队伍成为具有一定影响力的工作品牌，助力深圳市市场监督管理局作风纪律水平和群众满意度双提升。</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（三）项目内容</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1.建设作风纪律社会监督员队伍。</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（1）做好监督员日常安排、协调、组织和管理。</w:t>
      </w:r>
    </w:p>
    <w:p>
      <w:pPr>
        <w:pStyle w:val="506"/>
        <w:wordWrap/>
        <w:spacing w:afterLines="0" w:line="360" w:lineRule="auto"/>
        <w:ind w:firstLine="0"/>
        <w:rPr>
          <w:rFonts w:hint="eastAsia" w:cs="Times New Roman"/>
          <w:snapToGrid/>
          <w:spacing w:val="0"/>
          <w:sz w:val="21"/>
          <w:szCs w:val="21"/>
        </w:rPr>
      </w:pPr>
      <w:r>
        <w:rPr>
          <w:rFonts w:hint="eastAsia" w:cs="Times New Roman"/>
          <w:snapToGrid/>
          <w:spacing w:val="0"/>
          <w:sz w:val="21"/>
          <w:szCs w:val="21"/>
        </w:rPr>
        <w:t>（2）针对监督活动的工作技能和工作方法开展岗前培训。</w:t>
      </w:r>
    </w:p>
    <w:p>
      <w:pPr>
        <w:pStyle w:val="506"/>
        <w:wordWrap/>
        <w:spacing w:afterLines="0" w:line="360" w:lineRule="auto"/>
        <w:ind w:firstLine="0"/>
        <w:rPr>
          <w:rFonts w:hint="default" w:cs="Times New Roman"/>
          <w:snapToGrid/>
          <w:spacing w:val="0"/>
          <w:sz w:val="21"/>
          <w:szCs w:val="21"/>
          <w:lang w:val="en"/>
        </w:rPr>
      </w:pPr>
      <w:r>
        <w:rPr>
          <w:rFonts w:hint="eastAsia" w:cs="Times New Roman"/>
          <w:snapToGrid/>
          <w:spacing w:val="0"/>
          <w:sz w:val="21"/>
          <w:szCs w:val="21"/>
        </w:rPr>
        <w:t>（</w:t>
      </w:r>
      <w:r>
        <w:rPr>
          <w:rFonts w:hint="default" w:cs="Times New Roman"/>
          <w:snapToGrid/>
          <w:spacing w:val="0"/>
          <w:sz w:val="21"/>
          <w:szCs w:val="21"/>
          <w:lang w:val="en"/>
        </w:rPr>
        <w:t>3</w:t>
      </w:r>
      <w:r>
        <w:rPr>
          <w:rFonts w:hint="eastAsia" w:cs="Times New Roman"/>
          <w:snapToGrid/>
          <w:spacing w:val="0"/>
          <w:sz w:val="21"/>
          <w:szCs w:val="21"/>
        </w:rPr>
        <w:t>）</w:t>
      </w:r>
      <w:r>
        <w:rPr>
          <w:rFonts w:hint="eastAsia" w:cs="Times New Roman"/>
          <w:snapToGrid/>
          <w:spacing w:val="0"/>
          <w:sz w:val="21"/>
          <w:szCs w:val="21"/>
          <w:lang w:eastAsia="zh-CN"/>
        </w:rPr>
        <w:t>根据工作需要，配备适量的摄录器材</w:t>
      </w:r>
      <w:r>
        <w:rPr>
          <w:rFonts w:hint="eastAsia" w:cs="Times New Roman"/>
          <w:snapToGrid/>
          <w:spacing w:val="0"/>
          <w:sz w:val="21"/>
          <w:szCs w:val="21"/>
        </w:rPr>
        <w:t>。</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2.管理作风纪律社会监督员队伍。</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（1）建立监督员及其活动档案，做好服务时长统计、活动资料归档等工作，作为支付补助、年度考核和表彰的依据。</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 xml:space="preserve">（2）建立作风纪律社会监督员管理制度，逐步形成科学规范的管理模式，基本实现监督员队伍管理规范化等目标。    </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3.开展</w:t>
      </w:r>
      <w:r>
        <w:rPr>
          <w:rFonts w:hint="eastAsia" w:cs="Times New Roman"/>
          <w:snapToGrid/>
          <w:spacing w:val="0"/>
          <w:sz w:val="21"/>
          <w:szCs w:val="21"/>
          <w:lang w:val="en-US" w:eastAsia="zh-CN"/>
        </w:rPr>
        <w:t>不少于84场</w:t>
      </w:r>
      <w:r>
        <w:rPr>
          <w:rFonts w:hint="eastAsia" w:cs="Times New Roman"/>
          <w:snapToGrid/>
          <w:spacing w:val="0"/>
          <w:sz w:val="21"/>
          <w:szCs w:val="21"/>
        </w:rPr>
        <w:t>作风纪律社会监督活动。</w:t>
      </w:r>
    </w:p>
    <w:p>
      <w:pPr>
        <w:pStyle w:val="506"/>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（1）开展</w:t>
      </w:r>
      <w:r>
        <w:rPr>
          <w:rFonts w:hint="eastAsia" w:cs="Times New Roman"/>
          <w:snapToGrid/>
          <w:spacing w:val="0"/>
          <w:sz w:val="21"/>
          <w:szCs w:val="21"/>
          <w:lang w:val="en-US" w:eastAsia="zh-CN"/>
        </w:rPr>
        <w:t>3</w:t>
      </w:r>
      <w:r>
        <w:rPr>
          <w:rFonts w:hint="eastAsia" w:cs="Times New Roman"/>
          <w:snapToGrid/>
          <w:spacing w:val="0"/>
          <w:sz w:val="21"/>
          <w:szCs w:val="21"/>
        </w:rPr>
        <w:t>场作风纪律社会监督员培训，根据活动内容，有计划有针对性地开展作风纪律社会监督员培训。</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（2）开展1</w:t>
      </w:r>
      <w:r>
        <w:rPr>
          <w:rFonts w:hint="eastAsia" w:cs="Times New Roman"/>
          <w:snapToGrid/>
          <w:spacing w:val="0"/>
          <w:sz w:val="21"/>
          <w:szCs w:val="21"/>
          <w:lang w:val="en-US" w:eastAsia="zh-CN"/>
        </w:rPr>
        <w:t>5</w:t>
      </w:r>
      <w:r>
        <w:rPr>
          <w:rFonts w:hint="eastAsia" w:cs="Times New Roman"/>
          <w:snapToGrid/>
          <w:spacing w:val="0"/>
          <w:sz w:val="21"/>
          <w:szCs w:val="21"/>
        </w:rPr>
        <w:t xml:space="preserve">场监督体验活动，组织社会监督员跟随执法人员开展执法行动，了解并监督深圳市市场监督管理局执法工作情况。 </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（3）开展</w:t>
      </w:r>
      <w:r>
        <w:rPr>
          <w:rFonts w:hint="eastAsia" w:cs="Times New Roman"/>
          <w:snapToGrid/>
          <w:spacing w:val="0"/>
          <w:sz w:val="21"/>
          <w:szCs w:val="21"/>
          <w:lang w:val="en-US" w:eastAsia="zh-CN"/>
        </w:rPr>
        <w:t>3</w:t>
      </w:r>
      <w:r>
        <w:rPr>
          <w:rFonts w:hint="eastAsia" w:cs="Times New Roman"/>
          <w:snapToGrid/>
          <w:spacing w:val="0"/>
          <w:sz w:val="21"/>
          <w:szCs w:val="21"/>
        </w:rPr>
        <w:t>场抽查回访活动：围绕风险安全隐患排查整治工作，组织社会监督员以电话回访、现场走访等方式，对已完成检查的学校、企业、门店等进行抽查。</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（4）开展</w:t>
      </w:r>
      <w:r>
        <w:rPr>
          <w:rFonts w:hint="eastAsia" w:cs="Times New Roman"/>
          <w:snapToGrid/>
          <w:spacing w:val="0"/>
          <w:sz w:val="21"/>
          <w:szCs w:val="21"/>
          <w:lang w:val="en-US" w:eastAsia="zh-CN"/>
        </w:rPr>
        <w:t>3</w:t>
      </w:r>
      <w:r>
        <w:rPr>
          <w:rFonts w:hint="eastAsia" w:cs="Times New Roman"/>
          <w:snapToGrid/>
          <w:spacing w:val="0"/>
          <w:sz w:val="21"/>
          <w:szCs w:val="21"/>
        </w:rPr>
        <w:t>场群众办事流程体验活动，组织社会监督员对深圳市市场监督管理局系统各行政服务窗口</w:t>
      </w:r>
      <w:r>
        <w:rPr>
          <w:rFonts w:hint="eastAsia" w:cs="Times New Roman"/>
          <w:snapToGrid/>
          <w:spacing w:val="0"/>
          <w:sz w:val="21"/>
          <w:szCs w:val="21"/>
          <w:lang w:eastAsia="zh-CN"/>
        </w:rPr>
        <w:t>，</w:t>
      </w:r>
      <w:r>
        <w:rPr>
          <w:rFonts w:hint="eastAsia" w:cs="Times New Roman"/>
          <w:snapToGrid/>
          <w:spacing w:val="0"/>
          <w:sz w:val="21"/>
          <w:szCs w:val="21"/>
        </w:rPr>
        <w:t>以办事群众身份，感受工作人员服务态度、服务效率、服务流程等情况</w:t>
      </w:r>
      <w:r>
        <w:rPr>
          <w:rFonts w:hint="eastAsia" w:cs="Times New Roman"/>
          <w:snapToGrid/>
          <w:spacing w:val="0"/>
          <w:sz w:val="21"/>
          <w:szCs w:val="21"/>
          <w:lang w:eastAsia="zh-CN"/>
        </w:rPr>
        <w:t>，或</w:t>
      </w:r>
      <w:r>
        <w:rPr>
          <w:rFonts w:hint="eastAsia" w:cs="Times New Roman"/>
          <w:snapToGrid/>
          <w:spacing w:val="0"/>
          <w:sz w:val="21"/>
          <w:szCs w:val="21"/>
        </w:rPr>
        <w:t>是以问卷调查形式现场随机访问办事群众</w:t>
      </w:r>
      <w:r>
        <w:rPr>
          <w:rFonts w:hint="eastAsia" w:cs="Times New Roman"/>
          <w:snapToGrid/>
          <w:spacing w:val="0"/>
          <w:sz w:val="21"/>
          <w:szCs w:val="21"/>
          <w:lang w:eastAsia="zh-CN"/>
        </w:rPr>
        <w:t>，了解群众办事体验</w:t>
      </w:r>
      <w:r>
        <w:rPr>
          <w:rFonts w:hint="eastAsia" w:cs="Times New Roman"/>
          <w:snapToGrid/>
          <w:spacing w:val="0"/>
          <w:sz w:val="21"/>
          <w:szCs w:val="21"/>
        </w:rPr>
        <w:t>。</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（5）开展</w:t>
      </w:r>
      <w:r>
        <w:rPr>
          <w:rFonts w:hint="eastAsia" w:cs="Times New Roman"/>
          <w:snapToGrid/>
          <w:spacing w:val="0"/>
          <w:sz w:val="21"/>
          <w:szCs w:val="21"/>
          <w:lang w:eastAsia="zh-CN"/>
        </w:rPr>
        <w:t>不少于</w:t>
      </w:r>
      <w:r>
        <w:rPr>
          <w:rFonts w:hint="eastAsia" w:cs="Times New Roman"/>
          <w:snapToGrid/>
          <w:spacing w:val="0"/>
          <w:sz w:val="21"/>
          <w:szCs w:val="21"/>
          <w:lang w:val="en-US" w:eastAsia="zh-CN"/>
        </w:rPr>
        <w:t>40</w:t>
      </w:r>
      <w:r>
        <w:rPr>
          <w:rFonts w:hint="eastAsia" w:cs="Times New Roman"/>
          <w:snapToGrid/>
          <w:spacing w:val="0"/>
          <w:sz w:val="21"/>
          <w:szCs w:val="21"/>
        </w:rPr>
        <w:t>场明察暗访活动，对深圳市市场监督管理局作风纪律及精神面貌进行明察暗访</w:t>
      </w:r>
      <w:r>
        <w:rPr>
          <w:rFonts w:hint="eastAsia" w:cs="Times New Roman"/>
          <w:snapToGrid/>
          <w:spacing w:val="0"/>
          <w:sz w:val="21"/>
          <w:szCs w:val="21"/>
          <w:lang w:eastAsia="zh-CN"/>
        </w:rPr>
        <w:t>，以实际工作部署为准</w:t>
      </w:r>
      <w:r>
        <w:rPr>
          <w:rFonts w:hint="eastAsia" w:cs="Times New Roman"/>
          <w:snapToGrid/>
          <w:spacing w:val="0"/>
          <w:sz w:val="21"/>
          <w:szCs w:val="21"/>
        </w:rPr>
        <w:t>。</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（6）开展</w:t>
      </w:r>
      <w:r>
        <w:rPr>
          <w:rFonts w:hint="eastAsia" w:cs="Times New Roman"/>
          <w:snapToGrid/>
          <w:spacing w:val="0"/>
          <w:sz w:val="21"/>
          <w:szCs w:val="21"/>
          <w:lang w:val="en-US" w:eastAsia="zh-CN"/>
        </w:rPr>
        <w:t>20</w:t>
      </w:r>
      <w:r>
        <w:rPr>
          <w:rFonts w:hint="eastAsia" w:cs="Times New Roman"/>
          <w:snapToGrid/>
          <w:spacing w:val="0"/>
          <w:sz w:val="21"/>
          <w:szCs w:val="21"/>
        </w:rPr>
        <w:t>场电话回访活动，对深圳市市场监督管理局业务办理过程中工作人员工作规范性或廉洁性等进行电话回访。</w:t>
      </w:r>
    </w:p>
    <w:p>
      <w:pPr>
        <w:pStyle w:val="506"/>
        <w:wordWrap/>
        <w:spacing w:afterLines="0" w:line="360" w:lineRule="auto"/>
        <w:ind w:firstLine="420"/>
        <w:rPr>
          <w:rFonts w:cs="Times New Roman"/>
          <w:snapToGrid/>
          <w:spacing w:val="0"/>
          <w:sz w:val="21"/>
          <w:szCs w:val="21"/>
        </w:rPr>
      </w:pPr>
      <w:r>
        <w:rPr>
          <w:rFonts w:cs="Times New Roman"/>
          <w:snapToGrid/>
          <w:spacing w:val="0"/>
          <w:sz w:val="21"/>
          <w:szCs w:val="21"/>
        </w:rPr>
        <w:t>4</w:t>
      </w:r>
      <w:r>
        <w:rPr>
          <w:rFonts w:hint="eastAsia" w:cs="Times New Roman"/>
          <w:snapToGrid/>
          <w:spacing w:val="0"/>
          <w:sz w:val="21"/>
          <w:szCs w:val="21"/>
        </w:rPr>
        <w:t>.收集作风纪律社会监督意见建议：通过“开展作风纪律社会监督活动—监督员参与活动产生意见建议—深圳市市场监督管理局”的社会监督员意见建议反馈机制，以市民角度，对政府监管工作形成有益补充。</w:t>
      </w:r>
    </w:p>
    <w:p>
      <w:pPr>
        <w:pStyle w:val="506"/>
        <w:wordWrap/>
        <w:spacing w:afterLines="0" w:line="360" w:lineRule="auto"/>
        <w:ind w:firstLine="420"/>
        <w:rPr>
          <w:rFonts w:ascii="仿宋_GB2312" w:eastAsia="仿宋_GB2312" w:cs="仿宋_GB2312"/>
          <w:snapToGrid/>
          <w:spacing w:val="0"/>
          <w:kern w:val="0"/>
          <w:sz w:val="28"/>
          <w:szCs w:val="28"/>
        </w:rPr>
      </w:pPr>
      <w:r>
        <w:rPr>
          <w:rFonts w:hint="eastAsia" w:cs="Times New Roman"/>
          <w:snapToGrid/>
          <w:spacing w:val="0"/>
          <w:sz w:val="21"/>
          <w:szCs w:val="21"/>
        </w:rPr>
        <w:t xml:space="preserve">（四）项目人员 </w:t>
      </w:r>
      <w:r>
        <w:rPr>
          <w:rFonts w:hint="eastAsia" w:ascii="仿宋_GB2312" w:eastAsia="仿宋_GB2312" w:cs="仿宋_GB2312"/>
          <w:snapToGrid/>
          <w:spacing w:val="0"/>
          <w:kern w:val="0"/>
          <w:sz w:val="28"/>
          <w:szCs w:val="28"/>
        </w:rPr>
        <w:t xml:space="preserve">   </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1.项目负责人1名，为</w:t>
      </w:r>
      <w:r>
        <w:rPr>
          <w:rFonts w:hint="eastAsia"/>
          <w:sz w:val="21"/>
          <w:szCs w:val="21"/>
        </w:rPr>
        <w:t>投标人</w:t>
      </w:r>
      <w:r>
        <w:rPr>
          <w:rFonts w:hint="eastAsia"/>
          <w:color w:val="000000" w:themeColor="text1"/>
          <w:sz w:val="21"/>
          <w:szCs w:val="21"/>
        </w:rPr>
        <w:t>正式聘任</w:t>
      </w:r>
      <w:r>
        <w:rPr>
          <w:rFonts w:hint="eastAsia"/>
          <w:sz w:val="21"/>
          <w:szCs w:val="21"/>
        </w:rPr>
        <w:t>员工</w:t>
      </w:r>
      <w:r>
        <w:rPr>
          <w:rFonts w:hint="eastAsia" w:cs="Times New Roman"/>
          <w:snapToGrid/>
          <w:spacing w:val="0"/>
          <w:sz w:val="21"/>
          <w:szCs w:val="21"/>
        </w:rPr>
        <w:t>。本科或以上学历，具有组织开展志愿服务活动的实操经验，且专职志愿服务工作经验不少于5年。</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2.项目成员2名，为投标人正式聘任员工（以社保为准）</w:t>
      </w:r>
      <w:r>
        <w:rPr>
          <w:rFonts w:hint="eastAsia"/>
          <w:szCs w:val="21"/>
          <w:lang w:eastAsia="zh-CN"/>
        </w:rPr>
        <w:t>，</w:t>
      </w:r>
      <w:r>
        <w:rPr>
          <w:rFonts w:hint="eastAsia" w:cs="Times New Roman"/>
          <w:snapToGrid/>
          <w:spacing w:val="0"/>
          <w:sz w:val="21"/>
          <w:szCs w:val="21"/>
        </w:rPr>
        <w:t>其中：1名监督员管理人员，有1年或以上监督员管理工作经验，全日制本科或以上学历；1名活动策划组织人员，有1年或以上活动策划组织工作经验，全日制本科或以上学历。</w:t>
      </w:r>
    </w:p>
    <w:p>
      <w:pPr>
        <w:pStyle w:val="321"/>
        <w:ind w:firstLine="0" w:firstLineChars="0"/>
        <w:rPr>
          <w:b/>
        </w:rPr>
      </w:pPr>
    </w:p>
    <w:p>
      <w:pPr>
        <w:pStyle w:val="321"/>
        <w:ind w:firstLine="0" w:firstLineChars="0"/>
        <w:rPr>
          <w:b/>
        </w:rPr>
      </w:pPr>
      <w:r>
        <w:rPr>
          <w:rFonts w:hint="eastAsia"/>
          <w:b/>
        </w:rPr>
        <w:t>三、项目商务要求</w:t>
      </w:r>
    </w:p>
    <w:p>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pPr>
        <w:pStyle w:val="255"/>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rPr>
        <w:t>自合同签订之日起至2024年11月30日前完成。本项目为长期服务项目，合同累计履行期限最长不超过三十六个月。服务期满后采购人可根据项目需求和中标供应商的履约情况确定合同期限是否延长，最多续签两次，合同一年一签。</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pPr>
        <w:pStyle w:val="255"/>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采购人指定地点。</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pPr>
        <w:spacing w:line="360" w:lineRule="auto"/>
        <w:ind w:firstLine="420" w:firstLineChars="200"/>
        <w:jc w:val="left"/>
        <w:rPr>
          <w:rFonts w:ascii="宋体" w:hAnsi="宋体"/>
          <w:szCs w:val="21"/>
        </w:rPr>
      </w:pPr>
      <w:r>
        <w:rPr>
          <w:rFonts w:hint="eastAsia" w:ascii="宋体" w:hAnsi="宋体"/>
          <w:szCs w:val="21"/>
        </w:rPr>
        <w:t>1.本项目服务费采用包干制，应包括服务成本、法定税费和企业的利润。由投标供应商根据采购文件所提供的资料自行测算投标报价；一经中标，报价总价作为中标供应商与采购人签定的合同金额，合同期限内不做调整。</w:t>
      </w:r>
    </w:p>
    <w:p>
      <w:pPr>
        <w:spacing w:line="360" w:lineRule="auto"/>
        <w:ind w:firstLine="420" w:firstLineChars="200"/>
        <w:jc w:val="left"/>
        <w:rPr>
          <w:rFonts w:ascii="宋体" w:hAnsi="宋体"/>
          <w:szCs w:val="21"/>
        </w:rPr>
      </w:pPr>
      <w:r>
        <w:rPr>
          <w:rFonts w:hint="eastAsia" w:ascii="宋体" w:hAnsi="宋体"/>
          <w:szCs w:val="21"/>
        </w:rPr>
        <w:t>2.投标供应商应当根据本企业的成本自行决定报价，但不得以低于其企业成本的报价投标。</w:t>
      </w:r>
    </w:p>
    <w:p>
      <w:pPr>
        <w:spacing w:line="360" w:lineRule="auto"/>
        <w:ind w:firstLine="420" w:firstLineChars="200"/>
        <w:jc w:val="left"/>
        <w:rPr>
          <w:rFonts w:ascii="宋体" w:hAnsi="宋体"/>
          <w:szCs w:val="21"/>
        </w:rPr>
      </w:pPr>
      <w:r>
        <w:rPr>
          <w:rFonts w:hint="eastAsia" w:ascii="宋体" w:hAnsi="宋体"/>
          <w:szCs w:val="21"/>
        </w:rPr>
        <w:t>3.投标供应商的报价不得超过项目预算金额。</w:t>
      </w:r>
    </w:p>
    <w:p>
      <w:pPr>
        <w:spacing w:line="360" w:lineRule="auto"/>
        <w:ind w:firstLine="420" w:firstLineChars="200"/>
        <w:jc w:val="left"/>
      </w:pPr>
      <w:r>
        <w:rPr>
          <w:rFonts w:hint="eastAsia" w:ascii="宋体" w:hAnsi="宋体"/>
          <w:szCs w:val="21"/>
        </w:rPr>
        <w:t>4.投标供应商的报价，应当是本项目采购范围和采购文件及合同条款上所列的各项内容中所述的全部，不得以任何理由予以重复。</w:t>
      </w:r>
    </w:p>
    <w:p>
      <w:pPr>
        <w:spacing w:line="360" w:lineRule="auto"/>
        <w:ind w:firstLine="420" w:firstLineChars="200"/>
        <w:jc w:val="left"/>
        <w:rPr>
          <w:rFonts w:ascii="宋体" w:hAnsi="宋体"/>
          <w:szCs w:val="21"/>
        </w:rPr>
      </w:pPr>
      <w:r>
        <w:rPr>
          <w:rFonts w:hint="eastAsia" w:ascii="宋体" w:hAnsi="宋体"/>
          <w:szCs w:val="21"/>
        </w:rPr>
        <w:t>5.除非采购代理机构通过修改采购文件予以更正，否则，投标供应商应毫无例外地按响应文件所列的清单中项目和数量填报综合单价或合价。投标供应商未填综合单价或合价的项目，在实施后，将不得以支付，并视作该项费用已包括在其它有价款的综合单价或合价内。</w:t>
      </w:r>
    </w:p>
    <w:p>
      <w:pPr>
        <w:spacing w:line="360" w:lineRule="auto"/>
        <w:ind w:firstLine="420" w:firstLineChars="200"/>
        <w:jc w:val="left"/>
        <w:rPr>
          <w:rFonts w:ascii="宋体" w:hAnsi="宋体"/>
          <w:szCs w:val="21"/>
        </w:rPr>
      </w:pPr>
      <w:r>
        <w:rPr>
          <w:rFonts w:hint="eastAsia" w:ascii="宋体" w:hAnsi="宋体"/>
          <w:szCs w:val="21"/>
        </w:rPr>
        <w:t>6.投标供应商不得期望通过索赔等方式获取补偿，否则，除可能遭到拒绝外，还可能将被作为不良行为记录在案，并可能影响其以后参加政府采购的项目投标。各投标供应商在报价时，应充分考虑报价的风险。</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pPr>
        <w:spacing w:line="360" w:lineRule="auto"/>
        <w:ind w:firstLine="420" w:firstLineChars="200"/>
        <w:jc w:val="left"/>
        <w:rPr>
          <w:rFonts w:ascii="宋体" w:hAnsi="宋体"/>
          <w:szCs w:val="21"/>
        </w:rPr>
      </w:pPr>
      <w:r>
        <w:rPr>
          <w:rFonts w:hint="eastAsia" w:ascii="宋体" w:hAnsi="宋体"/>
          <w:szCs w:val="21"/>
        </w:rPr>
        <w:t>采购方在合同签订后，且收到中标方提供符合规定发票后15日内支付合同总额的50%作为首期款，余款按进度支付。</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（五）知识产权：</w:t>
      </w:r>
    </w:p>
    <w:p>
      <w:pPr>
        <w:spacing w:line="360" w:lineRule="auto"/>
        <w:ind w:firstLine="420" w:firstLineChars="200"/>
        <w:jc w:val="left"/>
        <w:rPr>
          <w:rFonts w:ascii="宋体" w:hAnsi="宋体"/>
          <w:szCs w:val="21"/>
        </w:rPr>
      </w:pPr>
      <w:r>
        <w:rPr>
          <w:rFonts w:hint="eastAsia" w:ascii="宋体" w:hAnsi="宋体"/>
          <w:szCs w:val="21"/>
        </w:rPr>
        <w:t>1.中标供应商在项目实施过程中不得侵犯第三人知识产权以及其他权益。需要使用第三人知识产权的，中标供应商应取得权利人许可或者授权并由中标供应商承担费用。</w:t>
      </w:r>
    </w:p>
    <w:p>
      <w:pPr>
        <w:spacing w:line="360" w:lineRule="auto"/>
        <w:ind w:firstLine="420" w:firstLineChars="200"/>
        <w:jc w:val="left"/>
        <w:rPr>
          <w:rFonts w:ascii="宋体" w:hAnsi="宋体"/>
          <w:szCs w:val="21"/>
        </w:rPr>
      </w:pPr>
      <w:r>
        <w:rPr>
          <w:rFonts w:hint="eastAsia" w:ascii="宋体" w:hAnsi="宋体"/>
          <w:szCs w:val="21"/>
        </w:rPr>
        <w:t>2.除第三人依法享有知识产权的除外，中标供应商实施本项目所形成成果的知识产权归采购人所有，未经采购人许可，中标供应商不得随意使用。</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（六）验收标准及违约责任</w:t>
      </w:r>
    </w:p>
    <w:p>
      <w:pPr>
        <w:spacing w:line="360" w:lineRule="auto"/>
        <w:ind w:firstLine="420" w:firstLineChars="200"/>
        <w:jc w:val="left"/>
        <w:rPr>
          <w:rFonts w:ascii="宋体" w:hAnsi="宋体"/>
          <w:szCs w:val="21"/>
        </w:rPr>
      </w:pPr>
      <w:r>
        <w:rPr>
          <w:rFonts w:hint="eastAsia" w:ascii="宋体" w:hAnsi="宋体"/>
          <w:szCs w:val="21"/>
        </w:rPr>
        <w:t>1.验收标准：</w:t>
      </w:r>
      <w:bookmarkStart w:id="2" w:name="验收标准_1"/>
    </w:p>
    <w:p>
      <w:pPr>
        <w:spacing w:line="360" w:lineRule="auto"/>
        <w:ind w:firstLine="420" w:firstLineChars="200"/>
        <w:jc w:val="left"/>
        <w:rPr>
          <w:rFonts w:ascii="宋体" w:hAnsi="宋体"/>
          <w:szCs w:val="21"/>
        </w:rPr>
      </w:pPr>
      <w:r>
        <w:rPr>
          <w:rFonts w:hint="eastAsia" w:ascii="宋体" w:hAnsi="宋体"/>
          <w:szCs w:val="21"/>
        </w:rPr>
        <w:t>（1）采购人以采购项目的招标文件、投标文件、采购合同作为验收依据，按照采购合同的约定逐项核对技术、服务、安全标准的履约情况并确认；</w:t>
      </w:r>
    </w:p>
    <w:p>
      <w:pPr>
        <w:spacing w:line="360" w:lineRule="auto"/>
        <w:ind w:firstLine="420" w:firstLineChars="200"/>
        <w:jc w:val="left"/>
        <w:rPr>
          <w:rFonts w:ascii="宋体" w:hAnsi="宋体"/>
          <w:szCs w:val="21"/>
        </w:rPr>
      </w:pPr>
      <w:r>
        <w:rPr>
          <w:rFonts w:hint="eastAsia" w:ascii="宋体" w:hAnsi="宋体"/>
          <w:szCs w:val="21"/>
        </w:rPr>
        <w:t>（2）本项目具体验收标准：开展不少于</w:t>
      </w:r>
      <w:r>
        <w:rPr>
          <w:rFonts w:hint="default" w:ascii="宋体" w:hAnsi="宋体"/>
          <w:szCs w:val="21"/>
          <w:lang w:val="en"/>
        </w:rPr>
        <w:t>84</w:t>
      </w:r>
      <w:r>
        <w:rPr>
          <w:rFonts w:hint="eastAsia" w:ascii="宋体" w:hAnsi="宋体"/>
          <w:szCs w:val="21"/>
        </w:rPr>
        <w:t>场作风纪律社会监督活动，现场照片作为证明材料。</w:t>
      </w:r>
    </w:p>
    <w:bookmarkEnd w:id="2"/>
    <w:p>
      <w:pPr>
        <w:spacing w:line="360" w:lineRule="auto"/>
        <w:ind w:firstLine="420" w:firstLineChars="200"/>
        <w:jc w:val="left"/>
        <w:rPr>
          <w:rFonts w:ascii="宋体" w:hAnsi="宋体"/>
          <w:szCs w:val="21"/>
        </w:rPr>
      </w:pPr>
      <w:r>
        <w:rPr>
          <w:rFonts w:hint="eastAsia" w:ascii="宋体" w:hAnsi="宋体"/>
          <w:szCs w:val="21"/>
        </w:rPr>
        <w:t>2.违约责任：</w:t>
      </w:r>
      <w:bookmarkStart w:id="3" w:name="违约责任_1"/>
      <w:r>
        <w:rPr>
          <w:rFonts w:hint="eastAsia" w:ascii="宋体" w:hAnsi="宋体"/>
          <w:szCs w:val="21"/>
        </w:rPr>
        <w:t>按合同约定条款追究违约责任。</w:t>
      </w:r>
      <w:bookmarkEnd w:id="3"/>
    </w:p>
    <w:p>
      <w:pPr>
        <w:pStyle w:val="255"/>
        <w:spacing w:beforeLines="0" w:line="360" w:lineRule="auto"/>
        <w:ind w:firstLine="0" w:firstLineChars="0"/>
        <w:rPr>
          <w:rFonts w:ascii="宋体" w:hAnsi="宋体" w:eastAsia="宋体" w:cs="宋体"/>
          <w:sz w:val="28"/>
          <w:szCs w:val="28"/>
        </w:rPr>
      </w:pPr>
      <w:r>
        <w:rPr>
          <w:rFonts w:hint="eastAsia" w:asciiTheme="minorEastAsia" w:hAnsiTheme="minorEastAsia" w:eastAsiaTheme="minorEastAsia"/>
          <w:b/>
        </w:rPr>
        <w:t>（七）售后服务：</w:t>
      </w:r>
      <w:bookmarkStart w:id="4" w:name="售后服务_1"/>
    </w:p>
    <w:p>
      <w:pPr>
        <w:spacing w:line="360" w:lineRule="auto"/>
        <w:ind w:firstLine="420" w:firstLineChars="200"/>
        <w:jc w:val="left"/>
        <w:rPr>
          <w:rFonts w:ascii="宋体" w:hAnsi="宋体"/>
          <w:szCs w:val="21"/>
        </w:rPr>
      </w:pPr>
      <w:r>
        <w:rPr>
          <w:rFonts w:hint="eastAsia" w:ascii="宋体" w:hAnsi="宋体"/>
          <w:szCs w:val="21"/>
        </w:rPr>
        <w:t>中标供应商在项目验收合格之日起提供售后服务一年，在售后服务期内，如需进行监督员管理、活动材料补充等，中标供应商应在接到采购人通知之日后3个自然日内派人处理。</w:t>
      </w:r>
      <w:bookmarkEnd w:id="4"/>
    </w:p>
    <w:p>
      <w:pPr>
        <w:pStyle w:val="2"/>
      </w:pPr>
    </w:p>
    <w:p>
      <w:pPr>
        <w:pStyle w:val="3"/>
      </w:pPr>
      <w:bookmarkStart w:id="5" w:name="_Toc135293161"/>
      <w:r>
        <w:rPr>
          <w:rFonts w:hint="eastAsia"/>
        </w:rPr>
        <w:t>第三章  投标文件初审</w:t>
      </w:r>
      <w:bookmarkEnd w:id="5"/>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请评委重点审查供应商是否存在《深圳经济特区政府采购条例实施细则》第七十九条规定的串通投标情形：</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（七）主管部门依照法律、法规认定的其他情形。</w:t>
      </w:r>
    </w:p>
    <w:p>
      <w:pPr>
        <w:adjustRightInd w:val="0"/>
        <w:spacing w:line="360" w:lineRule="auto"/>
        <w:rPr>
          <w:snapToGrid w:val="0"/>
          <w:kern w:val="0"/>
        </w:rPr>
      </w:pPr>
    </w:p>
    <w:p>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6、投标报价有严重缺漏项的。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13、法律法规规定的其它情形。</w:t>
      </w:r>
    </w:p>
    <w:p/>
    <w:p/>
    <w:p/>
    <w:p/>
    <w:p/>
    <w:p/>
    <w:p/>
    <w:p/>
    <w:p/>
    <w:p/>
    <w:p/>
    <w:p/>
    <w:p/>
    <w:p/>
    <w:p/>
    <w:p/>
    <w:p/>
    <w:p/>
    <w:p/>
    <w:p/>
    <w:p/>
    <w:p/>
    <w:p/>
    <w:p/>
    <w:p/>
    <w:p/>
    <w:p/>
    <w:p/>
    <w:p/>
    <w:p/>
    <w:p/>
    <w:p/>
    <w:p/>
    <w:p/>
    <w:p/>
    <w:p/>
    <w:p/>
    <w:p/>
    <w:p/>
    <w:p>
      <w:pPr>
        <w:pStyle w:val="3"/>
        <w:spacing w:after="0"/>
      </w:pPr>
      <w:bookmarkStart w:id="6" w:name="_Toc135293162"/>
      <w:r>
        <w:rPr>
          <w:rFonts w:hint="eastAsia"/>
        </w:rPr>
        <w:t>第四章  评标方法和标准</w:t>
      </w:r>
      <w:bookmarkEnd w:id="6"/>
    </w:p>
    <w:p/>
    <w:p>
      <w:pPr>
        <w:pStyle w:val="2"/>
        <w:spacing w:before="0" w:after="0"/>
      </w:pPr>
      <w:bookmarkStart w:id="7" w:name="_Toc44690429"/>
      <w:bookmarkStart w:id="8" w:name="_Toc135293163"/>
      <w:bookmarkStart w:id="9" w:name="_Toc44690702"/>
      <w:bookmarkStart w:id="10" w:name="_Toc44691161"/>
      <w:bookmarkStart w:id="11" w:name="_Toc44691393"/>
      <w:r>
        <w:rPr>
          <w:rFonts w:hint="eastAsia"/>
        </w:rPr>
        <w:t>一、</w:t>
      </w:r>
      <w:r>
        <w:t>评标方法</w:t>
      </w:r>
      <w:bookmarkEnd w:id="7"/>
      <w:bookmarkEnd w:id="8"/>
      <w:bookmarkEnd w:id="9"/>
      <w:bookmarkEnd w:id="10"/>
      <w:bookmarkEnd w:id="11"/>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5、推荐候选中标供应商：</w:t>
      </w:r>
    </w:p>
    <w:p>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作为候选中标供应商。</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6、确定中标供应商：</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2"/>
        <w:spacing w:before="0" w:after="0"/>
      </w:pPr>
      <w:bookmarkStart w:id="12" w:name="_Toc135293164"/>
      <w:r>
        <w:rPr>
          <w:rFonts w:hint="eastAsia"/>
        </w:rPr>
        <w:t>二、评标标准</w:t>
      </w:r>
      <w:bookmarkEnd w:id="12"/>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宋体"/>
                <w:szCs w:val="21"/>
                <w:lang w:val="en-US" w:eastAsia="zh-CN"/>
              </w:rPr>
              <w:t>56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ascii="宋体" w:hAnsi="宋体"/>
                <w:kern w:val="0"/>
                <w:szCs w:val="21"/>
              </w:rPr>
            </w:pPr>
            <w:r>
              <w:rPr>
                <w:rFonts w:hint="eastAsia" w:ascii="宋体" w:hAnsi="宋体" w:cs="宋体"/>
                <w:szCs w:val="21"/>
              </w:rPr>
              <w:t>服务方案</w:t>
            </w:r>
          </w:p>
        </w:tc>
        <w:tc>
          <w:tcPr>
            <w:tcW w:w="709" w:type="dxa"/>
            <w:vAlign w:val="center"/>
          </w:tcPr>
          <w:p>
            <w:pPr>
              <w:widowControl/>
              <w:spacing w:line="360" w:lineRule="exact"/>
              <w:jc w:val="center"/>
              <w:rPr>
                <w:rFonts w:ascii="宋体" w:hAnsi="宋体"/>
                <w:kern w:val="0"/>
                <w:szCs w:val="21"/>
              </w:rPr>
            </w:pPr>
            <w:r>
              <w:rPr>
                <w:rFonts w:hint="eastAsia" w:ascii="宋体" w:hAnsi="宋体" w:cs="宋体"/>
                <w:kern w:val="0"/>
                <w:szCs w:val="21"/>
              </w:rPr>
              <w:t>13</w:t>
            </w:r>
          </w:p>
        </w:tc>
        <w:tc>
          <w:tcPr>
            <w:tcW w:w="5953" w:type="dxa"/>
            <w:vAlign w:val="center"/>
          </w:tcPr>
          <w:p>
            <w:pPr>
              <w:autoSpaceDE w:val="0"/>
              <w:autoSpaceDN w:val="0"/>
              <w:adjustRightInd w:val="0"/>
              <w:spacing w:line="360" w:lineRule="exact"/>
              <w:rPr>
                <w:rFonts w:ascii="宋体" w:hAnsi="宋体"/>
                <w:szCs w:val="21"/>
              </w:rPr>
            </w:pPr>
            <w:r>
              <w:rPr>
                <w:rFonts w:hint="eastAsia" w:ascii="宋体" w:hAnsi="宋体"/>
                <w:szCs w:val="21"/>
              </w:rPr>
              <w:t>一、评审内容：</w:t>
            </w:r>
          </w:p>
          <w:p>
            <w:pPr>
              <w:autoSpaceDE w:val="0"/>
              <w:autoSpaceDN w:val="0"/>
              <w:adjustRightInd w:val="0"/>
              <w:spacing w:line="360" w:lineRule="exact"/>
              <w:rPr>
                <w:rFonts w:ascii="宋体" w:hAnsi="宋体"/>
                <w:szCs w:val="21"/>
              </w:rPr>
            </w:pPr>
            <w:r>
              <w:rPr>
                <w:rFonts w:hint="eastAsia" w:ascii="宋体" w:hAnsi="宋体"/>
                <w:szCs w:val="21"/>
              </w:rPr>
              <w:t>（一）投标人应结合其工作经历及项目需求制定实施方案，具体内容包括但不限于：</w:t>
            </w:r>
          </w:p>
          <w:p>
            <w:pPr>
              <w:autoSpaceDE w:val="0"/>
              <w:autoSpaceDN w:val="0"/>
              <w:adjustRightInd w:val="0"/>
              <w:spacing w:line="360" w:lineRule="exact"/>
              <w:rPr>
                <w:rFonts w:ascii="宋体" w:hAnsi="宋体"/>
                <w:szCs w:val="21"/>
              </w:rPr>
            </w:pPr>
            <w:r>
              <w:rPr>
                <w:rFonts w:hint="eastAsia" w:ascii="宋体" w:hAnsi="宋体"/>
                <w:szCs w:val="21"/>
              </w:rPr>
              <w:t>1.实施总体思路；</w:t>
            </w:r>
          </w:p>
          <w:p>
            <w:pPr>
              <w:autoSpaceDE w:val="0"/>
              <w:autoSpaceDN w:val="0"/>
              <w:adjustRightInd w:val="0"/>
              <w:spacing w:line="360" w:lineRule="exact"/>
              <w:rPr>
                <w:rFonts w:ascii="宋体" w:hAnsi="宋体"/>
                <w:szCs w:val="21"/>
              </w:rPr>
            </w:pPr>
            <w:r>
              <w:rPr>
                <w:rFonts w:hint="eastAsia" w:ascii="宋体" w:hAnsi="宋体"/>
                <w:szCs w:val="21"/>
              </w:rPr>
              <w:t>2.实施流程；</w:t>
            </w:r>
          </w:p>
          <w:p>
            <w:pPr>
              <w:autoSpaceDE w:val="0"/>
              <w:autoSpaceDN w:val="0"/>
              <w:adjustRightInd w:val="0"/>
              <w:spacing w:line="360" w:lineRule="exact"/>
              <w:rPr>
                <w:rFonts w:ascii="宋体" w:hAnsi="宋体"/>
                <w:szCs w:val="21"/>
              </w:rPr>
            </w:pPr>
            <w:r>
              <w:rPr>
                <w:rFonts w:hint="eastAsia" w:ascii="宋体" w:hAnsi="宋体"/>
                <w:szCs w:val="21"/>
              </w:rPr>
              <w:t>3.实施方法及内容；</w:t>
            </w:r>
          </w:p>
          <w:p>
            <w:pPr>
              <w:autoSpaceDE w:val="0"/>
              <w:autoSpaceDN w:val="0"/>
              <w:adjustRightInd w:val="0"/>
              <w:spacing w:line="360" w:lineRule="exact"/>
              <w:rPr>
                <w:rFonts w:ascii="宋体" w:hAnsi="宋体"/>
                <w:szCs w:val="21"/>
              </w:rPr>
            </w:pPr>
            <w:r>
              <w:rPr>
                <w:rFonts w:hint="eastAsia" w:ascii="宋体" w:hAnsi="宋体"/>
                <w:szCs w:val="21"/>
              </w:rPr>
              <w:t>4.工作进度安排；</w:t>
            </w:r>
          </w:p>
          <w:p>
            <w:pPr>
              <w:autoSpaceDE w:val="0"/>
              <w:autoSpaceDN w:val="0"/>
              <w:adjustRightInd w:val="0"/>
              <w:spacing w:line="360" w:lineRule="exact"/>
              <w:rPr>
                <w:rFonts w:ascii="宋体" w:hAnsi="宋体"/>
                <w:szCs w:val="21"/>
              </w:rPr>
            </w:pPr>
            <w:r>
              <w:rPr>
                <w:rFonts w:hint="eastAsia" w:ascii="宋体" w:hAnsi="宋体"/>
                <w:szCs w:val="21"/>
              </w:rPr>
              <w:t>5.项目成果交付。</w:t>
            </w:r>
          </w:p>
          <w:p>
            <w:pPr>
              <w:autoSpaceDE w:val="0"/>
              <w:autoSpaceDN w:val="0"/>
              <w:adjustRightInd w:val="0"/>
              <w:spacing w:line="360" w:lineRule="exact"/>
              <w:rPr>
                <w:rFonts w:ascii="宋体" w:hAnsi="宋体"/>
                <w:szCs w:val="21"/>
              </w:rPr>
            </w:pPr>
            <w:r>
              <w:rPr>
                <w:rFonts w:hint="eastAsia" w:ascii="宋体" w:hAnsi="宋体"/>
                <w:szCs w:val="21"/>
              </w:rPr>
              <w:t>二、评审依据：</w:t>
            </w:r>
          </w:p>
          <w:p>
            <w:pPr>
              <w:autoSpaceDE w:val="0"/>
              <w:autoSpaceDN w:val="0"/>
              <w:adjustRightInd w:val="0"/>
              <w:spacing w:line="360" w:lineRule="exact"/>
              <w:rPr>
                <w:rFonts w:ascii="宋体" w:hAnsi="宋体"/>
                <w:szCs w:val="21"/>
              </w:rPr>
            </w:pPr>
            <w:r>
              <w:rPr>
                <w:rFonts w:hint="eastAsia" w:ascii="宋体" w:hAnsi="宋体"/>
                <w:szCs w:val="21"/>
              </w:rPr>
              <w:t>满足以上五项要求得</w:t>
            </w:r>
            <w:r>
              <w:rPr>
                <w:rFonts w:ascii="宋体" w:hAnsi="宋体"/>
                <w:szCs w:val="21"/>
              </w:rPr>
              <w:t>10</w:t>
            </w:r>
            <w:r>
              <w:rPr>
                <w:rFonts w:hint="eastAsia" w:ascii="宋体" w:hAnsi="宋体"/>
                <w:szCs w:val="21"/>
              </w:rPr>
              <w:t>分，满足以上任意四项要求得</w:t>
            </w:r>
            <w:r>
              <w:rPr>
                <w:rFonts w:ascii="宋体" w:hAnsi="宋体"/>
                <w:szCs w:val="21"/>
              </w:rPr>
              <w:t>8</w:t>
            </w:r>
            <w:r>
              <w:rPr>
                <w:rFonts w:hint="eastAsia" w:ascii="宋体" w:hAnsi="宋体"/>
                <w:szCs w:val="21"/>
              </w:rPr>
              <w:t>分，满足以上任意三项要求得</w:t>
            </w:r>
            <w:r>
              <w:rPr>
                <w:rFonts w:ascii="宋体" w:hAnsi="宋体"/>
                <w:szCs w:val="21"/>
              </w:rPr>
              <w:t>6</w:t>
            </w:r>
            <w:r>
              <w:rPr>
                <w:rFonts w:hint="eastAsia" w:ascii="宋体" w:hAnsi="宋体"/>
                <w:szCs w:val="21"/>
              </w:rPr>
              <w:t>分，满足以上任意两项要求得</w:t>
            </w:r>
            <w:r>
              <w:rPr>
                <w:rFonts w:ascii="宋体" w:hAnsi="宋体"/>
                <w:szCs w:val="21"/>
              </w:rPr>
              <w:t>4</w:t>
            </w:r>
            <w:r>
              <w:rPr>
                <w:rFonts w:hint="eastAsia" w:ascii="宋体" w:hAnsi="宋体"/>
                <w:szCs w:val="21"/>
              </w:rPr>
              <w:t>分，其他情况不得分。</w:t>
            </w:r>
          </w:p>
          <w:p>
            <w:pPr>
              <w:autoSpaceDE w:val="0"/>
              <w:autoSpaceDN w:val="0"/>
              <w:adjustRightInd w:val="0"/>
              <w:spacing w:line="360" w:lineRule="exact"/>
              <w:rPr>
                <w:rFonts w:ascii="宋体" w:hAnsi="宋体"/>
                <w:szCs w:val="21"/>
              </w:rPr>
            </w:pPr>
            <w:r>
              <w:rPr>
                <w:rFonts w:hint="eastAsia" w:ascii="宋体" w:hAnsi="宋体"/>
                <w:szCs w:val="21"/>
              </w:rPr>
              <w:t>在此基础上，评审委员会根据各投标供应商的具体响应内容进一步评审：</w:t>
            </w:r>
          </w:p>
          <w:p>
            <w:pPr>
              <w:autoSpaceDE w:val="0"/>
              <w:autoSpaceDN w:val="0"/>
              <w:adjustRightInd w:val="0"/>
              <w:spacing w:line="360" w:lineRule="exact"/>
              <w:rPr>
                <w:rFonts w:ascii="宋体" w:hAnsi="宋体"/>
                <w:szCs w:val="21"/>
              </w:rPr>
            </w:pPr>
            <w:r>
              <w:rPr>
                <w:rFonts w:hint="eastAsia" w:ascii="宋体" w:hAnsi="宋体"/>
                <w:szCs w:val="21"/>
              </w:rPr>
              <w:t>1.实施方案内容具体、针对性强、科学合理、可操作性强的加</w:t>
            </w:r>
            <w:r>
              <w:rPr>
                <w:rFonts w:ascii="宋体" w:hAnsi="宋体"/>
                <w:szCs w:val="21"/>
              </w:rPr>
              <w:t>3</w:t>
            </w:r>
            <w:r>
              <w:rPr>
                <w:rFonts w:hint="eastAsia" w:ascii="宋体" w:hAnsi="宋体"/>
                <w:szCs w:val="21"/>
              </w:rPr>
              <w:t>分;</w:t>
            </w:r>
          </w:p>
          <w:p>
            <w:pPr>
              <w:autoSpaceDE w:val="0"/>
              <w:autoSpaceDN w:val="0"/>
              <w:adjustRightInd w:val="0"/>
              <w:spacing w:line="360" w:lineRule="exact"/>
              <w:rPr>
                <w:rFonts w:ascii="宋体" w:hAnsi="宋体"/>
                <w:szCs w:val="21"/>
              </w:rPr>
            </w:pPr>
            <w:r>
              <w:rPr>
                <w:rFonts w:hint="eastAsia" w:ascii="宋体" w:hAnsi="宋体"/>
                <w:szCs w:val="21"/>
              </w:rPr>
              <w:t>2.实施方案内容较具体、针对性较强、较科学合理、可操作性较强加</w:t>
            </w:r>
            <w:r>
              <w:rPr>
                <w:rFonts w:ascii="宋体" w:hAnsi="宋体"/>
                <w:szCs w:val="21"/>
              </w:rPr>
              <w:t>2</w:t>
            </w:r>
            <w:r>
              <w:rPr>
                <w:rFonts w:hint="eastAsia" w:ascii="宋体" w:hAnsi="宋体"/>
                <w:szCs w:val="21"/>
              </w:rPr>
              <w:t>分;</w:t>
            </w:r>
          </w:p>
          <w:p>
            <w:pPr>
              <w:pStyle w:val="94"/>
              <w:spacing w:line="360" w:lineRule="exact"/>
              <w:ind w:firstLine="0" w:firstLineChars="0"/>
              <w:rPr>
                <w:rFonts w:ascii="宋体" w:hAnsi="宋体"/>
                <w:kern w:val="0"/>
                <w:szCs w:val="21"/>
              </w:rPr>
            </w:pPr>
            <w:r>
              <w:rPr>
                <w:rFonts w:hint="eastAsia" w:ascii="宋体" w:hAnsi="宋体"/>
                <w:szCs w:val="21"/>
              </w:rPr>
              <w:t>3.实施方案内容具体性一般、针对性一般、科学合理性一般、可操作性一般的加</w:t>
            </w:r>
            <w:r>
              <w:rPr>
                <w:rFonts w:ascii="宋体" w:hAnsi="宋体"/>
                <w:szCs w:val="21"/>
              </w:rPr>
              <w:t>1</w:t>
            </w:r>
            <w:r>
              <w:rPr>
                <w:rFonts w:hint="eastAsia" w:ascii="宋体" w:hAnsi="宋体"/>
                <w:szCs w:val="21"/>
              </w:rPr>
              <w:t>分，其他情况不加分。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7"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widowControl/>
              <w:spacing w:line="360" w:lineRule="exact"/>
              <w:jc w:val="center"/>
              <w:rPr>
                <w:rFonts w:ascii="宋体" w:hAnsi="宋体"/>
                <w:kern w:val="0"/>
                <w:szCs w:val="21"/>
              </w:rPr>
            </w:pPr>
            <w:r>
              <w:rPr>
                <w:rFonts w:hint="eastAsia" w:ascii="宋体" w:hAnsi="宋体" w:cs="宋体"/>
                <w:szCs w:val="21"/>
              </w:rPr>
              <w:t>项目重点难点分析、应对措施及相关的合理化建议</w:t>
            </w:r>
          </w:p>
        </w:tc>
        <w:tc>
          <w:tcPr>
            <w:tcW w:w="709" w:type="dxa"/>
            <w:vAlign w:val="center"/>
          </w:tcPr>
          <w:p>
            <w:pPr>
              <w:widowControl/>
              <w:spacing w:line="360" w:lineRule="exact"/>
              <w:jc w:val="center"/>
              <w:rPr>
                <w:rFonts w:hint="eastAsia" w:ascii="宋体" w:hAnsi="宋体" w:eastAsia="宋体"/>
                <w:kern w:val="0"/>
                <w:szCs w:val="21"/>
                <w:lang w:eastAsia="zh-CN"/>
              </w:rPr>
            </w:pPr>
            <w:r>
              <w:rPr>
                <w:rFonts w:hint="eastAsia" w:ascii="宋体" w:hAnsi="宋体"/>
                <w:szCs w:val="21"/>
              </w:rPr>
              <w:t>1</w:t>
            </w:r>
            <w:r>
              <w:rPr>
                <w:rFonts w:hint="eastAsia" w:ascii="宋体" w:hAnsi="宋体" w:cs="宋体"/>
                <w:szCs w:val="21"/>
                <w:lang w:val="en-US" w:eastAsia="zh-CN"/>
              </w:rPr>
              <w:t>3</w:t>
            </w:r>
          </w:p>
        </w:tc>
        <w:tc>
          <w:tcPr>
            <w:tcW w:w="5953" w:type="dxa"/>
            <w:vAlign w:val="center"/>
          </w:tcPr>
          <w:p>
            <w:pPr>
              <w:autoSpaceDE w:val="0"/>
              <w:autoSpaceDN w:val="0"/>
              <w:adjustRightInd w:val="0"/>
              <w:spacing w:line="360" w:lineRule="exact"/>
              <w:rPr>
                <w:rFonts w:ascii="宋体" w:hAnsi="宋体" w:cs="宋体"/>
                <w:szCs w:val="21"/>
              </w:rPr>
            </w:pPr>
            <w:r>
              <w:rPr>
                <w:rFonts w:hint="eastAsia" w:ascii="宋体" w:hAnsi="宋体" w:cs="宋体"/>
                <w:szCs w:val="21"/>
              </w:rPr>
              <w:t>评审内容：针对本项目在推进过程中的重点难点进行总结分析，并提出有效的应对措施及相关合理化建议。</w:t>
            </w:r>
          </w:p>
          <w:p>
            <w:pPr>
              <w:autoSpaceDE w:val="0"/>
              <w:autoSpaceDN w:val="0"/>
              <w:adjustRightInd w:val="0"/>
              <w:spacing w:line="360" w:lineRule="exact"/>
              <w:rPr>
                <w:rFonts w:ascii="宋体" w:hAnsi="宋体" w:cs="宋体"/>
                <w:szCs w:val="21"/>
              </w:rPr>
            </w:pPr>
            <w:r>
              <w:rPr>
                <w:rFonts w:hint="eastAsia" w:ascii="宋体" w:hAnsi="宋体" w:cs="宋体"/>
                <w:szCs w:val="21"/>
              </w:rPr>
              <w:t>评分标准：</w:t>
            </w:r>
          </w:p>
          <w:p>
            <w:pPr>
              <w:autoSpaceDE w:val="0"/>
              <w:autoSpaceDN w:val="0"/>
              <w:adjustRightInd w:val="0"/>
              <w:spacing w:line="360" w:lineRule="exact"/>
              <w:rPr>
                <w:rFonts w:ascii="宋体" w:hAnsi="宋体" w:cs="宋体"/>
                <w:szCs w:val="21"/>
              </w:rPr>
            </w:pPr>
            <w:r>
              <w:rPr>
                <w:rFonts w:hint="eastAsia" w:ascii="宋体" w:hAnsi="宋体" w:cs="宋体"/>
                <w:szCs w:val="21"/>
              </w:rPr>
              <w:t>投标人的重点难点分析需包括以下内容，每项内容文字经评审委员会审查认为响应内容不符合项目要求的不得分：</w:t>
            </w:r>
          </w:p>
          <w:p>
            <w:pPr>
              <w:autoSpaceDE w:val="0"/>
              <w:autoSpaceDN w:val="0"/>
              <w:adjustRightInd w:val="0"/>
              <w:spacing w:line="360" w:lineRule="exact"/>
              <w:rPr>
                <w:rFonts w:ascii="宋体" w:hAnsi="宋体" w:cs="宋体"/>
                <w:szCs w:val="21"/>
              </w:rPr>
            </w:pPr>
            <w:r>
              <w:rPr>
                <w:rFonts w:hint="eastAsia" w:ascii="宋体" w:hAnsi="宋体" w:cs="宋体"/>
                <w:szCs w:val="21"/>
              </w:rPr>
              <w:t>（1）项目重点难点分析（至少包含3点）；</w:t>
            </w:r>
          </w:p>
          <w:p>
            <w:pPr>
              <w:autoSpaceDE w:val="0"/>
              <w:autoSpaceDN w:val="0"/>
              <w:adjustRightInd w:val="0"/>
              <w:spacing w:line="360" w:lineRule="exact"/>
              <w:rPr>
                <w:rFonts w:ascii="宋体" w:hAnsi="宋体" w:cs="宋体"/>
                <w:szCs w:val="21"/>
              </w:rPr>
            </w:pPr>
            <w:r>
              <w:rPr>
                <w:rFonts w:hint="eastAsia" w:ascii="宋体" w:hAnsi="宋体" w:cs="宋体"/>
                <w:szCs w:val="21"/>
              </w:rPr>
              <w:t>（2）应对措施（至少包含3点）；</w:t>
            </w:r>
          </w:p>
          <w:p>
            <w:pPr>
              <w:autoSpaceDE w:val="0"/>
              <w:autoSpaceDN w:val="0"/>
              <w:adjustRightInd w:val="0"/>
              <w:spacing w:line="360" w:lineRule="exact"/>
              <w:rPr>
                <w:rFonts w:ascii="宋体" w:hAnsi="宋体" w:cs="宋体"/>
                <w:szCs w:val="21"/>
              </w:rPr>
            </w:pPr>
            <w:r>
              <w:rPr>
                <w:rFonts w:hint="eastAsia" w:ascii="宋体" w:hAnsi="宋体" w:cs="宋体"/>
                <w:szCs w:val="21"/>
              </w:rPr>
              <w:t>（3）合理化建议。</w:t>
            </w:r>
          </w:p>
          <w:p>
            <w:pPr>
              <w:autoSpaceDE w:val="0"/>
              <w:autoSpaceDN w:val="0"/>
              <w:adjustRightInd w:val="0"/>
              <w:spacing w:line="360" w:lineRule="exact"/>
              <w:rPr>
                <w:rFonts w:hint="eastAsia" w:ascii="宋体" w:hAnsi="宋体" w:cs="宋体"/>
                <w:szCs w:val="21"/>
              </w:rPr>
            </w:pPr>
            <w:r>
              <w:rPr>
                <w:rFonts w:hint="eastAsia" w:ascii="宋体" w:hAnsi="宋体" w:cs="宋体"/>
                <w:szCs w:val="21"/>
              </w:rPr>
              <w:t>包括以上三项内容的得1</w:t>
            </w:r>
            <w:r>
              <w:rPr>
                <w:rFonts w:hint="eastAsia" w:ascii="宋体" w:hAnsi="宋体" w:cs="宋体"/>
                <w:szCs w:val="21"/>
                <w:lang w:val="en-US" w:eastAsia="zh-CN"/>
              </w:rPr>
              <w:t>0</w:t>
            </w:r>
            <w:r>
              <w:rPr>
                <w:rFonts w:hint="eastAsia" w:ascii="宋体" w:hAnsi="宋体" w:cs="宋体"/>
                <w:szCs w:val="21"/>
              </w:rPr>
              <w:t>分，包括以上二项内容的得</w:t>
            </w:r>
            <w:r>
              <w:rPr>
                <w:rFonts w:hint="eastAsia" w:ascii="宋体" w:hAnsi="宋体" w:cs="宋体"/>
                <w:szCs w:val="21"/>
                <w:lang w:val="en-US" w:eastAsia="zh-CN"/>
              </w:rPr>
              <w:t>6</w:t>
            </w:r>
            <w:r>
              <w:rPr>
                <w:rFonts w:hint="eastAsia" w:ascii="宋体" w:hAnsi="宋体" w:cs="宋体"/>
                <w:szCs w:val="21"/>
              </w:rPr>
              <w:t>分，包括以上一项内容的得</w:t>
            </w:r>
            <w:r>
              <w:rPr>
                <w:rFonts w:hint="eastAsia" w:ascii="宋体" w:hAnsi="宋体" w:cs="宋体"/>
                <w:szCs w:val="21"/>
                <w:lang w:val="en-US" w:eastAsia="zh-CN"/>
              </w:rPr>
              <w:t>3</w:t>
            </w:r>
            <w:r>
              <w:rPr>
                <w:rFonts w:hint="eastAsia" w:ascii="宋体" w:hAnsi="宋体" w:cs="宋体"/>
                <w:szCs w:val="21"/>
              </w:rPr>
              <w:t>分，其他情况不得分。</w:t>
            </w:r>
          </w:p>
          <w:p>
            <w:pPr>
              <w:autoSpaceDE w:val="0"/>
              <w:autoSpaceDN w:val="0"/>
              <w:adjustRightInd w:val="0"/>
              <w:spacing w:line="360" w:lineRule="exact"/>
              <w:rPr>
                <w:rFonts w:hint="eastAsia" w:ascii="宋体" w:hAnsi="宋体" w:cs="宋体"/>
                <w:szCs w:val="21"/>
              </w:rPr>
            </w:pPr>
            <w:r>
              <w:rPr>
                <w:rFonts w:hint="eastAsia" w:ascii="宋体" w:hAnsi="宋体" w:cs="宋体"/>
                <w:szCs w:val="21"/>
              </w:rPr>
              <w:t>在此基础上，评审委员会根据各投标供应商的具体响应内容进一步评审：</w:t>
            </w:r>
          </w:p>
          <w:p>
            <w:pPr>
              <w:autoSpaceDE w:val="0"/>
              <w:autoSpaceDN w:val="0"/>
              <w:adjustRightInd w:val="0"/>
              <w:spacing w:line="360" w:lineRule="exact"/>
              <w:rPr>
                <w:rFonts w:hint="eastAsia" w:ascii="宋体" w:hAnsi="宋体" w:eastAsia="宋体" w:cs="宋体"/>
                <w:szCs w:val="21"/>
                <w:lang w:eastAsia="zh-CN"/>
              </w:rPr>
            </w:pPr>
            <w:r>
              <w:rPr>
                <w:rFonts w:hint="eastAsia" w:ascii="宋体" w:hAnsi="宋体" w:cs="宋体"/>
                <w:szCs w:val="21"/>
              </w:rPr>
              <w:t>1.方案内容具体、针对性强、科学合理、可操作性强的加3分</w:t>
            </w:r>
            <w:r>
              <w:rPr>
                <w:rFonts w:hint="eastAsia" w:ascii="宋体" w:hAnsi="宋体" w:cs="宋体"/>
                <w:szCs w:val="21"/>
                <w:lang w:eastAsia="zh-CN"/>
              </w:rPr>
              <w:t>；</w:t>
            </w:r>
          </w:p>
          <w:p>
            <w:pPr>
              <w:autoSpaceDE w:val="0"/>
              <w:autoSpaceDN w:val="0"/>
              <w:adjustRightInd w:val="0"/>
              <w:spacing w:line="360" w:lineRule="exact"/>
              <w:rPr>
                <w:rFonts w:hint="eastAsia" w:ascii="宋体" w:hAnsi="宋体" w:eastAsia="宋体" w:cs="宋体"/>
                <w:szCs w:val="21"/>
                <w:lang w:eastAsia="zh-CN"/>
              </w:rPr>
            </w:pPr>
            <w:r>
              <w:rPr>
                <w:rFonts w:hint="eastAsia" w:ascii="宋体" w:hAnsi="宋体" w:cs="宋体"/>
                <w:szCs w:val="21"/>
              </w:rPr>
              <w:t>2.方案内容较具体、针对性较强、较科学合理、可操作性较强加2分</w:t>
            </w:r>
            <w:r>
              <w:rPr>
                <w:rFonts w:hint="eastAsia" w:ascii="宋体" w:hAnsi="宋体" w:cs="宋体"/>
                <w:szCs w:val="21"/>
                <w:lang w:eastAsia="zh-CN"/>
              </w:rPr>
              <w:t>；</w:t>
            </w:r>
          </w:p>
          <w:p>
            <w:pPr>
              <w:autoSpaceDE w:val="0"/>
              <w:autoSpaceDN w:val="0"/>
              <w:adjustRightInd w:val="0"/>
              <w:spacing w:line="360" w:lineRule="exact"/>
            </w:pPr>
            <w:r>
              <w:rPr>
                <w:rFonts w:hint="eastAsia" w:ascii="宋体" w:hAnsi="宋体" w:cs="宋体"/>
                <w:szCs w:val="21"/>
              </w:rPr>
              <w:t>3.方案内容具体性一般、针对性一般、科学合理性一般、可操作性一般的加1分，其他情况不加分。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04"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3</w:t>
            </w:r>
          </w:p>
        </w:tc>
        <w:tc>
          <w:tcPr>
            <w:tcW w:w="1143" w:type="dxa"/>
            <w:vAlign w:val="center"/>
          </w:tcPr>
          <w:p>
            <w:pPr>
              <w:widowControl/>
              <w:spacing w:line="360" w:lineRule="exact"/>
              <w:jc w:val="center"/>
              <w:rPr>
                <w:rFonts w:ascii="宋体" w:hAnsi="宋体"/>
                <w:kern w:val="0"/>
                <w:szCs w:val="21"/>
              </w:rPr>
            </w:pPr>
            <w:r>
              <w:rPr>
                <w:rFonts w:hint="eastAsia" w:ascii="宋体" w:hAnsi="宋体" w:cs="宋体"/>
                <w:szCs w:val="21"/>
              </w:rPr>
              <w:t>质量（完成时间、安全、环保）保障措施及方案</w:t>
            </w:r>
          </w:p>
        </w:tc>
        <w:tc>
          <w:tcPr>
            <w:tcW w:w="709" w:type="dxa"/>
            <w:vAlign w:val="center"/>
          </w:tcPr>
          <w:p>
            <w:pPr>
              <w:widowControl/>
              <w:spacing w:line="360" w:lineRule="exact"/>
              <w:jc w:val="center"/>
              <w:rPr>
                <w:rFonts w:ascii="宋体" w:hAnsi="宋体"/>
                <w:kern w:val="0"/>
                <w:szCs w:val="21"/>
              </w:rPr>
            </w:pPr>
            <w:r>
              <w:rPr>
                <w:rFonts w:hint="eastAsia" w:ascii="宋体" w:hAnsi="宋体"/>
                <w:kern w:val="0"/>
                <w:szCs w:val="21"/>
              </w:rPr>
              <w:t>10</w:t>
            </w:r>
          </w:p>
        </w:tc>
        <w:tc>
          <w:tcPr>
            <w:tcW w:w="5953" w:type="dxa"/>
            <w:vAlign w:val="center"/>
          </w:tcPr>
          <w:p>
            <w:pPr>
              <w:widowControl/>
              <w:snapToGrid w:val="0"/>
              <w:spacing w:line="360" w:lineRule="exact"/>
              <w:jc w:val="left"/>
              <w:rPr>
                <w:rFonts w:ascii="宋体" w:hAnsi="宋体"/>
                <w:kern w:val="0"/>
                <w:szCs w:val="21"/>
              </w:rPr>
            </w:pPr>
            <w:r>
              <w:rPr>
                <w:rFonts w:hint="eastAsia" w:ascii="宋体" w:hAnsi="宋体"/>
                <w:kern w:val="0"/>
                <w:szCs w:val="21"/>
              </w:rPr>
              <w:t>评审内容：重点考察项目质量保障措施及方案。</w:t>
            </w:r>
          </w:p>
          <w:p>
            <w:pPr>
              <w:widowControl/>
              <w:snapToGrid w:val="0"/>
              <w:spacing w:line="360" w:lineRule="exact"/>
              <w:jc w:val="left"/>
              <w:rPr>
                <w:rFonts w:ascii="宋体" w:hAnsi="宋体"/>
                <w:kern w:val="0"/>
                <w:szCs w:val="21"/>
              </w:rPr>
            </w:pPr>
            <w:r>
              <w:rPr>
                <w:rFonts w:hint="eastAsia" w:ascii="宋体" w:hAnsi="宋体"/>
                <w:kern w:val="0"/>
                <w:szCs w:val="21"/>
              </w:rPr>
              <w:t>评分标准：</w:t>
            </w:r>
          </w:p>
          <w:p>
            <w:pPr>
              <w:widowControl/>
              <w:snapToGrid w:val="0"/>
              <w:spacing w:line="360" w:lineRule="exact"/>
              <w:jc w:val="left"/>
              <w:rPr>
                <w:rFonts w:ascii="宋体" w:hAnsi="宋体"/>
                <w:kern w:val="0"/>
                <w:szCs w:val="21"/>
              </w:rPr>
            </w:pPr>
            <w:r>
              <w:rPr>
                <w:rFonts w:hint="eastAsia" w:ascii="宋体" w:hAnsi="宋体"/>
                <w:kern w:val="0"/>
                <w:szCs w:val="21"/>
              </w:rPr>
              <w:t>投标人的方案需要包括以下内容，每项内容文字经评审委员会审查认为响应内容不符合项目要求的不得分：</w:t>
            </w:r>
          </w:p>
          <w:p>
            <w:pPr>
              <w:widowControl/>
              <w:snapToGrid w:val="0"/>
              <w:spacing w:line="360" w:lineRule="exact"/>
              <w:jc w:val="left"/>
              <w:rPr>
                <w:rFonts w:ascii="宋体" w:hAnsi="宋体"/>
                <w:kern w:val="0"/>
                <w:szCs w:val="21"/>
              </w:rPr>
            </w:pPr>
            <w:r>
              <w:rPr>
                <w:rFonts w:hint="eastAsia" w:ascii="宋体" w:hAnsi="宋体"/>
                <w:kern w:val="0"/>
                <w:szCs w:val="21"/>
              </w:rPr>
              <w:t>（1）组织管理（需要包含人员管理制度说明、项目管理机制说明）；</w:t>
            </w:r>
          </w:p>
          <w:p>
            <w:pPr>
              <w:widowControl/>
              <w:snapToGrid w:val="0"/>
              <w:spacing w:line="360" w:lineRule="exact"/>
              <w:jc w:val="left"/>
              <w:rPr>
                <w:rFonts w:ascii="宋体" w:hAnsi="宋体"/>
                <w:kern w:val="0"/>
                <w:szCs w:val="21"/>
              </w:rPr>
            </w:pPr>
            <w:r>
              <w:rPr>
                <w:rFonts w:hint="eastAsia" w:ascii="宋体" w:hAnsi="宋体"/>
                <w:kern w:val="0"/>
                <w:szCs w:val="21"/>
              </w:rPr>
              <w:t>（2）安全措施制度详细说明；</w:t>
            </w:r>
          </w:p>
          <w:p>
            <w:pPr>
              <w:widowControl/>
              <w:snapToGrid w:val="0"/>
              <w:spacing w:line="360" w:lineRule="exact"/>
              <w:jc w:val="left"/>
              <w:rPr>
                <w:rFonts w:ascii="宋体" w:hAnsi="宋体"/>
                <w:kern w:val="0"/>
                <w:szCs w:val="21"/>
              </w:rPr>
            </w:pPr>
            <w:r>
              <w:rPr>
                <w:rFonts w:hint="eastAsia" w:ascii="宋体" w:hAnsi="宋体"/>
                <w:kern w:val="0"/>
                <w:szCs w:val="21"/>
              </w:rPr>
              <w:t>（3）进度控制（需要分别对人员、时间、内容三方面内容进行描述）；</w:t>
            </w:r>
          </w:p>
          <w:p>
            <w:pPr>
              <w:widowControl/>
              <w:snapToGrid w:val="0"/>
              <w:spacing w:line="360" w:lineRule="exact"/>
              <w:jc w:val="left"/>
              <w:rPr>
                <w:rFonts w:ascii="宋体" w:hAnsi="宋体"/>
                <w:kern w:val="0"/>
                <w:szCs w:val="21"/>
              </w:rPr>
            </w:pPr>
            <w:r>
              <w:rPr>
                <w:rFonts w:hint="eastAsia" w:ascii="宋体" w:hAnsi="宋体"/>
                <w:kern w:val="0"/>
                <w:szCs w:val="21"/>
              </w:rPr>
              <w:t>（4）环保措施制度详细说明。</w:t>
            </w:r>
          </w:p>
          <w:p>
            <w:pPr>
              <w:widowControl/>
              <w:snapToGrid w:val="0"/>
              <w:spacing w:line="360" w:lineRule="exact"/>
              <w:jc w:val="left"/>
              <w:rPr>
                <w:rFonts w:ascii="宋体" w:hAnsi="宋体"/>
                <w:kern w:val="0"/>
                <w:szCs w:val="21"/>
              </w:rPr>
            </w:pPr>
            <w:r>
              <w:rPr>
                <w:rFonts w:hint="eastAsia" w:ascii="宋体" w:hAnsi="宋体"/>
                <w:kern w:val="0"/>
                <w:szCs w:val="21"/>
              </w:rPr>
              <w:t>包括以上四项内容的得10分，包括以上三项内容的得7分，包括以上两项内容的得4分，其他情况不得分。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13"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ascii="宋体" w:hAnsi="宋体"/>
                <w:kern w:val="0"/>
                <w:szCs w:val="21"/>
              </w:rPr>
              <w:t>4</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项目完成（服务期满）后的服务承诺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2</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w:t>
            </w:r>
          </w:p>
          <w:p>
            <w:pPr>
              <w:autoSpaceDE w:val="0"/>
              <w:autoSpaceDN w:val="0"/>
              <w:adjustRightInd w:val="0"/>
              <w:spacing w:line="360" w:lineRule="exact"/>
              <w:rPr>
                <w:rFonts w:ascii="宋体" w:hAnsi="宋体"/>
                <w:szCs w:val="21"/>
              </w:rPr>
            </w:pPr>
            <w:r>
              <w:rPr>
                <w:rFonts w:hint="eastAsia" w:ascii="宋体" w:hAnsi="宋体" w:cs="宋体"/>
                <w:szCs w:val="21"/>
              </w:rPr>
              <w:t>投标人提供服务期满后的服务承诺，</w:t>
            </w:r>
            <w:r>
              <w:rPr>
                <w:rFonts w:ascii="宋体" w:hAnsi="宋体" w:cs="宋体"/>
                <w:szCs w:val="21"/>
              </w:rPr>
              <w:t>承诺以下</w:t>
            </w:r>
            <w:r>
              <w:rPr>
                <w:rFonts w:hint="eastAsia" w:ascii="宋体" w:hAnsi="宋体" w:cs="宋体"/>
                <w:szCs w:val="21"/>
              </w:rPr>
              <w:t>全部内容</w:t>
            </w:r>
            <w:r>
              <w:rPr>
                <w:rFonts w:ascii="宋体" w:hAnsi="宋体"/>
                <w:szCs w:val="21"/>
              </w:rPr>
              <w:t>的得</w:t>
            </w:r>
            <w:r>
              <w:rPr>
                <w:rFonts w:hint="eastAsia" w:ascii="宋体" w:hAnsi="宋体"/>
                <w:szCs w:val="21"/>
              </w:rPr>
              <w:t>2</w:t>
            </w:r>
            <w:r>
              <w:rPr>
                <w:rFonts w:ascii="宋体" w:hAnsi="宋体"/>
                <w:szCs w:val="21"/>
              </w:rPr>
              <w:t>分，否则不得分。</w:t>
            </w:r>
          </w:p>
          <w:p>
            <w:pPr>
              <w:autoSpaceDE w:val="0"/>
              <w:autoSpaceDN w:val="0"/>
              <w:adjustRightInd w:val="0"/>
              <w:spacing w:line="360" w:lineRule="exact"/>
              <w:rPr>
                <w:rFonts w:ascii="宋体" w:hAnsi="宋体" w:cs="宋体"/>
                <w:szCs w:val="21"/>
              </w:rPr>
            </w:pPr>
            <w:r>
              <w:rPr>
                <w:rFonts w:hint="eastAsia" w:ascii="宋体" w:hAnsi="宋体" w:cs="宋体"/>
                <w:szCs w:val="21"/>
              </w:rPr>
              <w:t xml:space="preserve">（1）服务期满后主动离岗； </w:t>
            </w:r>
          </w:p>
          <w:p>
            <w:pPr>
              <w:autoSpaceDE w:val="0"/>
              <w:autoSpaceDN w:val="0"/>
              <w:adjustRightInd w:val="0"/>
              <w:spacing w:line="360" w:lineRule="exact"/>
              <w:rPr>
                <w:rFonts w:ascii="宋体" w:hAnsi="宋体" w:cs="宋体"/>
                <w:szCs w:val="21"/>
              </w:rPr>
            </w:pPr>
            <w:r>
              <w:rPr>
                <w:rFonts w:hint="eastAsia" w:ascii="宋体" w:hAnsi="宋体" w:cs="宋体"/>
                <w:szCs w:val="21"/>
              </w:rPr>
              <w:t xml:space="preserve">（2）与后续服务公司进行交接； </w:t>
            </w:r>
          </w:p>
          <w:p>
            <w:pPr>
              <w:autoSpaceDE w:val="0"/>
              <w:autoSpaceDN w:val="0"/>
              <w:adjustRightInd w:val="0"/>
              <w:spacing w:line="360" w:lineRule="exact"/>
              <w:rPr>
                <w:rFonts w:ascii="宋体" w:hAnsi="宋体" w:cs="宋体"/>
                <w:szCs w:val="21"/>
              </w:rPr>
            </w:pPr>
            <w:r>
              <w:rPr>
                <w:rFonts w:hint="eastAsia" w:ascii="宋体" w:hAnsi="宋体" w:cs="宋体"/>
                <w:szCs w:val="21"/>
              </w:rPr>
              <w:t>（3）服务期满，后续服务公司未到位前仍按原合同服务承诺提供服务。</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autoSpaceDE w:val="0"/>
              <w:autoSpaceDN w:val="0"/>
              <w:adjustRightInd w:val="0"/>
              <w:spacing w:line="360" w:lineRule="exact"/>
              <w:rPr>
                <w:rFonts w:ascii="宋体" w:hAnsi="宋体" w:cs="宋体"/>
                <w:szCs w:val="21"/>
              </w:rPr>
            </w:pPr>
            <w:r>
              <w:rPr>
                <w:rFonts w:hint="eastAsia" w:ascii="宋体" w:hAnsi="宋体" w:cs="宋体"/>
                <w:szCs w:val="21"/>
              </w:rPr>
              <w:t>提供《</w:t>
            </w:r>
            <w:r>
              <w:rPr>
                <w:rFonts w:hint="eastAsia" w:ascii="宋体" w:hAnsi="宋体"/>
                <w:szCs w:val="21"/>
              </w:rPr>
              <w:t>项目完成（服务期满）后的服务承诺函》</w:t>
            </w:r>
            <w:r>
              <w:rPr>
                <w:rFonts w:hint="eastAsia" w:ascii="宋体" w:hAnsi="宋体" w:cs="宋体"/>
                <w:szCs w:val="21"/>
              </w:rPr>
              <w:t>（格式自定）作为得分依据，未提供承诺或承诺内容不满足要求不得分。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5</w:t>
            </w:r>
          </w:p>
        </w:tc>
        <w:tc>
          <w:tcPr>
            <w:tcW w:w="1143" w:type="dxa"/>
            <w:vAlign w:val="center"/>
          </w:tcPr>
          <w:p>
            <w:pPr>
              <w:widowControl/>
              <w:spacing w:line="360" w:lineRule="exact"/>
              <w:jc w:val="center"/>
              <w:rPr>
                <w:rFonts w:ascii="宋体" w:hAnsi="宋体" w:cs="宋体"/>
                <w:szCs w:val="21"/>
              </w:rPr>
            </w:pPr>
            <w:r>
              <w:rPr>
                <w:rFonts w:hint="eastAsia" w:ascii="宋体" w:hAnsi="宋体"/>
                <w:szCs w:val="21"/>
              </w:rPr>
              <w:t>违约承诺</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2</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w:t>
            </w:r>
          </w:p>
          <w:p>
            <w:pPr>
              <w:autoSpaceDE w:val="0"/>
              <w:autoSpaceDN w:val="0"/>
              <w:adjustRightInd w:val="0"/>
              <w:spacing w:line="360" w:lineRule="exact"/>
              <w:rPr>
                <w:rFonts w:ascii="宋体" w:hAnsi="宋体"/>
                <w:szCs w:val="21"/>
              </w:rPr>
            </w:pPr>
            <w:r>
              <w:rPr>
                <w:rFonts w:hint="eastAsia" w:ascii="宋体" w:hAnsi="宋体"/>
                <w:szCs w:val="21"/>
              </w:rPr>
              <w:t>投标人提供项目违约承诺</w:t>
            </w:r>
            <w:r>
              <w:rPr>
                <w:rFonts w:ascii="宋体" w:hAnsi="宋体" w:cs="宋体"/>
                <w:szCs w:val="21"/>
              </w:rPr>
              <w:t>，</w:t>
            </w:r>
            <w:r>
              <w:rPr>
                <w:rFonts w:hint="eastAsia" w:ascii="宋体" w:hAnsi="宋体" w:cs="宋体"/>
                <w:szCs w:val="21"/>
              </w:rPr>
              <w:t>满足</w:t>
            </w:r>
            <w:r>
              <w:rPr>
                <w:rFonts w:ascii="宋体" w:hAnsi="宋体" w:cs="宋体"/>
                <w:szCs w:val="21"/>
              </w:rPr>
              <w:t>以下</w:t>
            </w:r>
            <w:r>
              <w:rPr>
                <w:rFonts w:hint="eastAsia" w:ascii="宋体" w:hAnsi="宋体" w:cs="宋体"/>
                <w:szCs w:val="21"/>
              </w:rPr>
              <w:t>全部要求</w:t>
            </w:r>
            <w:r>
              <w:rPr>
                <w:rFonts w:ascii="宋体" w:hAnsi="宋体"/>
                <w:szCs w:val="21"/>
              </w:rPr>
              <w:t>的得</w:t>
            </w:r>
            <w:r>
              <w:rPr>
                <w:rFonts w:hint="eastAsia" w:ascii="宋体" w:hAnsi="宋体"/>
                <w:szCs w:val="21"/>
              </w:rPr>
              <w:t>2</w:t>
            </w:r>
            <w:r>
              <w:rPr>
                <w:rFonts w:ascii="宋体" w:hAnsi="宋体"/>
                <w:szCs w:val="21"/>
              </w:rPr>
              <w:t>分，否则不得分。</w:t>
            </w:r>
          </w:p>
          <w:p>
            <w:pPr>
              <w:autoSpaceDE w:val="0"/>
              <w:autoSpaceDN w:val="0"/>
              <w:adjustRightInd w:val="0"/>
              <w:spacing w:line="360" w:lineRule="exact"/>
              <w:rPr>
                <w:rFonts w:ascii="宋体" w:hAnsi="宋体"/>
                <w:szCs w:val="21"/>
              </w:rPr>
            </w:pPr>
            <w:r>
              <w:rPr>
                <w:rFonts w:ascii="宋体" w:hAnsi="宋体"/>
                <w:szCs w:val="21"/>
              </w:rPr>
              <w:t>（1）</w:t>
            </w:r>
            <w:r>
              <w:rPr>
                <w:rFonts w:hint="eastAsia" w:ascii="宋体" w:hAnsi="宋体" w:cs="宋体"/>
                <w:szCs w:val="21"/>
              </w:rPr>
              <w:t>人员严格按照招标文件及投标承诺配置</w:t>
            </w:r>
            <w:r>
              <w:rPr>
                <w:rFonts w:ascii="宋体" w:hAnsi="宋体"/>
                <w:szCs w:val="21"/>
              </w:rPr>
              <w:t xml:space="preserve">； </w:t>
            </w:r>
          </w:p>
          <w:p>
            <w:pPr>
              <w:autoSpaceDE w:val="0"/>
              <w:autoSpaceDN w:val="0"/>
              <w:adjustRightInd w:val="0"/>
              <w:spacing w:line="360" w:lineRule="exact"/>
              <w:rPr>
                <w:rFonts w:ascii="宋体" w:hAnsi="宋体"/>
                <w:szCs w:val="21"/>
              </w:rPr>
            </w:pPr>
            <w:r>
              <w:rPr>
                <w:rFonts w:ascii="宋体" w:hAnsi="宋体"/>
                <w:szCs w:val="21"/>
              </w:rPr>
              <w:t>（2）</w:t>
            </w:r>
            <w:r>
              <w:rPr>
                <w:rFonts w:hint="eastAsia" w:ascii="宋体" w:hAnsi="宋体" w:cs="宋体"/>
                <w:szCs w:val="21"/>
              </w:rPr>
              <w:t>服务质量达到招标文件要求</w:t>
            </w:r>
            <w:r>
              <w:rPr>
                <w:rFonts w:ascii="宋体" w:hAnsi="宋体"/>
                <w:szCs w:val="21"/>
              </w:rPr>
              <w:t xml:space="preserve">； </w:t>
            </w:r>
          </w:p>
          <w:p>
            <w:pPr>
              <w:autoSpaceDE w:val="0"/>
              <w:autoSpaceDN w:val="0"/>
              <w:adjustRightInd w:val="0"/>
              <w:spacing w:line="360" w:lineRule="exact"/>
              <w:rPr>
                <w:rFonts w:ascii="宋体" w:hAnsi="宋体"/>
                <w:szCs w:val="21"/>
              </w:rPr>
            </w:pPr>
            <w:r>
              <w:rPr>
                <w:rFonts w:ascii="宋体" w:hAnsi="宋体"/>
                <w:szCs w:val="21"/>
              </w:rPr>
              <w:t>（3）</w:t>
            </w:r>
            <w:r>
              <w:rPr>
                <w:rFonts w:hint="eastAsia" w:ascii="宋体" w:hAnsi="宋体" w:cs="宋体"/>
                <w:szCs w:val="21"/>
              </w:rPr>
              <w:t>对未能达到的管理要求承担管理责任</w:t>
            </w:r>
            <w:r>
              <w:rPr>
                <w:rFonts w:ascii="宋体" w:hAnsi="宋体"/>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autoSpaceDE w:val="0"/>
              <w:autoSpaceDN w:val="0"/>
              <w:adjustRightInd w:val="0"/>
              <w:spacing w:line="360" w:lineRule="exact"/>
              <w:rPr>
                <w:rFonts w:ascii="宋体" w:hAnsi="宋体" w:cs="宋体"/>
                <w:szCs w:val="21"/>
              </w:rPr>
            </w:pPr>
            <w:r>
              <w:rPr>
                <w:rFonts w:hint="eastAsia" w:ascii="宋体" w:hAnsi="宋体"/>
                <w:szCs w:val="21"/>
              </w:rPr>
              <w:t>提供《违约承诺函》（格式自定）作为得分依据，未提供承诺或承诺内容不满足要求不得分。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6</w:t>
            </w:r>
          </w:p>
        </w:tc>
        <w:tc>
          <w:tcPr>
            <w:tcW w:w="1143" w:type="dxa"/>
            <w:vAlign w:val="center"/>
          </w:tcPr>
          <w:p>
            <w:pPr>
              <w:widowControl/>
              <w:spacing w:line="360" w:lineRule="exact"/>
              <w:jc w:val="center"/>
              <w:rPr>
                <w:rFonts w:ascii="宋体" w:hAnsi="宋体" w:cs="宋体"/>
                <w:szCs w:val="21"/>
              </w:rPr>
            </w:pPr>
            <w:r>
              <w:rPr>
                <w:rFonts w:hint="eastAsia" w:ascii="宋体" w:hAnsi="宋体" w:cs="宋体"/>
                <w:color w:val="000000"/>
                <w:kern w:val="0"/>
                <w:szCs w:val="21"/>
              </w:rPr>
              <w:t>拟安排的项目负责人(仅限1人）情况</w:t>
            </w:r>
          </w:p>
        </w:tc>
        <w:tc>
          <w:tcPr>
            <w:tcW w:w="709" w:type="dxa"/>
            <w:vAlign w:val="center"/>
          </w:tcPr>
          <w:p>
            <w:pPr>
              <w:widowControl/>
              <w:spacing w:line="3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6</w:t>
            </w:r>
          </w:p>
        </w:tc>
        <w:tc>
          <w:tcPr>
            <w:tcW w:w="5953" w:type="dxa"/>
            <w:vAlign w:val="center"/>
          </w:tcPr>
          <w:p>
            <w:pPr>
              <w:spacing w:line="360" w:lineRule="exact"/>
              <w:jc w:val="left"/>
              <w:rPr>
                <w:rFonts w:ascii="宋体" w:hAnsi="宋体"/>
                <w:szCs w:val="21"/>
              </w:rPr>
            </w:pPr>
            <w:r>
              <w:rPr>
                <w:rFonts w:hint="eastAsia" w:ascii="宋体" w:hAnsi="宋体"/>
                <w:szCs w:val="21"/>
              </w:rPr>
              <w:t>（一）评分内容：拟安排项目负责人为投标人正式聘任员工，否则本项不得分。</w:t>
            </w:r>
          </w:p>
          <w:p>
            <w:pPr>
              <w:spacing w:line="360" w:lineRule="exact"/>
              <w:jc w:val="left"/>
              <w:rPr>
                <w:rFonts w:ascii="宋体" w:hAnsi="宋体"/>
                <w:szCs w:val="21"/>
              </w:rPr>
            </w:pPr>
            <w:r>
              <w:rPr>
                <w:rFonts w:hint="eastAsia" w:ascii="宋体" w:hAnsi="宋体"/>
                <w:szCs w:val="21"/>
              </w:rPr>
              <w:t>1.具有5年或以上志愿服务管理工作经验,得2分；</w:t>
            </w:r>
          </w:p>
          <w:p>
            <w:pPr>
              <w:spacing w:line="360" w:lineRule="exact"/>
              <w:jc w:val="left"/>
              <w:rPr>
                <w:rFonts w:ascii="宋体" w:hAnsi="宋体"/>
                <w:szCs w:val="21"/>
              </w:rPr>
            </w:pPr>
            <w:r>
              <w:rPr>
                <w:rFonts w:hint="eastAsia" w:ascii="宋体" w:hAnsi="宋体"/>
                <w:szCs w:val="21"/>
              </w:rPr>
              <w:t>2.具有本科或以上学历，得</w:t>
            </w:r>
            <w:r>
              <w:rPr>
                <w:rFonts w:hint="eastAsia" w:ascii="宋体" w:hAnsi="宋体"/>
                <w:szCs w:val="21"/>
                <w:lang w:val="en-US" w:eastAsia="zh-CN"/>
              </w:rPr>
              <w:t>2</w:t>
            </w:r>
            <w:r>
              <w:rPr>
                <w:rFonts w:hint="eastAsia" w:ascii="宋体" w:hAnsi="宋体"/>
                <w:szCs w:val="21"/>
              </w:rPr>
              <w:t>分；</w:t>
            </w:r>
          </w:p>
          <w:p>
            <w:pPr>
              <w:spacing w:line="360" w:lineRule="exact"/>
              <w:jc w:val="left"/>
              <w:rPr>
                <w:rFonts w:ascii="宋体" w:hAnsi="宋体"/>
                <w:szCs w:val="21"/>
              </w:rPr>
            </w:pPr>
            <w:r>
              <w:rPr>
                <w:rFonts w:hint="eastAsia" w:ascii="宋体" w:hAnsi="宋体"/>
                <w:szCs w:val="21"/>
              </w:rPr>
              <w:t>3.2020年1月1日至本项目投标截止日内获得过</w:t>
            </w:r>
            <w:r>
              <w:rPr>
                <w:rFonts w:hint="eastAsia" w:ascii="宋体" w:hAnsi="宋体"/>
                <w:szCs w:val="21"/>
                <w:lang w:val="en-US" w:eastAsia="zh-CN"/>
              </w:rPr>
              <w:t>市级</w:t>
            </w:r>
            <w:r>
              <w:rPr>
                <w:rFonts w:hint="eastAsia" w:ascii="宋体" w:hAnsi="宋体"/>
                <w:szCs w:val="21"/>
              </w:rPr>
              <w:t>或以上荣誉奖项，满足此项得2分。</w:t>
            </w:r>
          </w:p>
          <w:p>
            <w:pPr>
              <w:spacing w:line="360" w:lineRule="exact"/>
              <w:jc w:val="left"/>
              <w:rPr>
                <w:rFonts w:ascii="宋体" w:hAnsi="宋体"/>
                <w:szCs w:val="21"/>
              </w:rPr>
            </w:pPr>
            <w:r>
              <w:rPr>
                <w:rFonts w:hint="eastAsia" w:ascii="宋体" w:hAnsi="宋体"/>
                <w:szCs w:val="21"/>
              </w:rPr>
              <w:t xml:space="preserve">（二）评分依据： </w:t>
            </w:r>
          </w:p>
          <w:p>
            <w:pPr>
              <w:spacing w:line="360" w:lineRule="exact"/>
              <w:jc w:val="left"/>
              <w:rPr>
                <w:rFonts w:ascii="宋体" w:hAnsi="宋体"/>
                <w:szCs w:val="21"/>
              </w:rPr>
            </w:pPr>
            <w:r>
              <w:rPr>
                <w:rFonts w:hint="eastAsia" w:ascii="宋体" w:hAnsi="宋体"/>
                <w:szCs w:val="21"/>
              </w:rPr>
              <w:t>1. 提供项目负责人通过投标单位缴纳的载有社保或税务部门公章的近三个月内任意一个月的个人社保证明，如投标人为新成立单位且成立时间不足一个月的，可提供加盖公章的情况说明或者证明材料亦视为符合。如为退休返聘人员则提供劳动合同或返聘协议。</w:t>
            </w:r>
          </w:p>
          <w:p>
            <w:pPr>
              <w:spacing w:line="360" w:lineRule="exact"/>
              <w:jc w:val="left"/>
              <w:rPr>
                <w:rFonts w:ascii="宋体" w:hAnsi="宋体"/>
                <w:szCs w:val="21"/>
              </w:rPr>
            </w:pPr>
            <w:r>
              <w:rPr>
                <w:rFonts w:hint="eastAsia" w:ascii="宋体" w:hAnsi="宋体"/>
                <w:szCs w:val="21"/>
              </w:rPr>
              <w:t>2.提供项目负责人获奖证书、毕业证书（或学位证书）以及学信网查询记录，对于学信网无法查询的，还需提供毕业院校或人社部门或教育部门等颁发机构或监管机构出具的证明，否则无效。</w:t>
            </w:r>
          </w:p>
          <w:p>
            <w:pPr>
              <w:spacing w:line="360" w:lineRule="exact"/>
              <w:jc w:val="left"/>
              <w:rPr>
                <w:rFonts w:ascii="宋体" w:hAnsi="宋体"/>
                <w:szCs w:val="21"/>
              </w:rPr>
            </w:pPr>
            <w:r>
              <w:rPr>
                <w:rFonts w:hint="eastAsia" w:ascii="宋体" w:hAnsi="宋体"/>
                <w:szCs w:val="21"/>
              </w:rPr>
              <w:t>3.如涉及考察人员工作经验，要求提供项目合同关键信息（关键信息包括但不限于合同主体、服务内容、服务期限、签订页等）作为得分依据，通过合同关键信息无法判断是否得分的，还须同时提供合同甲方出具的证明文件或其他证明文件。</w:t>
            </w:r>
          </w:p>
          <w:p>
            <w:pPr>
              <w:pStyle w:val="94"/>
              <w:spacing w:line="360" w:lineRule="exact"/>
              <w:ind w:firstLine="0" w:firstLineChars="0"/>
              <w:rPr>
                <w:rFonts w:ascii="宋体" w:hAnsi="宋体"/>
                <w:szCs w:val="21"/>
              </w:rPr>
            </w:pPr>
            <w:r>
              <w:rPr>
                <w:rFonts w:hint="eastAsia" w:ascii="宋体" w:hAnsi="宋体"/>
                <w:szCs w:val="21"/>
              </w:rPr>
              <w:t>4.以上资料均要求提供复印件或扫描件（或官方网站截图）。评分中出现无证明资料或专家无法凭所提供资料判断是否得分的情况，一律作不得分处理。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5" w:hRule="atLeast"/>
          <w:jc w:val="center"/>
        </w:trPr>
        <w:tc>
          <w:tcPr>
            <w:tcW w:w="754" w:type="dxa"/>
            <w:vAlign w:val="center"/>
          </w:tcPr>
          <w:p>
            <w:pPr>
              <w:widowControl/>
              <w:snapToGrid w:val="0"/>
              <w:spacing w:line="360" w:lineRule="exact"/>
              <w:jc w:val="center"/>
              <w:rPr>
                <w:rFonts w:ascii="宋体" w:hAnsi="宋体"/>
                <w:kern w:val="0"/>
                <w:szCs w:val="21"/>
              </w:rPr>
            </w:pPr>
            <w:r>
              <w:rPr>
                <w:rFonts w:hint="eastAsia" w:ascii="宋体" w:hAnsi="宋体"/>
                <w:kern w:val="0"/>
                <w:szCs w:val="21"/>
              </w:rPr>
              <w:t>7</w:t>
            </w:r>
          </w:p>
        </w:tc>
        <w:tc>
          <w:tcPr>
            <w:tcW w:w="1143" w:type="dxa"/>
            <w:vAlign w:val="center"/>
          </w:tcPr>
          <w:p>
            <w:pPr>
              <w:widowControl/>
              <w:spacing w:line="360" w:lineRule="exact"/>
              <w:jc w:val="center"/>
              <w:rPr>
                <w:rFonts w:ascii="宋体" w:hAnsi="宋体" w:cs="宋体"/>
                <w:szCs w:val="21"/>
              </w:rPr>
            </w:pPr>
            <w:r>
              <w:rPr>
                <w:rFonts w:hint="eastAsia" w:ascii="宋体" w:hAnsi="宋体" w:cs="宋体"/>
                <w:szCs w:val="21"/>
              </w:rPr>
              <w:t>拟安排的项目主要团队成员（主要技术人员）情况（项目负责人除外）</w:t>
            </w:r>
          </w:p>
        </w:tc>
        <w:tc>
          <w:tcPr>
            <w:tcW w:w="709"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10</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（一）评分内容：拟安排项目主要团队成员至少两名，为投标人正式聘任员工</w:t>
            </w:r>
            <w:r>
              <w:rPr>
                <w:rFonts w:hint="eastAsia" w:ascii="宋体" w:hAnsi="宋体"/>
                <w:szCs w:val="21"/>
                <w:lang w:eastAsia="zh-CN"/>
              </w:rPr>
              <w:t>（</w:t>
            </w:r>
            <w:r>
              <w:rPr>
                <w:rFonts w:hint="eastAsia" w:ascii="宋体" w:hAnsi="宋体"/>
                <w:szCs w:val="21"/>
                <w:lang w:val="en-US" w:eastAsia="zh-CN"/>
              </w:rPr>
              <w:t>以社保为准</w:t>
            </w:r>
            <w:r>
              <w:rPr>
                <w:rFonts w:hint="eastAsia" w:ascii="宋体" w:hAnsi="宋体"/>
                <w:szCs w:val="21"/>
                <w:lang w:eastAsia="zh-CN"/>
              </w:rPr>
              <w:t>）</w:t>
            </w:r>
            <w:r>
              <w:rPr>
                <w:rFonts w:hint="eastAsia" w:ascii="宋体" w:hAnsi="宋体"/>
                <w:szCs w:val="21"/>
              </w:rPr>
              <w:t>，否则该项不得分。</w:t>
            </w:r>
          </w:p>
          <w:p>
            <w:pPr>
              <w:pStyle w:val="94"/>
              <w:spacing w:line="360" w:lineRule="exact"/>
              <w:ind w:firstLine="0" w:firstLineChars="0"/>
              <w:rPr>
                <w:rFonts w:hint="eastAsia" w:ascii="宋体" w:hAnsi="宋体"/>
                <w:szCs w:val="21"/>
              </w:rPr>
            </w:pPr>
            <w:r>
              <w:rPr>
                <w:rFonts w:hint="eastAsia" w:ascii="宋体" w:hAnsi="宋体"/>
                <w:szCs w:val="21"/>
              </w:rPr>
              <w:t>1.项目团队成员中具备监督员管理经验，提供一人得</w:t>
            </w:r>
            <w:r>
              <w:rPr>
                <w:rFonts w:hint="eastAsia" w:ascii="宋体" w:hAnsi="宋体"/>
                <w:szCs w:val="21"/>
                <w:lang w:val="en-US" w:eastAsia="zh-CN"/>
              </w:rPr>
              <w:t>4</w:t>
            </w:r>
            <w:r>
              <w:rPr>
                <w:rFonts w:hint="eastAsia" w:ascii="宋体" w:hAnsi="宋体"/>
                <w:szCs w:val="21"/>
              </w:rPr>
              <w:t>分，最高得</w:t>
            </w:r>
            <w:r>
              <w:rPr>
                <w:rFonts w:hint="eastAsia" w:ascii="宋体" w:hAnsi="宋体"/>
                <w:szCs w:val="21"/>
                <w:lang w:val="en-US" w:eastAsia="zh-CN"/>
              </w:rPr>
              <w:t>4</w:t>
            </w:r>
            <w:r>
              <w:rPr>
                <w:rFonts w:hint="eastAsia" w:ascii="宋体" w:hAnsi="宋体"/>
                <w:szCs w:val="21"/>
              </w:rPr>
              <w:t>分；</w:t>
            </w:r>
          </w:p>
          <w:p>
            <w:pPr>
              <w:pStyle w:val="94"/>
              <w:spacing w:line="360" w:lineRule="exact"/>
              <w:ind w:firstLine="0" w:firstLineChars="0"/>
              <w:rPr>
                <w:rFonts w:hint="eastAsia" w:ascii="宋体" w:hAnsi="宋体"/>
                <w:szCs w:val="21"/>
              </w:rPr>
            </w:pPr>
            <w:r>
              <w:rPr>
                <w:rFonts w:hint="eastAsia" w:ascii="宋体" w:hAnsi="宋体"/>
                <w:szCs w:val="21"/>
              </w:rPr>
              <w:t>2.项目团队成员中具有活动策划组织经验，提供一人得4分，最高得4分；</w:t>
            </w:r>
          </w:p>
          <w:p>
            <w:pPr>
              <w:pStyle w:val="94"/>
              <w:spacing w:line="360" w:lineRule="exact"/>
              <w:ind w:firstLine="0" w:firstLineChars="0"/>
              <w:rPr>
                <w:rFonts w:ascii="宋体" w:hAnsi="宋体"/>
                <w:szCs w:val="21"/>
              </w:rPr>
            </w:pPr>
            <w:r>
              <w:rPr>
                <w:rFonts w:hint="eastAsia" w:ascii="宋体" w:hAnsi="宋体"/>
                <w:szCs w:val="21"/>
              </w:rPr>
              <w:t>3项目团队成员均具有本科及以上学历，得</w:t>
            </w:r>
            <w:r>
              <w:rPr>
                <w:rFonts w:hint="eastAsia" w:ascii="宋体" w:hAnsi="宋体"/>
                <w:szCs w:val="21"/>
                <w:lang w:val="en-US" w:eastAsia="zh-CN"/>
              </w:rPr>
              <w:t>2</w:t>
            </w:r>
            <w:r>
              <w:rPr>
                <w:rFonts w:hint="eastAsia" w:ascii="宋体" w:hAnsi="宋体"/>
                <w:szCs w:val="21"/>
              </w:rPr>
              <w:t>分。</w:t>
            </w:r>
          </w:p>
          <w:p>
            <w:pPr>
              <w:pStyle w:val="94"/>
              <w:spacing w:line="360" w:lineRule="exact"/>
              <w:ind w:firstLine="0" w:firstLineChars="0"/>
              <w:rPr>
                <w:rFonts w:ascii="宋体" w:hAnsi="宋体"/>
                <w:szCs w:val="21"/>
              </w:rPr>
            </w:pPr>
            <w:r>
              <w:rPr>
                <w:rFonts w:hint="eastAsia" w:ascii="宋体" w:hAnsi="宋体"/>
                <w:szCs w:val="21"/>
              </w:rPr>
              <w:t>（二）评分依据：</w:t>
            </w:r>
          </w:p>
          <w:p>
            <w:pPr>
              <w:pStyle w:val="94"/>
              <w:spacing w:line="360" w:lineRule="exact"/>
              <w:ind w:firstLine="0" w:firstLineChars="0"/>
              <w:rPr>
                <w:rFonts w:ascii="宋体" w:hAnsi="宋体"/>
                <w:szCs w:val="21"/>
              </w:rPr>
            </w:pPr>
            <w:r>
              <w:rPr>
                <w:rFonts w:hint="eastAsia" w:ascii="宋体" w:hAnsi="宋体"/>
                <w:szCs w:val="21"/>
              </w:rPr>
              <w:t>1.提供项目团队主要成员通过投标单位缴纳的载有社保或税务部门公章的近三个月内任意一个月的个人社保证明，如供应商为新成立单位且成立时间不足一个月的，可提供加盖公章的情况说明或者证明材料亦视为符合。如为退休返聘人员则提供劳动合同或返聘协议。</w:t>
            </w:r>
          </w:p>
          <w:p>
            <w:pPr>
              <w:spacing w:line="360" w:lineRule="exact"/>
              <w:jc w:val="left"/>
              <w:rPr>
                <w:rFonts w:ascii="宋体" w:hAnsi="宋体"/>
                <w:szCs w:val="21"/>
              </w:rPr>
            </w:pPr>
            <w:r>
              <w:rPr>
                <w:rFonts w:hint="eastAsia" w:ascii="宋体" w:hAnsi="宋体"/>
                <w:szCs w:val="21"/>
              </w:rPr>
              <w:t>2. 提供项目团队成员毕业证书（或学位证书）以及学信网查询记录，对于学信网无法查询的，还需提供毕业院校或人社部门或教育部门等颁发机构或监管机构出具的证明，否则无效。</w:t>
            </w:r>
          </w:p>
          <w:p>
            <w:pPr>
              <w:pStyle w:val="94"/>
              <w:spacing w:line="360" w:lineRule="exact"/>
              <w:ind w:firstLine="0" w:firstLineChars="0"/>
              <w:rPr>
                <w:rFonts w:ascii="宋体" w:hAnsi="宋体"/>
                <w:szCs w:val="21"/>
              </w:rPr>
            </w:pPr>
            <w:r>
              <w:rPr>
                <w:rFonts w:hint="eastAsia" w:ascii="宋体" w:hAnsi="宋体"/>
                <w:szCs w:val="21"/>
              </w:rPr>
              <w:t>3.如涉及考察人员工作经验，要求提供项目合同关键信息（关键信息包括但不限于合同主体、服务内容、服务期限、签订页等）或相关活动照片、截图作为得分依据。</w:t>
            </w:r>
          </w:p>
          <w:p>
            <w:pPr>
              <w:pStyle w:val="94"/>
              <w:spacing w:line="360" w:lineRule="exact"/>
              <w:ind w:firstLine="0" w:firstLineChars="0"/>
              <w:rPr>
                <w:rFonts w:ascii="宋体" w:hAnsi="宋体"/>
                <w:szCs w:val="21"/>
              </w:rPr>
            </w:pPr>
            <w:r>
              <w:rPr>
                <w:rFonts w:hint="eastAsia" w:ascii="宋体" w:hAnsi="宋体"/>
                <w:szCs w:val="21"/>
              </w:rPr>
              <w:t>4.以上资料均要求提供复印件或扫描件（或官方网站截图）,</w:t>
            </w:r>
            <w:r>
              <w:rPr>
                <w:rFonts w:hint="eastAsia"/>
              </w:rPr>
              <w:t>均要求加盖投标人公章，原件备查。</w:t>
            </w:r>
            <w:r>
              <w:rPr>
                <w:rFonts w:hint="eastAsia" w:ascii="宋体" w:hAnsi="宋体"/>
                <w:szCs w:val="21"/>
              </w:rPr>
              <w:t>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宋体"/>
                <w:szCs w:val="21"/>
                <w:lang w:val="en-US" w:eastAsia="zh-CN"/>
              </w:rPr>
              <w:t>34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spacing w:line="360" w:lineRule="exact"/>
              <w:jc w:val="center"/>
              <w:rPr>
                <w:rFonts w:ascii="宋体" w:hAnsi="宋体"/>
                <w:kern w:val="0"/>
                <w:szCs w:val="21"/>
              </w:rPr>
            </w:pPr>
            <w:r>
              <w:rPr>
                <w:rFonts w:hint="eastAsia" w:ascii="宋体" w:hAnsi="宋体"/>
                <w:szCs w:val="21"/>
              </w:rPr>
              <w:t>供应商认证情况</w:t>
            </w:r>
          </w:p>
        </w:tc>
        <w:tc>
          <w:tcPr>
            <w:tcW w:w="709" w:type="dxa"/>
            <w:vAlign w:val="center"/>
          </w:tcPr>
          <w:p>
            <w:pPr>
              <w:spacing w:line="360" w:lineRule="exact"/>
              <w:jc w:val="center"/>
              <w:rPr>
                <w:rFonts w:hint="eastAsia" w:ascii="宋体" w:hAnsi="宋体" w:eastAsia="宋体"/>
                <w:kern w:val="0"/>
                <w:szCs w:val="21"/>
                <w:lang w:eastAsia="zh-CN"/>
              </w:rPr>
            </w:pPr>
            <w:r>
              <w:rPr>
                <w:rFonts w:hint="eastAsia" w:ascii="宋体" w:hAnsi="宋体" w:cs="宋体"/>
                <w:szCs w:val="21"/>
                <w:lang w:val="en-US" w:eastAsia="zh-CN"/>
              </w:rPr>
              <w:t>5</w:t>
            </w:r>
          </w:p>
        </w:tc>
        <w:tc>
          <w:tcPr>
            <w:tcW w:w="5953" w:type="dxa"/>
            <w:vAlign w:val="center"/>
          </w:tcPr>
          <w:p>
            <w:pPr>
              <w:spacing w:line="360" w:lineRule="exact"/>
              <w:jc w:val="left"/>
              <w:rPr>
                <w:rFonts w:ascii="宋体" w:hAnsi="宋体"/>
                <w:szCs w:val="21"/>
              </w:rPr>
            </w:pPr>
            <w:r>
              <w:rPr>
                <w:rFonts w:hint="eastAsia" w:ascii="宋体" w:hAnsi="宋体"/>
                <w:szCs w:val="21"/>
              </w:rPr>
              <w:t>（一）评分内容：</w:t>
            </w:r>
          </w:p>
          <w:p>
            <w:pPr>
              <w:spacing w:line="360" w:lineRule="exact"/>
              <w:jc w:val="left"/>
              <w:rPr>
                <w:rFonts w:ascii="宋体" w:hAnsi="宋体"/>
                <w:szCs w:val="21"/>
              </w:rPr>
            </w:pPr>
            <w:r>
              <w:rPr>
                <w:rFonts w:hint="eastAsia" w:ascii="宋体" w:hAnsi="宋体"/>
                <w:szCs w:val="21"/>
              </w:rPr>
              <w:t>1.具有志愿平台合法注册账号，及对志愿者数据管理权限（需提供账号、管理权限平台截图作为证明材料），得</w:t>
            </w:r>
            <w:r>
              <w:rPr>
                <w:rFonts w:hint="eastAsia" w:ascii="宋体" w:hAnsi="宋体"/>
                <w:szCs w:val="21"/>
                <w:lang w:val="en-US" w:eastAsia="zh-CN"/>
              </w:rPr>
              <w:t>2</w:t>
            </w:r>
            <w:r>
              <w:rPr>
                <w:rFonts w:hint="eastAsia" w:ascii="宋体" w:hAnsi="宋体"/>
                <w:szCs w:val="21"/>
              </w:rPr>
              <w:t>分；</w:t>
            </w:r>
          </w:p>
          <w:p>
            <w:pPr>
              <w:spacing w:line="360" w:lineRule="exact"/>
              <w:jc w:val="left"/>
              <w:rPr>
                <w:rFonts w:ascii="宋体" w:hAnsi="宋体"/>
                <w:szCs w:val="21"/>
              </w:rPr>
            </w:pPr>
            <w:r>
              <w:rPr>
                <w:rFonts w:hint="eastAsia" w:ascii="宋体" w:hAnsi="宋体"/>
                <w:szCs w:val="21"/>
              </w:rPr>
              <w:t>2.投标人具有监督员队伍管理的规范性制度文件，每提供一个得1分，最高不超过3分。</w:t>
            </w:r>
          </w:p>
          <w:p>
            <w:pPr>
              <w:spacing w:line="360" w:lineRule="exact"/>
              <w:jc w:val="left"/>
              <w:rPr>
                <w:rFonts w:ascii="宋体" w:hAnsi="宋体"/>
                <w:szCs w:val="21"/>
              </w:rPr>
            </w:pPr>
            <w:r>
              <w:rPr>
                <w:rFonts w:hint="eastAsia" w:ascii="宋体" w:hAnsi="宋体"/>
                <w:szCs w:val="21"/>
              </w:rPr>
              <w:t>（二）评分依据：</w:t>
            </w:r>
          </w:p>
          <w:p>
            <w:pPr>
              <w:spacing w:line="360" w:lineRule="exact"/>
              <w:jc w:val="left"/>
              <w:rPr>
                <w:rFonts w:ascii="宋体" w:hAnsi="宋体"/>
                <w:szCs w:val="21"/>
              </w:rPr>
            </w:pPr>
            <w:r>
              <w:rPr>
                <w:rFonts w:hint="eastAsia" w:ascii="宋体" w:hAnsi="宋体"/>
                <w:szCs w:val="21"/>
              </w:rPr>
              <w:t>1.要求提供真实的截图作为得分依据。</w:t>
            </w:r>
          </w:p>
          <w:p>
            <w:pPr>
              <w:autoSpaceDE w:val="0"/>
              <w:autoSpaceDN w:val="0"/>
              <w:adjustRightInd w:val="0"/>
              <w:spacing w:line="360" w:lineRule="exact"/>
              <w:jc w:val="left"/>
              <w:rPr>
                <w:rFonts w:ascii="宋体" w:hAnsi="宋体"/>
                <w:kern w:val="0"/>
                <w:szCs w:val="21"/>
              </w:rPr>
            </w:pPr>
            <w:r>
              <w:rPr>
                <w:rFonts w:hint="eastAsia" w:ascii="宋体" w:hAnsi="宋体"/>
                <w:szCs w:val="21"/>
              </w:rPr>
              <w:t>2.以上资料均要求提供截图</w:t>
            </w:r>
            <w:r>
              <w:rPr>
                <w:rFonts w:hint="eastAsia" w:ascii="宋体" w:hAnsi="宋体"/>
                <w:szCs w:val="21"/>
                <w:lang w:eastAsia="zh-CN"/>
              </w:rPr>
              <w:t>，</w:t>
            </w:r>
            <w:r>
              <w:rPr>
                <w:rFonts w:hint="eastAsia"/>
              </w:rPr>
              <w:t>加盖投标人公章</w:t>
            </w:r>
            <w:r>
              <w:rPr>
                <w:rFonts w:hint="eastAsia" w:ascii="宋体" w:hAnsi="宋体"/>
                <w:szCs w:val="21"/>
              </w:rPr>
              <w:t>，原件备查。评分中出现无证明资料或专家无法凭所提供资料判断是否得分的情况，一律作不得分处理。</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adjustRightInd w:val="0"/>
              <w:snapToGrid w:val="0"/>
              <w:spacing w:line="360" w:lineRule="exact"/>
              <w:jc w:val="center"/>
              <w:rPr>
                <w:rFonts w:ascii="宋体" w:hAnsi="宋体"/>
                <w:snapToGrid w:val="0"/>
                <w:kern w:val="0"/>
                <w:szCs w:val="21"/>
              </w:rPr>
            </w:pPr>
            <w:r>
              <w:rPr>
                <w:rFonts w:hint="eastAsia" w:ascii="宋体" w:hAnsi="宋体" w:cs="宋体"/>
                <w:szCs w:val="21"/>
              </w:rPr>
              <w:t>供应商同类项目业绩情况</w:t>
            </w:r>
          </w:p>
        </w:tc>
        <w:tc>
          <w:tcPr>
            <w:tcW w:w="709" w:type="dxa"/>
            <w:vAlign w:val="center"/>
          </w:tcPr>
          <w:p>
            <w:pPr>
              <w:adjustRightInd w:val="0"/>
              <w:snapToGrid w:val="0"/>
              <w:spacing w:line="360" w:lineRule="exact"/>
              <w:jc w:val="center"/>
              <w:rPr>
                <w:rFonts w:ascii="宋体" w:hAnsi="宋体"/>
                <w:snapToGrid w:val="0"/>
                <w:kern w:val="0"/>
                <w:szCs w:val="21"/>
              </w:rPr>
            </w:pPr>
            <w:r>
              <w:rPr>
                <w:rFonts w:hint="eastAsia" w:ascii="宋体" w:hAnsi="宋体"/>
                <w:snapToGrid w:val="0"/>
                <w:kern w:val="0"/>
                <w:szCs w:val="21"/>
              </w:rPr>
              <w:t>10</w:t>
            </w:r>
          </w:p>
        </w:tc>
        <w:tc>
          <w:tcPr>
            <w:tcW w:w="5953" w:type="dxa"/>
            <w:vAlign w:val="center"/>
          </w:tcPr>
          <w:p>
            <w:pPr>
              <w:spacing w:line="360" w:lineRule="exact"/>
              <w:jc w:val="left"/>
              <w:rPr>
                <w:rFonts w:ascii="宋体" w:hAnsi="宋体"/>
                <w:szCs w:val="21"/>
              </w:rPr>
            </w:pPr>
            <w:r>
              <w:rPr>
                <w:rFonts w:hint="eastAsia" w:ascii="宋体" w:hAnsi="宋体"/>
                <w:szCs w:val="21"/>
              </w:rPr>
              <w:t>（一）评分内容：</w:t>
            </w:r>
          </w:p>
          <w:p>
            <w:pPr>
              <w:spacing w:line="360" w:lineRule="exact"/>
              <w:jc w:val="left"/>
              <w:rPr>
                <w:rFonts w:ascii="宋体" w:hAnsi="宋体"/>
                <w:szCs w:val="21"/>
              </w:rPr>
            </w:pPr>
            <w:r>
              <w:rPr>
                <w:rFonts w:hint="eastAsia" w:ascii="宋体" w:hAnsi="宋体"/>
                <w:szCs w:val="21"/>
              </w:rPr>
              <w:t>1.2022年1月1日至本项目投标截止日（以合同签订日期为准）内承担志愿服务项目的，每提供一个项目得2分，最高的</w:t>
            </w:r>
            <w:r>
              <w:rPr>
                <w:rFonts w:hint="eastAsia" w:ascii="宋体" w:hAnsi="宋体"/>
                <w:szCs w:val="21"/>
                <w:lang w:val="en-US" w:eastAsia="zh-CN"/>
              </w:rPr>
              <w:t>8</w:t>
            </w:r>
            <w:r>
              <w:rPr>
                <w:rFonts w:hint="eastAsia" w:ascii="宋体" w:hAnsi="宋体"/>
                <w:szCs w:val="21"/>
              </w:rPr>
              <w:t xml:space="preserve">分； </w:t>
            </w:r>
          </w:p>
          <w:p>
            <w:pPr>
              <w:spacing w:line="360" w:lineRule="exact"/>
              <w:jc w:val="left"/>
              <w:rPr>
                <w:rFonts w:ascii="宋体" w:hAnsi="宋体"/>
                <w:szCs w:val="21"/>
              </w:rPr>
            </w:pPr>
            <w:r>
              <w:rPr>
                <w:rFonts w:hint="eastAsia" w:ascii="宋体" w:hAnsi="宋体"/>
                <w:szCs w:val="21"/>
              </w:rPr>
              <w:t>2.投标人2022年1月1日至本项目投标截止日（以合同签订日期为准）具有</w:t>
            </w:r>
            <w:r>
              <w:rPr>
                <w:rFonts w:hint="eastAsia" w:ascii="宋体" w:hAnsi="宋体"/>
                <w:szCs w:val="21"/>
                <w:lang w:eastAsia="zh-CN"/>
              </w:rPr>
              <w:t>社会监督</w:t>
            </w:r>
            <w:r>
              <w:rPr>
                <w:rFonts w:hint="eastAsia" w:ascii="宋体" w:hAnsi="宋体"/>
                <w:szCs w:val="21"/>
              </w:rPr>
              <w:t>类活动相关项目，得2分。</w:t>
            </w:r>
          </w:p>
          <w:p>
            <w:pPr>
              <w:spacing w:line="360" w:lineRule="exact"/>
              <w:jc w:val="left"/>
              <w:rPr>
                <w:rFonts w:ascii="宋体" w:hAnsi="宋体"/>
                <w:szCs w:val="21"/>
              </w:rPr>
            </w:pPr>
            <w:r>
              <w:rPr>
                <w:rFonts w:hint="eastAsia" w:ascii="宋体" w:hAnsi="宋体"/>
                <w:szCs w:val="21"/>
              </w:rPr>
              <w:t>（二）评分依据：</w:t>
            </w:r>
          </w:p>
          <w:p>
            <w:pPr>
              <w:spacing w:line="360" w:lineRule="exact"/>
              <w:jc w:val="left"/>
              <w:rPr>
                <w:rFonts w:ascii="宋体" w:hAnsi="宋体"/>
                <w:szCs w:val="21"/>
              </w:rPr>
            </w:pPr>
            <w:r>
              <w:rPr>
                <w:rFonts w:hint="eastAsia" w:ascii="宋体" w:hAnsi="宋体"/>
                <w:szCs w:val="21"/>
              </w:rPr>
              <w:t>1. 提供合同关键页（关键信息包括但不仅限于合同的项目名称、服务内容、合同服务期限、合同签订日期、甲乙双方签字盖章页）或相关活动照片。且提供的材料各项信息不得有任何遮挡；</w:t>
            </w:r>
          </w:p>
          <w:p>
            <w:pPr>
              <w:spacing w:line="360" w:lineRule="exact"/>
              <w:jc w:val="left"/>
              <w:rPr>
                <w:rFonts w:ascii="宋体" w:hAnsi="宋体"/>
                <w:szCs w:val="21"/>
              </w:rPr>
            </w:pPr>
            <w:r>
              <w:rPr>
                <w:rFonts w:hint="eastAsia" w:ascii="宋体" w:hAnsi="宋体"/>
                <w:szCs w:val="21"/>
              </w:rPr>
              <w:t>2. 通过合同关键信息无法判断是否得分的，还需提供能证明得分的其它证明资料，如项目报告或合同甲方出具的证明文件；</w:t>
            </w:r>
          </w:p>
          <w:p>
            <w:pPr>
              <w:adjustRightInd w:val="0"/>
              <w:snapToGrid w:val="0"/>
              <w:spacing w:line="360" w:lineRule="exact"/>
              <w:rPr>
                <w:rFonts w:ascii="宋体" w:hAnsi="宋体"/>
                <w:b/>
                <w:bCs/>
                <w:kern w:val="0"/>
                <w:szCs w:val="21"/>
              </w:rPr>
            </w:pPr>
            <w:r>
              <w:rPr>
                <w:rFonts w:hint="eastAsia" w:ascii="宋体" w:hAnsi="宋体"/>
                <w:szCs w:val="21"/>
              </w:rPr>
              <w:t>3. 提供以上证明文件复印件或扫描件，如涉及网站截图或照片等证明材料,需提供清晰图片,均要求加盖投标人公章,原件备查。未按要求提供有效证明材料或提供不清晰导致评委无法识别的不计得分。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38"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3</w:t>
            </w:r>
          </w:p>
        </w:tc>
        <w:tc>
          <w:tcPr>
            <w:tcW w:w="1143" w:type="dxa"/>
            <w:vAlign w:val="center"/>
          </w:tcPr>
          <w:p>
            <w:pPr>
              <w:spacing w:line="360" w:lineRule="exact"/>
              <w:jc w:val="center"/>
              <w:rPr>
                <w:rFonts w:ascii="宋体" w:hAnsi="宋体" w:cs="仿宋"/>
                <w:szCs w:val="21"/>
              </w:rPr>
            </w:pPr>
            <w:r>
              <w:rPr>
                <w:rFonts w:hint="eastAsia" w:ascii="宋体" w:hAnsi="宋体" w:cs="宋体"/>
                <w:szCs w:val="21"/>
              </w:rPr>
              <w:t>供应商获奖情况</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tabs>
                <w:tab w:val="left" w:pos="175"/>
              </w:tabs>
              <w:spacing w:line="360" w:lineRule="exact"/>
              <w:ind w:left="33"/>
              <w:jc w:val="left"/>
              <w:rPr>
                <w:rFonts w:ascii="宋体" w:hAnsi="宋体"/>
                <w:szCs w:val="21"/>
              </w:rPr>
            </w:pPr>
            <w:r>
              <w:rPr>
                <w:rFonts w:hint="eastAsia" w:ascii="宋体" w:hAnsi="宋体"/>
                <w:szCs w:val="21"/>
              </w:rPr>
              <w:t>（一）评分内容：</w:t>
            </w:r>
          </w:p>
          <w:p>
            <w:pPr>
              <w:tabs>
                <w:tab w:val="left" w:pos="175"/>
              </w:tabs>
              <w:spacing w:line="360" w:lineRule="exact"/>
              <w:ind w:left="33"/>
              <w:jc w:val="left"/>
              <w:rPr>
                <w:rFonts w:ascii="宋体" w:hAnsi="宋体"/>
                <w:szCs w:val="21"/>
              </w:rPr>
            </w:pPr>
            <w:r>
              <w:rPr>
                <w:rFonts w:hint="eastAsia" w:ascii="宋体" w:hAnsi="宋体"/>
                <w:szCs w:val="21"/>
              </w:rPr>
              <w:t>投标人自2022年1月1日起至本项目投标截止之日：投标人获得相关志愿服务奖项（荣誉、表彰）情况（以证书落款、网站公示时间为准）。</w:t>
            </w:r>
          </w:p>
          <w:p>
            <w:pPr>
              <w:tabs>
                <w:tab w:val="left" w:pos="175"/>
              </w:tabs>
              <w:spacing w:line="360" w:lineRule="exact"/>
              <w:ind w:left="33"/>
              <w:jc w:val="left"/>
              <w:rPr>
                <w:rFonts w:ascii="宋体" w:hAnsi="宋体"/>
                <w:szCs w:val="21"/>
              </w:rPr>
            </w:pPr>
            <w:r>
              <w:rPr>
                <w:rFonts w:hint="eastAsia" w:ascii="宋体" w:hAnsi="宋体"/>
                <w:szCs w:val="21"/>
              </w:rPr>
              <w:t>1</w:t>
            </w:r>
            <w:r>
              <w:rPr>
                <w:rFonts w:hint="default" w:ascii="宋体" w:hAnsi="宋体"/>
                <w:szCs w:val="21"/>
                <w:lang w:val="en"/>
              </w:rPr>
              <w:t>.</w:t>
            </w:r>
            <w:r>
              <w:rPr>
                <w:rFonts w:hint="eastAsia" w:ascii="宋体" w:hAnsi="宋体"/>
                <w:szCs w:val="21"/>
              </w:rPr>
              <w:t>省级奖项（荣誉、表彰）每个得</w:t>
            </w:r>
            <w:r>
              <w:rPr>
                <w:rFonts w:hint="default" w:ascii="宋体" w:hAnsi="宋体"/>
                <w:szCs w:val="21"/>
                <w:lang w:val="en"/>
              </w:rPr>
              <w:t>3</w:t>
            </w:r>
            <w:r>
              <w:rPr>
                <w:rFonts w:hint="eastAsia" w:ascii="宋体" w:hAnsi="宋体"/>
                <w:szCs w:val="21"/>
              </w:rPr>
              <w:t xml:space="preserve">分； </w:t>
            </w:r>
          </w:p>
          <w:p>
            <w:pPr>
              <w:tabs>
                <w:tab w:val="left" w:pos="175"/>
              </w:tabs>
              <w:spacing w:line="360" w:lineRule="exact"/>
              <w:ind w:left="33"/>
              <w:jc w:val="left"/>
              <w:rPr>
                <w:rFonts w:ascii="宋体" w:hAnsi="宋体"/>
                <w:szCs w:val="21"/>
              </w:rPr>
            </w:pPr>
            <w:r>
              <w:rPr>
                <w:rFonts w:hint="default" w:ascii="宋体" w:hAnsi="宋体"/>
                <w:szCs w:val="21"/>
                <w:lang w:val="en"/>
              </w:rPr>
              <w:t>2</w:t>
            </w:r>
            <w:r>
              <w:rPr>
                <w:rFonts w:hint="eastAsia" w:ascii="宋体" w:hAnsi="宋体"/>
                <w:szCs w:val="21"/>
              </w:rPr>
              <w:t>.市级奖项（荣誉、表彰）情况，每个得</w:t>
            </w:r>
            <w:r>
              <w:rPr>
                <w:rFonts w:hint="default" w:ascii="宋体" w:hAnsi="宋体"/>
                <w:szCs w:val="21"/>
                <w:lang w:val="en"/>
              </w:rPr>
              <w:t>2</w:t>
            </w:r>
            <w:r>
              <w:rPr>
                <w:rFonts w:hint="eastAsia" w:ascii="宋体" w:hAnsi="宋体"/>
                <w:szCs w:val="21"/>
              </w:rPr>
              <w:t>分。</w:t>
            </w:r>
          </w:p>
          <w:p>
            <w:pPr>
              <w:tabs>
                <w:tab w:val="left" w:pos="175"/>
              </w:tabs>
              <w:spacing w:line="360" w:lineRule="exact"/>
              <w:ind w:left="33"/>
              <w:jc w:val="left"/>
              <w:rPr>
                <w:rFonts w:ascii="宋体" w:hAnsi="宋体"/>
                <w:szCs w:val="21"/>
              </w:rPr>
            </w:pPr>
            <w:r>
              <w:rPr>
                <w:rFonts w:hint="eastAsia" w:ascii="宋体" w:hAnsi="宋体"/>
                <w:szCs w:val="21"/>
              </w:rPr>
              <w:t>此项可累计计分，最高得5分。</w:t>
            </w:r>
          </w:p>
          <w:p>
            <w:pPr>
              <w:tabs>
                <w:tab w:val="left" w:pos="175"/>
              </w:tabs>
              <w:spacing w:line="360" w:lineRule="exact"/>
              <w:ind w:left="33"/>
              <w:jc w:val="left"/>
              <w:rPr>
                <w:rFonts w:ascii="宋体" w:hAnsi="宋体"/>
                <w:szCs w:val="21"/>
              </w:rPr>
            </w:pPr>
            <w:r>
              <w:rPr>
                <w:rFonts w:hint="eastAsia" w:ascii="宋体" w:hAnsi="宋体"/>
                <w:szCs w:val="21"/>
              </w:rPr>
              <w:t>（二）评分依据：</w:t>
            </w:r>
            <w:bookmarkStart w:id="113" w:name="_GoBack"/>
            <w:bookmarkEnd w:id="113"/>
          </w:p>
          <w:p>
            <w:pPr>
              <w:tabs>
                <w:tab w:val="left" w:pos="175"/>
              </w:tabs>
              <w:spacing w:line="360" w:lineRule="exact"/>
              <w:ind w:left="33"/>
              <w:jc w:val="left"/>
              <w:rPr>
                <w:rFonts w:ascii="宋体" w:hAnsi="宋体"/>
                <w:szCs w:val="21"/>
              </w:rPr>
            </w:pPr>
            <w:r>
              <w:rPr>
                <w:rFonts w:hint="eastAsia" w:ascii="宋体" w:hAnsi="宋体"/>
                <w:szCs w:val="21"/>
              </w:rPr>
              <w:t>1.要求提供奖项照片或获奖（荣誉）证书或网站公示截图作为得分依据。</w:t>
            </w:r>
            <w:r>
              <w:rPr>
                <w:rFonts w:hint="eastAsia" w:ascii="宋体" w:hAnsi="宋体" w:cs="宋体"/>
                <w:bCs/>
                <w:kern w:val="0"/>
                <w:szCs w:val="21"/>
              </w:rPr>
              <w:t>省级奖项要求颁发单位为省级（含自治区、直辖市）人民政府（或行业主管行政机关），不含副省级；市级奖项要求颁发单位为市级人民政府（或行业主管行政机关）</w:t>
            </w:r>
          </w:p>
          <w:p>
            <w:pPr>
              <w:tabs>
                <w:tab w:val="left" w:pos="175"/>
              </w:tabs>
              <w:spacing w:line="360" w:lineRule="exact"/>
              <w:ind w:left="33"/>
              <w:jc w:val="left"/>
              <w:rPr>
                <w:rFonts w:ascii="宋体" w:hAnsi="宋体"/>
                <w:szCs w:val="21"/>
              </w:rPr>
            </w:pPr>
            <w:r>
              <w:rPr>
                <w:rFonts w:hint="eastAsia" w:ascii="宋体" w:hAnsi="宋体"/>
                <w:szCs w:val="21"/>
              </w:rPr>
              <w:t>2.以上资料均要求提供扫描件（或官方网站截图），原件备查。评分中出现无证明资料或专家无法凭所提供资料判断是否得分的情况，一律作不得分处理。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28"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4</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供应商自主知识产权产品（创新、设计）情况</w:t>
            </w:r>
          </w:p>
        </w:tc>
        <w:tc>
          <w:tcPr>
            <w:tcW w:w="709" w:type="dxa"/>
            <w:vAlign w:val="center"/>
          </w:tcPr>
          <w:p>
            <w:pPr>
              <w:spacing w:line="360" w:lineRule="exact"/>
              <w:jc w:val="center"/>
              <w:rPr>
                <w:rFonts w:hint="eastAsia" w:ascii="宋体" w:hAnsi="宋体" w:eastAsia="宋体" w:cs="仿宋"/>
                <w:szCs w:val="21"/>
                <w:lang w:eastAsia="zh-CN"/>
              </w:rPr>
            </w:pPr>
            <w:r>
              <w:rPr>
                <w:rFonts w:hint="eastAsia" w:ascii="宋体" w:hAnsi="宋体" w:cs="宋体"/>
                <w:szCs w:val="21"/>
                <w:lang w:val="en-US" w:eastAsia="zh-CN"/>
              </w:rPr>
              <w:t>9</w:t>
            </w:r>
          </w:p>
        </w:tc>
        <w:tc>
          <w:tcPr>
            <w:tcW w:w="5953" w:type="dxa"/>
            <w:vAlign w:val="center"/>
          </w:tcPr>
          <w:p>
            <w:pPr>
              <w:tabs>
                <w:tab w:val="left" w:pos="175"/>
              </w:tabs>
              <w:spacing w:line="360" w:lineRule="exact"/>
              <w:ind w:left="33"/>
              <w:jc w:val="left"/>
              <w:rPr>
                <w:rFonts w:ascii="宋体" w:hAnsi="宋体"/>
                <w:szCs w:val="21"/>
              </w:rPr>
            </w:pPr>
            <w:r>
              <w:rPr>
                <w:rFonts w:hint="eastAsia" w:ascii="宋体" w:hAnsi="宋体"/>
                <w:szCs w:val="21"/>
              </w:rPr>
              <w:t>（一）评分内容：</w:t>
            </w:r>
          </w:p>
          <w:p>
            <w:pPr>
              <w:tabs>
                <w:tab w:val="left" w:pos="175"/>
              </w:tabs>
              <w:spacing w:line="360" w:lineRule="exact"/>
              <w:ind w:left="33"/>
              <w:jc w:val="left"/>
              <w:rPr>
                <w:rFonts w:hint="eastAsia" w:ascii="宋体" w:hAnsi="宋体"/>
                <w:szCs w:val="21"/>
              </w:rPr>
            </w:pPr>
            <w:r>
              <w:rPr>
                <w:rFonts w:hint="eastAsia" w:ascii="宋体" w:hAnsi="宋体"/>
                <w:szCs w:val="21"/>
              </w:rPr>
              <w:t>1.投标人为</w:t>
            </w:r>
            <w:r>
              <w:rPr>
                <w:rFonts w:hint="eastAsia" w:ascii="宋体" w:hAnsi="宋体"/>
                <w:szCs w:val="21"/>
                <w:lang w:eastAsia="zh-CN"/>
              </w:rPr>
              <w:t>提供相关照片作为证明材料，</w:t>
            </w:r>
            <w:r>
              <w:rPr>
                <w:rFonts w:hint="eastAsia" w:ascii="宋体" w:hAnsi="宋体"/>
                <w:szCs w:val="21"/>
              </w:rPr>
              <w:t>每个服务阵地得1分，最高得6分；</w:t>
            </w:r>
          </w:p>
          <w:p>
            <w:pPr>
              <w:tabs>
                <w:tab w:val="left" w:pos="175"/>
              </w:tabs>
              <w:spacing w:line="360" w:lineRule="exact"/>
              <w:ind w:left="33"/>
              <w:jc w:val="left"/>
              <w:rPr>
                <w:rFonts w:hint="eastAsia" w:ascii="宋体" w:hAnsi="宋体"/>
                <w:szCs w:val="21"/>
              </w:rPr>
            </w:pPr>
            <w:r>
              <w:rPr>
                <w:rFonts w:hint="eastAsia" w:ascii="宋体" w:hAnsi="宋体"/>
                <w:szCs w:val="21"/>
              </w:rPr>
              <w:t>2.投标人为开发了宣传平台，要求提供截图作为证明材料，满足此项得</w:t>
            </w:r>
            <w:r>
              <w:rPr>
                <w:rFonts w:hint="eastAsia" w:ascii="宋体" w:hAnsi="宋体"/>
                <w:szCs w:val="21"/>
                <w:lang w:val="en-US" w:eastAsia="zh-CN"/>
              </w:rPr>
              <w:t>3</w:t>
            </w:r>
            <w:r>
              <w:rPr>
                <w:rFonts w:hint="eastAsia" w:ascii="宋体" w:hAnsi="宋体"/>
                <w:szCs w:val="21"/>
              </w:rPr>
              <w:t>分。</w:t>
            </w:r>
          </w:p>
          <w:p>
            <w:pPr>
              <w:tabs>
                <w:tab w:val="left" w:pos="175"/>
              </w:tabs>
              <w:spacing w:line="360" w:lineRule="exact"/>
              <w:ind w:left="33"/>
              <w:jc w:val="left"/>
              <w:rPr>
                <w:rFonts w:ascii="宋体" w:hAnsi="宋体"/>
                <w:szCs w:val="21"/>
              </w:rPr>
            </w:pPr>
            <w:r>
              <w:rPr>
                <w:rFonts w:hint="eastAsia" w:ascii="宋体" w:hAnsi="宋体"/>
                <w:szCs w:val="21"/>
              </w:rPr>
              <w:t>（二）评分依据:</w:t>
            </w:r>
          </w:p>
          <w:p>
            <w:pPr>
              <w:tabs>
                <w:tab w:val="left" w:pos="175"/>
              </w:tabs>
              <w:spacing w:line="360" w:lineRule="exact"/>
              <w:ind w:left="33"/>
              <w:jc w:val="left"/>
              <w:rPr>
                <w:rFonts w:ascii="宋体" w:hAnsi="宋体"/>
                <w:szCs w:val="21"/>
              </w:rPr>
            </w:pPr>
            <w:r>
              <w:rPr>
                <w:rFonts w:hint="eastAsia" w:ascii="宋体" w:hAnsi="宋体"/>
                <w:szCs w:val="21"/>
              </w:rPr>
              <w:t xml:space="preserve">1.要求提供真实的照片、截图等证明材料作为得分依据。 </w:t>
            </w:r>
          </w:p>
          <w:p>
            <w:pPr>
              <w:tabs>
                <w:tab w:val="left" w:pos="175"/>
              </w:tabs>
              <w:spacing w:line="360" w:lineRule="exact"/>
              <w:ind w:left="33"/>
              <w:jc w:val="left"/>
              <w:rPr>
                <w:rFonts w:ascii="宋体" w:hAnsi="宋体"/>
                <w:szCs w:val="21"/>
              </w:rPr>
            </w:pPr>
            <w:r>
              <w:rPr>
                <w:rFonts w:hint="eastAsia" w:ascii="宋体" w:hAnsi="宋体"/>
                <w:szCs w:val="21"/>
              </w:rPr>
              <w:t>2.以上资料均要求提供照片（或官方网站截图）</w:t>
            </w:r>
            <w:r>
              <w:rPr>
                <w:rFonts w:hint="eastAsia"/>
              </w:rPr>
              <w:t>加盖投标人公章</w:t>
            </w:r>
            <w:r>
              <w:rPr>
                <w:rFonts w:hint="eastAsia" w:ascii="宋体" w:hAnsi="宋体"/>
                <w:szCs w:val="21"/>
              </w:rPr>
              <w:t xml:space="preserve">。评分中出现无证明资料或专家无法凭所提供资料判断 是否得分的情况，一律作不得分处理。 </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5</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bl>
    <w:p>
      <w:pPr>
        <w:pStyle w:val="2"/>
        <w:spacing w:before="0" w:after="0"/>
        <w:jc w:val="left"/>
        <w:rPr>
          <w:rFonts w:asciiTheme="minorEastAsia" w:hAnsiTheme="minorEastAsia"/>
          <w:bCs w:val="0"/>
          <w:sz w:val="21"/>
          <w:szCs w:val="21"/>
        </w:rPr>
      </w:pPr>
      <w:bookmarkStart w:id="13" w:name="_Toc44691162"/>
      <w:bookmarkStart w:id="14" w:name="_Toc135293165"/>
      <w:bookmarkStart w:id="15" w:name="_Toc44690430"/>
      <w:bookmarkStart w:id="16" w:name="_Toc44691394"/>
      <w:bookmarkStart w:id="17" w:name="_Toc44690703"/>
      <w:r>
        <w:rPr>
          <w:rFonts w:hint="eastAsia" w:asciiTheme="minorEastAsia" w:hAnsiTheme="minorEastAsia"/>
          <w:bCs w:val="0"/>
          <w:sz w:val="21"/>
          <w:szCs w:val="21"/>
        </w:rPr>
        <w:t>备注：</w:t>
      </w:r>
      <w:bookmarkEnd w:id="13"/>
      <w:bookmarkEnd w:id="14"/>
      <w:bookmarkEnd w:id="15"/>
      <w:bookmarkEnd w:id="16"/>
      <w:bookmarkEnd w:id="17"/>
    </w:p>
    <w:p>
      <w:pPr>
        <w:pStyle w:val="4"/>
        <w:spacing w:before="0" w:after="0"/>
      </w:pPr>
      <w:bookmarkStart w:id="18" w:name="_Toc135293166"/>
      <w:r>
        <w:rPr>
          <w:rFonts w:hint="eastAsia"/>
        </w:rPr>
        <w:t>1、资质证书有效期</w:t>
      </w:r>
      <w:bookmarkEnd w:id="18"/>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4"/>
        <w:spacing w:before="0" w:after="0"/>
        <w:rPr>
          <w:rFonts w:asciiTheme="minorEastAsia" w:hAnsiTheme="minorEastAsia" w:eastAsiaTheme="minorEastAsia"/>
        </w:rPr>
      </w:pPr>
      <w:bookmarkStart w:id="19" w:name="_Toc135293167"/>
      <w:r>
        <w:rPr>
          <w:rFonts w:hint="eastAsia" w:asciiTheme="minorEastAsia" w:hAnsiTheme="minorEastAsia" w:eastAsiaTheme="minorEastAsia"/>
        </w:rPr>
        <w:t>2、政府采购扶持政策</w:t>
      </w:r>
      <w:bookmarkEnd w:id="19"/>
    </w:p>
    <w:p>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pPr>
        <w:spacing w:line="360" w:lineRule="auto"/>
        <w:ind w:firstLine="424" w:firstLineChars="202"/>
      </w:pPr>
    </w:p>
    <w:p>
      <w:pPr>
        <w:widowControl/>
        <w:jc w:val="left"/>
      </w:pPr>
      <w:r>
        <w:br w:type="page"/>
      </w:r>
    </w:p>
    <w:p>
      <w:pPr>
        <w:widowControl/>
        <w:jc w:val="left"/>
      </w:pPr>
    </w:p>
    <w:p>
      <w:pPr>
        <w:pStyle w:val="3"/>
      </w:pPr>
      <w:bookmarkStart w:id="20" w:name="_Toc135293168"/>
      <w:r>
        <w:rPr>
          <w:rFonts w:hint="eastAsia"/>
        </w:rPr>
        <w:t>第五章  投标人须知前附表</w:t>
      </w:r>
      <w:bookmarkEnd w:id="20"/>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项号</w:t>
            </w:r>
          </w:p>
        </w:tc>
        <w:tc>
          <w:tcPr>
            <w:tcW w:w="1038" w:type="dxa"/>
            <w:vAlign w:val="center"/>
          </w:tcPr>
          <w:p>
            <w:pPr>
              <w:pStyle w:val="26"/>
              <w:spacing w:line="360" w:lineRule="auto"/>
              <w:jc w:val="center"/>
              <w:rPr>
                <w:rFonts w:hAnsi="宋体"/>
              </w:rPr>
            </w:pPr>
            <w:r>
              <w:rPr>
                <w:rFonts w:hint="eastAsia" w:hAnsi="宋体"/>
              </w:rPr>
              <w:t>条款号</w:t>
            </w:r>
          </w:p>
        </w:tc>
        <w:tc>
          <w:tcPr>
            <w:tcW w:w="1843" w:type="dxa"/>
            <w:vAlign w:val="center"/>
          </w:tcPr>
          <w:p>
            <w:pPr>
              <w:pStyle w:val="26"/>
              <w:spacing w:line="360" w:lineRule="auto"/>
              <w:jc w:val="center"/>
              <w:rPr>
                <w:rFonts w:hAnsi="宋体"/>
              </w:rPr>
            </w:pPr>
            <w:r>
              <w:rPr>
                <w:rFonts w:hint="eastAsia" w:hAnsi="宋体"/>
              </w:rPr>
              <w:t>内容</w:t>
            </w:r>
          </w:p>
        </w:tc>
        <w:tc>
          <w:tcPr>
            <w:tcW w:w="6520" w:type="dxa"/>
          </w:tcPr>
          <w:p>
            <w:pPr>
              <w:pStyle w:val="26"/>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Ansi="宋体"/>
              </w:rPr>
              <w:t>1</w:t>
            </w:r>
          </w:p>
        </w:tc>
        <w:tc>
          <w:tcPr>
            <w:tcW w:w="1038" w:type="dxa"/>
            <w:vAlign w:val="center"/>
          </w:tcPr>
          <w:p>
            <w:pPr>
              <w:pStyle w:val="26"/>
              <w:spacing w:line="360" w:lineRule="auto"/>
              <w:jc w:val="center"/>
              <w:rPr>
                <w:rFonts w:hAnsi="宋体"/>
              </w:rPr>
            </w:pPr>
            <w:r>
              <w:rPr>
                <w:rFonts w:hAnsi="宋体"/>
              </w:rPr>
              <w:t>1.1</w:t>
            </w:r>
          </w:p>
        </w:tc>
        <w:tc>
          <w:tcPr>
            <w:tcW w:w="1843" w:type="dxa"/>
            <w:vAlign w:val="center"/>
          </w:tcPr>
          <w:p>
            <w:pPr>
              <w:pStyle w:val="26"/>
              <w:spacing w:line="360" w:lineRule="exact"/>
              <w:jc w:val="center"/>
              <w:rPr>
                <w:rFonts w:hAnsi="宋体"/>
              </w:rPr>
            </w:pPr>
            <w:r>
              <w:rPr>
                <w:rFonts w:hint="eastAsia" w:hAnsi="宋体"/>
              </w:rPr>
              <w:t>项目名称</w:t>
            </w:r>
          </w:p>
        </w:tc>
        <w:tc>
          <w:tcPr>
            <w:tcW w:w="6520" w:type="dxa"/>
            <w:vAlign w:val="center"/>
          </w:tcPr>
          <w:p>
            <w:pPr>
              <w:pStyle w:val="26"/>
              <w:spacing w:line="360" w:lineRule="exact"/>
            </w:pPr>
            <w:r>
              <w:rPr>
                <w:rFonts w:hint="eastAsia"/>
              </w:rPr>
              <w:t>作风纪律社会监督</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2</w:t>
            </w:r>
          </w:p>
        </w:tc>
        <w:tc>
          <w:tcPr>
            <w:tcW w:w="1038" w:type="dxa"/>
            <w:vAlign w:val="center"/>
          </w:tcPr>
          <w:p>
            <w:pPr>
              <w:pStyle w:val="26"/>
              <w:spacing w:line="360" w:lineRule="auto"/>
              <w:jc w:val="center"/>
              <w:rPr>
                <w:rFonts w:hAnsi="宋体"/>
              </w:rPr>
            </w:pPr>
            <w:r>
              <w:rPr>
                <w:rFonts w:hAnsi="宋体"/>
              </w:rPr>
              <w:t>2.1</w:t>
            </w:r>
          </w:p>
        </w:tc>
        <w:tc>
          <w:tcPr>
            <w:tcW w:w="1843" w:type="dxa"/>
            <w:vAlign w:val="center"/>
          </w:tcPr>
          <w:p>
            <w:pPr>
              <w:pStyle w:val="26"/>
              <w:spacing w:line="360" w:lineRule="exact"/>
              <w:jc w:val="center"/>
              <w:rPr>
                <w:rFonts w:hAnsi="宋体"/>
              </w:rPr>
            </w:pPr>
            <w:r>
              <w:rPr>
                <w:rFonts w:hint="eastAsia" w:hAnsi="宋体"/>
              </w:rPr>
              <w:t>采购人</w:t>
            </w:r>
          </w:p>
        </w:tc>
        <w:tc>
          <w:tcPr>
            <w:tcW w:w="6520" w:type="dxa"/>
            <w:vAlign w:val="center"/>
          </w:tcPr>
          <w:p>
            <w:pPr>
              <w:pStyle w:val="26"/>
              <w:spacing w:line="360" w:lineRule="exact"/>
              <w:rPr>
                <w:rFonts w:hAnsi="宋体"/>
                <w:szCs w:val="24"/>
              </w:rPr>
            </w:pPr>
            <w:r>
              <w:rPr>
                <w:rFonts w:hint="eastAsia" w:hAnsi="宋体"/>
                <w:snapToGrid w:val="0"/>
                <w:szCs w:val="21"/>
              </w:rPr>
              <w:t>深圳市市场监督管理局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3</w:t>
            </w:r>
          </w:p>
        </w:tc>
        <w:tc>
          <w:tcPr>
            <w:tcW w:w="1038" w:type="dxa"/>
            <w:vAlign w:val="center"/>
          </w:tcPr>
          <w:p>
            <w:pPr>
              <w:pStyle w:val="26"/>
              <w:spacing w:line="360" w:lineRule="auto"/>
              <w:jc w:val="center"/>
              <w:rPr>
                <w:rFonts w:hAnsi="宋体"/>
              </w:rPr>
            </w:pPr>
            <w:r>
              <w:rPr>
                <w:rFonts w:hAnsi="宋体"/>
              </w:rPr>
              <w:t>2.2</w:t>
            </w:r>
          </w:p>
        </w:tc>
        <w:tc>
          <w:tcPr>
            <w:tcW w:w="1843" w:type="dxa"/>
            <w:vAlign w:val="center"/>
          </w:tcPr>
          <w:p>
            <w:pPr>
              <w:pStyle w:val="26"/>
              <w:spacing w:line="360" w:lineRule="exact"/>
              <w:jc w:val="center"/>
              <w:rPr>
                <w:rFonts w:hAnsi="宋体"/>
              </w:rPr>
            </w:pPr>
            <w:r>
              <w:rPr>
                <w:rFonts w:hint="eastAsia" w:hAnsi="宋体"/>
              </w:rPr>
              <w:t>采购代理机构</w:t>
            </w:r>
          </w:p>
        </w:tc>
        <w:tc>
          <w:tcPr>
            <w:tcW w:w="6520" w:type="dxa"/>
            <w:vAlign w:val="center"/>
          </w:tcPr>
          <w:p>
            <w:pPr>
              <w:pStyle w:val="26"/>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6"/>
              <w:spacing w:line="360" w:lineRule="auto"/>
              <w:jc w:val="center"/>
              <w:rPr>
                <w:rFonts w:hAnsi="宋体"/>
              </w:rPr>
            </w:pPr>
            <w:r>
              <w:rPr>
                <w:rFonts w:hint="eastAsia" w:hAnsi="宋体"/>
              </w:rPr>
              <w:t>4</w:t>
            </w:r>
          </w:p>
        </w:tc>
        <w:tc>
          <w:tcPr>
            <w:tcW w:w="1038" w:type="dxa"/>
            <w:vAlign w:val="center"/>
          </w:tcPr>
          <w:p>
            <w:pPr>
              <w:pStyle w:val="26"/>
              <w:spacing w:line="360" w:lineRule="auto"/>
              <w:jc w:val="center"/>
              <w:rPr>
                <w:rFonts w:hAnsi="宋体"/>
              </w:rPr>
            </w:pPr>
            <w:r>
              <w:rPr>
                <w:rFonts w:hint="eastAsia" w:hAnsi="宋体"/>
              </w:rPr>
              <w:t>3.1</w:t>
            </w:r>
          </w:p>
        </w:tc>
        <w:tc>
          <w:tcPr>
            <w:tcW w:w="1843" w:type="dxa"/>
            <w:vAlign w:val="center"/>
          </w:tcPr>
          <w:p>
            <w:pPr>
              <w:pStyle w:val="26"/>
              <w:spacing w:line="360" w:lineRule="exact"/>
              <w:jc w:val="center"/>
              <w:rPr>
                <w:rFonts w:hAnsi="宋体"/>
              </w:rPr>
            </w:pPr>
            <w:r>
              <w:rPr>
                <w:rFonts w:hint="eastAsia" w:hAnsi="宋体"/>
              </w:rPr>
              <w:t>资金来源</w:t>
            </w:r>
          </w:p>
        </w:tc>
        <w:tc>
          <w:tcPr>
            <w:tcW w:w="6520" w:type="dxa"/>
            <w:vAlign w:val="center"/>
          </w:tcPr>
          <w:p>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6"/>
              <w:spacing w:line="360" w:lineRule="auto"/>
              <w:jc w:val="center"/>
              <w:rPr>
                <w:rFonts w:hAnsi="宋体"/>
              </w:rPr>
            </w:pPr>
            <w:r>
              <w:rPr>
                <w:rFonts w:hint="eastAsia" w:hAnsi="宋体"/>
              </w:rPr>
              <w:t>5</w:t>
            </w:r>
          </w:p>
        </w:tc>
        <w:tc>
          <w:tcPr>
            <w:tcW w:w="1038" w:type="dxa"/>
            <w:vAlign w:val="center"/>
          </w:tcPr>
          <w:p>
            <w:pPr>
              <w:pStyle w:val="26"/>
              <w:spacing w:line="360" w:lineRule="auto"/>
              <w:jc w:val="center"/>
              <w:rPr>
                <w:rFonts w:hAnsi="宋体"/>
              </w:rPr>
            </w:pPr>
            <w:r>
              <w:rPr>
                <w:rFonts w:hint="eastAsia" w:hAnsi="宋体"/>
              </w:rPr>
              <w:t>4.7</w:t>
            </w:r>
          </w:p>
        </w:tc>
        <w:tc>
          <w:tcPr>
            <w:tcW w:w="1843" w:type="dxa"/>
            <w:vAlign w:val="center"/>
          </w:tcPr>
          <w:p>
            <w:pPr>
              <w:pStyle w:val="26"/>
              <w:spacing w:line="360" w:lineRule="auto"/>
              <w:jc w:val="center"/>
              <w:rPr>
                <w:rFonts w:hAnsi="宋体"/>
              </w:rPr>
            </w:pPr>
            <w:r>
              <w:rPr>
                <w:rFonts w:hint="eastAsia" w:hAnsi="宋体"/>
              </w:rPr>
              <w:t>投标人资格要求</w:t>
            </w:r>
          </w:p>
        </w:tc>
        <w:tc>
          <w:tcPr>
            <w:tcW w:w="6520" w:type="dxa"/>
            <w:vAlign w:val="center"/>
          </w:tcPr>
          <w:p>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pPr>
              <w:pStyle w:val="26"/>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6</w:t>
            </w:r>
          </w:p>
        </w:tc>
        <w:tc>
          <w:tcPr>
            <w:tcW w:w="1038" w:type="dxa"/>
            <w:vAlign w:val="center"/>
          </w:tcPr>
          <w:p>
            <w:pPr>
              <w:pStyle w:val="26"/>
              <w:spacing w:line="360" w:lineRule="auto"/>
              <w:jc w:val="center"/>
              <w:rPr>
                <w:rFonts w:hAnsi="宋体"/>
              </w:rPr>
            </w:pPr>
            <w:r>
              <w:rPr>
                <w:rFonts w:hint="eastAsia" w:hAnsi="宋体"/>
              </w:rPr>
              <w:t>4.8</w:t>
            </w:r>
          </w:p>
        </w:tc>
        <w:tc>
          <w:tcPr>
            <w:tcW w:w="1843" w:type="dxa"/>
            <w:vAlign w:val="center"/>
          </w:tcPr>
          <w:p>
            <w:pPr>
              <w:pStyle w:val="26"/>
              <w:spacing w:line="360" w:lineRule="auto"/>
              <w:jc w:val="center"/>
              <w:rPr>
                <w:rFonts w:hAnsi="宋体"/>
              </w:rPr>
            </w:pPr>
            <w:r>
              <w:rPr>
                <w:rFonts w:hint="eastAsia" w:hAnsi="宋体"/>
              </w:rPr>
              <w:t>联合体投标</w:t>
            </w:r>
          </w:p>
        </w:tc>
        <w:tc>
          <w:tcPr>
            <w:tcW w:w="6520" w:type="dxa"/>
          </w:tcPr>
          <w:p>
            <w:pPr>
              <w:pStyle w:val="26"/>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7</w:t>
            </w:r>
          </w:p>
        </w:tc>
        <w:tc>
          <w:tcPr>
            <w:tcW w:w="1038" w:type="dxa"/>
            <w:vAlign w:val="center"/>
          </w:tcPr>
          <w:p>
            <w:pPr>
              <w:pStyle w:val="26"/>
              <w:spacing w:line="360" w:lineRule="auto"/>
              <w:jc w:val="center"/>
              <w:rPr>
                <w:rFonts w:hAnsi="宋体"/>
              </w:rPr>
            </w:pPr>
            <w:r>
              <w:rPr>
                <w:rFonts w:hint="eastAsia" w:hAnsi="宋体"/>
              </w:rPr>
              <w:t>6.1</w:t>
            </w:r>
          </w:p>
        </w:tc>
        <w:tc>
          <w:tcPr>
            <w:tcW w:w="1843" w:type="dxa"/>
            <w:vAlign w:val="center"/>
          </w:tcPr>
          <w:p>
            <w:pPr>
              <w:pStyle w:val="26"/>
              <w:spacing w:line="360" w:lineRule="auto"/>
              <w:jc w:val="center"/>
              <w:rPr>
                <w:rFonts w:hAnsi="宋体"/>
              </w:rPr>
            </w:pPr>
            <w:r>
              <w:rPr>
                <w:rFonts w:hint="eastAsia" w:hAnsi="宋体"/>
              </w:rPr>
              <w:t>踏勘现场</w:t>
            </w:r>
          </w:p>
        </w:tc>
        <w:tc>
          <w:tcPr>
            <w:tcW w:w="6520" w:type="dxa"/>
          </w:tcPr>
          <w:p>
            <w:pPr>
              <w:pStyle w:val="26"/>
              <w:spacing w:line="360" w:lineRule="auto"/>
              <w:rPr>
                <w:rFonts w:hAnsi="宋体"/>
              </w:rPr>
            </w:pPr>
            <w:r>
              <w:rPr>
                <w:rFonts w:hint="eastAsia" w:hAnsi="宋体"/>
              </w:rPr>
              <w:t>不统一组织</w:t>
            </w:r>
            <w:r>
              <w:rPr>
                <w:rFonts w:hint="eastAsia"/>
                <w:snapToGrid w:val="0"/>
              </w:rPr>
              <w:t>，由各投标人自行查看现场。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8</w:t>
            </w:r>
          </w:p>
        </w:tc>
        <w:tc>
          <w:tcPr>
            <w:tcW w:w="1038" w:type="dxa"/>
            <w:vAlign w:val="center"/>
          </w:tcPr>
          <w:p>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6"/>
              <w:spacing w:line="360" w:lineRule="auto"/>
              <w:jc w:val="center"/>
              <w:rPr>
                <w:rFonts w:hAnsi="宋体"/>
              </w:rPr>
            </w:pPr>
            <w:r>
              <w:rPr>
                <w:rFonts w:hint="eastAsia" w:hAnsi="宋体"/>
              </w:rPr>
              <w:t>投标有效期</w:t>
            </w:r>
          </w:p>
        </w:tc>
        <w:tc>
          <w:tcPr>
            <w:tcW w:w="6520" w:type="dxa"/>
          </w:tcPr>
          <w:p>
            <w:pPr>
              <w:pStyle w:val="26"/>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9</w:t>
            </w:r>
          </w:p>
        </w:tc>
        <w:tc>
          <w:tcPr>
            <w:tcW w:w="1038" w:type="dxa"/>
            <w:vAlign w:val="center"/>
          </w:tcPr>
          <w:p>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6"/>
              <w:spacing w:line="360" w:lineRule="auto"/>
              <w:jc w:val="center"/>
              <w:rPr>
                <w:rFonts w:hAnsi="宋体"/>
              </w:rPr>
            </w:pPr>
            <w:r>
              <w:rPr>
                <w:rFonts w:hint="eastAsia" w:hAnsi="宋体"/>
              </w:rPr>
              <w:t>10</w:t>
            </w:r>
          </w:p>
        </w:tc>
        <w:tc>
          <w:tcPr>
            <w:tcW w:w="1038" w:type="dxa"/>
            <w:vAlign w:val="center"/>
          </w:tcPr>
          <w:p>
            <w:pPr>
              <w:pStyle w:val="26"/>
              <w:spacing w:line="360" w:lineRule="auto"/>
              <w:jc w:val="center"/>
              <w:rPr>
                <w:rFonts w:hAnsi="宋体"/>
              </w:rPr>
            </w:pPr>
            <w:r>
              <w:rPr>
                <w:rFonts w:hint="eastAsia" w:hAnsi="宋体"/>
              </w:rPr>
              <w:t>16.1</w:t>
            </w:r>
          </w:p>
        </w:tc>
        <w:tc>
          <w:tcPr>
            <w:tcW w:w="1843" w:type="dxa"/>
            <w:vAlign w:val="center"/>
          </w:tcPr>
          <w:p>
            <w:pPr>
              <w:pStyle w:val="26"/>
              <w:spacing w:line="360" w:lineRule="auto"/>
              <w:jc w:val="center"/>
              <w:rPr>
                <w:rFonts w:hAnsi="宋体"/>
              </w:rPr>
            </w:pPr>
            <w:r>
              <w:rPr>
                <w:rFonts w:hint="eastAsia" w:hAnsi="宋体"/>
              </w:rPr>
              <w:t>投标预备会</w:t>
            </w:r>
          </w:p>
          <w:p>
            <w:pPr>
              <w:pStyle w:val="26"/>
              <w:spacing w:line="360" w:lineRule="auto"/>
              <w:jc w:val="center"/>
              <w:rPr>
                <w:rFonts w:hAnsi="宋体"/>
              </w:rPr>
            </w:pPr>
            <w:r>
              <w:rPr>
                <w:rFonts w:hint="eastAsia" w:hAnsi="宋体"/>
              </w:rPr>
              <w:t>（答疑会）</w:t>
            </w:r>
          </w:p>
        </w:tc>
        <w:tc>
          <w:tcPr>
            <w:tcW w:w="6520" w:type="dxa"/>
            <w:vAlign w:val="center"/>
          </w:tcPr>
          <w:p>
            <w:pPr>
              <w:pStyle w:val="26"/>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11</w:t>
            </w:r>
          </w:p>
        </w:tc>
        <w:tc>
          <w:tcPr>
            <w:tcW w:w="1038" w:type="dxa"/>
            <w:vAlign w:val="center"/>
          </w:tcPr>
          <w:p>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6"/>
              <w:spacing w:line="360" w:lineRule="auto"/>
              <w:jc w:val="center"/>
              <w:rPr>
                <w:rFonts w:hAnsi="宋体"/>
              </w:rPr>
            </w:pPr>
            <w:r>
              <w:rPr>
                <w:rFonts w:hint="eastAsia" w:hAnsi="宋体"/>
              </w:rPr>
              <w:t>投标文件份数</w:t>
            </w:r>
          </w:p>
        </w:tc>
        <w:tc>
          <w:tcPr>
            <w:tcW w:w="6520" w:type="dxa"/>
          </w:tcPr>
          <w:p>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投标文件必须标注页码并装订成册</w:t>
            </w:r>
            <w:r>
              <w:rPr>
                <w:rFonts w:hint="eastAsia" w:asciiTheme="minorEastAsia" w:hAnsiTheme="minorEastAsia" w:eastAsiaTheme="minor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12</w:t>
            </w:r>
          </w:p>
        </w:tc>
        <w:tc>
          <w:tcPr>
            <w:tcW w:w="1038" w:type="dxa"/>
            <w:vAlign w:val="center"/>
          </w:tcPr>
          <w:p>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6"/>
              <w:spacing w:line="360" w:lineRule="auto"/>
              <w:jc w:val="center"/>
              <w:rPr>
                <w:rFonts w:hAnsi="宋体"/>
              </w:rPr>
            </w:pPr>
            <w:r>
              <w:rPr>
                <w:rFonts w:hint="eastAsia" w:hAnsi="宋体"/>
              </w:rPr>
              <w:t>开标</w:t>
            </w:r>
          </w:p>
        </w:tc>
        <w:tc>
          <w:tcPr>
            <w:tcW w:w="6520" w:type="dxa"/>
          </w:tcPr>
          <w:p>
            <w:pPr>
              <w:pStyle w:val="26"/>
              <w:spacing w:line="360" w:lineRule="auto"/>
              <w:rPr>
                <w:rFonts w:hAnsi="宋体"/>
              </w:rPr>
            </w:pPr>
            <w:r>
              <w:rPr>
                <w:rFonts w:hint="eastAsia" w:hAnsi="宋体"/>
                <w:szCs w:val="21"/>
              </w:rPr>
              <w:t>详见《第一章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13</w:t>
            </w:r>
          </w:p>
        </w:tc>
        <w:tc>
          <w:tcPr>
            <w:tcW w:w="1038" w:type="dxa"/>
            <w:vAlign w:val="center"/>
          </w:tcPr>
          <w:p>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投标截止时间</w:t>
            </w:r>
          </w:p>
        </w:tc>
        <w:tc>
          <w:tcPr>
            <w:tcW w:w="6520" w:type="dxa"/>
          </w:tcPr>
          <w:p>
            <w:pPr>
              <w:pStyle w:val="26"/>
              <w:spacing w:line="360" w:lineRule="auto"/>
              <w:rPr>
                <w:rFonts w:hAnsi="宋体"/>
                <w:b/>
              </w:rPr>
            </w:pPr>
            <w:r>
              <w:rPr>
                <w:rFonts w:hint="eastAsia" w:hAnsi="宋体"/>
                <w:szCs w:val="21"/>
              </w:rPr>
              <w:t>详见《第一章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14</w:t>
            </w:r>
          </w:p>
        </w:tc>
        <w:tc>
          <w:tcPr>
            <w:tcW w:w="1038" w:type="dxa"/>
            <w:vAlign w:val="center"/>
          </w:tcPr>
          <w:p>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6"/>
              <w:spacing w:line="360" w:lineRule="auto"/>
              <w:jc w:val="center"/>
              <w:rPr>
                <w:rFonts w:hAnsi="宋体"/>
              </w:rPr>
            </w:pPr>
            <w:r>
              <w:rPr>
                <w:rFonts w:hint="eastAsia" w:hAnsi="宋体"/>
              </w:rPr>
              <w:t>评标办法</w:t>
            </w:r>
          </w:p>
        </w:tc>
        <w:tc>
          <w:tcPr>
            <w:tcW w:w="6520" w:type="dxa"/>
          </w:tcPr>
          <w:p>
            <w:pPr>
              <w:pStyle w:val="26"/>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15</w:t>
            </w:r>
          </w:p>
        </w:tc>
        <w:tc>
          <w:tcPr>
            <w:tcW w:w="1038" w:type="dxa"/>
            <w:vAlign w:val="center"/>
          </w:tcPr>
          <w:p>
            <w:pPr>
              <w:pStyle w:val="26"/>
              <w:spacing w:line="360" w:lineRule="auto"/>
              <w:jc w:val="center"/>
              <w:rPr>
                <w:rFonts w:hAnsi="宋体"/>
              </w:rPr>
            </w:pPr>
            <w:r>
              <w:rPr>
                <w:rFonts w:hint="eastAsia" w:hAnsi="宋体"/>
              </w:rPr>
              <w:t>33</w:t>
            </w:r>
            <w:r>
              <w:rPr>
                <w:rFonts w:hAnsi="宋体"/>
              </w:rPr>
              <w:t>.1</w:t>
            </w:r>
          </w:p>
        </w:tc>
        <w:tc>
          <w:tcPr>
            <w:tcW w:w="1843" w:type="dxa"/>
            <w:vAlign w:val="center"/>
          </w:tcPr>
          <w:p>
            <w:pPr>
              <w:pStyle w:val="26"/>
              <w:spacing w:line="360" w:lineRule="auto"/>
              <w:jc w:val="center"/>
              <w:rPr>
                <w:snapToGrid w:val="0"/>
                <w:kern w:val="0"/>
              </w:rPr>
            </w:pPr>
            <w:r>
              <w:rPr>
                <w:rFonts w:hint="eastAsia"/>
                <w:snapToGrid w:val="0"/>
                <w:kern w:val="0"/>
              </w:rPr>
              <w:t>履约保证金</w:t>
            </w:r>
          </w:p>
        </w:tc>
        <w:tc>
          <w:tcPr>
            <w:tcW w:w="6520" w:type="dxa"/>
          </w:tcPr>
          <w:p>
            <w:pPr>
              <w:pStyle w:val="26"/>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16</w:t>
            </w:r>
          </w:p>
        </w:tc>
        <w:tc>
          <w:tcPr>
            <w:tcW w:w="1038" w:type="dxa"/>
            <w:vAlign w:val="center"/>
          </w:tcPr>
          <w:p>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6"/>
              <w:spacing w:line="360" w:lineRule="auto"/>
              <w:jc w:val="center"/>
              <w:rPr>
                <w:rFonts w:hAnsi="宋体"/>
              </w:rPr>
            </w:pPr>
            <w:r>
              <w:rPr>
                <w:rFonts w:hint="eastAsia" w:hAnsi="宋体"/>
              </w:rPr>
              <w:t>中标服务费</w:t>
            </w:r>
          </w:p>
        </w:tc>
        <w:tc>
          <w:tcPr>
            <w:tcW w:w="6520" w:type="dxa"/>
          </w:tcPr>
          <w:p>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%，最低收取人民币6000元。</w:t>
            </w:r>
          </w:p>
          <w:p>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pPr>
        <w:rPr>
          <w:szCs w:val="21"/>
        </w:rPr>
      </w:pPr>
    </w:p>
    <w:p/>
    <w:p/>
    <w:p/>
    <w:p/>
    <w:p/>
    <w:p/>
    <w:p/>
    <w:p/>
    <w:p/>
    <w:p/>
    <w:p/>
    <w:p/>
    <w:p/>
    <w:p/>
    <w:p/>
    <w:p/>
    <w:p/>
    <w:p/>
    <w:p/>
    <w:p/>
    <w:p/>
    <w:p/>
    <w:p/>
    <w:p/>
    <w:p/>
    <w:p/>
    <w:p/>
    <w:p/>
    <w:p/>
    <w:p/>
    <w:p/>
    <w:p/>
    <w:p/>
    <w:p/>
    <w:p/>
    <w:p/>
    <w:p/>
    <w:p/>
    <w:p/>
    <w:p/>
    <w:p/>
    <w:p/>
    <w:p>
      <w:pPr>
        <w:pStyle w:val="3"/>
      </w:pPr>
      <w:bookmarkStart w:id="21" w:name="_Toc135293169"/>
      <w:r>
        <w:rPr>
          <w:rFonts w:hint="eastAsia"/>
        </w:rPr>
        <w:t>第六章  投标人须知</w:t>
      </w:r>
      <w:bookmarkEnd w:id="21"/>
    </w:p>
    <w:p>
      <w:pPr>
        <w:pStyle w:val="2"/>
        <w:spacing w:before="0" w:after="0"/>
      </w:pPr>
      <w:bookmarkStart w:id="22" w:name="_Toc135293170"/>
      <w:r>
        <w:rPr>
          <w:rFonts w:hint="eastAsia"/>
        </w:rPr>
        <w:t>一、说</w:t>
      </w:r>
      <w:r>
        <w:t xml:space="preserve">  </w:t>
      </w:r>
      <w:r>
        <w:rPr>
          <w:rFonts w:hint="eastAsia"/>
        </w:rPr>
        <w:t>明</w:t>
      </w:r>
      <w:bookmarkEnd w:id="22"/>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3" w:name="q5"/>
      <w:bookmarkEnd w:id="23"/>
    </w:p>
    <w:p>
      <w:pPr>
        <w:pStyle w:val="2"/>
        <w:spacing w:before="0" w:after="0"/>
      </w:pPr>
      <w:bookmarkStart w:id="24" w:name="_Toc135293171"/>
      <w:r>
        <w:rPr>
          <w:rFonts w:hint="eastAsia"/>
        </w:rPr>
        <w:t>二、招标文件说明</w:t>
      </w:r>
      <w:bookmarkEnd w:id="24"/>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2"/>
        <w:spacing w:before="0" w:after="0"/>
      </w:pPr>
      <w:bookmarkStart w:id="25" w:name="q6"/>
      <w:bookmarkEnd w:id="25"/>
      <w:bookmarkStart w:id="26" w:name="_Toc135293172"/>
      <w:r>
        <w:rPr>
          <w:rFonts w:hint="eastAsia"/>
        </w:rPr>
        <w:t>三、投标文件的编写</w:t>
      </w:r>
      <w:bookmarkEnd w:id="26"/>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为了便于投标文件保存，需提交一份投标文件备份光盘（或U盘，内容为投标文件正本盖章扫描件）。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投标文件不符合上述规定的，为无效投标。</w:t>
      </w:r>
    </w:p>
    <w:p>
      <w:pPr>
        <w:adjustRightInd w:val="0"/>
        <w:spacing w:line="360" w:lineRule="auto"/>
        <w:rPr>
          <w:rFonts w:asciiTheme="minorEastAsia" w:hAnsiTheme="minorEastAsia" w:eastAsiaTheme="minorEastAsia"/>
          <w:snapToGrid w:val="0"/>
          <w:kern w:val="0"/>
        </w:rPr>
      </w:pPr>
    </w:p>
    <w:p>
      <w:pPr>
        <w:pStyle w:val="2"/>
        <w:spacing w:before="0" w:after="0"/>
      </w:pPr>
      <w:bookmarkStart w:id="27" w:name="q7"/>
      <w:bookmarkEnd w:id="27"/>
      <w:bookmarkStart w:id="28" w:name="_Toc135293173"/>
      <w:r>
        <w:rPr>
          <w:rFonts w:hint="eastAsia"/>
        </w:rPr>
        <w:t>四、投标文件的递交</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9" w:name="_Hlt35050056"/>
      <w:bookmarkEnd w:id="29"/>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2"/>
        <w:spacing w:before="0" w:after="0"/>
      </w:pPr>
      <w:bookmarkStart w:id="30" w:name="q8"/>
      <w:bookmarkEnd w:id="30"/>
      <w:bookmarkStart w:id="31" w:name="_Toc135293174"/>
      <w:r>
        <w:rPr>
          <w:rFonts w:hint="eastAsia"/>
        </w:rPr>
        <w:t>五、开标和评标</w:t>
      </w:r>
      <w:bookmarkEnd w:id="3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32" w:name="q9"/>
      <w:bookmarkEnd w:id="32"/>
    </w:p>
    <w:p>
      <w:pPr>
        <w:pStyle w:val="2"/>
        <w:spacing w:before="0" w:after="0"/>
      </w:pPr>
      <w:bookmarkStart w:id="33" w:name="_Toc135293175"/>
      <w:r>
        <w:rPr>
          <w:rFonts w:hint="eastAsia"/>
        </w:rPr>
        <w:t>六、授予合同</w:t>
      </w:r>
      <w:bookmarkEnd w:id="33"/>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pPr>
        <w:spacing w:line="360" w:lineRule="auto"/>
        <w:ind w:firstLine="1044" w:firstLineChars="200"/>
        <w:rPr>
          <w:b/>
          <w:sz w:val="52"/>
          <w:szCs w:val="52"/>
        </w:rPr>
      </w:pPr>
    </w:p>
    <w:p>
      <w:pPr>
        <w:pStyle w:val="2"/>
        <w:spacing w:before="0" w:after="0"/>
      </w:pPr>
      <w:bookmarkStart w:id="34" w:name="_Toc135293176"/>
      <w:r>
        <w:rPr>
          <w:rFonts w:hint="eastAsia"/>
        </w:rPr>
        <w:t>七、质疑处理</w:t>
      </w:r>
      <w:bookmarkEnd w:id="34"/>
    </w:p>
    <w:p>
      <w:pPr>
        <w:spacing w:line="360" w:lineRule="auto"/>
        <w:rPr>
          <w:rFonts w:asciiTheme="majorEastAsia" w:hAnsiTheme="majorEastAsia" w:eastAsiaTheme="majorEastAsia"/>
          <w:b/>
          <w:bCs/>
          <w:szCs w:val="21"/>
        </w:rPr>
      </w:pPr>
      <w:bookmarkStart w:id="35"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6" w:name="_Hlk75374941"/>
      <w:r>
        <w:rPr>
          <w:rFonts w:hint="eastAsia" w:asciiTheme="majorEastAsia" w:hAnsiTheme="majorEastAsia" w:eastAsiaTheme="majorEastAsia"/>
          <w:szCs w:val="21"/>
        </w:rPr>
        <w:t>以联合体形式参与的，质疑应当由组成联合体的所有成员共同提出</w:t>
      </w:r>
      <w:bookmarkEnd w:id="36"/>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5"/>
    </w:p>
    <w:p/>
    <w:p/>
    <w:p/>
    <w:p/>
    <w:p/>
    <w:p/>
    <w:p/>
    <w:p/>
    <w:p/>
    <w:p/>
    <w:p/>
    <w:p/>
    <w:p/>
    <w:p/>
    <w:p/>
    <w:p/>
    <w:p/>
    <w:p>
      <w:pPr>
        <w:pStyle w:val="3"/>
      </w:pPr>
      <w:bookmarkStart w:id="37" w:name="_Toc135293177"/>
      <w:r>
        <w:rPr>
          <w:rFonts w:hint="eastAsia"/>
        </w:rPr>
        <w:t>第七章  投标文件格式</w:t>
      </w:r>
      <w:bookmarkEnd w:id="37"/>
    </w:p>
    <w:p>
      <w:pPr>
        <w:jc w:val="center"/>
        <w:rPr>
          <w:b/>
          <w:sz w:val="52"/>
          <w:szCs w:val="52"/>
        </w:rPr>
      </w:pPr>
    </w:p>
    <w:p>
      <w:pPr>
        <w:pStyle w:val="2"/>
        <w:spacing w:line="400" w:lineRule="exact"/>
        <w:rPr>
          <w:rFonts w:ascii="仿宋" w:hAnsi="仿宋" w:eastAsia="仿宋"/>
        </w:rPr>
      </w:pPr>
      <w:bookmarkStart w:id="38" w:name="_Toc44690704"/>
      <w:bookmarkStart w:id="39" w:name="_Toc135293178"/>
      <w:bookmarkStart w:id="40" w:name="_Toc44691163"/>
      <w:bookmarkStart w:id="41" w:name="_Toc44690431"/>
      <w:bookmarkStart w:id="42" w:name="_Toc44691395"/>
      <w:bookmarkStart w:id="43" w:name="_Toc25194"/>
      <w:bookmarkStart w:id="44" w:name="_Toc14934"/>
      <w:bookmarkStart w:id="45" w:name="_Toc31468"/>
      <w:bookmarkStart w:id="46" w:name="_Toc11772"/>
      <w:r>
        <w:rPr>
          <w:rFonts w:hint="eastAsia" w:ascii="仿宋" w:hAnsi="仿宋" w:eastAsia="仿宋"/>
        </w:rPr>
        <w:t>投标文件编制说明</w:t>
      </w:r>
      <w:bookmarkEnd w:id="38"/>
      <w:bookmarkEnd w:id="39"/>
      <w:bookmarkEnd w:id="40"/>
      <w:bookmarkEnd w:id="41"/>
      <w:bookmarkEnd w:id="42"/>
      <w:bookmarkEnd w:id="43"/>
      <w:bookmarkEnd w:id="44"/>
      <w:bookmarkEnd w:id="45"/>
      <w:bookmarkEnd w:id="46"/>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rPr>
          <w:b/>
          <w:bCs/>
        </w:rPr>
      </w:pPr>
    </w:p>
    <w:p>
      <w:pPr>
        <w:spacing w:line="400" w:lineRule="exact"/>
        <w:rPr>
          <w:rFonts w:ascii="仿宋" w:hAnsi="仿宋" w:eastAsia="仿宋"/>
        </w:rPr>
      </w:pPr>
      <w:bookmarkStart w:id="47" w:name="_投标文件格式（第一册）"/>
      <w:bookmarkEnd w:id="47"/>
      <w:bookmarkStart w:id="48" w:name="q0"/>
    </w:p>
    <w:p>
      <w:pPr>
        <w:spacing w:line="400" w:lineRule="exact"/>
        <w:rPr>
          <w:rFonts w:ascii="仿宋" w:hAnsi="仿宋" w:eastAsia="仿宋"/>
        </w:rPr>
      </w:pPr>
    </w:p>
    <w:p>
      <w:pPr>
        <w:spacing w:line="400" w:lineRule="exact"/>
        <w:rPr>
          <w:rFonts w:ascii="仿宋" w:hAnsi="仿宋" w:eastAsia="仿宋"/>
        </w:rPr>
      </w:pPr>
    </w:p>
    <w:p>
      <w:pPr>
        <w:pStyle w:val="2"/>
        <w:spacing w:line="400" w:lineRule="exact"/>
        <w:rPr>
          <w:rFonts w:ascii="仿宋" w:hAnsi="仿宋" w:eastAsia="仿宋"/>
        </w:rPr>
      </w:pPr>
      <w:bookmarkStart w:id="49" w:name="_Toc135293179"/>
      <w:r>
        <w:rPr>
          <w:rFonts w:hint="eastAsia" w:ascii="仿宋" w:hAnsi="仿宋" w:eastAsia="仿宋"/>
        </w:rPr>
        <w:t>投标文件格式</w:t>
      </w:r>
      <w:bookmarkEnd w:id="49"/>
    </w:p>
    <w:bookmarkEnd w:id="48"/>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50" w:name="_格式1__投标人资格证明文件"/>
      <w:bookmarkEnd w:id="50"/>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pStyle w:val="2"/>
        <w:spacing w:line="400" w:lineRule="exact"/>
        <w:rPr>
          <w:rFonts w:ascii="仿宋" w:hAnsi="仿宋" w:eastAsia="仿宋"/>
        </w:rPr>
      </w:pPr>
      <w:bookmarkStart w:id="51" w:name="_Toc135293180"/>
      <w:bookmarkStart w:id="52" w:name="_Toc73613640"/>
      <w:r>
        <w:rPr>
          <w:rFonts w:hint="eastAsia" w:ascii="仿宋" w:hAnsi="仿宋" w:eastAsia="仿宋"/>
        </w:rPr>
        <w:t>政府采购违法行为风险知悉确认书</w:t>
      </w:r>
      <w:bookmarkEnd w:id="51"/>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szCs w:val="21"/>
        </w:rPr>
      </w:pPr>
    </w:p>
    <w:p/>
    <w:p/>
    <w:p/>
    <w:p/>
    <w:p/>
    <w:p/>
    <w:p/>
    <w:p/>
    <w:p/>
    <w:p/>
    <w:p/>
    <w:p/>
    <w:p>
      <w:pPr>
        <w:pStyle w:val="2"/>
        <w:spacing w:line="400" w:lineRule="exact"/>
        <w:rPr>
          <w:rFonts w:ascii="仿宋" w:hAnsi="仿宋" w:eastAsia="仿宋"/>
        </w:rPr>
      </w:pPr>
      <w:bookmarkStart w:id="53" w:name="_Toc135293181"/>
      <w:r>
        <w:rPr>
          <w:rFonts w:hint="eastAsia" w:ascii="仿宋" w:hAnsi="仿宋" w:eastAsia="仿宋"/>
        </w:rPr>
        <w:t>评标指引表</w:t>
      </w:r>
      <w:bookmarkEnd w:id="52"/>
      <w:bookmarkEnd w:id="53"/>
    </w:p>
    <w:p>
      <w:pPr>
        <w:jc w:val="center"/>
        <w:rPr>
          <w:b/>
          <w:szCs w:val="21"/>
        </w:rPr>
      </w:pPr>
    </w:p>
    <w:p>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其他资料</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spacing w:line="360" w:lineRule="exact"/>
        <w:rPr>
          <w:b/>
          <w:szCs w:val="21"/>
        </w:rPr>
      </w:pPr>
    </w:p>
    <w:p>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jc w:val="center"/>
      </w:pPr>
    </w:p>
    <w:p/>
    <w:p/>
    <w:p/>
    <w:p/>
    <w:p/>
    <w:p/>
    <w:p/>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4" w:name="_Toc135293182"/>
      <w:bookmarkStart w:id="55" w:name="_Toc44690705"/>
      <w:bookmarkStart w:id="56" w:name="_Toc44691164"/>
      <w:bookmarkStart w:id="57" w:name="_Toc44690432"/>
      <w:bookmarkStart w:id="58" w:name="_Toc44691396"/>
      <w:r>
        <w:rPr>
          <w:rFonts w:hint="eastAsia" w:asciiTheme="minorEastAsia" w:hAnsiTheme="minorEastAsia" w:eastAsiaTheme="minorEastAsia"/>
        </w:rPr>
        <w:t>格式1  投标人资格证明文件</w:t>
      </w:r>
      <w:bookmarkEnd w:id="54"/>
      <w:bookmarkEnd w:id="55"/>
      <w:bookmarkEnd w:id="56"/>
      <w:bookmarkEnd w:id="57"/>
      <w:bookmarkEnd w:id="58"/>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ind w:firstLine="424" w:firstLineChars="202"/>
        <w:rPr>
          <w:rFonts w:ascii="宋体" w:hAnsi="宋体"/>
          <w:bCs/>
          <w:snapToGrid w:val="0"/>
          <w:kern w:val="0"/>
        </w:rPr>
      </w:pPr>
    </w:p>
    <w:p>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tabs>
          <w:tab w:val="left" w:pos="555"/>
        </w:tabs>
        <w:adjustRightInd w:val="0"/>
        <w:snapToGrid w:val="0"/>
        <w:spacing w:line="300" w:lineRule="auto"/>
        <w:rPr>
          <w:b/>
          <w:snapToGrid w:val="0"/>
          <w:sz w:val="32"/>
          <w:szCs w:val="32"/>
        </w:rPr>
      </w:pPr>
      <w:r>
        <w:rPr>
          <w:b/>
          <w:snapToGrid w:val="0"/>
          <w:sz w:val="32"/>
          <w:szCs w:val="32"/>
        </w:rPr>
        <w:tab/>
      </w: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pPr>
        <w:spacing w:line="400" w:lineRule="exact"/>
        <w:ind w:firstLine="420" w:firstLineChars="200"/>
        <w:rPr>
          <w:rFonts w:ascii="宋体" w:hAnsi="宋体"/>
          <w:szCs w:val="21"/>
        </w:rPr>
      </w:pPr>
      <w:r>
        <w:rPr>
          <w:rFonts w:hint="eastAsia" w:ascii="宋体" w:hAnsi="宋体"/>
          <w:szCs w:val="21"/>
        </w:rPr>
        <w:t>（一）具有独立承担民事责任的能力；</w:t>
      </w:r>
    </w:p>
    <w:p>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（六）法律、行政法规规定的其他条件。</w:t>
      </w:r>
    </w:p>
    <w:p>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我单位参与该项目投标，严格遵循公平竞争的原则，不妨碍其他投标人的竞争行为，不损害采购人或者其他投标人的合法权益，与其他采购参加人不存在下列串通投标情形：</w:t>
      </w:r>
    </w:p>
    <w:p>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9" w:name="_Toc135293183"/>
      <w:r>
        <w:rPr>
          <w:rFonts w:hint="eastAsia" w:asciiTheme="minorEastAsia" w:hAnsiTheme="minorEastAsia" w:eastAsiaTheme="minorEastAsia"/>
        </w:rPr>
        <w:t>格式2  法定代表人（负责人）证明书及授权委托书</w:t>
      </w:r>
      <w:bookmarkEnd w:id="59"/>
    </w:p>
    <w:p>
      <w:pPr>
        <w:tabs>
          <w:tab w:val="left" w:pos="450"/>
        </w:tabs>
        <w:jc w:val="center"/>
        <w:rPr>
          <w:rFonts w:ascii="宋体" w:hAnsi="宋体"/>
          <w:b/>
          <w:sz w:val="30"/>
          <w:szCs w:val="30"/>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ind w:firstLine="2249" w:firstLineChars="800"/>
        <w:rPr>
          <w:b/>
          <w:bCs/>
          <w:sz w:val="28"/>
        </w:rPr>
      </w:pPr>
    </w:p>
    <w:p>
      <w:pPr>
        <w:ind w:firstLine="2249" w:firstLineChars="800"/>
        <w:rPr>
          <w:b/>
          <w:bCs/>
          <w:sz w:val="28"/>
        </w:rPr>
      </w:pPr>
    </w:p>
    <w:p>
      <w:pPr>
        <w:ind w:firstLine="2249" w:firstLineChars="800"/>
        <w:rPr>
          <w:b/>
          <w:bCs/>
          <w:sz w:val="28"/>
        </w:rPr>
      </w:pPr>
    </w:p>
    <w:p>
      <w:pPr>
        <w:jc w:val="center"/>
        <w:rPr>
          <w:b/>
          <w:bCs/>
          <w:sz w:val="28"/>
        </w:rPr>
      </w:pPr>
      <w:r>
        <w:rPr>
          <w:rFonts w:hint="eastAsia"/>
          <w:b/>
          <w:bCs/>
          <w:sz w:val="28"/>
        </w:rPr>
        <w:t>法定代表人（负责人）授权委托书</w:t>
      </w:r>
      <w:r>
        <w:rPr>
          <w:rFonts w:hint="eastAsia" w:ascii="宋体" w:hAnsi="宋体"/>
          <w:b/>
          <w:sz w:val="30"/>
          <w:szCs w:val="30"/>
        </w:rPr>
        <w:t>（参考）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w:t>
      </w:r>
      <w:r>
        <w:rPr>
          <w:snapToGrid w:val="0"/>
          <w:kern w:val="0"/>
        </w:rPr>
        <w:t>签字</w:t>
      </w:r>
      <w:r>
        <w:rPr>
          <w:rFonts w:hint="eastAsia"/>
        </w:rPr>
        <w:t>）</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60"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60"/>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
      <w:pPr>
        <w:tabs>
          <w:tab w:val="left" w:pos="720"/>
        </w:tabs>
        <w:adjustRightInd w:val="0"/>
        <w:snapToGrid w:val="0"/>
        <w:spacing w:line="300" w:lineRule="auto"/>
      </w:pPr>
    </w:p>
    <w:p>
      <w:pPr>
        <w:tabs>
          <w:tab w:val="left" w:pos="720"/>
        </w:tabs>
        <w:adjustRightInd w:val="0"/>
        <w:snapToGrid w:val="0"/>
        <w:spacing w:line="300" w:lineRule="auto"/>
        <w:rPr>
          <w:b/>
          <w:snapToGrid w:val="0"/>
          <w:kern w:val="0"/>
          <w:sz w:val="28"/>
        </w:rPr>
      </w:pPr>
    </w:p>
    <w:p>
      <w:pPr>
        <w:pStyle w:val="4"/>
        <w:tabs>
          <w:tab w:val="left" w:pos="371"/>
        </w:tabs>
        <w:spacing w:before="120" w:after="120"/>
        <w:ind w:left="-1" w:leftChars="-1" w:hanging="1"/>
        <w:jc w:val="center"/>
        <w:rPr>
          <w:rFonts w:asciiTheme="minorEastAsia" w:hAnsiTheme="minorEastAsia" w:eastAsiaTheme="minorEastAsia"/>
        </w:rPr>
      </w:pPr>
      <w:bookmarkStart w:id="61"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1"/>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tabs>
          <w:tab w:val="left" w:pos="450"/>
        </w:tabs>
        <w:adjustRightInd w:val="0"/>
        <w:spacing w:line="300" w:lineRule="auto"/>
        <w:ind w:hanging="2"/>
        <w:rPr>
          <w:b/>
          <w:snapToGrid w:val="0"/>
          <w:kern w:val="0"/>
          <w:sz w:val="28"/>
        </w:rPr>
      </w:pPr>
      <w:r>
        <w:rPr>
          <w:b/>
          <w:snapToGrid w:val="0"/>
          <w:kern w:val="0"/>
          <w:sz w:val="28"/>
        </w:rPr>
        <w:tab/>
      </w:r>
    </w:p>
    <w:p>
      <w:pPr>
        <w:tabs>
          <w:tab w:val="left" w:pos="371"/>
        </w:tabs>
        <w:spacing w:before="120" w:after="120"/>
        <w:ind w:left="-1" w:leftChars="-1" w:hanging="1"/>
        <w:jc w:val="center"/>
        <w:rPr>
          <w:rFonts w:asciiTheme="minorEastAsia" w:hAnsiTheme="minorEastAsia" w:eastAsiaTheme="minorEastAsia"/>
          <w:sz w:val="24"/>
        </w:rPr>
      </w:pPr>
    </w:p>
    <w:p>
      <w:pPr>
        <w:pStyle w:val="4"/>
        <w:tabs>
          <w:tab w:val="left" w:pos="371"/>
        </w:tabs>
        <w:spacing w:before="120" w:after="120"/>
        <w:ind w:left="-1" w:leftChars="-1" w:hanging="1"/>
        <w:jc w:val="center"/>
        <w:rPr>
          <w:rFonts w:asciiTheme="minorEastAsia" w:hAnsiTheme="minorEastAsia" w:eastAsiaTheme="minorEastAsia"/>
        </w:rPr>
      </w:pPr>
      <w:bookmarkStart w:id="62" w:name="_Toc135293185"/>
      <w:r>
        <w:rPr>
          <w:rFonts w:hint="eastAsia" w:asciiTheme="minorEastAsia" w:hAnsiTheme="minorEastAsia" w:eastAsiaTheme="minorEastAsia"/>
        </w:rPr>
        <w:t>格式4  评分中涉及的承诺及声明函</w:t>
      </w:r>
      <w:bookmarkEnd w:id="62"/>
    </w:p>
    <w:p>
      <w:pPr>
        <w:widowControl/>
        <w:snapToGrid w:val="0"/>
        <w:spacing w:line="360" w:lineRule="auto"/>
        <w:jc w:val="left"/>
        <w:rPr>
          <w:rFonts w:ascii="仿宋" w:hAnsi="仿宋" w:eastAsia="仿宋"/>
          <w:b/>
          <w:bCs/>
          <w:color w:val="FF0000"/>
          <w:kern w:val="0"/>
          <w:sz w:val="25"/>
          <w:szCs w:val="25"/>
        </w:rPr>
      </w:pPr>
    </w:p>
    <w:p>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3" w:name="_Hlk71925120"/>
      <w:r>
        <w:rPr>
          <w:rFonts w:hint="eastAsia" w:asciiTheme="minorEastAsia" w:hAnsiTheme="minorEastAsia" w:eastAsiaTheme="minorEastAsia"/>
          <w:kern w:val="0"/>
          <w:szCs w:val="21"/>
        </w:rPr>
        <w:t>《关于印发中小企业划型标准规定的通知》（工信部联企业〔2011〕300 号</w:t>
      </w:r>
      <w:bookmarkEnd w:id="63"/>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widowControl/>
        <w:snapToGrid w:val="0"/>
        <w:spacing w:line="360" w:lineRule="auto"/>
        <w:jc w:val="left"/>
        <w:rPr>
          <w:b/>
          <w:bCs/>
          <w:color w:val="FF0000"/>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pStyle w:val="5"/>
        <w:tabs>
          <w:tab w:val="left" w:pos="0"/>
        </w:tabs>
        <w:jc w:val="center"/>
        <w:rPr>
          <w:rFonts w:ascii="宋体" w:hAnsi="宋体" w:eastAsia="宋体"/>
        </w:rPr>
      </w:pPr>
      <w:r>
        <w:rPr>
          <w:rFonts w:hint="eastAsia" w:ascii="宋体" w:hAnsi="宋体" w:eastAsia="宋体"/>
        </w:rPr>
        <w:t>中小企业声明函</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p>
    <w:p>
      <w:pPr>
        <w:pStyle w:val="5"/>
        <w:tabs>
          <w:tab w:val="left" w:pos="0"/>
        </w:tabs>
        <w:jc w:val="center"/>
        <w:rPr>
          <w:rFonts w:ascii="宋体" w:hAnsi="宋体" w:eastAsia="宋体"/>
        </w:rPr>
      </w:pPr>
      <w:r>
        <w:rPr>
          <w:rFonts w:hint="eastAsia" w:ascii="宋体" w:hAnsi="宋体" w:eastAsia="宋体"/>
        </w:rPr>
        <w:t>监狱企业声明函</w:t>
      </w:r>
    </w:p>
    <w:p>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645"/>
        <w:rPr>
          <w:rFonts w:ascii="宋体"/>
          <w:b/>
          <w:szCs w:val="21"/>
        </w:rPr>
      </w:pPr>
      <w:r>
        <w:rPr>
          <w:rFonts w:hint="eastAsia" w:ascii="宋体" w:hAnsi="宋体"/>
          <w:szCs w:val="21"/>
        </w:rPr>
        <w:t xml:space="preserve">                                    </w:t>
      </w: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rPr>
          <w:rFonts w:ascii="宋体" w:hAnsi="宋体"/>
          <w:szCs w:val="21"/>
        </w:rPr>
      </w:pPr>
    </w:p>
    <w:p>
      <w:pPr>
        <w:pStyle w:val="5"/>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bookmarkStart w:id="64" w:name="_Toc44691397"/>
      <w:bookmarkStart w:id="65" w:name="_Toc135293186"/>
      <w:bookmarkStart w:id="66" w:name="_Toc44691165"/>
      <w:bookmarkStart w:id="67" w:name="_Toc44690706"/>
      <w:bookmarkStart w:id="68" w:name="_Toc44690433"/>
    </w:p>
    <w:p/>
    <w:p>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pPr>
              <w:jc w:val="center"/>
              <w:rPr>
                <w:b/>
                <w:szCs w:val="21"/>
              </w:rPr>
            </w:pPr>
            <w:r>
              <w:rPr>
                <w:rFonts w:hint="eastAsia"/>
                <w:b/>
                <w:szCs w:val="21"/>
              </w:rPr>
              <w:t>序号</w:t>
            </w:r>
          </w:p>
        </w:tc>
        <w:tc>
          <w:tcPr>
            <w:tcW w:w="1213" w:type="dxa"/>
            <w:vMerge w:val="restart"/>
            <w:vAlign w:val="center"/>
          </w:tcPr>
          <w:p>
            <w:pPr>
              <w:jc w:val="center"/>
              <w:rPr>
                <w:b/>
                <w:szCs w:val="21"/>
              </w:rPr>
            </w:pPr>
            <w:r>
              <w:rPr>
                <w:rFonts w:hint="eastAsia"/>
                <w:b/>
                <w:szCs w:val="21"/>
              </w:rPr>
              <w:t>投标产品名称</w:t>
            </w:r>
          </w:p>
        </w:tc>
        <w:tc>
          <w:tcPr>
            <w:tcW w:w="1840" w:type="dxa"/>
            <w:vMerge w:val="restart"/>
            <w:vAlign w:val="center"/>
          </w:tcPr>
          <w:p>
            <w:pPr>
              <w:jc w:val="center"/>
              <w:rPr>
                <w:b/>
                <w:szCs w:val="21"/>
              </w:rPr>
            </w:pPr>
            <w:r>
              <w:rPr>
                <w:rFonts w:hint="eastAsia"/>
                <w:b/>
                <w:szCs w:val="21"/>
              </w:rPr>
              <w:t>规格及型号</w:t>
            </w:r>
          </w:p>
        </w:tc>
        <w:tc>
          <w:tcPr>
            <w:tcW w:w="4351" w:type="dxa"/>
            <w:gridSpan w:val="3"/>
            <w:vAlign w:val="center"/>
          </w:tcPr>
          <w:p>
            <w:pPr>
              <w:jc w:val="center"/>
              <w:rPr>
                <w:b/>
                <w:szCs w:val="21"/>
              </w:rPr>
            </w:pPr>
            <w:r>
              <w:rPr>
                <w:rFonts w:hint="eastAsia"/>
                <w:b/>
                <w:szCs w:val="21"/>
              </w:rPr>
              <w:t>投标产品报价</w:t>
            </w:r>
          </w:p>
        </w:tc>
        <w:tc>
          <w:tcPr>
            <w:tcW w:w="1503" w:type="dxa"/>
            <w:vMerge w:val="restart"/>
            <w:vAlign w:val="center"/>
          </w:tcPr>
          <w:p>
            <w:pPr>
              <w:jc w:val="center"/>
              <w:rPr>
                <w:b/>
                <w:szCs w:val="21"/>
              </w:rPr>
            </w:pPr>
            <w:r>
              <w:rPr>
                <w:rFonts w:hint="eastAsia"/>
                <w:b/>
                <w:szCs w:val="21"/>
              </w:rPr>
              <w:t>属于优先采购清单的类别</w:t>
            </w:r>
          </w:p>
        </w:tc>
        <w:tc>
          <w:tcPr>
            <w:tcW w:w="720" w:type="dxa"/>
            <w:vMerge w:val="restart"/>
            <w:vAlign w:val="center"/>
          </w:tcPr>
          <w:p>
            <w:pPr>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szCs w:val="21"/>
              </w:rPr>
            </w:pPr>
          </w:p>
        </w:tc>
        <w:tc>
          <w:tcPr>
            <w:tcW w:w="1213" w:type="dxa"/>
            <w:vMerge w:val="continue"/>
            <w:vAlign w:val="center"/>
          </w:tcPr>
          <w:p>
            <w:pPr>
              <w:rPr>
                <w:szCs w:val="21"/>
              </w:rPr>
            </w:pPr>
          </w:p>
        </w:tc>
        <w:tc>
          <w:tcPr>
            <w:tcW w:w="1840" w:type="dxa"/>
            <w:vMerge w:val="continue"/>
            <w:vAlign w:val="center"/>
          </w:tcPr>
          <w:p>
            <w:pPr>
              <w:rPr>
                <w:szCs w:val="21"/>
              </w:rPr>
            </w:pPr>
          </w:p>
        </w:tc>
        <w:tc>
          <w:tcPr>
            <w:tcW w:w="818" w:type="dxa"/>
            <w:vAlign w:val="center"/>
          </w:tcPr>
          <w:p>
            <w:pPr>
              <w:rPr>
                <w:szCs w:val="21"/>
              </w:rPr>
            </w:pPr>
            <w:r>
              <w:rPr>
                <w:rFonts w:hint="eastAsia"/>
                <w:szCs w:val="21"/>
              </w:rPr>
              <w:t>数量</w:t>
            </w:r>
          </w:p>
        </w:tc>
        <w:tc>
          <w:tcPr>
            <w:tcW w:w="1241" w:type="dxa"/>
            <w:vAlign w:val="center"/>
          </w:tcPr>
          <w:p>
            <w:pPr>
              <w:jc w:val="center"/>
              <w:rPr>
                <w:szCs w:val="21"/>
              </w:rPr>
            </w:pPr>
            <w:r>
              <w:rPr>
                <w:rFonts w:hint="eastAsia"/>
                <w:szCs w:val="21"/>
              </w:rPr>
              <w:t>投标单价（元）</w:t>
            </w:r>
          </w:p>
        </w:tc>
        <w:tc>
          <w:tcPr>
            <w:tcW w:w="2292" w:type="dxa"/>
            <w:vAlign w:val="center"/>
          </w:tcPr>
          <w:p>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pPr>
              <w:rPr>
                <w:szCs w:val="21"/>
              </w:rPr>
            </w:pPr>
          </w:p>
        </w:tc>
        <w:tc>
          <w:tcPr>
            <w:tcW w:w="720" w:type="dxa"/>
            <w:vMerge w:val="continue"/>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1</w:t>
            </w:r>
          </w:p>
        </w:tc>
        <w:tc>
          <w:tcPr>
            <w:tcW w:w="1213" w:type="dxa"/>
            <w:vAlign w:val="center"/>
          </w:tcPr>
          <w:p>
            <w:pPr>
              <w:jc w:val="center"/>
              <w:rPr>
                <w:szCs w:val="21"/>
              </w:rPr>
            </w:pPr>
          </w:p>
        </w:tc>
        <w:tc>
          <w:tcPr>
            <w:tcW w:w="1840" w:type="dxa"/>
            <w:vAlign w:val="center"/>
          </w:tcPr>
          <w:p>
            <w:pPr>
              <w:jc w:val="center"/>
              <w:rPr>
                <w:szCs w:val="21"/>
              </w:rPr>
            </w:pPr>
          </w:p>
        </w:tc>
        <w:tc>
          <w:tcPr>
            <w:tcW w:w="818" w:type="dxa"/>
            <w:vAlign w:val="center"/>
          </w:tcPr>
          <w:p>
            <w:pPr>
              <w:jc w:val="center"/>
              <w:rPr>
                <w:szCs w:val="21"/>
              </w:rPr>
            </w:pPr>
          </w:p>
        </w:tc>
        <w:tc>
          <w:tcPr>
            <w:tcW w:w="1241" w:type="dxa"/>
            <w:vAlign w:val="center"/>
          </w:tcPr>
          <w:p>
            <w:pPr>
              <w:jc w:val="center"/>
              <w:rPr>
                <w:szCs w:val="21"/>
              </w:rPr>
            </w:pPr>
          </w:p>
        </w:tc>
        <w:tc>
          <w:tcPr>
            <w:tcW w:w="2292" w:type="dxa"/>
            <w:vAlign w:val="center"/>
          </w:tcPr>
          <w:p>
            <w:pPr>
              <w:jc w:val="center"/>
              <w:rPr>
                <w:szCs w:val="21"/>
              </w:rPr>
            </w:pPr>
          </w:p>
        </w:tc>
        <w:tc>
          <w:tcPr>
            <w:tcW w:w="1503" w:type="dxa"/>
            <w:vAlign w:val="center"/>
          </w:tcPr>
          <w:p>
            <w:pPr>
              <w:jc w:val="center"/>
              <w:rPr>
                <w:szCs w:val="21"/>
              </w:rPr>
            </w:pPr>
          </w:p>
        </w:tc>
        <w:tc>
          <w:tcPr>
            <w:tcW w:w="72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2</w:t>
            </w:r>
          </w:p>
        </w:tc>
        <w:tc>
          <w:tcPr>
            <w:tcW w:w="1213" w:type="dxa"/>
            <w:vAlign w:val="center"/>
          </w:tcPr>
          <w:p>
            <w:pPr>
              <w:jc w:val="center"/>
              <w:rPr>
                <w:szCs w:val="21"/>
              </w:rPr>
            </w:pPr>
          </w:p>
        </w:tc>
        <w:tc>
          <w:tcPr>
            <w:tcW w:w="1840" w:type="dxa"/>
            <w:vAlign w:val="center"/>
          </w:tcPr>
          <w:p>
            <w:pPr>
              <w:jc w:val="center"/>
              <w:rPr>
                <w:szCs w:val="21"/>
              </w:rPr>
            </w:pPr>
          </w:p>
        </w:tc>
        <w:tc>
          <w:tcPr>
            <w:tcW w:w="818" w:type="dxa"/>
            <w:vAlign w:val="center"/>
          </w:tcPr>
          <w:p>
            <w:pPr>
              <w:jc w:val="center"/>
              <w:rPr>
                <w:szCs w:val="21"/>
              </w:rPr>
            </w:pPr>
          </w:p>
        </w:tc>
        <w:tc>
          <w:tcPr>
            <w:tcW w:w="1241" w:type="dxa"/>
            <w:vAlign w:val="center"/>
          </w:tcPr>
          <w:p>
            <w:pPr>
              <w:jc w:val="center"/>
              <w:rPr>
                <w:szCs w:val="21"/>
              </w:rPr>
            </w:pPr>
          </w:p>
        </w:tc>
        <w:tc>
          <w:tcPr>
            <w:tcW w:w="2292" w:type="dxa"/>
            <w:vAlign w:val="center"/>
          </w:tcPr>
          <w:p>
            <w:pPr>
              <w:jc w:val="center"/>
              <w:rPr>
                <w:szCs w:val="21"/>
              </w:rPr>
            </w:pPr>
          </w:p>
        </w:tc>
        <w:tc>
          <w:tcPr>
            <w:tcW w:w="1503" w:type="dxa"/>
            <w:vAlign w:val="center"/>
          </w:tcPr>
          <w:p>
            <w:pPr>
              <w:jc w:val="center"/>
              <w:rPr>
                <w:szCs w:val="21"/>
              </w:rPr>
            </w:pPr>
          </w:p>
        </w:tc>
        <w:tc>
          <w:tcPr>
            <w:tcW w:w="720" w:type="dxa"/>
            <w:vAlign w:val="center"/>
          </w:tcPr>
          <w:p>
            <w:pPr>
              <w:jc w:val="center"/>
              <w:rPr>
                <w:szCs w:val="21"/>
              </w:rPr>
            </w:pPr>
          </w:p>
        </w:tc>
      </w:tr>
    </w:tbl>
    <w:p>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pPr>
        <w:widowControl/>
        <w:jc w:val="left"/>
      </w:pPr>
      <w:r>
        <w:br w:type="page"/>
      </w:r>
    </w:p>
    <w:p/>
    <w:p>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4"/>
      <w:bookmarkEnd w:id="65"/>
      <w:bookmarkEnd w:id="66"/>
      <w:bookmarkEnd w:id="67"/>
      <w:bookmarkEnd w:id="68"/>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5"/>
        <w:gridCol w:w="4330"/>
        <w:gridCol w:w="1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720" w:hRule="atLeast"/>
          <w:jc w:val="center"/>
        </w:trPr>
        <w:tc>
          <w:tcPr>
            <w:tcW w:w="3315"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330"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315" w:type="dxa"/>
            <w:tcBorders>
              <w:top w:val="single" w:color="auto" w:sz="4" w:space="0"/>
            </w:tcBorders>
            <w:vAlign w:val="center"/>
          </w:tcPr>
          <w:p>
            <w:pPr>
              <w:adjustRightInd w:val="0"/>
              <w:snapToGrid w:val="0"/>
              <w:spacing w:line="360" w:lineRule="auto"/>
              <w:jc w:val="center"/>
            </w:pPr>
            <w:r>
              <w:rPr>
                <w:rFonts w:hint="eastAsia" w:asciiTheme="minorEastAsia" w:hAnsiTheme="minorEastAsia" w:eastAsiaTheme="minorEastAsia"/>
              </w:rPr>
              <w:t>作风纪律社会监督</w:t>
            </w:r>
          </w:p>
        </w:tc>
        <w:tc>
          <w:tcPr>
            <w:tcW w:w="4330" w:type="dxa"/>
            <w:tcBorders>
              <w:top w:val="single" w:color="auto" w:sz="4" w:space="0"/>
            </w:tcBorders>
            <w:vAlign w:val="center"/>
          </w:tcPr>
          <w:p>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法定代表人或其授权代表：（签字）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szCs w:val="21"/>
        </w:rPr>
        <w:t>投标</w:t>
      </w:r>
      <w:r>
        <w:rPr>
          <w:rFonts w:hint="eastAsia"/>
          <w:snapToGrid w:val="0"/>
          <w:kern w:val="0"/>
        </w:rPr>
        <w:t>总</w:t>
      </w:r>
      <w:r>
        <w:rPr>
          <w:rFonts w:hint="eastAsia" w:ascii="宋体" w:hAnsi="宋体"/>
          <w:szCs w:val="21"/>
        </w:rPr>
        <w:t>价为综合报价，包含完成本项目所需的全部费用</w:t>
      </w:r>
      <w:r>
        <w:rPr>
          <w:rFonts w:hint="eastAsia" w:ascii="宋体" w:hAnsi="宋体"/>
          <w:bCs/>
        </w:rPr>
        <w:t>。</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rPr>
          <w:b/>
          <w:sz w:val="28"/>
        </w:rPr>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
    <w:p/>
    <w:p/>
    <w:p/>
    <w:p/>
    <w:p/>
    <w:p/>
    <w:p/>
    <w:p>
      <w:r>
        <w:br w:type="page"/>
      </w:r>
    </w:p>
    <w:p/>
    <w:p>
      <w:pPr>
        <w:pStyle w:val="4"/>
        <w:tabs>
          <w:tab w:val="left" w:pos="371"/>
        </w:tabs>
        <w:spacing w:before="120" w:after="120"/>
        <w:ind w:left="-1" w:leftChars="-1" w:hanging="1"/>
        <w:jc w:val="center"/>
        <w:rPr>
          <w:rFonts w:asciiTheme="minorEastAsia" w:hAnsiTheme="minorEastAsia" w:eastAsiaTheme="minorEastAsia"/>
        </w:rPr>
      </w:pPr>
      <w:bookmarkStart w:id="69" w:name="_Toc44691166"/>
      <w:bookmarkStart w:id="70" w:name="_Toc44691398"/>
      <w:bookmarkStart w:id="71" w:name="_Toc135293187"/>
      <w:bookmarkStart w:id="72" w:name="_Toc44690434"/>
      <w:bookmarkStart w:id="73" w:name="_Toc44690707"/>
      <w:r>
        <w:rPr>
          <w:rFonts w:hint="eastAsia" w:asciiTheme="minorEastAsia" w:hAnsiTheme="minorEastAsia" w:eastAsiaTheme="minorEastAsia"/>
        </w:rPr>
        <w:t>格式6  报价表</w:t>
      </w:r>
      <w:bookmarkEnd w:id="69"/>
      <w:bookmarkEnd w:id="70"/>
      <w:bookmarkEnd w:id="71"/>
      <w:bookmarkEnd w:id="72"/>
      <w:bookmarkEnd w:id="73"/>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投标</w:t>
      </w:r>
      <w:r>
        <w:rPr>
          <w:rFonts w:hint="eastAsia"/>
          <w:snapToGrid w:val="0"/>
          <w:kern w:val="0"/>
        </w:rPr>
        <w:t>报</w:t>
      </w:r>
      <w:r>
        <w:rPr>
          <w:rFonts w:hint="eastAsia" w:asciiTheme="minorEastAsia" w:hAnsiTheme="minorEastAsia" w:eastAsiaTheme="minorEastAsia"/>
          <w:snapToGrid w:val="0"/>
          <w:kern w:val="0"/>
        </w:rPr>
        <w:t>价为综合报价，包含完成本项目所需的全部费用。</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此表应经法定代表人或授权委托人签名，并加盖公章。</w:t>
      </w:r>
    </w:p>
    <w:p>
      <w:pPr>
        <w:adjustRightInd w:val="0"/>
        <w:snapToGrid w:val="0"/>
        <w:spacing w:line="300" w:lineRule="auto"/>
        <w:rPr>
          <w:snapToGrid w:val="0"/>
          <w:kern w:val="0"/>
        </w:rPr>
      </w:pPr>
    </w:p>
    <w:p>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588"/>
        <w:gridCol w:w="2664"/>
        <w:gridCol w:w="23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77" w:type="dxa"/>
            <w:vAlign w:val="center"/>
          </w:tcPr>
          <w:p>
            <w:pPr>
              <w:adjustRightInd w:val="0"/>
              <w:snapToGrid w:val="0"/>
              <w:spacing w:line="300" w:lineRule="auto"/>
              <w:jc w:val="center"/>
              <w:rPr>
                <w:b/>
                <w:snapToGrid w:val="0"/>
                <w:kern w:val="0"/>
              </w:rPr>
            </w:pPr>
            <w:r>
              <w:rPr>
                <w:b/>
                <w:snapToGrid w:val="0"/>
                <w:kern w:val="0"/>
              </w:rPr>
              <w:t>序号</w:t>
            </w:r>
          </w:p>
        </w:tc>
        <w:tc>
          <w:tcPr>
            <w:tcW w:w="3588" w:type="dxa"/>
            <w:vAlign w:val="center"/>
          </w:tcPr>
          <w:p>
            <w:pPr>
              <w:adjustRightInd w:val="0"/>
              <w:snapToGrid w:val="0"/>
              <w:spacing w:line="300" w:lineRule="auto"/>
              <w:jc w:val="center"/>
              <w:rPr>
                <w:b/>
                <w:snapToGrid w:val="0"/>
                <w:kern w:val="0"/>
              </w:rPr>
            </w:pPr>
            <w:r>
              <w:rPr>
                <w:rFonts w:hint="eastAsia"/>
                <w:b/>
                <w:snapToGrid w:val="0"/>
                <w:kern w:val="0"/>
              </w:rPr>
              <w:t>项目内容</w:t>
            </w:r>
          </w:p>
        </w:tc>
        <w:tc>
          <w:tcPr>
            <w:tcW w:w="2664" w:type="dxa"/>
            <w:vAlign w:val="center"/>
          </w:tcPr>
          <w:p>
            <w:pPr>
              <w:adjustRightInd w:val="0"/>
              <w:snapToGrid w:val="0"/>
              <w:spacing w:line="300" w:lineRule="auto"/>
              <w:jc w:val="center"/>
              <w:rPr>
                <w:b/>
                <w:snapToGrid w:val="0"/>
                <w:kern w:val="0"/>
              </w:rPr>
            </w:pPr>
            <w:r>
              <w:rPr>
                <w:rFonts w:hint="eastAsia"/>
                <w:b/>
                <w:snapToGrid w:val="0"/>
                <w:kern w:val="0"/>
              </w:rPr>
              <w:t>费用</w:t>
            </w:r>
            <w:r>
              <w:rPr>
                <w:b/>
                <w:snapToGrid w:val="0"/>
                <w:kern w:val="0"/>
              </w:rPr>
              <w:t>（单位：</w:t>
            </w:r>
            <w:r>
              <w:rPr>
                <w:rFonts w:hint="eastAsia"/>
                <w:b/>
                <w:snapToGrid w:val="0"/>
                <w:kern w:val="0"/>
              </w:rPr>
              <w:t>人民币</w:t>
            </w:r>
            <w:r>
              <w:rPr>
                <w:b/>
                <w:snapToGrid w:val="0"/>
                <w:kern w:val="0"/>
              </w:rPr>
              <w:t>元）</w:t>
            </w:r>
          </w:p>
        </w:tc>
        <w:tc>
          <w:tcPr>
            <w:tcW w:w="2376" w:type="dxa"/>
            <w:vAlign w:val="center"/>
          </w:tcPr>
          <w:p>
            <w:pPr>
              <w:adjustRightInd w:val="0"/>
              <w:snapToGrid w:val="0"/>
              <w:spacing w:line="300" w:lineRule="auto"/>
              <w:jc w:val="center"/>
              <w:rPr>
                <w:b/>
                <w:snapToGrid w:val="0"/>
                <w:kern w:val="0"/>
              </w:rPr>
            </w:pPr>
            <w:r>
              <w:rPr>
                <w:rFonts w:hint="eastAsia"/>
                <w:b/>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ascii="宋体" w:hAnsi="宋体"/>
                <w:snapToGrid w:val="0"/>
                <w:kern w:val="0"/>
              </w:rPr>
              <w:t>1</w:t>
            </w:r>
          </w:p>
        </w:tc>
        <w:tc>
          <w:tcPr>
            <w:tcW w:w="3588" w:type="dxa"/>
            <w:vAlign w:val="center"/>
          </w:tcPr>
          <w:p>
            <w:pPr>
              <w:adjustRightInd w:val="0"/>
              <w:snapToGrid w:val="0"/>
              <w:spacing w:line="300" w:lineRule="auto"/>
              <w:rPr>
                <w:rFonts w:ascii="宋体" w:hAnsi="宋体"/>
                <w:snapToGrid w:val="0"/>
                <w:kern w:val="0"/>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2</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3</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4</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565" w:type="dxa"/>
            <w:gridSpan w:val="2"/>
            <w:vAlign w:val="center"/>
          </w:tcPr>
          <w:p>
            <w:pPr>
              <w:adjustRightInd w:val="0"/>
              <w:snapToGrid w:val="0"/>
              <w:spacing w:line="300" w:lineRule="auto"/>
              <w:jc w:val="center"/>
              <w:rPr>
                <w:snapToGrid w:val="0"/>
                <w:kern w:val="0"/>
              </w:rPr>
            </w:pPr>
            <w:r>
              <w:rPr>
                <w:snapToGrid w:val="0"/>
                <w:kern w:val="0"/>
              </w:rPr>
              <w:t>合   计</w:t>
            </w: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bl>
    <w:p>
      <w:pPr>
        <w:adjustRightInd w:val="0"/>
        <w:snapToGrid w:val="0"/>
        <w:spacing w:line="300" w:lineRule="auto"/>
        <w:rPr>
          <w:snapToGrid w:val="0"/>
          <w:kern w:val="0"/>
        </w:rPr>
      </w:pPr>
    </w:p>
    <w:p>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宋体" w:hAnsi="宋体"/>
          <w:szCs w:val="21"/>
        </w:rPr>
        <w:t>。</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wordWrap w:val="0"/>
        <w:adjustRightInd w:val="0"/>
        <w:snapToGrid w:val="0"/>
        <w:spacing w:line="300" w:lineRule="auto"/>
        <w:jc w:val="right"/>
      </w:pPr>
      <w:r>
        <w:rPr>
          <w:rFonts w:hint="eastAsia"/>
          <w:snapToGrid w:val="0"/>
          <w:kern w:val="0"/>
        </w:rPr>
        <w:t>年    月   日</w:t>
      </w:r>
    </w:p>
    <w:p>
      <w:pPr>
        <w:pStyle w:val="28"/>
        <w:adjustRightInd w:val="0"/>
        <w:snapToGrid w:val="0"/>
        <w:spacing w:line="312" w:lineRule="auto"/>
        <w:jc w:val="center"/>
        <w:rPr>
          <w:rFonts w:ascii="Times New Roman" w:hAnsi="Times New Roman"/>
          <w:b/>
          <w:sz w:val="28"/>
        </w:rPr>
      </w:pPr>
    </w:p>
    <w:p/>
    <w:p/>
    <w:p/>
    <w:p/>
    <w:p/>
    <w:p/>
    <w:p/>
    <w:p/>
    <w:p/>
    <w:p/>
    <w:p/>
    <w:p>
      <w:pPr>
        <w:pStyle w:val="4"/>
        <w:tabs>
          <w:tab w:val="left" w:pos="371"/>
        </w:tabs>
        <w:spacing w:before="120" w:after="120"/>
        <w:ind w:left="-1" w:leftChars="-1" w:hanging="1"/>
        <w:jc w:val="center"/>
        <w:rPr>
          <w:rFonts w:asciiTheme="minorEastAsia" w:hAnsiTheme="minorEastAsia" w:eastAsiaTheme="minorEastAsia"/>
        </w:rPr>
      </w:pPr>
      <w:bookmarkStart w:id="74" w:name="_Toc44691167"/>
      <w:bookmarkStart w:id="75" w:name="_Toc44691399"/>
      <w:bookmarkStart w:id="76" w:name="_Toc135293188"/>
      <w:bookmarkStart w:id="77" w:name="_Toc44690708"/>
      <w:bookmarkStart w:id="78" w:name="_Toc44690435"/>
      <w:r>
        <w:rPr>
          <w:rFonts w:hint="eastAsia" w:asciiTheme="minorEastAsia" w:hAnsiTheme="minorEastAsia" w:eastAsiaTheme="minorEastAsia"/>
        </w:rPr>
        <w:t>格式7  服务方案</w:t>
      </w:r>
      <w:bookmarkEnd w:id="74"/>
      <w:bookmarkEnd w:id="75"/>
      <w:bookmarkEnd w:id="76"/>
      <w:bookmarkEnd w:id="77"/>
      <w:bookmarkEnd w:id="78"/>
    </w:p>
    <w:p>
      <w:pPr>
        <w:pStyle w:val="7"/>
      </w:pPr>
    </w:p>
    <w:p>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pPr>
        <w:spacing w:line="400" w:lineRule="exact"/>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1、</w:t>
      </w:r>
      <w:r>
        <w:rPr>
          <w:rFonts w:hint="eastAsia" w:ascii="宋体" w:hAnsi="宋体" w:cs="宋体"/>
          <w:szCs w:val="21"/>
        </w:rPr>
        <w:t>服务方案</w:t>
      </w:r>
    </w:p>
    <w:p>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cs="宋体"/>
          <w:szCs w:val="21"/>
        </w:rPr>
        <w:t>项目重点难点分析、应对措施及相关的合理化建议</w:t>
      </w:r>
    </w:p>
    <w:p>
      <w:pPr>
        <w:spacing w:line="360" w:lineRule="auto"/>
        <w:ind w:firstLine="420" w:firstLineChars="200"/>
        <w:rPr>
          <w:rFonts w:ascii="宋体" w:hAnsi="宋体" w:cs="宋体"/>
          <w:szCs w:val="21"/>
        </w:rPr>
      </w:pPr>
      <w:r>
        <w:rPr>
          <w:rFonts w:hint="eastAsia" w:ascii="宋体" w:hAnsi="宋体" w:cs="宋体"/>
          <w:szCs w:val="21"/>
        </w:rPr>
        <w:t>3、质量（完成时间、安全、环保）保障措施及方案</w:t>
      </w:r>
    </w:p>
    <w:p>
      <w:pPr>
        <w:spacing w:line="360" w:lineRule="auto"/>
        <w:ind w:firstLine="420" w:firstLineChars="200"/>
        <w:rPr>
          <w:rFonts w:ascii="宋体" w:hAnsi="宋体" w:cs="宋体"/>
          <w:szCs w:val="21"/>
        </w:rPr>
      </w:pPr>
      <w:r>
        <w:rPr>
          <w:rFonts w:hint="eastAsia" w:ascii="宋体" w:hAnsi="宋体" w:cs="宋体"/>
          <w:szCs w:val="21"/>
        </w:rPr>
        <w:t>4、项目完成（服务期满）后的服务承诺</w:t>
      </w:r>
    </w:p>
    <w:p>
      <w:pPr>
        <w:spacing w:line="360" w:lineRule="auto"/>
        <w:ind w:firstLine="420" w:firstLineChars="200"/>
        <w:rPr>
          <w:rFonts w:ascii="宋体" w:hAnsi="宋体" w:cs="宋体"/>
          <w:szCs w:val="21"/>
        </w:rPr>
      </w:pPr>
      <w:r>
        <w:rPr>
          <w:rFonts w:hint="eastAsia" w:ascii="宋体" w:hAnsi="宋体" w:cs="宋体"/>
          <w:szCs w:val="21"/>
        </w:rPr>
        <w:t>5、</w:t>
      </w:r>
      <w:r>
        <w:rPr>
          <w:rFonts w:hint="eastAsia" w:ascii="宋体" w:hAnsi="宋体"/>
          <w:szCs w:val="21"/>
        </w:rPr>
        <w:t>违约承诺</w:t>
      </w:r>
    </w:p>
    <w:p>
      <w:pPr>
        <w:spacing w:line="360" w:lineRule="auto"/>
        <w:ind w:firstLine="420" w:firstLineChars="200"/>
        <w:rPr>
          <w:rFonts w:ascii="宋体" w:hAnsi="宋体"/>
          <w:szCs w:val="21"/>
        </w:rPr>
      </w:pPr>
      <w:r>
        <w:rPr>
          <w:rFonts w:hint="eastAsia" w:ascii="宋体" w:hAnsi="宋体"/>
          <w:szCs w:val="21"/>
        </w:rPr>
        <w:t>6、拟投入人员情况：包括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pPr>
        <w:spacing w:line="360" w:lineRule="auto"/>
        <w:ind w:left="420"/>
        <w:rPr>
          <w:rFonts w:ascii="宋体" w:hAnsi="宋体"/>
          <w:bCs/>
        </w:rPr>
      </w:pPr>
      <w:r>
        <w:rPr>
          <w:rFonts w:hint="eastAsia" w:ascii="宋体" w:hAnsi="宋体"/>
          <w:bCs/>
        </w:rPr>
        <w:t>7、</w:t>
      </w:r>
      <w:r>
        <w:rPr>
          <w:rFonts w:hint="eastAsia" w:ascii="宋体" w:hAnsi="宋体" w:cs="宋体"/>
          <w:szCs w:val="21"/>
        </w:rPr>
        <w:t>拟投入的服务资源（车辆、场地、工具、机器等）情况</w:t>
      </w:r>
    </w:p>
    <w:p>
      <w:pPr>
        <w:spacing w:line="360" w:lineRule="auto"/>
        <w:ind w:left="420"/>
        <w:rPr>
          <w:rFonts w:ascii="宋体" w:hAnsi="宋体"/>
          <w:bCs/>
        </w:rPr>
      </w:pPr>
      <w:r>
        <w:rPr>
          <w:rFonts w:hint="eastAsia" w:ascii="宋体" w:hAnsi="宋体"/>
          <w:bCs/>
        </w:rPr>
        <w:t>8、投标人认为必要的其他方案</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left"/>
        <w:rPr>
          <w:snapToGrid w:val="0"/>
          <w:kern w:val="0"/>
        </w:rPr>
      </w:pPr>
    </w:p>
    <w:p>
      <w:pPr>
        <w:tabs>
          <w:tab w:val="left" w:pos="8248"/>
          <w:tab w:val="left" w:pos="9368"/>
        </w:tabs>
        <w:spacing w:line="360" w:lineRule="auto"/>
      </w:pPr>
      <w:r>
        <w:rPr>
          <w:rFonts w:hint="eastAsia"/>
        </w:rPr>
        <w:t>附表：</w:t>
      </w:r>
    </w:p>
    <w:p>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pPr>
              <w:jc w:val="center"/>
              <w:rPr>
                <w:rFonts w:ascii="宋体" w:hAnsi="宋体" w:cs="Courier New"/>
                <w:snapToGrid w:val="0"/>
                <w:szCs w:val="21"/>
              </w:rPr>
            </w:pPr>
            <w:r>
              <w:rPr>
                <w:rFonts w:hint="eastAsia" w:ascii="宋体" w:hAnsi="宋体" w:cs="Courier New"/>
                <w:snapToGrid w:val="0"/>
                <w:szCs w:val="21"/>
              </w:rPr>
              <w:t>工作经验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pPr>
              <w:rPr>
                <w:rFonts w:ascii="宋体" w:hAnsi="宋体" w:cs="Courier New"/>
                <w:snapToGrid w:val="0"/>
                <w:szCs w:val="21"/>
              </w:rPr>
            </w:pPr>
          </w:p>
        </w:tc>
        <w:tc>
          <w:tcPr>
            <w:tcW w:w="567" w:type="dxa"/>
            <w:vAlign w:val="center"/>
          </w:tcPr>
          <w:p>
            <w:pPr>
              <w:rPr>
                <w:rFonts w:ascii="宋体" w:hAnsi="宋体" w:cs="Courier New"/>
                <w:snapToGrid w:val="0"/>
                <w:szCs w:val="21"/>
              </w:rPr>
            </w:pPr>
          </w:p>
        </w:tc>
        <w:tc>
          <w:tcPr>
            <w:tcW w:w="1308" w:type="dxa"/>
            <w:vAlign w:val="center"/>
          </w:tcPr>
          <w:p>
            <w:pPr>
              <w:rPr>
                <w:rFonts w:ascii="宋体" w:hAnsi="宋体" w:cs="Courier New"/>
                <w:snapToGrid w:val="0"/>
                <w:szCs w:val="21"/>
              </w:rPr>
            </w:pPr>
          </w:p>
        </w:tc>
        <w:tc>
          <w:tcPr>
            <w:tcW w:w="1544" w:type="dxa"/>
            <w:vAlign w:val="center"/>
          </w:tcPr>
          <w:p>
            <w:pPr>
              <w:rPr>
                <w:rFonts w:ascii="宋体" w:hAnsi="宋体" w:cs="Courier New"/>
                <w:snapToGrid w:val="0"/>
                <w:szCs w:val="21"/>
              </w:rPr>
            </w:pPr>
          </w:p>
        </w:tc>
        <w:tc>
          <w:tcPr>
            <w:tcW w:w="1260" w:type="dxa"/>
            <w:vAlign w:val="center"/>
          </w:tcPr>
          <w:p>
            <w:pPr>
              <w:rPr>
                <w:rFonts w:ascii="宋体" w:hAnsi="宋体" w:cs="Courier New"/>
                <w:snapToGrid w:val="0"/>
                <w:szCs w:val="21"/>
              </w:rPr>
            </w:pPr>
          </w:p>
        </w:tc>
        <w:tc>
          <w:tcPr>
            <w:tcW w:w="1620" w:type="dxa"/>
            <w:vAlign w:val="center"/>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bl>
    <w:p>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3、本表格所要求填写的人员是指投标单位将安排在此项目的具体人员。</w:t>
      </w:r>
    </w:p>
    <w:p>
      <w:pPr>
        <w:spacing w:line="360" w:lineRule="auto"/>
        <w:rPr>
          <w:rFonts w:cs="Courier New"/>
          <w:snapToGrid w:val="0"/>
          <w:szCs w:val="18"/>
        </w:rPr>
      </w:pPr>
    </w:p>
    <w:p>
      <w:pPr>
        <w:spacing w:line="360" w:lineRule="auto"/>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8"/>
        <w:adjustRightInd w:val="0"/>
        <w:snapToGrid w:val="0"/>
        <w:spacing w:line="312" w:lineRule="auto"/>
        <w:jc w:val="center"/>
        <w:rPr>
          <w:rFonts w:ascii="Times New Roman" w:hAnsi="Times New Roman"/>
          <w:b/>
          <w:sz w:val="28"/>
        </w:rPr>
      </w:pPr>
    </w:p>
    <w:p/>
    <w:p/>
    <w:p/>
    <w:p/>
    <w:p/>
    <w:p>
      <w:pPr>
        <w:pStyle w:val="4"/>
        <w:tabs>
          <w:tab w:val="left" w:pos="371"/>
        </w:tabs>
        <w:spacing w:before="120" w:after="120"/>
        <w:ind w:left="-1" w:leftChars="-1" w:hanging="1"/>
        <w:jc w:val="center"/>
        <w:rPr>
          <w:rFonts w:asciiTheme="minorEastAsia" w:hAnsiTheme="minorEastAsia" w:eastAsiaTheme="minorEastAsia"/>
        </w:rPr>
      </w:pPr>
      <w:bookmarkStart w:id="79" w:name="_Toc135293189"/>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79"/>
    </w:p>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rPr>
          <w:rFonts w:ascii="宋体" w:hAnsi="宋体"/>
          <w:sz w:val="28"/>
        </w:rPr>
      </w:pPr>
    </w:p>
    <w:p/>
    <w:p/>
    <w:p/>
    <w:p/>
    <w:p/>
    <w:p/>
    <w:p/>
    <w:p/>
    <w:p/>
    <w:p/>
    <w:p/>
    <w:p/>
    <w:p/>
    <w:p/>
    <w:p/>
    <w:p/>
    <w:p/>
    <w:p/>
    <w:p/>
    <w:p/>
    <w:p/>
    <w:p/>
    <w:p/>
    <w:p/>
    <w:p/>
    <w:p/>
    <w:p/>
    <w:p/>
    <w:p/>
    <w:p/>
    <w:p/>
    <w:p/>
    <w:p/>
    <w:p/>
    <w:p>
      <w:pPr>
        <w:pStyle w:val="4"/>
        <w:tabs>
          <w:tab w:val="left" w:pos="371"/>
        </w:tabs>
        <w:spacing w:before="120" w:after="120"/>
        <w:ind w:left="-1" w:leftChars="-1" w:hanging="1"/>
        <w:jc w:val="center"/>
        <w:rPr>
          <w:rFonts w:asciiTheme="minorEastAsia" w:hAnsiTheme="minorEastAsia" w:eastAsiaTheme="minorEastAsia"/>
        </w:rPr>
      </w:pPr>
      <w:bookmarkStart w:id="80" w:name="_Toc44691168"/>
      <w:bookmarkStart w:id="81" w:name="_Toc44690709"/>
      <w:bookmarkStart w:id="82" w:name="_Toc44690436"/>
      <w:bookmarkStart w:id="83" w:name="_Toc44691400"/>
      <w:bookmarkStart w:id="84" w:name="_Toc135293190"/>
      <w:r>
        <w:rPr>
          <w:rFonts w:hint="eastAsia" w:asciiTheme="minorEastAsia" w:hAnsiTheme="minorEastAsia" w:eastAsiaTheme="minorEastAsia"/>
        </w:rPr>
        <w:t>格式9  偏离表</w:t>
      </w:r>
      <w:bookmarkEnd w:id="80"/>
      <w:bookmarkEnd w:id="81"/>
      <w:bookmarkEnd w:id="82"/>
      <w:bookmarkEnd w:id="83"/>
      <w:bookmarkEnd w:id="84"/>
    </w:p>
    <w:p>
      <w:pPr>
        <w:adjustRightInd w:val="0"/>
        <w:snapToGrid w:val="0"/>
        <w:spacing w:line="360" w:lineRule="auto"/>
        <w:rPr>
          <w:rFonts w:ascii="宋体" w:hAnsi="宋体"/>
        </w:rPr>
      </w:pPr>
    </w:p>
    <w:p>
      <w:pPr>
        <w:snapToGrid w:val="0"/>
        <w:spacing w:line="360" w:lineRule="auto"/>
        <w:jc w:val="center"/>
        <w:rPr>
          <w:b/>
          <w:sz w:val="24"/>
        </w:rPr>
      </w:pPr>
      <w:r>
        <w:rPr>
          <w:rFonts w:hint="eastAsia"/>
          <w:b/>
          <w:sz w:val="24"/>
        </w:rPr>
        <w:t>招标项目需求偏离表</w:t>
      </w:r>
    </w:p>
    <w:tbl>
      <w:tblPr>
        <w:tblStyle w:val="50"/>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pPr>
              <w:rPr>
                <w:rFonts w:ascii="宋体" w:hAnsi="宋体"/>
                <w:szCs w:val="21"/>
              </w:rPr>
            </w:pPr>
            <w:r>
              <w:rPr>
                <w:rFonts w:hint="eastAsia" w:ascii="宋体" w:hAnsi="宋体"/>
                <w:szCs w:val="21"/>
              </w:rPr>
              <w:t>序号</w:t>
            </w:r>
          </w:p>
        </w:tc>
        <w:tc>
          <w:tcPr>
            <w:tcW w:w="2010" w:type="dxa"/>
            <w:vAlign w:val="center"/>
          </w:tcPr>
          <w:p>
            <w:pPr>
              <w:ind w:left="136" w:leftChars="65"/>
              <w:jc w:val="center"/>
              <w:rPr>
                <w:rFonts w:ascii="宋体" w:hAnsi="宋体"/>
                <w:szCs w:val="21"/>
              </w:rPr>
            </w:pPr>
            <w:r>
              <w:rPr>
                <w:rFonts w:hint="eastAsia" w:ascii="宋体" w:hAnsi="宋体"/>
                <w:szCs w:val="21"/>
              </w:rPr>
              <w:t>招标项目需求</w:t>
            </w:r>
          </w:p>
        </w:tc>
        <w:tc>
          <w:tcPr>
            <w:tcW w:w="3544" w:type="dxa"/>
            <w:vAlign w:val="center"/>
          </w:tcPr>
          <w:p>
            <w:pPr>
              <w:ind w:left="136" w:leftChars="65"/>
              <w:jc w:val="center"/>
              <w:rPr>
                <w:rFonts w:ascii="宋体" w:hAnsi="宋体"/>
                <w:szCs w:val="21"/>
              </w:rPr>
            </w:pPr>
            <w:r>
              <w:rPr>
                <w:rFonts w:hint="eastAsia" w:ascii="宋体" w:hAnsi="宋体"/>
                <w:szCs w:val="21"/>
              </w:rPr>
              <w:t>投标文件响应</w:t>
            </w:r>
          </w:p>
        </w:tc>
        <w:tc>
          <w:tcPr>
            <w:tcW w:w="1984" w:type="dxa"/>
            <w:vAlign w:val="center"/>
          </w:tcPr>
          <w:p>
            <w:pPr>
              <w:ind w:left="136" w:leftChars="65"/>
              <w:jc w:val="center"/>
              <w:rPr>
                <w:rFonts w:ascii="宋体" w:hAnsi="宋体"/>
                <w:szCs w:val="21"/>
              </w:rPr>
            </w:pPr>
            <w:r>
              <w:rPr>
                <w:rFonts w:hint="eastAsia" w:ascii="宋体" w:hAnsi="宋体"/>
                <w:szCs w:val="21"/>
              </w:rPr>
              <w:t>偏离情况</w:t>
            </w:r>
          </w:p>
        </w:tc>
        <w:tc>
          <w:tcPr>
            <w:tcW w:w="1974" w:type="dxa"/>
            <w:vAlign w:val="center"/>
          </w:tcPr>
          <w:p>
            <w:pPr>
              <w:ind w:left="136" w:leftChars="65"/>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pPr>
              <w:ind w:left="137" w:leftChars="1" w:hanging="135" w:hangingChars="64"/>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pPr>
              <w:ind w:left="136" w:leftChars="65"/>
              <w:jc w:val="center"/>
              <w:rPr>
                <w:rFonts w:ascii="宋体" w:hAnsi="宋体"/>
                <w:szCs w:val="21"/>
              </w:rPr>
            </w:pPr>
            <w:r>
              <w:rPr>
                <w:rFonts w:hint="eastAsia" w:ascii="宋体" w:hAnsi="宋体"/>
                <w:szCs w:val="21"/>
              </w:rPr>
              <w:t>1</w:t>
            </w:r>
          </w:p>
        </w:tc>
        <w:tc>
          <w:tcPr>
            <w:tcW w:w="2010" w:type="dxa"/>
            <w:vAlign w:val="center"/>
          </w:tcPr>
          <w:p>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此项投标人必须完全响应满足，请投标人于“投标文件响应”栏中填写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pPr>
              <w:ind w:left="136" w:leftChars="65"/>
              <w:jc w:val="center"/>
              <w:rPr>
                <w:rFonts w:ascii="宋体" w:hAnsi="宋体"/>
                <w:szCs w:val="21"/>
              </w:rPr>
            </w:pPr>
          </w:p>
        </w:tc>
        <w:tc>
          <w:tcPr>
            <w:tcW w:w="1974" w:type="dxa"/>
            <w:vAlign w:val="center"/>
          </w:tcPr>
          <w:p>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pPr>
              <w:ind w:left="136" w:leftChars="65"/>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pPr>
              <w:jc w:val="center"/>
              <w:rPr>
                <w:rFonts w:ascii="宋体" w:hAnsi="宋体"/>
                <w:szCs w:val="21"/>
              </w:rPr>
            </w:pPr>
            <w:r>
              <w:rPr>
                <w:rFonts w:hint="eastAsia" w:ascii="宋体" w:hAnsi="宋体"/>
              </w:rPr>
              <w:t>1</w:t>
            </w:r>
          </w:p>
        </w:tc>
        <w:tc>
          <w:tcPr>
            <w:tcW w:w="2010" w:type="dxa"/>
            <w:vAlign w:val="center"/>
          </w:tcPr>
          <w:p>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1、如投标人能完全按照此部分条款要求承诺（响应）并实施，可填写“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pPr>
              <w:jc w:val="left"/>
              <w:rPr>
                <w:rFonts w:ascii="宋体" w:hAnsi="宋体" w:cs="Arial"/>
                <w:color w:val="0000FF"/>
                <w:sz w:val="20"/>
                <w:szCs w:val="18"/>
              </w:rPr>
            </w:pPr>
            <w:r>
              <w:rPr>
                <w:rFonts w:hint="eastAsia" w:ascii="宋体" w:hAnsi="宋体" w:cs="Arial"/>
                <w:color w:val="0000FF"/>
                <w:sz w:val="20"/>
                <w:szCs w:val="18"/>
              </w:rPr>
              <w:t>2、如投标人承诺（响应）内容出现正偏离或负偏离，请逐条做出说明。】</w:t>
            </w:r>
          </w:p>
        </w:tc>
        <w:tc>
          <w:tcPr>
            <w:tcW w:w="1984" w:type="dxa"/>
            <w:vAlign w:val="center"/>
          </w:tcPr>
          <w:p>
            <w:pPr>
              <w:ind w:left="136" w:leftChars="65"/>
              <w:jc w:val="center"/>
              <w:rPr>
                <w:rFonts w:ascii="宋体" w:hAnsi="宋体"/>
                <w:szCs w:val="21"/>
              </w:rPr>
            </w:pPr>
          </w:p>
        </w:tc>
        <w:tc>
          <w:tcPr>
            <w:tcW w:w="1974" w:type="dxa"/>
            <w:vAlign w:val="center"/>
          </w:tcPr>
          <w:p>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pPr>
        <w:spacing w:line="360" w:lineRule="auto"/>
        <w:ind w:firstLine="422" w:firstLineChars="201"/>
      </w:pPr>
      <w:r>
        <w:rPr>
          <w:rFonts w:hint="eastAsia"/>
        </w:rPr>
        <w:t>备注：</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（1）投标人无需逐项填写“</w:t>
      </w:r>
      <w:r>
        <w:rPr>
          <w:rFonts w:hint="eastAsia" w:asciiTheme="minorEastAsia" w:hAnsiTheme="minorEastAsia" w:eastAsiaTheme="minorEastAsia"/>
          <w:szCs w:val="21"/>
        </w:rPr>
        <w:t>招标项目需求”栏，按格式提供即可。</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（2）投标人必须完全响应满足所有带★号条款的要求，否则将导致投标无效。中标后被发现不能满足《项目需求》中所有带★号条款要求的，采购单位有权拒绝签订合同，一切后果由投标人自行承担。</w:t>
      </w:r>
    </w:p>
    <w:p>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（4）请投标人于“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”栏中对偏离表中相关条款作出响应情况描述，“偏离情况”栏根据响应情况填写，没有达到要求的填“负偏离”，达到要求的填“无偏离”，优于要求的填“正偏离”</w:t>
      </w:r>
      <w:r>
        <w:rPr>
          <w:rFonts w:hint="eastAsia" w:cs="Arial" w:asciiTheme="minorEastAsia" w:hAnsiTheme="minorEastAsia" w:eastAsiaTheme="minorEastAsia"/>
          <w:bCs/>
          <w:szCs w:val="21"/>
        </w:rPr>
        <w:t>。</w:t>
      </w:r>
    </w:p>
    <w:p>
      <w:pPr>
        <w:adjustRightInd w:val="0"/>
        <w:snapToGrid w:val="0"/>
        <w:spacing w:line="300" w:lineRule="auto"/>
        <w:rPr>
          <w:rFonts w:eastAsia="楷体_GB2312"/>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left"/>
        <w:rPr>
          <w:snapToGrid w:val="0"/>
          <w:kern w:val="0"/>
        </w:rPr>
      </w:pPr>
    </w:p>
    <w:p>
      <w:pPr>
        <w:pStyle w:val="4"/>
        <w:tabs>
          <w:tab w:val="left" w:pos="371"/>
        </w:tabs>
        <w:spacing w:before="120" w:after="120"/>
        <w:ind w:left="-1" w:leftChars="-1" w:hanging="1"/>
        <w:jc w:val="center"/>
        <w:rPr>
          <w:rFonts w:asciiTheme="minorEastAsia" w:hAnsiTheme="minorEastAsia" w:eastAsiaTheme="minorEastAsia"/>
        </w:rPr>
      </w:pPr>
      <w:bookmarkStart w:id="85" w:name="q16"/>
      <w:bookmarkEnd w:id="85"/>
      <w:bookmarkStart w:id="86" w:name="_格式4__"/>
      <w:bookmarkEnd w:id="86"/>
      <w:bookmarkStart w:id="87" w:name="_格式3__"/>
      <w:bookmarkEnd w:id="87"/>
      <w:bookmarkStart w:id="88" w:name="q17"/>
      <w:bookmarkEnd w:id="88"/>
      <w:bookmarkStart w:id="89" w:name="_格式2__投标保证金凭证"/>
      <w:bookmarkEnd w:id="89"/>
      <w:bookmarkStart w:id="90" w:name="q15"/>
      <w:bookmarkEnd w:id="90"/>
      <w:bookmarkStart w:id="91" w:name="_格式5__"/>
      <w:bookmarkEnd w:id="91"/>
      <w:r>
        <w:rPr>
          <w:rFonts w:asciiTheme="minorEastAsia" w:hAnsiTheme="minorEastAsia" w:eastAsiaTheme="minorEastAsia"/>
        </w:rPr>
        <w:tab/>
      </w:r>
      <w:bookmarkStart w:id="92" w:name="_Toc44690437"/>
      <w:bookmarkStart w:id="93" w:name="_Toc44691401"/>
      <w:bookmarkStart w:id="94" w:name="_Toc44690710"/>
      <w:bookmarkStart w:id="95" w:name="_Toc44691169"/>
      <w:bookmarkStart w:id="96" w:name="_Toc135293191"/>
      <w:r>
        <w:rPr>
          <w:rFonts w:hint="eastAsia" w:asciiTheme="minorEastAsia" w:hAnsiTheme="minorEastAsia" w:eastAsiaTheme="minorEastAsia"/>
        </w:rPr>
        <w:t xml:space="preserve">格式10  </w:t>
      </w:r>
      <w:bookmarkEnd w:id="92"/>
      <w:bookmarkEnd w:id="93"/>
      <w:bookmarkEnd w:id="94"/>
      <w:bookmarkEnd w:id="95"/>
      <w:r>
        <w:rPr>
          <w:rFonts w:hint="eastAsia" w:asciiTheme="minorEastAsia" w:hAnsiTheme="minorEastAsia" w:eastAsiaTheme="minorEastAsia"/>
        </w:rPr>
        <w:t>招标文件要求的其他资料或投标人认为需要补充的资料</w:t>
      </w:r>
      <w:bookmarkEnd w:id="96"/>
    </w:p>
    <w:p>
      <w:pPr>
        <w:spacing w:line="360" w:lineRule="auto"/>
        <w:jc w:val="center"/>
      </w:pPr>
    </w:p>
    <w:p>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或税务部门原因暂时无法提供社保证明的，需提供加盖公章的情况说明或者证明材料。）</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jc w:val="left"/>
        <w:rPr>
          <w:snapToGrid w:val="0"/>
          <w:kern w:val="0"/>
          <w:sz w:val="52"/>
          <w:szCs w:val="52"/>
        </w:rPr>
      </w:pPr>
    </w:p>
    <w:p/>
    <w:p/>
    <w:p/>
    <w:p/>
    <w:p/>
    <w:p/>
    <w:p/>
    <w:p/>
    <w:p/>
    <w:p/>
    <w:p/>
    <w:p/>
    <w:p/>
    <w:p>
      <w:pPr>
        <w:tabs>
          <w:tab w:val="left" w:pos="1875"/>
        </w:tabs>
      </w:pPr>
    </w:p>
    <w:p>
      <w:pPr>
        <w:widowControl/>
        <w:jc w:val="left"/>
        <w:rPr>
          <w:rFonts w:eastAsiaTheme="minorEastAsia"/>
          <w:b/>
          <w:kern w:val="44"/>
          <w:sz w:val="44"/>
          <w:szCs w:val="28"/>
        </w:rPr>
      </w:pPr>
    </w:p>
    <w:p/>
    <w:p>
      <w:pPr>
        <w:pStyle w:val="3"/>
      </w:pPr>
      <w:bookmarkStart w:id="97" w:name="_Toc135293192"/>
      <w:r>
        <w:rPr>
          <w:rFonts w:hint="eastAsia"/>
        </w:rPr>
        <w:t>第八章  合同条款</w:t>
      </w:r>
      <w:bookmarkEnd w:id="97"/>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pStyle w:val="26"/>
        <w:spacing w:line="360" w:lineRule="auto"/>
        <w:ind w:firstLine="482" w:firstLineChars="200"/>
        <w:rPr>
          <w:rFonts w:ascii="Times New Roman" w:hAnsi="Times New Roman"/>
          <w:b/>
          <w:sz w:val="24"/>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pStyle w:val="26"/>
        <w:snapToGrid w:val="0"/>
        <w:spacing w:line="360" w:lineRule="auto"/>
        <w:ind w:firstLine="422" w:firstLineChars="200"/>
        <w:rPr>
          <w:rFonts w:hAnsi="宋体"/>
          <w:b/>
          <w:szCs w:val="21"/>
        </w:rPr>
      </w:pPr>
      <w:r>
        <w:rPr>
          <w:rFonts w:hint="eastAsia"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pStyle w:val="26"/>
        <w:snapToGrid w:val="0"/>
        <w:spacing w:line="360" w:lineRule="auto"/>
        <w:ind w:firstLine="422" w:firstLineChars="200"/>
        <w:rPr>
          <w:rFonts w:hAnsi="宋体"/>
          <w:b/>
          <w:szCs w:val="21"/>
        </w:rPr>
      </w:pPr>
      <w:r>
        <w:rPr>
          <w:rFonts w:hint="eastAsia" w:hAnsi="宋体"/>
          <w:b/>
          <w:szCs w:val="21"/>
        </w:rPr>
        <w:t>二、合同金额</w:t>
      </w:r>
    </w:p>
    <w:p>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pPr>
        <w:pStyle w:val="26"/>
        <w:snapToGrid w:val="0"/>
        <w:spacing w:line="360" w:lineRule="auto"/>
        <w:ind w:firstLine="422" w:firstLineChars="200"/>
        <w:rPr>
          <w:rFonts w:hAnsi="宋体"/>
          <w:b/>
          <w:szCs w:val="21"/>
        </w:rPr>
      </w:pPr>
      <w:r>
        <w:rPr>
          <w:rFonts w:hint="eastAsia" w:hAnsi="宋体"/>
          <w:b/>
          <w:szCs w:val="21"/>
        </w:rPr>
        <w:t>三、技术资料</w:t>
      </w:r>
    </w:p>
    <w:p>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pPr>
        <w:pStyle w:val="26"/>
        <w:snapToGrid w:val="0"/>
        <w:spacing w:line="360" w:lineRule="auto"/>
        <w:ind w:firstLine="422" w:firstLineChars="200"/>
        <w:rPr>
          <w:rFonts w:hAnsi="宋体"/>
          <w:b/>
          <w:szCs w:val="21"/>
        </w:rPr>
      </w:pPr>
      <w:r>
        <w:rPr>
          <w:rFonts w:hint="eastAsia" w:hAnsi="宋体"/>
          <w:b/>
          <w:szCs w:val="21"/>
        </w:rPr>
        <w:t>四、知识产权</w:t>
      </w:r>
    </w:p>
    <w:p>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pPr>
        <w:pStyle w:val="26"/>
        <w:snapToGrid w:val="0"/>
        <w:spacing w:line="360" w:lineRule="auto"/>
        <w:ind w:firstLine="422" w:firstLineChars="200"/>
        <w:rPr>
          <w:rFonts w:hAnsi="宋体"/>
          <w:b/>
          <w:szCs w:val="21"/>
        </w:rPr>
      </w:pPr>
      <w:r>
        <w:rPr>
          <w:rFonts w:hint="eastAsia"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pPr>
        <w:pStyle w:val="26"/>
        <w:snapToGrid w:val="0"/>
        <w:spacing w:line="360" w:lineRule="auto"/>
        <w:ind w:firstLine="422" w:firstLineChars="200"/>
        <w:rPr>
          <w:rFonts w:hAnsi="宋体"/>
          <w:b/>
          <w:szCs w:val="21"/>
        </w:rPr>
      </w:pPr>
      <w:r>
        <w:rPr>
          <w:rFonts w:hint="eastAsia" w:hAnsi="宋体"/>
          <w:b/>
          <w:szCs w:val="21"/>
        </w:rPr>
        <w:t>十、付款方式和税费</w:t>
      </w:r>
    </w:p>
    <w:p>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pStyle w:val="26"/>
        <w:snapToGrid w:val="0"/>
        <w:spacing w:line="360" w:lineRule="auto"/>
        <w:ind w:firstLine="422" w:firstLineChars="200"/>
        <w:rPr>
          <w:rFonts w:hAnsi="宋体"/>
          <w:b/>
          <w:szCs w:val="21"/>
        </w:rPr>
      </w:pPr>
      <w:r>
        <w:rPr>
          <w:rFonts w:hint="eastAsia" w:hAnsi="宋体"/>
          <w:b/>
          <w:szCs w:val="21"/>
        </w:rPr>
        <w:t>十二、违约责任</w:t>
      </w:r>
    </w:p>
    <w:p>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（1）招标文件、答疑及补充通知；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pStyle w:val="26"/>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pStyle w:val="3"/>
      </w:pPr>
      <w:bookmarkStart w:id="98" w:name="_Toc135293193"/>
      <w:bookmarkStart w:id="99" w:name="_Toc73610161"/>
      <w:r>
        <w:rPr>
          <w:rFonts w:hint="eastAsia"/>
        </w:rPr>
        <w:t>第九章  附件</w:t>
      </w:r>
      <w:bookmarkEnd w:id="98"/>
      <w:bookmarkEnd w:id="99"/>
    </w:p>
    <w:p>
      <w:pPr>
        <w:pStyle w:val="2"/>
        <w:spacing w:before="0" w:after="0"/>
      </w:pPr>
      <w:bookmarkStart w:id="100" w:name="_Toc135293194"/>
      <w:bookmarkStart w:id="101" w:name="_Toc73610162"/>
      <w:bookmarkStart w:id="102" w:name="_Toc73613644"/>
      <w:r>
        <w:rPr>
          <w:rFonts w:hint="eastAsia"/>
        </w:rPr>
        <w:t>一、财政部 工业和信息化部关于印发《政府采购促进中小企业发展管理办法》的通知</w:t>
      </w:r>
      <w:bookmarkEnd w:id="100"/>
      <w:bookmarkEnd w:id="101"/>
      <w:bookmarkEnd w:id="102"/>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pStyle w:val="2"/>
        <w:spacing w:before="0" w:after="0"/>
      </w:pPr>
      <w:bookmarkStart w:id="103" w:name="_Toc73610163"/>
      <w:bookmarkStart w:id="104" w:name="_Toc135293195"/>
      <w:bookmarkStart w:id="105" w:name="_Toc73613645"/>
      <w:r>
        <w:rPr>
          <w:rFonts w:hint="eastAsia"/>
        </w:rPr>
        <w:t>二、关于印发中小企业划型标准规定的通知</w:t>
      </w:r>
      <w:bookmarkEnd w:id="103"/>
      <w:bookmarkEnd w:id="104"/>
      <w:bookmarkEnd w:id="105"/>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pStyle w:val="2"/>
        <w:spacing w:before="0" w:after="0"/>
      </w:pPr>
      <w:bookmarkStart w:id="106" w:name="_Toc135293196"/>
      <w:bookmarkStart w:id="107" w:name="_Toc73610164"/>
      <w:bookmarkStart w:id="108" w:name="_Toc73613646"/>
      <w:r>
        <w:rPr>
          <w:rFonts w:hint="eastAsia"/>
        </w:rPr>
        <w:t>三、</w:t>
      </w:r>
      <w:r>
        <w:t>国家统计局关于印发《统计上大中小微型企业划分办法 （2017）》的通知</w:t>
      </w:r>
      <w:bookmarkEnd w:id="106"/>
      <w:bookmarkEnd w:id="107"/>
      <w:bookmarkEnd w:id="108"/>
      <w: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2"/>
        <w:spacing w:before="0" w:after="0"/>
      </w:pPr>
      <w:bookmarkStart w:id="109" w:name="_Toc135293197"/>
      <w:bookmarkStart w:id="110" w:name="_Toc73613647"/>
      <w:bookmarkStart w:id="111" w:name="_Toc73610165"/>
      <w:r>
        <w:rPr>
          <w:rFonts w:hint="eastAsia"/>
        </w:rPr>
        <w:t>四、</w:t>
      </w:r>
      <w:r>
        <w:t>财政部 民政部 中国残疾人联合会关于促进残疾人就业 政府采购政策的通知</w:t>
      </w:r>
      <w:bookmarkEnd w:id="109"/>
      <w:bookmarkEnd w:id="110"/>
      <w:bookmarkEnd w:id="111"/>
      <w: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pStyle w:val="2"/>
        <w:spacing w:before="0" w:after="0"/>
      </w:pPr>
      <w:bookmarkStart w:id="112" w:name="_Toc135293198"/>
      <w:r>
        <w:rPr>
          <w:rFonts w:hint="eastAsia"/>
        </w:rPr>
        <w:t>五、财政部 司法部关于政府采购支持监狱企业发展有关问题的通知</w:t>
      </w:r>
      <w:bookmarkEnd w:id="112"/>
      <w: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华文仿宋"/>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华文仿宋"/>
    <w:panose1 w:val="00000000000000000000"/>
    <w:charset w:val="00"/>
    <w:family w:val="auto"/>
    <w:pitch w:val="default"/>
    <w:sig w:usb0="00000000" w:usb1="00000000" w:usb2="00000000" w:usb3="00000000" w:csb0="00040001" w:csb1="00000000"/>
  </w:font>
  <w:font w:name="??">
    <w:altName w:val="华文仿宋"/>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华文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22</w:t>
    </w:r>
    <w:r>
      <w:rPr>
        <w:rStyle w:val="54"/>
      </w:rPr>
      <w:fldChar w:fldCharType="end"/>
    </w:r>
  </w:p>
  <w:p>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pPr>
    <w:r>
      <w:rPr>
        <w:rFonts w:hint="eastAsia"/>
      </w:rPr>
      <w:t>项目名称：</w:t>
    </w:r>
    <w:r>
      <w:rPr>
        <w:rFonts w:hint="eastAsia" w:asciiTheme="minorEastAsia" w:hAnsiTheme="minorEastAsia" w:eastAsiaTheme="minorEastAsia"/>
      </w:rPr>
      <w:t xml:space="preserve">作风纪律社会监督       </w:t>
    </w:r>
    <w:r>
      <w:rPr>
        <w:rFonts w:hint="eastAsia"/>
      </w:rPr>
      <w:t xml:space="preserve">                                                项目编号：</w:t>
    </w:r>
    <w:r>
      <w:rPr>
        <w:rFonts w:hint="eastAsia" w:asciiTheme="minorEastAsia" w:hAnsiTheme="minorEastAsia" w:eastAsiaTheme="minorEastAsia"/>
      </w:rPr>
      <w:t>SZZZ2024-QC0062</w:t>
    </w:r>
    <w:r>
      <w:tab/>
    </w:r>
  </w:p>
  <w:p>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2E5ZGI4MGEwYTRjZTUzMmU1ODU4YTM0ZDAyMTkifQ=="/>
    <w:docVar w:name="KSO_WPS_MARK_KEY" w:val="79bf3387-fe5b-4970-822c-50cd05f3103b"/>
  </w:docVars>
  <w:rsids>
    <w:rsidRoot w:val="00172A27"/>
    <w:rsid w:val="000002C1"/>
    <w:rsid w:val="0000134D"/>
    <w:rsid w:val="00001626"/>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DA4"/>
    <w:rsid w:val="00042758"/>
    <w:rsid w:val="00043D2B"/>
    <w:rsid w:val="000440D8"/>
    <w:rsid w:val="000442CB"/>
    <w:rsid w:val="000447F6"/>
    <w:rsid w:val="000456B0"/>
    <w:rsid w:val="00045923"/>
    <w:rsid w:val="00045EB5"/>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3DDC"/>
    <w:rsid w:val="00064787"/>
    <w:rsid w:val="00064A61"/>
    <w:rsid w:val="00064FA4"/>
    <w:rsid w:val="00065225"/>
    <w:rsid w:val="00065240"/>
    <w:rsid w:val="00065967"/>
    <w:rsid w:val="00066813"/>
    <w:rsid w:val="000668F4"/>
    <w:rsid w:val="0006745C"/>
    <w:rsid w:val="00067A89"/>
    <w:rsid w:val="00067D3F"/>
    <w:rsid w:val="00067DC4"/>
    <w:rsid w:val="000700C5"/>
    <w:rsid w:val="00070384"/>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5CC"/>
    <w:rsid w:val="00096CE6"/>
    <w:rsid w:val="0009750D"/>
    <w:rsid w:val="00097B04"/>
    <w:rsid w:val="000A0ABE"/>
    <w:rsid w:val="000A0DC0"/>
    <w:rsid w:val="000A1075"/>
    <w:rsid w:val="000A24AF"/>
    <w:rsid w:val="000A274D"/>
    <w:rsid w:val="000A2C52"/>
    <w:rsid w:val="000A2D79"/>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FF4"/>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2F5B"/>
    <w:rsid w:val="0011317D"/>
    <w:rsid w:val="001134EF"/>
    <w:rsid w:val="00113614"/>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E96"/>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442"/>
    <w:rsid w:val="00150618"/>
    <w:rsid w:val="00150E64"/>
    <w:rsid w:val="00151766"/>
    <w:rsid w:val="0015247A"/>
    <w:rsid w:val="0015249C"/>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68EC"/>
    <w:rsid w:val="001A6C49"/>
    <w:rsid w:val="001A7AB7"/>
    <w:rsid w:val="001A7C91"/>
    <w:rsid w:val="001B0220"/>
    <w:rsid w:val="001B0850"/>
    <w:rsid w:val="001B1281"/>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D98"/>
    <w:rsid w:val="00265054"/>
    <w:rsid w:val="0026523F"/>
    <w:rsid w:val="002657D5"/>
    <w:rsid w:val="00265EBC"/>
    <w:rsid w:val="0026696D"/>
    <w:rsid w:val="00266BE6"/>
    <w:rsid w:val="00267127"/>
    <w:rsid w:val="00267325"/>
    <w:rsid w:val="002674F1"/>
    <w:rsid w:val="00267935"/>
    <w:rsid w:val="00270B8F"/>
    <w:rsid w:val="00271B39"/>
    <w:rsid w:val="00271C92"/>
    <w:rsid w:val="0027280E"/>
    <w:rsid w:val="0027293A"/>
    <w:rsid w:val="0027313B"/>
    <w:rsid w:val="00273CF6"/>
    <w:rsid w:val="00273F3E"/>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90002"/>
    <w:rsid w:val="0029069C"/>
    <w:rsid w:val="00291560"/>
    <w:rsid w:val="00291AF5"/>
    <w:rsid w:val="0029244F"/>
    <w:rsid w:val="00293B82"/>
    <w:rsid w:val="00293DA4"/>
    <w:rsid w:val="002965D8"/>
    <w:rsid w:val="0029715E"/>
    <w:rsid w:val="002A00F2"/>
    <w:rsid w:val="002A0381"/>
    <w:rsid w:val="002A0425"/>
    <w:rsid w:val="002A0651"/>
    <w:rsid w:val="002A06BD"/>
    <w:rsid w:val="002A11FB"/>
    <w:rsid w:val="002A120C"/>
    <w:rsid w:val="002A1715"/>
    <w:rsid w:val="002A1996"/>
    <w:rsid w:val="002A1F00"/>
    <w:rsid w:val="002A1F34"/>
    <w:rsid w:val="002A2185"/>
    <w:rsid w:val="002A21D9"/>
    <w:rsid w:val="002A334F"/>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52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68A"/>
    <w:rsid w:val="002F11D5"/>
    <w:rsid w:val="002F1A62"/>
    <w:rsid w:val="002F21EF"/>
    <w:rsid w:val="002F2741"/>
    <w:rsid w:val="002F2B63"/>
    <w:rsid w:val="002F3765"/>
    <w:rsid w:val="002F3F28"/>
    <w:rsid w:val="002F44A0"/>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3373"/>
    <w:rsid w:val="003242E5"/>
    <w:rsid w:val="00324DD8"/>
    <w:rsid w:val="00324EC6"/>
    <w:rsid w:val="003256E0"/>
    <w:rsid w:val="00325E6C"/>
    <w:rsid w:val="003261AE"/>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DE7"/>
    <w:rsid w:val="003B1B85"/>
    <w:rsid w:val="003B20E9"/>
    <w:rsid w:val="003B2926"/>
    <w:rsid w:val="003B3713"/>
    <w:rsid w:val="003B3AA5"/>
    <w:rsid w:val="003B445F"/>
    <w:rsid w:val="003B4982"/>
    <w:rsid w:val="003B4B46"/>
    <w:rsid w:val="003B4DF0"/>
    <w:rsid w:val="003B5C4E"/>
    <w:rsid w:val="003B65AB"/>
    <w:rsid w:val="003B6CFD"/>
    <w:rsid w:val="003B7115"/>
    <w:rsid w:val="003B7B4E"/>
    <w:rsid w:val="003B7D23"/>
    <w:rsid w:val="003C0C16"/>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FC0"/>
    <w:rsid w:val="00422217"/>
    <w:rsid w:val="00422A18"/>
    <w:rsid w:val="00422B01"/>
    <w:rsid w:val="00423668"/>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123F"/>
    <w:rsid w:val="004619CC"/>
    <w:rsid w:val="00461E36"/>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2C0"/>
    <w:rsid w:val="004A0AD0"/>
    <w:rsid w:val="004A0F14"/>
    <w:rsid w:val="004A1539"/>
    <w:rsid w:val="004A1D55"/>
    <w:rsid w:val="004A262B"/>
    <w:rsid w:val="004A2B58"/>
    <w:rsid w:val="004A2E82"/>
    <w:rsid w:val="004A3080"/>
    <w:rsid w:val="004A4429"/>
    <w:rsid w:val="004A44FB"/>
    <w:rsid w:val="004A4862"/>
    <w:rsid w:val="004A4E10"/>
    <w:rsid w:val="004A51B0"/>
    <w:rsid w:val="004A5352"/>
    <w:rsid w:val="004A565E"/>
    <w:rsid w:val="004A59A4"/>
    <w:rsid w:val="004A6727"/>
    <w:rsid w:val="004A6981"/>
    <w:rsid w:val="004A6E06"/>
    <w:rsid w:val="004A73C9"/>
    <w:rsid w:val="004A7475"/>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2F50"/>
    <w:rsid w:val="004E33EB"/>
    <w:rsid w:val="004E345A"/>
    <w:rsid w:val="004E3F06"/>
    <w:rsid w:val="004E433E"/>
    <w:rsid w:val="004E4394"/>
    <w:rsid w:val="004E44AF"/>
    <w:rsid w:val="004E52D5"/>
    <w:rsid w:val="004E59C7"/>
    <w:rsid w:val="004E67BD"/>
    <w:rsid w:val="004E67CC"/>
    <w:rsid w:val="004E6BED"/>
    <w:rsid w:val="004E7CFB"/>
    <w:rsid w:val="004F0094"/>
    <w:rsid w:val="004F091C"/>
    <w:rsid w:val="004F1279"/>
    <w:rsid w:val="004F1517"/>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4E26"/>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9D3"/>
    <w:rsid w:val="00545B7C"/>
    <w:rsid w:val="00545D4C"/>
    <w:rsid w:val="00545FC1"/>
    <w:rsid w:val="00546C0C"/>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AD4"/>
    <w:rsid w:val="00563583"/>
    <w:rsid w:val="005635DB"/>
    <w:rsid w:val="00563722"/>
    <w:rsid w:val="005644D2"/>
    <w:rsid w:val="00564915"/>
    <w:rsid w:val="00565126"/>
    <w:rsid w:val="0056605B"/>
    <w:rsid w:val="005664D0"/>
    <w:rsid w:val="00566509"/>
    <w:rsid w:val="00566610"/>
    <w:rsid w:val="00566C96"/>
    <w:rsid w:val="0056736F"/>
    <w:rsid w:val="00567D1B"/>
    <w:rsid w:val="005705DB"/>
    <w:rsid w:val="005709EF"/>
    <w:rsid w:val="0057109F"/>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E8"/>
    <w:rsid w:val="00574ADD"/>
    <w:rsid w:val="00574BF4"/>
    <w:rsid w:val="00575FD0"/>
    <w:rsid w:val="00576547"/>
    <w:rsid w:val="005766D7"/>
    <w:rsid w:val="00576B8F"/>
    <w:rsid w:val="00576ED0"/>
    <w:rsid w:val="00576F87"/>
    <w:rsid w:val="00577B69"/>
    <w:rsid w:val="005800A3"/>
    <w:rsid w:val="00580FED"/>
    <w:rsid w:val="00581587"/>
    <w:rsid w:val="00581F5A"/>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C1F"/>
    <w:rsid w:val="005C4D87"/>
    <w:rsid w:val="005C5F97"/>
    <w:rsid w:val="005C6799"/>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43D7"/>
    <w:rsid w:val="005E43D9"/>
    <w:rsid w:val="005E4D2B"/>
    <w:rsid w:val="005E4DFD"/>
    <w:rsid w:val="005E4E92"/>
    <w:rsid w:val="005E5326"/>
    <w:rsid w:val="005E549E"/>
    <w:rsid w:val="005E5E26"/>
    <w:rsid w:val="005E5F05"/>
    <w:rsid w:val="005E60DE"/>
    <w:rsid w:val="005E621A"/>
    <w:rsid w:val="005E6788"/>
    <w:rsid w:val="005E7894"/>
    <w:rsid w:val="005E78D5"/>
    <w:rsid w:val="005F048A"/>
    <w:rsid w:val="005F0DF2"/>
    <w:rsid w:val="005F1192"/>
    <w:rsid w:val="005F1223"/>
    <w:rsid w:val="005F1569"/>
    <w:rsid w:val="005F1684"/>
    <w:rsid w:val="005F186F"/>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A3E"/>
    <w:rsid w:val="00604E98"/>
    <w:rsid w:val="006052EB"/>
    <w:rsid w:val="00605593"/>
    <w:rsid w:val="00607A47"/>
    <w:rsid w:val="00607D49"/>
    <w:rsid w:val="00607E9C"/>
    <w:rsid w:val="00610586"/>
    <w:rsid w:val="00610A0E"/>
    <w:rsid w:val="00610D9A"/>
    <w:rsid w:val="00611ED2"/>
    <w:rsid w:val="0061253F"/>
    <w:rsid w:val="00613239"/>
    <w:rsid w:val="006133AF"/>
    <w:rsid w:val="00614D9F"/>
    <w:rsid w:val="00615CF7"/>
    <w:rsid w:val="0061600A"/>
    <w:rsid w:val="00616417"/>
    <w:rsid w:val="0061657A"/>
    <w:rsid w:val="00616CA8"/>
    <w:rsid w:val="00617620"/>
    <w:rsid w:val="006177C3"/>
    <w:rsid w:val="00617CB1"/>
    <w:rsid w:val="00620141"/>
    <w:rsid w:val="006203C2"/>
    <w:rsid w:val="0062090B"/>
    <w:rsid w:val="00620CCA"/>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5F0"/>
    <w:rsid w:val="00672A00"/>
    <w:rsid w:val="00672A27"/>
    <w:rsid w:val="00674135"/>
    <w:rsid w:val="00674DCE"/>
    <w:rsid w:val="00675104"/>
    <w:rsid w:val="00675A8E"/>
    <w:rsid w:val="00675D1F"/>
    <w:rsid w:val="00675F27"/>
    <w:rsid w:val="00676955"/>
    <w:rsid w:val="00676D3E"/>
    <w:rsid w:val="00677048"/>
    <w:rsid w:val="0068046C"/>
    <w:rsid w:val="006812C0"/>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3207"/>
    <w:rsid w:val="006935B9"/>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C35"/>
    <w:rsid w:val="006A7DA2"/>
    <w:rsid w:val="006B07AC"/>
    <w:rsid w:val="006B09B1"/>
    <w:rsid w:val="006B1298"/>
    <w:rsid w:val="006B1923"/>
    <w:rsid w:val="006B1CFA"/>
    <w:rsid w:val="006B260C"/>
    <w:rsid w:val="006B2E18"/>
    <w:rsid w:val="006B30BA"/>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878"/>
    <w:rsid w:val="006D0BDD"/>
    <w:rsid w:val="006D0BE5"/>
    <w:rsid w:val="006D0CB8"/>
    <w:rsid w:val="006D0CDA"/>
    <w:rsid w:val="006D150F"/>
    <w:rsid w:val="006D231F"/>
    <w:rsid w:val="006D23E7"/>
    <w:rsid w:val="006D2762"/>
    <w:rsid w:val="006D2A1D"/>
    <w:rsid w:val="006D32D2"/>
    <w:rsid w:val="006D3E7B"/>
    <w:rsid w:val="006D41C9"/>
    <w:rsid w:val="006D48F6"/>
    <w:rsid w:val="006D5920"/>
    <w:rsid w:val="006D59CA"/>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6013E"/>
    <w:rsid w:val="00760921"/>
    <w:rsid w:val="0076128E"/>
    <w:rsid w:val="00761A68"/>
    <w:rsid w:val="0076266C"/>
    <w:rsid w:val="0076334C"/>
    <w:rsid w:val="007645ED"/>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CFA"/>
    <w:rsid w:val="00780D57"/>
    <w:rsid w:val="00780F67"/>
    <w:rsid w:val="007811DE"/>
    <w:rsid w:val="007818C5"/>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8B"/>
    <w:rsid w:val="0079543C"/>
    <w:rsid w:val="00795707"/>
    <w:rsid w:val="007958A2"/>
    <w:rsid w:val="00795A32"/>
    <w:rsid w:val="00795C4E"/>
    <w:rsid w:val="00796150"/>
    <w:rsid w:val="007970DC"/>
    <w:rsid w:val="00797438"/>
    <w:rsid w:val="00797A25"/>
    <w:rsid w:val="007A03B1"/>
    <w:rsid w:val="007A0520"/>
    <w:rsid w:val="007A0605"/>
    <w:rsid w:val="007A09DF"/>
    <w:rsid w:val="007A0E2F"/>
    <w:rsid w:val="007A10E6"/>
    <w:rsid w:val="007A1136"/>
    <w:rsid w:val="007A20EA"/>
    <w:rsid w:val="007A241F"/>
    <w:rsid w:val="007A26FB"/>
    <w:rsid w:val="007A2B5B"/>
    <w:rsid w:val="007A3506"/>
    <w:rsid w:val="007A372A"/>
    <w:rsid w:val="007A3BD1"/>
    <w:rsid w:val="007A4153"/>
    <w:rsid w:val="007A46C9"/>
    <w:rsid w:val="007A51CA"/>
    <w:rsid w:val="007A530D"/>
    <w:rsid w:val="007A5CE6"/>
    <w:rsid w:val="007A611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E47"/>
    <w:rsid w:val="00801AB1"/>
    <w:rsid w:val="00802383"/>
    <w:rsid w:val="008024E5"/>
    <w:rsid w:val="00802C82"/>
    <w:rsid w:val="008033B8"/>
    <w:rsid w:val="008033C1"/>
    <w:rsid w:val="00803689"/>
    <w:rsid w:val="00803D71"/>
    <w:rsid w:val="00803DDC"/>
    <w:rsid w:val="00803EBA"/>
    <w:rsid w:val="0080498C"/>
    <w:rsid w:val="008049DB"/>
    <w:rsid w:val="008054B4"/>
    <w:rsid w:val="0080557B"/>
    <w:rsid w:val="00805B7B"/>
    <w:rsid w:val="00805D34"/>
    <w:rsid w:val="00806393"/>
    <w:rsid w:val="00806FF0"/>
    <w:rsid w:val="00810A80"/>
    <w:rsid w:val="00811009"/>
    <w:rsid w:val="00811082"/>
    <w:rsid w:val="00811A19"/>
    <w:rsid w:val="00812CAB"/>
    <w:rsid w:val="00813405"/>
    <w:rsid w:val="0081357E"/>
    <w:rsid w:val="00813C9D"/>
    <w:rsid w:val="0081415A"/>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F24"/>
    <w:rsid w:val="00832458"/>
    <w:rsid w:val="00832573"/>
    <w:rsid w:val="00832601"/>
    <w:rsid w:val="00832DD9"/>
    <w:rsid w:val="00833045"/>
    <w:rsid w:val="0083478D"/>
    <w:rsid w:val="0083687A"/>
    <w:rsid w:val="008368D4"/>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76E8"/>
    <w:rsid w:val="008610C6"/>
    <w:rsid w:val="00861804"/>
    <w:rsid w:val="00862584"/>
    <w:rsid w:val="00862D18"/>
    <w:rsid w:val="0086305F"/>
    <w:rsid w:val="008632E4"/>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D61"/>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C1"/>
    <w:rsid w:val="008C4EDA"/>
    <w:rsid w:val="008C5305"/>
    <w:rsid w:val="008C5566"/>
    <w:rsid w:val="008C562A"/>
    <w:rsid w:val="008C5863"/>
    <w:rsid w:val="008C69A9"/>
    <w:rsid w:val="008C6D7A"/>
    <w:rsid w:val="008C7124"/>
    <w:rsid w:val="008C713E"/>
    <w:rsid w:val="008C794E"/>
    <w:rsid w:val="008C7B9B"/>
    <w:rsid w:val="008D07A1"/>
    <w:rsid w:val="008D0D6B"/>
    <w:rsid w:val="008D0E73"/>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B4"/>
    <w:rsid w:val="008E58A8"/>
    <w:rsid w:val="008E6374"/>
    <w:rsid w:val="008E6791"/>
    <w:rsid w:val="008E72A7"/>
    <w:rsid w:val="008E7C43"/>
    <w:rsid w:val="008F0232"/>
    <w:rsid w:val="008F04AE"/>
    <w:rsid w:val="008F0682"/>
    <w:rsid w:val="008F06E3"/>
    <w:rsid w:val="008F1581"/>
    <w:rsid w:val="008F23FE"/>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473"/>
    <w:rsid w:val="009007BB"/>
    <w:rsid w:val="00900ED9"/>
    <w:rsid w:val="009013F6"/>
    <w:rsid w:val="00901880"/>
    <w:rsid w:val="009018CE"/>
    <w:rsid w:val="00901D16"/>
    <w:rsid w:val="00901EB2"/>
    <w:rsid w:val="00902AA5"/>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CC4"/>
    <w:rsid w:val="00916161"/>
    <w:rsid w:val="00916292"/>
    <w:rsid w:val="009175C2"/>
    <w:rsid w:val="0091789A"/>
    <w:rsid w:val="00917D64"/>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276AA"/>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7290"/>
    <w:rsid w:val="009872EB"/>
    <w:rsid w:val="009876EE"/>
    <w:rsid w:val="00987AA2"/>
    <w:rsid w:val="00987B8C"/>
    <w:rsid w:val="00987CEE"/>
    <w:rsid w:val="009905DE"/>
    <w:rsid w:val="00990C19"/>
    <w:rsid w:val="00990EB2"/>
    <w:rsid w:val="00991CC7"/>
    <w:rsid w:val="00991D80"/>
    <w:rsid w:val="00991EA5"/>
    <w:rsid w:val="009920AC"/>
    <w:rsid w:val="009923F6"/>
    <w:rsid w:val="00992863"/>
    <w:rsid w:val="00992AD4"/>
    <w:rsid w:val="00992B33"/>
    <w:rsid w:val="00992B8E"/>
    <w:rsid w:val="009945E8"/>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88F"/>
    <w:rsid w:val="009C79AB"/>
    <w:rsid w:val="009C7ACB"/>
    <w:rsid w:val="009C7EF2"/>
    <w:rsid w:val="009D135A"/>
    <w:rsid w:val="009D1A50"/>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4179"/>
    <w:rsid w:val="009E4242"/>
    <w:rsid w:val="009E4732"/>
    <w:rsid w:val="009E57E8"/>
    <w:rsid w:val="009E59F4"/>
    <w:rsid w:val="009E5D79"/>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3B0"/>
    <w:rsid w:val="00A01E51"/>
    <w:rsid w:val="00A03C6A"/>
    <w:rsid w:val="00A04285"/>
    <w:rsid w:val="00A04494"/>
    <w:rsid w:val="00A04767"/>
    <w:rsid w:val="00A0546E"/>
    <w:rsid w:val="00A0551C"/>
    <w:rsid w:val="00A05BB8"/>
    <w:rsid w:val="00A06295"/>
    <w:rsid w:val="00A06427"/>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EF5"/>
    <w:rsid w:val="00A704EA"/>
    <w:rsid w:val="00A7234D"/>
    <w:rsid w:val="00A72E28"/>
    <w:rsid w:val="00A738B1"/>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DDC"/>
    <w:rsid w:val="00A83F37"/>
    <w:rsid w:val="00A84018"/>
    <w:rsid w:val="00A8418F"/>
    <w:rsid w:val="00A842A3"/>
    <w:rsid w:val="00A84B94"/>
    <w:rsid w:val="00A84BED"/>
    <w:rsid w:val="00A8536F"/>
    <w:rsid w:val="00A857C4"/>
    <w:rsid w:val="00A85AF6"/>
    <w:rsid w:val="00A85CD9"/>
    <w:rsid w:val="00A85E27"/>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501F"/>
    <w:rsid w:val="00A951AC"/>
    <w:rsid w:val="00A951C2"/>
    <w:rsid w:val="00A95452"/>
    <w:rsid w:val="00A95DFD"/>
    <w:rsid w:val="00A95EE0"/>
    <w:rsid w:val="00A96EF6"/>
    <w:rsid w:val="00AA0925"/>
    <w:rsid w:val="00AA096E"/>
    <w:rsid w:val="00AA1293"/>
    <w:rsid w:val="00AA14C3"/>
    <w:rsid w:val="00AA188D"/>
    <w:rsid w:val="00AA3EDF"/>
    <w:rsid w:val="00AA411A"/>
    <w:rsid w:val="00AA4220"/>
    <w:rsid w:val="00AA4239"/>
    <w:rsid w:val="00AA4D46"/>
    <w:rsid w:val="00AA54AE"/>
    <w:rsid w:val="00AA5F04"/>
    <w:rsid w:val="00AA6816"/>
    <w:rsid w:val="00AA69E5"/>
    <w:rsid w:val="00AA6D4E"/>
    <w:rsid w:val="00AA73D0"/>
    <w:rsid w:val="00AA75CE"/>
    <w:rsid w:val="00AB023A"/>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415A"/>
    <w:rsid w:val="00AF44F2"/>
    <w:rsid w:val="00AF4950"/>
    <w:rsid w:val="00AF53AB"/>
    <w:rsid w:val="00AF53BA"/>
    <w:rsid w:val="00AF62DE"/>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2191"/>
    <w:rsid w:val="00B12F04"/>
    <w:rsid w:val="00B13082"/>
    <w:rsid w:val="00B134E7"/>
    <w:rsid w:val="00B13A79"/>
    <w:rsid w:val="00B14075"/>
    <w:rsid w:val="00B14FC0"/>
    <w:rsid w:val="00B159F7"/>
    <w:rsid w:val="00B16524"/>
    <w:rsid w:val="00B165E7"/>
    <w:rsid w:val="00B16E86"/>
    <w:rsid w:val="00B170A8"/>
    <w:rsid w:val="00B20364"/>
    <w:rsid w:val="00B20E6F"/>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C5"/>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842"/>
    <w:rsid w:val="00BA4D41"/>
    <w:rsid w:val="00BA58AF"/>
    <w:rsid w:val="00BA58BB"/>
    <w:rsid w:val="00BA67FC"/>
    <w:rsid w:val="00BA6B8E"/>
    <w:rsid w:val="00BA7285"/>
    <w:rsid w:val="00BA7BE8"/>
    <w:rsid w:val="00BB01AF"/>
    <w:rsid w:val="00BB08F7"/>
    <w:rsid w:val="00BB0BA7"/>
    <w:rsid w:val="00BB0CA1"/>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52DE"/>
    <w:rsid w:val="00BC5902"/>
    <w:rsid w:val="00BC66E0"/>
    <w:rsid w:val="00BC69C6"/>
    <w:rsid w:val="00BC7775"/>
    <w:rsid w:val="00BC7956"/>
    <w:rsid w:val="00BD02E6"/>
    <w:rsid w:val="00BD065D"/>
    <w:rsid w:val="00BD0CF8"/>
    <w:rsid w:val="00BD0DDA"/>
    <w:rsid w:val="00BD1252"/>
    <w:rsid w:val="00BD1469"/>
    <w:rsid w:val="00BD154F"/>
    <w:rsid w:val="00BD1FF6"/>
    <w:rsid w:val="00BD2256"/>
    <w:rsid w:val="00BD24B6"/>
    <w:rsid w:val="00BD3080"/>
    <w:rsid w:val="00BD3124"/>
    <w:rsid w:val="00BD316A"/>
    <w:rsid w:val="00BD33EC"/>
    <w:rsid w:val="00BD3A9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4D5A"/>
    <w:rsid w:val="00BE5120"/>
    <w:rsid w:val="00BE5756"/>
    <w:rsid w:val="00BE576D"/>
    <w:rsid w:val="00BE59DD"/>
    <w:rsid w:val="00BE5BE1"/>
    <w:rsid w:val="00BE64BF"/>
    <w:rsid w:val="00BE654A"/>
    <w:rsid w:val="00BE6653"/>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0FB"/>
    <w:rsid w:val="00C4057F"/>
    <w:rsid w:val="00C405F4"/>
    <w:rsid w:val="00C40753"/>
    <w:rsid w:val="00C40815"/>
    <w:rsid w:val="00C40B89"/>
    <w:rsid w:val="00C40B90"/>
    <w:rsid w:val="00C41BEB"/>
    <w:rsid w:val="00C427A2"/>
    <w:rsid w:val="00C42E64"/>
    <w:rsid w:val="00C42FF6"/>
    <w:rsid w:val="00C43C61"/>
    <w:rsid w:val="00C43F21"/>
    <w:rsid w:val="00C441C2"/>
    <w:rsid w:val="00C4421D"/>
    <w:rsid w:val="00C46397"/>
    <w:rsid w:val="00C47B24"/>
    <w:rsid w:val="00C50040"/>
    <w:rsid w:val="00C507A3"/>
    <w:rsid w:val="00C5183A"/>
    <w:rsid w:val="00C51B9C"/>
    <w:rsid w:val="00C51BEC"/>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14E"/>
    <w:rsid w:val="00C62D67"/>
    <w:rsid w:val="00C6356B"/>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D2730"/>
    <w:rsid w:val="00CD28B2"/>
    <w:rsid w:val="00CD2DD0"/>
    <w:rsid w:val="00CD2E3B"/>
    <w:rsid w:val="00CD33EE"/>
    <w:rsid w:val="00CD3776"/>
    <w:rsid w:val="00CD4D65"/>
    <w:rsid w:val="00CD55B1"/>
    <w:rsid w:val="00CD5680"/>
    <w:rsid w:val="00CD57E1"/>
    <w:rsid w:val="00CD59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51A0"/>
    <w:rsid w:val="00D451C2"/>
    <w:rsid w:val="00D45385"/>
    <w:rsid w:val="00D45546"/>
    <w:rsid w:val="00D45C34"/>
    <w:rsid w:val="00D4777F"/>
    <w:rsid w:val="00D478D3"/>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60F"/>
    <w:rsid w:val="00D7197E"/>
    <w:rsid w:val="00D71EB9"/>
    <w:rsid w:val="00D726FD"/>
    <w:rsid w:val="00D72C26"/>
    <w:rsid w:val="00D73288"/>
    <w:rsid w:val="00D73686"/>
    <w:rsid w:val="00D7371E"/>
    <w:rsid w:val="00D73EF2"/>
    <w:rsid w:val="00D741DB"/>
    <w:rsid w:val="00D742A0"/>
    <w:rsid w:val="00D74E88"/>
    <w:rsid w:val="00D75216"/>
    <w:rsid w:val="00D756A7"/>
    <w:rsid w:val="00D75D33"/>
    <w:rsid w:val="00D75E56"/>
    <w:rsid w:val="00D763AE"/>
    <w:rsid w:val="00D76CD8"/>
    <w:rsid w:val="00D77919"/>
    <w:rsid w:val="00D779D4"/>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3B"/>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62"/>
    <w:rsid w:val="00DC759F"/>
    <w:rsid w:val="00DD0B51"/>
    <w:rsid w:val="00DD0BE6"/>
    <w:rsid w:val="00DD1707"/>
    <w:rsid w:val="00DD1963"/>
    <w:rsid w:val="00DD1C59"/>
    <w:rsid w:val="00DD263C"/>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51B1"/>
    <w:rsid w:val="00E057EA"/>
    <w:rsid w:val="00E05E00"/>
    <w:rsid w:val="00E06357"/>
    <w:rsid w:val="00E0667E"/>
    <w:rsid w:val="00E06F09"/>
    <w:rsid w:val="00E06FAA"/>
    <w:rsid w:val="00E073FE"/>
    <w:rsid w:val="00E078A6"/>
    <w:rsid w:val="00E07916"/>
    <w:rsid w:val="00E07AA2"/>
    <w:rsid w:val="00E1015B"/>
    <w:rsid w:val="00E106AE"/>
    <w:rsid w:val="00E10723"/>
    <w:rsid w:val="00E11236"/>
    <w:rsid w:val="00E1164D"/>
    <w:rsid w:val="00E11A5C"/>
    <w:rsid w:val="00E11CCB"/>
    <w:rsid w:val="00E1223A"/>
    <w:rsid w:val="00E122A9"/>
    <w:rsid w:val="00E12447"/>
    <w:rsid w:val="00E12ABE"/>
    <w:rsid w:val="00E12E0E"/>
    <w:rsid w:val="00E12FC7"/>
    <w:rsid w:val="00E1415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14"/>
    <w:rsid w:val="00E37673"/>
    <w:rsid w:val="00E408E9"/>
    <w:rsid w:val="00E413F2"/>
    <w:rsid w:val="00E418F1"/>
    <w:rsid w:val="00E419DB"/>
    <w:rsid w:val="00E41C29"/>
    <w:rsid w:val="00E41D45"/>
    <w:rsid w:val="00E4238A"/>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55B1"/>
    <w:rsid w:val="00E85E67"/>
    <w:rsid w:val="00E86621"/>
    <w:rsid w:val="00E86A0D"/>
    <w:rsid w:val="00E87BD5"/>
    <w:rsid w:val="00E87C5D"/>
    <w:rsid w:val="00E87C9B"/>
    <w:rsid w:val="00E90B12"/>
    <w:rsid w:val="00E90D43"/>
    <w:rsid w:val="00E912B1"/>
    <w:rsid w:val="00E921EF"/>
    <w:rsid w:val="00E92681"/>
    <w:rsid w:val="00E927FD"/>
    <w:rsid w:val="00E92BF5"/>
    <w:rsid w:val="00E94E0B"/>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686E"/>
    <w:rsid w:val="00EB6974"/>
    <w:rsid w:val="00EB6D6E"/>
    <w:rsid w:val="00EB7570"/>
    <w:rsid w:val="00EB7649"/>
    <w:rsid w:val="00EB76BD"/>
    <w:rsid w:val="00EC05A9"/>
    <w:rsid w:val="00EC07C5"/>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7215"/>
    <w:rsid w:val="00EC7371"/>
    <w:rsid w:val="00EC7652"/>
    <w:rsid w:val="00EC766D"/>
    <w:rsid w:val="00EC77DC"/>
    <w:rsid w:val="00EC7835"/>
    <w:rsid w:val="00ED05EB"/>
    <w:rsid w:val="00ED0D53"/>
    <w:rsid w:val="00ED0ED2"/>
    <w:rsid w:val="00ED1938"/>
    <w:rsid w:val="00ED25BD"/>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E7616"/>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971"/>
    <w:rsid w:val="00F13C27"/>
    <w:rsid w:val="00F14133"/>
    <w:rsid w:val="00F144D6"/>
    <w:rsid w:val="00F14C5F"/>
    <w:rsid w:val="00F14FC4"/>
    <w:rsid w:val="00F1511E"/>
    <w:rsid w:val="00F15860"/>
    <w:rsid w:val="00F15A42"/>
    <w:rsid w:val="00F15DA5"/>
    <w:rsid w:val="00F16108"/>
    <w:rsid w:val="00F16136"/>
    <w:rsid w:val="00F16526"/>
    <w:rsid w:val="00F16D91"/>
    <w:rsid w:val="00F1705F"/>
    <w:rsid w:val="00F1732C"/>
    <w:rsid w:val="00F1756F"/>
    <w:rsid w:val="00F201FD"/>
    <w:rsid w:val="00F204E4"/>
    <w:rsid w:val="00F2085A"/>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79C"/>
    <w:rsid w:val="00F3223F"/>
    <w:rsid w:val="00F3267F"/>
    <w:rsid w:val="00F33779"/>
    <w:rsid w:val="00F33B9C"/>
    <w:rsid w:val="00F34050"/>
    <w:rsid w:val="00F340F6"/>
    <w:rsid w:val="00F34129"/>
    <w:rsid w:val="00F3424C"/>
    <w:rsid w:val="00F34397"/>
    <w:rsid w:val="00F354AA"/>
    <w:rsid w:val="00F35F09"/>
    <w:rsid w:val="00F363EA"/>
    <w:rsid w:val="00F36451"/>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3B6"/>
    <w:rsid w:val="00F45496"/>
    <w:rsid w:val="00F45854"/>
    <w:rsid w:val="00F45D0C"/>
    <w:rsid w:val="00F460F1"/>
    <w:rsid w:val="00F464B2"/>
    <w:rsid w:val="00F468F2"/>
    <w:rsid w:val="00F4697F"/>
    <w:rsid w:val="00F46B56"/>
    <w:rsid w:val="00F46C8A"/>
    <w:rsid w:val="00F46D54"/>
    <w:rsid w:val="00F46DBE"/>
    <w:rsid w:val="00F50DC4"/>
    <w:rsid w:val="00F524C0"/>
    <w:rsid w:val="00F52A72"/>
    <w:rsid w:val="00F53483"/>
    <w:rsid w:val="00F53548"/>
    <w:rsid w:val="00F540CB"/>
    <w:rsid w:val="00F5423E"/>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029"/>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7BB"/>
    <w:rsid w:val="00F96E84"/>
    <w:rsid w:val="00F97914"/>
    <w:rsid w:val="00F97E2D"/>
    <w:rsid w:val="00FA01D4"/>
    <w:rsid w:val="00FA2A41"/>
    <w:rsid w:val="00FA2BD7"/>
    <w:rsid w:val="00FA3BAD"/>
    <w:rsid w:val="00FA3F06"/>
    <w:rsid w:val="00FA4744"/>
    <w:rsid w:val="00FA53DE"/>
    <w:rsid w:val="00FA6DE6"/>
    <w:rsid w:val="00FA6F37"/>
    <w:rsid w:val="00FA6FA7"/>
    <w:rsid w:val="00FA77CA"/>
    <w:rsid w:val="00FB0862"/>
    <w:rsid w:val="00FB0D8A"/>
    <w:rsid w:val="00FB119A"/>
    <w:rsid w:val="00FB141F"/>
    <w:rsid w:val="00FB1431"/>
    <w:rsid w:val="00FB162D"/>
    <w:rsid w:val="00FB181F"/>
    <w:rsid w:val="00FB1918"/>
    <w:rsid w:val="00FB1AE8"/>
    <w:rsid w:val="00FB1D7A"/>
    <w:rsid w:val="00FB24C0"/>
    <w:rsid w:val="00FB2671"/>
    <w:rsid w:val="00FB286E"/>
    <w:rsid w:val="00FB29B4"/>
    <w:rsid w:val="00FB2A18"/>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64EF"/>
    <w:rsid w:val="00FD7771"/>
    <w:rsid w:val="00FE0294"/>
    <w:rsid w:val="00FE18B4"/>
    <w:rsid w:val="00FE1CEF"/>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7533"/>
    <w:rsid w:val="01756466"/>
    <w:rsid w:val="01F0299B"/>
    <w:rsid w:val="026E4F91"/>
    <w:rsid w:val="02A21C52"/>
    <w:rsid w:val="041D095D"/>
    <w:rsid w:val="051B16B9"/>
    <w:rsid w:val="05C87DB9"/>
    <w:rsid w:val="0662062E"/>
    <w:rsid w:val="0961739E"/>
    <w:rsid w:val="098E6083"/>
    <w:rsid w:val="0B205B2B"/>
    <w:rsid w:val="0B782559"/>
    <w:rsid w:val="0D566BC9"/>
    <w:rsid w:val="0E180322"/>
    <w:rsid w:val="0E8C4995"/>
    <w:rsid w:val="0EF27BFB"/>
    <w:rsid w:val="0FBC50EF"/>
    <w:rsid w:val="115F3FD7"/>
    <w:rsid w:val="11A259DD"/>
    <w:rsid w:val="11F9269A"/>
    <w:rsid w:val="120474A0"/>
    <w:rsid w:val="13102ABE"/>
    <w:rsid w:val="167D280D"/>
    <w:rsid w:val="17047766"/>
    <w:rsid w:val="17935895"/>
    <w:rsid w:val="17F52C18"/>
    <w:rsid w:val="184530EF"/>
    <w:rsid w:val="19227A4B"/>
    <w:rsid w:val="19651013"/>
    <w:rsid w:val="1A4E7B88"/>
    <w:rsid w:val="1B3E182A"/>
    <w:rsid w:val="1B4B5195"/>
    <w:rsid w:val="1C174C6F"/>
    <w:rsid w:val="1C7C020D"/>
    <w:rsid w:val="1C8F78BA"/>
    <w:rsid w:val="1C9B0D84"/>
    <w:rsid w:val="1CDD3F3B"/>
    <w:rsid w:val="1D4D6869"/>
    <w:rsid w:val="1DED0869"/>
    <w:rsid w:val="20707345"/>
    <w:rsid w:val="21760101"/>
    <w:rsid w:val="22B25284"/>
    <w:rsid w:val="22C07D9F"/>
    <w:rsid w:val="23056CBA"/>
    <w:rsid w:val="234C1E42"/>
    <w:rsid w:val="239FC315"/>
    <w:rsid w:val="23C6059E"/>
    <w:rsid w:val="23C95079"/>
    <w:rsid w:val="24031A53"/>
    <w:rsid w:val="24307C26"/>
    <w:rsid w:val="248E5D4C"/>
    <w:rsid w:val="24C47897"/>
    <w:rsid w:val="24E337F8"/>
    <w:rsid w:val="258D3B57"/>
    <w:rsid w:val="262336EE"/>
    <w:rsid w:val="269E4C0C"/>
    <w:rsid w:val="27024D1A"/>
    <w:rsid w:val="2AD85037"/>
    <w:rsid w:val="2BD0253B"/>
    <w:rsid w:val="2C444480"/>
    <w:rsid w:val="2C564DC3"/>
    <w:rsid w:val="2D6C141D"/>
    <w:rsid w:val="2E980D64"/>
    <w:rsid w:val="2EB64B4B"/>
    <w:rsid w:val="2EDB590A"/>
    <w:rsid w:val="2F0A29E3"/>
    <w:rsid w:val="30127A3F"/>
    <w:rsid w:val="30817D6A"/>
    <w:rsid w:val="3157114E"/>
    <w:rsid w:val="31F2037F"/>
    <w:rsid w:val="32947A78"/>
    <w:rsid w:val="329B11F6"/>
    <w:rsid w:val="336E087E"/>
    <w:rsid w:val="33A85DA6"/>
    <w:rsid w:val="33C3087D"/>
    <w:rsid w:val="35961B12"/>
    <w:rsid w:val="364523AD"/>
    <w:rsid w:val="36700D38"/>
    <w:rsid w:val="36C4673D"/>
    <w:rsid w:val="37B10B63"/>
    <w:rsid w:val="37D17C49"/>
    <w:rsid w:val="38950836"/>
    <w:rsid w:val="390721D7"/>
    <w:rsid w:val="393B510C"/>
    <w:rsid w:val="393F4767"/>
    <w:rsid w:val="39A97E97"/>
    <w:rsid w:val="3A260C29"/>
    <w:rsid w:val="3B57268D"/>
    <w:rsid w:val="3B6176CE"/>
    <w:rsid w:val="3BF9504C"/>
    <w:rsid w:val="3CF11603"/>
    <w:rsid w:val="3D7507FB"/>
    <w:rsid w:val="3EB5127A"/>
    <w:rsid w:val="3F503E5E"/>
    <w:rsid w:val="3FC16214"/>
    <w:rsid w:val="41576FF8"/>
    <w:rsid w:val="41D9164E"/>
    <w:rsid w:val="41DD521D"/>
    <w:rsid w:val="423B7022"/>
    <w:rsid w:val="42A87124"/>
    <w:rsid w:val="4389060E"/>
    <w:rsid w:val="43C8028A"/>
    <w:rsid w:val="43D51667"/>
    <w:rsid w:val="443B2C25"/>
    <w:rsid w:val="448421F1"/>
    <w:rsid w:val="45D37D9B"/>
    <w:rsid w:val="48194FD5"/>
    <w:rsid w:val="484514CB"/>
    <w:rsid w:val="48C86EE1"/>
    <w:rsid w:val="49FA6EF8"/>
    <w:rsid w:val="4A784961"/>
    <w:rsid w:val="4ACF3A3C"/>
    <w:rsid w:val="4B1700DF"/>
    <w:rsid w:val="4BFD6EEC"/>
    <w:rsid w:val="4F0F6A19"/>
    <w:rsid w:val="51D10A66"/>
    <w:rsid w:val="528A390F"/>
    <w:rsid w:val="528C6991"/>
    <w:rsid w:val="52C3297B"/>
    <w:rsid w:val="54054633"/>
    <w:rsid w:val="540605E4"/>
    <w:rsid w:val="547F0032"/>
    <w:rsid w:val="54A02A20"/>
    <w:rsid w:val="55C87B3E"/>
    <w:rsid w:val="58D67D8C"/>
    <w:rsid w:val="58E10577"/>
    <w:rsid w:val="59165EF7"/>
    <w:rsid w:val="59702A12"/>
    <w:rsid w:val="5AED2A9C"/>
    <w:rsid w:val="5BC746C9"/>
    <w:rsid w:val="5CC61F72"/>
    <w:rsid w:val="5CF206F7"/>
    <w:rsid w:val="5EA0340D"/>
    <w:rsid w:val="5ED66C3C"/>
    <w:rsid w:val="5F3A177E"/>
    <w:rsid w:val="5FDD643B"/>
    <w:rsid w:val="60BA3E42"/>
    <w:rsid w:val="6194383B"/>
    <w:rsid w:val="61CB5375"/>
    <w:rsid w:val="623348CA"/>
    <w:rsid w:val="65CA685B"/>
    <w:rsid w:val="65CF34A7"/>
    <w:rsid w:val="65F660EF"/>
    <w:rsid w:val="6673798C"/>
    <w:rsid w:val="673905B6"/>
    <w:rsid w:val="681C3942"/>
    <w:rsid w:val="68460AAC"/>
    <w:rsid w:val="68AC1CFE"/>
    <w:rsid w:val="68EC626C"/>
    <w:rsid w:val="6BCD1DE6"/>
    <w:rsid w:val="6C505023"/>
    <w:rsid w:val="6D14299F"/>
    <w:rsid w:val="6D672A1E"/>
    <w:rsid w:val="6DC237D1"/>
    <w:rsid w:val="6F40725E"/>
    <w:rsid w:val="6F4C2770"/>
    <w:rsid w:val="6F745D74"/>
    <w:rsid w:val="711172CF"/>
    <w:rsid w:val="71FD54DD"/>
    <w:rsid w:val="739A7F5B"/>
    <w:rsid w:val="7410294D"/>
    <w:rsid w:val="76D71644"/>
    <w:rsid w:val="776C2FB6"/>
    <w:rsid w:val="77D84935"/>
    <w:rsid w:val="79982284"/>
    <w:rsid w:val="7998662D"/>
    <w:rsid w:val="7A8C5878"/>
    <w:rsid w:val="7B471854"/>
    <w:rsid w:val="7C552333"/>
    <w:rsid w:val="7CA86C55"/>
    <w:rsid w:val="7CF019C1"/>
    <w:rsid w:val="7D461CAD"/>
    <w:rsid w:val="7E28286A"/>
    <w:rsid w:val="7E4515FE"/>
    <w:rsid w:val="7EAD59B2"/>
    <w:rsid w:val="7EC479A0"/>
    <w:rsid w:val="7F91273C"/>
    <w:rsid w:val="7FDD010E"/>
    <w:rsid w:val="7FEF91D2"/>
    <w:rsid w:val="B39D645D"/>
    <w:rsid w:val="F65D09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autoRedefine/>
    <w:qFormat/>
    <w:uiPriority w:val="0"/>
    <w:pPr>
      <w:spacing w:before="340" w:after="330" w:line="360" w:lineRule="auto"/>
      <w:jc w:val="center"/>
      <w:outlineLvl w:val="0"/>
    </w:pPr>
    <w:rPr>
      <w:rFonts w:eastAsiaTheme="minorEastAsia"/>
      <w:bCs w:val="0"/>
      <w:kern w:val="44"/>
      <w:sz w:val="44"/>
      <w:szCs w:val="28"/>
    </w:rPr>
  </w:style>
  <w:style w:type="paragraph" w:styleId="2">
    <w:name w:val="heading 2"/>
    <w:basedOn w:val="1"/>
    <w:next w:val="1"/>
    <w:link w:val="61"/>
    <w:autoRedefine/>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autoRedefine/>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autoRedefine/>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autoRedefine/>
    <w:qFormat/>
    <w:uiPriority w:val="99"/>
    <w:pPr>
      <w:jc w:val="left"/>
    </w:pPr>
  </w:style>
  <w:style w:type="paragraph" w:styleId="19">
    <w:name w:val="Body Text 3"/>
    <w:basedOn w:val="1"/>
    <w:link w:val="458"/>
    <w:autoRedefine/>
    <w:unhideWhenUsed/>
    <w:qFormat/>
    <w:uiPriority w:val="0"/>
    <w:pPr>
      <w:spacing w:after="120"/>
    </w:pPr>
    <w:rPr>
      <w:sz w:val="16"/>
      <w:szCs w:val="16"/>
    </w:rPr>
  </w:style>
  <w:style w:type="paragraph" w:styleId="20">
    <w:name w:val="Body Text"/>
    <w:basedOn w:val="1"/>
    <w:link w:val="71"/>
    <w:autoRedefine/>
    <w:qFormat/>
    <w:uiPriority w:val="0"/>
    <w:pPr>
      <w:spacing w:after="120"/>
    </w:pPr>
  </w:style>
  <w:style w:type="paragraph" w:styleId="21">
    <w:name w:val="Body Text Indent"/>
    <w:basedOn w:val="1"/>
    <w:link w:val="74"/>
    <w:autoRedefine/>
    <w:qFormat/>
    <w:uiPriority w:val="0"/>
    <w:pPr>
      <w:spacing w:after="120"/>
      <w:ind w:left="420" w:leftChars="200"/>
    </w:pPr>
  </w:style>
  <w:style w:type="paragraph" w:styleId="22">
    <w:name w:val="Block Text"/>
    <w:basedOn w:val="1"/>
    <w:autoRedefine/>
    <w:qFormat/>
    <w:uiPriority w:val="0"/>
    <w:pPr>
      <w:spacing w:after="120"/>
      <w:ind w:left="1440" w:leftChars="700" w:right="1440" w:rightChars="700"/>
    </w:pPr>
  </w:style>
  <w:style w:type="paragraph" w:styleId="23">
    <w:name w:val="List Bullet 2"/>
    <w:basedOn w:val="1"/>
    <w:autoRedefine/>
    <w:qFormat/>
    <w:uiPriority w:val="0"/>
    <w:pPr>
      <w:numPr>
        <w:ilvl w:val="0"/>
        <w:numId w:val="2"/>
      </w:numPr>
      <w:tabs>
        <w:tab w:val="left" w:pos="780"/>
      </w:tabs>
    </w:pPr>
    <w:rPr>
      <w:szCs w:val="20"/>
    </w:rPr>
  </w:style>
  <w:style w:type="paragraph" w:styleId="24">
    <w:name w:val="toc 5"/>
    <w:basedOn w:val="1"/>
    <w:next w:val="1"/>
    <w:autoRedefine/>
    <w:qFormat/>
    <w:uiPriority w:val="0"/>
    <w:pPr>
      <w:ind w:left="840"/>
      <w:jc w:val="left"/>
    </w:pPr>
    <w:rPr>
      <w:szCs w:val="21"/>
    </w:rPr>
  </w:style>
  <w:style w:type="paragraph" w:styleId="25">
    <w:name w:val="toc 3"/>
    <w:basedOn w:val="1"/>
    <w:next w:val="1"/>
    <w:autoRedefine/>
    <w:qFormat/>
    <w:uiPriority w:val="39"/>
    <w:pPr>
      <w:ind w:left="420"/>
      <w:jc w:val="left"/>
    </w:pPr>
    <w:rPr>
      <w:iCs/>
    </w:rPr>
  </w:style>
  <w:style w:type="paragraph" w:styleId="26">
    <w:name w:val="Plain Text"/>
    <w:basedOn w:val="1"/>
    <w:link w:val="75"/>
    <w:autoRedefine/>
    <w:qFormat/>
    <w:uiPriority w:val="0"/>
    <w:rPr>
      <w:rFonts w:ascii="宋体" w:hAnsi="Courier New"/>
      <w:szCs w:val="20"/>
    </w:rPr>
  </w:style>
  <w:style w:type="paragraph" w:styleId="27">
    <w:name w:val="toc 8"/>
    <w:basedOn w:val="1"/>
    <w:next w:val="1"/>
    <w:autoRedefine/>
    <w:qFormat/>
    <w:uiPriority w:val="0"/>
    <w:pPr>
      <w:ind w:left="1470"/>
      <w:jc w:val="left"/>
    </w:pPr>
    <w:rPr>
      <w:szCs w:val="21"/>
    </w:rPr>
  </w:style>
  <w:style w:type="paragraph" w:styleId="28">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autoRedefine/>
    <w:qFormat/>
    <w:uiPriority w:val="0"/>
    <w:pPr>
      <w:spacing w:after="120" w:line="480" w:lineRule="auto"/>
      <w:ind w:left="420" w:leftChars="200"/>
    </w:pPr>
  </w:style>
  <w:style w:type="paragraph" w:styleId="30">
    <w:name w:val="Balloon Text"/>
    <w:basedOn w:val="1"/>
    <w:link w:val="77"/>
    <w:autoRedefine/>
    <w:qFormat/>
    <w:uiPriority w:val="0"/>
    <w:rPr>
      <w:sz w:val="18"/>
      <w:szCs w:val="18"/>
    </w:rPr>
  </w:style>
  <w:style w:type="paragraph" w:styleId="31">
    <w:name w:val="footer"/>
    <w:basedOn w:val="1"/>
    <w:link w:val="78"/>
    <w:autoRedefine/>
    <w:qFormat/>
    <w:uiPriority w:val="99"/>
    <w:pPr>
      <w:tabs>
        <w:tab w:val="center" w:pos="4153"/>
        <w:tab w:val="right" w:pos="8306"/>
      </w:tabs>
      <w:snapToGrid w:val="0"/>
      <w:jc w:val="left"/>
    </w:pPr>
    <w:rPr>
      <w:sz w:val="18"/>
      <w:szCs w:val="18"/>
    </w:rPr>
  </w:style>
  <w:style w:type="paragraph" w:styleId="32">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autoRedefine/>
    <w:qFormat/>
    <w:uiPriority w:val="0"/>
    <w:pPr>
      <w:ind w:left="4320"/>
    </w:pPr>
    <w:rPr>
      <w:rFonts w:eastAsia="楷体_GB2312"/>
      <w:szCs w:val="20"/>
    </w:rPr>
  </w:style>
  <w:style w:type="paragraph" w:styleId="34">
    <w:name w:val="toc 1"/>
    <w:basedOn w:val="1"/>
    <w:next w:val="1"/>
    <w:autoRedefine/>
    <w:qFormat/>
    <w:uiPriority w:val="39"/>
    <w:pPr>
      <w:spacing w:before="120" w:after="120"/>
      <w:jc w:val="left"/>
    </w:pPr>
    <w:rPr>
      <w:b/>
      <w:bCs/>
      <w:caps/>
    </w:rPr>
  </w:style>
  <w:style w:type="paragraph" w:styleId="35">
    <w:name w:val="toc 4"/>
    <w:basedOn w:val="1"/>
    <w:next w:val="1"/>
    <w:autoRedefine/>
    <w:qFormat/>
    <w:uiPriority w:val="0"/>
    <w:pPr>
      <w:ind w:left="630"/>
      <w:jc w:val="left"/>
    </w:pPr>
    <w:rPr>
      <w:szCs w:val="21"/>
    </w:rPr>
  </w:style>
  <w:style w:type="paragraph" w:styleId="36">
    <w:name w:val="index heading"/>
    <w:basedOn w:val="1"/>
    <w:next w:val="37"/>
    <w:autoRedefine/>
    <w:qFormat/>
    <w:uiPriority w:val="0"/>
    <w:rPr>
      <w:szCs w:val="20"/>
    </w:rPr>
  </w:style>
  <w:style w:type="paragraph" w:styleId="37">
    <w:name w:val="index 1"/>
    <w:basedOn w:val="1"/>
    <w:next w:val="1"/>
    <w:autoRedefine/>
    <w:qFormat/>
    <w:uiPriority w:val="0"/>
  </w:style>
  <w:style w:type="paragraph" w:styleId="38">
    <w:name w:val="footnote text"/>
    <w:basedOn w:val="1"/>
    <w:link w:val="481"/>
    <w:autoRedefine/>
    <w:qFormat/>
    <w:uiPriority w:val="0"/>
    <w:pPr>
      <w:snapToGrid w:val="0"/>
      <w:jc w:val="left"/>
    </w:pPr>
    <w:rPr>
      <w:sz w:val="18"/>
      <w:szCs w:val="18"/>
    </w:rPr>
  </w:style>
  <w:style w:type="paragraph" w:styleId="39">
    <w:name w:val="toc 6"/>
    <w:basedOn w:val="1"/>
    <w:next w:val="1"/>
    <w:autoRedefine/>
    <w:qFormat/>
    <w:uiPriority w:val="0"/>
    <w:pPr>
      <w:ind w:left="1050"/>
      <w:jc w:val="left"/>
    </w:pPr>
    <w:rPr>
      <w:szCs w:val="21"/>
    </w:rPr>
  </w:style>
  <w:style w:type="paragraph" w:styleId="40">
    <w:name w:val="Body Text Indent 3"/>
    <w:basedOn w:val="1"/>
    <w:link w:val="313"/>
    <w:autoRedefine/>
    <w:qFormat/>
    <w:uiPriority w:val="0"/>
    <w:pPr>
      <w:ind w:firstLine="426"/>
    </w:pPr>
    <w:rPr>
      <w:szCs w:val="20"/>
    </w:rPr>
  </w:style>
  <w:style w:type="paragraph" w:styleId="41">
    <w:name w:val="toc 2"/>
    <w:basedOn w:val="1"/>
    <w:next w:val="1"/>
    <w:autoRedefine/>
    <w:qFormat/>
    <w:uiPriority w:val="39"/>
    <w:pPr>
      <w:ind w:left="210"/>
      <w:jc w:val="left"/>
    </w:pPr>
    <w:rPr>
      <w:smallCaps/>
    </w:rPr>
  </w:style>
  <w:style w:type="paragraph" w:styleId="42">
    <w:name w:val="toc 9"/>
    <w:basedOn w:val="1"/>
    <w:next w:val="1"/>
    <w:autoRedefine/>
    <w:qFormat/>
    <w:uiPriority w:val="0"/>
    <w:pPr>
      <w:ind w:left="1680"/>
      <w:jc w:val="left"/>
    </w:pPr>
    <w:rPr>
      <w:szCs w:val="21"/>
    </w:rPr>
  </w:style>
  <w:style w:type="paragraph" w:styleId="43">
    <w:name w:val="Body Text 2"/>
    <w:basedOn w:val="1"/>
    <w:link w:val="306"/>
    <w:autoRedefine/>
    <w:qFormat/>
    <w:uiPriority w:val="0"/>
    <w:rPr>
      <w:sz w:val="28"/>
      <w:szCs w:val="20"/>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autoRedefine/>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1"/>
    <w:link w:val="292"/>
    <w:autoRedefine/>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autoRedefine/>
    <w:qFormat/>
    <w:uiPriority w:val="20"/>
    <w:rPr>
      <w:i/>
      <w:iCs/>
    </w:rPr>
  </w:style>
  <w:style w:type="character" w:styleId="57">
    <w:name w:val="Hyperlink"/>
    <w:autoRedefine/>
    <w:qFormat/>
    <w:uiPriority w:val="99"/>
    <w:rPr>
      <w:color w:val="0000FF"/>
      <w:u w:val="single"/>
    </w:rPr>
  </w:style>
  <w:style w:type="character" w:styleId="58">
    <w:name w:val="annotation reference"/>
    <w:autoRedefine/>
    <w:qFormat/>
    <w:uiPriority w:val="99"/>
    <w:rPr>
      <w:sz w:val="21"/>
      <w:szCs w:val="21"/>
    </w:rPr>
  </w:style>
  <w:style w:type="character" w:customStyle="1" w:styleId="59">
    <w:name w:val="标题 3 Char"/>
    <w:basedOn w:val="52"/>
    <w:link w:val="4"/>
    <w:autoRedefine/>
    <w:qFormat/>
    <w:uiPriority w:val="0"/>
    <w:rPr>
      <w:b/>
      <w:bCs/>
      <w:kern w:val="2"/>
      <w:sz w:val="24"/>
      <w:szCs w:val="32"/>
    </w:rPr>
  </w:style>
  <w:style w:type="character" w:customStyle="1" w:styleId="60">
    <w:name w:val="标题 1 Char"/>
    <w:basedOn w:val="52"/>
    <w:link w:val="3"/>
    <w:autoRedefine/>
    <w:qFormat/>
    <w:uiPriority w:val="0"/>
    <w:rPr>
      <w:rFonts w:eastAsiaTheme="minorEastAsia"/>
      <w:b/>
      <w:kern w:val="44"/>
      <w:sz w:val="44"/>
      <w:szCs w:val="28"/>
    </w:rPr>
  </w:style>
  <w:style w:type="character" w:customStyle="1" w:styleId="61">
    <w:name w:val="标题 2 Char"/>
    <w:basedOn w:val="52"/>
    <w:link w:val="2"/>
    <w:autoRedefine/>
    <w:qFormat/>
    <w:uiPriority w:val="0"/>
    <w:rPr>
      <w:rFonts w:ascii="Arial" w:hAnsi="Arial" w:eastAsiaTheme="minorEastAsia"/>
      <w:b/>
      <w:bCs/>
      <w:kern w:val="2"/>
      <w:sz w:val="28"/>
      <w:szCs w:val="32"/>
    </w:rPr>
  </w:style>
  <w:style w:type="character" w:customStyle="1" w:styleId="62">
    <w:name w:val="标题 4 Char1"/>
    <w:basedOn w:val="52"/>
    <w:link w:val="5"/>
    <w:autoRedefine/>
    <w:qFormat/>
    <w:uiPriority w:val="99"/>
    <w:rPr>
      <w:rFonts w:ascii="Arial" w:hAnsi="Arial" w:eastAsia="黑体"/>
      <w:b/>
      <w:bCs/>
      <w:kern w:val="2"/>
      <w:sz w:val="28"/>
      <w:szCs w:val="28"/>
    </w:rPr>
  </w:style>
  <w:style w:type="character" w:customStyle="1" w:styleId="63">
    <w:name w:val="正文缩进 Char"/>
    <w:link w:val="7"/>
    <w:autoRedefine/>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99"/>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1"/>
    <w:autoRedefine/>
    <w:qFormat/>
    <w:uiPriority w:val="0"/>
    <w:rPr>
      <w:kern w:val="2"/>
      <w:sz w:val="21"/>
      <w:szCs w:val="24"/>
    </w:rPr>
  </w:style>
  <w:style w:type="character" w:customStyle="1" w:styleId="75">
    <w:name w:val="纯文本 Char"/>
    <w:link w:val="26"/>
    <w:autoRedefine/>
    <w:qFormat/>
    <w:uiPriority w:val="0"/>
    <w:rPr>
      <w:rFonts w:ascii="宋体" w:hAnsi="Courier New" w:eastAsia="宋体"/>
      <w:kern w:val="2"/>
      <w:sz w:val="21"/>
      <w:lang w:val="en-US" w:eastAsia="zh-CN" w:bidi="ar-SA"/>
    </w:rPr>
  </w:style>
  <w:style w:type="character" w:customStyle="1" w:styleId="76">
    <w:name w:val="正文文本缩进 2 Char1"/>
    <w:link w:val="29"/>
    <w:autoRedefine/>
    <w:qFormat/>
    <w:uiPriority w:val="0"/>
    <w:rPr>
      <w:kern w:val="2"/>
      <w:sz w:val="21"/>
      <w:szCs w:val="24"/>
    </w:rPr>
  </w:style>
  <w:style w:type="character" w:customStyle="1" w:styleId="77">
    <w:name w:val="批注框文本 Char"/>
    <w:basedOn w:val="52"/>
    <w:link w:val="30"/>
    <w:autoRedefine/>
    <w:qFormat/>
    <w:uiPriority w:val="99"/>
    <w:rPr>
      <w:kern w:val="2"/>
      <w:sz w:val="18"/>
      <w:szCs w:val="18"/>
    </w:rPr>
  </w:style>
  <w:style w:type="character" w:customStyle="1" w:styleId="78">
    <w:name w:val="页脚 Char"/>
    <w:basedOn w:val="52"/>
    <w:link w:val="31"/>
    <w:autoRedefine/>
    <w:qFormat/>
    <w:uiPriority w:val="99"/>
    <w:rPr>
      <w:kern w:val="2"/>
      <w:sz w:val="18"/>
      <w:szCs w:val="18"/>
    </w:rPr>
  </w:style>
  <w:style w:type="character" w:customStyle="1" w:styleId="79">
    <w:name w:val="页眉 Char"/>
    <w:link w:val="32"/>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autoRedefine/>
    <w:qFormat/>
    <w:uiPriority w:val="34"/>
    <w:rPr>
      <w:kern w:val="2"/>
      <w:sz w:val="21"/>
      <w:szCs w:val="24"/>
    </w:rPr>
  </w:style>
  <w:style w:type="paragraph" w:customStyle="1" w:styleId="96">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98">
    <w:name w:val="缩进正文"/>
    <w:basedOn w:val="1"/>
    <w:link w:val="99"/>
    <w:autoRedefine/>
    <w:qFormat/>
    <w:uiPriority w:val="0"/>
    <w:pPr>
      <w:ind w:firstLine="560" w:firstLineChars="200"/>
    </w:pPr>
    <w:rPr>
      <w:rFonts w:eastAsia="仿宋_GB2312" w:cs="宋体"/>
      <w:sz w:val="28"/>
      <w:szCs w:val="20"/>
    </w:rPr>
  </w:style>
  <w:style w:type="character" w:customStyle="1" w:styleId="99">
    <w:name w:val="缩进正文 Char"/>
    <w:link w:val="98"/>
    <w:autoRedefine/>
    <w:qFormat/>
    <w:uiPriority w:val="0"/>
    <w:rPr>
      <w:rFonts w:eastAsia="仿宋_GB2312" w:cs="宋体"/>
      <w:kern w:val="2"/>
      <w:sz w:val="28"/>
      <w:lang w:val="en-US" w:eastAsia="zh-CN" w:bidi="ar-SA"/>
    </w:rPr>
  </w:style>
  <w:style w:type="character" w:customStyle="1" w:styleId="100">
    <w:name w:val="访问过的超链接1"/>
    <w:autoRedefine/>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autoRedefine/>
    <w:qFormat/>
    <w:uiPriority w:val="0"/>
    <w:rPr>
      <w:rFonts w:eastAsia="宋体"/>
      <w:kern w:val="2"/>
      <w:sz w:val="21"/>
      <w:lang w:val="en-US" w:eastAsia="zh-CN" w:bidi="ar-SA"/>
    </w:rPr>
  </w:style>
  <w:style w:type="paragraph" w:customStyle="1" w:styleId="103">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autoRedefine/>
    <w:unhideWhenUsed/>
    <w:qFormat/>
    <w:uiPriority w:val="34"/>
    <w:pPr>
      <w:ind w:firstLine="420" w:firstLineChars="200"/>
    </w:pPr>
  </w:style>
  <w:style w:type="paragraph" w:customStyle="1" w:styleId="105">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6">
    <w:name w:val="font11"/>
    <w:basedOn w:val="52"/>
    <w:autoRedefine/>
    <w:qFormat/>
    <w:uiPriority w:val="0"/>
    <w:rPr>
      <w:rFonts w:hint="eastAsia" w:ascii="宋体" w:hAnsi="宋体" w:eastAsia="宋体" w:cs="宋体"/>
      <w:b/>
      <w:color w:val="000000"/>
      <w:sz w:val="21"/>
      <w:szCs w:val="21"/>
      <w:u w:val="none"/>
    </w:rPr>
  </w:style>
  <w:style w:type="character" w:customStyle="1" w:styleId="107">
    <w:name w:val="批注文字 Char1"/>
    <w:autoRedefine/>
    <w:qFormat/>
    <w:locked/>
    <w:uiPriority w:val="0"/>
    <w:rPr>
      <w:rFonts w:ascii="Calibri" w:hAnsi="Calibri" w:eastAsia="宋体" w:cs="Calibri"/>
      <w:szCs w:val="21"/>
    </w:rPr>
  </w:style>
  <w:style w:type="character" w:customStyle="1" w:styleId="108">
    <w:name w:val="title1"/>
    <w:autoRedefine/>
    <w:qFormat/>
    <w:uiPriority w:val="0"/>
    <w:rPr>
      <w:rFonts w:hint="eastAsia" w:ascii="微软雅黑" w:hAnsi="微软雅黑" w:eastAsia="微软雅黑"/>
      <w:sz w:val="21"/>
      <w:szCs w:val="21"/>
    </w:rPr>
  </w:style>
  <w:style w:type="character" w:customStyle="1" w:styleId="109">
    <w:name w:val="sect2title1"/>
    <w:autoRedefine/>
    <w:qFormat/>
    <w:uiPriority w:val="0"/>
    <w:rPr>
      <w:rFonts w:hint="eastAsia" w:ascii="微软雅黑" w:hAnsi="微软雅黑" w:eastAsia="微软雅黑"/>
      <w:b/>
      <w:bCs/>
      <w:sz w:val="21"/>
      <w:szCs w:val="21"/>
    </w:rPr>
  </w:style>
  <w:style w:type="paragraph" w:customStyle="1" w:styleId="110">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autoRedefine/>
    <w:qFormat/>
    <w:uiPriority w:val="0"/>
    <w:rPr>
      <w:rFonts w:ascii="Tahoma" w:hAnsi="Tahoma" w:eastAsia="Tahoma" w:cs="Tahoma"/>
      <w:color w:val="000000"/>
      <w:sz w:val="20"/>
      <w:szCs w:val="20"/>
      <w:u w:val="none"/>
    </w:rPr>
  </w:style>
  <w:style w:type="paragraph" w:customStyle="1" w:styleId="112">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autoRedefine/>
    <w:qFormat/>
    <w:uiPriority w:val="0"/>
    <w:pPr>
      <w:spacing w:beforeLines="50"/>
      <w:ind w:firstLine="200" w:firstLineChars="200"/>
    </w:pPr>
    <w:rPr>
      <w:rFonts w:ascii="Calibri" w:hAnsi="Calibri" w:eastAsia="华文仿宋"/>
      <w:szCs w:val="22"/>
    </w:rPr>
  </w:style>
  <w:style w:type="paragraph" w:customStyle="1" w:styleId="256">
    <w:name w:val="正文A缩进"/>
    <w:basedOn w:val="1"/>
    <w:autoRedefine/>
    <w:qFormat/>
    <w:uiPriority w:val="0"/>
    <w:pPr>
      <w:spacing w:line="360" w:lineRule="auto"/>
      <w:ind w:firstLine="200" w:firstLineChars="200"/>
    </w:pPr>
    <w:rPr>
      <w:kern w:val="0"/>
      <w:sz w:val="28"/>
      <w:szCs w:val="20"/>
    </w:rPr>
  </w:style>
  <w:style w:type="paragraph" w:customStyle="1" w:styleId="257">
    <w:name w:val="_Style 1"/>
    <w:autoRedefine/>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autoRedefine/>
    <w:qFormat/>
    <w:uiPriority w:val="0"/>
    <w:rPr>
      <w:b/>
      <w:bCs/>
      <w:kern w:val="2"/>
      <w:sz w:val="28"/>
      <w:szCs w:val="28"/>
    </w:rPr>
  </w:style>
  <w:style w:type="character" w:customStyle="1" w:styleId="259">
    <w:name w:val="标题 6 Char"/>
    <w:basedOn w:val="52"/>
    <w:autoRedefine/>
    <w:qFormat/>
    <w:uiPriority w:val="9"/>
    <w:rPr>
      <w:rFonts w:asciiTheme="majorHAnsi" w:hAnsiTheme="majorHAnsi" w:eastAsiaTheme="majorEastAsia" w:cstheme="majorBidi"/>
      <w:b/>
      <w:bCs/>
      <w:kern w:val="2"/>
      <w:sz w:val="24"/>
      <w:szCs w:val="24"/>
    </w:rPr>
  </w:style>
  <w:style w:type="character" w:customStyle="1" w:styleId="260">
    <w:name w:val="标题 7 Char"/>
    <w:basedOn w:val="52"/>
    <w:autoRedefine/>
    <w:qFormat/>
    <w:uiPriority w:val="9"/>
    <w:rPr>
      <w:b/>
      <w:bCs/>
      <w:kern w:val="2"/>
      <w:sz w:val="24"/>
      <w:szCs w:val="24"/>
    </w:rPr>
  </w:style>
  <w:style w:type="character" w:customStyle="1" w:styleId="261">
    <w:name w:val="标题 8 Char"/>
    <w:basedOn w:val="52"/>
    <w:autoRedefine/>
    <w:qFormat/>
    <w:uiPriority w:val="9"/>
    <w:rPr>
      <w:rFonts w:asciiTheme="majorHAnsi" w:hAnsiTheme="majorHAnsi" w:eastAsiaTheme="majorEastAsia" w:cstheme="majorBidi"/>
      <w:kern w:val="2"/>
      <w:sz w:val="24"/>
      <w:szCs w:val="24"/>
    </w:rPr>
  </w:style>
  <w:style w:type="character" w:customStyle="1" w:styleId="262">
    <w:name w:val="标题 9 Char"/>
    <w:basedOn w:val="52"/>
    <w:autoRedefine/>
    <w:qFormat/>
    <w:uiPriority w:val="0"/>
    <w:rPr>
      <w:rFonts w:asciiTheme="majorHAnsi" w:hAnsiTheme="majorHAnsi" w:eastAsiaTheme="majorEastAsia" w:cstheme="majorBidi"/>
      <w:kern w:val="2"/>
      <w:sz w:val="21"/>
      <w:szCs w:val="21"/>
    </w:rPr>
  </w:style>
  <w:style w:type="paragraph" w:customStyle="1" w:styleId="263">
    <w:name w:val="！表格内容"/>
    <w:basedOn w:val="1"/>
    <w:autoRedefine/>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autoRedefine/>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autoRedefine/>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autoRedefine/>
    <w:qFormat/>
    <w:uiPriority w:val="0"/>
    <w:rPr>
      <w:rFonts w:ascii="Times New Roman" w:hAnsi="Times New Roman" w:eastAsia="宋体" w:cs="Times New Roman"/>
      <w:sz w:val="18"/>
      <w:szCs w:val="18"/>
    </w:rPr>
  </w:style>
  <w:style w:type="character" w:customStyle="1" w:styleId="271">
    <w:name w:val="标题 1 Char1"/>
    <w:basedOn w:val="52"/>
    <w:autoRedefine/>
    <w:qFormat/>
    <w:uiPriority w:val="0"/>
    <w:rPr>
      <w:b/>
      <w:bCs/>
      <w:kern w:val="44"/>
      <w:sz w:val="44"/>
      <w:szCs w:val="44"/>
    </w:rPr>
  </w:style>
  <w:style w:type="character" w:customStyle="1" w:styleId="272">
    <w:name w:val="标题 2 Char1"/>
    <w:basedOn w:val="52"/>
    <w:autoRedefine/>
    <w:qFormat/>
    <w:uiPriority w:val="0"/>
    <w:rPr>
      <w:rFonts w:asciiTheme="majorHAnsi" w:hAnsiTheme="majorHAnsi" w:eastAsiaTheme="majorEastAsia" w:cstheme="majorBidi"/>
      <w:b/>
      <w:bCs/>
      <w:kern w:val="2"/>
      <w:sz w:val="32"/>
      <w:szCs w:val="32"/>
    </w:rPr>
  </w:style>
  <w:style w:type="character" w:customStyle="1" w:styleId="273">
    <w:name w:val="标题 3 Char1"/>
    <w:basedOn w:val="52"/>
    <w:autoRedefine/>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3"/>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4"/>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4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0"/>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8"/>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2"/>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4"/>
    <w:autoRedefine/>
    <w:qFormat/>
    <w:uiPriority w:val="0"/>
    <w:pPr>
      <w:tabs>
        <w:tab w:val="right" w:leader="dot" w:pos="9458"/>
      </w:tabs>
    </w:pPr>
    <w:rPr>
      <w:b w:val="0"/>
    </w:rPr>
  </w:style>
  <w:style w:type="paragraph" w:customStyle="1" w:styleId="369">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autoRedefine/>
    <w:qFormat/>
    <w:uiPriority w:val="0"/>
    <w:pPr>
      <w:tabs>
        <w:tab w:val="right" w:leader="dot" w:pos="9458"/>
      </w:tabs>
    </w:pPr>
    <w:rPr>
      <w:i/>
    </w:rPr>
  </w:style>
  <w:style w:type="paragraph" w:customStyle="1" w:styleId="407">
    <w:name w:val="msolistparagraph"/>
    <w:basedOn w:val="1"/>
    <w:autoRedefine/>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autoRedefine/>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8"/>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autoRedefine/>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autoRedefine/>
    <w:qFormat/>
    <w:uiPriority w:val="0"/>
    <w:rPr>
      <w:rFonts w:ascii="宋体" w:hAnsi="Courier New"/>
      <w:szCs w:val="20"/>
    </w:rPr>
  </w:style>
  <w:style w:type="paragraph" w:customStyle="1" w:styleId="474">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autoRedefine/>
    <w:qFormat/>
    <w:uiPriority w:val="0"/>
    <w:pPr>
      <w:widowControl/>
      <w:spacing w:after="160" w:line="240" w:lineRule="exact"/>
      <w:jc w:val="left"/>
    </w:pPr>
  </w:style>
  <w:style w:type="paragraph" w:customStyle="1" w:styleId="476">
    <w:name w:val="USE 1"/>
    <w:basedOn w:val="1"/>
    <w:autoRedefine/>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autoRedefine/>
    <w:qFormat/>
    <w:uiPriority w:val="0"/>
    <w:rPr>
      <w:rFonts w:ascii="宋体" w:hAnsi="Courier New"/>
      <w:szCs w:val="20"/>
    </w:rPr>
  </w:style>
  <w:style w:type="character" w:customStyle="1" w:styleId="481">
    <w:name w:val="脚注文本 Char2"/>
    <w:basedOn w:val="52"/>
    <w:link w:val="38"/>
    <w:semiHidden/>
    <w:qFormat/>
    <w:uiPriority w:val="0"/>
    <w:rPr>
      <w:kern w:val="2"/>
      <w:sz w:val="18"/>
      <w:szCs w:val="18"/>
    </w:rPr>
  </w:style>
  <w:style w:type="paragraph" w:customStyle="1" w:styleId="482">
    <w:name w:val="_Style 56"/>
    <w:basedOn w:val="1"/>
    <w:next w:val="26"/>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autoRedefine/>
    <w:qFormat/>
    <w:uiPriority w:val="0"/>
    <w:rPr>
      <w:szCs w:val="20"/>
    </w:rPr>
  </w:style>
  <w:style w:type="paragraph" w:customStyle="1" w:styleId="496">
    <w:name w:val="Char2"/>
    <w:basedOn w:val="1"/>
    <w:autoRedefine/>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autoRedefine/>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503">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autoRedefine/>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77</Pages>
  <Words>8472</Words>
  <Characters>48292</Characters>
  <Lines>402</Lines>
  <Paragraphs>113</Paragraphs>
  <TotalTime>18</TotalTime>
  <ScaleCrop>false</ScaleCrop>
  <LinksUpToDate>false</LinksUpToDate>
  <CharactersWithSpaces>56651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2019-11-10T01:16:00Z</dcterms:created>
  <dc:creator>微软用户</dc:creator>
  <cp:lastModifiedBy>中正招标庄学华</cp:lastModifiedBy>
  <cp:lastPrinted>2020-05-28T01:03:00Z</cp:lastPrinted>
  <dcterms:modified xsi:type="dcterms:W3CDTF">2024-03-06T02:46:04Z</dcterms:modified>
  <dc:title>招标编号：UHO2010-G0029</dc:title>
  <cp:revision>726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E7E5AA51059845999A37ACF6B7F84CE3_13</vt:lpwstr>
  </property>
</Properties>
</file>