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3075"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eastAsia" w:asciiTheme="minorEastAsia" w:hAnsiTheme="minorEastAsia" w:eastAsiaTheme="minorEastAsia"/>
          <w:b/>
          <w:snapToGrid w:val="0"/>
          <w:kern w:val="0"/>
          <w:sz w:val="70"/>
          <w:szCs w:val="70"/>
          <w:lang w:eastAsia="zh-CN"/>
        </w:rPr>
      </w:pPr>
      <w:r>
        <w:rPr>
          <w:rFonts w:hint="eastAsia" w:asciiTheme="minorEastAsia" w:hAnsiTheme="minorEastAsia" w:eastAsiaTheme="minorEastAsia"/>
          <w:b/>
          <w:bCs/>
          <w:snapToGrid w:val="0"/>
          <w:kern w:val="0"/>
          <w:sz w:val="70"/>
          <w:szCs w:val="70"/>
          <w:lang w:eastAsia="zh-CN"/>
        </w:rPr>
        <w:t>深圳市疾病预防控制中心流感试剂一批采购项目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项目编号：SZZZ2024-QA0032</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rPr>
          <w:rFonts w:hint="eastAsia"/>
        </w:rPr>
      </w:pPr>
    </w:p>
    <w:p/>
    <w:p>
      <w:pPr>
        <w:pStyle w:val="28"/>
        <w:adjustRightInd w:val="0"/>
        <w:snapToGrid w:val="0"/>
        <w:spacing w:line="300" w:lineRule="auto"/>
        <w:ind w:hanging="835"/>
        <w:jc w:val="center"/>
        <w:rPr>
          <w:b/>
          <w:kern w:val="0"/>
          <w:sz w:val="28"/>
          <w:szCs w:val="28"/>
        </w:rPr>
      </w:pPr>
      <w:r>
        <w:rPr>
          <w:rFonts w:hint="eastAsia"/>
          <w:b/>
          <w:snapToGrid w:val="0"/>
          <w:sz w:val="30"/>
        </w:rPr>
        <w:t>二〇二四年三月</w:t>
      </w:r>
    </w:p>
    <w:p/>
    <w:p/>
    <w:p/>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w:t>
      </w:r>
    </w:p>
    <w:p>
      <w:pPr>
        <w:spacing w:line="440" w:lineRule="exact"/>
        <w:ind w:firstLine="480" w:firstLineChars="200"/>
        <w:rPr>
          <w:rFonts w:ascii="仿宋" w:hAnsi="仿宋" w:eastAsia="仿宋"/>
          <w:sz w:val="24"/>
        </w:rPr>
      </w:pPr>
      <w:r>
        <w:rPr>
          <w:rFonts w:hint="eastAsia" w:ascii="仿宋" w:hAnsi="仿宋" w:eastAsia="仿宋"/>
          <w:sz w:val="24"/>
        </w:rPr>
        <w:t>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第七十五条 供应商有下列情形的，属于采购条例所称的串通投标行为，按照采购条例第五十七条有关规定处理：</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（一）投标供应商之间相互约定给予未中标的供应商利益补偿；</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（三）不同投标供应商的投标文件由同一单位或者同一人编制，或者由同一人分阶段参与编制的；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（四）不同投标供应商的投标文件或部分投标文件相互混装；</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（五）不同投标供应商的投标文件内容存在非正常一致；</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（六）由同一单位工作人员为两家以上（含两家）供应商进行同一项投标活动的；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第七十七条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三、《中华人民共和国政府采购法实施条例》</w:t>
      </w:r>
    </w:p>
    <w:p>
      <w:pPr>
        <w:spacing w:line="440" w:lineRule="exact"/>
        <w:ind w:firstLine="424" w:firstLineChars="177"/>
        <w:rPr>
          <w:rFonts w:ascii="仿宋" w:hAnsi="仿宋" w:eastAsia="仿宋"/>
          <w:sz w:val="24"/>
        </w:rPr>
      </w:pPr>
      <w:r>
        <w:rPr>
          <w:rFonts w:hint="eastAsia" w:ascii="仿宋" w:hAnsi="仿宋" w:eastAsia="仿宋"/>
          <w:sz w:val="24"/>
        </w:rPr>
        <w:t>第十八条 单位负责人为同一人或者存在直接控股、管理关系的不同供应商，不得参加同一合同项下的政府采购活动。</w:t>
      </w:r>
    </w:p>
    <w:p>
      <w:pPr>
        <w:spacing w:line="440" w:lineRule="exact"/>
        <w:ind w:firstLine="424" w:firstLineChars="177"/>
        <w:rPr>
          <w:rFonts w:ascii="仿宋" w:hAnsi="仿宋" w:eastAsia="仿宋"/>
          <w:sz w:val="24"/>
        </w:rPr>
      </w:pPr>
      <w:r>
        <w:rPr>
          <w:rFonts w:hint="eastAsia" w:ascii="仿宋" w:hAnsi="仿宋" w:eastAsia="仿宋"/>
          <w:sz w:val="24"/>
        </w:rPr>
        <w:t>除单一来源采购项目外，为采购项目提供整体设计、规范编制或者项目管理、监理、检测等服务的供应商，不得再参加该采购项目的其他采购活动。</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6" w:firstLineChars="177"/>
        <w:rPr>
          <w:rFonts w:ascii="仿宋_GB2312" w:eastAsia="仿宋_GB2312" w:hAnsiTheme="minorEastAsia"/>
          <w:b/>
          <w:color w:val="FF0000"/>
          <w:sz w:val="24"/>
        </w:rPr>
      </w:pP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rFonts w:ascii="Times New Roman" w:hAnsi="Times New Roman" w:eastAsia="宋体" w:cs="Times New Roman"/>
              <w:b w:val="0"/>
              <w:bCs w:val="0"/>
              <w:iCs/>
              <w:smallCaps/>
              <w:color w:val="auto"/>
              <w:kern w:val="2"/>
              <w:sz w:val="21"/>
              <w:szCs w:val="24"/>
              <w:lang w:val="zh-CN"/>
            </w:rPr>
          </w:pPr>
        </w:p>
        <w:p>
          <w:pPr>
            <w:pStyle w:val="504"/>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28"/>
            </w:tabs>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"_Toc135293320"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_Toc135293320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"_Toc135293321"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_Toc135293321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"_Toc135293322"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_Toc135293322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"_Toc135293323"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_Toc135293323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"_Toc135293324"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_Toc135293324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"_Toc135293325"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_Toc135293325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"_Toc135293326"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_Toc135293326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"_Toc135293327"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_Toc135293327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"_Toc135293328"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_Toc135293328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"_Toc135293329"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_Toc135293329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"_Toc135293330"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_Toc135293330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"_Toc135293331"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_Toc135293331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"_Toc135293332"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_Toc135293332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"_Toc135293333"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_Toc135293333 \h </w:instrText>
          </w:r>
          <w:r>
            <w:rPr>
              <w:rFonts w:hint="eastAsia" w:ascii="仿宋_GB2312" w:eastAsia="仿宋_GB2312"/>
              <w:sz w:val="24"/>
            </w:rPr>
            <w:fldChar w:fldCharType="separate"/>
          </w:r>
          <w:r>
            <w:rPr>
              <w:rFonts w:hint="eastAsia"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"_Toc135293334"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_Toc135293334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"_Toc135293335"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_Toc135293335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"_Toc135293336"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_Toc135293336 \h </w:instrText>
          </w:r>
          <w:r>
            <w:rPr>
              <w:rFonts w:hint="eastAsia" w:ascii="仿宋_GB2312" w:eastAsia="仿宋_GB2312"/>
              <w:sz w:val="24"/>
            </w:rPr>
            <w:fldChar w:fldCharType="separate"/>
          </w:r>
          <w:r>
            <w:rPr>
              <w:rFonts w:hint="eastAsia"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"_Toc135293337"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_Toc135293337 \h </w:instrText>
          </w:r>
          <w:r>
            <w:rPr>
              <w:rFonts w:hint="eastAsia" w:ascii="仿宋_GB2312" w:eastAsia="仿宋_GB2312"/>
              <w:sz w:val="24"/>
            </w:rPr>
            <w:fldChar w:fldCharType="separate"/>
          </w:r>
          <w:r>
            <w:rPr>
              <w:rFonts w:hint="eastAsia"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"_Toc135293338"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_Toc135293338 \h </w:instrText>
          </w:r>
          <w:r>
            <w:rPr>
              <w:rFonts w:hint="eastAsia" w:ascii="仿宋_GB2312" w:eastAsia="仿宋_GB2312"/>
              <w:sz w:val="24"/>
            </w:rPr>
            <w:fldChar w:fldCharType="separate"/>
          </w:r>
          <w:r>
            <w:rPr>
              <w:rFonts w:hint="eastAsia" w:ascii="仿宋_GB2312" w:eastAsia="仿宋_GB2312"/>
              <w:sz w:val="24"/>
            </w:rPr>
            <w:t>40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"_Toc135293339"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_Toc135293339 \h </w:instrText>
          </w:r>
          <w:r>
            <w:rPr>
              <w:rFonts w:hint="eastAsia" w:ascii="仿宋_GB2312" w:eastAsia="仿宋_GB2312"/>
              <w:sz w:val="24"/>
            </w:rPr>
            <w:fldChar w:fldCharType="separate"/>
          </w:r>
          <w:r>
            <w:rPr>
              <w:rFonts w:hint="eastAsia" w:ascii="仿宋_GB2312" w:eastAsia="仿宋_GB2312"/>
              <w:sz w:val="24"/>
            </w:rPr>
            <w:t>40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"_Toc135293340"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_Toc135293340 \h </w:instrText>
          </w:r>
          <w:r>
            <w:rPr>
              <w:rFonts w:hint="eastAsia" w:ascii="仿宋_GB2312" w:eastAsia="仿宋_GB2312"/>
              <w:sz w:val="24"/>
            </w:rPr>
            <w:fldChar w:fldCharType="separate"/>
          </w:r>
          <w:r>
            <w:rPr>
              <w:rFonts w:hint="eastAsia" w:ascii="仿宋_GB2312" w:eastAsia="仿宋_GB2312"/>
              <w:sz w:val="24"/>
            </w:rPr>
            <w:t>42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"_Toc135293341"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_Toc135293341 \h </w:instrText>
          </w:r>
          <w:r>
            <w:rPr>
              <w:rFonts w:hint="eastAsia" w:ascii="仿宋_GB2312" w:eastAsia="仿宋_GB2312"/>
              <w:sz w:val="24"/>
            </w:rPr>
            <w:fldChar w:fldCharType="separate"/>
          </w:r>
          <w:r>
            <w:rPr>
              <w:rFonts w:hint="eastAsia" w:ascii="仿宋_GB2312" w:eastAsia="仿宋_GB2312"/>
              <w:sz w:val="24"/>
            </w:rPr>
            <w:t>43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"_Toc135293342"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_Toc135293342 \h </w:instrText>
          </w:r>
          <w:r>
            <w:rPr>
              <w:rFonts w:hint="eastAsia" w:ascii="仿宋_GB2312" w:eastAsia="仿宋_GB2312"/>
              <w:sz w:val="24"/>
            </w:rPr>
            <w:fldChar w:fldCharType="separate"/>
          </w:r>
          <w:r>
            <w:rPr>
              <w:rFonts w:hint="eastAsia" w:ascii="仿宋_GB2312" w:eastAsia="仿宋_GB2312"/>
              <w:sz w:val="24"/>
            </w:rPr>
            <w:t>45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"_Toc135293355"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_Toc135293355 \h </w:instrText>
          </w:r>
          <w:r>
            <w:rPr>
              <w:rFonts w:hint="eastAsia" w:ascii="仿宋_GB2312" w:eastAsia="仿宋_GB2312"/>
              <w:sz w:val="24"/>
            </w:rPr>
            <w:fldChar w:fldCharType="separate"/>
          </w:r>
          <w:r>
            <w:rPr>
              <w:rFonts w:hint="eastAsia" w:ascii="仿宋_GB2312" w:eastAsia="仿宋_GB2312"/>
              <w:sz w:val="24"/>
            </w:rPr>
            <w:t>66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"_Toc135293356"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_Toc135293356 \h </w:instrText>
          </w:r>
          <w:r>
            <w:rPr>
              <w:rFonts w:hint="eastAsia" w:ascii="仿宋_GB2312" w:eastAsia="仿宋_GB2312"/>
              <w:sz w:val="24"/>
            </w:rPr>
            <w:fldChar w:fldCharType="separate"/>
          </w:r>
          <w:r>
            <w:rPr>
              <w:rFonts w:hint="eastAsia" w:ascii="仿宋_GB2312" w:eastAsia="仿宋_GB2312"/>
              <w:sz w:val="24"/>
            </w:rPr>
            <w:t>70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"_Toc135293357"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_Toc135293357 \h </w:instrText>
          </w:r>
          <w:r>
            <w:rPr>
              <w:rFonts w:hint="eastAsia" w:ascii="仿宋_GB2312" w:eastAsia="仿宋_GB2312"/>
              <w:sz w:val="24"/>
            </w:rPr>
            <w:fldChar w:fldCharType="separate"/>
          </w:r>
          <w:r>
            <w:rPr>
              <w:rFonts w:hint="eastAsia" w:ascii="仿宋_GB2312" w:eastAsia="仿宋_GB2312"/>
              <w:sz w:val="24"/>
            </w:rPr>
            <w:t>70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"_Toc135293358"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_Toc135293358 \h </w:instrText>
          </w:r>
          <w:r>
            <w:rPr>
              <w:rFonts w:hint="eastAsia" w:ascii="仿宋_GB2312" w:eastAsia="仿宋_GB2312"/>
              <w:sz w:val="24"/>
            </w:rPr>
            <w:fldChar w:fldCharType="separate"/>
          </w:r>
          <w:r>
            <w:rPr>
              <w:rFonts w:hint="eastAsia" w:ascii="仿宋_GB2312" w:eastAsia="仿宋_GB2312"/>
              <w:sz w:val="24"/>
            </w:rPr>
            <w:t>74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"_Toc135293359"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_Toc135293359 \h </w:instrText>
          </w:r>
          <w:r>
            <w:rPr>
              <w:rFonts w:hint="eastAsia" w:ascii="仿宋_GB2312" w:eastAsia="仿宋_GB2312"/>
              <w:sz w:val="24"/>
            </w:rPr>
            <w:fldChar w:fldCharType="separate"/>
          </w:r>
          <w:r>
            <w:rPr>
              <w:rFonts w:hint="eastAsia" w:ascii="仿宋_GB2312" w:eastAsia="仿宋_GB2312"/>
              <w:sz w:val="24"/>
            </w:rPr>
            <w:t>77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"_Toc135293360"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_Toc135293360 \h </w:instrText>
          </w:r>
          <w:r>
            <w:rPr>
              <w:rFonts w:hint="eastAsia" w:ascii="仿宋_GB2312" w:eastAsia="仿宋_GB2312"/>
              <w:sz w:val="24"/>
            </w:rPr>
            <w:fldChar w:fldCharType="separate"/>
          </w:r>
          <w:r>
            <w:rPr>
              <w:rFonts w:hint="eastAsia" w:ascii="仿宋_GB2312" w:eastAsia="仿宋_GB2312"/>
              <w:sz w:val="24"/>
            </w:rPr>
            <w:t>80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"_Toc135293361" </w:instrText>
          </w:r>
          <w:r>
            <w:fldChar w:fldCharType="separate"/>
          </w:r>
          <w:r>
            <w:rPr>
              <w:rStyle w:val="57"/>
              <w:rFonts w:hint="eastAsia" w:ascii="仿宋_GB2312" w:eastAsia="仿宋_GB2312"/>
              <w:sz w:val="24"/>
            </w:rPr>
            <w:t>五、财政部 司法部关于政府采购支持监狱企业发展有关问题的通知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_Toc135293361 \h </w:instrText>
          </w:r>
          <w:r>
            <w:rPr>
              <w:rFonts w:hint="eastAsia" w:ascii="仿宋_GB2312" w:eastAsia="仿宋_GB2312"/>
              <w:sz w:val="24"/>
            </w:rPr>
            <w:fldChar w:fldCharType="separate"/>
          </w:r>
          <w:r>
            <w:rPr>
              <w:rFonts w:hint="eastAsia" w:ascii="仿宋_GB2312" w:eastAsia="仿宋_GB2312"/>
              <w:sz w:val="24"/>
            </w:rPr>
            <w:t>82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rPr>
              <w:rFonts w:hint="eastAsia" w:ascii="仿宋_GB2312" w:eastAsia="仿宋_GB2312"/>
              <w:sz w:val="24"/>
            </w:rPr>
            <w:fldChar w:fldCharType="end"/>
          </w:r>
        </w:p>
      </w:sdtContent>
    </w:sdt>
    <w:p/>
    <w:p/>
    <w:p/>
    <w:p/>
    <w:p>
      <w:pPr>
        <w:pStyle w:val="2"/>
      </w:pPr>
      <w:bookmarkStart w:id="0" w:name="_Toc135293320"/>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lang w:eastAsia="zh-CN"/>
        </w:rPr>
        <w:t>深圳市疾病预防控制中心流感试剂一批采购项目</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2024年</w:t>
      </w:r>
      <w:r>
        <w:rPr>
          <w:rFonts w:hint="eastAsia" w:ascii="宋体" w:hAnsi="宋体" w:cs="Arial Unicode MS"/>
          <w:snapToGrid w:val="0"/>
          <w:kern w:val="0"/>
          <w:szCs w:val="21"/>
          <w:u w:val="single"/>
          <w:lang w:val="en-US" w:eastAsia="zh-CN"/>
        </w:rPr>
        <w:t>4</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7</w:t>
      </w:r>
      <w:r>
        <w:rPr>
          <w:rFonts w:hint="eastAsia" w:ascii="宋体" w:hAnsi="宋体" w:cs="Arial Unicode MS"/>
          <w:snapToGrid w:val="0"/>
          <w:kern w:val="0"/>
          <w:szCs w:val="21"/>
          <w:u w:val="single"/>
        </w:rPr>
        <w:t>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SZZZ2024-QA0032</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2、项目名称：</w:t>
      </w:r>
      <w:r>
        <w:rPr>
          <w:rFonts w:hint="eastAsia" w:ascii="宋体" w:hAnsi="宋体" w:eastAsia="宋体"/>
          <w:snapToGrid w:val="0"/>
          <w:color w:val="auto"/>
          <w:sz w:val="21"/>
          <w:szCs w:val="21"/>
          <w:lang w:eastAsia="zh-CN"/>
        </w:rPr>
        <w:t>深圳市疾病预防控制中心流感试剂一批采购项目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81.4435</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81.4435</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261"/>
        <w:gridCol w:w="850"/>
        <w:gridCol w:w="851"/>
        <w:gridCol w:w="29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61" w:type="dxa"/>
            <w:shd w:val="clear" w:color="auto" w:fill="ABCDEF"/>
            <w:vAlign w:val="center"/>
          </w:tcPr>
          <w:p>
            <w:pPr>
              <w:pStyle w:val="45"/>
              <w:spacing w:line="360" w:lineRule="auto"/>
              <w:jc w:val="center"/>
              <w:rPr>
                <w:sz w:val="21"/>
              </w:rPr>
            </w:pPr>
            <w:r>
              <w:rPr>
                <w:sz w:val="21"/>
              </w:rPr>
              <w:t>标的名称</w:t>
            </w:r>
          </w:p>
        </w:tc>
        <w:tc>
          <w:tcPr>
            <w:tcW w:w="850"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851"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977"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261"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sz w:val="21"/>
                <w:szCs w:val="21"/>
              </w:rPr>
              <w:t>详见《货物清单明细》</w:t>
            </w:r>
          </w:p>
        </w:tc>
        <w:tc>
          <w:tcPr>
            <w:tcW w:w="850"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851"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批</w:t>
            </w:r>
          </w:p>
        </w:tc>
        <w:tc>
          <w:tcPr>
            <w:tcW w:w="2977"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如果是分支机构参与投标，还须同时提供其具有独立法人资格的上级主体出具的</w:t>
      </w:r>
      <w:r>
        <w:rPr>
          <w:rFonts w:hint="eastAsia" w:ascii="宋体" w:hAnsi="宋体" w:eastAsia="宋体"/>
          <w:snapToGrid w:val="0"/>
          <w:color w:val="auto"/>
          <w:sz w:val="21"/>
        </w:rPr>
        <w:t>有效授权书及</w:t>
      </w:r>
      <w:r>
        <w:rPr>
          <w:rFonts w:hint="eastAsia" w:asciiTheme="minorEastAsia" w:hAnsiTheme="minorEastAsia" w:eastAsiaTheme="minorEastAsia"/>
          <w:snapToGrid w:val="0"/>
          <w:color w:val="auto"/>
          <w:sz w:val="21"/>
        </w:rPr>
        <w:t>上级主体的</w:t>
      </w:r>
      <w:r>
        <w:rPr>
          <w:rFonts w:hint="eastAsia" w:ascii="宋体" w:hAnsi="宋体" w:eastAsia="宋体"/>
          <w:snapToGrid w:val="0"/>
          <w:color w:val="auto"/>
          <w:sz w:val="21"/>
        </w:rPr>
        <w:t>营业执照或法人证书等证明材料复印件或扫描件加盖</w:t>
      </w:r>
      <w:r>
        <w:rPr>
          <w:rFonts w:hint="eastAsia" w:asciiTheme="minorEastAsia" w:hAnsiTheme="minorEastAsia" w:eastAsiaTheme="minorEastAsia"/>
          <w:snapToGrid w:val="0"/>
          <w:color w:val="auto"/>
          <w:sz w:val="21"/>
        </w:rPr>
        <w:t>投标人</w:t>
      </w:r>
      <w:r>
        <w:rPr>
          <w:rFonts w:hint="eastAsia" w:ascii="宋体" w:hAnsi="宋体" w:eastAsia="宋体"/>
          <w:snapToGrid w:val="0"/>
          <w:color w:val="auto"/>
          <w:sz w:val="21"/>
        </w:rPr>
        <w:t>公章</w:t>
      </w:r>
      <w:r>
        <w:rPr>
          <w:rFonts w:hint="eastAsia" w:asciiTheme="minorEastAsia" w:hAnsiTheme="minorEastAsia" w:eastAsiaTheme="minorEastAsia"/>
          <w:snapToGrid w:val="0"/>
          <w:color w:val="auto"/>
          <w:sz w:val="21"/>
        </w:rPr>
        <w:t>；</w:t>
      </w:r>
      <w:r>
        <w:rPr>
          <w:rFonts w:hint="eastAsia" w:ascii="宋体" w:hAnsi="宋体" w:eastAsia="宋体"/>
          <w:snapToGrid w:val="0"/>
          <w:color w:val="auto"/>
          <w:sz w:val="21"/>
        </w:rPr>
        <w:t>本项目不接受总公司与分支机构同时参与投标，也不接受同一总公司有两个或以上分支机构参与投标，如出现以上情形，该两家或以上投标人均按无效投标处理</w:t>
      </w:r>
      <w:r>
        <w:rPr>
          <w:rFonts w:hint="eastAsia" w:asciiTheme="minorEastAsia" w:hAnsiTheme="minorEastAsia" w:eastAsiaTheme="minorEastAsia"/>
          <w:snapToGrid w:val="0"/>
          <w:color w:val="auto"/>
          <w:sz w:val="21"/>
        </w:rPr>
        <w:t>。</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（1）参与本项目采购活动前三年内，在经营活动中没有重大违法记录（须按本项目投标文件格式要求提供《政府采购投标及履约承诺函》加盖投标人公章）；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（4）参与本项目政府采购活动不存在与其他采购参加人串通投标，隐瞒真实情况，提供虚假资料等违法违规情形（须按本项目投标文件格式要求提供《政府采购投标及履约承诺函》加盖投标人公章）；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（8）本项目不接受进口产品投标（进口产品是指通过中国海关报关验放进入中国境内且产自关境外的产品，相关内容以“财库【2007】119号文”和“财办库【2008】248号文”的相关规定为准）。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26</w:t>
      </w:r>
      <w:r>
        <w:rPr>
          <w:rFonts w:hint="eastAsia" w:ascii="宋体" w:hAnsi="宋体" w:eastAsia="宋体"/>
          <w:snapToGrid w:val="0"/>
          <w:color w:val="auto"/>
          <w:sz w:val="21"/>
          <w:szCs w:val="21"/>
          <w:u w:val="single"/>
        </w:rPr>
        <w:t>日至2024年</w:t>
      </w:r>
      <w:r>
        <w:rPr>
          <w:rFonts w:hint="eastAsia" w:ascii="宋体" w:hAnsi="宋体" w:eastAsia="宋体"/>
          <w:snapToGrid w:val="0"/>
          <w:color w:val="auto"/>
          <w:sz w:val="21"/>
          <w:szCs w:val="21"/>
          <w:u w:val="single"/>
          <w:lang w:val="en-US" w:eastAsia="zh-CN"/>
        </w:rPr>
        <w:t>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w:t>
      </w:r>
      <w:r>
        <w:rPr>
          <w:rFonts w:ascii="宋体" w:hAnsi="宋体" w:eastAsia="宋体"/>
          <w:snapToGrid w:val="0"/>
          <w:color w:val="auto"/>
          <w:sz w:val="21"/>
          <w:szCs w:val="21"/>
        </w:rPr>
        <w:t xml:space="preserve"> </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3、方式：现场获取或线上获取</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（1）现场获取：投标人按以上时间和地点现场报名和获取招标文件，逾期不予受理。</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 xml:space="preserve">（2）线上获取：投标人通过邮件报名及获取招标文件，报名时间以我司邮箱收件时间为准（我司邮箱：qtszzzzb@163.com），逾期不予受理。需提供以下资料: </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加盖公章的《购买标书登记表》（下载地址：www.szzzt.com 首页“下载中心”）；</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7</w:t>
      </w:r>
      <w:r>
        <w:rPr>
          <w:rFonts w:hint="eastAsia" w:ascii="宋体" w:hAnsi="宋体" w:eastAsia="宋体"/>
          <w:snapToGrid w:val="0"/>
          <w:color w:val="auto"/>
          <w:sz w:val="21"/>
          <w:szCs w:val="21"/>
          <w:u w:val="single"/>
        </w:rPr>
        <w:t>日14点30分（北京时间）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名称：深圳市疾病预防控制中心</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snapToGrid w:val="0"/>
          <w:color w:val="auto"/>
          <w:sz w:val="21"/>
          <w:szCs w:val="21"/>
        </w:rPr>
      </w:pPr>
      <w:r>
        <w:rPr>
          <w:rFonts w:hint="eastAsia" w:ascii="宋体" w:hAnsi="宋体" w:eastAsia="宋体"/>
          <w:snapToGrid w:val="0"/>
          <w:color w:val="auto"/>
          <w:sz w:val="21"/>
          <w:szCs w:val="21"/>
        </w:rPr>
        <w:t>地址：深圳市南山区龙苑路8号</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snapToGrid w:val="0"/>
          <w:color w:val="auto"/>
          <w:sz w:val="21"/>
          <w:szCs w:val="21"/>
        </w:rPr>
      </w:pPr>
      <w:r>
        <w:rPr>
          <w:rFonts w:hint="eastAsia" w:ascii="宋体" w:hAnsi="宋体" w:eastAsia="宋体"/>
          <w:snapToGrid w:val="0"/>
          <w:color w:val="auto"/>
          <w:sz w:val="21"/>
          <w:szCs w:val="21"/>
        </w:rPr>
        <w:t>联系方式：黄先生</w:t>
      </w:r>
      <w:r>
        <w:rPr>
          <w:rFonts w:hint="eastAsia" w:ascii="宋体" w:hAnsi="宋体" w:eastAsia="宋体"/>
          <w:snapToGrid w:val="0"/>
          <w:color w:val="auto"/>
          <w:sz w:val="21"/>
          <w:szCs w:val="21"/>
          <w:lang w:eastAsia="zh-CN"/>
        </w:rPr>
        <w:t>，</w:t>
      </w:r>
      <w:r>
        <w:rPr>
          <w:rFonts w:hint="eastAsia" w:ascii="宋体" w:hAnsi="宋体" w:eastAsia="宋体"/>
          <w:snapToGrid w:val="0"/>
          <w:color w:val="auto"/>
          <w:sz w:val="21"/>
          <w:szCs w:val="21"/>
        </w:rPr>
        <w:t>0755-86580636</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联系方式：罗工，0755-83026699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项目联系人：罗工</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szCs w:val="21"/>
        </w:rPr>
      </w:pPr>
      <w:r>
        <w:rPr>
          <w:rFonts w:ascii="宋体" w:hAnsi="宋体"/>
          <w:snapToGrid w:val="0"/>
          <w:kern w:val="0"/>
          <w:sz w:val="24"/>
        </w:rPr>
        <w:t>2024年</w:t>
      </w:r>
      <w:r>
        <w:rPr>
          <w:rFonts w:hint="eastAsia" w:ascii="宋体" w:hAnsi="宋体"/>
          <w:snapToGrid w:val="0"/>
          <w:kern w:val="0"/>
          <w:sz w:val="24"/>
          <w:lang w:val="en-US" w:eastAsia="zh-CN"/>
        </w:rPr>
        <w:t>3</w:t>
      </w:r>
      <w:r>
        <w:rPr>
          <w:rFonts w:ascii="宋体" w:hAnsi="宋体"/>
          <w:snapToGrid w:val="0"/>
          <w:kern w:val="0"/>
          <w:sz w:val="24"/>
        </w:rPr>
        <w:t>月</w:t>
      </w:r>
      <w:r>
        <w:rPr>
          <w:rFonts w:hint="eastAsia" w:ascii="宋体" w:hAnsi="宋体"/>
          <w:snapToGrid w:val="0"/>
          <w:kern w:val="0"/>
          <w:sz w:val="24"/>
          <w:lang w:val="en-US" w:eastAsia="zh-CN"/>
        </w:rPr>
        <w:t>26</w:t>
      </w:r>
      <w:r>
        <w:rPr>
          <w:rFonts w:hint="eastAsia" w:ascii="宋体" w:hAnsi="宋体"/>
          <w:snapToGrid w:val="0"/>
          <w:kern w:val="0"/>
          <w:sz w:val="24"/>
        </w:rPr>
        <w:t>日</w:t>
      </w:r>
    </w:p>
    <w:p>
      <w:pPr>
        <w:rPr>
          <w:szCs w:val="21"/>
        </w:rPr>
      </w:pPr>
    </w:p>
    <w:p>
      <w:pPr>
        <w:pStyle w:val="2"/>
      </w:pPr>
      <w:bookmarkStart w:id="1" w:name="_Toc135293321"/>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6、加注▲的条款为重要条款要求，如不满足将按照第四章“评标标准”进行扣分。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7、加注★的条款为不可负偏离条款，任一项未响应或不满足要求的，将导致投标无效。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hint="eastAsia" w:ascii="宋体" w:hAnsi="宋体" w:eastAsia="宋体" w:cs="宋体"/>
                <w:kern w:val="0"/>
                <w:szCs w:val="21"/>
                <w:lang w:eastAsia="zh-CN"/>
              </w:rPr>
            </w:pPr>
            <w:r>
              <w:rPr>
                <w:rFonts w:hint="eastAsia" w:ascii="宋体" w:hAnsi="宋体" w:cs="宋体"/>
                <w:kern w:val="0"/>
                <w:szCs w:val="21"/>
                <w:lang w:eastAsia="zh-CN"/>
              </w:rPr>
              <w:t>深圳市疾病预防控制中心流感试剂一批采购项目</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1701" w:type="dxa"/>
            <w:vAlign w:val="center"/>
          </w:tcPr>
          <w:p>
            <w:pPr>
              <w:jc w:val="center"/>
              <w:rPr>
                <w:rFonts w:hint="default" w:ascii="宋体" w:hAnsi="宋体" w:eastAsia="宋体" w:cs="宋体"/>
                <w:bCs/>
                <w:kern w:val="0"/>
                <w:szCs w:val="21"/>
                <w:lang w:val="en-US" w:eastAsia="zh-CN"/>
              </w:rPr>
            </w:pPr>
            <w:r>
              <w:rPr>
                <w:rFonts w:hint="eastAsia" w:ascii="宋体" w:hAnsi="宋体" w:cs="宋体"/>
                <w:bCs/>
                <w:kern w:val="0"/>
                <w:szCs w:val="21"/>
                <w:lang w:val="en-US" w:eastAsia="zh-CN"/>
              </w:rPr>
              <w:t>814,435.00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color w:val="auto"/>
                <w:kern w:val="0"/>
                <w:szCs w:val="21"/>
              </w:rPr>
              <w:t>拒绝进口</w:t>
            </w:r>
          </w:p>
        </w:tc>
      </w:tr>
    </w:tbl>
    <w:p>
      <w:pPr>
        <w:widowControl/>
        <w:snapToGrid w:val="0"/>
        <w:spacing w:line="360" w:lineRule="auto"/>
        <w:ind w:left="2"/>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p>
    <w:tbl>
      <w:tblPr>
        <w:tblStyle w:val="50"/>
        <w:tblW w:w="10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3840"/>
        <w:gridCol w:w="780"/>
        <w:gridCol w:w="720"/>
        <w:gridCol w:w="1080"/>
        <w:gridCol w:w="1590"/>
        <w:gridCol w:w="1525"/>
        <w:gridCol w:w="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600" w:type="dxa"/>
            <w:vAlign w:val="center"/>
          </w:tcPr>
          <w:p>
            <w:pPr>
              <w:spacing w:line="360" w:lineRule="auto"/>
              <w:jc w:val="center"/>
            </w:pPr>
            <w:r>
              <w:rPr>
                <w:rFonts w:hint="eastAsia"/>
              </w:rPr>
              <w:t>序号</w:t>
            </w:r>
          </w:p>
        </w:tc>
        <w:tc>
          <w:tcPr>
            <w:tcW w:w="3840" w:type="dxa"/>
            <w:vAlign w:val="center"/>
          </w:tcPr>
          <w:p>
            <w:pPr>
              <w:spacing w:line="360" w:lineRule="auto"/>
              <w:jc w:val="center"/>
            </w:pPr>
            <w:r>
              <w:rPr>
                <w:rFonts w:hint="eastAsia"/>
              </w:rPr>
              <w:t>标的名称</w:t>
            </w:r>
          </w:p>
        </w:tc>
        <w:tc>
          <w:tcPr>
            <w:tcW w:w="780" w:type="dxa"/>
            <w:vAlign w:val="center"/>
          </w:tcPr>
          <w:p>
            <w:pPr>
              <w:spacing w:line="360" w:lineRule="auto"/>
              <w:jc w:val="center"/>
            </w:pPr>
            <w:r>
              <w:rPr>
                <w:rFonts w:hint="eastAsia"/>
              </w:rPr>
              <w:t>数量</w:t>
            </w:r>
          </w:p>
        </w:tc>
        <w:tc>
          <w:tcPr>
            <w:tcW w:w="720" w:type="dxa"/>
            <w:vAlign w:val="center"/>
          </w:tcPr>
          <w:p>
            <w:pPr>
              <w:spacing w:line="360" w:lineRule="auto"/>
              <w:jc w:val="center"/>
            </w:pPr>
            <w:r>
              <w:rPr>
                <w:rFonts w:hint="eastAsia"/>
              </w:rPr>
              <w:t>单位</w:t>
            </w:r>
          </w:p>
        </w:tc>
        <w:tc>
          <w:tcPr>
            <w:tcW w:w="1080" w:type="dxa"/>
            <w:vAlign w:val="center"/>
          </w:tcPr>
          <w:p>
            <w:pPr>
              <w:spacing w:line="360" w:lineRule="auto"/>
              <w:jc w:val="center"/>
            </w:pPr>
            <w:r>
              <w:rPr>
                <w:rFonts w:hint="eastAsia"/>
              </w:rPr>
              <w:t>规格型号</w:t>
            </w:r>
          </w:p>
        </w:tc>
        <w:tc>
          <w:tcPr>
            <w:tcW w:w="1590" w:type="dxa"/>
            <w:vAlign w:val="center"/>
          </w:tcPr>
          <w:p>
            <w:pPr>
              <w:spacing w:line="360" w:lineRule="auto"/>
              <w:jc w:val="center"/>
            </w:pPr>
            <w:r>
              <w:rPr>
                <w:rFonts w:hint="eastAsia"/>
              </w:rPr>
              <w:t>预算单价</w:t>
            </w:r>
          </w:p>
          <w:p>
            <w:pPr>
              <w:spacing w:line="360" w:lineRule="auto"/>
              <w:jc w:val="center"/>
            </w:pPr>
            <w:r>
              <w:rPr>
                <w:rFonts w:hint="eastAsia"/>
              </w:rPr>
              <w:t>（人民币 元）</w:t>
            </w:r>
          </w:p>
        </w:tc>
        <w:tc>
          <w:tcPr>
            <w:tcW w:w="1525" w:type="dxa"/>
            <w:vAlign w:val="center"/>
          </w:tcPr>
          <w:p>
            <w:pPr>
              <w:spacing w:line="360" w:lineRule="auto"/>
              <w:jc w:val="center"/>
            </w:pPr>
            <w:r>
              <w:rPr>
                <w:rFonts w:hint="eastAsia"/>
              </w:rPr>
              <w:t>预算金额</w:t>
            </w:r>
          </w:p>
          <w:p>
            <w:pPr>
              <w:spacing w:line="360" w:lineRule="auto"/>
              <w:jc w:val="center"/>
            </w:pPr>
            <w:r>
              <w:rPr>
                <w:rFonts w:hint="eastAsia"/>
              </w:rPr>
              <w:t>（人民币 元）</w:t>
            </w:r>
          </w:p>
        </w:tc>
        <w:tc>
          <w:tcPr>
            <w:tcW w:w="411" w:type="dxa"/>
            <w:vAlign w:val="center"/>
          </w:tcPr>
          <w:p>
            <w:pPr>
              <w:spacing w:line="360" w:lineRule="auto"/>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00" w:type="dxa"/>
            <w:vAlign w:val="center"/>
          </w:tcPr>
          <w:p>
            <w:pPr>
              <w:spacing w:line="360" w:lineRule="auto"/>
              <w:jc w:val="center"/>
            </w:pPr>
            <w:r>
              <w:rPr>
                <w:rFonts w:hint="eastAsia"/>
              </w:rPr>
              <w:t>1</w:t>
            </w:r>
          </w:p>
        </w:tc>
        <w:tc>
          <w:tcPr>
            <w:tcW w:w="3840" w:type="dxa"/>
            <w:vAlign w:val="center"/>
          </w:tcPr>
          <w:p>
            <w:pPr>
              <w:spacing w:line="360" w:lineRule="auto"/>
              <w:jc w:val="center"/>
            </w:pPr>
            <w:r>
              <w:rPr>
                <w:rFonts w:hint="eastAsia"/>
              </w:rPr>
              <w:t>甲型流感病毒、乙型流感病毒和2019新型冠状病毒orf 1ab/N基因核酸检测试剂盒（四重荧光PCR法）</w:t>
            </w:r>
          </w:p>
        </w:tc>
        <w:tc>
          <w:tcPr>
            <w:tcW w:w="780" w:type="dxa"/>
            <w:vAlign w:val="center"/>
          </w:tcPr>
          <w:p>
            <w:pPr>
              <w:spacing w:line="360" w:lineRule="auto"/>
              <w:jc w:val="center"/>
            </w:pPr>
            <w:r>
              <w:rPr>
                <w:rFonts w:hint="eastAsia"/>
              </w:rPr>
              <w:t>90</w:t>
            </w:r>
          </w:p>
        </w:tc>
        <w:tc>
          <w:tcPr>
            <w:tcW w:w="720" w:type="dxa"/>
            <w:vAlign w:val="center"/>
          </w:tcPr>
          <w:p>
            <w:pPr>
              <w:spacing w:line="360" w:lineRule="auto"/>
              <w:jc w:val="center"/>
            </w:pPr>
            <w:r>
              <w:rPr>
                <w:rFonts w:hint="eastAsia"/>
              </w:rPr>
              <w:t>盒</w:t>
            </w:r>
          </w:p>
        </w:tc>
        <w:tc>
          <w:tcPr>
            <w:tcW w:w="1080" w:type="dxa"/>
            <w:vAlign w:val="center"/>
          </w:tcPr>
          <w:p>
            <w:pPr>
              <w:spacing w:line="360" w:lineRule="auto"/>
              <w:jc w:val="center"/>
            </w:pPr>
            <w:r>
              <w:rPr>
                <w:rFonts w:hint="eastAsia"/>
              </w:rPr>
              <w:t>48T/盒</w:t>
            </w:r>
          </w:p>
        </w:tc>
        <w:tc>
          <w:tcPr>
            <w:tcW w:w="1590" w:type="dxa"/>
            <w:vAlign w:val="center"/>
          </w:tcPr>
          <w:p>
            <w:pPr>
              <w:spacing w:line="360" w:lineRule="auto"/>
              <w:jc w:val="center"/>
            </w:pPr>
            <w:r>
              <w:rPr>
                <w:rFonts w:hint="eastAsia"/>
                <w:lang w:bidi="ar"/>
              </w:rPr>
              <w:t>3610</w:t>
            </w:r>
          </w:p>
        </w:tc>
        <w:tc>
          <w:tcPr>
            <w:tcW w:w="1525" w:type="dxa"/>
            <w:vAlign w:val="center"/>
          </w:tcPr>
          <w:p>
            <w:pPr>
              <w:spacing w:line="360" w:lineRule="auto"/>
              <w:jc w:val="center"/>
            </w:pPr>
            <w:r>
              <w:rPr>
                <w:rFonts w:hint="eastAsia"/>
                <w:lang w:bidi="ar"/>
              </w:rPr>
              <w:t>324900</w:t>
            </w:r>
          </w:p>
        </w:tc>
        <w:tc>
          <w:tcPr>
            <w:tcW w:w="411"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00" w:type="dxa"/>
            <w:vAlign w:val="center"/>
          </w:tcPr>
          <w:p>
            <w:pPr>
              <w:spacing w:line="360" w:lineRule="auto"/>
              <w:jc w:val="center"/>
            </w:pPr>
            <w:r>
              <w:rPr>
                <w:rFonts w:hint="eastAsia"/>
              </w:rPr>
              <w:t>2</w:t>
            </w:r>
          </w:p>
        </w:tc>
        <w:tc>
          <w:tcPr>
            <w:tcW w:w="3840" w:type="dxa"/>
            <w:vAlign w:val="center"/>
          </w:tcPr>
          <w:p>
            <w:pPr>
              <w:spacing w:line="360" w:lineRule="auto"/>
              <w:jc w:val="center"/>
            </w:pPr>
            <w:r>
              <w:rPr>
                <w:rFonts w:hint="eastAsia"/>
              </w:rPr>
              <w:t>甲型H1N1、季节性H3亚型流感病毒核酸检测试剂盒（双重荧光法PCR法）</w:t>
            </w:r>
          </w:p>
        </w:tc>
        <w:tc>
          <w:tcPr>
            <w:tcW w:w="780" w:type="dxa"/>
            <w:vAlign w:val="center"/>
          </w:tcPr>
          <w:p>
            <w:pPr>
              <w:spacing w:line="360" w:lineRule="auto"/>
              <w:jc w:val="center"/>
            </w:pPr>
            <w:r>
              <w:rPr>
                <w:rFonts w:hint="eastAsia"/>
                <w:highlight w:val="none"/>
                <w:lang w:val="en-US" w:eastAsia="zh-CN"/>
              </w:rPr>
              <w:t>9</w:t>
            </w:r>
            <w:r>
              <w:rPr>
                <w:rFonts w:hint="eastAsia"/>
                <w:highlight w:val="none"/>
              </w:rPr>
              <w:t>0</w:t>
            </w:r>
          </w:p>
        </w:tc>
        <w:tc>
          <w:tcPr>
            <w:tcW w:w="720" w:type="dxa"/>
            <w:vAlign w:val="center"/>
          </w:tcPr>
          <w:p>
            <w:pPr>
              <w:spacing w:line="360" w:lineRule="auto"/>
              <w:jc w:val="center"/>
            </w:pPr>
            <w:r>
              <w:rPr>
                <w:rFonts w:hint="eastAsia"/>
              </w:rPr>
              <w:t>盒</w:t>
            </w:r>
          </w:p>
        </w:tc>
        <w:tc>
          <w:tcPr>
            <w:tcW w:w="1080" w:type="dxa"/>
            <w:vAlign w:val="center"/>
          </w:tcPr>
          <w:p>
            <w:pPr>
              <w:spacing w:line="360" w:lineRule="auto"/>
              <w:jc w:val="center"/>
            </w:pPr>
            <w:r>
              <w:rPr>
                <w:rFonts w:hint="eastAsia"/>
              </w:rPr>
              <w:t>48T/盒</w:t>
            </w:r>
          </w:p>
        </w:tc>
        <w:tc>
          <w:tcPr>
            <w:tcW w:w="1590" w:type="dxa"/>
            <w:vAlign w:val="center"/>
          </w:tcPr>
          <w:p>
            <w:pPr>
              <w:spacing w:line="360" w:lineRule="auto"/>
              <w:jc w:val="center"/>
            </w:pPr>
            <w:r>
              <w:rPr>
                <w:rFonts w:hint="eastAsia"/>
                <w:lang w:bidi="ar"/>
              </w:rPr>
              <w:t>2660</w:t>
            </w:r>
          </w:p>
        </w:tc>
        <w:tc>
          <w:tcPr>
            <w:tcW w:w="1525" w:type="dxa"/>
            <w:vAlign w:val="center"/>
          </w:tcPr>
          <w:p>
            <w:pPr>
              <w:spacing w:line="360" w:lineRule="auto"/>
              <w:jc w:val="center"/>
              <w:rPr>
                <w:rFonts w:hint="default" w:eastAsia="宋体"/>
                <w:lang w:val="en-US" w:eastAsia="zh-CN"/>
              </w:rPr>
            </w:pPr>
            <w:r>
              <w:rPr>
                <w:rFonts w:hint="eastAsia"/>
                <w:lang w:val="en-US" w:eastAsia="zh-CN" w:bidi="ar"/>
              </w:rPr>
              <w:t>239400</w:t>
            </w:r>
          </w:p>
        </w:tc>
        <w:tc>
          <w:tcPr>
            <w:tcW w:w="411"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00" w:type="dxa"/>
            <w:vAlign w:val="center"/>
          </w:tcPr>
          <w:p>
            <w:pPr>
              <w:spacing w:line="360" w:lineRule="auto"/>
              <w:jc w:val="center"/>
              <w:rPr>
                <w:rFonts w:hint="eastAsia" w:eastAsia="宋体"/>
                <w:lang w:eastAsia="zh-CN"/>
              </w:rPr>
            </w:pPr>
            <w:r>
              <w:rPr>
                <w:rFonts w:hint="eastAsia"/>
                <w:lang w:val="en-US" w:eastAsia="zh-CN"/>
              </w:rPr>
              <w:t>3</w:t>
            </w:r>
          </w:p>
        </w:tc>
        <w:tc>
          <w:tcPr>
            <w:tcW w:w="3840" w:type="dxa"/>
            <w:vAlign w:val="center"/>
          </w:tcPr>
          <w:p>
            <w:pPr>
              <w:spacing w:line="360" w:lineRule="auto"/>
              <w:jc w:val="center"/>
            </w:pPr>
            <w:r>
              <w:rPr>
                <w:rFonts w:hint="eastAsia"/>
              </w:rPr>
              <w:t>BV+BY亚系流感病毒核酸检测试剂盒（双重荧光法PCR法）</w:t>
            </w:r>
          </w:p>
        </w:tc>
        <w:tc>
          <w:tcPr>
            <w:tcW w:w="780" w:type="dxa"/>
            <w:vAlign w:val="center"/>
          </w:tcPr>
          <w:p>
            <w:pPr>
              <w:spacing w:line="360" w:lineRule="auto"/>
              <w:jc w:val="center"/>
            </w:pPr>
            <w:r>
              <w:rPr>
                <w:rFonts w:hint="eastAsia"/>
              </w:rPr>
              <w:t>30</w:t>
            </w:r>
          </w:p>
        </w:tc>
        <w:tc>
          <w:tcPr>
            <w:tcW w:w="720" w:type="dxa"/>
            <w:vAlign w:val="center"/>
          </w:tcPr>
          <w:p>
            <w:pPr>
              <w:spacing w:line="360" w:lineRule="auto"/>
              <w:jc w:val="center"/>
            </w:pPr>
            <w:r>
              <w:rPr>
                <w:rFonts w:hint="eastAsia"/>
              </w:rPr>
              <w:t>盒</w:t>
            </w:r>
          </w:p>
        </w:tc>
        <w:tc>
          <w:tcPr>
            <w:tcW w:w="1080" w:type="dxa"/>
            <w:vAlign w:val="center"/>
          </w:tcPr>
          <w:p>
            <w:pPr>
              <w:spacing w:line="360" w:lineRule="auto"/>
              <w:jc w:val="center"/>
            </w:pPr>
            <w:r>
              <w:rPr>
                <w:rFonts w:hint="eastAsia"/>
              </w:rPr>
              <w:t>48T/盒</w:t>
            </w:r>
          </w:p>
        </w:tc>
        <w:tc>
          <w:tcPr>
            <w:tcW w:w="1590" w:type="dxa"/>
            <w:vAlign w:val="center"/>
          </w:tcPr>
          <w:p>
            <w:pPr>
              <w:spacing w:line="360" w:lineRule="auto"/>
              <w:jc w:val="center"/>
            </w:pPr>
            <w:r>
              <w:rPr>
                <w:rFonts w:hint="eastAsia"/>
                <w:lang w:bidi="ar"/>
              </w:rPr>
              <w:t>2660</w:t>
            </w:r>
          </w:p>
        </w:tc>
        <w:tc>
          <w:tcPr>
            <w:tcW w:w="1525" w:type="dxa"/>
            <w:vAlign w:val="center"/>
          </w:tcPr>
          <w:p>
            <w:pPr>
              <w:spacing w:line="360" w:lineRule="auto"/>
              <w:jc w:val="center"/>
            </w:pPr>
            <w:r>
              <w:rPr>
                <w:rFonts w:hint="eastAsia"/>
                <w:lang w:bidi="ar"/>
              </w:rPr>
              <w:t>79800</w:t>
            </w:r>
          </w:p>
        </w:tc>
        <w:tc>
          <w:tcPr>
            <w:tcW w:w="411"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00" w:type="dxa"/>
            <w:vAlign w:val="center"/>
          </w:tcPr>
          <w:p>
            <w:pPr>
              <w:spacing w:line="360" w:lineRule="auto"/>
              <w:jc w:val="center"/>
              <w:rPr>
                <w:rFonts w:hint="eastAsia" w:eastAsia="宋体"/>
                <w:lang w:eastAsia="zh-CN"/>
              </w:rPr>
            </w:pPr>
            <w:r>
              <w:rPr>
                <w:rFonts w:hint="eastAsia"/>
                <w:lang w:val="en-US" w:eastAsia="zh-CN"/>
              </w:rPr>
              <w:t>4</w:t>
            </w:r>
          </w:p>
        </w:tc>
        <w:tc>
          <w:tcPr>
            <w:tcW w:w="3840" w:type="dxa"/>
            <w:vAlign w:val="center"/>
          </w:tcPr>
          <w:p>
            <w:pPr>
              <w:spacing w:line="360" w:lineRule="auto"/>
              <w:jc w:val="center"/>
            </w:pPr>
            <w:r>
              <w:rPr>
                <w:rFonts w:hint="eastAsia"/>
              </w:rPr>
              <w:t>新型冠状病毒2019-nCoV核酸检测试剂盒（荧光PCR法）</w:t>
            </w:r>
          </w:p>
        </w:tc>
        <w:tc>
          <w:tcPr>
            <w:tcW w:w="780" w:type="dxa"/>
            <w:vAlign w:val="center"/>
          </w:tcPr>
          <w:p>
            <w:pPr>
              <w:spacing w:line="360" w:lineRule="auto"/>
              <w:jc w:val="center"/>
            </w:pPr>
            <w:r>
              <w:rPr>
                <w:rFonts w:hint="eastAsia"/>
              </w:rPr>
              <w:t>15</w:t>
            </w:r>
          </w:p>
        </w:tc>
        <w:tc>
          <w:tcPr>
            <w:tcW w:w="720" w:type="dxa"/>
            <w:vAlign w:val="center"/>
          </w:tcPr>
          <w:p>
            <w:pPr>
              <w:spacing w:line="360" w:lineRule="auto"/>
              <w:jc w:val="center"/>
            </w:pPr>
            <w:r>
              <w:rPr>
                <w:rFonts w:hint="eastAsia"/>
              </w:rPr>
              <w:t>盒</w:t>
            </w:r>
          </w:p>
        </w:tc>
        <w:tc>
          <w:tcPr>
            <w:tcW w:w="1080" w:type="dxa"/>
            <w:vAlign w:val="center"/>
          </w:tcPr>
          <w:p>
            <w:pPr>
              <w:spacing w:line="360" w:lineRule="auto"/>
              <w:jc w:val="center"/>
            </w:pPr>
            <w:r>
              <w:rPr>
                <w:rFonts w:hint="eastAsia"/>
              </w:rPr>
              <w:t>48T/盒</w:t>
            </w:r>
          </w:p>
        </w:tc>
        <w:tc>
          <w:tcPr>
            <w:tcW w:w="1590" w:type="dxa"/>
            <w:vAlign w:val="center"/>
          </w:tcPr>
          <w:p>
            <w:pPr>
              <w:spacing w:line="360" w:lineRule="auto"/>
              <w:jc w:val="center"/>
            </w:pPr>
            <w:r>
              <w:rPr>
                <w:rFonts w:hint="eastAsia"/>
                <w:lang w:bidi="ar"/>
              </w:rPr>
              <w:t>1425</w:t>
            </w:r>
          </w:p>
        </w:tc>
        <w:tc>
          <w:tcPr>
            <w:tcW w:w="1525" w:type="dxa"/>
            <w:vAlign w:val="center"/>
          </w:tcPr>
          <w:p>
            <w:pPr>
              <w:spacing w:line="360" w:lineRule="auto"/>
              <w:jc w:val="center"/>
            </w:pPr>
            <w:r>
              <w:rPr>
                <w:rFonts w:hint="eastAsia"/>
                <w:lang w:bidi="ar"/>
              </w:rPr>
              <w:t>21375</w:t>
            </w:r>
          </w:p>
        </w:tc>
        <w:tc>
          <w:tcPr>
            <w:tcW w:w="411"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00" w:type="dxa"/>
            <w:vAlign w:val="center"/>
          </w:tcPr>
          <w:p>
            <w:pPr>
              <w:spacing w:line="360" w:lineRule="auto"/>
              <w:jc w:val="center"/>
              <w:rPr>
                <w:rFonts w:hint="eastAsia" w:eastAsia="宋体"/>
                <w:lang w:eastAsia="zh-CN"/>
              </w:rPr>
            </w:pPr>
            <w:r>
              <w:rPr>
                <w:rFonts w:hint="eastAsia"/>
                <w:lang w:val="en-US" w:eastAsia="zh-CN"/>
              </w:rPr>
              <w:t>5</w:t>
            </w:r>
          </w:p>
        </w:tc>
        <w:tc>
          <w:tcPr>
            <w:tcW w:w="3840" w:type="dxa"/>
            <w:vAlign w:val="center"/>
          </w:tcPr>
          <w:p>
            <w:pPr>
              <w:spacing w:line="360" w:lineRule="auto"/>
              <w:jc w:val="center"/>
            </w:pPr>
            <w:r>
              <w:rPr>
                <w:rFonts w:hint="eastAsia"/>
              </w:rPr>
              <w:t>甲型（A型）、乙型（B型）流感病毒核酸检测试剂盒（双重荧光PCR法）</w:t>
            </w:r>
          </w:p>
        </w:tc>
        <w:tc>
          <w:tcPr>
            <w:tcW w:w="780" w:type="dxa"/>
            <w:vAlign w:val="center"/>
          </w:tcPr>
          <w:p>
            <w:pPr>
              <w:spacing w:line="360" w:lineRule="auto"/>
              <w:jc w:val="center"/>
            </w:pPr>
            <w:r>
              <w:rPr>
                <w:rFonts w:hint="eastAsia"/>
              </w:rPr>
              <w:t>20</w:t>
            </w:r>
          </w:p>
        </w:tc>
        <w:tc>
          <w:tcPr>
            <w:tcW w:w="720" w:type="dxa"/>
            <w:vAlign w:val="center"/>
          </w:tcPr>
          <w:p>
            <w:pPr>
              <w:spacing w:line="360" w:lineRule="auto"/>
              <w:jc w:val="center"/>
            </w:pPr>
            <w:r>
              <w:rPr>
                <w:rFonts w:hint="eastAsia"/>
              </w:rPr>
              <w:t>盒</w:t>
            </w:r>
          </w:p>
        </w:tc>
        <w:tc>
          <w:tcPr>
            <w:tcW w:w="1080" w:type="dxa"/>
            <w:vAlign w:val="center"/>
          </w:tcPr>
          <w:p>
            <w:pPr>
              <w:spacing w:line="360" w:lineRule="auto"/>
              <w:jc w:val="center"/>
            </w:pPr>
            <w:r>
              <w:rPr>
                <w:rFonts w:hint="eastAsia"/>
              </w:rPr>
              <w:t>48T/盒</w:t>
            </w:r>
          </w:p>
        </w:tc>
        <w:tc>
          <w:tcPr>
            <w:tcW w:w="1590" w:type="dxa"/>
            <w:vAlign w:val="center"/>
          </w:tcPr>
          <w:p>
            <w:pPr>
              <w:spacing w:line="360" w:lineRule="auto"/>
              <w:jc w:val="center"/>
            </w:pPr>
            <w:r>
              <w:rPr>
                <w:rFonts w:hint="eastAsia"/>
                <w:lang w:bidi="ar"/>
              </w:rPr>
              <w:t>2660</w:t>
            </w:r>
          </w:p>
        </w:tc>
        <w:tc>
          <w:tcPr>
            <w:tcW w:w="1525" w:type="dxa"/>
            <w:vAlign w:val="center"/>
          </w:tcPr>
          <w:p>
            <w:pPr>
              <w:spacing w:line="360" w:lineRule="auto"/>
              <w:jc w:val="center"/>
            </w:pPr>
            <w:r>
              <w:rPr>
                <w:rFonts w:hint="eastAsia"/>
                <w:lang w:bidi="ar"/>
              </w:rPr>
              <w:t>53200</w:t>
            </w:r>
          </w:p>
        </w:tc>
        <w:tc>
          <w:tcPr>
            <w:tcW w:w="411"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00" w:type="dxa"/>
            <w:vAlign w:val="center"/>
          </w:tcPr>
          <w:p>
            <w:pPr>
              <w:spacing w:line="360" w:lineRule="auto"/>
              <w:jc w:val="center"/>
              <w:rPr>
                <w:rFonts w:hint="eastAsia" w:eastAsia="宋体"/>
                <w:lang w:eastAsia="zh-CN"/>
              </w:rPr>
            </w:pPr>
            <w:r>
              <w:rPr>
                <w:rFonts w:hint="eastAsia"/>
                <w:lang w:val="en-US" w:eastAsia="zh-CN"/>
              </w:rPr>
              <w:t>6</w:t>
            </w:r>
          </w:p>
        </w:tc>
        <w:tc>
          <w:tcPr>
            <w:tcW w:w="3840" w:type="dxa"/>
            <w:vAlign w:val="center"/>
          </w:tcPr>
          <w:p>
            <w:pPr>
              <w:spacing w:line="360" w:lineRule="auto"/>
              <w:jc w:val="center"/>
            </w:pPr>
            <w:r>
              <w:rPr>
                <w:rFonts w:hint="eastAsia"/>
              </w:rPr>
              <w:t>禽流感病毒H5N6亚型核酸检测试剂盒</w:t>
            </w:r>
          </w:p>
        </w:tc>
        <w:tc>
          <w:tcPr>
            <w:tcW w:w="780" w:type="dxa"/>
            <w:vAlign w:val="center"/>
          </w:tcPr>
          <w:p>
            <w:pPr>
              <w:spacing w:line="360" w:lineRule="auto"/>
              <w:jc w:val="center"/>
            </w:pPr>
            <w:r>
              <w:rPr>
                <w:rFonts w:hint="eastAsia"/>
              </w:rPr>
              <w:t>12</w:t>
            </w:r>
          </w:p>
        </w:tc>
        <w:tc>
          <w:tcPr>
            <w:tcW w:w="720" w:type="dxa"/>
            <w:vAlign w:val="center"/>
          </w:tcPr>
          <w:p>
            <w:pPr>
              <w:spacing w:line="360" w:lineRule="auto"/>
              <w:jc w:val="center"/>
            </w:pPr>
            <w:r>
              <w:rPr>
                <w:rFonts w:hint="eastAsia"/>
              </w:rPr>
              <w:t>盒</w:t>
            </w:r>
          </w:p>
        </w:tc>
        <w:tc>
          <w:tcPr>
            <w:tcW w:w="1080" w:type="dxa"/>
            <w:vAlign w:val="center"/>
          </w:tcPr>
          <w:p>
            <w:pPr>
              <w:spacing w:line="360" w:lineRule="auto"/>
              <w:jc w:val="center"/>
            </w:pPr>
            <w:r>
              <w:rPr>
                <w:rFonts w:hint="eastAsia"/>
              </w:rPr>
              <w:t>48T/盒</w:t>
            </w:r>
          </w:p>
        </w:tc>
        <w:tc>
          <w:tcPr>
            <w:tcW w:w="1590" w:type="dxa"/>
            <w:vAlign w:val="center"/>
          </w:tcPr>
          <w:p>
            <w:pPr>
              <w:spacing w:line="360" w:lineRule="auto"/>
              <w:jc w:val="center"/>
            </w:pPr>
            <w:r>
              <w:rPr>
                <w:rFonts w:hint="eastAsia"/>
                <w:lang w:bidi="ar"/>
              </w:rPr>
              <w:t>2660</w:t>
            </w:r>
          </w:p>
        </w:tc>
        <w:tc>
          <w:tcPr>
            <w:tcW w:w="1525" w:type="dxa"/>
            <w:vAlign w:val="center"/>
          </w:tcPr>
          <w:p>
            <w:pPr>
              <w:spacing w:line="360" w:lineRule="auto"/>
              <w:jc w:val="center"/>
            </w:pPr>
            <w:r>
              <w:rPr>
                <w:rFonts w:hint="eastAsia"/>
                <w:lang w:bidi="ar"/>
              </w:rPr>
              <w:t>31920</w:t>
            </w:r>
          </w:p>
        </w:tc>
        <w:tc>
          <w:tcPr>
            <w:tcW w:w="411"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00" w:type="dxa"/>
            <w:vAlign w:val="center"/>
          </w:tcPr>
          <w:p>
            <w:pPr>
              <w:spacing w:line="360" w:lineRule="auto"/>
              <w:jc w:val="center"/>
              <w:rPr>
                <w:rFonts w:hint="eastAsia" w:eastAsia="宋体"/>
                <w:lang w:eastAsia="zh-CN"/>
              </w:rPr>
            </w:pPr>
            <w:r>
              <w:rPr>
                <w:rFonts w:hint="eastAsia"/>
                <w:lang w:val="en-US" w:eastAsia="zh-CN"/>
              </w:rPr>
              <w:t>7</w:t>
            </w:r>
          </w:p>
        </w:tc>
        <w:tc>
          <w:tcPr>
            <w:tcW w:w="3840" w:type="dxa"/>
            <w:vAlign w:val="center"/>
          </w:tcPr>
          <w:p>
            <w:pPr>
              <w:spacing w:line="360" w:lineRule="auto"/>
              <w:jc w:val="center"/>
            </w:pPr>
            <w:r>
              <w:rPr>
                <w:rFonts w:hint="eastAsia"/>
              </w:rPr>
              <w:t>禽流感病毒H9N2亚型核酸检测试剂盒</w:t>
            </w:r>
          </w:p>
        </w:tc>
        <w:tc>
          <w:tcPr>
            <w:tcW w:w="780" w:type="dxa"/>
            <w:vAlign w:val="center"/>
          </w:tcPr>
          <w:p>
            <w:pPr>
              <w:spacing w:line="360" w:lineRule="auto"/>
              <w:jc w:val="center"/>
            </w:pPr>
            <w:r>
              <w:rPr>
                <w:rFonts w:hint="eastAsia"/>
              </w:rPr>
              <w:t>12</w:t>
            </w:r>
          </w:p>
        </w:tc>
        <w:tc>
          <w:tcPr>
            <w:tcW w:w="720" w:type="dxa"/>
            <w:vAlign w:val="center"/>
          </w:tcPr>
          <w:p>
            <w:pPr>
              <w:spacing w:line="360" w:lineRule="auto"/>
              <w:jc w:val="center"/>
            </w:pPr>
            <w:r>
              <w:rPr>
                <w:rFonts w:hint="eastAsia"/>
              </w:rPr>
              <w:t>盒</w:t>
            </w:r>
          </w:p>
        </w:tc>
        <w:tc>
          <w:tcPr>
            <w:tcW w:w="1080" w:type="dxa"/>
            <w:vAlign w:val="center"/>
          </w:tcPr>
          <w:p>
            <w:pPr>
              <w:spacing w:line="360" w:lineRule="auto"/>
              <w:jc w:val="center"/>
            </w:pPr>
            <w:r>
              <w:rPr>
                <w:rFonts w:hint="eastAsia"/>
              </w:rPr>
              <w:t>48T/盒</w:t>
            </w:r>
          </w:p>
        </w:tc>
        <w:tc>
          <w:tcPr>
            <w:tcW w:w="1590" w:type="dxa"/>
            <w:vAlign w:val="center"/>
          </w:tcPr>
          <w:p>
            <w:pPr>
              <w:spacing w:line="360" w:lineRule="auto"/>
              <w:jc w:val="center"/>
            </w:pPr>
            <w:r>
              <w:rPr>
                <w:rFonts w:hint="eastAsia"/>
                <w:lang w:bidi="ar"/>
              </w:rPr>
              <w:t>2660</w:t>
            </w:r>
          </w:p>
        </w:tc>
        <w:tc>
          <w:tcPr>
            <w:tcW w:w="1525" w:type="dxa"/>
            <w:vAlign w:val="center"/>
          </w:tcPr>
          <w:p>
            <w:pPr>
              <w:spacing w:line="360" w:lineRule="auto"/>
              <w:jc w:val="center"/>
            </w:pPr>
            <w:r>
              <w:rPr>
                <w:rFonts w:hint="eastAsia"/>
                <w:lang w:bidi="ar"/>
              </w:rPr>
              <w:t>31920</w:t>
            </w:r>
          </w:p>
        </w:tc>
        <w:tc>
          <w:tcPr>
            <w:tcW w:w="411"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00" w:type="dxa"/>
            <w:vAlign w:val="center"/>
          </w:tcPr>
          <w:p>
            <w:pPr>
              <w:spacing w:line="360" w:lineRule="auto"/>
              <w:jc w:val="center"/>
              <w:rPr>
                <w:rFonts w:hint="eastAsia" w:eastAsia="宋体"/>
                <w:lang w:eastAsia="zh-CN"/>
              </w:rPr>
            </w:pPr>
            <w:r>
              <w:rPr>
                <w:rFonts w:hint="eastAsia"/>
                <w:lang w:val="en-US" w:eastAsia="zh-CN"/>
              </w:rPr>
              <w:t>8</w:t>
            </w:r>
          </w:p>
        </w:tc>
        <w:tc>
          <w:tcPr>
            <w:tcW w:w="3840" w:type="dxa"/>
            <w:vAlign w:val="center"/>
          </w:tcPr>
          <w:p>
            <w:pPr>
              <w:spacing w:line="360" w:lineRule="auto"/>
              <w:jc w:val="center"/>
            </w:pPr>
            <w:r>
              <w:rPr>
                <w:rFonts w:hint="eastAsia"/>
              </w:rPr>
              <w:t>人感染H7N9禽流感病毒核酸检测试剂盒</w:t>
            </w:r>
          </w:p>
        </w:tc>
        <w:tc>
          <w:tcPr>
            <w:tcW w:w="780" w:type="dxa"/>
            <w:vAlign w:val="center"/>
          </w:tcPr>
          <w:p>
            <w:pPr>
              <w:spacing w:line="360" w:lineRule="auto"/>
              <w:jc w:val="center"/>
            </w:pPr>
            <w:r>
              <w:rPr>
                <w:rFonts w:hint="eastAsia"/>
              </w:rPr>
              <w:t>12</w:t>
            </w:r>
          </w:p>
        </w:tc>
        <w:tc>
          <w:tcPr>
            <w:tcW w:w="720" w:type="dxa"/>
            <w:vAlign w:val="center"/>
          </w:tcPr>
          <w:p>
            <w:pPr>
              <w:spacing w:line="360" w:lineRule="auto"/>
              <w:jc w:val="center"/>
            </w:pPr>
            <w:r>
              <w:rPr>
                <w:rFonts w:hint="eastAsia"/>
              </w:rPr>
              <w:t>盒</w:t>
            </w:r>
          </w:p>
        </w:tc>
        <w:tc>
          <w:tcPr>
            <w:tcW w:w="1080" w:type="dxa"/>
            <w:vAlign w:val="center"/>
          </w:tcPr>
          <w:p>
            <w:pPr>
              <w:spacing w:line="360" w:lineRule="auto"/>
              <w:jc w:val="center"/>
            </w:pPr>
            <w:r>
              <w:rPr>
                <w:rFonts w:hint="eastAsia"/>
              </w:rPr>
              <w:t>48T/盒</w:t>
            </w:r>
          </w:p>
        </w:tc>
        <w:tc>
          <w:tcPr>
            <w:tcW w:w="1590" w:type="dxa"/>
            <w:vAlign w:val="center"/>
          </w:tcPr>
          <w:p>
            <w:pPr>
              <w:spacing w:line="360" w:lineRule="auto"/>
              <w:jc w:val="center"/>
            </w:pPr>
            <w:r>
              <w:rPr>
                <w:rFonts w:hint="eastAsia"/>
                <w:lang w:bidi="ar"/>
              </w:rPr>
              <w:t>2660</w:t>
            </w:r>
          </w:p>
        </w:tc>
        <w:tc>
          <w:tcPr>
            <w:tcW w:w="1525" w:type="dxa"/>
            <w:vAlign w:val="center"/>
          </w:tcPr>
          <w:p>
            <w:pPr>
              <w:spacing w:line="360" w:lineRule="auto"/>
              <w:jc w:val="center"/>
            </w:pPr>
            <w:r>
              <w:rPr>
                <w:rFonts w:hint="eastAsia"/>
                <w:lang w:bidi="ar"/>
              </w:rPr>
              <w:t>31920</w:t>
            </w:r>
          </w:p>
        </w:tc>
        <w:tc>
          <w:tcPr>
            <w:tcW w:w="411" w:type="dxa"/>
            <w:vAlign w:val="center"/>
          </w:tcPr>
          <w:p>
            <w:pPr>
              <w:spacing w:line="360" w:lineRule="auto"/>
              <w:jc w:val="center"/>
            </w:pPr>
          </w:p>
        </w:tc>
      </w:tr>
    </w:tbl>
    <w:p>
      <w:pPr>
        <w:widowControl/>
        <w:snapToGrid w:val="0"/>
        <w:spacing w:line="360" w:lineRule="auto"/>
        <w:ind w:left="2"/>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4" w:firstLineChars="202"/>
        <w:rPr>
          <w:rFonts w:hint="eastAsia" w:ascii="宋体" w:hAnsi="宋体" w:eastAsia="宋体" w:cs="Times New Roman"/>
          <w:b/>
          <w:color w:val="auto"/>
          <w:kern w:val="2"/>
          <w:sz w:val="21"/>
          <w:szCs w:val="21"/>
          <w:highlight w:val="yellow"/>
        </w:rPr>
      </w:pPr>
      <w:r>
        <w:rPr>
          <w:rFonts w:hint="eastAsia" w:ascii="宋体" w:hAnsi="宋体" w:eastAsia="宋体" w:cs="Times New Roman"/>
          <w:color w:val="auto"/>
          <w:kern w:val="2"/>
          <w:sz w:val="21"/>
          <w:szCs w:val="21"/>
          <w:highlight w:val="yellow"/>
        </w:rPr>
        <w:t>注：★</w:t>
      </w:r>
      <w:r>
        <w:rPr>
          <w:rFonts w:hint="eastAsia" w:ascii="宋体" w:hAnsi="宋体" w:eastAsia="宋体" w:cs="Times New Roman"/>
          <w:b/>
          <w:color w:val="auto"/>
          <w:kern w:val="2"/>
          <w:sz w:val="21"/>
          <w:szCs w:val="21"/>
          <w:highlight w:val="yellow"/>
        </w:rPr>
        <w:t>货物清单中任意一项产品的投标报价超过其预算金额或最高限价的，将导致投标无效。</w:t>
      </w:r>
    </w:p>
    <w:p>
      <w:pPr>
        <w:pStyle w:val="453"/>
        <w:adjustRightInd w:val="0"/>
        <w:snapToGrid w:val="0"/>
        <w:spacing w:before="0" w:beforeAutospacing="0" w:after="0" w:afterAutospacing="0" w:line="360" w:lineRule="auto"/>
        <w:ind w:firstLine="426" w:firstLineChars="202"/>
        <w:rPr>
          <w:rFonts w:hint="eastAsia" w:ascii="宋体" w:hAnsi="宋体" w:eastAsia="宋体" w:cs="Times New Roman"/>
          <w:b/>
          <w:color w:val="auto"/>
          <w:kern w:val="2"/>
          <w:sz w:val="21"/>
          <w:szCs w:val="21"/>
          <w:highlight w:val="yellow"/>
        </w:rPr>
      </w:pPr>
      <w:r>
        <w:rPr>
          <w:rFonts w:hint="eastAsia" w:ascii="宋体" w:hAnsi="宋体" w:eastAsia="宋体" w:cs="Times New Roman"/>
          <w:b/>
          <w:color w:val="auto"/>
          <w:kern w:val="2"/>
          <w:sz w:val="21"/>
          <w:szCs w:val="21"/>
          <w:highlight w:val="yellow"/>
        </w:rPr>
        <w:t>（1）本项目核心产品为：</w:t>
      </w:r>
      <w:r>
        <w:rPr>
          <w:rFonts w:hint="eastAsia" w:ascii="宋体" w:hAnsi="宋体" w:eastAsia="宋体" w:cs="Times New Roman"/>
          <w:b/>
          <w:color w:val="auto"/>
          <w:kern w:val="2"/>
          <w:sz w:val="21"/>
          <w:szCs w:val="21"/>
          <w:highlight w:val="yellow"/>
          <w:u w:val="single"/>
        </w:rPr>
        <w:t xml:space="preserve">   甲型流感病毒、乙型流感病毒和2019新型冠状病毒orf 1ab/N基因核酸检测试剂盒（四重荧光PCR法）  </w:t>
      </w:r>
      <w:r>
        <w:rPr>
          <w:rFonts w:hint="eastAsia" w:ascii="宋体" w:hAnsi="宋体" w:eastAsia="宋体" w:cs="Times New Roman"/>
          <w:b/>
          <w:color w:val="auto"/>
          <w:kern w:val="2"/>
          <w:sz w:val="21"/>
          <w:szCs w:val="21"/>
          <w:highlight w:val="yellow"/>
        </w:rPr>
        <w:t xml:space="preserve"> 。如同时有两家或两家以上（均为制造商的合法代理商）通过资格审查及符合性审查的合格投标人所投核心产品为相同品牌的，按一家投标人计算。在此种情况下，评审后得分最高的同品牌投标人获得中标人推荐资格；评审得分相同的由报价相对最低的获得中标人推荐资格；评审得分及报价均相同的由技术部分评分相对最高的获得中标人推荐资格；以上均相同的由评标委员会采取随机抽取方式确定，其他同品牌投标人不作为候选中标供应商。</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w:t>
      </w:r>
      <w:r>
        <w:rPr>
          <w:rFonts w:hint="eastAsia" w:ascii="宋体" w:hAnsi="宋体"/>
          <w:bCs/>
          <w:snapToGrid w:val="0"/>
          <w:kern w:val="0"/>
          <w:szCs w:val="21"/>
          <w:lang w:val="en-US" w:eastAsia="zh-CN"/>
        </w:rPr>
        <w:t>2</w:t>
      </w:r>
      <w:r>
        <w:rPr>
          <w:rFonts w:hint="eastAsia" w:ascii="宋体" w:hAnsi="宋体"/>
          <w:bCs/>
          <w:snapToGrid w:val="0"/>
          <w:kern w:val="0"/>
          <w:szCs w:val="21"/>
        </w:rPr>
        <w:t>）</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w:t>
      </w:r>
      <w:r>
        <w:rPr>
          <w:rFonts w:hint="eastAsia" w:ascii="宋体" w:hAnsi="宋体"/>
          <w:bCs/>
          <w:snapToGrid w:val="0"/>
          <w:kern w:val="0"/>
          <w:szCs w:val="21"/>
          <w:lang w:val="en-US" w:eastAsia="zh-CN"/>
        </w:rPr>
        <w:t>3</w:t>
      </w:r>
      <w:r>
        <w:rPr>
          <w:rFonts w:hint="eastAsia" w:ascii="宋体" w:hAnsi="宋体"/>
          <w:bCs/>
          <w:snapToGrid w:val="0"/>
          <w:kern w:val="0"/>
          <w:szCs w:val="21"/>
        </w:rPr>
        <w:t xml:space="preserve">）备注栏注明“拒绝进口”的产品不接受投标人选用进口产品参与投标；注明“接受进口”的产品允许投标人选用进口产品参与投标，但不排斥国内产品。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w:t>
      </w:r>
      <w:r>
        <w:rPr>
          <w:rFonts w:hint="eastAsia" w:ascii="宋体" w:hAnsi="宋体"/>
          <w:bCs/>
          <w:snapToGrid w:val="0"/>
          <w:kern w:val="0"/>
          <w:szCs w:val="21"/>
          <w:lang w:val="en-US" w:eastAsia="zh-CN"/>
        </w:rPr>
        <w:t>4</w:t>
      </w:r>
      <w:r>
        <w:rPr>
          <w:rFonts w:hint="eastAsia" w:ascii="宋体" w:hAnsi="宋体"/>
          <w:bCs/>
          <w:snapToGrid w:val="0"/>
          <w:kern w:val="0"/>
          <w:szCs w:val="21"/>
        </w:rPr>
        <w:t>）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spacing w:line="360" w:lineRule="auto"/>
        <w:ind w:left="2" w:firstLine="424" w:firstLineChars="201"/>
        <w:rPr>
          <w:rFonts w:asciiTheme="minorEastAsia" w:hAnsiTheme="minorEastAsia" w:eastAsiaTheme="minorEastAsia"/>
          <w:b/>
          <w:bCs/>
          <w:snapToGrid w:val="0"/>
          <w:highlight w:val="yellow"/>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0"/>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80"/>
        <w:gridCol w:w="6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00" w:type="dxa"/>
            <w:vAlign w:val="center"/>
          </w:tcPr>
          <w:p>
            <w:pPr>
              <w:spacing w:line="360" w:lineRule="auto"/>
              <w:jc w:val="center"/>
            </w:pPr>
            <w:r>
              <w:rPr>
                <w:rFonts w:hint="eastAsia"/>
              </w:rPr>
              <w:t>序号</w:t>
            </w:r>
          </w:p>
        </w:tc>
        <w:tc>
          <w:tcPr>
            <w:tcW w:w="1980" w:type="dxa"/>
            <w:vAlign w:val="center"/>
          </w:tcPr>
          <w:p>
            <w:pPr>
              <w:spacing w:line="360" w:lineRule="auto"/>
              <w:jc w:val="center"/>
            </w:pPr>
            <w:r>
              <w:rPr>
                <w:rFonts w:hint="eastAsia"/>
              </w:rPr>
              <w:t>货物名称</w:t>
            </w:r>
          </w:p>
        </w:tc>
        <w:tc>
          <w:tcPr>
            <w:tcW w:w="6737" w:type="dxa"/>
            <w:vAlign w:val="center"/>
          </w:tcPr>
          <w:p>
            <w:pPr>
              <w:spacing w:line="360" w:lineRule="auto"/>
              <w:jc w:val="center"/>
            </w:pPr>
            <w:r>
              <w:rPr>
                <w:rFonts w:hint="eastAsia"/>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line="360" w:lineRule="auto"/>
              <w:jc w:val="both"/>
            </w:pPr>
            <w:r>
              <w:rPr>
                <w:rFonts w:hint="eastAsia"/>
              </w:rPr>
              <w:t>1</w:t>
            </w:r>
          </w:p>
        </w:tc>
        <w:tc>
          <w:tcPr>
            <w:tcW w:w="1980" w:type="dxa"/>
            <w:vAlign w:val="center"/>
          </w:tcPr>
          <w:p>
            <w:pPr>
              <w:spacing w:line="360" w:lineRule="auto"/>
              <w:jc w:val="both"/>
              <w:rPr>
                <w:b/>
              </w:rPr>
            </w:pPr>
            <w:r>
              <w:rPr>
                <w:rFonts w:hint="eastAsia"/>
              </w:rPr>
              <w:t>甲型流感病毒、乙型流感病毒和2019新型冠状病毒orf 1ab/N基因核酸检测试剂盒（四重荧光PCR法）</w:t>
            </w:r>
          </w:p>
        </w:tc>
        <w:tc>
          <w:tcPr>
            <w:tcW w:w="6737" w:type="dxa"/>
          </w:tcPr>
          <w:p>
            <w:pPr>
              <w:spacing w:line="360" w:lineRule="auto"/>
            </w:pPr>
            <w:r>
              <w:rPr>
                <w:rFonts w:hint="eastAsia"/>
              </w:rPr>
              <w:t>1.适用仪器：经过多通道校正的全自动荧光PCR检测仪，需含有FAM、VIC（HEX）、ROX和CY5检测通道，如ABI7500、7500FAST、Light Cycler 480、Bio-Rad CFX96、上海宏石SLAN-96P等。</w:t>
            </w:r>
          </w:p>
          <w:p>
            <w:pPr>
              <w:spacing w:line="360" w:lineRule="auto"/>
            </w:pPr>
            <w:r>
              <w:rPr>
                <w:rFonts w:hint="eastAsia"/>
              </w:rPr>
              <w:t>▲2.适用范围：适用于定性检测甲型流感病毒、乙型流感病毒和2019新型冠状病毒orf1ab/N基因核酸。</w:t>
            </w:r>
          </w:p>
          <w:p>
            <w:pPr>
              <w:spacing w:line="360" w:lineRule="auto"/>
            </w:pPr>
            <w:r>
              <w:rPr>
                <w:rFonts w:hint="eastAsia"/>
              </w:rPr>
              <w:t>3.检测技术：多重实时荧光PCR技术。</w:t>
            </w:r>
          </w:p>
          <w:p>
            <w:pPr>
              <w:spacing w:line="360" w:lineRule="auto"/>
            </w:pPr>
            <w:r>
              <w:rPr>
                <w:rFonts w:hint="eastAsia"/>
              </w:rPr>
              <w:t>▲4.检测性能：灵敏度最高达500copies/mL，与其他病原菌无交叉反应。</w:t>
            </w:r>
          </w:p>
          <w:p>
            <w:pPr>
              <w:spacing w:line="360" w:lineRule="auto"/>
            </w:pPr>
            <w:r>
              <w:rPr>
                <w:rFonts w:hint="eastAsia"/>
              </w:rPr>
              <w:t>▲5.检测时间：一次性完成多种病原体基因型的定性检测，反应时长≤45min。</w:t>
            </w:r>
          </w:p>
          <w:p>
            <w:pPr>
              <w:spacing w:line="360" w:lineRule="auto"/>
            </w:pPr>
            <w:r>
              <w:rPr>
                <w:rFonts w:hint="eastAsia"/>
              </w:rPr>
              <w:t xml:space="preserve">▲6.采用预混液技术：反应液、酶混合液组分各1种，减少体系配置时间。 </w:t>
            </w:r>
          </w:p>
          <w:p>
            <w:pPr>
              <w:spacing w:line="360" w:lineRule="auto"/>
            </w:pPr>
            <w:r>
              <w:rPr>
                <w:rFonts w:hint="eastAsia"/>
              </w:rPr>
              <w:t>7.通用性：流感、新冠等呼吸道病毒同系列产品可自由组合检测且共用一套扩增反应条件及配液体系。</w:t>
            </w:r>
          </w:p>
          <w:p>
            <w:pPr>
              <w:spacing w:line="360" w:lineRule="auto"/>
            </w:pPr>
            <w:r>
              <w:rPr>
                <w:rFonts w:hint="eastAsia"/>
              </w:rPr>
              <w:t>▲8.反应体系：20μL（反应液14μL+酶混合液1μL+样本液5μL）。</w:t>
            </w:r>
          </w:p>
          <w:p>
            <w:pPr>
              <w:spacing w:line="360" w:lineRule="auto"/>
            </w:pPr>
            <w:r>
              <w:rPr>
                <w:rFonts w:hint="eastAsia"/>
              </w:rPr>
              <w:t>▲9.荧光PCR反应程序：</w:t>
            </w:r>
          </w:p>
          <w:p>
            <w:pPr>
              <w:spacing w:line="360" w:lineRule="auto"/>
            </w:pPr>
            <w:r>
              <w:rPr>
                <w:rFonts w:hint="eastAsia"/>
              </w:rPr>
              <w:t>a）逆转录55℃，5min；</w:t>
            </w:r>
          </w:p>
          <w:p>
            <w:pPr>
              <w:spacing w:line="360" w:lineRule="auto"/>
            </w:pPr>
            <w:r>
              <w:rPr>
                <w:rFonts w:hint="eastAsia"/>
              </w:rPr>
              <w:t>b）预变性95℃，30sec；</w:t>
            </w:r>
          </w:p>
          <w:p>
            <w:pPr>
              <w:spacing w:line="360" w:lineRule="auto"/>
            </w:pPr>
            <w:r>
              <w:rPr>
                <w:rFonts w:hint="eastAsia"/>
              </w:rPr>
              <w:t>c）退火/延伸/检测荧光95℃，3sec及60℃，10 sec，共循环45次。</w:t>
            </w:r>
          </w:p>
          <w:p>
            <w:pPr>
              <w:spacing w:line="360" w:lineRule="auto"/>
            </w:pPr>
            <w:r>
              <w:rPr>
                <w:rFonts w:hint="eastAsia"/>
              </w:rPr>
              <w:t>10.质量控制：含有阴性对照及阳性对照，便于结果判定。</w:t>
            </w:r>
          </w:p>
          <w:p>
            <w:pPr>
              <w:spacing w:line="360" w:lineRule="auto"/>
            </w:pPr>
            <w:r>
              <w:rPr>
                <w:rFonts w:hint="eastAsia"/>
              </w:rPr>
              <w:t>▲11.试剂规格：每盒的检测量至少为48T，并可同时提供24T包装。</w:t>
            </w:r>
          </w:p>
          <w:p>
            <w:pPr>
              <w:spacing w:line="360" w:lineRule="auto"/>
            </w:pPr>
            <w:r>
              <w:rPr>
                <w:rFonts w:hint="eastAsia"/>
              </w:rPr>
              <w:t>▲12.有效期：不少于12个月，到货后质保期不少于10个月。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line="360" w:lineRule="auto"/>
              <w:jc w:val="both"/>
            </w:pPr>
            <w:r>
              <w:rPr>
                <w:rFonts w:hint="eastAsia"/>
              </w:rPr>
              <w:t>2</w:t>
            </w:r>
          </w:p>
        </w:tc>
        <w:tc>
          <w:tcPr>
            <w:tcW w:w="1980" w:type="dxa"/>
            <w:vAlign w:val="center"/>
          </w:tcPr>
          <w:p>
            <w:pPr>
              <w:spacing w:line="360" w:lineRule="auto"/>
              <w:jc w:val="both"/>
              <w:rPr>
                <w:b/>
              </w:rPr>
            </w:pPr>
            <w:r>
              <w:rPr>
                <w:rFonts w:hint="eastAsia"/>
              </w:rPr>
              <w:t>甲型H1N1、季节性H3亚型流感病毒核酸检测试剂盒（双重荧光法PCR法）</w:t>
            </w:r>
          </w:p>
        </w:tc>
        <w:tc>
          <w:tcPr>
            <w:tcW w:w="6737" w:type="dxa"/>
          </w:tcPr>
          <w:p>
            <w:pPr>
              <w:spacing w:line="360" w:lineRule="auto"/>
            </w:pPr>
            <w:r>
              <w:rPr>
                <w:rFonts w:hint="eastAsia"/>
              </w:rPr>
              <w:t>1.适用仪器：经过多通道校正的全自动荧光PCR检测仪，需含有FAM、VIC（HEX）、ROX和CY5检测通道，如ABI7500、7500FAST、Light Cycler 480、Bio-Rad CFX96、上海宏石SLAN-96P等。</w:t>
            </w:r>
          </w:p>
          <w:p>
            <w:pPr>
              <w:spacing w:line="360" w:lineRule="auto"/>
            </w:pPr>
            <w:r>
              <w:rPr>
                <w:rFonts w:hint="eastAsia"/>
              </w:rPr>
              <w:t>▲2.适用范围：适用于定性检测甲型H1N1亚型、季节性H3亚型流感病毒核酸。</w:t>
            </w:r>
          </w:p>
          <w:p>
            <w:pPr>
              <w:spacing w:line="360" w:lineRule="auto"/>
            </w:pPr>
            <w:r>
              <w:rPr>
                <w:rFonts w:hint="eastAsia"/>
              </w:rPr>
              <w:t>3.检测技术：多重实时荧光PCR技术。</w:t>
            </w:r>
          </w:p>
          <w:p>
            <w:pPr>
              <w:spacing w:line="360" w:lineRule="auto"/>
            </w:pPr>
            <w:r>
              <w:rPr>
                <w:rFonts w:hint="eastAsia"/>
              </w:rPr>
              <w:t>▲4.检测性能：灵敏度最高达500copies/mL，与其他病原菌无交叉反应。</w:t>
            </w:r>
          </w:p>
          <w:p>
            <w:pPr>
              <w:spacing w:line="360" w:lineRule="auto"/>
            </w:pPr>
            <w:r>
              <w:rPr>
                <w:rFonts w:hint="eastAsia"/>
              </w:rPr>
              <w:t>▲5.检测时间：一次性完成多种病原体基因型的定性检测，反应时长≤45min。</w:t>
            </w:r>
          </w:p>
          <w:p>
            <w:pPr>
              <w:spacing w:line="360" w:lineRule="auto"/>
            </w:pPr>
            <w:r>
              <w:rPr>
                <w:rFonts w:hint="eastAsia"/>
              </w:rPr>
              <w:t xml:space="preserve">▲6.采用预混液技术：反应液、酶混合液组分各1种，减少体系配置时间。 </w:t>
            </w:r>
          </w:p>
          <w:p>
            <w:pPr>
              <w:spacing w:line="360" w:lineRule="auto"/>
            </w:pPr>
            <w:r>
              <w:rPr>
                <w:rFonts w:hint="eastAsia"/>
              </w:rPr>
              <w:t>7.通用性：流感、新冠等呼吸道病毒同系列产品可自由组合检测且共用一套扩增反应条件及配液体系。</w:t>
            </w:r>
          </w:p>
          <w:p>
            <w:pPr>
              <w:spacing w:line="360" w:lineRule="auto"/>
            </w:pPr>
            <w:r>
              <w:rPr>
                <w:rFonts w:hint="eastAsia"/>
              </w:rPr>
              <w:t>▲8.反应体系：20μL（反应液14μL+酶混合液1μL+样本液5μL）。</w:t>
            </w:r>
          </w:p>
          <w:p>
            <w:pPr>
              <w:spacing w:line="360" w:lineRule="auto"/>
            </w:pPr>
            <w:r>
              <w:rPr>
                <w:rFonts w:hint="eastAsia"/>
              </w:rPr>
              <w:t>▲9.荧光PCR反应程序：</w:t>
            </w:r>
          </w:p>
          <w:p>
            <w:pPr>
              <w:spacing w:line="360" w:lineRule="auto"/>
            </w:pPr>
            <w:r>
              <w:rPr>
                <w:rFonts w:hint="eastAsia"/>
              </w:rPr>
              <w:t>a）逆转录55℃，5min；</w:t>
            </w:r>
          </w:p>
          <w:p>
            <w:pPr>
              <w:spacing w:line="360" w:lineRule="auto"/>
            </w:pPr>
            <w:r>
              <w:rPr>
                <w:rFonts w:hint="eastAsia"/>
              </w:rPr>
              <w:t>b）预变性95℃，30sec；</w:t>
            </w:r>
          </w:p>
          <w:p>
            <w:pPr>
              <w:spacing w:line="360" w:lineRule="auto"/>
            </w:pPr>
            <w:r>
              <w:rPr>
                <w:rFonts w:hint="eastAsia"/>
              </w:rPr>
              <w:t>c）退火/延伸/检测荧光95℃，3sec及60℃，10 sec，共循环45次。</w:t>
            </w:r>
          </w:p>
          <w:p>
            <w:pPr>
              <w:spacing w:line="360" w:lineRule="auto"/>
            </w:pPr>
            <w:r>
              <w:rPr>
                <w:rFonts w:hint="eastAsia"/>
              </w:rPr>
              <w:t>10.质量控制：含有阴性对照及阳性对照，便于结果判定。</w:t>
            </w:r>
          </w:p>
          <w:p>
            <w:pPr>
              <w:spacing w:line="360" w:lineRule="auto"/>
            </w:pPr>
            <w:r>
              <w:rPr>
                <w:rFonts w:hint="eastAsia"/>
              </w:rPr>
              <w:t>▲11.试剂规格：每盒的检测量至少为48T，并可同时提供24T包装。</w:t>
            </w:r>
          </w:p>
          <w:p>
            <w:pPr>
              <w:spacing w:line="360" w:lineRule="auto"/>
            </w:pPr>
            <w:r>
              <w:rPr>
                <w:rFonts w:hint="eastAsia"/>
              </w:rPr>
              <w:t>▲12.有效期：不少于12个月，到货后质保期不少于10个月。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line="360" w:lineRule="auto"/>
              <w:jc w:val="both"/>
              <w:rPr>
                <w:rFonts w:hint="eastAsia" w:eastAsia="宋体"/>
                <w:lang w:eastAsia="zh-CN"/>
              </w:rPr>
            </w:pPr>
            <w:r>
              <w:rPr>
                <w:rFonts w:hint="eastAsia"/>
                <w:lang w:val="en-US" w:eastAsia="zh-CN"/>
              </w:rPr>
              <w:t>3</w:t>
            </w:r>
          </w:p>
        </w:tc>
        <w:tc>
          <w:tcPr>
            <w:tcW w:w="1980" w:type="dxa"/>
            <w:vAlign w:val="center"/>
          </w:tcPr>
          <w:p>
            <w:pPr>
              <w:spacing w:line="360" w:lineRule="auto"/>
              <w:jc w:val="both"/>
              <w:rPr>
                <w:b/>
              </w:rPr>
            </w:pPr>
            <w:r>
              <w:rPr>
                <w:rFonts w:hint="eastAsia"/>
              </w:rPr>
              <w:t>BV+BY亚系流感病毒核酸检测试剂盒（双重荧光法PCR法）</w:t>
            </w:r>
          </w:p>
        </w:tc>
        <w:tc>
          <w:tcPr>
            <w:tcW w:w="6737" w:type="dxa"/>
          </w:tcPr>
          <w:p>
            <w:pPr>
              <w:spacing w:line="360" w:lineRule="auto"/>
            </w:pPr>
            <w:r>
              <w:rPr>
                <w:rFonts w:hint="eastAsia"/>
              </w:rPr>
              <w:t>1.适用仪器：经过多通道校正的全自动荧光PCR检测仪，需含有FAM、VIC（HEX）、ROX和CY5检测通道，如ABI7500、7500FAST、Light Cycler 480、Bio-Rad CFX96、上海宏石SLAN-96P等。</w:t>
            </w:r>
          </w:p>
          <w:p>
            <w:pPr>
              <w:spacing w:line="360" w:lineRule="auto"/>
            </w:pPr>
            <w:r>
              <w:rPr>
                <w:rFonts w:hint="eastAsia"/>
              </w:rPr>
              <w:t>▲2.适用范围：适用于定性检测Bv和By亚系流感病毒核酸。</w:t>
            </w:r>
          </w:p>
          <w:p>
            <w:pPr>
              <w:spacing w:line="360" w:lineRule="auto"/>
            </w:pPr>
            <w:r>
              <w:rPr>
                <w:rFonts w:hint="eastAsia"/>
              </w:rPr>
              <w:t>3.检测技术：多重实时荧光PCR技术。</w:t>
            </w:r>
          </w:p>
          <w:p>
            <w:pPr>
              <w:spacing w:line="360" w:lineRule="auto"/>
            </w:pPr>
            <w:r>
              <w:rPr>
                <w:rFonts w:hint="eastAsia"/>
              </w:rPr>
              <w:t>▲4.检测性能：灵敏度最高达500copies/mL，与其他病原菌无交叉反应。</w:t>
            </w:r>
          </w:p>
          <w:p>
            <w:pPr>
              <w:spacing w:line="360" w:lineRule="auto"/>
            </w:pPr>
            <w:r>
              <w:rPr>
                <w:rFonts w:hint="eastAsia"/>
              </w:rPr>
              <w:t>▲5.检测时间：一次性完成多种病原体基因型的定性检测，反应时长≤45min。</w:t>
            </w:r>
          </w:p>
          <w:p>
            <w:pPr>
              <w:spacing w:line="360" w:lineRule="auto"/>
            </w:pPr>
            <w:r>
              <w:rPr>
                <w:rFonts w:hint="eastAsia"/>
              </w:rPr>
              <w:t xml:space="preserve">▲6.采用预混液技术：反应液、酶混合液组分各1种，减少体系配置时间。 </w:t>
            </w:r>
          </w:p>
          <w:p>
            <w:pPr>
              <w:spacing w:line="360" w:lineRule="auto"/>
            </w:pPr>
            <w:r>
              <w:rPr>
                <w:rFonts w:hint="eastAsia"/>
              </w:rPr>
              <w:t>7.通用性：流感、新冠等呼吸道病毒同系列产品可自由组合检测且共用一套扩增反应条件及配液体系。</w:t>
            </w:r>
          </w:p>
          <w:p>
            <w:pPr>
              <w:spacing w:line="360" w:lineRule="auto"/>
            </w:pPr>
            <w:r>
              <w:rPr>
                <w:rFonts w:hint="eastAsia"/>
              </w:rPr>
              <w:t>▲8.反应体系：20μL（反应液14μL+酶混合液1μL+样本液5μL）。</w:t>
            </w:r>
          </w:p>
          <w:p>
            <w:pPr>
              <w:spacing w:line="360" w:lineRule="auto"/>
            </w:pPr>
            <w:r>
              <w:rPr>
                <w:rFonts w:hint="eastAsia"/>
              </w:rPr>
              <w:t>▲9.荧光PCR反应程序：</w:t>
            </w:r>
          </w:p>
          <w:p>
            <w:pPr>
              <w:spacing w:line="360" w:lineRule="auto"/>
            </w:pPr>
            <w:r>
              <w:rPr>
                <w:rFonts w:hint="eastAsia"/>
              </w:rPr>
              <w:t>a）逆转录55℃，5min；</w:t>
            </w:r>
          </w:p>
          <w:p>
            <w:pPr>
              <w:spacing w:line="360" w:lineRule="auto"/>
            </w:pPr>
            <w:r>
              <w:rPr>
                <w:rFonts w:hint="eastAsia"/>
              </w:rPr>
              <w:t>b）预变性95℃，30sec；</w:t>
            </w:r>
          </w:p>
          <w:p>
            <w:pPr>
              <w:spacing w:line="360" w:lineRule="auto"/>
            </w:pPr>
            <w:r>
              <w:rPr>
                <w:rFonts w:hint="eastAsia"/>
              </w:rPr>
              <w:t>c）退火/延伸/检测荧光95℃，3sec及60℃，10 sec，共循环45次。</w:t>
            </w:r>
          </w:p>
          <w:p>
            <w:pPr>
              <w:spacing w:line="360" w:lineRule="auto"/>
            </w:pPr>
            <w:r>
              <w:rPr>
                <w:rFonts w:hint="eastAsia"/>
              </w:rPr>
              <w:t>10.质量控制：含有阴性对照及阳性对照，便于结果判定。</w:t>
            </w:r>
          </w:p>
          <w:p>
            <w:pPr>
              <w:spacing w:line="360" w:lineRule="auto"/>
            </w:pPr>
            <w:r>
              <w:rPr>
                <w:rFonts w:hint="eastAsia"/>
              </w:rPr>
              <w:t>▲11.试剂规格：每盒的检测量至少为48T，并可同时提供24T包装。</w:t>
            </w:r>
          </w:p>
          <w:p>
            <w:pPr>
              <w:spacing w:line="360" w:lineRule="auto"/>
            </w:pPr>
            <w:r>
              <w:rPr>
                <w:rFonts w:hint="eastAsia"/>
              </w:rPr>
              <w:t>▲12.有效期：不少于12个月，到货后质保期不少于10个月。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line="360" w:lineRule="auto"/>
              <w:jc w:val="both"/>
              <w:rPr>
                <w:rFonts w:hint="eastAsia" w:eastAsia="宋体"/>
                <w:lang w:eastAsia="zh-CN"/>
              </w:rPr>
            </w:pPr>
            <w:r>
              <w:rPr>
                <w:rFonts w:hint="eastAsia"/>
                <w:lang w:val="en-US" w:eastAsia="zh-CN"/>
              </w:rPr>
              <w:t>4</w:t>
            </w:r>
          </w:p>
        </w:tc>
        <w:tc>
          <w:tcPr>
            <w:tcW w:w="1980" w:type="dxa"/>
            <w:vAlign w:val="center"/>
          </w:tcPr>
          <w:p>
            <w:pPr>
              <w:spacing w:line="360" w:lineRule="auto"/>
              <w:jc w:val="both"/>
              <w:rPr>
                <w:b/>
              </w:rPr>
            </w:pPr>
            <w:r>
              <w:rPr>
                <w:rFonts w:hint="eastAsia"/>
              </w:rPr>
              <w:t>新型冠状病毒2019-nCoV核酸检测试剂盒（荧光PCR法）</w:t>
            </w:r>
          </w:p>
        </w:tc>
        <w:tc>
          <w:tcPr>
            <w:tcW w:w="6737" w:type="dxa"/>
          </w:tcPr>
          <w:p>
            <w:pPr>
              <w:spacing w:line="360" w:lineRule="auto"/>
            </w:pPr>
            <w:r>
              <w:rPr>
                <w:rFonts w:hint="eastAsia"/>
              </w:rPr>
              <w:t>1.适用仪器：经过多通道校正的全自动荧光PCR检测仪，需含有FAM、VIC（HEX）、ROX和CY5检测通道，如ABI7500、7500FAST、Light Cycler 480、Bio-Rad CFX96、上海宏石SLAN-96P等。</w:t>
            </w:r>
          </w:p>
          <w:p>
            <w:pPr>
              <w:spacing w:line="360" w:lineRule="auto"/>
            </w:pPr>
            <w:r>
              <w:rPr>
                <w:rFonts w:hint="eastAsia"/>
              </w:rPr>
              <w:t>▲2.适用范围：适用于定性检测2019新型冠状病毒核酸。</w:t>
            </w:r>
          </w:p>
          <w:p>
            <w:pPr>
              <w:spacing w:line="360" w:lineRule="auto"/>
            </w:pPr>
            <w:r>
              <w:rPr>
                <w:rFonts w:hint="eastAsia"/>
              </w:rPr>
              <w:t>3.检测技术：多重实时荧光PCR技术。</w:t>
            </w:r>
          </w:p>
          <w:p>
            <w:pPr>
              <w:spacing w:line="360" w:lineRule="auto"/>
            </w:pPr>
            <w:r>
              <w:rPr>
                <w:rFonts w:hint="eastAsia"/>
              </w:rPr>
              <w:t>▲4.检测性能：灵敏度最高达500copies/mL，与其他病原菌无交叉反应。</w:t>
            </w:r>
          </w:p>
          <w:p>
            <w:pPr>
              <w:spacing w:line="360" w:lineRule="auto"/>
            </w:pPr>
            <w:r>
              <w:rPr>
                <w:rFonts w:hint="eastAsia"/>
              </w:rPr>
              <w:t>▲5.检测时间：一次性完成多种病原体基因型的定性检测，反应时长≤45min。</w:t>
            </w:r>
          </w:p>
          <w:p>
            <w:pPr>
              <w:spacing w:line="360" w:lineRule="auto"/>
            </w:pPr>
            <w:r>
              <w:rPr>
                <w:rFonts w:hint="eastAsia"/>
              </w:rPr>
              <w:t xml:space="preserve">▲6.采用预混液技术：反应液、酶混合液组分各1种，减少体系配置时间。 </w:t>
            </w:r>
          </w:p>
          <w:p>
            <w:pPr>
              <w:spacing w:line="360" w:lineRule="auto"/>
            </w:pPr>
            <w:r>
              <w:rPr>
                <w:rFonts w:hint="eastAsia"/>
              </w:rPr>
              <w:t>7.通用性：流感、新冠等呼吸道病毒同系列产品可自由组合检测且共用一套扩增反应条件及配液体系。</w:t>
            </w:r>
          </w:p>
          <w:p>
            <w:pPr>
              <w:spacing w:line="360" w:lineRule="auto"/>
            </w:pPr>
            <w:r>
              <w:rPr>
                <w:rFonts w:hint="eastAsia"/>
              </w:rPr>
              <w:t>▲8.反应体系：20μL（反应液14μL+酶混合液1μL+样本液5μL）。</w:t>
            </w:r>
          </w:p>
          <w:p>
            <w:pPr>
              <w:spacing w:line="360" w:lineRule="auto"/>
            </w:pPr>
            <w:r>
              <w:rPr>
                <w:rFonts w:hint="eastAsia"/>
              </w:rPr>
              <w:t>▲9.荧光PCR反应程序：</w:t>
            </w:r>
          </w:p>
          <w:p>
            <w:pPr>
              <w:spacing w:line="360" w:lineRule="auto"/>
            </w:pPr>
            <w:r>
              <w:rPr>
                <w:rFonts w:hint="eastAsia"/>
              </w:rPr>
              <w:t>a）逆转录55℃，5min；</w:t>
            </w:r>
          </w:p>
          <w:p>
            <w:pPr>
              <w:spacing w:line="360" w:lineRule="auto"/>
            </w:pPr>
            <w:r>
              <w:rPr>
                <w:rFonts w:hint="eastAsia"/>
              </w:rPr>
              <w:t>b）预变性95℃，30sec；</w:t>
            </w:r>
          </w:p>
          <w:p>
            <w:pPr>
              <w:spacing w:line="360" w:lineRule="auto"/>
            </w:pPr>
            <w:r>
              <w:rPr>
                <w:rFonts w:hint="eastAsia"/>
              </w:rPr>
              <w:t>c）退火/延伸/检测荧光95℃，3sec及60℃，10 sec，共循环45次。</w:t>
            </w:r>
          </w:p>
          <w:p>
            <w:pPr>
              <w:spacing w:line="360" w:lineRule="auto"/>
            </w:pPr>
            <w:r>
              <w:rPr>
                <w:rFonts w:hint="eastAsia"/>
              </w:rPr>
              <w:t>10.质量控制：含有阴性对照及阳性对照，便于结果判定。</w:t>
            </w:r>
          </w:p>
          <w:p>
            <w:pPr>
              <w:spacing w:line="360" w:lineRule="auto"/>
            </w:pPr>
            <w:r>
              <w:rPr>
                <w:rFonts w:hint="eastAsia"/>
              </w:rPr>
              <w:t>▲11.试剂规格：每盒的检测量至少为48T，并可同时提供24T包装。</w:t>
            </w:r>
          </w:p>
          <w:p>
            <w:pPr>
              <w:spacing w:line="360" w:lineRule="auto"/>
            </w:pPr>
            <w:r>
              <w:rPr>
                <w:rFonts w:hint="eastAsia"/>
              </w:rPr>
              <w:t>▲12.有效期：不少于12个月，到货后质保期不少于10个月。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line="360" w:lineRule="auto"/>
              <w:jc w:val="both"/>
              <w:rPr>
                <w:rFonts w:hint="eastAsia" w:eastAsia="宋体"/>
                <w:lang w:eastAsia="zh-CN"/>
              </w:rPr>
            </w:pPr>
            <w:r>
              <w:rPr>
                <w:rFonts w:hint="eastAsia"/>
                <w:lang w:val="en-US" w:eastAsia="zh-CN"/>
              </w:rPr>
              <w:t>5</w:t>
            </w:r>
          </w:p>
        </w:tc>
        <w:tc>
          <w:tcPr>
            <w:tcW w:w="1980" w:type="dxa"/>
            <w:vAlign w:val="center"/>
          </w:tcPr>
          <w:p>
            <w:pPr>
              <w:spacing w:line="360" w:lineRule="auto"/>
              <w:jc w:val="both"/>
              <w:rPr>
                <w:b/>
              </w:rPr>
            </w:pPr>
            <w:r>
              <w:rPr>
                <w:rFonts w:hint="eastAsia"/>
              </w:rPr>
              <w:t>甲型（A型）、乙型（B型）流感病毒核酸检测试剂盒（双重荧光PCR法）</w:t>
            </w:r>
          </w:p>
        </w:tc>
        <w:tc>
          <w:tcPr>
            <w:tcW w:w="6737" w:type="dxa"/>
          </w:tcPr>
          <w:p>
            <w:pPr>
              <w:spacing w:line="360" w:lineRule="auto"/>
            </w:pPr>
            <w:r>
              <w:rPr>
                <w:rFonts w:hint="eastAsia"/>
              </w:rPr>
              <w:t>1.适用仪器：经过多通道校正的全自动荧光PCR检测仪，需含有FAM、VIC（HEX）、ROX和CY5检测通道，如ABI7500、7500FAST、Light Cycler 480、Bio-Rad CFX96、上海宏石SLAN-96P等。</w:t>
            </w:r>
          </w:p>
          <w:p>
            <w:pPr>
              <w:spacing w:line="360" w:lineRule="auto"/>
            </w:pPr>
            <w:r>
              <w:rPr>
                <w:rFonts w:hint="eastAsia"/>
              </w:rPr>
              <w:t>▲2.适用范围：适用于定性检测甲型流感病毒、乙型流感病毒核酸。</w:t>
            </w:r>
          </w:p>
          <w:p>
            <w:pPr>
              <w:spacing w:line="360" w:lineRule="auto"/>
            </w:pPr>
            <w:r>
              <w:rPr>
                <w:rFonts w:hint="eastAsia"/>
              </w:rPr>
              <w:t>3.检测技术：多重实时荧光PCR技术。</w:t>
            </w:r>
          </w:p>
          <w:p>
            <w:pPr>
              <w:spacing w:line="360" w:lineRule="auto"/>
            </w:pPr>
            <w:r>
              <w:rPr>
                <w:rFonts w:hint="eastAsia"/>
              </w:rPr>
              <w:t>▲4.检测性能：灵敏度最高达500copies/mL，与其他病原菌无交叉反应。</w:t>
            </w:r>
          </w:p>
          <w:p>
            <w:pPr>
              <w:spacing w:line="360" w:lineRule="auto"/>
            </w:pPr>
            <w:r>
              <w:rPr>
                <w:rFonts w:hint="eastAsia"/>
              </w:rPr>
              <w:t>▲5.检测时间：一次性完成多种病原体基因型的定性检测，反应时长≤45min。</w:t>
            </w:r>
          </w:p>
          <w:p>
            <w:pPr>
              <w:spacing w:line="360" w:lineRule="auto"/>
            </w:pPr>
            <w:r>
              <w:rPr>
                <w:rFonts w:hint="eastAsia"/>
              </w:rPr>
              <w:t xml:space="preserve">▲6.采用预混液技术：反应液、酶混合液组分各1种，减少体系配置时间。 </w:t>
            </w:r>
          </w:p>
          <w:p>
            <w:pPr>
              <w:spacing w:line="360" w:lineRule="auto"/>
            </w:pPr>
            <w:r>
              <w:rPr>
                <w:rFonts w:hint="eastAsia"/>
              </w:rPr>
              <w:t>7.通用性：流感、新冠等呼吸道病毒同系列产品可自由组合检测且共用一套扩增反应条件及配液体系。</w:t>
            </w:r>
          </w:p>
          <w:p>
            <w:pPr>
              <w:spacing w:line="360" w:lineRule="auto"/>
            </w:pPr>
            <w:r>
              <w:rPr>
                <w:rFonts w:hint="eastAsia"/>
              </w:rPr>
              <w:t>▲8.反应体系：20μL（反应液14μL+酶混合液1μL+样本液5μL）。</w:t>
            </w:r>
          </w:p>
          <w:p>
            <w:pPr>
              <w:spacing w:line="360" w:lineRule="auto"/>
            </w:pPr>
            <w:r>
              <w:rPr>
                <w:rFonts w:hint="eastAsia"/>
              </w:rPr>
              <w:t>▲9.荧光PCR反应程序：</w:t>
            </w:r>
          </w:p>
          <w:p>
            <w:pPr>
              <w:spacing w:line="360" w:lineRule="auto"/>
            </w:pPr>
            <w:r>
              <w:rPr>
                <w:rFonts w:hint="eastAsia"/>
              </w:rPr>
              <w:t>a）逆转录55℃，5min；</w:t>
            </w:r>
          </w:p>
          <w:p>
            <w:pPr>
              <w:spacing w:line="360" w:lineRule="auto"/>
            </w:pPr>
            <w:r>
              <w:rPr>
                <w:rFonts w:hint="eastAsia"/>
              </w:rPr>
              <w:t>b）预变性95℃，30sec；</w:t>
            </w:r>
          </w:p>
          <w:p>
            <w:pPr>
              <w:spacing w:line="360" w:lineRule="auto"/>
            </w:pPr>
            <w:r>
              <w:rPr>
                <w:rFonts w:hint="eastAsia"/>
              </w:rPr>
              <w:t>c）退火/延伸/检测荧光95℃，3sec及60℃，10 sec，共循环45次。</w:t>
            </w:r>
          </w:p>
          <w:p>
            <w:pPr>
              <w:spacing w:line="360" w:lineRule="auto"/>
            </w:pPr>
            <w:r>
              <w:rPr>
                <w:rFonts w:hint="eastAsia"/>
              </w:rPr>
              <w:t>10.质量控制：含有阴性对照及阳性对照，便于结果判定。</w:t>
            </w:r>
          </w:p>
          <w:p>
            <w:pPr>
              <w:spacing w:line="360" w:lineRule="auto"/>
            </w:pPr>
            <w:r>
              <w:rPr>
                <w:rFonts w:hint="eastAsia"/>
              </w:rPr>
              <w:t>▲11.试剂规格：每盒的检测量至少为48T，并可同时提供24T包装。</w:t>
            </w:r>
          </w:p>
          <w:p>
            <w:pPr>
              <w:spacing w:line="360" w:lineRule="auto"/>
            </w:pPr>
            <w:r>
              <w:rPr>
                <w:rFonts w:hint="eastAsia"/>
              </w:rPr>
              <w:t>▲12.有效期：不少于12个月，到货后质保期不少于10个月。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line="360" w:lineRule="auto"/>
              <w:jc w:val="both"/>
              <w:rPr>
                <w:rFonts w:hint="eastAsia" w:eastAsia="宋体"/>
                <w:lang w:eastAsia="zh-CN"/>
              </w:rPr>
            </w:pPr>
            <w:r>
              <w:rPr>
                <w:rFonts w:hint="eastAsia"/>
                <w:lang w:val="en-US" w:eastAsia="zh-CN"/>
              </w:rPr>
              <w:t>6</w:t>
            </w:r>
          </w:p>
        </w:tc>
        <w:tc>
          <w:tcPr>
            <w:tcW w:w="1980" w:type="dxa"/>
            <w:vAlign w:val="center"/>
          </w:tcPr>
          <w:p>
            <w:pPr>
              <w:spacing w:line="360" w:lineRule="auto"/>
              <w:jc w:val="both"/>
              <w:rPr>
                <w:b/>
              </w:rPr>
            </w:pPr>
            <w:r>
              <w:rPr>
                <w:rFonts w:hint="eastAsia"/>
              </w:rPr>
              <w:t>禽流感病毒H5N6亚型核酸检测试剂盒</w:t>
            </w:r>
          </w:p>
        </w:tc>
        <w:tc>
          <w:tcPr>
            <w:tcW w:w="6737" w:type="dxa"/>
          </w:tcPr>
          <w:p>
            <w:pPr>
              <w:spacing w:line="360" w:lineRule="auto"/>
            </w:pPr>
            <w:r>
              <w:rPr>
                <w:rFonts w:hint="eastAsia"/>
              </w:rPr>
              <w:t>1.适用仪器：经过多通道校正的全自动荧光PCR检测仪，需含有FAM、VIC（HEX）、ROX和CY5检测通道，如ABI7500、7500FAST、Light Cycler 480、Bio-Rad CFX96、上海宏石SLAN-96P等。</w:t>
            </w:r>
          </w:p>
          <w:p>
            <w:pPr>
              <w:spacing w:line="360" w:lineRule="auto"/>
            </w:pPr>
            <w:r>
              <w:rPr>
                <w:rFonts w:hint="eastAsia"/>
              </w:rPr>
              <w:t>▲2.适用范围：适用于定性检测禽流感病毒H5N6亚型核酸。</w:t>
            </w:r>
          </w:p>
          <w:p>
            <w:pPr>
              <w:spacing w:line="360" w:lineRule="auto"/>
            </w:pPr>
            <w:r>
              <w:rPr>
                <w:rFonts w:hint="eastAsia"/>
              </w:rPr>
              <w:t>3.检测技术：多重实时荧光PCR技术。</w:t>
            </w:r>
          </w:p>
          <w:p>
            <w:pPr>
              <w:spacing w:line="360" w:lineRule="auto"/>
            </w:pPr>
            <w:r>
              <w:rPr>
                <w:rFonts w:hint="eastAsia"/>
              </w:rPr>
              <w:t>▲4.检测性能：灵敏度最高达500copies/mL，与其他病原菌无交叉反应。</w:t>
            </w:r>
          </w:p>
          <w:p>
            <w:pPr>
              <w:spacing w:line="360" w:lineRule="auto"/>
            </w:pPr>
            <w:r>
              <w:rPr>
                <w:rFonts w:hint="eastAsia"/>
              </w:rPr>
              <w:t>▲5.检测时间：一次性完成多种病原体基因型的定性检测，反应时长≤45min。</w:t>
            </w:r>
          </w:p>
          <w:p>
            <w:pPr>
              <w:spacing w:line="360" w:lineRule="auto"/>
            </w:pPr>
            <w:r>
              <w:rPr>
                <w:rFonts w:hint="eastAsia"/>
              </w:rPr>
              <w:t xml:space="preserve">▲6.采用预混液技术：反应液、酶混合液组分各1种，减少体系配置时间。 </w:t>
            </w:r>
          </w:p>
          <w:p>
            <w:pPr>
              <w:spacing w:line="360" w:lineRule="auto"/>
            </w:pPr>
            <w:r>
              <w:rPr>
                <w:rFonts w:hint="eastAsia"/>
              </w:rPr>
              <w:t>7.通用性：流感、新冠等呼吸道病毒同系列产品可自由组合检测且共用一套扩增反应条件及配液体系。</w:t>
            </w:r>
          </w:p>
          <w:p>
            <w:pPr>
              <w:spacing w:line="360" w:lineRule="auto"/>
            </w:pPr>
            <w:r>
              <w:rPr>
                <w:rFonts w:hint="eastAsia"/>
              </w:rPr>
              <w:t>▲8.反应体系：20μL（反应液14μL+酶混合液1μL+样本液5μL）。</w:t>
            </w:r>
          </w:p>
          <w:p>
            <w:pPr>
              <w:spacing w:line="360" w:lineRule="auto"/>
            </w:pPr>
            <w:r>
              <w:rPr>
                <w:rFonts w:hint="eastAsia"/>
              </w:rPr>
              <w:t>▲9.荧光PCR反应程序：</w:t>
            </w:r>
          </w:p>
          <w:p>
            <w:pPr>
              <w:spacing w:line="360" w:lineRule="auto"/>
            </w:pPr>
            <w:r>
              <w:rPr>
                <w:rFonts w:hint="eastAsia"/>
              </w:rPr>
              <w:t>a）逆转录55℃，5min；</w:t>
            </w:r>
          </w:p>
          <w:p>
            <w:pPr>
              <w:spacing w:line="360" w:lineRule="auto"/>
            </w:pPr>
            <w:r>
              <w:rPr>
                <w:rFonts w:hint="eastAsia"/>
              </w:rPr>
              <w:t>b）预变性95℃，30sec；</w:t>
            </w:r>
          </w:p>
          <w:p>
            <w:pPr>
              <w:spacing w:line="360" w:lineRule="auto"/>
            </w:pPr>
            <w:r>
              <w:rPr>
                <w:rFonts w:hint="eastAsia"/>
              </w:rPr>
              <w:t>c）退火/延伸/检测荧光95℃，3sec及60℃，10 sec，共循环45次。</w:t>
            </w:r>
          </w:p>
          <w:p>
            <w:pPr>
              <w:spacing w:line="360" w:lineRule="auto"/>
            </w:pPr>
            <w:r>
              <w:rPr>
                <w:rFonts w:hint="eastAsia"/>
              </w:rPr>
              <w:t>10.质量控制：含有阴性对照及阳性对照，便于结果判定。</w:t>
            </w:r>
          </w:p>
          <w:p>
            <w:pPr>
              <w:spacing w:line="360" w:lineRule="auto"/>
            </w:pPr>
            <w:r>
              <w:rPr>
                <w:rFonts w:hint="eastAsia"/>
              </w:rPr>
              <w:t>▲11.试剂规格：每盒的检测量至少为48T，并可同时提供24T包装。</w:t>
            </w:r>
          </w:p>
          <w:p>
            <w:pPr>
              <w:spacing w:line="360" w:lineRule="auto"/>
            </w:pPr>
            <w:r>
              <w:rPr>
                <w:rFonts w:hint="eastAsia"/>
              </w:rPr>
              <w:t>▲12.有效期：不少于12个月，到货后质保期不少于10个月。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line="360" w:lineRule="auto"/>
              <w:jc w:val="both"/>
              <w:rPr>
                <w:rFonts w:hint="eastAsia" w:eastAsia="宋体"/>
                <w:lang w:eastAsia="zh-CN"/>
              </w:rPr>
            </w:pPr>
            <w:r>
              <w:rPr>
                <w:rFonts w:hint="eastAsia"/>
                <w:lang w:val="en-US" w:eastAsia="zh-CN"/>
              </w:rPr>
              <w:t>7</w:t>
            </w:r>
          </w:p>
        </w:tc>
        <w:tc>
          <w:tcPr>
            <w:tcW w:w="1980" w:type="dxa"/>
            <w:vAlign w:val="center"/>
          </w:tcPr>
          <w:p>
            <w:pPr>
              <w:spacing w:line="360" w:lineRule="auto"/>
              <w:jc w:val="both"/>
              <w:rPr>
                <w:b/>
              </w:rPr>
            </w:pPr>
            <w:r>
              <w:rPr>
                <w:rFonts w:hint="eastAsia"/>
              </w:rPr>
              <w:t>禽流感病毒H9N2亚型核酸检测试剂盒</w:t>
            </w:r>
          </w:p>
        </w:tc>
        <w:tc>
          <w:tcPr>
            <w:tcW w:w="6737" w:type="dxa"/>
          </w:tcPr>
          <w:p>
            <w:pPr>
              <w:spacing w:line="360" w:lineRule="auto"/>
            </w:pPr>
            <w:r>
              <w:rPr>
                <w:rFonts w:hint="eastAsia"/>
              </w:rPr>
              <w:t>1.适用仪器：经过多通道校正的全自动荧光PCR检测仪，需含有FAM、VIC（HEX）、ROX和CY5检测通道，如ABI7500、7500FAST、Light Cycler 480、Bio-Rad CFX96、上海宏石SLAN-96P等。</w:t>
            </w:r>
          </w:p>
          <w:p>
            <w:pPr>
              <w:spacing w:line="360" w:lineRule="auto"/>
            </w:pPr>
            <w:r>
              <w:rPr>
                <w:rFonts w:hint="eastAsia"/>
              </w:rPr>
              <w:t>▲2.适用范围：适用于定性检测禽流感病毒H9N2亚型核酸。</w:t>
            </w:r>
          </w:p>
          <w:p>
            <w:pPr>
              <w:spacing w:line="360" w:lineRule="auto"/>
            </w:pPr>
            <w:r>
              <w:rPr>
                <w:rFonts w:hint="eastAsia"/>
              </w:rPr>
              <w:t>3.检测技术：多重实时荧光PCR技术。</w:t>
            </w:r>
          </w:p>
          <w:p>
            <w:pPr>
              <w:spacing w:line="360" w:lineRule="auto"/>
            </w:pPr>
            <w:r>
              <w:rPr>
                <w:rFonts w:hint="eastAsia"/>
              </w:rPr>
              <w:t>▲4.检测性能：灵敏度最高达500copies/mL，与其他病原菌无交叉反应。</w:t>
            </w:r>
          </w:p>
          <w:p>
            <w:pPr>
              <w:spacing w:line="360" w:lineRule="auto"/>
            </w:pPr>
            <w:r>
              <w:rPr>
                <w:rFonts w:hint="eastAsia"/>
              </w:rPr>
              <w:t>▲5.检测时间：一次性完成多种病原体基因型的定性检测，反应时长≤45min。</w:t>
            </w:r>
          </w:p>
          <w:p>
            <w:pPr>
              <w:spacing w:line="360" w:lineRule="auto"/>
            </w:pPr>
            <w:r>
              <w:rPr>
                <w:rFonts w:hint="eastAsia"/>
              </w:rPr>
              <w:t xml:space="preserve">▲6.采用预混液技术：反应液、酶混合液组分各1种，减少体系配置时间。 </w:t>
            </w:r>
          </w:p>
          <w:p>
            <w:pPr>
              <w:spacing w:line="360" w:lineRule="auto"/>
            </w:pPr>
            <w:r>
              <w:rPr>
                <w:rFonts w:hint="eastAsia"/>
              </w:rPr>
              <w:t>7.通用性：流感、新冠等呼吸道病毒同系列产品可自由组合检测且共用一套扩增反应条件及配液体系。</w:t>
            </w:r>
          </w:p>
          <w:p>
            <w:pPr>
              <w:spacing w:line="360" w:lineRule="auto"/>
            </w:pPr>
            <w:r>
              <w:rPr>
                <w:rFonts w:hint="eastAsia"/>
              </w:rPr>
              <w:t>▲8.反应体系：20μL（反应液14μL+酶混合液1μL+样本液5μL）。</w:t>
            </w:r>
          </w:p>
          <w:p>
            <w:pPr>
              <w:spacing w:line="360" w:lineRule="auto"/>
            </w:pPr>
            <w:r>
              <w:rPr>
                <w:rFonts w:hint="eastAsia"/>
              </w:rPr>
              <w:t>▲9.荧光PCR反应程序：</w:t>
            </w:r>
          </w:p>
          <w:p>
            <w:pPr>
              <w:spacing w:line="360" w:lineRule="auto"/>
            </w:pPr>
            <w:r>
              <w:rPr>
                <w:rFonts w:hint="eastAsia"/>
              </w:rPr>
              <w:t>a）逆转录55℃，5min；</w:t>
            </w:r>
          </w:p>
          <w:p>
            <w:pPr>
              <w:spacing w:line="360" w:lineRule="auto"/>
            </w:pPr>
            <w:r>
              <w:rPr>
                <w:rFonts w:hint="eastAsia"/>
              </w:rPr>
              <w:t>b）预变性95℃，30sec；</w:t>
            </w:r>
          </w:p>
          <w:p>
            <w:pPr>
              <w:spacing w:line="360" w:lineRule="auto"/>
            </w:pPr>
            <w:r>
              <w:rPr>
                <w:rFonts w:hint="eastAsia"/>
              </w:rPr>
              <w:t>c）退火/延伸/检测荧光95℃，3sec及60℃，10 sec，共循环45次。</w:t>
            </w:r>
          </w:p>
          <w:p>
            <w:pPr>
              <w:spacing w:line="360" w:lineRule="auto"/>
            </w:pPr>
            <w:r>
              <w:rPr>
                <w:rFonts w:hint="eastAsia"/>
              </w:rPr>
              <w:t>10.质量控制：含有阴性对照及阳性对照，便于结果判定。</w:t>
            </w:r>
          </w:p>
          <w:p>
            <w:pPr>
              <w:spacing w:line="360" w:lineRule="auto"/>
            </w:pPr>
            <w:r>
              <w:rPr>
                <w:rFonts w:hint="eastAsia"/>
              </w:rPr>
              <w:t>▲11.试剂规格：每盒的检测量至少为48T，并可同时提供24T包装。</w:t>
            </w:r>
          </w:p>
          <w:p>
            <w:pPr>
              <w:spacing w:line="360" w:lineRule="auto"/>
            </w:pPr>
            <w:r>
              <w:rPr>
                <w:rFonts w:hint="eastAsia"/>
              </w:rPr>
              <w:t>▲12.有效期：不少于12个月，到货后质保期不少于10个月。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line="360" w:lineRule="auto"/>
              <w:jc w:val="both"/>
              <w:rPr>
                <w:rFonts w:hint="eastAsia" w:eastAsia="宋体"/>
                <w:lang w:eastAsia="zh-CN"/>
              </w:rPr>
            </w:pPr>
            <w:r>
              <w:rPr>
                <w:rFonts w:hint="eastAsia"/>
                <w:lang w:val="en-US" w:eastAsia="zh-CN"/>
              </w:rPr>
              <w:t>8</w:t>
            </w:r>
          </w:p>
        </w:tc>
        <w:tc>
          <w:tcPr>
            <w:tcW w:w="1980" w:type="dxa"/>
            <w:vAlign w:val="center"/>
          </w:tcPr>
          <w:p>
            <w:pPr>
              <w:spacing w:line="360" w:lineRule="auto"/>
              <w:jc w:val="both"/>
              <w:rPr>
                <w:b/>
              </w:rPr>
            </w:pPr>
            <w:r>
              <w:rPr>
                <w:rFonts w:hint="eastAsia"/>
              </w:rPr>
              <w:t>人感染H7N9禽流感病毒核酸检测试剂盒</w:t>
            </w:r>
          </w:p>
        </w:tc>
        <w:tc>
          <w:tcPr>
            <w:tcW w:w="6737" w:type="dxa"/>
          </w:tcPr>
          <w:p>
            <w:pPr>
              <w:spacing w:line="360" w:lineRule="auto"/>
            </w:pPr>
            <w:r>
              <w:rPr>
                <w:rFonts w:hint="eastAsia"/>
              </w:rPr>
              <w:t>1.适用仪器：经过多通道校正的全自动荧光PCR检测仪，需含有FAM、VIC（HEX）、ROX和CY5检测通道，如ABI7500、7500FAST、Light Cycler 480、Bio-Rad CFX96、上海宏石SLAN-96P等。</w:t>
            </w:r>
          </w:p>
          <w:p>
            <w:pPr>
              <w:spacing w:line="360" w:lineRule="auto"/>
            </w:pPr>
            <w:r>
              <w:rPr>
                <w:rFonts w:hint="eastAsia"/>
              </w:rPr>
              <w:t>▲2.适用范围：适用于定性检测人感染H7N9禽流感病毒核酸。</w:t>
            </w:r>
          </w:p>
          <w:p>
            <w:pPr>
              <w:spacing w:line="360" w:lineRule="auto"/>
            </w:pPr>
            <w:r>
              <w:rPr>
                <w:rFonts w:hint="eastAsia"/>
              </w:rPr>
              <w:t>3.检测技术：多重实时荧光PCR技术。</w:t>
            </w:r>
          </w:p>
          <w:p>
            <w:pPr>
              <w:spacing w:line="360" w:lineRule="auto"/>
            </w:pPr>
            <w:r>
              <w:rPr>
                <w:rFonts w:hint="eastAsia"/>
              </w:rPr>
              <w:t>▲4.检测性能：灵敏度最高达500copies/mL，与其他病原菌无交叉反应。</w:t>
            </w:r>
          </w:p>
          <w:p>
            <w:pPr>
              <w:spacing w:line="360" w:lineRule="auto"/>
            </w:pPr>
            <w:r>
              <w:rPr>
                <w:rFonts w:hint="eastAsia"/>
              </w:rPr>
              <w:t>▲5.检测时间：一次性完成多种病原体基因型的定性检测，反应时长≤45min。</w:t>
            </w:r>
          </w:p>
          <w:p>
            <w:pPr>
              <w:spacing w:line="360" w:lineRule="auto"/>
            </w:pPr>
            <w:r>
              <w:rPr>
                <w:rFonts w:hint="eastAsia"/>
              </w:rPr>
              <w:t xml:space="preserve">▲6.采用预混液技术：反应液、酶混合液组分各1种，减少体系配置时间。 </w:t>
            </w:r>
          </w:p>
          <w:p>
            <w:pPr>
              <w:spacing w:line="360" w:lineRule="auto"/>
            </w:pPr>
            <w:r>
              <w:rPr>
                <w:rFonts w:hint="eastAsia"/>
              </w:rPr>
              <w:t>7.通用性：流感、新冠等呼吸道病毒同系列产品可自由组合检测且共用一套扩增反应条件及配液体系。</w:t>
            </w:r>
          </w:p>
          <w:p>
            <w:pPr>
              <w:spacing w:line="360" w:lineRule="auto"/>
            </w:pPr>
            <w:r>
              <w:rPr>
                <w:rFonts w:hint="eastAsia"/>
              </w:rPr>
              <w:t>▲8.反应体系：20μL（反应液14μL+酶混合液1μL+样本液5μL）。</w:t>
            </w:r>
          </w:p>
          <w:p>
            <w:pPr>
              <w:spacing w:line="360" w:lineRule="auto"/>
            </w:pPr>
            <w:r>
              <w:rPr>
                <w:rFonts w:hint="eastAsia"/>
              </w:rPr>
              <w:t>▲9.荧光PCR反应程序：</w:t>
            </w:r>
          </w:p>
          <w:p>
            <w:pPr>
              <w:spacing w:line="360" w:lineRule="auto"/>
            </w:pPr>
            <w:r>
              <w:rPr>
                <w:rFonts w:hint="eastAsia"/>
              </w:rPr>
              <w:t>a）逆转录55℃，5min；</w:t>
            </w:r>
          </w:p>
          <w:p>
            <w:pPr>
              <w:spacing w:line="360" w:lineRule="auto"/>
            </w:pPr>
            <w:r>
              <w:rPr>
                <w:rFonts w:hint="eastAsia"/>
              </w:rPr>
              <w:t>b）预变性95℃，30sec；</w:t>
            </w:r>
          </w:p>
          <w:p>
            <w:pPr>
              <w:spacing w:line="360" w:lineRule="auto"/>
            </w:pPr>
            <w:r>
              <w:rPr>
                <w:rFonts w:hint="eastAsia"/>
              </w:rPr>
              <w:t>c）退火/延伸/检测荧光95℃，3sec及60℃，10 sec，共循环45次。</w:t>
            </w:r>
          </w:p>
          <w:p>
            <w:pPr>
              <w:spacing w:line="360" w:lineRule="auto"/>
            </w:pPr>
            <w:r>
              <w:rPr>
                <w:rFonts w:hint="eastAsia"/>
              </w:rPr>
              <w:t>10.质量控制：含有阴性对照及阳性对照，便于结果判定。</w:t>
            </w:r>
          </w:p>
          <w:p>
            <w:pPr>
              <w:spacing w:line="360" w:lineRule="auto"/>
            </w:pPr>
            <w:r>
              <w:rPr>
                <w:rFonts w:hint="eastAsia"/>
              </w:rPr>
              <w:t>▲11.试剂规格：每盒的检测量至少为48T，并可同时提供24T包装。</w:t>
            </w:r>
          </w:p>
          <w:p>
            <w:pPr>
              <w:spacing w:line="360" w:lineRule="auto"/>
            </w:pPr>
            <w:r>
              <w:rPr>
                <w:rFonts w:hint="eastAsia"/>
              </w:rPr>
              <w:t>▲12.有效期：不少于12个月，到货后质保期不少于10个月。</w:t>
            </w:r>
          </w:p>
        </w:tc>
      </w:tr>
    </w:tbl>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tbl>
      <w:tblPr>
        <w:tblStyle w:val="50"/>
        <w:tblW w:w="9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160"/>
        <w:gridCol w:w="7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pPr>
            <w:r>
              <w:rPr>
                <w:rFonts w:hint="eastAsia"/>
              </w:rPr>
              <w:t>序号</w:t>
            </w:r>
          </w:p>
        </w:tc>
        <w:tc>
          <w:tcPr>
            <w:tcW w:w="116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pPr>
            <w:r>
              <w:rPr>
                <w:rFonts w:hint="eastAsia"/>
              </w:rPr>
              <w:t>目录</w:t>
            </w:r>
          </w:p>
        </w:tc>
        <w:tc>
          <w:tcPr>
            <w:tcW w:w="77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pPr>
            <w:r>
              <w:rPr>
                <w:rFonts w:hint="eastAsia"/>
              </w:rPr>
              <w:t>招标商务需求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pPr>
            <w:r>
              <w:rPr>
                <w:rFonts w:hint="eastAsia"/>
              </w:rPr>
              <w:t>1</w:t>
            </w:r>
          </w:p>
        </w:tc>
        <w:tc>
          <w:tcPr>
            <w:tcW w:w="116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pPr>
            <w:r>
              <w:rPr>
                <w:rFonts w:hint="eastAsia"/>
                <w:b/>
                <w:bCs/>
                <w:highlight w:val="yellow"/>
              </w:rPr>
              <w:t>★合同履行期限</w:t>
            </w: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rPr>
                <w:rFonts w:hint="eastAsia"/>
              </w:rPr>
            </w:pPr>
            <w:r>
              <w:rPr>
                <w:rFonts w:hint="eastAsia"/>
                <w:highlight w:val="yellow"/>
              </w:rPr>
              <w:t>★1.1</w:t>
            </w:r>
            <w:r>
              <w:rPr>
                <w:rFonts w:hint="eastAsia"/>
                <w:b/>
                <w:bCs/>
                <w:highlight w:val="yellow"/>
              </w:rPr>
              <w:t>按科室实际需求供货，供货最后期限不能超过2024年11月30日。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7" w:type="dxa"/>
            <w:vMerge w:val="restart"/>
            <w:tcBorders>
              <w:top w:val="single" w:color="auto" w:sz="4" w:space="0"/>
              <w:left w:val="single" w:color="auto" w:sz="4" w:space="0"/>
              <w:right w:val="single" w:color="auto" w:sz="4" w:space="0"/>
            </w:tcBorders>
            <w:noWrap/>
            <w:vAlign w:val="center"/>
          </w:tcPr>
          <w:p>
            <w:pPr>
              <w:spacing w:line="360" w:lineRule="auto"/>
              <w:jc w:val="both"/>
            </w:pPr>
            <w:r>
              <w:rPr>
                <w:rFonts w:hint="eastAsia"/>
              </w:rPr>
              <w:t>2</w:t>
            </w:r>
          </w:p>
        </w:tc>
        <w:tc>
          <w:tcPr>
            <w:tcW w:w="1160" w:type="dxa"/>
            <w:vMerge w:val="restart"/>
            <w:tcBorders>
              <w:top w:val="single" w:color="auto" w:sz="4" w:space="0"/>
              <w:left w:val="single" w:color="auto" w:sz="4" w:space="0"/>
              <w:right w:val="single" w:color="auto" w:sz="4" w:space="0"/>
            </w:tcBorders>
            <w:noWrap/>
            <w:vAlign w:val="center"/>
          </w:tcPr>
          <w:p>
            <w:pPr>
              <w:spacing w:line="360" w:lineRule="auto"/>
              <w:jc w:val="both"/>
            </w:pPr>
            <w:r>
              <w:rPr>
                <w:rFonts w:hint="eastAsia"/>
              </w:rPr>
              <w:t>交货要求</w:t>
            </w: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pPr>
            <w:r>
              <w:rPr>
                <w:rFonts w:hint="eastAsia"/>
              </w:rPr>
              <w:t>2.1中标人接到采购人供货通知后，一般情况下收到订单3天（日历天）内送货，但不超过7个工作日，如紧急供货，必须在24小时内组织备货和配送，否则采购人有权取消供货协议或合同。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57" w:type="dxa"/>
            <w:vMerge w:val="continue"/>
            <w:tcBorders>
              <w:left w:val="single" w:color="auto" w:sz="4" w:space="0"/>
              <w:right w:val="single" w:color="auto" w:sz="4" w:space="0"/>
            </w:tcBorders>
            <w:noWrap/>
            <w:vAlign w:val="center"/>
          </w:tcPr>
          <w:p>
            <w:pPr>
              <w:spacing w:line="360" w:lineRule="auto"/>
            </w:pPr>
          </w:p>
        </w:tc>
        <w:tc>
          <w:tcPr>
            <w:tcW w:w="1160" w:type="dxa"/>
            <w:vMerge w:val="continue"/>
            <w:tcBorders>
              <w:left w:val="single" w:color="auto" w:sz="4" w:space="0"/>
              <w:right w:val="single" w:color="auto" w:sz="4" w:space="0"/>
            </w:tcBorders>
            <w:noWrap/>
            <w:vAlign w:val="center"/>
          </w:tcPr>
          <w:p>
            <w:pPr>
              <w:spacing w:line="360" w:lineRule="auto"/>
            </w:pP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pPr>
            <w:r>
              <w:rPr>
                <w:rFonts w:hint="eastAsia"/>
                <w:b/>
                <w:bCs/>
                <w:highlight w:val="yellow"/>
              </w:rPr>
              <w:t>★2.2中标供应商必须保证送货上门，送至指定地点，当面验收，采购方不接受快递方式送货。如有违反，采购人有权取消供货协议或合同。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57" w:type="dxa"/>
            <w:vMerge w:val="continue"/>
            <w:tcBorders>
              <w:left w:val="single" w:color="auto" w:sz="4" w:space="0"/>
              <w:bottom w:val="single" w:color="auto" w:sz="4" w:space="0"/>
              <w:right w:val="single" w:color="auto" w:sz="4" w:space="0"/>
            </w:tcBorders>
            <w:noWrap/>
            <w:vAlign w:val="center"/>
          </w:tcPr>
          <w:p>
            <w:pPr>
              <w:spacing w:line="360" w:lineRule="auto"/>
            </w:pPr>
          </w:p>
        </w:tc>
        <w:tc>
          <w:tcPr>
            <w:tcW w:w="1160" w:type="dxa"/>
            <w:vMerge w:val="continue"/>
            <w:tcBorders>
              <w:left w:val="single" w:color="auto" w:sz="4" w:space="0"/>
              <w:bottom w:val="single" w:color="auto" w:sz="4" w:space="0"/>
              <w:right w:val="single" w:color="auto" w:sz="4" w:space="0"/>
            </w:tcBorders>
            <w:noWrap/>
            <w:vAlign w:val="center"/>
          </w:tcPr>
          <w:p>
            <w:pPr>
              <w:spacing w:line="360" w:lineRule="auto"/>
            </w:pP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pPr>
            <w:r>
              <w:rPr>
                <w:rFonts w:hint="eastAsia"/>
              </w:rPr>
              <w:t>2.3中标人须负责直接配送，且中标人在招标采购周期内不允许改变配送关系；如采购人指定了统一的配送商，在不违反法律法规和原则的情况下中标人必须配合。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85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pPr>
            <w:r>
              <w:rPr>
                <w:rFonts w:hint="eastAsia"/>
              </w:rPr>
              <w:t>3</w:t>
            </w:r>
          </w:p>
        </w:tc>
        <w:tc>
          <w:tcPr>
            <w:tcW w:w="116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pPr>
            <w:r>
              <w:rPr>
                <w:rFonts w:hint="eastAsia"/>
              </w:rPr>
              <w:t>验收要求</w:t>
            </w: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rPr>
                <w:lang w:val="zh-CN"/>
              </w:rPr>
            </w:pPr>
            <w:r>
              <w:rPr>
                <w:rFonts w:hint="eastAsia"/>
              </w:rPr>
              <w:t>3.1</w:t>
            </w:r>
            <w:r>
              <w:rPr>
                <w:rFonts w:hint="eastAsia"/>
                <w:lang w:val="zh-CN"/>
              </w:rPr>
              <w:t>耗材或试剂外观清洁，产品包装上（包括大包装、小包装等）需附有以下所列各项国家规定的中文标识：</w:t>
            </w:r>
          </w:p>
          <w:p>
            <w:pPr>
              <w:spacing w:line="360" w:lineRule="auto"/>
              <w:rPr>
                <w:lang w:val="zh-CN"/>
              </w:rPr>
            </w:pPr>
            <w:r>
              <w:rPr>
                <w:rFonts w:hint="eastAsia"/>
                <w:lang w:val="zh-CN"/>
              </w:rPr>
              <w:t>（1）耗材或试剂名称、型号、规格；</w:t>
            </w:r>
          </w:p>
          <w:p>
            <w:pPr>
              <w:spacing w:line="360" w:lineRule="auto"/>
              <w:rPr>
                <w:lang w:val="zh-CN"/>
              </w:rPr>
            </w:pPr>
            <w:r>
              <w:rPr>
                <w:rFonts w:hint="eastAsia"/>
                <w:lang w:val="zh-CN"/>
              </w:rPr>
              <w:t>（2）生产企业名称、注册地址、生产地址、联系方式；</w:t>
            </w:r>
          </w:p>
          <w:p>
            <w:pPr>
              <w:spacing w:line="360" w:lineRule="auto"/>
              <w:rPr>
                <w:lang w:val="zh-CN"/>
              </w:rPr>
            </w:pPr>
            <w:r>
              <w:rPr>
                <w:rFonts w:hint="eastAsia"/>
                <w:lang w:val="zh-CN"/>
              </w:rPr>
              <w:t>（3）耗材或试剂生产许可证号；</w:t>
            </w:r>
          </w:p>
          <w:p>
            <w:pPr>
              <w:spacing w:line="360" w:lineRule="auto"/>
              <w:rPr>
                <w:lang w:val="zh-CN"/>
              </w:rPr>
            </w:pPr>
            <w:r>
              <w:rPr>
                <w:rFonts w:hint="eastAsia"/>
                <w:lang w:val="zh-CN"/>
              </w:rPr>
              <w:t>（4）耗材或试剂标准编号；</w:t>
            </w:r>
          </w:p>
          <w:p>
            <w:pPr>
              <w:spacing w:line="360" w:lineRule="auto"/>
              <w:rPr>
                <w:lang w:val="zh-CN"/>
              </w:rPr>
            </w:pPr>
            <w:r>
              <w:rPr>
                <w:rFonts w:hint="eastAsia"/>
                <w:lang w:val="zh-CN"/>
              </w:rPr>
              <w:t>（5）耗材或试剂生产日期或批（编）号、有效期限。</w:t>
            </w:r>
          </w:p>
          <w:p>
            <w:pPr>
              <w:spacing w:line="360" w:lineRule="auto"/>
              <w:rPr>
                <w:lang w:val="zh-CN"/>
              </w:rPr>
            </w:pPr>
            <w:r>
              <w:rPr>
                <w:rFonts w:hint="eastAsia"/>
              </w:rPr>
              <w:t>3.2</w:t>
            </w:r>
            <w:r>
              <w:rPr>
                <w:rFonts w:hint="eastAsia"/>
                <w:lang w:val="zh-CN"/>
              </w:rPr>
              <w:t>所有耗材或试剂在开封检验时必须完好，无破损，配置与说明书相符。如有破损，应无条件退换。</w:t>
            </w:r>
          </w:p>
          <w:p>
            <w:pPr>
              <w:spacing w:line="360" w:lineRule="auto"/>
            </w:pPr>
            <w:r>
              <w:rPr>
                <w:rFonts w:hint="eastAsia"/>
              </w:rPr>
              <w:t>3.3</w:t>
            </w:r>
            <w:r>
              <w:rPr>
                <w:rFonts w:hint="eastAsia"/>
                <w:lang w:val="zh-CN"/>
              </w:rPr>
              <w:t>耗材或试剂符合</w:t>
            </w:r>
            <w:r>
              <w:rPr>
                <w:rFonts w:hint="eastAsia" w:cs="宋体" w:asciiTheme="minorEastAsia" w:hAnsiTheme="minorEastAsia" w:eastAsiaTheme="minorEastAsia"/>
                <w:szCs w:val="21"/>
                <w:lang w:val="en-US" w:eastAsia="zh-CN"/>
              </w:rPr>
              <w:t>招标</w:t>
            </w:r>
            <w:r>
              <w:rPr>
                <w:rFonts w:hint="eastAsia"/>
                <w:lang w:val="zh-CN"/>
              </w:rPr>
              <w:t>文件技术规格参数的要求，具备产品合格证，性能满足要求。否则无条件退换。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7" w:type="dxa"/>
            <w:tcBorders>
              <w:top w:val="single" w:color="auto" w:sz="4" w:space="0"/>
              <w:left w:val="single" w:color="auto" w:sz="4" w:space="0"/>
              <w:right w:val="single" w:color="auto" w:sz="4" w:space="0"/>
            </w:tcBorders>
            <w:noWrap/>
            <w:vAlign w:val="center"/>
          </w:tcPr>
          <w:p>
            <w:pPr>
              <w:spacing w:line="360" w:lineRule="auto"/>
              <w:jc w:val="both"/>
            </w:pPr>
            <w:r>
              <w:rPr>
                <w:rFonts w:hint="eastAsia"/>
              </w:rPr>
              <w:t>4</w:t>
            </w:r>
          </w:p>
        </w:tc>
        <w:tc>
          <w:tcPr>
            <w:tcW w:w="1160" w:type="dxa"/>
            <w:tcBorders>
              <w:top w:val="single" w:color="auto" w:sz="4" w:space="0"/>
              <w:left w:val="single" w:color="auto" w:sz="4" w:space="0"/>
              <w:right w:val="single" w:color="auto" w:sz="4" w:space="0"/>
            </w:tcBorders>
            <w:noWrap/>
            <w:vAlign w:val="center"/>
          </w:tcPr>
          <w:p>
            <w:pPr>
              <w:spacing w:line="360" w:lineRule="auto"/>
              <w:jc w:val="both"/>
            </w:pPr>
            <w:r>
              <w:rPr>
                <w:rFonts w:hint="eastAsia"/>
              </w:rPr>
              <w:t>付款方式</w:t>
            </w: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rPr>
                <w:lang w:val="zh-CN"/>
              </w:rPr>
            </w:pPr>
            <w:r>
              <w:rPr>
                <w:rFonts w:hint="eastAsia"/>
                <w:lang w:val="zh-CN"/>
              </w:rPr>
              <w:t>4.1采购人根据实际消耗推送结算单，中标人根据结算单的数量和价格开具等额、合法、有效销售发票，采购人在收到中标人开具的等额、合法、有效销售发票后根据财务报账流程付清货款。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7" w:type="dxa"/>
            <w:vMerge w:val="restart"/>
            <w:tcBorders>
              <w:top w:val="single" w:color="auto" w:sz="4" w:space="0"/>
              <w:left w:val="single" w:color="auto" w:sz="4" w:space="0"/>
              <w:right w:val="single" w:color="auto" w:sz="4" w:space="0"/>
            </w:tcBorders>
            <w:noWrap/>
            <w:vAlign w:val="center"/>
          </w:tcPr>
          <w:p>
            <w:pPr>
              <w:spacing w:line="360" w:lineRule="auto"/>
              <w:jc w:val="both"/>
            </w:pPr>
            <w:r>
              <w:rPr>
                <w:rFonts w:hint="eastAsia"/>
              </w:rPr>
              <w:t>5</w:t>
            </w:r>
          </w:p>
        </w:tc>
        <w:tc>
          <w:tcPr>
            <w:tcW w:w="1160" w:type="dxa"/>
            <w:vMerge w:val="restart"/>
            <w:tcBorders>
              <w:top w:val="single" w:color="auto" w:sz="4" w:space="0"/>
              <w:left w:val="single" w:color="auto" w:sz="4" w:space="0"/>
              <w:right w:val="single" w:color="auto" w:sz="4" w:space="0"/>
            </w:tcBorders>
            <w:noWrap/>
            <w:vAlign w:val="center"/>
          </w:tcPr>
          <w:p>
            <w:pPr>
              <w:spacing w:line="360" w:lineRule="auto"/>
              <w:jc w:val="both"/>
            </w:pPr>
            <w:r>
              <w:rPr>
                <w:rFonts w:hint="eastAsia"/>
              </w:rPr>
              <w:t>质量保证</w:t>
            </w: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pPr>
            <w:r>
              <w:rPr>
                <w:rFonts w:hint="eastAsia"/>
              </w:rPr>
              <w:t>5.1 承诺所供产品符合ISO9001:2015相关规定，如质量管理体系认证等生产企业和产品质量要求；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7" w:type="dxa"/>
            <w:vMerge w:val="continue"/>
            <w:tcBorders>
              <w:left w:val="single" w:color="auto" w:sz="4" w:space="0"/>
              <w:right w:val="single" w:color="auto" w:sz="4" w:space="0"/>
            </w:tcBorders>
            <w:noWrap/>
            <w:vAlign w:val="center"/>
          </w:tcPr>
          <w:p>
            <w:pPr>
              <w:spacing w:line="360" w:lineRule="auto"/>
              <w:jc w:val="both"/>
            </w:pPr>
          </w:p>
        </w:tc>
        <w:tc>
          <w:tcPr>
            <w:tcW w:w="1160" w:type="dxa"/>
            <w:vMerge w:val="continue"/>
            <w:tcBorders>
              <w:left w:val="single" w:color="auto" w:sz="4" w:space="0"/>
              <w:right w:val="single" w:color="auto" w:sz="4" w:space="0"/>
            </w:tcBorders>
            <w:noWrap/>
            <w:vAlign w:val="center"/>
          </w:tcPr>
          <w:p>
            <w:pPr>
              <w:spacing w:line="360" w:lineRule="auto"/>
              <w:jc w:val="both"/>
            </w:pP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pPr>
            <w:r>
              <w:rPr>
                <w:rFonts w:hint="eastAsia"/>
              </w:rPr>
              <w:t>5.2货源渠道正规，由厂家或正规代理商渠道来源；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7" w:type="dxa"/>
            <w:vMerge w:val="continue"/>
            <w:tcBorders>
              <w:left w:val="single" w:color="auto" w:sz="4" w:space="0"/>
              <w:right w:val="single" w:color="auto" w:sz="4" w:space="0"/>
            </w:tcBorders>
            <w:noWrap/>
            <w:vAlign w:val="center"/>
          </w:tcPr>
          <w:p>
            <w:pPr>
              <w:spacing w:line="360" w:lineRule="auto"/>
              <w:jc w:val="both"/>
            </w:pPr>
          </w:p>
        </w:tc>
        <w:tc>
          <w:tcPr>
            <w:tcW w:w="1160" w:type="dxa"/>
            <w:vMerge w:val="continue"/>
            <w:tcBorders>
              <w:left w:val="single" w:color="auto" w:sz="4" w:space="0"/>
              <w:right w:val="single" w:color="auto" w:sz="4" w:space="0"/>
            </w:tcBorders>
            <w:noWrap/>
            <w:vAlign w:val="center"/>
          </w:tcPr>
          <w:p>
            <w:pPr>
              <w:spacing w:line="360" w:lineRule="auto"/>
              <w:jc w:val="both"/>
            </w:pP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pPr>
            <w:r>
              <w:rPr>
                <w:rFonts w:hint="eastAsia"/>
              </w:rPr>
              <w:t>5.3 包装产品为原装、未开封破损、进口产品具有清晰中文标识。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857" w:type="dxa"/>
            <w:tcBorders>
              <w:top w:val="single" w:color="auto" w:sz="4" w:space="0"/>
              <w:left w:val="single" w:color="auto" w:sz="4" w:space="0"/>
              <w:right w:val="single" w:color="auto" w:sz="4" w:space="0"/>
            </w:tcBorders>
            <w:noWrap/>
            <w:vAlign w:val="center"/>
          </w:tcPr>
          <w:p>
            <w:pPr>
              <w:spacing w:line="360" w:lineRule="auto"/>
              <w:jc w:val="both"/>
            </w:pPr>
            <w:r>
              <w:rPr>
                <w:rFonts w:hint="eastAsia"/>
              </w:rPr>
              <w:t>6</w:t>
            </w:r>
          </w:p>
        </w:tc>
        <w:tc>
          <w:tcPr>
            <w:tcW w:w="1160" w:type="dxa"/>
            <w:tcBorders>
              <w:top w:val="single" w:color="auto" w:sz="4" w:space="0"/>
              <w:left w:val="single" w:color="auto" w:sz="4" w:space="0"/>
              <w:right w:val="single" w:color="auto" w:sz="4" w:space="0"/>
            </w:tcBorders>
            <w:noWrap/>
            <w:vAlign w:val="center"/>
          </w:tcPr>
          <w:p>
            <w:pPr>
              <w:spacing w:line="360" w:lineRule="auto"/>
              <w:jc w:val="both"/>
            </w:pPr>
            <w:r>
              <w:rPr>
                <w:rFonts w:hint="eastAsia"/>
              </w:rPr>
              <w:t>报价要求</w:t>
            </w: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rPr>
                <w:lang w:val="zh-CN"/>
              </w:rPr>
            </w:pPr>
            <w:r>
              <w:rPr>
                <w:rFonts w:hint="eastAsia"/>
              </w:rPr>
              <w:t>6.1</w:t>
            </w:r>
            <w:r>
              <w:rPr>
                <w:rFonts w:hint="eastAsia"/>
                <w:lang w:val="zh-CN"/>
              </w:rPr>
              <w:t>投标人负责将耗材或试剂安全无损运抵采购人指定地点，并承担包装、运输、保险、装卸等</w:t>
            </w:r>
            <w:r>
              <w:rPr>
                <w:rFonts w:hint="eastAsia"/>
              </w:rPr>
              <w:t>一切</w:t>
            </w:r>
            <w:r>
              <w:rPr>
                <w:rFonts w:hint="eastAsia"/>
                <w:lang w:val="zh-CN"/>
              </w:rPr>
              <w:t>费用。</w:t>
            </w:r>
          </w:p>
          <w:p>
            <w:pPr>
              <w:spacing w:line="360" w:lineRule="auto"/>
            </w:pPr>
            <w:r>
              <w:rPr>
                <w:rFonts w:hint="eastAsia"/>
                <w:b/>
                <w:bCs/>
                <w:highlight w:val="yellow"/>
              </w:rPr>
              <w:t>★6.2本项目以所投耗材的报价总和作为投标报价，且不得超过各项耗材的预算金额，未按要求报价的将导致投标无效。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857" w:type="dxa"/>
            <w:vMerge w:val="restart"/>
            <w:tcBorders>
              <w:top w:val="single" w:color="auto" w:sz="4" w:space="0"/>
              <w:left w:val="single" w:color="auto" w:sz="4" w:space="0"/>
              <w:right w:val="single" w:color="auto" w:sz="4" w:space="0"/>
            </w:tcBorders>
            <w:noWrap/>
            <w:vAlign w:val="center"/>
          </w:tcPr>
          <w:p>
            <w:pPr>
              <w:spacing w:line="360" w:lineRule="auto"/>
              <w:jc w:val="both"/>
            </w:pPr>
            <w:r>
              <w:rPr>
                <w:rFonts w:hint="eastAsia"/>
              </w:rPr>
              <w:t>7</w:t>
            </w:r>
          </w:p>
        </w:tc>
        <w:tc>
          <w:tcPr>
            <w:tcW w:w="1160" w:type="dxa"/>
            <w:vMerge w:val="restart"/>
            <w:tcBorders>
              <w:top w:val="single" w:color="auto" w:sz="4" w:space="0"/>
              <w:left w:val="single" w:color="auto" w:sz="4" w:space="0"/>
              <w:right w:val="single" w:color="auto" w:sz="4" w:space="0"/>
            </w:tcBorders>
            <w:noWrap/>
            <w:vAlign w:val="center"/>
          </w:tcPr>
          <w:p>
            <w:pPr>
              <w:spacing w:line="360" w:lineRule="auto"/>
              <w:jc w:val="both"/>
            </w:pPr>
            <w:r>
              <w:rPr>
                <w:rFonts w:hint="eastAsia"/>
              </w:rPr>
              <w:t>其他要求</w:t>
            </w: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pPr>
            <w:r>
              <w:rPr>
                <w:rFonts w:hint="eastAsia"/>
              </w:rPr>
              <w:t>7.1对于到货有效期不满足要求的产品（有效期要求见技术指标），中标人保证无条件更换满足要求的新批号。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857" w:type="dxa"/>
            <w:vMerge w:val="continue"/>
            <w:tcBorders>
              <w:left w:val="single" w:color="auto" w:sz="4" w:space="0"/>
              <w:right w:val="single" w:color="auto" w:sz="4" w:space="0"/>
            </w:tcBorders>
            <w:noWrap/>
            <w:vAlign w:val="center"/>
          </w:tcPr>
          <w:p>
            <w:pPr>
              <w:spacing w:line="360" w:lineRule="auto"/>
              <w:jc w:val="both"/>
            </w:pPr>
          </w:p>
        </w:tc>
        <w:tc>
          <w:tcPr>
            <w:tcW w:w="1160" w:type="dxa"/>
            <w:vMerge w:val="continue"/>
            <w:tcBorders>
              <w:left w:val="single" w:color="auto" w:sz="4" w:space="0"/>
              <w:right w:val="single" w:color="auto" w:sz="4" w:space="0"/>
            </w:tcBorders>
            <w:noWrap/>
            <w:vAlign w:val="center"/>
          </w:tcPr>
          <w:p>
            <w:pPr>
              <w:spacing w:line="360" w:lineRule="auto"/>
              <w:jc w:val="both"/>
            </w:pP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pPr>
            <w:r>
              <w:rPr>
                <w:rFonts w:hint="eastAsia"/>
              </w:rPr>
              <w:t>7.2对未开封使用的耗材无条件退货。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857" w:type="dxa"/>
            <w:vMerge w:val="continue"/>
            <w:tcBorders>
              <w:left w:val="single" w:color="auto" w:sz="4" w:space="0"/>
              <w:right w:val="single" w:color="auto" w:sz="4" w:space="0"/>
            </w:tcBorders>
            <w:noWrap/>
            <w:vAlign w:val="center"/>
          </w:tcPr>
          <w:p>
            <w:pPr>
              <w:spacing w:line="360" w:lineRule="auto"/>
              <w:jc w:val="both"/>
            </w:pPr>
          </w:p>
        </w:tc>
        <w:tc>
          <w:tcPr>
            <w:tcW w:w="1160" w:type="dxa"/>
            <w:vMerge w:val="continue"/>
            <w:tcBorders>
              <w:left w:val="single" w:color="auto" w:sz="4" w:space="0"/>
              <w:right w:val="single" w:color="auto" w:sz="4" w:space="0"/>
            </w:tcBorders>
            <w:noWrap/>
            <w:vAlign w:val="center"/>
          </w:tcPr>
          <w:p>
            <w:pPr>
              <w:spacing w:line="360" w:lineRule="auto"/>
              <w:jc w:val="both"/>
            </w:pP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pPr>
            <w:r>
              <w:rPr>
                <w:rFonts w:hint="eastAsia"/>
                <w:b/>
                <w:bCs/>
                <w:highlight w:val="yellow"/>
              </w:rPr>
              <w:t>★7.3投标</w:t>
            </w:r>
            <w:r>
              <w:rPr>
                <w:rFonts w:hint="eastAsia"/>
                <w:b/>
                <w:bCs/>
                <w:highlight w:val="yellow"/>
                <w:lang w:val="en-US" w:eastAsia="zh-CN"/>
              </w:rPr>
              <w:t>人的</w:t>
            </w:r>
            <w:r>
              <w:rPr>
                <w:rFonts w:hint="eastAsia"/>
                <w:b/>
                <w:bCs/>
                <w:highlight w:val="yellow"/>
              </w:rPr>
              <w:t>试剂耗材价格不</w:t>
            </w:r>
            <w:r>
              <w:rPr>
                <w:rFonts w:hint="eastAsia"/>
                <w:b/>
                <w:bCs/>
                <w:highlight w:val="yellow"/>
                <w:lang w:val="en-US" w:eastAsia="zh-CN"/>
              </w:rPr>
              <w:t>得</w:t>
            </w:r>
            <w:r>
              <w:rPr>
                <w:rFonts w:hint="eastAsia"/>
                <w:b/>
                <w:bCs/>
                <w:highlight w:val="yellow"/>
              </w:rPr>
              <w:t>高于深圳医用耗材阳光交易和监管平台指导价或供应深圳市其他医疗卫生机构（公卫）同种产品的招标价格。（提供承诺函作为证明材料，格式自拟，未提供承诺函或承诺内容不满足要求的</w:t>
            </w:r>
            <w:r>
              <w:rPr>
                <w:rFonts w:hint="eastAsia"/>
                <w:b/>
                <w:bCs/>
                <w:highlight w:val="yellow"/>
                <w:lang w:val="en-US" w:eastAsia="zh-CN"/>
              </w:rPr>
              <w:t>将作投标无效处理</w:t>
            </w:r>
            <w:r>
              <w:rPr>
                <w:rFonts w:hint="eastAsia"/>
                <w:b/>
                <w:bCs/>
                <w:highlight w:val="yellow"/>
              </w:rPr>
              <w:t>）。</w:t>
            </w:r>
          </w:p>
        </w:tc>
      </w:tr>
    </w:tbl>
    <w:p/>
    <w:p/>
    <w:p>
      <w:pPr>
        <w:widowControl/>
        <w:jc w:val="left"/>
      </w:pPr>
    </w:p>
    <w:p>
      <w:pPr>
        <w:pStyle w:val="2"/>
      </w:pPr>
      <w:bookmarkStart w:id="2" w:name="_Toc135293322"/>
      <w:r>
        <w:rPr>
          <w:rFonts w:hint="eastAsia"/>
        </w:rPr>
        <w:t>第三章  投标文件初审</w:t>
      </w:r>
      <w:bookmarkEnd w:id="2"/>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请评委重点审查供应商是否存在《深圳经济特区政府采购条例实施细则》第七十五条规定的串通投标情形：</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（一）投标供应商之间相互约定给予未中标的供应商利益补偿；</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（二）不同投标供应商的法定代表人、主要经营负责人、项目投标授权代表人、项目负责人、主要技术人员为同一人、属同一单位或者在同一单位缴纳社会保险；</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（三）不同投标供应商的投标文件由同一单位或者同一人编制，或者由同一人分阶段参与编制的；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（四）不同投标供应商的投标文件或部分投标文件相互混装；</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（五）不同投标供应商的投标文件内容存在非正常一致；</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（六）由同一单位工作人员为两家以上（含两家）供应商进行同一项投标活动的；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（七）主管部门依照法律、法规认定的其他情形。</w:t>
      </w:r>
    </w:p>
    <w:p>
      <w:pPr>
        <w:adjustRightInd w:val="0"/>
        <w:spacing w:line="360" w:lineRule="auto"/>
        <w:rPr>
          <w:snapToGrid w:val="0"/>
          <w:kern w:val="0"/>
        </w:rPr>
      </w:pPr>
    </w:p>
    <w:p>
      <w:pPr>
        <w:adjustRightInd w:val="0"/>
        <w:spacing w:line="360" w:lineRule="auto"/>
        <w:ind w:firstLine="424" w:firstLineChars="202"/>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二、符合性审查</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6、投标报价有严重缺漏项的。</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9、将一个项目包拆分投标，同时提供两套或以上的投标方案</w:t>
      </w:r>
      <w:r>
        <w:rPr>
          <w:szCs w:val="21"/>
        </w:rPr>
        <w:t>（招标文件另有规定的除外）</w:t>
      </w:r>
      <w:r>
        <w:rPr>
          <w:rFonts w:hint="eastAsia" w:ascii="宋体" w:hAnsi="宋体"/>
          <w:snapToGrid w:val="0"/>
          <w:kern w:val="0"/>
        </w:rPr>
        <w:t>。</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13、法律法规规定的其它情形。</w:t>
      </w:r>
    </w:p>
    <w:p/>
    <w:p/>
    <w:p/>
    <w:p/>
    <w:p/>
    <w:p/>
    <w:p/>
    <w:p/>
    <w:p/>
    <w:p/>
    <w:p/>
    <w:p/>
    <w:p/>
    <w:p/>
    <w:p/>
    <w:p/>
    <w:p/>
    <w:p/>
    <w:p/>
    <w:p/>
    <w:p/>
    <w:p/>
    <w:p/>
    <w:p/>
    <w:p/>
    <w:p/>
    <w:p/>
    <w:p/>
    <w:p/>
    <w:p/>
    <w:p/>
    <w:p/>
    <w:p/>
    <w:p/>
    <w:p/>
    <w:p/>
    <w:p/>
    <w:p/>
    <w:p/>
    <w:p>
      <w:pPr>
        <w:pStyle w:val="2"/>
      </w:pPr>
      <w:bookmarkStart w:id="3" w:name="_Toc135293323"/>
      <w:r>
        <w:rPr>
          <w:rFonts w:hint="eastAsia"/>
        </w:rPr>
        <w:t>第四章  评标方法和标准</w:t>
      </w:r>
      <w:bookmarkEnd w:id="3"/>
    </w:p>
    <w:p>
      <w:pPr>
        <w:pStyle w:val="3"/>
        <w:spacing w:before="0" w:after="0"/>
      </w:pPr>
      <w:bookmarkStart w:id="4" w:name="_Toc135293324"/>
      <w:bookmarkStart w:id="5" w:name="_Toc44690702"/>
      <w:bookmarkStart w:id="6" w:name="_Toc44691161"/>
      <w:bookmarkStart w:id="7" w:name="_Toc44690429"/>
      <w:bookmarkStart w:id="8" w:name="_Toc44691393"/>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综合评分法，是指在最大限度地满足招标文件实质性要求的前提下，按照招标文件中规定的各项因素进行综合评审，评标总得分排名前列的投标人，作为推荐的候选中标供应商。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3、中标供应商及候选中标供应商数量：</w:t>
      </w:r>
      <w:r>
        <w:rPr>
          <w:rFonts w:hint="eastAsia" w:cs="仿宋" w:asciiTheme="minorEastAsia" w:hAnsiTheme="minorEastAsia" w:eastAsiaTheme="minorEastAsia"/>
          <w:kern w:val="2"/>
          <w:sz w:val="21"/>
          <w:szCs w:val="21"/>
        </w:rPr>
        <w:t>中标供应商数量：1名，候选中标供应商数量：1名。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5、推荐候选中标供应商：</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作为候选中标供应商。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6、确定中标供应商：</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非评定分离项目：采购人在评标报告确定的候选中标供应商名单中按顺序确定1名中标供应商。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3"/>
        <w:spacing w:before="0" w:after="0"/>
      </w:pPr>
      <w:bookmarkStart w:id="9" w:name="_Toc135293325"/>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评标委员会按照以下量化的评审因素，对各投标文件进行综合评审：</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auto"/>
              <w:jc w:val="center"/>
              <w:rPr>
                <w:rFonts w:ascii="宋体" w:hAnsi="宋体" w:cs="仿宋"/>
                <w:b/>
                <w:szCs w:val="21"/>
                <w:lang w:val="zh-CN"/>
              </w:rPr>
            </w:pPr>
            <w:bookmarkStart w:id="10" w:name="_Toc44690703"/>
            <w:bookmarkStart w:id="11" w:name="_Toc44691162"/>
            <w:bookmarkStart w:id="12" w:name="_Toc135293326"/>
            <w:bookmarkStart w:id="13" w:name="_Toc44691394"/>
            <w:bookmarkStart w:id="14" w:name="_Toc44690430"/>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auto"/>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auto"/>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auto"/>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widowControl/>
              <w:spacing w:line="360" w:lineRule="auto"/>
              <w:jc w:val="left"/>
              <w:rPr>
                <w:rFonts w:ascii="宋体" w:hAnsi="宋体" w:cs="仿宋"/>
                <w:szCs w:val="21"/>
              </w:rPr>
            </w:pPr>
            <w:r>
              <w:rPr>
                <w:rFonts w:hint="eastAsia" w:ascii="宋体" w:hAnsi="宋体" w:cs="仿宋"/>
                <w:szCs w:val="21"/>
              </w:rPr>
              <w:t>价格分采用低价优先法计算，即满足招标文件要求且投标价格最低的投标报价为评标基准价，其价格分为满分。其他投标人的价格分统一按照下列公式计算：</w:t>
            </w:r>
          </w:p>
          <w:p>
            <w:pPr>
              <w:widowControl/>
              <w:spacing w:line="360" w:lineRule="auto"/>
              <w:jc w:val="left"/>
              <w:rPr>
                <w:rFonts w:ascii="宋体" w:hAnsi="宋体" w:cs="仿宋"/>
                <w:szCs w:val="21"/>
              </w:rPr>
            </w:pPr>
            <w:r>
              <w:rPr>
                <w:rFonts w:hint="eastAsia" w:ascii="宋体" w:hAnsi="宋体" w:cs="仿宋"/>
                <w:szCs w:val="21"/>
              </w:rPr>
              <w:t>投标报价得分=(评标基准价／投标报价)×权重</w:t>
            </w:r>
          </w:p>
          <w:p>
            <w:pPr>
              <w:adjustRightInd w:val="0"/>
              <w:snapToGrid w:val="0"/>
              <w:spacing w:line="360" w:lineRule="auto"/>
              <w:rPr>
                <w:rFonts w:ascii="宋体" w:hAnsi="宋体"/>
                <w:snapToGrid w:val="0"/>
                <w:kern w:val="0"/>
                <w:szCs w:val="21"/>
              </w:rPr>
            </w:pPr>
            <w:r>
              <w:rPr>
                <w:rFonts w:hint="eastAsia" w:ascii="宋体" w:hAnsi="宋体"/>
                <w:snapToGrid w:val="0"/>
                <w:kern w:val="0"/>
                <w:szCs w:val="21"/>
              </w:rPr>
              <w:t>备注：</w:t>
            </w:r>
          </w:p>
          <w:p>
            <w:pPr>
              <w:adjustRightInd w:val="0"/>
              <w:snapToGrid w:val="0"/>
              <w:spacing w:line="360" w:lineRule="auto"/>
              <w:rPr>
                <w:rFonts w:ascii="宋体" w:hAnsi="宋体"/>
                <w:bCs/>
                <w:snapToGrid w:val="0"/>
                <w:kern w:val="0"/>
              </w:rPr>
            </w:pPr>
            <w:r>
              <w:rPr>
                <w:rFonts w:hint="eastAsia" w:ascii="宋体" w:hAnsi="宋体"/>
                <w:snapToGrid w:val="0"/>
                <w:kern w:val="0"/>
                <w:szCs w:val="21"/>
              </w:rPr>
              <w:t>1、因落实政府采购政策进行价格调整的，以调整后的价格计算评标基准价和投标报价</w:t>
            </w:r>
            <w:r>
              <w:rPr>
                <w:rFonts w:hint="eastAsia" w:ascii="宋体" w:hAnsi="宋体"/>
                <w:bCs/>
                <w:snapToGrid w:val="0"/>
                <w:kern w:val="0"/>
              </w:rPr>
              <w:t>；</w:t>
            </w:r>
          </w:p>
          <w:p>
            <w:pPr>
              <w:autoSpaceDE w:val="0"/>
              <w:autoSpaceDN w:val="0"/>
              <w:adjustRightInd w:val="0"/>
              <w:spacing w:line="360" w:lineRule="auto"/>
              <w:jc w:val="left"/>
              <w:rPr>
                <w:rFonts w:cs="仿宋" w:asciiTheme="minorEastAsia" w:hAnsiTheme="minorEastAsia" w:eastAsiaTheme="minorEastAsia"/>
                <w:szCs w:val="21"/>
              </w:rPr>
            </w:pPr>
            <w:r>
              <w:rPr>
                <w:rFonts w:hint="eastAsia" w:ascii="宋体" w:hAnsi="宋体"/>
                <w:snapToGrid w:val="0"/>
                <w:kern w:val="0"/>
                <w:szCs w:val="21"/>
              </w:rPr>
              <w:t>2、投标报价得分四舍五入后，小数点后保留两位有效数</w:t>
            </w:r>
            <w:r>
              <w:rPr>
                <w:rFonts w:hint="eastAsia" w:cs="仿宋" w:asciiTheme="minorEastAsia" w:hAnsiTheme="minorEastAsia" w:eastAsiaTheme="minorEastAsia"/>
                <w:szCs w:val="21"/>
              </w:rPr>
              <w:t>。</w:t>
            </w:r>
          </w:p>
        </w:tc>
        <w:tc>
          <w:tcPr>
            <w:tcW w:w="1187"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auto"/>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auto"/>
              <w:jc w:val="center"/>
              <w:rPr>
                <w:rFonts w:ascii="宋体" w:hAnsi="宋体" w:cs="仿宋"/>
                <w:b/>
                <w:szCs w:val="21"/>
              </w:rPr>
            </w:pPr>
            <w:r>
              <w:rPr>
                <w:rFonts w:hint="eastAsia" w:ascii="宋体" w:hAnsi="宋体" w:cs="仿宋"/>
                <w:b/>
                <w:szCs w:val="21"/>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6" w:hRule="atLeast"/>
          <w:jc w:val="center"/>
        </w:trPr>
        <w:tc>
          <w:tcPr>
            <w:tcW w:w="754"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auto"/>
              <w:jc w:val="center"/>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widowControl/>
              <w:spacing w:line="360" w:lineRule="auto"/>
              <w:jc w:val="center"/>
              <w:rPr>
                <w:rFonts w:hint="default" w:ascii="宋体" w:hAnsi="宋体" w:eastAsia="宋体" w:cs="仿宋"/>
                <w:kern w:val="0"/>
                <w:szCs w:val="21"/>
                <w:lang w:val="en-US" w:eastAsia="zh-CN"/>
              </w:rPr>
            </w:pPr>
            <w:r>
              <w:rPr>
                <w:rFonts w:hint="eastAsia" w:ascii="宋体" w:hAnsi="宋体" w:cs="仿宋"/>
                <w:kern w:val="0"/>
                <w:szCs w:val="21"/>
                <w:lang w:val="en-US" w:eastAsia="zh-CN"/>
              </w:rPr>
              <w:t>24</w:t>
            </w:r>
          </w:p>
        </w:tc>
        <w:tc>
          <w:tcPr>
            <w:tcW w:w="5953" w:type="dxa"/>
            <w:vAlign w:val="center"/>
          </w:tcPr>
          <w:p>
            <w:pPr>
              <w:pStyle w:val="94"/>
              <w:spacing w:line="360" w:lineRule="auto"/>
              <w:ind w:firstLine="0" w:firstLineChars="0"/>
              <w:rPr>
                <w:rFonts w:ascii="宋体" w:hAnsi="宋体"/>
                <w:szCs w:val="21"/>
              </w:rPr>
            </w:pPr>
            <w:r>
              <w:rPr>
                <w:rFonts w:hint="eastAsia" w:ascii="宋体" w:hAnsi="宋体"/>
                <w:szCs w:val="21"/>
              </w:rPr>
              <w:t>（一）评分内容：</w:t>
            </w:r>
          </w:p>
          <w:p>
            <w:pPr>
              <w:spacing w:line="360" w:lineRule="auto"/>
              <w:jc w:val="left"/>
              <w:rPr>
                <w:rFonts w:ascii="宋体" w:hAnsi="宋体" w:cs="仿宋"/>
                <w:szCs w:val="21"/>
              </w:rPr>
            </w:pPr>
            <w:r>
              <w:rPr>
                <w:rFonts w:hint="eastAsia" w:ascii="宋体" w:hAnsi="宋体" w:cs="仿宋"/>
                <w:szCs w:val="21"/>
              </w:rPr>
              <w:t>投标人应如实填写《技术规格偏离表》，各项技术参数指标及要求全部满足的得</w:t>
            </w:r>
            <w:r>
              <w:rPr>
                <w:rFonts w:hint="eastAsia" w:ascii="宋体" w:hAnsi="宋体" w:cs="仿宋"/>
                <w:szCs w:val="21"/>
                <w:lang w:val="en-US" w:eastAsia="zh-CN"/>
              </w:rPr>
              <w:t>24</w:t>
            </w:r>
            <w:r>
              <w:rPr>
                <w:rFonts w:hint="eastAsia" w:ascii="宋体" w:hAnsi="宋体" w:cs="仿宋"/>
                <w:szCs w:val="21"/>
              </w:rPr>
              <w:t>分；</w:t>
            </w:r>
            <w:r>
              <w:rPr>
                <w:rFonts w:hint="eastAsia" w:ascii="宋体" w:hAnsi="宋体" w:cs="仿宋"/>
                <w:color w:val="auto"/>
                <w:szCs w:val="21"/>
              </w:rPr>
              <w:t>“▲”参数为重要指标，每负偏离一项扣</w:t>
            </w:r>
            <w:r>
              <w:rPr>
                <w:rFonts w:hint="eastAsia" w:ascii="宋体" w:hAnsi="宋体" w:cs="仿宋"/>
                <w:color w:val="auto"/>
                <w:szCs w:val="21"/>
                <w:lang w:val="en-US" w:eastAsia="zh-CN"/>
              </w:rPr>
              <w:t>0.28</w:t>
            </w:r>
            <w:r>
              <w:rPr>
                <w:rFonts w:hint="eastAsia" w:ascii="宋体" w:hAnsi="宋体" w:cs="仿宋"/>
                <w:color w:val="auto"/>
                <w:szCs w:val="21"/>
              </w:rPr>
              <w:t xml:space="preserve">分；其余指标每负偏离一项扣 </w:t>
            </w:r>
            <w:r>
              <w:rPr>
                <w:rFonts w:hint="eastAsia" w:ascii="宋体" w:hAnsi="宋体" w:cs="仿宋"/>
                <w:color w:val="auto"/>
                <w:szCs w:val="21"/>
                <w:lang w:val="en-US" w:eastAsia="zh-CN"/>
              </w:rPr>
              <w:t>0.</w:t>
            </w:r>
            <w:r>
              <w:rPr>
                <w:rFonts w:hint="eastAsia" w:ascii="宋体" w:hAnsi="宋体" w:cs="仿宋"/>
                <w:color w:val="auto"/>
                <w:szCs w:val="21"/>
              </w:rPr>
              <w:t>1分，</w:t>
            </w:r>
            <w:r>
              <w:rPr>
                <w:rFonts w:hint="eastAsia" w:ascii="宋体" w:hAnsi="宋体"/>
                <w:bCs/>
                <w:szCs w:val="21"/>
              </w:rPr>
              <w:t>最低0分</w:t>
            </w:r>
            <w:r>
              <w:rPr>
                <w:rFonts w:hint="eastAsia" w:ascii="宋体" w:hAnsi="宋体" w:cs="仿宋"/>
                <w:szCs w:val="21"/>
              </w:rPr>
              <w:t>。</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（二）评分依据：</w:t>
            </w:r>
          </w:p>
          <w:p>
            <w:pPr>
              <w:spacing w:line="360" w:lineRule="auto"/>
              <w:jc w:val="left"/>
              <w:rPr>
                <w:rFonts w:ascii="宋体" w:hAnsi="宋体" w:cs="仿宋"/>
                <w:szCs w:val="21"/>
              </w:rPr>
            </w:pPr>
            <w:r>
              <w:rPr>
                <w:rFonts w:hint="eastAsia" w:ascii="宋体" w:hAnsi="宋体"/>
                <w:bCs/>
                <w:szCs w:val="21"/>
              </w:rPr>
              <w:t>以投标文件《技术</w:t>
            </w:r>
            <w:r>
              <w:rPr>
                <w:rFonts w:hint="eastAsia" w:ascii="宋体" w:hAnsi="宋体" w:cs="仿宋"/>
                <w:szCs w:val="21"/>
              </w:rPr>
              <w:t>规格</w:t>
            </w:r>
            <w:r>
              <w:rPr>
                <w:rFonts w:hint="eastAsia" w:ascii="宋体" w:hAnsi="宋体"/>
                <w:bCs/>
                <w:szCs w:val="21"/>
              </w:rPr>
              <w:t>偏离表》为评分依据，投标人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cs="仿宋"/>
                <w:szCs w:val="21"/>
                <w:lang w:val="zh-CN"/>
              </w:rPr>
              <w:t>技术要求中包含子项参数的，按子项参数响应情况逐项评分。</w:t>
            </w:r>
          </w:p>
        </w:tc>
        <w:tc>
          <w:tcPr>
            <w:tcW w:w="1187"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auto"/>
              <w:jc w:val="center"/>
              <w:rPr>
                <w:rFonts w:ascii="宋体" w:hAnsi="宋体" w:cs="仿宋"/>
                <w:szCs w:val="21"/>
                <w:lang w:val="zh-CN"/>
              </w:rPr>
            </w:pPr>
            <w:r>
              <w:rPr>
                <w:rFonts w:hint="eastAsia" w:ascii="宋体" w:hAnsi="宋体" w:cs="仿宋"/>
                <w:szCs w:val="21"/>
              </w:rPr>
              <w:t>2</w:t>
            </w:r>
          </w:p>
        </w:tc>
        <w:tc>
          <w:tcPr>
            <w:tcW w:w="1143" w:type="dxa"/>
            <w:vAlign w:val="center"/>
          </w:tcPr>
          <w:p>
            <w:pPr>
              <w:widowControl/>
              <w:spacing w:line="360" w:lineRule="auto"/>
              <w:jc w:val="center"/>
              <w:rPr>
                <w:rFonts w:ascii="宋体" w:hAnsi="宋体" w:cs="仿宋"/>
                <w:szCs w:val="21"/>
              </w:rPr>
            </w:pPr>
            <w:r>
              <w:rPr>
                <w:rFonts w:hint="eastAsia" w:ascii="宋体" w:hAnsi="宋体" w:cs="宋体"/>
                <w:szCs w:val="21"/>
              </w:rPr>
              <w:t>质量保障措施及实施方案</w:t>
            </w:r>
          </w:p>
        </w:tc>
        <w:tc>
          <w:tcPr>
            <w:tcW w:w="709" w:type="dxa"/>
            <w:vAlign w:val="center"/>
          </w:tcPr>
          <w:p>
            <w:pPr>
              <w:widowControl/>
              <w:spacing w:line="360" w:lineRule="auto"/>
              <w:jc w:val="center"/>
              <w:rPr>
                <w:rFonts w:hint="default" w:ascii="宋体" w:hAnsi="宋体" w:eastAsia="宋体" w:cs="仿宋"/>
                <w:szCs w:val="21"/>
                <w:lang w:val="en-US" w:eastAsia="zh-CN"/>
              </w:rPr>
            </w:pPr>
            <w:r>
              <w:rPr>
                <w:rFonts w:hint="eastAsia" w:ascii="宋体" w:hAnsi="宋体" w:cs="宋体"/>
                <w:bCs/>
                <w:szCs w:val="21"/>
                <w:lang w:val="en-US" w:eastAsia="zh-CN"/>
              </w:rPr>
              <w:t>12</w:t>
            </w:r>
          </w:p>
        </w:tc>
        <w:tc>
          <w:tcPr>
            <w:tcW w:w="5953" w:type="dxa"/>
            <w:vAlign w:val="center"/>
          </w:tcPr>
          <w:p>
            <w:pPr>
              <w:pStyle w:val="94"/>
              <w:spacing w:line="360" w:lineRule="auto"/>
              <w:ind w:firstLine="0" w:firstLineChars="0"/>
              <w:rPr>
                <w:rFonts w:ascii="宋体" w:hAnsi="宋体"/>
                <w:szCs w:val="21"/>
              </w:rPr>
            </w:pPr>
            <w:r>
              <w:rPr>
                <w:rFonts w:hint="eastAsia" w:ascii="宋体" w:hAnsi="宋体"/>
                <w:szCs w:val="21"/>
              </w:rPr>
              <w:t>（一）评审内容：</w:t>
            </w:r>
          </w:p>
          <w:p>
            <w:pPr>
              <w:pStyle w:val="94"/>
              <w:spacing w:line="360" w:lineRule="auto"/>
              <w:ind w:firstLine="0" w:firstLineChars="0"/>
              <w:rPr>
                <w:rFonts w:ascii="宋体" w:hAnsi="宋体"/>
                <w:szCs w:val="21"/>
              </w:rPr>
            </w:pPr>
            <w:r>
              <w:rPr>
                <w:rFonts w:hint="eastAsia" w:ascii="宋体" w:hAnsi="宋体"/>
                <w:szCs w:val="21"/>
              </w:rPr>
              <w:t>考察投标人对本项目提供的质量保障及实施方案。提供的实施方案应结合其经营能力，具体内容应包含但不限于：</w:t>
            </w:r>
          </w:p>
          <w:p>
            <w:pPr>
              <w:pStyle w:val="94"/>
              <w:spacing w:line="360" w:lineRule="auto"/>
              <w:ind w:firstLine="0" w:firstLineChars="0"/>
              <w:rPr>
                <w:rFonts w:ascii="宋体" w:hAnsi="宋体"/>
                <w:szCs w:val="21"/>
              </w:rPr>
            </w:pPr>
            <w:r>
              <w:rPr>
                <w:rFonts w:hint="eastAsia" w:ascii="宋体" w:hAnsi="宋体"/>
                <w:szCs w:val="21"/>
              </w:rPr>
              <w:t>1、按期交货方案；</w:t>
            </w:r>
          </w:p>
          <w:p>
            <w:pPr>
              <w:pStyle w:val="94"/>
              <w:spacing w:line="360" w:lineRule="auto"/>
              <w:ind w:firstLine="0" w:firstLineChars="0"/>
              <w:rPr>
                <w:rFonts w:ascii="宋体" w:hAnsi="宋体"/>
                <w:szCs w:val="21"/>
              </w:rPr>
            </w:pPr>
            <w:r>
              <w:rPr>
                <w:rFonts w:hint="eastAsia" w:ascii="宋体" w:hAnsi="宋体"/>
                <w:szCs w:val="21"/>
              </w:rPr>
              <w:t>2、项目进度方案；</w:t>
            </w:r>
          </w:p>
          <w:p>
            <w:pPr>
              <w:pStyle w:val="94"/>
              <w:spacing w:line="360" w:lineRule="auto"/>
              <w:ind w:firstLine="0" w:firstLineChars="0"/>
              <w:rPr>
                <w:rFonts w:ascii="宋体" w:hAnsi="宋体"/>
                <w:szCs w:val="21"/>
              </w:rPr>
            </w:pPr>
            <w:r>
              <w:rPr>
                <w:rFonts w:hint="eastAsia" w:ascii="宋体" w:hAnsi="宋体"/>
                <w:szCs w:val="21"/>
              </w:rPr>
              <w:t>3、异议及后处理；</w:t>
            </w:r>
          </w:p>
          <w:p>
            <w:pPr>
              <w:pStyle w:val="94"/>
              <w:spacing w:line="360" w:lineRule="auto"/>
              <w:ind w:firstLine="0" w:firstLineChars="0"/>
              <w:rPr>
                <w:rFonts w:ascii="宋体" w:hAnsi="宋体"/>
                <w:szCs w:val="21"/>
              </w:rPr>
            </w:pPr>
            <w:r>
              <w:rPr>
                <w:rFonts w:hint="eastAsia" w:ascii="宋体" w:hAnsi="宋体"/>
                <w:szCs w:val="21"/>
              </w:rPr>
              <w:t>4、处置规范；</w:t>
            </w:r>
          </w:p>
          <w:p>
            <w:pPr>
              <w:pStyle w:val="94"/>
              <w:spacing w:line="360" w:lineRule="auto"/>
              <w:ind w:firstLine="0" w:firstLineChars="0"/>
              <w:rPr>
                <w:rFonts w:ascii="宋体" w:hAnsi="宋体"/>
                <w:szCs w:val="21"/>
              </w:rPr>
            </w:pPr>
            <w:r>
              <w:rPr>
                <w:rFonts w:hint="eastAsia" w:ascii="宋体" w:hAnsi="宋体"/>
                <w:szCs w:val="21"/>
              </w:rPr>
              <w:t>5、产品质量保证体系及方法；</w:t>
            </w:r>
          </w:p>
          <w:p>
            <w:pPr>
              <w:pStyle w:val="94"/>
              <w:spacing w:line="360" w:lineRule="auto"/>
              <w:ind w:firstLine="0" w:firstLineChars="0"/>
              <w:rPr>
                <w:rFonts w:ascii="宋体" w:hAnsi="宋体"/>
                <w:szCs w:val="21"/>
              </w:rPr>
            </w:pPr>
            <w:r>
              <w:rPr>
                <w:rFonts w:hint="eastAsia" w:ascii="宋体" w:hAnsi="宋体"/>
                <w:szCs w:val="21"/>
              </w:rPr>
              <w:t>6、应急预案。</w:t>
            </w:r>
          </w:p>
          <w:p>
            <w:pPr>
              <w:pStyle w:val="94"/>
              <w:spacing w:line="360" w:lineRule="auto"/>
              <w:ind w:firstLine="0" w:firstLineChars="0"/>
              <w:rPr>
                <w:rFonts w:ascii="宋体" w:hAnsi="宋体"/>
                <w:szCs w:val="21"/>
              </w:rPr>
            </w:pPr>
            <w:r>
              <w:rPr>
                <w:rFonts w:hint="eastAsia" w:ascii="宋体" w:hAnsi="宋体"/>
                <w:szCs w:val="21"/>
              </w:rPr>
              <w:t>（二）评分依据：</w:t>
            </w:r>
          </w:p>
          <w:p>
            <w:pPr>
              <w:pStyle w:val="94"/>
              <w:spacing w:line="360" w:lineRule="auto"/>
              <w:ind w:firstLine="0" w:firstLineChars="0"/>
              <w:rPr>
                <w:rFonts w:ascii="宋体" w:hAnsi="宋体"/>
                <w:szCs w:val="21"/>
              </w:rPr>
            </w:pPr>
            <w:r>
              <w:rPr>
                <w:rFonts w:hint="eastAsia" w:ascii="宋体" w:hAnsi="宋体"/>
                <w:szCs w:val="21"/>
              </w:rPr>
              <w:t>提供的内容满足上述六点要求的得3分，每缺一点内容扣0.5分，扣完为止。在此基础上，由评审委员会对具体响应内容合理性等进行评分：</w:t>
            </w:r>
          </w:p>
          <w:p>
            <w:pPr>
              <w:pStyle w:val="94"/>
              <w:spacing w:line="360" w:lineRule="auto"/>
              <w:ind w:firstLine="0" w:firstLineChars="0"/>
              <w:rPr>
                <w:rFonts w:ascii="宋体" w:hAnsi="宋体"/>
                <w:szCs w:val="21"/>
              </w:rPr>
            </w:pPr>
            <w:r>
              <w:rPr>
                <w:rFonts w:hint="eastAsia" w:ascii="宋体" w:hAnsi="宋体"/>
                <w:szCs w:val="21"/>
              </w:rPr>
              <w:t>（1）质量保障措施及实施方案全面；</w:t>
            </w:r>
          </w:p>
          <w:p>
            <w:pPr>
              <w:pStyle w:val="94"/>
              <w:spacing w:line="360" w:lineRule="auto"/>
              <w:ind w:firstLine="0" w:firstLineChars="0"/>
              <w:rPr>
                <w:rFonts w:ascii="宋体" w:hAnsi="宋体"/>
                <w:szCs w:val="21"/>
              </w:rPr>
            </w:pPr>
            <w:r>
              <w:rPr>
                <w:rFonts w:hint="eastAsia" w:ascii="宋体" w:hAnsi="宋体"/>
                <w:szCs w:val="21"/>
              </w:rPr>
              <w:t>（2）质量保障措施及实施方案具体；</w:t>
            </w:r>
          </w:p>
          <w:p>
            <w:pPr>
              <w:pStyle w:val="94"/>
              <w:spacing w:line="360" w:lineRule="auto"/>
              <w:ind w:firstLine="0" w:firstLineChars="0"/>
              <w:rPr>
                <w:rFonts w:ascii="宋体" w:hAnsi="宋体"/>
                <w:szCs w:val="21"/>
              </w:rPr>
            </w:pPr>
            <w:r>
              <w:rPr>
                <w:rFonts w:hint="eastAsia" w:ascii="宋体" w:hAnsi="宋体"/>
                <w:szCs w:val="21"/>
              </w:rPr>
              <w:t>（3）质量保障措施及实施方案科学合理；</w:t>
            </w:r>
          </w:p>
          <w:p>
            <w:pPr>
              <w:pStyle w:val="94"/>
              <w:spacing w:line="360" w:lineRule="auto"/>
              <w:ind w:firstLine="0" w:firstLineChars="0"/>
              <w:rPr>
                <w:rFonts w:ascii="宋体" w:hAnsi="宋体"/>
                <w:szCs w:val="21"/>
              </w:rPr>
            </w:pPr>
            <w:r>
              <w:rPr>
                <w:rFonts w:hint="eastAsia" w:ascii="宋体" w:hAnsi="宋体"/>
                <w:szCs w:val="21"/>
              </w:rPr>
              <w:t>（4）质量保障措施及实施方案针对性强；</w:t>
            </w:r>
          </w:p>
          <w:p>
            <w:pPr>
              <w:pStyle w:val="94"/>
              <w:spacing w:line="360" w:lineRule="auto"/>
              <w:ind w:firstLine="0" w:firstLineChars="0"/>
              <w:rPr>
                <w:rFonts w:ascii="宋体" w:hAnsi="宋体"/>
                <w:szCs w:val="21"/>
              </w:rPr>
            </w:pPr>
            <w:r>
              <w:rPr>
                <w:rFonts w:hint="eastAsia" w:ascii="宋体" w:hAnsi="宋体"/>
                <w:szCs w:val="21"/>
              </w:rPr>
              <w:t>（5）质量保障措施及实施方案可操作性强。</w:t>
            </w:r>
          </w:p>
          <w:p>
            <w:pPr>
              <w:pStyle w:val="94"/>
              <w:spacing w:line="360" w:lineRule="auto"/>
              <w:ind w:firstLine="0" w:firstLineChars="0"/>
              <w:rPr>
                <w:rFonts w:ascii="宋体" w:hAnsi="宋体"/>
                <w:szCs w:val="21"/>
              </w:rPr>
            </w:pPr>
            <w:r>
              <w:rPr>
                <w:rFonts w:hint="eastAsia" w:ascii="宋体" w:hAnsi="宋体"/>
                <w:szCs w:val="21"/>
              </w:rPr>
              <w:t>优评分标准：满足以上五项要求的评价为优，加</w:t>
            </w:r>
            <w:r>
              <w:rPr>
                <w:rFonts w:hint="eastAsia" w:ascii="宋体" w:hAnsi="宋体"/>
                <w:szCs w:val="21"/>
                <w:lang w:val="en-US" w:eastAsia="zh-CN"/>
              </w:rPr>
              <w:t>9</w:t>
            </w:r>
            <w:r>
              <w:rPr>
                <w:rFonts w:hint="eastAsia" w:ascii="宋体" w:hAnsi="宋体"/>
                <w:szCs w:val="21"/>
              </w:rPr>
              <w:t>分；</w:t>
            </w:r>
          </w:p>
          <w:p>
            <w:pPr>
              <w:pStyle w:val="94"/>
              <w:spacing w:line="360" w:lineRule="auto"/>
              <w:ind w:firstLine="0" w:firstLineChars="0"/>
              <w:rPr>
                <w:rFonts w:ascii="宋体" w:hAnsi="宋体"/>
                <w:szCs w:val="21"/>
              </w:rPr>
            </w:pPr>
            <w:r>
              <w:rPr>
                <w:rFonts w:hint="eastAsia" w:ascii="宋体" w:hAnsi="宋体"/>
                <w:szCs w:val="21"/>
              </w:rPr>
              <w:t>良评分标准：满足以上四项要求的评价为良，加5分；</w:t>
            </w:r>
          </w:p>
          <w:p>
            <w:pPr>
              <w:pStyle w:val="94"/>
              <w:spacing w:line="360" w:lineRule="auto"/>
              <w:ind w:firstLine="0" w:firstLineChars="0"/>
              <w:rPr>
                <w:rFonts w:ascii="宋体" w:hAnsi="宋体"/>
                <w:szCs w:val="21"/>
              </w:rPr>
            </w:pPr>
            <w:r>
              <w:rPr>
                <w:rFonts w:hint="eastAsia" w:ascii="宋体" w:hAnsi="宋体"/>
                <w:szCs w:val="21"/>
              </w:rPr>
              <w:t>中评分标准：满足以上三项要求的评价为中，加</w:t>
            </w:r>
            <w:r>
              <w:rPr>
                <w:rFonts w:hint="eastAsia" w:ascii="宋体" w:hAnsi="宋体"/>
                <w:szCs w:val="21"/>
                <w:lang w:val="en-US" w:eastAsia="zh-CN"/>
              </w:rPr>
              <w:t>1</w:t>
            </w:r>
            <w:r>
              <w:rPr>
                <w:rFonts w:hint="eastAsia" w:ascii="宋体" w:hAnsi="宋体"/>
                <w:szCs w:val="21"/>
              </w:rPr>
              <w:t>分；</w:t>
            </w:r>
          </w:p>
          <w:p>
            <w:pPr>
              <w:spacing w:line="360" w:lineRule="auto"/>
              <w:jc w:val="left"/>
              <w:rPr>
                <w:rFonts w:ascii="宋体" w:hAnsi="宋体" w:cs="仿宋"/>
                <w:szCs w:val="21"/>
              </w:rPr>
            </w:pPr>
            <w:r>
              <w:rPr>
                <w:rFonts w:hint="eastAsia" w:ascii="宋体" w:hAnsi="宋体"/>
                <w:szCs w:val="21"/>
              </w:rPr>
              <w:t>差评分标准：上述情况之外的，评差，得0分。</w:t>
            </w:r>
          </w:p>
        </w:tc>
        <w:tc>
          <w:tcPr>
            <w:tcW w:w="1187" w:type="dxa"/>
            <w:vAlign w:val="center"/>
          </w:tcPr>
          <w:p>
            <w:pPr>
              <w:spacing w:line="360" w:lineRule="auto"/>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auto"/>
              <w:jc w:val="center"/>
              <w:rPr>
                <w:rFonts w:hint="eastAsia" w:ascii="宋体" w:hAnsi="宋体" w:eastAsia="宋体" w:cs="仿宋"/>
                <w:szCs w:val="21"/>
                <w:lang w:val="en-US" w:eastAsia="zh-CN"/>
              </w:rPr>
            </w:pPr>
            <w:r>
              <w:rPr>
                <w:rFonts w:hint="eastAsia" w:ascii="宋体" w:hAnsi="宋体" w:cs="仿宋"/>
                <w:szCs w:val="21"/>
                <w:lang w:val="en-US" w:eastAsia="zh-CN"/>
              </w:rPr>
              <w:t>3</w:t>
            </w:r>
          </w:p>
        </w:tc>
        <w:tc>
          <w:tcPr>
            <w:tcW w:w="1143" w:type="dxa"/>
            <w:vAlign w:val="center"/>
          </w:tcPr>
          <w:p>
            <w:pPr>
              <w:widowControl/>
              <w:spacing w:line="360" w:lineRule="exact"/>
              <w:jc w:val="center"/>
              <w:rPr>
                <w:rFonts w:hint="eastAsia" w:ascii="宋体" w:hAnsi="宋体" w:cs="宋体"/>
                <w:szCs w:val="21"/>
              </w:rPr>
            </w:pPr>
            <w:r>
              <w:rPr>
                <w:rFonts w:hint="eastAsia"/>
              </w:rPr>
              <w:t>售后服务方案</w:t>
            </w:r>
          </w:p>
        </w:tc>
        <w:tc>
          <w:tcPr>
            <w:tcW w:w="709" w:type="dxa"/>
            <w:vAlign w:val="center"/>
          </w:tcPr>
          <w:p>
            <w:pPr>
              <w:widowControl/>
              <w:spacing w:line="360" w:lineRule="exact"/>
              <w:jc w:val="center"/>
              <w:rPr>
                <w:rFonts w:hint="eastAsia" w:ascii="宋体" w:hAnsi="宋体" w:cs="宋体"/>
                <w:bCs/>
                <w:szCs w:val="21"/>
              </w:rPr>
            </w:pPr>
            <w:r>
              <w:rPr>
                <w:rFonts w:hint="eastAsia" w:ascii="宋体" w:hAnsi="宋体" w:cs="宋体"/>
                <w:kern w:val="0"/>
                <w:szCs w:val="21"/>
                <w:lang w:val="en-US" w:eastAsia="zh-CN"/>
              </w:rPr>
              <w:t>12</w:t>
            </w:r>
          </w:p>
        </w:tc>
        <w:tc>
          <w:tcPr>
            <w:tcW w:w="5953" w:type="dxa"/>
            <w:vAlign w:val="center"/>
          </w:tcPr>
          <w:p>
            <w:pPr>
              <w:pStyle w:val="94"/>
              <w:spacing w:line="360" w:lineRule="auto"/>
              <w:ind w:firstLine="0" w:firstLineChars="0"/>
              <w:rPr>
                <w:rFonts w:ascii="宋体" w:hAnsi="宋体"/>
                <w:szCs w:val="21"/>
              </w:rPr>
            </w:pPr>
            <w:r>
              <w:rPr>
                <w:rFonts w:hint="eastAsia" w:ascii="宋体" w:hAnsi="宋体"/>
                <w:szCs w:val="21"/>
              </w:rPr>
              <w:t>（一）评分内容：</w:t>
            </w:r>
          </w:p>
          <w:p>
            <w:pPr>
              <w:spacing w:line="360" w:lineRule="auto"/>
              <w:jc w:val="left"/>
              <w:rPr>
                <w:rFonts w:ascii="宋体" w:hAnsi="宋体" w:cs="仿宋"/>
                <w:szCs w:val="21"/>
              </w:rPr>
            </w:pPr>
            <w:r>
              <w:rPr>
                <w:rFonts w:hint="eastAsia" w:ascii="宋体" w:hAnsi="宋体" w:cs="仿宋"/>
                <w:szCs w:val="21"/>
              </w:rPr>
              <w:t>投标人提供</w:t>
            </w:r>
            <w:r>
              <w:rPr>
                <w:rFonts w:hint="eastAsia"/>
              </w:rPr>
              <w:t>售后服务方案</w:t>
            </w:r>
            <w:r>
              <w:rPr>
                <w:rFonts w:hint="eastAsia" w:asciiTheme="minorEastAsia" w:hAnsiTheme="minorEastAsia" w:eastAsiaTheme="minorEastAsia"/>
                <w:kern w:val="0"/>
                <w:szCs w:val="21"/>
              </w:rPr>
              <w:t>，包含以下内容：</w:t>
            </w:r>
          </w:p>
          <w:p>
            <w:pPr>
              <w:widowControl/>
              <w:spacing w:line="360" w:lineRule="auto"/>
              <w:rPr>
                <w:rFonts w:ascii="宋体" w:hAnsi="宋体" w:cs="仿宋"/>
                <w:szCs w:val="21"/>
              </w:rPr>
            </w:pPr>
            <w:r>
              <w:rPr>
                <w:rFonts w:hint="eastAsia" w:ascii="宋体" w:hAnsi="宋体" w:cs="仿宋"/>
                <w:szCs w:val="21"/>
              </w:rPr>
              <w:t>（1）售后服务机构及维护人员配置；</w:t>
            </w:r>
          </w:p>
          <w:p>
            <w:pPr>
              <w:widowControl/>
              <w:spacing w:line="360" w:lineRule="auto"/>
              <w:rPr>
                <w:rFonts w:ascii="宋体" w:hAnsi="宋体" w:cs="仿宋"/>
                <w:szCs w:val="21"/>
              </w:rPr>
            </w:pPr>
            <w:r>
              <w:rPr>
                <w:rFonts w:hint="eastAsia" w:ascii="宋体" w:hAnsi="宋体" w:cs="仿宋"/>
                <w:szCs w:val="21"/>
              </w:rPr>
              <w:t>（2）</w:t>
            </w:r>
            <w:r>
              <w:rPr>
                <w:rFonts w:hint="eastAsia"/>
              </w:rPr>
              <w:t>故障响应时间</w:t>
            </w:r>
            <w:r>
              <w:rPr>
                <w:rFonts w:hint="eastAsia" w:ascii="宋体" w:hAnsi="宋体" w:cs="仿宋"/>
                <w:szCs w:val="21"/>
              </w:rPr>
              <w:t>；</w:t>
            </w:r>
          </w:p>
          <w:p>
            <w:pPr>
              <w:widowControl/>
              <w:spacing w:line="360" w:lineRule="auto"/>
              <w:rPr>
                <w:rFonts w:ascii="宋体" w:hAnsi="宋体" w:cs="仿宋"/>
                <w:szCs w:val="21"/>
              </w:rPr>
            </w:pPr>
            <w:r>
              <w:rPr>
                <w:rFonts w:hint="eastAsia" w:ascii="宋体" w:hAnsi="宋体" w:cs="仿宋"/>
                <w:szCs w:val="21"/>
              </w:rPr>
              <w:t>（3）技术培训及</w:t>
            </w:r>
            <w:r>
              <w:rPr>
                <w:rFonts w:hint="eastAsia" w:ascii="宋体" w:hAnsi="宋体"/>
                <w:szCs w:val="21"/>
              </w:rPr>
              <w:t>备品备件</w:t>
            </w:r>
            <w:r>
              <w:rPr>
                <w:rFonts w:hint="eastAsia" w:ascii="宋体" w:hAnsi="宋体"/>
              </w:rPr>
              <w:t>支持计划</w:t>
            </w:r>
            <w:r>
              <w:rPr>
                <w:rFonts w:hint="eastAsia" w:ascii="宋体" w:hAnsi="宋体" w:cs="仿宋"/>
                <w:szCs w:val="21"/>
              </w:rPr>
              <w:t>。</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（二）评分标准：</w:t>
            </w:r>
          </w:p>
          <w:p>
            <w:pPr>
              <w:spacing w:line="360" w:lineRule="auto"/>
              <w:jc w:val="left"/>
              <w:rPr>
                <w:rFonts w:ascii="宋体" w:hAnsi="宋体" w:cs="仿宋"/>
                <w:szCs w:val="21"/>
              </w:rPr>
            </w:pPr>
            <w:r>
              <w:rPr>
                <w:rFonts w:hint="eastAsia" w:ascii="宋体" w:hAnsi="宋体" w:cs="仿宋"/>
                <w:szCs w:val="21"/>
              </w:rPr>
              <w:t>方案包含以上三项内容得3分；包含以上二项内容得2分；包含以上一项内容得1分；其他情况不得分。</w:t>
            </w:r>
          </w:p>
          <w:p>
            <w:pPr>
              <w:spacing w:line="360" w:lineRule="auto"/>
              <w:jc w:val="left"/>
              <w:rPr>
                <w:rFonts w:ascii="宋体" w:hAnsi="宋体" w:cs="仿宋"/>
                <w:szCs w:val="21"/>
              </w:rPr>
            </w:pPr>
            <w:r>
              <w:rPr>
                <w:rFonts w:hint="eastAsia" w:ascii="宋体" w:hAnsi="宋体" w:cs="仿宋"/>
                <w:szCs w:val="21"/>
              </w:rPr>
              <w:t>在此基础上，根据方案响应情况进一步评审：</w:t>
            </w:r>
          </w:p>
          <w:p>
            <w:pPr>
              <w:spacing w:line="360" w:lineRule="auto"/>
              <w:jc w:val="left"/>
              <w:rPr>
                <w:rFonts w:ascii="宋体" w:hAnsi="宋体" w:cs="仿宋"/>
                <w:szCs w:val="21"/>
              </w:rPr>
            </w:pPr>
            <w:r>
              <w:rPr>
                <w:rFonts w:hint="eastAsia" w:ascii="宋体" w:hAnsi="宋体" w:cs="仿宋"/>
                <w:szCs w:val="21"/>
              </w:rPr>
              <w:t>1.方案内容全面、具体，可行性高，加</w:t>
            </w:r>
            <w:r>
              <w:rPr>
                <w:rFonts w:hint="eastAsia" w:ascii="宋体" w:hAnsi="宋体" w:cs="仿宋"/>
                <w:szCs w:val="21"/>
                <w:lang w:val="en-US" w:eastAsia="zh-CN"/>
              </w:rPr>
              <w:t>9</w:t>
            </w:r>
            <w:r>
              <w:rPr>
                <w:rFonts w:hint="eastAsia" w:ascii="宋体" w:hAnsi="宋体" w:cs="仿宋"/>
                <w:szCs w:val="21"/>
              </w:rPr>
              <w:t>分；</w:t>
            </w:r>
          </w:p>
          <w:p>
            <w:pPr>
              <w:spacing w:line="360" w:lineRule="auto"/>
              <w:jc w:val="left"/>
              <w:rPr>
                <w:rFonts w:ascii="宋体" w:hAnsi="宋体" w:cs="仿宋"/>
                <w:szCs w:val="21"/>
              </w:rPr>
            </w:pPr>
            <w:r>
              <w:rPr>
                <w:rFonts w:hint="eastAsia" w:ascii="宋体" w:hAnsi="宋体" w:cs="仿宋"/>
                <w:szCs w:val="21"/>
              </w:rPr>
              <w:t>2.方案内容较全面，可行性较高，加</w:t>
            </w:r>
            <w:r>
              <w:rPr>
                <w:rFonts w:hint="eastAsia" w:ascii="宋体" w:hAnsi="宋体" w:cs="仿宋"/>
                <w:szCs w:val="21"/>
                <w:lang w:val="en-US" w:eastAsia="zh-CN"/>
              </w:rPr>
              <w:t>5</w:t>
            </w:r>
            <w:r>
              <w:rPr>
                <w:rFonts w:hint="eastAsia" w:ascii="宋体" w:hAnsi="宋体" w:cs="仿宋"/>
                <w:szCs w:val="21"/>
              </w:rPr>
              <w:t>分；</w:t>
            </w:r>
          </w:p>
          <w:p>
            <w:pPr>
              <w:spacing w:line="360" w:lineRule="auto"/>
              <w:jc w:val="left"/>
              <w:rPr>
                <w:rFonts w:ascii="宋体" w:hAnsi="宋体" w:cs="仿宋"/>
                <w:szCs w:val="21"/>
              </w:rPr>
            </w:pPr>
            <w:r>
              <w:rPr>
                <w:rFonts w:hint="eastAsia" w:ascii="宋体" w:hAnsi="宋体" w:cs="仿宋"/>
                <w:szCs w:val="21"/>
              </w:rPr>
              <w:t>3.方案全面性、可行性一般，加1分；</w:t>
            </w:r>
          </w:p>
          <w:p>
            <w:pPr>
              <w:pStyle w:val="94"/>
              <w:spacing w:line="360" w:lineRule="auto"/>
              <w:ind w:firstLine="0" w:firstLineChars="0"/>
              <w:rPr>
                <w:rFonts w:hint="eastAsia" w:ascii="宋体" w:hAnsi="宋体"/>
                <w:szCs w:val="21"/>
              </w:rPr>
            </w:pPr>
            <w:r>
              <w:rPr>
                <w:rFonts w:hint="eastAsia" w:ascii="宋体" w:hAnsi="宋体" w:cs="仿宋"/>
                <w:szCs w:val="21"/>
              </w:rPr>
              <w:t>4.方案不全，可行性低，不加分。</w:t>
            </w:r>
          </w:p>
        </w:tc>
        <w:tc>
          <w:tcPr>
            <w:tcW w:w="1187" w:type="dxa"/>
            <w:vAlign w:val="center"/>
          </w:tcPr>
          <w:p>
            <w:pPr>
              <w:spacing w:line="360" w:lineRule="auto"/>
              <w:jc w:val="center"/>
              <w:rPr>
                <w:rFonts w:hint="eastAsia"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48" w:hRule="atLeast"/>
          <w:jc w:val="center"/>
        </w:trPr>
        <w:tc>
          <w:tcPr>
            <w:tcW w:w="754" w:type="dxa"/>
            <w:vAlign w:val="center"/>
          </w:tcPr>
          <w:p>
            <w:pPr>
              <w:widowControl/>
              <w:snapToGrid w:val="0"/>
              <w:spacing w:line="360" w:lineRule="auto"/>
              <w:jc w:val="center"/>
              <w:rPr>
                <w:rFonts w:ascii="宋体" w:hAnsi="宋体"/>
                <w:kern w:val="0"/>
                <w:szCs w:val="21"/>
              </w:rPr>
            </w:pPr>
            <w:r>
              <w:rPr>
                <w:rFonts w:hint="eastAsia" w:ascii="宋体" w:hAnsi="宋体"/>
                <w:kern w:val="0"/>
                <w:szCs w:val="21"/>
              </w:rPr>
              <w:t>3</w:t>
            </w:r>
          </w:p>
        </w:tc>
        <w:tc>
          <w:tcPr>
            <w:tcW w:w="1143" w:type="dxa"/>
            <w:vAlign w:val="center"/>
          </w:tcPr>
          <w:p>
            <w:pPr>
              <w:widowControl/>
              <w:spacing w:line="360" w:lineRule="auto"/>
              <w:jc w:val="center"/>
              <w:rPr>
                <w:rFonts w:ascii="宋体" w:hAnsi="宋体" w:cs="宋体"/>
                <w:szCs w:val="21"/>
              </w:rPr>
            </w:pPr>
            <w:r>
              <w:rPr>
                <w:rFonts w:hint="eastAsia" w:ascii="宋体" w:hAnsi="宋体" w:cs="宋体"/>
                <w:szCs w:val="21"/>
              </w:rPr>
              <w:t>特殊情况紧急送货及换货时间</w:t>
            </w:r>
          </w:p>
        </w:tc>
        <w:tc>
          <w:tcPr>
            <w:tcW w:w="709" w:type="dxa"/>
            <w:vAlign w:val="center"/>
          </w:tcPr>
          <w:p>
            <w:pPr>
              <w:widowControl/>
              <w:spacing w:line="360" w:lineRule="auto"/>
              <w:jc w:val="center"/>
              <w:rPr>
                <w:rFonts w:hint="eastAsia" w:ascii="宋体" w:hAnsi="宋体" w:eastAsia="宋体" w:cs="宋体"/>
                <w:kern w:val="0"/>
                <w:szCs w:val="21"/>
                <w:lang w:eastAsia="zh-CN"/>
              </w:rPr>
            </w:pPr>
            <w:r>
              <w:rPr>
                <w:rFonts w:hint="eastAsia" w:ascii="宋体" w:hAnsi="宋体" w:cs="宋体"/>
                <w:szCs w:val="21"/>
                <w:lang w:val="en-US" w:eastAsia="zh-CN"/>
              </w:rPr>
              <w:t>2</w:t>
            </w:r>
          </w:p>
        </w:tc>
        <w:tc>
          <w:tcPr>
            <w:tcW w:w="5953" w:type="dxa"/>
            <w:vAlign w:val="center"/>
          </w:tcPr>
          <w:p>
            <w:pPr>
              <w:pStyle w:val="94"/>
              <w:spacing w:line="360" w:lineRule="auto"/>
              <w:ind w:firstLine="0" w:firstLineChars="0"/>
              <w:rPr>
                <w:rFonts w:ascii="宋体" w:hAnsi="宋体"/>
                <w:szCs w:val="21"/>
              </w:rPr>
            </w:pPr>
            <w:r>
              <w:rPr>
                <w:rFonts w:hint="eastAsia" w:ascii="宋体" w:hAnsi="宋体"/>
                <w:szCs w:val="21"/>
              </w:rPr>
              <w:t>（一）评审内容：</w:t>
            </w:r>
          </w:p>
          <w:p>
            <w:pPr>
              <w:pStyle w:val="94"/>
              <w:spacing w:line="360" w:lineRule="auto"/>
              <w:ind w:firstLine="0" w:firstLineChars="0"/>
              <w:rPr>
                <w:rFonts w:ascii="宋体" w:hAnsi="宋体"/>
                <w:szCs w:val="21"/>
              </w:rPr>
            </w:pPr>
            <w:r>
              <w:rPr>
                <w:rFonts w:hint="eastAsia" w:ascii="宋体" w:hAnsi="宋体"/>
                <w:szCs w:val="21"/>
              </w:rPr>
              <w:t>1、特殊情况紧急送货：</w:t>
            </w:r>
          </w:p>
          <w:p>
            <w:pPr>
              <w:pStyle w:val="94"/>
              <w:spacing w:line="360" w:lineRule="auto"/>
              <w:ind w:firstLine="0" w:firstLineChars="0"/>
              <w:rPr>
                <w:rFonts w:ascii="宋体" w:hAnsi="宋体"/>
                <w:szCs w:val="21"/>
              </w:rPr>
            </w:pPr>
            <w:r>
              <w:rPr>
                <w:rFonts w:hint="eastAsia" w:ascii="宋体" w:hAnsi="宋体"/>
                <w:szCs w:val="21"/>
              </w:rPr>
              <w:t>特殊情况紧急送货1小时内到达的，得</w:t>
            </w:r>
            <w:r>
              <w:rPr>
                <w:rFonts w:hint="eastAsia" w:ascii="宋体" w:hAnsi="宋体"/>
                <w:szCs w:val="21"/>
                <w:lang w:val="en-US" w:eastAsia="zh-CN"/>
              </w:rPr>
              <w:t>1</w:t>
            </w:r>
            <w:r>
              <w:rPr>
                <w:rFonts w:hint="eastAsia" w:ascii="宋体" w:hAnsi="宋体"/>
                <w:szCs w:val="21"/>
              </w:rPr>
              <w:t>分；</w:t>
            </w:r>
          </w:p>
          <w:p>
            <w:pPr>
              <w:pStyle w:val="94"/>
              <w:spacing w:line="360" w:lineRule="auto"/>
              <w:ind w:firstLine="0" w:firstLineChars="0"/>
              <w:rPr>
                <w:rFonts w:ascii="宋体" w:hAnsi="宋体"/>
                <w:szCs w:val="21"/>
              </w:rPr>
            </w:pPr>
            <w:r>
              <w:rPr>
                <w:rFonts w:hint="eastAsia" w:ascii="宋体" w:hAnsi="宋体"/>
                <w:szCs w:val="21"/>
              </w:rPr>
              <w:t>特殊情况紧急送货2小时内到达的，得</w:t>
            </w:r>
            <w:r>
              <w:rPr>
                <w:rFonts w:hint="eastAsia" w:ascii="宋体" w:hAnsi="宋体"/>
                <w:szCs w:val="21"/>
                <w:lang w:val="en-US" w:eastAsia="zh-CN"/>
              </w:rPr>
              <w:t>0.8</w:t>
            </w:r>
            <w:r>
              <w:rPr>
                <w:rFonts w:hint="eastAsia" w:ascii="宋体" w:hAnsi="宋体"/>
                <w:szCs w:val="21"/>
              </w:rPr>
              <w:t>分；</w:t>
            </w:r>
          </w:p>
          <w:p>
            <w:pPr>
              <w:pStyle w:val="94"/>
              <w:spacing w:line="360" w:lineRule="auto"/>
              <w:ind w:firstLine="0" w:firstLineChars="0"/>
              <w:rPr>
                <w:rFonts w:ascii="宋体" w:hAnsi="宋体"/>
                <w:szCs w:val="21"/>
              </w:rPr>
            </w:pPr>
            <w:r>
              <w:rPr>
                <w:rFonts w:hint="eastAsia" w:ascii="宋体" w:hAnsi="宋体"/>
                <w:szCs w:val="21"/>
              </w:rPr>
              <w:t>特殊情况紧急送货4小时内到达的，得</w:t>
            </w:r>
            <w:r>
              <w:rPr>
                <w:rFonts w:hint="eastAsia" w:ascii="宋体" w:hAnsi="宋体"/>
                <w:szCs w:val="21"/>
                <w:lang w:val="en-US" w:eastAsia="zh-CN"/>
              </w:rPr>
              <w:t>0.6</w:t>
            </w:r>
            <w:r>
              <w:rPr>
                <w:rFonts w:hint="eastAsia" w:ascii="宋体" w:hAnsi="宋体"/>
                <w:szCs w:val="21"/>
              </w:rPr>
              <w:t>分；</w:t>
            </w:r>
          </w:p>
          <w:p>
            <w:pPr>
              <w:pStyle w:val="94"/>
              <w:spacing w:line="360" w:lineRule="auto"/>
              <w:ind w:firstLine="0" w:firstLineChars="0"/>
              <w:rPr>
                <w:rFonts w:ascii="宋体" w:hAnsi="宋体"/>
                <w:szCs w:val="21"/>
              </w:rPr>
            </w:pPr>
            <w:r>
              <w:rPr>
                <w:rFonts w:hint="eastAsia" w:ascii="宋体" w:hAnsi="宋体"/>
                <w:szCs w:val="21"/>
              </w:rPr>
              <w:t>特殊情况紧急送货4小时以上到达的，不得分；</w:t>
            </w:r>
          </w:p>
          <w:p>
            <w:pPr>
              <w:pStyle w:val="94"/>
              <w:spacing w:line="360" w:lineRule="auto"/>
              <w:ind w:firstLine="0" w:firstLineChars="0"/>
              <w:rPr>
                <w:rFonts w:ascii="宋体" w:hAnsi="宋体"/>
                <w:szCs w:val="21"/>
              </w:rPr>
            </w:pPr>
            <w:r>
              <w:rPr>
                <w:rFonts w:hint="eastAsia" w:ascii="宋体" w:hAnsi="宋体"/>
                <w:szCs w:val="21"/>
              </w:rPr>
              <w:t>2、换货时间：</w:t>
            </w:r>
          </w:p>
          <w:p>
            <w:pPr>
              <w:pStyle w:val="94"/>
              <w:spacing w:line="360" w:lineRule="auto"/>
              <w:ind w:firstLine="0" w:firstLineChars="0"/>
              <w:rPr>
                <w:rFonts w:ascii="宋体" w:hAnsi="宋体"/>
                <w:szCs w:val="21"/>
              </w:rPr>
            </w:pPr>
            <w:r>
              <w:rPr>
                <w:rFonts w:hint="eastAsia" w:ascii="宋体" w:hAnsi="宋体"/>
                <w:szCs w:val="21"/>
              </w:rPr>
              <w:t>换货时间1小时内到达的，得</w:t>
            </w:r>
            <w:r>
              <w:rPr>
                <w:rFonts w:hint="eastAsia" w:ascii="宋体" w:hAnsi="宋体"/>
                <w:szCs w:val="21"/>
                <w:lang w:val="en-US" w:eastAsia="zh-CN"/>
              </w:rPr>
              <w:t>1</w:t>
            </w:r>
            <w:r>
              <w:rPr>
                <w:rFonts w:hint="eastAsia" w:ascii="宋体" w:hAnsi="宋体"/>
                <w:szCs w:val="21"/>
              </w:rPr>
              <w:t>分；</w:t>
            </w:r>
          </w:p>
          <w:p>
            <w:pPr>
              <w:pStyle w:val="94"/>
              <w:spacing w:line="360" w:lineRule="auto"/>
              <w:ind w:firstLine="0" w:firstLineChars="0"/>
              <w:rPr>
                <w:rFonts w:ascii="宋体" w:hAnsi="宋体"/>
                <w:szCs w:val="21"/>
              </w:rPr>
            </w:pPr>
            <w:r>
              <w:rPr>
                <w:rFonts w:hint="eastAsia" w:ascii="宋体" w:hAnsi="宋体"/>
                <w:szCs w:val="21"/>
              </w:rPr>
              <w:t>换货时间2小时内到达的，得</w:t>
            </w:r>
            <w:r>
              <w:rPr>
                <w:rFonts w:hint="eastAsia" w:ascii="宋体" w:hAnsi="宋体"/>
                <w:szCs w:val="21"/>
                <w:lang w:val="en-US" w:eastAsia="zh-CN"/>
              </w:rPr>
              <w:t>0.8</w:t>
            </w:r>
            <w:r>
              <w:rPr>
                <w:rFonts w:hint="eastAsia" w:ascii="宋体" w:hAnsi="宋体"/>
                <w:szCs w:val="21"/>
              </w:rPr>
              <w:t>分；</w:t>
            </w:r>
          </w:p>
          <w:p>
            <w:pPr>
              <w:pStyle w:val="94"/>
              <w:spacing w:line="360" w:lineRule="auto"/>
              <w:ind w:firstLine="0" w:firstLineChars="0"/>
              <w:rPr>
                <w:rFonts w:ascii="宋体" w:hAnsi="宋体"/>
                <w:szCs w:val="21"/>
              </w:rPr>
            </w:pPr>
            <w:r>
              <w:rPr>
                <w:rFonts w:hint="eastAsia" w:ascii="宋体" w:hAnsi="宋体"/>
                <w:szCs w:val="21"/>
              </w:rPr>
              <w:t>换货时间4小时内到达的，得</w:t>
            </w:r>
            <w:r>
              <w:rPr>
                <w:rFonts w:hint="eastAsia" w:ascii="宋体" w:hAnsi="宋体"/>
                <w:szCs w:val="21"/>
                <w:lang w:val="en-US" w:eastAsia="zh-CN"/>
              </w:rPr>
              <w:t>0.6</w:t>
            </w:r>
            <w:r>
              <w:rPr>
                <w:rFonts w:hint="eastAsia" w:ascii="宋体" w:hAnsi="宋体"/>
                <w:szCs w:val="21"/>
              </w:rPr>
              <w:t>分；</w:t>
            </w:r>
          </w:p>
          <w:p>
            <w:pPr>
              <w:pStyle w:val="94"/>
              <w:spacing w:line="360" w:lineRule="auto"/>
              <w:ind w:firstLine="0" w:firstLineChars="0"/>
              <w:rPr>
                <w:rFonts w:ascii="宋体" w:hAnsi="宋体"/>
                <w:szCs w:val="21"/>
              </w:rPr>
            </w:pPr>
            <w:r>
              <w:rPr>
                <w:rFonts w:hint="eastAsia" w:ascii="宋体" w:hAnsi="宋体"/>
                <w:szCs w:val="21"/>
              </w:rPr>
              <w:t>换货时间4小时以上到达的，不得分。</w:t>
            </w:r>
          </w:p>
          <w:p>
            <w:pPr>
              <w:pStyle w:val="94"/>
              <w:spacing w:line="360" w:lineRule="auto"/>
              <w:ind w:firstLine="0" w:firstLineChars="0"/>
              <w:rPr>
                <w:rFonts w:ascii="宋体" w:hAnsi="宋体"/>
                <w:b/>
                <w:bCs/>
                <w:szCs w:val="21"/>
              </w:rPr>
            </w:pPr>
            <w:r>
              <w:rPr>
                <w:rFonts w:hint="eastAsia" w:ascii="宋体" w:hAnsi="宋体"/>
                <w:b/>
                <w:bCs/>
                <w:szCs w:val="21"/>
              </w:rPr>
              <w:t>备注:以上评分为合计打分。两项分值最多不超过</w:t>
            </w:r>
            <w:r>
              <w:rPr>
                <w:rFonts w:hint="eastAsia" w:ascii="宋体" w:hAnsi="宋体"/>
                <w:b/>
                <w:bCs/>
                <w:szCs w:val="21"/>
                <w:lang w:val="en-US" w:eastAsia="zh-CN"/>
              </w:rPr>
              <w:t>2</w:t>
            </w:r>
            <w:r>
              <w:rPr>
                <w:rFonts w:hint="eastAsia" w:ascii="宋体" w:hAnsi="宋体"/>
                <w:b/>
                <w:bCs/>
                <w:szCs w:val="21"/>
              </w:rPr>
              <w:t>分。</w:t>
            </w:r>
          </w:p>
          <w:p>
            <w:pPr>
              <w:pStyle w:val="94"/>
              <w:spacing w:line="360" w:lineRule="auto"/>
              <w:ind w:firstLine="0" w:firstLineChars="0"/>
              <w:rPr>
                <w:rFonts w:ascii="宋体" w:hAnsi="宋体"/>
                <w:szCs w:val="21"/>
              </w:rPr>
            </w:pPr>
            <w:r>
              <w:rPr>
                <w:rFonts w:hint="eastAsia" w:ascii="宋体" w:hAnsi="宋体"/>
                <w:szCs w:val="21"/>
              </w:rPr>
              <w:t>（二）评分依据：</w:t>
            </w:r>
          </w:p>
          <w:p>
            <w:pPr>
              <w:pStyle w:val="94"/>
              <w:spacing w:line="360" w:lineRule="auto"/>
              <w:ind w:firstLine="0" w:firstLineChars="0"/>
              <w:rPr>
                <w:rFonts w:ascii="宋体" w:hAnsi="宋体"/>
                <w:szCs w:val="21"/>
              </w:rPr>
            </w:pPr>
            <w:r>
              <w:rPr>
                <w:rFonts w:hint="eastAsia" w:ascii="宋体" w:hAnsi="宋体"/>
                <w:szCs w:val="21"/>
              </w:rPr>
              <w:t>提供《特殊情况紧急送货及换货时间承诺函》(格式自定，需加盖投标人公章)作为得分依据，未提供承诺或承诺内容不满足要求不得分。</w:t>
            </w:r>
          </w:p>
        </w:tc>
        <w:tc>
          <w:tcPr>
            <w:tcW w:w="1187" w:type="dxa"/>
            <w:vAlign w:val="center"/>
          </w:tcPr>
          <w:p>
            <w:pPr>
              <w:spacing w:line="360" w:lineRule="auto"/>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auto"/>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auto"/>
              <w:jc w:val="center"/>
              <w:rPr>
                <w:rFonts w:ascii="宋体" w:hAnsi="宋体" w:cs="仿宋"/>
                <w:b/>
                <w:szCs w:val="21"/>
              </w:rPr>
            </w:pPr>
            <w:r>
              <w:rPr>
                <w:rFonts w:hint="eastAsia" w:ascii="宋体" w:hAnsi="宋体" w:cs="仿宋"/>
                <w:b/>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auto"/>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54" w:hRule="atLeast"/>
          <w:jc w:val="center"/>
        </w:trPr>
        <w:tc>
          <w:tcPr>
            <w:tcW w:w="754" w:type="dxa"/>
            <w:vAlign w:val="center"/>
          </w:tcPr>
          <w:p>
            <w:pPr>
              <w:autoSpaceDE w:val="0"/>
              <w:autoSpaceDN w:val="0"/>
              <w:adjustRightInd w:val="0"/>
              <w:spacing w:line="360" w:lineRule="auto"/>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widowControl/>
              <w:spacing w:line="360" w:lineRule="auto"/>
              <w:jc w:val="center"/>
              <w:rPr>
                <w:rFonts w:ascii="宋体" w:hAnsi="宋体" w:cs="仿宋"/>
                <w:kern w:val="0"/>
                <w:szCs w:val="21"/>
              </w:rPr>
            </w:pPr>
            <w:r>
              <w:rPr>
                <w:rFonts w:hint="eastAsia" w:ascii="宋体" w:hAnsi="宋体" w:cs="仿宋"/>
                <w:kern w:val="0"/>
                <w:szCs w:val="21"/>
              </w:rPr>
              <w:t>商务要求</w:t>
            </w:r>
          </w:p>
          <w:p>
            <w:pPr>
              <w:widowControl/>
              <w:spacing w:line="360" w:lineRule="auto"/>
              <w:jc w:val="center"/>
              <w:rPr>
                <w:rFonts w:ascii="宋体" w:hAnsi="宋体" w:cs="仿宋"/>
                <w:kern w:val="0"/>
                <w:szCs w:val="21"/>
              </w:rPr>
            </w:pPr>
            <w:r>
              <w:rPr>
                <w:rFonts w:hint="eastAsia" w:ascii="宋体" w:hAnsi="宋体" w:cs="仿宋"/>
                <w:kern w:val="0"/>
                <w:szCs w:val="21"/>
              </w:rPr>
              <w:t>偏离情况</w:t>
            </w:r>
          </w:p>
        </w:tc>
        <w:tc>
          <w:tcPr>
            <w:tcW w:w="709" w:type="dxa"/>
            <w:vAlign w:val="center"/>
          </w:tcPr>
          <w:p>
            <w:pPr>
              <w:widowControl/>
              <w:spacing w:line="360" w:lineRule="auto"/>
              <w:jc w:val="center"/>
              <w:rPr>
                <w:rFonts w:ascii="宋体" w:hAnsi="宋体" w:cs="仿宋"/>
                <w:kern w:val="0"/>
                <w:szCs w:val="21"/>
              </w:rPr>
            </w:pPr>
            <w:r>
              <w:rPr>
                <w:rFonts w:hint="eastAsia" w:ascii="宋体" w:hAnsi="宋体" w:cs="宋体"/>
                <w:szCs w:val="21"/>
              </w:rPr>
              <w:t>6</w:t>
            </w:r>
          </w:p>
        </w:tc>
        <w:tc>
          <w:tcPr>
            <w:tcW w:w="5953" w:type="dxa"/>
            <w:vAlign w:val="center"/>
          </w:tcPr>
          <w:p>
            <w:pPr>
              <w:autoSpaceDE w:val="0"/>
              <w:autoSpaceDN w:val="0"/>
              <w:adjustRightInd w:val="0"/>
              <w:spacing w:line="360" w:lineRule="auto"/>
              <w:jc w:val="left"/>
              <w:rPr>
                <w:rFonts w:ascii="宋体" w:hAnsi="宋体" w:cs="仿宋"/>
                <w:szCs w:val="21"/>
              </w:rPr>
            </w:pPr>
            <w:r>
              <w:rPr>
                <w:rFonts w:hint="eastAsia" w:ascii="宋体" w:hAnsi="宋体" w:cs="仿宋"/>
                <w:szCs w:val="21"/>
              </w:rPr>
              <w:t>投标人应如实填写《商务条款偏离表》，评审委员会根据投标人对商务要求的响应情况进行打分，各项商务要求全部满足得6分，每负偏离一项扣0.</w:t>
            </w:r>
            <w:r>
              <w:rPr>
                <w:rFonts w:hint="eastAsia" w:ascii="宋体" w:hAnsi="宋体" w:cs="仿宋"/>
                <w:szCs w:val="21"/>
                <w:lang w:val="en-US" w:eastAsia="zh-CN"/>
              </w:rPr>
              <w:t>6</w:t>
            </w:r>
            <w:r>
              <w:rPr>
                <w:rFonts w:hint="eastAsia" w:ascii="宋体" w:hAnsi="宋体" w:cs="仿宋"/>
                <w:szCs w:val="21"/>
              </w:rPr>
              <w:t>分，扣完为止。</w:t>
            </w:r>
          </w:p>
        </w:tc>
        <w:tc>
          <w:tcPr>
            <w:tcW w:w="1187" w:type="dxa"/>
            <w:vAlign w:val="center"/>
          </w:tcPr>
          <w:p>
            <w:pPr>
              <w:autoSpaceDE w:val="0"/>
              <w:autoSpaceDN w:val="0"/>
              <w:adjustRightInd w:val="0"/>
              <w:spacing w:line="360" w:lineRule="auto"/>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76" w:hRule="atLeast"/>
          <w:jc w:val="center"/>
        </w:trPr>
        <w:tc>
          <w:tcPr>
            <w:tcW w:w="754" w:type="dxa"/>
            <w:vAlign w:val="center"/>
          </w:tcPr>
          <w:p>
            <w:pPr>
              <w:autoSpaceDE w:val="0"/>
              <w:autoSpaceDN w:val="0"/>
              <w:adjustRightInd w:val="0"/>
              <w:spacing w:line="360" w:lineRule="auto"/>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auto"/>
              <w:jc w:val="center"/>
              <w:rPr>
                <w:rFonts w:ascii="宋体" w:hAnsi="宋体" w:cs="仿宋"/>
                <w:szCs w:val="21"/>
              </w:rPr>
            </w:pPr>
            <w:r>
              <w:rPr>
                <w:rFonts w:hint="eastAsia" w:ascii="宋体" w:hAnsi="宋体" w:cs="宋体"/>
                <w:color w:val="000000"/>
                <w:kern w:val="0"/>
                <w:szCs w:val="21"/>
              </w:rPr>
              <w:t>同类项目业绩情况</w:t>
            </w:r>
          </w:p>
        </w:tc>
        <w:tc>
          <w:tcPr>
            <w:tcW w:w="709" w:type="dxa"/>
            <w:vAlign w:val="center"/>
          </w:tcPr>
          <w:p>
            <w:pPr>
              <w:spacing w:line="360" w:lineRule="auto"/>
              <w:jc w:val="center"/>
              <w:rPr>
                <w:rFonts w:ascii="宋体" w:hAnsi="宋体" w:cs="仿宋"/>
                <w:szCs w:val="21"/>
              </w:rPr>
            </w:pPr>
            <w:r>
              <w:rPr>
                <w:rFonts w:hint="eastAsia" w:ascii="宋体" w:hAnsi="宋体" w:cs="仿宋"/>
                <w:szCs w:val="21"/>
              </w:rPr>
              <w:t>9</w:t>
            </w:r>
          </w:p>
        </w:tc>
        <w:tc>
          <w:tcPr>
            <w:tcW w:w="5953" w:type="dxa"/>
            <w:vAlign w:val="center"/>
          </w:tcPr>
          <w:p>
            <w:pPr>
              <w:pStyle w:val="94"/>
              <w:spacing w:line="360" w:lineRule="auto"/>
              <w:ind w:firstLine="0" w:firstLineChars="0"/>
              <w:rPr>
                <w:rFonts w:ascii="宋体" w:hAnsi="宋体"/>
                <w:szCs w:val="21"/>
              </w:rPr>
            </w:pPr>
            <w:r>
              <w:rPr>
                <w:rFonts w:hint="eastAsia" w:ascii="宋体" w:hAnsi="宋体"/>
                <w:szCs w:val="21"/>
              </w:rPr>
              <w:t>（一）评分内容：</w:t>
            </w:r>
          </w:p>
          <w:p>
            <w:pPr>
              <w:widowControl/>
              <w:spacing w:line="360" w:lineRule="auto"/>
              <w:rPr>
                <w:rFonts w:ascii="宋体" w:hAnsi="宋体" w:cs="仿宋"/>
                <w:szCs w:val="21"/>
              </w:rPr>
            </w:pPr>
            <w:r>
              <w:rPr>
                <w:rFonts w:hint="eastAsia" w:ascii="宋体" w:hAnsi="宋体" w:cs="宋体"/>
                <w:szCs w:val="21"/>
              </w:rPr>
              <w:t>202</w:t>
            </w:r>
            <w:r>
              <w:rPr>
                <w:rFonts w:hint="eastAsia" w:ascii="宋体" w:hAnsi="宋体" w:cs="宋体"/>
                <w:szCs w:val="21"/>
                <w:lang w:val="en-US" w:eastAsia="zh-CN"/>
              </w:rPr>
              <w:t>1</w:t>
            </w:r>
            <w:r>
              <w:rPr>
                <w:rFonts w:hint="eastAsia" w:ascii="宋体" w:hAnsi="宋体" w:cs="宋体"/>
                <w:szCs w:val="21"/>
              </w:rPr>
              <w:t>年1月1日至本项目投标截止日（以合同签订日期</w:t>
            </w:r>
            <w:r>
              <w:rPr>
                <w:rFonts w:hint="eastAsia" w:ascii="宋体" w:hAnsi="宋体"/>
                <w:szCs w:val="21"/>
              </w:rPr>
              <w:t>或合同中载明的履约起始日期</w:t>
            </w:r>
            <w:r>
              <w:rPr>
                <w:rFonts w:hint="eastAsia" w:ascii="宋体" w:hAnsi="宋体" w:cs="宋体"/>
                <w:szCs w:val="21"/>
              </w:rPr>
              <w:t>为准），投标人</w:t>
            </w:r>
            <w:r>
              <w:rPr>
                <w:rFonts w:hint="eastAsia" w:ascii="宋体" w:hAnsi="宋体" w:cs="仿宋"/>
                <w:szCs w:val="21"/>
              </w:rPr>
              <w:t>具有同类项目业绩的，每提供1个项目得3分，最高得9分。</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（二）评分依据：</w:t>
            </w:r>
          </w:p>
          <w:p>
            <w:pPr>
              <w:adjustRightInd w:val="0"/>
              <w:snapToGrid w:val="0"/>
              <w:spacing w:line="360" w:lineRule="auto"/>
              <w:rPr>
                <w:rFonts w:ascii="宋体" w:hAnsi="宋体"/>
                <w:szCs w:val="21"/>
              </w:rPr>
            </w:pPr>
            <w:r>
              <w:rPr>
                <w:rFonts w:hint="eastAsia" w:ascii="宋体" w:hAnsi="宋体" w:cs="仿宋"/>
                <w:szCs w:val="21"/>
              </w:rPr>
              <w:t>1. 提供合同关键页</w:t>
            </w:r>
            <w:r>
              <w:rPr>
                <w:rFonts w:hint="eastAsia" w:asciiTheme="minorEastAsia" w:hAnsiTheme="minorEastAsia" w:eastAsiaTheme="minorEastAsia"/>
                <w:bCs/>
                <w:szCs w:val="21"/>
              </w:rPr>
              <w:t>且各项信息不得有任何遮挡</w:t>
            </w:r>
            <w:r>
              <w:rPr>
                <w:rFonts w:hint="eastAsia" w:ascii="宋体" w:hAnsi="宋体"/>
                <w:szCs w:val="21"/>
              </w:rPr>
              <w:t>；</w:t>
            </w:r>
          </w:p>
          <w:p>
            <w:pPr>
              <w:widowControl/>
              <w:spacing w:line="360" w:lineRule="auto"/>
              <w:rPr>
                <w:rFonts w:ascii="宋体" w:hAnsi="宋体" w:cs="仿宋"/>
                <w:szCs w:val="21"/>
              </w:rPr>
            </w:pPr>
            <w:r>
              <w:rPr>
                <w:rFonts w:hint="eastAsia" w:ascii="宋体" w:hAnsi="宋体"/>
                <w:szCs w:val="21"/>
              </w:rPr>
              <w:t>2.</w:t>
            </w:r>
            <w:r>
              <w:rPr>
                <w:rFonts w:hint="eastAsia" w:ascii="宋体" w:hAnsi="宋体"/>
                <w:kern w:val="0"/>
                <w:szCs w:val="21"/>
              </w:rPr>
              <w:t xml:space="preserve"> 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spacing w:line="360" w:lineRule="auto"/>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81" w:hRule="atLeast"/>
          <w:jc w:val="center"/>
        </w:trPr>
        <w:tc>
          <w:tcPr>
            <w:tcW w:w="754" w:type="dxa"/>
            <w:vAlign w:val="center"/>
          </w:tcPr>
          <w:p>
            <w:pPr>
              <w:autoSpaceDE w:val="0"/>
              <w:autoSpaceDN w:val="0"/>
              <w:adjustRightInd w:val="0"/>
              <w:spacing w:line="360" w:lineRule="auto"/>
              <w:jc w:val="center"/>
              <w:rPr>
                <w:rFonts w:ascii="宋体" w:hAnsi="宋体" w:cs="仿宋"/>
                <w:szCs w:val="21"/>
                <w:lang w:val="zh-CN"/>
              </w:rPr>
            </w:pPr>
            <w:r>
              <w:rPr>
                <w:rFonts w:hint="eastAsia" w:ascii="宋体" w:hAnsi="宋体" w:cs="仿宋"/>
                <w:szCs w:val="21"/>
              </w:rPr>
              <w:t>3</w:t>
            </w:r>
          </w:p>
        </w:tc>
        <w:tc>
          <w:tcPr>
            <w:tcW w:w="1143" w:type="dxa"/>
            <w:vAlign w:val="center"/>
          </w:tcPr>
          <w:p>
            <w:pPr>
              <w:spacing w:line="360" w:lineRule="auto"/>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auto"/>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根据《深圳市财政局关于印发&lt;深圳市财政局政府采购供应商信用信息管理办法&gt;的通知》（深财规〔2023〕3号）相关规定，如供应商在全国范围内存在因政府采购违法、违规行为受到财政部门罚款等一般行政处罚信息，或者存在该办法第十一条所称在本市集中采购活动中的一般违法失信行为记录信息，且在公示期内的，本项不得分，否则得5分。</w:t>
            </w:r>
          </w:p>
          <w:p>
            <w:pPr>
              <w:tabs>
                <w:tab w:val="left" w:pos="175"/>
              </w:tabs>
              <w:spacing w:line="360" w:lineRule="auto"/>
              <w:jc w:val="left"/>
              <w:rPr>
                <w:rFonts w:ascii="宋体" w:hAnsi="宋体" w:cs="仿宋"/>
                <w:szCs w:val="21"/>
              </w:rPr>
            </w:pPr>
            <w:r>
              <w:rPr>
                <w:rFonts w:hint="eastAsia" w:asciiTheme="minorEastAsia" w:hAnsiTheme="minorEastAsia" w:eastAsiaTheme="minorEastAsia"/>
                <w:szCs w:val="21"/>
              </w:rPr>
              <w:t>（采购代理机构通过“信用中国”、“中国政府采购网”、“深圳市政府采购监管网”以及市、区财政部门认定的其他渠道查询供应商信用信息，投标人无需提供证明材料。）</w:t>
            </w:r>
          </w:p>
        </w:tc>
        <w:tc>
          <w:tcPr>
            <w:tcW w:w="1187" w:type="dxa"/>
            <w:vAlign w:val="center"/>
          </w:tcPr>
          <w:p>
            <w:pPr>
              <w:spacing w:line="360" w:lineRule="auto"/>
              <w:jc w:val="center"/>
              <w:rPr>
                <w:rFonts w:ascii="宋体" w:hAnsi="宋体" w:cs="仿宋"/>
                <w:szCs w:val="21"/>
                <w:lang w:val="zh-CN"/>
              </w:rPr>
            </w:pPr>
            <w:r>
              <w:rPr>
                <w:rFonts w:hint="eastAsia" w:ascii="宋体" w:hAnsi="宋体" w:cs="仿宋"/>
                <w:szCs w:val="21"/>
              </w:rPr>
              <w:t>评委打分</w:t>
            </w:r>
          </w:p>
        </w:tc>
      </w:tr>
    </w:tbl>
    <w:p>
      <w:pPr>
        <w:pStyle w:val="3"/>
        <w:spacing w:before="0" w:after="0"/>
        <w:jc w:val="left"/>
        <w:rPr>
          <w:rFonts w:asciiTheme="minorEastAsia" w:hAnsiTheme="minorEastAsia"/>
          <w:bCs w:val="0"/>
          <w:sz w:val="21"/>
          <w:szCs w:val="21"/>
        </w:rPr>
      </w:pPr>
      <w:bookmarkStart w:id="113" w:name="_GoBack"/>
      <w:bookmarkEnd w:id="113"/>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135293327"/>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135293328"/>
      <w:r>
        <w:rPr>
          <w:rFonts w:hint="eastAsia" w:asciiTheme="minorEastAsia" w:hAnsiTheme="minorEastAsia" w:eastAsiaTheme="minorEastAsia"/>
        </w:rPr>
        <w:t>2、政府采购扶持政策</w:t>
      </w:r>
      <w:bookmarkEnd w:id="16"/>
    </w:p>
    <w:p>
      <w:pPr>
        <w:spacing w:after="60" w:line="360" w:lineRule="auto"/>
        <w:ind w:firstLine="426" w:firstLineChars="202"/>
        <w:rPr>
          <w:rFonts w:ascii="宋体" w:hAnsi="宋体"/>
          <w:b/>
          <w:snapToGrid w:val="0"/>
          <w:szCs w:val="21"/>
        </w:rPr>
      </w:pPr>
      <w:r>
        <w:rPr>
          <w:rFonts w:hint="eastAsia" w:ascii="宋体" w:hAnsi="宋体"/>
          <w:b/>
          <w:snapToGrid w:val="0"/>
          <w:szCs w:val="21"/>
          <w:highlight w:val="yellow"/>
        </w:rPr>
        <w:t>（一）本项目所属行业为</w:t>
      </w:r>
      <w:r>
        <w:rPr>
          <w:rFonts w:hint="eastAsia" w:ascii="宋体" w:hAnsi="宋体"/>
          <w:b/>
          <w:snapToGrid w:val="0"/>
          <w:szCs w:val="21"/>
          <w:highlight w:val="yellow"/>
          <w:u w:val="single"/>
        </w:rPr>
        <w:t xml:space="preserve"> 工业 </w:t>
      </w:r>
      <w:r>
        <w:rPr>
          <w:rFonts w:hint="eastAsia" w:ascii="宋体" w:hAnsi="宋体"/>
          <w:b/>
          <w:snapToGrid w:val="0"/>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（二）价格评审优惠</w:t>
      </w:r>
    </w:p>
    <w:p>
      <w:pPr>
        <w:spacing w:line="360" w:lineRule="auto"/>
        <w:ind w:firstLine="371" w:firstLineChars="177"/>
        <w:rPr>
          <w:rFonts w:cs="仿宋" w:asciiTheme="minorEastAsia" w:hAnsiTheme="minorEastAsia" w:eastAsiaTheme="minorEastAsia"/>
          <w:szCs w:val="21"/>
        </w:rPr>
      </w:pPr>
      <w:r>
        <w:rPr>
          <w:rFonts w:hint="eastAsia" w:asciiTheme="minorEastAsia" w:hAnsiTheme="minorEastAsia" w:eastAsiaTheme="minorEastAsia"/>
          <w:szCs w:val="21"/>
        </w:rPr>
        <w:t>□</w:t>
      </w:r>
      <w:r>
        <w:rPr>
          <w:rFonts w:hint="eastAsia" w:ascii="Calibri" w:hAnsi="宋体"/>
        </w:rPr>
        <w:t>预留份额专门面向中小企业采购的采购项目或采购包</w:t>
      </w:r>
      <w:r>
        <w:rPr>
          <w:rFonts w:hint="eastAsia" w:cs="仿宋" w:asciiTheme="minorEastAsia" w:hAnsiTheme="minorEastAsia" w:eastAsiaTheme="minorEastAsia"/>
          <w:szCs w:val="21"/>
        </w:rPr>
        <w:t>：不执行价格评审优惠的扶持政策。</w:t>
      </w:r>
    </w:p>
    <w:p>
      <w:pPr>
        <w:widowControl/>
        <w:spacing w:line="360" w:lineRule="auto"/>
        <w:ind w:firstLine="371" w:firstLineChars="177"/>
        <w:jc w:val="left"/>
        <w:rPr>
          <w:rFonts w:cs="仿宋" w:asciiTheme="minorEastAsia" w:hAnsiTheme="minorEastAsia" w:eastAsiaTheme="minorEastAsia"/>
          <w:szCs w:val="21"/>
        </w:rPr>
      </w:pPr>
      <w:r>
        <w:rPr>
          <w:rFonts w:hint="eastAsia" w:ascii="宋体" w:eastAsia="MS Mincho" w:cs="MS Mincho" w:hAnsiTheme="minorEastAsia"/>
          <w:kern w:val="0"/>
          <w:szCs w:val="21"/>
        </w:rPr>
        <w:t>☑</w:t>
      </w:r>
      <w:r>
        <w:rPr>
          <w:rFonts w:hint="eastAsia" w:ascii="Segoe UI Symbol" w:hAnsi="Segoe UI Symbol"/>
        </w:rPr>
        <w:t>未</w:t>
      </w:r>
      <w:r>
        <w:rPr>
          <w:rFonts w:hint="eastAsia" w:ascii="Calibri" w:hAnsi="宋体"/>
        </w:rPr>
        <w:t>预留份额专门面向中小企业采购的采购项目或采购包</w:t>
      </w:r>
      <w:r>
        <w:rPr>
          <w:rFonts w:hint="eastAsia" w:asciiTheme="minorEastAsia" w:hAnsiTheme="minorEastAsia" w:eastAsiaTheme="minorEastAsia"/>
          <w:szCs w:val="21"/>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szCs w:val="22"/>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szCs w:val="22"/>
        </w:rPr>
        <w:t>其投标报价扣除</w:t>
      </w:r>
      <w:r>
        <w:rPr>
          <w:rFonts w:hint="eastAsia" w:asciiTheme="minorEastAsia" w:hAnsiTheme="minorEastAsia" w:eastAsiaTheme="minorEastAsia"/>
          <w:b/>
          <w:szCs w:val="22"/>
          <w:u w:val="single"/>
        </w:rPr>
        <w:t xml:space="preserve"> 10 </w:t>
      </w:r>
      <w:r>
        <w:rPr>
          <w:rFonts w:hint="eastAsia" w:asciiTheme="minorEastAsia" w:hAnsiTheme="minorEastAsia" w:eastAsiaTheme="minorEastAsia"/>
          <w:b/>
          <w:szCs w:val="22"/>
        </w:rPr>
        <w:t>%（请在10%-20%范围内选择）后参与评审</w:t>
      </w:r>
      <w:r>
        <w:rPr>
          <w:rFonts w:hint="eastAsia" w:asciiTheme="minorEastAsia" w:hAnsiTheme="minorEastAsia" w:eastAsiaTheme="minorEastAsia"/>
          <w:szCs w:val="22"/>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（2）联合协议中约定，小型、微型企业的协议合同金额占到联合体协议合同总金额30%以上的，可给予</w:t>
      </w:r>
      <w:r>
        <w:rPr>
          <w:rFonts w:hint="eastAsia" w:asciiTheme="minorEastAsia" w:hAnsiTheme="minorEastAsia" w:eastAsiaTheme="minorEastAsia"/>
          <w:b/>
          <w:szCs w:val="22"/>
        </w:rPr>
        <w:t>联合体</w:t>
      </w:r>
      <w:r>
        <w:rPr>
          <w:rFonts w:hint="eastAsia" w:asciiTheme="minorEastAsia" w:hAnsiTheme="minorEastAsia" w:eastAsiaTheme="minorEastAsia"/>
          <w:b/>
          <w:szCs w:val="22"/>
          <w:u w:val="single"/>
        </w:rPr>
        <w:t xml:space="preserve"> /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r>
        <w:rPr>
          <w:rFonts w:hint="eastAsia" w:asciiTheme="minorEastAsia" w:hAnsiTheme="minorEastAsia" w:eastAsiaTheme="minorEastAsia"/>
          <w:szCs w:val="22"/>
        </w:rPr>
        <w:t>。如联合体各方均为小型、微型企业，联合体视同为小型、微型企业，享受</w:t>
      </w:r>
      <w:r>
        <w:rPr>
          <w:rFonts w:hint="eastAsia" w:asciiTheme="minorEastAsia" w:hAnsiTheme="minorEastAsia" w:eastAsiaTheme="minorEastAsia"/>
          <w:b/>
          <w:szCs w:val="22"/>
        </w:rPr>
        <w:t>第（1）项</w:t>
      </w:r>
      <w:r>
        <w:rPr>
          <w:rFonts w:hint="eastAsia" w:asciiTheme="minorEastAsia" w:hAnsiTheme="minorEastAsia" w:eastAsiaTheme="minorEastAsia"/>
          <w:szCs w:val="22"/>
        </w:rPr>
        <w:t>的评审优惠。</w:t>
      </w:r>
    </w:p>
    <w:p>
      <w:pPr>
        <w:spacing w:after="60" w:line="360" w:lineRule="auto"/>
        <w:ind w:firstLine="424" w:firstLineChars="202"/>
        <w:rPr>
          <w:rFonts w:ascii="宋体" w:hAnsi="宋体"/>
          <w:szCs w:val="22"/>
        </w:rPr>
      </w:pPr>
      <w:r>
        <w:rPr>
          <w:rFonts w:hint="eastAsia" w:ascii="宋体" w:hAnsi="宋体"/>
          <w:szCs w:val="22"/>
        </w:rPr>
        <w:t>（3）分包意向协议约定，小型、微型企业的协议合同金额占到合同总金额30%以上的，可给予投标人</w:t>
      </w:r>
      <w:r>
        <w:rPr>
          <w:rFonts w:hint="eastAsia" w:ascii="宋体" w:hAnsi="宋体"/>
          <w:b/>
          <w:szCs w:val="22"/>
          <w:u w:val="single"/>
        </w:rPr>
        <w:t xml:space="preserve">  </w:t>
      </w:r>
      <w:r>
        <w:rPr>
          <w:rFonts w:hint="eastAsia" w:asciiTheme="minorEastAsia" w:hAnsiTheme="minorEastAsia" w:eastAsiaTheme="minorEastAsia"/>
          <w:b/>
          <w:szCs w:val="22"/>
          <w:u w:val="single"/>
        </w:rPr>
        <w:t xml:space="preserve">/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p>
    <w:p>
      <w:pPr>
        <w:spacing w:after="60" w:line="360" w:lineRule="auto"/>
        <w:ind w:firstLine="424" w:firstLineChars="202"/>
        <w:rPr>
          <w:rFonts w:ascii="宋体" w:hAnsi="宋体"/>
          <w:szCs w:val="22"/>
        </w:rPr>
      </w:pPr>
      <w:r>
        <w:rPr>
          <w:rFonts w:hint="eastAsia" w:ascii="宋体" w:hAnsi="宋体"/>
          <w:szCs w:val="22"/>
        </w:rPr>
        <w:t>（4）</w:t>
      </w:r>
      <w:r>
        <w:rPr>
          <w:rFonts w:hint="eastAsia" w:asciiTheme="minorEastAsia" w:hAnsiTheme="minorEastAsia" w:eastAsiaTheme="minorEastAsia"/>
          <w:szCs w:val="22"/>
        </w:rPr>
        <w:t>如供应商为</w:t>
      </w:r>
      <w:r>
        <w:rPr>
          <w:rFonts w:hint="eastAsia" w:ascii="Calibri" w:hAnsi="宋体"/>
          <w:szCs w:val="22"/>
        </w:rPr>
        <w:t>监狱企业</w:t>
      </w:r>
      <w:r>
        <w:rPr>
          <w:rFonts w:hint="eastAsia" w:ascii="Calibri" w:hAnsi="宋体"/>
          <w:szCs w:val="21"/>
        </w:rPr>
        <w:t>或残疾人福利性单位，</w:t>
      </w:r>
      <w:r>
        <w:rPr>
          <w:rFonts w:hint="eastAsia" w:ascii="Calibri" w:hAnsi="宋体"/>
          <w:szCs w:val="22"/>
        </w:rPr>
        <w:t>视同</w:t>
      </w:r>
      <w:r>
        <w:rPr>
          <w:rFonts w:hint="eastAsia" w:asciiTheme="minorEastAsia" w:hAnsiTheme="minorEastAsia" w:eastAsiaTheme="minorEastAsia"/>
          <w:szCs w:val="22"/>
        </w:rPr>
        <w:t>小型、微型企业，</w:t>
      </w:r>
      <w:r>
        <w:rPr>
          <w:rFonts w:hint="eastAsia" w:ascii="Calibri" w:hAnsi="宋体"/>
          <w:szCs w:val="22"/>
        </w:rPr>
        <w:t>享受以上预留份额、评审中价格扣除等政府采购促进中小企业发展的政府采购政策；</w:t>
      </w:r>
      <w:r>
        <w:rPr>
          <w:rFonts w:hint="eastAsia" w:asciiTheme="minorEastAsia" w:hAnsiTheme="minorEastAsia" w:eastAsiaTheme="minorEastAsia"/>
          <w:szCs w:val="22"/>
        </w:rPr>
        <w:t>对于同时属于小型、微型企业、监狱企业或残疾人福利性单位的供应商，不重复享受政策。</w:t>
      </w:r>
    </w:p>
    <w:p>
      <w:pPr>
        <w:spacing w:after="60" w:line="360" w:lineRule="auto"/>
        <w:ind w:firstLine="424" w:firstLineChars="202"/>
        <w:rPr>
          <w:rFonts w:ascii="宋体" w:hAnsi="宋体"/>
          <w:szCs w:val="22"/>
        </w:rPr>
      </w:pPr>
      <w:r>
        <w:rPr>
          <w:rFonts w:hint="eastAsia" w:ascii="宋体" w:hAnsi="宋体"/>
          <w:szCs w:val="22"/>
        </w:rPr>
        <w:t>（5）优惠主体资格的认定资料为《中小企业声明函》、《残疾人福利性单位声明函》以及《监狱企业声明函》等承诺性质的资料；监狱企业或者代理提供监狱企业货物的供应商如需享受优惠政策，除上述资料外，还须提供省级以上监狱管理局、戒毒管理局出具的监狱企业证明文件。</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（三）绿色采购</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（1）投标产品属于《关于调整优化节能产品环境标志产品政府采购执行机制的通知》（财库〔2019〕9号）、《关于印发环境标志产品政府采购品目清单的通知》（财库〔2019〕18号）和《关于印发节能产品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autoSpaceDE w:val="0"/>
        <w:autoSpaceDN w:val="0"/>
        <w:adjustRightInd w:val="0"/>
        <w:spacing w:line="360" w:lineRule="auto"/>
        <w:ind w:firstLine="369" w:firstLineChars="176"/>
        <w:jc w:val="left"/>
        <w:rPr>
          <w:rFonts w:ascii="宋体" w:hAnsi="宋体" w:eastAsia="黑体"/>
          <w:b/>
          <w:bCs/>
          <w:kern w:val="44"/>
          <w:sz w:val="28"/>
          <w:szCs w:val="44"/>
        </w:rPr>
      </w:pPr>
      <w:r>
        <w:rPr>
          <w:rFonts w:hint="eastAsia" w:asciiTheme="minorEastAsia" w:hAnsiTheme="minorEastAsia" w:eastAsiaTheme="minorEastAsia"/>
          <w:szCs w:val="21"/>
        </w:rPr>
        <w:t>（2）按照《深圳市财政局关于大力推广政府绿色采购有关事项的通知（深财购〔2023〕49号）》相关要求，严格执行绿色采购需求标准。采购单位严格执行《商品包装政府采购需求标准（试行）》、《快递包装政府采购需求标准（试行）》（财办库〔2020〕123号）、《绿色建筑和绿色建材政府采购需求标准》（财办库〔2022〕35号）、《绿色数据中心政府采购需求标准（试行）》（财办库〔2023〕7号）等需求标准，依据相关需求标准确定采购需求，在采购文件和采购合同中载明具体需求、履约验收条款和违约责任，促进绿色包装、绿色运输、绿色建筑、绿色建材和绿色数据中心在政府采购领域的应用。加大新能源汽车采购力度。积极推广合同能源管理。鼓励公共机构推广应用合同能源管理，借助市场化手段，通过实施应用节能新技术、新产品，不断提高能源利用效率，为公共机构节能减排提供有力支持和保障。</w:t>
      </w:r>
    </w:p>
    <w:p>
      <w:pPr>
        <w:spacing w:line="360" w:lineRule="auto"/>
        <w:ind w:firstLine="422" w:firstLineChars="200"/>
        <w:rPr>
          <w:rFonts w:ascii="宋体" w:hAnsi="宋体"/>
          <w:b/>
          <w:szCs w:val="21"/>
        </w:rPr>
      </w:pPr>
      <w:r>
        <w:rPr>
          <w:rFonts w:hint="eastAsia" w:asciiTheme="minorEastAsia" w:hAnsiTheme="minorEastAsia" w:eastAsiaTheme="minorEastAsia"/>
          <w:b/>
          <w:szCs w:val="21"/>
        </w:rPr>
        <w:t>（四）</w:t>
      </w:r>
      <w:r>
        <w:rPr>
          <w:rFonts w:hint="eastAsia"/>
          <w:b/>
        </w:rPr>
        <w:t>其他说明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p>
    <w:p>
      <w:pPr>
        <w:spacing w:line="240" w:lineRule="exact"/>
        <w:ind w:firstLine="424" w:firstLineChars="202"/>
        <w:jc w:val="left"/>
        <w:rPr>
          <w:rFonts w:asciiTheme="minorEastAsia" w:hAnsiTheme="minorEastAsia" w:eastAsiaTheme="minorEastAsia"/>
          <w:szCs w:val="21"/>
        </w:rPr>
      </w:pPr>
    </w:p>
    <w:p>
      <w:pPr>
        <w:spacing w:line="240" w:lineRule="exact"/>
        <w:ind w:firstLine="424" w:firstLineChars="202"/>
        <w:jc w:val="left"/>
        <w:rPr>
          <w:rFonts w:asciiTheme="minorEastAsia" w:hAnsiTheme="minorEastAsia" w:eastAsiaTheme="minorEastAsia"/>
          <w:szCs w:val="21"/>
        </w:rPr>
      </w:pPr>
    </w:p>
    <w:p>
      <w:pPr>
        <w:spacing w:line="240" w:lineRule="exact"/>
        <w:ind w:firstLine="424" w:firstLineChars="202"/>
        <w:jc w:val="left"/>
        <w:rPr>
          <w:rFonts w:asciiTheme="minorEastAsia" w:hAnsiTheme="minorEastAsia" w:eastAsiaTheme="minorEastAsia"/>
          <w:szCs w:val="21"/>
        </w:rPr>
      </w:pPr>
    </w:p>
    <w:p>
      <w:pPr>
        <w:spacing w:line="240" w:lineRule="exact"/>
        <w:ind w:firstLine="424" w:firstLineChars="202"/>
        <w:jc w:val="left"/>
        <w:rPr>
          <w:rFonts w:asciiTheme="minorEastAsia" w:hAnsiTheme="minorEastAsia" w:eastAsiaTheme="minorEastAsia"/>
          <w:szCs w:val="21"/>
        </w:rPr>
      </w:pPr>
    </w:p>
    <w:p>
      <w:pPr>
        <w:spacing w:line="240" w:lineRule="exact"/>
        <w:ind w:firstLine="424" w:firstLineChars="202"/>
        <w:jc w:val="left"/>
        <w:rPr>
          <w:rFonts w:asciiTheme="minorEastAsia" w:hAnsiTheme="minorEastAsia" w:eastAsiaTheme="minorEastAsia"/>
          <w:szCs w:val="21"/>
        </w:rPr>
      </w:pPr>
    </w:p>
    <w:p>
      <w:pPr>
        <w:widowControl/>
        <w:jc w:val="left"/>
        <w:rPr>
          <w:rFonts w:asciiTheme="minorEastAsia" w:hAnsiTheme="minorEastAsia" w:eastAsiaTheme="minorEastAsia"/>
          <w:szCs w:val="21"/>
        </w:rPr>
      </w:pPr>
      <w:r>
        <w:rPr>
          <w:rFonts w:asciiTheme="minorEastAsia" w:hAnsiTheme="minorEastAsia" w:eastAsiaTheme="minorEastAsia"/>
          <w:szCs w:val="21"/>
        </w:rPr>
        <w:br w:type="page"/>
      </w:r>
    </w:p>
    <w:p>
      <w:pPr>
        <w:pStyle w:val="2"/>
      </w:pPr>
      <w:bookmarkStart w:id="17" w:name="_Toc135293329"/>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rPr>
                <w:rFonts w:hint="eastAsia" w:eastAsia="宋体"/>
                <w:lang w:eastAsia="zh-CN"/>
              </w:rPr>
            </w:pPr>
            <w:r>
              <w:rPr>
                <w:rFonts w:hint="eastAsia" w:asciiTheme="minorEastAsia" w:hAnsiTheme="minorEastAsia" w:eastAsiaTheme="minorEastAsia"/>
                <w:lang w:eastAsia="zh-CN"/>
              </w:rPr>
              <w:t>深圳市疾病预防控制中心流感试剂一批采购项目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Ansi="宋体"/>
                <w:szCs w:val="24"/>
              </w:rPr>
              <w:t>深圳市疾病预防控制中心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r>
              <w:rPr>
                <w:rFonts w:hint="eastAsia"/>
                <w:snapToGrid w:val="0"/>
              </w:rPr>
              <w:t>，由各投标人自行查看现场。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投标文件必须标注页码并装订成册</w:t>
            </w:r>
            <w:r>
              <w:rPr>
                <w:rFonts w:hint="eastAsia" w:asciiTheme="minorEastAsia" w:hAnsiTheme="minorEastAsia" w:eastAsiaTheme="minorEastAsi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asciiTheme="minorEastAsia" w:hAnsiTheme="minorEastAsia" w:eastAsiaTheme="minorEastAsia"/>
                <w:szCs w:val="21"/>
              </w:rPr>
            </w:pPr>
            <w:r>
              <w:rPr>
                <w:rFonts w:hint="eastAsia" w:asciiTheme="minorEastAsia" w:hAnsiTheme="minorEastAsia" w:eastAsiaTheme="minorEastAsia"/>
                <w:szCs w:val="21"/>
              </w:rPr>
              <w:t>按深财购[2018]27号文件规定的代理费用参考标准，向中标供应商收取中标服务费，具体如下：</w:t>
            </w:r>
          </w:p>
          <w:p>
            <w:pPr>
              <w:pStyle w:val="26"/>
              <w:spacing w:line="360" w:lineRule="auto"/>
              <w:rPr>
                <w:rFonts w:asciiTheme="minorEastAsia" w:hAnsiTheme="minorEastAsia" w:eastAsiaTheme="minorEastAsia"/>
              </w:rPr>
            </w:pPr>
            <w:r>
              <w:rPr>
                <w:rFonts w:hint="eastAsia" w:hAnsi="宋体" w:eastAsia="MS Mincho" w:cs="MS Mincho"/>
                <w:sz w:val="24"/>
                <w:szCs w:val="24"/>
              </w:rPr>
              <w:t>☑</w:t>
            </w:r>
            <w:r>
              <w:rPr>
                <w:rFonts w:hint="eastAsia" w:asciiTheme="minorEastAsia" w:hAnsiTheme="minorEastAsia" w:eastAsiaTheme="minorEastAsia"/>
                <w:szCs w:val="21"/>
              </w:rPr>
              <w:t>以中标金额作为计算依据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%，最低收取人民币7000元。</w:t>
            </w:r>
          </w:p>
          <w:p>
            <w:pPr>
              <w:pStyle w:val="26"/>
              <w:spacing w:line="360" w:lineRule="auto"/>
              <w:rPr>
                <w:rFonts w:hAnsi="宋体"/>
              </w:rPr>
            </w:pPr>
            <w:r>
              <w:rPr>
                <w:rFonts w:hint="eastAsia" w:hAnsi="宋体"/>
              </w:rPr>
              <w:t>□</w:t>
            </w:r>
            <w:r>
              <w:rPr>
                <w:rFonts w:hint="eastAsia" w:asciiTheme="minorEastAsia" w:hAnsiTheme="minorEastAsia" w:eastAsiaTheme="minorEastAsia"/>
                <w:szCs w:val="21"/>
              </w:rPr>
              <w:t>以预算金额（支付上限）作为计算依据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%，收取中标服务费：人民币</w:t>
            </w:r>
            <w:r>
              <w:rPr>
                <w:rFonts w:hint="eastAsia" w:asciiTheme="minorEastAsia" w:hAnsiTheme="minorEastAsia" w:eastAsiaTheme="minorEastAsia"/>
                <w:u w:val="single"/>
              </w:rPr>
              <w:t xml:space="preserve">        </w:t>
            </w:r>
            <w:r>
              <w:rPr>
                <w:rFonts w:hint="eastAsia" w:asciiTheme="minorEastAsia" w:hAnsiTheme="minorEastAsia" w:eastAsiaTheme="minorEastAsia"/>
              </w:rPr>
              <w:t>元。</w:t>
            </w:r>
          </w:p>
        </w:tc>
      </w:tr>
    </w:tbl>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pStyle w:val="2"/>
      </w:pPr>
      <w:bookmarkStart w:id="18" w:name="_Toc135293330"/>
      <w:r>
        <w:rPr>
          <w:rFonts w:hint="eastAsia"/>
        </w:rPr>
        <w:t>第六章  投标人须知</w:t>
      </w:r>
      <w:bookmarkEnd w:id="18"/>
    </w:p>
    <w:p>
      <w:pPr>
        <w:pStyle w:val="3"/>
        <w:spacing w:before="0" w:after="0"/>
      </w:pPr>
      <w:bookmarkStart w:id="19" w:name="_Toc135293331"/>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上述采购根据采购单位内部规定，参照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  “货物”是指各种形态和种类的物品，包括原材料、燃料、设备、产品等。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本项目按前附表第7项的规定安排现场踏勘，以便投标人获取须自己负责的有关编制投标文件和签署合同所需的所有资料。踏勘现场所发生的费用由投标人自己承担。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3"/>
        <w:spacing w:before="0" w:after="0"/>
      </w:pPr>
      <w:bookmarkStart w:id="21" w:name="_Toc135293332"/>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3"/>
        <w:spacing w:before="0" w:after="0"/>
      </w:pPr>
      <w:bookmarkStart w:id="22" w:name="q6"/>
      <w:bookmarkEnd w:id="22"/>
      <w:bookmarkStart w:id="23" w:name="_Toc135293333"/>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hint="eastAsia"/>
          <w:snapToGrid w:val="0"/>
          <w:kern w:val="0"/>
          <w:szCs w:val="21"/>
        </w:rPr>
        <w:t>法定代表人（负责人）证明书及授权委托书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（6）投标函（投标文件格式3）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（14）招标文件要求的其他资料或投标人认为需要补充的资料（投标文件格式12）</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（17）产品样品或产品样板（如有）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投标货物的单价和投标总价。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投标人必须提交证明其有资格进行投标，和中标后有能力履行合同的证明文件（投标文件格式1与格式10），作为投标文件的一部分。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中标人的投标保证金，采购代理机构将在中标人签订合同并支付中标服务费后5个工作日内退还。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17.6  投标文件必须标注页码并装订成册。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17.7  投标文件不符合上述规定的，为无效投标。</w:t>
      </w:r>
    </w:p>
    <w:p>
      <w:pPr>
        <w:adjustRightInd w:val="0"/>
        <w:spacing w:line="360" w:lineRule="auto"/>
        <w:rPr>
          <w:rFonts w:asciiTheme="minorEastAsia" w:hAnsiTheme="minorEastAsia" w:eastAsiaTheme="minorEastAsia"/>
          <w:snapToGrid w:val="0"/>
          <w:kern w:val="0"/>
        </w:rPr>
      </w:pPr>
    </w:p>
    <w:p>
      <w:pPr>
        <w:pStyle w:val="3"/>
        <w:spacing w:before="0" w:after="0"/>
      </w:pPr>
      <w:bookmarkStart w:id="24" w:name="q7"/>
      <w:bookmarkEnd w:id="24"/>
      <w:bookmarkStart w:id="25" w:name="_Toc135293334"/>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w:t>
      </w:r>
      <w:r>
        <w:rPr>
          <w:rFonts w:hint="eastAsia" w:asciiTheme="minorEastAsia" w:hAnsiTheme="minorEastAsia" w:eastAsiaTheme="minorEastAsia"/>
          <w:snapToGrid w:val="0"/>
          <w:kern w:val="0"/>
        </w:rPr>
        <w:t>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将投标文件“正本”、“副本”和密封好的“备份光盘（或U盘）”一起封装在同一个外层包封中，同时还应在封套上载明以下信息：</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w:t>
      </w:r>
      <w:r>
        <w:rPr>
          <w:rFonts w:hint="eastAsia" w:asciiTheme="minorEastAsia" w:hAnsiTheme="minorEastAsia" w:eastAsiaTheme="minorEastAsia"/>
          <w:snapToGrid w:val="0"/>
          <w:kern w:val="0"/>
        </w:rPr>
        <w:t>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投标人应将“法定代表人（负责人）证明书、法定代表人（负责人）授权委托书”和“开标一览表”单独密封于一信封，在递交投标文件时单独交予</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3"/>
        <w:spacing w:before="0" w:after="0"/>
      </w:pPr>
      <w:bookmarkStart w:id="27" w:name="q8"/>
      <w:bookmarkEnd w:id="27"/>
      <w:bookmarkStart w:id="28" w:name="_Toc135293335"/>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22.2.3  投标人未参加开标的，视同认可开标结果。投标人不足3家的，不得开标。</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招标机构就投标文件中的资格证明等内容对投标供应商进行资格性审查，审查不合格的，认定其投标无效。合格投标人不足3家的，不得评标。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zCs w:val="21"/>
        </w:rPr>
        <w:t>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24.8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snapToGrid w:val="0"/>
          <w:kern w:val="0"/>
        </w:rPr>
      </w:pPr>
      <w:r>
        <w:rPr>
          <w:rFonts w:hint="eastAsia" w:asciiTheme="minorEastAsia" w:hAnsiTheme="minorEastAsia" w:eastAsiaTheme="minorEastAsia"/>
          <w:snapToGrid w:val="0"/>
          <w:kern w:val="0"/>
        </w:rPr>
        <w:t xml:space="preserve">24.9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24.10 经</w:t>
      </w:r>
      <w:r>
        <w:rPr>
          <w:rFonts w:hint="eastAsia"/>
          <w:snapToGrid w:val="0"/>
          <w:kern w:val="0"/>
        </w:rPr>
        <w:t>评标委员会审查，</w:t>
      </w:r>
      <w:r>
        <w:rPr>
          <w:rFonts w:hint="eastAsia" w:ascii="宋体" w:hAnsi="宋体" w:cs="仿宋_GB2312"/>
          <w:kern w:val="0"/>
          <w:szCs w:val="21"/>
        </w:rPr>
        <w:t>有效投标的供应商不足三家的，按公开招标失败处理。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评标方法和标准”所述进行详细评审，并推荐候选中标供应商。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3"/>
        <w:spacing w:before="0" w:after="0"/>
      </w:pPr>
      <w:bookmarkStart w:id="30" w:name="_Toc135293336"/>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w:pict>
                <v:line id="直线 6" o:spid="_x0000_s3102" o:spt="20" style="position:absolute;left:0pt;flip:x y;margin-left:48.8pt;margin-top:0.9pt;height:57.65pt;width:114.3pt;z-index:251665408;mso-width-relative:page;mso-height-relative:page;" coordsize="21600,21600" o:allowincell="f" o:gfxdata="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o4KQdAAAAAIAQAADwAAAAAAAAABACAA&#10;AAAiAAAAZHJzL2Rvd25yZXYueG1sUEsBAhQAFAAAAAgAh07iQCuupHzcAQAApgMAAA4AAAAAAAAA&#10;AQAgAAAAHwEAAGRycy9lMm9Eb2MueG1sUEsFBgAAAAAGAAYAWQEAAG0FAAAAAA==&#10;">
                  <v:path arrowok="t"/>
                  <v:fill focussize="0,0"/>
                  <v:stroke/>
                  <v:imagedata o:title=""/>
                  <o:lock v:ext="edit"/>
                </v:line>
              </w:pict>
            </w:r>
            <w:r>
              <w:rPr>
                <w:rFonts w:ascii="宋体" w:hAnsi="宋体"/>
                <w:b/>
                <w:szCs w:val="21"/>
              </w:rPr>
              <w:pict>
                <v:line id="直线 7" o:spid="_x0000_s3103" o:spt="20" style="position:absolute;left:0pt;flip:x y;margin-left:7.1pt;margin-top:25.35pt;height:33.2pt;width:156pt;z-index:251666432;mso-width-relative:page;mso-height-relative:page;" coordsize="21600,21600" o:allowincell="f" o:gfxdata="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gVUKbUAAAACgEAAA8AAAAAAAAA&#10;AQAgAAAAIgAAAGRycy9kb3ducmV2LnhtbFBLAQIUABQAAAAIAIdO4kClKU/S3AEAAKYDAAAOAAAA&#10;AAAAAAEAIAAAACMBAABkcnMvZTJvRG9jLnhtbFBLBQYAAAAABgAGAFkBAABxBQAAAAA=&#10;">
                  <v:path arrowok="t"/>
                  <v:fill focussize="0,0"/>
                  <v:stroke/>
                  <v:imagedata o:title=""/>
                  <o:lock v:ext="edit"/>
                </v:line>
              </w:pict>
            </w:r>
            <w:r>
              <w:rPr>
                <w:rFonts w:ascii="宋体" w:hAnsi="宋体"/>
                <w:b/>
                <w:szCs w:val="21"/>
              </w:rPr>
              <w:pict>
                <v:line id="直线 5" o:spid="_x0000_s3101" o:spt="20" style="position:absolute;left:0pt;margin-left:-9pt;margin-top:-0.5pt;height:0pt;width:0.05pt;z-index:251664384;mso-width-relative:page;mso-height-relative:page;" coordsize="21600,21600" o:allowincell="f" o:gfxdata="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0d729IAAAAJAQAADwAAAAAAAAABACAAAAAiAAAAZHJzL2Rvd25yZXYueG1s&#10;UEsBAhQAFAAAAAgAh07iQPoFRwzFAQAAhwMAAA4AAAAAAAAAAQAgAAAAIQEAAGRycy9lMm9Eb2Mu&#10;eG1sUEsFBgAAAAAGAAYAWQEAAFgFAAAAAA==&#10;">
                  <v:path arrowok="t"/>
                  <v:fill focussize="0,0"/>
                  <v:stroke/>
                  <v:imagedata o:title=""/>
                  <o:lock v:ext="edit"/>
                </v:line>
              </w:pic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spacing w:line="360" w:lineRule="auto"/>
        <w:ind w:firstLine="1044" w:firstLineChars="200"/>
        <w:rPr>
          <w:b/>
          <w:sz w:val="52"/>
          <w:szCs w:val="52"/>
        </w:rPr>
      </w:pPr>
    </w:p>
    <w:p>
      <w:pPr>
        <w:pStyle w:val="3"/>
        <w:spacing w:before="0" w:after="0"/>
      </w:pPr>
      <w:bookmarkStart w:id="31" w:name="_Toc135293337"/>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35.7质疑答复时限</w:t>
      </w:r>
    </w:p>
    <w:p>
      <w:pPr>
        <w:spacing w:line="360" w:lineRule="auto"/>
        <w:ind w:firstLine="424" w:firstLineChars="202"/>
        <w:rPr>
          <w:rFonts w:asciiTheme="majorEastAsia" w:hAnsiTheme="majorEastAsia" w:eastAsiaTheme="majorEastAsia"/>
          <w:szCs w:val="21"/>
        </w:rPr>
      </w:pPr>
      <w:r>
        <w:rPr>
          <w:rFonts w:hint="eastAsia" w:asciiTheme="majorEastAsia" w:hAnsiTheme="majorEastAsia" w:eastAsiaTheme="majorEastAsia"/>
          <w:szCs w:val="21"/>
        </w:rPr>
        <w:t>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35.8投诉</w:t>
      </w:r>
    </w:p>
    <w:p>
      <w:pPr>
        <w:spacing w:line="360" w:lineRule="auto"/>
        <w:ind w:firstLine="424" w:firstLineChars="202"/>
        <w:rPr>
          <w:rFonts w:asciiTheme="majorEastAsia" w:hAnsiTheme="majorEastAsia" w:eastAsiaTheme="majorEastAsia"/>
          <w:szCs w:val="21"/>
        </w:rPr>
      </w:pPr>
      <w:r>
        <w:rPr>
          <w:rFonts w:hint="eastAsia" w:asciiTheme="majorEastAsia" w:hAnsiTheme="majorEastAsia" w:eastAsiaTheme="majorEastAsia"/>
          <w:szCs w:val="21"/>
        </w:rPr>
        <w:t>对质疑答复不满意或者未在规定时间内答复的，提出质疑的供应商可以在答复期满后15个工作日内向同级财政部门投诉。</w:t>
      </w:r>
      <w:bookmarkEnd w:id="32"/>
    </w:p>
    <w:p/>
    <w:p/>
    <w:p/>
    <w:p/>
    <w:p/>
    <w:p/>
    <w:p/>
    <w:p>
      <w:pPr>
        <w:pStyle w:val="2"/>
      </w:pPr>
      <w:bookmarkStart w:id="34" w:name="_Toc135293338"/>
      <w:r>
        <w:rPr>
          <w:rFonts w:hint="eastAsia"/>
        </w:rPr>
        <w:t>第七章  投标文件格式</w:t>
      </w:r>
      <w:bookmarkEnd w:id="34"/>
    </w:p>
    <w:p>
      <w:pPr>
        <w:jc w:val="center"/>
        <w:rPr>
          <w:b/>
          <w:sz w:val="52"/>
          <w:szCs w:val="52"/>
        </w:rPr>
      </w:pPr>
    </w:p>
    <w:p>
      <w:pPr>
        <w:pStyle w:val="3"/>
        <w:spacing w:line="400" w:lineRule="exact"/>
        <w:rPr>
          <w:rFonts w:ascii="仿宋" w:hAnsi="仿宋" w:eastAsia="仿宋"/>
        </w:rPr>
      </w:pPr>
      <w:bookmarkStart w:id="35" w:name="_Toc44691395"/>
      <w:bookmarkStart w:id="36" w:name="_Toc44690704"/>
      <w:bookmarkStart w:id="37" w:name="_Toc135293339"/>
      <w:bookmarkStart w:id="38" w:name="_Toc31468"/>
      <w:bookmarkStart w:id="39" w:name="_Toc44691163"/>
      <w:bookmarkStart w:id="40" w:name="_Toc44690431"/>
      <w:bookmarkStart w:id="41" w:name="_Toc11772"/>
      <w:bookmarkStart w:id="42" w:name="_Toc14934"/>
      <w:bookmarkStart w:id="43" w:name="_Toc25194"/>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95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名称</w:t>
            </w:r>
          </w:p>
        </w:tc>
        <w:tc>
          <w:tcPr>
            <w:tcW w:w="3004"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内容规定</w:t>
            </w:r>
          </w:p>
        </w:tc>
        <w:tc>
          <w:tcPr>
            <w:tcW w:w="416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95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投标文件的组成</w:t>
            </w:r>
          </w:p>
        </w:tc>
        <w:tc>
          <w:tcPr>
            <w:tcW w:w="3004"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95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投标文件的密封和标记</w:t>
            </w:r>
          </w:p>
        </w:tc>
        <w:tc>
          <w:tcPr>
            <w:tcW w:w="3004"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详见第六章“投标人须知”第17-18条</w:t>
            </w:r>
          </w:p>
        </w:tc>
        <w:tc>
          <w:tcPr>
            <w:tcW w:w="4161" w:type="dxa"/>
            <w:vAlign w:val="center"/>
          </w:tcPr>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投标文件应按以下两部分，分别密封包装和标记：</w:t>
            </w:r>
          </w:p>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2.1 投标文件正本、副本和密封好的备份光盘（或U盘）（封包1）。</w:t>
            </w:r>
          </w:p>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2.2 法定代表人（负责人）证明书、法定代表人（负责人）授权委托书和开标一览表（封包2）。</w:t>
            </w:r>
          </w:p>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注：</w:t>
            </w:r>
            <w:r>
              <w:rPr>
                <w:rFonts w:hint="eastAsia" w:asciiTheme="minorEastAsia" w:hAnsiTheme="minorEastAsia" w:eastAsiaTheme="minorEastAsia"/>
                <w:snapToGrid w:val="0"/>
                <w:kern w:val="0"/>
                <w:szCs w:val="21"/>
              </w:rPr>
              <w:t>投标文件必须标注页码并装订成册。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95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投标文件的签字和盖章</w:t>
            </w:r>
          </w:p>
        </w:tc>
        <w:tc>
          <w:tcPr>
            <w:tcW w:w="3004" w:type="dxa"/>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3.2 投标文件应加盖骑缝章。</w:t>
            </w:r>
          </w:p>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3.3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rPr>
          <w:b/>
          <w:bCs/>
        </w:rPr>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spacing w:line="400" w:lineRule="exact"/>
        <w:rPr>
          <w:rFonts w:ascii="仿宋" w:hAnsi="仿宋" w:eastAsia="仿宋"/>
        </w:rPr>
      </w:pPr>
      <w:bookmarkStart w:id="44" w:name="_投标文件格式（第一册）"/>
      <w:bookmarkEnd w:id="44"/>
      <w:bookmarkStart w:id="45" w:name="q0"/>
    </w:p>
    <w:p>
      <w:pPr>
        <w:spacing w:line="400" w:lineRule="exact"/>
        <w:rPr>
          <w:rFonts w:ascii="仿宋" w:hAnsi="仿宋" w:eastAsia="仿宋"/>
        </w:rPr>
      </w:pPr>
    </w:p>
    <w:p>
      <w:pPr>
        <w:spacing w:line="400" w:lineRule="exact"/>
        <w:rPr>
          <w:rFonts w:ascii="仿宋" w:hAnsi="仿宋" w:eastAsia="仿宋"/>
        </w:rPr>
      </w:pPr>
    </w:p>
    <w:p>
      <w:pPr>
        <w:pStyle w:val="3"/>
        <w:spacing w:line="400" w:lineRule="exact"/>
        <w:rPr>
          <w:rFonts w:ascii="仿宋" w:hAnsi="仿宋" w:eastAsia="仿宋"/>
        </w:rPr>
      </w:pPr>
      <w:bookmarkStart w:id="46" w:name="_Toc135293340"/>
      <w:r>
        <w:rPr>
          <w:rFonts w:hint="eastAsia" w:ascii="仿宋" w:hAnsi="仿宋" w:eastAsia="仿宋"/>
        </w:rPr>
        <w:t>投标文件格式</w:t>
      </w:r>
      <w:bookmarkEnd w:id="46"/>
    </w:p>
    <w:bookmarkEnd w:id="45"/>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政府采购违法行为风险知悉确认书</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法定代表人（负责人）证明书及授权委托书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注：此表应与“法定代表人（负责人）证明书、法定代表人（负责人）授权委托书”一起密封于一信封，在递交投标文件时单独交予</w:t>
      </w:r>
      <w:r>
        <w:rPr>
          <w:rFonts w:hint="eastAsia" w:ascii="宋体" w:hAnsi="宋体"/>
          <w:b/>
          <w:bCs/>
          <w:snapToGrid w:val="0"/>
          <w:kern w:val="0"/>
          <w:szCs w:val="21"/>
        </w:rPr>
        <w:t>采购代理机构。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投标人情况介绍</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pStyle w:val="3"/>
        <w:spacing w:line="400" w:lineRule="exact"/>
        <w:rPr>
          <w:rFonts w:ascii="仿宋" w:hAnsi="仿宋" w:eastAsia="仿宋"/>
        </w:rPr>
      </w:pPr>
      <w:bookmarkStart w:id="48" w:name="_Toc135293341"/>
      <w:bookmarkStart w:id="49" w:name="_Toc73610158"/>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pStyle w:val="3"/>
        <w:spacing w:line="400" w:lineRule="exact"/>
        <w:rPr>
          <w:rFonts w:ascii="仿宋" w:hAnsi="仿宋" w:eastAsia="仿宋"/>
        </w:rPr>
      </w:pPr>
      <w:bookmarkStart w:id="50" w:name="_Toc135293342"/>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一、综合评分指引（评分内容见第四章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二、其他评标指引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其他资料</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
    <w:p/>
    <w:p/>
    <w:p/>
    <w:p/>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51" w:name="_Toc135293343"/>
      <w:bookmarkStart w:id="52" w:name="_Toc44691164"/>
      <w:bookmarkStart w:id="53" w:name="_Toc44690432"/>
      <w:bookmarkStart w:id="54" w:name="_Toc44691396"/>
      <w:bookmarkStart w:id="55" w:name="_Toc44690705"/>
      <w:r>
        <w:rPr>
          <w:rFonts w:hint="eastAsia" w:asciiTheme="minorEastAsia" w:hAnsiTheme="minorEastAsia" w:eastAsiaTheme="minorEastAsia"/>
        </w:rPr>
        <w:t>格式1  投标人资格证明文件</w:t>
      </w:r>
      <w:bookmarkEnd w:id="51"/>
      <w:bookmarkEnd w:id="52"/>
      <w:bookmarkEnd w:id="53"/>
      <w:bookmarkEnd w:id="54"/>
      <w:bookmarkEnd w:id="55"/>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1.我单位满足《中华人民共和国政府采购法》第二十二条规定的下列条件：</w:t>
      </w:r>
    </w:p>
    <w:p>
      <w:pPr>
        <w:spacing w:line="400" w:lineRule="exact"/>
        <w:ind w:firstLine="420" w:firstLineChars="200"/>
        <w:rPr>
          <w:rFonts w:ascii="宋体" w:hAnsi="宋体"/>
          <w:szCs w:val="21"/>
        </w:rPr>
      </w:pPr>
      <w:r>
        <w:rPr>
          <w:rFonts w:hint="eastAsia" w:ascii="宋体" w:hAnsi="宋体"/>
          <w:szCs w:val="21"/>
        </w:rPr>
        <w:t>（一）具有独立承担民事责任的能力；</w:t>
      </w:r>
    </w:p>
    <w:p>
      <w:pPr>
        <w:spacing w:line="400" w:lineRule="exact"/>
        <w:ind w:firstLine="420" w:firstLineChars="200"/>
        <w:rPr>
          <w:rFonts w:ascii="宋体" w:hAnsi="宋体"/>
          <w:szCs w:val="21"/>
        </w:rPr>
      </w:pPr>
      <w:r>
        <w:rPr>
          <w:rFonts w:hint="eastAsia" w:ascii="宋体" w:hAnsi="宋体"/>
          <w:szCs w:val="21"/>
        </w:rPr>
        <w:t>（二）具有良好的商业信誉和健全的财务会计制度；</w:t>
      </w:r>
    </w:p>
    <w:p>
      <w:pPr>
        <w:spacing w:line="400" w:lineRule="exact"/>
        <w:ind w:firstLine="420" w:firstLineChars="200"/>
        <w:rPr>
          <w:rFonts w:ascii="宋体" w:hAnsi="宋体"/>
          <w:szCs w:val="21"/>
        </w:rPr>
      </w:pPr>
      <w:r>
        <w:rPr>
          <w:rFonts w:hint="eastAsia" w:ascii="宋体" w:hAnsi="宋体"/>
          <w:szCs w:val="21"/>
        </w:rPr>
        <w:t>（三）具有履行合同所必需的设备和专业技术能力；</w:t>
      </w:r>
    </w:p>
    <w:p>
      <w:pPr>
        <w:spacing w:line="400" w:lineRule="exact"/>
        <w:ind w:firstLine="420" w:firstLineChars="200"/>
        <w:rPr>
          <w:rFonts w:ascii="宋体" w:hAnsi="宋体"/>
          <w:szCs w:val="21"/>
        </w:rPr>
      </w:pPr>
      <w:r>
        <w:rPr>
          <w:rFonts w:hint="eastAsia" w:ascii="宋体" w:hAnsi="宋体"/>
          <w:szCs w:val="21"/>
        </w:rPr>
        <w:t>（四）有依法缴纳税收和社会保障资金的良好记录；</w:t>
      </w:r>
    </w:p>
    <w:p>
      <w:pPr>
        <w:spacing w:line="400" w:lineRule="exact"/>
        <w:ind w:firstLine="420" w:firstLineChars="200"/>
        <w:rPr>
          <w:rFonts w:ascii="宋体" w:hAnsi="宋体"/>
          <w:szCs w:val="21"/>
        </w:rPr>
      </w:pPr>
      <w:r>
        <w:rPr>
          <w:rFonts w:hint="eastAsia" w:ascii="宋体" w:hAnsi="宋体"/>
          <w:szCs w:val="21"/>
        </w:rPr>
        <w:t>（五）参加政府采购活动前三年内，在经营活动中没有重大违法记录；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（六）法律、行政法规规定的其他条件。</w:t>
      </w:r>
    </w:p>
    <w:p>
      <w:pPr>
        <w:spacing w:line="400" w:lineRule="exact"/>
        <w:ind w:firstLine="420" w:firstLineChars="200"/>
        <w:rPr>
          <w:rFonts w:ascii="宋体" w:hAnsi="宋体"/>
          <w:szCs w:val="21"/>
        </w:rPr>
      </w:pPr>
      <w:r>
        <w:rPr>
          <w:rFonts w:hint="eastAsia" w:ascii="宋体" w:hAnsi="宋体"/>
          <w:szCs w:val="21"/>
        </w:rPr>
        <w:t>2.我单位参与本项目采购活动前三年内，在经营活动中没有重大违法记录，包括</w:t>
      </w:r>
      <w:r>
        <w:rPr>
          <w:szCs w:val="21"/>
        </w:rPr>
        <w:t>因违法经营受到刑事处罚或者责令停产停业、吊销许可证或者执照、较大数额罚款等行政处罚</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4.我单位承诺非</w:t>
      </w:r>
      <w:r>
        <w:rPr>
          <w:rFonts w:hint="eastAsia" w:asciiTheme="minorEastAsia" w:hAnsiTheme="minorEastAsia" w:eastAsiaTheme="minorEastAsia"/>
          <w:snapToGrid w:val="0"/>
        </w:rPr>
        <w:t>联合体投标，</w:t>
      </w:r>
      <w:r>
        <w:rPr>
          <w:rFonts w:hint="eastAsia" w:ascii="宋体" w:hAnsi="宋体"/>
          <w:szCs w:val="21"/>
        </w:rPr>
        <w:t>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6.我单位参与该项目投标，严格遵循公平竞争的原则，不妨碍其他投标人的竞争行为，不损害采购人或者其他投标人的合法权益，</w:t>
      </w:r>
      <w:r>
        <w:rPr>
          <w:rFonts w:hint="eastAsia" w:ascii="宋体" w:hAnsi="宋体" w:cs="仿宋_GB2312"/>
          <w:kern w:val="0"/>
          <w:szCs w:val="21"/>
        </w:rPr>
        <w:t>与其他采购参加人</w:t>
      </w:r>
      <w:r>
        <w:rPr>
          <w:rFonts w:hint="eastAsia" w:ascii="宋体" w:hAnsi="宋体"/>
          <w:szCs w:val="21"/>
        </w:rPr>
        <w:t>不存在下列</w:t>
      </w:r>
      <w:r>
        <w:rPr>
          <w:rFonts w:hint="eastAsia" w:ascii="宋体" w:hAnsi="宋体" w:cs="仿宋_GB2312"/>
          <w:kern w:val="0"/>
          <w:szCs w:val="21"/>
        </w:rPr>
        <w:t>串通投标</w:t>
      </w:r>
      <w:r>
        <w:rPr>
          <w:rFonts w:hint="eastAsia" w:ascii="宋体" w:hAnsi="宋体"/>
          <w:szCs w:val="21"/>
        </w:rPr>
        <w:t>情形：</w:t>
      </w:r>
    </w:p>
    <w:p>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pPr>
        <w:spacing w:line="400" w:lineRule="exact"/>
        <w:ind w:firstLine="420" w:firstLineChars="200"/>
        <w:rPr>
          <w:rFonts w:ascii="宋体" w:hAnsi="宋体"/>
          <w:szCs w:val="21"/>
        </w:rPr>
      </w:pPr>
      <w:r>
        <w:rPr>
          <w:rFonts w:hint="eastAsia" w:ascii="宋体" w:hAnsi="宋体"/>
          <w:szCs w:val="21"/>
        </w:rPr>
        <w:t>（7）主管部门依照法律、法规认定的其他情形。</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00" w:lineRule="auto"/>
        <w:jc w:val="center"/>
        <w:rPr>
          <w:b/>
          <w:snapToGrid w:val="0"/>
          <w:sz w:val="32"/>
          <w:szCs w:val="32"/>
        </w:rPr>
      </w:pPr>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56" w:name="_Toc135293344"/>
      <w:r>
        <w:rPr>
          <w:rFonts w:hint="eastAsia" w:asciiTheme="minorEastAsia" w:hAnsiTheme="minorEastAsia" w:eastAsiaTheme="minorEastAsia"/>
        </w:rPr>
        <w:t>格式2  法定代表人（负责人）证明书及授权委托书</w:t>
      </w:r>
      <w:bookmarkEnd w:id="56"/>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96" o:spt="1" style="position:absolute;left:0pt;margin-left:250.65pt;margin-top:10.75pt;height:156pt;width:243pt;z-index:251663360;mso-width-relative:page;mso-height-relative:page;" coordsize="21600,21600">
            <v:path/>
            <v:fill focussize="0,0"/>
            <v:stroke/>
            <v:imagedata o:title=""/>
            <o:lock v:ext="edit"/>
            <v:textbox>
              <w:txbxContent>
                <w:p>
                  <w:pPr>
                    <w:ind w:firstLine="1260" w:firstLineChars="600"/>
                  </w:pPr>
                  <w:r>
                    <w:rPr>
                      <w:rFonts w:hint="eastAsia"/>
                    </w:rPr>
                    <w:t>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95" o:spt="1" style="position:absolute;left:0pt;margin-left:-11.85pt;margin-top:10.75pt;height:156pt;width:243pt;z-index:251662336;mso-width-relative:page;mso-height-relative:page;" coordsize="21600,21600">
            <v:path/>
            <v:fill focussize="0,0"/>
            <v:stroke/>
            <v:imagedata o:title=""/>
            <o:lock v:ext="edit"/>
            <v:textbox>
              <w:txbxContent>
                <w:p>
                  <w:pPr>
                    <w:ind w:firstLine="1260" w:firstLineChars="600"/>
                    <w:jc w:val="left"/>
                  </w:pPr>
                  <w:r>
                    <w:rPr>
                      <w:rFonts w:hint="eastAsia"/>
                    </w:rPr>
                    <w:t>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ind w:firstLine="2249" w:firstLineChars="800"/>
        <w:rPr>
          <w:b/>
          <w:bCs/>
          <w:sz w:val="28"/>
        </w:rPr>
      </w:pPr>
    </w:p>
    <w:p>
      <w:pPr>
        <w:ind w:firstLine="2249" w:firstLineChars="800"/>
        <w:rPr>
          <w:b/>
          <w:bCs/>
          <w:sz w:val="28"/>
        </w:rPr>
      </w:pPr>
    </w:p>
    <w:p>
      <w:pPr>
        <w:ind w:firstLine="2249" w:firstLineChars="800"/>
        <w:rPr>
          <w:b/>
          <w:bCs/>
          <w:sz w:val="28"/>
        </w:rPr>
      </w:pPr>
    </w:p>
    <w:p>
      <w:pPr>
        <w:jc w:val="center"/>
        <w:rPr>
          <w:b/>
          <w:bCs/>
          <w:sz w:val="28"/>
        </w:rPr>
      </w:pPr>
      <w:r>
        <w:rPr>
          <w:rFonts w:hint="eastAsia"/>
          <w:b/>
          <w:bCs/>
          <w:sz w:val="28"/>
        </w:rPr>
        <w:t>法定代表人（负责人）授权委托书（参考）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7" w:name="_Toc226217114"/>
      <w:r>
        <w:rPr>
          <w:rFonts w:ascii="宋体"/>
        </w:rPr>
        <w:pict>
          <v:rect id="Rectangle 2" o:spid="_x0000_s3093" o:spt="1" style="position:absolute;left:0pt;margin-left:-10.35pt;margin-top:5.6pt;height:156pt;width:243pt;z-index:25166028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94" o:spt="1" style="position:absolute;left:0pt;margin-left:249.9pt;margin-top:5.6pt;height:156pt;width:243pt;z-index:25166131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7"/>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Pr>
        <w:widowControl/>
        <w:snapToGrid w:val="0"/>
        <w:spacing w:line="360" w:lineRule="auto"/>
        <w:jc w:val="left"/>
      </w:pPr>
    </w:p>
    <w:p>
      <w:pPr>
        <w:widowControl/>
        <w:snapToGrid w:val="0"/>
        <w:spacing w:line="360" w:lineRule="auto"/>
        <w:jc w:val="left"/>
      </w:pPr>
    </w:p>
    <w:p>
      <w:pPr>
        <w:widowControl/>
        <w:snapToGrid w:val="0"/>
        <w:spacing w:line="360" w:lineRule="auto"/>
        <w:jc w:val="left"/>
        <w:rPr>
          <w:rFonts w:asciiTheme="minorEastAsia" w:hAnsiTheme="minorEastAsia" w:eastAsiaTheme="minorEastAsia"/>
          <w:color w:val="FF0000"/>
          <w:kern w:val="0"/>
          <w:szCs w:val="21"/>
        </w:rPr>
      </w:pPr>
    </w:p>
    <w:p>
      <w:pPr>
        <w:pStyle w:val="4"/>
        <w:tabs>
          <w:tab w:val="left" w:pos="371"/>
        </w:tabs>
        <w:spacing w:before="120" w:after="120"/>
        <w:ind w:left="-1" w:leftChars="-1" w:hanging="1"/>
        <w:jc w:val="center"/>
        <w:rPr>
          <w:rFonts w:asciiTheme="minorEastAsia" w:hAnsiTheme="minorEastAsia" w:eastAsiaTheme="minorEastAsia"/>
        </w:rPr>
      </w:pPr>
      <w:bookmarkStart w:id="58" w:name="_Toc135293345"/>
      <w:r>
        <w:rPr>
          <w:rFonts w:hint="eastAsia" w:asciiTheme="minorEastAsia" w:hAnsiTheme="minorEastAsia" w:eastAsiaTheme="minorEastAsia"/>
        </w:rPr>
        <w:t>格式3  投</w:t>
      </w:r>
      <w:r>
        <w:rPr>
          <w:rFonts w:asciiTheme="minorEastAsia" w:hAnsiTheme="minorEastAsia" w:eastAsiaTheme="minorEastAsia"/>
        </w:rPr>
        <w:t xml:space="preserve"> </w:t>
      </w:r>
      <w:r>
        <w:rPr>
          <w:rFonts w:hint="eastAsia" w:asciiTheme="minorEastAsia" w:hAnsiTheme="minorEastAsia" w:eastAsiaTheme="minorEastAsia"/>
        </w:rPr>
        <w:t>标</w:t>
      </w:r>
      <w:r>
        <w:rPr>
          <w:rFonts w:asciiTheme="minorEastAsia" w:hAnsiTheme="minorEastAsia" w:eastAsiaTheme="minorEastAsia"/>
        </w:rPr>
        <w:t xml:space="preserve"> </w:t>
      </w:r>
      <w:r>
        <w:rPr>
          <w:rFonts w:hint="eastAsia" w:asciiTheme="minorEastAsia" w:hAnsiTheme="minorEastAsia" w:eastAsiaTheme="minorEastAsia"/>
        </w:rPr>
        <w:t>函</w:t>
      </w:r>
      <w:bookmarkEnd w:id="58"/>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tabs>
          <w:tab w:val="left" w:pos="371"/>
        </w:tabs>
        <w:spacing w:before="120" w:after="120"/>
        <w:ind w:left="-1" w:leftChars="-1" w:hanging="1"/>
        <w:jc w:val="center"/>
        <w:rPr>
          <w:b/>
          <w:snapToGrid w:val="0"/>
          <w:kern w:val="0"/>
          <w:sz w:val="28"/>
        </w:rPr>
      </w:pPr>
    </w:p>
    <w:p>
      <w:pPr>
        <w:tabs>
          <w:tab w:val="left" w:pos="371"/>
        </w:tabs>
        <w:spacing w:before="120" w:after="120"/>
        <w:ind w:left="-1" w:leftChars="-1" w:hanging="1"/>
        <w:jc w:val="center"/>
        <w:rPr>
          <w:rFonts w:asciiTheme="minorEastAsia" w:hAnsiTheme="minorEastAsia" w:eastAsiaTheme="minorEastAsia"/>
          <w:sz w:val="24"/>
        </w:rPr>
      </w:pPr>
    </w:p>
    <w:p>
      <w:pPr>
        <w:tabs>
          <w:tab w:val="left" w:pos="371"/>
        </w:tabs>
        <w:spacing w:before="120" w:after="120"/>
        <w:ind w:left="-1" w:leftChars="-1" w:hanging="1"/>
        <w:jc w:val="center"/>
        <w:rPr>
          <w:rFonts w:asciiTheme="minorEastAsia" w:hAnsiTheme="minorEastAsia" w:eastAsiaTheme="minorEastAsia"/>
          <w:sz w:val="24"/>
        </w:rPr>
      </w:pPr>
    </w:p>
    <w:p>
      <w:pPr>
        <w:pStyle w:val="4"/>
        <w:tabs>
          <w:tab w:val="left" w:pos="371"/>
        </w:tabs>
        <w:spacing w:before="120" w:after="120"/>
        <w:ind w:left="-1" w:leftChars="-1" w:hanging="1"/>
        <w:jc w:val="center"/>
        <w:rPr>
          <w:rFonts w:asciiTheme="minorEastAsia" w:hAnsiTheme="minorEastAsia" w:eastAsiaTheme="minorEastAsia"/>
        </w:rPr>
      </w:pPr>
      <w:bookmarkStart w:id="59" w:name="_Toc135293346"/>
      <w:r>
        <w:rPr>
          <w:rFonts w:hint="eastAsia" w:asciiTheme="minorEastAsia" w:hAnsiTheme="minorEastAsia" w:eastAsiaTheme="minorEastAsia"/>
        </w:rPr>
        <w:t>格式4  评分中涉及的承诺及声明函</w:t>
      </w:r>
      <w:bookmarkEnd w:id="59"/>
    </w:p>
    <w:p>
      <w:pPr>
        <w:widowControl/>
        <w:snapToGrid w:val="0"/>
        <w:spacing w:line="360" w:lineRule="auto"/>
        <w:jc w:val="left"/>
        <w:rPr>
          <w:rFonts w:ascii="仿宋" w:hAnsi="仿宋" w:eastAsia="仿宋"/>
          <w:b/>
          <w:bCs/>
          <w:kern w:val="0"/>
          <w:sz w:val="25"/>
          <w:szCs w:val="25"/>
        </w:rPr>
      </w:pPr>
    </w:p>
    <w:p>
      <w:pPr>
        <w:widowControl/>
        <w:snapToGrid w:val="0"/>
        <w:spacing w:line="360" w:lineRule="auto"/>
        <w:jc w:val="left"/>
        <w:outlineLvl w:val="3"/>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ind w:firstLine="424" w:firstLineChars="202"/>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426"/>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60" w:name="_Hlk71925120"/>
      <w:r>
        <w:rPr>
          <w:rFonts w:hint="eastAsia" w:asciiTheme="minorEastAsia" w:hAnsiTheme="minorEastAsia" w:eastAsiaTheme="minorEastAsia"/>
          <w:kern w:val="0"/>
          <w:szCs w:val="21"/>
        </w:rPr>
        <w:t>《关于印发中小企业划型标准规定的通知》（工信部联企业〔2011〕300 号</w:t>
      </w:r>
      <w:bookmarkEnd w:id="60"/>
      <w:r>
        <w:rPr>
          <w:rFonts w:hint="eastAsia" w:asciiTheme="minorEastAsia" w:hAnsiTheme="minorEastAsia" w:eastAsiaTheme="minorEastAsia"/>
          <w:kern w:val="0"/>
          <w:szCs w:val="21"/>
        </w:rPr>
        <w:t>）</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3、请依照招标文件提供的格式和内容填写声明函，不要随意变更格式；满足多项优惠政策的投标人，不重复享受多项价格扣除政策。不符合要求的供应商可以不填写。</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（3）在“标的名称”下划线处填写所采购标的（货物或服务或工程）的具体名称</w:t>
      </w:r>
      <w:r>
        <w:rPr>
          <w:rFonts w:hint="eastAsia" w:asciiTheme="minorEastAsia" w:hAnsiTheme="minorEastAsia" w:eastAsiaTheme="minorEastAsia"/>
          <w:b/>
          <w:bCs/>
          <w:color w:val="FF0000"/>
          <w:kern w:val="0"/>
          <w:szCs w:val="21"/>
        </w:rPr>
        <w:t>（具体详见第二章项目需求，如涉及多项标的，投标人需逐项进行响应）</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中明确的所属行业”下划线处填写采购文件规定的本项目所属行业</w:t>
      </w:r>
      <w:r>
        <w:rPr>
          <w:rFonts w:hint="eastAsia" w:asciiTheme="minorEastAsia" w:hAnsiTheme="minorEastAsia" w:eastAsiaTheme="minorEastAsia"/>
          <w:b/>
          <w:bCs/>
          <w:color w:val="FF0000"/>
          <w:kern w:val="0"/>
          <w:szCs w:val="21"/>
        </w:rPr>
        <w:t>（详见第四章 评标方法和标准）</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1241"/>
        <w:gridCol w:w="2292"/>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40" w:type="dxa"/>
            <w:vMerge w:val="restart"/>
            <w:vAlign w:val="center"/>
          </w:tcPr>
          <w:p>
            <w:pPr>
              <w:jc w:val="cente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3"/>
            <w:vAlign w:val="center"/>
          </w:tcPr>
          <w:p>
            <w:pPr>
              <w:jc w:val="center"/>
              <w:rPr>
                <w:b/>
                <w:szCs w:val="21"/>
              </w:rPr>
            </w:pPr>
            <w:r>
              <w:rPr>
                <w:rFonts w:hint="eastAsia"/>
                <w:b/>
                <w:szCs w:val="21"/>
              </w:rPr>
              <w:t>投标产品报价</w:t>
            </w:r>
          </w:p>
        </w:tc>
        <w:tc>
          <w:tcPr>
            <w:tcW w:w="1503" w:type="dxa"/>
            <w:vMerge w:val="restart"/>
            <w:vAlign w:val="center"/>
          </w:tcPr>
          <w:p>
            <w:pPr>
              <w:jc w:val="center"/>
              <w:rPr>
                <w:b/>
                <w:szCs w:val="21"/>
              </w:rPr>
            </w:pPr>
            <w:r>
              <w:rPr>
                <w:rFonts w:hint="eastAsia"/>
                <w:b/>
                <w:szCs w:val="21"/>
              </w:rPr>
              <w:t>属于优先采购清单的类别</w:t>
            </w:r>
          </w:p>
        </w:tc>
        <w:tc>
          <w:tcPr>
            <w:tcW w:w="720" w:type="dxa"/>
            <w:vMerge w:val="restart"/>
            <w:vAlign w:val="center"/>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1241" w:type="dxa"/>
            <w:vAlign w:val="center"/>
          </w:tcPr>
          <w:p>
            <w:pPr>
              <w:jc w:val="center"/>
              <w:rPr>
                <w:szCs w:val="21"/>
              </w:rPr>
            </w:pPr>
            <w:r>
              <w:rPr>
                <w:rFonts w:hint="eastAsia"/>
                <w:szCs w:val="21"/>
              </w:rPr>
              <w:t>投标单价（元）</w:t>
            </w:r>
          </w:p>
        </w:tc>
        <w:tc>
          <w:tcPr>
            <w:tcW w:w="2292" w:type="dxa"/>
            <w:vAlign w:val="center"/>
          </w:tcPr>
          <w:p>
            <w:pPr>
              <w:jc w:val="center"/>
              <w:rPr>
                <w:szCs w:val="21"/>
              </w:rPr>
            </w:pPr>
            <w:r>
              <w:rPr>
                <w:rFonts w:hint="eastAsia"/>
                <w:szCs w:val="21"/>
              </w:rPr>
              <w:t>投标</w:t>
            </w:r>
            <w:r>
              <w:rPr>
                <w:rFonts w:hint="eastAsia" w:ascii="宋体" w:hAnsi="宋体"/>
                <w:szCs w:val="21"/>
              </w:rPr>
              <w:t>合计</w:t>
            </w:r>
            <w:r>
              <w:rPr>
                <w:rFonts w:hint="eastAsia"/>
                <w:szCs w:val="21"/>
              </w:rPr>
              <w:t>报价（元）</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1</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2</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ascii="宋体" w:hAnsi="宋体"/>
          <w:b/>
          <w:szCs w:val="21"/>
        </w:rPr>
        <w:t>对</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投标产品，投标人须提供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以及相应的节能或环境标志产品政府采购品目清单，并显著标识投标产品所处位置。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rPr>
          <w:rFonts w:hint="eastAsia"/>
          <w:szCs w:val="21"/>
        </w:rPr>
        <w:t>投标产品若不属于上述清单或目录范围内，则无需填写该表。</w:t>
      </w:r>
    </w:p>
    <w:p>
      <w:pPr>
        <w:spacing w:line="360" w:lineRule="auto"/>
        <w:rPr>
          <w:rFonts w:ascii="宋体" w:hAnsi="宋体"/>
          <w:szCs w:val="21"/>
        </w:rPr>
      </w:pPr>
      <w:r>
        <w:rPr>
          <w:rFonts w:hint="eastAsia" w:ascii="宋体" w:hAnsi="宋体"/>
          <w:szCs w:val="21"/>
        </w:rPr>
        <w:t>2. “投标产品报价”栏中须准确填报该投标产品的投标单价、数量及投标合计报价；投标产品名称、规格型号、价格应与“分项价格表”一致，如不一致，以“分项价格表”为准。</w:t>
      </w:r>
    </w:p>
    <w:p>
      <w:pPr>
        <w:spacing w:line="360" w:lineRule="auto"/>
        <w:rPr>
          <w:rFonts w:ascii="宋体" w:hAnsi="宋体"/>
          <w:szCs w:val="21"/>
        </w:rPr>
      </w:pPr>
      <w:r>
        <w:rPr>
          <w:rFonts w:hint="eastAsia" w:ascii="宋体" w:hAnsi="宋体"/>
          <w:szCs w:val="21"/>
        </w:rPr>
        <w:t>3. “属于优先采购清单的类别”栏中填写“节能产品政府采购品目清单”或“环境标志产品政府采购品目清单”。</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napToGrid w:val="0"/>
        <w:spacing w:line="360" w:lineRule="auto"/>
        <w:ind w:firstLine="600"/>
        <w:jc w:val="left"/>
        <w:rPr>
          <w:b/>
          <w:snapToGrid w:val="0"/>
          <w:kern w:val="0"/>
          <w:sz w:val="28"/>
        </w:rPr>
      </w:pPr>
    </w:p>
    <w:p>
      <w:pPr>
        <w:adjustRightInd w:val="0"/>
        <w:snapToGrid w:val="0"/>
        <w:spacing w:line="360" w:lineRule="auto"/>
        <w:ind w:firstLine="600"/>
        <w:jc w:val="left"/>
      </w:pPr>
    </w:p>
    <w:p>
      <w:pPr>
        <w:pStyle w:val="4"/>
        <w:tabs>
          <w:tab w:val="left" w:pos="371"/>
        </w:tabs>
        <w:spacing w:before="120" w:after="120"/>
        <w:ind w:left="-1" w:leftChars="-1" w:hanging="1"/>
        <w:jc w:val="center"/>
        <w:rPr>
          <w:rFonts w:asciiTheme="minorEastAsia" w:hAnsiTheme="minorEastAsia" w:eastAsiaTheme="minorEastAsia"/>
        </w:rPr>
      </w:pPr>
      <w:bookmarkStart w:id="61" w:name="_Toc44690433"/>
      <w:bookmarkStart w:id="62" w:name="_Toc135293347"/>
      <w:bookmarkStart w:id="63" w:name="_Toc44691165"/>
      <w:bookmarkStart w:id="64" w:name="_Toc44691397"/>
      <w:bookmarkStart w:id="65" w:name="_Toc44690706"/>
      <w:r>
        <w:rPr>
          <w:rFonts w:hint="eastAsia" w:asciiTheme="minorEastAsia" w:hAnsiTheme="minorEastAsia" w:eastAsiaTheme="minorEastAsia"/>
        </w:rPr>
        <w:t>格式5  开标一览表</w:t>
      </w:r>
      <w:bookmarkEnd w:id="61"/>
      <w:bookmarkEnd w:id="62"/>
      <w:bookmarkEnd w:id="63"/>
      <w:bookmarkEnd w:id="64"/>
      <w:bookmarkEnd w:id="65"/>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rPr>
                <w:rFonts w:hint="eastAsia" w:eastAsia="宋体"/>
                <w:lang w:eastAsia="zh-CN"/>
              </w:rPr>
            </w:pPr>
            <w:r>
              <w:rPr>
                <w:rFonts w:hint="eastAsia"/>
                <w:lang w:eastAsia="zh-CN"/>
              </w:rPr>
              <w:t>深圳市疾病预防控制中心流感试剂一批采购项目</w:t>
            </w:r>
          </w:p>
        </w:tc>
        <w:tc>
          <w:tcPr>
            <w:tcW w:w="4396" w:type="dxa"/>
            <w:tcBorders>
              <w:top w:val="single" w:color="auto" w:sz="4" w:space="0"/>
            </w:tcBorders>
            <w:vAlign w:val="center"/>
          </w:tcPr>
          <w:p>
            <w:pPr>
              <w:adjustRightInd w:val="0"/>
              <w:snapToGrid w:val="0"/>
              <w:spacing w:line="360" w:lineRule="auto"/>
              <w:jc w:val="center"/>
              <w:rPr>
                <w:snapToGrid w:val="0"/>
                <w:kern w:val="0"/>
                <w:u w:val="single"/>
              </w:rPr>
            </w:pP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法定代表人或其授权代表：（签字）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r>
        <w:rPr>
          <w:rFonts w:hint="eastAsia" w:ascii="宋体" w:hAnsi="宋体"/>
          <w:bCs/>
        </w:rPr>
        <w:t>，允许仅填报小写金额</w:t>
      </w:r>
      <w:r>
        <w:rPr>
          <w:rFonts w:ascii="宋体" w:hAnsi="宋体"/>
          <w:bCs/>
        </w:rPr>
        <w:t>。</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价必须是完成该项目的一切费用总和，包含设备费、运输费、装卸费、安装费、调试费、保险费、技术培训费、售后服务费、国家规定的各项税费等全部费用。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
    <w:p/>
    <w:p/>
    <w:p>
      <w:pPr>
        <w:pStyle w:val="4"/>
        <w:tabs>
          <w:tab w:val="left" w:pos="371"/>
        </w:tabs>
        <w:spacing w:before="120" w:after="120"/>
        <w:ind w:left="-1" w:leftChars="-1" w:hanging="1"/>
        <w:jc w:val="center"/>
        <w:rPr>
          <w:rFonts w:asciiTheme="minorEastAsia" w:hAnsiTheme="minorEastAsia" w:eastAsiaTheme="minorEastAsia"/>
        </w:rPr>
      </w:pPr>
      <w:bookmarkStart w:id="66" w:name="_Toc44691166"/>
      <w:bookmarkStart w:id="67" w:name="_Toc44690434"/>
      <w:bookmarkStart w:id="68" w:name="_Toc44690707"/>
      <w:bookmarkStart w:id="69" w:name="_Toc135293348"/>
      <w:bookmarkStart w:id="70" w:name="_Toc44691398"/>
      <w:r>
        <w:rPr>
          <w:rFonts w:hint="eastAsia" w:asciiTheme="minorEastAsia" w:hAnsiTheme="minorEastAsia" w:eastAsiaTheme="minorEastAsia"/>
        </w:rPr>
        <w:t>格式6  报价表</w:t>
      </w:r>
      <w:bookmarkEnd w:id="66"/>
      <w:bookmarkEnd w:id="67"/>
      <w:bookmarkEnd w:id="68"/>
      <w:bookmarkEnd w:id="69"/>
      <w:bookmarkEnd w:id="70"/>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w:t>
      </w:r>
      <w:r>
        <w:rPr>
          <w:rFonts w:hint="eastAsia" w:ascii="宋体" w:hAnsi="宋体"/>
          <w:bCs/>
        </w:rPr>
        <w:t>含</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0"/>
        <w:tblW w:w="1095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651"/>
        <w:gridCol w:w="725"/>
        <w:gridCol w:w="696"/>
        <w:gridCol w:w="712"/>
        <w:gridCol w:w="1054"/>
        <w:gridCol w:w="65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696" w:type="dxa"/>
            <w:vAlign w:val="center"/>
          </w:tcPr>
          <w:p>
            <w:pPr>
              <w:widowControl/>
              <w:spacing w:line="360" w:lineRule="auto"/>
              <w:jc w:val="center"/>
              <w:rPr>
                <w:rFonts w:hint="default" w:asciiTheme="minorEastAsia" w:hAnsiTheme="minorEastAsia" w:eastAsiaTheme="minorEastAsia"/>
                <w:snapToGrid w:val="0"/>
                <w:kern w:val="0"/>
                <w:lang w:val="en-US" w:eastAsia="zh-CN"/>
              </w:rPr>
            </w:pPr>
            <w:r>
              <w:rPr>
                <w:rFonts w:asciiTheme="minorEastAsia" w:hAnsiTheme="minorEastAsia" w:eastAsiaTheme="minorEastAsia"/>
                <w:snapToGrid w:val="0"/>
                <w:kern w:val="0"/>
              </w:rPr>
              <w:t>单价</w:t>
            </w:r>
          </w:p>
        </w:tc>
        <w:tc>
          <w:tcPr>
            <w:tcW w:w="71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054"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宋体" w:hAnsi="宋体" w:cs="宋体" w:eastAsiaTheme="minorEastAsia"/>
                <w:kern w:val="0"/>
                <w:szCs w:val="21"/>
                <w:lang w:val="en-US" w:eastAsia="zh-CN"/>
              </w:rPr>
              <w:t>预算金额（人民币 元）</w:t>
            </w:r>
          </w:p>
        </w:tc>
        <w:tc>
          <w:tcPr>
            <w:tcW w:w="657"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96"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tcPr>
          <w:p>
            <w:pPr>
              <w:adjustRightInd w:val="0"/>
              <w:snapToGrid w:val="0"/>
              <w:spacing w:line="300" w:lineRule="auto"/>
              <w:jc w:val="center"/>
              <w:rPr>
                <w:rFonts w:asciiTheme="minorEastAsia" w:hAnsiTheme="minorEastAsia" w:eastAsiaTheme="minorEastAsia"/>
                <w:snapToGrid w:val="0"/>
                <w:kern w:val="0"/>
              </w:rPr>
            </w:pPr>
          </w:p>
        </w:tc>
        <w:tc>
          <w:tcPr>
            <w:tcW w:w="1054" w:type="dxa"/>
          </w:tcPr>
          <w:p>
            <w:pPr>
              <w:adjustRightInd w:val="0"/>
              <w:snapToGrid w:val="0"/>
              <w:spacing w:line="300" w:lineRule="auto"/>
              <w:jc w:val="center"/>
              <w:rPr>
                <w:rFonts w:asciiTheme="minorEastAsia" w:hAnsiTheme="minorEastAsia" w:eastAsiaTheme="minorEastAsia"/>
                <w:snapToGrid w:val="0"/>
                <w:kern w:val="0"/>
              </w:rPr>
            </w:pPr>
          </w:p>
        </w:tc>
        <w:tc>
          <w:tcPr>
            <w:tcW w:w="657"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96"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tcPr>
          <w:p>
            <w:pPr>
              <w:adjustRightInd w:val="0"/>
              <w:snapToGrid w:val="0"/>
              <w:spacing w:line="300" w:lineRule="auto"/>
              <w:jc w:val="center"/>
              <w:rPr>
                <w:rFonts w:asciiTheme="minorEastAsia" w:hAnsiTheme="minorEastAsia" w:eastAsiaTheme="minorEastAsia"/>
                <w:snapToGrid w:val="0"/>
                <w:kern w:val="0"/>
              </w:rPr>
            </w:pPr>
          </w:p>
        </w:tc>
        <w:tc>
          <w:tcPr>
            <w:tcW w:w="1054" w:type="dxa"/>
          </w:tcPr>
          <w:p>
            <w:pPr>
              <w:adjustRightInd w:val="0"/>
              <w:snapToGrid w:val="0"/>
              <w:spacing w:line="300" w:lineRule="auto"/>
              <w:jc w:val="center"/>
              <w:rPr>
                <w:rFonts w:asciiTheme="minorEastAsia" w:hAnsiTheme="minorEastAsia" w:eastAsiaTheme="minorEastAsia"/>
                <w:snapToGrid w:val="0"/>
                <w:kern w:val="0"/>
              </w:rPr>
            </w:pPr>
          </w:p>
        </w:tc>
        <w:tc>
          <w:tcPr>
            <w:tcW w:w="657"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96"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tcPr>
          <w:p>
            <w:pPr>
              <w:adjustRightInd w:val="0"/>
              <w:snapToGrid w:val="0"/>
              <w:spacing w:line="300" w:lineRule="auto"/>
              <w:jc w:val="center"/>
              <w:rPr>
                <w:rFonts w:asciiTheme="minorEastAsia" w:hAnsiTheme="minorEastAsia" w:eastAsiaTheme="minorEastAsia"/>
                <w:snapToGrid w:val="0"/>
                <w:kern w:val="0"/>
              </w:rPr>
            </w:pPr>
          </w:p>
        </w:tc>
        <w:tc>
          <w:tcPr>
            <w:tcW w:w="1054" w:type="dxa"/>
          </w:tcPr>
          <w:p>
            <w:pPr>
              <w:adjustRightInd w:val="0"/>
              <w:snapToGrid w:val="0"/>
              <w:spacing w:line="300" w:lineRule="auto"/>
              <w:jc w:val="center"/>
              <w:rPr>
                <w:rFonts w:asciiTheme="minorEastAsia" w:hAnsiTheme="minorEastAsia" w:eastAsiaTheme="minorEastAsia"/>
                <w:snapToGrid w:val="0"/>
                <w:kern w:val="0"/>
              </w:rPr>
            </w:pPr>
          </w:p>
        </w:tc>
        <w:tc>
          <w:tcPr>
            <w:tcW w:w="657"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96"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tcPr>
          <w:p>
            <w:pPr>
              <w:adjustRightInd w:val="0"/>
              <w:snapToGrid w:val="0"/>
              <w:spacing w:line="300" w:lineRule="auto"/>
              <w:jc w:val="center"/>
              <w:rPr>
                <w:rFonts w:asciiTheme="minorEastAsia" w:hAnsiTheme="minorEastAsia" w:eastAsiaTheme="minorEastAsia"/>
                <w:snapToGrid w:val="0"/>
                <w:kern w:val="0"/>
              </w:rPr>
            </w:pPr>
          </w:p>
        </w:tc>
        <w:tc>
          <w:tcPr>
            <w:tcW w:w="1054" w:type="dxa"/>
          </w:tcPr>
          <w:p>
            <w:pPr>
              <w:adjustRightInd w:val="0"/>
              <w:snapToGrid w:val="0"/>
              <w:spacing w:line="300" w:lineRule="auto"/>
              <w:jc w:val="center"/>
              <w:rPr>
                <w:rFonts w:asciiTheme="minorEastAsia" w:hAnsiTheme="minorEastAsia" w:eastAsiaTheme="minorEastAsia"/>
                <w:snapToGrid w:val="0"/>
                <w:kern w:val="0"/>
              </w:rPr>
            </w:pPr>
          </w:p>
        </w:tc>
        <w:tc>
          <w:tcPr>
            <w:tcW w:w="657"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96"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tcPr>
          <w:p>
            <w:pPr>
              <w:adjustRightInd w:val="0"/>
              <w:snapToGrid w:val="0"/>
              <w:spacing w:line="300" w:lineRule="auto"/>
              <w:jc w:val="center"/>
              <w:rPr>
                <w:rFonts w:asciiTheme="minorEastAsia" w:hAnsiTheme="minorEastAsia" w:eastAsiaTheme="minorEastAsia"/>
                <w:snapToGrid w:val="0"/>
                <w:kern w:val="0"/>
              </w:rPr>
            </w:pPr>
          </w:p>
        </w:tc>
        <w:tc>
          <w:tcPr>
            <w:tcW w:w="1054" w:type="dxa"/>
          </w:tcPr>
          <w:p>
            <w:pPr>
              <w:adjustRightInd w:val="0"/>
              <w:snapToGrid w:val="0"/>
              <w:spacing w:line="300" w:lineRule="auto"/>
              <w:jc w:val="center"/>
              <w:rPr>
                <w:rFonts w:asciiTheme="minorEastAsia" w:hAnsiTheme="minorEastAsia" w:eastAsiaTheme="minorEastAsia"/>
                <w:snapToGrid w:val="0"/>
                <w:kern w:val="0"/>
              </w:rPr>
            </w:pPr>
          </w:p>
        </w:tc>
        <w:tc>
          <w:tcPr>
            <w:tcW w:w="657"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54" w:type="dxa"/>
            <w:gridSpan w:val="12"/>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w:t>
      </w:r>
      <w:r>
        <w:rPr>
          <w:rFonts w:hint="eastAsia" w:ascii="宋体" w:hAnsi="宋体"/>
          <w:szCs w:val="21"/>
        </w:rPr>
        <w:t>投标人必须对照进口产品的规定明确其投标产品是否为进口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r>
        <w:rPr>
          <w:rFonts w:hint="eastAsia" w:asciiTheme="minorEastAsia" w:hAnsiTheme="minorEastAsia" w:eastAsiaTheme="minorEastAsia"/>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w:t>
      </w:r>
      <w:r>
        <w:rPr>
          <w:rFonts w:hint="eastAsia" w:asciiTheme="minorEastAsia" w:hAnsiTheme="minorEastAsia" w:eastAsiaTheme="minorEastAsia"/>
          <w:lang w:val="en-US" w:eastAsia="zh-CN"/>
        </w:rPr>
        <w:t>预算</w:t>
      </w:r>
      <w:r>
        <w:rPr>
          <w:rFonts w:hint="eastAsia" w:asciiTheme="minorEastAsia" w:hAnsiTheme="minorEastAsia" w:eastAsiaTheme="minorEastAsia"/>
        </w:rPr>
        <w:t>金额，否则将导致无效投标。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Cs/>
                <w:szCs w:val="21"/>
              </w:rPr>
            </w:pPr>
            <w:r>
              <w:rPr>
                <w:rFonts w:hint="eastAsia" w:hAnsi="宋体"/>
                <w:bCs/>
                <w:szCs w:val="21"/>
              </w:rPr>
              <w:t>年度保修</w:t>
            </w: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tabs>
          <w:tab w:val="left" w:pos="371"/>
        </w:tabs>
        <w:spacing w:before="120" w:after="120"/>
        <w:ind w:left="-1" w:leftChars="-1" w:hanging="1"/>
        <w:jc w:val="center"/>
        <w:rPr>
          <w:rFonts w:asciiTheme="minorEastAsia" w:hAnsiTheme="minorEastAsia" w:eastAsiaTheme="minorEastAsia"/>
          <w:sz w:val="24"/>
        </w:rPr>
      </w:pPr>
      <w:bookmarkStart w:id="71" w:name="_Toc44691167"/>
      <w:bookmarkStart w:id="72" w:name="_Toc44690708"/>
      <w:bookmarkStart w:id="73" w:name="_Toc44691399"/>
      <w:bookmarkStart w:id="74" w:name="_Toc44690435"/>
    </w:p>
    <w:p>
      <w:pPr>
        <w:pStyle w:val="4"/>
        <w:tabs>
          <w:tab w:val="left" w:pos="371"/>
        </w:tabs>
        <w:spacing w:before="120" w:after="120"/>
        <w:ind w:left="-1" w:leftChars="-1" w:hanging="1"/>
        <w:jc w:val="center"/>
        <w:rPr>
          <w:rFonts w:asciiTheme="minorEastAsia" w:hAnsiTheme="minorEastAsia" w:eastAsiaTheme="minorEastAsia"/>
        </w:rPr>
      </w:pPr>
      <w:bookmarkStart w:id="75" w:name="_Toc135293349"/>
      <w:r>
        <w:rPr>
          <w:rFonts w:hint="eastAsia" w:asciiTheme="minorEastAsia" w:hAnsiTheme="minorEastAsia" w:eastAsiaTheme="minorEastAsia"/>
        </w:rPr>
        <w:t>格式7  技术规格</w:t>
      </w:r>
      <w:bookmarkEnd w:id="71"/>
      <w:bookmarkEnd w:id="72"/>
      <w:bookmarkEnd w:id="73"/>
      <w:bookmarkEnd w:id="74"/>
      <w:bookmarkEnd w:id="75"/>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left"/>
        <w:rPr>
          <w:rFonts w:ascii="Times New Roman" w:hAnsi="Times New Roman"/>
          <w:b/>
          <w:sz w:val="21"/>
          <w:szCs w:val="21"/>
        </w:rPr>
      </w:pPr>
    </w:p>
    <w:p>
      <w:pPr>
        <w:pStyle w:val="4"/>
        <w:tabs>
          <w:tab w:val="left" w:pos="371"/>
        </w:tabs>
        <w:spacing w:before="120" w:after="120"/>
        <w:ind w:left="-1" w:leftChars="-1" w:hanging="1"/>
        <w:jc w:val="center"/>
        <w:rPr>
          <w:rFonts w:asciiTheme="minorEastAsia" w:hAnsiTheme="minorEastAsia" w:eastAsiaTheme="minorEastAsia"/>
        </w:rPr>
      </w:pPr>
      <w:bookmarkStart w:id="76" w:name="_Toc135293350"/>
      <w:r>
        <w:rPr>
          <w:rFonts w:asciiTheme="minorEastAsia" w:hAnsiTheme="minorEastAsia" w:eastAsiaTheme="minorEastAsia"/>
        </w:rPr>
        <w:t>格式</w:t>
      </w:r>
      <w:r>
        <w:rPr>
          <w:rFonts w:hint="eastAsia" w:asciiTheme="minorEastAsia" w:hAnsiTheme="minorEastAsia" w:eastAsiaTheme="minorEastAsia"/>
        </w:rPr>
        <w:t>8</w:t>
      </w:r>
      <w:r>
        <w:rPr>
          <w:rFonts w:asciiTheme="minorEastAsia" w:hAnsiTheme="minorEastAsia" w:eastAsiaTheme="minorEastAsia"/>
        </w:rPr>
        <w:t xml:space="preserve">  交付进度</w:t>
      </w:r>
      <w:bookmarkEnd w:id="76"/>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rPr>
          <w:rFonts w:ascii="宋体" w:hAnsi="宋体"/>
          <w:sz w:val="28"/>
        </w:rPr>
      </w:pPr>
    </w:p>
    <w:p/>
    <w:p/>
    <w:p/>
    <w:p/>
    <w:p/>
    <w:p/>
    <w:p/>
    <w:p>
      <w:pPr>
        <w:tabs>
          <w:tab w:val="left" w:pos="371"/>
        </w:tabs>
        <w:spacing w:before="120" w:after="120"/>
        <w:ind w:left="-1" w:leftChars="-1" w:hanging="1"/>
        <w:jc w:val="center"/>
      </w:pPr>
      <w:bookmarkStart w:id="77" w:name="_Toc44690709"/>
      <w:bookmarkStart w:id="78" w:name="_Toc44690436"/>
      <w:bookmarkStart w:id="79" w:name="_Toc44691400"/>
      <w:bookmarkStart w:id="80" w:name="_Toc44691168"/>
    </w:p>
    <w:p>
      <w:pPr>
        <w:tabs>
          <w:tab w:val="left" w:pos="371"/>
        </w:tabs>
        <w:spacing w:before="120" w:after="120"/>
        <w:ind w:left="-1" w:leftChars="-1" w:hanging="1"/>
        <w:jc w:val="center"/>
      </w:pPr>
    </w:p>
    <w:p>
      <w:pPr>
        <w:tabs>
          <w:tab w:val="left" w:pos="371"/>
        </w:tabs>
        <w:spacing w:before="120" w:after="120"/>
        <w:ind w:left="-1" w:leftChars="-1" w:hanging="1"/>
        <w:jc w:val="center"/>
        <w:rPr>
          <w:rFonts w:asciiTheme="minorEastAsia" w:hAnsiTheme="minorEastAsia" w:eastAsiaTheme="minorEastAsia"/>
          <w:sz w:val="24"/>
        </w:rPr>
      </w:pPr>
    </w:p>
    <w:p>
      <w:pPr>
        <w:pStyle w:val="4"/>
        <w:tabs>
          <w:tab w:val="left" w:pos="371"/>
        </w:tabs>
        <w:spacing w:before="120" w:after="120"/>
        <w:ind w:left="-1" w:leftChars="-1" w:hanging="1"/>
        <w:jc w:val="center"/>
        <w:rPr>
          <w:rFonts w:asciiTheme="minorEastAsia" w:hAnsiTheme="minorEastAsia" w:eastAsiaTheme="minorEastAsia"/>
        </w:rPr>
      </w:pPr>
      <w:bookmarkStart w:id="81" w:name="_Toc135293351"/>
      <w:r>
        <w:rPr>
          <w:rFonts w:hint="eastAsia" w:asciiTheme="minorEastAsia" w:hAnsiTheme="minorEastAsia" w:eastAsiaTheme="minorEastAsia"/>
        </w:rPr>
        <w:t>格式9  售后服务和质量承诺</w:t>
      </w:r>
      <w:bookmarkEnd w:id="77"/>
      <w:bookmarkEnd w:id="78"/>
      <w:bookmarkEnd w:id="79"/>
      <w:bookmarkEnd w:id="80"/>
      <w:bookmarkEnd w:id="81"/>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pStyle w:val="4"/>
        <w:tabs>
          <w:tab w:val="left" w:pos="371"/>
        </w:tabs>
        <w:spacing w:before="120" w:after="120"/>
        <w:ind w:left="-1" w:leftChars="-1" w:hanging="1"/>
        <w:jc w:val="center"/>
        <w:rPr>
          <w:rFonts w:asciiTheme="minorEastAsia" w:hAnsiTheme="minorEastAsia" w:eastAsiaTheme="minorEastAsia"/>
        </w:rPr>
      </w:pPr>
      <w:bookmarkStart w:id="82" w:name="_格式2__投标保证金凭证"/>
      <w:bookmarkEnd w:id="82"/>
      <w:bookmarkStart w:id="83" w:name="q17"/>
      <w:bookmarkEnd w:id="83"/>
      <w:bookmarkStart w:id="84" w:name="q16"/>
      <w:bookmarkEnd w:id="84"/>
      <w:bookmarkStart w:id="85" w:name="_格式3__"/>
      <w:bookmarkEnd w:id="85"/>
      <w:bookmarkStart w:id="86" w:name="_格式4__"/>
      <w:bookmarkEnd w:id="86"/>
      <w:bookmarkStart w:id="87" w:name="_格式5__"/>
      <w:bookmarkEnd w:id="87"/>
      <w:bookmarkStart w:id="88" w:name="q15"/>
      <w:bookmarkEnd w:id="88"/>
      <w:r>
        <w:rPr>
          <w:rFonts w:asciiTheme="minorEastAsia" w:hAnsiTheme="minorEastAsia" w:eastAsiaTheme="minorEastAsia"/>
        </w:rPr>
        <w:tab/>
      </w:r>
      <w:bookmarkStart w:id="89" w:name="_Toc44691169"/>
      <w:bookmarkStart w:id="90" w:name="_Toc44690710"/>
      <w:bookmarkStart w:id="91" w:name="_Toc135293352"/>
      <w:bookmarkStart w:id="92" w:name="_Toc44691401"/>
      <w:bookmarkStart w:id="93" w:name="_Toc44690437"/>
      <w:r>
        <w:rPr>
          <w:rFonts w:hint="eastAsia" w:asciiTheme="minorEastAsia" w:hAnsiTheme="minorEastAsia" w:eastAsiaTheme="minorEastAsia"/>
        </w:rPr>
        <w:t>格式10  投标人情况介绍</w:t>
      </w:r>
      <w:bookmarkEnd w:id="89"/>
      <w:bookmarkEnd w:id="90"/>
      <w:bookmarkEnd w:id="91"/>
      <w:bookmarkEnd w:id="92"/>
      <w:bookmarkEnd w:id="93"/>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spacing w:line="360" w:lineRule="auto"/>
        <w:jc w:val="center"/>
        <w:rPr>
          <w:b/>
          <w:szCs w:val="21"/>
        </w:rPr>
      </w:pPr>
      <w:bookmarkStart w:id="94" w:name="_格式7__投标人资格声明"/>
      <w:bookmarkEnd w:id="94"/>
      <w:bookmarkStart w:id="95" w:name="q40"/>
    </w:p>
    <w:p>
      <w:pPr>
        <w:pStyle w:val="4"/>
        <w:tabs>
          <w:tab w:val="left" w:pos="371"/>
        </w:tabs>
        <w:spacing w:before="120" w:after="120"/>
        <w:ind w:left="-1" w:leftChars="-1" w:hanging="1"/>
        <w:jc w:val="center"/>
        <w:rPr>
          <w:rFonts w:asciiTheme="minorEastAsia" w:hAnsiTheme="minorEastAsia" w:eastAsiaTheme="minorEastAsia"/>
        </w:rPr>
      </w:pPr>
      <w:bookmarkStart w:id="96" w:name="_Toc135293353"/>
      <w:r>
        <w:rPr>
          <w:rFonts w:hint="eastAsia" w:asciiTheme="minorEastAsia" w:hAnsiTheme="minorEastAsia" w:eastAsiaTheme="minorEastAsia"/>
        </w:rPr>
        <w:t>格式11  偏离表</w:t>
      </w:r>
      <w:bookmarkEnd w:id="96"/>
    </w:p>
    <w:bookmarkEnd w:id="95"/>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w:t>
      </w:r>
      <w:r>
        <w:rPr>
          <w:rFonts w:hint="eastAsia" w:ascii="宋体" w:hAnsi="宋体" w:cs="宋体"/>
          <w:bCs/>
          <w:szCs w:val="21"/>
        </w:rPr>
        <w:t>如采购文件要求提供证明材料，</w:t>
      </w:r>
      <w:r>
        <w:rPr>
          <w:rFonts w:hint="eastAsia" w:asciiTheme="minorEastAsia" w:hAnsiTheme="minorEastAsia" w:eastAsiaTheme="minorEastAsia"/>
          <w:szCs w:val="21"/>
        </w:rPr>
        <w:t>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pStyle w:val="4"/>
        <w:tabs>
          <w:tab w:val="left" w:pos="371"/>
        </w:tabs>
        <w:spacing w:before="120" w:after="120"/>
        <w:ind w:left="-1" w:leftChars="-1" w:hanging="1"/>
        <w:jc w:val="center"/>
        <w:rPr>
          <w:rFonts w:asciiTheme="minorEastAsia" w:hAnsiTheme="minorEastAsia" w:eastAsiaTheme="minorEastAsia"/>
        </w:rPr>
      </w:pPr>
      <w:bookmarkStart w:id="97" w:name="_Toc135293354"/>
    </w:p>
    <w:p/>
    <w:p/>
    <w:p/>
    <w:p/>
    <w:p/>
    <w:p>
      <w:pPr>
        <w:pStyle w:val="4"/>
        <w:tabs>
          <w:tab w:val="left" w:pos="371"/>
        </w:tabs>
        <w:spacing w:before="120" w:after="120"/>
        <w:ind w:left="-1" w:leftChars="-1" w:hanging="1"/>
        <w:jc w:val="center"/>
        <w:rPr>
          <w:rFonts w:asciiTheme="minorEastAsia" w:hAnsiTheme="minorEastAsia" w:eastAsiaTheme="minorEastAsia"/>
        </w:rPr>
      </w:pPr>
      <w:r>
        <w:rPr>
          <w:rFonts w:hint="eastAsia" w:asciiTheme="minorEastAsia" w:hAnsiTheme="minorEastAsia" w:eastAsiaTheme="minorEastAsia"/>
        </w:rPr>
        <w:t>格式12  招标文件要求的其他资料或投标人认为需要补充的资料</w:t>
      </w:r>
      <w:bookmarkEnd w:id="97"/>
    </w:p>
    <w:p>
      <w:pPr>
        <w:spacing w:line="360" w:lineRule="auto"/>
        <w:jc w:val="center"/>
      </w:pPr>
    </w:p>
    <w:p>
      <w:pPr>
        <w:widowControl/>
        <w:snapToGrid w:val="0"/>
        <w:spacing w:line="360" w:lineRule="auto"/>
        <w:jc w:val="left"/>
        <w:outlineLvl w:val="3"/>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第七十五条规定：供应商有下列情形的，属于采购条例所称的串通投标行为。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投标人提供以下资料（格式自拟）：</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或税务部门原因暂时无法提供社保证明的，需提供加盖公章的情况说明或者证明材料。）</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2、其他招标文件要求提供的资料或投标人认为需要补充的资料。</w:t>
      </w:r>
    </w:p>
    <w:p>
      <w:pPr>
        <w:adjustRightInd w:val="0"/>
        <w:snapToGrid w:val="0"/>
        <w:spacing w:line="300" w:lineRule="auto"/>
        <w:ind w:firstLine="482" w:firstLineChars="200"/>
        <w:rPr>
          <w:b/>
          <w:snapToGrid w:val="0"/>
          <w:kern w:val="0"/>
          <w:sz w:val="24"/>
        </w:rPr>
      </w:pPr>
    </w:p>
    <w:p>
      <w:pPr>
        <w:rPr>
          <w:snapToGrid w:val="0"/>
          <w:kern w:val="0"/>
          <w:sz w:val="52"/>
          <w:szCs w:val="52"/>
        </w:rPr>
      </w:pPr>
    </w:p>
    <w:p/>
    <w:p/>
    <w:p/>
    <w:p/>
    <w:p/>
    <w:p/>
    <w:p/>
    <w:p/>
    <w:p/>
    <w:p/>
    <w:p/>
    <w:p/>
    <w:p/>
    <w:p/>
    <w:p/>
    <w:p/>
    <w:p>
      <w:pPr>
        <w:pStyle w:val="2"/>
      </w:pPr>
      <w:bookmarkStart w:id="98" w:name="_Toc135293355"/>
      <w:r>
        <w:rPr>
          <w:rFonts w:hint="eastAsia"/>
        </w:rPr>
        <w:t>第八章  合同条款</w:t>
      </w:r>
      <w:bookmarkEnd w:id="98"/>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spacing w:line="360" w:lineRule="auto"/>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
      <w:pPr>
        <w:pStyle w:val="2"/>
      </w:pPr>
      <w:bookmarkStart w:id="99" w:name="_Toc135293356"/>
      <w:r>
        <w:rPr>
          <w:rFonts w:hint="eastAsia"/>
        </w:rPr>
        <w:t>第九章  附件</w:t>
      </w:r>
      <w:bookmarkEnd w:id="99"/>
    </w:p>
    <w:p>
      <w:pPr>
        <w:pStyle w:val="3"/>
        <w:spacing w:before="0" w:after="0"/>
      </w:pPr>
      <w:bookmarkStart w:id="100" w:name="_Toc73613644"/>
      <w:bookmarkStart w:id="101" w:name="_Toc135293357"/>
      <w:bookmarkStart w:id="102" w:name="_Toc73610162"/>
      <w:r>
        <w:rPr>
          <w:rFonts w:hint="eastAsia"/>
        </w:rPr>
        <w:t>一、财政部 工业和信息化部关于印发《政府采购促进中小企业发展管理办法》的通知</w:t>
      </w:r>
      <w:bookmarkEnd w:id="100"/>
      <w:bookmarkEnd w:id="101"/>
      <w:bookmarkEnd w:id="102"/>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pPr>
        <w:spacing w:line="360" w:lineRule="auto"/>
        <w:rPr>
          <w:rFonts w:asciiTheme="minorEastAsia" w:hAnsiTheme="minorEastAsia" w:eastAsiaTheme="minorEastAsia"/>
          <w:szCs w:val="21"/>
        </w:rPr>
      </w:pPr>
    </w:p>
    <w:p>
      <w:pPr>
        <w:pStyle w:val="3"/>
        <w:spacing w:before="0" w:after="0"/>
      </w:pPr>
      <w:bookmarkStart w:id="103" w:name="_Toc135293358"/>
      <w:bookmarkStart w:id="104" w:name="_Toc73613645"/>
      <w:bookmarkStart w:id="105" w:name="_Toc73610163"/>
      <w:r>
        <w:rPr>
          <w:rFonts w:hint="eastAsia"/>
        </w:rPr>
        <w:t>二、关于印发中小企业划型标准规定的通知</w:t>
      </w:r>
      <w:bookmarkEnd w:id="103"/>
      <w:bookmarkEnd w:id="104"/>
      <w:bookmarkEnd w:id="105"/>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工业和信息化部　国家统计局</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国家发展和改革委员会　财政部</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二○一一年六月十八日</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四、各行业划型标准为：</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五、企业类型的划分以统计部门的统计数据为依据。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九、本规定由工业和信息化部、国家统计局会同有关部门负责解释。</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pPr>
        <w:pStyle w:val="3"/>
        <w:spacing w:before="0" w:after="0"/>
      </w:pPr>
      <w:bookmarkStart w:id="106" w:name="_Toc73610164"/>
      <w:bookmarkStart w:id="107" w:name="_Toc135293359"/>
      <w:bookmarkStart w:id="108" w:name="_Toc73613646"/>
      <w:r>
        <w:rPr>
          <w:rFonts w:hint="eastAsia"/>
        </w:rPr>
        <w:t>三、</w:t>
      </w:r>
      <w:r>
        <w:t>国家统计局关于印发《统计上大中小微型企业划分办法 （2017）》的通知</w:t>
      </w:r>
      <w:bookmarkEnd w:id="106"/>
      <w:bookmarkEnd w:id="107"/>
      <w:bookmarkEnd w:id="108"/>
      <w:r>
        <w:t> </w:t>
      </w: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3"/>
        <w:spacing w:before="0" w:after="0"/>
      </w:pPr>
      <w:bookmarkStart w:id="109" w:name="_Toc73610165"/>
      <w:bookmarkStart w:id="110" w:name="_Toc73613647"/>
      <w:bookmarkStart w:id="111" w:name="_Toc135293360"/>
      <w:r>
        <w:rPr>
          <w:rFonts w:hint="eastAsia"/>
        </w:rPr>
        <w:t>四、</w:t>
      </w:r>
      <w:r>
        <w:t>财政部 民政部 中国残疾人联合会关于促进残疾人就业 政府采购政策的通知</w:t>
      </w:r>
      <w:bookmarkEnd w:id="109"/>
      <w:bookmarkEnd w:id="110"/>
      <w:bookmarkEnd w:id="111"/>
      <w:r>
        <w:t xml:space="preserve"> </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rPr>
          <w:rFonts w:ascii="Calibri" w:hAnsi="Calibri"/>
          <w:szCs w:val="22"/>
        </w:rPr>
      </w:pPr>
    </w:p>
    <w:p>
      <w:pPr>
        <w:rPr>
          <w:rFonts w:ascii="Calibri" w:hAnsi="Calibri"/>
          <w:szCs w:val="22"/>
        </w:rPr>
      </w:pPr>
    </w:p>
    <w:p>
      <w:pPr>
        <w:pStyle w:val="3"/>
        <w:spacing w:before="0" w:after="0"/>
      </w:pPr>
      <w:bookmarkStart w:id="112" w:name="_Toc135293361"/>
      <w:r>
        <w:rPr>
          <w:rFonts w:hint="eastAsia"/>
        </w:rPr>
        <w:t>五、财政部 司法部关于政府采购支持监狱企业发展有关问题的通知</w:t>
      </w:r>
      <w:bookmarkEnd w:id="112"/>
      <w:r>
        <w:rPr>
          <w:rFonts w:hint="eastAsia"/>
        </w:rP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p>
      <w:pPr>
        <w:pStyle w:val="3"/>
        <w:spacing w:before="0" w:after="0"/>
        <w:rPr>
          <w:rFonts w:asciiTheme="minorEastAsia" w:hAnsiTheme="minorEastAsia"/>
          <w:szCs w:val="21"/>
        </w:rPr>
      </w:pP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panose1 w:val="02020609040205080304"/>
    <w:charset w:val="80"/>
    <w:family w:val="modern"/>
    <w:pitch w:val="default"/>
    <w:sig w:usb0="A00002BF" w:usb1="68C7FCFB" w:usb2="00000010" w:usb3="00000000" w:csb0="4002009F" w:csb1="DFD7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2</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w:t>
    </w:r>
    <w:r>
      <w:rPr>
        <w:rFonts w:hint="eastAsia" w:asciiTheme="minorEastAsia" w:hAnsiTheme="minorEastAsia" w:eastAsiaTheme="minorEastAsia"/>
        <w:lang w:eastAsia="zh-CN"/>
      </w:rPr>
      <w:t>深圳市疾病预防控制中心流感试剂一批采购项目</w:t>
    </w:r>
    <w:r>
      <w:rPr>
        <w:rFonts w:hint="eastAsia" w:asciiTheme="minorEastAsia" w:hAnsiTheme="minorEastAsia" w:eastAsiaTheme="minorEastAsia"/>
      </w:rPr>
      <w:t xml:space="preserve">                              项目编号：SZZZ2024-QA0032</w:t>
    </w:r>
  </w:p>
  <w:p>
    <w:pPr>
      <w:pStyle w:val="32"/>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VkZGVkYTNiOTU2NTQ1Nzc0OTI5NDMzOTUxZDg0ZWIifQ=="/>
  </w:docVars>
  <w:rsids>
    <w:rsidRoot w:val="00172A27"/>
    <w:rsid w:val="0000124D"/>
    <w:rsid w:val="0000134D"/>
    <w:rsid w:val="00001635"/>
    <w:rsid w:val="000035D6"/>
    <w:rsid w:val="000036D6"/>
    <w:rsid w:val="00003921"/>
    <w:rsid w:val="000039AF"/>
    <w:rsid w:val="00003A46"/>
    <w:rsid w:val="000042A3"/>
    <w:rsid w:val="0000430B"/>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5DA"/>
    <w:rsid w:val="00015940"/>
    <w:rsid w:val="00015AF5"/>
    <w:rsid w:val="00016458"/>
    <w:rsid w:val="000165EF"/>
    <w:rsid w:val="00016FC3"/>
    <w:rsid w:val="000206A8"/>
    <w:rsid w:val="000208F8"/>
    <w:rsid w:val="00021304"/>
    <w:rsid w:val="0002197F"/>
    <w:rsid w:val="00022C27"/>
    <w:rsid w:val="00022F4F"/>
    <w:rsid w:val="00022FA9"/>
    <w:rsid w:val="00024FC9"/>
    <w:rsid w:val="000250AF"/>
    <w:rsid w:val="00025B21"/>
    <w:rsid w:val="00025D5B"/>
    <w:rsid w:val="00026249"/>
    <w:rsid w:val="00026BDD"/>
    <w:rsid w:val="00027415"/>
    <w:rsid w:val="000274F7"/>
    <w:rsid w:val="000307C5"/>
    <w:rsid w:val="00030D77"/>
    <w:rsid w:val="00031415"/>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0AA"/>
    <w:rsid w:val="0004315F"/>
    <w:rsid w:val="00043926"/>
    <w:rsid w:val="00043D2B"/>
    <w:rsid w:val="00043FC3"/>
    <w:rsid w:val="000447F6"/>
    <w:rsid w:val="00044A93"/>
    <w:rsid w:val="000450E0"/>
    <w:rsid w:val="00045923"/>
    <w:rsid w:val="00045EB5"/>
    <w:rsid w:val="00046595"/>
    <w:rsid w:val="0004741F"/>
    <w:rsid w:val="00047612"/>
    <w:rsid w:val="00047852"/>
    <w:rsid w:val="00047A79"/>
    <w:rsid w:val="00050F73"/>
    <w:rsid w:val="00051378"/>
    <w:rsid w:val="000529DE"/>
    <w:rsid w:val="00053074"/>
    <w:rsid w:val="000530DF"/>
    <w:rsid w:val="00053F8F"/>
    <w:rsid w:val="000545F7"/>
    <w:rsid w:val="00054837"/>
    <w:rsid w:val="000550A3"/>
    <w:rsid w:val="0005520A"/>
    <w:rsid w:val="0005526E"/>
    <w:rsid w:val="000558BB"/>
    <w:rsid w:val="00056374"/>
    <w:rsid w:val="0005650D"/>
    <w:rsid w:val="00056617"/>
    <w:rsid w:val="00057655"/>
    <w:rsid w:val="00060349"/>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0C"/>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1A"/>
    <w:rsid w:val="00085FFE"/>
    <w:rsid w:val="000866A3"/>
    <w:rsid w:val="000867FB"/>
    <w:rsid w:val="00086F62"/>
    <w:rsid w:val="000870F2"/>
    <w:rsid w:val="000871D6"/>
    <w:rsid w:val="000871FE"/>
    <w:rsid w:val="000878FF"/>
    <w:rsid w:val="00087F07"/>
    <w:rsid w:val="0009127F"/>
    <w:rsid w:val="0009133A"/>
    <w:rsid w:val="0009145A"/>
    <w:rsid w:val="00091526"/>
    <w:rsid w:val="00091CAC"/>
    <w:rsid w:val="00092BD5"/>
    <w:rsid w:val="00093007"/>
    <w:rsid w:val="00094366"/>
    <w:rsid w:val="00095198"/>
    <w:rsid w:val="00095806"/>
    <w:rsid w:val="00095F61"/>
    <w:rsid w:val="00096CE6"/>
    <w:rsid w:val="00097B04"/>
    <w:rsid w:val="000A0947"/>
    <w:rsid w:val="000A0ABE"/>
    <w:rsid w:val="000A0DC0"/>
    <w:rsid w:val="000A24AF"/>
    <w:rsid w:val="000A274D"/>
    <w:rsid w:val="000A2C52"/>
    <w:rsid w:val="000A2D79"/>
    <w:rsid w:val="000A2FDD"/>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1F40"/>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401"/>
    <w:rsid w:val="000C48DA"/>
    <w:rsid w:val="000C605A"/>
    <w:rsid w:val="000C63AE"/>
    <w:rsid w:val="000C69B9"/>
    <w:rsid w:val="000C6BB0"/>
    <w:rsid w:val="000C7685"/>
    <w:rsid w:val="000D0C86"/>
    <w:rsid w:val="000D0C91"/>
    <w:rsid w:val="000D11F6"/>
    <w:rsid w:val="000D1EAF"/>
    <w:rsid w:val="000D2056"/>
    <w:rsid w:val="000D2C8E"/>
    <w:rsid w:val="000D2CA8"/>
    <w:rsid w:val="000D2D97"/>
    <w:rsid w:val="000D3787"/>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063E"/>
    <w:rsid w:val="000E0EA4"/>
    <w:rsid w:val="000E1550"/>
    <w:rsid w:val="000E18B0"/>
    <w:rsid w:val="000E1BD5"/>
    <w:rsid w:val="000E1C6E"/>
    <w:rsid w:val="000E214A"/>
    <w:rsid w:val="000E21D9"/>
    <w:rsid w:val="000E2823"/>
    <w:rsid w:val="000E3219"/>
    <w:rsid w:val="000E321B"/>
    <w:rsid w:val="000E3D76"/>
    <w:rsid w:val="000E52FA"/>
    <w:rsid w:val="000E5602"/>
    <w:rsid w:val="000E6437"/>
    <w:rsid w:val="000E671E"/>
    <w:rsid w:val="000F06E7"/>
    <w:rsid w:val="000F0B03"/>
    <w:rsid w:val="000F0D6F"/>
    <w:rsid w:val="000F1A24"/>
    <w:rsid w:val="000F1EDD"/>
    <w:rsid w:val="000F23CA"/>
    <w:rsid w:val="000F243B"/>
    <w:rsid w:val="000F262E"/>
    <w:rsid w:val="000F3580"/>
    <w:rsid w:val="000F3F04"/>
    <w:rsid w:val="000F420E"/>
    <w:rsid w:val="000F454C"/>
    <w:rsid w:val="000F4EE2"/>
    <w:rsid w:val="000F4EEC"/>
    <w:rsid w:val="000F527A"/>
    <w:rsid w:val="000F5C16"/>
    <w:rsid w:val="000F6308"/>
    <w:rsid w:val="000F6C6E"/>
    <w:rsid w:val="000F6CC6"/>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3BF"/>
    <w:rsid w:val="001116F7"/>
    <w:rsid w:val="001117B9"/>
    <w:rsid w:val="00112EFC"/>
    <w:rsid w:val="0011317D"/>
    <w:rsid w:val="001134EF"/>
    <w:rsid w:val="00113EE1"/>
    <w:rsid w:val="00114386"/>
    <w:rsid w:val="00114496"/>
    <w:rsid w:val="001148BD"/>
    <w:rsid w:val="001151A9"/>
    <w:rsid w:val="00115CCC"/>
    <w:rsid w:val="0011668B"/>
    <w:rsid w:val="00116BDF"/>
    <w:rsid w:val="00117C18"/>
    <w:rsid w:val="0012030F"/>
    <w:rsid w:val="00120AB4"/>
    <w:rsid w:val="00120B0D"/>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0B8"/>
    <w:rsid w:val="0013411A"/>
    <w:rsid w:val="001349F3"/>
    <w:rsid w:val="001356AB"/>
    <w:rsid w:val="0013581C"/>
    <w:rsid w:val="001359F5"/>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57A3"/>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3C5"/>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3DD9"/>
    <w:rsid w:val="001742DD"/>
    <w:rsid w:val="00174312"/>
    <w:rsid w:val="0017434A"/>
    <w:rsid w:val="00175A5E"/>
    <w:rsid w:val="00175B46"/>
    <w:rsid w:val="00177212"/>
    <w:rsid w:val="001774D4"/>
    <w:rsid w:val="00177549"/>
    <w:rsid w:val="00177744"/>
    <w:rsid w:val="00177780"/>
    <w:rsid w:val="001778BE"/>
    <w:rsid w:val="00177F89"/>
    <w:rsid w:val="00180498"/>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45B"/>
    <w:rsid w:val="00187B3E"/>
    <w:rsid w:val="0019091C"/>
    <w:rsid w:val="00190D18"/>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370"/>
    <w:rsid w:val="001A040A"/>
    <w:rsid w:val="001A0F0D"/>
    <w:rsid w:val="001A10F7"/>
    <w:rsid w:val="001A173C"/>
    <w:rsid w:val="001A1844"/>
    <w:rsid w:val="001A1998"/>
    <w:rsid w:val="001A1BE9"/>
    <w:rsid w:val="001A20CA"/>
    <w:rsid w:val="001A29AF"/>
    <w:rsid w:val="001A2B9F"/>
    <w:rsid w:val="001A2D43"/>
    <w:rsid w:val="001A2DA7"/>
    <w:rsid w:val="001A2E47"/>
    <w:rsid w:val="001A3B13"/>
    <w:rsid w:val="001A3CF6"/>
    <w:rsid w:val="001A3EE7"/>
    <w:rsid w:val="001A4420"/>
    <w:rsid w:val="001A5725"/>
    <w:rsid w:val="001A5BD1"/>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107"/>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4182"/>
    <w:rsid w:val="001C5F9A"/>
    <w:rsid w:val="001C6695"/>
    <w:rsid w:val="001C7E49"/>
    <w:rsid w:val="001D012D"/>
    <w:rsid w:val="001D0702"/>
    <w:rsid w:val="001D0A25"/>
    <w:rsid w:val="001D1659"/>
    <w:rsid w:val="001D296C"/>
    <w:rsid w:val="001D2F3D"/>
    <w:rsid w:val="001D325B"/>
    <w:rsid w:val="001D33C3"/>
    <w:rsid w:val="001D3C8D"/>
    <w:rsid w:val="001D3DED"/>
    <w:rsid w:val="001D3DF8"/>
    <w:rsid w:val="001D4078"/>
    <w:rsid w:val="001D4E6F"/>
    <w:rsid w:val="001D5573"/>
    <w:rsid w:val="001D5E80"/>
    <w:rsid w:val="001D6157"/>
    <w:rsid w:val="001D6356"/>
    <w:rsid w:val="001D64D4"/>
    <w:rsid w:val="001D6A56"/>
    <w:rsid w:val="001D6EC3"/>
    <w:rsid w:val="001D710C"/>
    <w:rsid w:val="001E11B1"/>
    <w:rsid w:val="001E208F"/>
    <w:rsid w:val="001E233C"/>
    <w:rsid w:val="001E2D51"/>
    <w:rsid w:val="001E4950"/>
    <w:rsid w:val="001E5014"/>
    <w:rsid w:val="001E5337"/>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6E30"/>
    <w:rsid w:val="001F6FA9"/>
    <w:rsid w:val="001F722E"/>
    <w:rsid w:val="001F7746"/>
    <w:rsid w:val="002001F1"/>
    <w:rsid w:val="00201348"/>
    <w:rsid w:val="002014D7"/>
    <w:rsid w:val="00201A4E"/>
    <w:rsid w:val="00201B09"/>
    <w:rsid w:val="00201C8A"/>
    <w:rsid w:val="00202525"/>
    <w:rsid w:val="002035A2"/>
    <w:rsid w:val="00203669"/>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61F"/>
    <w:rsid w:val="002139CD"/>
    <w:rsid w:val="00213E88"/>
    <w:rsid w:val="00214C22"/>
    <w:rsid w:val="00214C4A"/>
    <w:rsid w:val="00214FDD"/>
    <w:rsid w:val="0021647A"/>
    <w:rsid w:val="00216574"/>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069"/>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0"/>
    <w:rsid w:val="00245DD8"/>
    <w:rsid w:val="00245EAC"/>
    <w:rsid w:val="002477EA"/>
    <w:rsid w:val="002506EE"/>
    <w:rsid w:val="00250E89"/>
    <w:rsid w:val="00252912"/>
    <w:rsid w:val="00252AED"/>
    <w:rsid w:val="00252D49"/>
    <w:rsid w:val="00253C51"/>
    <w:rsid w:val="002548D3"/>
    <w:rsid w:val="0025568B"/>
    <w:rsid w:val="002561B7"/>
    <w:rsid w:val="00257054"/>
    <w:rsid w:val="00257131"/>
    <w:rsid w:val="002572D1"/>
    <w:rsid w:val="0025733E"/>
    <w:rsid w:val="00257A12"/>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4AE"/>
    <w:rsid w:val="0026696D"/>
    <w:rsid w:val="00266A00"/>
    <w:rsid w:val="00266BE6"/>
    <w:rsid w:val="00267127"/>
    <w:rsid w:val="00267325"/>
    <w:rsid w:val="00267935"/>
    <w:rsid w:val="002703AB"/>
    <w:rsid w:val="00270B8F"/>
    <w:rsid w:val="00271B39"/>
    <w:rsid w:val="00271CD9"/>
    <w:rsid w:val="0027313B"/>
    <w:rsid w:val="002731CD"/>
    <w:rsid w:val="00273A25"/>
    <w:rsid w:val="00273CF6"/>
    <w:rsid w:val="00273F3E"/>
    <w:rsid w:val="00274F13"/>
    <w:rsid w:val="002752E7"/>
    <w:rsid w:val="00275388"/>
    <w:rsid w:val="00275567"/>
    <w:rsid w:val="00275D52"/>
    <w:rsid w:val="002763F5"/>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3EE"/>
    <w:rsid w:val="0028242D"/>
    <w:rsid w:val="00282D45"/>
    <w:rsid w:val="00283253"/>
    <w:rsid w:val="002836C6"/>
    <w:rsid w:val="002843DE"/>
    <w:rsid w:val="0028615B"/>
    <w:rsid w:val="00286848"/>
    <w:rsid w:val="00286DFC"/>
    <w:rsid w:val="00287102"/>
    <w:rsid w:val="002872E5"/>
    <w:rsid w:val="00290002"/>
    <w:rsid w:val="0029069C"/>
    <w:rsid w:val="002913B8"/>
    <w:rsid w:val="0029244F"/>
    <w:rsid w:val="0029328F"/>
    <w:rsid w:val="00293B82"/>
    <w:rsid w:val="00293DA4"/>
    <w:rsid w:val="002965D8"/>
    <w:rsid w:val="002A0381"/>
    <w:rsid w:val="002A0425"/>
    <w:rsid w:val="002A0651"/>
    <w:rsid w:val="002A06BD"/>
    <w:rsid w:val="002A11FB"/>
    <w:rsid w:val="002A120C"/>
    <w:rsid w:val="002A1891"/>
    <w:rsid w:val="002A1996"/>
    <w:rsid w:val="002A1F00"/>
    <w:rsid w:val="002A1F34"/>
    <w:rsid w:val="002A2185"/>
    <w:rsid w:val="002A21D9"/>
    <w:rsid w:val="002A2603"/>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0FEF"/>
    <w:rsid w:val="002B175A"/>
    <w:rsid w:val="002B2CF6"/>
    <w:rsid w:val="002B2E09"/>
    <w:rsid w:val="002B366D"/>
    <w:rsid w:val="002B3959"/>
    <w:rsid w:val="002B3C7C"/>
    <w:rsid w:val="002B4B5E"/>
    <w:rsid w:val="002B4F70"/>
    <w:rsid w:val="002B4FE5"/>
    <w:rsid w:val="002B6528"/>
    <w:rsid w:val="002B661A"/>
    <w:rsid w:val="002B6CA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303"/>
    <w:rsid w:val="002C55AB"/>
    <w:rsid w:val="002C588A"/>
    <w:rsid w:val="002C5B4B"/>
    <w:rsid w:val="002C5EEF"/>
    <w:rsid w:val="002C6527"/>
    <w:rsid w:val="002C7D6D"/>
    <w:rsid w:val="002D13DF"/>
    <w:rsid w:val="002D195A"/>
    <w:rsid w:val="002D3B6B"/>
    <w:rsid w:val="002D41A4"/>
    <w:rsid w:val="002D603D"/>
    <w:rsid w:val="002D6332"/>
    <w:rsid w:val="002D7735"/>
    <w:rsid w:val="002D7FC5"/>
    <w:rsid w:val="002E00AD"/>
    <w:rsid w:val="002E032F"/>
    <w:rsid w:val="002E075F"/>
    <w:rsid w:val="002E08C1"/>
    <w:rsid w:val="002E0B56"/>
    <w:rsid w:val="002E0B5D"/>
    <w:rsid w:val="002E0B99"/>
    <w:rsid w:val="002E1650"/>
    <w:rsid w:val="002E1773"/>
    <w:rsid w:val="002E1DA6"/>
    <w:rsid w:val="002E214F"/>
    <w:rsid w:val="002E24BD"/>
    <w:rsid w:val="002E27B9"/>
    <w:rsid w:val="002E3C98"/>
    <w:rsid w:val="002E40AA"/>
    <w:rsid w:val="002E4681"/>
    <w:rsid w:val="002E4D51"/>
    <w:rsid w:val="002E554F"/>
    <w:rsid w:val="002E57C9"/>
    <w:rsid w:val="002E6371"/>
    <w:rsid w:val="002E6740"/>
    <w:rsid w:val="002E6A58"/>
    <w:rsid w:val="002E6D98"/>
    <w:rsid w:val="002E7881"/>
    <w:rsid w:val="002E7975"/>
    <w:rsid w:val="002E7A31"/>
    <w:rsid w:val="002F01F2"/>
    <w:rsid w:val="002F0F57"/>
    <w:rsid w:val="002F11D5"/>
    <w:rsid w:val="002F2B63"/>
    <w:rsid w:val="002F3765"/>
    <w:rsid w:val="002F3D84"/>
    <w:rsid w:val="002F3D91"/>
    <w:rsid w:val="002F44A0"/>
    <w:rsid w:val="002F4F44"/>
    <w:rsid w:val="002F50DA"/>
    <w:rsid w:val="002F56B1"/>
    <w:rsid w:val="002F584B"/>
    <w:rsid w:val="002F5EEE"/>
    <w:rsid w:val="002F5FC3"/>
    <w:rsid w:val="002F6CC7"/>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782"/>
    <w:rsid w:val="00305C1F"/>
    <w:rsid w:val="00305D1D"/>
    <w:rsid w:val="00306448"/>
    <w:rsid w:val="003066B4"/>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1B3"/>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1CE4"/>
    <w:rsid w:val="00332227"/>
    <w:rsid w:val="00332486"/>
    <w:rsid w:val="00332B76"/>
    <w:rsid w:val="0033321A"/>
    <w:rsid w:val="00333676"/>
    <w:rsid w:val="003336FD"/>
    <w:rsid w:val="00333A02"/>
    <w:rsid w:val="00333A55"/>
    <w:rsid w:val="00333D3B"/>
    <w:rsid w:val="00333E4C"/>
    <w:rsid w:val="00334224"/>
    <w:rsid w:val="0033425B"/>
    <w:rsid w:val="003342F6"/>
    <w:rsid w:val="00334680"/>
    <w:rsid w:val="00334DBC"/>
    <w:rsid w:val="003350A3"/>
    <w:rsid w:val="00335235"/>
    <w:rsid w:val="0033586C"/>
    <w:rsid w:val="00335EFB"/>
    <w:rsid w:val="00336334"/>
    <w:rsid w:val="003364EB"/>
    <w:rsid w:val="003374CB"/>
    <w:rsid w:val="00337D7C"/>
    <w:rsid w:val="00340405"/>
    <w:rsid w:val="00340445"/>
    <w:rsid w:val="00342098"/>
    <w:rsid w:val="00342BAE"/>
    <w:rsid w:val="003431F0"/>
    <w:rsid w:val="0034429E"/>
    <w:rsid w:val="00344388"/>
    <w:rsid w:val="00345387"/>
    <w:rsid w:val="00345A3A"/>
    <w:rsid w:val="00345AD6"/>
    <w:rsid w:val="00345E2A"/>
    <w:rsid w:val="00345F25"/>
    <w:rsid w:val="00346772"/>
    <w:rsid w:val="00346E05"/>
    <w:rsid w:val="00350C97"/>
    <w:rsid w:val="00351F42"/>
    <w:rsid w:val="00352BC1"/>
    <w:rsid w:val="003536EE"/>
    <w:rsid w:val="00353939"/>
    <w:rsid w:val="00354882"/>
    <w:rsid w:val="00354E1D"/>
    <w:rsid w:val="00354FA4"/>
    <w:rsid w:val="00355855"/>
    <w:rsid w:val="003558FD"/>
    <w:rsid w:val="003571E8"/>
    <w:rsid w:val="0035749F"/>
    <w:rsid w:val="00357CBA"/>
    <w:rsid w:val="003602AF"/>
    <w:rsid w:val="003619E8"/>
    <w:rsid w:val="00361FC9"/>
    <w:rsid w:val="00363CCB"/>
    <w:rsid w:val="003640EA"/>
    <w:rsid w:val="003642A2"/>
    <w:rsid w:val="003646C5"/>
    <w:rsid w:val="00365006"/>
    <w:rsid w:val="00365258"/>
    <w:rsid w:val="00365ABF"/>
    <w:rsid w:val="003664D4"/>
    <w:rsid w:val="00366FA8"/>
    <w:rsid w:val="0037017C"/>
    <w:rsid w:val="003703D0"/>
    <w:rsid w:val="003706B3"/>
    <w:rsid w:val="003706EF"/>
    <w:rsid w:val="003709F9"/>
    <w:rsid w:val="00372522"/>
    <w:rsid w:val="003728C9"/>
    <w:rsid w:val="00373353"/>
    <w:rsid w:val="00373923"/>
    <w:rsid w:val="00373A07"/>
    <w:rsid w:val="003744B5"/>
    <w:rsid w:val="003745F2"/>
    <w:rsid w:val="00374BA5"/>
    <w:rsid w:val="003750DD"/>
    <w:rsid w:val="003756AA"/>
    <w:rsid w:val="0037593F"/>
    <w:rsid w:val="00376309"/>
    <w:rsid w:val="00376B23"/>
    <w:rsid w:val="003773D2"/>
    <w:rsid w:val="0037794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0B62"/>
    <w:rsid w:val="00391591"/>
    <w:rsid w:val="00391BDF"/>
    <w:rsid w:val="00392CF1"/>
    <w:rsid w:val="00393028"/>
    <w:rsid w:val="0039313E"/>
    <w:rsid w:val="003934F9"/>
    <w:rsid w:val="00393CB5"/>
    <w:rsid w:val="003947A1"/>
    <w:rsid w:val="00394848"/>
    <w:rsid w:val="00394A73"/>
    <w:rsid w:val="00394BD9"/>
    <w:rsid w:val="00394CBF"/>
    <w:rsid w:val="00394D1B"/>
    <w:rsid w:val="00394EA1"/>
    <w:rsid w:val="00394FBE"/>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2EFD"/>
    <w:rsid w:val="003B3713"/>
    <w:rsid w:val="003B3AA5"/>
    <w:rsid w:val="003B445F"/>
    <w:rsid w:val="003B495A"/>
    <w:rsid w:val="003B4982"/>
    <w:rsid w:val="003B4B46"/>
    <w:rsid w:val="003B5C4E"/>
    <w:rsid w:val="003B65AB"/>
    <w:rsid w:val="003B6CFD"/>
    <w:rsid w:val="003B6F24"/>
    <w:rsid w:val="003B7115"/>
    <w:rsid w:val="003B77CE"/>
    <w:rsid w:val="003B7B4E"/>
    <w:rsid w:val="003C043F"/>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18C4"/>
    <w:rsid w:val="003D27FB"/>
    <w:rsid w:val="003D2F60"/>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62D"/>
    <w:rsid w:val="003E69D8"/>
    <w:rsid w:val="003E6B1E"/>
    <w:rsid w:val="003E6EAB"/>
    <w:rsid w:val="003E722F"/>
    <w:rsid w:val="003E7E77"/>
    <w:rsid w:val="003F00CA"/>
    <w:rsid w:val="003F0CC4"/>
    <w:rsid w:val="003F179E"/>
    <w:rsid w:val="003F1823"/>
    <w:rsid w:val="003F1DDF"/>
    <w:rsid w:val="003F1F28"/>
    <w:rsid w:val="003F253B"/>
    <w:rsid w:val="003F2DC7"/>
    <w:rsid w:val="003F3D4F"/>
    <w:rsid w:val="003F3ED0"/>
    <w:rsid w:val="003F447B"/>
    <w:rsid w:val="003F48D0"/>
    <w:rsid w:val="003F4F4B"/>
    <w:rsid w:val="003F50A1"/>
    <w:rsid w:val="003F5132"/>
    <w:rsid w:val="003F538A"/>
    <w:rsid w:val="003F65B3"/>
    <w:rsid w:val="003F6B1B"/>
    <w:rsid w:val="003F6BA8"/>
    <w:rsid w:val="003F6D1D"/>
    <w:rsid w:val="003F7D12"/>
    <w:rsid w:val="003F7F24"/>
    <w:rsid w:val="00400133"/>
    <w:rsid w:val="004004F2"/>
    <w:rsid w:val="0040061D"/>
    <w:rsid w:val="004009A7"/>
    <w:rsid w:val="00400A0B"/>
    <w:rsid w:val="00400A9F"/>
    <w:rsid w:val="00400AA9"/>
    <w:rsid w:val="00400D1B"/>
    <w:rsid w:val="004015AD"/>
    <w:rsid w:val="00401E65"/>
    <w:rsid w:val="00402593"/>
    <w:rsid w:val="004025F3"/>
    <w:rsid w:val="00402776"/>
    <w:rsid w:val="00402AB6"/>
    <w:rsid w:val="00402FEE"/>
    <w:rsid w:val="004030E9"/>
    <w:rsid w:val="00403343"/>
    <w:rsid w:val="004035B9"/>
    <w:rsid w:val="00403DA9"/>
    <w:rsid w:val="00404E9B"/>
    <w:rsid w:val="00404F25"/>
    <w:rsid w:val="004054BD"/>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1271"/>
    <w:rsid w:val="004124E8"/>
    <w:rsid w:val="004126E5"/>
    <w:rsid w:val="00412B1A"/>
    <w:rsid w:val="00413625"/>
    <w:rsid w:val="00413661"/>
    <w:rsid w:val="00413BFD"/>
    <w:rsid w:val="004146C1"/>
    <w:rsid w:val="00414A4F"/>
    <w:rsid w:val="00414EA4"/>
    <w:rsid w:val="00415756"/>
    <w:rsid w:val="0041594E"/>
    <w:rsid w:val="00415B9C"/>
    <w:rsid w:val="00415FC6"/>
    <w:rsid w:val="0041688D"/>
    <w:rsid w:val="004168DB"/>
    <w:rsid w:val="00416907"/>
    <w:rsid w:val="00416A9F"/>
    <w:rsid w:val="004170BB"/>
    <w:rsid w:val="00417C59"/>
    <w:rsid w:val="00417D63"/>
    <w:rsid w:val="00417D79"/>
    <w:rsid w:val="004201B7"/>
    <w:rsid w:val="00421FC0"/>
    <w:rsid w:val="00422A18"/>
    <w:rsid w:val="00422B01"/>
    <w:rsid w:val="00422C29"/>
    <w:rsid w:val="00423668"/>
    <w:rsid w:val="00423C36"/>
    <w:rsid w:val="004242E7"/>
    <w:rsid w:val="00424697"/>
    <w:rsid w:val="00424B8A"/>
    <w:rsid w:val="00424DD1"/>
    <w:rsid w:val="00425A62"/>
    <w:rsid w:val="00426433"/>
    <w:rsid w:val="00426B44"/>
    <w:rsid w:val="004274C8"/>
    <w:rsid w:val="004274CF"/>
    <w:rsid w:val="00427BF1"/>
    <w:rsid w:val="00430022"/>
    <w:rsid w:val="00430051"/>
    <w:rsid w:val="004303FE"/>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DB9"/>
    <w:rsid w:val="00441F5D"/>
    <w:rsid w:val="00442241"/>
    <w:rsid w:val="004424D0"/>
    <w:rsid w:val="00442CBE"/>
    <w:rsid w:val="00442D09"/>
    <w:rsid w:val="004434AB"/>
    <w:rsid w:val="00443DFB"/>
    <w:rsid w:val="0044427D"/>
    <w:rsid w:val="0044493B"/>
    <w:rsid w:val="00444C0A"/>
    <w:rsid w:val="00444CD2"/>
    <w:rsid w:val="0044510F"/>
    <w:rsid w:val="00445E9A"/>
    <w:rsid w:val="00446573"/>
    <w:rsid w:val="0044696A"/>
    <w:rsid w:val="004469FF"/>
    <w:rsid w:val="00446B90"/>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3A0A"/>
    <w:rsid w:val="0046451D"/>
    <w:rsid w:val="00464A3F"/>
    <w:rsid w:val="00464A7E"/>
    <w:rsid w:val="004652F8"/>
    <w:rsid w:val="00465B3E"/>
    <w:rsid w:val="00465C0D"/>
    <w:rsid w:val="00465DED"/>
    <w:rsid w:val="004662D1"/>
    <w:rsid w:val="00466945"/>
    <w:rsid w:val="00466ED5"/>
    <w:rsid w:val="00467388"/>
    <w:rsid w:val="004677B7"/>
    <w:rsid w:val="00470261"/>
    <w:rsid w:val="00470367"/>
    <w:rsid w:val="004705C5"/>
    <w:rsid w:val="00470934"/>
    <w:rsid w:val="00470AE5"/>
    <w:rsid w:val="0047124D"/>
    <w:rsid w:val="004712EC"/>
    <w:rsid w:val="004717B7"/>
    <w:rsid w:val="00471CC8"/>
    <w:rsid w:val="00471F5C"/>
    <w:rsid w:val="004732C5"/>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335"/>
    <w:rsid w:val="00490561"/>
    <w:rsid w:val="0049059F"/>
    <w:rsid w:val="00491EB7"/>
    <w:rsid w:val="004926B9"/>
    <w:rsid w:val="00492CA8"/>
    <w:rsid w:val="00492E5C"/>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7C4"/>
    <w:rsid w:val="004A3D79"/>
    <w:rsid w:val="004A4862"/>
    <w:rsid w:val="004A4E10"/>
    <w:rsid w:val="004A565E"/>
    <w:rsid w:val="004A59A4"/>
    <w:rsid w:val="004A62AF"/>
    <w:rsid w:val="004A6E06"/>
    <w:rsid w:val="004A6E75"/>
    <w:rsid w:val="004A73C9"/>
    <w:rsid w:val="004A7475"/>
    <w:rsid w:val="004A7F95"/>
    <w:rsid w:val="004B261D"/>
    <w:rsid w:val="004B32DD"/>
    <w:rsid w:val="004B35DD"/>
    <w:rsid w:val="004B38D4"/>
    <w:rsid w:val="004B4A57"/>
    <w:rsid w:val="004B6062"/>
    <w:rsid w:val="004B7A5F"/>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290B"/>
    <w:rsid w:val="004E345A"/>
    <w:rsid w:val="004E3F06"/>
    <w:rsid w:val="004E4394"/>
    <w:rsid w:val="004E4C26"/>
    <w:rsid w:val="004E52D5"/>
    <w:rsid w:val="004E59C7"/>
    <w:rsid w:val="004E5C61"/>
    <w:rsid w:val="004E67CC"/>
    <w:rsid w:val="004E6BED"/>
    <w:rsid w:val="004E7CCE"/>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D58"/>
    <w:rsid w:val="00503E1C"/>
    <w:rsid w:val="00503FE5"/>
    <w:rsid w:val="00504068"/>
    <w:rsid w:val="00504889"/>
    <w:rsid w:val="005049EE"/>
    <w:rsid w:val="00504F17"/>
    <w:rsid w:val="00505297"/>
    <w:rsid w:val="0050563F"/>
    <w:rsid w:val="0050650A"/>
    <w:rsid w:val="00507045"/>
    <w:rsid w:val="00507439"/>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3C16"/>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BB9"/>
    <w:rsid w:val="00522FA1"/>
    <w:rsid w:val="00523815"/>
    <w:rsid w:val="00523995"/>
    <w:rsid w:val="00523B53"/>
    <w:rsid w:val="00523BBD"/>
    <w:rsid w:val="0052405C"/>
    <w:rsid w:val="005241B2"/>
    <w:rsid w:val="00524351"/>
    <w:rsid w:val="00524414"/>
    <w:rsid w:val="005244D3"/>
    <w:rsid w:val="00524765"/>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354C"/>
    <w:rsid w:val="005337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6C41"/>
    <w:rsid w:val="00547260"/>
    <w:rsid w:val="00547A02"/>
    <w:rsid w:val="00547A8E"/>
    <w:rsid w:val="00547D3F"/>
    <w:rsid w:val="00550163"/>
    <w:rsid w:val="00550FF4"/>
    <w:rsid w:val="00551A35"/>
    <w:rsid w:val="00552287"/>
    <w:rsid w:val="005531EF"/>
    <w:rsid w:val="0055408C"/>
    <w:rsid w:val="00555289"/>
    <w:rsid w:val="00555AEF"/>
    <w:rsid w:val="00556504"/>
    <w:rsid w:val="00556B5A"/>
    <w:rsid w:val="00556DFE"/>
    <w:rsid w:val="0055788E"/>
    <w:rsid w:val="00557BE8"/>
    <w:rsid w:val="00560452"/>
    <w:rsid w:val="0056097F"/>
    <w:rsid w:val="00560E39"/>
    <w:rsid w:val="005622D6"/>
    <w:rsid w:val="00562AD4"/>
    <w:rsid w:val="00563583"/>
    <w:rsid w:val="005635DB"/>
    <w:rsid w:val="00563722"/>
    <w:rsid w:val="00563DF0"/>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83F"/>
    <w:rsid w:val="00573880"/>
    <w:rsid w:val="00573C96"/>
    <w:rsid w:val="00574200"/>
    <w:rsid w:val="00574266"/>
    <w:rsid w:val="00574539"/>
    <w:rsid w:val="00574776"/>
    <w:rsid w:val="00574ADD"/>
    <w:rsid w:val="00574BF4"/>
    <w:rsid w:val="00575FD0"/>
    <w:rsid w:val="00576547"/>
    <w:rsid w:val="005766D7"/>
    <w:rsid w:val="00576ED0"/>
    <w:rsid w:val="00576F87"/>
    <w:rsid w:val="0057780A"/>
    <w:rsid w:val="005800A3"/>
    <w:rsid w:val="00580E5C"/>
    <w:rsid w:val="00580F97"/>
    <w:rsid w:val="00581587"/>
    <w:rsid w:val="00581F5A"/>
    <w:rsid w:val="00582B82"/>
    <w:rsid w:val="00582EF6"/>
    <w:rsid w:val="00583464"/>
    <w:rsid w:val="00583A9B"/>
    <w:rsid w:val="00585D80"/>
    <w:rsid w:val="00586A60"/>
    <w:rsid w:val="00586C42"/>
    <w:rsid w:val="0058774E"/>
    <w:rsid w:val="00587847"/>
    <w:rsid w:val="00587868"/>
    <w:rsid w:val="00587E0C"/>
    <w:rsid w:val="00591025"/>
    <w:rsid w:val="00591555"/>
    <w:rsid w:val="00592E85"/>
    <w:rsid w:val="00592F69"/>
    <w:rsid w:val="00593557"/>
    <w:rsid w:val="005935DB"/>
    <w:rsid w:val="0059385F"/>
    <w:rsid w:val="005946F1"/>
    <w:rsid w:val="005953FD"/>
    <w:rsid w:val="00595BF2"/>
    <w:rsid w:val="00595D58"/>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B7C61"/>
    <w:rsid w:val="005C0EE2"/>
    <w:rsid w:val="005C160D"/>
    <w:rsid w:val="005C1691"/>
    <w:rsid w:val="005C283A"/>
    <w:rsid w:val="005C33DE"/>
    <w:rsid w:val="005C3571"/>
    <w:rsid w:val="005C3983"/>
    <w:rsid w:val="005C3DAD"/>
    <w:rsid w:val="005C403A"/>
    <w:rsid w:val="005C4C1F"/>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57C"/>
    <w:rsid w:val="005D569E"/>
    <w:rsid w:val="005D6A20"/>
    <w:rsid w:val="005D75A8"/>
    <w:rsid w:val="005D7F63"/>
    <w:rsid w:val="005D7FD7"/>
    <w:rsid w:val="005E0134"/>
    <w:rsid w:val="005E01D6"/>
    <w:rsid w:val="005E0D2C"/>
    <w:rsid w:val="005E0FBF"/>
    <w:rsid w:val="005E10AA"/>
    <w:rsid w:val="005E1A94"/>
    <w:rsid w:val="005E1E5E"/>
    <w:rsid w:val="005E2235"/>
    <w:rsid w:val="005E2578"/>
    <w:rsid w:val="005E2C82"/>
    <w:rsid w:val="005E320C"/>
    <w:rsid w:val="005E3644"/>
    <w:rsid w:val="005E43D7"/>
    <w:rsid w:val="005E43D9"/>
    <w:rsid w:val="005E4A78"/>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6F37"/>
    <w:rsid w:val="005F7277"/>
    <w:rsid w:val="005F7BA5"/>
    <w:rsid w:val="0060015E"/>
    <w:rsid w:val="00600FF2"/>
    <w:rsid w:val="0060107B"/>
    <w:rsid w:val="006015B7"/>
    <w:rsid w:val="00601744"/>
    <w:rsid w:val="00601EEB"/>
    <w:rsid w:val="0060324A"/>
    <w:rsid w:val="00603B00"/>
    <w:rsid w:val="00604156"/>
    <w:rsid w:val="006041F6"/>
    <w:rsid w:val="00604586"/>
    <w:rsid w:val="00604591"/>
    <w:rsid w:val="00604A3E"/>
    <w:rsid w:val="00604E98"/>
    <w:rsid w:val="00605518"/>
    <w:rsid w:val="00605593"/>
    <w:rsid w:val="006058CE"/>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6F31"/>
    <w:rsid w:val="00627AAB"/>
    <w:rsid w:val="00627B99"/>
    <w:rsid w:val="00627E79"/>
    <w:rsid w:val="006300C1"/>
    <w:rsid w:val="006304B1"/>
    <w:rsid w:val="00630B9A"/>
    <w:rsid w:val="00631533"/>
    <w:rsid w:val="00631EC7"/>
    <w:rsid w:val="0063209E"/>
    <w:rsid w:val="00633165"/>
    <w:rsid w:val="006335B0"/>
    <w:rsid w:val="00633D19"/>
    <w:rsid w:val="00633D42"/>
    <w:rsid w:val="00634056"/>
    <w:rsid w:val="00634CAD"/>
    <w:rsid w:val="00634E82"/>
    <w:rsid w:val="006363FA"/>
    <w:rsid w:val="0063655E"/>
    <w:rsid w:val="00636979"/>
    <w:rsid w:val="00636B5D"/>
    <w:rsid w:val="006372D5"/>
    <w:rsid w:val="006379A7"/>
    <w:rsid w:val="00637EA1"/>
    <w:rsid w:val="00640040"/>
    <w:rsid w:val="00640237"/>
    <w:rsid w:val="00640F67"/>
    <w:rsid w:val="0064124F"/>
    <w:rsid w:val="00641AB6"/>
    <w:rsid w:val="00642173"/>
    <w:rsid w:val="00642440"/>
    <w:rsid w:val="00642997"/>
    <w:rsid w:val="00642BFD"/>
    <w:rsid w:val="006436D0"/>
    <w:rsid w:val="00643E85"/>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97"/>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886"/>
    <w:rsid w:val="00672A00"/>
    <w:rsid w:val="0067332F"/>
    <w:rsid w:val="0067374C"/>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2A54"/>
    <w:rsid w:val="00683085"/>
    <w:rsid w:val="0068387C"/>
    <w:rsid w:val="00683942"/>
    <w:rsid w:val="00683ACE"/>
    <w:rsid w:val="00683E1A"/>
    <w:rsid w:val="0068574F"/>
    <w:rsid w:val="00686222"/>
    <w:rsid w:val="0068634C"/>
    <w:rsid w:val="00686C68"/>
    <w:rsid w:val="00686F04"/>
    <w:rsid w:val="00686F62"/>
    <w:rsid w:val="00687043"/>
    <w:rsid w:val="00690724"/>
    <w:rsid w:val="00690B64"/>
    <w:rsid w:val="00691476"/>
    <w:rsid w:val="00691F51"/>
    <w:rsid w:val="006922DF"/>
    <w:rsid w:val="00692328"/>
    <w:rsid w:val="0069241A"/>
    <w:rsid w:val="00693531"/>
    <w:rsid w:val="006935B9"/>
    <w:rsid w:val="00694848"/>
    <w:rsid w:val="00695224"/>
    <w:rsid w:val="00695257"/>
    <w:rsid w:val="006953B6"/>
    <w:rsid w:val="006959D4"/>
    <w:rsid w:val="00695AB8"/>
    <w:rsid w:val="00695AF5"/>
    <w:rsid w:val="00696290"/>
    <w:rsid w:val="00696667"/>
    <w:rsid w:val="00696EA4"/>
    <w:rsid w:val="00697A24"/>
    <w:rsid w:val="00697C1D"/>
    <w:rsid w:val="006A0902"/>
    <w:rsid w:val="006A0DC0"/>
    <w:rsid w:val="006A104A"/>
    <w:rsid w:val="006A158C"/>
    <w:rsid w:val="006A189A"/>
    <w:rsid w:val="006A1938"/>
    <w:rsid w:val="006A19BD"/>
    <w:rsid w:val="006A1BD9"/>
    <w:rsid w:val="006A1D13"/>
    <w:rsid w:val="006A20E5"/>
    <w:rsid w:val="006A231D"/>
    <w:rsid w:val="006A231F"/>
    <w:rsid w:val="006A256B"/>
    <w:rsid w:val="006A2F27"/>
    <w:rsid w:val="006A333F"/>
    <w:rsid w:val="006A33B2"/>
    <w:rsid w:val="006A38CC"/>
    <w:rsid w:val="006A4592"/>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CFA"/>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C7833"/>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222"/>
    <w:rsid w:val="006D776D"/>
    <w:rsid w:val="006D7DAF"/>
    <w:rsid w:val="006D7E04"/>
    <w:rsid w:val="006E0126"/>
    <w:rsid w:val="006E02B6"/>
    <w:rsid w:val="006E0848"/>
    <w:rsid w:val="006E11AC"/>
    <w:rsid w:val="006E1E03"/>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AD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097"/>
    <w:rsid w:val="00716559"/>
    <w:rsid w:val="00716825"/>
    <w:rsid w:val="007205F0"/>
    <w:rsid w:val="00720A0D"/>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2F1C"/>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1CDA"/>
    <w:rsid w:val="00743262"/>
    <w:rsid w:val="00744153"/>
    <w:rsid w:val="007444BF"/>
    <w:rsid w:val="007444FA"/>
    <w:rsid w:val="00744BE0"/>
    <w:rsid w:val="0074533B"/>
    <w:rsid w:val="00745374"/>
    <w:rsid w:val="00745BD2"/>
    <w:rsid w:val="00746164"/>
    <w:rsid w:val="007463BC"/>
    <w:rsid w:val="00746A22"/>
    <w:rsid w:val="00746AEF"/>
    <w:rsid w:val="00746F94"/>
    <w:rsid w:val="00746FB8"/>
    <w:rsid w:val="0074712F"/>
    <w:rsid w:val="00747C97"/>
    <w:rsid w:val="00747CEF"/>
    <w:rsid w:val="0075028B"/>
    <w:rsid w:val="00750D85"/>
    <w:rsid w:val="00750D90"/>
    <w:rsid w:val="00751041"/>
    <w:rsid w:val="00751196"/>
    <w:rsid w:val="00751C20"/>
    <w:rsid w:val="00751F63"/>
    <w:rsid w:val="00751FBC"/>
    <w:rsid w:val="007529FC"/>
    <w:rsid w:val="00752B74"/>
    <w:rsid w:val="00752CDD"/>
    <w:rsid w:val="00752E07"/>
    <w:rsid w:val="00752FEA"/>
    <w:rsid w:val="00753B52"/>
    <w:rsid w:val="00753F35"/>
    <w:rsid w:val="0075447B"/>
    <w:rsid w:val="0075523F"/>
    <w:rsid w:val="00755530"/>
    <w:rsid w:val="007559C0"/>
    <w:rsid w:val="00755A5C"/>
    <w:rsid w:val="00755E79"/>
    <w:rsid w:val="007566DE"/>
    <w:rsid w:val="00756F86"/>
    <w:rsid w:val="0075777A"/>
    <w:rsid w:val="0076013E"/>
    <w:rsid w:val="0076131E"/>
    <w:rsid w:val="007645ED"/>
    <w:rsid w:val="00765002"/>
    <w:rsid w:val="0076501C"/>
    <w:rsid w:val="00766293"/>
    <w:rsid w:val="007675F7"/>
    <w:rsid w:val="0077091F"/>
    <w:rsid w:val="00771266"/>
    <w:rsid w:val="00772036"/>
    <w:rsid w:val="0077203D"/>
    <w:rsid w:val="00772114"/>
    <w:rsid w:val="00772150"/>
    <w:rsid w:val="007721E3"/>
    <w:rsid w:val="00775123"/>
    <w:rsid w:val="00775850"/>
    <w:rsid w:val="00776534"/>
    <w:rsid w:val="007768AE"/>
    <w:rsid w:val="00776F7B"/>
    <w:rsid w:val="00777322"/>
    <w:rsid w:val="00777B5D"/>
    <w:rsid w:val="00777C1D"/>
    <w:rsid w:val="00777E1B"/>
    <w:rsid w:val="00780D57"/>
    <w:rsid w:val="00780F67"/>
    <w:rsid w:val="007811DE"/>
    <w:rsid w:val="007818C5"/>
    <w:rsid w:val="00781EF6"/>
    <w:rsid w:val="00781F40"/>
    <w:rsid w:val="00782BCF"/>
    <w:rsid w:val="00782CE7"/>
    <w:rsid w:val="00782F5F"/>
    <w:rsid w:val="00784306"/>
    <w:rsid w:val="00784450"/>
    <w:rsid w:val="00784DDD"/>
    <w:rsid w:val="00785434"/>
    <w:rsid w:val="007854AB"/>
    <w:rsid w:val="00785789"/>
    <w:rsid w:val="007857B5"/>
    <w:rsid w:val="00785ECF"/>
    <w:rsid w:val="00785F9C"/>
    <w:rsid w:val="00786820"/>
    <w:rsid w:val="00786D03"/>
    <w:rsid w:val="007874E8"/>
    <w:rsid w:val="00787A4E"/>
    <w:rsid w:val="00787E46"/>
    <w:rsid w:val="00790714"/>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DBE"/>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A7F19"/>
    <w:rsid w:val="007B1A47"/>
    <w:rsid w:val="007B1DED"/>
    <w:rsid w:val="007B2741"/>
    <w:rsid w:val="007B398C"/>
    <w:rsid w:val="007B3EEC"/>
    <w:rsid w:val="007B3F83"/>
    <w:rsid w:val="007B3FFF"/>
    <w:rsid w:val="007B47BA"/>
    <w:rsid w:val="007B4B17"/>
    <w:rsid w:val="007B5883"/>
    <w:rsid w:val="007B62F5"/>
    <w:rsid w:val="007B6B4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C79F6"/>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2CB"/>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5983"/>
    <w:rsid w:val="007E614B"/>
    <w:rsid w:val="007E6353"/>
    <w:rsid w:val="007E637E"/>
    <w:rsid w:val="007E7BB8"/>
    <w:rsid w:val="007E7BEA"/>
    <w:rsid w:val="007F0400"/>
    <w:rsid w:val="007F040C"/>
    <w:rsid w:val="007F0568"/>
    <w:rsid w:val="007F0A9F"/>
    <w:rsid w:val="007F10D9"/>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34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646"/>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4151"/>
    <w:rsid w:val="008254A4"/>
    <w:rsid w:val="008266CC"/>
    <w:rsid w:val="008275A6"/>
    <w:rsid w:val="00827773"/>
    <w:rsid w:val="00827B06"/>
    <w:rsid w:val="00827E2A"/>
    <w:rsid w:val="00830148"/>
    <w:rsid w:val="00830AF2"/>
    <w:rsid w:val="00830BFC"/>
    <w:rsid w:val="00830EAB"/>
    <w:rsid w:val="008310D2"/>
    <w:rsid w:val="00831F24"/>
    <w:rsid w:val="008320E3"/>
    <w:rsid w:val="00832458"/>
    <w:rsid w:val="00832601"/>
    <w:rsid w:val="00832DD9"/>
    <w:rsid w:val="00832EE1"/>
    <w:rsid w:val="00833A00"/>
    <w:rsid w:val="0083687A"/>
    <w:rsid w:val="0083775C"/>
    <w:rsid w:val="008400CE"/>
    <w:rsid w:val="00841487"/>
    <w:rsid w:val="008415DF"/>
    <w:rsid w:val="0084170D"/>
    <w:rsid w:val="00841AE6"/>
    <w:rsid w:val="00841D6A"/>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3FE"/>
    <w:rsid w:val="008476CA"/>
    <w:rsid w:val="0084776B"/>
    <w:rsid w:val="00850E57"/>
    <w:rsid w:val="0085101E"/>
    <w:rsid w:val="00852470"/>
    <w:rsid w:val="008524EA"/>
    <w:rsid w:val="00852846"/>
    <w:rsid w:val="008532A7"/>
    <w:rsid w:val="008538E8"/>
    <w:rsid w:val="00854BF0"/>
    <w:rsid w:val="00854CBF"/>
    <w:rsid w:val="00855CB8"/>
    <w:rsid w:val="00856618"/>
    <w:rsid w:val="008566CA"/>
    <w:rsid w:val="008568C5"/>
    <w:rsid w:val="0085699B"/>
    <w:rsid w:val="00856B2E"/>
    <w:rsid w:val="008576E8"/>
    <w:rsid w:val="0086183B"/>
    <w:rsid w:val="00862342"/>
    <w:rsid w:val="00862457"/>
    <w:rsid w:val="00862708"/>
    <w:rsid w:val="00862D18"/>
    <w:rsid w:val="008632E4"/>
    <w:rsid w:val="008638FB"/>
    <w:rsid w:val="00864BA7"/>
    <w:rsid w:val="00864FA0"/>
    <w:rsid w:val="00864FD5"/>
    <w:rsid w:val="00865CCE"/>
    <w:rsid w:val="00867216"/>
    <w:rsid w:val="0086743B"/>
    <w:rsid w:val="0087014B"/>
    <w:rsid w:val="00870347"/>
    <w:rsid w:val="0087052B"/>
    <w:rsid w:val="008708C1"/>
    <w:rsid w:val="00870CEF"/>
    <w:rsid w:val="0087154B"/>
    <w:rsid w:val="00871579"/>
    <w:rsid w:val="00871B86"/>
    <w:rsid w:val="00872962"/>
    <w:rsid w:val="008729E8"/>
    <w:rsid w:val="00872C52"/>
    <w:rsid w:val="00872D02"/>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183"/>
    <w:rsid w:val="0088250C"/>
    <w:rsid w:val="008832BB"/>
    <w:rsid w:val="00883477"/>
    <w:rsid w:val="00884182"/>
    <w:rsid w:val="008844CC"/>
    <w:rsid w:val="00884DE8"/>
    <w:rsid w:val="0088501E"/>
    <w:rsid w:val="0088512A"/>
    <w:rsid w:val="00885B9F"/>
    <w:rsid w:val="00885F38"/>
    <w:rsid w:val="008864C3"/>
    <w:rsid w:val="00886B83"/>
    <w:rsid w:val="00887545"/>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1B8"/>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B70"/>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6FAF"/>
    <w:rsid w:val="008B71AE"/>
    <w:rsid w:val="008B761D"/>
    <w:rsid w:val="008B7D5A"/>
    <w:rsid w:val="008C0190"/>
    <w:rsid w:val="008C01FF"/>
    <w:rsid w:val="008C0A9D"/>
    <w:rsid w:val="008C17E1"/>
    <w:rsid w:val="008C2E17"/>
    <w:rsid w:val="008C32C7"/>
    <w:rsid w:val="008C455A"/>
    <w:rsid w:val="008C4A4A"/>
    <w:rsid w:val="008C4CA8"/>
    <w:rsid w:val="008C4EDA"/>
    <w:rsid w:val="008C5305"/>
    <w:rsid w:val="008C5566"/>
    <w:rsid w:val="008C562A"/>
    <w:rsid w:val="008C5863"/>
    <w:rsid w:val="008C5A85"/>
    <w:rsid w:val="008C5A8C"/>
    <w:rsid w:val="008C6D7A"/>
    <w:rsid w:val="008C7124"/>
    <w:rsid w:val="008C713E"/>
    <w:rsid w:val="008C76FE"/>
    <w:rsid w:val="008C7B9B"/>
    <w:rsid w:val="008D0D6B"/>
    <w:rsid w:val="008D0E73"/>
    <w:rsid w:val="008D0EAD"/>
    <w:rsid w:val="008D14B9"/>
    <w:rsid w:val="008D1648"/>
    <w:rsid w:val="008D2745"/>
    <w:rsid w:val="008D2A84"/>
    <w:rsid w:val="008D45C6"/>
    <w:rsid w:val="008D4D1D"/>
    <w:rsid w:val="008D5D67"/>
    <w:rsid w:val="008D5F2F"/>
    <w:rsid w:val="008D6448"/>
    <w:rsid w:val="008D6EE1"/>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134"/>
    <w:rsid w:val="008F04AE"/>
    <w:rsid w:val="008F0682"/>
    <w:rsid w:val="008F06E3"/>
    <w:rsid w:val="008F0D7F"/>
    <w:rsid w:val="008F247C"/>
    <w:rsid w:val="008F249A"/>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BE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574"/>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47A"/>
    <w:rsid w:val="009209BA"/>
    <w:rsid w:val="0092251C"/>
    <w:rsid w:val="009226C5"/>
    <w:rsid w:val="009229C9"/>
    <w:rsid w:val="0092357A"/>
    <w:rsid w:val="00923E21"/>
    <w:rsid w:val="0092402B"/>
    <w:rsid w:val="00924346"/>
    <w:rsid w:val="00924588"/>
    <w:rsid w:val="009249A0"/>
    <w:rsid w:val="00924A9F"/>
    <w:rsid w:val="00925042"/>
    <w:rsid w:val="009251E0"/>
    <w:rsid w:val="00925E8E"/>
    <w:rsid w:val="009269BD"/>
    <w:rsid w:val="00926AA3"/>
    <w:rsid w:val="00927B07"/>
    <w:rsid w:val="009303D6"/>
    <w:rsid w:val="009306E3"/>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2B25"/>
    <w:rsid w:val="0095390F"/>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B6C"/>
    <w:rsid w:val="00964D10"/>
    <w:rsid w:val="00965153"/>
    <w:rsid w:val="00965371"/>
    <w:rsid w:val="00965468"/>
    <w:rsid w:val="00965874"/>
    <w:rsid w:val="00965E71"/>
    <w:rsid w:val="009667F1"/>
    <w:rsid w:val="009668D3"/>
    <w:rsid w:val="009670C2"/>
    <w:rsid w:val="00970100"/>
    <w:rsid w:val="0097040B"/>
    <w:rsid w:val="0097088C"/>
    <w:rsid w:val="00972177"/>
    <w:rsid w:val="00973222"/>
    <w:rsid w:val="00973DF4"/>
    <w:rsid w:val="00974624"/>
    <w:rsid w:val="00975087"/>
    <w:rsid w:val="0097574B"/>
    <w:rsid w:val="00975C59"/>
    <w:rsid w:val="00975DEE"/>
    <w:rsid w:val="00976215"/>
    <w:rsid w:val="00976309"/>
    <w:rsid w:val="00976487"/>
    <w:rsid w:val="0097700C"/>
    <w:rsid w:val="009773D6"/>
    <w:rsid w:val="00977A8A"/>
    <w:rsid w:val="00977C0C"/>
    <w:rsid w:val="009808B3"/>
    <w:rsid w:val="009808F5"/>
    <w:rsid w:val="0098149C"/>
    <w:rsid w:val="00982626"/>
    <w:rsid w:val="00982DCA"/>
    <w:rsid w:val="00982E5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650"/>
    <w:rsid w:val="00990C19"/>
    <w:rsid w:val="00991530"/>
    <w:rsid w:val="009916DA"/>
    <w:rsid w:val="00991932"/>
    <w:rsid w:val="00991D80"/>
    <w:rsid w:val="00991EA5"/>
    <w:rsid w:val="009920AC"/>
    <w:rsid w:val="00992B33"/>
    <w:rsid w:val="00993D2F"/>
    <w:rsid w:val="009945E8"/>
    <w:rsid w:val="00994FC7"/>
    <w:rsid w:val="009959BD"/>
    <w:rsid w:val="00995E92"/>
    <w:rsid w:val="00996363"/>
    <w:rsid w:val="009964CD"/>
    <w:rsid w:val="009967CE"/>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3C57"/>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487"/>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5FB2"/>
    <w:rsid w:val="009C6134"/>
    <w:rsid w:val="009C7301"/>
    <w:rsid w:val="009C7484"/>
    <w:rsid w:val="009C749C"/>
    <w:rsid w:val="009C788F"/>
    <w:rsid w:val="009C795B"/>
    <w:rsid w:val="009C7ACB"/>
    <w:rsid w:val="009C7EF2"/>
    <w:rsid w:val="009D0643"/>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19E"/>
    <w:rsid w:val="009D737C"/>
    <w:rsid w:val="009D7683"/>
    <w:rsid w:val="009D7811"/>
    <w:rsid w:val="009D7D96"/>
    <w:rsid w:val="009D7E70"/>
    <w:rsid w:val="009D7EC6"/>
    <w:rsid w:val="009E0313"/>
    <w:rsid w:val="009E1C84"/>
    <w:rsid w:val="009E1E04"/>
    <w:rsid w:val="009E1FF9"/>
    <w:rsid w:val="009E4179"/>
    <w:rsid w:val="009E447B"/>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C1C"/>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1B67"/>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5F65"/>
    <w:rsid w:val="00A1666B"/>
    <w:rsid w:val="00A16D77"/>
    <w:rsid w:val="00A16DD2"/>
    <w:rsid w:val="00A16FBE"/>
    <w:rsid w:val="00A170A7"/>
    <w:rsid w:val="00A17BA4"/>
    <w:rsid w:val="00A207DC"/>
    <w:rsid w:val="00A20CEB"/>
    <w:rsid w:val="00A21118"/>
    <w:rsid w:val="00A22977"/>
    <w:rsid w:val="00A229E4"/>
    <w:rsid w:val="00A232E0"/>
    <w:rsid w:val="00A234D4"/>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2F43"/>
    <w:rsid w:val="00A33BE0"/>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21A"/>
    <w:rsid w:val="00A46B6F"/>
    <w:rsid w:val="00A4787F"/>
    <w:rsid w:val="00A47C6D"/>
    <w:rsid w:val="00A5091A"/>
    <w:rsid w:val="00A50E22"/>
    <w:rsid w:val="00A5145B"/>
    <w:rsid w:val="00A51586"/>
    <w:rsid w:val="00A5192E"/>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B3B"/>
    <w:rsid w:val="00A60FE1"/>
    <w:rsid w:val="00A61836"/>
    <w:rsid w:val="00A61853"/>
    <w:rsid w:val="00A618C6"/>
    <w:rsid w:val="00A622E3"/>
    <w:rsid w:val="00A62436"/>
    <w:rsid w:val="00A62A4D"/>
    <w:rsid w:val="00A62CC5"/>
    <w:rsid w:val="00A6317B"/>
    <w:rsid w:val="00A63184"/>
    <w:rsid w:val="00A639B1"/>
    <w:rsid w:val="00A63A95"/>
    <w:rsid w:val="00A63DF1"/>
    <w:rsid w:val="00A63F97"/>
    <w:rsid w:val="00A6410C"/>
    <w:rsid w:val="00A6421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94F"/>
    <w:rsid w:val="00A81A20"/>
    <w:rsid w:val="00A81B8D"/>
    <w:rsid w:val="00A81D7B"/>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5A7"/>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2E7"/>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AA"/>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B6C"/>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253"/>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3FC8"/>
    <w:rsid w:val="00B14B59"/>
    <w:rsid w:val="00B14FC0"/>
    <w:rsid w:val="00B159F7"/>
    <w:rsid w:val="00B1649D"/>
    <w:rsid w:val="00B16524"/>
    <w:rsid w:val="00B165E7"/>
    <w:rsid w:val="00B16E86"/>
    <w:rsid w:val="00B17315"/>
    <w:rsid w:val="00B20364"/>
    <w:rsid w:val="00B20661"/>
    <w:rsid w:val="00B2130C"/>
    <w:rsid w:val="00B215D0"/>
    <w:rsid w:val="00B219ED"/>
    <w:rsid w:val="00B21EDE"/>
    <w:rsid w:val="00B226A9"/>
    <w:rsid w:val="00B2300D"/>
    <w:rsid w:val="00B230F6"/>
    <w:rsid w:val="00B23139"/>
    <w:rsid w:val="00B232D6"/>
    <w:rsid w:val="00B23368"/>
    <w:rsid w:val="00B23539"/>
    <w:rsid w:val="00B23551"/>
    <w:rsid w:val="00B23639"/>
    <w:rsid w:val="00B2482B"/>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57B"/>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4DFC"/>
    <w:rsid w:val="00B45669"/>
    <w:rsid w:val="00B46554"/>
    <w:rsid w:val="00B466F0"/>
    <w:rsid w:val="00B467BB"/>
    <w:rsid w:val="00B47E3B"/>
    <w:rsid w:val="00B50892"/>
    <w:rsid w:val="00B511ED"/>
    <w:rsid w:val="00B51602"/>
    <w:rsid w:val="00B51F21"/>
    <w:rsid w:val="00B52540"/>
    <w:rsid w:val="00B5264A"/>
    <w:rsid w:val="00B53C34"/>
    <w:rsid w:val="00B53F0D"/>
    <w:rsid w:val="00B5455A"/>
    <w:rsid w:val="00B5657A"/>
    <w:rsid w:val="00B56966"/>
    <w:rsid w:val="00B56B84"/>
    <w:rsid w:val="00B57961"/>
    <w:rsid w:val="00B57C56"/>
    <w:rsid w:val="00B60BE1"/>
    <w:rsid w:val="00B61614"/>
    <w:rsid w:val="00B61672"/>
    <w:rsid w:val="00B61B8F"/>
    <w:rsid w:val="00B61EEB"/>
    <w:rsid w:val="00B62488"/>
    <w:rsid w:val="00B62750"/>
    <w:rsid w:val="00B628A4"/>
    <w:rsid w:val="00B62D2F"/>
    <w:rsid w:val="00B63293"/>
    <w:rsid w:val="00B635D3"/>
    <w:rsid w:val="00B64774"/>
    <w:rsid w:val="00B64B13"/>
    <w:rsid w:val="00B64D8D"/>
    <w:rsid w:val="00B64E06"/>
    <w:rsid w:val="00B65CB5"/>
    <w:rsid w:val="00B65D4A"/>
    <w:rsid w:val="00B668FC"/>
    <w:rsid w:val="00B66B65"/>
    <w:rsid w:val="00B70A11"/>
    <w:rsid w:val="00B70F06"/>
    <w:rsid w:val="00B70FEF"/>
    <w:rsid w:val="00B7145B"/>
    <w:rsid w:val="00B71881"/>
    <w:rsid w:val="00B718FB"/>
    <w:rsid w:val="00B721B5"/>
    <w:rsid w:val="00B7241F"/>
    <w:rsid w:val="00B728FD"/>
    <w:rsid w:val="00B72FA4"/>
    <w:rsid w:val="00B73290"/>
    <w:rsid w:val="00B7374F"/>
    <w:rsid w:val="00B74500"/>
    <w:rsid w:val="00B74AFB"/>
    <w:rsid w:val="00B7547E"/>
    <w:rsid w:val="00B754EA"/>
    <w:rsid w:val="00B75A04"/>
    <w:rsid w:val="00B7605A"/>
    <w:rsid w:val="00B760EE"/>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03D"/>
    <w:rsid w:val="00B8280A"/>
    <w:rsid w:val="00B83638"/>
    <w:rsid w:val="00B839BC"/>
    <w:rsid w:val="00B83C5F"/>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23E"/>
    <w:rsid w:val="00B9431E"/>
    <w:rsid w:val="00B9465D"/>
    <w:rsid w:val="00B9473D"/>
    <w:rsid w:val="00B94881"/>
    <w:rsid w:val="00B9517B"/>
    <w:rsid w:val="00B954D6"/>
    <w:rsid w:val="00B95517"/>
    <w:rsid w:val="00B95C12"/>
    <w:rsid w:val="00B961F1"/>
    <w:rsid w:val="00B96885"/>
    <w:rsid w:val="00B96C4E"/>
    <w:rsid w:val="00B973E7"/>
    <w:rsid w:val="00B979CC"/>
    <w:rsid w:val="00B97C50"/>
    <w:rsid w:val="00BA0AC7"/>
    <w:rsid w:val="00BA1434"/>
    <w:rsid w:val="00BA261C"/>
    <w:rsid w:val="00BA2DF6"/>
    <w:rsid w:val="00BA3212"/>
    <w:rsid w:val="00BA3B4B"/>
    <w:rsid w:val="00BA40BE"/>
    <w:rsid w:val="00BA467B"/>
    <w:rsid w:val="00BA4D41"/>
    <w:rsid w:val="00BA57F5"/>
    <w:rsid w:val="00BA58BB"/>
    <w:rsid w:val="00BA67FC"/>
    <w:rsid w:val="00BA6B8E"/>
    <w:rsid w:val="00BA6C85"/>
    <w:rsid w:val="00BA70FF"/>
    <w:rsid w:val="00BA711E"/>
    <w:rsid w:val="00BA7285"/>
    <w:rsid w:val="00BA7BE8"/>
    <w:rsid w:val="00BB08F7"/>
    <w:rsid w:val="00BB0BA7"/>
    <w:rsid w:val="00BB0CA1"/>
    <w:rsid w:val="00BB133D"/>
    <w:rsid w:val="00BB1924"/>
    <w:rsid w:val="00BB222A"/>
    <w:rsid w:val="00BB2616"/>
    <w:rsid w:val="00BB26EB"/>
    <w:rsid w:val="00BB2C15"/>
    <w:rsid w:val="00BB2FDC"/>
    <w:rsid w:val="00BB37AA"/>
    <w:rsid w:val="00BB3C8A"/>
    <w:rsid w:val="00BB4049"/>
    <w:rsid w:val="00BB5150"/>
    <w:rsid w:val="00BB5E0A"/>
    <w:rsid w:val="00BB7AF7"/>
    <w:rsid w:val="00BC00C1"/>
    <w:rsid w:val="00BC0230"/>
    <w:rsid w:val="00BC0688"/>
    <w:rsid w:val="00BC11B0"/>
    <w:rsid w:val="00BC1478"/>
    <w:rsid w:val="00BC1BFE"/>
    <w:rsid w:val="00BC1EF2"/>
    <w:rsid w:val="00BC2264"/>
    <w:rsid w:val="00BC2C3A"/>
    <w:rsid w:val="00BC358A"/>
    <w:rsid w:val="00BC3982"/>
    <w:rsid w:val="00BC3B6C"/>
    <w:rsid w:val="00BC3CA7"/>
    <w:rsid w:val="00BC3CE2"/>
    <w:rsid w:val="00BC3E3B"/>
    <w:rsid w:val="00BC52DE"/>
    <w:rsid w:val="00BC69C6"/>
    <w:rsid w:val="00BC6BFD"/>
    <w:rsid w:val="00BC6D8E"/>
    <w:rsid w:val="00BC7956"/>
    <w:rsid w:val="00BD0288"/>
    <w:rsid w:val="00BD02E6"/>
    <w:rsid w:val="00BD065D"/>
    <w:rsid w:val="00BD0B23"/>
    <w:rsid w:val="00BD0CF8"/>
    <w:rsid w:val="00BD0DDA"/>
    <w:rsid w:val="00BD0F7B"/>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61C"/>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5DB"/>
    <w:rsid w:val="00BF1896"/>
    <w:rsid w:val="00BF324E"/>
    <w:rsid w:val="00BF329F"/>
    <w:rsid w:val="00BF3D79"/>
    <w:rsid w:val="00BF3DDC"/>
    <w:rsid w:val="00BF4038"/>
    <w:rsid w:val="00BF4674"/>
    <w:rsid w:val="00BF47B7"/>
    <w:rsid w:val="00BF5020"/>
    <w:rsid w:val="00BF521F"/>
    <w:rsid w:val="00BF55BA"/>
    <w:rsid w:val="00BF58F2"/>
    <w:rsid w:val="00BF590D"/>
    <w:rsid w:val="00BF63BD"/>
    <w:rsid w:val="00BF6637"/>
    <w:rsid w:val="00BF756C"/>
    <w:rsid w:val="00BF7870"/>
    <w:rsid w:val="00BF794A"/>
    <w:rsid w:val="00BF7E92"/>
    <w:rsid w:val="00C00D9E"/>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275"/>
    <w:rsid w:val="00C13810"/>
    <w:rsid w:val="00C13934"/>
    <w:rsid w:val="00C13B21"/>
    <w:rsid w:val="00C14234"/>
    <w:rsid w:val="00C14C9F"/>
    <w:rsid w:val="00C155CC"/>
    <w:rsid w:val="00C157E6"/>
    <w:rsid w:val="00C15941"/>
    <w:rsid w:val="00C15A4A"/>
    <w:rsid w:val="00C160D1"/>
    <w:rsid w:val="00C168BD"/>
    <w:rsid w:val="00C16E20"/>
    <w:rsid w:val="00C16F02"/>
    <w:rsid w:val="00C170CD"/>
    <w:rsid w:val="00C1762F"/>
    <w:rsid w:val="00C2047B"/>
    <w:rsid w:val="00C20A4F"/>
    <w:rsid w:val="00C215BB"/>
    <w:rsid w:val="00C216C9"/>
    <w:rsid w:val="00C21801"/>
    <w:rsid w:val="00C22208"/>
    <w:rsid w:val="00C2304D"/>
    <w:rsid w:val="00C236EB"/>
    <w:rsid w:val="00C23BE9"/>
    <w:rsid w:val="00C24016"/>
    <w:rsid w:val="00C24904"/>
    <w:rsid w:val="00C24BC8"/>
    <w:rsid w:val="00C2541E"/>
    <w:rsid w:val="00C25F86"/>
    <w:rsid w:val="00C2649C"/>
    <w:rsid w:val="00C26623"/>
    <w:rsid w:val="00C26685"/>
    <w:rsid w:val="00C268C0"/>
    <w:rsid w:val="00C26D74"/>
    <w:rsid w:val="00C2701E"/>
    <w:rsid w:val="00C2748B"/>
    <w:rsid w:val="00C27850"/>
    <w:rsid w:val="00C30824"/>
    <w:rsid w:val="00C30AA8"/>
    <w:rsid w:val="00C30F87"/>
    <w:rsid w:val="00C31BF8"/>
    <w:rsid w:val="00C3273C"/>
    <w:rsid w:val="00C3307F"/>
    <w:rsid w:val="00C33F77"/>
    <w:rsid w:val="00C348FF"/>
    <w:rsid w:val="00C34CC3"/>
    <w:rsid w:val="00C34F30"/>
    <w:rsid w:val="00C35F8E"/>
    <w:rsid w:val="00C363E7"/>
    <w:rsid w:val="00C3640A"/>
    <w:rsid w:val="00C36F96"/>
    <w:rsid w:val="00C37086"/>
    <w:rsid w:val="00C3796D"/>
    <w:rsid w:val="00C4057F"/>
    <w:rsid w:val="00C40753"/>
    <w:rsid w:val="00C40815"/>
    <w:rsid w:val="00C40B89"/>
    <w:rsid w:val="00C40B90"/>
    <w:rsid w:val="00C41BEB"/>
    <w:rsid w:val="00C427A2"/>
    <w:rsid w:val="00C42E64"/>
    <w:rsid w:val="00C438A2"/>
    <w:rsid w:val="00C43C61"/>
    <w:rsid w:val="00C441C2"/>
    <w:rsid w:val="00C4421D"/>
    <w:rsid w:val="00C47715"/>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44E"/>
    <w:rsid w:val="00C615B8"/>
    <w:rsid w:val="00C61AFD"/>
    <w:rsid w:val="00C62D67"/>
    <w:rsid w:val="00C633BA"/>
    <w:rsid w:val="00C6356B"/>
    <w:rsid w:val="00C652E2"/>
    <w:rsid w:val="00C653FB"/>
    <w:rsid w:val="00C65CBF"/>
    <w:rsid w:val="00C66375"/>
    <w:rsid w:val="00C667D0"/>
    <w:rsid w:val="00C66998"/>
    <w:rsid w:val="00C66AD7"/>
    <w:rsid w:val="00C66E3C"/>
    <w:rsid w:val="00C67EA5"/>
    <w:rsid w:val="00C70107"/>
    <w:rsid w:val="00C70E36"/>
    <w:rsid w:val="00C71279"/>
    <w:rsid w:val="00C71351"/>
    <w:rsid w:val="00C71A08"/>
    <w:rsid w:val="00C72625"/>
    <w:rsid w:val="00C7271D"/>
    <w:rsid w:val="00C72B6C"/>
    <w:rsid w:val="00C732DE"/>
    <w:rsid w:val="00C73FAB"/>
    <w:rsid w:val="00C747DA"/>
    <w:rsid w:val="00C74CF6"/>
    <w:rsid w:val="00C75062"/>
    <w:rsid w:val="00C7526B"/>
    <w:rsid w:val="00C75A01"/>
    <w:rsid w:val="00C75BCA"/>
    <w:rsid w:val="00C75C66"/>
    <w:rsid w:val="00C75DB6"/>
    <w:rsid w:val="00C76E04"/>
    <w:rsid w:val="00C76FB0"/>
    <w:rsid w:val="00C81278"/>
    <w:rsid w:val="00C81326"/>
    <w:rsid w:val="00C81A2C"/>
    <w:rsid w:val="00C81E27"/>
    <w:rsid w:val="00C82647"/>
    <w:rsid w:val="00C8285E"/>
    <w:rsid w:val="00C82F2D"/>
    <w:rsid w:val="00C83260"/>
    <w:rsid w:val="00C836F0"/>
    <w:rsid w:val="00C8398B"/>
    <w:rsid w:val="00C84318"/>
    <w:rsid w:val="00C848B7"/>
    <w:rsid w:val="00C856BE"/>
    <w:rsid w:val="00C85F2C"/>
    <w:rsid w:val="00C86485"/>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7F3"/>
    <w:rsid w:val="00CA2D7A"/>
    <w:rsid w:val="00CA41B5"/>
    <w:rsid w:val="00CA47F5"/>
    <w:rsid w:val="00CA4CA2"/>
    <w:rsid w:val="00CA5103"/>
    <w:rsid w:val="00CA5368"/>
    <w:rsid w:val="00CA6310"/>
    <w:rsid w:val="00CA6FE5"/>
    <w:rsid w:val="00CA7B88"/>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5A4C"/>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3860"/>
    <w:rsid w:val="00CC597B"/>
    <w:rsid w:val="00CC5AA0"/>
    <w:rsid w:val="00CC669A"/>
    <w:rsid w:val="00CC75B6"/>
    <w:rsid w:val="00CC779B"/>
    <w:rsid w:val="00CD0261"/>
    <w:rsid w:val="00CD0BBF"/>
    <w:rsid w:val="00CD288F"/>
    <w:rsid w:val="00CD28B2"/>
    <w:rsid w:val="00CD2DD0"/>
    <w:rsid w:val="00CD33EE"/>
    <w:rsid w:val="00CD3776"/>
    <w:rsid w:val="00CD4B48"/>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49F"/>
    <w:rsid w:val="00CE79A8"/>
    <w:rsid w:val="00CE7BC1"/>
    <w:rsid w:val="00CE7E34"/>
    <w:rsid w:val="00CF0639"/>
    <w:rsid w:val="00CF0AE5"/>
    <w:rsid w:val="00CF12B7"/>
    <w:rsid w:val="00CF14A0"/>
    <w:rsid w:val="00CF19DF"/>
    <w:rsid w:val="00CF1ED5"/>
    <w:rsid w:val="00CF1F8D"/>
    <w:rsid w:val="00CF2172"/>
    <w:rsid w:val="00CF25F6"/>
    <w:rsid w:val="00CF2BBB"/>
    <w:rsid w:val="00CF32CA"/>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0E6F"/>
    <w:rsid w:val="00D01549"/>
    <w:rsid w:val="00D019EA"/>
    <w:rsid w:val="00D01AD1"/>
    <w:rsid w:val="00D02277"/>
    <w:rsid w:val="00D022F4"/>
    <w:rsid w:val="00D02BB4"/>
    <w:rsid w:val="00D03128"/>
    <w:rsid w:val="00D033C8"/>
    <w:rsid w:val="00D03B43"/>
    <w:rsid w:val="00D03C14"/>
    <w:rsid w:val="00D046B2"/>
    <w:rsid w:val="00D04B2D"/>
    <w:rsid w:val="00D04C84"/>
    <w:rsid w:val="00D04E2F"/>
    <w:rsid w:val="00D052B0"/>
    <w:rsid w:val="00D053AF"/>
    <w:rsid w:val="00D0545B"/>
    <w:rsid w:val="00D058FD"/>
    <w:rsid w:val="00D05F86"/>
    <w:rsid w:val="00D06433"/>
    <w:rsid w:val="00D070BE"/>
    <w:rsid w:val="00D07169"/>
    <w:rsid w:val="00D07583"/>
    <w:rsid w:val="00D0769F"/>
    <w:rsid w:val="00D07C40"/>
    <w:rsid w:val="00D1003B"/>
    <w:rsid w:val="00D102A5"/>
    <w:rsid w:val="00D109FA"/>
    <w:rsid w:val="00D10F4D"/>
    <w:rsid w:val="00D10F85"/>
    <w:rsid w:val="00D111EF"/>
    <w:rsid w:val="00D11712"/>
    <w:rsid w:val="00D11EC0"/>
    <w:rsid w:val="00D120D2"/>
    <w:rsid w:val="00D1312B"/>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09"/>
    <w:rsid w:val="00D30C66"/>
    <w:rsid w:val="00D30ECB"/>
    <w:rsid w:val="00D31163"/>
    <w:rsid w:val="00D31D1F"/>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2DF"/>
    <w:rsid w:val="00D51867"/>
    <w:rsid w:val="00D519DD"/>
    <w:rsid w:val="00D51AD4"/>
    <w:rsid w:val="00D53414"/>
    <w:rsid w:val="00D54B76"/>
    <w:rsid w:val="00D54E08"/>
    <w:rsid w:val="00D5508A"/>
    <w:rsid w:val="00D55828"/>
    <w:rsid w:val="00D55C1D"/>
    <w:rsid w:val="00D56305"/>
    <w:rsid w:val="00D5641F"/>
    <w:rsid w:val="00D56495"/>
    <w:rsid w:val="00D566F1"/>
    <w:rsid w:val="00D57388"/>
    <w:rsid w:val="00D61A0D"/>
    <w:rsid w:val="00D62790"/>
    <w:rsid w:val="00D63F0E"/>
    <w:rsid w:val="00D63F45"/>
    <w:rsid w:val="00D64048"/>
    <w:rsid w:val="00D645A6"/>
    <w:rsid w:val="00D64B80"/>
    <w:rsid w:val="00D64E9D"/>
    <w:rsid w:val="00D65A11"/>
    <w:rsid w:val="00D65B91"/>
    <w:rsid w:val="00D662C7"/>
    <w:rsid w:val="00D6688A"/>
    <w:rsid w:val="00D66CD5"/>
    <w:rsid w:val="00D67145"/>
    <w:rsid w:val="00D7057C"/>
    <w:rsid w:val="00D70FF2"/>
    <w:rsid w:val="00D7160F"/>
    <w:rsid w:val="00D7197E"/>
    <w:rsid w:val="00D71DAC"/>
    <w:rsid w:val="00D726FD"/>
    <w:rsid w:val="00D72C26"/>
    <w:rsid w:val="00D73242"/>
    <w:rsid w:val="00D73288"/>
    <w:rsid w:val="00D73686"/>
    <w:rsid w:val="00D7371E"/>
    <w:rsid w:val="00D741DB"/>
    <w:rsid w:val="00D742A0"/>
    <w:rsid w:val="00D74451"/>
    <w:rsid w:val="00D74AA1"/>
    <w:rsid w:val="00D74E88"/>
    <w:rsid w:val="00D75216"/>
    <w:rsid w:val="00D756A7"/>
    <w:rsid w:val="00D75BC1"/>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6FDB"/>
    <w:rsid w:val="00D87458"/>
    <w:rsid w:val="00D87AC4"/>
    <w:rsid w:val="00D901F7"/>
    <w:rsid w:val="00D90311"/>
    <w:rsid w:val="00D907DF"/>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A0A"/>
    <w:rsid w:val="00D97CEB"/>
    <w:rsid w:val="00DA0A11"/>
    <w:rsid w:val="00DA0AF3"/>
    <w:rsid w:val="00DA0F56"/>
    <w:rsid w:val="00DA0F9F"/>
    <w:rsid w:val="00DA26B3"/>
    <w:rsid w:val="00DA2FCF"/>
    <w:rsid w:val="00DA3113"/>
    <w:rsid w:val="00DA3199"/>
    <w:rsid w:val="00DA38EC"/>
    <w:rsid w:val="00DA3AAC"/>
    <w:rsid w:val="00DA3F40"/>
    <w:rsid w:val="00DA435A"/>
    <w:rsid w:val="00DA43EB"/>
    <w:rsid w:val="00DA465F"/>
    <w:rsid w:val="00DA4823"/>
    <w:rsid w:val="00DA4E2E"/>
    <w:rsid w:val="00DA518C"/>
    <w:rsid w:val="00DA5635"/>
    <w:rsid w:val="00DA5B16"/>
    <w:rsid w:val="00DA654C"/>
    <w:rsid w:val="00DA6636"/>
    <w:rsid w:val="00DA77DE"/>
    <w:rsid w:val="00DA7C18"/>
    <w:rsid w:val="00DB0A0F"/>
    <w:rsid w:val="00DB2AEF"/>
    <w:rsid w:val="00DB2B51"/>
    <w:rsid w:val="00DB341C"/>
    <w:rsid w:val="00DB35FD"/>
    <w:rsid w:val="00DB4525"/>
    <w:rsid w:val="00DB47A5"/>
    <w:rsid w:val="00DB4CE3"/>
    <w:rsid w:val="00DB4D17"/>
    <w:rsid w:val="00DB51F4"/>
    <w:rsid w:val="00DB55E1"/>
    <w:rsid w:val="00DB5EDA"/>
    <w:rsid w:val="00DB7CED"/>
    <w:rsid w:val="00DC09FC"/>
    <w:rsid w:val="00DC102C"/>
    <w:rsid w:val="00DC15B7"/>
    <w:rsid w:val="00DC1EC8"/>
    <w:rsid w:val="00DC2E18"/>
    <w:rsid w:val="00DC2FA0"/>
    <w:rsid w:val="00DC30FE"/>
    <w:rsid w:val="00DC3512"/>
    <w:rsid w:val="00DC385E"/>
    <w:rsid w:val="00DC3BBF"/>
    <w:rsid w:val="00DC3C05"/>
    <w:rsid w:val="00DC3EC8"/>
    <w:rsid w:val="00DC4068"/>
    <w:rsid w:val="00DC4145"/>
    <w:rsid w:val="00DC493B"/>
    <w:rsid w:val="00DC5FC9"/>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92D"/>
    <w:rsid w:val="00DD5C14"/>
    <w:rsid w:val="00DD5C3A"/>
    <w:rsid w:val="00DD6405"/>
    <w:rsid w:val="00DD64C8"/>
    <w:rsid w:val="00DD674D"/>
    <w:rsid w:val="00DD701C"/>
    <w:rsid w:val="00DD7DA4"/>
    <w:rsid w:val="00DD7E8C"/>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5C42"/>
    <w:rsid w:val="00DE5CC8"/>
    <w:rsid w:val="00DE6805"/>
    <w:rsid w:val="00DE7807"/>
    <w:rsid w:val="00DE7C25"/>
    <w:rsid w:val="00DF0CCC"/>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D83"/>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7C6"/>
    <w:rsid w:val="00E1784D"/>
    <w:rsid w:val="00E20A95"/>
    <w:rsid w:val="00E20E02"/>
    <w:rsid w:val="00E21806"/>
    <w:rsid w:val="00E21BD1"/>
    <w:rsid w:val="00E2282E"/>
    <w:rsid w:val="00E2294D"/>
    <w:rsid w:val="00E2297A"/>
    <w:rsid w:val="00E229C1"/>
    <w:rsid w:val="00E22C09"/>
    <w:rsid w:val="00E2339C"/>
    <w:rsid w:val="00E238C8"/>
    <w:rsid w:val="00E239E9"/>
    <w:rsid w:val="00E23FAE"/>
    <w:rsid w:val="00E25C75"/>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61A"/>
    <w:rsid w:val="00E44935"/>
    <w:rsid w:val="00E4579A"/>
    <w:rsid w:val="00E458C7"/>
    <w:rsid w:val="00E46771"/>
    <w:rsid w:val="00E46E0B"/>
    <w:rsid w:val="00E471ED"/>
    <w:rsid w:val="00E475F3"/>
    <w:rsid w:val="00E478DA"/>
    <w:rsid w:val="00E479FF"/>
    <w:rsid w:val="00E47B4E"/>
    <w:rsid w:val="00E5076A"/>
    <w:rsid w:val="00E50934"/>
    <w:rsid w:val="00E50E1F"/>
    <w:rsid w:val="00E52538"/>
    <w:rsid w:val="00E528AD"/>
    <w:rsid w:val="00E52A22"/>
    <w:rsid w:val="00E53041"/>
    <w:rsid w:val="00E535C2"/>
    <w:rsid w:val="00E53728"/>
    <w:rsid w:val="00E53914"/>
    <w:rsid w:val="00E540D5"/>
    <w:rsid w:val="00E54A4F"/>
    <w:rsid w:val="00E564BC"/>
    <w:rsid w:val="00E5696B"/>
    <w:rsid w:val="00E57EC1"/>
    <w:rsid w:val="00E60221"/>
    <w:rsid w:val="00E6098E"/>
    <w:rsid w:val="00E60A5A"/>
    <w:rsid w:val="00E61389"/>
    <w:rsid w:val="00E61780"/>
    <w:rsid w:val="00E6301A"/>
    <w:rsid w:val="00E649E1"/>
    <w:rsid w:val="00E65663"/>
    <w:rsid w:val="00E661DB"/>
    <w:rsid w:val="00E662E6"/>
    <w:rsid w:val="00E66781"/>
    <w:rsid w:val="00E66C88"/>
    <w:rsid w:val="00E67BA3"/>
    <w:rsid w:val="00E67D73"/>
    <w:rsid w:val="00E67D7A"/>
    <w:rsid w:val="00E71086"/>
    <w:rsid w:val="00E715A6"/>
    <w:rsid w:val="00E71B32"/>
    <w:rsid w:val="00E72079"/>
    <w:rsid w:val="00E72E8F"/>
    <w:rsid w:val="00E72F98"/>
    <w:rsid w:val="00E736AA"/>
    <w:rsid w:val="00E7391F"/>
    <w:rsid w:val="00E745BB"/>
    <w:rsid w:val="00E748D7"/>
    <w:rsid w:val="00E75BEC"/>
    <w:rsid w:val="00E7632F"/>
    <w:rsid w:val="00E767E3"/>
    <w:rsid w:val="00E76AB0"/>
    <w:rsid w:val="00E773B2"/>
    <w:rsid w:val="00E777A5"/>
    <w:rsid w:val="00E77BF3"/>
    <w:rsid w:val="00E77E2D"/>
    <w:rsid w:val="00E77E32"/>
    <w:rsid w:val="00E800B4"/>
    <w:rsid w:val="00E809C8"/>
    <w:rsid w:val="00E80EE9"/>
    <w:rsid w:val="00E8173D"/>
    <w:rsid w:val="00E81907"/>
    <w:rsid w:val="00E81B11"/>
    <w:rsid w:val="00E81DA3"/>
    <w:rsid w:val="00E825D5"/>
    <w:rsid w:val="00E82A5B"/>
    <w:rsid w:val="00E82D76"/>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88F"/>
    <w:rsid w:val="00EA2B29"/>
    <w:rsid w:val="00EA2BF9"/>
    <w:rsid w:val="00EA2C90"/>
    <w:rsid w:val="00EA35FC"/>
    <w:rsid w:val="00EA3942"/>
    <w:rsid w:val="00EA3F5C"/>
    <w:rsid w:val="00EA5A78"/>
    <w:rsid w:val="00EA5DE5"/>
    <w:rsid w:val="00EA71D3"/>
    <w:rsid w:val="00EA7791"/>
    <w:rsid w:val="00EB00BA"/>
    <w:rsid w:val="00EB051D"/>
    <w:rsid w:val="00EB1072"/>
    <w:rsid w:val="00EB1A14"/>
    <w:rsid w:val="00EB1A97"/>
    <w:rsid w:val="00EB1C52"/>
    <w:rsid w:val="00EB1DDC"/>
    <w:rsid w:val="00EB1FC9"/>
    <w:rsid w:val="00EB2196"/>
    <w:rsid w:val="00EB2610"/>
    <w:rsid w:val="00EB2A87"/>
    <w:rsid w:val="00EB2C1A"/>
    <w:rsid w:val="00EB2D92"/>
    <w:rsid w:val="00EB3229"/>
    <w:rsid w:val="00EB341F"/>
    <w:rsid w:val="00EB43C4"/>
    <w:rsid w:val="00EB5C2A"/>
    <w:rsid w:val="00EB686E"/>
    <w:rsid w:val="00EB6974"/>
    <w:rsid w:val="00EB6D6E"/>
    <w:rsid w:val="00EB7570"/>
    <w:rsid w:val="00EB76BD"/>
    <w:rsid w:val="00EC05A9"/>
    <w:rsid w:val="00EC07EF"/>
    <w:rsid w:val="00EC1FD3"/>
    <w:rsid w:val="00EC2103"/>
    <w:rsid w:val="00EC27C8"/>
    <w:rsid w:val="00EC2BE5"/>
    <w:rsid w:val="00EC2CCA"/>
    <w:rsid w:val="00EC2E57"/>
    <w:rsid w:val="00EC2E71"/>
    <w:rsid w:val="00EC48A6"/>
    <w:rsid w:val="00EC4BC3"/>
    <w:rsid w:val="00EC4D53"/>
    <w:rsid w:val="00EC5347"/>
    <w:rsid w:val="00EC5B41"/>
    <w:rsid w:val="00EC5FAC"/>
    <w:rsid w:val="00EC6B91"/>
    <w:rsid w:val="00EC7083"/>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59F"/>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822"/>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4DA1"/>
    <w:rsid w:val="00F062F5"/>
    <w:rsid w:val="00F0653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27B1"/>
    <w:rsid w:val="00F33779"/>
    <w:rsid w:val="00F33B9C"/>
    <w:rsid w:val="00F340F6"/>
    <w:rsid w:val="00F34129"/>
    <w:rsid w:val="00F3424C"/>
    <w:rsid w:val="00F3454A"/>
    <w:rsid w:val="00F354AA"/>
    <w:rsid w:val="00F3604D"/>
    <w:rsid w:val="00F3659C"/>
    <w:rsid w:val="00F368BB"/>
    <w:rsid w:val="00F37037"/>
    <w:rsid w:val="00F373AE"/>
    <w:rsid w:val="00F3771F"/>
    <w:rsid w:val="00F37869"/>
    <w:rsid w:val="00F37A08"/>
    <w:rsid w:val="00F37BB9"/>
    <w:rsid w:val="00F406EC"/>
    <w:rsid w:val="00F40B80"/>
    <w:rsid w:val="00F41B49"/>
    <w:rsid w:val="00F423F0"/>
    <w:rsid w:val="00F42726"/>
    <w:rsid w:val="00F42C78"/>
    <w:rsid w:val="00F4346B"/>
    <w:rsid w:val="00F43C32"/>
    <w:rsid w:val="00F44601"/>
    <w:rsid w:val="00F453B6"/>
    <w:rsid w:val="00F4568C"/>
    <w:rsid w:val="00F45854"/>
    <w:rsid w:val="00F45D0C"/>
    <w:rsid w:val="00F45F5F"/>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3D95"/>
    <w:rsid w:val="00F64983"/>
    <w:rsid w:val="00F64CD0"/>
    <w:rsid w:val="00F65403"/>
    <w:rsid w:val="00F658BB"/>
    <w:rsid w:val="00F6598F"/>
    <w:rsid w:val="00F65FF3"/>
    <w:rsid w:val="00F66292"/>
    <w:rsid w:val="00F66475"/>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09D"/>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2B2A"/>
    <w:rsid w:val="00F83B27"/>
    <w:rsid w:val="00F83E60"/>
    <w:rsid w:val="00F83FD9"/>
    <w:rsid w:val="00F84289"/>
    <w:rsid w:val="00F84293"/>
    <w:rsid w:val="00F857D6"/>
    <w:rsid w:val="00F87193"/>
    <w:rsid w:val="00F8722D"/>
    <w:rsid w:val="00F8768E"/>
    <w:rsid w:val="00F87F99"/>
    <w:rsid w:val="00F87FCA"/>
    <w:rsid w:val="00F902E6"/>
    <w:rsid w:val="00F90B82"/>
    <w:rsid w:val="00F9196A"/>
    <w:rsid w:val="00F92621"/>
    <w:rsid w:val="00F92790"/>
    <w:rsid w:val="00F92920"/>
    <w:rsid w:val="00F92ACA"/>
    <w:rsid w:val="00F92E7C"/>
    <w:rsid w:val="00F92EAB"/>
    <w:rsid w:val="00F93083"/>
    <w:rsid w:val="00F930D9"/>
    <w:rsid w:val="00F93EEE"/>
    <w:rsid w:val="00F93FDA"/>
    <w:rsid w:val="00F9432B"/>
    <w:rsid w:val="00F94352"/>
    <w:rsid w:val="00F944E3"/>
    <w:rsid w:val="00F954CA"/>
    <w:rsid w:val="00F96280"/>
    <w:rsid w:val="00F96E84"/>
    <w:rsid w:val="00F97914"/>
    <w:rsid w:val="00FA01D4"/>
    <w:rsid w:val="00FA084F"/>
    <w:rsid w:val="00FA08FD"/>
    <w:rsid w:val="00FA0DE6"/>
    <w:rsid w:val="00FA2BD7"/>
    <w:rsid w:val="00FA30F5"/>
    <w:rsid w:val="00FA3BAD"/>
    <w:rsid w:val="00FA3F06"/>
    <w:rsid w:val="00FA416A"/>
    <w:rsid w:val="00FA4744"/>
    <w:rsid w:val="00FA4872"/>
    <w:rsid w:val="00FA4B78"/>
    <w:rsid w:val="00FA6067"/>
    <w:rsid w:val="00FA62E0"/>
    <w:rsid w:val="00FA63D3"/>
    <w:rsid w:val="00FA6741"/>
    <w:rsid w:val="00FA6DE6"/>
    <w:rsid w:val="00FA6F37"/>
    <w:rsid w:val="00FA6FA7"/>
    <w:rsid w:val="00FA7658"/>
    <w:rsid w:val="00FB0336"/>
    <w:rsid w:val="00FB0630"/>
    <w:rsid w:val="00FB0862"/>
    <w:rsid w:val="00FB089A"/>
    <w:rsid w:val="00FB109B"/>
    <w:rsid w:val="00FB119A"/>
    <w:rsid w:val="00FB1431"/>
    <w:rsid w:val="00FB181F"/>
    <w:rsid w:val="00FB1918"/>
    <w:rsid w:val="00FB1AE8"/>
    <w:rsid w:val="00FB1D7A"/>
    <w:rsid w:val="00FB24C0"/>
    <w:rsid w:val="00FB286E"/>
    <w:rsid w:val="00FB2A18"/>
    <w:rsid w:val="00FB3F9C"/>
    <w:rsid w:val="00FB4206"/>
    <w:rsid w:val="00FB4D9A"/>
    <w:rsid w:val="00FB526E"/>
    <w:rsid w:val="00FB5A66"/>
    <w:rsid w:val="00FB5B30"/>
    <w:rsid w:val="00FB5CF6"/>
    <w:rsid w:val="00FB62B5"/>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226"/>
    <w:rsid w:val="00FC4A41"/>
    <w:rsid w:val="00FC5866"/>
    <w:rsid w:val="00FC5E6F"/>
    <w:rsid w:val="00FC7615"/>
    <w:rsid w:val="00FC7785"/>
    <w:rsid w:val="00FC7F4D"/>
    <w:rsid w:val="00FD058E"/>
    <w:rsid w:val="00FD05BC"/>
    <w:rsid w:val="00FD0E60"/>
    <w:rsid w:val="00FD2102"/>
    <w:rsid w:val="00FD2718"/>
    <w:rsid w:val="00FD3634"/>
    <w:rsid w:val="00FD3889"/>
    <w:rsid w:val="00FD45D6"/>
    <w:rsid w:val="00FD465C"/>
    <w:rsid w:val="00FD4D73"/>
    <w:rsid w:val="00FD562A"/>
    <w:rsid w:val="00FD6411"/>
    <w:rsid w:val="00FD64EF"/>
    <w:rsid w:val="00FD683A"/>
    <w:rsid w:val="00FD7771"/>
    <w:rsid w:val="00FD7B26"/>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E7EBD"/>
    <w:rsid w:val="00FF3DBD"/>
    <w:rsid w:val="00FF4204"/>
    <w:rsid w:val="00FF4314"/>
    <w:rsid w:val="00FF456E"/>
    <w:rsid w:val="00FF4A19"/>
    <w:rsid w:val="00FF4CE2"/>
    <w:rsid w:val="00FF520E"/>
    <w:rsid w:val="00FF7098"/>
    <w:rsid w:val="00FF70F3"/>
    <w:rsid w:val="00FF7533"/>
    <w:rsid w:val="00FF7BA6"/>
    <w:rsid w:val="00FF7C38"/>
    <w:rsid w:val="017D4F5C"/>
    <w:rsid w:val="01B6221C"/>
    <w:rsid w:val="01F0299B"/>
    <w:rsid w:val="026E4F91"/>
    <w:rsid w:val="029F7154"/>
    <w:rsid w:val="02CA0BC8"/>
    <w:rsid w:val="0328539C"/>
    <w:rsid w:val="039F4141"/>
    <w:rsid w:val="03D472D2"/>
    <w:rsid w:val="040F3AA7"/>
    <w:rsid w:val="041D095D"/>
    <w:rsid w:val="04207EF6"/>
    <w:rsid w:val="04335152"/>
    <w:rsid w:val="04736E13"/>
    <w:rsid w:val="051536FE"/>
    <w:rsid w:val="052D0A47"/>
    <w:rsid w:val="0532605E"/>
    <w:rsid w:val="05C87DB9"/>
    <w:rsid w:val="05EE397A"/>
    <w:rsid w:val="060519C4"/>
    <w:rsid w:val="07943000"/>
    <w:rsid w:val="086956BA"/>
    <w:rsid w:val="090715AF"/>
    <w:rsid w:val="0961739E"/>
    <w:rsid w:val="098E6083"/>
    <w:rsid w:val="0A086CB5"/>
    <w:rsid w:val="0ADD2F10"/>
    <w:rsid w:val="0B205B2B"/>
    <w:rsid w:val="0B300F0F"/>
    <w:rsid w:val="0B782559"/>
    <w:rsid w:val="0BCB0FBA"/>
    <w:rsid w:val="0D27101A"/>
    <w:rsid w:val="0D447276"/>
    <w:rsid w:val="0D566BC9"/>
    <w:rsid w:val="0E180322"/>
    <w:rsid w:val="0E8C4995"/>
    <w:rsid w:val="0EF27BFB"/>
    <w:rsid w:val="0FBC50EF"/>
    <w:rsid w:val="101C3B92"/>
    <w:rsid w:val="10417A9D"/>
    <w:rsid w:val="105D6E45"/>
    <w:rsid w:val="10CA1840"/>
    <w:rsid w:val="10EB5431"/>
    <w:rsid w:val="115F3FD7"/>
    <w:rsid w:val="117874EE"/>
    <w:rsid w:val="117C2F71"/>
    <w:rsid w:val="11983076"/>
    <w:rsid w:val="119836EC"/>
    <w:rsid w:val="11A259DD"/>
    <w:rsid w:val="11B338ED"/>
    <w:rsid w:val="120027E5"/>
    <w:rsid w:val="120474A0"/>
    <w:rsid w:val="13102ABE"/>
    <w:rsid w:val="134A6B85"/>
    <w:rsid w:val="13561AB1"/>
    <w:rsid w:val="13AC16D1"/>
    <w:rsid w:val="13B469D1"/>
    <w:rsid w:val="13C84A80"/>
    <w:rsid w:val="15B813A3"/>
    <w:rsid w:val="15C251DC"/>
    <w:rsid w:val="162063B0"/>
    <w:rsid w:val="167D280D"/>
    <w:rsid w:val="16817137"/>
    <w:rsid w:val="16881F81"/>
    <w:rsid w:val="16D03628"/>
    <w:rsid w:val="17047766"/>
    <w:rsid w:val="176720DA"/>
    <w:rsid w:val="177C13BA"/>
    <w:rsid w:val="17935895"/>
    <w:rsid w:val="17AE2753"/>
    <w:rsid w:val="17F52C18"/>
    <w:rsid w:val="180B3CB2"/>
    <w:rsid w:val="1828575C"/>
    <w:rsid w:val="184530EF"/>
    <w:rsid w:val="18E07F16"/>
    <w:rsid w:val="19225914"/>
    <w:rsid w:val="19227A4B"/>
    <w:rsid w:val="19D85494"/>
    <w:rsid w:val="1A0062D3"/>
    <w:rsid w:val="1ACD27A2"/>
    <w:rsid w:val="1B3E182A"/>
    <w:rsid w:val="1B4B5195"/>
    <w:rsid w:val="1C174C6F"/>
    <w:rsid w:val="1C41595A"/>
    <w:rsid w:val="1C7C020D"/>
    <w:rsid w:val="1C8F78BA"/>
    <w:rsid w:val="1C9B0D84"/>
    <w:rsid w:val="1CDD3F3B"/>
    <w:rsid w:val="1D4D6869"/>
    <w:rsid w:val="1D660B43"/>
    <w:rsid w:val="1D9C4564"/>
    <w:rsid w:val="1DAB29F9"/>
    <w:rsid w:val="1DB25B36"/>
    <w:rsid w:val="1E026ABD"/>
    <w:rsid w:val="1FBA5176"/>
    <w:rsid w:val="1FEF3071"/>
    <w:rsid w:val="20C94021"/>
    <w:rsid w:val="21760101"/>
    <w:rsid w:val="21E45E5B"/>
    <w:rsid w:val="229C4295"/>
    <w:rsid w:val="22B25284"/>
    <w:rsid w:val="22C07D9F"/>
    <w:rsid w:val="23056CBA"/>
    <w:rsid w:val="2342170A"/>
    <w:rsid w:val="234C1E42"/>
    <w:rsid w:val="23AE0E24"/>
    <w:rsid w:val="23C6059E"/>
    <w:rsid w:val="23C95079"/>
    <w:rsid w:val="24031A53"/>
    <w:rsid w:val="24307C26"/>
    <w:rsid w:val="24560EAC"/>
    <w:rsid w:val="248E5D4C"/>
    <w:rsid w:val="24C47897"/>
    <w:rsid w:val="24C70119"/>
    <w:rsid w:val="24E337F8"/>
    <w:rsid w:val="25506360"/>
    <w:rsid w:val="258B2274"/>
    <w:rsid w:val="258D3B57"/>
    <w:rsid w:val="262336EE"/>
    <w:rsid w:val="262F77CE"/>
    <w:rsid w:val="269E4C0C"/>
    <w:rsid w:val="27024D1A"/>
    <w:rsid w:val="27CE5C62"/>
    <w:rsid w:val="285F7987"/>
    <w:rsid w:val="28A623D5"/>
    <w:rsid w:val="28ED6740"/>
    <w:rsid w:val="28F811E9"/>
    <w:rsid w:val="29852351"/>
    <w:rsid w:val="29BD5F8E"/>
    <w:rsid w:val="2A3A313B"/>
    <w:rsid w:val="2A934448"/>
    <w:rsid w:val="2AD85037"/>
    <w:rsid w:val="2B277B63"/>
    <w:rsid w:val="2BD0253B"/>
    <w:rsid w:val="2BE63A33"/>
    <w:rsid w:val="2C020E73"/>
    <w:rsid w:val="2C071743"/>
    <w:rsid w:val="2C1639F9"/>
    <w:rsid w:val="2C444480"/>
    <w:rsid w:val="2C564DC3"/>
    <w:rsid w:val="2CEA4F66"/>
    <w:rsid w:val="2D1E6D44"/>
    <w:rsid w:val="2D6C141D"/>
    <w:rsid w:val="2D88453C"/>
    <w:rsid w:val="2DA059AB"/>
    <w:rsid w:val="2DEF37E2"/>
    <w:rsid w:val="2E293BF2"/>
    <w:rsid w:val="2E52461F"/>
    <w:rsid w:val="2EB64B4B"/>
    <w:rsid w:val="2EC35107"/>
    <w:rsid w:val="2EDB590A"/>
    <w:rsid w:val="2F0106CB"/>
    <w:rsid w:val="2F0A29E3"/>
    <w:rsid w:val="2F5D4670"/>
    <w:rsid w:val="2F6D375B"/>
    <w:rsid w:val="300A35B0"/>
    <w:rsid w:val="304F5466"/>
    <w:rsid w:val="306D545F"/>
    <w:rsid w:val="30817D6A"/>
    <w:rsid w:val="3157114E"/>
    <w:rsid w:val="31E71DFA"/>
    <w:rsid w:val="31E7698C"/>
    <w:rsid w:val="31F2037F"/>
    <w:rsid w:val="325D3586"/>
    <w:rsid w:val="329B11F6"/>
    <w:rsid w:val="33572FB0"/>
    <w:rsid w:val="336E087E"/>
    <w:rsid w:val="33C3087D"/>
    <w:rsid w:val="34FA24B8"/>
    <w:rsid w:val="34FD1935"/>
    <w:rsid w:val="35961B12"/>
    <w:rsid w:val="364523AD"/>
    <w:rsid w:val="36700D38"/>
    <w:rsid w:val="36C4673D"/>
    <w:rsid w:val="36E776C4"/>
    <w:rsid w:val="37307DA0"/>
    <w:rsid w:val="37661A13"/>
    <w:rsid w:val="37B10B63"/>
    <w:rsid w:val="37D17C49"/>
    <w:rsid w:val="38224FAA"/>
    <w:rsid w:val="385555E4"/>
    <w:rsid w:val="385775AE"/>
    <w:rsid w:val="38767A34"/>
    <w:rsid w:val="3902538A"/>
    <w:rsid w:val="390721D7"/>
    <w:rsid w:val="393B510C"/>
    <w:rsid w:val="393F4767"/>
    <w:rsid w:val="39A97E97"/>
    <w:rsid w:val="3A260C29"/>
    <w:rsid w:val="3A264499"/>
    <w:rsid w:val="3A502507"/>
    <w:rsid w:val="3A5C534F"/>
    <w:rsid w:val="3A850402"/>
    <w:rsid w:val="3AC0143A"/>
    <w:rsid w:val="3AE108BD"/>
    <w:rsid w:val="3B57268D"/>
    <w:rsid w:val="3B6176CE"/>
    <w:rsid w:val="3BF9504C"/>
    <w:rsid w:val="3CF11603"/>
    <w:rsid w:val="3D6F4D41"/>
    <w:rsid w:val="3D7507FB"/>
    <w:rsid w:val="3D9F2EF1"/>
    <w:rsid w:val="3E4D1237"/>
    <w:rsid w:val="3E6B63CA"/>
    <w:rsid w:val="3EB5127A"/>
    <w:rsid w:val="3ED92E52"/>
    <w:rsid w:val="3F362BE0"/>
    <w:rsid w:val="3F503E5E"/>
    <w:rsid w:val="3F9D7F9C"/>
    <w:rsid w:val="3FC16214"/>
    <w:rsid w:val="40A34F11"/>
    <w:rsid w:val="41246142"/>
    <w:rsid w:val="41576FF8"/>
    <w:rsid w:val="41720FB5"/>
    <w:rsid w:val="41B84E6F"/>
    <w:rsid w:val="41D9164E"/>
    <w:rsid w:val="41DD521D"/>
    <w:rsid w:val="423B7022"/>
    <w:rsid w:val="43363AD0"/>
    <w:rsid w:val="4389060E"/>
    <w:rsid w:val="439702B1"/>
    <w:rsid w:val="43C57AC2"/>
    <w:rsid w:val="43C8028A"/>
    <w:rsid w:val="43D51667"/>
    <w:rsid w:val="4420118B"/>
    <w:rsid w:val="443B2C25"/>
    <w:rsid w:val="448421F1"/>
    <w:rsid w:val="44BA4879"/>
    <w:rsid w:val="44BC0B25"/>
    <w:rsid w:val="45926C0E"/>
    <w:rsid w:val="45B34E95"/>
    <w:rsid w:val="45D37D9B"/>
    <w:rsid w:val="45DF6D8B"/>
    <w:rsid w:val="45E719AD"/>
    <w:rsid w:val="46C04884"/>
    <w:rsid w:val="471C3E9C"/>
    <w:rsid w:val="4759428A"/>
    <w:rsid w:val="47EB5990"/>
    <w:rsid w:val="48194FD5"/>
    <w:rsid w:val="483416BA"/>
    <w:rsid w:val="484514CB"/>
    <w:rsid w:val="48516103"/>
    <w:rsid w:val="489F1B91"/>
    <w:rsid w:val="48BA396D"/>
    <w:rsid w:val="48C86EE1"/>
    <w:rsid w:val="49A876EE"/>
    <w:rsid w:val="49F66C27"/>
    <w:rsid w:val="49FA6EF8"/>
    <w:rsid w:val="4A784961"/>
    <w:rsid w:val="4A9100DE"/>
    <w:rsid w:val="4ACF3A3C"/>
    <w:rsid w:val="4ADF76BB"/>
    <w:rsid w:val="4B1700DF"/>
    <w:rsid w:val="4B3C4946"/>
    <w:rsid w:val="4CD82614"/>
    <w:rsid w:val="4CFD651E"/>
    <w:rsid w:val="4D10402C"/>
    <w:rsid w:val="4D5A74CD"/>
    <w:rsid w:val="4D84279B"/>
    <w:rsid w:val="4DC84001"/>
    <w:rsid w:val="4E4744E5"/>
    <w:rsid w:val="4F0F6A19"/>
    <w:rsid w:val="4F5D235B"/>
    <w:rsid w:val="4FC06E0B"/>
    <w:rsid w:val="512A5408"/>
    <w:rsid w:val="51967EE8"/>
    <w:rsid w:val="51D10A66"/>
    <w:rsid w:val="51F15757"/>
    <w:rsid w:val="520420FD"/>
    <w:rsid w:val="5232558C"/>
    <w:rsid w:val="528A390F"/>
    <w:rsid w:val="528C6991"/>
    <w:rsid w:val="52A7668A"/>
    <w:rsid w:val="53D77AC9"/>
    <w:rsid w:val="54054633"/>
    <w:rsid w:val="540605E4"/>
    <w:rsid w:val="543C5B7E"/>
    <w:rsid w:val="547F0032"/>
    <w:rsid w:val="54A02A20"/>
    <w:rsid w:val="552B4577"/>
    <w:rsid w:val="55344AA7"/>
    <w:rsid w:val="55C23AE2"/>
    <w:rsid w:val="55C87B3E"/>
    <w:rsid w:val="57AF2B0B"/>
    <w:rsid w:val="5818245E"/>
    <w:rsid w:val="58BD4DB3"/>
    <w:rsid w:val="58D67D8C"/>
    <w:rsid w:val="58E10577"/>
    <w:rsid w:val="59165EF7"/>
    <w:rsid w:val="59702A12"/>
    <w:rsid w:val="5A4237C2"/>
    <w:rsid w:val="5A587B11"/>
    <w:rsid w:val="5ADC59C5"/>
    <w:rsid w:val="5AED2A9C"/>
    <w:rsid w:val="5BC746C9"/>
    <w:rsid w:val="5BF94355"/>
    <w:rsid w:val="5C8B1921"/>
    <w:rsid w:val="5CC61F72"/>
    <w:rsid w:val="5CF206F7"/>
    <w:rsid w:val="5E174C43"/>
    <w:rsid w:val="5E9640DD"/>
    <w:rsid w:val="5EA0340D"/>
    <w:rsid w:val="5ED66C3C"/>
    <w:rsid w:val="5EED4280"/>
    <w:rsid w:val="5F9745B0"/>
    <w:rsid w:val="5FDD643B"/>
    <w:rsid w:val="605B51E4"/>
    <w:rsid w:val="60BA3E42"/>
    <w:rsid w:val="6194383B"/>
    <w:rsid w:val="61A14A39"/>
    <w:rsid w:val="61B438E9"/>
    <w:rsid w:val="61CB5375"/>
    <w:rsid w:val="623348CA"/>
    <w:rsid w:val="63C141F3"/>
    <w:rsid w:val="654A79CF"/>
    <w:rsid w:val="658264A8"/>
    <w:rsid w:val="65CA685B"/>
    <w:rsid w:val="65CF34A7"/>
    <w:rsid w:val="65F660EF"/>
    <w:rsid w:val="6673798C"/>
    <w:rsid w:val="67136C12"/>
    <w:rsid w:val="672B53C1"/>
    <w:rsid w:val="673905B6"/>
    <w:rsid w:val="67FF37A9"/>
    <w:rsid w:val="681C3942"/>
    <w:rsid w:val="68460AAC"/>
    <w:rsid w:val="68AC1CFE"/>
    <w:rsid w:val="68E3577B"/>
    <w:rsid w:val="68F14D31"/>
    <w:rsid w:val="690E58E3"/>
    <w:rsid w:val="693569FE"/>
    <w:rsid w:val="697F233D"/>
    <w:rsid w:val="69DD3507"/>
    <w:rsid w:val="6B3727A3"/>
    <w:rsid w:val="6BCD1DE6"/>
    <w:rsid w:val="6C505023"/>
    <w:rsid w:val="6CBB7FC9"/>
    <w:rsid w:val="6D14299F"/>
    <w:rsid w:val="6D604233"/>
    <w:rsid w:val="6D672A1E"/>
    <w:rsid w:val="6DC237D1"/>
    <w:rsid w:val="6E0A419F"/>
    <w:rsid w:val="6E70494A"/>
    <w:rsid w:val="6E80502D"/>
    <w:rsid w:val="6ED14D11"/>
    <w:rsid w:val="6F40725E"/>
    <w:rsid w:val="6F616041"/>
    <w:rsid w:val="702C540C"/>
    <w:rsid w:val="711172CF"/>
    <w:rsid w:val="71296DAE"/>
    <w:rsid w:val="71826BBE"/>
    <w:rsid w:val="71A05546"/>
    <w:rsid w:val="71DC5825"/>
    <w:rsid w:val="71FD54DD"/>
    <w:rsid w:val="725F4A37"/>
    <w:rsid w:val="72A76461"/>
    <w:rsid w:val="72D57ED4"/>
    <w:rsid w:val="73422820"/>
    <w:rsid w:val="736D3206"/>
    <w:rsid w:val="73EA4857"/>
    <w:rsid w:val="73EB05CF"/>
    <w:rsid w:val="7410294D"/>
    <w:rsid w:val="75E579CC"/>
    <w:rsid w:val="762978E9"/>
    <w:rsid w:val="767825EE"/>
    <w:rsid w:val="76D71644"/>
    <w:rsid w:val="77664B3C"/>
    <w:rsid w:val="776C2FB6"/>
    <w:rsid w:val="78144598"/>
    <w:rsid w:val="781C09CD"/>
    <w:rsid w:val="784D1858"/>
    <w:rsid w:val="78C73CE2"/>
    <w:rsid w:val="7956473D"/>
    <w:rsid w:val="79982284"/>
    <w:rsid w:val="7998662D"/>
    <w:rsid w:val="79D15C97"/>
    <w:rsid w:val="7A8C5878"/>
    <w:rsid w:val="7ACF7B29"/>
    <w:rsid w:val="7B130B37"/>
    <w:rsid w:val="7B450F0D"/>
    <w:rsid w:val="7B471854"/>
    <w:rsid w:val="7B824F1A"/>
    <w:rsid w:val="7C552333"/>
    <w:rsid w:val="7C566989"/>
    <w:rsid w:val="7CA86C55"/>
    <w:rsid w:val="7CCF29BE"/>
    <w:rsid w:val="7CF019C1"/>
    <w:rsid w:val="7D461CAD"/>
    <w:rsid w:val="7D9046C1"/>
    <w:rsid w:val="7D9A7144"/>
    <w:rsid w:val="7DB639FC"/>
    <w:rsid w:val="7E28286A"/>
    <w:rsid w:val="7E4515FE"/>
    <w:rsid w:val="7E5973BB"/>
    <w:rsid w:val="7E696CC0"/>
    <w:rsid w:val="7E6B2A38"/>
    <w:rsid w:val="7E9006F1"/>
    <w:rsid w:val="7E9975A5"/>
    <w:rsid w:val="7EAD59B2"/>
    <w:rsid w:val="7EF96296"/>
    <w:rsid w:val="7F281064"/>
    <w:rsid w:val="7F413799"/>
    <w:rsid w:val="7F5B485B"/>
    <w:rsid w:val="7F91273C"/>
    <w:rsid w:val="7FA51F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0"/>
    <w:autoRedefine/>
    <w:qFormat/>
    <w:uiPriority w:val="0"/>
    <w:pPr>
      <w:spacing w:before="460" w:after="450" w:line="360" w:lineRule="auto"/>
      <w:jc w:val="center"/>
      <w:outlineLvl w:val="0"/>
    </w:pPr>
    <w:rPr>
      <w:rFonts w:eastAsiaTheme="minorEastAsia"/>
      <w:kern w:val="44"/>
      <w:sz w:val="44"/>
      <w:szCs w:val="28"/>
    </w:rPr>
  </w:style>
  <w:style w:type="paragraph" w:styleId="3">
    <w:name w:val="heading 2"/>
    <w:basedOn w:val="1"/>
    <w:next w:val="1"/>
    <w:link w:val="61"/>
    <w:autoRedefine/>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autoRedefine/>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autoRedefine/>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autoRedefine/>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autoRedefine/>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autoRedefine/>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autoRedefine/>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autoRedefine/>
    <w:semiHidden/>
    <w:unhideWhenUsed/>
    <w:qFormat/>
    <w:uiPriority w:val="1"/>
  </w:style>
  <w:style w:type="table" w:default="1" w:styleId="50">
    <w:name w:val="Normal Table"/>
    <w:autoRedefine/>
    <w:semiHidden/>
    <w:unhideWhenUsed/>
    <w:qFormat/>
    <w:uiPriority w:val="99"/>
    <w:tblPr>
      <w:tblCellMar>
        <w:top w:w="0" w:type="dxa"/>
        <w:left w:w="108" w:type="dxa"/>
        <w:bottom w:w="0" w:type="dxa"/>
        <w:right w:w="108" w:type="dxa"/>
      </w:tblCellMar>
    </w:tblPr>
  </w:style>
  <w:style w:type="paragraph" w:styleId="7">
    <w:name w:val="Normal Indent"/>
    <w:basedOn w:val="1"/>
    <w:link w:val="63"/>
    <w:autoRedefine/>
    <w:qFormat/>
    <w:uiPriority w:val="0"/>
    <w:pPr>
      <w:ind w:firstLine="420" w:firstLineChars="200"/>
    </w:pPr>
  </w:style>
  <w:style w:type="paragraph" w:styleId="12">
    <w:name w:val="toc 7"/>
    <w:basedOn w:val="1"/>
    <w:next w:val="1"/>
    <w:autoRedefine/>
    <w:qFormat/>
    <w:uiPriority w:val="0"/>
    <w:pPr>
      <w:ind w:left="1260"/>
      <w:jc w:val="left"/>
    </w:pPr>
    <w:rPr>
      <w:szCs w:val="21"/>
    </w:rPr>
  </w:style>
  <w:style w:type="paragraph" w:styleId="13">
    <w:name w:val="List Number 2"/>
    <w:basedOn w:val="1"/>
    <w:autoRedefine/>
    <w:qFormat/>
    <w:uiPriority w:val="0"/>
    <w:pPr>
      <w:tabs>
        <w:tab w:val="left" w:pos="780"/>
      </w:tabs>
      <w:ind w:left="780" w:hanging="360"/>
    </w:pPr>
    <w:rPr>
      <w:szCs w:val="20"/>
    </w:rPr>
  </w:style>
  <w:style w:type="paragraph" w:styleId="14">
    <w:name w:val="List Bullet 4"/>
    <w:basedOn w:val="1"/>
    <w:autoRedefine/>
    <w:qFormat/>
    <w:uiPriority w:val="0"/>
    <w:pPr>
      <w:tabs>
        <w:tab w:val="left" w:pos="425"/>
        <w:tab w:val="left" w:pos="1620"/>
      </w:tabs>
      <w:ind w:left="425" w:hanging="425"/>
    </w:pPr>
    <w:rPr>
      <w:szCs w:val="20"/>
    </w:rPr>
  </w:style>
  <w:style w:type="paragraph" w:styleId="15">
    <w:name w:val="caption"/>
    <w:basedOn w:val="1"/>
    <w:next w:val="1"/>
    <w:link w:val="297"/>
    <w:autoRedefine/>
    <w:qFormat/>
    <w:uiPriority w:val="0"/>
    <w:rPr>
      <w:rFonts w:ascii="Cambria" w:hAnsi="Cambria" w:eastAsia="黑体"/>
    </w:rPr>
  </w:style>
  <w:style w:type="paragraph" w:styleId="16">
    <w:name w:val="List Bullet"/>
    <w:basedOn w:val="1"/>
    <w:autoRedefine/>
    <w:qFormat/>
    <w:uiPriority w:val="0"/>
    <w:pPr>
      <w:numPr>
        <w:ilvl w:val="0"/>
        <w:numId w:val="1"/>
      </w:numPr>
      <w:tabs>
        <w:tab w:val="left" w:pos="360"/>
        <w:tab w:val="clear" w:pos="371"/>
      </w:tabs>
    </w:pPr>
    <w:rPr>
      <w:szCs w:val="20"/>
    </w:rPr>
  </w:style>
  <w:style w:type="paragraph" w:styleId="17">
    <w:name w:val="Document Map"/>
    <w:basedOn w:val="1"/>
    <w:link w:val="73"/>
    <w:autoRedefine/>
    <w:qFormat/>
    <w:uiPriority w:val="0"/>
    <w:pPr>
      <w:shd w:val="clear" w:color="auto" w:fill="000080"/>
    </w:pPr>
  </w:style>
  <w:style w:type="paragraph" w:styleId="18">
    <w:name w:val="annotation text"/>
    <w:basedOn w:val="1"/>
    <w:link w:val="69"/>
    <w:autoRedefine/>
    <w:qFormat/>
    <w:uiPriority w:val="0"/>
    <w:pPr>
      <w:jc w:val="left"/>
    </w:pPr>
  </w:style>
  <w:style w:type="paragraph" w:styleId="19">
    <w:name w:val="Body Text 3"/>
    <w:basedOn w:val="1"/>
    <w:link w:val="458"/>
    <w:autoRedefine/>
    <w:unhideWhenUsed/>
    <w:qFormat/>
    <w:uiPriority w:val="0"/>
    <w:pPr>
      <w:spacing w:after="120"/>
    </w:pPr>
    <w:rPr>
      <w:sz w:val="16"/>
      <w:szCs w:val="16"/>
    </w:rPr>
  </w:style>
  <w:style w:type="paragraph" w:styleId="20">
    <w:name w:val="Body Text"/>
    <w:basedOn w:val="1"/>
    <w:link w:val="71"/>
    <w:autoRedefine/>
    <w:qFormat/>
    <w:uiPriority w:val="0"/>
    <w:pPr>
      <w:spacing w:after="120"/>
    </w:pPr>
  </w:style>
  <w:style w:type="paragraph" w:styleId="21">
    <w:name w:val="Body Text Indent"/>
    <w:basedOn w:val="1"/>
    <w:link w:val="74"/>
    <w:autoRedefine/>
    <w:qFormat/>
    <w:uiPriority w:val="0"/>
    <w:pPr>
      <w:spacing w:after="120"/>
      <w:ind w:left="420" w:leftChars="200"/>
    </w:pPr>
  </w:style>
  <w:style w:type="paragraph" w:styleId="22">
    <w:name w:val="Block Text"/>
    <w:basedOn w:val="1"/>
    <w:autoRedefine/>
    <w:qFormat/>
    <w:uiPriority w:val="0"/>
    <w:pPr>
      <w:spacing w:after="120"/>
      <w:ind w:left="1440" w:leftChars="700" w:right="1440" w:rightChars="700"/>
    </w:pPr>
  </w:style>
  <w:style w:type="paragraph" w:styleId="23">
    <w:name w:val="List Bullet 2"/>
    <w:basedOn w:val="1"/>
    <w:autoRedefine/>
    <w:qFormat/>
    <w:uiPriority w:val="0"/>
    <w:pPr>
      <w:numPr>
        <w:ilvl w:val="0"/>
        <w:numId w:val="2"/>
      </w:numPr>
      <w:tabs>
        <w:tab w:val="left" w:pos="780"/>
      </w:tabs>
    </w:pPr>
    <w:rPr>
      <w:szCs w:val="20"/>
    </w:rPr>
  </w:style>
  <w:style w:type="paragraph" w:styleId="24">
    <w:name w:val="toc 5"/>
    <w:basedOn w:val="1"/>
    <w:next w:val="1"/>
    <w:autoRedefine/>
    <w:qFormat/>
    <w:uiPriority w:val="0"/>
    <w:pPr>
      <w:ind w:left="840"/>
      <w:jc w:val="left"/>
    </w:pPr>
    <w:rPr>
      <w:szCs w:val="21"/>
    </w:rPr>
  </w:style>
  <w:style w:type="paragraph" w:styleId="25">
    <w:name w:val="toc 3"/>
    <w:basedOn w:val="1"/>
    <w:next w:val="1"/>
    <w:autoRedefine/>
    <w:qFormat/>
    <w:uiPriority w:val="39"/>
    <w:pPr>
      <w:ind w:left="420"/>
      <w:jc w:val="left"/>
    </w:pPr>
    <w:rPr>
      <w:iCs/>
    </w:rPr>
  </w:style>
  <w:style w:type="paragraph" w:styleId="26">
    <w:name w:val="Plain Text"/>
    <w:basedOn w:val="1"/>
    <w:link w:val="75"/>
    <w:autoRedefine/>
    <w:qFormat/>
    <w:uiPriority w:val="0"/>
    <w:rPr>
      <w:rFonts w:ascii="宋体" w:hAnsi="Courier New"/>
      <w:szCs w:val="20"/>
    </w:rPr>
  </w:style>
  <w:style w:type="paragraph" w:styleId="27">
    <w:name w:val="toc 8"/>
    <w:basedOn w:val="1"/>
    <w:next w:val="1"/>
    <w:autoRedefine/>
    <w:qFormat/>
    <w:uiPriority w:val="0"/>
    <w:pPr>
      <w:ind w:left="1470"/>
      <w:jc w:val="left"/>
    </w:pPr>
    <w:rPr>
      <w:szCs w:val="21"/>
    </w:rPr>
  </w:style>
  <w:style w:type="paragraph" w:styleId="28">
    <w:name w:val="Date"/>
    <w:basedOn w:val="1"/>
    <w:next w:val="1"/>
    <w:link w:val="316"/>
    <w:autoRedefine/>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autoRedefine/>
    <w:qFormat/>
    <w:uiPriority w:val="0"/>
    <w:pPr>
      <w:spacing w:after="120" w:line="480" w:lineRule="auto"/>
      <w:ind w:left="420" w:leftChars="200"/>
    </w:pPr>
  </w:style>
  <w:style w:type="paragraph" w:styleId="30">
    <w:name w:val="Balloon Text"/>
    <w:basedOn w:val="1"/>
    <w:link w:val="77"/>
    <w:autoRedefine/>
    <w:qFormat/>
    <w:uiPriority w:val="0"/>
    <w:rPr>
      <w:sz w:val="18"/>
      <w:szCs w:val="18"/>
    </w:rPr>
  </w:style>
  <w:style w:type="paragraph" w:styleId="31">
    <w:name w:val="footer"/>
    <w:basedOn w:val="1"/>
    <w:link w:val="78"/>
    <w:autoRedefine/>
    <w:qFormat/>
    <w:uiPriority w:val="99"/>
    <w:pPr>
      <w:tabs>
        <w:tab w:val="center" w:pos="4153"/>
        <w:tab w:val="right" w:pos="8306"/>
      </w:tabs>
      <w:snapToGrid w:val="0"/>
      <w:jc w:val="left"/>
    </w:pPr>
    <w:rPr>
      <w:sz w:val="18"/>
      <w:szCs w:val="18"/>
    </w:rPr>
  </w:style>
  <w:style w:type="paragraph" w:styleId="32">
    <w:name w:val="header"/>
    <w:basedOn w:val="1"/>
    <w:link w:val="79"/>
    <w:autoRedefine/>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autoRedefine/>
    <w:qFormat/>
    <w:uiPriority w:val="0"/>
    <w:pPr>
      <w:ind w:left="4320"/>
    </w:pPr>
    <w:rPr>
      <w:rFonts w:eastAsia="楷体_GB2312"/>
      <w:szCs w:val="20"/>
    </w:rPr>
  </w:style>
  <w:style w:type="paragraph" w:styleId="34">
    <w:name w:val="toc 1"/>
    <w:basedOn w:val="1"/>
    <w:next w:val="1"/>
    <w:autoRedefine/>
    <w:qFormat/>
    <w:uiPriority w:val="39"/>
    <w:pPr>
      <w:spacing w:before="120" w:after="120"/>
      <w:jc w:val="left"/>
    </w:pPr>
    <w:rPr>
      <w:b/>
      <w:bCs/>
      <w:caps/>
    </w:rPr>
  </w:style>
  <w:style w:type="paragraph" w:styleId="35">
    <w:name w:val="toc 4"/>
    <w:basedOn w:val="1"/>
    <w:next w:val="1"/>
    <w:autoRedefine/>
    <w:qFormat/>
    <w:uiPriority w:val="0"/>
    <w:pPr>
      <w:ind w:left="630"/>
      <w:jc w:val="left"/>
    </w:pPr>
    <w:rPr>
      <w:szCs w:val="21"/>
    </w:rPr>
  </w:style>
  <w:style w:type="paragraph" w:styleId="36">
    <w:name w:val="index heading"/>
    <w:basedOn w:val="1"/>
    <w:next w:val="37"/>
    <w:autoRedefine/>
    <w:qFormat/>
    <w:uiPriority w:val="0"/>
    <w:rPr>
      <w:szCs w:val="20"/>
    </w:rPr>
  </w:style>
  <w:style w:type="paragraph" w:styleId="37">
    <w:name w:val="index 1"/>
    <w:basedOn w:val="1"/>
    <w:next w:val="1"/>
    <w:autoRedefine/>
    <w:qFormat/>
    <w:uiPriority w:val="0"/>
  </w:style>
  <w:style w:type="paragraph" w:styleId="38">
    <w:name w:val="footnote text"/>
    <w:basedOn w:val="1"/>
    <w:link w:val="463"/>
    <w:autoRedefine/>
    <w:qFormat/>
    <w:uiPriority w:val="0"/>
    <w:pPr>
      <w:snapToGrid w:val="0"/>
      <w:jc w:val="left"/>
    </w:pPr>
    <w:rPr>
      <w:sz w:val="18"/>
      <w:szCs w:val="18"/>
    </w:rPr>
  </w:style>
  <w:style w:type="paragraph" w:styleId="39">
    <w:name w:val="toc 6"/>
    <w:basedOn w:val="1"/>
    <w:next w:val="1"/>
    <w:autoRedefine/>
    <w:qFormat/>
    <w:uiPriority w:val="0"/>
    <w:pPr>
      <w:ind w:left="1050"/>
      <w:jc w:val="left"/>
    </w:pPr>
    <w:rPr>
      <w:szCs w:val="21"/>
    </w:rPr>
  </w:style>
  <w:style w:type="paragraph" w:styleId="40">
    <w:name w:val="Body Text Indent 3"/>
    <w:basedOn w:val="1"/>
    <w:link w:val="313"/>
    <w:autoRedefine/>
    <w:qFormat/>
    <w:uiPriority w:val="0"/>
    <w:pPr>
      <w:ind w:firstLine="426"/>
    </w:pPr>
    <w:rPr>
      <w:szCs w:val="20"/>
    </w:rPr>
  </w:style>
  <w:style w:type="paragraph" w:styleId="41">
    <w:name w:val="toc 2"/>
    <w:basedOn w:val="1"/>
    <w:next w:val="1"/>
    <w:autoRedefine/>
    <w:qFormat/>
    <w:uiPriority w:val="39"/>
    <w:pPr>
      <w:ind w:left="210"/>
      <w:jc w:val="left"/>
    </w:pPr>
    <w:rPr>
      <w:smallCaps/>
    </w:rPr>
  </w:style>
  <w:style w:type="paragraph" w:styleId="42">
    <w:name w:val="toc 9"/>
    <w:basedOn w:val="1"/>
    <w:next w:val="1"/>
    <w:autoRedefine/>
    <w:qFormat/>
    <w:uiPriority w:val="0"/>
    <w:pPr>
      <w:ind w:left="1680"/>
      <w:jc w:val="left"/>
    </w:pPr>
    <w:rPr>
      <w:szCs w:val="21"/>
    </w:rPr>
  </w:style>
  <w:style w:type="paragraph" w:styleId="43">
    <w:name w:val="Body Text 2"/>
    <w:basedOn w:val="1"/>
    <w:link w:val="306"/>
    <w:autoRedefine/>
    <w:qFormat/>
    <w:uiPriority w:val="0"/>
    <w:rPr>
      <w:sz w:val="28"/>
      <w:szCs w:val="20"/>
    </w:rPr>
  </w:style>
  <w:style w:type="paragraph" w:styleId="44">
    <w:name w:val="HTML Preformatted"/>
    <w:basedOn w:val="1"/>
    <w:link w:val="8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autoRedefine/>
    <w:qFormat/>
    <w:uiPriority w:val="99"/>
    <w:pPr>
      <w:widowControl/>
      <w:spacing w:before="100" w:beforeAutospacing="1" w:after="100" w:afterAutospacing="1"/>
      <w:jc w:val="left"/>
    </w:pPr>
    <w:rPr>
      <w:kern w:val="0"/>
      <w:sz w:val="24"/>
    </w:rPr>
  </w:style>
  <w:style w:type="paragraph" w:styleId="46">
    <w:name w:val="Title"/>
    <w:basedOn w:val="1"/>
    <w:link w:val="81"/>
    <w:autoRedefine/>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autoRedefine/>
    <w:qFormat/>
    <w:uiPriority w:val="0"/>
    <w:rPr>
      <w:b/>
      <w:bCs/>
    </w:rPr>
  </w:style>
  <w:style w:type="paragraph" w:styleId="48">
    <w:name w:val="Body Text First Indent"/>
    <w:basedOn w:val="20"/>
    <w:link w:val="72"/>
    <w:autoRedefine/>
    <w:qFormat/>
    <w:uiPriority w:val="0"/>
    <w:pPr>
      <w:ind w:firstLine="420" w:firstLineChars="100"/>
    </w:pPr>
  </w:style>
  <w:style w:type="paragraph" w:styleId="49">
    <w:name w:val="Body Text First Indent 2"/>
    <w:basedOn w:val="21"/>
    <w:link w:val="292"/>
    <w:autoRedefine/>
    <w:qFormat/>
    <w:uiPriority w:val="0"/>
    <w:pPr>
      <w:spacing w:after="160" w:line="360" w:lineRule="auto"/>
      <w:ind w:firstLine="480" w:firstLineChars="200"/>
    </w:pPr>
    <w:rPr>
      <w:kern w:val="0"/>
      <w:sz w:val="24"/>
    </w:rPr>
  </w:style>
  <w:style w:type="table" w:styleId="51">
    <w:name w:val="Table Grid"/>
    <w:basedOn w:val="5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autoRedefine/>
    <w:qFormat/>
    <w:uiPriority w:val="22"/>
    <w:rPr>
      <w:b/>
      <w:bCs/>
    </w:rPr>
  </w:style>
  <w:style w:type="character" w:styleId="54">
    <w:name w:val="page number"/>
    <w:basedOn w:val="52"/>
    <w:autoRedefine/>
    <w:qFormat/>
    <w:uiPriority w:val="0"/>
  </w:style>
  <w:style w:type="character" w:styleId="55">
    <w:name w:val="FollowedHyperlink"/>
    <w:basedOn w:val="52"/>
    <w:autoRedefine/>
    <w:unhideWhenUsed/>
    <w:qFormat/>
    <w:uiPriority w:val="0"/>
    <w:rPr>
      <w:color w:val="800080"/>
      <w:u w:val="single"/>
    </w:rPr>
  </w:style>
  <w:style w:type="character" w:styleId="56">
    <w:name w:val="Emphasis"/>
    <w:autoRedefine/>
    <w:qFormat/>
    <w:uiPriority w:val="20"/>
    <w:rPr>
      <w:i/>
      <w:iCs/>
    </w:rPr>
  </w:style>
  <w:style w:type="character" w:styleId="57">
    <w:name w:val="Hyperlink"/>
    <w:autoRedefine/>
    <w:qFormat/>
    <w:uiPriority w:val="99"/>
    <w:rPr>
      <w:color w:val="0000FF"/>
      <w:u w:val="single"/>
    </w:rPr>
  </w:style>
  <w:style w:type="character" w:styleId="58">
    <w:name w:val="annotation reference"/>
    <w:autoRedefine/>
    <w:qFormat/>
    <w:uiPriority w:val="0"/>
    <w:rPr>
      <w:sz w:val="21"/>
      <w:szCs w:val="21"/>
    </w:rPr>
  </w:style>
  <w:style w:type="character" w:customStyle="1" w:styleId="59">
    <w:name w:val="标题 3 Char"/>
    <w:basedOn w:val="52"/>
    <w:link w:val="4"/>
    <w:autoRedefine/>
    <w:qFormat/>
    <w:uiPriority w:val="0"/>
    <w:rPr>
      <w:b/>
      <w:bCs/>
      <w:kern w:val="2"/>
      <w:sz w:val="24"/>
      <w:szCs w:val="32"/>
    </w:rPr>
  </w:style>
  <w:style w:type="character" w:customStyle="1" w:styleId="60">
    <w:name w:val="标题 1 Char"/>
    <w:basedOn w:val="52"/>
    <w:link w:val="2"/>
    <w:autoRedefine/>
    <w:qFormat/>
    <w:uiPriority w:val="0"/>
    <w:rPr>
      <w:rFonts w:eastAsiaTheme="minorEastAsia"/>
      <w:b/>
      <w:kern w:val="44"/>
      <w:sz w:val="44"/>
      <w:szCs w:val="28"/>
    </w:rPr>
  </w:style>
  <w:style w:type="character" w:customStyle="1" w:styleId="61">
    <w:name w:val="标题 2 Char"/>
    <w:basedOn w:val="52"/>
    <w:link w:val="3"/>
    <w:autoRedefine/>
    <w:qFormat/>
    <w:uiPriority w:val="0"/>
    <w:rPr>
      <w:rFonts w:ascii="Arial" w:hAnsi="Arial" w:eastAsiaTheme="minorEastAsia"/>
      <w:b/>
      <w:bCs/>
      <w:kern w:val="2"/>
      <w:sz w:val="28"/>
      <w:szCs w:val="32"/>
    </w:rPr>
  </w:style>
  <w:style w:type="character" w:customStyle="1" w:styleId="62">
    <w:name w:val="标题 4 Char1"/>
    <w:basedOn w:val="52"/>
    <w:link w:val="5"/>
    <w:autoRedefine/>
    <w:qFormat/>
    <w:uiPriority w:val="99"/>
    <w:rPr>
      <w:rFonts w:ascii="Arial" w:hAnsi="Arial" w:eastAsia="黑体"/>
      <w:b/>
      <w:bCs/>
      <w:kern w:val="2"/>
      <w:sz w:val="28"/>
      <w:szCs w:val="28"/>
    </w:rPr>
  </w:style>
  <w:style w:type="character" w:customStyle="1" w:styleId="63">
    <w:name w:val="正文缩进 Char"/>
    <w:link w:val="7"/>
    <w:autoRedefine/>
    <w:qFormat/>
    <w:uiPriority w:val="0"/>
    <w:rPr>
      <w:rFonts w:eastAsia="宋体"/>
      <w:kern w:val="2"/>
      <w:sz w:val="21"/>
      <w:szCs w:val="24"/>
      <w:lang w:val="en-US" w:eastAsia="zh-CN" w:bidi="ar-SA"/>
    </w:rPr>
  </w:style>
  <w:style w:type="character" w:customStyle="1" w:styleId="64">
    <w:name w:val="标题 5 Char1"/>
    <w:basedOn w:val="52"/>
    <w:link w:val="6"/>
    <w:autoRedefine/>
    <w:qFormat/>
    <w:uiPriority w:val="0"/>
    <w:rPr>
      <w:b/>
      <w:kern w:val="2"/>
      <w:sz w:val="28"/>
      <w:szCs w:val="24"/>
    </w:rPr>
  </w:style>
  <w:style w:type="character" w:customStyle="1" w:styleId="65">
    <w:name w:val="标题 6 Char1"/>
    <w:basedOn w:val="52"/>
    <w:link w:val="8"/>
    <w:autoRedefine/>
    <w:qFormat/>
    <w:uiPriority w:val="9"/>
    <w:rPr>
      <w:rFonts w:ascii="Arial" w:hAnsi="Arial" w:eastAsia="黑体"/>
      <w:b/>
      <w:kern w:val="2"/>
      <w:sz w:val="24"/>
      <w:szCs w:val="24"/>
    </w:rPr>
  </w:style>
  <w:style w:type="character" w:customStyle="1" w:styleId="66">
    <w:name w:val="标题 7 Char1"/>
    <w:basedOn w:val="52"/>
    <w:link w:val="9"/>
    <w:autoRedefine/>
    <w:qFormat/>
    <w:uiPriority w:val="9"/>
    <w:rPr>
      <w:b/>
      <w:kern w:val="2"/>
      <w:sz w:val="24"/>
      <w:szCs w:val="24"/>
    </w:rPr>
  </w:style>
  <w:style w:type="character" w:customStyle="1" w:styleId="67">
    <w:name w:val="标题 8 Char1"/>
    <w:basedOn w:val="52"/>
    <w:link w:val="10"/>
    <w:autoRedefine/>
    <w:qFormat/>
    <w:uiPriority w:val="9"/>
    <w:rPr>
      <w:rFonts w:ascii="Arial" w:hAnsi="Arial" w:eastAsia="黑体"/>
      <w:kern w:val="2"/>
      <w:sz w:val="24"/>
      <w:szCs w:val="24"/>
    </w:rPr>
  </w:style>
  <w:style w:type="character" w:customStyle="1" w:styleId="68">
    <w:name w:val="标题 9 Char1"/>
    <w:basedOn w:val="52"/>
    <w:link w:val="11"/>
    <w:autoRedefine/>
    <w:qFormat/>
    <w:uiPriority w:val="0"/>
    <w:rPr>
      <w:rFonts w:ascii="Arial" w:hAnsi="Arial" w:eastAsia="黑体"/>
      <w:kern w:val="2"/>
      <w:sz w:val="21"/>
      <w:szCs w:val="24"/>
    </w:rPr>
  </w:style>
  <w:style w:type="character" w:customStyle="1" w:styleId="69">
    <w:name w:val="批注文字 Char"/>
    <w:link w:val="18"/>
    <w:autoRedefine/>
    <w:qFormat/>
    <w:uiPriority w:val="0"/>
    <w:rPr>
      <w:kern w:val="2"/>
      <w:sz w:val="21"/>
      <w:szCs w:val="24"/>
    </w:rPr>
  </w:style>
  <w:style w:type="character" w:customStyle="1" w:styleId="70">
    <w:name w:val="批注主题 Char"/>
    <w:basedOn w:val="69"/>
    <w:link w:val="47"/>
    <w:autoRedefine/>
    <w:qFormat/>
    <w:uiPriority w:val="0"/>
    <w:rPr>
      <w:b/>
      <w:bCs/>
      <w:kern w:val="2"/>
      <w:sz w:val="21"/>
      <w:szCs w:val="24"/>
    </w:rPr>
  </w:style>
  <w:style w:type="character" w:customStyle="1" w:styleId="71">
    <w:name w:val="正文文本 Char"/>
    <w:basedOn w:val="52"/>
    <w:link w:val="20"/>
    <w:autoRedefine/>
    <w:qFormat/>
    <w:uiPriority w:val="0"/>
    <w:rPr>
      <w:kern w:val="2"/>
      <w:sz w:val="21"/>
      <w:szCs w:val="24"/>
    </w:rPr>
  </w:style>
  <w:style w:type="character" w:customStyle="1" w:styleId="72">
    <w:name w:val="正文首行缩进 Char"/>
    <w:link w:val="48"/>
    <w:autoRedefine/>
    <w:qFormat/>
    <w:uiPriority w:val="0"/>
    <w:rPr>
      <w:rFonts w:eastAsia="宋体"/>
      <w:kern w:val="2"/>
      <w:sz w:val="21"/>
      <w:szCs w:val="24"/>
      <w:lang w:val="en-US" w:eastAsia="zh-CN" w:bidi="ar-SA"/>
    </w:rPr>
  </w:style>
  <w:style w:type="character" w:customStyle="1" w:styleId="73">
    <w:name w:val="文档结构图 Char"/>
    <w:basedOn w:val="52"/>
    <w:link w:val="17"/>
    <w:autoRedefine/>
    <w:qFormat/>
    <w:uiPriority w:val="0"/>
    <w:rPr>
      <w:kern w:val="2"/>
      <w:sz w:val="21"/>
      <w:szCs w:val="24"/>
      <w:shd w:val="clear" w:color="auto" w:fill="000080"/>
    </w:rPr>
  </w:style>
  <w:style w:type="character" w:customStyle="1" w:styleId="74">
    <w:name w:val="正文文本缩进 Char1"/>
    <w:basedOn w:val="52"/>
    <w:link w:val="21"/>
    <w:autoRedefine/>
    <w:qFormat/>
    <w:uiPriority w:val="0"/>
    <w:rPr>
      <w:kern w:val="2"/>
      <w:sz w:val="21"/>
      <w:szCs w:val="24"/>
    </w:rPr>
  </w:style>
  <w:style w:type="character" w:customStyle="1" w:styleId="75">
    <w:name w:val="纯文本 Char"/>
    <w:link w:val="26"/>
    <w:autoRedefine/>
    <w:qFormat/>
    <w:uiPriority w:val="0"/>
    <w:rPr>
      <w:rFonts w:ascii="宋体" w:hAnsi="Courier New" w:eastAsia="宋体"/>
      <w:kern w:val="2"/>
      <w:sz w:val="21"/>
      <w:lang w:val="en-US" w:eastAsia="zh-CN" w:bidi="ar-SA"/>
    </w:rPr>
  </w:style>
  <w:style w:type="character" w:customStyle="1" w:styleId="76">
    <w:name w:val="正文文本缩进 2 Char1"/>
    <w:link w:val="29"/>
    <w:autoRedefine/>
    <w:qFormat/>
    <w:uiPriority w:val="0"/>
    <w:rPr>
      <w:kern w:val="2"/>
      <w:sz w:val="21"/>
      <w:szCs w:val="24"/>
    </w:rPr>
  </w:style>
  <w:style w:type="character" w:customStyle="1" w:styleId="77">
    <w:name w:val="批注框文本 Char"/>
    <w:basedOn w:val="52"/>
    <w:link w:val="30"/>
    <w:autoRedefine/>
    <w:qFormat/>
    <w:uiPriority w:val="99"/>
    <w:rPr>
      <w:kern w:val="2"/>
      <w:sz w:val="18"/>
      <w:szCs w:val="18"/>
    </w:rPr>
  </w:style>
  <w:style w:type="character" w:customStyle="1" w:styleId="78">
    <w:name w:val="页脚 Char"/>
    <w:basedOn w:val="52"/>
    <w:link w:val="31"/>
    <w:autoRedefine/>
    <w:qFormat/>
    <w:uiPriority w:val="99"/>
    <w:rPr>
      <w:kern w:val="2"/>
      <w:sz w:val="18"/>
      <w:szCs w:val="18"/>
    </w:rPr>
  </w:style>
  <w:style w:type="character" w:customStyle="1" w:styleId="79">
    <w:name w:val="页眉 Char"/>
    <w:link w:val="32"/>
    <w:autoRedefine/>
    <w:qFormat/>
    <w:uiPriority w:val="99"/>
    <w:rPr>
      <w:kern w:val="2"/>
      <w:sz w:val="18"/>
      <w:szCs w:val="18"/>
    </w:rPr>
  </w:style>
  <w:style w:type="character" w:customStyle="1" w:styleId="80">
    <w:name w:val="HTML 预设格式 Char1"/>
    <w:link w:val="44"/>
    <w:autoRedefine/>
    <w:qFormat/>
    <w:uiPriority w:val="0"/>
    <w:rPr>
      <w:rFonts w:ascii="宋体" w:hAnsi="宋体" w:cs="宋体"/>
      <w:sz w:val="24"/>
      <w:szCs w:val="24"/>
    </w:rPr>
  </w:style>
  <w:style w:type="character" w:customStyle="1" w:styleId="81">
    <w:name w:val="标题 Char"/>
    <w:link w:val="46"/>
    <w:autoRedefine/>
    <w:qFormat/>
    <w:uiPriority w:val="0"/>
    <w:rPr>
      <w:rFonts w:ascii="Arial" w:hAnsi="Arial" w:eastAsia="隶书" w:cs="Arial"/>
      <w:b/>
      <w:bCs/>
      <w:kern w:val="2"/>
      <w:sz w:val="32"/>
      <w:szCs w:val="32"/>
    </w:rPr>
  </w:style>
  <w:style w:type="paragraph" w:customStyle="1" w:styleId="82">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autoRedefine/>
    <w:qFormat/>
    <w:uiPriority w:val="0"/>
    <w:pPr>
      <w:spacing w:line="360" w:lineRule="auto"/>
      <w:ind w:firstLine="516" w:firstLineChars="215"/>
    </w:pPr>
    <w:rPr>
      <w:sz w:val="24"/>
      <w:szCs w:val="20"/>
    </w:rPr>
  </w:style>
  <w:style w:type="character" w:customStyle="1" w:styleId="84">
    <w:name w:val="样式1 Char Char Char"/>
    <w:link w:val="83"/>
    <w:autoRedefine/>
    <w:qFormat/>
    <w:uiPriority w:val="0"/>
    <w:rPr>
      <w:rFonts w:eastAsia="宋体"/>
      <w:kern w:val="2"/>
      <w:sz w:val="24"/>
      <w:lang w:val="en-US" w:eastAsia="zh-CN" w:bidi="ar-SA"/>
    </w:rPr>
  </w:style>
  <w:style w:type="paragraph" w:customStyle="1" w:styleId="85">
    <w:name w:val="样式1"/>
    <w:basedOn w:val="46"/>
    <w:link w:val="86"/>
    <w:autoRedefine/>
    <w:qFormat/>
    <w:uiPriority w:val="0"/>
    <w:pPr>
      <w:spacing w:before="120" w:after="120"/>
    </w:pPr>
    <w:rPr>
      <w:rFonts w:eastAsia="黑体" w:cs="Arial"/>
      <w:b w:val="0"/>
      <w:sz w:val="30"/>
      <w:szCs w:val="21"/>
    </w:rPr>
  </w:style>
  <w:style w:type="character" w:customStyle="1" w:styleId="86">
    <w:name w:val="样式1 Char"/>
    <w:link w:val="85"/>
    <w:autoRedefine/>
    <w:qFormat/>
    <w:uiPriority w:val="0"/>
    <w:rPr>
      <w:rFonts w:ascii="Arial" w:hAnsi="Arial" w:eastAsia="黑体" w:cs="Arial"/>
      <w:bCs/>
      <w:kern w:val="2"/>
      <w:sz w:val="30"/>
      <w:szCs w:val="21"/>
      <w:lang w:val="en-US" w:eastAsia="zh-CN" w:bidi="ar-SA"/>
    </w:rPr>
  </w:style>
  <w:style w:type="paragraph" w:customStyle="1" w:styleId="87">
    <w:name w:val="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autoRedefine/>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autoRedefine/>
    <w:qFormat/>
    <w:uiPriority w:val="0"/>
    <w:rPr>
      <w:rFonts w:ascii="仿宋_GB2312" w:eastAsia="仿宋_GB2312"/>
      <w:b/>
      <w:sz w:val="32"/>
      <w:szCs w:val="32"/>
    </w:rPr>
  </w:style>
  <w:style w:type="character" w:customStyle="1" w:styleId="91">
    <w:name w:val="tpc_title1"/>
    <w:autoRedefine/>
    <w:qFormat/>
    <w:uiPriority w:val="0"/>
    <w:rPr>
      <w:b/>
      <w:bCs/>
      <w:sz w:val="18"/>
      <w:szCs w:val="18"/>
    </w:rPr>
  </w:style>
  <w:style w:type="character" w:customStyle="1" w:styleId="92">
    <w:name w:val="tpc_content1"/>
    <w:autoRedefine/>
    <w:qFormat/>
    <w:uiPriority w:val="0"/>
    <w:rPr>
      <w:sz w:val="20"/>
      <w:szCs w:val="20"/>
    </w:rPr>
  </w:style>
  <w:style w:type="paragraph" w:customStyle="1" w:styleId="93">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autoRedefine/>
    <w:qFormat/>
    <w:uiPriority w:val="0"/>
    <w:pPr>
      <w:ind w:firstLine="420" w:firstLineChars="200"/>
    </w:pPr>
  </w:style>
  <w:style w:type="character" w:customStyle="1" w:styleId="95">
    <w:name w:val="列表段落 字符"/>
    <w:link w:val="94"/>
    <w:autoRedefine/>
    <w:qFormat/>
    <w:uiPriority w:val="0"/>
    <w:rPr>
      <w:kern w:val="2"/>
      <w:sz w:val="21"/>
      <w:szCs w:val="24"/>
    </w:rPr>
  </w:style>
  <w:style w:type="paragraph" w:customStyle="1" w:styleId="96">
    <w:name w:val="正文1"/>
    <w:basedOn w:val="1"/>
    <w:autoRedefine/>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autoRedefine/>
    <w:qFormat/>
    <w:uiPriority w:val="0"/>
    <w:pPr>
      <w:spacing w:line="360" w:lineRule="auto"/>
      <w:ind w:firstLine="200" w:firstLineChars="200"/>
    </w:pPr>
    <w:rPr>
      <w:rFonts w:ascii="Tahoma" w:hAnsi="Tahoma"/>
      <w:sz w:val="24"/>
    </w:rPr>
  </w:style>
  <w:style w:type="paragraph" w:customStyle="1" w:styleId="98">
    <w:name w:val="缩进正文"/>
    <w:basedOn w:val="1"/>
    <w:link w:val="99"/>
    <w:autoRedefine/>
    <w:qFormat/>
    <w:uiPriority w:val="0"/>
    <w:pPr>
      <w:ind w:firstLine="560" w:firstLineChars="200"/>
    </w:pPr>
    <w:rPr>
      <w:rFonts w:eastAsia="仿宋_GB2312" w:cs="宋体"/>
      <w:sz w:val="28"/>
      <w:szCs w:val="20"/>
    </w:rPr>
  </w:style>
  <w:style w:type="character" w:customStyle="1" w:styleId="99">
    <w:name w:val="缩进正文 Char"/>
    <w:link w:val="98"/>
    <w:autoRedefine/>
    <w:qFormat/>
    <w:uiPriority w:val="0"/>
    <w:rPr>
      <w:rFonts w:eastAsia="仿宋_GB2312" w:cs="宋体"/>
      <w:kern w:val="2"/>
      <w:sz w:val="28"/>
      <w:lang w:val="en-US" w:eastAsia="zh-CN" w:bidi="ar-SA"/>
    </w:rPr>
  </w:style>
  <w:style w:type="character" w:customStyle="1" w:styleId="100">
    <w:name w:val="访问过的超链接1"/>
    <w:autoRedefine/>
    <w:qFormat/>
    <w:uiPriority w:val="0"/>
    <w:rPr>
      <w:color w:val="800080"/>
      <w:u w:val="single"/>
    </w:rPr>
  </w:style>
  <w:style w:type="paragraph" w:customStyle="1" w:styleId="101">
    <w:name w:val="Char Char Char Char Char Char Char"/>
    <w:basedOn w:val="1"/>
    <w:autoRedefine/>
    <w:qFormat/>
    <w:uiPriority w:val="0"/>
    <w:pPr>
      <w:widowControl/>
      <w:adjustRightInd w:val="0"/>
      <w:spacing w:after="160" w:line="240" w:lineRule="exact"/>
      <w:jc w:val="left"/>
      <w:textAlignment w:val="baseline"/>
    </w:pPr>
  </w:style>
  <w:style w:type="character" w:customStyle="1" w:styleId="102">
    <w:name w:val="正文缩进 Char1"/>
    <w:autoRedefine/>
    <w:qFormat/>
    <w:uiPriority w:val="0"/>
    <w:rPr>
      <w:rFonts w:eastAsia="宋体"/>
      <w:kern w:val="2"/>
      <w:sz w:val="21"/>
      <w:lang w:val="en-US" w:eastAsia="zh-CN" w:bidi="ar-SA"/>
    </w:rPr>
  </w:style>
  <w:style w:type="paragraph" w:customStyle="1" w:styleId="103">
    <w:name w:val="Default"/>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autoRedefine/>
    <w:unhideWhenUsed/>
    <w:qFormat/>
    <w:uiPriority w:val="34"/>
    <w:pPr>
      <w:ind w:firstLine="420" w:firstLineChars="200"/>
    </w:pPr>
  </w:style>
  <w:style w:type="paragraph" w:customStyle="1" w:styleId="105">
    <w:name w:val="Table Paragraph"/>
    <w:basedOn w:val="1"/>
    <w:autoRedefine/>
    <w:qFormat/>
    <w:uiPriority w:val="0"/>
    <w:pPr>
      <w:autoSpaceDE w:val="0"/>
      <w:autoSpaceDN w:val="0"/>
      <w:adjustRightInd w:val="0"/>
      <w:jc w:val="left"/>
    </w:pPr>
    <w:rPr>
      <w:rFonts w:ascii="宋体" w:hAnsi="宋体" w:cs="宋体"/>
      <w:kern w:val="0"/>
      <w:sz w:val="24"/>
    </w:rPr>
  </w:style>
  <w:style w:type="character" w:customStyle="1" w:styleId="106">
    <w:name w:val="font11"/>
    <w:basedOn w:val="52"/>
    <w:autoRedefine/>
    <w:qFormat/>
    <w:uiPriority w:val="0"/>
    <w:rPr>
      <w:rFonts w:hint="eastAsia" w:ascii="宋体" w:hAnsi="宋体" w:eastAsia="宋体" w:cs="宋体"/>
      <w:b/>
      <w:color w:val="000000"/>
      <w:sz w:val="21"/>
      <w:szCs w:val="21"/>
      <w:u w:val="none"/>
    </w:rPr>
  </w:style>
  <w:style w:type="character" w:customStyle="1" w:styleId="107">
    <w:name w:val="批注文字 Char1"/>
    <w:autoRedefine/>
    <w:qFormat/>
    <w:locked/>
    <w:uiPriority w:val="0"/>
    <w:rPr>
      <w:rFonts w:ascii="Calibri" w:hAnsi="Calibri" w:eastAsia="宋体" w:cs="Calibri"/>
      <w:szCs w:val="21"/>
    </w:rPr>
  </w:style>
  <w:style w:type="character" w:customStyle="1" w:styleId="108">
    <w:name w:val="title1"/>
    <w:autoRedefine/>
    <w:qFormat/>
    <w:uiPriority w:val="0"/>
    <w:rPr>
      <w:rFonts w:hint="eastAsia" w:ascii="微软雅黑" w:hAnsi="微软雅黑" w:eastAsia="微软雅黑"/>
      <w:sz w:val="21"/>
      <w:szCs w:val="21"/>
    </w:rPr>
  </w:style>
  <w:style w:type="character" w:customStyle="1" w:styleId="109">
    <w:name w:val="sect2title1"/>
    <w:autoRedefine/>
    <w:qFormat/>
    <w:uiPriority w:val="0"/>
    <w:rPr>
      <w:rFonts w:hint="eastAsia" w:ascii="微软雅黑" w:hAnsi="微软雅黑" w:eastAsia="微软雅黑"/>
      <w:b/>
      <w:bCs/>
      <w:sz w:val="21"/>
      <w:szCs w:val="21"/>
    </w:rPr>
  </w:style>
  <w:style w:type="paragraph" w:customStyle="1" w:styleId="110">
    <w:name w:val="标题1"/>
    <w:basedOn w:val="1"/>
    <w:autoRedefine/>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autoRedefine/>
    <w:qFormat/>
    <w:uiPriority w:val="0"/>
    <w:rPr>
      <w:rFonts w:ascii="Tahoma" w:hAnsi="Tahoma" w:eastAsia="Tahoma" w:cs="Tahoma"/>
      <w:color w:val="000000"/>
      <w:sz w:val="20"/>
      <w:szCs w:val="20"/>
      <w:u w:val="none"/>
    </w:rPr>
  </w:style>
  <w:style w:type="paragraph" w:customStyle="1" w:styleId="112">
    <w:name w:val="font5"/>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autoRedefine/>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autoRedefine/>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autoRedefine/>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autoRedefine/>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autoRedefine/>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autoRedefine/>
    <w:qFormat/>
    <w:uiPriority w:val="0"/>
    <w:rPr>
      <w:rFonts w:hint="eastAsia" w:ascii="仿宋_GB2312" w:eastAsia="仿宋_GB2312" w:cs="仿宋_GB2312"/>
      <w:color w:val="000000"/>
      <w:sz w:val="20"/>
      <w:szCs w:val="20"/>
      <w:u w:val="none"/>
    </w:rPr>
  </w:style>
  <w:style w:type="character" w:customStyle="1" w:styleId="167">
    <w:name w:val="font31"/>
    <w:basedOn w:val="52"/>
    <w:autoRedefine/>
    <w:qFormat/>
    <w:uiPriority w:val="0"/>
    <w:rPr>
      <w:rFonts w:hint="default" w:ascii="Symbol" w:hAnsi="Symbol" w:cs="Symbol"/>
      <w:color w:val="000000"/>
      <w:sz w:val="20"/>
      <w:szCs w:val="20"/>
      <w:u w:val="none"/>
    </w:rPr>
  </w:style>
  <w:style w:type="character" w:customStyle="1" w:styleId="168">
    <w:name w:val="font71"/>
    <w:basedOn w:val="52"/>
    <w:autoRedefine/>
    <w:qFormat/>
    <w:uiPriority w:val="0"/>
    <w:rPr>
      <w:rFonts w:ascii="Arial" w:hAnsi="Arial" w:cs="Arial"/>
      <w:color w:val="000000"/>
      <w:sz w:val="20"/>
      <w:szCs w:val="20"/>
      <w:u w:val="none"/>
    </w:rPr>
  </w:style>
  <w:style w:type="character" w:customStyle="1" w:styleId="169">
    <w:name w:val="font21"/>
    <w:basedOn w:val="52"/>
    <w:autoRedefine/>
    <w:qFormat/>
    <w:uiPriority w:val="0"/>
    <w:rPr>
      <w:rFonts w:hint="default" w:ascii="Symbol" w:hAnsi="Symbol" w:cs="Symbol"/>
      <w:color w:val="000000"/>
      <w:sz w:val="20"/>
      <w:szCs w:val="20"/>
      <w:u w:val="none"/>
    </w:rPr>
  </w:style>
  <w:style w:type="character" w:customStyle="1" w:styleId="170">
    <w:name w:val="font91"/>
    <w:basedOn w:val="52"/>
    <w:autoRedefine/>
    <w:qFormat/>
    <w:uiPriority w:val="0"/>
    <w:rPr>
      <w:rFonts w:ascii="Arial" w:hAnsi="Arial" w:cs="Arial"/>
      <w:color w:val="000000"/>
      <w:sz w:val="20"/>
      <w:szCs w:val="20"/>
      <w:u w:val="none"/>
    </w:rPr>
  </w:style>
  <w:style w:type="character" w:customStyle="1" w:styleId="171">
    <w:name w:val="font51"/>
    <w:basedOn w:val="52"/>
    <w:autoRedefine/>
    <w:qFormat/>
    <w:uiPriority w:val="0"/>
    <w:rPr>
      <w:rFonts w:ascii="仿宋" w:hAnsi="仿宋" w:eastAsia="仿宋" w:cs="仿宋"/>
      <w:color w:val="000000"/>
      <w:sz w:val="21"/>
      <w:szCs w:val="21"/>
      <w:u w:val="none"/>
    </w:rPr>
  </w:style>
  <w:style w:type="character" w:customStyle="1" w:styleId="172">
    <w:name w:val="font101"/>
    <w:basedOn w:val="52"/>
    <w:autoRedefine/>
    <w:qFormat/>
    <w:uiPriority w:val="0"/>
    <w:rPr>
      <w:rFonts w:hint="eastAsia" w:ascii="仿宋_GB2312" w:eastAsia="仿宋_GB2312" w:cs="仿宋_GB2312"/>
      <w:color w:val="000000"/>
      <w:sz w:val="20"/>
      <w:szCs w:val="20"/>
      <w:u w:val="none"/>
    </w:rPr>
  </w:style>
  <w:style w:type="character" w:customStyle="1" w:styleId="173">
    <w:name w:val="font61"/>
    <w:basedOn w:val="52"/>
    <w:autoRedefine/>
    <w:qFormat/>
    <w:uiPriority w:val="0"/>
    <w:rPr>
      <w:rFonts w:hint="eastAsia" w:ascii="宋体" w:hAnsi="宋体" w:eastAsia="宋体" w:cs="宋体"/>
      <w:color w:val="000000"/>
      <w:sz w:val="20"/>
      <w:szCs w:val="20"/>
      <w:u w:val="none"/>
    </w:rPr>
  </w:style>
  <w:style w:type="character" w:customStyle="1" w:styleId="174">
    <w:name w:val="font81"/>
    <w:basedOn w:val="52"/>
    <w:autoRedefine/>
    <w:qFormat/>
    <w:uiPriority w:val="0"/>
    <w:rPr>
      <w:rFonts w:hint="eastAsia" w:ascii="仿宋" w:hAnsi="仿宋" w:eastAsia="仿宋" w:cs="仿宋"/>
      <w:color w:val="000000"/>
      <w:sz w:val="21"/>
      <w:szCs w:val="21"/>
      <w:u w:val="none"/>
    </w:rPr>
  </w:style>
  <w:style w:type="character" w:customStyle="1" w:styleId="175">
    <w:name w:val="font111"/>
    <w:basedOn w:val="52"/>
    <w:autoRedefine/>
    <w:qFormat/>
    <w:uiPriority w:val="0"/>
    <w:rPr>
      <w:rFonts w:hint="eastAsia" w:ascii="仿宋_GB2312" w:eastAsia="仿宋_GB2312" w:cs="仿宋_GB2312"/>
      <w:color w:val="000000"/>
      <w:sz w:val="21"/>
      <w:szCs w:val="21"/>
      <w:u w:val="none"/>
    </w:rPr>
  </w:style>
  <w:style w:type="character" w:customStyle="1" w:styleId="176">
    <w:name w:val="font121"/>
    <w:basedOn w:val="52"/>
    <w:autoRedefine/>
    <w:qFormat/>
    <w:uiPriority w:val="0"/>
    <w:rPr>
      <w:rFonts w:ascii="Arial" w:hAnsi="Arial" w:cs="Arial"/>
      <w:color w:val="000000"/>
      <w:sz w:val="20"/>
      <w:szCs w:val="20"/>
      <w:u w:val="none"/>
    </w:rPr>
  </w:style>
  <w:style w:type="character" w:customStyle="1" w:styleId="177">
    <w:name w:val="font112"/>
    <w:basedOn w:val="52"/>
    <w:autoRedefine/>
    <w:qFormat/>
    <w:uiPriority w:val="0"/>
    <w:rPr>
      <w:rFonts w:hint="eastAsia" w:ascii="仿宋_GB2312" w:eastAsia="仿宋_GB2312" w:cs="仿宋_GB2312"/>
      <w:color w:val="000000"/>
      <w:sz w:val="21"/>
      <w:szCs w:val="21"/>
      <w:u w:val="none"/>
    </w:rPr>
  </w:style>
  <w:style w:type="paragraph" w:customStyle="1" w:styleId="178">
    <w:name w:val="xl29164"/>
    <w:basedOn w:val="1"/>
    <w:autoRedefine/>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autoRedefine/>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autoRedefine/>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autoRedefine/>
    <w:qFormat/>
    <w:uiPriority w:val="0"/>
    <w:pPr>
      <w:spacing w:beforeLines="50"/>
      <w:ind w:firstLine="200" w:firstLineChars="200"/>
    </w:pPr>
    <w:rPr>
      <w:rFonts w:ascii="Calibri" w:hAnsi="Calibri" w:eastAsia="华文仿宋"/>
      <w:szCs w:val="22"/>
    </w:rPr>
  </w:style>
  <w:style w:type="paragraph" w:customStyle="1" w:styleId="256">
    <w:name w:val="正文A缩进"/>
    <w:basedOn w:val="1"/>
    <w:autoRedefine/>
    <w:qFormat/>
    <w:uiPriority w:val="0"/>
    <w:pPr>
      <w:spacing w:line="360" w:lineRule="auto"/>
      <w:ind w:firstLine="200" w:firstLineChars="200"/>
    </w:pPr>
    <w:rPr>
      <w:kern w:val="0"/>
      <w:sz w:val="28"/>
      <w:szCs w:val="20"/>
    </w:rPr>
  </w:style>
  <w:style w:type="paragraph" w:customStyle="1" w:styleId="257">
    <w:name w:val="_Style 1"/>
    <w:next w:val="1"/>
    <w:autoRedefine/>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autoRedefine/>
    <w:qFormat/>
    <w:uiPriority w:val="0"/>
    <w:rPr>
      <w:b/>
      <w:bCs/>
      <w:kern w:val="2"/>
      <w:sz w:val="28"/>
      <w:szCs w:val="28"/>
    </w:rPr>
  </w:style>
  <w:style w:type="character" w:customStyle="1" w:styleId="259">
    <w:name w:val="标题 6 Char"/>
    <w:basedOn w:val="52"/>
    <w:autoRedefine/>
    <w:qFormat/>
    <w:uiPriority w:val="9"/>
    <w:rPr>
      <w:rFonts w:asciiTheme="majorHAnsi" w:hAnsiTheme="majorHAnsi" w:eastAsiaTheme="majorEastAsia" w:cstheme="majorBidi"/>
      <w:b/>
      <w:bCs/>
      <w:kern w:val="2"/>
      <w:sz w:val="24"/>
      <w:szCs w:val="24"/>
    </w:rPr>
  </w:style>
  <w:style w:type="character" w:customStyle="1" w:styleId="260">
    <w:name w:val="标题 7 Char"/>
    <w:basedOn w:val="52"/>
    <w:autoRedefine/>
    <w:qFormat/>
    <w:uiPriority w:val="9"/>
    <w:rPr>
      <w:b/>
      <w:bCs/>
      <w:kern w:val="2"/>
      <w:sz w:val="24"/>
      <w:szCs w:val="24"/>
    </w:rPr>
  </w:style>
  <w:style w:type="character" w:customStyle="1" w:styleId="261">
    <w:name w:val="标题 8 Char"/>
    <w:basedOn w:val="52"/>
    <w:autoRedefine/>
    <w:qFormat/>
    <w:uiPriority w:val="9"/>
    <w:rPr>
      <w:rFonts w:asciiTheme="majorHAnsi" w:hAnsiTheme="majorHAnsi" w:eastAsiaTheme="majorEastAsia" w:cstheme="majorBidi"/>
      <w:kern w:val="2"/>
      <w:sz w:val="24"/>
      <w:szCs w:val="24"/>
    </w:rPr>
  </w:style>
  <w:style w:type="character" w:customStyle="1" w:styleId="262">
    <w:name w:val="标题 9 Char"/>
    <w:basedOn w:val="52"/>
    <w:autoRedefine/>
    <w:qFormat/>
    <w:uiPriority w:val="0"/>
    <w:rPr>
      <w:rFonts w:asciiTheme="majorHAnsi" w:hAnsiTheme="majorHAnsi" w:eastAsiaTheme="majorEastAsia" w:cstheme="majorBidi"/>
      <w:kern w:val="2"/>
      <w:sz w:val="21"/>
      <w:szCs w:val="21"/>
    </w:rPr>
  </w:style>
  <w:style w:type="paragraph" w:customStyle="1" w:styleId="263">
    <w:name w:val="！表格内容"/>
    <w:basedOn w:val="1"/>
    <w:autoRedefine/>
    <w:qFormat/>
    <w:uiPriority w:val="0"/>
    <w:pPr>
      <w:spacing w:line="320" w:lineRule="atLeast"/>
    </w:pPr>
  </w:style>
  <w:style w:type="character" w:customStyle="1" w:styleId="264">
    <w:name w:val="页眉 Char2"/>
    <w:basedOn w:val="52"/>
    <w:autoRedefine/>
    <w:qFormat/>
    <w:uiPriority w:val="99"/>
    <w:rPr>
      <w:rFonts w:ascii="Times New Roman" w:hAnsi="Times New Roman" w:eastAsia="宋体" w:cs="Times New Roman"/>
      <w:sz w:val="18"/>
      <w:szCs w:val="18"/>
    </w:rPr>
  </w:style>
  <w:style w:type="character" w:customStyle="1" w:styleId="265">
    <w:name w:val="页脚 Char1"/>
    <w:basedOn w:val="52"/>
    <w:autoRedefine/>
    <w:qFormat/>
    <w:uiPriority w:val="99"/>
    <w:rPr>
      <w:rFonts w:ascii="Times New Roman" w:hAnsi="Times New Roman" w:eastAsia="宋体" w:cs="Times New Roman"/>
      <w:sz w:val="18"/>
      <w:szCs w:val="18"/>
    </w:rPr>
  </w:style>
  <w:style w:type="paragraph" w:customStyle="1" w:styleId="266">
    <w:name w:val="Ｒ03－xoL"/>
    <w:next w:val="1"/>
    <w:autoRedefine/>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autoRedefine/>
    <w:qFormat/>
    <w:uiPriority w:val="99"/>
    <w:rPr>
      <w:rFonts w:ascii="Times New Roman" w:hAnsi="Times New Roman" w:eastAsia="宋体" w:cs="Times New Roman"/>
      <w:szCs w:val="24"/>
    </w:rPr>
  </w:style>
  <w:style w:type="character" w:customStyle="1" w:styleId="268">
    <w:name w:val="文档结构图 Char1"/>
    <w:basedOn w:val="52"/>
    <w:autoRedefine/>
    <w:qFormat/>
    <w:uiPriority w:val="0"/>
    <w:rPr>
      <w:rFonts w:ascii="宋体" w:hAnsi="Times New Roman" w:eastAsia="宋体" w:cs="Times New Roman"/>
      <w:sz w:val="18"/>
      <w:szCs w:val="18"/>
    </w:rPr>
  </w:style>
  <w:style w:type="character" w:customStyle="1" w:styleId="269">
    <w:name w:val="批注主题 Char1"/>
    <w:basedOn w:val="107"/>
    <w:autoRedefine/>
    <w:qFormat/>
    <w:uiPriority w:val="0"/>
    <w:rPr>
      <w:rFonts w:ascii="Times New Roman" w:hAnsi="Times New Roman" w:eastAsia="宋体" w:cs="Times New Roman"/>
      <w:b/>
      <w:bCs/>
      <w:szCs w:val="24"/>
    </w:rPr>
  </w:style>
  <w:style w:type="character" w:customStyle="1" w:styleId="270">
    <w:name w:val="批注框文本 Char1"/>
    <w:basedOn w:val="52"/>
    <w:autoRedefine/>
    <w:qFormat/>
    <w:uiPriority w:val="0"/>
    <w:rPr>
      <w:rFonts w:ascii="Times New Roman" w:hAnsi="Times New Roman" w:eastAsia="宋体" w:cs="Times New Roman"/>
      <w:sz w:val="18"/>
      <w:szCs w:val="18"/>
    </w:rPr>
  </w:style>
  <w:style w:type="character" w:customStyle="1" w:styleId="271">
    <w:name w:val="标题 1 Char1"/>
    <w:basedOn w:val="52"/>
    <w:autoRedefine/>
    <w:qFormat/>
    <w:uiPriority w:val="0"/>
    <w:rPr>
      <w:b/>
      <w:bCs/>
      <w:kern w:val="44"/>
      <w:sz w:val="44"/>
      <w:szCs w:val="44"/>
    </w:rPr>
  </w:style>
  <w:style w:type="character" w:customStyle="1" w:styleId="272">
    <w:name w:val="标题 2 Char1"/>
    <w:basedOn w:val="52"/>
    <w:autoRedefine/>
    <w:qFormat/>
    <w:uiPriority w:val="0"/>
    <w:rPr>
      <w:rFonts w:asciiTheme="majorHAnsi" w:hAnsiTheme="majorHAnsi" w:eastAsiaTheme="majorEastAsia" w:cstheme="majorBidi"/>
      <w:b/>
      <w:bCs/>
      <w:kern w:val="2"/>
      <w:sz w:val="32"/>
      <w:szCs w:val="32"/>
    </w:rPr>
  </w:style>
  <w:style w:type="character" w:customStyle="1" w:styleId="273">
    <w:name w:val="标题 3 Char1"/>
    <w:basedOn w:val="52"/>
    <w:autoRedefine/>
    <w:qFormat/>
    <w:uiPriority w:val="99"/>
    <w:rPr>
      <w:rFonts w:ascii="宋体" w:hAnsi="Arial"/>
      <w:b/>
      <w:kern w:val="2"/>
      <w:sz w:val="28"/>
    </w:rPr>
  </w:style>
  <w:style w:type="character" w:customStyle="1" w:styleId="274">
    <w:name w:val="Char Char3"/>
    <w:autoRedefine/>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autoRedefine/>
    <w:qFormat/>
    <w:uiPriority w:val="0"/>
    <w:rPr>
      <w:rFonts w:eastAsia="Times New Roman"/>
      <w:sz w:val="24"/>
      <w:szCs w:val="24"/>
    </w:rPr>
  </w:style>
  <w:style w:type="paragraph" w:customStyle="1" w:styleId="276">
    <w:name w:val="正文－段落"/>
    <w:link w:val="275"/>
    <w:autoRedefine/>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autoRedefine/>
    <w:qFormat/>
    <w:uiPriority w:val="0"/>
    <w:rPr>
      <w:rFonts w:ascii="宋体" w:hAnsi="Courier New"/>
      <w:spacing w:val="-8"/>
      <w:kern w:val="2"/>
      <w:sz w:val="24"/>
    </w:rPr>
  </w:style>
  <w:style w:type="character" w:customStyle="1" w:styleId="278">
    <w:name w:val="日期 Char"/>
    <w:autoRedefine/>
    <w:qFormat/>
    <w:uiPriority w:val="0"/>
    <w:rPr>
      <w:rFonts w:ascii="宋体" w:hAnsi="宋体"/>
      <w:sz w:val="24"/>
    </w:rPr>
  </w:style>
  <w:style w:type="character" w:customStyle="1" w:styleId="279">
    <w:name w:val="Char Char9"/>
    <w:autoRedefine/>
    <w:qFormat/>
    <w:uiPriority w:val="0"/>
    <w:rPr>
      <w:rFonts w:hint="default" w:ascii="Calibri" w:hAnsi="Calibri" w:eastAsia="宋体"/>
      <w:sz w:val="18"/>
      <w:szCs w:val="18"/>
      <w:lang w:bidi="ar-SA"/>
    </w:rPr>
  </w:style>
  <w:style w:type="character" w:customStyle="1" w:styleId="280">
    <w:name w:val="Char Char17"/>
    <w:autoRedefine/>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autoRedefine/>
    <w:qFormat/>
    <w:uiPriority w:val="0"/>
    <w:rPr>
      <w:rFonts w:ascii="黑体" w:hAnsi="Courier New" w:eastAsia="黑体" w:cs="Courier New"/>
    </w:rPr>
  </w:style>
  <w:style w:type="character" w:customStyle="1" w:styleId="282">
    <w:name w:val="1.5倍行距 Char Char"/>
    <w:link w:val="283"/>
    <w:autoRedefine/>
    <w:qFormat/>
    <w:uiPriority w:val="0"/>
    <w:rPr>
      <w:kern w:val="2"/>
      <w:sz w:val="21"/>
      <w:szCs w:val="24"/>
    </w:rPr>
  </w:style>
  <w:style w:type="paragraph" w:customStyle="1" w:styleId="283">
    <w:name w:val="1.5倍行距"/>
    <w:basedOn w:val="1"/>
    <w:link w:val="282"/>
    <w:autoRedefine/>
    <w:qFormat/>
    <w:uiPriority w:val="0"/>
    <w:pPr>
      <w:spacing w:line="360" w:lineRule="auto"/>
      <w:ind w:firstLine="420"/>
    </w:pPr>
  </w:style>
  <w:style w:type="character" w:customStyle="1" w:styleId="284">
    <w:name w:val="H2 Char1"/>
    <w:autoRedefine/>
    <w:qFormat/>
    <w:uiPriority w:val="0"/>
    <w:rPr>
      <w:rFonts w:ascii="Cambria" w:hAnsi="Cambria"/>
      <w:b/>
      <w:bCs/>
      <w:sz w:val="32"/>
      <w:szCs w:val="32"/>
    </w:rPr>
  </w:style>
  <w:style w:type="character" w:customStyle="1" w:styleId="285">
    <w:name w:val="Char Char4"/>
    <w:autoRedefine/>
    <w:qFormat/>
    <w:uiPriority w:val="0"/>
    <w:rPr>
      <w:rFonts w:hint="default" w:ascii="Calibri" w:hAnsi="Calibri" w:eastAsia="宋体"/>
      <w:kern w:val="2"/>
      <w:sz w:val="21"/>
      <w:szCs w:val="22"/>
      <w:lang w:val="en-US" w:eastAsia="zh-CN" w:bidi="ar-SA"/>
    </w:rPr>
  </w:style>
  <w:style w:type="character" w:customStyle="1" w:styleId="286">
    <w:name w:val="正文文本缩进 2 Char"/>
    <w:autoRedefine/>
    <w:qFormat/>
    <w:uiPriority w:val="0"/>
    <w:rPr>
      <w:kern w:val="2"/>
      <w:sz w:val="21"/>
    </w:rPr>
  </w:style>
  <w:style w:type="character" w:customStyle="1" w:styleId="287">
    <w:name w:val="签名 Char1"/>
    <w:link w:val="33"/>
    <w:autoRedefine/>
    <w:qFormat/>
    <w:uiPriority w:val="0"/>
    <w:rPr>
      <w:rFonts w:eastAsia="楷体_GB2312"/>
      <w:kern w:val="2"/>
      <w:sz w:val="21"/>
    </w:rPr>
  </w:style>
  <w:style w:type="character" w:customStyle="1" w:styleId="288">
    <w:name w:val="标题2 Char"/>
    <w:link w:val="289"/>
    <w:autoRedefine/>
    <w:qFormat/>
    <w:uiPriority w:val="0"/>
    <w:rPr>
      <w:rFonts w:ascii="仿宋" w:hAnsi="仿宋" w:eastAsia="仿宋"/>
      <w:b/>
      <w:bCs/>
      <w:color w:val="000000"/>
      <w:kern w:val="2"/>
      <w:sz w:val="24"/>
      <w:szCs w:val="24"/>
    </w:rPr>
  </w:style>
  <w:style w:type="paragraph" w:customStyle="1" w:styleId="289">
    <w:name w:val="标题2"/>
    <w:basedOn w:val="290"/>
    <w:link w:val="288"/>
    <w:autoRedefine/>
    <w:qFormat/>
    <w:uiPriority w:val="0"/>
    <w:pPr>
      <w:tabs>
        <w:tab w:val="left" w:pos="425"/>
        <w:tab w:val="left" w:pos="709"/>
        <w:tab w:val="left" w:pos="851"/>
        <w:tab w:val="left" w:pos="1419"/>
      </w:tabs>
    </w:pPr>
    <w:rPr>
      <w:szCs w:val="24"/>
    </w:rPr>
  </w:style>
  <w:style w:type="paragraph" w:customStyle="1" w:styleId="290">
    <w:name w:val="三级"/>
    <w:basedOn w:val="4"/>
    <w:link w:val="291"/>
    <w:autoRedefine/>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autoRedefine/>
    <w:qFormat/>
    <w:uiPriority w:val="0"/>
    <w:rPr>
      <w:rFonts w:ascii="仿宋" w:hAnsi="仿宋" w:eastAsia="仿宋"/>
      <w:b/>
      <w:bCs/>
      <w:color w:val="000000"/>
      <w:kern w:val="2"/>
      <w:sz w:val="32"/>
      <w:szCs w:val="32"/>
    </w:rPr>
  </w:style>
  <w:style w:type="character" w:customStyle="1" w:styleId="292">
    <w:name w:val="正文首行缩进 2 Char"/>
    <w:link w:val="49"/>
    <w:autoRedefine/>
    <w:qFormat/>
    <w:uiPriority w:val="0"/>
    <w:rPr>
      <w:sz w:val="24"/>
      <w:szCs w:val="24"/>
    </w:rPr>
  </w:style>
  <w:style w:type="character" w:customStyle="1" w:styleId="293">
    <w:name w:val="正文首行缩进 Char Char Char1"/>
    <w:autoRedefine/>
    <w:qFormat/>
    <w:uiPriority w:val="0"/>
    <w:rPr>
      <w:rFonts w:ascii="Times New Roman" w:hAnsi="Times New Roman"/>
      <w:kern w:val="2"/>
      <w:sz w:val="24"/>
      <w:szCs w:val="24"/>
    </w:rPr>
  </w:style>
  <w:style w:type="character" w:customStyle="1" w:styleId="294">
    <w:name w:val="标题 Char1"/>
    <w:autoRedefine/>
    <w:qFormat/>
    <w:uiPriority w:val="0"/>
    <w:rPr>
      <w:rFonts w:ascii="Arial" w:hAnsi="Arial"/>
      <w:b/>
      <w:kern w:val="2"/>
      <w:sz w:val="36"/>
      <w:szCs w:val="24"/>
    </w:rPr>
  </w:style>
  <w:style w:type="character" w:customStyle="1" w:styleId="295">
    <w:name w:val="正文文本 字符"/>
    <w:autoRedefine/>
    <w:qFormat/>
    <w:uiPriority w:val="0"/>
    <w:rPr>
      <w:rFonts w:eastAsia="宋体"/>
      <w:kern w:val="2"/>
      <w:sz w:val="21"/>
      <w:szCs w:val="24"/>
      <w:lang w:bidi="ar-SA"/>
    </w:rPr>
  </w:style>
  <w:style w:type="character" w:customStyle="1" w:styleId="296">
    <w:name w:val="正文文本缩进 Char"/>
    <w:autoRedefine/>
    <w:qFormat/>
    <w:uiPriority w:val="0"/>
    <w:rPr>
      <w:kern w:val="2"/>
      <w:sz w:val="24"/>
    </w:rPr>
  </w:style>
  <w:style w:type="character" w:customStyle="1" w:styleId="297">
    <w:name w:val="题注 Char1"/>
    <w:link w:val="15"/>
    <w:autoRedefine/>
    <w:qFormat/>
    <w:uiPriority w:val="0"/>
    <w:rPr>
      <w:rFonts w:ascii="Cambria" w:hAnsi="Cambria" w:eastAsia="黑体"/>
      <w:kern w:val="2"/>
      <w:sz w:val="21"/>
      <w:szCs w:val="24"/>
    </w:rPr>
  </w:style>
  <w:style w:type="character" w:customStyle="1" w:styleId="298">
    <w:name w:val="bt Char1"/>
    <w:autoRedefine/>
    <w:qFormat/>
    <w:uiPriority w:val="0"/>
    <w:rPr>
      <w:rFonts w:ascii="Times New Roman" w:hAnsi="Times New Roman"/>
      <w:kern w:val="2"/>
      <w:sz w:val="24"/>
      <w:szCs w:val="24"/>
    </w:rPr>
  </w:style>
  <w:style w:type="character" w:customStyle="1" w:styleId="299">
    <w:name w:val="Char Char18"/>
    <w:autoRedefine/>
    <w:qFormat/>
    <w:uiPriority w:val="0"/>
    <w:rPr>
      <w:rFonts w:hint="default" w:ascii="Cambria" w:hAnsi="Cambria" w:eastAsia="宋体"/>
      <w:b/>
      <w:bCs/>
      <w:sz w:val="32"/>
      <w:szCs w:val="32"/>
      <w:lang w:bidi="ar-SA"/>
    </w:rPr>
  </w:style>
  <w:style w:type="character" w:customStyle="1" w:styleId="300">
    <w:name w:val="四级 Char"/>
    <w:link w:val="301"/>
    <w:autoRedefine/>
    <w:qFormat/>
    <w:uiPriority w:val="0"/>
    <w:rPr>
      <w:rFonts w:ascii="仿宋" w:hAnsi="仿宋" w:eastAsia="仿宋"/>
      <w:bCs/>
      <w:kern w:val="2"/>
      <w:sz w:val="32"/>
      <w:szCs w:val="32"/>
    </w:rPr>
  </w:style>
  <w:style w:type="paragraph" w:customStyle="1" w:styleId="301">
    <w:name w:val="四级"/>
    <w:basedOn w:val="5"/>
    <w:link w:val="300"/>
    <w:autoRedefine/>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autoRedefine/>
    <w:qFormat/>
    <w:uiPriority w:val="0"/>
  </w:style>
  <w:style w:type="character" w:customStyle="1" w:styleId="303">
    <w:name w:val="p141"/>
    <w:autoRedefine/>
    <w:qFormat/>
    <w:uiPriority w:val="0"/>
    <w:rPr>
      <w:sz w:val="21"/>
      <w:szCs w:val="21"/>
    </w:rPr>
  </w:style>
  <w:style w:type="character" w:customStyle="1" w:styleId="304">
    <w:name w:val="正文文本缩进 3 Char"/>
    <w:autoRedefine/>
    <w:qFormat/>
    <w:uiPriority w:val="0"/>
    <w:rPr>
      <w:kern w:val="2"/>
      <w:sz w:val="21"/>
    </w:rPr>
  </w:style>
  <w:style w:type="character" w:customStyle="1" w:styleId="305">
    <w:name w:val="Char Char13"/>
    <w:autoRedefine/>
    <w:qFormat/>
    <w:uiPriority w:val="0"/>
    <w:rPr>
      <w:rFonts w:ascii="Cambria" w:hAnsi="Cambria" w:eastAsia="宋体"/>
      <w:sz w:val="24"/>
      <w:szCs w:val="24"/>
      <w:lang w:bidi="ar-SA"/>
    </w:rPr>
  </w:style>
  <w:style w:type="character" w:customStyle="1" w:styleId="306">
    <w:name w:val="正文文本 2 Char1"/>
    <w:link w:val="43"/>
    <w:autoRedefine/>
    <w:qFormat/>
    <w:uiPriority w:val="0"/>
    <w:rPr>
      <w:kern w:val="2"/>
      <w:sz w:val="28"/>
    </w:rPr>
  </w:style>
  <w:style w:type="character" w:customStyle="1" w:styleId="307">
    <w:name w:val="Char Char5"/>
    <w:autoRedefine/>
    <w:qFormat/>
    <w:uiPriority w:val="0"/>
    <w:rPr>
      <w:rFonts w:ascii="宋体" w:hAnsi="宋体" w:eastAsia="宋体"/>
      <w:b/>
      <w:bCs/>
      <w:szCs w:val="24"/>
      <w:lang w:bidi="ar-SA"/>
    </w:rPr>
  </w:style>
  <w:style w:type="character" w:customStyle="1" w:styleId="308">
    <w:name w:val="正文文本 2 Char"/>
    <w:autoRedefine/>
    <w:qFormat/>
    <w:uiPriority w:val="0"/>
    <w:rPr>
      <w:kern w:val="2"/>
      <w:sz w:val="28"/>
    </w:rPr>
  </w:style>
  <w:style w:type="character" w:customStyle="1" w:styleId="309">
    <w:name w:val="Char Char6"/>
    <w:autoRedefine/>
    <w:qFormat/>
    <w:uiPriority w:val="0"/>
    <w:rPr>
      <w:rFonts w:ascii="宋体" w:hAnsi="宋体" w:eastAsia="宋体"/>
      <w:szCs w:val="24"/>
      <w:lang w:bidi="ar-SA"/>
    </w:rPr>
  </w:style>
  <w:style w:type="character" w:customStyle="1" w:styleId="310">
    <w:name w:val="Char Char15"/>
    <w:autoRedefine/>
    <w:qFormat/>
    <w:uiPriority w:val="0"/>
    <w:rPr>
      <w:rFonts w:hint="default" w:ascii="Cambria" w:hAnsi="Cambria" w:eastAsia="宋体"/>
      <w:b/>
      <w:bCs/>
      <w:sz w:val="24"/>
      <w:szCs w:val="24"/>
      <w:lang w:bidi="ar-SA"/>
    </w:rPr>
  </w:style>
  <w:style w:type="character" w:customStyle="1" w:styleId="311">
    <w:name w:val="H4 Char"/>
    <w:autoRedefine/>
    <w:qFormat/>
    <w:uiPriority w:val="0"/>
    <w:rPr>
      <w:rFonts w:ascii="Cambria" w:hAnsi="Cambria" w:eastAsia="仿宋_GB2312"/>
      <w:b/>
      <w:bCs/>
      <w:sz w:val="32"/>
      <w:szCs w:val="28"/>
    </w:rPr>
  </w:style>
  <w:style w:type="character" w:customStyle="1" w:styleId="312">
    <w:name w:val="Char Char20"/>
    <w:autoRedefine/>
    <w:qFormat/>
    <w:uiPriority w:val="0"/>
    <w:rPr>
      <w:rFonts w:eastAsia="宋体"/>
      <w:b/>
      <w:kern w:val="2"/>
      <w:sz w:val="28"/>
      <w:lang w:bidi="ar-SA"/>
    </w:rPr>
  </w:style>
  <w:style w:type="character" w:customStyle="1" w:styleId="313">
    <w:name w:val="正文文本缩进 3 Char1"/>
    <w:link w:val="40"/>
    <w:autoRedefine/>
    <w:qFormat/>
    <w:uiPriority w:val="0"/>
    <w:rPr>
      <w:kern w:val="2"/>
      <w:sz w:val="21"/>
    </w:rPr>
  </w:style>
  <w:style w:type="character" w:customStyle="1" w:styleId="314">
    <w:name w:val="Char Char16"/>
    <w:autoRedefine/>
    <w:qFormat/>
    <w:uiPriority w:val="0"/>
    <w:rPr>
      <w:rFonts w:hint="eastAsia" w:ascii="仿宋_GB2313" w:hAnsi="仿宋_GB2313" w:eastAsia="仿宋_GB2312"/>
      <w:b/>
      <w:bCs/>
      <w:sz w:val="32"/>
      <w:szCs w:val="28"/>
      <w:lang w:bidi="ar-SA"/>
    </w:rPr>
  </w:style>
  <w:style w:type="character" w:customStyle="1" w:styleId="315">
    <w:name w:val="Char Char7"/>
    <w:autoRedefine/>
    <w:qFormat/>
    <w:uiPriority w:val="0"/>
    <w:rPr>
      <w:rFonts w:ascii="宋体" w:hAnsi="宋体" w:eastAsia="宋体"/>
      <w:sz w:val="24"/>
      <w:szCs w:val="24"/>
      <w:lang w:bidi="ar-SA"/>
    </w:rPr>
  </w:style>
  <w:style w:type="character" w:customStyle="1" w:styleId="316">
    <w:name w:val="日期 Char1"/>
    <w:link w:val="28"/>
    <w:autoRedefine/>
    <w:qFormat/>
    <w:uiPriority w:val="0"/>
    <w:rPr>
      <w:rFonts w:ascii="宋体" w:hAnsi="宋体"/>
      <w:kern w:val="2"/>
      <w:sz w:val="24"/>
      <w:szCs w:val="24"/>
    </w:rPr>
  </w:style>
  <w:style w:type="character" w:customStyle="1" w:styleId="317">
    <w:name w:val="Char Char12"/>
    <w:autoRedefine/>
    <w:qFormat/>
    <w:uiPriority w:val="0"/>
    <w:rPr>
      <w:rFonts w:hint="default" w:ascii="Cambria" w:hAnsi="Cambria" w:eastAsia="宋体"/>
      <w:szCs w:val="21"/>
      <w:lang w:bidi="ar-SA"/>
    </w:rPr>
  </w:style>
  <w:style w:type="character" w:customStyle="1" w:styleId="318">
    <w:name w:val="标题 4 Char"/>
    <w:autoRedefine/>
    <w:qFormat/>
    <w:uiPriority w:val="0"/>
    <w:rPr>
      <w:rFonts w:ascii="Arial" w:hAnsi="Arial" w:eastAsia="黑体"/>
      <w:b/>
      <w:kern w:val="2"/>
      <w:sz w:val="24"/>
    </w:rPr>
  </w:style>
  <w:style w:type="character" w:customStyle="1" w:styleId="319">
    <w:name w:val="Char Char2"/>
    <w:autoRedefine/>
    <w:qFormat/>
    <w:uiPriority w:val="0"/>
    <w:rPr>
      <w:rFonts w:ascii="宋体" w:hAnsi="宋体" w:eastAsia="宋体"/>
      <w:kern w:val="2"/>
      <w:sz w:val="24"/>
      <w:szCs w:val="24"/>
      <w:lang w:val="en-US" w:eastAsia="zh-CN" w:bidi="ar-SA"/>
    </w:rPr>
  </w:style>
  <w:style w:type="character" w:customStyle="1" w:styleId="320">
    <w:name w:val="*正文 Char"/>
    <w:link w:val="321"/>
    <w:autoRedefine/>
    <w:qFormat/>
    <w:uiPriority w:val="0"/>
    <w:rPr>
      <w:rFonts w:ascii="宋体" w:hAnsi="宋体"/>
      <w:sz w:val="24"/>
      <w:szCs w:val="24"/>
    </w:rPr>
  </w:style>
  <w:style w:type="paragraph" w:customStyle="1" w:styleId="321">
    <w:name w:val="*正文"/>
    <w:basedOn w:val="1"/>
    <w:link w:val="320"/>
    <w:autoRedefine/>
    <w:qFormat/>
    <w:uiPriority w:val="0"/>
    <w:pPr>
      <w:spacing w:line="360" w:lineRule="auto"/>
      <w:ind w:firstLine="200" w:firstLineChars="200"/>
    </w:pPr>
    <w:rPr>
      <w:rFonts w:ascii="宋体" w:hAnsi="宋体"/>
      <w:kern w:val="0"/>
      <w:sz w:val="24"/>
    </w:rPr>
  </w:style>
  <w:style w:type="character" w:customStyle="1" w:styleId="322">
    <w:name w:val="页脚 字符1"/>
    <w:autoRedefine/>
    <w:qFormat/>
    <w:uiPriority w:val="0"/>
    <w:rPr>
      <w:rFonts w:eastAsia="宋体"/>
      <w:kern w:val="2"/>
      <w:sz w:val="18"/>
      <w:lang w:bidi="ar-SA"/>
    </w:rPr>
  </w:style>
  <w:style w:type="character" w:customStyle="1" w:styleId="323">
    <w:name w:val="GP正文[858D7CFB-ED40-4347-BF05-701D383B685F]"/>
    <w:link w:val="324"/>
    <w:autoRedefine/>
    <w:qFormat/>
    <w:uiPriority w:val="0"/>
    <w:rPr>
      <w:rFonts w:ascii="宋体" w:hAnsi="宋体"/>
      <w:kern w:val="2"/>
      <w:sz w:val="24"/>
      <w:szCs w:val="24"/>
    </w:rPr>
  </w:style>
  <w:style w:type="paragraph" w:customStyle="1" w:styleId="324">
    <w:name w:val="GP正文"/>
    <w:basedOn w:val="1"/>
    <w:link w:val="323"/>
    <w:autoRedefine/>
    <w:qFormat/>
    <w:uiPriority w:val="0"/>
    <w:pPr>
      <w:spacing w:line="360" w:lineRule="auto"/>
      <w:ind w:firstLine="200" w:firstLineChars="200"/>
      <w:jc w:val="left"/>
    </w:pPr>
    <w:rPr>
      <w:rFonts w:ascii="宋体" w:hAnsi="宋体"/>
      <w:sz w:val="24"/>
    </w:rPr>
  </w:style>
  <w:style w:type="character" w:customStyle="1" w:styleId="325">
    <w:name w:val="Char Char14"/>
    <w:autoRedefine/>
    <w:qFormat/>
    <w:uiPriority w:val="0"/>
    <w:rPr>
      <w:rFonts w:ascii="Calibri" w:hAnsi="Calibri" w:eastAsia="宋体"/>
      <w:b/>
      <w:bCs/>
      <w:sz w:val="24"/>
      <w:szCs w:val="24"/>
      <w:lang w:bidi="ar-SA"/>
    </w:rPr>
  </w:style>
  <w:style w:type="character" w:customStyle="1" w:styleId="326">
    <w:name w:val="Char Char19"/>
    <w:autoRedefine/>
    <w:qFormat/>
    <w:uiPriority w:val="0"/>
    <w:rPr>
      <w:rFonts w:ascii="Arial" w:hAnsi="Arial" w:eastAsia="黑体"/>
      <w:b/>
      <w:kern w:val="2"/>
      <w:sz w:val="24"/>
      <w:lang w:bidi="ar-SA"/>
    </w:rPr>
  </w:style>
  <w:style w:type="character" w:customStyle="1" w:styleId="327">
    <w:name w:val="正文文本 Char1"/>
    <w:autoRedefine/>
    <w:qFormat/>
    <w:uiPriority w:val="0"/>
    <w:rPr>
      <w:kern w:val="2"/>
      <w:sz w:val="21"/>
      <w:szCs w:val="24"/>
    </w:rPr>
  </w:style>
  <w:style w:type="character" w:customStyle="1" w:styleId="328">
    <w:name w:val="二级 Char"/>
    <w:link w:val="329"/>
    <w:autoRedefine/>
    <w:qFormat/>
    <w:uiPriority w:val="0"/>
    <w:rPr>
      <w:rFonts w:ascii="仿宋" w:hAnsi="仿宋" w:eastAsia="仿宋"/>
      <w:b/>
      <w:bCs/>
      <w:spacing w:val="24"/>
      <w:kern w:val="2"/>
      <w:sz w:val="32"/>
      <w:szCs w:val="32"/>
    </w:rPr>
  </w:style>
  <w:style w:type="paragraph" w:customStyle="1" w:styleId="329">
    <w:name w:val="二级"/>
    <w:basedOn w:val="3"/>
    <w:link w:val="328"/>
    <w:autoRedefine/>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autoRedefine/>
    <w:qFormat/>
    <w:uiPriority w:val="0"/>
    <w:rPr>
      <w:rFonts w:eastAsia="楷体_GB2312"/>
      <w:kern w:val="2"/>
      <w:sz w:val="21"/>
    </w:rPr>
  </w:style>
  <w:style w:type="character" w:customStyle="1" w:styleId="331">
    <w:name w:val="Char Char"/>
    <w:autoRedefine/>
    <w:qFormat/>
    <w:uiPriority w:val="0"/>
    <w:rPr>
      <w:rFonts w:hint="eastAsia" w:ascii="宋体" w:hAnsi="Courier New" w:eastAsia="宋体"/>
      <w:spacing w:val="-8"/>
      <w:kern w:val="2"/>
      <w:sz w:val="24"/>
      <w:lang w:val="en-US" w:eastAsia="zh-CN" w:bidi="ar-SA"/>
    </w:rPr>
  </w:style>
  <w:style w:type="character" w:customStyle="1" w:styleId="332">
    <w:name w:val="Char Char11"/>
    <w:autoRedefine/>
    <w:qFormat/>
    <w:uiPriority w:val="0"/>
    <w:rPr>
      <w:rFonts w:hint="default" w:ascii="Calibri" w:hAnsi="Calibri" w:eastAsia="宋体"/>
      <w:sz w:val="18"/>
      <w:szCs w:val="18"/>
      <w:lang w:bidi="ar-SA"/>
    </w:rPr>
  </w:style>
  <w:style w:type="character" w:customStyle="1" w:styleId="333">
    <w:name w:val="页眉 字符1"/>
    <w:autoRedefine/>
    <w:qFormat/>
    <w:uiPriority w:val="0"/>
    <w:rPr>
      <w:rFonts w:eastAsia="宋体"/>
      <w:kern w:val="2"/>
      <w:sz w:val="18"/>
      <w:szCs w:val="18"/>
      <w:lang w:bidi="ar-SA"/>
    </w:rPr>
  </w:style>
  <w:style w:type="character" w:customStyle="1" w:styleId="334">
    <w:name w:val="正文首行缩进 Char1"/>
    <w:autoRedefine/>
    <w:qFormat/>
    <w:uiPriority w:val="0"/>
    <w:rPr>
      <w:kern w:val="2"/>
      <w:sz w:val="21"/>
    </w:rPr>
  </w:style>
  <w:style w:type="character" w:customStyle="1" w:styleId="335">
    <w:name w:val="页眉 Char1"/>
    <w:autoRedefine/>
    <w:qFormat/>
    <w:uiPriority w:val="0"/>
    <w:rPr>
      <w:rFonts w:eastAsia="宋体"/>
      <w:kern w:val="2"/>
      <w:sz w:val="18"/>
      <w:szCs w:val="18"/>
      <w:lang w:val="en-US" w:eastAsia="zh-CN" w:bidi="ar-SA"/>
    </w:rPr>
  </w:style>
  <w:style w:type="character" w:customStyle="1" w:styleId="336">
    <w:name w:val="题注 Char"/>
    <w:autoRedefine/>
    <w:qFormat/>
    <w:uiPriority w:val="0"/>
    <w:rPr>
      <w:rFonts w:ascii="Cambria" w:hAnsi="Cambria" w:eastAsia="黑体"/>
      <w:kern w:val="2"/>
      <w:lang w:bidi="ar-SA"/>
    </w:rPr>
  </w:style>
  <w:style w:type="character" w:customStyle="1" w:styleId="337">
    <w:name w:val="样式 标题 3 + 小四 Char"/>
    <w:autoRedefine/>
    <w:qFormat/>
    <w:uiPriority w:val="0"/>
    <w:rPr>
      <w:rFonts w:ascii="宋体" w:hAnsi="宋体" w:cs="Arial"/>
      <w:b/>
      <w:bCs/>
      <w:smallCaps/>
      <w:sz w:val="24"/>
      <w:lang w:val="en-US" w:eastAsia="zh-CN"/>
    </w:rPr>
  </w:style>
  <w:style w:type="character" w:customStyle="1" w:styleId="338">
    <w:name w:val="unnamed21"/>
    <w:autoRedefine/>
    <w:qFormat/>
    <w:uiPriority w:val="0"/>
    <w:rPr>
      <w:color w:val="CC6633"/>
      <w:u w:val="none"/>
    </w:rPr>
  </w:style>
  <w:style w:type="character" w:customStyle="1" w:styleId="339">
    <w:name w:val="16"/>
    <w:autoRedefine/>
    <w:qFormat/>
    <w:uiPriority w:val="0"/>
    <w:rPr>
      <w:rFonts w:hint="eastAsia" w:ascii="宋体" w:hAnsi="宋体" w:eastAsia="宋体" w:cs="Arial"/>
      <w:b/>
      <w:bCs/>
      <w:smallCaps/>
      <w:kern w:val="2"/>
      <w:sz w:val="24"/>
      <w:szCs w:val="24"/>
    </w:rPr>
  </w:style>
  <w:style w:type="character" w:customStyle="1" w:styleId="340">
    <w:name w:val="正文文本缩进 字符"/>
    <w:autoRedefine/>
    <w:qFormat/>
    <w:uiPriority w:val="0"/>
    <w:rPr>
      <w:rFonts w:eastAsia="宋体"/>
      <w:kern w:val="2"/>
      <w:sz w:val="24"/>
      <w:lang w:bidi="ar-SA"/>
    </w:rPr>
  </w:style>
  <w:style w:type="character" w:customStyle="1" w:styleId="341">
    <w:name w:val="Char Char8"/>
    <w:autoRedefine/>
    <w:qFormat/>
    <w:uiPriority w:val="0"/>
    <w:rPr>
      <w:rFonts w:hint="default" w:ascii="Calibri" w:hAnsi="Calibri" w:eastAsia="宋体"/>
      <w:kern w:val="2"/>
      <w:sz w:val="21"/>
      <w:szCs w:val="22"/>
      <w:lang w:val="en-US" w:eastAsia="zh-CN" w:bidi="ar-SA"/>
    </w:rPr>
  </w:style>
  <w:style w:type="character" w:customStyle="1" w:styleId="342">
    <w:name w:val="H3 Char1"/>
    <w:autoRedefine/>
    <w:qFormat/>
    <w:uiPriority w:val="0"/>
    <w:rPr>
      <w:rFonts w:ascii="仿宋_GB2312" w:eastAsia="仿宋_GB2312"/>
      <w:b/>
      <w:bCs/>
      <w:color w:val="000000"/>
      <w:kern w:val="2"/>
      <w:sz w:val="32"/>
      <w:szCs w:val="32"/>
    </w:rPr>
  </w:style>
  <w:style w:type="character" w:customStyle="1" w:styleId="343">
    <w:name w:val="Char Char1"/>
    <w:autoRedefine/>
    <w:qFormat/>
    <w:uiPriority w:val="0"/>
    <w:rPr>
      <w:rFonts w:hint="eastAsia" w:ascii="宋体" w:hAnsi="宋体" w:eastAsia="宋体"/>
      <w:kern w:val="2"/>
      <w:sz w:val="21"/>
      <w:szCs w:val="24"/>
      <w:lang w:val="en-US" w:eastAsia="zh-CN" w:bidi="ar-SA"/>
    </w:rPr>
  </w:style>
  <w:style w:type="character" w:customStyle="1" w:styleId="344">
    <w:name w:val="Char Char10"/>
    <w:autoRedefine/>
    <w:qFormat/>
    <w:uiPriority w:val="0"/>
    <w:rPr>
      <w:rFonts w:eastAsia="宋体"/>
      <w:kern w:val="2"/>
      <w:sz w:val="18"/>
      <w:szCs w:val="18"/>
      <w:lang w:val="en-US" w:eastAsia="zh-CN" w:bidi="ar-SA"/>
    </w:rPr>
  </w:style>
  <w:style w:type="character" w:customStyle="1" w:styleId="345">
    <w:name w:val="文档正文 Char"/>
    <w:link w:val="346"/>
    <w:autoRedefine/>
    <w:qFormat/>
    <w:uiPriority w:val="0"/>
    <w:rPr>
      <w:rFonts w:ascii="Arial" w:hAnsi="Arial" w:cs="Arial"/>
      <w:bCs/>
      <w:kern w:val="2"/>
      <w:sz w:val="24"/>
      <w:szCs w:val="24"/>
    </w:rPr>
  </w:style>
  <w:style w:type="paragraph" w:customStyle="1" w:styleId="346">
    <w:name w:val="文档正文"/>
    <w:basedOn w:val="1"/>
    <w:link w:val="345"/>
    <w:autoRedefine/>
    <w:qFormat/>
    <w:uiPriority w:val="0"/>
    <w:rPr>
      <w:rFonts w:ascii="Arial" w:hAnsi="Arial" w:cs="Arial"/>
      <w:bCs/>
      <w:sz w:val="24"/>
    </w:rPr>
  </w:style>
  <w:style w:type="character" w:customStyle="1" w:styleId="347">
    <w:name w:val="正文文本 2 Char2"/>
    <w:basedOn w:val="52"/>
    <w:autoRedefine/>
    <w:semiHidden/>
    <w:qFormat/>
    <w:uiPriority w:val="0"/>
    <w:rPr>
      <w:kern w:val="2"/>
      <w:sz w:val="21"/>
      <w:szCs w:val="24"/>
    </w:rPr>
  </w:style>
  <w:style w:type="character" w:customStyle="1" w:styleId="348">
    <w:name w:val="标题 字符1"/>
    <w:basedOn w:val="52"/>
    <w:autoRedefine/>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autoRedefine/>
    <w:qFormat/>
    <w:uiPriority w:val="0"/>
    <w:rPr>
      <w:kern w:val="2"/>
      <w:sz w:val="21"/>
      <w:szCs w:val="24"/>
    </w:rPr>
  </w:style>
  <w:style w:type="character" w:customStyle="1" w:styleId="350">
    <w:name w:val="签名 Char2"/>
    <w:basedOn w:val="52"/>
    <w:autoRedefine/>
    <w:semiHidden/>
    <w:qFormat/>
    <w:uiPriority w:val="0"/>
    <w:rPr>
      <w:kern w:val="2"/>
      <w:sz w:val="21"/>
      <w:szCs w:val="24"/>
    </w:rPr>
  </w:style>
  <w:style w:type="character" w:customStyle="1" w:styleId="351">
    <w:name w:val="正文文本缩进 3 Char2"/>
    <w:basedOn w:val="52"/>
    <w:autoRedefine/>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autoRedefine/>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autoRedefine/>
    <w:qFormat/>
    <w:uiPriority w:val="0"/>
    <w:pPr>
      <w:widowControl/>
      <w:jc w:val="center"/>
    </w:pPr>
    <w:rPr>
      <w:rFonts w:ascii="Arial" w:hAnsi="Arial"/>
      <w:b/>
      <w:kern w:val="0"/>
      <w:sz w:val="18"/>
      <w:szCs w:val="20"/>
    </w:rPr>
  </w:style>
  <w:style w:type="paragraph" w:customStyle="1" w:styleId="359">
    <w:name w:val="4"/>
    <w:basedOn w:val="1"/>
    <w:next w:val="1"/>
    <w:autoRedefine/>
    <w:qFormat/>
    <w:uiPriority w:val="0"/>
  </w:style>
  <w:style w:type="paragraph" w:customStyle="1" w:styleId="360">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autoRedefine/>
    <w:qFormat/>
    <w:uiPriority w:val="0"/>
    <w:pPr>
      <w:spacing w:line="360" w:lineRule="auto"/>
      <w:ind w:firstLine="200" w:firstLineChars="200"/>
    </w:pPr>
    <w:rPr>
      <w:szCs w:val="20"/>
    </w:rPr>
  </w:style>
  <w:style w:type="paragraph" w:customStyle="1" w:styleId="362">
    <w:name w:val="样式 标题 5H5dashdsddh5PIM 5口一heading 5Titre5Table label...3"/>
    <w:basedOn w:val="6"/>
    <w:autoRedefine/>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autoRedefine/>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autoRedefine/>
    <w:qFormat/>
    <w:uiPriority w:val="0"/>
    <w:pPr>
      <w:tabs>
        <w:tab w:val="right" w:leader="dot" w:pos="9458"/>
      </w:tabs>
    </w:pPr>
    <w:rPr>
      <w:rFonts w:ascii="Arial" w:cs="Arial"/>
      <w:i/>
    </w:rPr>
  </w:style>
  <w:style w:type="paragraph" w:customStyle="1" w:styleId="365">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autoRedefine/>
    <w:qFormat/>
    <w:uiPriority w:val="0"/>
    <w:pPr>
      <w:keepLines/>
      <w:widowControl/>
      <w:spacing w:beforeLines="50" w:afterLines="50" w:line="300" w:lineRule="auto"/>
    </w:pPr>
    <w:rPr>
      <w:rFonts w:ascii="Arial" w:hAnsi="Arial"/>
      <w:bCs/>
    </w:rPr>
  </w:style>
  <w:style w:type="paragraph" w:customStyle="1" w:styleId="367">
    <w:name w:val="样式5"/>
    <w:basedOn w:val="368"/>
    <w:next w:val="368"/>
    <w:autoRedefine/>
    <w:qFormat/>
    <w:uiPriority w:val="0"/>
    <w:pPr>
      <w:tabs>
        <w:tab w:val="right" w:leader="dot" w:pos="9458"/>
      </w:tabs>
    </w:pPr>
  </w:style>
  <w:style w:type="paragraph" w:customStyle="1" w:styleId="368">
    <w:name w:val="样式4"/>
    <w:basedOn w:val="34"/>
    <w:autoRedefine/>
    <w:qFormat/>
    <w:uiPriority w:val="0"/>
    <w:pPr>
      <w:tabs>
        <w:tab w:val="right" w:leader="dot" w:pos="9458"/>
      </w:tabs>
    </w:pPr>
    <w:rPr>
      <w:b w:val="0"/>
    </w:rPr>
  </w:style>
  <w:style w:type="paragraph" w:customStyle="1" w:styleId="369">
    <w:name w:val="TOC 标题1"/>
    <w:basedOn w:val="2"/>
    <w:next w:val="1"/>
    <w:autoRedefine/>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autoRedefine/>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autoRedefine/>
    <w:qFormat/>
    <w:uiPriority w:val="0"/>
    <w:pPr>
      <w:widowControl/>
      <w:jc w:val="center"/>
    </w:pPr>
    <w:rPr>
      <w:rFonts w:ascii="Arial" w:hAnsi="Arial"/>
      <w:snapToGrid w:val="0"/>
      <w:kern w:val="0"/>
      <w:sz w:val="18"/>
      <w:szCs w:val="20"/>
    </w:rPr>
  </w:style>
  <w:style w:type="paragraph" w:customStyle="1" w:styleId="374">
    <w:name w:val="xl4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autoRedefine/>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autoRedefine/>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autoRedefine/>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autoRedefine/>
    <w:qFormat/>
    <w:uiPriority w:val="0"/>
    <w:pPr>
      <w:ind w:firstLine="567"/>
    </w:pPr>
    <w:rPr>
      <w:spacing w:val="20"/>
      <w:sz w:val="24"/>
      <w:szCs w:val="20"/>
    </w:rPr>
  </w:style>
  <w:style w:type="paragraph" w:customStyle="1" w:styleId="385">
    <w:name w:val="_正文"/>
    <w:basedOn w:val="1"/>
    <w:autoRedefine/>
    <w:qFormat/>
    <w:uiPriority w:val="99"/>
    <w:pPr>
      <w:spacing w:line="360" w:lineRule="auto"/>
      <w:ind w:firstLine="200" w:firstLineChars="200"/>
    </w:pPr>
    <w:rPr>
      <w:rFonts w:ascii="宋体" w:hAnsi="宋体"/>
      <w:sz w:val="24"/>
    </w:rPr>
  </w:style>
  <w:style w:type="paragraph" w:customStyle="1" w:styleId="386">
    <w:name w:val="xl46"/>
    <w:basedOn w:val="1"/>
    <w:autoRedefine/>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autoRedefine/>
    <w:qFormat/>
    <w:uiPriority w:val="0"/>
    <w:pPr>
      <w:ind w:firstLine="420" w:firstLineChars="200"/>
    </w:pPr>
    <w:rPr>
      <w:rFonts w:ascii="仿宋_GB2312" w:eastAsia="仿宋_GB2312" w:cs="宋体"/>
      <w:spacing w:val="6"/>
      <w:sz w:val="30"/>
      <w:szCs w:val="30"/>
    </w:rPr>
  </w:style>
  <w:style w:type="paragraph" w:customStyle="1" w:styleId="388">
    <w:name w:val="_Style 15"/>
    <w:basedOn w:val="1"/>
    <w:autoRedefine/>
    <w:qFormat/>
    <w:uiPriority w:val="0"/>
  </w:style>
  <w:style w:type="paragraph" w:customStyle="1" w:styleId="389">
    <w:name w:val="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autoRedefine/>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autoRedefine/>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autoRedefine/>
    <w:qFormat/>
    <w:uiPriority w:val="0"/>
    <w:pPr>
      <w:ind w:left="572" w:right="32" w:firstLine="478"/>
    </w:pPr>
    <w:rPr>
      <w:szCs w:val="21"/>
    </w:rPr>
  </w:style>
  <w:style w:type="paragraph" w:customStyle="1" w:styleId="397">
    <w:name w:val="Bullet w/Single Space"/>
    <w:basedOn w:val="1"/>
    <w:autoRedefine/>
    <w:qFormat/>
    <w:uiPriority w:val="0"/>
    <w:pPr>
      <w:widowControl/>
      <w:numPr>
        <w:ilvl w:val="0"/>
        <w:numId w:val="3"/>
      </w:numPr>
      <w:ind w:left="720"/>
      <w:jc w:val="left"/>
    </w:pPr>
    <w:rPr>
      <w:kern w:val="0"/>
      <w:sz w:val="24"/>
      <w:szCs w:val="20"/>
      <w:lang w:eastAsia="en-US"/>
    </w:rPr>
  </w:style>
  <w:style w:type="paragraph" w:customStyle="1" w:styleId="398">
    <w:name w:val="正文样式"/>
    <w:basedOn w:val="1"/>
    <w:autoRedefine/>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autoRedefine/>
    <w:qFormat/>
    <w:uiPriority w:val="0"/>
    <w:pPr>
      <w:spacing w:line="360" w:lineRule="auto"/>
      <w:ind w:hanging="420"/>
      <w:jc w:val="center"/>
    </w:pPr>
    <w:rPr>
      <w:sz w:val="24"/>
      <w:szCs w:val="20"/>
    </w:rPr>
  </w:style>
  <w:style w:type="paragraph" w:customStyle="1" w:styleId="400">
    <w:name w:val="font0"/>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autoRedefine/>
    <w:qFormat/>
    <w:uiPriority w:val="0"/>
  </w:style>
  <w:style w:type="paragraph" w:customStyle="1" w:styleId="402">
    <w:name w:val="z1"/>
    <w:basedOn w:val="1"/>
    <w:autoRedefine/>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autoRedefine/>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autoRedefine/>
    <w:qFormat/>
    <w:uiPriority w:val="0"/>
  </w:style>
  <w:style w:type="paragraph" w:customStyle="1" w:styleId="405">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autoRedefine/>
    <w:qFormat/>
    <w:uiPriority w:val="0"/>
    <w:pPr>
      <w:tabs>
        <w:tab w:val="right" w:leader="dot" w:pos="9458"/>
      </w:tabs>
    </w:pPr>
    <w:rPr>
      <w:i/>
    </w:rPr>
  </w:style>
  <w:style w:type="paragraph" w:customStyle="1" w:styleId="407">
    <w:name w:val="msolistparagraph"/>
    <w:basedOn w:val="1"/>
    <w:autoRedefine/>
    <w:qFormat/>
    <w:uiPriority w:val="0"/>
    <w:pPr>
      <w:ind w:firstLine="420" w:firstLineChars="200"/>
    </w:pPr>
    <w:rPr>
      <w:rFonts w:ascii="Calibri" w:hAnsi="Calibri"/>
      <w:szCs w:val="22"/>
    </w:rPr>
  </w:style>
  <w:style w:type="paragraph" w:customStyle="1" w:styleId="408">
    <w:name w:val="Char Char16 Char Char"/>
    <w:basedOn w:val="1"/>
    <w:autoRedefine/>
    <w:qFormat/>
    <w:uiPriority w:val="0"/>
    <w:rPr>
      <w:rFonts w:ascii="Tahoma" w:hAnsi="Tahoma"/>
      <w:sz w:val="24"/>
      <w:szCs w:val="20"/>
    </w:rPr>
  </w:style>
  <w:style w:type="paragraph" w:customStyle="1" w:styleId="409">
    <w:name w:val="正文内容"/>
    <w:basedOn w:val="1"/>
    <w:autoRedefine/>
    <w:qFormat/>
    <w:uiPriority w:val="0"/>
    <w:rPr>
      <w:rFonts w:ascii="Arial" w:hAnsi="Arial"/>
      <w:spacing w:val="-12"/>
      <w:szCs w:val="20"/>
    </w:rPr>
  </w:style>
  <w:style w:type="paragraph" w:customStyle="1" w:styleId="410">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autoRedefine/>
    <w:qFormat/>
    <w:uiPriority w:val="0"/>
    <w:rPr>
      <w:rFonts w:ascii="Times New Roman" w:hAnsi="Times New Roman" w:eastAsia="宋体" w:cs="Times New Roman"/>
      <w:lang w:val="en-US" w:eastAsia="zh-CN" w:bidi="ar-SA"/>
    </w:rPr>
  </w:style>
  <w:style w:type="paragraph" w:customStyle="1" w:styleId="413">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autoRedefine/>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autoRedefine/>
    <w:qFormat/>
    <w:uiPriority w:val="0"/>
  </w:style>
  <w:style w:type="paragraph" w:customStyle="1" w:styleId="419">
    <w:name w:val="xl3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autoRedefine/>
    <w:qFormat/>
    <w:uiPriority w:val="0"/>
    <w:pPr>
      <w:spacing w:before="120" w:after="120"/>
    </w:pPr>
    <w:rPr>
      <w:rFonts w:ascii="宋体"/>
      <w:b/>
      <w:sz w:val="28"/>
    </w:rPr>
  </w:style>
  <w:style w:type="paragraph" w:customStyle="1" w:styleId="422">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autoRedefine/>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autoRedefine/>
    <w:qFormat/>
    <w:uiPriority w:val="0"/>
    <w:pPr>
      <w:ind w:left="980" w:hanging="420"/>
    </w:pPr>
    <w:rPr>
      <w:sz w:val="24"/>
    </w:rPr>
  </w:style>
  <w:style w:type="paragraph" w:customStyle="1" w:styleId="426">
    <w:name w:val="xl47"/>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autoRedefine/>
    <w:qFormat/>
    <w:uiPriority w:val="0"/>
    <w:pPr>
      <w:ind w:firstLine="480" w:firstLineChars="200"/>
    </w:pPr>
    <w:rPr>
      <w:rFonts w:cs="宋体"/>
      <w:szCs w:val="20"/>
    </w:rPr>
  </w:style>
  <w:style w:type="paragraph" w:customStyle="1" w:styleId="429">
    <w:name w:val="xl3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autoRedefine/>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autoRedefine/>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autoRedefine/>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autoRedefine/>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autoRedefine/>
    <w:qFormat/>
    <w:uiPriority w:val="34"/>
    <w:rPr>
      <w:kern w:val="2"/>
      <w:sz w:val="21"/>
      <w:szCs w:val="24"/>
    </w:rPr>
  </w:style>
  <w:style w:type="paragraph" w:styleId="455">
    <w:name w:val="List Paragraph"/>
    <w:basedOn w:val="1"/>
    <w:link w:val="454"/>
    <w:autoRedefine/>
    <w:qFormat/>
    <w:uiPriority w:val="34"/>
    <w:pPr>
      <w:ind w:firstLine="420" w:firstLineChars="200"/>
    </w:pPr>
  </w:style>
  <w:style w:type="paragraph" w:customStyle="1" w:styleId="456">
    <w:name w:val="yiv1649619028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autoRedefine/>
    <w:qFormat/>
    <w:uiPriority w:val="0"/>
    <w:pPr>
      <w:spacing w:afterLines="20"/>
      <w:ind w:firstLine="1446" w:firstLineChars="200"/>
    </w:pPr>
    <w:rPr>
      <w:rFonts w:ascii="Calibri" w:hAnsi="Calibri"/>
      <w:sz w:val="24"/>
    </w:rPr>
  </w:style>
  <w:style w:type="character" w:customStyle="1" w:styleId="458">
    <w:name w:val="正文文本 3 Char"/>
    <w:basedOn w:val="52"/>
    <w:link w:val="19"/>
    <w:autoRedefine/>
    <w:qFormat/>
    <w:uiPriority w:val="0"/>
    <w:rPr>
      <w:kern w:val="2"/>
      <w:sz w:val="16"/>
      <w:szCs w:val="16"/>
    </w:rPr>
  </w:style>
  <w:style w:type="character" w:customStyle="1" w:styleId="459">
    <w:name w:val="content"/>
    <w:basedOn w:val="52"/>
    <w:autoRedefine/>
    <w:qFormat/>
    <w:uiPriority w:val="0"/>
  </w:style>
  <w:style w:type="character" w:customStyle="1" w:styleId="460">
    <w:name w:val="ca-3"/>
    <w:basedOn w:val="52"/>
    <w:autoRedefine/>
    <w:qFormat/>
    <w:uiPriority w:val="0"/>
  </w:style>
  <w:style w:type="character" w:customStyle="1" w:styleId="461">
    <w:name w:val="textcontents1"/>
    <w:autoRedefine/>
    <w:qFormat/>
    <w:uiPriority w:val="0"/>
    <w:rPr>
      <w:rFonts w:hint="default" w:ascii="ˎ̥" w:hAnsi="ˎ̥"/>
      <w:sz w:val="21"/>
      <w:szCs w:val="21"/>
    </w:rPr>
  </w:style>
  <w:style w:type="character" w:customStyle="1" w:styleId="462">
    <w:name w:val="脚注文本 Char1"/>
    <w:autoRedefine/>
    <w:qFormat/>
    <w:uiPriority w:val="0"/>
    <w:rPr>
      <w:kern w:val="2"/>
      <w:sz w:val="18"/>
      <w:szCs w:val="18"/>
    </w:rPr>
  </w:style>
  <w:style w:type="character" w:customStyle="1" w:styleId="463">
    <w:name w:val="脚注文本 Char"/>
    <w:link w:val="38"/>
    <w:autoRedefine/>
    <w:qFormat/>
    <w:uiPriority w:val="0"/>
    <w:rPr>
      <w:kern w:val="2"/>
      <w:sz w:val="18"/>
      <w:szCs w:val="18"/>
    </w:rPr>
  </w:style>
  <w:style w:type="character" w:customStyle="1" w:styleId="464">
    <w:name w:val="正文首行缩进（绿盟科技） Char"/>
    <w:link w:val="465"/>
    <w:autoRedefine/>
    <w:qFormat/>
    <w:uiPriority w:val="0"/>
    <w:rPr>
      <w:rFonts w:ascii="Arial" w:hAnsi="Arial"/>
      <w:szCs w:val="21"/>
    </w:rPr>
  </w:style>
  <w:style w:type="paragraph" w:customStyle="1" w:styleId="465">
    <w:name w:val="正文首行缩进（绿盟科技）"/>
    <w:basedOn w:val="1"/>
    <w:link w:val="464"/>
    <w:autoRedefine/>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autoRedefine/>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autoRedefine/>
    <w:qFormat/>
    <w:uiPriority w:val="0"/>
  </w:style>
  <w:style w:type="character" w:customStyle="1" w:styleId="470">
    <w:name w:val="apple-style-span"/>
    <w:basedOn w:val="52"/>
    <w:autoRedefine/>
    <w:qFormat/>
    <w:uiPriority w:val="0"/>
  </w:style>
  <w:style w:type="paragraph" w:customStyle="1" w:styleId="471">
    <w:name w:val="缺省文本"/>
    <w:basedOn w:val="1"/>
    <w:autoRedefine/>
    <w:qFormat/>
    <w:uiPriority w:val="0"/>
    <w:pPr>
      <w:autoSpaceDE w:val="0"/>
      <w:autoSpaceDN w:val="0"/>
      <w:adjustRightInd w:val="0"/>
      <w:jc w:val="left"/>
    </w:pPr>
    <w:rPr>
      <w:kern w:val="0"/>
      <w:sz w:val="24"/>
    </w:rPr>
  </w:style>
  <w:style w:type="paragraph" w:customStyle="1" w:styleId="472">
    <w:name w:val="xl62"/>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autoRedefine/>
    <w:qFormat/>
    <w:uiPriority w:val="0"/>
    <w:pPr>
      <w:widowControl/>
      <w:spacing w:after="160" w:line="240" w:lineRule="exact"/>
      <w:jc w:val="left"/>
    </w:pPr>
  </w:style>
  <w:style w:type="paragraph" w:customStyle="1" w:styleId="476">
    <w:name w:val="USE 1"/>
    <w:basedOn w:val="1"/>
    <w:autoRedefine/>
    <w:qFormat/>
    <w:uiPriority w:val="0"/>
    <w:pPr>
      <w:spacing w:line="200" w:lineRule="atLeast"/>
      <w:jc w:val="left"/>
    </w:pPr>
    <w:rPr>
      <w:rFonts w:ascii="宋体" w:hAnsi="宋体"/>
      <w:b/>
      <w:sz w:val="24"/>
      <w:szCs w:val="28"/>
    </w:rPr>
  </w:style>
  <w:style w:type="paragraph" w:customStyle="1" w:styleId="477">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autoRedefine/>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autoRedefine/>
    <w:semiHidden/>
    <w:qFormat/>
    <w:uiPriority w:val="0"/>
    <w:rPr>
      <w:kern w:val="2"/>
      <w:sz w:val="18"/>
      <w:szCs w:val="18"/>
    </w:rPr>
  </w:style>
  <w:style w:type="paragraph" w:customStyle="1" w:styleId="482">
    <w:name w:val="_Style 56"/>
    <w:basedOn w:val="1"/>
    <w:next w:val="26"/>
    <w:autoRedefine/>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autoRedefine/>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autoRedefine/>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autoRedefine/>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autoRedefine/>
    <w:qFormat/>
    <w:uiPriority w:val="0"/>
    <w:pPr>
      <w:widowControl/>
      <w:spacing w:after="160" w:line="240" w:lineRule="exact"/>
      <w:jc w:val="left"/>
    </w:pPr>
  </w:style>
  <w:style w:type="paragraph" w:customStyle="1" w:styleId="490">
    <w:name w:val="_Style 50"/>
    <w:basedOn w:val="1"/>
    <w:next w:val="29"/>
    <w:autoRedefine/>
    <w:qFormat/>
    <w:uiPriority w:val="0"/>
    <w:pPr>
      <w:adjustRightInd w:val="0"/>
      <w:snapToGrid w:val="0"/>
      <w:spacing w:line="300" w:lineRule="auto"/>
      <w:ind w:firstLine="630" w:firstLineChars="300"/>
    </w:pPr>
    <w:rPr>
      <w:snapToGrid w:val="0"/>
      <w:kern w:val="0"/>
    </w:rPr>
  </w:style>
  <w:style w:type="paragraph" w:customStyle="1" w:styleId="491">
    <w:name w:val="修订2"/>
    <w:autoRedefine/>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autoRedefine/>
    <w:qFormat/>
    <w:uiPriority w:val="0"/>
    <w:rPr>
      <w:rFonts w:ascii="宋体" w:hAnsi="Courier New"/>
      <w:szCs w:val="20"/>
    </w:rPr>
  </w:style>
  <w:style w:type="paragraph" w:customStyle="1" w:styleId="495">
    <w:name w:val="Char Char Char"/>
    <w:basedOn w:val="1"/>
    <w:autoRedefine/>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autoRedefine/>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autoRedefine/>
    <w:qFormat/>
    <w:uiPriority w:val="0"/>
    <w:pPr>
      <w:adjustRightInd w:val="0"/>
      <w:snapToGrid w:val="0"/>
      <w:spacing w:line="300" w:lineRule="auto"/>
      <w:ind w:firstLine="630" w:firstLineChars="300"/>
    </w:pPr>
    <w:rPr>
      <w:snapToGrid w:val="0"/>
      <w:kern w:val="0"/>
    </w:rPr>
  </w:style>
  <w:style w:type="paragraph" w:customStyle="1" w:styleId="503">
    <w:name w:val="xl5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纯文本 Char2"/>
    <w:autoRedefine/>
    <w:qFormat/>
    <w:uiPriority w:val="99"/>
    <w:rPr>
      <w:rFonts w:ascii="宋体" w:hAnsi="Courier New"/>
      <w:kern w:val="2"/>
      <w:sz w:val="21"/>
    </w:rPr>
  </w:style>
  <w:style w:type="paragraph" w:customStyle="1" w:styleId="506">
    <w:name w:val="BodyText"/>
    <w:basedOn w:val="1"/>
    <w:next w:val="1"/>
    <w:autoRedefine/>
    <w:qFormat/>
    <w:uiPriority w:val="0"/>
    <w:pPr>
      <w:jc w:val="left"/>
      <w:textAlignment w:val="baseline"/>
    </w:pPr>
    <w:rPr>
      <w:rFonts w:eastAsia="仿宋"/>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102"/>
    <customShpInfo spid="_x0000_s3103"/>
    <customShpInfo spid="_x0000_s3101"/>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32C28A-7F13-4836-ADE3-C6659AE6BC07}">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84</Pages>
  <Words>50661</Words>
  <Characters>54973</Characters>
  <Lines>441</Lines>
  <Paragraphs>124</Paragraphs>
  <TotalTime>0</TotalTime>
  <ScaleCrop>false</ScaleCrop>
  <LinksUpToDate>false</LinksUpToDate>
  <CharactersWithSpaces>57342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中正招标罗敏仪</cp:lastModifiedBy>
  <cp:lastPrinted>2020-05-26T01:03:00Z</cp:lastPrinted>
  <dcterms:modified xsi:type="dcterms:W3CDTF">2024-04-02T07:54:28Z</dcterms:modified>
  <dc:title>招标编号：UHO2010-G0029</dc:title>
  <cp:revision>665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6A6C1E1828F04A5CACD946AD466EC4A4</vt:lpwstr>
  </property>
</Properties>
</file>