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spacing w:before="0" w:line="360" w:lineRule="auto"/>
        <w:jc w:val="center"/>
        <w:rPr>
          <w:rFonts w:hint="eastAsia"/>
          <w:snapToGrid w:val="0"/>
          <w:kern w:val="0"/>
          <w:sz w:val="36"/>
          <w:szCs w:val="36"/>
        </w:rPr>
      </w:pPr>
      <w:r>
        <w:rPr>
          <w:rFonts w:hint="eastAsia"/>
          <w:snapToGrid w:val="0"/>
          <w:kern w:val="0"/>
          <w:sz w:val="36"/>
          <w:szCs w:val="36"/>
        </w:rPr>
        <w:t>招标项目要求</w:t>
      </w:r>
    </w:p>
    <w:p>
      <w:pPr>
        <w:spacing w:line="360" w:lineRule="auto"/>
        <w:rPr>
          <w:rFonts w:ascii="宋体" w:hAnsi="宋体"/>
          <w:b/>
          <w:bCs/>
          <w:sz w:val="24"/>
        </w:rPr>
      </w:pPr>
      <w:bookmarkStart w:id="0" w:name="OLE_LINK1"/>
      <w:r>
        <w:rPr>
          <w:rFonts w:hint="eastAsia" w:ascii="宋体" w:hAnsi="宋体"/>
          <w:b/>
          <w:bCs/>
          <w:sz w:val="24"/>
        </w:rPr>
        <w:t>一、服务需求一览表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3838"/>
        <w:gridCol w:w="1213"/>
        <w:gridCol w:w="256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trPr>
        <w:tc>
          <w:tcPr>
            <w:tcW w:w="615"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adjustRightInd w:val="0"/>
              <w:snapToGrid w:val="0"/>
              <w:spacing w:line="360" w:lineRule="auto"/>
              <w:jc w:val="center"/>
              <w:textAlignment w:val="baseline"/>
              <w:rPr>
                <w:rFonts w:hint="eastAsia" w:ascii="宋体" w:hAnsi="宋体"/>
                <w:szCs w:val="21"/>
              </w:rPr>
            </w:pPr>
            <w:r>
              <w:rPr>
                <w:rFonts w:hint="eastAsia" w:ascii="宋体" w:hAnsi="宋体"/>
                <w:szCs w:val="21"/>
              </w:rPr>
              <w:t>序号</w:t>
            </w:r>
          </w:p>
        </w:tc>
        <w:tc>
          <w:tcPr>
            <w:tcW w:w="3838"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adjustRightInd w:val="0"/>
              <w:snapToGrid w:val="0"/>
              <w:spacing w:line="360" w:lineRule="auto"/>
              <w:jc w:val="center"/>
              <w:textAlignment w:val="baseline"/>
              <w:rPr>
                <w:rFonts w:hint="eastAsia" w:ascii="宋体" w:hAnsi="宋体"/>
                <w:szCs w:val="21"/>
              </w:rPr>
            </w:pPr>
            <w:r>
              <w:rPr>
                <w:rFonts w:hint="eastAsia" w:ascii="宋体" w:hAnsi="宋体"/>
                <w:szCs w:val="21"/>
              </w:rPr>
              <w:t>项目名称</w:t>
            </w:r>
          </w:p>
        </w:tc>
        <w:tc>
          <w:tcPr>
            <w:tcW w:w="1213"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adjustRightInd w:val="0"/>
              <w:snapToGrid w:val="0"/>
              <w:spacing w:line="360" w:lineRule="auto"/>
              <w:jc w:val="center"/>
              <w:textAlignment w:val="baseline"/>
              <w:rPr>
                <w:rFonts w:ascii="宋体" w:hAnsi="宋体"/>
                <w:szCs w:val="21"/>
              </w:rPr>
            </w:pPr>
            <w:r>
              <w:rPr>
                <w:rFonts w:hint="eastAsia" w:ascii="宋体" w:hAnsi="宋体"/>
                <w:szCs w:val="21"/>
              </w:rPr>
              <w:t>数量</w:t>
            </w:r>
          </w:p>
        </w:tc>
        <w:tc>
          <w:tcPr>
            <w:tcW w:w="2562"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adjustRightInd w:val="0"/>
              <w:snapToGrid w:val="0"/>
              <w:spacing w:line="360" w:lineRule="auto"/>
              <w:jc w:val="center"/>
              <w:textAlignment w:val="baseline"/>
              <w:rPr>
                <w:rFonts w:hint="eastAsia" w:ascii="宋体" w:hAnsi="宋体"/>
                <w:szCs w:val="21"/>
              </w:rPr>
            </w:pPr>
            <w:r>
              <w:rPr>
                <w:rFonts w:hint="eastAsia" w:ascii="宋体" w:hAnsi="宋体"/>
                <w:szCs w:val="21"/>
              </w:rPr>
              <w:t>采购预算最高限价（人民币/元）</w:t>
            </w:r>
          </w:p>
        </w:tc>
        <w:tc>
          <w:tcPr>
            <w:tcW w:w="1013" w:type="dxa"/>
            <w:tcBorders>
              <w:top w:val="single" w:color="auto" w:sz="4" w:space="0"/>
              <w:left w:val="single" w:color="auto" w:sz="4" w:space="0"/>
              <w:bottom w:val="single" w:color="auto" w:sz="4" w:space="0"/>
              <w:right w:val="single" w:color="auto" w:sz="4" w:space="0"/>
            </w:tcBorders>
            <w:shd w:val="clear" w:color="auto" w:fill="EEECE1"/>
            <w:noWrap w:val="0"/>
            <w:vAlign w:val="top"/>
          </w:tcPr>
          <w:p>
            <w:pPr>
              <w:adjustRightInd w:val="0"/>
              <w:snapToGrid w:val="0"/>
              <w:spacing w:line="360" w:lineRule="auto"/>
              <w:jc w:val="center"/>
              <w:textAlignment w:val="baseline"/>
              <w:rPr>
                <w:rFonts w:hint="eastAsia" w:ascii="宋体" w:hAnsi="宋体"/>
                <w:szCs w:val="21"/>
              </w:rPr>
            </w:pPr>
          </w:p>
          <w:p>
            <w:pPr>
              <w:adjustRightInd w:val="0"/>
              <w:snapToGrid w:val="0"/>
              <w:spacing w:line="360" w:lineRule="auto"/>
              <w:jc w:val="center"/>
              <w:textAlignment w:val="baseline"/>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6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textAlignment w:val="baseline"/>
              <w:rPr>
                <w:rFonts w:hint="eastAsia" w:ascii="宋体" w:hAnsi="宋体"/>
                <w:szCs w:val="21"/>
              </w:rPr>
            </w:pPr>
            <w:r>
              <w:rPr>
                <w:rFonts w:hint="eastAsia" w:ascii="宋体" w:hAnsi="宋体"/>
                <w:szCs w:val="21"/>
              </w:rPr>
              <w:t>1</w:t>
            </w:r>
          </w:p>
        </w:tc>
        <w:tc>
          <w:tcPr>
            <w:tcW w:w="3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textAlignment w:val="baseline"/>
              <w:rPr>
                <w:rFonts w:hint="eastAsia" w:ascii="宋体" w:hAnsi="宋体"/>
                <w:szCs w:val="21"/>
              </w:rPr>
            </w:pPr>
            <w:r>
              <w:rPr>
                <w:rFonts w:hint="eastAsia" w:ascii="宋体" w:hAnsi="宋体"/>
                <w:szCs w:val="21"/>
              </w:rPr>
              <w:t>中国电子口岸数据中心深圳分中心采购区块链产品服务项目</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textAlignment w:val="baseline"/>
              <w:rPr>
                <w:rFonts w:ascii="宋体" w:hAnsi="宋体"/>
                <w:szCs w:val="21"/>
              </w:rPr>
            </w:pPr>
            <w:r>
              <w:rPr>
                <w:rFonts w:hint="eastAsia" w:ascii="宋体" w:hAnsi="宋体"/>
                <w:szCs w:val="21"/>
              </w:rPr>
              <w:t>1项</w:t>
            </w:r>
          </w:p>
        </w:tc>
        <w:tc>
          <w:tcPr>
            <w:tcW w:w="2562" w:type="dxa"/>
            <w:tcBorders>
              <w:top w:val="single" w:color="auto" w:sz="4" w:space="0"/>
              <w:left w:val="single" w:color="auto" w:sz="4" w:space="0"/>
              <w:bottom w:val="single" w:color="auto" w:sz="4" w:space="0"/>
              <w:right w:val="single" w:color="auto" w:sz="4" w:space="0"/>
            </w:tcBorders>
            <w:noWrap w:val="0"/>
            <w:vAlign w:val="center"/>
          </w:tcPr>
          <w:p>
            <w:pPr>
              <w:keepNext/>
              <w:adjustRightInd w:val="0"/>
              <w:snapToGrid w:val="0"/>
              <w:spacing w:line="360" w:lineRule="auto"/>
              <w:jc w:val="center"/>
              <w:textAlignment w:val="center"/>
              <w:rPr>
                <w:rFonts w:ascii="宋体" w:hAnsi="宋体"/>
                <w:szCs w:val="21"/>
              </w:rPr>
            </w:pPr>
            <w:r>
              <w:rPr>
                <w:rFonts w:ascii="宋体" w:hAnsi="宋体"/>
                <w:szCs w:val="21"/>
              </w:rPr>
              <w:t>1,850,000.00</w:t>
            </w:r>
          </w:p>
        </w:tc>
        <w:tc>
          <w:tcPr>
            <w:tcW w:w="1013" w:type="dxa"/>
            <w:tcBorders>
              <w:top w:val="single" w:color="auto" w:sz="4" w:space="0"/>
              <w:left w:val="single" w:color="auto" w:sz="4" w:space="0"/>
              <w:bottom w:val="single" w:color="auto" w:sz="4" w:space="0"/>
              <w:right w:val="single" w:color="auto" w:sz="4" w:space="0"/>
            </w:tcBorders>
            <w:noWrap w:val="0"/>
            <w:vAlign w:val="top"/>
          </w:tcPr>
          <w:p>
            <w:pPr>
              <w:keepNext/>
              <w:adjustRightInd w:val="0"/>
              <w:snapToGrid w:val="0"/>
              <w:spacing w:line="360" w:lineRule="auto"/>
              <w:jc w:val="left"/>
              <w:textAlignment w:val="center"/>
              <w:rPr>
                <w:rFonts w:hint="eastAsia"/>
                <w:szCs w:val="21"/>
              </w:rPr>
            </w:pPr>
          </w:p>
        </w:tc>
      </w:tr>
    </w:tbl>
    <w:p>
      <w:pPr>
        <w:spacing w:line="360" w:lineRule="auto"/>
        <w:rPr>
          <w:rFonts w:hint="eastAsia" w:ascii="宋体" w:hAnsi="宋体" w:cs="宋体"/>
          <w:szCs w:val="21"/>
        </w:rPr>
      </w:pPr>
    </w:p>
    <w:p>
      <w:pPr>
        <w:pStyle w:val="4"/>
        <w:spacing w:line="360" w:lineRule="auto"/>
        <w:rPr>
          <w:rFonts w:ascii="宋体" w:hAnsi="宋体"/>
          <w:b/>
          <w:bCs/>
          <w:sz w:val="24"/>
        </w:rPr>
      </w:pPr>
      <w:r>
        <w:rPr>
          <w:rFonts w:hint="eastAsia" w:ascii="宋体" w:hAnsi="宋体"/>
          <w:b/>
          <w:bCs/>
          <w:sz w:val="24"/>
        </w:rPr>
        <w:t>二、项目概括</w:t>
      </w:r>
    </w:p>
    <w:p>
      <w:pPr>
        <w:spacing w:line="360" w:lineRule="auto"/>
        <w:rPr>
          <w:rFonts w:hint="eastAsia" w:ascii="宋体" w:hAnsi="宋体"/>
          <w:b/>
          <w:szCs w:val="21"/>
        </w:rPr>
      </w:pPr>
      <w:r>
        <w:rPr>
          <w:rFonts w:hint="eastAsia" w:ascii="宋体" w:hAnsi="宋体"/>
          <w:b/>
          <w:szCs w:val="21"/>
        </w:rPr>
        <w:t>1、采购项目的功能和目标</w:t>
      </w:r>
    </w:p>
    <w:p>
      <w:pPr>
        <w:pStyle w:val="4"/>
        <w:spacing w:line="360" w:lineRule="auto"/>
        <w:ind w:firstLine="420" w:firstLineChars="200"/>
        <w:rPr>
          <w:rFonts w:hint="eastAsia"/>
        </w:rPr>
      </w:pPr>
      <w:r>
        <w:rPr>
          <w:rFonts w:hint="eastAsia"/>
        </w:rPr>
        <w:t>数据分中心为适应社会经济发展和地方发展规划，落实粤港澳大湾区和深圳社会主义先行示范区的“双区”建设要求，以实现数据分中心对企服务产品数据服务功能的数据共享安全、数据使用可溯等需求，切实提升对企服务成效，现拟通过采购行业先进和成熟的区块链产品，搭建基于区块链技术的可信数据共享平台，为企业提供切实的数据服务安全保障，同时也为本地信息化应用功能拓展提供支撑。</w:t>
      </w:r>
    </w:p>
    <w:p>
      <w:pPr>
        <w:pStyle w:val="4"/>
        <w:numPr>
          <w:ilvl w:val="0"/>
          <w:numId w:val="1"/>
        </w:numPr>
        <w:spacing w:line="360" w:lineRule="auto"/>
        <w:rPr>
          <w:rFonts w:hint="eastAsia"/>
          <w:b/>
          <w:bCs/>
        </w:rPr>
      </w:pPr>
      <w:r>
        <w:rPr>
          <w:rFonts w:hint="eastAsia"/>
          <w:b/>
          <w:bCs/>
        </w:rPr>
        <w:t>采购项目需实现的政府采购政策目标</w:t>
      </w:r>
    </w:p>
    <w:p>
      <w:pPr>
        <w:pStyle w:val="4"/>
        <w:spacing w:line="360" w:lineRule="auto"/>
        <w:ind w:firstLine="420" w:firstLineChars="200"/>
        <w:rPr>
          <w:rFonts w:hint="eastAsia"/>
        </w:rPr>
      </w:pPr>
      <w:r>
        <w:rPr>
          <w:rFonts w:hint="eastAsia"/>
        </w:rPr>
        <w:t>本项目需实现的政府采购政策目标是加强支出管理，提高资金使用效率。</w:t>
      </w:r>
    </w:p>
    <w:p>
      <w:pPr>
        <w:pStyle w:val="4"/>
        <w:numPr>
          <w:ilvl w:val="0"/>
          <w:numId w:val="1"/>
        </w:numPr>
        <w:spacing w:line="360" w:lineRule="auto"/>
        <w:rPr>
          <w:rFonts w:hint="eastAsia"/>
          <w:b/>
          <w:bCs/>
        </w:rPr>
      </w:pPr>
      <w:r>
        <w:rPr>
          <w:rFonts w:hint="eastAsia"/>
          <w:b/>
          <w:bCs/>
        </w:rPr>
        <w:t>预算绩效目标</w:t>
      </w:r>
    </w:p>
    <w:p>
      <w:pPr>
        <w:pStyle w:val="4"/>
        <w:spacing w:line="360" w:lineRule="auto"/>
        <w:ind w:firstLine="420" w:firstLineChars="200"/>
      </w:pPr>
      <w:r>
        <w:t>本项目执行的是“通关信息化服务费”专项资金，已纳入2023年预算，在海关总署政府采购计划管理系统进行上报。本项目支付方式为分期付款，共3期，本项目预计2023年6月实施采购。</w:t>
      </w:r>
    </w:p>
    <w:p>
      <w:pPr>
        <w:pStyle w:val="4"/>
        <w:spacing w:line="360" w:lineRule="auto"/>
        <w:ind w:firstLine="420" w:firstLineChars="200"/>
      </w:pPr>
      <w:r>
        <w:t>通过采购行业先进和成熟的区块链产品，搭建基于区块链技术的可信数据共享平台，以落实海关总署和深圳海关关于数字化、“三智”发展的工作要求，推进海关总署“十四五”海关科技发展规划。实现数据分中心对企服务产品数据服务功能的数据共享安全、数据使用可溯等需求，为企业提供切实的数据服务安全保障，同时也为本地信息化应用功能拓展提供支撑。</w:t>
      </w:r>
    </w:p>
    <w:p>
      <w:pPr>
        <w:pStyle w:val="4"/>
        <w:spacing w:line="360" w:lineRule="auto"/>
        <w:rPr>
          <w:rFonts w:hint="eastAsia" w:ascii="宋体" w:hAnsi="宋体"/>
          <w:b/>
          <w:bCs/>
          <w:sz w:val="24"/>
        </w:rPr>
      </w:pPr>
    </w:p>
    <w:p>
      <w:pPr>
        <w:pStyle w:val="4"/>
        <w:spacing w:line="360" w:lineRule="auto"/>
        <w:rPr>
          <w:rFonts w:ascii="宋体" w:hAnsi="宋体"/>
          <w:b/>
          <w:bCs/>
          <w:sz w:val="24"/>
        </w:rPr>
      </w:pPr>
      <w:r>
        <w:rPr>
          <w:rFonts w:hint="eastAsia" w:ascii="宋体" w:hAnsi="宋体"/>
          <w:b/>
          <w:bCs/>
          <w:sz w:val="24"/>
        </w:rPr>
        <w:t>三、采购需求</w:t>
      </w:r>
    </w:p>
    <w:p>
      <w:pPr>
        <w:spacing w:line="560" w:lineRule="exact"/>
        <w:outlineLvl w:val="0"/>
      </w:pPr>
      <w:r>
        <w:rPr>
          <w:rFonts w:hint="eastAsia"/>
        </w:rPr>
        <w:t>1、区块链产品功能需求</w:t>
      </w:r>
    </w:p>
    <w:p>
      <w:pPr>
        <w:spacing w:line="560" w:lineRule="exact"/>
        <w:outlineLvl w:val="1"/>
      </w:pPr>
      <w:r>
        <w:rPr>
          <w:rFonts w:hint="eastAsia"/>
        </w:rPr>
        <w:t>1.1  区块链底层链</w:t>
      </w:r>
    </w:p>
    <w:p>
      <w:pPr>
        <w:spacing w:line="560" w:lineRule="exact"/>
        <w:ind w:firstLine="420" w:firstLineChars="200"/>
      </w:pPr>
      <w:r>
        <w:rPr>
          <w:rFonts w:hint="eastAsia"/>
        </w:rPr>
        <w:t>提供区块链基础服务平台节点使用底层链的使用许可，承诺提供相应的技术支持服务，并具备且不限于如下功能：</w:t>
      </w:r>
    </w:p>
    <w:p>
      <w:pPr>
        <w:spacing w:line="560" w:lineRule="exact"/>
        <w:outlineLvl w:val="2"/>
      </w:pPr>
      <w:r>
        <w:rPr>
          <w:rFonts w:hint="eastAsia"/>
        </w:rPr>
        <w:t>1.1.1  组网管理</w:t>
      </w:r>
    </w:p>
    <w:p>
      <w:pPr>
        <w:spacing w:line="560" w:lineRule="exact"/>
      </w:pPr>
      <w:r>
        <w:rPr>
          <w:rFonts w:hint="eastAsia"/>
        </w:rPr>
        <w:t>（1）身份管理：基于CA证书完成节点身份识别和认证，控制该账户SDK的调用。</w:t>
      </w:r>
    </w:p>
    <w:p>
      <w:pPr>
        <w:spacing w:line="560" w:lineRule="exact"/>
      </w:pPr>
      <w:r>
        <w:rPr>
          <w:rFonts w:hint="eastAsia"/>
        </w:rPr>
        <w:t>（2）网络安全：节点与节点间、节点与客户端之间均采用端到端的传输层安全协议TLS进行通信。</w:t>
      </w:r>
    </w:p>
    <w:p>
      <w:pPr>
        <w:spacing w:line="560" w:lineRule="exact"/>
      </w:pPr>
      <w:r>
        <w:rPr>
          <w:rFonts w:hint="eastAsia"/>
        </w:rPr>
        <w:t>（3）</w:t>
      </w:r>
      <w:r>
        <w:t xml:space="preserve"> P2P</w:t>
      </w:r>
      <w:r>
        <w:rPr>
          <w:rFonts w:hint="eastAsia"/>
        </w:rPr>
        <w:t>网络：支持包含共识节点和非共识节点，并且实现读写分离。</w:t>
      </w:r>
    </w:p>
    <w:p>
      <w:pPr>
        <w:spacing w:line="560" w:lineRule="exact"/>
      </w:pPr>
      <w:r>
        <w:rPr>
          <w:rFonts w:hint="eastAsia"/>
        </w:rPr>
        <w:t>（4）动态子网：支持联盟内配置不同子网，一个参与方可参与建立多条子网。</w:t>
      </w:r>
    </w:p>
    <w:p>
      <w:pPr>
        <w:spacing w:line="560" w:lineRule="exact"/>
        <w:outlineLvl w:val="2"/>
      </w:pPr>
      <w:r>
        <w:t>1.1.2</w:t>
      </w:r>
      <w:r>
        <w:rPr>
          <w:rFonts w:hint="eastAsia"/>
        </w:rPr>
        <w:t>数据管理</w:t>
      </w:r>
    </w:p>
    <w:p>
      <w:pPr>
        <w:spacing w:line="560" w:lineRule="exact"/>
      </w:pPr>
      <w:r>
        <w:rPr>
          <w:rFonts w:hint="eastAsia"/>
        </w:rPr>
        <w:t>（1）数据存储：支持本地文件系统的KV数据库存储。支持对不同类型的数据分开存储，包括历史数据，状态数据，区块数据。</w:t>
      </w:r>
    </w:p>
    <w:p>
      <w:pPr>
        <w:spacing w:line="560" w:lineRule="exact"/>
      </w:pPr>
      <w:r>
        <w:rPr>
          <w:rFonts w:hint="eastAsia"/>
        </w:rPr>
        <w:t>（2）历史数据：支持历史数据查询，能够查询到状态数据历史记录。</w:t>
      </w:r>
    </w:p>
    <w:p>
      <w:pPr>
        <w:spacing w:line="560" w:lineRule="exact"/>
      </w:pPr>
      <w:r>
        <w:rPr>
          <w:rFonts w:hint="eastAsia"/>
        </w:rPr>
        <w:t>（3）数据归档：支持区块链数据归档，可通过归档工具，对历史区块数据进行归档。</w:t>
      </w:r>
    </w:p>
    <w:p>
      <w:pPr>
        <w:spacing w:line="560" w:lineRule="exact"/>
      </w:pPr>
      <w:r>
        <w:rPr>
          <w:rFonts w:hint="eastAsia"/>
        </w:rPr>
        <w:t>（4）开放存储：支持链上区块数据实时写入结构化数据库，包括但不限于MySQL，LevelDB、BadgerDB。</w:t>
      </w:r>
    </w:p>
    <w:p>
      <w:pPr>
        <w:spacing w:line="560" w:lineRule="exact"/>
        <w:outlineLvl w:val="2"/>
      </w:pPr>
      <w:r>
        <w:t xml:space="preserve">1.1.3 </w:t>
      </w:r>
      <w:r>
        <w:rPr>
          <w:rFonts w:hint="eastAsia"/>
        </w:rPr>
        <w:t>安全保护与数据隐私</w:t>
      </w:r>
    </w:p>
    <w:p>
      <w:pPr>
        <w:spacing w:line="560" w:lineRule="exact"/>
      </w:pPr>
      <w:r>
        <w:rPr>
          <w:rFonts w:hint="eastAsia"/>
        </w:rPr>
        <w:t>（1）数据安全：能够使用私钥对交易进行签名，保障交易安全；对存储数据进行多节点同步复制。</w:t>
      </w:r>
    </w:p>
    <w:p>
      <w:pPr>
        <w:spacing w:line="560" w:lineRule="exact"/>
      </w:pPr>
      <w:r>
        <w:rPr>
          <w:rFonts w:hint="eastAsia"/>
        </w:rPr>
        <w:t>（2）密码学组件：支持密码杂凑算法（即Hash算法）、非对称加解密算法、对称加解密算法等多种算法；对SM2/SM3/SM4国密算法进行支持。</w:t>
      </w:r>
    </w:p>
    <w:p>
      <w:pPr>
        <w:spacing w:line="560" w:lineRule="exact"/>
      </w:pPr>
      <w:r>
        <w:rPr>
          <w:rFonts w:hint="eastAsia"/>
        </w:rPr>
        <w:t>（3）数据隔离管理：支持通过多种方式实现数据隔离，如子链，通道，私有交易等。</w:t>
      </w:r>
    </w:p>
    <w:p>
      <w:pPr>
        <w:spacing w:line="560" w:lineRule="exact"/>
        <w:outlineLvl w:val="2"/>
      </w:pPr>
      <w:r>
        <w:t xml:space="preserve">1.1.4 </w:t>
      </w:r>
      <w:r>
        <w:rPr>
          <w:rFonts w:hint="eastAsia"/>
        </w:rPr>
        <w:t>共识管理</w:t>
      </w:r>
    </w:p>
    <w:p>
      <w:pPr>
        <w:spacing w:line="560" w:lineRule="exact"/>
      </w:pPr>
      <w:r>
        <w:rPr>
          <w:rFonts w:hint="eastAsia"/>
        </w:rPr>
        <w:t>（1）共识类型：支持多种共识机制，可根据实际需要，在创建链时配置所需的共识机制。包括：PBFT共识，Raft共识，DPoS共识。</w:t>
      </w:r>
    </w:p>
    <w:p>
      <w:pPr>
        <w:spacing w:line="560" w:lineRule="exact"/>
      </w:pPr>
      <w:r>
        <w:rPr>
          <w:rFonts w:hint="eastAsia"/>
        </w:rPr>
        <w:t>（2）共识节点规模：要支持1</w:t>
      </w:r>
      <w:r>
        <w:t>00+</w:t>
      </w:r>
      <w:r>
        <w:rPr>
          <w:rFonts w:hint="eastAsia"/>
        </w:rPr>
        <w:t>共识节点。</w:t>
      </w:r>
    </w:p>
    <w:p>
      <w:pPr>
        <w:spacing w:line="560" w:lineRule="exact"/>
        <w:outlineLvl w:val="2"/>
      </w:pPr>
      <w:r>
        <w:t xml:space="preserve">1.1.5 </w:t>
      </w:r>
      <w:r>
        <w:rPr>
          <w:rFonts w:hint="eastAsia"/>
        </w:rPr>
        <w:t>智能合约引擎</w:t>
      </w:r>
    </w:p>
    <w:p>
      <w:pPr>
        <w:spacing w:line="560" w:lineRule="exact"/>
      </w:pPr>
      <w:r>
        <w:rPr>
          <w:rFonts w:hint="eastAsia"/>
        </w:rPr>
        <w:t>（1）合约类型：提供多种合约虚拟机，支持多种合约类型。</w:t>
      </w:r>
    </w:p>
    <w:p>
      <w:pPr>
        <w:spacing w:line="560" w:lineRule="exact"/>
      </w:pPr>
      <w:r>
        <w:rPr>
          <w:rFonts w:hint="eastAsia"/>
        </w:rPr>
        <w:t>（2）多合约语言：支持Solidity、C++、Go等作为合约语言。</w:t>
      </w:r>
    </w:p>
    <w:p>
      <w:pPr>
        <w:spacing w:line="560" w:lineRule="exact"/>
        <w:outlineLvl w:val="2"/>
      </w:pPr>
      <w:bookmarkStart w:id="1" w:name="_Hlk124500768"/>
      <w:r>
        <w:t xml:space="preserve">1.1.6 </w:t>
      </w:r>
      <w:r>
        <w:rPr>
          <w:rFonts w:hint="eastAsia"/>
        </w:rPr>
        <w:t>开发支持</w:t>
      </w:r>
    </w:p>
    <w:bookmarkEnd w:id="1"/>
    <w:p>
      <w:pPr>
        <w:spacing w:line="560" w:lineRule="exact"/>
      </w:pPr>
      <w:r>
        <w:rPr>
          <w:rFonts w:hint="eastAsia"/>
        </w:rPr>
        <w:t>（1）多种网络交互能力：提供开发SDK，支持同步、异步方式与区块链网络交互。</w:t>
      </w:r>
    </w:p>
    <w:p>
      <w:pPr>
        <w:spacing w:line="560" w:lineRule="exact"/>
      </w:pPr>
      <w:r>
        <w:rPr>
          <w:rFonts w:hint="eastAsia"/>
        </w:rPr>
        <w:t>（2）多开发语言支持：SDK支持Go、Java、JavaScript、python等开发语言的集成</w:t>
      </w:r>
    </w:p>
    <w:p>
      <w:pPr>
        <w:spacing w:line="560" w:lineRule="exact"/>
        <w:outlineLvl w:val="1"/>
      </w:pPr>
      <w:r>
        <w:t xml:space="preserve">1.2 </w:t>
      </w:r>
      <w:r>
        <w:rPr>
          <w:rFonts w:hint="eastAsia"/>
        </w:rPr>
        <w:t>跨链平台</w:t>
      </w:r>
    </w:p>
    <w:p>
      <w:pPr>
        <w:spacing w:line="560" w:lineRule="exact"/>
        <w:outlineLvl w:val="2"/>
      </w:pPr>
      <w:r>
        <w:t>1.2.</w:t>
      </w:r>
      <w:r>
        <w:rPr>
          <w:rFonts w:hint="eastAsia"/>
        </w:rPr>
        <w:t>1</w:t>
      </w:r>
      <w:r>
        <w:t xml:space="preserve"> </w:t>
      </w:r>
      <w:r>
        <w:rPr>
          <w:rFonts w:hint="eastAsia"/>
        </w:rPr>
        <w:t>跨链能力：要支持三种以上区块链之间的同构链和异构链跨链。</w:t>
      </w:r>
    </w:p>
    <w:p>
      <w:pPr>
        <w:spacing w:line="560" w:lineRule="exact"/>
        <w:outlineLvl w:val="2"/>
      </w:pPr>
      <w:r>
        <w:t>1.2.</w:t>
      </w:r>
      <w:r>
        <w:rPr>
          <w:rFonts w:hint="eastAsia"/>
        </w:rPr>
        <w:t>2</w:t>
      </w:r>
      <w:r>
        <w:t xml:space="preserve"> </w:t>
      </w:r>
      <w:r>
        <w:rPr>
          <w:rFonts w:hint="eastAsia"/>
        </w:rPr>
        <w:t>跨链方式：该服务支持通过跨链网关或者轻节点方式验证交易。</w:t>
      </w:r>
    </w:p>
    <w:p>
      <w:pPr>
        <w:spacing w:line="560" w:lineRule="exact"/>
        <w:outlineLvl w:val="2"/>
      </w:pPr>
      <w:r>
        <w:t>1.</w:t>
      </w:r>
      <w:r>
        <w:rPr>
          <w:rFonts w:hint="eastAsia"/>
        </w:rPr>
        <w:t>2</w:t>
      </w:r>
      <w:r>
        <w:t>.</w:t>
      </w:r>
      <w:r>
        <w:rPr>
          <w:rFonts w:hint="eastAsia"/>
        </w:rPr>
        <w:t>3</w:t>
      </w:r>
      <w:r>
        <w:t xml:space="preserve"> </w:t>
      </w:r>
      <w:r>
        <w:rPr>
          <w:rFonts w:hint="eastAsia"/>
        </w:rPr>
        <w:t>跨链合约：支持在链接的链中部署跨链合约，监听跨链合约事件。</w:t>
      </w:r>
    </w:p>
    <w:p>
      <w:pPr>
        <w:spacing w:line="560" w:lineRule="exact"/>
        <w:outlineLvl w:val="1"/>
        <w:rPr>
          <w:rFonts w:hint="eastAsia"/>
        </w:rPr>
      </w:pPr>
      <w:r>
        <w:t xml:space="preserve">1.3 </w:t>
      </w:r>
      <w:r>
        <w:rPr>
          <w:rFonts w:hint="eastAsia"/>
        </w:rPr>
        <w:t>区块链基础服务平台（Baa</w:t>
      </w:r>
      <w:r>
        <w:t>S</w:t>
      </w:r>
      <w:r>
        <w:rPr>
          <w:rFonts w:hint="eastAsia"/>
        </w:rPr>
        <w:t>）</w:t>
      </w:r>
    </w:p>
    <w:p>
      <w:pPr>
        <w:spacing w:line="560" w:lineRule="exact"/>
        <w:ind w:firstLine="420" w:firstLineChars="200"/>
        <w:outlineLvl w:val="1"/>
      </w:pPr>
      <w:r>
        <w:rPr>
          <w:rFonts w:hint="eastAsia"/>
        </w:rPr>
        <w:t>区块链基础服务平台需具备且不限于以下功能：</w:t>
      </w:r>
    </w:p>
    <w:p>
      <w:pPr>
        <w:spacing w:line="560" w:lineRule="exact"/>
        <w:outlineLvl w:val="2"/>
      </w:pPr>
      <w:r>
        <w:t xml:space="preserve">1.3.1 </w:t>
      </w:r>
      <w:r>
        <w:rPr>
          <w:rFonts w:hint="eastAsia"/>
        </w:rPr>
        <w:t>系统登录：需集成单一窗口身份认证系统，并支持用户账号密码登录。</w:t>
      </w:r>
    </w:p>
    <w:p>
      <w:pPr>
        <w:spacing w:line="560" w:lineRule="exact"/>
        <w:outlineLvl w:val="2"/>
      </w:pPr>
      <w:r>
        <w:t>1.3.</w:t>
      </w:r>
      <w:r>
        <w:rPr>
          <w:rFonts w:hint="eastAsia"/>
        </w:rPr>
        <w:t>2</w:t>
      </w:r>
      <w:r>
        <w:t xml:space="preserve"> </w:t>
      </w:r>
      <w:r>
        <w:rPr>
          <w:rFonts w:hint="eastAsia"/>
        </w:rPr>
        <w:t>联盟管理：支持联盟业务与生命周期管理，包括创建联盟、加入联盟、退出联盟、删除联盟。支持联盟信息查阅、联盟信息检索。</w:t>
      </w:r>
    </w:p>
    <w:p>
      <w:pPr>
        <w:spacing w:line="560" w:lineRule="exact"/>
        <w:outlineLvl w:val="2"/>
      </w:pPr>
      <w:r>
        <w:t>1.3.</w:t>
      </w:r>
      <w:r>
        <w:rPr>
          <w:rFonts w:hint="eastAsia"/>
        </w:rPr>
        <w:t>3</w:t>
      </w:r>
      <w:r>
        <w:t xml:space="preserve"> </w:t>
      </w:r>
      <w:r>
        <w:rPr>
          <w:rFonts w:hint="eastAsia"/>
        </w:rPr>
        <w:t>区块链网络管理：支持区链网络链业务与生命周期管理，包括创建网络、加网络、退出网络、删除网络。</w:t>
      </w:r>
    </w:p>
    <w:p>
      <w:pPr>
        <w:spacing w:line="560" w:lineRule="exact"/>
        <w:outlineLvl w:val="2"/>
      </w:pPr>
      <w:r>
        <w:t>1.3.</w:t>
      </w:r>
      <w:r>
        <w:rPr>
          <w:rFonts w:hint="eastAsia"/>
        </w:rPr>
        <w:t>4多引擎管理：平台要支持三种及以上开源区块链引擎。</w:t>
      </w:r>
    </w:p>
    <w:p>
      <w:pPr>
        <w:spacing w:line="560" w:lineRule="exact"/>
        <w:outlineLvl w:val="2"/>
      </w:pPr>
      <w:r>
        <w:t xml:space="preserve">1.3.5 </w:t>
      </w:r>
      <w:r>
        <w:rPr>
          <w:rFonts w:hint="eastAsia"/>
        </w:rPr>
        <w:t>区块链节点管理</w:t>
      </w:r>
    </w:p>
    <w:p>
      <w:pPr>
        <w:spacing w:line="560" w:lineRule="exact"/>
        <w:ind w:firstLine="420" w:firstLineChars="200"/>
      </w:pPr>
      <w:r>
        <w:rPr>
          <w:rFonts w:hint="eastAsia"/>
        </w:rPr>
        <w:t>（1）支持区块链节点业务与生命周期管理，包括添加区块链节点、删除区块链节点。</w:t>
      </w:r>
    </w:p>
    <w:p>
      <w:pPr>
        <w:spacing w:line="560" w:lineRule="exact"/>
        <w:ind w:firstLine="420" w:firstLineChars="200"/>
      </w:pPr>
      <w:r>
        <w:rPr>
          <w:rFonts w:hint="eastAsia"/>
        </w:rPr>
        <w:t>（2）支持监控节点的资源占用情况，包括CPU，内存，带宽，存储。</w:t>
      </w:r>
    </w:p>
    <w:p>
      <w:pPr>
        <w:spacing w:line="560" w:lineRule="exact"/>
        <w:ind w:firstLine="420" w:firstLineChars="200"/>
      </w:pPr>
      <w:r>
        <w:rPr>
          <w:rFonts w:hint="eastAsia"/>
        </w:rPr>
        <w:t>（3）支持节点创建后调整节点计算，包括CPU和内存。</w:t>
      </w:r>
    </w:p>
    <w:p>
      <w:pPr>
        <w:spacing w:line="560" w:lineRule="exact"/>
        <w:ind w:firstLine="420" w:firstLineChars="200"/>
      </w:pPr>
      <w:r>
        <w:rPr>
          <w:rFonts w:hint="eastAsia"/>
        </w:rPr>
        <w:t>（4）支持扩容节点存储资源。</w:t>
      </w:r>
    </w:p>
    <w:p>
      <w:pPr>
        <w:spacing w:line="560" w:lineRule="exact"/>
        <w:ind w:firstLine="420" w:firstLineChars="200"/>
      </w:pPr>
      <w:r>
        <w:rPr>
          <w:rFonts w:hint="eastAsia"/>
        </w:rPr>
        <w:t>（5）支持实时查看节点运行日志，并支持下载节点运行日志。</w:t>
      </w:r>
    </w:p>
    <w:p>
      <w:pPr>
        <w:spacing w:line="560" w:lineRule="exact"/>
        <w:outlineLvl w:val="2"/>
      </w:pPr>
      <w:r>
        <w:t xml:space="preserve">1.3.6 </w:t>
      </w:r>
      <w:r>
        <w:rPr>
          <w:rFonts w:hint="eastAsia"/>
        </w:rPr>
        <w:t>智能合约管理</w:t>
      </w:r>
    </w:p>
    <w:p>
      <w:pPr>
        <w:spacing w:line="560" w:lineRule="exact"/>
        <w:ind w:firstLine="420" w:firstLineChars="200"/>
      </w:pPr>
      <w:r>
        <w:rPr>
          <w:rFonts w:hint="eastAsia"/>
        </w:rPr>
        <w:t>支持智能合约业务与生命周期管理，包括创建智能合约、部署智能合约、升级智能合约、终止智能合约、下载智能合约。</w:t>
      </w:r>
    </w:p>
    <w:p>
      <w:pPr>
        <w:spacing w:line="560" w:lineRule="exact"/>
        <w:outlineLvl w:val="2"/>
      </w:pPr>
      <w:r>
        <w:t>1.3.</w:t>
      </w:r>
      <w:r>
        <w:rPr>
          <w:rFonts w:hint="eastAsia"/>
        </w:rPr>
        <w:t>7</w:t>
      </w:r>
      <w:r>
        <w:t xml:space="preserve"> </w:t>
      </w:r>
      <w:r>
        <w:rPr>
          <w:rFonts w:hint="eastAsia"/>
        </w:rPr>
        <w:t>区块链证书管理</w:t>
      </w:r>
    </w:p>
    <w:p>
      <w:pPr>
        <w:spacing w:line="560" w:lineRule="exact"/>
        <w:ind w:firstLine="420" w:firstLineChars="200"/>
      </w:pPr>
      <w:r>
        <w:rPr>
          <w:rFonts w:hint="eastAsia"/>
        </w:rPr>
        <w:t>支持区块链证书业务与生命周期管理，包括创建区块链证书、下载区块链证书。</w:t>
      </w:r>
    </w:p>
    <w:p>
      <w:pPr>
        <w:spacing w:line="560" w:lineRule="exact"/>
        <w:outlineLvl w:val="2"/>
      </w:pPr>
      <w:r>
        <w:t>1.3.</w:t>
      </w:r>
      <w:r>
        <w:rPr>
          <w:rFonts w:hint="eastAsia"/>
        </w:rPr>
        <w:t>8</w:t>
      </w:r>
      <w:r>
        <w:t xml:space="preserve"> </w:t>
      </w:r>
      <w:r>
        <w:rPr>
          <w:rFonts w:hint="eastAsia"/>
        </w:rPr>
        <w:t>SDK管理</w:t>
      </w:r>
    </w:p>
    <w:p>
      <w:pPr>
        <w:spacing w:line="560" w:lineRule="exact"/>
        <w:ind w:firstLine="420" w:firstLineChars="200"/>
      </w:pPr>
      <w:r>
        <w:rPr>
          <w:rFonts w:hint="eastAsia"/>
        </w:rPr>
        <w:t>支持SDK管理，包括下载SDK、下载配置。</w:t>
      </w:r>
    </w:p>
    <w:p>
      <w:pPr>
        <w:spacing w:line="560" w:lineRule="exact"/>
        <w:outlineLvl w:val="2"/>
      </w:pPr>
      <w:r>
        <w:t>1.3.</w:t>
      </w:r>
      <w:r>
        <w:rPr>
          <w:rFonts w:hint="eastAsia"/>
        </w:rPr>
        <w:t>9</w:t>
      </w:r>
      <w:r>
        <w:t xml:space="preserve"> </w:t>
      </w:r>
      <w:r>
        <w:rPr>
          <w:rFonts w:hint="eastAsia"/>
        </w:rPr>
        <w:t>运维管理</w:t>
      </w:r>
    </w:p>
    <w:p>
      <w:pPr>
        <w:spacing w:line="560" w:lineRule="exact"/>
        <w:ind w:firstLine="420" w:firstLineChars="200"/>
      </w:pPr>
      <w:r>
        <w:rPr>
          <w:rFonts w:hint="eastAsia"/>
        </w:rPr>
        <w:t>需支持集成数据分中心统一日志服务，支持操作日志管理、告警日志管理、审计日志管理。</w:t>
      </w:r>
    </w:p>
    <w:p>
      <w:pPr>
        <w:spacing w:line="560" w:lineRule="exact"/>
        <w:outlineLvl w:val="2"/>
      </w:pPr>
      <w:r>
        <w:t>1.</w:t>
      </w:r>
      <w:r>
        <w:rPr>
          <w:rFonts w:hint="eastAsia"/>
        </w:rPr>
        <w:t>3</w:t>
      </w:r>
      <w:r>
        <w:t>.1</w:t>
      </w:r>
      <w:r>
        <w:rPr>
          <w:rFonts w:hint="eastAsia"/>
        </w:rPr>
        <w:t>0</w:t>
      </w:r>
      <w:r>
        <w:t xml:space="preserve"> </w:t>
      </w:r>
      <w:r>
        <w:rPr>
          <w:rFonts w:hint="eastAsia"/>
        </w:rPr>
        <w:t>统一网关</w:t>
      </w:r>
    </w:p>
    <w:p>
      <w:pPr>
        <w:spacing w:line="560" w:lineRule="exact"/>
        <w:ind w:firstLine="420" w:firstLineChars="200"/>
      </w:pPr>
      <w:r>
        <w:rPr>
          <w:rFonts w:hint="eastAsia"/>
        </w:rPr>
        <w:t>统一网关具备屏蔽底层异构区块链网络差异性能力，为上层区块链应用系统提供统一便捷的合约交互服务能力。</w:t>
      </w:r>
    </w:p>
    <w:p>
      <w:pPr>
        <w:spacing w:line="560" w:lineRule="exact"/>
        <w:outlineLvl w:val="2"/>
      </w:pPr>
      <w:r>
        <w:t>1.</w:t>
      </w:r>
      <w:r>
        <w:rPr>
          <w:rFonts w:hint="eastAsia"/>
        </w:rPr>
        <w:t>3</w:t>
      </w:r>
      <w:r>
        <w:t>.</w:t>
      </w:r>
      <w:r>
        <w:rPr>
          <w:rFonts w:hint="eastAsia"/>
        </w:rPr>
        <w:t>11</w:t>
      </w:r>
      <w:r>
        <w:t xml:space="preserve"> </w:t>
      </w:r>
      <w:r>
        <w:rPr>
          <w:rFonts w:hint="eastAsia"/>
        </w:rPr>
        <w:t>区块链浏览器</w:t>
      </w:r>
    </w:p>
    <w:p>
      <w:pPr>
        <w:spacing w:line="560" w:lineRule="exact"/>
        <w:ind w:firstLine="420" w:firstLineChars="200"/>
      </w:pPr>
      <w:r>
        <w:rPr>
          <w:rFonts w:hint="eastAsia"/>
        </w:rPr>
        <w:t>（1）支持区块链浏览器，实时显示区块链运行状态，包括块高，交易数，交易统计。</w:t>
      </w:r>
    </w:p>
    <w:p>
      <w:pPr>
        <w:spacing w:line="560" w:lineRule="exact"/>
        <w:ind w:firstLine="420" w:firstLineChars="200"/>
      </w:pPr>
      <w:r>
        <w:rPr>
          <w:rFonts w:hint="eastAsia"/>
        </w:rPr>
        <w:t>（2）支持查看区块详细信息。</w:t>
      </w:r>
    </w:p>
    <w:p>
      <w:pPr>
        <w:spacing w:line="560" w:lineRule="exact"/>
        <w:ind w:firstLine="420" w:firstLineChars="200"/>
      </w:pPr>
      <w:r>
        <w:rPr>
          <w:rFonts w:hint="eastAsia"/>
        </w:rPr>
        <w:t>（3）支持查看交易详细信息。</w:t>
      </w:r>
    </w:p>
    <w:p>
      <w:pPr>
        <w:spacing w:before="120" w:after="240" w:line="560" w:lineRule="exact"/>
        <w:outlineLvl w:val="1"/>
        <w:rPr>
          <w:rFonts w:hint="eastAsia"/>
        </w:rPr>
      </w:pPr>
      <w:r>
        <w:t xml:space="preserve">1.4 </w:t>
      </w:r>
      <w:r>
        <w:rPr>
          <w:rFonts w:hint="eastAsia"/>
        </w:rPr>
        <w:t>基于区块链的可信数据共享平台</w:t>
      </w:r>
    </w:p>
    <w:p>
      <w:pPr>
        <w:spacing w:before="120" w:after="240" w:line="560" w:lineRule="exact"/>
        <w:ind w:firstLine="420" w:firstLineChars="200"/>
        <w:outlineLvl w:val="1"/>
      </w:pPr>
      <w:r>
        <w:rPr>
          <w:rFonts w:hint="eastAsia"/>
        </w:rPr>
        <w:t>通过建设基于区块链的可信数据共享平台，支撑深圳海关通关业务场景中数据共享需求，打通区域间和机构间的数据藩篱，在数据安全和数据授权体系下实现跨机构的合规安全共享。</w:t>
      </w:r>
    </w:p>
    <w:p>
      <w:pPr>
        <w:spacing w:line="560" w:lineRule="exact"/>
        <w:ind w:firstLine="420" w:firstLineChars="200"/>
      </w:pPr>
      <w:r>
        <w:rPr>
          <w:rFonts w:hint="eastAsia"/>
        </w:rPr>
        <w:t>平台提供数据目录共享、数据授权管理、数据交换通道管理等功能。通过区块链技术连接数据使用方、提供方等。实现数据共享流程标和数据的准化，过程透明可监管，权属可控。</w:t>
      </w:r>
    </w:p>
    <w:p>
      <w:pPr>
        <w:spacing w:line="560" w:lineRule="exact"/>
        <w:outlineLvl w:val="2"/>
      </w:pPr>
      <w:r>
        <w:t xml:space="preserve">1.4.1 </w:t>
      </w:r>
      <w:r>
        <w:rPr>
          <w:rFonts w:hint="eastAsia"/>
        </w:rPr>
        <w:t>数据目录共享</w:t>
      </w:r>
    </w:p>
    <w:p>
      <w:pPr>
        <w:spacing w:line="560" w:lineRule="exact"/>
        <w:ind w:firstLine="420" w:firstLineChars="200"/>
      </w:pPr>
      <w:r>
        <w:rPr>
          <w:rFonts w:hint="eastAsia"/>
        </w:rPr>
        <w:t>区块链共享目录获取、目录分类分组、目录分页展示、目录搜索筛查、选择目录申请数据授权、授权数据下载。</w:t>
      </w:r>
    </w:p>
    <w:p>
      <w:pPr>
        <w:spacing w:line="560" w:lineRule="exact"/>
        <w:outlineLvl w:val="2"/>
      </w:pPr>
      <w:r>
        <w:t xml:space="preserve">1.4.2 </w:t>
      </w:r>
      <w:r>
        <w:rPr>
          <w:rFonts w:hint="eastAsia"/>
        </w:rPr>
        <w:t>数据授权管理</w:t>
      </w:r>
    </w:p>
    <w:p>
      <w:pPr>
        <w:spacing w:line="560" w:lineRule="exact"/>
        <w:ind w:firstLine="420" w:firstLineChars="200"/>
      </w:pPr>
      <w:r>
        <w:rPr>
          <w:rFonts w:hint="eastAsia"/>
        </w:rPr>
        <w:t>监管方维护使用方的数据授权申请、监管方发放数据授权凭证、提供方发起目录共享申请、监管方目录共享审批等。</w:t>
      </w:r>
    </w:p>
    <w:p>
      <w:pPr>
        <w:spacing w:line="560" w:lineRule="exact"/>
        <w:outlineLvl w:val="2"/>
      </w:pPr>
      <w:r>
        <w:t xml:space="preserve">1.4.3 </w:t>
      </w:r>
      <w:r>
        <w:rPr>
          <w:rFonts w:hint="eastAsia"/>
        </w:rPr>
        <w:t>数据交换通道管理</w:t>
      </w:r>
    </w:p>
    <w:p>
      <w:pPr>
        <w:spacing w:line="560" w:lineRule="exact"/>
        <w:ind w:firstLine="420" w:firstLineChars="200"/>
      </w:pPr>
      <w:r>
        <w:rPr>
          <w:rFonts w:hint="eastAsia"/>
        </w:rPr>
        <w:t>使用方、提供方通过节点区块链应用提供数据处理接口和数据共享接口，接口根据授权凭证检索授权数据和提供授权数据，并将处理结果返回。使用方、提供方维护数据交换通道的使用状态。</w:t>
      </w:r>
    </w:p>
    <w:p>
      <w:pPr>
        <w:spacing w:line="560" w:lineRule="exact"/>
        <w:outlineLvl w:val="2"/>
      </w:pPr>
      <w:r>
        <w:t xml:space="preserve">1.4.4 </w:t>
      </w:r>
      <w:r>
        <w:rPr>
          <w:rFonts w:hint="eastAsia"/>
        </w:rPr>
        <w:t>数据传输安全</w:t>
      </w:r>
    </w:p>
    <w:p>
      <w:pPr>
        <w:spacing w:line="560" w:lineRule="exact"/>
        <w:ind w:firstLine="420" w:firstLineChars="200"/>
      </w:pPr>
      <w:r>
        <w:rPr>
          <w:rFonts w:hint="eastAsia"/>
        </w:rPr>
        <w:t>数据传输采用加密通道，支持在应用层对数据进行加密处理，支持国密和非国密算法。</w:t>
      </w:r>
    </w:p>
    <w:p>
      <w:pPr>
        <w:spacing w:line="560" w:lineRule="exact"/>
        <w:outlineLvl w:val="2"/>
      </w:pPr>
      <w:r>
        <w:t xml:space="preserve">1.4.5 </w:t>
      </w:r>
      <w:r>
        <w:rPr>
          <w:rFonts w:hint="eastAsia"/>
        </w:rPr>
        <w:t>运行管理</w:t>
      </w:r>
    </w:p>
    <w:p>
      <w:pPr>
        <w:spacing w:line="560" w:lineRule="exact"/>
        <w:ind w:firstLine="420" w:firstLineChars="200"/>
      </w:pPr>
      <w:r>
        <w:rPr>
          <w:rFonts w:hint="eastAsia"/>
        </w:rPr>
        <w:t>对数据共享、交换、授权等操作以多个数据纬度进行统计、展示。系统形成并管理操作日志，日志项包括日志名称、日志编号、操作名称、操作对象、操作日期、操作对象名称、操作结果等。</w:t>
      </w:r>
    </w:p>
    <w:p>
      <w:pPr>
        <w:spacing w:line="560" w:lineRule="exact"/>
        <w:outlineLvl w:val="2"/>
      </w:pPr>
      <w:r>
        <w:t xml:space="preserve">1.4.6 </w:t>
      </w:r>
      <w:r>
        <w:rPr>
          <w:rFonts w:hint="eastAsia"/>
        </w:rPr>
        <w:t>系统配置</w:t>
      </w:r>
    </w:p>
    <w:p>
      <w:pPr>
        <w:spacing w:line="560" w:lineRule="exact"/>
        <w:ind w:firstLine="420" w:firstLineChars="200"/>
      </w:pPr>
      <w:r>
        <w:rPr>
          <w:rFonts w:hint="eastAsia"/>
        </w:rPr>
        <w:t>根据业务需求，系统基于底层区块链提供用户角色管理。上链数据需要完成的相关参数配置，确保上链数据根据配置参数校验并准确可用。</w:t>
      </w:r>
    </w:p>
    <w:p>
      <w:pPr>
        <w:numPr>
          <w:ilvl w:val="0"/>
          <w:numId w:val="2"/>
        </w:numPr>
        <w:spacing w:line="560" w:lineRule="exact"/>
        <w:outlineLvl w:val="0"/>
        <w:rPr>
          <w:rFonts w:hint="eastAsia"/>
        </w:rPr>
      </w:pPr>
      <w:r>
        <w:rPr>
          <w:rFonts w:hint="eastAsia"/>
        </w:rPr>
        <w:t>技术性需求</w:t>
      </w:r>
    </w:p>
    <w:p>
      <w:pPr>
        <w:spacing w:line="560" w:lineRule="exact"/>
        <w:outlineLvl w:val="0"/>
      </w:pPr>
      <w:r>
        <w:t xml:space="preserve">2.1 </w:t>
      </w:r>
      <w:r>
        <w:rPr>
          <w:rFonts w:hint="eastAsia"/>
        </w:rPr>
        <w:t>区块链底层链与跨链平台</w:t>
      </w:r>
    </w:p>
    <w:p>
      <w:pPr>
        <w:spacing w:line="560" w:lineRule="exact"/>
        <w:outlineLvl w:val="2"/>
      </w:pPr>
      <w:r>
        <w:t xml:space="preserve">2.1.1 </w:t>
      </w:r>
      <w:r>
        <w:rPr>
          <w:rFonts w:hint="eastAsia"/>
        </w:rPr>
        <w:t>国产化与兼容性</w:t>
      </w:r>
    </w:p>
    <w:p>
      <w:pPr>
        <w:spacing w:line="560" w:lineRule="exact"/>
        <w:ind w:firstLine="420" w:firstLineChars="200"/>
      </w:pPr>
      <w:r>
        <w:rPr>
          <w:rFonts w:hint="eastAsia"/>
        </w:rPr>
        <w:t>要求为国产自研产品。支持全栈国产化，即部署在国产化计算平台和国产化操作系统。</w:t>
      </w:r>
    </w:p>
    <w:p>
      <w:pPr>
        <w:spacing w:line="560" w:lineRule="exact"/>
        <w:outlineLvl w:val="2"/>
      </w:pPr>
      <w:r>
        <w:t xml:space="preserve">2.1.2 </w:t>
      </w:r>
      <w:r>
        <w:rPr>
          <w:rFonts w:hint="eastAsia"/>
        </w:rPr>
        <w:t>运行性能</w:t>
      </w:r>
    </w:p>
    <w:p>
      <w:pPr>
        <w:spacing w:line="560" w:lineRule="exact"/>
        <w:ind w:firstLine="420" w:firstLineChars="200"/>
        <w:rPr>
          <w:rFonts w:hint="eastAsia"/>
        </w:rPr>
      </w:pPr>
      <w:r>
        <w:rPr>
          <w:rFonts w:hint="eastAsia"/>
        </w:rPr>
        <w:t>单链多节点场景下支持1</w:t>
      </w:r>
      <w:r>
        <w:t>000+CTPS</w:t>
      </w:r>
      <w:r>
        <w:rPr>
          <w:rFonts w:hint="eastAsia"/>
        </w:rPr>
        <w:t>（每秒上链交易数）并发交易能力，单链支持1</w:t>
      </w:r>
      <w:r>
        <w:t>00+</w:t>
      </w:r>
      <w:r>
        <w:rPr>
          <w:rFonts w:hint="eastAsia"/>
        </w:rPr>
        <w:t>节点以上规模的组网能力。</w:t>
      </w:r>
    </w:p>
    <w:p>
      <w:pPr>
        <w:spacing w:line="560" w:lineRule="exact"/>
      </w:pPr>
      <w:r>
        <w:t xml:space="preserve">2.2 </w:t>
      </w:r>
      <w:r>
        <w:rPr>
          <w:rFonts w:hint="eastAsia"/>
        </w:rPr>
        <w:t>区块链基础服务平台</w:t>
      </w:r>
    </w:p>
    <w:p>
      <w:pPr>
        <w:spacing w:line="560" w:lineRule="exact"/>
        <w:outlineLvl w:val="2"/>
      </w:pPr>
      <w:r>
        <w:t xml:space="preserve">2.2.1 </w:t>
      </w:r>
      <w:r>
        <w:rPr>
          <w:rFonts w:hint="eastAsia"/>
        </w:rPr>
        <w:t>国产化与兼容性：要求为国产自研产品，并兼容国产化运行环境。兼容Firefox，Chrome等主流浏览器和国产化浏览器。</w:t>
      </w:r>
    </w:p>
    <w:p>
      <w:pPr>
        <w:spacing w:line="560" w:lineRule="exact"/>
        <w:outlineLvl w:val="2"/>
      </w:pPr>
      <w:r>
        <w:t xml:space="preserve">2.2.2 </w:t>
      </w:r>
      <w:r>
        <w:rPr>
          <w:rFonts w:hint="eastAsia"/>
        </w:rPr>
        <w:t>并发性：可承载系统用户数</w:t>
      </w:r>
      <w:r>
        <w:t>1000</w:t>
      </w:r>
      <w:r>
        <w:rPr>
          <w:rFonts w:hint="eastAsia"/>
        </w:rPr>
        <w:t>人的并发访问。</w:t>
      </w:r>
    </w:p>
    <w:p>
      <w:pPr>
        <w:spacing w:line="560" w:lineRule="exact"/>
        <w:outlineLvl w:val="2"/>
      </w:pPr>
      <w:r>
        <w:t xml:space="preserve">2.2.3 </w:t>
      </w:r>
      <w:r>
        <w:rPr>
          <w:rFonts w:hint="eastAsia"/>
        </w:rPr>
        <w:t xml:space="preserve">可靠性：系统支持每周7天*24小时不间断运行。 </w:t>
      </w:r>
    </w:p>
    <w:p>
      <w:pPr>
        <w:spacing w:line="560" w:lineRule="exact"/>
        <w:outlineLvl w:val="2"/>
      </w:pPr>
      <w:r>
        <w:t xml:space="preserve">2.2.4 </w:t>
      </w:r>
      <w:r>
        <w:rPr>
          <w:rFonts w:hint="eastAsia"/>
        </w:rPr>
        <w:t>页面响应时间</w:t>
      </w:r>
    </w:p>
    <w:p>
      <w:pPr>
        <w:spacing w:line="560" w:lineRule="exact"/>
        <w:ind w:firstLine="420" w:firstLineChars="200"/>
        <w:rPr>
          <w:rFonts w:hint="eastAsia"/>
        </w:rPr>
      </w:pPr>
      <w:r>
        <w:rPr>
          <w:rFonts w:hint="eastAsia"/>
        </w:rPr>
        <w:t>一般页面平均响应时间不超过3秒。并发用户300以上时，一般页面平均响应时间不超过5秒。复杂页面响应时间不超过15秒。</w:t>
      </w:r>
    </w:p>
    <w:p>
      <w:pPr>
        <w:spacing w:line="560" w:lineRule="exact"/>
      </w:pPr>
      <w:r>
        <w:t xml:space="preserve">2.3 </w:t>
      </w:r>
      <w:r>
        <w:rPr>
          <w:rFonts w:hint="eastAsia"/>
        </w:rPr>
        <w:t>可信数据共享平台</w:t>
      </w:r>
    </w:p>
    <w:p>
      <w:pPr>
        <w:spacing w:line="560" w:lineRule="exact"/>
        <w:outlineLvl w:val="2"/>
      </w:pPr>
      <w:r>
        <w:t>2.3.1</w:t>
      </w:r>
      <w:r>
        <w:rPr>
          <w:rFonts w:hint="eastAsia"/>
        </w:rPr>
        <w:t>国产化与兼容性</w:t>
      </w:r>
    </w:p>
    <w:p>
      <w:pPr>
        <w:spacing w:line="560" w:lineRule="exact"/>
        <w:ind w:firstLine="420" w:firstLineChars="200"/>
      </w:pPr>
      <w:r>
        <w:rPr>
          <w:rFonts w:hint="eastAsia"/>
        </w:rPr>
        <w:t>要求为国产自研产品，并兼容国产化运行环境。兼容Firefox，Chrome等主流浏览器和国产化浏览器。</w:t>
      </w:r>
    </w:p>
    <w:p>
      <w:pPr>
        <w:spacing w:line="560" w:lineRule="exact"/>
        <w:outlineLvl w:val="2"/>
      </w:pPr>
      <w:r>
        <w:t xml:space="preserve">2.3.2 </w:t>
      </w:r>
      <w:r>
        <w:rPr>
          <w:rFonts w:hint="eastAsia"/>
        </w:rPr>
        <w:t>并发性：可承载系统用户数</w:t>
      </w:r>
      <w:r>
        <w:t>1000</w:t>
      </w:r>
      <w:r>
        <w:rPr>
          <w:rFonts w:hint="eastAsia"/>
        </w:rPr>
        <w:t>人的并发访问。</w:t>
      </w:r>
    </w:p>
    <w:p>
      <w:pPr>
        <w:spacing w:line="560" w:lineRule="exact"/>
        <w:outlineLvl w:val="2"/>
      </w:pPr>
      <w:r>
        <w:rPr>
          <w:rFonts w:hint="eastAsia"/>
        </w:rPr>
        <w:t>2</w:t>
      </w:r>
      <w:r>
        <w:t xml:space="preserve">.3.3 </w:t>
      </w:r>
      <w:r>
        <w:rPr>
          <w:rFonts w:hint="eastAsia"/>
        </w:rPr>
        <w:t>可靠性：系统支持每周7天*24小时不间断运行。</w:t>
      </w:r>
    </w:p>
    <w:p>
      <w:pPr>
        <w:spacing w:line="560" w:lineRule="exact"/>
        <w:outlineLvl w:val="2"/>
      </w:pPr>
      <w:r>
        <w:t xml:space="preserve">2.3.4 </w:t>
      </w:r>
      <w:r>
        <w:rPr>
          <w:rFonts w:hint="eastAsia"/>
        </w:rPr>
        <w:t>页面响应时间</w:t>
      </w:r>
    </w:p>
    <w:p>
      <w:pPr>
        <w:spacing w:line="560" w:lineRule="exact"/>
        <w:ind w:firstLine="420" w:firstLineChars="200"/>
      </w:pPr>
      <w:r>
        <w:rPr>
          <w:rFonts w:hint="eastAsia"/>
        </w:rPr>
        <w:t>一般页面平均响应时间不超过3秒。并发用户300以上时，一般页面平均响应时间不超过5秒。复杂页面响应时间不超过15秒。</w:t>
      </w:r>
    </w:p>
    <w:p>
      <w:pPr>
        <w:spacing w:line="560" w:lineRule="exact"/>
        <w:outlineLvl w:val="0"/>
      </w:pPr>
      <w:r>
        <w:rPr>
          <w:rFonts w:hint="eastAsia"/>
        </w:rPr>
        <w:t>3、其他要求</w:t>
      </w:r>
    </w:p>
    <w:p>
      <w:pPr>
        <w:spacing w:line="560" w:lineRule="exact"/>
        <w:outlineLvl w:val="1"/>
      </w:pPr>
      <w:r>
        <w:t>3</w:t>
      </w:r>
      <w:r>
        <w:rPr>
          <w:rFonts w:hint="eastAsia"/>
        </w:rPr>
        <w:t>.1 开发、部署与授权要求</w:t>
      </w:r>
    </w:p>
    <w:p>
      <w:pPr>
        <w:spacing w:line="560" w:lineRule="exact"/>
      </w:pPr>
      <w:r>
        <w:rPr>
          <w:rFonts w:hint="eastAsia"/>
        </w:rPr>
        <w:t>3.1.1  上述服务需提供不少于20个的本地独立部署共识节点授权，部署于开发测试环境与生产环境，并提供区块链产品部署的程序包。</w:t>
      </w:r>
    </w:p>
    <w:p>
      <w:pPr>
        <w:spacing w:line="560" w:lineRule="exact"/>
      </w:pPr>
      <w:r>
        <w:rPr>
          <w:rFonts w:hint="eastAsia"/>
        </w:rPr>
        <w:t>3.1.2 要求区块链产品提供S</w:t>
      </w:r>
      <w:r>
        <w:t>DK</w:t>
      </w:r>
      <w:r>
        <w:rPr>
          <w:rFonts w:hint="eastAsia"/>
        </w:rPr>
        <w:t>组件，可支持二次开发，可在多个信息化项目中集成应用（不限数量）。</w:t>
      </w:r>
    </w:p>
    <w:p>
      <w:pPr>
        <w:spacing w:line="560" w:lineRule="exact"/>
      </w:pPr>
      <w:r>
        <w:t>3</w:t>
      </w:r>
      <w:r>
        <w:rPr>
          <w:rFonts w:hint="eastAsia"/>
        </w:rPr>
        <w:t>.2 安全评测要求</w:t>
      </w:r>
    </w:p>
    <w:p>
      <w:pPr>
        <w:spacing w:line="560" w:lineRule="exact"/>
        <w:ind w:firstLine="420" w:firstLineChars="200"/>
      </w:pPr>
      <w:r>
        <w:rPr>
          <w:rFonts w:hint="eastAsia"/>
        </w:rPr>
        <w:t>要求区块链产品提供专业安全测评机构对照国家有关标准出具的产品安全检测报告，或者对产品安全性进行声明，使用开源软件的要单独声明。</w:t>
      </w:r>
    </w:p>
    <w:p>
      <w:pPr>
        <w:spacing w:line="560" w:lineRule="exact"/>
        <w:outlineLvl w:val="1"/>
      </w:pPr>
      <w:r>
        <w:t>3</w:t>
      </w:r>
      <w:r>
        <w:rPr>
          <w:rFonts w:hint="eastAsia"/>
        </w:rPr>
        <w:t>.3 服务期限及更新要求</w:t>
      </w:r>
    </w:p>
    <w:p>
      <w:pPr>
        <w:spacing w:line="560" w:lineRule="exact"/>
      </w:pPr>
      <w:r>
        <w:rPr>
          <w:rFonts w:hint="eastAsia"/>
        </w:rPr>
        <w:t>3.3.1  提供至少一年技术支持服务。</w:t>
      </w:r>
    </w:p>
    <w:p>
      <w:pPr>
        <w:spacing w:line="560" w:lineRule="exact"/>
      </w:pPr>
      <w:r>
        <w:rPr>
          <w:rFonts w:hint="eastAsia"/>
        </w:rPr>
        <w:t>3.3.2  常规更新：服务期内区块链产品如有版本更新，服务提供方需提供产品版本更新服务。</w:t>
      </w:r>
    </w:p>
    <w:p>
      <w:pPr>
        <w:spacing w:line="560" w:lineRule="exact"/>
      </w:pPr>
      <w:r>
        <w:rPr>
          <w:rFonts w:hint="eastAsia"/>
        </w:rPr>
        <w:t>3.3.3  安全性更新：数据分中心定期对区块链产品进行安全性扫描，服务期内如出现安全性漏洞，服务提供方需提供安全性漏洞修复和更新服务。</w:t>
      </w:r>
    </w:p>
    <w:p>
      <w:pPr>
        <w:spacing w:line="560" w:lineRule="exact"/>
        <w:outlineLvl w:val="1"/>
      </w:pPr>
      <w:r>
        <w:rPr>
          <w:rFonts w:hint="eastAsia"/>
        </w:rPr>
        <w:t>3.4  故障响应要求</w:t>
      </w:r>
    </w:p>
    <w:p>
      <w:pPr>
        <w:spacing w:line="560" w:lineRule="exact"/>
        <w:ind w:firstLine="420" w:firstLineChars="200"/>
        <w:rPr>
          <w:rFonts w:hint="eastAsia"/>
        </w:rPr>
      </w:pPr>
      <w:r>
        <w:rPr>
          <w:rFonts w:hint="eastAsia"/>
        </w:rPr>
        <w:t>服务期内产品如遇故障，故障响应时间不超过0.5小时。</w:t>
      </w:r>
    </w:p>
    <w:p>
      <w:pPr>
        <w:pStyle w:val="2"/>
      </w:pPr>
    </w:p>
    <w:p>
      <w:pPr>
        <w:spacing w:line="360" w:lineRule="auto"/>
        <w:rPr>
          <w:rFonts w:hint="eastAsia" w:ascii="宋体" w:hAnsi="宋体"/>
          <w:b/>
          <w:bCs/>
          <w:sz w:val="24"/>
        </w:rPr>
      </w:pPr>
      <w:r>
        <w:rPr>
          <w:rFonts w:hint="eastAsia" w:ascii="宋体" w:hAnsi="宋体"/>
          <w:b/>
          <w:bCs/>
          <w:sz w:val="24"/>
        </w:rPr>
        <w:t>三、商务要求</w:t>
      </w:r>
    </w:p>
    <w:p>
      <w:pPr>
        <w:spacing w:line="360" w:lineRule="auto"/>
        <w:rPr>
          <w:rFonts w:hint="eastAsia" w:ascii="宋体" w:hAnsi="宋体"/>
          <w:bCs/>
          <w:szCs w:val="21"/>
        </w:rPr>
      </w:pPr>
      <w:r>
        <w:rPr>
          <w:rFonts w:hint="eastAsia" w:ascii="宋体" w:hAnsi="宋体"/>
          <w:bCs/>
          <w:szCs w:val="21"/>
        </w:rPr>
        <w:t>1、签定合同日期：自中标(成交)通知书发出之日起</w:t>
      </w:r>
      <w:r>
        <w:rPr>
          <w:rFonts w:ascii="宋体" w:hAnsi="宋体"/>
          <w:bCs/>
          <w:szCs w:val="21"/>
        </w:rPr>
        <w:t>30</w:t>
      </w:r>
      <w:r>
        <w:rPr>
          <w:rFonts w:hint="eastAsia" w:ascii="宋体" w:hAnsi="宋体"/>
          <w:bCs/>
          <w:szCs w:val="21"/>
        </w:rPr>
        <w:t>日内。</w:t>
      </w:r>
    </w:p>
    <w:p>
      <w:pPr>
        <w:spacing w:line="360" w:lineRule="auto"/>
        <w:rPr>
          <w:rFonts w:hint="eastAsia" w:ascii="宋体" w:hAnsi="宋体"/>
          <w:snapToGrid w:val="0"/>
          <w:szCs w:val="21"/>
        </w:rPr>
      </w:pPr>
      <w:r>
        <w:rPr>
          <w:rFonts w:hint="eastAsia" w:ascii="宋体" w:hAnsi="宋体"/>
          <w:bCs/>
          <w:szCs w:val="21"/>
        </w:rPr>
        <w:t>2、工期和地点要求</w:t>
      </w:r>
      <w:r>
        <w:rPr>
          <w:rFonts w:hint="eastAsia" w:ascii="宋体" w:hAnsi="宋体"/>
          <w:snapToGrid w:val="0"/>
          <w:szCs w:val="21"/>
        </w:rPr>
        <w:t>：项目应在合同签订之日起6个自然月内完成产品部署、使用培训、试运行工作。总体实施计划为：</w:t>
      </w:r>
    </w:p>
    <w:p>
      <w:pPr>
        <w:spacing w:line="360" w:lineRule="auto"/>
        <w:rPr>
          <w:rFonts w:hint="eastAsia" w:ascii="宋体" w:hAnsi="宋体"/>
          <w:snapToGrid w:val="0"/>
          <w:szCs w:val="21"/>
        </w:rPr>
      </w:pPr>
      <w:r>
        <w:rPr>
          <w:rFonts w:hint="eastAsia" w:ascii="宋体" w:hAnsi="宋体"/>
          <w:snapToGrid w:val="0"/>
          <w:szCs w:val="21"/>
        </w:rPr>
        <w:t>2.1  产品部署、使用培训阶段从合同签定起2个月内完成，投标人需提供产品部署实施方案和培训方案；</w:t>
      </w:r>
    </w:p>
    <w:p>
      <w:pPr>
        <w:spacing w:line="360" w:lineRule="auto"/>
        <w:rPr>
          <w:rFonts w:hint="eastAsia" w:ascii="宋体" w:hAnsi="宋体"/>
          <w:snapToGrid w:val="0"/>
          <w:szCs w:val="21"/>
        </w:rPr>
      </w:pPr>
      <w:r>
        <w:rPr>
          <w:rFonts w:hint="eastAsia" w:ascii="宋体" w:hAnsi="宋体"/>
          <w:snapToGrid w:val="0"/>
          <w:szCs w:val="21"/>
        </w:rPr>
        <w:t>2.2  投标人完成产品部署和使用培训后，进入试运行阶段。试运行阶段期间，采购人结合自身情况对区块链产品进行试用、软件集成等工作。试运行时间不少于3个月，试运行期间投标人要及时解决出现的问题；</w:t>
      </w:r>
    </w:p>
    <w:p>
      <w:pPr>
        <w:spacing w:line="360" w:lineRule="auto"/>
        <w:rPr>
          <w:rFonts w:hint="eastAsia" w:ascii="宋体" w:hAnsi="宋体"/>
          <w:snapToGrid w:val="0"/>
          <w:szCs w:val="21"/>
        </w:rPr>
      </w:pPr>
      <w:r>
        <w:rPr>
          <w:rFonts w:hint="eastAsia" w:ascii="宋体" w:hAnsi="宋体"/>
          <w:snapToGrid w:val="0"/>
          <w:szCs w:val="21"/>
        </w:rPr>
        <w:t>2.3  相关产品服务在稳定运行后，投标人可申请合同验收，采购人根据试运行情况组织开展验收。合同验收通过后，根据采购人的实际要求启动免费后期维护。</w:t>
      </w:r>
    </w:p>
    <w:p>
      <w:pPr>
        <w:spacing w:line="360" w:lineRule="auto"/>
        <w:rPr>
          <w:rFonts w:hint="eastAsia" w:ascii="宋体" w:hAnsi="宋体"/>
          <w:snapToGrid w:val="0"/>
          <w:szCs w:val="21"/>
        </w:rPr>
      </w:pPr>
      <w:r>
        <w:rPr>
          <w:rFonts w:hint="eastAsia" w:ascii="宋体" w:hAnsi="宋体"/>
          <w:snapToGrid w:val="0"/>
          <w:szCs w:val="21"/>
        </w:rPr>
        <w:t>2.4  以上建设计划，投标人必须按照规定的时间完成，如中途出现重大延误，海关有权终止合同并按合同规定进行处罚。</w:t>
      </w:r>
    </w:p>
    <w:p>
      <w:pPr>
        <w:spacing w:line="360" w:lineRule="auto"/>
        <w:rPr>
          <w:rFonts w:hint="eastAsia" w:ascii="宋体" w:hAnsi="宋体"/>
          <w:snapToGrid w:val="0"/>
          <w:szCs w:val="21"/>
        </w:rPr>
      </w:pPr>
      <w:r>
        <w:rPr>
          <w:rFonts w:hint="eastAsia" w:ascii="宋体" w:hAnsi="宋体"/>
          <w:snapToGrid w:val="0"/>
          <w:szCs w:val="21"/>
        </w:rPr>
        <w:t>2.5  提供质量保证期内的售后服务，服务期限为本项目验收之日后1年。</w:t>
      </w:r>
    </w:p>
    <w:p>
      <w:pPr>
        <w:spacing w:line="360" w:lineRule="auto"/>
        <w:rPr>
          <w:rFonts w:hint="eastAsia" w:ascii="宋体" w:hAnsi="宋体"/>
          <w:kern w:val="0"/>
          <w:szCs w:val="21"/>
        </w:rPr>
      </w:pPr>
      <w:r>
        <w:rPr>
          <w:rFonts w:hint="eastAsia" w:ascii="宋体" w:hAnsi="宋体"/>
          <w:snapToGrid w:val="0"/>
          <w:szCs w:val="21"/>
        </w:rPr>
        <w:t>2.6  地点：中国电子口岸数据中心深圳分中心指定地点。</w:t>
      </w:r>
    </w:p>
    <w:p>
      <w:pPr>
        <w:spacing w:line="360" w:lineRule="auto"/>
        <w:rPr>
          <w:rFonts w:hint="eastAsia" w:ascii="宋体" w:hAnsi="宋体"/>
          <w:bCs/>
          <w:szCs w:val="21"/>
        </w:rPr>
      </w:pPr>
      <w:r>
        <w:rPr>
          <w:rFonts w:hint="eastAsia" w:ascii="宋体" w:hAnsi="宋体"/>
          <w:bCs/>
          <w:szCs w:val="21"/>
        </w:rPr>
        <w:t>3、验收要求</w:t>
      </w:r>
    </w:p>
    <w:p>
      <w:pPr>
        <w:pStyle w:val="4"/>
        <w:spacing w:line="360" w:lineRule="auto"/>
        <w:rPr>
          <w:rFonts w:hint="eastAsia"/>
        </w:rPr>
      </w:pPr>
      <w:r>
        <w:rPr>
          <w:rFonts w:hint="eastAsia"/>
        </w:rPr>
        <w:t>合同验收合格的条件必须至少满足以下要求：</w:t>
      </w:r>
    </w:p>
    <w:p>
      <w:pPr>
        <w:pStyle w:val="4"/>
        <w:spacing w:line="360" w:lineRule="auto"/>
        <w:rPr>
          <w:rFonts w:hint="eastAsia"/>
        </w:rPr>
      </w:pPr>
      <w:r>
        <w:rPr>
          <w:rFonts w:hint="eastAsia"/>
        </w:rPr>
        <w:t>3.1  产品服务部署后运行时功能、性能满足国家相关标准、合同和实施方案的要求；</w:t>
      </w:r>
    </w:p>
    <w:p>
      <w:pPr>
        <w:pStyle w:val="4"/>
        <w:spacing w:line="360" w:lineRule="auto"/>
        <w:rPr>
          <w:rFonts w:hint="eastAsia"/>
        </w:rPr>
      </w:pPr>
      <w:r>
        <w:rPr>
          <w:rFonts w:hint="eastAsia"/>
        </w:rPr>
        <w:t>3.3  产品服务总体功能、性能测试和试运行期间出现的问题已被解决；</w:t>
      </w:r>
    </w:p>
    <w:p>
      <w:pPr>
        <w:pStyle w:val="4"/>
        <w:spacing w:line="360" w:lineRule="auto"/>
        <w:rPr>
          <w:rFonts w:hint="eastAsia"/>
        </w:rPr>
      </w:pPr>
      <w:r>
        <w:rPr>
          <w:rFonts w:hint="eastAsia"/>
        </w:rPr>
        <w:t>3.3  已提供了合同要求的全部资料；</w:t>
      </w:r>
    </w:p>
    <w:p>
      <w:pPr>
        <w:pStyle w:val="4"/>
        <w:spacing w:line="360" w:lineRule="auto"/>
        <w:rPr>
          <w:rFonts w:hint="eastAsia"/>
        </w:rPr>
      </w:pPr>
      <w:r>
        <w:rPr>
          <w:rFonts w:hint="eastAsia"/>
        </w:rPr>
        <w:t>3.4  移交与本项目有关的相关技术资料；</w:t>
      </w:r>
    </w:p>
    <w:p>
      <w:pPr>
        <w:pStyle w:val="4"/>
        <w:spacing w:line="360" w:lineRule="auto"/>
        <w:rPr>
          <w:rFonts w:hint="eastAsia"/>
        </w:rPr>
      </w:pPr>
      <w:r>
        <w:rPr>
          <w:rFonts w:hint="eastAsia"/>
        </w:rPr>
        <w:t>3.5  具体验收由中国电子口岸数据中心深圳分中心组织相关业务、技术专家进行评审。</w:t>
      </w:r>
      <w:r>
        <w:rPr>
          <w:rFonts w:hint="eastAsia" w:ascii="宋体" w:hAnsi="宋体"/>
          <w:snapToGrid w:val="0"/>
          <w:szCs w:val="21"/>
        </w:rPr>
        <w:t>投标人</w:t>
      </w:r>
      <w:r>
        <w:rPr>
          <w:rFonts w:hint="eastAsia"/>
        </w:rPr>
        <w:t>需承诺协助为验收提供相关服务。</w:t>
      </w:r>
    </w:p>
    <w:p>
      <w:pPr>
        <w:pStyle w:val="4"/>
        <w:spacing w:line="360" w:lineRule="auto"/>
        <w:rPr>
          <w:rFonts w:hint="eastAsia"/>
        </w:rPr>
      </w:pPr>
      <w:r>
        <w:rPr>
          <w:rFonts w:hint="eastAsia"/>
        </w:rPr>
        <w:t>4、履约验收方案和付款安排</w:t>
      </w:r>
    </w:p>
    <w:tbl>
      <w:tblPr>
        <w:tblStyle w:val="5"/>
        <w:tblW w:w="5285" w:type="pct"/>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1247"/>
        <w:gridCol w:w="4675"/>
        <w:gridCol w:w="1899"/>
        <w:gridCol w:w="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40" w:type="pct"/>
            <w:noWrap w:val="0"/>
            <w:vAlign w:val="top"/>
          </w:tcPr>
          <w:p>
            <w:pPr>
              <w:jc w:val="center"/>
              <w:rPr>
                <w:rFonts w:hint="eastAsia" w:ascii="宋体" w:hAnsi="宋体" w:cs="宋体"/>
                <w:szCs w:val="21"/>
              </w:rPr>
            </w:pPr>
            <w:r>
              <w:rPr>
                <w:rFonts w:hint="eastAsia" w:ascii="宋体" w:hAnsi="宋体" w:cs="宋体"/>
                <w:szCs w:val="21"/>
              </w:rPr>
              <w:t>序号</w:t>
            </w:r>
          </w:p>
        </w:tc>
        <w:tc>
          <w:tcPr>
            <w:tcW w:w="692" w:type="pct"/>
            <w:noWrap w:val="0"/>
            <w:vAlign w:val="top"/>
          </w:tcPr>
          <w:p>
            <w:pPr>
              <w:jc w:val="center"/>
              <w:rPr>
                <w:rFonts w:hint="eastAsia" w:ascii="宋体" w:hAnsi="宋体" w:cs="宋体"/>
                <w:szCs w:val="21"/>
              </w:rPr>
            </w:pPr>
            <w:r>
              <w:rPr>
                <w:rFonts w:hint="eastAsia" w:ascii="宋体" w:hAnsi="宋体" w:cs="宋体"/>
                <w:szCs w:val="21"/>
              </w:rPr>
              <w:t>付款节点</w:t>
            </w:r>
          </w:p>
        </w:tc>
        <w:tc>
          <w:tcPr>
            <w:tcW w:w="2595" w:type="pct"/>
            <w:noWrap w:val="0"/>
            <w:vAlign w:val="top"/>
          </w:tcPr>
          <w:p>
            <w:pPr>
              <w:jc w:val="center"/>
              <w:rPr>
                <w:rFonts w:hint="eastAsia" w:ascii="宋体" w:hAnsi="宋体" w:cs="宋体"/>
                <w:szCs w:val="21"/>
              </w:rPr>
            </w:pPr>
            <w:r>
              <w:rPr>
                <w:rFonts w:hint="eastAsia" w:ascii="宋体" w:hAnsi="宋体" w:cs="宋体"/>
                <w:szCs w:val="21"/>
              </w:rPr>
              <w:t>付款条件</w:t>
            </w:r>
          </w:p>
        </w:tc>
        <w:tc>
          <w:tcPr>
            <w:tcW w:w="1054" w:type="pct"/>
            <w:noWrap w:val="0"/>
            <w:vAlign w:val="top"/>
          </w:tcPr>
          <w:p>
            <w:pPr>
              <w:jc w:val="center"/>
              <w:rPr>
                <w:rFonts w:hint="eastAsia" w:ascii="宋体" w:hAnsi="宋体" w:cs="宋体"/>
                <w:szCs w:val="21"/>
              </w:rPr>
            </w:pPr>
            <w:r>
              <w:rPr>
                <w:rFonts w:hint="eastAsia" w:ascii="宋体" w:hAnsi="宋体" w:cs="宋体"/>
                <w:szCs w:val="21"/>
              </w:rPr>
              <w:t>付款比例（或金额）</w:t>
            </w:r>
          </w:p>
        </w:tc>
        <w:tc>
          <w:tcPr>
            <w:tcW w:w="319" w:type="pct"/>
            <w:noWrap w:val="0"/>
            <w:vAlign w:val="top"/>
          </w:tcPr>
          <w:p>
            <w:pP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40" w:type="pct"/>
            <w:noWrap w:val="0"/>
            <w:vAlign w:val="top"/>
          </w:tcPr>
          <w:p>
            <w:pPr>
              <w:rPr>
                <w:rFonts w:hint="eastAsia" w:ascii="宋体" w:hAnsi="宋体" w:cs="宋体"/>
                <w:szCs w:val="21"/>
              </w:rPr>
            </w:pPr>
            <w:r>
              <w:rPr>
                <w:rFonts w:hint="eastAsia" w:ascii="宋体" w:hAnsi="宋体" w:cs="宋体"/>
                <w:szCs w:val="21"/>
              </w:rPr>
              <w:t>1</w:t>
            </w:r>
          </w:p>
        </w:tc>
        <w:tc>
          <w:tcPr>
            <w:tcW w:w="692" w:type="pct"/>
            <w:noWrap w:val="0"/>
            <w:vAlign w:val="top"/>
          </w:tcPr>
          <w:p>
            <w:pPr>
              <w:jc w:val="center"/>
              <w:rPr>
                <w:rFonts w:hint="eastAsia" w:ascii="宋体" w:hAnsi="宋体" w:cs="宋体"/>
                <w:szCs w:val="21"/>
              </w:rPr>
            </w:pPr>
            <w:r>
              <w:rPr>
                <w:rFonts w:hint="eastAsia" w:ascii="宋体" w:hAnsi="宋体" w:cs="宋体"/>
                <w:szCs w:val="21"/>
              </w:rPr>
              <w:t>首付款</w:t>
            </w:r>
          </w:p>
        </w:tc>
        <w:tc>
          <w:tcPr>
            <w:tcW w:w="2595" w:type="pct"/>
            <w:noWrap w:val="0"/>
            <w:vAlign w:val="top"/>
          </w:tcPr>
          <w:p>
            <w:pPr>
              <w:widowControl/>
              <w:spacing w:line="560" w:lineRule="exact"/>
              <w:jc w:val="left"/>
              <w:rPr>
                <w:rFonts w:hint="eastAsia" w:ascii="宋体" w:hAnsi="宋体" w:cs="宋体"/>
                <w:color w:val="000000"/>
                <w:szCs w:val="21"/>
              </w:rPr>
            </w:pPr>
            <w:r>
              <w:rPr>
                <w:rFonts w:hint="eastAsia" w:ascii="宋体" w:hAnsi="宋体" w:cs="宋体"/>
                <w:color w:val="000000"/>
                <w:szCs w:val="21"/>
              </w:rPr>
              <w:t>合同签订后，乙方提交下列单据之日起10个工作日内，甲方向乙方支付合同总价30%合同款。</w:t>
            </w:r>
          </w:p>
          <w:p>
            <w:pPr>
              <w:widowControl/>
              <w:spacing w:line="560" w:lineRule="exact"/>
              <w:ind w:firstLine="420" w:firstLineChars="200"/>
              <w:jc w:val="left"/>
              <w:rPr>
                <w:rFonts w:hint="eastAsia" w:ascii="宋体" w:hAnsi="宋体" w:cs="宋体"/>
                <w:color w:val="000000"/>
                <w:szCs w:val="21"/>
              </w:rPr>
            </w:pPr>
            <w:r>
              <w:rPr>
                <w:rFonts w:hint="eastAsia" w:ascii="宋体" w:hAnsi="宋体" w:cs="宋体"/>
                <w:color w:val="000000"/>
                <w:szCs w:val="21"/>
              </w:rPr>
              <w:t>乙方提交单据：付款申请函（盖章原件）；相应金额发票（原件）；合同正文（复印件并加盖公章）；中标通知书（复印件）。</w:t>
            </w:r>
          </w:p>
        </w:tc>
        <w:tc>
          <w:tcPr>
            <w:tcW w:w="1054" w:type="pct"/>
            <w:noWrap w:val="0"/>
            <w:vAlign w:val="top"/>
          </w:tcPr>
          <w:p>
            <w:pPr>
              <w:jc w:val="center"/>
              <w:rPr>
                <w:rFonts w:hint="eastAsia" w:ascii="宋体" w:hAnsi="宋体" w:cs="宋体"/>
                <w:szCs w:val="21"/>
              </w:rPr>
            </w:pPr>
            <w:r>
              <w:rPr>
                <w:rFonts w:hint="eastAsia" w:ascii="宋体" w:hAnsi="宋体" w:cs="宋体"/>
                <w:szCs w:val="21"/>
              </w:rPr>
              <w:t>付款至总合同金额30%</w:t>
            </w:r>
          </w:p>
        </w:tc>
        <w:tc>
          <w:tcPr>
            <w:tcW w:w="319" w:type="pct"/>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trPr>
        <w:tc>
          <w:tcPr>
            <w:tcW w:w="340" w:type="pct"/>
            <w:noWrap w:val="0"/>
            <w:vAlign w:val="top"/>
          </w:tcPr>
          <w:p>
            <w:pPr>
              <w:rPr>
                <w:rFonts w:hint="eastAsia" w:ascii="宋体" w:hAnsi="宋体" w:cs="宋体"/>
                <w:szCs w:val="21"/>
              </w:rPr>
            </w:pPr>
            <w:r>
              <w:rPr>
                <w:rFonts w:hint="eastAsia" w:ascii="宋体" w:hAnsi="宋体" w:cs="宋体"/>
                <w:szCs w:val="21"/>
              </w:rPr>
              <w:t>2</w:t>
            </w:r>
          </w:p>
        </w:tc>
        <w:tc>
          <w:tcPr>
            <w:tcW w:w="692" w:type="pct"/>
            <w:noWrap w:val="0"/>
            <w:vAlign w:val="top"/>
          </w:tcPr>
          <w:p>
            <w:pPr>
              <w:jc w:val="center"/>
              <w:rPr>
                <w:rFonts w:hint="eastAsia" w:ascii="宋体" w:hAnsi="宋体" w:cs="宋体"/>
                <w:szCs w:val="21"/>
              </w:rPr>
            </w:pPr>
            <w:r>
              <w:rPr>
                <w:rFonts w:hint="eastAsia" w:ascii="宋体" w:hAnsi="宋体" w:cs="宋体"/>
                <w:szCs w:val="21"/>
              </w:rPr>
              <w:t>进度款</w:t>
            </w:r>
          </w:p>
        </w:tc>
        <w:tc>
          <w:tcPr>
            <w:tcW w:w="2595" w:type="pct"/>
            <w:noWrap w:val="0"/>
            <w:vAlign w:val="top"/>
          </w:tcPr>
          <w:p>
            <w:pPr>
              <w:widowControl/>
              <w:spacing w:line="560" w:lineRule="exact"/>
              <w:jc w:val="left"/>
              <w:rPr>
                <w:rFonts w:hint="eastAsia" w:ascii="宋体" w:hAnsi="宋体" w:cs="宋体"/>
                <w:color w:val="000000"/>
                <w:szCs w:val="21"/>
              </w:rPr>
            </w:pPr>
            <w:r>
              <w:rPr>
                <w:rFonts w:hint="eastAsia" w:ascii="宋体" w:hAnsi="宋体" w:cs="宋体"/>
                <w:color w:val="000000"/>
                <w:szCs w:val="21"/>
              </w:rPr>
              <w:t>项目完成部署和培训后，乙方提交下列单据之日起10个工作日内，甲方向乙方支付合同总价40%合同款。</w:t>
            </w:r>
          </w:p>
          <w:p>
            <w:pPr>
              <w:widowControl/>
              <w:spacing w:line="560" w:lineRule="exact"/>
              <w:jc w:val="left"/>
              <w:rPr>
                <w:rFonts w:hint="eastAsia" w:ascii="宋体" w:hAnsi="宋体" w:cs="宋体"/>
                <w:color w:val="000000"/>
                <w:szCs w:val="21"/>
              </w:rPr>
            </w:pPr>
            <w:r>
              <w:rPr>
                <w:rFonts w:hint="eastAsia" w:ascii="宋体" w:hAnsi="宋体" w:cs="宋体"/>
                <w:color w:val="000000"/>
                <w:szCs w:val="21"/>
              </w:rPr>
              <w:t>乙方提交单据：付款申请函（盖章原件）；相应金额发票（原件）；合同正文（复印件并加盖公章）。</w:t>
            </w:r>
          </w:p>
        </w:tc>
        <w:tc>
          <w:tcPr>
            <w:tcW w:w="1054" w:type="pct"/>
            <w:noWrap w:val="0"/>
            <w:vAlign w:val="top"/>
          </w:tcPr>
          <w:p>
            <w:pPr>
              <w:jc w:val="center"/>
              <w:rPr>
                <w:rFonts w:hint="eastAsia" w:ascii="宋体" w:hAnsi="宋体" w:cs="宋体"/>
                <w:szCs w:val="21"/>
              </w:rPr>
            </w:pPr>
            <w:r>
              <w:rPr>
                <w:rFonts w:hint="eastAsia" w:ascii="宋体" w:hAnsi="宋体" w:cs="宋体"/>
                <w:szCs w:val="21"/>
              </w:rPr>
              <w:t>付款至总合同金额70%</w:t>
            </w:r>
          </w:p>
        </w:tc>
        <w:tc>
          <w:tcPr>
            <w:tcW w:w="319" w:type="pct"/>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40" w:type="pct"/>
            <w:noWrap w:val="0"/>
            <w:vAlign w:val="top"/>
          </w:tcPr>
          <w:p>
            <w:pPr>
              <w:rPr>
                <w:rFonts w:hint="eastAsia" w:ascii="宋体" w:hAnsi="宋体" w:cs="宋体"/>
                <w:szCs w:val="21"/>
              </w:rPr>
            </w:pPr>
            <w:r>
              <w:rPr>
                <w:rFonts w:hint="eastAsia" w:ascii="宋体" w:hAnsi="宋体" w:cs="宋体"/>
                <w:szCs w:val="21"/>
              </w:rPr>
              <w:t>3</w:t>
            </w:r>
          </w:p>
        </w:tc>
        <w:tc>
          <w:tcPr>
            <w:tcW w:w="692" w:type="pct"/>
            <w:noWrap w:val="0"/>
            <w:vAlign w:val="top"/>
          </w:tcPr>
          <w:p>
            <w:pPr>
              <w:jc w:val="center"/>
              <w:rPr>
                <w:rFonts w:hint="eastAsia" w:ascii="宋体" w:hAnsi="宋体" w:cs="宋体"/>
                <w:szCs w:val="21"/>
              </w:rPr>
            </w:pPr>
            <w:r>
              <w:rPr>
                <w:rFonts w:hint="eastAsia" w:ascii="宋体" w:hAnsi="宋体" w:cs="宋体"/>
                <w:szCs w:val="21"/>
              </w:rPr>
              <w:t>尾款</w:t>
            </w:r>
          </w:p>
        </w:tc>
        <w:tc>
          <w:tcPr>
            <w:tcW w:w="2595" w:type="pct"/>
            <w:noWrap w:val="0"/>
            <w:vAlign w:val="top"/>
          </w:tcPr>
          <w:p>
            <w:pPr>
              <w:widowControl/>
              <w:spacing w:line="560" w:lineRule="exact"/>
              <w:jc w:val="left"/>
              <w:rPr>
                <w:rFonts w:hint="eastAsia" w:ascii="宋体" w:hAnsi="宋体" w:cs="宋体"/>
                <w:color w:val="000000"/>
                <w:szCs w:val="21"/>
              </w:rPr>
            </w:pPr>
            <w:r>
              <w:rPr>
                <w:rFonts w:hint="eastAsia" w:ascii="宋体" w:hAnsi="宋体" w:cs="宋体"/>
                <w:color w:val="000000"/>
                <w:szCs w:val="21"/>
              </w:rPr>
              <w:t>乙方完成全部服务内容，经甲方组织的合同验收通过，并提交下列单据之日起10个工作日内，甲方向乙方支付合同总价30%合同款。</w:t>
            </w:r>
          </w:p>
          <w:p>
            <w:pPr>
              <w:widowControl/>
              <w:spacing w:line="560" w:lineRule="exact"/>
              <w:jc w:val="left"/>
              <w:rPr>
                <w:rFonts w:hint="eastAsia" w:ascii="宋体" w:hAnsi="宋体" w:cs="宋体"/>
                <w:color w:val="000000"/>
                <w:szCs w:val="21"/>
              </w:rPr>
            </w:pPr>
            <w:r>
              <w:rPr>
                <w:rFonts w:hint="eastAsia" w:ascii="宋体" w:hAnsi="宋体" w:cs="宋体"/>
                <w:color w:val="000000"/>
                <w:szCs w:val="21"/>
              </w:rPr>
              <w:t>乙方提交单据：付款申请函（盖章原件）；相应金额发票（原件）；合同正文（复印件并加盖公章）；合同总价10%的银行履约保函（原件）。</w:t>
            </w:r>
          </w:p>
        </w:tc>
        <w:tc>
          <w:tcPr>
            <w:tcW w:w="1054" w:type="pct"/>
            <w:noWrap w:val="0"/>
            <w:vAlign w:val="top"/>
          </w:tcPr>
          <w:p>
            <w:pPr>
              <w:jc w:val="center"/>
              <w:rPr>
                <w:rFonts w:hint="eastAsia" w:ascii="宋体" w:hAnsi="宋体" w:cs="宋体"/>
                <w:szCs w:val="21"/>
              </w:rPr>
            </w:pPr>
            <w:r>
              <w:rPr>
                <w:rFonts w:hint="eastAsia" w:ascii="宋体" w:hAnsi="宋体" w:cs="宋体"/>
                <w:szCs w:val="21"/>
              </w:rPr>
              <w:t>付款至总合同金额100%</w:t>
            </w:r>
          </w:p>
        </w:tc>
        <w:tc>
          <w:tcPr>
            <w:tcW w:w="319" w:type="pct"/>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40" w:type="pct"/>
            <w:noWrap w:val="0"/>
            <w:vAlign w:val="top"/>
          </w:tcPr>
          <w:p>
            <w:pPr>
              <w:rPr>
                <w:rFonts w:hint="eastAsia" w:ascii="宋体" w:hAnsi="宋体" w:cs="宋体"/>
                <w:szCs w:val="21"/>
              </w:rPr>
            </w:pPr>
            <w:r>
              <w:rPr>
                <w:rFonts w:hint="eastAsia" w:ascii="宋体" w:hAnsi="宋体" w:cs="宋体"/>
                <w:szCs w:val="21"/>
              </w:rPr>
              <w:t>4</w:t>
            </w:r>
          </w:p>
        </w:tc>
        <w:tc>
          <w:tcPr>
            <w:tcW w:w="692" w:type="pct"/>
            <w:noWrap w:val="0"/>
            <w:vAlign w:val="top"/>
          </w:tcPr>
          <w:p>
            <w:pPr>
              <w:jc w:val="center"/>
              <w:rPr>
                <w:rFonts w:hint="eastAsia" w:ascii="宋体" w:hAnsi="宋体" w:cs="宋体"/>
                <w:szCs w:val="21"/>
              </w:rPr>
            </w:pPr>
            <w:r>
              <w:rPr>
                <w:rFonts w:hint="eastAsia" w:ascii="宋体" w:hAnsi="宋体" w:cs="宋体"/>
                <w:szCs w:val="21"/>
              </w:rPr>
              <w:t>履约保函</w:t>
            </w:r>
          </w:p>
        </w:tc>
        <w:tc>
          <w:tcPr>
            <w:tcW w:w="2595" w:type="pct"/>
            <w:noWrap w:val="0"/>
            <w:vAlign w:val="top"/>
          </w:tcPr>
          <w:p>
            <w:pPr>
              <w:widowControl/>
              <w:spacing w:line="560" w:lineRule="exact"/>
              <w:jc w:val="left"/>
              <w:rPr>
                <w:rFonts w:hint="eastAsia" w:ascii="宋体" w:hAnsi="宋体" w:cs="宋体"/>
                <w:color w:val="000000"/>
                <w:szCs w:val="21"/>
              </w:rPr>
            </w:pPr>
            <w:r>
              <w:rPr>
                <w:rFonts w:hint="eastAsia" w:ascii="宋体" w:hAnsi="宋体" w:cs="宋体"/>
                <w:color w:val="000000"/>
                <w:szCs w:val="21"/>
              </w:rPr>
              <w:t>项目验收后，乙方提交合同总价10%的银行履约保函（原件），其中履约保函期限为合同验收之日起至本项目运维服务期结束之日止，若项目延误，保函期限按期顺延。在乙方无违约情形的前提下，银行履约保函或履约保证金在质保期满后10个工作日内退还。</w:t>
            </w:r>
          </w:p>
        </w:tc>
        <w:tc>
          <w:tcPr>
            <w:tcW w:w="1054" w:type="pct"/>
            <w:noWrap w:val="0"/>
            <w:vAlign w:val="top"/>
          </w:tcPr>
          <w:p>
            <w:pPr>
              <w:jc w:val="center"/>
              <w:rPr>
                <w:rFonts w:hint="eastAsia" w:ascii="宋体" w:hAnsi="宋体" w:cs="宋体"/>
                <w:szCs w:val="21"/>
              </w:rPr>
            </w:pPr>
          </w:p>
        </w:tc>
        <w:tc>
          <w:tcPr>
            <w:tcW w:w="319" w:type="pct"/>
            <w:noWrap w:val="0"/>
            <w:vAlign w:val="top"/>
          </w:tcPr>
          <w:p>
            <w:pPr>
              <w:rPr>
                <w:rFonts w:hint="eastAsia" w:ascii="宋体" w:hAnsi="宋体" w:cs="宋体"/>
                <w:szCs w:val="21"/>
              </w:rPr>
            </w:pPr>
          </w:p>
        </w:tc>
      </w:tr>
    </w:tbl>
    <w:p>
      <w:pPr>
        <w:pStyle w:val="4"/>
        <w:spacing w:line="360" w:lineRule="auto"/>
        <w:rPr>
          <w:rFonts w:hint="eastAsia"/>
        </w:rPr>
      </w:pPr>
      <w:r>
        <w:rPr>
          <w:rFonts w:hint="eastAsia"/>
        </w:rPr>
        <w:t>5、系统培训要求</w:t>
      </w:r>
    </w:p>
    <w:p>
      <w:pPr>
        <w:pStyle w:val="4"/>
        <w:spacing w:line="360" w:lineRule="auto"/>
        <w:rPr>
          <w:rFonts w:hint="eastAsia"/>
        </w:rPr>
      </w:pPr>
      <w:r>
        <w:rPr>
          <w:rFonts w:hint="eastAsia"/>
        </w:rPr>
        <w:t>5.1  投标人必须根据区块链产品的功能和特点，充分考虑到招标人员实际水平，提出详细的培训方案，以达到采购人管理人员能够独立管理投标人所提供的系统软件和日常的维护处理能力和进行二次开发的能力。</w:t>
      </w:r>
    </w:p>
    <w:p>
      <w:pPr>
        <w:pStyle w:val="4"/>
        <w:spacing w:line="360" w:lineRule="auto"/>
        <w:rPr>
          <w:rFonts w:hint="eastAsia"/>
        </w:rPr>
      </w:pPr>
      <w:r>
        <w:rPr>
          <w:rFonts w:hint="eastAsia"/>
        </w:rPr>
        <w:t>5.2  根据项目的总体要求和采购人的实际情况，投标人需配合进行培训，培训时长不少于24学时，培训地点由采购人指定。</w:t>
      </w:r>
    </w:p>
    <w:p>
      <w:pPr>
        <w:pStyle w:val="4"/>
        <w:spacing w:line="360" w:lineRule="auto"/>
        <w:rPr>
          <w:rFonts w:hint="eastAsia"/>
        </w:rPr>
      </w:pPr>
      <w:r>
        <w:rPr>
          <w:rFonts w:hint="eastAsia"/>
        </w:rPr>
        <w:t>5.3  投标人提供的培训方案内容至少应包括培训目的、培训课程、培训师资情况、培训组织方式等。</w:t>
      </w:r>
    </w:p>
    <w:p>
      <w:pPr>
        <w:pStyle w:val="4"/>
        <w:spacing w:line="360" w:lineRule="auto"/>
        <w:rPr>
          <w:rFonts w:hint="eastAsia"/>
        </w:rPr>
      </w:pPr>
      <w:r>
        <w:rPr>
          <w:rFonts w:hint="eastAsia"/>
        </w:rPr>
        <w:t>6、风险及质量管理要求</w:t>
      </w:r>
    </w:p>
    <w:p>
      <w:pPr>
        <w:pStyle w:val="4"/>
        <w:spacing w:line="360" w:lineRule="auto"/>
        <w:rPr>
          <w:rFonts w:hint="eastAsia"/>
        </w:rPr>
      </w:pPr>
      <w:r>
        <w:rPr>
          <w:rFonts w:hint="eastAsia"/>
        </w:rPr>
        <w:t>6.1  投标人应提供完整的风险管理方案，分析本系统建设过程中的风险，并提出规避及应对措施。</w:t>
      </w:r>
    </w:p>
    <w:p>
      <w:pPr>
        <w:pStyle w:val="4"/>
        <w:spacing w:line="360" w:lineRule="auto"/>
        <w:rPr>
          <w:rFonts w:hint="eastAsia"/>
        </w:rPr>
      </w:pPr>
      <w:r>
        <w:rPr>
          <w:rFonts w:hint="eastAsia"/>
        </w:rPr>
        <w:t>6.2  投标人应提供质量管理方案，旨在确保项目及其交付结果符合相关质量标准要求，方案需包括制定质量管理总体框架，定制项目质量保证原则等。</w:t>
      </w:r>
    </w:p>
    <w:p>
      <w:pPr>
        <w:pStyle w:val="4"/>
        <w:spacing w:line="360" w:lineRule="auto"/>
        <w:rPr>
          <w:rFonts w:hint="eastAsia"/>
        </w:rPr>
      </w:pPr>
      <w:r>
        <w:rPr>
          <w:rFonts w:hint="eastAsia"/>
        </w:rPr>
        <w:t>6.3  投标人需按采购人要求，解决各类风险、问题。</w:t>
      </w:r>
    </w:p>
    <w:p>
      <w:pPr>
        <w:pStyle w:val="4"/>
        <w:spacing w:line="360" w:lineRule="auto"/>
        <w:rPr>
          <w:rFonts w:hint="eastAsia"/>
        </w:rPr>
      </w:pPr>
      <w:r>
        <w:rPr>
          <w:rFonts w:hint="eastAsia"/>
        </w:rPr>
        <w:t>6.4  项目开展中架构管控要求变更，投标人应配合开展相关工作。</w:t>
      </w:r>
    </w:p>
    <w:p>
      <w:pPr>
        <w:pStyle w:val="4"/>
        <w:spacing w:line="360" w:lineRule="auto"/>
        <w:rPr>
          <w:rFonts w:hint="eastAsia"/>
        </w:rPr>
      </w:pPr>
      <w:r>
        <w:rPr>
          <w:rFonts w:hint="eastAsia"/>
        </w:rPr>
        <w:t>6.5  投标人需接受采购人驻场监管，为相应工作开展提供便利条件，协助完成相应审核、检查等。</w:t>
      </w:r>
    </w:p>
    <w:p>
      <w:pPr>
        <w:pStyle w:val="4"/>
        <w:spacing w:line="360" w:lineRule="auto"/>
        <w:rPr>
          <w:rFonts w:hint="eastAsia"/>
        </w:rPr>
      </w:pPr>
      <w:r>
        <w:rPr>
          <w:rFonts w:hint="eastAsia"/>
        </w:rPr>
        <w:t>7、人员管理要求</w:t>
      </w:r>
    </w:p>
    <w:p>
      <w:pPr>
        <w:pStyle w:val="4"/>
        <w:spacing w:line="360" w:lineRule="auto"/>
        <w:ind w:firstLine="420" w:firstLineChars="200"/>
        <w:rPr>
          <w:rFonts w:hint="eastAsia"/>
        </w:rPr>
      </w:pPr>
      <w:r>
        <w:rPr>
          <w:rFonts w:hint="eastAsia"/>
        </w:rPr>
        <w:t>投标人应承诺保持项目团队核心成员的稳定性，未经采购人许可不得随便调整项目团队核心成员（包括项目经理、架构师等）。投标人提供的驻场服务人员须按照采购方管理要求执行上下班作息，若驻场服务人员违反采购方相关管理要求，采购人有权要求投标人更换驻场服务人员。投标人须按照采购人要求签署相关数据安全承诺书、网络安全承诺书、保密承诺书等，严格按照采购人要求遵守相关法律法规以及相关网络安全和数据安全管理制度、文件规定等。如有人员提出辞职，投标人应提前30天通知采购人，并立即补充人员进行工作交接；待交接通过采购人审核后，离职人员方可离开；如因此给采购人造成损失，由投标人承担；服务人员离职时，不得以任何方式复制采购人及项目的一切资料。</w:t>
      </w:r>
    </w:p>
    <w:p>
      <w:pPr>
        <w:spacing w:line="360" w:lineRule="auto"/>
        <w:rPr>
          <w:rFonts w:hint="eastAsia" w:ascii="宋体" w:hAnsi="宋体"/>
          <w:bCs/>
          <w:szCs w:val="21"/>
        </w:rPr>
      </w:pPr>
      <w:r>
        <w:rPr>
          <w:rFonts w:hint="eastAsia" w:ascii="宋体" w:hAnsi="宋体"/>
          <w:bCs/>
          <w:szCs w:val="21"/>
        </w:rPr>
        <w:t>8、知识产权的归属和收益等分配办法</w:t>
      </w:r>
    </w:p>
    <w:p>
      <w:pPr>
        <w:spacing w:line="360" w:lineRule="auto"/>
        <w:rPr>
          <w:rFonts w:hint="eastAsia" w:ascii="宋体" w:hAnsi="宋体"/>
          <w:bCs/>
          <w:szCs w:val="21"/>
        </w:rPr>
      </w:pPr>
      <w:r>
        <w:rPr>
          <w:rFonts w:hint="eastAsia" w:ascii="宋体" w:hAnsi="宋体"/>
          <w:bCs/>
          <w:szCs w:val="21"/>
        </w:rPr>
        <w:t>8.1  本项目中，采购人对区块链产品拥有完整的使用权，采购人对除区块链产品之外的服务成果拥有所有权及全部、完整的知识产权（包括但不限于著作权、专利权、商标权以及知识产权申请权等）。投标人应向采购人提供区块链产品本地化部署相关资料以及该项目除区块链产品之外的定制化开发的源代码（含质保期内的后续升级版本）等技术资料，保障采购人的二次开发权等权利，</w:t>
      </w:r>
      <w:r>
        <w:rPr>
          <w:rFonts w:hint="eastAsia"/>
        </w:rPr>
        <w:t>投标人</w:t>
      </w:r>
      <w:r>
        <w:rPr>
          <w:rFonts w:hint="eastAsia" w:ascii="宋体" w:hAnsi="宋体"/>
          <w:bCs/>
          <w:szCs w:val="21"/>
        </w:rPr>
        <w:t xml:space="preserve">不得向任何第三方提供。本项目除区块链产品之外的设计开发知识产权及专利申请权归采购人所有。本项目除区块链产品之外的技术秘密的使用权、转让权归采购人所有（如不涉及软件开发工作即标注不适用）。 </w:t>
      </w:r>
    </w:p>
    <w:p>
      <w:pPr>
        <w:spacing w:line="360" w:lineRule="auto"/>
        <w:rPr>
          <w:rFonts w:hint="eastAsia" w:ascii="宋体" w:hAnsi="宋体"/>
          <w:bCs/>
          <w:szCs w:val="21"/>
        </w:rPr>
      </w:pPr>
      <w:r>
        <w:rPr>
          <w:rFonts w:hint="eastAsia" w:ascii="宋体" w:hAnsi="宋体"/>
          <w:bCs/>
          <w:szCs w:val="21"/>
        </w:rPr>
        <w:t>如涉及软件开发工作，</w:t>
      </w:r>
      <w:r>
        <w:rPr>
          <w:rFonts w:hint="eastAsia"/>
        </w:rPr>
        <w:t>投标人</w:t>
      </w:r>
      <w:r>
        <w:rPr>
          <w:rFonts w:hint="eastAsia" w:ascii="宋体" w:hAnsi="宋体"/>
          <w:bCs/>
          <w:szCs w:val="21"/>
        </w:rPr>
        <w:t xml:space="preserve">应允许采购人安排海关骨干人员参与核心工作，工作结束后带回源代码，并纳入采购人原版库管理，以便后续修改维护。 </w:t>
      </w:r>
    </w:p>
    <w:p>
      <w:pPr>
        <w:spacing w:line="360" w:lineRule="auto"/>
        <w:rPr>
          <w:rFonts w:hint="eastAsia" w:ascii="宋体" w:hAnsi="宋体"/>
          <w:bCs/>
          <w:szCs w:val="21"/>
        </w:rPr>
      </w:pPr>
      <w:r>
        <w:rPr>
          <w:rFonts w:hint="eastAsia" w:ascii="宋体" w:hAnsi="宋体"/>
          <w:bCs/>
          <w:szCs w:val="21"/>
        </w:rPr>
        <w:t xml:space="preserve">8.2  </w:t>
      </w:r>
      <w:r>
        <w:rPr>
          <w:rFonts w:hint="eastAsia"/>
        </w:rPr>
        <w:t>投标人</w:t>
      </w:r>
      <w:r>
        <w:rPr>
          <w:rFonts w:hint="eastAsia" w:ascii="宋体" w:hAnsi="宋体"/>
          <w:bCs/>
          <w:szCs w:val="21"/>
        </w:rPr>
        <w:t>应保证采购人在中华人民共和国使用该项目产品或项目产品的任何一部分时，免受因</w:t>
      </w:r>
      <w:r>
        <w:rPr>
          <w:rFonts w:hint="eastAsia"/>
        </w:rPr>
        <w:t>投标人</w:t>
      </w:r>
      <w:r>
        <w:rPr>
          <w:rFonts w:hint="eastAsia" w:ascii="宋体" w:hAnsi="宋体"/>
          <w:bCs/>
          <w:szCs w:val="21"/>
        </w:rPr>
        <w:t xml:space="preserve">原因导致的第三方提出的侵犯其专利权、商标权或工业设计权的索赔或起诉。 </w:t>
      </w:r>
    </w:p>
    <w:p>
      <w:pPr>
        <w:spacing w:line="360" w:lineRule="auto"/>
        <w:rPr>
          <w:rFonts w:hint="eastAsia" w:ascii="宋体" w:hAnsi="宋体"/>
          <w:bCs/>
          <w:szCs w:val="21"/>
        </w:rPr>
      </w:pPr>
      <w:r>
        <w:rPr>
          <w:rFonts w:hint="eastAsia" w:ascii="宋体" w:hAnsi="宋体"/>
          <w:bCs/>
          <w:szCs w:val="21"/>
        </w:rPr>
        <w:t>8.3  如果采购人在使用该产品服务或产品服务的任何一部分时被任何第三方诉称侵犯了其第三方知识产权或任何其它权利，采购人应立即通知</w:t>
      </w:r>
      <w:r>
        <w:rPr>
          <w:rFonts w:hint="eastAsia"/>
        </w:rPr>
        <w:t>投标人</w:t>
      </w:r>
      <w:r>
        <w:rPr>
          <w:rFonts w:hint="eastAsia" w:ascii="宋体" w:hAnsi="宋体"/>
          <w:bCs/>
          <w:szCs w:val="21"/>
        </w:rPr>
        <w:t>。</w:t>
      </w:r>
      <w:r>
        <w:rPr>
          <w:rFonts w:hint="eastAsia"/>
        </w:rPr>
        <w:t>投标人</w:t>
      </w:r>
      <w:r>
        <w:rPr>
          <w:rFonts w:hint="eastAsia" w:ascii="宋体" w:hAnsi="宋体"/>
          <w:bCs/>
          <w:szCs w:val="21"/>
        </w:rPr>
        <w:t>应负责处理这一指控，并应以</w:t>
      </w:r>
      <w:r>
        <w:rPr>
          <w:rFonts w:hint="eastAsia"/>
        </w:rPr>
        <w:t>投标人</w:t>
      </w:r>
      <w:r>
        <w:rPr>
          <w:rFonts w:hint="eastAsia" w:ascii="宋体" w:hAnsi="宋体"/>
          <w:bCs/>
          <w:szCs w:val="21"/>
        </w:rPr>
        <w:t>的名义自负费用向起诉方提出抗辩。采购人将尽可能地对</w:t>
      </w:r>
      <w:r>
        <w:rPr>
          <w:rFonts w:hint="eastAsia"/>
        </w:rPr>
        <w:t>投标人</w:t>
      </w:r>
      <w:r>
        <w:rPr>
          <w:rFonts w:hint="eastAsia" w:ascii="宋体" w:hAnsi="宋体"/>
          <w:bCs/>
          <w:szCs w:val="21"/>
        </w:rPr>
        <w:t>抗辩给予协助，由此发生的费用由</w:t>
      </w:r>
      <w:r>
        <w:rPr>
          <w:rFonts w:hint="eastAsia"/>
        </w:rPr>
        <w:t>投标人</w:t>
      </w:r>
      <w:r>
        <w:rPr>
          <w:rFonts w:hint="eastAsia" w:ascii="宋体" w:hAnsi="宋体"/>
          <w:bCs/>
          <w:szCs w:val="21"/>
        </w:rPr>
        <w:t xml:space="preserve">承担。 </w:t>
      </w:r>
    </w:p>
    <w:p>
      <w:pPr>
        <w:spacing w:line="360" w:lineRule="auto"/>
        <w:rPr>
          <w:rFonts w:hint="eastAsia" w:ascii="宋体" w:hAnsi="宋体"/>
          <w:bCs/>
          <w:szCs w:val="21"/>
        </w:rPr>
      </w:pPr>
      <w:r>
        <w:rPr>
          <w:rFonts w:hint="eastAsia" w:ascii="宋体" w:hAnsi="宋体"/>
          <w:bCs/>
          <w:szCs w:val="21"/>
        </w:rPr>
        <w:t>8.4 如果采购人发现任何第三方在采购人未被许可的范围内非法使用甲方获得的知识产权，采购人应立即通知</w:t>
      </w:r>
      <w:r>
        <w:rPr>
          <w:rFonts w:hint="eastAsia"/>
        </w:rPr>
        <w:t>投标人</w:t>
      </w:r>
      <w:r>
        <w:rPr>
          <w:rFonts w:hint="eastAsia" w:ascii="宋体" w:hAnsi="宋体"/>
          <w:bCs/>
          <w:szCs w:val="21"/>
        </w:rPr>
        <w:t>。</w:t>
      </w:r>
      <w:r>
        <w:rPr>
          <w:rFonts w:hint="eastAsia"/>
        </w:rPr>
        <w:t>投标人</w:t>
      </w:r>
      <w:r>
        <w:rPr>
          <w:rFonts w:hint="eastAsia" w:ascii="宋体" w:hAnsi="宋体"/>
          <w:bCs/>
          <w:szCs w:val="21"/>
        </w:rPr>
        <w:t>应在收到通知后14日内采取适当行动，制止非法使用行为；否则，如果采购人要求，</w:t>
      </w:r>
      <w:r>
        <w:rPr>
          <w:rFonts w:hint="eastAsia"/>
        </w:rPr>
        <w:t>投标人</w:t>
      </w:r>
      <w:r>
        <w:rPr>
          <w:rFonts w:hint="eastAsia" w:ascii="宋体" w:hAnsi="宋体"/>
          <w:bCs/>
          <w:szCs w:val="21"/>
        </w:rPr>
        <w:t>应授权甲方根据中国法律规定对该第三方提起诉讼，并给采购人尽可能的协助。采购人应负担诉讼中发生的全部费用，并有权获得判决给付的全部赔偿。如果有</w:t>
      </w:r>
      <w:r>
        <w:rPr>
          <w:rFonts w:hint="eastAsia"/>
        </w:rPr>
        <w:t>投标人</w:t>
      </w:r>
      <w:r>
        <w:rPr>
          <w:rFonts w:hint="eastAsia" w:ascii="宋体" w:hAnsi="宋体"/>
          <w:bCs/>
          <w:szCs w:val="21"/>
        </w:rPr>
        <w:t>的责任，由</w:t>
      </w:r>
      <w:r>
        <w:rPr>
          <w:rFonts w:hint="eastAsia"/>
        </w:rPr>
        <w:t>投标人</w:t>
      </w:r>
      <w:r>
        <w:rPr>
          <w:rFonts w:hint="eastAsia" w:ascii="宋体" w:hAnsi="宋体"/>
          <w:bCs/>
          <w:szCs w:val="21"/>
        </w:rPr>
        <w:t xml:space="preserve">承担相应的责任。 </w:t>
      </w:r>
    </w:p>
    <w:p>
      <w:pPr>
        <w:spacing w:line="360" w:lineRule="auto"/>
        <w:rPr>
          <w:rFonts w:hint="eastAsia" w:ascii="宋体" w:hAnsi="宋体"/>
          <w:bCs/>
          <w:szCs w:val="21"/>
        </w:rPr>
      </w:pPr>
      <w:r>
        <w:rPr>
          <w:rFonts w:hint="eastAsia" w:ascii="宋体" w:hAnsi="宋体"/>
          <w:bCs/>
          <w:szCs w:val="21"/>
        </w:rPr>
        <w:t>在本项目的实施过程中，如果根据设计需要购置其他软件产品或组件，包括</w:t>
      </w:r>
      <w:r>
        <w:rPr>
          <w:rFonts w:hint="eastAsia"/>
        </w:rPr>
        <w:t>投标人</w:t>
      </w:r>
      <w:r>
        <w:rPr>
          <w:rFonts w:hint="eastAsia" w:ascii="宋体" w:hAnsi="宋体"/>
          <w:bCs/>
          <w:szCs w:val="21"/>
        </w:rPr>
        <w:t xml:space="preserve">自主知识产权的产品，都必须向采购人做出详细说明，并列出软件产品的详细清单，包括产品名称、功能、用途、供应商、用户数、质量保证期等。 </w:t>
      </w:r>
    </w:p>
    <w:p>
      <w:pPr>
        <w:spacing w:line="360" w:lineRule="auto"/>
        <w:rPr>
          <w:rFonts w:hint="eastAsia" w:ascii="宋体" w:hAnsi="宋体"/>
          <w:bCs/>
          <w:szCs w:val="21"/>
        </w:rPr>
      </w:pPr>
      <w:r>
        <w:rPr>
          <w:rFonts w:hint="eastAsia" w:ascii="宋体" w:hAnsi="宋体"/>
          <w:bCs/>
          <w:szCs w:val="21"/>
        </w:rPr>
        <w:t>9、定价方式：固定总价。</w:t>
      </w:r>
    </w:p>
    <w:p>
      <w:pPr>
        <w:spacing w:line="360" w:lineRule="auto"/>
      </w:pPr>
      <w:r>
        <w:rPr>
          <w:rFonts w:hint="eastAsia"/>
        </w:rPr>
        <w:t>10、合同类型：买卖合同。</w:t>
      </w:r>
    </w:p>
    <w:p>
      <w:pPr>
        <w:pStyle w:val="4"/>
        <w:spacing w:line="360" w:lineRule="auto"/>
      </w:pPr>
    </w:p>
    <w:p>
      <w:pPr>
        <w:pStyle w:val="4"/>
        <w:spacing w:line="360" w:lineRule="auto"/>
        <w:rPr>
          <w:rFonts w:ascii="宋体" w:hAnsi="宋体"/>
          <w:b/>
          <w:bCs/>
          <w:sz w:val="24"/>
        </w:rPr>
      </w:pPr>
      <w:r>
        <w:rPr>
          <w:rFonts w:hint="eastAsia" w:ascii="宋体" w:hAnsi="宋体"/>
          <w:b/>
          <w:bCs/>
          <w:sz w:val="24"/>
        </w:rPr>
        <w:t>四、其他</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377"/>
        <w:gridCol w:w="1185"/>
        <w:gridCol w:w="698"/>
        <w:gridCol w:w="1672"/>
        <w:gridCol w:w="187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noWrap w:val="0"/>
            <w:vAlign w:val="top"/>
          </w:tcPr>
          <w:p>
            <w:pPr>
              <w:rPr>
                <w:rFonts w:ascii="宋体" w:hAnsi="宋体" w:cs="Arial"/>
                <w:szCs w:val="21"/>
              </w:rPr>
            </w:pPr>
            <w:r>
              <w:rPr>
                <w:rFonts w:hint="eastAsia" w:ascii="宋体" w:hAnsi="宋体" w:cs="Arial"/>
                <w:szCs w:val="21"/>
              </w:rPr>
              <w:t>阶段</w:t>
            </w:r>
          </w:p>
        </w:tc>
        <w:tc>
          <w:tcPr>
            <w:tcW w:w="1377" w:type="dxa"/>
            <w:noWrap w:val="0"/>
            <w:vAlign w:val="top"/>
          </w:tcPr>
          <w:p>
            <w:pPr>
              <w:rPr>
                <w:rFonts w:ascii="宋体" w:hAnsi="宋体" w:cs="Arial"/>
                <w:szCs w:val="21"/>
              </w:rPr>
            </w:pPr>
            <w:r>
              <w:rPr>
                <w:rFonts w:hint="eastAsia" w:ascii="宋体" w:hAnsi="宋体" w:cs="Arial"/>
                <w:szCs w:val="21"/>
              </w:rPr>
              <w:t>风险事项</w:t>
            </w:r>
          </w:p>
        </w:tc>
        <w:tc>
          <w:tcPr>
            <w:tcW w:w="1185" w:type="dxa"/>
            <w:noWrap w:val="0"/>
            <w:vAlign w:val="top"/>
          </w:tcPr>
          <w:p>
            <w:pPr>
              <w:rPr>
                <w:rFonts w:ascii="宋体" w:hAnsi="宋体" w:cs="Arial"/>
                <w:szCs w:val="21"/>
              </w:rPr>
            </w:pPr>
            <w:r>
              <w:rPr>
                <w:rFonts w:hint="eastAsia" w:ascii="宋体" w:hAnsi="宋体" w:cs="Arial"/>
                <w:szCs w:val="21"/>
              </w:rPr>
              <w:t>风险描述</w:t>
            </w:r>
          </w:p>
        </w:tc>
        <w:tc>
          <w:tcPr>
            <w:tcW w:w="698" w:type="dxa"/>
            <w:noWrap w:val="0"/>
            <w:vAlign w:val="top"/>
          </w:tcPr>
          <w:p>
            <w:pPr>
              <w:rPr>
                <w:rFonts w:ascii="宋体" w:hAnsi="宋体" w:cs="Arial"/>
                <w:szCs w:val="21"/>
              </w:rPr>
            </w:pPr>
            <w:r>
              <w:rPr>
                <w:rFonts w:hint="eastAsia" w:ascii="宋体" w:hAnsi="宋体" w:cs="Arial"/>
                <w:szCs w:val="21"/>
              </w:rPr>
              <w:t>风险等级</w:t>
            </w:r>
          </w:p>
        </w:tc>
        <w:tc>
          <w:tcPr>
            <w:tcW w:w="1672" w:type="dxa"/>
            <w:noWrap w:val="0"/>
            <w:vAlign w:val="top"/>
          </w:tcPr>
          <w:p>
            <w:pPr>
              <w:rPr>
                <w:rFonts w:ascii="宋体" w:hAnsi="宋体" w:cs="Arial"/>
                <w:szCs w:val="21"/>
              </w:rPr>
            </w:pPr>
            <w:r>
              <w:rPr>
                <w:rFonts w:hint="eastAsia" w:ascii="宋体" w:hAnsi="宋体" w:cs="Arial"/>
                <w:szCs w:val="21"/>
              </w:rPr>
              <w:t>防控措施</w:t>
            </w:r>
          </w:p>
        </w:tc>
        <w:tc>
          <w:tcPr>
            <w:tcW w:w="1872" w:type="dxa"/>
            <w:noWrap w:val="0"/>
            <w:vAlign w:val="top"/>
          </w:tcPr>
          <w:p>
            <w:pPr>
              <w:rPr>
                <w:rFonts w:ascii="宋体" w:hAnsi="宋体" w:cs="Arial"/>
                <w:szCs w:val="21"/>
              </w:rPr>
            </w:pPr>
            <w:r>
              <w:rPr>
                <w:rFonts w:hint="eastAsia" w:ascii="宋体" w:hAnsi="宋体" w:cs="Arial"/>
                <w:szCs w:val="21"/>
              </w:rPr>
              <w:t>责任人</w:t>
            </w:r>
          </w:p>
        </w:tc>
        <w:tc>
          <w:tcPr>
            <w:tcW w:w="1559" w:type="dxa"/>
            <w:noWrap w:val="0"/>
            <w:vAlign w:val="top"/>
          </w:tcPr>
          <w:p>
            <w:pPr>
              <w:rPr>
                <w:rFonts w:ascii="宋体" w:hAnsi="宋体" w:cs="Arial"/>
                <w:szCs w:val="21"/>
              </w:rPr>
            </w:pPr>
            <w:r>
              <w:rPr>
                <w:rFonts w:hint="eastAsia" w:ascii="宋体" w:hAnsi="宋体" w:cs="Arial"/>
                <w:szCs w:val="21"/>
              </w:rPr>
              <w:t>采购环节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pPr>
              <w:pStyle w:val="4"/>
              <w:spacing w:line="360" w:lineRule="auto"/>
              <w:rPr>
                <w:rFonts w:hint="eastAsia" w:ascii="宋体" w:hAnsi="宋体"/>
                <w:bCs/>
                <w:szCs w:val="21"/>
              </w:rPr>
            </w:pPr>
            <w:r>
              <w:rPr>
                <w:rFonts w:hint="eastAsia" w:ascii="宋体" w:hAnsi="宋体"/>
                <w:bCs/>
                <w:szCs w:val="21"/>
              </w:rPr>
              <w:t>项目采购阶段。</w:t>
            </w:r>
          </w:p>
          <w:p>
            <w:pPr>
              <w:pStyle w:val="4"/>
              <w:spacing w:line="360" w:lineRule="auto"/>
              <w:rPr>
                <w:rFonts w:ascii="宋体" w:hAnsi="宋体"/>
                <w:bCs/>
                <w:szCs w:val="21"/>
              </w:rPr>
            </w:pPr>
            <w:r>
              <w:rPr>
                <w:rFonts w:hint="eastAsia" w:ascii="宋体" w:hAnsi="宋体"/>
                <w:bCs/>
                <w:szCs w:val="21"/>
              </w:rPr>
              <w:t>项目履约阶段。</w:t>
            </w:r>
          </w:p>
          <w:p>
            <w:pPr>
              <w:tabs>
                <w:tab w:val="left" w:pos="1330"/>
              </w:tabs>
              <w:rPr>
                <w:rFonts w:ascii="宋体" w:hAnsi="宋体" w:cs="Arial"/>
                <w:szCs w:val="21"/>
              </w:rPr>
            </w:pPr>
          </w:p>
        </w:tc>
        <w:tc>
          <w:tcPr>
            <w:tcW w:w="1377" w:type="dxa"/>
            <w:noWrap w:val="0"/>
            <w:vAlign w:val="top"/>
          </w:tcPr>
          <w:p>
            <w:pPr>
              <w:tabs>
                <w:tab w:val="left" w:pos="1330"/>
              </w:tabs>
              <w:rPr>
                <w:rFonts w:ascii="宋体" w:hAnsi="宋体" w:cs="Arial"/>
                <w:szCs w:val="21"/>
              </w:rPr>
            </w:pPr>
            <w:r>
              <w:rPr>
                <w:rFonts w:hint="eastAsia" w:ascii="宋体" w:hAnsi="宋体" w:cs="Arial"/>
                <w:szCs w:val="21"/>
              </w:rPr>
              <w:t>在需求编制中采购人应充分考核项目的实际情况；确保项目需求满足本项目要求时再予于确认；采购活动采购人采购需求编制依法依规，招标代理机构因严格遵守国家相关法规规定，公平公正组织招标程序，不得有任何违法的行为。</w:t>
            </w:r>
          </w:p>
        </w:tc>
        <w:tc>
          <w:tcPr>
            <w:tcW w:w="1185" w:type="dxa"/>
            <w:noWrap w:val="0"/>
            <w:vAlign w:val="top"/>
          </w:tcPr>
          <w:p>
            <w:pPr>
              <w:tabs>
                <w:tab w:val="left" w:pos="1330"/>
              </w:tabs>
              <w:rPr>
                <w:rFonts w:ascii="宋体" w:hAnsi="宋体" w:cs="Arial"/>
                <w:szCs w:val="21"/>
              </w:rPr>
            </w:pPr>
            <w:r>
              <w:rPr>
                <w:rFonts w:hint="eastAsia" w:ascii="宋体" w:hAnsi="宋体"/>
                <w:bCs/>
                <w:szCs w:val="21"/>
              </w:rPr>
              <w:t>在履约合同过程 ，如</w:t>
            </w:r>
            <w:r>
              <w:rPr>
                <w:rFonts w:hint="eastAsia" w:ascii="宋体" w:hAnsi="宋体" w:cs="Arial"/>
                <w:szCs w:val="21"/>
              </w:rPr>
              <w:t>遇到系统做必要的调整、切换、等重要系统变更活动时</w:t>
            </w:r>
            <w:r>
              <w:rPr>
                <w:rFonts w:hint="eastAsia" w:ascii="宋体" w:hAnsi="宋体"/>
                <w:bCs/>
                <w:szCs w:val="21"/>
              </w:rPr>
              <w:t>，需要中标供应商的迅速应急，供应商因全面理解项目情况</w:t>
            </w:r>
          </w:p>
        </w:tc>
        <w:tc>
          <w:tcPr>
            <w:tcW w:w="698" w:type="dxa"/>
            <w:noWrap w:val="0"/>
            <w:vAlign w:val="top"/>
          </w:tcPr>
          <w:p>
            <w:pPr>
              <w:tabs>
                <w:tab w:val="left" w:pos="1330"/>
              </w:tabs>
              <w:rPr>
                <w:rFonts w:ascii="宋体" w:hAnsi="宋体" w:cs="Arial"/>
                <w:szCs w:val="21"/>
              </w:rPr>
            </w:pPr>
            <w:r>
              <w:rPr>
                <w:rFonts w:hint="eastAsia" w:ascii="宋体" w:hAnsi="宋体" w:cs="Arial"/>
                <w:szCs w:val="21"/>
              </w:rPr>
              <w:t>低</w:t>
            </w:r>
          </w:p>
        </w:tc>
        <w:tc>
          <w:tcPr>
            <w:tcW w:w="1672" w:type="dxa"/>
            <w:noWrap w:val="0"/>
            <w:vAlign w:val="top"/>
          </w:tcPr>
          <w:p>
            <w:pPr>
              <w:tabs>
                <w:tab w:val="left" w:pos="1330"/>
              </w:tabs>
              <w:rPr>
                <w:rFonts w:hint="eastAsia" w:ascii="宋体" w:hAnsi="宋体" w:cs="Arial"/>
                <w:szCs w:val="21"/>
              </w:rPr>
            </w:pPr>
            <w:r>
              <w:rPr>
                <w:rFonts w:hint="eastAsia" w:ascii="宋体" w:hAnsi="宋体" w:cs="Arial"/>
                <w:szCs w:val="21"/>
              </w:rPr>
              <w:t>在采购活动中，采购人应按照国家法规及项目实际要求编写采购需求，不存在对投标人进行区别对待。</w:t>
            </w:r>
          </w:p>
          <w:p>
            <w:pPr>
              <w:tabs>
                <w:tab w:val="left" w:pos="1330"/>
              </w:tabs>
              <w:rPr>
                <w:rFonts w:ascii="宋体" w:hAnsi="宋体" w:cs="Arial"/>
                <w:szCs w:val="21"/>
              </w:rPr>
            </w:pPr>
            <w:r>
              <w:rPr>
                <w:rFonts w:hint="eastAsia" w:ascii="宋体" w:hAnsi="宋体" w:cs="Arial"/>
                <w:szCs w:val="21"/>
              </w:rPr>
              <w:t>采购代理机构：招标代理机构应严格按照《中华人民共和国政府采购法》及相关法律法规规定，审核采购人采购需求，依法依规编写招标文件；评标过程中有效管理评标委员会评标，保证项目公开公平公正进行。</w:t>
            </w:r>
          </w:p>
          <w:p>
            <w:pPr>
              <w:tabs>
                <w:tab w:val="left" w:pos="1330"/>
              </w:tabs>
              <w:rPr>
                <w:rFonts w:hint="eastAsia" w:ascii="宋体" w:hAnsi="宋体" w:cs="Arial"/>
                <w:szCs w:val="21"/>
              </w:rPr>
            </w:pPr>
            <w:r>
              <w:rPr>
                <w:rFonts w:ascii="宋体" w:hAnsi="宋体"/>
                <w:bCs/>
                <w:szCs w:val="21"/>
              </w:rPr>
              <w:t>在合同履行过程中</w:t>
            </w:r>
            <w:r>
              <w:rPr>
                <w:rFonts w:hint="eastAsia" w:ascii="宋体" w:hAnsi="宋体"/>
                <w:bCs/>
                <w:szCs w:val="21"/>
              </w:rPr>
              <w:t>:</w:t>
            </w:r>
            <w:r>
              <w:rPr>
                <w:rFonts w:hint="eastAsia" w:ascii="宋体" w:hAnsi="宋体" w:cs="Arial"/>
                <w:szCs w:val="21"/>
              </w:rPr>
              <w:t xml:space="preserve">中标人必须按照合同履行约定义务的， </w:t>
            </w:r>
          </w:p>
          <w:p>
            <w:pPr>
              <w:tabs>
                <w:tab w:val="left" w:pos="1330"/>
              </w:tabs>
              <w:rPr>
                <w:rFonts w:ascii="宋体" w:hAnsi="宋体" w:cs="Arial"/>
                <w:szCs w:val="21"/>
              </w:rPr>
            </w:pPr>
            <w:r>
              <w:rPr>
                <w:rFonts w:hint="eastAsia" w:ascii="宋体" w:hAnsi="宋体" w:cs="Arial"/>
                <w:szCs w:val="21"/>
              </w:rPr>
              <w:t>如中标人在履约合同中服务质量不能达到海关组织的专家组的评估要求，采购人有权终止合同并要求中标供应商提供相应损失的赔偿。</w:t>
            </w:r>
          </w:p>
        </w:tc>
        <w:tc>
          <w:tcPr>
            <w:tcW w:w="1872" w:type="dxa"/>
            <w:noWrap w:val="0"/>
            <w:vAlign w:val="top"/>
          </w:tcPr>
          <w:p>
            <w:pPr>
              <w:tabs>
                <w:tab w:val="left" w:pos="1330"/>
              </w:tabs>
              <w:rPr>
                <w:rFonts w:hint="eastAsia" w:ascii="宋体" w:hAnsi="宋体" w:cs="Arial"/>
                <w:szCs w:val="21"/>
              </w:rPr>
            </w:pPr>
            <w:r>
              <w:rPr>
                <w:rFonts w:hint="eastAsia" w:ascii="宋体" w:hAnsi="宋体" w:cs="Arial"/>
                <w:szCs w:val="21"/>
              </w:rPr>
              <w:t>采购人：采购人编制项目需求时应考核项目实际的因素，对项目要求、项目金额进行全方面调查。</w:t>
            </w:r>
          </w:p>
          <w:p>
            <w:pPr>
              <w:tabs>
                <w:tab w:val="left" w:pos="1330"/>
              </w:tabs>
              <w:rPr>
                <w:rFonts w:hint="eastAsia" w:ascii="宋体" w:hAnsi="宋体" w:cs="Arial"/>
                <w:szCs w:val="21"/>
              </w:rPr>
            </w:pPr>
            <w:r>
              <w:rPr>
                <w:rFonts w:hint="eastAsia" w:ascii="宋体" w:hAnsi="宋体" w:cs="Arial"/>
                <w:szCs w:val="21"/>
              </w:rPr>
              <w:t>采购代理机构：招标代理机构应严格按照《中华人民共和国政府采购法》及相关法律法规规定，公平公正公开执行项目的招标评标工作。</w:t>
            </w:r>
          </w:p>
          <w:p>
            <w:pPr>
              <w:tabs>
                <w:tab w:val="left" w:pos="1330"/>
              </w:tabs>
              <w:rPr>
                <w:rFonts w:ascii="宋体" w:hAnsi="宋体" w:cs="Arial"/>
                <w:szCs w:val="21"/>
              </w:rPr>
            </w:pPr>
            <w:r>
              <w:rPr>
                <w:rFonts w:hint="eastAsia" w:ascii="宋体" w:hAnsi="宋体" w:cs="Arial"/>
                <w:szCs w:val="21"/>
              </w:rPr>
              <w:t>投标供应商：投标供应商应如实响应投标，杜绝围标串标等违法行为。在合同履行过程中，严格按照招标文件规定及投标文件的响应情况如实履约，并接受采购人考核。</w:t>
            </w:r>
          </w:p>
        </w:tc>
        <w:tc>
          <w:tcPr>
            <w:tcW w:w="1559" w:type="dxa"/>
            <w:noWrap w:val="0"/>
            <w:vAlign w:val="top"/>
          </w:tcPr>
          <w:p>
            <w:pPr>
              <w:tabs>
                <w:tab w:val="left" w:pos="1330"/>
              </w:tabs>
              <w:rPr>
                <w:rFonts w:ascii="宋体" w:hAnsi="宋体" w:cs="Arial"/>
                <w:szCs w:val="21"/>
              </w:rPr>
            </w:pPr>
            <w:r>
              <w:rPr>
                <w:rFonts w:hint="eastAsia" w:ascii="宋体" w:hAnsi="宋体" w:cs="Arial"/>
                <w:szCs w:val="21"/>
              </w:rPr>
              <w:t>如因国家相关政策发生变化，应以最新的国家相关政策为准并进行执行，如因国家相关政策发生变化而导致本次项目的合同无法继续执行，采购人不承担任何责任，投标人自行承担由此带来的任何风险及后果</w:t>
            </w:r>
          </w:p>
        </w:tc>
      </w:tr>
    </w:tbl>
    <w:p>
      <w:pPr>
        <w:pStyle w:val="4"/>
        <w:spacing w:line="360" w:lineRule="auto"/>
        <w:rPr>
          <w:rFonts w:hint="eastAsia" w:ascii="宋体" w:hAnsi="宋体"/>
          <w:bCs/>
          <w:szCs w:val="21"/>
        </w:rPr>
      </w:pPr>
      <w:bookmarkStart w:id="2" w:name="_GoBack"/>
      <w:bookmarkEnd w:id="2"/>
      <w:r>
        <w:rPr>
          <w:rFonts w:hint="eastAsia" w:ascii="宋体" w:hAnsi="宋体"/>
          <w:bCs/>
          <w:szCs w:val="21"/>
        </w:rPr>
        <w:t>备注：加注“★”的条款为不可负偏离条款，任一项未响应或不满足要求的，将导致投标无效。</w:t>
      </w:r>
    </w:p>
    <w:bookmarkEnd w:id="0"/>
    <w:p>
      <w:pPr>
        <w:adjustRightInd w:val="0"/>
        <w:snapToGrid w:val="0"/>
        <w:spacing w:line="300" w:lineRule="auto"/>
        <w:rPr>
          <w:rFonts w:hint="eastAsia"/>
          <w:b/>
          <w:snapToGrid w:val="0"/>
          <w:kern w:val="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30B33F"/>
    <w:multiLevelType w:val="singleLevel"/>
    <w:tmpl w:val="BC30B33F"/>
    <w:lvl w:ilvl="0" w:tentative="0">
      <w:start w:val="2"/>
      <w:numFmt w:val="decimal"/>
      <w:suff w:val="nothing"/>
      <w:lvlText w:val="%1、"/>
      <w:lvlJc w:val="left"/>
    </w:lvl>
  </w:abstractNum>
  <w:abstractNum w:abstractNumId="1">
    <w:nsid w:val="55E63AB9"/>
    <w:multiLevelType w:val="singleLevel"/>
    <w:tmpl w:val="55E63AB9"/>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OTA2MGI3MGFmOGU0NTE2YWU2ZGI5ZDJmMmNkMGUifQ=="/>
  </w:docVars>
  <w:rsids>
    <w:rsidRoot w:val="00000000"/>
    <w:rsid w:val="50B46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uiPriority w:val="0"/>
    <w:pPr>
      <w:autoSpaceDE w:val="0"/>
      <w:autoSpaceDN w:val="0"/>
      <w:adjustRightInd w:val="0"/>
      <w:snapToGrid w:val="0"/>
      <w:spacing w:before="80" w:after="40" w:line="360" w:lineRule="auto"/>
      <w:ind w:left="567"/>
      <w:jc w:val="left"/>
    </w:pPr>
    <w:rPr>
      <w:kern w:val="0"/>
      <w:sz w:val="24"/>
      <w:szCs w:val="20"/>
    </w:rPr>
  </w:style>
  <w:style w:type="paragraph" w:styleId="4">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2023-07-04T09:12:21Z</dcterms:created>
  <dc:creator>Administrator</dc:creator>
  <cp:lastModifiedBy>中正--周</cp:lastModifiedBy>
  <dcterms:modified xsi:type="dcterms:W3CDTF">2023-07-04T09:12:36Z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00AB9CF15BF9470C8D8FC1753ADBAE24_12</vt:lpwstr>
  </property>
</Properties>
</file>